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sz w:val="36"/>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QH2022-CS-013</w:t>
      </w:r>
    </w:p>
    <w:p>
      <w:pPr>
        <w:rPr>
          <w:rFonts w:hAnsi="宋体" w:cs="宋体"/>
          <w:b/>
          <w:sz w:val="36"/>
          <w:highlight w:val="none"/>
        </w:rPr>
      </w:pPr>
      <w:r>
        <w:rPr>
          <w:rFonts w:hint="eastAsia" w:hAnsi="宋体" w:cs="宋体"/>
          <w:b/>
          <w:sz w:val="36"/>
          <w:highlight w:val="none"/>
        </w:rPr>
        <w:t xml:space="preserve"> </w:t>
      </w:r>
    </w:p>
    <w:p>
      <w:pPr>
        <w:rPr>
          <w:rFonts w:hAnsi="宋体" w:cs="宋体"/>
          <w:b/>
          <w:sz w:val="36"/>
          <w:highlight w:val="none"/>
        </w:rPr>
      </w:pPr>
    </w:p>
    <w:p>
      <w:pPr>
        <w:pStyle w:val="10"/>
        <w:rPr>
          <w:rFonts w:hAnsi="宋体" w:cs="宋体"/>
          <w:b/>
          <w:sz w:val="36"/>
          <w:highlight w:val="none"/>
        </w:rPr>
      </w:pPr>
    </w:p>
    <w:p>
      <w:pPr>
        <w:pStyle w:val="10"/>
        <w:rPr>
          <w:rFonts w:hAnsi="宋体" w:cs="宋体"/>
          <w:b/>
          <w:sz w:val="36"/>
          <w:highlight w:val="none"/>
        </w:rPr>
      </w:pPr>
    </w:p>
    <w:p>
      <w:pPr>
        <w:jc w:val="center"/>
        <w:rPr>
          <w:rFonts w:hint="eastAsia"/>
          <w:lang w:eastAsia="zh-CN"/>
        </w:rPr>
      </w:pPr>
      <w:r>
        <w:rPr>
          <w:rFonts w:hint="eastAsia" w:hAnsi="宋体" w:cs="宋体"/>
          <w:b/>
          <w:kern w:val="0"/>
          <w:sz w:val="48"/>
          <w:szCs w:val="48"/>
          <w:highlight w:val="none"/>
          <w:lang w:val="en-US" w:eastAsia="zh-CN" w:bidi="ar-SA"/>
        </w:rPr>
        <w:t>宜君县2022年残疾人托养和照护服务项目（二次）</w:t>
      </w: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spacing w:line="780" w:lineRule="auto"/>
        <w:jc w:val="center"/>
        <w:rPr>
          <w:rFonts w:hint="eastAsia" w:ascii="宋体" w:hAnsi="宋体" w:eastAsia="宋体" w:cs="宋体"/>
          <w:b/>
          <w:kern w:val="0"/>
          <w:sz w:val="48"/>
          <w:szCs w:val="48"/>
          <w:highlight w:val="none"/>
          <w:lang w:val="en-US" w:eastAsia="zh-CN" w:bidi="ar-SA"/>
        </w:rPr>
      </w:pPr>
      <w:r>
        <w:rPr>
          <w:rFonts w:hint="eastAsia" w:ascii="宋体" w:hAnsi="宋体" w:eastAsia="宋体" w:cs="宋体"/>
          <w:b/>
          <w:kern w:val="0"/>
          <w:sz w:val="48"/>
          <w:szCs w:val="48"/>
          <w:highlight w:val="none"/>
          <w:lang w:val="en-US" w:eastAsia="zh-CN" w:bidi="ar-SA"/>
        </w:rPr>
        <w:t>竞争性磋商文件</w:t>
      </w:r>
    </w:p>
    <w:p>
      <w:pPr>
        <w:rPr>
          <w:rFonts w:hAnsi="宋体" w:cs="宋体"/>
          <w:highlight w:val="none"/>
        </w:rPr>
      </w:pPr>
      <w:bookmarkStart w:id="0" w:name="_Toc363463325"/>
    </w:p>
    <w:p>
      <w:pPr>
        <w:rPr>
          <w:rFonts w:hAnsi="宋体" w:cs="宋体"/>
          <w:highlight w:val="none"/>
        </w:rPr>
      </w:pPr>
    </w:p>
    <w:p>
      <w:pPr>
        <w:bidi w:val="0"/>
      </w:pPr>
    </w:p>
    <w:p>
      <w:pPr>
        <w:rPr>
          <w:rFonts w:ascii="宋体" w:hAnsi="宋体" w:cs="宋体"/>
          <w:highlight w:val="none"/>
        </w:rPr>
      </w:pPr>
    </w:p>
    <w:p>
      <w:pPr>
        <w:pStyle w:val="2"/>
        <w:rPr>
          <w:rFonts w:ascii="宋体" w:hAnsi="宋体" w:cs="宋体"/>
          <w:highlight w:val="none"/>
        </w:rPr>
      </w:pPr>
    </w:p>
    <w:p>
      <w:pPr>
        <w:rPr>
          <w:rFonts w:ascii="宋体" w:hAnsi="宋体" w:cs="宋体"/>
          <w:highlight w:val="none"/>
        </w:rPr>
      </w:pPr>
    </w:p>
    <w:p>
      <w:pPr>
        <w:pStyle w:val="2"/>
        <w:rPr>
          <w:rFonts w:ascii="宋体" w:hAnsi="宋体" w:cs="宋体"/>
          <w:highlight w:val="none"/>
        </w:rPr>
      </w:pPr>
    </w:p>
    <w:p>
      <w:pPr>
        <w:rPr>
          <w:rFonts w:hAnsi="宋体" w:cs="宋体"/>
          <w:highlight w:val="none"/>
        </w:rPr>
      </w:pPr>
    </w:p>
    <w:bookmarkEnd w:id="0"/>
    <w:p>
      <w:pPr>
        <w:rPr>
          <w:rFonts w:hAnsi="宋体" w:cs="宋体"/>
          <w:sz w:val="18"/>
          <w:szCs w:val="18"/>
          <w:highlight w:val="none"/>
        </w:rPr>
      </w:pPr>
    </w:p>
    <w:p>
      <w:pPr>
        <w:ind w:firstLine="2249" w:firstLineChars="800"/>
        <w:jc w:val="left"/>
        <w:rPr>
          <w:rFonts w:hint="eastAsia" w:eastAsia="宋体"/>
          <w:b/>
          <w:bCs/>
          <w:sz w:val="28"/>
          <w:szCs w:val="21"/>
          <w:highlight w:val="none"/>
          <w:lang w:eastAsia="zh-CN"/>
        </w:rPr>
      </w:pPr>
      <w:r>
        <w:rPr>
          <w:rFonts w:hint="eastAsia"/>
          <w:b/>
          <w:bCs/>
          <w:sz w:val="28"/>
          <w:szCs w:val="21"/>
          <w:highlight w:val="none"/>
        </w:rPr>
        <w:t>采购单位：</w:t>
      </w:r>
      <w:r>
        <w:rPr>
          <w:rFonts w:hint="eastAsia"/>
          <w:b/>
          <w:bCs/>
          <w:sz w:val="28"/>
          <w:szCs w:val="21"/>
          <w:highlight w:val="none"/>
          <w:lang w:eastAsia="zh-CN"/>
        </w:rPr>
        <w:t>宜君县残疾人联合会</w:t>
      </w:r>
    </w:p>
    <w:p>
      <w:pPr>
        <w:ind w:firstLine="2249" w:firstLineChars="800"/>
        <w:jc w:val="left"/>
        <w:rPr>
          <w:rFonts w:hint="eastAsia" w:eastAsia="宋体"/>
          <w:b/>
          <w:bCs/>
          <w:sz w:val="28"/>
          <w:szCs w:val="21"/>
          <w:highlight w:val="none"/>
          <w:lang w:eastAsia="zh-CN"/>
        </w:rPr>
      </w:pPr>
      <w:r>
        <w:rPr>
          <w:rFonts w:hint="eastAsia"/>
          <w:b/>
          <w:bCs/>
          <w:sz w:val="28"/>
          <w:szCs w:val="21"/>
          <w:highlight w:val="none"/>
        </w:rPr>
        <w:t>代理机构：</w:t>
      </w:r>
      <w:r>
        <w:rPr>
          <w:rFonts w:hint="eastAsia"/>
          <w:b/>
          <w:bCs/>
          <w:sz w:val="28"/>
          <w:szCs w:val="21"/>
          <w:highlight w:val="none"/>
          <w:lang w:eastAsia="zh-CN"/>
        </w:rPr>
        <w:t>陕西启航项目管理咨询有限公司</w:t>
      </w:r>
    </w:p>
    <w:p>
      <w:pPr>
        <w:ind w:firstLine="2249" w:firstLineChars="800"/>
        <w:jc w:val="left"/>
        <w:rPr>
          <w:b/>
          <w:bCs/>
          <w:sz w:val="28"/>
          <w:szCs w:val="21"/>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docGrid w:type="lines" w:linePitch="312" w:charSpace="0"/>
        </w:sectPr>
      </w:pPr>
      <w:r>
        <w:rPr>
          <w:rFonts w:hint="eastAsia"/>
          <w:b/>
          <w:bCs/>
          <w:sz w:val="28"/>
          <w:szCs w:val="21"/>
          <w:highlight w:val="none"/>
        </w:rPr>
        <w:t>日期：二〇二</w:t>
      </w:r>
      <w:r>
        <w:rPr>
          <w:rFonts w:hint="eastAsia"/>
          <w:b/>
          <w:bCs/>
          <w:sz w:val="28"/>
          <w:szCs w:val="21"/>
          <w:highlight w:val="none"/>
          <w:lang w:val="en-US" w:eastAsia="zh-CN"/>
        </w:rPr>
        <w:t>二</w:t>
      </w:r>
      <w:r>
        <w:rPr>
          <w:rFonts w:hint="eastAsia"/>
          <w:b/>
          <w:bCs/>
          <w:sz w:val="28"/>
          <w:szCs w:val="21"/>
          <w:highlight w:val="none"/>
        </w:rPr>
        <w:t>年</w:t>
      </w:r>
      <w:r>
        <w:rPr>
          <w:rFonts w:hint="eastAsia"/>
          <w:b/>
          <w:bCs/>
          <w:sz w:val="28"/>
          <w:szCs w:val="21"/>
          <w:highlight w:val="none"/>
          <w:lang w:val="en-US" w:eastAsia="zh-CN"/>
        </w:rPr>
        <w:t>十</w:t>
      </w:r>
      <w:r>
        <w:rPr>
          <w:rFonts w:hint="eastAsia"/>
          <w:b/>
          <w:bCs/>
          <w:sz w:val="28"/>
          <w:szCs w:val="21"/>
          <w:highlight w:val="none"/>
        </w:rPr>
        <w:t>月</w:t>
      </w:r>
    </w:p>
    <w:p>
      <w:pPr>
        <w:jc w:val="center"/>
        <w:rPr>
          <w:rFonts w:hAnsi="宋体" w:cs="宋体"/>
          <w:b/>
          <w:sz w:val="44"/>
          <w:szCs w:val="44"/>
          <w:highlight w:val="none"/>
        </w:rPr>
      </w:pPr>
      <w:r>
        <w:rPr>
          <w:rFonts w:hint="eastAsia" w:hAnsi="宋体" w:cs="宋体"/>
          <w:b/>
          <w:sz w:val="44"/>
          <w:szCs w:val="44"/>
          <w:highlight w:val="none"/>
        </w:rPr>
        <w:t>目 录</w:t>
      </w:r>
    </w:p>
    <w:p>
      <w:pPr>
        <w:pStyle w:val="21"/>
        <w:tabs>
          <w:tab w:val="right" w:leader="hyphen" w:pos="8787"/>
        </w:tabs>
        <w:spacing w:line="480" w:lineRule="auto"/>
        <w:rPr>
          <w:szCs w:val="24"/>
          <w:highlight w:val="none"/>
        </w:rPr>
      </w:pPr>
      <w:bookmarkStart w:id="1" w:name="_Toc21518"/>
      <w:bookmarkStart w:id="2" w:name="_Toc20652"/>
      <w:bookmarkStart w:id="3" w:name="_Toc27420"/>
      <w:bookmarkStart w:id="4" w:name="_Toc389582033"/>
      <w:bookmarkStart w:id="5" w:name="_Toc5293"/>
      <w:bookmarkStart w:id="6" w:name="_Toc19886"/>
      <w:bookmarkStart w:id="7" w:name="_Toc16218"/>
      <w:bookmarkStart w:id="8" w:name="_Toc20858"/>
      <w:bookmarkStart w:id="9" w:name="_Toc363473971"/>
      <w:bookmarkStart w:id="10" w:name="_Toc363474016"/>
      <w:bookmarkStart w:id="11" w:name="_Toc403077638"/>
      <w:r>
        <w:rPr>
          <w:rFonts w:hint="eastAsia" w:hAnsi="宋体" w:cs="宋体"/>
          <w:bCs/>
          <w:szCs w:val="24"/>
          <w:highlight w:val="none"/>
        </w:rPr>
        <w:fldChar w:fldCharType="begin"/>
      </w:r>
      <w:r>
        <w:rPr>
          <w:rFonts w:hint="eastAsia" w:hAnsi="宋体" w:cs="宋体"/>
          <w:bCs/>
          <w:szCs w:val="24"/>
          <w:highlight w:val="none"/>
        </w:rPr>
        <w:instrText xml:space="preserve">TOC \o "1-4" \h \u </w:instrText>
      </w:r>
      <w:r>
        <w:rPr>
          <w:rFonts w:hint="eastAsia" w:hAnsi="宋体" w:cs="宋体"/>
          <w:bCs/>
          <w:szCs w:val="24"/>
          <w:highlight w:val="none"/>
        </w:rPr>
        <w:fldChar w:fldCharType="separate"/>
      </w:r>
      <w:r>
        <w:rPr>
          <w:highlight w:val="none"/>
        </w:rPr>
        <w:fldChar w:fldCharType="begin"/>
      </w:r>
      <w:r>
        <w:rPr>
          <w:highlight w:val="none"/>
        </w:rPr>
        <w:instrText xml:space="preserve"> HYPERLINK \l "_Toc16591" </w:instrText>
      </w:r>
      <w:r>
        <w:rPr>
          <w:highlight w:val="none"/>
        </w:rPr>
        <w:fldChar w:fldCharType="separate"/>
      </w:r>
      <w:r>
        <w:rPr>
          <w:rFonts w:hint="eastAsia" w:hAnsi="宋体" w:cs="宋体"/>
          <w:bCs/>
          <w:szCs w:val="24"/>
          <w:highlight w:val="none"/>
        </w:rPr>
        <w:t>第一章  竞争性磋商公告</w:t>
      </w:r>
      <w:r>
        <w:rPr>
          <w:szCs w:val="24"/>
          <w:highlight w:val="none"/>
        </w:rPr>
        <w:tab/>
      </w:r>
      <w:r>
        <w:rPr>
          <w:szCs w:val="24"/>
          <w:highlight w:val="none"/>
        </w:rPr>
        <w:fldChar w:fldCharType="begin"/>
      </w:r>
      <w:r>
        <w:rPr>
          <w:szCs w:val="24"/>
          <w:highlight w:val="none"/>
        </w:rPr>
        <w:instrText xml:space="preserve"> PAGEREF _Toc16591 \h </w:instrText>
      </w:r>
      <w:r>
        <w:rPr>
          <w:szCs w:val="24"/>
          <w:highlight w:val="none"/>
        </w:rPr>
        <w:fldChar w:fldCharType="separate"/>
      </w:r>
      <w:r>
        <w:rPr>
          <w:szCs w:val="24"/>
          <w:highlight w:val="none"/>
        </w:rPr>
        <w:t>2</w:t>
      </w:r>
      <w:r>
        <w:rPr>
          <w:szCs w:val="24"/>
          <w:highlight w:val="none"/>
        </w:rPr>
        <w:fldChar w:fldCharType="end"/>
      </w:r>
      <w:r>
        <w:rPr>
          <w:szCs w:val="24"/>
          <w:highlight w:val="none"/>
        </w:rPr>
        <w:fldChar w:fldCharType="end"/>
      </w:r>
    </w:p>
    <w:p>
      <w:pPr>
        <w:pStyle w:val="21"/>
        <w:tabs>
          <w:tab w:val="right" w:leader="hyphen" w:pos="8787"/>
        </w:tabs>
        <w:spacing w:line="480" w:lineRule="auto"/>
        <w:rPr>
          <w:szCs w:val="24"/>
          <w:highlight w:val="none"/>
        </w:rPr>
      </w:pPr>
      <w:r>
        <w:rPr>
          <w:highlight w:val="none"/>
        </w:rPr>
        <w:fldChar w:fldCharType="begin"/>
      </w:r>
      <w:r>
        <w:rPr>
          <w:highlight w:val="none"/>
        </w:rPr>
        <w:instrText xml:space="preserve"> HYPERLINK \l "_Toc5836" </w:instrText>
      </w:r>
      <w:r>
        <w:rPr>
          <w:highlight w:val="none"/>
        </w:rPr>
        <w:fldChar w:fldCharType="separate"/>
      </w:r>
      <w:r>
        <w:rPr>
          <w:rFonts w:hint="eastAsia" w:hAnsi="宋体" w:cs="宋体"/>
          <w:bCs/>
          <w:kern w:val="2"/>
          <w:szCs w:val="24"/>
          <w:highlight w:val="none"/>
        </w:rPr>
        <w:t>第二章  供应商须知</w:t>
      </w:r>
      <w:r>
        <w:rPr>
          <w:szCs w:val="24"/>
          <w:highlight w:val="none"/>
        </w:rPr>
        <w:tab/>
      </w:r>
      <w:r>
        <w:rPr>
          <w:szCs w:val="24"/>
          <w:highlight w:val="none"/>
        </w:rPr>
        <w:fldChar w:fldCharType="begin"/>
      </w:r>
      <w:r>
        <w:rPr>
          <w:szCs w:val="24"/>
          <w:highlight w:val="none"/>
        </w:rPr>
        <w:instrText xml:space="preserve"> PAGEREF _Toc5836 \h </w:instrText>
      </w:r>
      <w:r>
        <w:rPr>
          <w:szCs w:val="24"/>
          <w:highlight w:val="none"/>
        </w:rPr>
        <w:fldChar w:fldCharType="separate"/>
      </w:r>
      <w:r>
        <w:rPr>
          <w:szCs w:val="24"/>
          <w:highlight w:val="none"/>
        </w:rPr>
        <w:t>9</w:t>
      </w:r>
      <w:r>
        <w:rPr>
          <w:szCs w:val="24"/>
          <w:highlight w:val="none"/>
        </w:rPr>
        <w:fldChar w:fldCharType="end"/>
      </w:r>
      <w:r>
        <w:rPr>
          <w:szCs w:val="24"/>
          <w:highlight w:val="none"/>
        </w:rPr>
        <w:fldChar w:fldCharType="end"/>
      </w:r>
    </w:p>
    <w:p>
      <w:pPr>
        <w:pStyle w:val="23"/>
        <w:tabs>
          <w:tab w:val="right" w:leader="hyphen" w:pos="8787"/>
        </w:tabs>
        <w:spacing w:line="480" w:lineRule="auto"/>
        <w:ind w:left="480"/>
        <w:rPr>
          <w:szCs w:val="24"/>
          <w:highlight w:val="none"/>
        </w:rPr>
      </w:pPr>
      <w:r>
        <w:rPr>
          <w:highlight w:val="none"/>
        </w:rPr>
        <w:fldChar w:fldCharType="begin"/>
      </w:r>
      <w:r>
        <w:rPr>
          <w:highlight w:val="none"/>
        </w:rPr>
        <w:instrText xml:space="preserve"> HYPERLINK \l "_Toc3915" </w:instrText>
      </w:r>
      <w:r>
        <w:rPr>
          <w:highlight w:val="none"/>
        </w:rPr>
        <w:fldChar w:fldCharType="separate"/>
      </w:r>
      <w:r>
        <w:rPr>
          <w:rFonts w:hint="eastAsia" w:hAnsi="宋体" w:cs="宋体"/>
          <w:bCs/>
          <w:szCs w:val="24"/>
          <w:highlight w:val="none"/>
        </w:rPr>
        <w:t>供应商须知前附表</w:t>
      </w:r>
      <w:r>
        <w:rPr>
          <w:szCs w:val="24"/>
          <w:highlight w:val="none"/>
        </w:rPr>
        <w:tab/>
      </w:r>
      <w:r>
        <w:rPr>
          <w:szCs w:val="24"/>
          <w:highlight w:val="none"/>
        </w:rPr>
        <w:fldChar w:fldCharType="begin"/>
      </w:r>
      <w:r>
        <w:rPr>
          <w:szCs w:val="24"/>
          <w:highlight w:val="none"/>
        </w:rPr>
        <w:instrText xml:space="preserve"> PAGEREF _Toc3915 \h </w:instrText>
      </w:r>
      <w:r>
        <w:rPr>
          <w:szCs w:val="24"/>
          <w:highlight w:val="none"/>
        </w:rPr>
        <w:fldChar w:fldCharType="separate"/>
      </w:r>
      <w:r>
        <w:rPr>
          <w:szCs w:val="24"/>
          <w:highlight w:val="none"/>
        </w:rPr>
        <w:t>9</w:t>
      </w:r>
      <w:r>
        <w:rPr>
          <w:szCs w:val="24"/>
          <w:highlight w:val="none"/>
        </w:rPr>
        <w:fldChar w:fldCharType="end"/>
      </w:r>
      <w:r>
        <w:rPr>
          <w:szCs w:val="24"/>
          <w:highlight w:val="none"/>
        </w:rPr>
        <w:fldChar w:fldCharType="end"/>
      </w:r>
    </w:p>
    <w:p>
      <w:pPr>
        <w:pStyle w:val="21"/>
        <w:tabs>
          <w:tab w:val="right" w:leader="hyphen" w:pos="8787"/>
        </w:tabs>
        <w:spacing w:line="480" w:lineRule="auto"/>
        <w:rPr>
          <w:szCs w:val="24"/>
          <w:highlight w:val="none"/>
        </w:rPr>
      </w:pPr>
      <w:r>
        <w:rPr>
          <w:highlight w:val="none"/>
        </w:rPr>
        <w:fldChar w:fldCharType="begin"/>
      </w:r>
      <w:r>
        <w:rPr>
          <w:highlight w:val="none"/>
        </w:rPr>
        <w:instrText xml:space="preserve"> HYPERLINK \l "_Toc1897" </w:instrText>
      </w:r>
      <w:r>
        <w:rPr>
          <w:highlight w:val="none"/>
        </w:rPr>
        <w:fldChar w:fldCharType="separate"/>
      </w:r>
      <w:r>
        <w:rPr>
          <w:rFonts w:hint="eastAsia" w:hAnsi="宋体" w:cs="宋体"/>
          <w:szCs w:val="24"/>
          <w:highlight w:val="none"/>
        </w:rPr>
        <w:t xml:space="preserve">第三章 </w:t>
      </w:r>
      <w:r>
        <w:rPr>
          <w:rFonts w:hint="eastAsia" w:hAnsi="宋体" w:cs="宋体"/>
          <w:bCs/>
          <w:szCs w:val="24"/>
          <w:highlight w:val="none"/>
        </w:rPr>
        <w:t>评审方法</w:t>
      </w:r>
      <w:r>
        <w:rPr>
          <w:szCs w:val="24"/>
          <w:highlight w:val="none"/>
        </w:rPr>
        <w:tab/>
      </w:r>
      <w:r>
        <w:rPr>
          <w:szCs w:val="24"/>
          <w:highlight w:val="none"/>
        </w:rPr>
        <w:fldChar w:fldCharType="begin"/>
      </w:r>
      <w:r>
        <w:rPr>
          <w:szCs w:val="24"/>
          <w:highlight w:val="none"/>
        </w:rPr>
        <w:instrText xml:space="preserve"> PAGEREF _Toc1897 \h </w:instrText>
      </w:r>
      <w:r>
        <w:rPr>
          <w:szCs w:val="24"/>
          <w:highlight w:val="none"/>
        </w:rPr>
        <w:fldChar w:fldCharType="separate"/>
      </w:r>
      <w:r>
        <w:rPr>
          <w:szCs w:val="24"/>
          <w:highlight w:val="none"/>
        </w:rPr>
        <w:t>30</w:t>
      </w:r>
      <w:r>
        <w:rPr>
          <w:szCs w:val="24"/>
          <w:highlight w:val="none"/>
        </w:rPr>
        <w:fldChar w:fldCharType="end"/>
      </w:r>
      <w:r>
        <w:rPr>
          <w:szCs w:val="24"/>
          <w:highlight w:val="none"/>
        </w:rPr>
        <w:fldChar w:fldCharType="end"/>
      </w:r>
    </w:p>
    <w:p>
      <w:pPr>
        <w:pStyle w:val="21"/>
        <w:tabs>
          <w:tab w:val="right" w:leader="hyphen" w:pos="8787"/>
        </w:tabs>
        <w:spacing w:line="480" w:lineRule="auto"/>
        <w:rPr>
          <w:szCs w:val="24"/>
          <w:highlight w:val="none"/>
        </w:rPr>
      </w:pPr>
      <w:r>
        <w:rPr>
          <w:highlight w:val="none"/>
        </w:rPr>
        <w:fldChar w:fldCharType="begin"/>
      </w:r>
      <w:r>
        <w:rPr>
          <w:highlight w:val="none"/>
        </w:rPr>
        <w:instrText xml:space="preserve"> HYPERLINK \l "_Toc18357" </w:instrText>
      </w:r>
      <w:r>
        <w:rPr>
          <w:highlight w:val="none"/>
        </w:rPr>
        <w:fldChar w:fldCharType="separate"/>
      </w:r>
      <w:r>
        <w:rPr>
          <w:rFonts w:hint="eastAsia" w:hAnsi="宋体" w:cs="宋体"/>
          <w:bCs/>
          <w:szCs w:val="24"/>
          <w:highlight w:val="none"/>
        </w:rPr>
        <w:t>第四章  合同条款及格式</w:t>
      </w:r>
      <w:r>
        <w:rPr>
          <w:szCs w:val="24"/>
          <w:highlight w:val="none"/>
        </w:rPr>
        <w:tab/>
      </w:r>
      <w:r>
        <w:rPr>
          <w:szCs w:val="24"/>
          <w:highlight w:val="none"/>
        </w:rPr>
        <w:fldChar w:fldCharType="begin"/>
      </w:r>
      <w:r>
        <w:rPr>
          <w:szCs w:val="24"/>
          <w:highlight w:val="none"/>
        </w:rPr>
        <w:instrText xml:space="preserve"> PAGEREF _Toc18357 \h </w:instrText>
      </w:r>
      <w:r>
        <w:rPr>
          <w:szCs w:val="24"/>
          <w:highlight w:val="none"/>
        </w:rPr>
        <w:fldChar w:fldCharType="separate"/>
      </w:r>
      <w:r>
        <w:rPr>
          <w:szCs w:val="24"/>
          <w:highlight w:val="none"/>
        </w:rPr>
        <w:t>34</w:t>
      </w:r>
      <w:r>
        <w:rPr>
          <w:szCs w:val="24"/>
          <w:highlight w:val="none"/>
        </w:rPr>
        <w:fldChar w:fldCharType="end"/>
      </w:r>
      <w:r>
        <w:rPr>
          <w:szCs w:val="24"/>
          <w:highlight w:val="none"/>
        </w:rPr>
        <w:fldChar w:fldCharType="end"/>
      </w:r>
    </w:p>
    <w:p>
      <w:pPr>
        <w:pStyle w:val="23"/>
        <w:tabs>
          <w:tab w:val="right" w:leader="hyphen" w:pos="8787"/>
        </w:tabs>
        <w:spacing w:line="480" w:lineRule="auto"/>
        <w:ind w:left="480"/>
        <w:rPr>
          <w:szCs w:val="24"/>
          <w:highlight w:val="none"/>
        </w:rPr>
      </w:pPr>
      <w:r>
        <w:rPr>
          <w:highlight w:val="none"/>
        </w:rPr>
        <w:fldChar w:fldCharType="begin"/>
      </w:r>
      <w:r>
        <w:rPr>
          <w:highlight w:val="none"/>
        </w:rPr>
        <w:instrText xml:space="preserve"> HYPERLINK \l "_Toc11393" </w:instrText>
      </w:r>
      <w:r>
        <w:rPr>
          <w:highlight w:val="none"/>
        </w:rPr>
        <w:fldChar w:fldCharType="separate"/>
      </w:r>
      <w:r>
        <w:rPr>
          <w:rFonts w:hint="eastAsia" w:hAnsi="宋体" w:cs="宋体"/>
          <w:bCs/>
          <w:szCs w:val="24"/>
          <w:highlight w:val="none"/>
        </w:rPr>
        <w:t>合同前附表</w:t>
      </w:r>
      <w:r>
        <w:rPr>
          <w:szCs w:val="24"/>
          <w:highlight w:val="none"/>
        </w:rPr>
        <w:tab/>
      </w:r>
      <w:r>
        <w:rPr>
          <w:szCs w:val="24"/>
          <w:highlight w:val="none"/>
        </w:rPr>
        <w:fldChar w:fldCharType="begin"/>
      </w:r>
      <w:r>
        <w:rPr>
          <w:szCs w:val="24"/>
          <w:highlight w:val="none"/>
        </w:rPr>
        <w:instrText xml:space="preserve"> PAGEREF _Toc11393 \h </w:instrText>
      </w:r>
      <w:r>
        <w:rPr>
          <w:szCs w:val="24"/>
          <w:highlight w:val="none"/>
        </w:rPr>
        <w:fldChar w:fldCharType="separate"/>
      </w:r>
      <w:r>
        <w:rPr>
          <w:szCs w:val="24"/>
          <w:highlight w:val="none"/>
        </w:rPr>
        <w:t>36</w:t>
      </w:r>
      <w:r>
        <w:rPr>
          <w:szCs w:val="24"/>
          <w:highlight w:val="none"/>
        </w:rPr>
        <w:fldChar w:fldCharType="end"/>
      </w:r>
      <w:r>
        <w:rPr>
          <w:szCs w:val="24"/>
          <w:highlight w:val="none"/>
        </w:rPr>
        <w:fldChar w:fldCharType="end"/>
      </w:r>
    </w:p>
    <w:p>
      <w:pPr>
        <w:pStyle w:val="21"/>
        <w:tabs>
          <w:tab w:val="right" w:leader="hyphen" w:pos="8787"/>
        </w:tabs>
        <w:spacing w:line="480" w:lineRule="auto"/>
        <w:rPr>
          <w:szCs w:val="24"/>
          <w:highlight w:val="none"/>
        </w:rPr>
      </w:pPr>
      <w:r>
        <w:rPr>
          <w:highlight w:val="none"/>
        </w:rPr>
        <w:fldChar w:fldCharType="begin"/>
      </w:r>
      <w:r>
        <w:rPr>
          <w:highlight w:val="none"/>
        </w:rPr>
        <w:instrText xml:space="preserve"> HYPERLINK \l "_Toc31213" </w:instrText>
      </w:r>
      <w:r>
        <w:rPr>
          <w:highlight w:val="none"/>
        </w:rPr>
        <w:fldChar w:fldCharType="separate"/>
      </w:r>
      <w:r>
        <w:rPr>
          <w:rFonts w:hint="eastAsia" w:hAnsi="宋体" w:cs="宋体"/>
          <w:bCs/>
          <w:kern w:val="2"/>
          <w:szCs w:val="24"/>
          <w:highlight w:val="none"/>
        </w:rPr>
        <w:t>第五章  磋商内容及技术要求</w:t>
      </w:r>
      <w:r>
        <w:rPr>
          <w:szCs w:val="24"/>
          <w:highlight w:val="none"/>
        </w:rPr>
        <w:tab/>
      </w:r>
      <w:r>
        <w:rPr>
          <w:szCs w:val="24"/>
          <w:highlight w:val="none"/>
        </w:rPr>
        <w:fldChar w:fldCharType="begin"/>
      </w:r>
      <w:r>
        <w:rPr>
          <w:szCs w:val="24"/>
          <w:highlight w:val="none"/>
        </w:rPr>
        <w:instrText xml:space="preserve"> PAGEREF _Toc31213 \h </w:instrText>
      </w:r>
      <w:r>
        <w:rPr>
          <w:szCs w:val="24"/>
          <w:highlight w:val="none"/>
        </w:rPr>
        <w:fldChar w:fldCharType="separate"/>
      </w:r>
      <w:r>
        <w:rPr>
          <w:szCs w:val="24"/>
          <w:highlight w:val="none"/>
        </w:rPr>
        <w:t>43</w:t>
      </w:r>
      <w:r>
        <w:rPr>
          <w:szCs w:val="24"/>
          <w:highlight w:val="none"/>
        </w:rPr>
        <w:fldChar w:fldCharType="end"/>
      </w:r>
      <w:r>
        <w:rPr>
          <w:szCs w:val="24"/>
          <w:highlight w:val="none"/>
        </w:rPr>
        <w:fldChar w:fldCharType="end"/>
      </w:r>
    </w:p>
    <w:p>
      <w:pPr>
        <w:pStyle w:val="21"/>
        <w:tabs>
          <w:tab w:val="right" w:leader="hyphen" w:pos="8787"/>
        </w:tabs>
        <w:spacing w:line="480" w:lineRule="auto"/>
        <w:rPr>
          <w:szCs w:val="24"/>
          <w:highlight w:val="none"/>
        </w:rPr>
      </w:pPr>
      <w:r>
        <w:rPr>
          <w:highlight w:val="none"/>
        </w:rPr>
        <w:fldChar w:fldCharType="begin"/>
      </w:r>
      <w:r>
        <w:rPr>
          <w:highlight w:val="none"/>
        </w:rPr>
        <w:instrText xml:space="preserve"> HYPERLINK \l "_Toc5880" </w:instrText>
      </w:r>
      <w:r>
        <w:rPr>
          <w:highlight w:val="none"/>
        </w:rPr>
        <w:fldChar w:fldCharType="separate"/>
      </w:r>
      <w:r>
        <w:rPr>
          <w:rFonts w:hint="eastAsia" w:hAnsi="宋体" w:cs="宋体"/>
          <w:bCs/>
          <w:szCs w:val="24"/>
          <w:highlight w:val="none"/>
        </w:rPr>
        <w:t>第六章 竞争性磋商响应文件格式</w:t>
      </w:r>
      <w:r>
        <w:rPr>
          <w:szCs w:val="24"/>
          <w:highlight w:val="none"/>
        </w:rPr>
        <w:tab/>
      </w:r>
      <w:r>
        <w:rPr>
          <w:szCs w:val="24"/>
          <w:highlight w:val="none"/>
        </w:rPr>
        <w:fldChar w:fldCharType="begin"/>
      </w:r>
      <w:r>
        <w:rPr>
          <w:szCs w:val="24"/>
          <w:highlight w:val="none"/>
        </w:rPr>
        <w:instrText xml:space="preserve"> PAGEREF _Toc5880 \h </w:instrText>
      </w:r>
      <w:r>
        <w:rPr>
          <w:szCs w:val="24"/>
          <w:highlight w:val="none"/>
        </w:rPr>
        <w:fldChar w:fldCharType="separate"/>
      </w:r>
      <w:r>
        <w:rPr>
          <w:szCs w:val="24"/>
          <w:highlight w:val="none"/>
        </w:rPr>
        <w:t>48</w:t>
      </w:r>
      <w:r>
        <w:rPr>
          <w:szCs w:val="24"/>
          <w:highlight w:val="none"/>
        </w:rPr>
        <w:fldChar w:fldCharType="end"/>
      </w:r>
      <w:r>
        <w:rPr>
          <w:szCs w:val="24"/>
          <w:highlight w:val="none"/>
        </w:rPr>
        <w:fldChar w:fldCharType="end"/>
      </w:r>
    </w:p>
    <w:p>
      <w:pPr>
        <w:pStyle w:val="21"/>
        <w:tabs>
          <w:tab w:val="right" w:leader="dot" w:pos="8302"/>
        </w:tabs>
        <w:spacing w:line="480" w:lineRule="auto"/>
        <w:rPr>
          <w:rFonts w:hAnsi="宋体" w:cs="宋体"/>
          <w:bCs/>
          <w:szCs w:val="24"/>
          <w:highlight w:val="none"/>
        </w:rPr>
      </w:pPr>
      <w:r>
        <w:rPr>
          <w:rFonts w:hint="eastAsia" w:hAnsi="宋体" w:cs="宋体"/>
          <w:bCs/>
          <w:szCs w:val="24"/>
          <w:highlight w:val="none"/>
        </w:rPr>
        <w:fldChar w:fldCharType="end"/>
      </w:r>
    </w:p>
    <w:p>
      <w:pPr>
        <w:pStyle w:val="6"/>
        <w:spacing w:before="312" w:beforeLines="100"/>
        <w:jc w:val="center"/>
        <w:rPr>
          <w:rFonts w:asci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docGrid w:type="lines" w:linePitch="312" w:charSpace="0"/>
        </w:sectPr>
      </w:pPr>
    </w:p>
    <w:p>
      <w:pPr>
        <w:pStyle w:val="6"/>
        <w:keepNext w:val="0"/>
        <w:keepLines/>
        <w:pageBreakBefore/>
        <w:spacing w:before="156" w:beforeLines="50" w:after="156" w:afterLines="50" w:line="360" w:lineRule="auto"/>
        <w:jc w:val="center"/>
        <w:rPr>
          <w:rStyle w:val="29"/>
          <w:rFonts w:hint="eastAsia" w:ascii="宋体" w:hAnsi="宋体" w:eastAsia="宋体" w:cs="宋体"/>
          <w:b/>
          <w:bCs/>
          <w:i w:val="0"/>
          <w:iCs w:val="0"/>
          <w:caps w:val="0"/>
          <w:color w:val="333333"/>
          <w:spacing w:val="0"/>
          <w:sz w:val="24"/>
          <w:szCs w:val="24"/>
          <w:highlight w:val="none"/>
          <w:shd w:val="clear" w:fill="FFFFFF"/>
          <w:vertAlign w:val="baseline"/>
        </w:rPr>
      </w:pPr>
      <w:bookmarkStart w:id="12" w:name="_Toc423973071"/>
      <w:bookmarkStart w:id="13" w:name="_Toc2705"/>
      <w:bookmarkStart w:id="14" w:name="_Toc16591"/>
      <w:r>
        <w:rPr>
          <w:rFonts w:hint="eastAsia" w:ascii="宋体" w:eastAsia="宋体" w:cs="宋体"/>
          <w:bCs/>
          <w:sz w:val="36"/>
          <w:szCs w:val="36"/>
          <w:highlight w:val="none"/>
        </w:rPr>
        <w:t xml:space="preserve">第一章  </w:t>
      </w:r>
      <w:bookmarkEnd w:id="1"/>
      <w:bookmarkEnd w:id="2"/>
      <w:bookmarkEnd w:id="3"/>
      <w:bookmarkEnd w:id="4"/>
      <w:bookmarkEnd w:id="5"/>
      <w:bookmarkEnd w:id="6"/>
      <w:bookmarkEnd w:id="7"/>
      <w:bookmarkEnd w:id="8"/>
      <w:bookmarkEnd w:id="12"/>
      <w:bookmarkEnd w:id="13"/>
      <w:bookmarkEnd w:id="14"/>
      <w:bookmarkStart w:id="15" w:name="_Toc27273"/>
      <w:bookmarkStart w:id="16" w:name="_Toc389582035"/>
      <w:bookmarkStart w:id="17" w:name="_Toc2929"/>
      <w:bookmarkStart w:id="18" w:name="_Toc423973072"/>
      <w:bookmarkStart w:id="19" w:name="_Toc29249"/>
      <w:r>
        <w:rPr>
          <w:rFonts w:hint="eastAsia" w:ascii="宋体" w:eastAsia="宋体"/>
          <w:bCs/>
          <w:sz w:val="36"/>
          <w:szCs w:val="36"/>
          <w:highlight w:val="none"/>
        </w:rPr>
        <w:t>竞争性磋商公告</w:t>
      </w:r>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项目概况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cs="宋体"/>
          <w:i w:val="0"/>
          <w:iCs w:val="0"/>
          <w:caps w:val="0"/>
          <w:color w:val="333333"/>
          <w:spacing w:val="0"/>
          <w:sz w:val="24"/>
          <w:szCs w:val="24"/>
          <w:highlight w:val="none"/>
          <w:shd w:val="clear" w:fill="FFFFFF"/>
          <w:vertAlign w:val="baseline"/>
          <w:lang w:eastAsia="zh-CN"/>
        </w:rPr>
        <w:t>宜君县2022年残疾人托养和照护服务项目</w:t>
      </w:r>
      <w:r>
        <w:rPr>
          <w:rFonts w:hint="eastAsia" w:ascii="宋体" w:hAnsi="宋体" w:eastAsia="宋体" w:cs="宋体"/>
          <w:i w:val="0"/>
          <w:iCs w:val="0"/>
          <w:caps w:val="0"/>
          <w:color w:val="333333"/>
          <w:spacing w:val="0"/>
          <w:sz w:val="24"/>
          <w:szCs w:val="24"/>
          <w:highlight w:val="none"/>
          <w:shd w:val="clear" w:fill="FFFFFF"/>
          <w:vertAlign w:val="baseline"/>
        </w:rPr>
        <w:t>采购项目</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二次</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的潜在供应商应在</w:t>
      </w:r>
      <w:r>
        <w:rPr>
          <w:rFonts w:hint="eastAsia" w:cs="宋体"/>
          <w:i w:val="0"/>
          <w:iCs w:val="0"/>
          <w:caps w:val="0"/>
          <w:color w:val="333333"/>
          <w:spacing w:val="0"/>
          <w:sz w:val="24"/>
          <w:szCs w:val="24"/>
          <w:highlight w:val="none"/>
          <w:shd w:val="clear" w:fill="FFFFFF"/>
          <w:vertAlign w:val="baseline"/>
          <w:lang w:eastAsia="zh-CN"/>
        </w:rPr>
        <w:t>陕西省西安市未央区凤城六路银池广场</w:t>
      </w:r>
      <w:r>
        <w:rPr>
          <w:rFonts w:hint="eastAsia" w:cs="宋体"/>
          <w:i w:val="0"/>
          <w:iCs w:val="0"/>
          <w:caps w:val="0"/>
          <w:color w:val="333333"/>
          <w:spacing w:val="0"/>
          <w:sz w:val="24"/>
          <w:szCs w:val="24"/>
          <w:highlight w:val="none"/>
          <w:shd w:val="clear" w:fill="FFFFFF"/>
          <w:vertAlign w:val="baseline"/>
          <w:lang w:val="en-US" w:eastAsia="zh-CN"/>
        </w:rPr>
        <w:t>21楼04室</w:t>
      </w:r>
      <w:r>
        <w:rPr>
          <w:rFonts w:hint="eastAsia" w:ascii="宋体" w:hAnsi="宋体" w:eastAsia="宋体" w:cs="宋体"/>
          <w:i w:val="0"/>
          <w:iCs w:val="0"/>
          <w:caps w:val="0"/>
          <w:color w:val="333333"/>
          <w:spacing w:val="0"/>
          <w:sz w:val="24"/>
          <w:szCs w:val="24"/>
          <w:highlight w:val="none"/>
          <w:shd w:val="clear" w:fill="FFFFFF"/>
          <w:vertAlign w:val="baseline"/>
        </w:rPr>
        <w:t>获取采购文件，并于2022年</w:t>
      </w:r>
      <w:r>
        <w:rPr>
          <w:rFonts w:hint="eastAsia" w:cs="宋体"/>
          <w:i w:val="0"/>
          <w:iCs w:val="0"/>
          <w:caps w:val="0"/>
          <w:color w:val="333333"/>
          <w:spacing w:val="0"/>
          <w:sz w:val="24"/>
          <w:szCs w:val="24"/>
          <w:highlight w:val="none"/>
          <w:shd w:val="clear" w:fill="FFFFFF"/>
          <w:vertAlign w:val="baseline"/>
          <w:lang w:val="en-US" w:eastAsia="zh-CN"/>
        </w:rPr>
        <w:t>10月21</w:t>
      </w:r>
      <w:r>
        <w:rPr>
          <w:rFonts w:hint="eastAsia" w:ascii="宋体" w:hAnsi="宋体" w:eastAsia="宋体" w:cs="宋体"/>
          <w:i w:val="0"/>
          <w:iCs w:val="0"/>
          <w:caps w:val="0"/>
          <w:color w:val="333333"/>
          <w:spacing w:val="0"/>
          <w:sz w:val="24"/>
          <w:szCs w:val="24"/>
          <w:highlight w:val="none"/>
          <w:shd w:val="clear" w:fill="FFFFFF"/>
          <w:vertAlign w:val="baseline"/>
        </w:rPr>
        <w:t>日</w:t>
      </w:r>
      <w:r>
        <w:rPr>
          <w:rFonts w:hint="eastAsia" w:cs="宋体"/>
          <w:i w:val="0"/>
          <w:iCs w:val="0"/>
          <w:caps w:val="0"/>
          <w:color w:val="333333"/>
          <w:spacing w:val="0"/>
          <w:sz w:val="24"/>
          <w:szCs w:val="24"/>
          <w:highlight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shd w:val="clear" w:fill="FFFFFF"/>
          <w:vertAlign w:val="baseline"/>
        </w:rPr>
        <w:t>时00分（北京时间）前提交响应文件。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一、项目基本情况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项目编号：</w:t>
      </w:r>
      <w:r>
        <w:rPr>
          <w:rFonts w:hint="eastAsia" w:asciiTheme="minorEastAsia" w:hAnsiTheme="minorEastAsia" w:eastAsiaTheme="minorEastAsia" w:cstheme="minorEastAsia"/>
          <w:highlight w:val="none"/>
          <w:shd w:val="clear" w:color="auto" w:fill="FFFFFF"/>
          <w:lang w:eastAsia="zh-CN"/>
        </w:rPr>
        <w:t>QH2022-CS-013</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项目名称：</w:t>
      </w:r>
      <w:r>
        <w:rPr>
          <w:rFonts w:hint="eastAsia" w:cs="宋体"/>
          <w:i w:val="0"/>
          <w:iCs w:val="0"/>
          <w:caps w:val="0"/>
          <w:color w:val="333333"/>
          <w:spacing w:val="0"/>
          <w:sz w:val="24"/>
          <w:szCs w:val="24"/>
          <w:highlight w:val="none"/>
          <w:shd w:val="clear" w:fill="FFFFFF"/>
          <w:vertAlign w:val="baseline"/>
          <w:lang w:eastAsia="zh-CN"/>
        </w:rPr>
        <w:t>宜君县2022年残疾人托养和照护服务项目（</w:t>
      </w:r>
      <w:r>
        <w:rPr>
          <w:rFonts w:hint="eastAsia" w:cs="宋体"/>
          <w:i w:val="0"/>
          <w:iCs w:val="0"/>
          <w:caps w:val="0"/>
          <w:color w:val="333333"/>
          <w:spacing w:val="0"/>
          <w:sz w:val="24"/>
          <w:szCs w:val="24"/>
          <w:highlight w:val="none"/>
          <w:shd w:val="clear" w:fill="FFFFFF"/>
          <w:vertAlign w:val="baseline"/>
          <w:lang w:val="en-US" w:eastAsia="zh-CN"/>
        </w:rPr>
        <w:t>二次</w:t>
      </w:r>
      <w:r>
        <w:rPr>
          <w:rFonts w:hint="eastAsia" w:cs="宋体"/>
          <w:i w:val="0"/>
          <w:iCs w:val="0"/>
          <w:caps w:val="0"/>
          <w:color w:val="333333"/>
          <w:spacing w:val="0"/>
          <w:sz w:val="24"/>
          <w:szCs w:val="24"/>
          <w:highlight w:val="none"/>
          <w:shd w:val="clear" w:fill="FFFFFF"/>
          <w:vertAlign w:val="baseline"/>
          <w:lang w:eastAsia="zh-CN"/>
        </w:rPr>
        <w:t xml:space="preserve">）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采购方式：竞争性磋商</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预算金额：630,000.00元</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采购需求：</w:t>
      </w:r>
    </w:p>
    <w:tbl>
      <w:tblPr>
        <w:tblStyle w:val="2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19"/>
        <w:gridCol w:w="1744"/>
        <w:gridCol w:w="2109"/>
        <w:gridCol w:w="1945"/>
        <w:gridCol w:w="1832"/>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4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合同包号</w:t>
            </w:r>
          </w:p>
        </w:tc>
        <w:tc>
          <w:tcPr>
            <w:tcW w:w="9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合同包名称</w:t>
            </w:r>
          </w:p>
        </w:tc>
        <w:tc>
          <w:tcPr>
            <w:tcW w:w="11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技术规格、参数及要求</w:t>
            </w:r>
          </w:p>
        </w:tc>
        <w:tc>
          <w:tcPr>
            <w:tcW w:w="10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预算金额（元）</w:t>
            </w:r>
          </w:p>
        </w:tc>
        <w:tc>
          <w:tcPr>
            <w:tcW w:w="9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highlight w:val="none"/>
              </w:rPr>
            </w:pPr>
            <w:r>
              <w:rPr>
                <w:rFonts w:hint="eastAsia" w:hAnsi="宋体" w:cs="宋体"/>
                <w:b/>
                <w:bCs/>
                <w:kern w:val="0"/>
                <w:sz w:val="24"/>
                <w:szCs w:val="24"/>
                <w:highlight w:val="none"/>
                <w:lang w:val="en-US" w:eastAsia="zh-CN" w:bidi="ar"/>
              </w:rPr>
              <w:t>是否接受联合体</w:t>
            </w:r>
          </w:p>
        </w:tc>
        <w:tc>
          <w:tcPr>
            <w:tcW w:w="5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highlight w:val="none"/>
              </w:rPr>
            </w:pPr>
            <w:r>
              <w:rPr>
                <w:rFonts w:hint="eastAsia" w:hAnsi="宋体" w:cs="宋体"/>
                <w:b/>
                <w:bCs/>
                <w:kern w:val="0"/>
                <w:sz w:val="24"/>
                <w:szCs w:val="24"/>
                <w:highlight w:val="none"/>
                <w:lang w:val="en-US" w:eastAsia="zh-CN" w:bidi="ar"/>
              </w:rPr>
              <w:t>合同履行期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default"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1-1</w:t>
            </w:r>
          </w:p>
        </w:tc>
        <w:tc>
          <w:tcPr>
            <w:tcW w:w="9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寄宿托养</w:t>
            </w:r>
          </w:p>
        </w:tc>
        <w:tc>
          <w:tcPr>
            <w:tcW w:w="11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详见采购文件</w:t>
            </w:r>
          </w:p>
        </w:tc>
        <w:tc>
          <w:tcPr>
            <w:tcW w:w="10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325,000.00</w:t>
            </w:r>
          </w:p>
        </w:tc>
        <w:tc>
          <w:tcPr>
            <w:tcW w:w="9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default"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否</w:t>
            </w:r>
          </w:p>
        </w:tc>
        <w:tc>
          <w:tcPr>
            <w:tcW w:w="5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highlight w:val="none"/>
                <w:lang w:eastAsia="zh-CN"/>
              </w:rPr>
            </w:pPr>
            <w:r>
              <w:rPr>
                <w:rFonts w:hint="eastAsia" w:hAnsi="宋体" w:cs="宋体"/>
                <w:sz w:val="24"/>
                <w:szCs w:val="24"/>
                <w:highlight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default"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2-1</w:t>
            </w:r>
          </w:p>
        </w:tc>
        <w:tc>
          <w:tcPr>
            <w:tcW w:w="9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日常照料</w:t>
            </w:r>
          </w:p>
        </w:tc>
        <w:tc>
          <w:tcPr>
            <w:tcW w:w="11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详见采购文件</w:t>
            </w:r>
          </w:p>
        </w:tc>
        <w:tc>
          <w:tcPr>
            <w:tcW w:w="10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135,000.00</w:t>
            </w:r>
          </w:p>
        </w:tc>
        <w:tc>
          <w:tcPr>
            <w:tcW w:w="9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否</w:t>
            </w:r>
          </w:p>
        </w:tc>
        <w:tc>
          <w:tcPr>
            <w:tcW w:w="5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hAnsi="宋体" w:cs="宋体"/>
                <w:kern w:val="0"/>
                <w:sz w:val="24"/>
                <w:szCs w:val="24"/>
                <w:highlight w:val="none"/>
                <w:lang w:val="en-US" w:eastAsia="zh-CN" w:bidi="ar"/>
              </w:rPr>
            </w:pPr>
            <w:r>
              <w:rPr>
                <w:rFonts w:hint="eastAsia" w:hAnsi="宋体" w:cs="宋体"/>
                <w:kern w:val="0"/>
                <w:sz w:val="24"/>
                <w:szCs w:val="24"/>
                <w:highlight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default"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3-1</w:t>
            </w:r>
          </w:p>
        </w:tc>
        <w:tc>
          <w:tcPr>
            <w:tcW w:w="9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居家托养</w:t>
            </w:r>
          </w:p>
        </w:tc>
        <w:tc>
          <w:tcPr>
            <w:tcW w:w="11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详见采购文件</w:t>
            </w:r>
          </w:p>
        </w:tc>
        <w:tc>
          <w:tcPr>
            <w:tcW w:w="10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default"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170,000</w:t>
            </w:r>
            <w:r>
              <w:rPr>
                <w:rFonts w:hint="eastAsia" w:hAnsi="宋体" w:cs="宋体"/>
                <w:i w:val="0"/>
                <w:iCs w:val="0"/>
                <w:caps w:val="0"/>
                <w:color w:val="333333"/>
                <w:spacing w:val="0"/>
                <w:sz w:val="24"/>
                <w:szCs w:val="24"/>
                <w:highlight w:val="none"/>
                <w:shd w:val="clear" w:fill="FFFFFF"/>
                <w:vertAlign w:val="baseline"/>
                <w:lang w:val="en-US" w:eastAsia="zh-CN" w:bidi="ar-SA"/>
              </w:rPr>
              <w:t>.00</w:t>
            </w:r>
          </w:p>
        </w:tc>
        <w:tc>
          <w:tcPr>
            <w:tcW w:w="9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88"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否</w:t>
            </w:r>
          </w:p>
        </w:tc>
        <w:tc>
          <w:tcPr>
            <w:tcW w:w="5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hAnsi="宋体" w:cs="宋体"/>
                <w:kern w:val="0"/>
                <w:sz w:val="24"/>
                <w:szCs w:val="24"/>
                <w:highlight w:val="none"/>
                <w:lang w:val="en-US" w:eastAsia="zh-CN" w:bidi="ar"/>
              </w:rPr>
            </w:pPr>
            <w:r>
              <w:rPr>
                <w:rFonts w:hint="eastAsia" w:hAnsi="宋体" w:cs="宋体"/>
                <w:kern w:val="0"/>
                <w:sz w:val="24"/>
                <w:szCs w:val="24"/>
                <w:highlight w:val="none"/>
                <w:lang w:val="en-US" w:eastAsia="zh-CN" w:bidi="ar"/>
              </w:rPr>
              <w:t>无</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二、申请人的资格要求：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1.满足《中华人民共和国政府釆购法》第二十二条规定;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2.落实政府采购政策需满足的资格要求：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寄宿托养</w:t>
      </w:r>
      <w:r>
        <w:rPr>
          <w:rFonts w:hint="eastAsia" w:ascii="宋体" w:hAnsi="宋体" w:eastAsia="宋体" w:cs="宋体"/>
          <w:i w:val="0"/>
          <w:iCs w:val="0"/>
          <w:caps w:val="0"/>
          <w:color w:val="333333"/>
          <w:spacing w:val="0"/>
          <w:sz w:val="24"/>
          <w:szCs w:val="24"/>
          <w:highlight w:val="none"/>
          <w:shd w:val="clear" w:fill="FFFFFF"/>
          <w:vertAlign w:val="baseline"/>
        </w:rPr>
        <w:t>)落实政府采购政策需满足的资格要求如下:</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1）财政部、国家发展改革委关于印发《节能产品政府采购实施意见》的通知（财库〔2004〕185号）；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2）财政部、国家环保总局联合印发《关于环境标志产品政府采购实施的意见》（财库〔2006〕90号）；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3）国务院办公厅《关于建立政府强制采购节能产品制度的通知》（国办发〔2007〕51号）；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4）关于印发《政府采购促进中小企业发展管理办法》的通知（财库〔2020〕46号）；《财政部关于进一步加大政府采购支持中小企业力度的通知》（财库〔2022〕19号）；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5）财政部、司法部《关于政府采购支持监狱企业发展有关问题的通知》（财库〔2014〕68号）；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6）《财政部关于在政府采购活动中查询及使用信用记录有关问题的通知》（财库〔2016〕125 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7）财政部、民政部、中国残疾人联合会《关于促进残疾人就业政府采购政策的通知》（财库〔2017〕141号）；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8）财政部、发展改革委、生态环境部、市场监管总局《关于调整优化节能产品、环境标志产品政府采购执行机制的通知》（财库〔2019〕9号）；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9）财政部、国务院扶贫办《关于运用政府采购政策支持脱贫攻坚的通知》（财库〔2019〕27号）；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10）《陕西省中小企业政府采购信用融资办法》（陕财办采〔2018〕23号）；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11）需落实的其他政府采购相关政策。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w:t>
      </w:r>
      <w:r>
        <w:rPr>
          <w:rFonts w:hint="eastAsia" w:cs="宋体"/>
          <w:i w:val="0"/>
          <w:iCs w:val="0"/>
          <w:caps w:val="0"/>
          <w:color w:val="333333"/>
          <w:spacing w:val="0"/>
          <w:sz w:val="24"/>
          <w:szCs w:val="24"/>
          <w:highlight w:val="none"/>
          <w:shd w:val="clear" w:fill="FFFFFF"/>
          <w:vertAlign w:val="baseline"/>
          <w:lang w:val="en-US" w:eastAsia="zh-CN"/>
        </w:rPr>
        <w:t>2</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日常照料</w:t>
      </w:r>
      <w:r>
        <w:rPr>
          <w:rFonts w:hint="eastAsia" w:ascii="宋体" w:hAnsi="宋体" w:eastAsia="宋体" w:cs="宋体"/>
          <w:i w:val="0"/>
          <w:iCs w:val="0"/>
          <w:caps w:val="0"/>
          <w:color w:val="333333"/>
          <w:spacing w:val="0"/>
          <w:sz w:val="24"/>
          <w:szCs w:val="24"/>
          <w:highlight w:val="none"/>
          <w:shd w:val="clear" w:fill="FFFFFF"/>
          <w:vertAlign w:val="baseline"/>
        </w:rPr>
        <w:t>)落实政府采购政策需满足的资格要求如下:</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1）财政部、国家发展改革委关于印发《节能产品政府采购实施意见》的通知（财库〔2004〕185号）；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2）财政部、国家环保总局联合印发《关于环境标志产品政府采购实施的意见》（财库〔2006〕90号）；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3）国务院办公厅《关于建立政府强制采购节能产品制度的通知》（国办发〔2007〕51号）；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4）关于印发《政府采购促进中小企业发展管理办法》的通知（财库〔2020〕46号）；《财政部关于进一步加大政府采购支持中小企业力度的通知》（财库〔2022〕19号）；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5）财政部、司法部《关于政府采购支持监狱企业发展有关问题的通知》（财库〔2014〕68号）；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6）《财政部关于在政府采购活动中查询及使用信用记录有关问题的通知》（财库〔2016〕125号）；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7）财政部、民政部、中国残疾人联合会《关于促进残疾人就业政府采购政策的通知》（财库〔2017〕141号）；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8）财政部、发展改革委、生态环境部、市场监管总局《关于调整优化节能产品、环境标志产品政府采购执行机制的通知》（财库〔2019〕9号）；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9）财政部、国务院扶贫办《关于运用政府采购政策支持脱贫攻坚的通知》（财库〔2019〕27号）；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10）《陕西省中小企业政府采购信用融资办法》（陕财办采〔2018〕23号）；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11）需落实的其他政府采购相关政策。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居家托养</w:t>
      </w:r>
      <w:r>
        <w:rPr>
          <w:rFonts w:hint="eastAsia" w:ascii="宋体" w:hAnsi="宋体" w:eastAsia="宋体" w:cs="宋体"/>
          <w:i w:val="0"/>
          <w:iCs w:val="0"/>
          <w:caps w:val="0"/>
          <w:color w:val="333333"/>
          <w:spacing w:val="0"/>
          <w:sz w:val="24"/>
          <w:szCs w:val="24"/>
          <w:highlight w:val="none"/>
          <w:shd w:val="clear" w:fill="FFFFFF"/>
          <w:vertAlign w:val="baseline"/>
        </w:rPr>
        <w:t>)落实政府采购政策需满足的资格要求如下:</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1）财政部、国家发展改革委关于印发《节能产品政府采购实施意见》的通知（财库〔2004〕185号）；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2）财政部、国家环保总局联合印发《关于环境标志产品政府采购实施的意见》（财库〔2006〕90号）；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3）国务院办公厅《关于建立政府强制采购节能产品制度的通知》（国办发〔2007〕51号）；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4）关于印发《政府采购促进中小企业发展管理办法》的通知（财库〔2020〕46号）；《财政部关于进一步加大政府采购支持中小企业力度的通知》（财库〔2022〕19号）；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5）财政部、司法部《关于政府采购支持监狱企业发展有关问题的通知》（财库〔2014〕68号）；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6）《财政部关于在政府采购活动中查询及使用信用记录有关问题的通知》（财库〔2016〕125号）；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7）财政部、民政部、中国残疾人联合会《关于促进残疾人就业政府采购政策的通知》（财库〔2017〕141号）；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8）财政部、发展改革委、生态环境部、市场监管总局《关于调整优化节能产品、环境标志产品政府采购执行机制的通知》（财库〔2019〕9号）；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9）财政部、国务院扶贫办《关于运用政府采购政策支持脱贫攻坚的通知》（财库〔2019〕27号）；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10）《陕西省中小企业政府采购信用融资办法》（陕财办采〔2018〕23号）；</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sz w:val="24"/>
          <w:szCs w:val="24"/>
          <w:highlight w:val="none"/>
        </w:rPr>
        <w:t>11）需落实的其他政府采购相关政策。</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480" w:leftChars="0" w:right="0" w:rightChars="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3.本项目的特定资格要求：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寄宿托养</w:t>
      </w:r>
      <w:r>
        <w:rPr>
          <w:rFonts w:hint="eastAsia" w:ascii="宋体" w:hAnsi="宋体" w:eastAsia="宋体" w:cs="宋体"/>
          <w:i w:val="0"/>
          <w:iCs w:val="0"/>
          <w:caps w:val="0"/>
          <w:color w:val="333333"/>
          <w:spacing w:val="0"/>
          <w:sz w:val="24"/>
          <w:szCs w:val="24"/>
          <w:highlight w:val="none"/>
          <w:shd w:val="clear" w:fill="FFFFFF"/>
          <w:vertAlign w:val="baseline"/>
        </w:rPr>
        <w:t>)特定资格要求如下: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宋体" w:hAnsi="宋体" w:eastAsia="宋体" w:cs="宋体"/>
          <w:sz w:val="24"/>
          <w:szCs w:val="24"/>
          <w:highlight w:val="none"/>
        </w:rPr>
        <w:t xml:space="preserve">提供合格有效的法人或者其他组织的营业执照等证明文件，自然人的身份证明；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baseline"/>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提供法定代表人授权书（附法定代表人、被授权人身份证复印件）及被授权人身份证原件（法定代表人直接参加投标，须提供法定代表人身份证明及身份证原件）</w:t>
      </w:r>
      <w:r>
        <w:rPr>
          <w:rFonts w:hint="eastAsia" w:hAnsi="宋体" w:cs="宋体"/>
          <w:sz w:val="24"/>
          <w:szCs w:val="24"/>
          <w:highlight w:val="none"/>
          <w:lang w:eastAsia="zh-CN"/>
        </w:rPr>
        <w:t>；</w:t>
      </w:r>
      <w:r>
        <w:rPr>
          <w:rFonts w:hint="eastAsia" w:ascii="宋体" w:hAnsi="宋体" w:eastAsia="宋体" w:cs="宋体"/>
          <w:sz w:val="24"/>
          <w:szCs w:val="24"/>
          <w:highlight w:val="none"/>
        </w:rPr>
        <w:t xml:space="preserve">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baseline"/>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财务状况：提供20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或202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宋体" w:hAnsi="宋体" w:eastAsia="宋体" w:cs="宋体"/>
          <w:sz w:val="24"/>
          <w:szCs w:val="24"/>
          <w:highlight w:val="none"/>
        </w:rPr>
        <w:t>税收缴纳证明：提供磋商截止日前近一年内任意一个</w:t>
      </w:r>
      <w:r>
        <w:rPr>
          <w:rFonts w:hint="eastAsia" w:asciiTheme="minorEastAsia" w:hAnsiTheme="minorEastAsia" w:eastAsiaTheme="minorEastAsia" w:cstheme="minorEastAsia"/>
          <w:highlight w:val="none"/>
          <w:shd w:val="clear" w:color="auto" w:fill="FFFFFF"/>
        </w:rPr>
        <w:t>月的纳税证明或完税证明（任意税种），依法免税的单位应提供相关证明材料；</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9</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10</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11</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本项目专门面向中小微企业采购。</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Style w:val="29"/>
          <w:rFonts w:hint="eastAsia" w:ascii="宋体" w:hAnsi="宋体" w:eastAsia="宋体" w:cs="宋体"/>
          <w:b/>
          <w:bCs/>
          <w:i w:val="0"/>
          <w:iCs w:val="0"/>
          <w:caps w:val="0"/>
          <w:color w:val="333333"/>
          <w:spacing w:val="0"/>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合同包</w:t>
      </w:r>
      <w:r>
        <w:rPr>
          <w:rFonts w:hint="eastAsia" w:cs="宋体"/>
          <w:i w:val="0"/>
          <w:iCs w:val="0"/>
          <w:caps w:val="0"/>
          <w:color w:val="333333"/>
          <w:spacing w:val="0"/>
          <w:sz w:val="24"/>
          <w:szCs w:val="24"/>
          <w:highlight w:val="none"/>
          <w:shd w:val="clear" w:fill="FFFFFF"/>
          <w:vertAlign w:val="baseline"/>
          <w:lang w:val="en-US" w:eastAsia="zh-CN"/>
        </w:rPr>
        <w:t>2</w:t>
      </w:r>
      <w:r>
        <w:rPr>
          <w:rFonts w:hint="eastAsia" w:ascii="宋体" w:hAnsi="宋体" w:eastAsia="宋体" w:cs="宋体"/>
          <w:i w:val="0"/>
          <w:iCs w:val="0"/>
          <w:caps w:val="0"/>
          <w:color w:val="333333"/>
          <w:spacing w:val="0"/>
          <w:sz w:val="24"/>
          <w:szCs w:val="24"/>
          <w:highlight w:val="none"/>
          <w:shd w:val="clear" w:fill="FFFFFF"/>
          <w:vertAlign w:val="baseline"/>
        </w:rPr>
        <w:t>(日常照料)特定资格要求如下: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（1）提供合格有效的法人或者其他组织的营业执照等证明文件，自然人的身份证明；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（2）提供法定代表人授权书（附法定代表人、被授权人身份证复印件）及被授权人身份证原件（法定代表人直接参加投标，须提供法定代表人身份证明及身份证原件）；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（3）财务状况：提供2020或2021年度经审计的财务审计报告（成立时间至提交磋商响应文件截止时间不足一年的可提供成立后任意时段的资产负债表）或开标时间前六个月内银行出具的资信证明；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（4）税收缴纳证明：提供磋商截止日前近一年内任意一个月的纳税证明或完税证明（任意税种），依法免税的单位应提供相关证明材料；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（6）供应商应在磋商文件发售期至投标截止时间前通过“信用中国”网站(www.creditchina.gov.cn)、中国政府采购网(www.ccgp.gov.cn)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（7）参加政府采购活动前3年内，在经营活动中没有重大违法记录的书面声明；（8）提供具有履行合同所必需的设备和专业技术能力的书面承诺；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（9）提供投标保证金转款凭证或担保机构出具的保函。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（10）本项目不接受联合体磋商。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（11）本项目专门面向中小微企业采购。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合同包3(居家托养)特定资格要求如下: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（1）提供合格有效的法人或者其他组织的营业执照等证明文件，自然人的身份证明；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（2）提供法定代表人授权书（附法定代表人、被授权人身份证复印件）及被授权人身份证原件（法定代表人直接参加投标，须提供法定代表人身份证明及身份证原件）；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（3）财务状况：提供2020或2021年度经审计的财务审计报告（成立时间至提交磋商响应文件截止时间不足一年的可提供成立后任意时段的资产负债表）或开标时间前六个月内银行出具的资信证明；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（4）税收缴纳证明：提供磋商截止日前近一年内任意一个月的纳税证明或完税证明（任意税种），依法免税的单位应提供相关证明材料；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（6）供应商应在磋商文件发售期至投标截止时间前通过“信用中国”网站(www.creditchina.gov.cn)、中国政府采购网(www.ccgp.gov.cn)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（7）参加政府采购活动前3年内，在经营活动中没有重大违法记录的书面声明；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（9）提供投标保证金转款凭证或担保机构出具的保函。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（10）本项目不接受联合体磋商。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Style w:val="29"/>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Theme="minorEastAsia" w:hAnsiTheme="minorEastAsia" w:eastAsiaTheme="minorEastAsia" w:cstheme="minorEastAsia"/>
          <w:highlight w:val="none"/>
          <w:shd w:val="clear" w:color="auto" w:fill="FFFFFF"/>
          <w:lang w:val="en-US" w:eastAsia="zh-CN"/>
        </w:rPr>
        <w:t>（11）本项目专门面向中小微企业采购。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rightChars="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三、获取采购文件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w:t>
      </w:r>
      <w:r>
        <w:rPr>
          <w:rFonts w:hint="eastAsia" w:cs="宋体"/>
          <w:i w:val="0"/>
          <w:iCs w:val="0"/>
          <w:caps w:val="0"/>
          <w:color w:val="333333"/>
          <w:spacing w:val="0"/>
          <w:sz w:val="24"/>
          <w:szCs w:val="24"/>
          <w:highlight w:val="none"/>
          <w:shd w:val="clear" w:fill="FFFFFF"/>
          <w:vertAlign w:val="baseline"/>
          <w:lang w:val="en-US" w:eastAsia="zh-CN"/>
        </w:rPr>
        <w:t>10月11</w:t>
      </w:r>
      <w:r>
        <w:rPr>
          <w:rFonts w:hint="eastAsia" w:ascii="宋体" w:hAnsi="宋体" w:eastAsia="宋体" w:cs="宋体"/>
          <w:i w:val="0"/>
          <w:iCs w:val="0"/>
          <w:caps w:val="0"/>
          <w:color w:val="333333"/>
          <w:spacing w:val="0"/>
          <w:sz w:val="24"/>
          <w:szCs w:val="24"/>
          <w:highlight w:val="none"/>
          <w:shd w:val="clear" w:fill="FFFFFF"/>
          <w:vertAlign w:val="baseline"/>
        </w:rPr>
        <w:t>日至2022年</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17</w:t>
      </w:r>
      <w:r>
        <w:rPr>
          <w:rFonts w:hint="eastAsia" w:ascii="宋体" w:hAnsi="宋体" w:eastAsia="宋体" w:cs="宋体"/>
          <w:i w:val="0"/>
          <w:iCs w:val="0"/>
          <w:caps w:val="0"/>
          <w:color w:val="333333"/>
          <w:spacing w:val="0"/>
          <w:sz w:val="24"/>
          <w:szCs w:val="24"/>
          <w:highlight w:val="none"/>
          <w:shd w:val="clear" w:fill="FFFFFF"/>
          <w:vertAlign w:val="baseline"/>
        </w:rPr>
        <w:t>日，每天上午09:00:00至12:00:00，下午1</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0:00至17:00:00（北京时间,法定节假日除外）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rPr>
        <w:t>地点：</w:t>
      </w:r>
      <w:r>
        <w:rPr>
          <w:rFonts w:hint="eastAsia" w:cs="宋体"/>
          <w:i w:val="0"/>
          <w:iCs w:val="0"/>
          <w:caps w:val="0"/>
          <w:color w:val="333333"/>
          <w:spacing w:val="0"/>
          <w:sz w:val="24"/>
          <w:szCs w:val="24"/>
          <w:highlight w:val="none"/>
          <w:shd w:val="clear" w:fill="FFFFFF"/>
          <w:vertAlign w:val="baseline"/>
          <w:lang w:eastAsia="zh-CN"/>
        </w:rPr>
        <w:t>陕西省西安市未央区凤城六路银池广场</w:t>
      </w:r>
      <w:r>
        <w:rPr>
          <w:rFonts w:hint="eastAsia" w:cs="宋体"/>
          <w:i w:val="0"/>
          <w:iCs w:val="0"/>
          <w:caps w:val="0"/>
          <w:color w:val="333333"/>
          <w:spacing w:val="0"/>
          <w:sz w:val="24"/>
          <w:szCs w:val="24"/>
          <w:highlight w:val="none"/>
          <w:shd w:val="clear" w:fill="FFFFFF"/>
          <w:vertAlign w:val="baseline"/>
          <w:lang w:val="en-US" w:eastAsia="zh-CN"/>
        </w:rPr>
        <w:t>21楼04室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方式：现场获取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售价：</w:t>
      </w:r>
      <w:r>
        <w:rPr>
          <w:rFonts w:hint="eastAsia" w:cs="宋体"/>
          <w:i w:val="0"/>
          <w:iCs w:val="0"/>
          <w:caps w:val="0"/>
          <w:color w:val="333333"/>
          <w:spacing w:val="0"/>
          <w:sz w:val="24"/>
          <w:szCs w:val="24"/>
          <w:highlight w:val="none"/>
          <w:shd w:val="clear" w:fill="FFFFFF"/>
          <w:vertAlign w:val="baseline"/>
          <w:lang w:val="en-US" w:eastAsia="zh-CN"/>
        </w:rPr>
        <w:t>免费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四、响应文件提交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截止时间：2022年</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21</w:t>
      </w:r>
      <w:r>
        <w:rPr>
          <w:rFonts w:hint="eastAsia" w:ascii="宋体" w:hAnsi="宋体" w:eastAsia="宋体" w:cs="宋体"/>
          <w:i w:val="0"/>
          <w:iCs w:val="0"/>
          <w:caps w:val="0"/>
          <w:color w:val="333333"/>
          <w:spacing w:val="0"/>
          <w:sz w:val="24"/>
          <w:szCs w:val="24"/>
          <w:highlight w:val="none"/>
          <w:shd w:val="clear" w:fill="FFFFFF"/>
          <w:vertAlign w:val="baseline"/>
        </w:rPr>
        <w:t>日 1</w:t>
      </w:r>
      <w:r>
        <w:rPr>
          <w:rFonts w:hint="eastAsia" w:cs="宋体"/>
          <w:i w:val="0"/>
          <w:iCs w:val="0"/>
          <w:caps w:val="0"/>
          <w:color w:val="333333"/>
          <w:spacing w:val="0"/>
          <w:sz w:val="24"/>
          <w:szCs w:val="24"/>
          <w:highlight w:val="none"/>
          <w:shd w:val="clear" w:fill="FFFFFF"/>
          <w:vertAlign w:val="baseline"/>
          <w:lang w:val="en-US" w:eastAsia="zh-CN"/>
        </w:rPr>
        <w:t>4</w:t>
      </w:r>
      <w:r>
        <w:rPr>
          <w:rFonts w:hint="eastAsia" w:ascii="宋体" w:hAnsi="宋体" w:eastAsia="宋体" w:cs="宋体"/>
          <w:i w:val="0"/>
          <w:iCs w:val="0"/>
          <w:caps w:val="0"/>
          <w:color w:val="333333"/>
          <w:spacing w:val="0"/>
          <w:sz w:val="24"/>
          <w:szCs w:val="24"/>
          <w:highlight w:val="none"/>
          <w:shd w:val="clear" w:fill="FFFFFF"/>
          <w:vertAlign w:val="baseline"/>
        </w:rPr>
        <w:t>时00分00秒（北京时间）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w:t>
      </w:r>
      <w:r>
        <w:rPr>
          <w:rFonts w:hint="eastAsia" w:cs="宋体"/>
          <w:i w:val="0"/>
          <w:iCs w:val="0"/>
          <w:caps w:val="0"/>
          <w:color w:val="333333"/>
          <w:spacing w:val="0"/>
          <w:sz w:val="24"/>
          <w:szCs w:val="24"/>
          <w:highlight w:val="none"/>
          <w:shd w:val="clear" w:fill="FFFFFF"/>
          <w:vertAlign w:val="baseline"/>
          <w:lang w:eastAsia="zh-CN"/>
        </w:rPr>
        <w:t>陕西省西安市未央区凤城六路银池广场</w:t>
      </w:r>
      <w:r>
        <w:rPr>
          <w:rFonts w:hint="eastAsia" w:cs="宋体"/>
          <w:i w:val="0"/>
          <w:iCs w:val="0"/>
          <w:caps w:val="0"/>
          <w:color w:val="333333"/>
          <w:spacing w:val="0"/>
          <w:sz w:val="24"/>
          <w:szCs w:val="24"/>
          <w:highlight w:val="none"/>
          <w:shd w:val="clear" w:fill="FFFFFF"/>
          <w:vertAlign w:val="baseline"/>
          <w:lang w:val="en-US" w:eastAsia="zh-CN"/>
        </w:rPr>
        <w:t>21楼04室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五、开启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21</w:t>
      </w:r>
      <w:r>
        <w:rPr>
          <w:rFonts w:hint="eastAsia" w:ascii="宋体" w:hAnsi="宋体" w:eastAsia="宋体" w:cs="宋体"/>
          <w:i w:val="0"/>
          <w:iCs w:val="0"/>
          <w:caps w:val="0"/>
          <w:color w:val="333333"/>
          <w:spacing w:val="0"/>
          <w:sz w:val="24"/>
          <w:szCs w:val="24"/>
          <w:highlight w:val="none"/>
          <w:shd w:val="clear" w:fill="FFFFFF"/>
          <w:vertAlign w:val="baseline"/>
        </w:rPr>
        <w:t>日 1</w:t>
      </w:r>
      <w:r>
        <w:rPr>
          <w:rFonts w:hint="eastAsia" w:cs="宋体"/>
          <w:i w:val="0"/>
          <w:iCs w:val="0"/>
          <w:caps w:val="0"/>
          <w:color w:val="333333"/>
          <w:spacing w:val="0"/>
          <w:sz w:val="24"/>
          <w:szCs w:val="24"/>
          <w:highlight w:val="none"/>
          <w:shd w:val="clear" w:fill="FFFFFF"/>
          <w:vertAlign w:val="baseline"/>
          <w:lang w:val="en-US" w:eastAsia="zh-CN"/>
        </w:rPr>
        <w:t>4</w:t>
      </w:r>
      <w:r>
        <w:rPr>
          <w:rFonts w:hint="eastAsia" w:ascii="宋体" w:hAnsi="宋体" w:eastAsia="宋体" w:cs="宋体"/>
          <w:i w:val="0"/>
          <w:iCs w:val="0"/>
          <w:caps w:val="0"/>
          <w:color w:val="333333"/>
          <w:spacing w:val="0"/>
          <w:sz w:val="24"/>
          <w:szCs w:val="24"/>
          <w:highlight w:val="none"/>
          <w:shd w:val="clear" w:fill="FFFFFF"/>
          <w:vertAlign w:val="baseline"/>
        </w:rPr>
        <w:t>时00分00秒（北京时间）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w:t>
      </w:r>
      <w:r>
        <w:rPr>
          <w:rFonts w:hint="eastAsia" w:cs="宋体"/>
          <w:i w:val="0"/>
          <w:iCs w:val="0"/>
          <w:caps w:val="0"/>
          <w:color w:val="333333"/>
          <w:spacing w:val="0"/>
          <w:sz w:val="24"/>
          <w:szCs w:val="24"/>
          <w:highlight w:val="none"/>
          <w:shd w:val="clear" w:fill="FFFFFF"/>
          <w:vertAlign w:val="baseline"/>
          <w:lang w:eastAsia="zh-CN"/>
        </w:rPr>
        <w:t>陕西省西安市未央区凤城六路银池广场</w:t>
      </w:r>
      <w:r>
        <w:rPr>
          <w:rFonts w:hint="eastAsia" w:cs="宋体"/>
          <w:i w:val="0"/>
          <w:iCs w:val="0"/>
          <w:caps w:val="0"/>
          <w:color w:val="333333"/>
          <w:spacing w:val="0"/>
          <w:sz w:val="24"/>
          <w:szCs w:val="24"/>
          <w:highlight w:val="none"/>
          <w:shd w:val="clear" w:fill="FFFFFF"/>
          <w:vertAlign w:val="baseline"/>
          <w:lang w:val="en-US" w:eastAsia="zh-CN"/>
        </w:rPr>
        <w:t>21楼04室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六、公告期限</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自本公告发布之日起</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Style w:val="29"/>
          <w:rFonts w:hint="eastAsia" w:ascii="宋体" w:hAnsi="宋体" w:eastAsia="宋体" w:cs="宋体"/>
          <w:b/>
          <w:bCs/>
          <w:i w:val="0"/>
          <w:iCs w:val="0"/>
          <w:caps w:val="0"/>
          <w:color w:val="333333"/>
          <w:spacing w:val="0"/>
          <w:sz w:val="24"/>
          <w:szCs w:val="24"/>
          <w:highlight w:val="none"/>
          <w:shd w:val="clear" w:fill="FFFFFF"/>
          <w:vertAlign w:val="baseline"/>
        </w:rPr>
        <w:t>七、其他补充事宜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1.购买竞争性磋商文件请携带单位介绍信原件,经办人身份证原件及加盖供应商公章的复印件</w:t>
      </w:r>
      <w:r>
        <w:rPr>
          <w:rFonts w:hint="eastAsia" w:hAnsi="宋体" w:cs="宋体"/>
          <w:i w:val="0"/>
          <w:iCs w:val="0"/>
          <w:caps w:val="0"/>
          <w:color w:val="333333"/>
          <w:spacing w:val="0"/>
          <w:sz w:val="24"/>
          <w:szCs w:val="24"/>
          <w:highlight w:val="none"/>
          <w:shd w:val="clear" w:fill="FFFFFF"/>
          <w:vertAlign w:val="baseline"/>
          <w:lang w:val="en-US" w:eastAsia="zh-CN" w:bidi="ar-SA"/>
        </w:rPr>
        <w:t>（谢绝邮寄），按包提供资料</w:t>
      </w: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rightChars="0" w:firstLine="480" w:firstLineChars="200"/>
        <w:jc w:val="left"/>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pPr>
      <w:r>
        <w:rPr>
          <w:rFonts w:hint="eastAsia" w:hAnsi="宋体" w:cs="宋体"/>
          <w:i w:val="0"/>
          <w:iCs w:val="0"/>
          <w:caps w:val="0"/>
          <w:color w:val="333333"/>
          <w:spacing w:val="0"/>
          <w:sz w:val="24"/>
          <w:szCs w:val="24"/>
          <w:highlight w:val="none"/>
          <w:shd w:val="clear" w:fill="FFFFFF"/>
          <w:vertAlign w:val="baseline"/>
          <w:lang w:val="en-US" w:eastAsia="zh-CN" w:bidi="ar-SA"/>
        </w:rPr>
        <w:t>2.</w:t>
      </w:r>
      <w:r>
        <w:rPr>
          <w:rFonts w:hint="eastAsia" w:ascii="宋体" w:hAnsi="宋体" w:eastAsia="宋体" w:cs="宋体"/>
          <w:i w:val="0"/>
          <w:iCs w:val="0"/>
          <w:caps w:val="0"/>
          <w:color w:val="333333"/>
          <w:spacing w:val="0"/>
          <w:sz w:val="24"/>
          <w:szCs w:val="24"/>
          <w:highlight w:val="none"/>
          <w:shd w:val="clear" w:fill="FFFFFF"/>
          <w:vertAlign w:val="baseline"/>
          <w:lang w:val="en-US" w:eastAsia="zh-CN" w:bidi="ar-SA"/>
        </w:rPr>
        <w:t>请投标人按照陕西省财政厅关于政府采购投标人注册登记有关事项的通知中的要求，通过陕西省政府采购网（http://www.ccgp-shaanxi.gov.cn/）注册登记加入陕西省政府采购投标人库。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Style w:val="29"/>
          <w:rFonts w:hint="eastAsia" w:ascii="宋体" w:hAnsi="宋体" w:eastAsia="宋体" w:cs="宋体"/>
          <w:b/>
          <w:bCs/>
          <w:i w:val="0"/>
          <w:iCs w:val="0"/>
          <w:caps w:val="0"/>
          <w:color w:val="333333"/>
          <w:spacing w:val="0"/>
          <w:sz w:val="24"/>
          <w:szCs w:val="24"/>
          <w:highlight w:val="none"/>
          <w:shd w:val="clear" w:fill="FFFFFF"/>
          <w:vertAlign w:val="baseline"/>
          <w:lang w:val="en-US" w:eastAsia="zh-CN"/>
        </w:rPr>
      </w:pPr>
      <w:r>
        <w:rPr>
          <w:rStyle w:val="29"/>
          <w:rFonts w:hint="eastAsia" w:ascii="宋体" w:hAnsi="宋体" w:eastAsia="宋体" w:cs="宋体"/>
          <w:b/>
          <w:bCs/>
          <w:i w:val="0"/>
          <w:iCs w:val="0"/>
          <w:caps w:val="0"/>
          <w:color w:val="333333"/>
          <w:spacing w:val="0"/>
          <w:sz w:val="24"/>
          <w:szCs w:val="24"/>
          <w:highlight w:val="none"/>
          <w:shd w:val="clear" w:fill="FFFFFF"/>
          <w:vertAlign w:val="baseline"/>
          <w:lang w:val="en-US" w:eastAsia="zh-CN"/>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1.釆购人信息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名称：宜君县残疾人联合会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地址：宜君县宜阳中街县委办公楼101室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联系方式：13992982712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2.釆购代理机构信息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名称：</w:t>
      </w:r>
      <w:r>
        <w:rPr>
          <w:rFonts w:hint="eastAsia" w:cs="宋体"/>
          <w:i w:val="0"/>
          <w:iCs w:val="0"/>
          <w:caps w:val="0"/>
          <w:color w:val="333333"/>
          <w:spacing w:val="0"/>
          <w:sz w:val="24"/>
          <w:szCs w:val="24"/>
          <w:highlight w:val="none"/>
          <w:shd w:val="clear" w:fill="FFFFFF"/>
          <w:vertAlign w:val="baseline"/>
          <w:lang w:eastAsia="zh-CN"/>
        </w:rPr>
        <w:t xml:space="preserve">陕西启航项目管理咨询有限公司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地址：陕西省西安市高新区高新路25号瑞欣大厦6楼B室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联系方式：029-89182979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项目联系人：</w:t>
      </w:r>
      <w:r>
        <w:rPr>
          <w:rFonts w:hint="eastAsia" w:cs="宋体"/>
          <w:i w:val="0"/>
          <w:iCs w:val="0"/>
          <w:caps w:val="0"/>
          <w:color w:val="333333"/>
          <w:spacing w:val="0"/>
          <w:sz w:val="24"/>
          <w:szCs w:val="24"/>
          <w:highlight w:val="none"/>
          <w:shd w:val="clear" w:fill="FFFFFF"/>
          <w:vertAlign w:val="baseline"/>
          <w:lang w:eastAsia="zh-CN"/>
        </w:rPr>
        <w:t>董工</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电话：</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18821673155</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right"/>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lang w:eastAsia="zh-CN"/>
        </w:rPr>
        <w:t>陕西启航项目管理咨询有限公司</w:t>
      </w:r>
    </w:p>
    <w:p>
      <w:pPr>
        <w:pStyle w:val="24"/>
        <w:shd w:val="clear" w:color="auto" w:fill="FFFFFF"/>
        <w:spacing w:before="0" w:beforeAutospacing="0" w:after="0" w:afterAutospacing="0" w:line="480" w:lineRule="auto"/>
        <w:ind w:firstLine="420"/>
        <w:jc w:val="right"/>
        <w:rPr>
          <w:rFonts w:hint="eastAsia" w:asciiTheme="minorEastAsia" w:hAnsiTheme="minorEastAsia" w:eastAsiaTheme="minorEastAsia" w:cstheme="minorEastAsia"/>
          <w:highlight w:val="none"/>
          <w:shd w:val="clear" w:color="auto" w:fill="FFFFFF"/>
        </w:rPr>
      </w:pPr>
      <w:r>
        <w:rPr>
          <w:rFonts w:hint="eastAsia" w:ascii="宋体" w:hAnsi="宋体" w:eastAsia="宋体" w:cs="宋体"/>
          <w:i w:val="0"/>
          <w:iCs w:val="0"/>
          <w:caps w:val="0"/>
          <w:color w:val="333333"/>
          <w:spacing w:val="0"/>
          <w:sz w:val="24"/>
          <w:szCs w:val="24"/>
          <w:highlight w:val="none"/>
          <w:shd w:val="clear" w:fill="FFFFFF"/>
          <w:vertAlign w:val="baseline"/>
        </w:rPr>
        <w:t>2022年</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日</w:t>
      </w:r>
    </w:p>
    <w:p>
      <w:pPr>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br w:type="page"/>
      </w:r>
    </w:p>
    <w:p>
      <w:pPr>
        <w:rPr>
          <w:rFonts w:hAnsi="宋体" w:cs="宋体"/>
          <w:highlight w:val="none"/>
        </w:rPr>
      </w:pPr>
    </w:p>
    <w:p>
      <w:pPr>
        <w:numPr>
          <w:ilvl w:val="0"/>
          <w:numId w:val="2"/>
        </w:numPr>
        <w:spacing w:line="360" w:lineRule="auto"/>
        <w:ind w:right="119"/>
        <w:jc w:val="center"/>
        <w:outlineLvl w:val="0"/>
        <w:rPr>
          <w:rFonts w:hAnsi="宋体" w:cs="宋体"/>
          <w:b/>
          <w:bCs/>
          <w:kern w:val="2"/>
          <w:sz w:val="36"/>
          <w:szCs w:val="36"/>
          <w:highlight w:val="none"/>
        </w:rPr>
      </w:pPr>
      <w:bookmarkStart w:id="20" w:name="_Toc3334"/>
      <w:bookmarkStart w:id="21" w:name="_Toc5836"/>
      <w:r>
        <w:rPr>
          <w:rFonts w:hint="eastAsia" w:hAnsi="宋体" w:cs="宋体"/>
          <w:b/>
          <w:bCs/>
          <w:kern w:val="2"/>
          <w:sz w:val="36"/>
          <w:szCs w:val="36"/>
          <w:highlight w:val="none"/>
        </w:rPr>
        <w:t xml:space="preserve"> </w:t>
      </w:r>
      <w:bookmarkEnd w:id="16"/>
      <w:bookmarkEnd w:id="17"/>
      <w:bookmarkStart w:id="22" w:name="OLE_LINK3"/>
      <w:r>
        <w:rPr>
          <w:rFonts w:hint="eastAsia" w:hAnsi="宋体" w:cs="宋体"/>
          <w:b/>
          <w:bCs/>
          <w:kern w:val="2"/>
          <w:sz w:val="36"/>
          <w:szCs w:val="36"/>
          <w:highlight w:val="none"/>
        </w:rPr>
        <w:t>供应商须知</w:t>
      </w:r>
      <w:bookmarkEnd w:id="18"/>
      <w:bookmarkEnd w:id="19"/>
      <w:bookmarkEnd w:id="20"/>
      <w:bookmarkEnd w:id="21"/>
      <w:bookmarkEnd w:id="22"/>
      <w:bookmarkStart w:id="23" w:name="_Toc363473972"/>
      <w:bookmarkStart w:id="24" w:name="_Toc363474017"/>
      <w:bookmarkStart w:id="25" w:name="_Toc403077639"/>
      <w:bookmarkStart w:id="26" w:name="_Toc8846"/>
      <w:bookmarkStart w:id="27" w:name="_Toc3915"/>
      <w:bookmarkStart w:id="28" w:name="_Toc16830"/>
    </w:p>
    <w:p>
      <w:pPr>
        <w:spacing w:line="360" w:lineRule="auto"/>
        <w:ind w:firstLine="3534" w:firstLineChars="1100"/>
        <w:outlineLvl w:val="1"/>
        <w:rPr>
          <w:rFonts w:hAnsi="宋体" w:cs="宋体"/>
          <w:b/>
          <w:bCs/>
          <w:sz w:val="32"/>
          <w:szCs w:val="32"/>
          <w:highlight w:val="none"/>
        </w:rPr>
      </w:pPr>
      <w:r>
        <w:rPr>
          <w:rFonts w:hint="eastAsia" w:hAnsi="宋体" w:cs="宋体"/>
          <w:b/>
          <w:bCs/>
          <w:sz w:val="32"/>
          <w:szCs w:val="32"/>
          <w:highlight w:val="none"/>
        </w:rPr>
        <w:t>供应商须知前附表</w:t>
      </w:r>
    </w:p>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75"/>
        <w:gridCol w:w="945"/>
        <w:gridCol w:w="78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序号</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条款号</w:t>
            </w:r>
          </w:p>
        </w:tc>
        <w:tc>
          <w:tcPr>
            <w:tcW w:w="7834" w:type="dxa"/>
            <w:vAlign w:val="center"/>
          </w:tcPr>
          <w:p>
            <w:pPr>
              <w:spacing w:line="360" w:lineRule="auto"/>
              <w:jc w:val="center"/>
              <w:rPr>
                <w:rFonts w:hAnsi="宋体" w:cs="宋体"/>
                <w:szCs w:val="24"/>
                <w:highlight w:val="none"/>
              </w:rPr>
            </w:pPr>
            <w:r>
              <w:rPr>
                <w:rFonts w:hint="eastAsia" w:hAnsi="宋体" w:cs="宋体"/>
                <w:szCs w:val="24"/>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2.3</w:t>
            </w:r>
          </w:p>
        </w:tc>
        <w:tc>
          <w:tcPr>
            <w:tcW w:w="7834" w:type="dxa"/>
          </w:tcPr>
          <w:p>
            <w:pPr>
              <w:spacing w:line="360" w:lineRule="auto"/>
              <w:rPr>
                <w:rFonts w:hint="eastAsia" w:hAnsi="宋体" w:eastAsia="宋体" w:cs="宋体"/>
                <w:szCs w:val="24"/>
                <w:highlight w:val="none"/>
                <w:lang w:eastAsia="zh-CN"/>
              </w:rPr>
            </w:pPr>
            <w:r>
              <w:rPr>
                <w:rFonts w:hint="eastAsia" w:hAnsi="宋体" w:cs="宋体"/>
                <w:szCs w:val="24"/>
                <w:highlight w:val="none"/>
              </w:rPr>
              <w:t>采购代理机构：</w:t>
            </w:r>
            <w:r>
              <w:rPr>
                <w:rFonts w:hint="eastAsia" w:hAnsi="宋体" w:cs="宋体"/>
                <w:szCs w:val="24"/>
                <w:highlight w:val="none"/>
                <w:lang w:eastAsia="zh-CN"/>
              </w:rPr>
              <w:t>陕西启航项目管理咨询有限公司</w:t>
            </w:r>
          </w:p>
          <w:p>
            <w:pPr>
              <w:spacing w:line="360" w:lineRule="auto"/>
              <w:rPr>
                <w:rFonts w:hint="eastAsia" w:hAnsi="宋体" w:eastAsia="宋体" w:cs="宋体"/>
                <w:szCs w:val="24"/>
                <w:highlight w:val="none"/>
                <w:lang w:eastAsia="zh-CN"/>
              </w:rPr>
            </w:pPr>
            <w:r>
              <w:rPr>
                <w:rFonts w:hint="eastAsia" w:hAnsi="宋体" w:cs="宋体"/>
                <w:szCs w:val="24"/>
                <w:highlight w:val="none"/>
              </w:rPr>
              <w:t>地        址：西安市西安市高新区高新路25号瑞欣大厦6楼</w:t>
            </w:r>
            <w:r>
              <w:rPr>
                <w:rFonts w:hint="eastAsia" w:hAnsi="宋体" w:cs="宋体"/>
                <w:szCs w:val="24"/>
                <w:highlight w:val="none"/>
                <w:lang w:val="en-US" w:eastAsia="zh-CN"/>
              </w:rPr>
              <w:t>B</w:t>
            </w:r>
          </w:p>
          <w:p>
            <w:pPr>
              <w:spacing w:line="360" w:lineRule="auto"/>
              <w:rPr>
                <w:rFonts w:hAnsi="宋体" w:cs="宋体"/>
                <w:szCs w:val="24"/>
                <w:highlight w:val="none"/>
              </w:rPr>
            </w:pPr>
            <w:r>
              <w:rPr>
                <w:rFonts w:hint="eastAsia" w:hAnsi="宋体" w:cs="宋体"/>
                <w:szCs w:val="24"/>
                <w:highlight w:val="none"/>
              </w:rPr>
              <w:t>邮        编：710065</w:t>
            </w:r>
          </w:p>
          <w:p>
            <w:pPr>
              <w:spacing w:line="360" w:lineRule="auto"/>
              <w:rPr>
                <w:rFonts w:hint="eastAsia" w:hAnsi="宋体" w:eastAsia="宋体" w:cs="宋体"/>
                <w:szCs w:val="24"/>
                <w:highlight w:val="none"/>
                <w:lang w:eastAsia="zh-CN"/>
              </w:rPr>
            </w:pPr>
            <w:r>
              <w:rPr>
                <w:rFonts w:hint="eastAsia" w:hAnsi="宋体" w:cs="宋体"/>
                <w:szCs w:val="24"/>
                <w:highlight w:val="none"/>
              </w:rPr>
              <w:t>电        话：</w:t>
            </w:r>
            <w:r>
              <w:rPr>
                <w:rFonts w:hint="eastAsia" w:hAnsi="宋体" w:cs="宋体"/>
                <w:szCs w:val="24"/>
                <w:highlight w:val="none"/>
                <w:lang w:eastAsia="zh-CN"/>
              </w:rPr>
              <w:t>029-89182979</w:t>
            </w:r>
          </w:p>
          <w:p>
            <w:pPr>
              <w:spacing w:line="360" w:lineRule="auto"/>
              <w:rPr>
                <w:rFonts w:hAnsi="宋体" w:cs="宋体"/>
                <w:szCs w:val="24"/>
                <w:highlight w:val="none"/>
              </w:rPr>
            </w:pPr>
            <w:r>
              <w:rPr>
                <w:rFonts w:hint="eastAsia" w:hAnsi="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3.5</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3.7</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项目性质：</w:t>
            </w:r>
            <w:r>
              <w:rPr>
                <w:rFonts w:hint="eastAsia" w:asciiTheme="minorEastAsia" w:hAnsiTheme="minorEastAsia" w:eastAsiaTheme="minorEastAsia" w:cstheme="minorEastAsia"/>
                <w:highlight w:val="none"/>
                <w:shd w:val="clear" w:color="auto" w:fill="FFFFFF"/>
                <w:lang w:val="en-US" w:eastAsia="zh-CN"/>
              </w:rPr>
              <w:t>专门面向中小微企业采购</w:t>
            </w:r>
            <w:r>
              <w:rPr>
                <w:rFonts w:hint="eastAsia" w:hAnsi="宋体" w:cs="宋体"/>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9.2</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9.3</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本次磋商的最小单元为“</w:t>
            </w:r>
            <w:r>
              <w:rPr>
                <w:rFonts w:hint="eastAsia" w:hAnsi="宋体" w:cs="宋体"/>
                <w:szCs w:val="24"/>
                <w:highlight w:val="none"/>
                <w:lang w:eastAsia="zh-CN"/>
              </w:rPr>
              <w:t>包</w:t>
            </w:r>
            <w:r>
              <w:rPr>
                <w:rFonts w:hint="eastAsia" w:hAnsi="宋体" w:cs="宋体"/>
                <w:szCs w:val="24"/>
                <w:highlight w:val="none"/>
              </w:rPr>
              <w:t>”，供应商可根据自身的资质情况和经营范围对本次项目进行磋商，不得将其子目再行分解或只对本次项目中的品目进行不完全磋商，任何不完全的响应将会被拒绝。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11.1</w:t>
            </w:r>
          </w:p>
        </w:tc>
        <w:tc>
          <w:tcPr>
            <w:tcW w:w="7834" w:type="dxa"/>
          </w:tcPr>
          <w:p>
            <w:pPr>
              <w:spacing w:line="360" w:lineRule="auto"/>
              <w:rPr>
                <w:rFonts w:hAnsi="宋体" w:cs="宋体"/>
                <w:szCs w:val="24"/>
                <w:highlight w:val="none"/>
              </w:rPr>
            </w:pPr>
            <w:r>
              <w:rPr>
                <w:rFonts w:hint="eastAsia" w:hAnsi="宋体" w:cs="宋体"/>
                <w:b/>
                <w:bCs/>
                <w:szCs w:val="24"/>
                <w:highlight w:val="none"/>
              </w:rPr>
              <w:t>磋商报价：</w:t>
            </w:r>
            <w:r>
              <w:rPr>
                <w:rFonts w:hint="eastAsia" w:hAnsi="宋体" w:cs="宋体"/>
                <w:szCs w:val="24"/>
                <w:highlight w:val="none"/>
              </w:rPr>
              <w:t>是供应商为完成本项目要求的全部服务内容最终价格的体现，包括但不限于</w:t>
            </w:r>
            <w:r>
              <w:rPr>
                <w:rFonts w:hint="eastAsia" w:hAnsi="宋体" w:cs="宋体"/>
                <w:szCs w:val="24"/>
                <w:highlight w:val="none"/>
                <w:lang w:eastAsia="zh-CN"/>
              </w:rPr>
              <w:t>人员工资</w:t>
            </w:r>
            <w:r>
              <w:rPr>
                <w:rFonts w:hint="eastAsia" w:hAnsi="宋体" w:cs="宋体"/>
                <w:szCs w:val="24"/>
                <w:highlight w:val="none"/>
              </w:rPr>
              <w:t>、</w:t>
            </w:r>
            <w:r>
              <w:rPr>
                <w:rFonts w:hint="eastAsia" w:hAnsi="宋体" w:cs="宋体"/>
                <w:szCs w:val="24"/>
                <w:highlight w:val="none"/>
                <w:lang w:eastAsia="zh-CN"/>
              </w:rPr>
              <w:t>生活照料服务</w:t>
            </w:r>
            <w:r>
              <w:rPr>
                <w:rFonts w:hint="eastAsia" w:hAnsi="宋体" w:cs="宋体"/>
                <w:szCs w:val="24"/>
                <w:highlight w:val="none"/>
              </w:rPr>
              <w:t>费、</w:t>
            </w:r>
            <w:r>
              <w:rPr>
                <w:rFonts w:hint="eastAsia" w:hAnsi="宋体" w:cs="宋体"/>
                <w:szCs w:val="24"/>
                <w:highlight w:val="none"/>
                <w:lang w:eastAsia="zh-CN"/>
              </w:rPr>
              <w:t>饮食、医疗保健、文化娱乐费用等、</w:t>
            </w:r>
            <w:r>
              <w:rPr>
                <w:rFonts w:hint="eastAsia" w:hAnsi="宋体" w:cs="宋体"/>
                <w:szCs w:val="24"/>
                <w:highlight w:val="none"/>
              </w:rPr>
              <w:t>招标代理服务费、税金等其他一切相关费用。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12.1</w:t>
            </w:r>
          </w:p>
        </w:tc>
        <w:tc>
          <w:tcPr>
            <w:tcW w:w="7834" w:type="dxa"/>
          </w:tcPr>
          <w:p>
            <w:pPr>
              <w:spacing w:line="360" w:lineRule="auto"/>
              <w:rPr>
                <w:rFonts w:hAnsi="宋体" w:cs="宋体"/>
                <w:b/>
                <w:bCs/>
                <w:szCs w:val="24"/>
                <w:highlight w:val="none"/>
              </w:rPr>
            </w:pPr>
            <w:r>
              <w:rPr>
                <w:rFonts w:hint="eastAsia" w:hAnsi="宋体" w:cs="宋体"/>
                <w:b/>
                <w:bCs/>
                <w:szCs w:val="24"/>
                <w:highlight w:val="none"/>
              </w:rPr>
              <w:t>特定资格证明文件：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寄宿托养</w:t>
            </w:r>
            <w:r>
              <w:rPr>
                <w:rFonts w:hint="eastAsia" w:ascii="宋体" w:hAnsi="宋体" w:eastAsia="宋体" w:cs="宋体"/>
                <w:i w:val="0"/>
                <w:iCs w:val="0"/>
                <w:caps w:val="0"/>
                <w:color w:val="333333"/>
                <w:spacing w:val="0"/>
                <w:sz w:val="24"/>
                <w:szCs w:val="24"/>
                <w:highlight w:val="none"/>
                <w:shd w:val="clear" w:fill="FFFFFF"/>
                <w:vertAlign w:val="baseline"/>
              </w:rPr>
              <w:t>)特定资格要求如下: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hAnsi="宋体" w:cs="宋体"/>
                <w:sz w:val="24"/>
                <w:szCs w:val="24"/>
                <w:highlight w:val="none"/>
                <w:lang w:eastAsia="zh-CN"/>
              </w:rPr>
              <w:t>（</w:t>
            </w:r>
            <w:r>
              <w:rPr>
                <w:rFonts w:hint="eastAsia" w:hAnsi="宋体" w:cs="宋体"/>
                <w:sz w:val="24"/>
                <w:szCs w:val="24"/>
                <w:highlight w:val="none"/>
                <w:lang w:val="en-US" w:eastAsia="zh-CN"/>
              </w:rPr>
              <w:t>1</w:t>
            </w:r>
            <w:r>
              <w:rPr>
                <w:rFonts w:hint="eastAsia" w:hAnsi="宋体" w:cs="宋体"/>
                <w:sz w:val="24"/>
                <w:szCs w:val="24"/>
                <w:highlight w:val="none"/>
                <w:lang w:eastAsia="zh-CN"/>
              </w:rPr>
              <w:t>）</w:t>
            </w:r>
            <w:r>
              <w:rPr>
                <w:rFonts w:hint="eastAsia" w:ascii="宋体" w:hAnsi="宋体" w:eastAsia="宋体" w:cs="宋体"/>
                <w:sz w:val="24"/>
                <w:szCs w:val="24"/>
                <w:highlight w:val="none"/>
              </w:rPr>
              <w:t xml:space="preserve">提供合格有效的法人或者其他组织的营业执照等证明文件，自然人的身份证明；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宋体" w:hAnsi="宋体" w:eastAsia="宋体" w:cs="宋体"/>
                <w:sz w:val="24"/>
                <w:szCs w:val="24"/>
                <w:highlight w:val="none"/>
              </w:rPr>
            </w:pPr>
            <w:r>
              <w:rPr>
                <w:rFonts w:hint="eastAsia" w:hAnsi="宋体" w:cs="宋体"/>
                <w:sz w:val="24"/>
                <w:szCs w:val="24"/>
                <w:highlight w:val="none"/>
                <w:lang w:eastAsia="zh-CN"/>
              </w:rPr>
              <w:t>（</w:t>
            </w:r>
            <w:r>
              <w:rPr>
                <w:rFonts w:hint="eastAsia" w:hAnsi="宋体" w:cs="宋体"/>
                <w:sz w:val="24"/>
                <w:szCs w:val="24"/>
                <w:highlight w:val="none"/>
                <w:lang w:val="en-US" w:eastAsia="zh-CN"/>
              </w:rPr>
              <w:t>2</w:t>
            </w:r>
            <w:r>
              <w:rPr>
                <w:rFonts w:hint="eastAsia" w:hAnsi="宋体" w:cs="宋体"/>
                <w:sz w:val="24"/>
                <w:szCs w:val="24"/>
                <w:highlight w:val="none"/>
                <w:lang w:eastAsia="zh-CN"/>
              </w:rPr>
              <w:t>）</w:t>
            </w:r>
            <w:r>
              <w:rPr>
                <w:rFonts w:hint="eastAsia" w:ascii="宋体" w:hAnsi="宋体" w:eastAsia="宋体" w:cs="宋体"/>
                <w:sz w:val="24"/>
                <w:szCs w:val="24"/>
                <w:highlight w:val="none"/>
              </w:rPr>
              <w:t>提供法定代表人授权书（附法定代表人、被授权人身份证复印件）及被授权人身份证原件（法定代表人直接参加投标，须提供法定代表人身份证明及身份证原件）</w:t>
            </w:r>
            <w:r>
              <w:rPr>
                <w:rFonts w:hint="eastAsia" w:hAnsi="宋体" w:cs="宋体"/>
                <w:sz w:val="24"/>
                <w:szCs w:val="24"/>
                <w:highlight w:val="none"/>
                <w:lang w:eastAsia="zh-CN"/>
              </w:rPr>
              <w:t>；</w:t>
            </w:r>
            <w:r>
              <w:rPr>
                <w:rFonts w:hint="eastAsia" w:ascii="宋体" w:hAnsi="宋体" w:eastAsia="宋体" w:cs="宋体"/>
                <w:sz w:val="24"/>
                <w:szCs w:val="24"/>
                <w:highlight w:val="none"/>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宋体" w:hAnsi="宋体" w:eastAsia="宋体" w:cs="宋体"/>
                <w:sz w:val="24"/>
                <w:szCs w:val="24"/>
                <w:highlight w:val="none"/>
              </w:rPr>
            </w:pPr>
            <w:r>
              <w:rPr>
                <w:rFonts w:hint="eastAsia" w:hAnsi="宋体" w:cs="宋体"/>
                <w:sz w:val="24"/>
                <w:szCs w:val="24"/>
                <w:highlight w:val="none"/>
                <w:lang w:eastAsia="zh-CN"/>
              </w:rPr>
              <w:t>（</w:t>
            </w:r>
            <w:r>
              <w:rPr>
                <w:rFonts w:hint="eastAsia" w:hAnsi="宋体" w:cs="宋体"/>
                <w:sz w:val="24"/>
                <w:szCs w:val="24"/>
                <w:highlight w:val="none"/>
                <w:lang w:val="en-US" w:eastAsia="zh-CN"/>
              </w:rPr>
              <w:t>3</w:t>
            </w:r>
            <w:r>
              <w:rPr>
                <w:rFonts w:hint="eastAsia" w:hAnsi="宋体" w:cs="宋体"/>
                <w:sz w:val="24"/>
                <w:szCs w:val="24"/>
                <w:highlight w:val="none"/>
                <w:lang w:eastAsia="zh-CN"/>
              </w:rPr>
              <w:t>）</w:t>
            </w:r>
            <w:r>
              <w:rPr>
                <w:rFonts w:hint="eastAsia" w:ascii="宋体" w:hAnsi="宋体" w:eastAsia="宋体" w:cs="宋体"/>
                <w:sz w:val="24"/>
                <w:szCs w:val="24"/>
                <w:highlight w:val="none"/>
              </w:rPr>
              <w:t>财务状况：提供20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或202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hAnsi="宋体" w:cs="宋体"/>
                <w:sz w:val="24"/>
                <w:szCs w:val="24"/>
                <w:highlight w:val="none"/>
                <w:lang w:eastAsia="zh-CN"/>
              </w:rPr>
              <w:t>（</w:t>
            </w:r>
            <w:r>
              <w:rPr>
                <w:rFonts w:hint="eastAsia" w:hAnsi="宋体" w:cs="宋体"/>
                <w:sz w:val="24"/>
                <w:szCs w:val="24"/>
                <w:highlight w:val="none"/>
                <w:lang w:val="en-US" w:eastAsia="zh-CN"/>
              </w:rPr>
              <w:t>4</w:t>
            </w:r>
            <w:r>
              <w:rPr>
                <w:rFonts w:hint="eastAsia" w:hAnsi="宋体" w:cs="宋体"/>
                <w:sz w:val="24"/>
                <w:szCs w:val="24"/>
                <w:highlight w:val="none"/>
                <w:lang w:eastAsia="zh-CN"/>
              </w:rPr>
              <w:t>）</w:t>
            </w:r>
            <w:r>
              <w:rPr>
                <w:rFonts w:hint="eastAsia" w:ascii="宋体" w:hAnsi="宋体" w:eastAsia="宋体" w:cs="宋体"/>
                <w:sz w:val="24"/>
                <w:szCs w:val="24"/>
                <w:highlight w:val="none"/>
              </w:rPr>
              <w:t>税收缴纳证明：提供磋商截止日前近一年内任意一个</w:t>
            </w:r>
            <w:r>
              <w:rPr>
                <w:rFonts w:hint="eastAsia" w:asciiTheme="minorEastAsia" w:hAnsiTheme="minorEastAsia" w:eastAsiaTheme="minorEastAsia" w:cstheme="minorEastAsia"/>
                <w:highlight w:val="none"/>
                <w:shd w:val="clear" w:color="auto" w:fill="FFFFFF"/>
              </w:rPr>
              <w:t>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5</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6</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7</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9</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10</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11</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本项目专门面向中小微企业采购。</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Style w:val="29"/>
                <w:rFonts w:hint="eastAsia" w:ascii="宋体" w:hAnsi="宋体" w:eastAsia="宋体" w:cs="宋体"/>
                <w:b/>
                <w:bCs/>
                <w:i w:val="0"/>
                <w:iCs w:val="0"/>
                <w:caps w:val="0"/>
                <w:color w:val="333333"/>
                <w:spacing w:val="0"/>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合同包</w:t>
            </w:r>
            <w:r>
              <w:rPr>
                <w:rFonts w:hint="eastAsia" w:cs="宋体"/>
                <w:i w:val="0"/>
                <w:iCs w:val="0"/>
                <w:caps w:val="0"/>
                <w:color w:val="333333"/>
                <w:spacing w:val="0"/>
                <w:sz w:val="24"/>
                <w:szCs w:val="24"/>
                <w:highlight w:val="none"/>
                <w:shd w:val="clear" w:fill="FFFFFF"/>
                <w:vertAlign w:val="baseline"/>
                <w:lang w:val="en-US" w:eastAsia="zh-CN"/>
              </w:rPr>
              <w:t>2</w:t>
            </w:r>
            <w:r>
              <w:rPr>
                <w:rFonts w:hint="eastAsia" w:ascii="宋体" w:hAnsi="宋体" w:eastAsia="宋体" w:cs="宋体"/>
                <w:i w:val="0"/>
                <w:iCs w:val="0"/>
                <w:caps w:val="0"/>
                <w:color w:val="333333"/>
                <w:spacing w:val="0"/>
                <w:sz w:val="24"/>
                <w:szCs w:val="24"/>
                <w:highlight w:val="none"/>
                <w:shd w:val="clear" w:fill="FFFFFF"/>
                <w:vertAlign w:val="baseline"/>
              </w:rPr>
              <w:t>(日常照料)特定资格要求如下: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（1）提供合格有效的法人或者其他组织的营业执照等证明文件，自然人的身份证明；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（2）提供法定代表人授权书（附法定代表人、被授权人身份证复印件）及被授权人身份证原件（法定代表人直接参加投标，须提供法定代表人身份证明及身份证原件）；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（3）财务状况：提供2020或2021年度经审计的财务审计报告（成立时间至提交磋商响应文件截止时间不足一年的可提供成立后任意时段的资产负债表）或开标时间前六个月内银行出具的资信证明；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（4）税收缴纳证明：提供磋商截止日前近一年内任意一个月的纳税证明或完税证明（任意税种），依法免税的单位应提供相关证明材料；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（6）供应商应在磋商文件发售期至投标截止时间前通过“信用中国”网站(www.creditchina.gov.cn)、中国政府采购网(www.ccgp.gov.cn)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（7）参加政府采购活动前3年内，在经营活动中没有重大违法记录的书面声明；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（9）提供投标保证金转款凭证或担保机构出具的保函。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（10）本项目不接受联合体磋商。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（11）本项目专门面向中小微企业采购。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合同包3(居家托养)特定资格要求如下: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（1）提供合格有效的法人或者其他组织的营业执照等证明文件，自然人的身份证明；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（2）提供法定代表人授权书（附法定代表人、被授权人身份证复印件）及被授权人身份证原件（法定代表人直接参加投标，须提供法定代表人身份证明及身份证原件）；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（3）财务状况：提供2020或2021年度经审计的财务审计报告（成立时间至提交磋商响应文件截止时间不足一年的可提供成立后任意时段的资产负债表）或开标时间前六个月内银行出具的资信证明；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（4）税收缴纳证明：提供磋商截止日前近一年内任意一个月的纳税证明或完税证明（任意税种），依法免税的单位应提供相关证明材料；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（6）供应商应在磋商文件发售期至投标截止时间前通过“信用中国”网站(www.creditchina.gov.cn)、中国政府采购网(www.ccgp.gov.cn)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（7）参加政府采购活动前3年内，在经营活动中没有重大违法记录的书面声明；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（9）提供投标保证金转款凭证或担保机构出具的保函。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（10）本项目不接受联合体磋商。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default" w:asciiTheme="minorEastAsia" w:hAnsiTheme="minorEastAsia" w:eastAsiaTheme="minorEastAsia" w:cstheme="minorEastAsia"/>
                <w:color w:val="333333"/>
                <w:highlight w:val="none"/>
                <w:lang w:val="en-US" w:eastAsia="zh-CN"/>
              </w:rPr>
            </w:pPr>
            <w:r>
              <w:rPr>
                <w:rFonts w:hint="eastAsia" w:asciiTheme="minorEastAsia" w:hAnsiTheme="minorEastAsia" w:eastAsiaTheme="minorEastAsia" w:cstheme="minorEastAsia"/>
                <w:highlight w:val="none"/>
                <w:shd w:val="clear" w:color="auto" w:fill="FFFFFF"/>
                <w:lang w:val="en-US" w:eastAsia="zh-CN"/>
              </w:rPr>
              <w:t>（11）本项目专门面向中小微企业采购。</w:t>
            </w:r>
          </w:p>
          <w:p>
            <w:pPr>
              <w:spacing w:line="360" w:lineRule="auto"/>
              <w:ind w:firstLine="480" w:firstLineChars="200"/>
              <w:rPr>
                <w:rFonts w:hAnsi="宋体" w:cs="宋体"/>
                <w:szCs w:val="24"/>
                <w:highlight w:val="none"/>
              </w:rPr>
            </w:pPr>
            <w:r>
              <w:rPr>
                <w:rFonts w:hint="eastAsia" w:hAnsi="宋体" w:cs="宋体"/>
                <w:szCs w:val="24"/>
                <w:highlight w:val="none"/>
              </w:rPr>
              <w:t>以上（1-</w:t>
            </w:r>
            <w:r>
              <w:rPr>
                <w:rFonts w:hint="eastAsia" w:hAnsi="宋体" w:cs="宋体"/>
                <w:szCs w:val="24"/>
                <w:highlight w:val="none"/>
                <w:lang w:val="en-US" w:eastAsia="zh-CN"/>
              </w:rPr>
              <w:t>11</w:t>
            </w:r>
            <w:r>
              <w:rPr>
                <w:rFonts w:hint="eastAsia" w:hAnsi="宋体" w:cs="宋体"/>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14</w:t>
            </w:r>
          </w:p>
        </w:tc>
        <w:tc>
          <w:tcPr>
            <w:tcW w:w="7834" w:type="dxa"/>
          </w:tcPr>
          <w:p>
            <w:pPr>
              <w:spacing w:line="520" w:lineRule="exact"/>
              <w:ind w:firstLine="480" w:firstLineChars="200"/>
              <w:rPr>
                <w:rFonts w:hAnsi="宋体" w:cs="宋体"/>
                <w:szCs w:val="24"/>
                <w:highlight w:val="none"/>
              </w:rPr>
            </w:pPr>
            <w:r>
              <w:rPr>
                <w:rFonts w:hint="eastAsia" w:hAnsi="宋体" w:cs="宋体"/>
                <w:szCs w:val="24"/>
                <w:highlight w:val="none"/>
              </w:rPr>
              <w:t>磋商保证金：本次招标活动供应商需交纳投标保证金为:</w:t>
            </w:r>
          </w:p>
          <w:p>
            <w:pPr>
              <w:spacing w:line="520" w:lineRule="exact"/>
              <w:ind w:firstLine="482" w:firstLineChars="200"/>
              <w:rPr>
                <w:rFonts w:hint="eastAsia" w:hAnsi="宋体" w:cs="宋体"/>
                <w:b/>
                <w:bCs/>
                <w:szCs w:val="24"/>
                <w:highlight w:val="none"/>
              </w:rPr>
            </w:pPr>
            <w:r>
              <w:rPr>
                <w:rFonts w:hint="eastAsia" w:hAnsi="宋体" w:cs="宋体"/>
                <w:b/>
                <w:bCs/>
                <w:szCs w:val="24"/>
                <w:highlight w:val="none"/>
              </w:rPr>
              <w:t>合同包1(</w:t>
            </w:r>
            <w:r>
              <w:rPr>
                <w:rFonts w:hint="eastAsia" w:hAnsi="宋体" w:cs="宋体"/>
                <w:b/>
                <w:bCs/>
                <w:szCs w:val="24"/>
                <w:highlight w:val="none"/>
                <w:lang w:val="en-US" w:eastAsia="zh-CN"/>
              </w:rPr>
              <w:t>寄宿托养</w:t>
            </w:r>
            <w:r>
              <w:rPr>
                <w:rFonts w:hint="eastAsia" w:hAnsi="宋体" w:cs="宋体"/>
                <w:b/>
                <w:bCs/>
                <w:szCs w:val="24"/>
                <w:highlight w:val="none"/>
              </w:rPr>
              <w:t>)人民币</w:t>
            </w:r>
            <w:r>
              <w:rPr>
                <w:rFonts w:hint="eastAsia" w:hAnsi="宋体" w:cs="宋体"/>
                <w:b/>
                <w:bCs/>
                <w:szCs w:val="24"/>
                <w:highlight w:val="none"/>
                <w:lang w:val="en-US" w:eastAsia="zh-CN"/>
              </w:rPr>
              <w:t>陆仟伍佰元</w:t>
            </w:r>
            <w:r>
              <w:rPr>
                <w:rFonts w:hint="eastAsia" w:hAnsi="宋体" w:cs="宋体"/>
                <w:b/>
                <w:bCs/>
                <w:szCs w:val="24"/>
                <w:highlight w:val="none"/>
              </w:rPr>
              <w:t>整（￥</w:t>
            </w:r>
            <w:r>
              <w:rPr>
                <w:rFonts w:hint="eastAsia" w:hAnsi="宋体" w:cs="宋体"/>
                <w:b/>
                <w:bCs/>
                <w:szCs w:val="24"/>
                <w:highlight w:val="none"/>
                <w:lang w:val="en-US" w:eastAsia="zh-CN"/>
              </w:rPr>
              <w:t>6500.</w:t>
            </w:r>
            <w:r>
              <w:rPr>
                <w:rFonts w:hint="eastAsia" w:hAnsi="宋体" w:cs="宋体"/>
                <w:b/>
                <w:bCs/>
                <w:szCs w:val="24"/>
                <w:highlight w:val="none"/>
              </w:rPr>
              <w:t>00元）</w:t>
            </w:r>
          </w:p>
          <w:p>
            <w:pPr>
              <w:spacing w:line="520" w:lineRule="exact"/>
              <w:ind w:firstLine="482" w:firstLineChars="200"/>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合同包2(日常照料)人民币贰仟柒佰元整（￥2700.00元）</w:t>
            </w:r>
          </w:p>
          <w:p>
            <w:pPr>
              <w:spacing w:line="520" w:lineRule="exact"/>
              <w:ind w:firstLine="482" w:firstLineChars="200"/>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合同包3(居家托养)人民币叁仟肆佰元整（￥3400.00元）</w:t>
            </w:r>
          </w:p>
          <w:p>
            <w:pPr>
              <w:spacing w:line="500" w:lineRule="exact"/>
              <w:ind w:firstLine="480" w:firstLineChars="200"/>
              <w:rPr>
                <w:rFonts w:hAnsi="宋体" w:cs="宋体"/>
                <w:szCs w:val="24"/>
                <w:highlight w:val="none"/>
              </w:rPr>
            </w:pPr>
            <w:r>
              <w:rPr>
                <w:rFonts w:hint="eastAsia" w:hAnsi="宋体" w:cs="宋体"/>
                <w:szCs w:val="24"/>
                <w:highlight w:val="none"/>
              </w:rPr>
              <w:t>投标保证金的有效期与投标有效期一致。担保机构出具的保函的有效期为投标有效期延长一个月。</w:t>
            </w:r>
          </w:p>
          <w:p>
            <w:pPr>
              <w:spacing w:line="500" w:lineRule="exact"/>
              <w:ind w:firstLine="480"/>
              <w:rPr>
                <w:rFonts w:hAnsi="宋体" w:cs="宋体"/>
                <w:szCs w:val="24"/>
                <w:highlight w:val="none"/>
              </w:rPr>
            </w:pPr>
            <w:r>
              <w:rPr>
                <w:rFonts w:hint="eastAsia" w:hAnsi="宋体" w:cs="宋体"/>
                <w:szCs w:val="24"/>
                <w:highlight w:val="none"/>
              </w:rPr>
              <w:t>投标保证金的交纳形式：转账、电汇、担保机构保函。</w:t>
            </w:r>
          </w:p>
          <w:p>
            <w:pPr>
              <w:spacing w:line="500" w:lineRule="exact"/>
              <w:ind w:firstLine="480"/>
              <w:rPr>
                <w:rFonts w:hAnsi="宋体" w:cs="宋体"/>
                <w:szCs w:val="24"/>
                <w:highlight w:val="none"/>
              </w:rPr>
            </w:pPr>
            <w:r>
              <w:rPr>
                <w:rFonts w:hint="eastAsia" w:hAnsi="宋体" w:cs="宋体"/>
                <w:szCs w:val="24"/>
                <w:highlight w:val="none"/>
              </w:rPr>
              <w:t>供应商以银行转账、电汇形式交纳投标保证金的，须从基本账户转出，并且在投标文件递交截止前</w:t>
            </w:r>
            <w:r>
              <w:rPr>
                <w:rFonts w:hint="eastAsia" w:hAnsi="宋体" w:cs="宋体"/>
                <w:b/>
                <w:bCs/>
                <w:szCs w:val="24"/>
                <w:highlight w:val="none"/>
              </w:rPr>
              <w:t>到达</w:t>
            </w:r>
            <w:r>
              <w:rPr>
                <w:rFonts w:hint="eastAsia" w:hAnsi="宋体" w:cs="宋体"/>
                <w:szCs w:val="24"/>
                <w:highlight w:val="none"/>
              </w:rPr>
              <w:t>采购代理机构指定账户（转账时请注明</w:t>
            </w:r>
            <w:r>
              <w:rPr>
                <w:rFonts w:hint="eastAsia" w:hAnsi="宋体" w:cs="宋体"/>
                <w:b/>
                <w:bCs/>
                <w:szCs w:val="24"/>
                <w:highlight w:val="none"/>
              </w:rPr>
              <w:t>项目编号</w:t>
            </w:r>
            <w:r>
              <w:rPr>
                <w:rFonts w:hint="eastAsia" w:hAnsi="宋体" w:cs="宋体"/>
                <w:szCs w:val="24"/>
                <w:highlight w:val="none"/>
              </w:rPr>
              <w:t>）。投标保证金到达采购代理机构指定账户后，供应商须与</w:t>
            </w:r>
            <w:r>
              <w:rPr>
                <w:rFonts w:hint="eastAsia" w:hAnsi="宋体" w:cs="宋体"/>
                <w:szCs w:val="24"/>
                <w:highlight w:val="none"/>
                <w:lang w:eastAsia="zh-CN"/>
              </w:rPr>
              <w:t>陕西启航项目管理咨询有限公司</w:t>
            </w:r>
            <w:r>
              <w:rPr>
                <w:rFonts w:hint="eastAsia" w:hAnsi="宋体" w:cs="宋体"/>
                <w:szCs w:val="24"/>
                <w:highlight w:val="none"/>
              </w:rPr>
              <w:t>财务部联系确认到账后（联系电话</w:t>
            </w:r>
            <w:r>
              <w:rPr>
                <w:rFonts w:hint="eastAsia" w:hAnsi="宋体" w:cs="宋体"/>
                <w:b/>
                <w:bCs/>
                <w:szCs w:val="24"/>
                <w:highlight w:val="none"/>
                <w:lang w:eastAsia="zh-CN"/>
              </w:rPr>
              <w:t>029-89182979</w:t>
            </w:r>
            <w:r>
              <w:rPr>
                <w:rFonts w:hint="eastAsia" w:hAnsi="宋体" w:cs="宋体"/>
                <w:szCs w:val="24"/>
                <w:highlight w:val="none"/>
              </w:rPr>
              <w:t>），将投标保证金缴纳凭证复印件粘贴于</w:t>
            </w:r>
            <w:r>
              <w:rPr>
                <w:rFonts w:hint="eastAsia" w:hAnsi="宋体" w:cs="宋体"/>
                <w:szCs w:val="24"/>
                <w:highlight w:val="none"/>
                <w:lang w:val="en-US" w:eastAsia="zh-CN"/>
              </w:rPr>
              <w:t>磋商</w:t>
            </w:r>
            <w:r>
              <w:rPr>
                <w:rFonts w:hint="eastAsia" w:hAnsi="宋体" w:cs="宋体"/>
                <w:szCs w:val="24"/>
                <w:highlight w:val="none"/>
              </w:rPr>
              <w:t>文件规定处。</w:t>
            </w:r>
          </w:p>
          <w:p>
            <w:pPr>
              <w:spacing w:line="360" w:lineRule="auto"/>
              <w:rPr>
                <w:rFonts w:hAnsi="宋体" w:cs="宋体"/>
                <w:szCs w:val="24"/>
                <w:highlight w:val="none"/>
              </w:rPr>
            </w:pPr>
            <w:r>
              <w:rPr>
                <w:rFonts w:hint="eastAsia" w:hAnsi="宋体" w:cs="宋体"/>
                <w:szCs w:val="24"/>
                <w:highlight w:val="none"/>
              </w:rPr>
              <w:t>供应商以保函形式缴纳投标保证金的，须在投标文件递交截止时间前将担保机构保函</w:t>
            </w:r>
            <w:r>
              <w:rPr>
                <w:rFonts w:hint="eastAsia" w:hAnsi="宋体" w:cs="宋体"/>
                <w:b/>
                <w:bCs/>
                <w:szCs w:val="24"/>
                <w:highlight w:val="none"/>
              </w:rPr>
              <w:t>正本原件</w:t>
            </w:r>
            <w:r>
              <w:rPr>
                <w:rFonts w:hint="eastAsia" w:hAnsi="宋体" w:cs="宋体"/>
                <w:szCs w:val="24"/>
                <w:highlight w:val="none"/>
              </w:rPr>
              <w:t>提交至采购代理机构备案，并将保函正本复印件附在招标文件规定处。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15.1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10</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16.1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正本的份数：壹份；副本的份数：贰份；开标一览表：壹份；电子版（U盘或光盘）：壹份（需在盘面上标注供应商全称、项目名称、项目编号</w:t>
            </w:r>
            <w:r>
              <w:rPr>
                <w:rFonts w:hint="eastAsia" w:hAnsi="宋体" w:cs="宋体"/>
                <w:szCs w:val="24"/>
                <w:highlight w:val="none"/>
                <w:lang w:eastAsia="zh-CN"/>
              </w:rPr>
              <w:t>、包号</w:t>
            </w:r>
            <w:r>
              <w:rPr>
                <w:rFonts w:hint="eastAsia" w:hAnsi="宋体" w:cs="宋体"/>
                <w:szCs w:val="24"/>
                <w:highlight w:val="none"/>
              </w:rPr>
              <w:t>）。</w:t>
            </w:r>
            <w:r>
              <w:rPr>
                <w:rFonts w:hint="eastAsia" w:hAnsi="宋体" w:cs="宋体"/>
                <w:b/>
                <w:bCs/>
                <w:szCs w:val="24"/>
                <w:highlight w:val="none"/>
              </w:rPr>
              <w:t>（注：电子版为Word版和PDF格式版，与正本具有同等法律效力。）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11</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17.2</w:t>
            </w:r>
          </w:p>
        </w:tc>
        <w:tc>
          <w:tcPr>
            <w:tcW w:w="7834" w:type="dxa"/>
            <w:vAlign w:val="center"/>
          </w:tcPr>
          <w:p>
            <w:pPr>
              <w:spacing w:line="360" w:lineRule="auto"/>
              <w:ind w:firstLine="480" w:firstLineChars="200"/>
              <w:rPr>
                <w:rFonts w:hAnsi="宋体" w:cs="宋体"/>
                <w:szCs w:val="24"/>
                <w:highlight w:val="none"/>
              </w:rPr>
            </w:pPr>
            <w:r>
              <w:rPr>
                <w:rFonts w:hint="eastAsia" w:hAnsi="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w:t>
            </w:r>
            <w:r>
              <w:rPr>
                <w:rFonts w:hint="eastAsia" w:hAnsi="宋体" w:cs="宋体"/>
                <w:szCs w:val="24"/>
                <w:highlight w:val="none"/>
                <w:lang w:eastAsia="zh-CN"/>
              </w:rPr>
              <w:t>、包号</w:t>
            </w:r>
            <w:r>
              <w:rPr>
                <w:rFonts w:hint="eastAsia" w:hAnsi="宋体" w:cs="宋体"/>
                <w:szCs w:val="24"/>
                <w:highlight w:val="none"/>
              </w:rPr>
              <w:t>等标识。</w:t>
            </w:r>
          </w:p>
          <w:p>
            <w:pPr>
              <w:spacing w:line="360" w:lineRule="auto"/>
              <w:rPr>
                <w:rFonts w:hAnsi="宋体"/>
                <w:szCs w:val="24"/>
                <w:highlight w:val="none"/>
              </w:rPr>
            </w:pPr>
            <w:r>
              <w:rPr>
                <w:rFonts w:hAnsi="宋体"/>
                <w:szCs w:val="24"/>
                <w:highlight w:val="none"/>
              </w:rPr>
              <w:t>外层包装请按以下要求标记：</w:t>
            </w:r>
          </w:p>
          <w:p>
            <w:pPr>
              <w:spacing w:line="360" w:lineRule="auto"/>
              <w:ind w:firstLine="720" w:firstLineChars="300"/>
              <w:rPr>
                <w:rFonts w:hAnsi="宋体"/>
                <w:szCs w:val="24"/>
                <w:highlight w:val="none"/>
              </w:rPr>
            </w:pPr>
            <w:r>
              <w:rPr>
                <w:rFonts w:hAnsi="宋体"/>
                <w:szCs w:val="24"/>
                <w:highlight w:val="none"/>
              </w:rPr>
              <w:t xml:space="preserve">1) </w:t>
            </w:r>
            <w:r>
              <w:rPr>
                <w:rFonts w:hint="eastAsia" w:hAnsi="宋体"/>
                <w:szCs w:val="24"/>
                <w:highlight w:val="none"/>
              </w:rPr>
              <w:t>磋商响应单位</w:t>
            </w:r>
            <w:r>
              <w:rPr>
                <w:rFonts w:hAnsi="宋体"/>
                <w:szCs w:val="24"/>
                <w:highlight w:val="none"/>
              </w:rPr>
              <w:t>的全称；</w:t>
            </w:r>
          </w:p>
          <w:p>
            <w:pPr>
              <w:spacing w:line="360" w:lineRule="auto"/>
              <w:ind w:firstLine="720" w:firstLineChars="300"/>
              <w:rPr>
                <w:rFonts w:hAnsi="宋体"/>
                <w:szCs w:val="24"/>
                <w:highlight w:val="none"/>
              </w:rPr>
            </w:pPr>
            <w:r>
              <w:rPr>
                <w:rFonts w:hAnsi="宋体"/>
                <w:szCs w:val="24"/>
                <w:highlight w:val="none"/>
              </w:rPr>
              <w:t xml:space="preserve">2) </w:t>
            </w:r>
            <w:r>
              <w:rPr>
                <w:rFonts w:hint="eastAsia" w:hAnsi="宋体"/>
                <w:szCs w:val="24"/>
                <w:highlight w:val="none"/>
              </w:rPr>
              <w:t>磋商</w:t>
            </w:r>
            <w:r>
              <w:rPr>
                <w:rFonts w:hAnsi="宋体"/>
                <w:szCs w:val="24"/>
                <w:highlight w:val="none"/>
              </w:rPr>
              <w:t>项目名称、项目编号</w:t>
            </w:r>
            <w:r>
              <w:rPr>
                <w:rFonts w:hint="eastAsia" w:hAnsi="宋体"/>
                <w:szCs w:val="24"/>
                <w:highlight w:val="none"/>
                <w:lang w:eastAsia="zh-CN"/>
              </w:rPr>
              <w:t>、包号</w:t>
            </w:r>
            <w:r>
              <w:rPr>
                <w:rFonts w:hint="eastAsia" w:hAnsi="宋体"/>
                <w:szCs w:val="24"/>
                <w:highlight w:val="none"/>
              </w:rPr>
              <w:t>；</w:t>
            </w:r>
          </w:p>
          <w:p>
            <w:pPr>
              <w:spacing w:line="360" w:lineRule="auto"/>
              <w:rPr>
                <w:rFonts w:hAnsi="宋体" w:cs="宋体"/>
                <w:szCs w:val="24"/>
                <w:highlight w:val="none"/>
              </w:rPr>
            </w:pPr>
            <w:r>
              <w:rPr>
                <w:rFonts w:hAnsi="宋体"/>
                <w:bCs/>
                <w:szCs w:val="24"/>
                <w:highlight w:val="none"/>
              </w:rPr>
              <w:t>3）正本或副本</w:t>
            </w:r>
            <w:r>
              <w:rPr>
                <w:rFonts w:hint="eastAsia" w:hAnsi="宋体"/>
                <w:bCs/>
                <w:szCs w:val="24"/>
                <w:highlight w:val="none"/>
              </w:rPr>
              <w:t>、电子版、报价一览表</w:t>
            </w:r>
            <w:r>
              <w:rPr>
                <w:rFonts w:hAnsi="宋体"/>
                <w:bCs/>
                <w:szCs w:val="24"/>
                <w:highlight w:val="none"/>
              </w:rPr>
              <w:t>“请勿在＿＿＿＿＿(</w:t>
            </w:r>
            <w:r>
              <w:rPr>
                <w:rFonts w:hint="eastAsia" w:hAnsi="宋体"/>
                <w:bCs/>
                <w:szCs w:val="24"/>
                <w:highlight w:val="none"/>
              </w:rPr>
              <w:t>磋商</w:t>
            </w:r>
            <w:r>
              <w:rPr>
                <w:rFonts w:hAnsi="宋体"/>
                <w:bCs/>
                <w:szCs w:val="24"/>
                <w:highlight w:val="none"/>
              </w:rPr>
              <w:t>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12</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18.1</w:t>
            </w:r>
          </w:p>
        </w:tc>
        <w:tc>
          <w:tcPr>
            <w:tcW w:w="7834" w:type="dxa"/>
          </w:tcPr>
          <w:p>
            <w:pPr>
              <w:spacing w:line="360" w:lineRule="auto"/>
              <w:rPr>
                <w:rFonts w:hAnsi="宋体" w:cs="宋体"/>
                <w:szCs w:val="24"/>
                <w:highlight w:val="none"/>
              </w:rPr>
            </w:pPr>
            <w:r>
              <w:rPr>
                <w:rFonts w:hint="eastAsia" w:hAnsi="宋体" w:cs="宋体"/>
                <w:szCs w:val="24"/>
                <w:highlight w:val="none"/>
              </w:rPr>
              <w:t>磋商响应文件递交截止时间：202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10</w:t>
            </w:r>
            <w:r>
              <w:rPr>
                <w:rFonts w:hint="eastAsia" w:hAnsi="宋体" w:cs="宋体"/>
                <w:szCs w:val="24"/>
                <w:highlight w:val="none"/>
              </w:rPr>
              <w:t>-</w:t>
            </w:r>
            <w:r>
              <w:rPr>
                <w:rFonts w:hint="eastAsia" w:hAnsi="宋体" w:cs="宋体"/>
                <w:szCs w:val="24"/>
                <w:highlight w:val="none"/>
                <w:lang w:val="en-US" w:eastAsia="zh-CN"/>
              </w:rPr>
              <w:t>21</w:t>
            </w:r>
            <w:r>
              <w:rPr>
                <w:rFonts w:hint="eastAsia" w:hAnsi="宋体" w:cs="宋体"/>
                <w:szCs w:val="24"/>
                <w:highlight w:val="none"/>
              </w:rPr>
              <w:t xml:space="preserve"> 1</w:t>
            </w:r>
            <w:r>
              <w:rPr>
                <w:rFonts w:hint="eastAsia" w:hAnsi="宋体" w:cs="宋体"/>
                <w:szCs w:val="24"/>
                <w:highlight w:val="none"/>
                <w:lang w:val="en-US" w:eastAsia="zh-CN"/>
              </w:rPr>
              <w:t>4</w:t>
            </w:r>
            <w:r>
              <w:rPr>
                <w:rFonts w:hint="eastAsia" w:hAnsi="宋体" w:cs="宋体"/>
                <w:szCs w:val="24"/>
                <w:highlight w:val="none"/>
              </w:rPr>
              <w:t>:00:00(北京时间)</w:t>
            </w:r>
          </w:p>
          <w:p>
            <w:pPr>
              <w:spacing w:line="360" w:lineRule="auto"/>
              <w:rPr>
                <w:rFonts w:hint="eastAsia" w:hAnsi="宋体" w:eastAsia="宋体" w:cs="宋体"/>
                <w:szCs w:val="24"/>
                <w:highlight w:val="none"/>
                <w:lang w:eastAsia="zh-CN"/>
              </w:rPr>
            </w:pPr>
            <w:r>
              <w:rPr>
                <w:rFonts w:hint="eastAsia" w:hAnsi="宋体" w:cs="宋体"/>
                <w:szCs w:val="24"/>
                <w:highlight w:val="none"/>
              </w:rPr>
              <w:t>磋商响应文件递交地址：</w:t>
            </w:r>
            <w:r>
              <w:rPr>
                <w:rFonts w:hint="eastAsia" w:hAnsi="宋体" w:cs="宋体"/>
                <w:szCs w:val="24"/>
                <w:highlight w:val="none"/>
                <w:lang w:eastAsia="zh-CN"/>
              </w:rPr>
              <w:t>陕西省西安市经济技术开发区未央路171-1号银池道拉斯财富中心21楼</w:t>
            </w:r>
            <w:r>
              <w:rPr>
                <w:rFonts w:hint="eastAsia" w:cs="宋体"/>
                <w:i w:val="0"/>
                <w:iCs w:val="0"/>
                <w:caps w:val="0"/>
                <w:color w:val="333333"/>
                <w:spacing w:val="0"/>
                <w:sz w:val="24"/>
                <w:szCs w:val="24"/>
                <w:highlight w:val="none"/>
                <w:shd w:val="clear" w:fill="FFFFFF"/>
                <w:vertAlign w:val="baseline"/>
                <w:lang w:val="en-US" w:eastAsia="zh-CN"/>
              </w:rPr>
              <w:t>04室</w:t>
            </w:r>
            <w:r>
              <w:rPr>
                <w:rFonts w:hint="eastAsia" w:hAnsi="宋体" w:cs="宋体"/>
                <w:szCs w:val="24"/>
                <w:highlight w:val="none"/>
                <w:lang w:eastAsia="zh-CN"/>
              </w:rPr>
              <w:t>开标室</w:t>
            </w:r>
          </w:p>
          <w:p>
            <w:pPr>
              <w:spacing w:line="360" w:lineRule="auto"/>
              <w:rPr>
                <w:rFonts w:hint="eastAsia" w:hAnsi="宋体" w:eastAsia="宋体" w:cs="宋体"/>
                <w:szCs w:val="24"/>
                <w:highlight w:val="none"/>
                <w:lang w:eastAsia="zh-CN"/>
              </w:rPr>
            </w:pPr>
            <w:r>
              <w:rPr>
                <w:rFonts w:hint="eastAsia" w:hAnsi="宋体" w:cs="宋体"/>
                <w:szCs w:val="24"/>
                <w:highlight w:val="none"/>
              </w:rPr>
              <w:t>磋商响应文件接收人：</w:t>
            </w:r>
            <w:r>
              <w:rPr>
                <w:rFonts w:hint="eastAsia" w:hAnsi="宋体" w:cs="宋体"/>
                <w:szCs w:val="24"/>
                <w:highlight w:val="none"/>
                <w:lang w:eastAsia="zh-CN"/>
              </w:rPr>
              <w:t>陕西启航项目管理咨询有限公司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13</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21.1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磋商时间：202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1</w:t>
            </w:r>
            <w:r>
              <w:rPr>
                <w:rFonts w:hint="eastAsia" w:hAnsi="宋体" w:cs="宋体"/>
                <w:szCs w:val="24"/>
                <w:highlight w:val="none"/>
              </w:rPr>
              <w:t>0-</w:t>
            </w:r>
            <w:r>
              <w:rPr>
                <w:rFonts w:hint="eastAsia" w:hAnsi="宋体" w:cs="宋体"/>
                <w:szCs w:val="24"/>
                <w:highlight w:val="none"/>
                <w:lang w:val="en-US" w:eastAsia="zh-CN"/>
              </w:rPr>
              <w:t>21</w:t>
            </w:r>
            <w:r>
              <w:rPr>
                <w:rFonts w:hint="eastAsia" w:hAnsi="宋体" w:cs="宋体"/>
                <w:szCs w:val="24"/>
                <w:highlight w:val="none"/>
              </w:rPr>
              <w:t xml:space="preserve"> 1</w:t>
            </w:r>
            <w:r>
              <w:rPr>
                <w:rFonts w:hint="eastAsia" w:hAnsi="宋体" w:cs="宋体"/>
                <w:szCs w:val="24"/>
                <w:highlight w:val="none"/>
                <w:lang w:val="en-US" w:eastAsia="zh-CN"/>
              </w:rPr>
              <w:t>4</w:t>
            </w:r>
            <w:r>
              <w:rPr>
                <w:rFonts w:hint="eastAsia" w:hAnsi="宋体" w:cs="宋体"/>
                <w:szCs w:val="24"/>
                <w:highlight w:val="none"/>
              </w:rPr>
              <w:t>:00:00(北京时间)</w:t>
            </w:r>
          </w:p>
          <w:p>
            <w:pPr>
              <w:spacing w:line="360" w:lineRule="auto"/>
              <w:rPr>
                <w:rFonts w:hAnsi="宋体" w:cs="宋体"/>
                <w:szCs w:val="24"/>
                <w:highlight w:val="none"/>
              </w:rPr>
            </w:pPr>
            <w:r>
              <w:rPr>
                <w:rFonts w:hint="eastAsia" w:hAnsi="宋体" w:cs="宋体"/>
                <w:szCs w:val="24"/>
                <w:highlight w:val="none"/>
              </w:rPr>
              <w:t>磋商地点：</w:t>
            </w:r>
            <w:r>
              <w:rPr>
                <w:rFonts w:hint="eastAsia" w:hAnsi="宋体" w:cs="宋体"/>
                <w:szCs w:val="24"/>
                <w:highlight w:val="none"/>
                <w:lang w:eastAsia="zh-CN"/>
              </w:rPr>
              <w:t>陕西省西安市经济技术开发区未央路171-1号银池道拉斯财富中心21楼</w:t>
            </w:r>
            <w:r>
              <w:rPr>
                <w:rFonts w:hint="eastAsia" w:hAnsi="宋体" w:cs="宋体"/>
                <w:szCs w:val="24"/>
                <w:highlight w:val="none"/>
                <w:lang w:val="en-US" w:eastAsia="zh-CN"/>
              </w:rPr>
              <w:t>04</w:t>
            </w:r>
            <w:r>
              <w:rPr>
                <w:rFonts w:hint="eastAsia" w:hAnsi="宋体" w:cs="宋体"/>
                <w:szCs w:val="24"/>
                <w:highlight w:val="none"/>
                <w:lang w:eastAsia="zh-CN"/>
              </w:rPr>
              <w:t>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14</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24.1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15</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29</w:t>
            </w:r>
          </w:p>
        </w:tc>
        <w:tc>
          <w:tcPr>
            <w:tcW w:w="7834" w:type="dxa"/>
            <w:vAlign w:val="center"/>
          </w:tcPr>
          <w:p>
            <w:pPr>
              <w:spacing w:line="360" w:lineRule="auto"/>
              <w:rPr>
                <w:rFonts w:hAnsi="宋体" w:cs="宋体"/>
                <w:b/>
                <w:bCs/>
                <w:szCs w:val="24"/>
                <w:highlight w:val="none"/>
              </w:rPr>
            </w:pPr>
            <w:r>
              <w:rPr>
                <w:rFonts w:hint="eastAsia" w:hAnsi="宋体" w:cs="宋体"/>
                <w:b/>
                <w:bCs/>
                <w:szCs w:val="24"/>
                <w:highlight w:val="none"/>
              </w:rPr>
              <w:t xml:space="preserve">磋商代理服务费： </w:t>
            </w:r>
          </w:p>
          <w:p>
            <w:pPr>
              <w:spacing w:line="360" w:lineRule="auto"/>
              <w:rPr>
                <w:rFonts w:hint="default" w:hAnsi="宋体" w:eastAsia="宋体" w:cs="宋体"/>
                <w:b w:val="0"/>
                <w:bCs w:val="0"/>
                <w:szCs w:val="24"/>
                <w:highlight w:val="none"/>
                <w:lang w:val="en-US" w:eastAsia="zh-CN"/>
              </w:rPr>
            </w:pPr>
            <w:r>
              <w:rPr>
                <w:rFonts w:hint="eastAsia" w:hAnsi="宋体" w:cs="宋体"/>
                <w:szCs w:val="24"/>
                <w:highlight w:val="none"/>
              </w:rPr>
              <w:t>29.1按</w:t>
            </w:r>
            <w:bookmarkStart w:id="29" w:name="OLE_LINK10"/>
            <w:bookmarkStart w:id="30" w:name="OLE_LINK9"/>
            <w:r>
              <w:rPr>
                <w:rFonts w:hint="eastAsia" w:hAnsi="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9"/>
            <w:bookmarkEnd w:id="30"/>
            <w:r>
              <w:rPr>
                <w:rFonts w:hint="eastAsia" w:hAnsi="宋体" w:cs="宋体"/>
                <w:b w:val="0"/>
                <w:bCs w:val="0"/>
                <w:szCs w:val="24"/>
                <w:highlight w:val="none"/>
                <w:lang w:val="en-US" w:eastAsia="zh-CN"/>
              </w:rPr>
              <w:t>不足5000元按5000执行。</w:t>
            </w:r>
          </w:p>
          <w:p>
            <w:pPr>
              <w:spacing w:line="360" w:lineRule="auto"/>
              <w:rPr>
                <w:rFonts w:hAnsi="宋体" w:cs="宋体"/>
                <w:szCs w:val="24"/>
                <w:highlight w:val="none"/>
              </w:rPr>
            </w:pPr>
            <w:r>
              <w:rPr>
                <w:rFonts w:hint="eastAsia" w:hAnsi="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17</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银行</w:t>
            </w:r>
          </w:p>
          <w:p>
            <w:pPr>
              <w:spacing w:line="360" w:lineRule="auto"/>
              <w:jc w:val="center"/>
              <w:rPr>
                <w:rFonts w:hAnsi="宋体" w:cs="宋体"/>
                <w:szCs w:val="24"/>
                <w:highlight w:val="none"/>
              </w:rPr>
            </w:pPr>
            <w:r>
              <w:rPr>
                <w:rFonts w:hint="eastAsia" w:hAnsi="宋体" w:cs="宋体"/>
                <w:szCs w:val="24"/>
                <w:highlight w:val="none"/>
              </w:rPr>
              <w:t>账户</w:t>
            </w:r>
          </w:p>
          <w:p>
            <w:pPr>
              <w:spacing w:line="360" w:lineRule="auto"/>
              <w:jc w:val="center"/>
              <w:rPr>
                <w:rFonts w:hAnsi="宋体" w:cs="宋体"/>
                <w:szCs w:val="24"/>
                <w:highlight w:val="none"/>
              </w:rPr>
            </w:pPr>
            <w:r>
              <w:rPr>
                <w:rFonts w:hint="eastAsia" w:hAnsi="宋体" w:cs="宋体"/>
                <w:szCs w:val="24"/>
                <w:highlight w:val="none"/>
              </w:rPr>
              <w:t>信息</w:t>
            </w:r>
          </w:p>
        </w:tc>
        <w:tc>
          <w:tcPr>
            <w:tcW w:w="7834" w:type="dxa"/>
            <w:vAlign w:val="center"/>
          </w:tcPr>
          <w:p>
            <w:pPr>
              <w:spacing w:line="520" w:lineRule="exact"/>
              <w:rPr>
                <w:rFonts w:hAnsi="宋体" w:cs="宋体"/>
                <w:b/>
                <w:bCs/>
                <w:szCs w:val="24"/>
                <w:highlight w:val="none"/>
              </w:rPr>
            </w:pPr>
            <w:r>
              <w:rPr>
                <w:rFonts w:hint="eastAsia" w:hAnsi="宋体" w:cs="宋体"/>
                <w:b/>
                <w:bCs/>
                <w:szCs w:val="24"/>
                <w:highlight w:val="none"/>
              </w:rPr>
              <w:t>1、保证金账户：</w:t>
            </w:r>
          </w:p>
          <w:p>
            <w:pPr>
              <w:spacing w:line="440" w:lineRule="exact"/>
              <w:ind w:firstLine="240" w:firstLineChars="100"/>
              <w:rPr>
                <w:rFonts w:hint="eastAsia" w:hAnsi="宋体" w:eastAsia="宋体" w:cs="宋体"/>
                <w:szCs w:val="24"/>
                <w:highlight w:val="none"/>
                <w:lang w:eastAsia="zh-CN"/>
              </w:rPr>
            </w:pPr>
            <w:r>
              <w:rPr>
                <w:rFonts w:hint="eastAsia" w:hAnsi="宋体" w:cs="宋体"/>
                <w:szCs w:val="24"/>
                <w:highlight w:val="none"/>
              </w:rPr>
              <w:t>户名：</w:t>
            </w:r>
            <w:r>
              <w:rPr>
                <w:rFonts w:hint="eastAsia" w:hAnsi="宋体" w:cs="宋体"/>
                <w:szCs w:val="24"/>
                <w:highlight w:val="none"/>
                <w:lang w:eastAsia="zh-CN"/>
              </w:rPr>
              <w:t>陕西启航项目管理咨询有限公司</w:t>
            </w:r>
          </w:p>
          <w:p>
            <w:pPr>
              <w:spacing w:line="440" w:lineRule="exact"/>
              <w:ind w:firstLine="240" w:firstLineChars="100"/>
              <w:rPr>
                <w:rFonts w:hAnsi="宋体" w:cs="宋体"/>
                <w:szCs w:val="24"/>
                <w:highlight w:val="none"/>
              </w:rPr>
            </w:pPr>
            <w:r>
              <w:rPr>
                <w:rFonts w:hint="eastAsia" w:hAnsi="宋体" w:cs="宋体"/>
                <w:szCs w:val="24"/>
                <w:highlight w:val="none"/>
              </w:rPr>
              <w:t>开户行：中国工商银行股份有限公司西安高新技术开发区支行</w:t>
            </w:r>
          </w:p>
          <w:p>
            <w:pPr>
              <w:spacing w:line="440" w:lineRule="exact"/>
              <w:ind w:firstLine="240" w:firstLineChars="100"/>
              <w:rPr>
                <w:rFonts w:hAnsi="宋体" w:cs="宋体"/>
                <w:szCs w:val="24"/>
                <w:highlight w:val="none"/>
              </w:rPr>
            </w:pPr>
            <w:r>
              <w:rPr>
                <w:rFonts w:hint="eastAsia" w:hAnsi="宋体" w:cs="宋体"/>
                <w:szCs w:val="24"/>
                <w:highlight w:val="none"/>
              </w:rPr>
              <w:t>账号：3700024609200501345</w:t>
            </w:r>
          </w:p>
          <w:p>
            <w:pPr>
              <w:spacing w:line="360" w:lineRule="auto"/>
              <w:rPr>
                <w:rFonts w:hAnsi="宋体" w:cs="宋体"/>
                <w:b/>
                <w:bCs/>
                <w:szCs w:val="24"/>
                <w:highlight w:val="none"/>
              </w:rPr>
            </w:pPr>
            <w:r>
              <w:rPr>
                <w:rFonts w:hint="eastAsia" w:hAnsi="宋体" w:cs="宋体"/>
                <w:b/>
                <w:bCs/>
                <w:szCs w:val="24"/>
                <w:highlight w:val="none"/>
              </w:rPr>
              <w:t>2、代理服务费账户：</w:t>
            </w:r>
          </w:p>
          <w:p>
            <w:pPr>
              <w:spacing w:line="360" w:lineRule="auto"/>
              <w:rPr>
                <w:rFonts w:hint="eastAsia" w:hAnsi="宋体" w:eastAsia="宋体" w:cs="宋体"/>
                <w:szCs w:val="24"/>
                <w:highlight w:val="none"/>
                <w:lang w:eastAsia="zh-CN"/>
              </w:rPr>
            </w:pPr>
            <w:r>
              <w:rPr>
                <w:rFonts w:hint="eastAsia" w:hAnsi="宋体" w:cs="宋体"/>
                <w:szCs w:val="24"/>
                <w:highlight w:val="none"/>
              </w:rPr>
              <w:t xml:space="preserve">1、采购代理机构开户名称: </w:t>
            </w:r>
            <w:r>
              <w:rPr>
                <w:rFonts w:hint="eastAsia" w:hAnsi="宋体" w:cs="宋体"/>
                <w:szCs w:val="24"/>
                <w:highlight w:val="none"/>
                <w:lang w:eastAsia="zh-CN"/>
              </w:rPr>
              <w:t>陕西启航项目管理咨询有限公司</w:t>
            </w:r>
          </w:p>
          <w:p>
            <w:pPr>
              <w:spacing w:line="360" w:lineRule="auto"/>
              <w:rPr>
                <w:rFonts w:hAnsi="宋体" w:cs="宋体"/>
                <w:szCs w:val="24"/>
                <w:highlight w:val="none"/>
              </w:rPr>
            </w:pPr>
            <w:r>
              <w:rPr>
                <w:rFonts w:hint="eastAsia" w:hAnsi="宋体" w:cs="宋体"/>
                <w:szCs w:val="24"/>
                <w:highlight w:val="none"/>
              </w:rPr>
              <w:t>2、开户行名称：中国工商银行股份有限公司西安高新技术开发区支行</w:t>
            </w:r>
          </w:p>
          <w:p>
            <w:pPr>
              <w:spacing w:line="360" w:lineRule="auto"/>
              <w:rPr>
                <w:rFonts w:hAnsi="宋体" w:cs="宋体"/>
                <w:szCs w:val="24"/>
                <w:highlight w:val="none"/>
              </w:rPr>
            </w:pPr>
            <w:r>
              <w:rPr>
                <w:rFonts w:hint="eastAsia" w:hAnsi="宋体" w:cs="宋体"/>
                <w:szCs w:val="24"/>
                <w:highlight w:val="none"/>
              </w:rPr>
              <w:t>3、账号：3700024609200501345。</w:t>
            </w:r>
          </w:p>
          <w:p>
            <w:pPr>
              <w:spacing w:line="360" w:lineRule="auto"/>
              <w:ind w:firstLine="480" w:firstLineChars="200"/>
              <w:rPr>
                <w:rFonts w:hAnsi="宋体" w:cs="宋体"/>
                <w:szCs w:val="24"/>
                <w:highlight w:val="none"/>
              </w:rPr>
            </w:pPr>
            <w:r>
              <w:rPr>
                <w:rFonts w:hint="eastAsia" w:hAnsi="宋体" w:cs="宋体"/>
                <w:szCs w:val="24"/>
                <w:highlight w:val="none"/>
              </w:rPr>
              <w:t>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18</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履约</w:t>
            </w:r>
          </w:p>
          <w:p>
            <w:pPr>
              <w:spacing w:line="360" w:lineRule="auto"/>
              <w:jc w:val="center"/>
              <w:rPr>
                <w:rFonts w:hAnsi="宋体" w:cs="宋体"/>
                <w:szCs w:val="24"/>
                <w:highlight w:val="none"/>
              </w:rPr>
            </w:pPr>
            <w:r>
              <w:rPr>
                <w:rFonts w:hint="eastAsia" w:hAnsi="宋体" w:cs="宋体"/>
                <w:szCs w:val="24"/>
                <w:highlight w:val="none"/>
              </w:rPr>
              <w:t>担保</w:t>
            </w:r>
          </w:p>
        </w:tc>
        <w:tc>
          <w:tcPr>
            <w:tcW w:w="7834" w:type="dxa"/>
            <w:vAlign w:val="center"/>
          </w:tcPr>
          <w:p>
            <w:pPr>
              <w:widowControl/>
              <w:spacing w:line="360" w:lineRule="auto"/>
              <w:jc w:val="left"/>
              <w:rPr>
                <w:rFonts w:hAnsi="宋体" w:cs="宋体"/>
                <w:szCs w:val="24"/>
                <w:highlight w:val="none"/>
              </w:rPr>
            </w:pPr>
            <w:r>
              <w:rPr>
                <w:rFonts w:hint="eastAsia" w:hAnsi="宋体" w:cs="宋体"/>
                <w:szCs w:val="24"/>
                <w:highlight w:val="none"/>
              </w:rPr>
              <w:t>履约担保的形式：/</w:t>
            </w:r>
          </w:p>
          <w:p>
            <w:pPr>
              <w:spacing w:line="360" w:lineRule="auto"/>
              <w:rPr>
                <w:rFonts w:hAnsi="宋体" w:cs="宋体"/>
                <w:szCs w:val="24"/>
                <w:highlight w:val="none"/>
              </w:rPr>
            </w:pPr>
            <w:r>
              <w:rPr>
                <w:rFonts w:hint="eastAsia" w:hAnsi="宋体" w:cs="宋体"/>
                <w:szCs w:val="24"/>
                <w:highlight w:val="none"/>
              </w:rPr>
              <w:t>履约担保的金额：/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18</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其他</w:t>
            </w:r>
          </w:p>
        </w:tc>
        <w:tc>
          <w:tcPr>
            <w:tcW w:w="7834" w:type="dxa"/>
            <w:vAlign w:val="center"/>
          </w:tcPr>
          <w:p>
            <w:pPr>
              <w:spacing w:line="360" w:lineRule="auto"/>
              <w:ind w:firstLine="480" w:firstLineChars="200"/>
              <w:rPr>
                <w:rFonts w:hAnsi="宋体" w:cs="宋体"/>
                <w:szCs w:val="24"/>
                <w:highlight w:val="none"/>
              </w:rPr>
            </w:pPr>
            <w:r>
              <w:rPr>
                <w:rFonts w:hint="eastAsia" w:hAnsi="宋体" w:cs="宋体"/>
                <w:szCs w:val="24"/>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 登录陕西省政府采购信用融资平台(http://www.ccgp-shaanxi.gov.cn/zcdservice/zcd/shan xi/）在线申请，依法参加政府采购信用融资活动。</w:t>
            </w:r>
          </w:p>
          <w:p>
            <w:pPr>
              <w:spacing w:line="360" w:lineRule="auto"/>
              <w:ind w:firstLine="480" w:firstLineChars="200"/>
              <w:rPr>
                <w:highlight w:val="none"/>
              </w:rPr>
            </w:pPr>
            <w:r>
              <w:rPr>
                <w:rFonts w:hint="eastAsia" w:hAnsi="宋体" w:cs="宋体"/>
                <w:szCs w:val="24"/>
                <w:highlight w:val="none"/>
              </w:rPr>
              <w:t>目前的合作银行有∶ 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19</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备注</w:t>
            </w:r>
          </w:p>
        </w:tc>
        <w:tc>
          <w:tcPr>
            <w:tcW w:w="7834" w:type="dxa"/>
            <w:vAlign w:val="center"/>
          </w:tcPr>
          <w:p>
            <w:pPr>
              <w:spacing w:line="360" w:lineRule="auto"/>
              <w:rPr>
                <w:rFonts w:hAnsi="宋体" w:cs="宋体"/>
                <w:b/>
                <w:bCs/>
                <w:szCs w:val="24"/>
                <w:highlight w:val="none"/>
              </w:rPr>
            </w:pPr>
            <w:r>
              <w:rPr>
                <w:rFonts w:hint="eastAsia" w:hAnsi="宋体" w:cs="宋体"/>
                <w:b/>
                <w:bCs/>
                <w:szCs w:val="24"/>
                <w:highlight w:val="none"/>
              </w:rPr>
              <w:t>供应商注册登记提醒：</w:t>
            </w:r>
          </w:p>
          <w:p>
            <w:pPr>
              <w:spacing w:line="360" w:lineRule="auto"/>
              <w:rPr>
                <w:rFonts w:hAnsi="宋体" w:cs="宋体"/>
                <w:szCs w:val="24"/>
                <w:highlight w:val="none"/>
              </w:rPr>
            </w:pPr>
            <w:r>
              <w:rPr>
                <w:rFonts w:hint="eastAsia" w:hAnsi="宋体" w:cs="宋体"/>
                <w:szCs w:val="24"/>
                <w:highlight w:val="none"/>
              </w:rPr>
              <w:t>根据陕西省财政厅关于政府采购供应商注册登记有关事项的通知，如所投本项目的供应商未在陕西省政府采购网（</w:t>
            </w:r>
            <w:r>
              <w:rPr>
                <w:highlight w:val="none"/>
              </w:rPr>
              <w:fldChar w:fldCharType="begin"/>
            </w:r>
            <w:r>
              <w:rPr>
                <w:highlight w:val="none"/>
              </w:rPr>
              <w:instrText xml:space="preserve"> HYPERLINK "http://www.ccgp-shaanxi.gov.cn/information/informationDetail.do?informationguid=8a85be3567ed23460167ed36804d0009" </w:instrText>
            </w:r>
            <w:r>
              <w:rPr>
                <w:highlight w:val="none"/>
              </w:rPr>
              <w:fldChar w:fldCharType="separate"/>
            </w:r>
            <w:r>
              <w:rPr>
                <w:rFonts w:hint="eastAsia" w:hAnsi="宋体" w:cs="宋体"/>
                <w:szCs w:val="24"/>
                <w:highlight w:val="none"/>
              </w:rPr>
              <w:t>http://www.ccgp-shaanxi.gov.cn/information/informationDetail.do?informationguid=8a85be3567ed23460167ed36804d0009</w:t>
            </w:r>
            <w:r>
              <w:rPr>
                <w:rFonts w:hint="eastAsia" w:hAnsi="宋体" w:cs="宋体"/>
                <w:szCs w:val="24"/>
                <w:highlight w:val="none"/>
              </w:rPr>
              <w:fldChar w:fldCharType="end"/>
            </w:r>
            <w:r>
              <w:rPr>
                <w:rFonts w:hint="eastAsia" w:hAnsi="宋体" w:cs="宋体"/>
                <w:szCs w:val="24"/>
                <w:highlight w:val="none"/>
              </w:rPr>
              <w:t>）注册登记加入陕西省政府采购供应商库的，应按要求及时办理注册登记，并接受财政部门监督管理。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20</w:t>
            </w:r>
          </w:p>
        </w:tc>
        <w:tc>
          <w:tcPr>
            <w:tcW w:w="945" w:type="dxa"/>
            <w:vAlign w:val="center"/>
          </w:tcPr>
          <w:p>
            <w:pPr>
              <w:spacing w:line="360" w:lineRule="auto"/>
              <w:jc w:val="center"/>
              <w:rPr>
                <w:rFonts w:cs="宋体"/>
                <w:b w:val="0"/>
                <w:bCs w:val="0"/>
                <w:szCs w:val="24"/>
                <w:highlight w:val="none"/>
              </w:rPr>
            </w:pPr>
            <w:r>
              <w:rPr>
                <w:rFonts w:hint="eastAsia" w:cs="宋体"/>
                <w:b w:val="0"/>
                <w:bCs w:val="0"/>
                <w:szCs w:val="24"/>
                <w:highlight w:val="none"/>
              </w:rPr>
              <w:t>项目</w:t>
            </w:r>
          </w:p>
          <w:p>
            <w:pPr>
              <w:spacing w:line="360" w:lineRule="auto"/>
              <w:jc w:val="center"/>
              <w:rPr>
                <w:rFonts w:hint="eastAsia" w:ascii="宋体" w:hAnsi="Times New Roman" w:eastAsia="宋体" w:cs="宋体"/>
                <w:b w:val="0"/>
                <w:bCs w:val="0"/>
                <w:sz w:val="24"/>
                <w:szCs w:val="24"/>
                <w:highlight w:val="none"/>
                <w:lang w:val="en-US" w:eastAsia="zh-CN" w:bidi="ar-SA"/>
              </w:rPr>
            </w:pPr>
            <w:r>
              <w:rPr>
                <w:rFonts w:hint="eastAsia" w:cs="宋体"/>
                <w:b w:val="0"/>
                <w:bCs w:val="0"/>
                <w:szCs w:val="24"/>
                <w:highlight w:val="none"/>
              </w:rPr>
              <w:t>性质</w:t>
            </w:r>
          </w:p>
        </w:tc>
        <w:tc>
          <w:tcPr>
            <w:tcW w:w="7834" w:type="dxa"/>
            <w:vAlign w:val="center"/>
          </w:tcPr>
          <w:p>
            <w:pPr>
              <w:spacing w:line="360" w:lineRule="auto"/>
              <w:rPr>
                <w:rFonts w:hint="eastAsia" w:ascii="宋体" w:hAnsi="Times New Roman" w:eastAsia="宋体" w:cs="宋体"/>
                <w:b w:val="0"/>
                <w:bCs w:val="0"/>
                <w:sz w:val="24"/>
                <w:szCs w:val="24"/>
                <w:highlight w:val="none"/>
                <w:lang w:val="en-US" w:eastAsia="zh-CN" w:bidi="ar-SA"/>
              </w:rPr>
            </w:pPr>
            <w:r>
              <w:rPr>
                <w:rFonts w:hint="eastAsia" w:cs="宋体"/>
                <w:b w:val="0"/>
                <w:bCs w:val="0"/>
                <w:szCs w:val="24"/>
                <w:highlight w:val="none"/>
                <w:lang w:val="zh-CN"/>
              </w:rPr>
              <w:t>专门面向中小企业采购，供应商应为中小微企业或监狱企业或残疾人福利性单位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21</w:t>
            </w:r>
          </w:p>
        </w:tc>
        <w:tc>
          <w:tcPr>
            <w:tcW w:w="945" w:type="dxa"/>
            <w:vAlign w:val="center"/>
          </w:tcPr>
          <w:p>
            <w:pPr>
              <w:spacing w:line="360" w:lineRule="auto"/>
              <w:jc w:val="center"/>
              <w:rPr>
                <w:rFonts w:hint="eastAsia" w:hAnsi="宋体" w:cs="宋体"/>
                <w:szCs w:val="24"/>
                <w:highlight w:val="none"/>
                <w:lang w:eastAsia="zh-CN"/>
              </w:rPr>
            </w:pPr>
            <w:r>
              <w:rPr>
                <w:rFonts w:hint="eastAsia" w:hAnsi="宋体" w:cs="宋体"/>
                <w:szCs w:val="24"/>
                <w:highlight w:val="none"/>
                <w:lang w:eastAsia="zh-CN"/>
              </w:rPr>
              <w:t>项目</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lang w:eastAsia="zh-CN"/>
              </w:rPr>
              <w:t>属性</w:t>
            </w:r>
          </w:p>
        </w:tc>
        <w:tc>
          <w:tcPr>
            <w:tcW w:w="7834" w:type="dxa"/>
            <w:vAlign w:val="center"/>
          </w:tcPr>
          <w:p>
            <w:pPr>
              <w:spacing w:line="360" w:lineRule="auto"/>
              <w:rPr>
                <w:rFonts w:hint="eastAsia" w:ascii="宋体" w:hAnsi="宋体" w:eastAsia="宋体" w:cs="宋体"/>
                <w:sz w:val="24"/>
                <w:szCs w:val="24"/>
                <w:highlight w:val="none"/>
                <w:lang w:val="zh-CN" w:eastAsia="zh-CN" w:bidi="ar-SA"/>
              </w:rPr>
            </w:pPr>
            <w:r>
              <w:rPr>
                <w:rFonts w:hint="eastAsia" w:hAnsi="宋体" w:cs="宋体"/>
                <w:szCs w:val="24"/>
                <w:highlight w:val="none"/>
                <w:lang w:val="en-US" w:eastAsia="zh-CN"/>
              </w:rPr>
              <w:t>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22</w:t>
            </w:r>
          </w:p>
        </w:tc>
        <w:tc>
          <w:tcPr>
            <w:tcW w:w="945" w:type="dxa"/>
            <w:vAlign w:val="center"/>
          </w:tcPr>
          <w:p>
            <w:pPr>
              <w:spacing w:line="360" w:lineRule="auto"/>
              <w:rPr>
                <w:rFonts w:hint="eastAsia" w:ascii="宋体" w:hAnsi="Times New Roman" w:eastAsia="宋体" w:cs="宋体"/>
                <w:sz w:val="24"/>
                <w:szCs w:val="24"/>
                <w:highlight w:val="none"/>
                <w:lang w:val="en-US" w:eastAsia="zh-CN" w:bidi="ar-SA"/>
              </w:rPr>
            </w:pPr>
            <w:r>
              <w:rPr>
                <w:rFonts w:hint="eastAsia" w:ascii="宋体" w:hAnsi="Times New Roman" w:eastAsia="宋体" w:cs="宋体"/>
                <w:szCs w:val="24"/>
                <w:highlight w:val="none"/>
                <w:lang w:val="en-US" w:eastAsia="zh-CN"/>
              </w:rPr>
              <w:t>项目所属行业</w:t>
            </w:r>
          </w:p>
        </w:tc>
        <w:tc>
          <w:tcPr>
            <w:tcW w:w="7834" w:type="dxa"/>
            <w:vAlign w:val="center"/>
          </w:tcPr>
          <w:p>
            <w:pPr>
              <w:spacing w:line="360" w:lineRule="auto"/>
              <w:rPr>
                <w:rFonts w:hint="eastAsia" w:ascii="宋体" w:hAnsi="Times New Roman" w:eastAsia="宋体" w:cs="宋体"/>
                <w:sz w:val="24"/>
                <w:szCs w:val="24"/>
                <w:highlight w:val="none"/>
                <w:lang w:val="zh-CN" w:eastAsia="zh-CN" w:bidi="ar-SA"/>
              </w:rPr>
            </w:pPr>
            <w:r>
              <w:rPr>
                <w:rFonts w:hint="eastAsia" w:ascii="宋体" w:hAnsi="Times New Roman" w:eastAsia="宋体" w:cs="宋体"/>
                <w:sz w:val="24"/>
                <w:szCs w:val="24"/>
                <w:highlight w:val="none"/>
                <w:lang w:val="zh-CN" w:eastAsia="zh-CN" w:bidi="ar-SA"/>
              </w:rPr>
              <w:t>其他未列明行业</w:t>
            </w:r>
          </w:p>
        </w:tc>
      </w:tr>
    </w:tbl>
    <w:p>
      <w:pPr>
        <w:jc w:val="center"/>
        <w:rPr>
          <w:rFonts w:hAnsi="宋体" w:cs="宋体"/>
          <w:sz w:val="32"/>
          <w:szCs w:val="32"/>
          <w:highlight w:val="none"/>
        </w:rPr>
      </w:pPr>
      <w:r>
        <w:rPr>
          <w:rFonts w:hint="eastAsia" w:hAnsi="宋体" w:cs="宋体"/>
          <w:b/>
          <w:sz w:val="32"/>
          <w:szCs w:val="32"/>
          <w:highlight w:val="none"/>
        </w:rPr>
        <w:br w:type="page"/>
      </w:r>
      <w:bookmarkStart w:id="31" w:name="_Toc24413"/>
      <w:bookmarkStart w:id="32" w:name="_Toc3623"/>
      <w:bookmarkStart w:id="33" w:name="_Toc27537"/>
      <w:r>
        <w:rPr>
          <w:rFonts w:hint="eastAsia" w:hAnsi="宋体" w:cs="宋体"/>
          <w:b/>
          <w:sz w:val="32"/>
          <w:szCs w:val="32"/>
          <w:highlight w:val="none"/>
        </w:rPr>
        <w:t>一.总  则</w:t>
      </w:r>
      <w:bookmarkEnd w:id="23"/>
      <w:bookmarkEnd w:id="24"/>
      <w:bookmarkEnd w:id="25"/>
      <w:bookmarkEnd w:id="31"/>
      <w:bookmarkEnd w:id="32"/>
      <w:bookmarkEnd w:id="33"/>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1.1本次竞争性磋商所签合同使用财政资金支付，资金已落实到位。</w:t>
      </w:r>
    </w:p>
    <w:p>
      <w:pPr>
        <w:numPr>
          <w:ilvl w:val="0"/>
          <w:numId w:val="3"/>
        </w:numPr>
        <w:spacing w:line="360" w:lineRule="auto"/>
        <w:rPr>
          <w:rFonts w:hAnsi="宋体" w:cs="宋体"/>
          <w:b/>
          <w:szCs w:val="24"/>
          <w:highlight w:val="none"/>
        </w:rPr>
      </w:pPr>
      <w:r>
        <w:rPr>
          <w:rFonts w:hint="eastAsia" w:hAnsi="宋体" w:cs="宋体"/>
          <w:b/>
          <w:szCs w:val="24"/>
          <w:highlight w:val="none"/>
        </w:rPr>
        <w:t>名词解释</w:t>
      </w:r>
    </w:p>
    <w:p>
      <w:pPr>
        <w:tabs>
          <w:tab w:val="left" w:pos="7665"/>
        </w:tabs>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2.1采购人：</w:t>
      </w:r>
      <w:r>
        <w:rPr>
          <w:rFonts w:hint="eastAsia" w:hAnsi="宋体" w:cs="宋体"/>
          <w:szCs w:val="24"/>
          <w:highlight w:val="none"/>
          <w:lang w:eastAsia="zh-CN"/>
        </w:rPr>
        <w:t>宜君县残疾人联合会</w:t>
      </w:r>
    </w:p>
    <w:p>
      <w:pPr>
        <w:tabs>
          <w:tab w:val="left" w:pos="7665"/>
        </w:tabs>
        <w:spacing w:line="360" w:lineRule="auto"/>
        <w:ind w:firstLine="480" w:firstLineChars="200"/>
        <w:rPr>
          <w:rFonts w:hAnsi="宋体" w:cs="宋体"/>
          <w:szCs w:val="24"/>
          <w:highlight w:val="none"/>
        </w:rPr>
      </w:pPr>
      <w:r>
        <w:rPr>
          <w:rFonts w:hint="eastAsia" w:hAnsi="宋体" w:cs="宋体"/>
          <w:szCs w:val="24"/>
          <w:highlight w:val="none"/>
        </w:rPr>
        <w:t>2.2监督机构：同级人民政府财政部门</w:t>
      </w:r>
    </w:p>
    <w:p>
      <w:pPr>
        <w:tabs>
          <w:tab w:val="left" w:pos="7665"/>
        </w:tabs>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2.3采购代理机构：</w:t>
      </w:r>
      <w:r>
        <w:rPr>
          <w:rFonts w:hint="eastAsia" w:hAnsi="宋体" w:cs="宋体"/>
          <w:szCs w:val="24"/>
          <w:highlight w:val="none"/>
          <w:lang w:eastAsia="zh-CN"/>
        </w:rPr>
        <w:t>陕西启航项目管理咨询有限公司</w:t>
      </w:r>
    </w:p>
    <w:p>
      <w:pPr>
        <w:tabs>
          <w:tab w:val="left" w:pos="7665"/>
        </w:tabs>
        <w:spacing w:line="360" w:lineRule="auto"/>
        <w:ind w:firstLine="480" w:firstLineChars="200"/>
        <w:rPr>
          <w:rFonts w:hAnsi="宋体" w:cs="宋体"/>
          <w:szCs w:val="24"/>
          <w:highlight w:val="none"/>
        </w:rPr>
      </w:pPr>
      <w:r>
        <w:rPr>
          <w:rFonts w:hint="eastAsia" w:hAnsi="宋体" w:cs="宋体"/>
          <w:szCs w:val="24"/>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2.5产品是指本竞争性磋商文件中第四章所述所有产品。</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2.6服务是指供应商为满足竞争性磋商文件要求而提供的服务。</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2.11残疾人福利性单位是指符合《三部门联合发布关于促进残疾人就业政府采购政策的通知》财库〔2017〕141号规定的对残疾人福利性单位划分标准的单位。</w:t>
      </w:r>
    </w:p>
    <w:p>
      <w:pPr>
        <w:spacing w:line="360" w:lineRule="auto"/>
        <w:rPr>
          <w:rFonts w:hAnsi="宋体" w:cs="宋体"/>
          <w:b/>
          <w:szCs w:val="24"/>
          <w:highlight w:val="none"/>
        </w:rPr>
      </w:pPr>
      <w:r>
        <w:rPr>
          <w:rFonts w:hint="eastAsia" w:hAnsi="宋体" w:cs="宋体"/>
          <w:b/>
          <w:szCs w:val="24"/>
          <w:highlight w:val="none"/>
        </w:rPr>
        <w:t>3.合格的供应商</w:t>
      </w:r>
    </w:p>
    <w:p>
      <w:pPr>
        <w:tabs>
          <w:tab w:val="left" w:pos="851"/>
        </w:tabs>
        <w:spacing w:line="360" w:lineRule="auto"/>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360" w:lineRule="auto"/>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360" w:lineRule="auto"/>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360" w:lineRule="auto"/>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360" w:lineRule="auto"/>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360" w:lineRule="auto"/>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360" w:lineRule="auto"/>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360" w:lineRule="auto"/>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360" w:lineRule="auto"/>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360" w:lineRule="auto"/>
        <w:ind w:firstLine="480" w:firstLineChars="200"/>
        <w:rPr>
          <w:rFonts w:hAnsi="宋体" w:cs="宋体"/>
          <w:szCs w:val="24"/>
          <w:highlight w:val="none"/>
        </w:rPr>
      </w:pPr>
      <w:r>
        <w:rPr>
          <w:rFonts w:hint="eastAsia" w:hAnsi="宋体" w:cs="宋体"/>
          <w:szCs w:val="24"/>
          <w:highlight w:val="none"/>
        </w:rPr>
        <w:t>3.4供应商必须在</w:t>
      </w:r>
      <w:r>
        <w:rPr>
          <w:rFonts w:hint="eastAsia" w:hAnsi="宋体" w:cs="宋体"/>
          <w:szCs w:val="24"/>
          <w:highlight w:val="none"/>
          <w:lang w:eastAsia="zh-CN"/>
        </w:rPr>
        <w:t>陕西启航项目管理咨询有限公司</w:t>
      </w:r>
      <w:r>
        <w:rPr>
          <w:rFonts w:hint="eastAsia" w:hAnsi="宋体" w:cs="宋体"/>
          <w:szCs w:val="24"/>
          <w:highlight w:val="none"/>
        </w:rPr>
        <w:t>购买竞争性磋商文件，方可参加磋商。竞争性磋商文件售后不退。</w:t>
      </w:r>
    </w:p>
    <w:p>
      <w:pPr>
        <w:spacing w:line="360" w:lineRule="auto"/>
        <w:ind w:firstLine="480" w:firstLineChars="200"/>
        <w:rPr>
          <w:rFonts w:hAnsi="宋体" w:cs="宋体"/>
          <w:szCs w:val="24"/>
          <w:highlight w:val="none"/>
        </w:rPr>
      </w:pPr>
      <w:r>
        <w:rPr>
          <w:rFonts w:hint="eastAsia" w:hAnsi="宋体" w:cs="宋体"/>
          <w:szCs w:val="24"/>
          <w:highlight w:val="none"/>
        </w:rPr>
        <w:t>3.5本项目不接受联合体磋商。</w:t>
      </w:r>
    </w:p>
    <w:p>
      <w:pPr>
        <w:spacing w:line="360" w:lineRule="auto"/>
        <w:ind w:firstLine="480" w:firstLineChars="200"/>
        <w:rPr>
          <w:rFonts w:hAnsi="宋体" w:cs="宋体"/>
          <w:b/>
          <w:bCs/>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360" w:lineRule="auto"/>
        <w:rPr>
          <w:rFonts w:hAnsi="宋体" w:cs="宋体"/>
          <w:b/>
          <w:bCs/>
          <w:szCs w:val="24"/>
          <w:highlight w:val="none"/>
        </w:rPr>
      </w:pPr>
      <w:r>
        <w:rPr>
          <w:rFonts w:hint="eastAsia" w:hAnsi="宋体" w:cs="宋体"/>
          <w:b/>
          <w:bCs/>
          <w:szCs w:val="24"/>
          <w:highlight w:val="none"/>
        </w:rPr>
        <w:t>4.</w:t>
      </w:r>
      <w:r>
        <w:rPr>
          <w:rFonts w:hint="eastAsia" w:hAnsi="宋体" w:cs="宋体"/>
          <w:b/>
          <w:szCs w:val="24"/>
          <w:highlight w:val="none"/>
        </w:rPr>
        <w:t>.竞争性磋商产品（含服务）的合格性和合法性</w:t>
      </w:r>
    </w:p>
    <w:p>
      <w:pPr>
        <w:tabs>
          <w:tab w:val="left" w:pos="747"/>
        </w:tabs>
        <w:snapToGrid w:val="0"/>
        <w:spacing w:line="360" w:lineRule="auto"/>
        <w:ind w:firstLine="480" w:firstLineChars="200"/>
        <w:rPr>
          <w:rFonts w:hAnsi="宋体" w:cs="宋体"/>
          <w:szCs w:val="24"/>
          <w:highlight w:val="none"/>
        </w:rPr>
      </w:pPr>
      <w:r>
        <w:rPr>
          <w:rFonts w:hint="eastAsia" w:hAnsi="宋体" w:cs="宋体"/>
          <w:szCs w:val="24"/>
          <w:highlight w:val="none"/>
        </w:rPr>
        <w:t>4.1竞争性磋商产品（含服务）应满足竞争性磋商文件的要求并应符合国家法律法规、行业管理部门要求的其他强制性标准。并满足竞争性磋商文件规定的质量、价格、有效期、售后服务及供应商须技术支持和竞争性磋商文件规定的其他伴随服务等要求。</w:t>
      </w:r>
    </w:p>
    <w:p>
      <w:pPr>
        <w:tabs>
          <w:tab w:val="left" w:pos="747"/>
        </w:tabs>
        <w:snapToGrid w:val="0"/>
        <w:spacing w:line="360" w:lineRule="auto"/>
        <w:ind w:firstLine="480" w:firstLineChars="200"/>
        <w:rPr>
          <w:rFonts w:hAnsi="宋体" w:cs="宋体"/>
          <w:szCs w:val="24"/>
          <w:highlight w:val="none"/>
        </w:rPr>
      </w:pPr>
      <w:r>
        <w:rPr>
          <w:rFonts w:hint="eastAsia" w:hAnsi="宋体" w:cs="宋体"/>
          <w:szCs w:val="24"/>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bookmarkEnd w:id="9"/>
    <w:bookmarkEnd w:id="10"/>
    <w:bookmarkEnd w:id="11"/>
    <w:bookmarkEnd w:id="26"/>
    <w:bookmarkEnd w:id="27"/>
    <w:bookmarkEnd w:id="28"/>
    <w:p>
      <w:pPr>
        <w:keepNext/>
        <w:keepLines/>
        <w:spacing w:before="312" w:beforeLines="100" w:after="156" w:afterLines="50" w:line="360" w:lineRule="auto"/>
        <w:jc w:val="center"/>
        <w:outlineLvl w:val="2"/>
        <w:rPr>
          <w:rFonts w:hAnsi="宋体" w:cs="宋体"/>
          <w:b/>
          <w:szCs w:val="24"/>
          <w:highlight w:val="none"/>
        </w:rPr>
      </w:pPr>
      <w:bookmarkStart w:id="34" w:name="_Toc1960"/>
      <w:bookmarkStart w:id="35" w:name="_Toc31742"/>
      <w:bookmarkStart w:id="36" w:name="_Toc363473973"/>
      <w:bookmarkStart w:id="37" w:name="_Toc27903"/>
      <w:bookmarkStart w:id="38" w:name="_Toc363474018"/>
      <w:bookmarkStart w:id="39" w:name="_Toc403077640"/>
      <w:r>
        <w:rPr>
          <w:rFonts w:hint="eastAsia" w:hAnsi="宋体" w:cs="宋体"/>
          <w:b/>
          <w:szCs w:val="24"/>
          <w:highlight w:val="none"/>
        </w:rPr>
        <w:t>二.竞争性磋商文件</w:t>
      </w:r>
      <w:bookmarkEnd w:id="34"/>
      <w:bookmarkEnd w:id="35"/>
      <w:bookmarkEnd w:id="36"/>
      <w:bookmarkEnd w:id="37"/>
      <w:bookmarkEnd w:id="38"/>
      <w:bookmarkEnd w:id="39"/>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磋商内容及技术要求</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360" w:lineRule="auto"/>
        <w:ind w:firstLine="480" w:firstLineChars="200"/>
        <w:rPr>
          <w:rFonts w:hAnsi="宋体" w:cs="宋体"/>
          <w:szCs w:val="24"/>
          <w:highlight w:val="none"/>
        </w:rPr>
      </w:pPr>
      <w:r>
        <w:rPr>
          <w:rFonts w:hint="eastAsia" w:hAnsi="宋体" w:cs="宋体"/>
          <w:szCs w:val="24"/>
          <w:highlight w:val="none"/>
        </w:rPr>
        <w:t>6.3本竞争性磋商文件的解释权归</w:t>
      </w:r>
      <w:r>
        <w:rPr>
          <w:rFonts w:hint="eastAsia" w:hAnsi="宋体" w:cs="宋体"/>
          <w:szCs w:val="24"/>
          <w:highlight w:val="none"/>
          <w:lang w:eastAsia="zh-CN"/>
        </w:rPr>
        <w:t>陕西启航项目管理咨询有限公司</w:t>
      </w:r>
      <w:r>
        <w:rPr>
          <w:rFonts w:hint="eastAsia" w:hAnsi="宋体" w:cs="宋体"/>
          <w:szCs w:val="24"/>
          <w:highlight w:val="none"/>
        </w:rPr>
        <w:t>，如发现竞争性磋商响应文件内容与现行法律法规不相符的情况，以现行法律法规为准。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outlineLvl w:val="2"/>
        <w:rPr>
          <w:rFonts w:hAnsi="宋体" w:cs="宋体"/>
          <w:b/>
          <w:szCs w:val="24"/>
          <w:highlight w:val="none"/>
        </w:rPr>
      </w:pPr>
      <w:bookmarkStart w:id="40" w:name="_Toc28227"/>
      <w:bookmarkStart w:id="41" w:name="_Toc26653"/>
      <w:bookmarkStart w:id="42" w:name="_Toc13747"/>
      <w:bookmarkStart w:id="43" w:name="_Toc363473974"/>
      <w:bookmarkStart w:id="44" w:name="_Toc403077641"/>
      <w:bookmarkStart w:id="45" w:name="_Toc363474019"/>
      <w:r>
        <w:rPr>
          <w:rFonts w:hint="eastAsia" w:hAnsi="宋体" w:cs="宋体"/>
          <w:b/>
          <w:szCs w:val="24"/>
          <w:highlight w:val="none"/>
        </w:rPr>
        <w:t>三.磋商响应文件的编制</w:t>
      </w:r>
      <w:bookmarkEnd w:id="40"/>
      <w:bookmarkEnd w:id="41"/>
      <w:bookmarkEnd w:id="42"/>
      <w:bookmarkEnd w:id="43"/>
      <w:bookmarkEnd w:id="44"/>
      <w:bookmarkEnd w:id="45"/>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360" w:lineRule="auto"/>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（4）竞争磋商文件中要求的其他证明文件。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rPr>
          <w:rFonts w:hint="eastAsia" w:hAnsi="宋体" w:eastAsia="宋体" w:cs="宋体"/>
          <w:szCs w:val="24"/>
          <w:highlight w:val="none"/>
          <w:lang w:eastAsia="zh-CN"/>
        </w:rPr>
      </w:pPr>
      <w:r>
        <w:rPr>
          <w:rFonts w:hint="eastAsia" w:hAnsi="宋体" w:cs="宋体"/>
          <w:szCs w:val="24"/>
          <w:highlight w:val="none"/>
        </w:rPr>
        <w:t>11.1磋商报价：是供应商为完成本项目要求的全部服务内容最终价格的体现，包括</w:t>
      </w:r>
      <w:r>
        <w:rPr>
          <w:rFonts w:hint="eastAsia" w:hAnsi="宋体" w:cs="宋体"/>
          <w:szCs w:val="24"/>
          <w:highlight w:val="none"/>
          <w:lang w:eastAsia="zh-CN"/>
        </w:rPr>
        <w:t>包括但不限于人员工资、生活照料服务费、饮食、医疗保健、文化娱乐费用等、招标代理服务费、税金等其他一切相关费用。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13.证明服务符合竞争性磋商文件规定的文件</w:t>
      </w:r>
    </w:p>
    <w:p>
      <w:pPr>
        <w:spacing w:line="360" w:lineRule="auto"/>
        <w:ind w:firstLine="480" w:firstLineChars="200"/>
        <w:rPr>
          <w:rFonts w:hAnsi="宋体" w:cs="宋体"/>
          <w:szCs w:val="24"/>
          <w:highlight w:val="none"/>
        </w:rPr>
      </w:pPr>
      <w:r>
        <w:rPr>
          <w:rFonts w:hint="eastAsia" w:hAnsi="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Ansi="宋体" w:cs="宋体"/>
          <w:szCs w:val="24"/>
          <w:highlight w:val="none"/>
        </w:rPr>
      </w:pPr>
      <w:r>
        <w:rPr>
          <w:rFonts w:hint="eastAsia" w:hAnsi="宋体" w:cs="宋体"/>
          <w:szCs w:val="24"/>
          <w:highlight w:val="none"/>
        </w:rPr>
        <w:t>13.2 供应商须提供全部服务内容的详细说明。</w:t>
      </w:r>
    </w:p>
    <w:p>
      <w:pPr>
        <w:spacing w:line="360" w:lineRule="auto"/>
        <w:rPr>
          <w:rFonts w:hAnsi="宋体" w:cs="宋体"/>
          <w:b/>
          <w:szCs w:val="24"/>
          <w:highlight w:val="none"/>
        </w:rPr>
      </w:pPr>
      <w:r>
        <w:rPr>
          <w:rFonts w:hint="eastAsia" w:hAnsi="宋体" w:cs="宋体"/>
          <w:b/>
          <w:szCs w:val="24"/>
          <w:highlight w:val="none"/>
        </w:rPr>
        <w:t>14.磋商保证金</w:t>
      </w:r>
    </w:p>
    <w:p>
      <w:pPr>
        <w:spacing w:line="500" w:lineRule="exact"/>
        <w:ind w:firstLine="480" w:firstLineChars="200"/>
        <w:rPr>
          <w:rFonts w:hAnsi="宋体" w:cs="宋体"/>
          <w:szCs w:val="24"/>
          <w:highlight w:val="none"/>
        </w:rPr>
      </w:pPr>
      <w:r>
        <w:rPr>
          <w:rFonts w:hint="eastAsia" w:hAnsi="宋体" w:cs="宋体"/>
          <w:szCs w:val="24"/>
          <w:highlight w:val="none"/>
        </w:rPr>
        <w:t>14.1供应商在投标时应向</w:t>
      </w:r>
      <w:r>
        <w:rPr>
          <w:rFonts w:hint="eastAsia" w:hAnsi="宋体" w:cs="宋体"/>
          <w:szCs w:val="24"/>
          <w:highlight w:val="none"/>
          <w:lang w:eastAsia="zh-CN"/>
        </w:rPr>
        <w:t>陕西启航项目管理咨询有限公司</w:t>
      </w:r>
      <w:r>
        <w:rPr>
          <w:rFonts w:hint="eastAsia" w:hAnsi="宋体" w:cs="宋体"/>
          <w:szCs w:val="24"/>
          <w:highlight w:val="none"/>
        </w:rPr>
        <w:t>提交“供应商须知前附表”规定数额的投标保证金,并作为其投标的一部分。</w:t>
      </w:r>
    </w:p>
    <w:p>
      <w:pPr>
        <w:spacing w:line="500" w:lineRule="exact"/>
        <w:ind w:firstLine="480" w:firstLineChars="200"/>
        <w:rPr>
          <w:rFonts w:hAnsi="宋体" w:cs="宋体"/>
          <w:szCs w:val="24"/>
          <w:highlight w:val="none"/>
        </w:rPr>
      </w:pPr>
      <w:r>
        <w:rPr>
          <w:rFonts w:hint="eastAsia" w:hAnsi="宋体" w:cs="宋体"/>
          <w:szCs w:val="24"/>
          <w:highlight w:val="none"/>
        </w:rPr>
        <w:t>14.2投标保证金是为了保护采购人和采购代理机构免遭因供应商的行为而蒙受损失。招标采购单位在因供应商的行为受到损害时可根据14.8条的规定没收供应商的投标保证金。</w:t>
      </w:r>
    </w:p>
    <w:p>
      <w:pPr>
        <w:spacing w:line="500" w:lineRule="exact"/>
        <w:ind w:firstLine="480" w:firstLineChars="200"/>
        <w:rPr>
          <w:rFonts w:hAnsi="宋体" w:cs="宋体"/>
          <w:szCs w:val="24"/>
          <w:highlight w:val="none"/>
        </w:rPr>
      </w:pPr>
      <w:r>
        <w:rPr>
          <w:rFonts w:hint="eastAsia" w:hAnsi="宋体" w:cs="宋体"/>
          <w:szCs w:val="24"/>
          <w:highlight w:val="none"/>
        </w:rPr>
        <w:t>14.3投标保证金可采取“供应商须知前附表”规定的任何一种形式；</w:t>
      </w:r>
    </w:p>
    <w:p>
      <w:pPr>
        <w:spacing w:line="500" w:lineRule="exact"/>
        <w:ind w:firstLine="480" w:firstLineChars="200"/>
        <w:rPr>
          <w:rFonts w:hAnsi="宋体" w:cs="宋体"/>
          <w:szCs w:val="24"/>
          <w:highlight w:val="none"/>
        </w:rPr>
      </w:pPr>
      <w:r>
        <w:rPr>
          <w:rFonts w:hint="eastAsia" w:hAnsi="宋体" w:cs="宋体"/>
          <w:szCs w:val="24"/>
          <w:highlight w:val="none"/>
        </w:rPr>
        <w:t>14.4投标保证金必须按照招标文件 “供应商须知前附表”中规定的缴纳金额及方式办理。</w:t>
      </w:r>
    </w:p>
    <w:p>
      <w:pPr>
        <w:spacing w:line="500" w:lineRule="exact"/>
        <w:ind w:firstLine="480" w:firstLineChars="200"/>
        <w:rPr>
          <w:rFonts w:hAnsi="宋体" w:cs="宋体"/>
          <w:szCs w:val="24"/>
          <w:highlight w:val="none"/>
        </w:rPr>
      </w:pPr>
      <w:r>
        <w:rPr>
          <w:rFonts w:hint="eastAsia" w:hAnsi="宋体" w:cs="宋体"/>
          <w:szCs w:val="24"/>
          <w:highlight w:val="none"/>
        </w:rPr>
        <w:t>14.5开标后经审查，未提交投标保证金、未按时间提交投标保证金、投标保证金金额不足、未将保函正本原件在规定时间内到采购代理机构备案、投标保证金缴纳凭证复印件或担保机构出具的保函正本复印件未附在投标文件内的投标将按无效投标处理。</w:t>
      </w:r>
    </w:p>
    <w:p>
      <w:pPr>
        <w:spacing w:line="500" w:lineRule="exact"/>
        <w:ind w:firstLine="480" w:firstLineChars="200"/>
        <w:rPr>
          <w:rFonts w:hAnsi="宋体" w:cs="宋体"/>
          <w:szCs w:val="24"/>
          <w:highlight w:val="none"/>
        </w:rPr>
      </w:pPr>
      <w:r>
        <w:rPr>
          <w:rFonts w:hint="eastAsia" w:hAnsi="宋体" w:cs="宋体"/>
          <w:szCs w:val="24"/>
          <w:highlight w:val="none"/>
        </w:rPr>
        <w:t>14.6未中标人的投标保证金，将在中标通知书发出后五个工作日内按原账户退还；中标人的投标保证金，在采购合同签订并按规定交纳招标代理服务费后五个工作日内退还</w:t>
      </w:r>
      <w:r>
        <w:rPr>
          <w:rFonts w:hint="eastAsia" w:hAnsi="宋体" w:cs="宋体"/>
          <w:b/>
          <w:bCs/>
          <w:szCs w:val="24"/>
          <w:highlight w:val="none"/>
        </w:rPr>
        <w:t>（退还时，须向采购代理机构提供采购合同原件壹份及保证金缴纳凭证复印件）。</w:t>
      </w:r>
    </w:p>
    <w:p>
      <w:pPr>
        <w:spacing w:line="500" w:lineRule="exact"/>
        <w:ind w:firstLine="480" w:firstLineChars="200"/>
        <w:rPr>
          <w:rFonts w:hAnsi="宋体" w:cs="宋体"/>
          <w:szCs w:val="24"/>
          <w:highlight w:val="none"/>
        </w:rPr>
      </w:pPr>
      <w:r>
        <w:rPr>
          <w:rFonts w:hint="eastAsia" w:hAnsi="宋体" w:cs="宋体"/>
          <w:szCs w:val="24"/>
          <w:highlight w:val="none"/>
        </w:rPr>
        <w:t>14.7供应商以担保机构保函形式缴纳投标保证金的，招标结束之后将担保机构保函正本（原件）退回（退还时间参照14.6条款）。供应商领取担保机构保函正本原件时需携带法定代表人授权书原件。</w:t>
      </w:r>
    </w:p>
    <w:p>
      <w:pPr>
        <w:spacing w:line="500" w:lineRule="exact"/>
        <w:ind w:firstLine="480" w:firstLineChars="200"/>
        <w:rPr>
          <w:rFonts w:hAnsi="宋体" w:cs="宋体"/>
          <w:szCs w:val="24"/>
          <w:highlight w:val="none"/>
        </w:rPr>
      </w:pPr>
      <w:r>
        <w:rPr>
          <w:rFonts w:hint="eastAsia" w:hAnsi="宋体" w:cs="宋体"/>
          <w:szCs w:val="24"/>
          <w:highlight w:val="none"/>
        </w:rPr>
        <w:t>14.8下列任何情况发生时，视为供应商违约，其投标保证金将被没收：</w:t>
      </w:r>
    </w:p>
    <w:p>
      <w:pPr>
        <w:spacing w:line="500" w:lineRule="exact"/>
        <w:ind w:firstLine="840" w:firstLineChars="350"/>
        <w:rPr>
          <w:rFonts w:hAnsi="宋体" w:cs="宋体"/>
          <w:szCs w:val="24"/>
          <w:highlight w:val="none"/>
        </w:rPr>
      </w:pPr>
      <w:r>
        <w:rPr>
          <w:rFonts w:hint="eastAsia" w:hAnsi="宋体" w:cs="宋体"/>
          <w:szCs w:val="24"/>
          <w:highlight w:val="none"/>
        </w:rPr>
        <w:t>1)供应商在递交投标文件截止时间后，撤回投标文件的或者擅自退出招标投标活动的。</w:t>
      </w:r>
    </w:p>
    <w:p>
      <w:pPr>
        <w:spacing w:line="500" w:lineRule="exact"/>
        <w:ind w:firstLine="840" w:firstLineChars="350"/>
        <w:rPr>
          <w:rFonts w:hAnsi="宋体" w:cs="宋体"/>
          <w:szCs w:val="24"/>
          <w:highlight w:val="none"/>
        </w:rPr>
      </w:pPr>
      <w:r>
        <w:rPr>
          <w:rFonts w:hint="eastAsia" w:hAnsi="宋体" w:cs="宋体"/>
          <w:szCs w:val="24"/>
          <w:highlight w:val="none"/>
        </w:rPr>
        <w:t>2)供应商中标后放弃中标或未能按规定签订合同、无正当理由不与采购人签订合同的或未能按规定交纳招标代理服务费</w:t>
      </w:r>
      <w:r>
        <w:rPr>
          <w:rFonts w:hint="eastAsia" w:hAnsi="宋体" w:cs="宋体"/>
          <w:highlight w:val="none"/>
        </w:rPr>
        <w:t>或由于供应商的原因导致中标无效的。</w:t>
      </w:r>
    </w:p>
    <w:p>
      <w:pPr>
        <w:spacing w:line="500" w:lineRule="exact"/>
        <w:ind w:firstLine="840" w:firstLineChars="350"/>
        <w:rPr>
          <w:rFonts w:hAnsi="宋体" w:cs="宋体"/>
          <w:szCs w:val="24"/>
          <w:highlight w:val="none"/>
        </w:rPr>
      </w:pPr>
      <w:r>
        <w:rPr>
          <w:rFonts w:hint="eastAsia" w:hAnsi="宋体" w:cs="宋体"/>
          <w:szCs w:val="24"/>
          <w:highlight w:val="none"/>
        </w:rPr>
        <w:t>3）将中标项目转让给他人，或者在投标文件中未说明，且未经采购机构同意，将中标项目分包给他人的。</w:t>
      </w:r>
    </w:p>
    <w:p>
      <w:pPr>
        <w:spacing w:line="500" w:lineRule="exact"/>
        <w:ind w:firstLine="840" w:firstLineChars="350"/>
        <w:rPr>
          <w:rFonts w:hAnsi="宋体" w:cs="宋体"/>
          <w:szCs w:val="24"/>
          <w:highlight w:val="none"/>
        </w:rPr>
      </w:pPr>
      <w:r>
        <w:rPr>
          <w:rFonts w:hint="eastAsia" w:hAnsi="宋体" w:cs="宋体"/>
          <w:szCs w:val="24"/>
          <w:highlight w:val="none"/>
        </w:rPr>
        <w:t>4）供应商在投标文件中提供伪造、套改、虚假资料参加招标投标的。</w:t>
      </w:r>
    </w:p>
    <w:p>
      <w:pPr>
        <w:spacing w:line="500" w:lineRule="exact"/>
        <w:ind w:firstLine="840" w:firstLineChars="350"/>
        <w:rPr>
          <w:rFonts w:hAnsi="宋体" w:cs="宋体"/>
          <w:szCs w:val="24"/>
          <w:highlight w:val="none"/>
        </w:rPr>
      </w:pPr>
      <w:r>
        <w:rPr>
          <w:rFonts w:hint="eastAsia" w:hAnsi="宋体" w:cs="宋体"/>
          <w:szCs w:val="24"/>
          <w:highlight w:val="none"/>
        </w:rPr>
        <w:t>5）供应商不按法定程序进行质疑和投诉,捏造事实，查无实据，造成恶劣影响，导致采购活动无法正常进行的。</w:t>
      </w:r>
    </w:p>
    <w:p>
      <w:pPr>
        <w:spacing w:line="500" w:lineRule="exact"/>
        <w:ind w:firstLine="840" w:firstLineChars="350"/>
        <w:rPr>
          <w:rFonts w:hAnsi="宋体" w:cs="宋体"/>
          <w:b/>
          <w:szCs w:val="24"/>
          <w:highlight w:val="none"/>
        </w:rPr>
      </w:pPr>
      <w:r>
        <w:rPr>
          <w:rFonts w:hint="eastAsia" w:hAnsi="宋体" w:cs="宋体"/>
          <w:highlight w:val="none"/>
        </w:rPr>
        <w:t>6）供应商与采购人、其它供应商或者采购代理机构恶意串通的。</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46"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46"/>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szCs w:val="24"/>
          <w:highlight w:val="none"/>
        </w:rPr>
        <w:t>电子版（U盘）</w:t>
      </w:r>
      <w:r>
        <w:rPr>
          <w:rFonts w:hint="eastAsia" w:hAnsi="宋体" w:cs="宋体"/>
          <w:szCs w:val="24"/>
          <w:highlight w:val="none"/>
        </w:rPr>
        <w:t>并在盘面标注供应商全称、项目名称、项目编号，并与竞争性磋商响应文件同时递交。</w:t>
      </w:r>
    </w:p>
    <w:p>
      <w:pPr>
        <w:spacing w:line="360" w:lineRule="auto"/>
        <w:ind w:firstLine="480" w:firstLineChars="200"/>
        <w:rPr>
          <w:rFonts w:hAnsi="宋体" w:cs="宋体"/>
          <w:b/>
          <w:bCs/>
          <w:szCs w:val="24"/>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16.4供应商名称应填写全称。磋商响应文件正本必须逐页加盖供应商公章（鲜章），否则按无效处理。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360" w:lineRule="auto"/>
        <w:ind w:firstLine="480" w:firstLineChars="200"/>
        <w:rPr>
          <w:rFonts w:hAnsi="宋体" w:cs="宋体"/>
          <w:szCs w:val="24"/>
          <w:highlight w:val="none"/>
        </w:rPr>
      </w:pPr>
      <w:r>
        <w:rPr>
          <w:rFonts w:hint="eastAsia" w:hAnsi="宋体" w:cs="宋体"/>
          <w:szCs w:val="24"/>
          <w:highlight w:val="none"/>
        </w:rPr>
        <w:t>16.6竞争性磋商文件的副本、电子版须和正本保持一致。若正本、副本和电子版有不一致的内容，以正本为准。</w:t>
      </w:r>
    </w:p>
    <w:p>
      <w:pPr>
        <w:keepNext/>
        <w:keepLines/>
        <w:spacing w:before="312" w:beforeLines="100" w:after="156" w:afterLines="50" w:line="360" w:lineRule="auto"/>
        <w:jc w:val="center"/>
        <w:outlineLvl w:val="2"/>
        <w:rPr>
          <w:rFonts w:hAnsi="宋体" w:cs="宋体"/>
          <w:b/>
          <w:szCs w:val="24"/>
          <w:highlight w:val="none"/>
        </w:rPr>
      </w:pPr>
      <w:bookmarkStart w:id="47" w:name="_Toc20799"/>
      <w:bookmarkStart w:id="48" w:name="_Toc9599"/>
      <w:bookmarkStart w:id="49" w:name="_Toc18686"/>
      <w:r>
        <w:rPr>
          <w:rFonts w:hint="eastAsia" w:hAnsi="宋体" w:cs="宋体"/>
          <w:b/>
          <w:szCs w:val="24"/>
          <w:highlight w:val="none"/>
        </w:rPr>
        <w:t>四.竞争性磋商响应文件的递交</w:t>
      </w:r>
      <w:bookmarkEnd w:id="47"/>
      <w:bookmarkEnd w:id="48"/>
      <w:bookmarkEnd w:id="49"/>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szCs w:val="24"/>
          <w:highlight w:val="none"/>
        </w:rPr>
        <w:t>17.2供应商应将竞争性磋商响应文件正本、所有的副本、电子版本、报价一览表单独密封装在封袋中（封袋不得有破损），且在封袋正面标明“正本”“副本”“电子版本”“报价一览表”字样。封袋应加贴封条，并在封线处加盖供应商公章，封袋正面要粘贴供应商全称、项目名称、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r>
        <w:rPr>
          <w:rFonts w:hint="eastAsia" w:hAnsi="宋体" w:cs="宋体"/>
          <w:szCs w:val="24"/>
          <w:highlight w:val="none"/>
          <w:lang w:eastAsia="zh-CN"/>
        </w:rPr>
        <w:t>、包号</w:t>
      </w:r>
      <w:r>
        <w:rPr>
          <w:rFonts w:hint="eastAsia" w:hAnsi="宋体" w:cs="宋体"/>
          <w:szCs w:val="24"/>
          <w:highlight w:val="none"/>
        </w:rPr>
        <w:t>；</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17.4如果供应商未对竞争性磋商响应文件按上述要求进行完好密封，由此产生的不利后果由供应商自行承担。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outlineLvl w:val="2"/>
        <w:rPr>
          <w:rFonts w:hAnsi="宋体" w:cs="宋体"/>
          <w:b/>
          <w:szCs w:val="24"/>
          <w:highlight w:val="none"/>
        </w:rPr>
      </w:pPr>
      <w:bookmarkStart w:id="50" w:name="_Toc23622"/>
      <w:bookmarkStart w:id="51" w:name="_Toc403077643"/>
      <w:bookmarkStart w:id="52" w:name="_Toc363473976"/>
      <w:bookmarkStart w:id="53" w:name="_Toc363474021"/>
      <w:bookmarkStart w:id="54" w:name="_Toc15436"/>
      <w:bookmarkStart w:id="55" w:name="_Toc13669"/>
      <w:r>
        <w:rPr>
          <w:rFonts w:hint="eastAsia" w:hAnsi="宋体" w:cs="宋体"/>
          <w:b/>
          <w:szCs w:val="24"/>
          <w:highlight w:val="none"/>
        </w:rPr>
        <w:t>五.磋商与评标</w:t>
      </w:r>
      <w:bookmarkEnd w:id="50"/>
      <w:bookmarkEnd w:id="51"/>
      <w:bookmarkEnd w:id="52"/>
      <w:bookmarkEnd w:id="53"/>
      <w:bookmarkEnd w:id="54"/>
      <w:bookmarkEnd w:id="55"/>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360" w:lineRule="auto"/>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w:t>
      </w:r>
    </w:p>
    <w:p>
      <w:pPr>
        <w:spacing w:line="360" w:lineRule="auto"/>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360" w:lineRule="auto"/>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360" w:lineRule="auto"/>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360" w:lineRule="auto"/>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360" w:lineRule="auto"/>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szCs w:val="24"/>
          <w:highlight w:val="none"/>
        </w:rPr>
      </w:pPr>
      <w:r>
        <w:rPr>
          <w:rFonts w:hint="eastAsia" w:hAnsi="宋体" w:cs="宋体"/>
          <w:szCs w:val="24"/>
          <w:highlight w:val="none"/>
        </w:rPr>
        <w:t>23.6.5实质上没有响应竞争性磋商文件要求的磋商将被拒绝。供应商不得通过修正或撤销不合要求的偏离从而使其磋商成为实质性响应的磋商。</w:t>
      </w: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3）资格证明文件不全的或无效的，或不符合国家规定的；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4）竞争性磋商响应文件无供应商公章、无法定代表人签字或签字人无法定代表人有效委托书的；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5）</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6）供应商在同一份竞争性磋商响应文件中，有两个或多个报价的；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7）存在有重大缺漏项和重大偏离的；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rPr>
        <w:t>9）磋商总报价低于成本或者高于竞争性磋商文件公布的采购预算的。</w:t>
      </w:r>
    </w:p>
    <w:p>
      <w:pPr>
        <w:pStyle w:val="24"/>
        <w:spacing w:before="0" w:beforeAutospacing="0" w:after="0" w:afterAutospacing="0" w:line="360" w:lineRule="auto"/>
        <w:ind w:firstLine="482" w:firstLineChars="200"/>
        <w:jc w:val="both"/>
        <w:rPr>
          <w:rFonts w:cs="宋体"/>
          <w:b/>
          <w:bCs/>
          <w:highlight w:val="none"/>
        </w:rPr>
      </w:pPr>
      <w:r>
        <w:rPr>
          <w:rFonts w:hint="eastAsia" w:cs="宋体"/>
          <w:b/>
          <w:bCs/>
          <w:highlight w:val="none"/>
        </w:rPr>
        <w:t>10）竞争性磋商响应文件含有采购人不能接受的附加条件的；</w:t>
      </w:r>
    </w:p>
    <w:p>
      <w:pPr>
        <w:spacing w:line="360" w:lineRule="auto"/>
        <w:ind w:firstLine="482" w:firstLineChars="200"/>
        <w:rPr>
          <w:rFonts w:hAnsi="宋体" w:cs="宋体"/>
          <w:b/>
          <w:bCs/>
          <w:szCs w:val="24"/>
          <w:highlight w:val="none"/>
        </w:rPr>
      </w:pPr>
      <w:r>
        <w:rPr>
          <w:rFonts w:hint="eastAsia" w:hAnsi="宋体" w:cs="宋体"/>
          <w:b/>
          <w:bCs/>
          <w:szCs w:val="24"/>
          <w:highlight w:val="none"/>
        </w:rPr>
        <w:t>11）竞争性磋商响应文件不符合法律法规要求的；</w:t>
      </w:r>
    </w:p>
    <w:p>
      <w:pPr>
        <w:pStyle w:val="24"/>
        <w:spacing w:before="0" w:beforeAutospacing="0" w:after="0" w:afterAutospacing="0" w:line="360" w:lineRule="auto"/>
        <w:ind w:firstLine="482" w:firstLineChars="200"/>
        <w:jc w:val="both"/>
        <w:rPr>
          <w:rFonts w:cs="宋体"/>
          <w:highlight w:val="none"/>
        </w:rPr>
      </w:pPr>
      <w:r>
        <w:rPr>
          <w:rFonts w:hint="eastAsia" w:cs="宋体"/>
          <w:b/>
          <w:bCs/>
          <w:highlight w:val="none"/>
        </w:rPr>
        <w:t>12）供应商被列入失信被执行人、重大税收违法案件当事人名单、政府采购严重违法失信行为记录名单及其他不符合《中华人民共和国政府采购法》第二十二条规定条件。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spacing w:line="360" w:lineRule="auto"/>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outlineLvl w:val="2"/>
        <w:rPr>
          <w:rFonts w:hAnsi="宋体" w:cs="宋体"/>
          <w:b/>
          <w:szCs w:val="24"/>
          <w:highlight w:val="none"/>
        </w:rPr>
      </w:pPr>
      <w:bookmarkStart w:id="56" w:name="_Toc29146"/>
      <w:bookmarkStart w:id="57" w:name="_Toc15100"/>
      <w:bookmarkStart w:id="58" w:name="_Toc2463"/>
      <w:r>
        <w:rPr>
          <w:rFonts w:hint="eastAsia" w:hAnsi="宋体" w:cs="宋体"/>
          <w:b/>
          <w:szCs w:val="24"/>
          <w:highlight w:val="none"/>
        </w:rPr>
        <w:t>六.成交、通知与签约</w:t>
      </w:r>
      <w:bookmarkEnd w:id="56"/>
      <w:bookmarkEnd w:id="57"/>
      <w:bookmarkEnd w:id="58"/>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360" w:lineRule="auto"/>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28.2采购人自采购合同签订之日起七个工作日内，将采购合同副本报同级人民政府财政部门备案。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Ansi="宋体" w:cs="宋体"/>
          <w:szCs w:val="24"/>
          <w:highlight w:val="none"/>
        </w:rPr>
      </w:pPr>
      <w:r>
        <w:rPr>
          <w:rFonts w:hint="eastAsia" w:hAnsi="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Ansi="宋体" w:cs="宋体"/>
          <w:szCs w:val="24"/>
          <w:highlight w:val="none"/>
        </w:rPr>
      </w:pPr>
      <w:r>
        <w:rPr>
          <w:rFonts w:hint="eastAsia" w:hAnsi="宋体" w:cs="宋体"/>
          <w:szCs w:val="24"/>
          <w:highlight w:val="none"/>
        </w:rPr>
        <w:t>29.2成交单位在领取成交通知书前，须向采购代理机构一次性支付代理服务费。</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int="eastAsia" w:hAnsi="宋体" w:eastAsia="宋体" w:cs="宋体"/>
          <w:b/>
          <w:bCs/>
          <w:szCs w:val="24"/>
          <w:highlight w:val="none"/>
          <w:lang w:eastAsia="zh-CN"/>
        </w:rPr>
      </w:pPr>
      <w:r>
        <w:rPr>
          <w:rFonts w:hint="eastAsia" w:hAnsi="宋体" w:cs="宋体"/>
          <w:b/>
          <w:bCs/>
          <w:szCs w:val="24"/>
          <w:highlight w:val="none"/>
        </w:rPr>
        <w:t xml:space="preserve">1、采购代理机构开户名称: </w:t>
      </w:r>
      <w:r>
        <w:rPr>
          <w:rFonts w:hint="eastAsia" w:hAnsi="宋体" w:cs="宋体"/>
          <w:b/>
          <w:bCs/>
          <w:szCs w:val="24"/>
          <w:highlight w:val="none"/>
          <w:lang w:eastAsia="zh-CN"/>
        </w:rPr>
        <w:t>陕西启航项目管理咨询有限公司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2、开户行名称：中国工商银行股份有限公司西安高新技术开发区支行</w:t>
      </w:r>
    </w:p>
    <w:p>
      <w:pPr>
        <w:pStyle w:val="2"/>
        <w:spacing w:line="360" w:lineRule="auto"/>
        <w:ind w:firstLine="482" w:firstLineChars="200"/>
        <w:rPr>
          <w:rFonts w:ascii="宋体" w:hAnsi="宋体" w:cs="宋体"/>
          <w:sz w:val="24"/>
          <w:szCs w:val="24"/>
          <w:highlight w:val="none"/>
        </w:rPr>
      </w:pPr>
      <w:r>
        <w:rPr>
          <w:rFonts w:hint="eastAsia" w:ascii="宋体" w:hAnsi="宋体" w:cs="宋体"/>
          <w:b/>
          <w:bCs/>
          <w:sz w:val="24"/>
          <w:szCs w:val="24"/>
          <w:highlight w:val="none"/>
        </w:rPr>
        <w:t>3、账号：3700024609200501345。</w:t>
      </w:r>
    </w:p>
    <w:p>
      <w:pPr>
        <w:numPr>
          <w:ilvl w:val="0"/>
          <w:numId w:val="4"/>
        </w:numPr>
        <w:spacing w:line="360" w:lineRule="auto"/>
        <w:rPr>
          <w:rFonts w:hAnsi="宋体" w:cs="宋体"/>
          <w:b/>
          <w:bCs/>
          <w:szCs w:val="24"/>
          <w:highlight w:val="none"/>
        </w:rPr>
      </w:pPr>
      <w:r>
        <w:rPr>
          <w:rFonts w:hint="eastAsia" w:hAnsi="宋体" w:cs="宋体"/>
          <w:b/>
          <w:bCs/>
          <w:szCs w:val="24"/>
          <w:highlight w:val="none"/>
        </w:rPr>
        <w:t>质疑</w:t>
      </w:r>
    </w:p>
    <w:p>
      <w:pPr>
        <w:spacing w:line="360" w:lineRule="auto"/>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360" w:lineRule="auto"/>
        <w:ind w:right="12" w:firstLine="480"/>
        <w:rPr>
          <w:rStyle w:val="29"/>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360" w:lineRule="auto"/>
        <w:ind w:left="3" w:firstLine="518" w:firstLineChars="216"/>
        <w:rPr>
          <w:rStyle w:val="29"/>
          <w:rFonts w:hAnsi="宋体" w:cs="宋体"/>
          <w:b w:val="0"/>
          <w:szCs w:val="24"/>
          <w:highlight w:val="none"/>
          <w:shd w:val="clear" w:color="auto" w:fill="FFFFFF"/>
        </w:rPr>
      </w:pPr>
      <w:r>
        <w:rPr>
          <w:rStyle w:val="29"/>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left="3" w:firstLine="518" w:firstLineChars="216"/>
        <w:rPr>
          <w:rStyle w:val="29"/>
          <w:rFonts w:hAnsi="宋体" w:cs="宋体"/>
          <w:b w:val="0"/>
          <w:szCs w:val="24"/>
          <w:highlight w:val="none"/>
          <w:shd w:val="clear" w:color="auto" w:fill="FFFFFF"/>
        </w:rPr>
      </w:pPr>
      <w:r>
        <w:rPr>
          <w:rStyle w:val="29"/>
          <w:rFonts w:hint="eastAsia" w:hAnsi="宋体" w:cs="宋体"/>
          <w:b w:val="0"/>
          <w:szCs w:val="24"/>
          <w:highlight w:val="none"/>
          <w:shd w:val="clear" w:color="auto" w:fill="FFFFFF"/>
        </w:rPr>
        <w:t>30.4以联合体形式参加政府采购活动的，其质疑应当由组成联合体的所有供应商共同提出。</w:t>
      </w:r>
    </w:p>
    <w:p>
      <w:pPr>
        <w:spacing w:line="360" w:lineRule="auto"/>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360" w:lineRule="auto"/>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360" w:lineRule="auto"/>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360" w:lineRule="auto"/>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360" w:lineRule="auto"/>
        <w:ind w:right="12" w:firstLine="480" w:firstLineChars="200"/>
        <w:rPr>
          <w:rFonts w:hAnsi="宋体" w:cs="宋体"/>
          <w:szCs w:val="24"/>
          <w:highlight w:val="none"/>
        </w:rPr>
      </w:pPr>
      <w:r>
        <w:rPr>
          <w:rFonts w:hint="eastAsia" w:hAnsi="宋体" w:cs="宋体"/>
          <w:szCs w:val="24"/>
          <w:highlight w:val="none"/>
        </w:rPr>
        <w:t>30.5.4事实依据；</w:t>
      </w:r>
    </w:p>
    <w:p>
      <w:pPr>
        <w:spacing w:line="360" w:lineRule="auto"/>
        <w:ind w:right="12" w:firstLine="480" w:firstLineChars="200"/>
        <w:rPr>
          <w:rFonts w:hAnsi="宋体" w:cs="宋体"/>
          <w:szCs w:val="24"/>
          <w:highlight w:val="none"/>
        </w:rPr>
      </w:pPr>
      <w:r>
        <w:rPr>
          <w:rFonts w:hint="eastAsia" w:hAnsi="宋体" w:cs="宋体"/>
          <w:szCs w:val="24"/>
          <w:highlight w:val="none"/>
        </w:rPr>
        <w:t>30.5.5必要的法律依据；</w:t>
      </w:r>
    </w:p>
    <w:p>
      <w:pPr>
        <w:spacing w:line="360" w:lineRule="auto"/>
        <w:ind w:right="12" w:firstLine="480" w:firstLineChars="200"/>
        <w:rPr>
          <w:rStyle w:val="29"/>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szCs w:val="24"/>
          <w:highlight w:val="none"/>
        </w:rPr>
      </w:pPr>
      <w:r>
        <w:rPr>
          <w:rFonts w:hint="eastAsia" w:hAnsi="宋体" w:cs="宋体"/>
          <w:szCs w:val="24"/>
          <w:highlight w:val="none"/>
        </w:rPr>
        <w:t>30.6有下列情形之一的，属于无效质疑，采购代理机构和采购人不予受理：</w:t>
      </w:r>
    </w:p>
    <w:p>
      <w:pPr>
        <w:widowControl/>
        <w:spacing w:line="360" w:lineRule="auto"/>
        <w:ind w:firstLine="480" w:firstLineChars="200"/>
        <w:rPr>
          <w:rFonts w:hAnsi="宋体" w:cs="宋体"/>
          <w:szCs w:val="24"/>
          <w:highlight w:val="none"/>
        </w:rPr>
      </w:pPr>
      <w:r>
        <w:rPr>
          <w:rFonts w:hint="eastAsia" w:hAnsi="宋体" w:cs="宋体"/>
          <w:szCs w:val="24"/>
          <w:highlight w:val="none"/>
        </w:rPr>
        <w:t>30.6.1质疑供应商不是参与本次政府采购项目的供应商；</w:t>
      </w:r>
    </w:p>
    <w:p>
      <w:pPr>
        <w:widowControl/>
        <w:spacing w:line="360" w:lineRule="auto"/>
        <w:ind w:firstLine="480" w:firstLineChars="200"/>
        <w:rPr>
          <w:rFonts w:hAnsi="宋体" w:cs="宋体"/>
          <w:szCs w:val="24"/>
          <w:highlight w:val="none"/>
        </w:rPr>
      </w:pPr>
      <w:r>
        <w:rPr>
          <w:rFonts w:hint="eastAsia" w:hAnsi="宋体" w:cs="宋体"/>
          <w:szCs w:val="24"/>
          <w:highlight w:val="none"/>
        </w:rPr>
        <w:t>30.6.2质疑供应商与质疑事项不存在利害关系的；</w:t>
      </w:r>
    </w:p>
    <w:p>
      <w:pPr>
        <w:widowControl/>
        <w:spacing w:line="360" w:lineRule="auto"/>
        <w:ind w:firstLine="480" w:firstLineChars="200"/>
        <w:rPr>
          <w:rFonts w:hAnsi="宋体" w:cs="宋体"/>
          <w:szCs w:val="24"/>
          <w:highlight w:val="none"/>
        </w:rPr>
      </w:pPr>
      <w:r>
        <w:rPr>
          <w:rFonts w:hint="eastAsia" w:hAnsi="宋体" w:cs="宋体"/>
          <w:szCs w:val="24"/>
          <w:highlight w:val="none"/>
        </w:rPr>
        <w:t>30.6.3未在法定期限内提出质疑的；</w:t>
      </w:r>
    </w:p>
    <w:p>
      <w:pPr>
        <w:widowControl/>
        <w:spacing w:line="360" w:lineRule="auto"/>
        <w:ind w:firstLine="480" w:firstLineChars="200"/>
        <w:rPr>
          <w:rFonts w:hAnsi="宋体" w:cs="宋体"/>
          <w:szCs w:val="24"/>
          <w:highlight w:val="none"/>
        </w:rPr>
      </w:pPr>
      <w:r>
        <w:rPr>
          <w:rFonts w:hint="eastAsia" w:hAnsi="宋体" w:cs="宋体"/>
          <w:szCs w:val="24"/>
          <w:highlight w:val="none"/>
        </w:rPr>
        <w:t>30.6.4质疑未以书面形式提出，或质疑函主要内容构成不完整的；</w:t>
      </w:r>
    </w:p>
    <w:p>
      <w:pPr>
        <w:widowControl/>
        <w:spacing w:line="360" w:lineRule="auto"/>
        <w:ind w:firstLine="480" w:firstLineChars="200"/>
        <w:rPr>
          <w:rFonts w:hAnsi="宋体" w:cs="宋体"/>
          <w:szCs w:val="24"/>
          <w:highlight w:val="none"/>
        </w:rPr>
      </w:pPr>
      <w:r>
        <w:rPr>
          <w:rFonts w:hint="eastAsia" w:hAnsi="宋体" w:cs="宋体"/>
          <w:szCs w:val="24"/>
          <w:highlight w:val="none"/>
        </w:rPr>
        <w:t>30.6.5应当提交授权书而未提交的；</w:t>
      </w:r>
    </w:p>
    <w:p>
      <w:pPr>
        <w:widowControl/>
        <w:spacing w:line="360" w:lineRule="auto"/>
        <w:ind w:firstLine="480" w:firstLineChars="200"/>
        <w:rPr>
          <w:rFonts w:hAnsi="宋体" w:cs="宋体"/>
          <w:szCs w:val="24"/>
          <w:highlight w:val="none"/>
        </w:rPr>
      </w:pPr>
      <w:r>
        <w:rPr>
          <w:rFonts w:hint="eastAsia" w:hAnsi="宋体" w:cs="宋体"/>
          <w:szCs w:val="24"/>
          <w:highlight w:val="none"/>
        </w:rPr>
        <w:t>30.6.6以非法手段取得证据、材料的；</w:t>
      </w:r>
    </w:p>
    <w:p>
      <w:pPr>
        <w:widowControl/>
        <w:spacing w:line="360" w:lineRule="auto"/>
        <w:ind w:firstLine="480" w:firstLineChars="200"/>
        <w:rPr>
          <w:rFonts w:hAnsi="宋体" w:cs="宋体"/>
          <w:szCs w:val="24"/>
          <w:highlight w:val="none"/>
        </w:rPr>
      </w:pPr>
      <w:r>
        <w:rPr>
          <w:rFonts w:hint="eastAsia" w:hAnsi="宋体" w:cs="宋体"/>
          <w:szCs w:val="24"/>
          <w:highlight w:val="none"/>
        </w:rPr>
        <w:t>30.6.7质疑答复后，同一质疑人就同一事项或同一采购程序环节再次提出质疑的；</w:t>
      </w:r>
    </w:p>
    <w:p>
      <w:pPr>
        <w:widowControl/>
        <w:spacing w:line="360" w:lineRule="auto"/>
        <w:ind w:firstLine="480" w:firstLineChars="200"/>
        <w:rPr>
          <w:rStyle w:val="29"/>
          <w:rFonts w:hAnsi="宋体" w:cs="宋体"/>
          <w:b w:val="0"/>
          <w:szCs w:val="24"/>
          <w:highlight w:val="none"/>
          <w:shd w:val="clear" w:color="auto" w:fill="FFFFFF"/>
        </w:rPr>
      </w:pPr>
      <w:r>
        <w:rPr>
          <w:rFonts w:hint="eastAsia" w:hAnsi="宋体" w:cs="宋体"/>
          <w:szCs w:val="24"/>
          <w:highlight w:val="none"/>
        </w:rPr>
        <w:t>30.6.8不符合法律、法规、规章和政府采购监管机构规定的其他条件的。</w:t>
      </w:r>
    </w:p>
    <w:p>
      <w:pPr>
        <w:spacing w:line="360" w:lineRule="auto"/>
        <w:ind w:right="12"/>
        <w:rPr>
          <w:rFonts w:hAnsi="宋体" w:cs="宋体"/>
          <w:szCs w:val="24"/>
          <w:highlight w:val="none"/>
        </w:rPr>
      </w:pPr>
      <w:r>
        <w:rPr>
          <w:rFonts w:hint="eastAsia" w:hAnsi="宋体" w:cs="宋体"/>
          <w:szCs w:val="24"/>
          <w:highlight w:val="none"/>
        </w:rPr>
        <w:t xml:space="preserve">    30.7质疑答复</w:t>
      </w:r>
    </w:p>
    <w:p>
      <w:pPr>
        <w:pStyle w:val="34"/>
        <w:spacing w:line="360" w:lineRule="auto"/>
        <w:ind w:firstLine="480"/>
        <w:jc w:val="left"/>
        <w:rPr>
          <w:rFonts w:hAnsi="宋体" w:cs="宋体"/>
          <w:szCs w:val="24"/>
          <w:highlight w:val="none"/>
        </w:rPr>
      </w:pPr>
      <w:r>
        <w:rPr>
          <w:rFonts w:hint="eastAsia" w:hAnsi="宋体" w:cs="宋体"/>
          <w:szCs w:val="24"/>
          <w:highlight w:val="none"/>
        </w:rPr>
        <w:t>30.7.1采购人或采购代理机构在收到质疑函后7个工作日内作出答复，并以书面形式通知质疑供应商和其他有关供应商。</w:t>
      </w:r>
    </w:p>
    <w:p>
      <w:pPr>
        <w:autoSpaceDE w:val="0"/>
        <w:autoSpaceDN w:val="0"/>
        <w:adjustRightInd w:val="0"/>
        <w:snapToGrid w:val="0"/>
        <w:spacing w:line="360" w:lineRule="auto"/>
        <w:ind w:firstLine="482" w:firstLineChars="200"/>
        <w:outlineLvl w:val="1"/>
        <w:rPr>
          <w:rFonts w:hAnsi="宋体" w:cs="宋体"/>
          <w:b/>
          <w:bCs/>
          <w:szCs w:val="24"/>
          <w:highlight w:val="none"/>
          <w:lang w:val="zh-CN"/>
        </w:rPr>
      </w:pPr>
      <w:r>
        <w:rPr>
          <w:rFonts w:hint="eastAsia" w:hAnsi="宋体" w:cs="宋体"/>
          <w:b/>
          <w:bCs/>
          <w:szCs w:val="24"/>
          <w:highlight w:val="none"/>
        </w:rPr>
        <w:t>30</w:t>
      </w:r>
      <w:r>
        <w:rPr>
          <w:rFonts w:hint="eastAsia" w:hAnsi="宋体" w:cs="宋体"/>
          <w:b/>
          <w:bCs/>
          <w:szCs w:val="24"/>
          <w:highlight w:val="none"/>
          <w:lang w:val="zh-CN"/>
        </w:rPr>
        <w:t>、信用担保</w:t>
      </w:r>
    </w:p>
    <w:p>
      <w:pPr>
        <w:adjustRightInd w:val="0"/>
        <w:snapToGrid w:val="0"/>
        <w:spacing w:line="360" w:lineRule="auto"/>
        <w:ind w:firstLine="480" w:firstLineChars="200"/>
        <w:rPr>
          <w:rFonts w:hAnsi="宋体" w:cs="宋体"/>
          <w:szCs w:val="24"/>
          <w:highlight w:val="none"/>
          <w:lang w:val="zh-CN"/>
        </w:rPr>
      </w:pPr>
      <w:r>
        <w:rPr>
          <w:rFonts w:hint="eastAsia" w:hAnsi="宋体" w:cs="宋体"/>
          <w:szCs w:val="24"/>
          <w:highlight w:val="none"/>
          <w:lang w:val="zh-CN"/>
        </w:rPr>
        <w:t>（一）陕西省信用担保</w:t>
      </w:r>
      <w:r>
        <w:rPr>
          <w:rFonts w:hint="eastAsia" w:hAnsi="宋体" w:cs="宋体"/>
          <w:szCs w:val="24"/>
          <w:highlight w:val="none"/>
        </w:rPr>
        <w:t>及信用融资政策</w:t>
      </w:r>
    </w:p>
    <w:p>
      <w:pPr>
        <w:adjustRightInd w:val="0"/>
        <w:snapToGrid w:val="0"/>
        <w:spacing w:line="360" w:lineRule="auto"/>
        <w:ind w:firstLine="480" w:firstLineChars="200"/>
        <w:rPr>
          <w:rFonts w:hAnsi="宋体" w:cs="宋体"/>
          <w:szCs w:val="24"/>
          <w:highlight w:val="none"/>
          <w:lang w:val="zh-CN"/>
        </w:rPr>
      </w:pPr>
      <w:r>
        <w:rPr>
          <w:rFonts w:hint="eastAsia" w:hAnsi="宋体" w:cs="宋体"/>
          <w:szCs w:val="24"/>
          <w:highlight w:val="none"/>
          <w:lang w:val="zh-CN"/>
        </w:rPr>
        <w:t>为支持和促进中小企业发展，进一步发挥政府采购政策功能作用，有效缓解中小企业融资难等问题，陕西省财政厅制订了《陕西省财政厅关于加快推进我省中小企业政府采购信用融资工作的通知》（陕财办采〔2020〕15 号），为参与陕西省政府采购项目的供应商提供政府采购信用担保，并按照程序确定了合作的担保机构。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adjustRightInd w:val="0"/>
        <w:snapToGrid w:val="0"/>
        <w:spacing w:line="360" w:lineRule="auto"/>
        <w:ind w:firstLine="480" w:firstLineChars="200"/>
        <w:rPr>
          <w:rFonts w:hAnsi="宋体" w:cs="宋体"/>
          <w:szCs w:val="24"/>
          <w:highlight w:val="none"/>
          <w:lang w:val="zh-CN"/>
        </w:rPr>
      </w:pPr>
      <w:r>
        <w:rPr>
          <w:rFonts w:hint="eastAsia" w:hAnsi="宋体" w:cs="宋体"/>
          <w:szCs w:val="24"/>
          <w:highlight w:val="none"/>
        </w:rPr>
        <w:t>（二）西安市政府采购信用担保及信用融资政策</w:t>
      </w:r>
    </w:p>
    <w:p>
      <w:pPr>
        <w:autoSpaceDE w:val="0"/>
        <w:autoSpaceDN w:val="0"/>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成交供应商缴纳履约保证金时可自愿选择通过担保机构保函的形式缴纳；成交供应商如果需要融资贷款服务的，可凭成交通知书、政府采购合同等相关资料，按照实施方案规定的程序申请办理，具体规定可登陆西安市财政局网站(http://xaczj.xa.gov.cn/)政府采购专栏中查询了解。</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30.2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Ansi="宋体" w:cs="宋体"/>
          <w:szCs w:val="24"/>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w:t>
      </w:r>
    </w:p>
    <w:p>
      <w:pPr>
        <w:spacing w:line="360" w:lineRule="auto"/>
        <w:rPr>
          <w:rFonts w:hAnsi="宋体" w:cs="宋体"/>
          <w:szCs w:val="24"/>
          <w:highlight w:val="none"/>
        </w:rPr>
      </w:pPr>
      <w:r>
        <w:rPr>
          <w:rFonts w:hint="eastAsia" w:hAnsi="宋体" w:cs="宋体"/>
          <w:szCs w:val="24"/>
          <w:highlight w:val="none"/>
        </w:rPr>
        <w:t>损失超过磋商保证金额的，供应商还应当对超过部分予以赔偿，并依法承担相应法律责任。</w:t>
      </w:r>
    </w:p>
    <w:p>
      <w:pPr>
        <w:pStyle w:val="22"/>
        <w:spacing w:line="360" w:lineRule="auto"/>
        <w:ind w:left="0" w:leftChars="0" w:firstLine="0" w:firstLineChars="0"/>
        <w:rPr>
          <w:rFonts w:cs="宋体"/>
          <w:b/>
          <w:sz w:val="24"/>
          <w:szCs w:val="24"/>
          <w:highlight w:val="none"/>
        </w:rPr>
      </w:pPr>
      <w:bookmarkStart w:id="59" w:name="_Toc423973074"/>
      <w:bookmarkStart w:id="60" w:name="_Toc25783"/>
      <w:bookmarkStart w:id="61" w:name="_Toc403077645"/>
      <w:bookmarkStart w:id="62" w:name="_Toc363474023"/>
      <w:r>
        <w:rPr>
          <w:rFonts w:hint="eastAsia" w:cs="宋体"/>
          <w:b/>
          <w:szCs w:val="24"/>
          <w:highlight w:val="none"/>
        </w:rPr>
        <w:br w:type="page"/>
      </w:r>
    </w:p>
    <w:p>
      <w:pPr>
        <w:pStyle w:val="6"/>
        <w:keepNext w:val="0"/>
        <w:keepLines/>
        <w:pageBreakBefore/>
        <w:spacing w:before="156" w:beforeLines="50" w:after="156" w:afterLines="50" w:line="360" w:lineRule="auto"/>
        <w:jc w:val="center"/>
        <w:rPr>
          <w:rFonts w:ascii="宋体" w:eastAsia="宋体" w:cs="宋体"/>
          <w:bCs/>
          <w:sz w:val="36"/>
          <w:szCs w:val="36"/>
          <w:highlight w:val="none"/>
        </w:rPr>
      </w:pPr>
      <w:bookmarkStart w:id="63" w:name="_Toc22973"/>
      <w:r>
        <w:rPr>
          <w:rFonts w:hint="eastAsia" w:ascii="宋体" w:eastAsia="宋体" w:cs="宋体"/>
          <w:bCs/>
          <w:sz w:val="36"/>
          <w:szCs w:val="36"/>
          <w:highlight w:val="none"/>
        </w:rPr>
        <w:t xml:space="preserve">第三章  </w:t>
      </w:r>
      <w:bookmarkStart w:id="64" w:name="_Toc1897"/>
      <w:r>
        <w:rPr>
          <w:rFonts w:hint="eastAsia" w:ascii="宋体" w:eastAsia="宋体" w:cs="宋体"/>
          <w:bCs/>
          <w:sz w:val="36"/>
          <w:szCs w:val="36"/>
          <w:highlight w:val="none"/>
        </w:rPr>
        <w:t>评审方法</w:t>
      </w:r>
      <w:bookmarkEnd w:id="63"/>
      <w:bookmarkEnd w:id="64"/>
    </w:p>
    <w:p>
      <w:pPr>
        <w:spacing w:line="360" w:lineRule="auto"/>
        <w:outlineLvl w:val="1"/>
        <w:rPr>
          <w:rFonts w:hAnsi="宋体" w:cs="宋体"/>
          <w:b/>
          <w:szCs w:val="24"/>
          <w:highlight w:val="none"/>
        </w:rPr>
      </w:pPr>
      <w:bookmarkStart w:id="65" w:name="_Toc140"/>
      <w:bookmarkStart w:id="66" w:name="_Toc28665"/>
      <w:bookmarkStart w:id="67" w:name="_Toc26649"/>
      <w:bookmarkStart w:id="68" w:name="_Toc32051"/>
      <w:bookmarkStart w:id="69" w:name="_Toc20625"/>
      <w:bookmarkStart w:id="70" w:name="_Toc2374"/>
      <w:bookmarkStart w:id="71" w:name="_Toc27615"/>
      <w:r>
        <w:rPr>
          <w:rFonts w:hint="eastAsia" w:hAnsi="宋体" w:cs="宋体"/>
          <w:b/>
          <w:szCs w:val="24"/>
          <w:highlight w:val="none"/>
        </w:rPr>
        <w:t>一．评审方法</w:t>
      </w:r>
      <w:bookmarkEnd w:id="65"/>
      <w:bookmarkEnd w:id="66"/>
      <w:bookmarkEnd w:id="67"/>
      <w:bookmarkEnd w:id="68"/>
    </w:p>
    <w:p>
      <w:pPr>
        <w:spacing w:line="360" w:lineRule="auto"/>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360" w:lineRule="auto"/>
        <w:outlineLvl w:val="1"/>
        <w:rPr>
          <w:rFonts w:hAnsi="宋体" w:cs="宋体"/>
          <w:b/>
          <w:spacing w:val="4"/>
          <w:szCs w:val="24"/>
          <w:highlight w:val="none"/>
        </w:rPr>
      </w:pPr>
      <w:bookmarkStart w:id="72" w:name="_Toc14844"/>
      <w:r>
        <w:rPr>
          <w:rFonts w:hint="eastAsia" w:hAnsi="宋体" w:cs="宋体"/>
          <w:b/>
          <w:spacing w:val="4"/>
          <w:szCs w:val="24"/>
          <w:highlight w:val="none"/>
        </w:rPr>
        <w:t>二、评审程序</w:t>
      </w:r>
      <w:bookmarkEnd w:id="69"/>
      <w:bookmarkEnd w:id="70"/>
      <w:bookmarkEnd w:id="71"/>
      <w:bookmarkEnd w:id="72"/>
    </w:p>
    <w:p>
      <w:pPr>
        <w:tabs>
          <w:tab w:val="left" w:pos="0"/>
        </w:tabs>
        <w:adjustRightInd w:val="0"/>
        <w:snapToGrid w:val="0"/>
        <w:spacing w:line="360" w:lineRule="auto"/>
        <w:ind w:firstLine="470" w:firstLineChars="196"/>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5"/>
        </w:numPr>
        <w:spacing w:line="360" w:lineRule="auto"/>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360" w:lineRule="auto"/>
        <w:ind w:firstLine="472" w:firstLineChars="196"/>
        <w:rPr>
          <w:rFonts w:hAnsi="宋体" w:cs="宋体"/>
          <w:szCs w:val="24"/>
          <w:highlight w:val="none"/>
        </w:rPr>
      </w:pPr>
      <w:r>
        <w:rPr>
          <w:rFonts w:hint="eastAsia" w:hAnsi="宋体" w:cs="宋体"/>
          <w:b/>
          <w:bCs/>
          <w:szCs w:val="24"/>
          <w:highlight w:val="none"/>
        </w:rPr>
        <w:t>1.1资格性审查。</w:t>
      </w:r>
      <w:r>
        <w:rPr>
          <w:rFonts w:hint="eastAsia" w:hAnsi="宋体" w:cs="宋体"/>
          <w:szCs w:val="24"/>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360" w:lineRule="auto"/>
        <w:ind w:firstLine="472" w:firstLineChars="196"/>
        <w:rPr>
          <w:rFonts w:hAnsi="宋体" w:cs="宋体"/>
          <w:szCs w:val="24"/>
          <w:highlight w:val="none"/>
        </w:rPr>
      </w:pPr>
      <w:r>
        <w:rPr>
          <w:rFonts w:hint="eastAsia" w:hAnsi="宋体" w:cs="宋体"/>
          <w:b/>
          <w:bCs/>
          <w:szCs w:val="24"/>
          <w:highlight w:val="none"/>
        </w:rPr>
        <w:t>1.2符合性审查。</w:t>
      </w:r>
      <w:r>
        <w:rPr>
          <w:rFonts w:hint="eastAsia" w:hAnsi="宋体" w:cs="宋体"/>
          <w:szCs w:val="24"/>
          <w:highlight w:val="none"/>
        </w:rPr>
        <w:t>磋商小组从磋商响应文件的完整性、有效性和对磋商文件的响应程度进行审查，以确定其是否对磋商文件实质性内容作出响应。</w:t>
      </w:r>
    </w:p>
    <w:p>
      <w:pPr>
        <w:spacing w:line="360" w:lineRule="auto"/>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360" w:lineRule="auto"/>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360" w:lineRule="auto"/>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360" w:lineRule="auto"/>
        <w:ind w:firstLine="480" w:firstLineChars="200"/>
        <w:rPr>
          <w:rFonts w:hAnsi="宋体" w:cs="宋体"/>
          <w:szCs w:val="24"/>
          <w:highlight w:val="none"/>
        </w:rPr>
      </w:pPr>
      <w:r>
        <w:rPr>
          <w:rFonts w:hint="eastAsia" w:hAnsi="宋体" w:cs="宋体"/>
          <w:szCs w:val="24"/>
          <w:highlight w:val="none"/>
        </w:rPr>
        <w:t>1.2.4报价是否超过采购预算。</w:t>
      </w:r>
    </w:p>
    <w:p>
      <w:pPr>
        <w:spacing w:after="156" w:afterLines="50" w:line="360" w:lineRule="auto"/>
        <w:ind w:firstLine="482" w:firstLineChars="200"/>
        <w:rPr>
          <w:rFonts w:hAnsi="宋体" w:cs="宋体"/>
          <w:b/>
          <w:szCs w:val="24"/>
          <w:highlight w:val="none"/>
        </w:rPr>
      </w:pPr>
      <w:r>
        <w:rPr>
          <w:rFonts w:hint="eastAsia" w:hAnsi="宋体" w:cs="宋体"/>
          <w:b/>
          <w:szCs w:val="24"/>
          <w:highlight w:val="none"/>
        </w:rPr>
        <w:t>2、磋商响应文件的澄清</w:t>
      </w:r>
    </w:p>
    <w:p>
      <w:pPr>
        <w:spacing w:line="360" w:lineRule="auto"/>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360" w:lineRule="auto"/>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360" w:lineRule="auto"/>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2"/>
        <w:spacing w:line="360" w:lineRule="auto"/>
        <w:ind w:firstLine="482" w:firstLineChars="200"/>
        <w:rPr>
          <w:rFonts w:ascii="宋体" w:hAnsi="宋体" w:cs="宋体"/>
          <w:sz w:val="24"/>
          <w:szCs w:val="24"/>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360" w:lineRule="auto"/>
        <w:jc w:val="left"/>
        <w:outlineLvl w:val="1"/>
        <w:rPr>
          <w:rFonts w:hAnsi="宋体" w:cs="宋体"/>
          <w:b/>
          <w:szCs w:val="24"/>
          <w:highlight w:val="none"/>
        </w:rPr>
      </w:pPr>
      <w:bookmarkStart w:id="73" w:name="_Toc24776"/>
      <w:bookmarkStart w:id="74" w:name="_Toc19221"/>
      <w:bookmarkStart w:id="75" w:name="_Toc17814"/>
      <w:bookmarkStart w:id="76" w:name="_Toc4428"/>
      <w:r>
        <w:rPr>
          <w:rFonts w:hint="eastAsia" w:hAnsi="宋体" w:cs="宋体"/>
          <w:b/>
          <w:szCs w:val="24"/>
          <w:highlight w:val="none"/>
        </w:rPr>
        <w:t>三、政策性扣减</w:t>
      </w:r>
      <w:bookmarkEnd w:id="73"/>
      <w:bookmarkEnd w:id="74"/>
      <w:bookmarkEnd w:id="75"/>
      <w:bookmarkEnd w:id="76"/>
    </w:p>
    <w:p>
      <w:pPr>
        <w:spacing w:line="360" w:lineRule="auto"/>
        <w:ind w:firstLine="482" w:firstLineChars="200"/>
        <w:jc w:val="left"/>
        <w:rPr>
          <w:rFonts w:hAnsi="宋体" w:cs="宋体"/>
          <w:b/>
          <w:bCs/>
          <w:szCs w:val="24"/>
          <w:highlight w:val="none"/>
        </w:rPr>
      </w:pPr>
      <w:r>
        <w:rPr>
          <w:rFonts w:hint="eastAsia" w:hAnsi="宋体" w:cs="宋体"/>
          <w:b/>
          <w:bCs/>
          <w:szCs w:val="24"/>
          <w:highlight w:val="none"/>
        </w:rPr>
        <w:t>1政策性扣减范围</w:t>
      </w:r>
    </w:p>
    <w:p>
      <w:pPr>
        <w:spacing w:line="360" w:lineRule="auto"/>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1.2依照&lt;关于印发《政府采购促进中小企业发展暂行办法》的通知&gt;（财库(2011〕181号）的规定，小型、微型企业应当同时符合以下条件：</w:t>
      </w:r>
    </w:p>
    <w:p>
      <w:pPr>
        <w:spacing w:line="360" w:lineRule="auto"/>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360" w:lineRule="auto"/>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360" w:lineRule="auto"/>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360" w:lineRule="auto"/>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360" w:lineRule="auto"/>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360" w:lineRule="auto"/>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360" w:lineRule="auto"/>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360" w:lineRule="auto"/>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360" w:lineRule="auto"/>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360" w:lineRule="auto"/>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360" w:lineRule="auto"/>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2.1.1在磋商最终报价的基础上，小型企业或达到小型企业划分标准的监狱企业（或残疾人福利性单位），按“磋商最终报价×6%”进行扣减；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360" w:lineRule="auto"/>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2.2.1在磋商最终报价的基础上，与小型企业或达到小型企业划分标准的监狱企业（或残疾人福利性单位）联合的，按“磋商最终报价×2%”进行扣减；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2.2.2在磋商最终报价的基础上，与微型企业或达到微型企业划分标准的监狱企业（或残疾人福利性单位）联合的，按“磋商最终报价×3%”进行扣减。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360" w:lineRule="auto"/>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360" w:lineRule="auto"/>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360" w:lineRule="auto"/>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2"/>
        <w:spacing w:line="360" w:lineRule="auto"/>
        <w:rPr>
          <w:rFonts w:ascii="宋体" w:hAnsi="宋体" w:cs="宋体"/>
          <w:sz w:val="24"/>
          <w:szCs w:val="24"/>
          <w:highlight w:val="none"/>
        </w:rPr>
      </w:pPr>
    </w:p>
    <w:p>
      <w:pPr>
        <w:rPr>
          <w:rFonts w:hAnsi="宋体" w:cs="宋体"/>
          <w:bCs/>
          <w:sz w:val="36"/>
          <w:szCs w:val="36"/>
          <w:highlight w:val="none"/>
        </w:rPr>
      </w:pPr>
      <w:bookmarkStart w:id="77" w:name="_Toc18357"/>
      <w:bookmarkStart w:id="78" w:name="_Toc10029"/>
      <w:r>
        <w:rPr>
          <w:rFonts w:hint="eastAsia" w:hAnsi="宋体" w:cs="宋体"/>
          <w:bCs/>
          <w:sz w:val="36"/>
          <w:szCs w:val="36"/>
          <w:highlight w:val="none"/>
        </w:rPr>
        <w:br w:type="page"/>
      </w:r>
    </w:p>
    <w:p>
      <w:pPr>
        <w:spacing w:line="360" w:lineRule="auto"/>
        <w:ind w:firstLine="498" w:firstLineChars="200"/>
        <w:jc w:val="center"/>
        <w:outlineLvl w:val="1"/>
        <w:rPr>
          <w:rFonts w:hAnsi="宋体" w:cs="宋体"/>
          <w:b/>
          <w:szCs w:val="24"/>
          <w:highlight w:val="none"/>
        </w:rPr>
      </w:pPr>
      <w:bookmarkStart w:id="79" w:name="_Toc13330"/>
      <w:bookmarkStart w:id="80" w:name="_Toc28532"/>
      <w:bookmarkStart w:id="81" w:name="_Toc8185"/>
      <w:bookmarkStart w:id="82" w:name="_Toc4223"/>
      <w:r>
        <w:rPr>
          <w:rFonts w:hint="eastAsia" w:hAnsi="宋体" w:cs="宋体"/>
          <w:b/>
          <w:spacing w:val="4"/>
          <w:szCs w:val="24"/>
          <w:highlight w:val="none"/>
        </w:rPr>
        <w:t>四、</w:t>
      </w:r>
      <w:r>
        <w:rPr>
          <w:rFonts w:hint="eastAsia" w:hAnsi="宋体" w:cs="宋体"/>
          <w:b/>
          <w:szCs w:val="24"/>
          <w:highlight w:val="none"/>
        </w:rPr>
        <w:t>评审要素和分值分解表</w:t>
      </w:r>
      <w:bookmarkEnd w:id="79"/>
      <w:bookmarkEnd w:id="80"/>
      <w:bookmarkEnd w:id="81"/>
      <w:bookmarkEnd w:id="82"/>
    </w:p>
    <w:p>
      <w:pPr>
        <w:widowControl/>
        <w:spacing w:line="500" w:lineRule="exact"/>
        <w:jc w:val="left"/>
        <w:rPr>
          <w:rFonts w:hAnsi="宋体" w:cs="宋体"/>
          <w:szCs w:val="24"/>
          <w:highlight w:val="none"/>
        </w:rPr>
      </w:pPr>
      <w:r>
        <w:rPr>
          <w:rFonts w:hint="eastAsia" w:hAnsi="宋体" w:cs="宋体"/>
          <w:szCs w:val="24"/>
          <w:highlight w:val="none"/>
        </w:rPr>
        <w:t>评价和比较以磋商响应文件为依据，从“价格评审”、“</w:t>
      </w:r>
      <w:r>
        <w:rPr>
          <w:rFonts w:hint="eastAsia" w:ascii="宋体" w:hAnsi="宋体" w:eastAsia="宋体" w:cs="宋体"/>
          <w:sz w:val="24"/>
          <w:szCs w:val="24"/>
          <w:highlight w:val="none"/>
        </w:rPr>
        <w:t>技术方案</w:t>
      </w:r>
      <w:r>
        <w:rPr>
          <w:rFonts w:hint="eastAsia" w:hAnsi="宋体" w:cs="宋体"/>
          <w:szCs w:val="24"/>
          <w:highlight w:val="none"/>
        </w:rPr>
        <w:t>”、“</w:t>
      </w:r>
      <w:r>
        <w:rPr>
          <w:rFonts w:hint="eastAsia" w:ascii="宋体" w:hAnsi="宋体" w:eastAsia="宋体" w:cs="宋体"/>
          <w:color w:val="auto"/>
          <w:szCs w:val="24"/>
        </w:rPr>
        <w:t>商务部分</w:t>
      </w:r>
      <w:r>
        <w:rPr>
          <w:rFonts w:hint="eastAsia" w:hAnsi="宋体" w:cs="宋体"/>
          <w:szCs w:val="24"/>
          <w:highlight w:val="none"/>
        </w:rPr>
        <w:t>”等方面进行评审并按照百分制进行赋分。</w:t>
      </w:r>
    </w:p>
    <w:p>
      <w:pPr>
        <w:spacing w:line="360" w:lineRule="auto"/>
        <w:jc w:val="center"/>
        <w:rPr>
          <w:rFonts w:hAnsi="宋体" w:cs="宋体"/>
          <w:b/>
          <w:bCs/>
          <w:highlight w:val="none"/>
        </w:rPr>
      </w:pPr>
      <w:r>
        <w:rPr>
          <w:rFonts w:hint="eastAsia" w:hAnsi="宋体" w:cs="宋体"/>
          <w:b/>
          <w:bCs/>
          <w:highlight w:val="none"/>
        </w:rPr>
        <w:t>评分办法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064"/>
        <w:gridCol w:w="6472"/>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155" w:type="dxa"/>
            <w:gridSpan w:val="2"/>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评审内容</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评审原则与标准</w:t>
            </w:r>
          </w:p>
        </w:tc>
        <w:tc>
          <w:tcPr>
            <w:tcW w:w="826"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155" w:type="dxa"/>
            <w:gridSpan w:val="2"/>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价格评审</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（10分）</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满足磋商文件商务及技术要求且最后报价最低的供应商的价格为磋商基准价，其价格分为满分。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报价得分=（磋商基准价/最后磋商报价）*价格分值</w:t>
            </w:r>
          </w:p>
        </w:tc>
        <w:tc>
          <w:tcPr>
            <w:tcW w:w="826"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91" w:type="dxa"/>
            <w:vMerge w:val="restart"/>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方案</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60</w:t>
            </w:r>
            <w:r>
              <w:rPr>
                <w:rFonts w:hint="eastAsia" w:ascii="宋体" w:hAnsi="宋体" w:eastAsia="宋体" w:cs="宋体"/>
                <w:sz w:val="24"/>
                <w:szCs w:val="24"/>
                <w:highlight w:val="none"/>
              </w:rPr>
              <w:t>分）</w:t>
            </w:r>
          </w:p>
          <w:p>
            <w:pPr>
              <w:bidi w:val="0"/>
              <w:spacing w:line="360" w:lineRule="auto"/>
              <w:jc w:val="center"/>
              <w:rPr>
                <w:rFonts w:hint="eastAsia" w:ascii="宋体" w:hAnsi="宋体" w:eastAsia="宋体" w:cs="宋体"/>
                <w:sz w:val="24"/>
                <w:szCs w:val="24"/>
                <w:highlight w:val="none"/>
              </w:rPr>
            </w:pPr>
          </w:p>
          <w:p>
            <w:pPr>
              <w:bidi w:val="0"/>
              <w:spacing w:line="360" w:lineRule="auto"/>
              <w:jc w:val="center"/>
              <w:rPr>
                <w:rFonts w:hint="eastAsia" w:ascii="宋体" w:hAnsi="宋体" w:eastAsia="宋体" w:cs="宋体"/>
                <w:sz w:val="24"/>
                <w:szCs w:val="24"/>
                <w:highlight w:val="none"/>
              </w:rPr>
            </w:pPr>
          </w:p>
        </w:tc>
        <w:tc>
          <w:tcPr>
            <w:tcW w:w="1064" w:type="dxa"/>
            <w:vAlign w:val="center"/>
          </w:tcPr>
          <w:p>
            <w:pPr>
              <w:bidi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详细服务方案</w:t>
            </w:r>
          </w:p>
        </w:tc>
        <w:tc>
          <w:tcPr>
            <w:tcW w:w="6472" w:type="dxa"/>
            <w:vAlign w:val="center"/>
          </w:tcPr>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服务方案（0-20分）：投标人针对本项目提供完整的作业方案，内容包含但不限于：①服务内容；②服务流程；③人员环境配置等。</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1.作业方案有上述内容得8分；</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2.磋商小组成员根据投标人提供的作业方案的全面性、合理性，并按照优劣程度适当再加分。加分标准为：优加12分、良加8分、一般加4分、差加0分。</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3.未提供作业方案或与本项目实际不相符的，本项得0分。</w:t>
            </w:r>
          </w:p>
        </w:tc>
        <w:tc>
          <w:tcPr>
            <w:tcW w:w="826"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91" w:type="dxa"/>
            <w:vMerge w:val="continue"/>
            <w:vAlign w:val="center"/>
          </w:tcPr>
          <w:p>
            <w:pPr>
              <w:bidi w:val="0"/>
              <w:spacing w:line="360" w:lineRule="auto"/>
              <w:rPr>
                <w:rFonts w:hint="eastAsia" w:ascii="宋体" w:hAnsi="宋体" w:eastAsia="宋体" w:cs="宋体"/>
                <w:sz w:val="24"/>
                <w:szCs w:val="24"/>
                <w:highlight w:val="none"/>
              </w:rPr>
            </w:pPr>
          </w:p>
        </w:tc>
        <w:tc>
          <w:tcPr>
            <w:tcW w:w="1064" w:type="dxa"/>
            <w:vAlign w:val="center"/>
          </w:tcPr>
          <w:p>
            <w:pPr>
              <w:bidi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质量</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质量控制（</w:t>
            </w:r>
            <w:r>
              <w:rPr>
                <w:rFonts w:hint="eastAsia" w:ascii="宋体" w:hAnsi="宋体" w:eastAsia="宋体" w:cs="宋体"/>
                <w:sz w:val="24"/>
                <w:szCs w:val="24"/>
                <w:highlight w:val="none"/>
                <w:lang w:val="en-US" w:eastAsia="zh-CN"/>
              </w:rPr>
              <w:t>0-</w:t>
            </w:r>
            <w:r>
              <w:rPr>
                <w:rFonts w:hint="eastAsia" w:hAnsi="宋体" w:cs="宋体"/>
                <w:sz w:val="24"/>
                <w:szCs w:val="24"/>
                <w:highlight w:val="none"/>
                <w:lang w:val="en-US" w:eastAsia="zh-CN"/>
              </w:rPr>
              <w:t>2</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针对本项目提供完整的</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质量控制措施方案，内容包含但不限于：①质量管理</w:t>
            </w:r>
            <w:r>
              <w:rPr>
                <w:rFonts w:hint="eastAsia" w:ascii="宋体" w:hAnsi="宋体" w:eastAsia="宋体" w:cs="宋体"/>
                <w:sz w:val="24"/>
                <w:szCs w:val="24"/>
                <w:highlight w:val="none"/>
                <w:lang w:eastAsia="zh-CN"/>
              </w:rPr>
              <w:t>阐述</w:t>
            </w:r>
            <w:r>
              <w:rPr>
                <w:rFonts w:hint="eastAsia" w:ascii="宋体" w:hAnsi="宋体" w:eastAsia="宋体" w:cs="宋体"/>
                <w:sz w:val="24"/>
                <w:szCs w:val="24"/>
                <w:highlight w:val="none"/>
              </w:rPr>
              <w:t>；②质量考核体系</w:t>
            </w:r>
            <w:r>
              <w:rPr>
                <w:rFonts w:hint="eastAsia" w:ascii="宋体" w:hAnsi="宋体" w:eastAsia="宋体" w:cs="宋体"/>
                <w:sz w:val="24"/>
                <w:szCs w:val="24"/>
                <w:highlight w:val="none"/>
                <w:lang w:eastAsia="zh-CN"/>
              </w:rPr>
              <w:t>；③质</w:t>
            </w:r>
            <w:r>
              <w:rPr>
                <w:rFonts w:hint="eastAsia" w:ascii="宋体" w:hAnsi="宋体" w:eastAsia="宋体" w:cs="宋体"/>
                <w:sz w:val="24"/>
                <w:szCs w:val="24"/>
                <w:highlight w:val="none"/>
                <w:lang w:val="en-US" w:eastAsia="zh-CN"/>
              </w:rPr>
              <w:t>量</w:t>
            </w:r>
            <w:r>
              <w:rPr>
                <w:rFonts w:hint="eastAsia" w:ascii="宋体" w:hAnsi="宋体" w:eastAsia="宋体" w:cs="宋体"/>
                <w:sz w:val="24"/>
                <w:szCs w:val="24"/>
                <w:highlight w:val="none"/>
                <w:lang w:eastAsia="zh-CN"/>
              </w:rPr>
              <w:t>管理措施；</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质量控制方案有上述内容得</w:t>
            </w:r>
            <w:r>
              <w:rPr>
                <w:rFonts w:hint="eastAsia" w:hAnsi="宋体" w:cs="宋体"/>
                <w:sz w:val="24"/>
                <w:szCs w:val="24"/>
                <w:highlight w:val="none"/>
                <w:lang w:val="en-US" w:eastAsia="zh-CN"/>
              </w:rPr>
              <w:t>12</w:t>
            </w:r>
            <w:r>
              <w:rPr>
                <w:rFonts w:hint="eastAsia" w:ascii="宋体" w:hAnsi="宋体" w:eastAsia="宋体" w:cs="宋体"/>
                <w:sz w:val="24"/>
                <w:szCs w:val="24"/>
                <w:highlight w:val="none"/>
                <w:lang w:val="en-US" w:eastAsia="zh-CN"/>
              </w:rPr>
              <w:t>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磋商小组</w:t>
            </w:r>
            <w:r>
              <w:rPr>
                <w:rFonts w:hint="eastAsia" w:ascii="宋体" w:hAnsi="宋体" w:eastAsia="宋体" w:cs="宋体"/>
                <w:sz w:val="24"/>
                <w:szCs w:val="24"/>
                <w:highlight w:val="none"/>
              </w:rPr>
              <w:t>成员根据投标人提供的</w:t>
            </w:r>
            <w:r>
              <w:rPr>
                <w:rFonts w:hint="eastAsia" w:ascii="宋体" w:hAnsi="宋体" w:eastAsia="宋体" w:cs="宋体"/>
                <w:sz w:val="24"/>
                <w:szCs w:val="24"/>
                <w:highlight w:val="none"/>
                <w:lang w:eastAsia="zh-CN"/>
              </w:rPr>
              <w:t>质量控制</w:t>
            </w:r>
            <w:r>
              <w:rPr>
                <w:rFonts w:hint="eastAsia" w:ascii="宋体" w:hAnsi="宋体" w:eastAsia="宋体" w:cs="宋体"/>
                <w:sz w:val="24"/>
                <w:szCs w:val="24"/>
                <w:highlight w:val="none"/>
              </w:rPr>
              <w:t>方案的全面性、合理性，并按照优劣程度适当再加分。加分标准为：优加</w:t>
            </w:r>
            <w:r>
              <w:rPr>
                <w:rFonts w:hint="eastAsia" w:hAnsi="宋体" w:cs="宋体"/>
                <w:sz w:val="24"/>
                <w:szCs w:val="24"/>
                <w:highlight w:val="none"/>
                <w:lang w:val="en-US" w:eastAsia="zh-CN"/>
              </w:rPr>
              <w:t>8</w:t>
            </w:r>
            <w:r>
              <w:rPr>
                <w:rFonts w:hint="eastAsia" w:ascii="宋体" w:hAnsi="宋体" w:eastAsia="宋体" w:cs="宋体"/>
                <w:sz w:val="24"/>
                <w:szCs w:val="24"/>
                <w:highlight w:val="none"/>
              </w:rPr>
              <w:t>分、良加</w:t>
            </w:r>
            <w:r>
              <w:rPr>
                <w:rFonts w:hint="eastAsia" w:hAnsi="宋体" w:cs="宋体"/>
                <w:sz w:val="24"/>
                <w:szCs w:val="24"/>
                <w:highlight w:val="none"/>
                <w:lang w:val="en-US" w:eastAsia="zh-CN"/>
              </w:rPr>
              <w:t>5</w:t>
            </w:r>
            <w:r>
              <w:rPr>
                <w:rFonts w:hint="eastAsia" w:ascii="宋体" w:hAnsi="宋体" w:eastAsia="宋体" w:cs="宋体"/>
                <w:sz w:val="24"/>
                <w:szCs w:val="24"/>
                <w:highlight w:val="none"/>
              </w:rPr>
              <w:t>分、一般加</w:t>
            </w:r>
            <w:r>
              <w:rPr>
                <w:rFonts w:hint="eastAsia" w:hAnsi="宋体" w:cs="宋体"/>
                <w:sz w:val="24"/>
                <w:szCs w:val="24"/>
                <w:highlight w:val="none"/>
                <w:lang w:val="en-US" w:eastAsia="zh-CN"/>
              </w:rPr>
              <w:t>3</w:t>
            </w:r>
            <w:bookmarkStart w:id="214" w:name="_GoBack"/>
            <w:bookmarkEnd w:id="214"/>
            <w:r>
              <w:rPr>
                <w:rFonts w:hint="eastAsia" w:ascii="宋体" w:hAnsi="宋体" w:eastAsia="宋体" w:cs="宋体"/>
                <w:sz w:val="24"/>
                <w:szCs w:val="24"/>
                <w:highlight w:val="none"/>
              </w:rPr>
              <w:t>分、差加0分。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3.未提供</w:t>
            </w:r>
            <w:r>
              <w:rPr>
                <w:rFonts w:hint="eastAsia" w:ascii="宋体" w:hAnsi="宋体" w:eastAsia="宋体" w:cs="宋体"/>
                <w:sz w:val="24"/>
                <w:szCs w:val="24"/>
                <w:highlight w:val="none"/>
                <w:lang w:eastAsia="zh-CN"/>
              </w:rPr>
              <w:t>质量控制方案或</w:t>
            </w:r>
            <w:r>
              <w:rPr>
                <w:rFonts w:hint="eastAsia" w:ascii="宋体" w:hAnsi="宋体" w:eastAsia="宋体" w:cs="宋体"/>
                <w:sz w:val="24"/>
                <w:szCs w:val="24"/>
                <w:highlight w:val="none"/>
              </w:rPr>
              <w:t>与本项目实际不相符的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本项得0分。</w:t>
            </w:r>
          </w:p>
        </w:tc>
        <w:tc>
          <w:tcPr>
            <w:tcW w:w="826"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91" w:type="dxa"/>
            <w:vMerge w:val="continue"/>
            <w:vAlign w:val="center"/>
          </w:tcPr>
          <w:p>
            <w:pPr>
              <w:bidi w:val="0"/>
              <w:spacing w:line="360" w:lineRule="auto"/>
              <w:rPr>
                <w:rFonts w:hint="eastAsia" w:ascii="宋体" w:hAnsi="宋体" w:eastAsia="宋体" w:cs="宋体"/>
                <w:sz w:val="24"/>
                <w:szCs w:val="24"/>
                <w:highlight w:val="none"/>
              </w:rPr>
            </w:pPr>
          </w:p>
        </w:tc>
        <w:tc>
          <w:tcPr>
            <w:tcW w:w="1064" w:type="dxa"/>
            <w:vAlign w:val="center"/>
          </w:tcPr>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应急处置方案</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应急处置方案（</w:t>
            </w:r>
            <w:r>
              <w:rPr>
                <w:rFonts w:hint="eastAsia" w:ascii="宋体" w:hAnsi="宋体" w:eastAsia="宋体" w:cs="宋体"/>
                <w:sz w:val="24"/>
                <w:szCs w:val="24"/>
                <w:highlight w:val="none"/>
                <w:lang w:val="en-US" w:eastAsia="zh-CN"/>
              </w:rPr>
              <w:t>0-10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针对本项目提供完整的应急处置方案，内容包含但不限于：①应急处理措施；②人员和设备调配、责任分工</w:t>
            </w:r>
            <w:r>
              <w:rPr>
                <w:rFonts w:hint="eastAsia" w:ascii="宋体" w:hAnsi="宋体" w:eastAsia="宋体" w:cs="宋体"/>
                <w:sz w:val="24"/>
                <w:szCs w:val="24"/>
                <w:highlight w:val="none"/>
                <w:lang w:eastAsia="zh-CN"/>
              </w:rPr>
              <w:t>；③疫情防控应急措施</w:t>
            </w:r>
            <w:r>
              <w:rPr>
                <w:rFonts w:hint="eastAsia" w:ascii="宋体" w:hAnsi="宋体" w:eastAsia="宋体" w:cs="宋体"/>
                <w:sz w:val="24"/>
                <w:szCs w:val="24"/>
                <w:highlight w:val="none"/>
              </w:rPr>
              <w:t>等。</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应急处理方案有上述内容得</w:t>
            </w:r>
            <w:r>
              <w:rPr>
                <w:rFonts w:hint="eastAsia" w:ascii="宋体" w:hAnsi="宋体" w:eastAsia="宋体" w:cs="宋体"/>
                <w:sz w:val="24"/>
                <w:szCs w:val="24"/>
                <w:highlight w:val="none"/>
                <w:lang w:val="en-US" w:eastAsia="zh-CN"/>
              </w:rPr>
              <w:t>6分；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磋商小组</w:t>
            </w:r>
            <w:r>
              <w:rPr>
                <w:rFonts w:hint="eastAsia" w:ascii="宋体" w:hAnsi="宋体" w:eastAsia="宋体" w:cs="宋体"/>
                <w:sz w:val="24"/>
                <w:szCs w:val="24"/>
                <w:highlight w:val="none"/>
              </w:rPr>
              <w:t>成员根据投标人提供的</w:t>
            </w:r>
            <w:r>
              <w:rPr>
                <w:rFonts w:hint="eastAsia" w:ascii="宋体" w:hAnsi="宋体" w:eastAsia="宋体" w:cs="宋体"/>
                <w:sz w:val="24"/>
                <w:szCs w:val="24"/>
                <w:highlight w:val="none"/>
                <w:lang w:eastAsia="zh-CN"/>
              </w:rPr>
              <w:t>应急处置</w:t>
            </w:r>
            <w:r>
              <w:rPr>
                <w:rFonts w:hint="eastAsia" w:ascii="宋体" w:hAnsi="宋体" w:eastAsia="宋体" w:cs="宋体"/>
                <w:sz w:val="24"/>
                <w:szCs w:val="24"/>
                <w:highlight w:val="none"/>
              </w:rPr>
              <w:t>方案的全面性、合理性，并按照优劣程度适当再加分。加分标准为：优加</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分、良加</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分、一般加</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分、差加0分。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3.未提供</w:t>
            </w:r>
            <w:r>
              <w:rPr>
                <w:rFonts w:hint="eastAsia" w:ascii="宋体" w:hAnsi="宋体" w:eastAsia="宋体" w:cs="宋体"/>
                <w:sz w:val="24"/>
                <w:szCs w:val="24"/>
                <w:highlight w:val="none"/>
                <w:lang w:eastAsia="zh-CN"/>
              </w:rPr>
              <w:t>应急处置方案或</w:t>
            </w:r>
            <w:r>
              <w:rPr>
                <w:rFonts w:hint="eastAsia" w:ascii="宋体" w:hAnsi="宋体" w:eastAsia="宋体" w:cs="宋体"/>
                <w:sz w:val="24"/>
                <w:szCs w:val="24"/>
                <w:highlight w:val="none"/>
              </w:rPr>
              <w:t>与本项目实际不相符的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本项得0分。</w:t>
            </w:r>
          </w:p>
        </w:tc>
        <w:tc>
          <w:tcPr>
            <w:tcW w:w="826" w:type="dxa"/>
            <w:vAlign w:val="center"/>
          </w:tcPr>
          <w:p>
            <w:pPr>
              <w:bidi w:val="0"/>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91" w:type="dxa"/>
            <w:vMerge w:val="continue"/>
            <w:vAlign w:val="center"/>
          </w:tcPr>
          <w:p>
            <w:pPr>
              <w:bidi w:val="0"/>
              <w:spacing w:line="360" w:lineRule="auto"/>
              <w:rPr>
                <w:rFonts w:hint="eastAsia" w:ascii="宋体" w:hAnsi="宋体" w:eastAsia="宋体" w:cs="宋体"/>
                <w:sz w:val="24"/>
                <w:szCs w:val="24"/>
                <w:highlight w:val="none"/>
              </w:rPr>
            </w:pPr>
          </w:p>
        </w:tc>
        <w:tc>
          <w:tcPr>
            <w:tcW w:w="1064" w:type="dxa"/>
            <w:vAlign w:val="center"/>
          </w:tcPr>
          <w:p>
            <w:pPr>
              <w:bidi w:val="0"/>
              <w:spacing w:line="360" w:lineRule="auto"/>
              <w:rPr>
                <w:rFonts w:hint="default"/>
                <w:lang w:val="en-US" w:eastAsia="zh-CN"/>
              </w:rPr>
            </w:pPr>
            <w:r>
              <w:rPr>
                <w:rFonts w:hint="eastAsia"/>
                <w:lang w:val="en-US" w:eastAsia="zh-CN"/>
              </w:rPr>
              <w:t>人员培训方案</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人员培训方案（</w:t>
            </w:r>
            <w:r>
              <w:rPr>
                <w:rFonts w:hint="eastAsia" w:ascii="宋体" w:hAnsi="宋体" w:eastAsia="宋体" w:cs="宋体"/>
                <w:sz w:val="24"/>
                <w:szCs w:val="24"/>
                <w:highlight w:val="none"/>
                <w:lang w:val="en-US" w:eastAsia="zh-CN"/>
              </w:rPr>
              <w:t>0-1</w:t>
            </w:r>
            <w:r>
              <w:rPr>
                <w:rFonts w:hint="eastAsia" w:hAnsi="宋体" w:cs="宋体"/>
                <w:sz w:val="24"/>
                <w:szCs w:val="24"/>
                <w:highlight w:val="none"/>
                <w:lang w:val="en-US" w:eastAsia="zh-CN"/>
              </w:rPr>
              <w:t>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针对本项目提供完整的人员培训方案，内容包含但不限于：①培训内容；②</w:t>
            </w:r>
            <w:r>
              <w:rPr>
                <w:rFonts w:hint="eastAsia" w:ascii="宋体" w:hAnsi="宋体" w:eastAsia="宋体" w:cs="宋体"/>
                <w:sz w:val="24"/>
                <w:szCs w:val="24"/>
                <w:highlight w:val="none"/>
                <w:lang w:eastAsia="zh-CN"/>
              </w:rPr>
              <w:t>培训</w:t>
            </w:r>
            <w:r>
              <w:rPr>
                <w:rFonts w:hint="eastAsia" w:ascii="宋体" w:hAnsi="宋体" w:eastAsia="宋体" w:cs="宋体"/>
                <w:sz w:val="24"/>
                <w:szCs w:val="24"/>
                <w:highlight w:val="none"/>
              </w:rPr>
              <w:t>时间</w:t>
            </w:r>
            <w:r>
              <w:rPr>
                <w:rFonts w:hint="eastAsia" w:ascii="宋体" w:hAnsi="宋体" w:eastAsia="宋体" w:cs="宋体"/>
                <w:sz w:val="24"/>
                <w:szCs w:val="24"/>
                <w:highlight w:val="none"/>
                <w:lang w:eastAsia="zh-CN"/>
              </w:rPr>
              <w:t>；</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人员培训方案有上述内容得</w:t>
            </w:r>
            <w:r>
              <w:rPr>
                <w:rFonts w:hint="eastAsia" w:ascii="宋体" w:hAnsi="宋体" w:eastAsia="宋体" w:cs="宋体"/>
                <w:sz w:val="24"/>
                <w:szCs w:val="24"/>
                <w:highlight w:val="none"/>
                <w:lang w:val="en-US" w:eastAsia="zh-CN"/>
              </w:rPr>
              <w:t>5分；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磋商小组</w:t>
            </w:r>
            <w:r>
              <w:rPr>
                <w:rFonts w:hint="eastAsia" w:ascii="宋体" w:hAnsi="宋体" w:eastAsia="宋体" w:cs="宋体"/>
                <w:sz w:val="24"/>
                <w:szCs w:val="24"/>
                <w:highlight w:val="none"/>
              </w:rPr>
              <w:t>成员根据投标人提供的</w:t>
            </w:r>
            <w:r>
              <w:rPr>
                <w:rFonts w:hint="eastAsia" w:ascii="宋体" w:hAnsi="宋体" w:eastAsia="宋体" w:cs="宋体"/>
                <w:sz w:val="24"/>
                <w:szCs w:val="24"/>
                <w:highlight w:val="none"/>
                <w:lang w:eastAsia="zh-CN"/>
              </w:rPr>
              <w:t>人员培训</w:t>
            </w:r>
            <w:r>
              <w:rPr>
                <w:rFonts w:hint="eastAsia" w:ascii="宋体" w:hAnsi="宋体" w:eastAsia="宋体" w:cs="宋体"/>
                <w:sz w:val="24"/>
                <w:szCs w:val="24"/>
                <w:highlight w:val="none"/>
              </w:rPr>
              <w:t>方案的全面性、合理性，并按照优劣程度适当再加分。加分标准为：优加</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分、良加</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分、一般加</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分、差加0分。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3.未提供</w:t>
            </w:r>
            <w:r>
              <w:rPr>
                <w:rFonts w:hint="eastAsia" w:ascii="宋体" w:hAnsi="宋体" w:eastAsia="宋体" w:cs="宋体"/>
                <w:sz w:val="24"/>
                <w:szCs w:val="24"/>
                <w:highlight w:val="none"/>
                <w:lang w:val="en-US" w:eastAsia="zh-CN"/>
              </w:rPr>
              <w:t>人员培训方案</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与本项目实际不相符的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本项得0分。</w:t>
            </w:r>
          </w:p>
        </w:tc>
        <w:tc>
          <w:tcPr>
            <w:tcW w:w="826" w:type="dxa"/>
            <w:vAlign w:val="center"/>
          </w:tcPr>
          <w:p>
            <w:pPr>
              <w:bidi w:val="0"/>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91" w:type="dxa"/>
            <w:vMerge w:val="restart"/>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商务</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部分</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w:t>
            </w:r>
          </w:p>
        </w:tc>
        <w:tc>
          <w:tcPr>
            <w:tcW w:w="1064" w:type="dxa"/>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履约</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能力</w:t>
            </w:r>
          </w:p>
        </w:tc>
        <w:tc>
          <w:tcPr>
            <w:tcW w:w="6472" w:type="dxa"/>
            <w:vAlign w:val="center"/>
          </w:tcPr>
          <w:p>
            <w:pPr>
              <w:bidi w:val="0"/>
              <w:spacing w:line="360" w:lineRule="auto"/>
              <w:rPr>
                <w:rFonts w:hint="eastAsia"/>
              </w:rPr>
            </w:pPr>
            <w:r>
              <w:rPr>
                <w:rFonts w:hint="eastAsia"/>
              </w:rPr>
              <w:t>医师</w:t>
            </w:r>
            <w:r>
              <w:rPr>
                <w:rFonts w:hint="eastAsia"/>
                <w:lang w:val="en-US" w:eastAsia="zh-CN"/>
              </w:rPr>
              <w:t>5</w:t>
            </w:r>
            <w:r>
              <w:rPr>
                <w:rFonts w:hint="eastAsia"/>
              </w:rPr>
              <w:t>名得</w:t>
            </w:r>
            <w:r>
              <w:rPr>
                <w:rFonts w:hint="eastAsia"/>
                <w:lang w:val="en-US" w:eastAsia="zh-CN"/>
              </w:rPr>
              <w:t>3</w:t>
            </w:r>
            <w:r>
              <w:rPr>
                <w:rFonts w:hint="eastAsia"/>
              </w:rPr>
              <w:t>分；</w:t>
            </w:r>
          </w:p>
          <w:p>
            <w:pPr>
              <w:bidi w:val="0"/>
              <w:spacing w:line="360" w:lineRule="auto"/>
              <w:rPr>
                <w:rFonts w:hint="eastAsia"/>
              </w:rPr>
            </w:pPr>
            <w:r>
              <w:rPr>
                <w:rFonts w:hint="eastAsia"/>
              </w:rPr>
              <w:t>护士</w:t>
            </w:r>
            <w:r>
              <w:rPr>
                <w:rFonts w:hint="eastAsia"/>
                <w:lang w:val="en-US" w:eastAsia="zh-CN"/>
              </w:rPr>
              <w:t>15</w:t>
            </w:r>
            <w:r>
              <w:rPr>
                <w:rFonts w:hint="eastAsia"/>
              </w:rPr>
              <w:t>名得</w:t>
            </w:r>
            <w:r>
              <w:rPr>
                <w:rFonts w:hint="eastAsia"/>
                <w:lang w:val="en-US" w:eastAsia="zh-CN"/>
              </w:rPr>
              <w:t>3</w:t>
            </w:r>
            <w:r>
              <w:rPr>
                <w:rFonts w:hint="eastAsia"/>
              </w:rPr>
              <w:t>分；</w:t>
            </w:r>
          </w:p>
          <w:p>
            <w:pPr>
              <w:bidi w:val="0"/>
              <w:spacing w:line="360" w:lineRule="auto"/>
              <w:rPr>
                <w:rFonts w:hint="eastAsia"/>
              </w:rPr>
            </w:pPr>
            <w:r>
              <w:rPr>
                <w:rFonts w:hint="eastAsia"/>
              </w:rPr>
              <w:t>心理咨询师</w:t>
            </w:r>
            <w:r>
              <w:rPr>
                <w:rFonts w:hint="eastAsia"/>
                <w:lang w:val="en-US" w:eastAsia="zh-CN"/>
              </w:rPr>
              <w:t>5</w:t>
            </w:r>
            <w:r>
              <w:rPr>
                <w:rFonts w:hint="eastAsia"/>
              </w:rPr>
              <w:t>名得</w:t>
            </w:r>
            <w:r>
              <w:rPr>
                <w:rFonts w:hint="eastAsia"/>
                <w:lang w:val="en-US" w:eastAsia="zh-CN"/>
              </w:rPr>
              <w:t>3</w:t>
            </w:r>
            <w:r>
              <w:rPr>
                <w:rFonts w:hint="eastAsia"/>
              </w:rPr>
              <w:t>分；</w:t>
            </w:r>
          </w:p>
          <w:p>
            <w:pPr>
              <w:bidi w:val="0"/>
              <w:spacing w:line="360" w:lineRule="auto"/>
              <w:rPr>
                <w:rFonts w:hint="eastAsia"/>
              </w:rPr>
            </w:pPr>
            <w:r>
              <w:rPr>
                <w:rFonts w:hint="eastAsia"/>
              </w:rPr>
              <w:t>养老护理员</w:t>
            </w:r>
            <w:r>
              <w:rPr>
                <w:rFonts w:hint="eastAsia"/>
                <w:lang w:val="en-US" w:eastAsia="zh-CN"/>
              </w:rPr>
              <w:t>20</w:t>
            </w:r>
            <w:r>
              <w:rPr>
                <w:rFonts w:hint="eastAsia"/>
              </w:rPr>
              <w:t>名得分，名得</w:t>
            </w:r>
            <w:r>
              <w:rPr>
                <w:rFonts w:hint="eastAsia"/>
                <w:lang w:val="en-US" w:eastAsia="zh-CN"/>
              </w:rPr>
              <w:t>3</w:t>
            </w:r>
            <w:r>
              <w:rPr>
                <w:rFonts w:hint="eastAsia"/>
              </w:rPr>
              <w:t>分；</w:t>
            </w:r>
          </w:p>
          <w:p>
            <w:pPr>
              <w:bidi w:val="0"/>
              <w:spacing w:line="360" w:lineRule="auto"/>
              <w:rPr>
                <w:rFonts w:hint="eastAsia"/>
              </w:rPr>
            </w:pPr>
            <w:r>
              <w:rPr>
                <w:rFonts w:hint="eastAsia"/>
              </w:rPr>
              <w:t>社会工作者</w:t>
            </w:r>
            <w:r>
              <w:rPr>
                <w:rFonts w:hint="eastAsia"/>
                <w:lang w:val="en-US" w:eastAsia="zh-CN"/>
              </w:rPr>
              <w:t>15</w:t>
            </w:r>
            <w:r>
              <w:rPr>
                <w:rFonts w:hint="eastAsia"/>
              </w:rPr>
              <w:t>名得分，名得</w:t>
            </w:r>
            <w:r>
              <w:rPr>
                <w:rFonts w:hint="eastAsia"/>
                <w:lang w:val="en-US" w:eastAsia="zh-CN"/>
              </w:rPr>
              <w:t>3</w:t>
            </w:r>
            <w:r>
              <w:rPr>
                <w:rFonts w:hint="eastAsia"/>
              </w:rPr>
              <w:t>分；</w:t>
            </w:r>
          </w:p>
          <w:p>
            <w:pPr>
              <w:pStyle w:val="35"/>
              <w:rPr>
                <w:rFonts w:hint="default" w:eastAsia="宋体"/>
                <w:lang w:val="en-US" w:eastAsia="zh-CN"/>
              </w:rPr>
            </w:pPr>
            <w:r>
              <w:rPr>
                <w:rFonts w:hint="eastAsia" w:ascii="宋体" w:hAnsi="宋体" w:eastAsia="宋体" w:cs="宋体"/>
                <w:sz w:val="24"/>
                <w:szCs w:val="24"/>
                <w:highlight w:val="none"/>
                <w:lang w:val="en-US" w:eastAsia="zh-CN"/>
              </w:rPr>
              <w:t>注：以上人员必须是取得具备国家发证单位或机构认证的证书。提供合同复印件或有效证明材料，并盖投标人鲜章，未提供有效材料证明的不得分。签订合同需提供证书复印件。</w:t>
            </w:r>
          </w:p>
        </w:tc>
        <w:tc>
          <w:tcPr>
            <w:tcW w:w="826"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91" w:type="dxa"/>
            <w:vMerge w:val="continue"/>
            <w:vAlign w:val="center"/>
          </w:tcPr>
          <w:p>
            <w:pPr>
              <w:bidi w:val="0"/>
              <w:spacing w:line="360" w:lineRule="auto"/>
              <w:rPr>
                <w:rFonts w:hint="eastAsia" w:ascii="宋体" w:hAnsi="宋体" w:eastAsia="宋体" w:cs="宋体"/>
                <w:sz w:val="24"/>
                <w:szCs w:val="24"/>
                <w:highlight w:val="none"/>
              </w:rPr>
            </w:pPr>
          </w:p>
        </w:tc>
        <w:tc>
          <w:tcPr>
            <w:tcW w:w="1064" w:type="dxa"/>
            <w:vAlign w:val="center"/>
          </w:tcPr>
          <w:p>
            <w:pPr>
              <w:bidi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企业荣誉和信誉</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投标单位负责人/职员获得过残疾人工作荣誉表彰，其中市级以上获得的荣誉表彰一个得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分；县级获得的荣誉表彰一个得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分；最多得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注：以上得分可叠加</w:t>
            </w:r>
          </w:p>
        </w:tc>
        <w:tc>
          <w:tcPr>
            <w:tcW w:w="826" w:type="dxa"/>
            <w:vAlign w:val="center"/>
          </w:tcPr>
          <w:p>
            <w:pPr>
              <w:bidi w:val="0"/>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91" w:type="dxa"/>
            <w:vMerge w:val="continue"/>
            <w:vAlign w:val="center"/>
          </w:tcPr>
          <w:p>
            <w:pPr>
              <w:bidi w:val="0"/>
              <w:spacing w:line="360" w:lineRule="auto"/>
              <w:rPr>
                <w:rFonts w:hint="eastAsia" w:ascii="宋体" w:hAnsi="宋体" w:eastAsia="宋体" w:cs="宋体"/>
                <w:sz w:val="24"/>
                <w:szCs w:val="24"/>
                <w:highlight w:val="none"/>
              </w:rPr>
            </w:pPr>
          </w:p>
        </w:tc>
        <w:tc>
          <w:tcPr>
            <w:tcW w:w="1064" w:type="dxa"/>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类似管理业绩</w:t>
            </w:r>
          </w:p>
        </w:tc>
        <w:tc>
          <w:tcPr>
            <w:tcW w:w="6472"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供应商提供</w:t>
            </w:r>
            <w:r>
              <w:rPr>
                <w:rFonts w:hint="eastAsia" w:ascii="宋体" w:hAnsi="宋体" w:eastAsia="宋体" w:cs="宋体"/>
                <w:sz w:val="24"/>
                <w:szCs w:val="24"/>
                <w:highlight w:val="none"/>
                <w:lang w:val="en-US" w:eastAsia="zh-CN"/>
              </w:rPr>
              <w:t>2019</w:t>
            </w:r>
            <w:r>
              <w:rPr>
                <w:rFonts w:hint="eastAsia" w:ascii="宋体" w:hAnsi="宋体" w:eastAsia="宋体" w:cs="宋体"/>
                <w:sz w:val="24"/>
                <w:szCs w:val="24"/>
                <w:highlight w:val="none"/>
              </w:rPr>
              <w:t>年以来能够证明此项目履约能力的证明材料类似业绩（如残疾人</w:t>
            </w:r>
            <w:r>
              <w:rPr>
                <w:rFonts w:hint="eastAsia" w:ascii="宋体" w:hAnsi="宋体" w:eastAsia="宋体" w:cs="宋体"/>
                <w:sz w:val="24"/>
                <w:szCs w:val="24"/>
                <w:highlight w:val="none"/>
                <w:lang w:val="en-US" w:eastAsia="zh-CN"/>
              </w:rPr>
              <w:t>寄宿托养或</w:t>
            </w:r>
            <w:r>
              <w:rPr>
                <w:rFonts w:hint="eastAsia" w:ascii="宋体" w:hAnsi="宋体" w:eastAsia="宋体" w:cs="宋体"/>
                <w:sz w:val="24"/>
                <w:szCs w:val="24"/>
                <w:highlight w:val="none"/>
              </w:rPr>
              <w:t>居家托养服务或居家养老服务），每提供一个项目得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分，最高得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分，未提供不得分。</w:t>
            </w:r>
          </w:p>
        </w:tc>
        <w:tc>
          <w:tcPr>
            <w:tcW w:w="826" w:type="dxa"/>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bl>
    <w:p>
      <w:pPr>
        <w:spacing w:line="360" w:lineRule="auto"/>
        <w:ind w:firstLine="480" w:firstLineChars="200"/>
        <w:rPr>
          <w:rFonts w:hAnsi="宋体" w:cs="宋体"/>
          <w:szCs w:val="24"/>
          <w:highlight w:val="none"/>
        </w:rPr>
      </w:pPr>
      <w:r>
        <w:rPr>
          <w:rFonts w:hint="eastAsia" w:hAnsi="宋体" w:cs="宋体"/>
          <w:szCs w:val="24"/>
          <w:highlight w:val="none"/>
        </w:rPr>
        <w:t>评价和比较以投标响应文件为依据，进行评审并按照百分制进行赋分。</w:t>
      </w:r>
    </w:p>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2、采购人根据评标报告中推荐的成交候选人排列顺序确定供应商，以复函通知招标代理机构。</w:t>
      </w:r>
    </w:p>
    <w:p>
      <w:pPr>
        <w:rPr>
          <w:rFonts w:hAnsi="宋体" w:cs="宋体"/>
          <w:b/>
          <w:bCs/>
          <w:szCs w:val="24"/>
          <w:highlight w:val="none"/>
        </w:rPr>
      </w:pPr>
      <w:r>
        <w:rPr>
          <w:rFonts w:hint="eastAsia" w:hAnsi="宋体" w:cs="宋体"/>
          <w:b/>
          <w:bCs/>
          <w:szCs w:val="24"/>
          <w:highlight w:val="none"/>
        </w:rPr>
        <w:br w:type="page"/>
      </w:r>
    </w:p>
    <w:p>
      <w:pPr>
        <w:pStyle w:val="6"/>
        <w:jc w:val="center"/>
        <w:rPr>
          <w:rFonts w:ascii="宋体" w:eastAsia="宋体" w:cs="宋体"/>
          <w:bCs/>
          <w:sz w:val="36"/>
          <w:szCs w:val="36"/>
          <w:highlight w:val="none"/>
        </w:rPr>
      </w:pPr>
      <w:r>
        <w:rPr>
          <w:rFonts w:hint="eastAsia" w:ascii="宋体" w:eastAsia="宋体" w:cs="宋体"/>
          <w:bCs/>
          <w:sz w:val="36"/>
          <w:szCs w:val="36"/>
          <w:highlight w:val="none"/>
        </w:rPr>
        <w:t>第四章  合同条款及格式</w:t>
      </w:r>
      <w:bookmarkEnd w:id="59"/>
      <w:bookmarkEnd w:id="60"/>
      <w:bookmarkEnd w:id="61"/>
      <w:bookmarkEnd w:id="77"/>
      <w:bookmarkEnd w:id="78"/>
    </w:p>
    <w:p>
      <w:pPr>
        <w:tabs>
          <w:tab w:val="left" w:pos="210"/>
          <w:tab w:val="left" w:pos="525"/>
        </w:tabs>
        <w:spacing w:line="360" w:lineRule="auto"/>
        <w:jc w:val="center"/>
        <w:outlineLvl w:val="1"/>
        <w:rPr>
          <w:rFonts w:hAnsi="宋体" w:cs="宋体"/>
          <w:sz w:val="32"/>
          <w:szCs w:val="32"/>
          <w:highlight w:val="none"/>
        </w:rPr>
      </w:pPr>
      <w:bookmarkStart w:id="83" w:name="_Toc11393"/>
      <w:bookmarkStart w:id="84" w:name="_Toc32476"/>
      <w:bookmarkStart w:id="85" w:name="_Toc3424"/>
      <w:bookmarkStart w:id="86" w:name="_Toc23705"/>
      <w:r>
        <w:rPr>
          <w:rFonts w:hint="eastAsia" w:hAnsi="宋体" w:cs="宋体"/>
          <w:b/>
          <w:bCs/>
          <w:sz w:val="32"/>
          <w:szCs w:val="32"/>
          <w:highlight w:val="none"/>
        </w:rPr>
        <w:t>合同前附表</w:t>
      </w:r>
      <w:bookmarkEnd w:id="83"/>
      <w:bookmarkEnd w:id="84"/>
      <w:bookmarkEnd w:id="85"/>
      <w:bookmarkEnd w:id="86"/>
    </w:p>
    <w:p>
      <w:pPr>
        <w:rPr>
          <w:rFonts w:hAnsi="宋体" w:cs="宋体"/>
          <w:highlight w:val="none"/>
        </w:rPr>
      </w:pPr>
    </w:p>
    <w:p>
      <w:pPr>
        <w:rPr>
          <w:rFonts w:hAnsi="宋体" w:cs="宋体"/>
          <w:szCs w:val="24"/>
          <w:highlight w:val="none"/>
        </w:rPr>
      </w:pPr>
      <w:r>
        <w:rPr>
          <w:rFonts w:hint="eastAsia" w:hAnsi="宋体" w:cs="宋体"/>
          <w:szCs w:val="24"/>
          <w:highlight w:val="none"/>
        </w:rPr>
        <w:t>本表是对合同条款的具体补充和修改，如有矛盾，应以本资料表为准。</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条款号</w:t>
            </w:r>
          </w:p>
        </w:tc>
        <w:tc>
          <w:tcPr>
            <w:tcW w:w="8181" w:type="dxa"/>
            <w:vAlign w:val="center"/>
          </w:tcPr>
          <w:p>
            <w:pPr>
              <w:spacing w:line="360" w:lineRule="auto"/>
              <w:jc w:val="center"/>
              <w:rPr>
                <w:rFonts w:hAnsi="宋体" w:cs="宋体"/>
                <w:szCs w:val="24"/>
                <w:highlight w:val="none"/>
              </w:rPr>
            </w:pPr>
            <w:r>
              <w:rPr>
                <w:rFonts w:hint="eastAsia" w:hAnsi="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8181" w:type="dxa"/>
            <w:vAlign w:val="center"/>
          </w:tcPr>
          <w:p>
            <w:pPr>
              <w:spacing w:line="360" w:lineRule="auto"/>
              <w:rPr>
                <w:rFonts w:hint="eastAsia" w:hAnsi="宋体" w:eastAsia="宋体" w:cs="宋体"/>
                <w:szCs w:val="24"/>
                <w:highlight w:val="none"/>
                <w:lang w:eastAsia="zh-CN"/>
              </w:rPr>
            </w:pPr>
            <w:r>
              <w:rPr>
                <w:rFonts w:hint="eastAsia" w:hAnsi="宋体" w:cs="宋体"/>
                <w:szCs w:val="24"/>
                <w:highlight w:val="none"/>
              </w:rPr>
              <w:t>采购人名称：</w:t>
            </w:r>
            <w:r>
              <w:rPr>
                <w:rFonts w:hint="eastAsia" w:hAnsi="宋体" w:cs="宋体"/>
                <w:szCs w:val="24"/>
                <w:highlight w:val="none"/>
                <w:lang w:eastAsia="zh-CN"/>
              </w:rPr>
              <w:t>宜君县残疾人联合会</w:t>
            </w:r>
          </w:p>
          <w:p>
            <w:pPr>
              <w:spacing w:line="360" w:lineRule="auto"/>
              <w:rPr>
                <w:rFonts w:hint="eastAsia" w:hAnsi="宋体" w:eastAsia="宋体" w:cs="宋体"/>
                <w:szCs w:val="24"/>
                <w:highlight w:val="none"/>
                <w:lang w:eastAsia="zh-CN"/>
              </w:rPr>
            </w:pPr>
            <w:r>
              <w:rPr>
                <w:rFonts w:hint="eastAsia" w:hAnsi="宋体" w:cs="宋体"/>
                <w:szCs w:val="24"/>
                <w:highlight w:val="none"/>
              </w:rPr>
              <w:t>地      址：</w:t>
            </w:r>
            <w:r>
              <w:rPr>
                <w:rFonts w:hint="eastAsia" w:hAnsi="宋体" w:cs="宋体"/>
                <w:szCs w:val="24"/>
                <w:highlight w:val="none"/>
                <w:lang w:eastAsia="zh-CN"/>
              </w:rPr>
              <w:t>宜君县县委办公楼1楼101室</w:t>
            </w:r>
          </w:p>
          <w:p>
            <w:pPr>
              <w:spacing w:line="360" w:lineRule="auto"/>
              <w:rPr>
                <w:rFonts w:hAnsi="宋体" w:cs="宋体"/>
                <w:szCs w:val="24"/>
                <w:highlight w:val="none"/>
              </w:rPr>
            </w:pPr>
            <w:r>
              <w:rPr>
                <w:rFonts w:hint="eastAsia" w:hAnsi="宋体" w:cs="宋体"/>
                <w:szCs w:val="24"/>
                <w:highlight w:val="none"/>
              </w:rPr>
              <w:t>项目名称：</w:t>
            </w:r>
            <w:r>
              <w:rPr>
                <w:rFonts w:hint="eastAsia" w:hAnsi="宋体" w:cs="宋体"/>
                <w:szCs w:val="24"/>
                <w:highlight w:val="none"/>
                <w:lang w:eastAsia="zh-CN"/>
              </w:rPr>
              <w:t>宜君县2022年残疾人托养和照护服务项目（</w:t>
            </w:r>
            <w:r>
              <w:rPr>
                <w:rFonts w:hint="eastAsia" w:hAnsi="宋体" w:cs="宋体"/>
                <w:szCs w:val="24"/>
                <w:highlight w:val="none"/>
                <w:lang w:val="en-US" w:eastAsia="zh-CN"/>
              </w:rPr>
              <w:t>二次</w:t>
            </w:r>
            <w:r>
              <w:rPr>
                <w:rFonts w:hint="eastAsia" w:hAnsi="宋体" w:cs="宋体"/>
                <w:szCs w:val="24"/>
                <w:highlight w:val="none"/>
                <w:lang w:eastAsia="zh-CN"/>
              </w:rPr>
              <w:t>）</w:t>
            </w:r>
            <w:r>
              <w:rPr>
                <w:rFonts w:hint="eastAsia" w:hAnsi="宋体" w:cs="宋体"/>
                <w:szCs w:val="24"/>
                <w:highlight w:val="none"/>
              </w:rPr>
              <w:t xml:space="preserve">  </w:t>
            </w:r>
          </w:p>
          <w:p>
            <w:pPr>
              <w:tabs>
                <w:tab w:val="left" w:pos="1440"/>
                <w:tab w:val="left" w:pos="1680"/>
              </w:tabs>
              <w:spacing w:line="360" w:lineRule="auto"/>
              <w:jc w:val="left"/>
              <w:rPr>
                <w:rFonts w:hAnsi="宋体" w:cs="宋体"/>
                <w:szCs w:val="24"/>
                <w:highlight w:val="none"/>
              </w:rPr>
            </w:pPr>
            <w:r>
              <w:rPr>
                <w:rFonts w:hint="eastAsia" w:hAnsi="宋体" w:cs="宋体"/>
                <w:szCs w:val="24"/>
                <w:highlight w:val="none"/>
              </w:rPr>
              <w:t>资金来源：财政资金，资金已落实。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8181" w:type="dxa"/>
            <w:vAlign w:val="center"/>
          </w:tcPr>
          <w:p>
            <w:pPr>
              <w:spacing w:line="360" w:lineRule="auto"/>
              <w:rPr>
                <w:rFonts w:hint="default" w:hAnsi="宋体" w:eastAsia="宋体" w:cs="宋体"/>
                <w:szCs w:val="24"/>
                <w:highlight w:val="none"/>
                <w:lang w:val="en-US" w:eastAsia="zh-CN"/>
              </w:rPr>
            </w:pPr>
            <w:r>
              <w:rPr>
                <w:rFonts w:hint="eastAsia" w:hAnsi="宋体" w:cs="宋体"/>
                <w:szCs w:val="24"/>
                <w:highlight w:val="none"/>
              </w:rPr>
              <w:t>项目实施地点：</w:t>
            </w:r>
            <w:r>
              <w:rPr>
                <w:rFonts w:hint="eastAsia" w:hAnsi="宋体" w:cs="宋体"/>
                <w:szCs w:val="24"/>
                <w:highlight w:val="none"/>
                <w:lang w:val="en-US" w:eastAsia="zh-CN"/>
              </w:rPr>
              <w:t>宜君县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8181" w:type="dxa"/>
            <w:vAlign w:val="center"/>
          </w:tcPr>
          <w:p>
            <w:pPr>
              <w:spacing w:line="360" w:lineRule="auto"/>
              <w:rPr>
                <w:rFonts w:hint="default" w:hAnsi="宋体" w:eastAsia="宋体" w:cs="宋体"/>
                <w:szCs w:val="24"/>
                <w:highlight w:val="none"/>
                <w:lang w:val="en-US" w:eastAsia="zh-CN"/>
              </w:rPr>
            </w:pPr>
            <w:r>
              <w:rPr>
                <w:rFonts w:hint="eastAsia" w:hAnsi="宋体" w:cs="宋体"/>
                <w:szCs w:val="24"/>
                <w:highlight w:val="none"/>
              </w:rPr>
              <w:t>服务期：</w:t>
            </w:r>
            <w:r>
              <w:rPr>
                <w:rFonts w:hint="eastAsia" w:hAnsi="宋体" w:cs="宋体"/>
                <w:szCs w:val="24"/>
                <w:highlight w:val="none"/>
                <w:lang w:val="en-US" w:eastAsia="zh-CN"/>
              </w:rPr>
              <w:t>90日历天</w:t>
            </w:r>
          </w:p>
          <w:p>
            <w:pPr>
              <w:spacing w:line="360" w:lineRule="auto"/>
              <w:rPr>
                <w:rFonts w:hAnsi="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8181" w:type="dxa"/>
            <w:vAlign w:val="center"/>
          </w:tcPr>
          <w:p>
            <w:pPr>
              <w:spacing w:line="360" w:lineRule="auto"/>
              <w:rPr>
                <w:rFonts w:hAnsi="宋体" w:cs="宋体"/>
                <w:b/>
                <w:sz w:val="21"/>
                <w:szCs w:val="21"/>
                <w:highlight w:val="none"/>
              </w:rPr>
            </w:pPr>
            <w:r>
              <w:rPr>
                <w:rFonts w:hint="eastAsia" w:hAnsi="宋体" w:cs="宋体"/>
                <w:b/>
                <w:sz w:val="21"/>
                <w:szCs w:val="21"/>
                <w:highlight w:val="none"/>
              </w:rPr>
              <w:t>付款：</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1.合同总价即成交价，不受市场价变化或实际工作量变化的影响。供应商应在磋商报价表中标明完成本次磋商所要求的全部服务的所有费用，包括</w:t>
            </w:r>
            <w:r>
              <w:rPr>
                <w:rFonts w:hint="eastAsia" w:hAnsi="宋体" w:cs="宋体"/>
                <w:szCs w:val="24"/>
                <w:highlight w:val="none"/>
                <w:lang w:eastAsia="zh-CN"/>
              </w:rPr>
              <w:t>包括但不限于人员工资、生活照料服务费、饮食、医疗保健、文化娱乐费用等、招标代理服务费、税金等其他一切相关费用。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2.付款方式和程序：</w:t>
            </w:r>
          </w:p>
          <w:p>
            <w:pPr>
              <w:spacing w:line="360" w:lineRule="auto"/>
              <w:ind w:firstLine="480" w:firstLineChars="200"/>
              <w:rPr>
                <w:rFonts w:hAnsi="宋体" w:cs="宋体"/>
                <w:szCs w:val="24"/>
                <w:highlight w:val="none"/>
              </w:rPr>
            </w:pPr>
            <w:r>
              <w:rPr>
                <w:rFonts w:hint="eastAsia" w:hAnsi="宋体" w:cs="宋体"/>
                <w:szCs w:val="24"/>
                <w:highlight w:val="none"/>
              </w:rPr>
              <w:t>2.1由采购人负责结算，在付款前，供应商必须开具全额发票给采购人（附详细清单）。</w:t>
            </w:r>
          </w:p>
          <w:p>
            <w:pPr>
              <w:spacing w:line="360" w:lineRule="auto"/>
              <w:ind w:firstLine="480" w:firstLineChars="200"/>
              <w:rPr>
                <w:rFonts w:hAnsi="宋体" w:cs="宋体"/>
                <w:szCs w:val="24"/>
                <w:highlight w:val="none"/>
              </w:rPr>
            </w:pPr>
            <w:r>
              <w:rPr>
                <w:rFonts w:hint="eastAsia" w:hAnsi="宋体" w:cs="宋体"/>
                <w:szCs w:val="24"/>
                <w:highlight w:val="none"/>
              </w:rPr>
              <w:t>2.2付款方式：</w:t>
            </w:r>
          </w:p>
          <w:p>
            <w:pPr>
              <w:spacing w:line="360" w:lineRule="auto"/>
              <w:ind w:firstLine="480" w:firstLineChars="200"/>
              <w:rPr>
                <w:rFonts w:hint="eastAsia" w:eastAsia="宋体"/>
                <w:highlight w:val="none"/>
                <w:lang w:eastAsia="zh-CN"/>
              </w:rPr>
            </w:pPr>
            <w:r>
              <w:rPr>
                <w:rFonts w:hint="eastAsia"/>
                <w:highlight w:val="none"/>
              </w:rPr>
              <w:t>由甲方负责结算，在付款前，乙方必须开具全额发票给甲方，否则，甲方有权拒绝付款，无需承担任何责任，且乙方不得以此为由拒绝履行协议义务。</w:t>
            </w:r>
            <w:r>
              <w:rPr>
                <w:rFonts w:hint="eastAsia"/>
                <w:highlight w:val="none"/>
                <w:lang w:eastAsia="zh-CN"/>
              </w:rPr>
              <w:t>（具体以签订合同为准）</w:t>
            </w:r>
          </w:p>
          <w:p>
            <w:pPr>
              <w:spacing w:line="360" w:lineRule="auto"/>
              <w:ind w:firstLine="482" w:firstLineChars="200"/>
              <w:rPr>
                <w:rFonts w:hAnsi="宋体" w:cs="宋体"/>
                <w:szCs w:val="24"/>
                <w:highlight w:val="none"/>
              </w:rPr>
            </w:pPr>
            <w:r>
              <w:rPr>
                <w:rFonts w:hint="eastAsia" w:hAnsi="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服务支持：</w:t>
            </w:r>
          </w:p>
          <w:p>
            <w:pPr>
              <w:spacing w:line="360" w:lineRule="auto"/>
              <w:ind w:firstLine="480" w:firstLineChars="200"/>
              <w:jc w:val="left"/>
              <w:rPr>
                <w:rFonts w:hAnsi="宋体" w:cs="宋体"/>
                <w:szCs w:val="24"/>
                <w:highlight w:val="none"/>
              </w:rPr>
            </w:pPr>
            <w:r>
              <w:rPr>
                <w:rFonts w:hint="eastAsia" w:hAnsi="宋体" w:cs="宋体"/>
                <w:bCs/>
                <w:szCs w:val="21"/>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8181" w:type="dxa"/>
            <w:vAlign w:val="center"/>
          </w:tcPr>
          <w:p>
            <w:pPr>
              <w:spacing w:line="360" w:lineRule="auto"/>
              <w:jc w:val="left"/>
              <w:rPr>
                <w:rFonts w:hAnsi="宋体" w:cs="宋体"/>
                <w:bCs/>
                <w:szCs w:val="21"/>
                <w:highlight w:val="none"/>
              </w:rPr>
            </w:pPr>
            <w:r>
              <w:rPr>
                <w:rFonts w:hint="eastAsia" w:hAnsi="宋体" w:cs="宋体"/>
                <w:b/>
                <w:bCs/>
                <w:szCs w:val="24"/>
                <w:highlight w:val="none"/>
              </w:rPr>
              <w:t>质量保证：符合甲方要求，完全响应磋商响应文件要求。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知识产权、专利权：</w:t>
            </w:r>
          </w:p>
          <w:p>
            <w:pPr>
              <w:tabs>
                <w:tab w:val="left" w:pos="498"/>
              </w:tabs>
              <w:spacing w:line="360" w:lineRule="auto"/>
              <w:ind w:firstLine="480" w:firstLineChars="200"/>
              <w:rPr>
                <w:rFonts w:hAnsi="宋体" w:cs="宋体"/>
                <w:szCs w:val="24"/>
                <w:highlight w:val="none"/>
              </w:rPr>
            </w:pPr>
            <w:r>
              <w:rPr>
                <w:rFonts w:hint="eastAsia" w:hAnsi="宋体" w:cs="宋体"/>
                <w:szCs w:val="24"/>
                <w:highlight w:val="none"/>
              </w:rPr>
              <w:t>供应商应对所提供的文稿及图像、影像材料，已取得合法知识产权或其使用权，供应商应保证所提供的服务不会出现因第三方提出侵犯其版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违约责任：</w:t>
            </w:r>
          </w:p>
          <w:p>
            <w:pPr>
              <w:tabs>
                <w:tab w:val="left" w:pos="152"/>
              </w:tabs>
              <w:spacing w:line="360" w:lineRule="auto"/>
              <w:ind w:firstLine="480" w:firstLineChars="200"/>
              <w:rPr>
                <w:rFonts w:hAnsi="宋体" w:cs="宋体"/>
                <w:szCs w:val="24"/>
                <w:highlight w:val="none"/>
              </w:rPr>
            </w:pPr>
            <w:r>
              <w:rPr>
                <w:rFonts w:hint="eastAsia" w:hAnsi="宋体" w:cs="宋体"/>
                <w:szCs w:val="24"/>
                <w:highlight w:val="none"/>
              </w:rPr>
              <w:t>1、按《民法典》中的相关条款执行。</w:t>
            </w:r>
          </w:p>
          <w:p>
            <w:pPr>
              <w:snapToGrid w:val="0"/>
              <w:spacing w:line="360" w:lineRule="auto"/>
              <w:ind w:firstLine="480" w:firstLineChars="200"/>
              <w:rPr>
                <w:rFonts w:hAnsi="宋体" w:cs="宋体"/>
                <w:szCs w:val="24"/>
                <w:highlight w:val="none"/>
              </w:rPr>
            </w:pPr>
            <w:r>
              <w:rPr>
                <w:rFonts w:hint="eastAsia" w:hAnsi="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政府采购合同：</w:t>
            </w:r>
          </w:p>
          <w:p>
            <w:pPr>
              <w:spacing w:line="360" w:lineRule="auto"/>
              <w:ind w:firstLine="480" w:firstLineChars="200"/>
              <w:rPr>
                <w:rFonts w:hAnsi="宋体" w:cs="宋体"/>
                <w:szCs w:val="24"/>
                <w:highlight w:val="none"/>
              </w:rPr>
            </w:pPr>
            <w:r>
              <w:rPr>
                <w:rFonts w:hint="eastAsia" w:hAnsi="宋体" w:cs="宋体"/>
                <w:szCs w:val="24"/>
                <w:highlight w:val="none"/>
              </w:rPr>
              <w:t>政府采购合同适用合同法。采购人和供应商之间的权利和义务，应当按照平等、自愿的原则以合同方式约定。</w:t>
            </w:r>
            <w:r>
              <w:rPr>
                <w:rFonts w:hint="eastAsia" w:hAnsi="宋体" w:cs="宋体"/>
                <w:szCs w:val="24"/>
                <w:highlight w:val="none"/>
              </w:rPr>
              <w:br w:type="textWrapping"/>
            </w:r>
            <w:r>
              <w:rPr>
                <w:rFonts w:hint="eastAsia" w:hAnsi="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hAnsi="宋体" w:cs="宋体"/>
                <w:szCs w:val="24"/>
                <w:highlight w:val="none"/>
              </w:rPr>
              <w:br w:type="textWrapping"/>
            </w:r>
            <w:r>
              <w:rPr>
                <w:rFonts w:hint="eastAsia" w:hAnsi="宋体" w:cs="宋体"/>
                <w:szCs w:val="24"/>
                <w:highlight w:val="none"/>
              </w:rPr>
              <w:t xml:space="preserve">    采购人与中标、成交供应商应当在中标、成交通知书发出之日起三十日内，按照采购文件确定的事项签订政府采购合同。</w:t>
            </w:r>
            <w:r>
              <w:rPr>
                <w:rFonts w:hint="eastAsia" w:hAnsi="宋体" w:cs="宋体"/>
                <w:szCs w:val="24"/>
                <w:highlight w:val="none"/>
              </w:rPr>
              <w:br w:type="textWrapping"/>
            </w:r>
            <w:r>
              <w:rPr>
                <w:rFonts w:hint="eastAsia" w:hAnsi="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6"/>
              <w:spacing w:line="360" w:lineRule="auto"/>
              <w:ind w:firstLine="480" w:firstLineChars="200"/>
              <w:rPr>
                <w:rFonts w:hAnsi="宋体" w:cs="宋体"/>
                <w:kern w:val="0"/>
                <w:sz w:val="24"/>
                <w:szCs w:val="24"/>
                <w:highlight w:val="none"/>
              </w:rPr>
            </w:pPr>
            <w:r>
              <w:rPr>
                <w:rFonts w:hint="eastAsia" w:hAnsi="宋体" w:cs="宋体"/>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sz w:val="24"/>
                <w:szCs w:val="24"/>
                <w:highlight w:val="none"/>
              </w:rPr>
              <w:br w:type="textWrapping"/>
            </w:r>
            <w:r>
              <w:rPr>
                <w:rFonts w:hint="eastAsia" w:hAnsi="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sz w:val="24"/>
                <w:szCs w:val="24"/>
                <w:highlight w:val="none"/>
              </w:rPr>
              <w:br w:type="textWrapping"/>
            </w:r>
            <w:r>
              <w:rPr>
                <w:rFonts w:hint="eastAsia" w:hAnsi="宋体" w:cs="宋体"/>
                <w:sz w:val="24"/>
                <w:szCs w:val="24"/>
                <w:highlight w:val="none"/>
              </w:rPr>
              <w:t xml:space="preserve">    政府采购合同的双方当事人不得擅自变更、中止或者终止合同。</w:t>
            </w:r>
            <w:r>
              <w:rPr>
                <w:rFonts w:hint="eastAsia" w:hAnsi="宋体" w:cs="宋体"/>
                <w:sz w:val="24"/>
                <w:szCs w:val="24"/>
                <w:highlight w:val="none"/>
              </w:rPr>
              <w:br w:type="textWrapping"/>
            </w:r>
            <w:r>
              <w:rPr>
                <w:rFonts w:hint="eastAsia" w:hAnsi="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Ansi="宋体" w:cs="宋体"/>
          <w:sz w:val="32"/>
          <w:highlight w:val="none"/>
        </w:rPr>
      </w:pPr>
      <w:bookmarkStart w:id="87" w:name="_Toc19199"/>
      <w:bookmarkStart w:id="88" w:name="_Toc29888"/>
      <w:bookmarkStart w:id="89" w:name="_Toc19246"/>
      <w:bookmarkStart w:id="90" w:name="_Toc423973075"/>
      <w:bookmarkStart w:id="91" w:name="_Toc31520"/>
      <w:bookmarkStart w:id="92" w:name="_Toc4679"/>
      <w:bookmarkStart w:id="93" w:name="_Toc389582037"/>
      <w:bookmarkStart w:id="94" w:name="_Toc26595"/>
      <w:bookmarkStart w:id="95" w:name="_Toc8333"/>
      <w:r>
        <w:rPr>
          <w:rFonts w:hint="eastAsia" w:hAnsi="宋体" w:cs="宋体"/>
          <w:b/>
          <w:bCs/>
          <w:sz w:val="48"/>
          <w:szCs w:val="48"/>
          <w:highlight w:val="none"/>
        </w:rPr>
        <w:br w:type="page"/>
      </w:r>
    </w:p>
    <w:tbl>
      <w:tblPr>
        <w:tblStyle w:val="27"/>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tcPr>
          <w:p>
            <w:pPr>
              <w:jc w:val="center"/>
              <w:rPr>
                <w:rFonts w:hAnsi="宋体" w:cs="宋体"/>
                <w:b/>
                <w:sz w:val="30"/>
                <w:szCs w:val="30"/>
                <w:highlight w:val="none"/>
              </w:rPr>
            </w:pPr>
            <w:r>
              <w:rPr>
                <w:rFonts w:hint="eastAsia" w:hAnsi="宋体" w:cs="宋体"/>
                <w:b/>
                <w:sz w:val="30"/>
                <w:szCs w:val="30"/>
                <w:highlight w:val="none"/>
              </w:rPr>
              <w:t>竞争性磋商采购</w:t>
            </w:r>
          </w:p>
        </w:tc>
      </w:tr>
    </w:tbl>
    <w:p>
      <w:pPr>
        <w:outlineLvl w:val="1"/>
        <w:rPr>
          <w:rFonts w:hAnsi="宋体" w:cs="宋体"/>
          <w:b/>
          <w:sz w:val="32"/>
          <w:szCs w:val="32"/>
          <w:highlight w:val="none"/>
        </w:rPr>
      </w:pPr>
      <w:bookmarkStart w:id="96" w:name="_Toc7874"/>
      <w:bookmarkStart w:id="97" w:name="_Toc28375"/>
      <w:bookmarkStart w:id="98" w:name="_Toc5216"/>
      <w:bookmarkStart w:id="99" w:name="_Toc1362"/>
      <w:r>
        <w:rPr>
          <w:rFonts w:hint="eastAsia" w:hAnsi="宋体" w:cs="宋体"/>
          <w:b/>
          <w:sz w:val="32"/>
          <w:szCs w:val="32"/>
          <w:highlight w:val="none"/>
        </w:rPr>
        <w:t>政府采购项目</w:t>
      </w:r>
      <w:r>
        <w:rPr>
          <w:rFonts w:hint="eastAsia" w:hAnsi="宋体" w:cs="宋体"/>
          <w:b/>
          <w:bCs/>
          <w:sz w:val="28"/>
          <w:szCs w:val="28"/>
          <w:highlight w:val="none"/>
        </w:rPr>
        <w:t>（</w:t>
      </w:r>
      <w:r>
        <w:rPr>
          <w:rFonts w:hint="eastAsia" w:hAnsi="宋体" w:cs="宋体"/>
          <w:b/>
          <w:sz w:val="32"/>
          <w:szCs w:val="32"/>
          <w:highlight w:val="none"/>
        </w:rPr>
        <w:t>仅供参考）</w:t>
      </w:r>
      <w:bookmarkEnd w:id="96"/>
      <w:bookmarkEnd w:id="97"/>
      <w:bookmarkEnd w:id="98"/>
      <w:bookmarkEnd w:id="99"/>
      <w:r>
        <w:rPr>
          <w:rFonts w:hint="eastAsia" w:hAnsi="宋体" w:cs="宋体"/>
          <w:b/>
          <w:sz w:val="32"/>
          <w:szCs w:val="32"/>
          <w:highlight w:val="none"/>
        </w:rPr>
        <w:t xml:space="preserve">                  </w:t>
      </w:r>
    </w:p>
    <w:p>
      <w:pPr>
        <w:rPr>
          <w:rFonts w:hAnsi="宋体" w:cs="宋体"/>
          <w:b/>
          <w:sz w:val="32"/>
          <w:szCs w:val="32"/>
          <w:highlight w:val="none"/>
        </w:rPr>
      </w:pPr>
      <w:r>
        <w:rPr>
          <w:rFonts w:hint="eastAsia" w:hAnsi="宋体" w:cs="宋体"/>
          <w:b/>
          <w:sz w:val="32"/>
          <w:szCs w:val="32"/>
          <w:highlight w:val="none"/>
        </w:rPr>
        <w:t xml:space="preserve">          </w:t>
      </w:r>
    </w:p>
    <w:p>
      <w:pPr>
        <w:jc w:val="center"/>
        <w:rPr>
          <w:rFonts w:hAnsi="宋体" w:cs="宋体"/>
          <w:sz w:val="52"/>
          <w:szCs w:val="52"/>
          <w:highlight w:val="none"/>
        </w:rPr>
      </w:pPr>
    </w:p>
    <w:p>
      <w:pPr>
        <w:jc w:val="center"/>
        <w:rPr>
          <w:rFonts w:hAnsi="宋体" w:cs="宋体"/>
          <w:sz w:val="52"/>
          <w:szCs w:val="52"/>
          <w:highlight w:val="none"/>
        </w:rPr>
      </w:pPr>
    </w:p>
    <w:p>
      <w:pPr>
        <w:jc w:val="center"/>
        <w:rPr>
          <w:rFonts w:hAnsi="宋体" w:cs="宋体"/>
          <w:b/>
          <w:snapToGrid w:val="0"/>
          <w:sz w:val="48"/>
          <w:szCs w:val="48"/>
          <w:highlight w:val="none"/>
          <w:u w:val="single"/>
        </w:rPr>
      </w:pPr>
      <w:r>
        <w:rPr>
          <w:rFonts w:hint="eastAsia" w:hAnsi="宋体" w:cs="宋体"/>
          <w:b/>
          <w:snapToGrid w:val="0"/>
          <w:sz w:val="48"/>
          <w:szCs w:val="48"/>
          <w:highlight w:val="none"/>
          <w:u w:val="single"/>
        </w:rPr>
        <w:t>(项目名称)</w:t>
      </w:r>
    </w:p>
    <w:p>
      <w:pPr>
        <w:jc w:val="center"/>
        <w:rPr>
          <w:rFonts w:hAnsi="宋体" w:cs="宋体"/>
          <w:b/>
          <w:sz w:val="72"/>
          <w:szCs w:val="72"/>
          <w:highlight w:val="none"/>
        </w:rPr>
      </w:pPr>
      <w:r>
        <w:rPr>
          <w:rFonts w:hint="eastAsia" w:hAnsi="宋体" w:cs="宋体"/>
          <w:b/>
          <w:sz w:val="72"/>
          <w:szCs w:val="72"/>
          <w:highlight w:val="none"/>
        </w:rPr>
        <w:t>服 务 合 同</w:t>
      </w:r>
    </w:p>
    <w:p>
      <w:pPr>
        <w:jc w:val="center"/>
        <w:rPr>
          <w:rFonts w:hAnsi="宋体" w:cs="宋体"/>
          <w:sz w:val="30"/>
          <w:szCs w:val="30"/>
          <w:highlight w:val="none"/>
        </w:rPr>
      </w:pPr>
      <w:r>
        <w:rPr>
          <w:rFonts w:hint="eastAsia" w:hAnsi="宋体" w:cs="宋体"/>
          <w:sz w:val="30"/>
          <w:szCs w:val="30"/>
          <w:highlight w:val="none"/>
        </w:rPr>
        <w:t>（项目编号：</w:t>
      </w:r>
      <w:r>
        <w:rPr>
          <w:rFonts w:hint="eastAsia" w:hAnsi="宋体" w:cs="宋体"/>
          <w:sz w:val="30"/>
          <w:szCs w:val="30"/>
          <w:highlight w:val="none"/>
          <w:lang w:eastAsia="zh-CN"/>
        </w:rPr>
        <w:t>包号：</w:t>
      </w:r>
      <w:r>
        <w:rPr>
          <w:rFonts w:hint="eastAsia" w:hAnsi="宋体" w:cs="宋体"/>
          <w:sz w:val="30"/>
          <w:szCs w:val="30"/>
          <w:highlight w:val="none"/>
        </w:rPr>
        <w:t xml:space="preserve">      </w:t>
      </w:r>
      <w:r>
        <w:rPr>
          <w:rFonts w:hint="eastAsia" w:hAnsi="宋体" w:cs="宋体"/>
          <w:sz w:val="28"/>
          <w:szCs w:val="28"/>
          <w:highlight w:val="none"/>
        </w:rPr>
        <w:t>）</w:t>
      </w: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ind w:firstLine="2080" w:firstLineChars="650"/>
        <w:rPr>
          <w:rFonts w:hAnsi="宋体" w:cs="宋体"/>
          <w:sz w:val="32"/>
          <w:szCs w:val="32"/>
          <w:highlight w:val="none"/>
        </w:rPr>
      </w:pPr>
      <w:r>
        <w:rPr>
          <w:rFonts w:hint="eastAsia" w:hAnsi="宋体" w:cs="宋体"/>
          <w:sz w:val="32"/>
          <w:szCs w:val="32"/>
          <w:highlight w:val="none"/>
        </w:rPr>
        <w:t xml:space="preserve">甲  方： </w:t>
      </w:r>
    </w:p>
    <w:p>
      <w:pPr>
        <w:tabs>
          <w:tab w:val="left" w:pos="480"/>
        </w:tabs>
        <w:ind w:firstLine="640" w:firstLineChars="200"/>
        <w:rPr>
          <w:rFonts w:hAnsi="宋体" w:cs="宋体"/>
          <w:sz w:val="32"/>
          <w:szCs w:val="32"/>
          <w:highlight w:val="none"/>
        </w:rPr>
      </w:pPr>
      <w:r>
        <w:rPr>
          <w:rFonts w:hint="eastAsia" w:hAnsi="宋体" w:cs="宋体"/>
          <w:sz w:val="32"/>
          <w:szCs w:val="32"/>
          <w:highlight w:val="none"/>
        </w:rPr>
        <w:t xml:space="preserve">         乙  方：</w:t>
      </w:r>
    </w:p>
    <w:p>
      <w:pPr>
        <w:jc w:val="center"/>
        <w:rPr>
          <w:rFonts w:hAnsi="宋体" w:cs="宋体"/>
          <w:sz w:val="30"/>
          <w:szCs w:val="30"/>
          <w:highlight w:val="none"/>
        </w:rPr>
      </w:pPr>
    </w:p>
    <w:p>
      <w:pPr>
        <w:jc w:val="center"/>
        <w:rPr>
          <w:rFonts w:hAnsi="宋体" w:cs="宋体"/>
          <w:sz w:val="32"/>
          <w:szCs w:val="32"/>
          <w:highlight w:val="none"/>
        </w:rPr>
      </w:pPr>
      <w:r>
        <w:rPr>
          <w:rFonts w:hint="eastAsia" w:hAnsi="宋体" w:cs="宋体"/>
          <w:sz w:val="32"/>
          <w:szCs w:val="32"/>
          <w:highlight w:val="none"/>
        </w:rPr>
        <w:t xml:space="preserve">  年  月  日</w:t>
      </w:r>
    </w:p>
    <w:p>
      <w:pPr>
        <w:jc w:val="center"/>
        <w:rPr>
          <w:rFonts w:hAnsi="宋体" w:cs="宋体"/>
          <w:sz w:val="32"/>
          <w:szCs w:val="32"/>
          <w:highlight w:val="none"/>
        </w:rPr>
      </w:pPr>
    </w:p>
    <w:p>
      <w:pPr>
        <w:spacing w:line="590" w:lineRule="exact"/>
        <w:rPr>
          <w:rFonts w:hAnsi="宋体" w:cs="宋体"/>
          <w:b/>
          <w:sz w:val="36"/>
          <w:szCs w:val="36"/>
          <w:highlight w:val="none"/>
        </w:rPr>
      </w:pPr>
    </w:p>
    <w:p>
      <w:pPr>
        <w:jc w:val="center"/>
        <w:outlineLvl w:val="2"/>
        <w:rPr>
          <w:rFonts w:ascii="黑体"/>
          <w:b/>
          <w:sz w:val="36"/>
          <w:szCs w:val="36"/>
          <w:highlight w:val="none"/>
        </w:rPr>
      </w:pPr>
      <w:r>
        <w:rPr>
          <w:rFonts w:hint="eastAsia" w:hAnsi="宋体" w:cs="宋体"/>
          <w:b/>
          <w:szCs w:val="21"/>
          <w:highlight w:val="none"/>
        </w:rPr>
        <w:br w:type="page"/>
      </w:r>
      <w:bookmarkStart w:id="100" w:name="_Toc28398"/>
      <w:bookmarkStart w:id="101" w:name="_Toc32529"/>
      <w:r>
        <w:rPr>
          <w:rFonts w:hint="eastAsia" w:ascii="黑体" w:eastAsia="黑体"/>
          <w:b/>
          <w:sz w:val="36"/>
          <w:szCs w:val="36"/>
          <w:highlight w:val="none"/>
        </w:rPr>
        <w:t>协 议 书</w:t>
      </w:r>
      <w:bookmarkEnd w:id="100"/>
      <w:bookmarkEnd w:id="101"/>
    </w:p>
    <w:p>
      <w:pPr>
        <w:spacing w:line="360" w:lineRule="auto"/>
        <w:rPr>
          <w:rFonts w:hAnsi="宋体" w:cs="宋体"/>
          <w:szCs w:val="21"/>
          <w:highlight w:val="none"/>
          <w:u w:val="single"/>
        </w:rPr>
      </w:pPr>
      <w:r>
        <w:rPr>
          <w:rFonts w:hint="eastAsia" w:hAnsi="宋体" w:cs="宋体"/>
          <w:szCs w:val="21"/>
          <w:highlight w:val="none"/>
        </w:rPr>
        <w:t>甲方：</w:t>
      </w:r>
      <w:r>
        <w:rPr>
          <w:rFonts w:hint="eastAsia" w:hAnsi="宋体" w:cs="宋体"/>
          <w:szCs w:val="21"/>
          <w:highlight w:val="none"/>
          <w:u w:val="single"/>
        </w:rPr>
        <w:t xml:space="preserve">             </w:t>
      </w:r>
    </w:p>
    <w:p>
      <w:pPr>
        <w:spacing w:line="360" w:lineRule="auto"/>
        <w:rPr>
          <w:rFonts w:hAnsi="宋体" w:cs="宋体"/>
          <w:szCs w:val="21"/>
          <w:highlight w:val="none"/>
          <w:u w:val="single"/>
        </w:rPr>
      </w:pPr>
      <w:r>
        <w:rPr>
          <w:rFonts w:hint="eastAsia" w:hAnsi="宋体" w:cs="宋体"/>
          <w:szCs w:val="21"/>
          <w:highlight w:val="none"/>
        </w:rPr>
        <w:t>乙方：</w:t>
      </w:r>
      <w:r>
        <w:rPr>
          <w:rFonts w:hint="eastAsia" w:hAnsi="宋体" w:cs="宋体"/>
          <w:szCs w:val="21"/>
          <w:highlight w:val="none"/>
          <w:u w:val="single"/>
        </w:rPr>
        <w:t xml:space="preserve">             </w:t>
      </w:r>
    </w:p>
    <w:p>
      <w:pPr>
        <w:spacing w:line="360" w:lineRule="auto"/>
        <w:ind w:firstLine="480" w:firstLineChars="200"/>
        <w:rPr>
          <w:rFonts w:hAnsi="宋体" w:cs="宋体"/>
          <w:szCs w:val="21"/>
          <w:highlight w:val="none"/>
        </w:rPr>
      </w:pPr>
      <w:r>
        <w:rPr>
          <w:rFonts w:hint="eastAsia" w:hAnsi="宋体" w:cs="宋体"/>
          <w:szCs w:val="21"/>
          <w:highlight w:val="none"/>
        </w:rPr>
        <w:t>根据《民法典》、《中华人民共和国政府采购法》与项目行业有关的法律法规，以及本项目（</w:t>
      </w:r>
      <w:r>
        <w:rPr>
          <w:rFonts w:hint="eastAsia" w:hAnsi="宋体" w:cs="宋体"/>
          <w:szCs w:val="24"/>
          <w:highlight w:val="none"/>
          <w:lang w:eastAsia="zh-CN"/>
        </w:rPr>
        <w:t>宜君县2022年残疾人托养和照护服务项目（</w:t>
      </w:r>
      <w:r>
        <w:rPr>
          <w:rFonts w:hint="eastAsia" w:hAnsi="宋体" w:cs="宋体"/>
          <w:szCs w:val="24"/>
          <w:highlight w:val="none"/>
          <w:lang w:val="en-US" w:eastAsia="zh-CN"/>
        </w:rPr>
        <w:t>二次</w:t>
      </w:r>
      <w:r>
        <w:rPr>
          <w:rFonts w:hint="eastAsia" w:hAnsi="宋体" w:cs="宋体"/>
          <w:szCs w:val="24"/>
          <w:highlight w:val="none"/>
          <w:lang w:eastAsia="zh-CN"/>
        </w:rPr>
        <w:t>）</w:t>
      </w:r>
      <w:r>
        <w:rPr>
          <w:rFonts w:hint="eastAsia" w:hAnsi="宋体" w:cs="宋体"/>
          <w:szCs w:val="21"/>
          <w:highlight w:val="none"/>
        </w:rPr>
        <w:t>）相关采购要求的规定，合同双方就乙方向采购方提供</w:t>
      </w:r>
      <w:r>
        <w:rPr>
          <w:rFonts w:hint="eastAsia" w:hAnsi="宋体" w:cs="宋体"/>
          <w:szCs w:val="24"/>
          <w:highlight w:val="none"/>
          <w:lang w:eastAsia="zh-CN"/>
        </w:rPr>
        <w:t>宜君县2022年残疾人托养和照护服务项目（</w:t>
      </w:r>
      <w:r>
        <w:rPr>
          <w:rFonts w:hint="eastAsia" w:hAnsi="宋体" w:cs="宋体"/>
          <w:szCs w:val="24"/>
          <w:highlight w:val="none"/>
          <w:lang w:val="en-US" w:eastAsia="zh-CN"/>
        </w:rPr>
        <w:t>二次</w:t>
      </w:r>
      <w:r>
        <w:rPr>
          <w:rFonts w:hint="eastAsia" w:hAnsi="宋体" w:cs="宋体"/>
          <w:szCs w:val="24"/>
          <w:highlight w:val="none"/>
          <w:lang w:eastAsia="zh-CN"/>
        </w:rPr>
        <w:t>）</w:t>
      </w:r>
      <w:r>
        <w:rPr>
          <w:rFonts w:hint="eastAsia" w:hAnsi="宋体" w:cs="宋体"/>
          <w:szCs w:val="21"/>
          <w:highlight w:val="none"/>
        </w:rPr>
        <w:t>协商达成一致，确立本合同。</w:t>
      </w:r>
    </w:p>
    <w:p>
      <w:pPr>
        <w:tabs>
          <w:tab w:val="left" w:pos="480"/>
        </w:tabs>
        <w:spacing w:line="360" w:lineRule="auto"/>
        <w:outlineLvl w:val="1"/>
        <w:rPr>
          <w:rFonts w:hAnsi="宋体" w:cs="宋体"/>
          <w:b/>
          <w:szCs w:val="21"/>
          <w:highlight w:val="none"/>
        </w:rPr>
      </w:pPr>
      <w:bookmarkStart w:id="102" w:name="_Toc30883"/>
      <w:bookmarkStart w:id="103" w:name="_Toc8841"/>
      <w:bookmarkStart w:id="104" w:name="_Toc3164"/>
      <w:r>
        <w:rPr>
          <w:rFonts w:hint="eastAsia" w:hAnsi="宋体" w:cs="宋体"/>
          <w:b/>
          <w:szCs w:val="21"/>
          <w:highlight w:val="none"/>
        </w:rPr>
        <w:t>一、合同标的物内容、数量及单价</w:t>
      </w:r>
      <w:r>
        <w:rPr>
          <w:rFonts w:hint="eastAsia" w:hAnsi="宋体" w:cs="宋体"/>
          <w:szCs w:val="21"/>
          <w:highlight w:val="none"/>
        </w:rPr>
        <w:t>（以竞争性磋商响应文件正本和澄清表〈函〉为准）</w:t>
      </w:r>
      <w:bookmarkEnd w:id="102"/>
      <w:bookmarkEnd w:id="103"/>
      <w:bookmarkEnd w:id="104"/>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55"/>
        <w:gridCol w:w="1421"/>
        <w:gridCol w:w="264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服务内容</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服务期限</w:t>
            </w: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相关要求</w:t>
            </w: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bl>
    <w:p>
      <w:pPr>
        <w:tabs>
          <w:tab w:val="left" w:pos="480"/>
        </w:tabs>
        <w:spacing w:line="360" w:lineRule="auto"/>
        <w:outlineLvl w:val="1"/>
        <w:rPr>
          <w:rFonts w:hAnsi="宋体" w:cs="宋体"/>
          <w:b/>
          <w:szCs w:val="21"/>
          <w:highlight w:val="none"/>
        </w:rPr>
      </w:pPr>
      <w:bookmarkStart w:id="105" w:name="_Toc8066"/>
      <w:bookmarkStart w:id="106" w:name="_Toc3926"/>
      <w:bookmarkStart w:id="107" w:name="_Toc4137"/>
      <w:r>
        <w:rPr>
          <w:rFonts w:hint="eastAsia" w:hAnsi="宋体" w:cs="宋体"/>
          <w:b/>
          <w:szCs w:val="21"/>
          <w:highlight w:val="none"/>
        </w:rPr>
        <w:t>二、合同价款</w:t>
      </w:r>
      <w:bookmarkEnd w:id="105"/>
      <w:bookmarkEnd w:id="106"/>
      <w:bookmarkEnd w:id="107"/>
    </w:p>
    <w:p>
      <w:pPr>
        <w:tabs>
          <w:tab w:val="left" w:pos="480"/>
        </w:tabs>
        <w:spacing w:line="360" w:lineRule="auto"/>
        <w:ind w:firstLine="480" w:firstLineChars="200"/>
        <w:rPr>
          <w:rFonts w:hAnsi="宋体" w:cs="宋体"/>
          <w:szCs w:val="21"/>
          <w:highlight w:val="none"/>
          <w:u w:val="single"/>
        </w:rPr>
      </w:pPr>
      <w:r>
        <w:rPr>
          <w:rFonts w:hint="eastAsia" w:hAnsi="宋体" w:cs="宋体"/>
          <w:szCs w:val="21"/>
          <w:highlight w:val="none"/>
        </w:rPr>
        <w:t>（一）本合同为总价合同，各项活动服务的合同总价为其磋商最终报价。</w:t>
      </w:r>
    </w:p>
    <w:p>
      <w:pPr>
        <w:tabs>
          <w:tab w:val="left" w:pos="480"/>
        </w:tabs>
        <w:spacing w:line="360" w:lineRule="auto"/>
        <w:ind w:firstLine="480" w:firstLineChars="200"/>
        <w:rPr>
          <w:rFonts w:hint="eastAsia" w:hAnsi="宋体" w:eastAsia="宋体" w:cs="宋体"/>
          <w:szCs w:val="21"/>
          <w:highlight w:val="none"/>
          <w:lang w:eastAsia="zh-CN"/>
        </w:rPr>
      </w:pPr>
      <w:r>
        <w:rPr>
          <w:rFonts w:hint="eastAsia" w:hAnsi="宋体" w:cs="宋体"/>
          <w:szCs w:val="21"/>
          <w:highlight w:val="none"/>
        </w:rPr>
        <w:t>（二）合同价包括：包括</w:t>
      </w:r>
      <w:r>
        <w:rPr>
          <w:rFonts w:hint="eastAsia" w:hAnsi="宋体" w:cs="宋体"/>
          <w:szCs w:val="21"/>
          <w:highlight w:val="none"/>
          <w:lang w:eastAsia="zh-CN"/>
        </w:rPr>
        <w:t>包括但不限于人员工资、生活照料服务费、饮食、医疗保健、文化娱乐费用等、招标代理服务费、税金等其他一切相关费用。</w:t>
      </w:r>
    </w:p>
    <w:p>
      <w:pPr>
        <w:spacing w:line="360" w:lineRule="auto"/>
        <w:ind w:firstLine="480" w:firstLineChars="200"/>
        <w:rPr>
          <w:highlight w:val="none"/>
        </w:rPr>
      </w:pPr>
      <w:bookmarkStart w:id="108" w:name="_Toc28664"/>
      <w:bookmarkStart w:id="109" w:name="_Toc5678"/>
      <w:bookmarkStart w:id="110" w:name="_Toc23247"/>
      <w:r>
        <w:rPr>
          <w:rFonts w:hint="eastAsia"/>
          <w:highlight w:val="none"/>
        </w:rPr>
        <w:t>（三）</w:t>
      </w:r>
      <w:r>
        <w:rPr>
          <w:rFonts w:hint="eastAsia" w:hAnsi="宋体" w:cs="宋体"/>
          <w:szCs w:val="28"/>
          <w:highlight w:val="none"/>
        </w:rPr>
        <w:t>合同有效期内，合同总价一次包死，不受国家政策性调价或原材料价格变化及外汇率变化的影响，并作为最终结算的依据。</w:t>
      </w:r>
    </w:p>
    <w:p>
      <w:pPr>
        <w:tabs>
          <w:tab w:val="left" w:pos="480"/>
        </w:tabs>
        <w:spacing w:line="360" w:lineRule="auto"/>
        <w:outlineLvl w:val="1"/>
        <w:rPr>
          <w:rFonts w:hAnsi="宋体" w:cs="宋体"/>
          <w:b/>
          <w:szCs w:val="21"/>
          <w:highlight w:val="none"/>
        </w:rPr>
      </w:pPr>
      <w:r>
        <w:rPr>
          <w:rFonts w:hint="eastAsia" w:hAnsi="宋体" w:cs="宋体"/>
          <w:b/>
          <w:szCs w:val="21"/>
          <w:highlight w:val="none"/>
        </w:rPr>
        <w:t>三、款项结算</w:t>
      </w:r>
      <w:bookmarkEnd w:id="108"/>
      <w:bookmarkEnd w:id="109"/>
      <w:bookmarkEnd w:id="110"/>
    </w:p>
    <w:p>
      <w:pPr>
        <w:spacing w:line="360" w:lineRule="auto"/>
        <w:ind w:firstLine="480" w:firstLineChars="200"/>
        <w:rPr>
          <w:rFonts w:hAnsi="宋体" w:cs="宋体"/>
          <w:szCs w:val="28"/>
          <w:highlight w:val="none"/>
        </w:rPr>
      </w:pPr>
      <w:bookmarkStart w:id="111" w:name="_Toc24406"/>
      <w:bookmarkStart w:id="112" w:name="_Toc21714"/>
      <w:bookmarkStart w:id="113" w:name="_Toc15939"/>
      <w:r>
        <w:rPr>
          <w:rFonts w:hint="eastAsia" w:hAnsi="宋体" w:cs="宋体"/>
          <w:szCs w:val="28"/>
          <w:highlight w:val="none"/>
        </w:rPr>
        <w:t>由甲方负责结算，在付款前，乙方必须开具全额发票给甲方，否则，甲方有权拒绝付款，无需承担任何责任，且乙方不得以此为由拒绝履行协议义务。</w:t>
      </w:r>
    </w:p>
    <w:p>
      <w:pPr>
        <w:tabs>
          <w:tab w:val="left" w:pos="480"/>
        </w:tabs>
        <w:spacing w:line="360" w:lineRule="auto"/>
        <w:outlineLvl w:val="1"/>
        <w:rPr>
          <w:rFonts w:hAnsi="宋体" w:cs="宋体"/>
          <w:b/>
          <w:szCs w:val="21"/>
          <w:highlight w:val="none"/>
        </w:rPr>
      </w:pPr>
      <w:r>
        <w:rPr>
          <w:rFonts w:hint="eastAsia" w:hAnsi="宋体" w:cs="宋体"/>
          <w:b/>
          <w:szCs w:val="21"/>
          <w:highlight w:val="none"/>
        </w:rPr>
        <w:t>四、服务条件：</w:t>
      </w:r>
      <w:bookmarkEnd w:id="111"/>
      <w:bookmarkEnd w:id="112"/>
      <w:bookmarkEnd w:id="113"/>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（一）服务地点：甲方指定地点。</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（二）服务期：自合同签订之日起</w:t>
      </w:r>
      <w:r>
        <w:rPr>
          <w:rFonts w:hint="eastAsia" w:hAnsi="宋体" w:cs="宋体"/>
          <w:szCs w:val="21"/>
          <w:highlight w:val="none"/>
          <w:u w:val="single"/>
        </w:rPr>
        <w:t xml:space="preserve">               </w:t>
      </w:r>
      <w:r>
        <w:rPr>
          <w:rFonts w:hint="eastAsia" w:hAnsi="宋体" w:cs="宋体"/>
          <w:szCs w:val="21"/>
          <w:highlight w:val="none"/>
        </w:rPr>
        <w:t>。</w:t>
      </w:r>
    </w:p>
    <w:p>
      <w:pPr>
        <w:spacing w:line="360" w:lineRule="auto"/>
        <w:ind w:firstLine="480" w:firstLineChars="200"/>
        <w:rPr>
          <w:i/>
          <w:iCs/>
          <w:highlight w:val="none"/>
          <w:u w:val="single"/>
        </w:rPr>
      </w:pPr>
      <w:bookmarkStart w:id="114" w:name="_Toc7966"/>
      <w:bookmarkStart w:id="115" w:name="_Toc27382"/>
      <w:r>
        <w:rPr>
          <w:rFonts w:hint="eastAsia"/>
          <w:highlight w:val="none"/>
        </w:rPr>
        <w:t>（三）项目负责人：</w:t>
      </w:r>
      <w:r>
        <w:rPr>
          <w:rFonts w:hint="eastAsia"/>
          <w:i/>
          <w:iCs/>
          <w:highlight w:val="none"/>
          <w:u w:val="single"/>
        </w:rPr>
        <w:t xml:space="preserve">                            。</w:t>
      </w:r>
    </w:p>
    <w:p>
      <w:pPr>
        <w:ind w:firstLine="480"/>
        <w:rPr>
          <w:rFonts w:hAnsi="宋体" w:cs="宋体"/>
          <w:b/>
          <w:szCs w:val="21"/>
          <w:highlight w:val="none"/>
        </w:rPr>
      </w:pPr>
      <w:r>
        <w:rPr>
          <w:rFonts w:hint="eastAsia" w:hAnsi="宋体" w:cs="宋体"/>
          <w:b/>
          <w:szCs w:val="21"/>
          <w:highlight w:val="none"/>
        </w:rPr>
        <w:t>五、质量保</w:t>
      </w:r>
      <w:bookmarkEnd w:id="114"/>
      <w:bookmarkEnd w:id="115"/>
      <w:r>
        <w:rPr>
          <w:rFonts w:hint="eastAsia" w:hAnsi="宋体" w:cs="宋体"/>
          <w:b/>
          <w:szCs w:val="21"/>
          <w:highlight w:val="none"/>
        </w:rPr>
        <w:t>障</w:t>
      </w:r>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1.乙方所提供货物和服务保证技术指标符合要求、质量性能可靠、必须符合国家相关法律法规的要求。</w:t>
      </w:r>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2、成交单位应当保证其具有完成本项目所要求的货物和服务所必须具备的专业设备和服务能力。</w:t>
      </w:r>
    </w:p>
    <w:p>
      <w:pPr>
        <w:spacing w:line="360" w:lineRule="auto"/>
        <w:ind w:firstLine="480" w:firstLineChars="200"/>
        <w:rPr>
          <w:highlight w:val="none"/>
        </w:rPr>
      </w:pPr>
      <w:bookmarkStart w:id="116" w:name="_Toc21314"/>
      <w:bookmarkStart w:id="117" w:name="_Toc12558"/>
      <w:r>
        <w:rPr>
          <w:rFonts w:hint="eastAsia"/>
          <w:highlight w:val="none"/>
        </w:rPr>
        <w:t>3、符合甲方要求，并通过验收。</w:t>
      </w:r>
    </w:p>
    <w:p>
      <w:pPr>
        <w:tabs>
          <w:tab w:val="left" w:pos="480"/>
        </w:tabs>
        <w:spacing w:line="360" w:lineRule="auto"/>
        <w:outlineLvl w:val="1"/>
        <w:rPr>
          <w:rFonts w:hAnsi="宋体" w:cs="宋体"/>
          <w:b/>
          <w:szCs w:val="21"/>
          <w:highlight w:val="none"/>
        </w:rPr>
      </w:pPr>
      <w:bookmarkStart w:id="118" w:name="_Toc3171"/>
      <w:r>
        <w:rPr>
          <w:rFonts w:hint="eastAsia" w:hAnsi="宋体" w:cs="宋体"/>
          <w:b/>
          <w:szCs w:val="21"/>
          <w:highlight w:val="none"/>
        </w:rPr>
        <w:t>六、技术与服务</w:t>
      </w:r>
      <w:bookmarkEnd w:id="116"/>
      <w:bookmarkEnd w:id="117"/>
      <w:bookmarkEnd w:id="118"/>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技术资料：成交供应商应随同服务提供相应的中文技术文件。</w:t>
      </w:r>
    </w:p>
    <w:p>
      <w:pPr>
        <w:tabs>
          <w:tab w:val="left" w:pos="480"/>
        </w:tabs>
        <w:spacing w:line="360" w:lineRule="auto"/>
        <w:ind w:firstLine="480" w:firstLineChars="200"/>
        <w:rPr>
          <w:highlight w:val="none"/>
        </w:rPr>
      </w:pPr>
      <w:r>
        <w:rPr>
          <w:rFonts w:hint="eastAsia" w:hAnsi="宋体" w:cs="宋体"/>
          <w:szCs w:val="21"/>
          <w:highlight w:val="none"/>
        </w:rPr>
        <w:t>（二）服务承诺：以竞争性磋商响应文件、澄清表（函）、合同和随货物的相关文件为准。</w:t>
      </w:r>
    </w:p>
    <w:p>
      <w:pPr>
        <w:tabs>
          <w:tab w:val="left" w:pos="480"/>
        </w:tabs>
        <w:spacing w:line="360" w:lineRule="auto"/>
        <w:outlineLvl w:val="1"/>
        <w:rPr>
          <w:rFonts w:hAnsi="宋体" w:cs="宋体"/>
          <w:b/>
          <w:szCs w:val="21"/>
          <w:highlight w:val="none"/>
        </w:rPr>
      </w:pPr>
      <w:bookmarkStart w:id="119" w:name="_Toc22161"/>
      <w:bookmarkStart w:id="120" w:name="_Toc20183"/>
      <w:bookmarkStart w:id="121" w:name="_Toc12975"/>
      <w:r>
        <w:rPr>
          <w:rFonts w:hint="eastAsia" w:hAnsi="宋体" w:cs="宋体"/>
          <w:b/>
          <w:szCs w:val="21"/>
          <w:highlight w:val="none"/>
        </w:rPr>
        <w:t>七、验收</w:t>
      </w:r>
      <w:bookmarkEnd w:id="119"/>
      <w:bookmarkEnd w:id="120"/>
      <w:bookmarkEnd w:id="121"/>
    </w:p>
    <w:p>
      <w:pPr>
        <w:spacing w:line="360" w:lineRule="auto"/>
        <w:ind w:firstLine="480" w:firstLineChars="200"/>
        <w:rPr>
          <w:highlight w:val="none"/>
        </w:rPr>
      </w:pPr>
      <w:r>
        <w:rPr>
          <w:rFonts w:hint="eastAsia"/>
          <w:highlight w:val="none"/>
        </w:rPr>
        <w:t>采购方将组织相关专业人员对宣传活动的过程及响应效果考核验收。</w:t>
      </w:r>
    </w:p>
    <w:p>
      <w:pPr>
        <w:tabs>
          <w:tab w:val="left" w:pos="480"/>
        </w:tabs>
        <w:spacing w:line="360" w:lineRule="auto"/>
        <w:outlineLvl w:val="1"/>
        <w:rPr>
          <w:rFonts w:hAnsi="宋体" w:cs="宋体"/>
          <w:b/>
          <w:szCs w:val="21"/>
          <w:highlight w:val="none"/>
        </w:rPr>
      </w:pPr>
      <w:bookmarkStart w:id="122" w:name="_Toc9858"/>
      <w:bookmarkStart w:id="123" w:name="_Toc16693"/>
      <w:bookmarkStart w:id="124" w:name="_Toc20026"/>
      <w:r>
        <w:rPr>
          <w:rFonts w:hint="eastAsia" w:hAnsi="宋体" w:cs="宋体"/>
          <w:b/>
          <w:szCs w:val="21"/>
          <w:highlight w:val="none"/>
        </w:rPr>
        <w:t>八、违约责任</w:t>
      </w:r>
      <w:bookmarkEnd w:id="122"/>
      <w:bookmarkEnd w:id="123"/>
      <w:bookmarkEnd w:id="124"/>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1、按《民法典》中的相关条款执行。</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2、未按合同要求提供服务或服务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1"/>
        <w:rPr>
          <w:rFonts w:hAnsi="宋体" w:cs="宋体"/>
          <w:b/>
          <w:szCs w:val="21"/>
          <w:highlight w:val="none"/>
        </w:rPr>
      </w:pPr>
      <w:bookmarkStart w:id="125" w:name="_Toc13662"/>
      <w:bookmarkStart w:id="126" w:name="_Toc15856"/>
      <w:bookmarkStart w:id="127" w:name="_Toc15454"/>
      <w:r>
        <w:rPr>
          <w:rFonts w:hint="eastAsia" w:hAnsi="宋体" w:cs="宋体"/>
          <w:b/>
          <w:szCs w:val="21"/>
          <w:highlight w:val="none"/>
        </w:rPr>
        <w:t>九、合同争议解决的方式</w:t>
      </w:r>
      <w:bookmarkEnd w:id="125"/>
      <w:bookmarkEnd w:id="126"/>
      <w:bookmarkEnd w:id="127"/>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本合同在履行过程中发生的争议，由甲、乙双方当事人协商解决，协商不成的按下列第</w:t>
      </w:r>
      <w:r>
        <w:rPr>
          <w:rFonts w:hint="eastAsia" w:hAnsi="宋体" w:cs="宋体"/>
          <w:szCs w:val="21"/>
          <w:highlight w:val="none"/>
          <w:u w:val="single"/>
        </w:rPr>
        <w:t xml:space="preserve">    </w:t>
      </w:r>
      <w:r>
        <w:rPr>
          <w:rFonts w:hint="eastAsia" w:hAnsi="宋体" w:cs="宋体"/>
          <w:szCs w:val="21"/>
          <w:highlight w:val="none"/>
        </w:rPr>
        <w:t>种方式解决：</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（一）提交</w:t>
      </w:r>
      <w:r>
        <w:rPr>
          <w:rFonts w:hint="eastAsia" w:hAnsi="宋体" w:cs="宋体"/>
          <w:szCs w:val="21"/>
          <w:highlight w:val="none"/>
          <w:u w:val="single"/>
        </w:rPr>
        <w:t xml:space="preserve">        </w:t>
      </w:r>
      <w:r>
        <w:rPr>
          <w:rFonts w:hint="eastAsia" w:hAnsi="宋体" w:cs="宋体"/>
          <w:szCs w:val="21"/>
          <w:highlight w:val="none"/>
        </w:rPr>
        <w:t>仲裁委员会仲裁；</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（二）依法向 </w:t>
      </w:r>
      <w:r>
        <w:rPr>
          <w:rFonts w:hint="eastAsia" w:hAnsi="宋体" w:cs="宋体"/>
          <w:szCs w:val="21"/>
          <w:highlight w:val="none"/>
          <w:u w:val="single"/>
        </w:rPr>
        <w:t xml:space="preserve">       </w:t>
      </w:r>
      <w:r>
        <w:rPr>
          <w:rFonts w:hint="eastAsia" w:hAnsi="宋体" w:cs="宋体"/>
          <w:szCs w:val="21"/>
          <w:highlight w:val="none"/>
        </w:rPr>
        <w:t>所在地人民法院起诉。</w:t>
      </w:r>
    </w:p>
    <w:p>
      <w:pPr>
        <w:tabs>
          <w:tab w:val="left" w:pos="480"/>
        </w:tabs>
        <w:spacing w:line="360" w:lineRule="auto"/>
        <w:outlineLvl w:val="1"/>
        <w:rPr>
          <w:rFonts w:hAnsi="宋体" w:cs="宋体"/>
          <w:b/>
          <w:szCs w:val="21"/>
          <w:highlight w:val="none"/>
        </w:rPr>
      </w:pPr>
      <w:bookmarkStart w:id="128" w:name="_Toc18389"/>
      <w:bookmarkStart w:id="129" w:name="_Toc7342"/>
      <w:bookmarkStart w:id="130" w:name="_Toc5573"/>
      <w:r>
        <w:rPr>
          <w:rFonts w:hint="eastAsia" w:hAnsi="宋体" w:cs="宋体"/>
          <w:b/>
          <w:szCs w:val="21"/>
          <w:highlight w:val="none"/>
        </w:rPr>
        <w:t>十、合同生效</w:t>
      </w:r>
      <w:bookmarkEnd w:id="128"/>
      <w:bookmarkEnd w:id="129"/>
      <w:bookmarkEnd w:id="130"/>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本合同一式</w:t>
      </w:r>
      <w:r>
        <w:rPr>
          <w:rFonts w:hint="eastAsia" w:hAnsi="宋体" w:cs="宋体"/>
          <w:szCs w:val="21"/>
          <w:highlight w:val="none"/>
          <w:u w:val="single"/>
        </w:rPr>
        <w:t xml:space="preserve">   </w:t>
      </w:r>
      <w:r>
        <w:rPr>
          <w:rFonts w:hint="eastAsia" w:hAnsi="宋体" w:cs="宋体"/>
          <w:szCs w:val="21"/>
          <w:highlight w:val="none"/>
        </w:rPr>
        <w:t>份，甲方执</w:t>
      </w:r>
      <w:r>
        <w:rPr>
          <w:rFonts w:hint="eastAsia" w:hAnsi="宋体" w:cs="宋体"/>
          <w:szCs w:val="21"/>
          <w:highlight w:val="none"/>
          <w:u w:val="single"/>
        </w:rPr>
        <w:t xml:space="preserve">   </w:t>
      </w:r>
      <w:r>
        <w:rPr>
          <w:rFonts w:hint="eastAsia" w:hAnsi="宋体" w:cs="宋体"/>
          <w:szCs w:val="21"/>
          <w:highlight w:val="none"/>
        </w:rPr>
        <w:t>份，乙方执</w:t>
      </w:r>
      <w:r>
        <w:rPr>
          <w:rFonts w:hint="eastAsia" w:hAnsi="宋体" w:cs="宋体"/>
          <w:szCs w:val="21"/>
          <w:highlight w:val="none"/>
          <w:u w:val="single"/>
        </w:rPr>
        <w:t xml:space="preserve">    </w:t>
      </w:r>
      <w:r>
        <w:rPr>
          <w:rFonts w:hint="eastAsia" w:hAnsi="宋体" w:cs="宋体"/>
          <w:szCs w:val="21"/>
          <w:highlight w:val="none"/>
        </w:rPr>
        <w:t>份，本合同甲、乙、确认各方签字盖章后生效，合同执行完毕后，自动失效（合同的服务承诺则长期有效）。</w:t>
      </w:r>
    </w:p>
    <w:p>
      <w:pPr>
        <w:tabs>
          <w:tab w:val="left" w:pos="480"/>
        </w:tabs>
        <w:spacing w:line="360" w:lineRule="auto"/>
        <w:outlineLvl w:val="1"/>
        <w:rPr>
          <w:rFonts w:hAnsi="宋体" w:cs="宋体"/>
          <w:b/>
          <w:szCs w:val="21"/>
          <w:highlight w:val="none"/>
        </w:rPr>
      </w:pPr>
      <w:bookmarkStart w:id="131" w:name="_Toc823"/>
      <w:bookmarkStart w:id="132" w:name="_Toc9178"/>
      <w:bookmarkStart w:id="133" w:name="_Toc18381"/>
      <w:r>
        <w:rPr>
          <w:rFonts w:hint="eastAsia" w:hAnsi="宋体" w:cs="宋体"/>
          <w:b/>
          <w:szCs w:val="21"/>
          <w:highlight w:val="none"/>
        </w:rPr>
        <w:t>十一、其他事项</w:t>
      </w:r>
      <w:bookmarkEnd w:id="131"/>
      <w:bookmarkEnd w:id="132"/>
      <w:bookmarkEnd w:id="133"/>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（二）合同未尽事宜，由甲、乙双方协商，作为合同补充，与原合同具有同等法律效力。</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szCs w:val="24"/>
          <w:highlight w:val="none"/>
        </w:rPr>
      </w:pPr>
      <w:r>
        <w:rPr>
          <w:rFonts w:hint="eastAsia" w:hAnsi="宋体"/>
          <w:szCs w:val="24"/>
          <w:highlight w:val="none"/>
        </w:rPr>
        <w:t>（四）执行本合同过程中发生争议，由当事人双方协商解决。协商不成，可向采购方所在地人民法院提起诉讼。</w:t>
      </w:r>
    </w:p>
    <w:p>
      <w:pPr>
        <w:spacing w:line="360" w:lineRule="auto"/>
        <w:ind w:firstLine="420"/>
        <w:rPr>
          <w:szCs w:val="24"/>
          <w:highlight w:val="none"/>
        </w:rPr>
      </w:pPr>
      <w:r>
        <w:rPr>
          <w:rFonts w:hint="eastAsia" w:hAnsi="宋体"/>
          <w:szCs w:val="24"/>
          <w:highlight w:val="none"/>
        </w:rPr>
        <w:t>（五）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w:t>
      </w:r>
      <w:r>
        <w:rPr>
          <w:rFonts w:hint="eastAsia" w:hAnsi="宋体"/>
          <w:szCs w:val="24"/>
          <w:highlight w:val="none"/>
        </w:rPr>
        <w:t>六</w:t>
      </w:r>
      <w:r>
        <w:rPr>
          <w:rFonts w:hint="eastAsia" w:hAnsi="宋体" w:cs="宋体"/>
          <w:szCs w:val="21"/>
          <w:highlight w:val="none"/>
        </w:rPr>
        <w:t>）本合同按照中华人民共和国的现行法律进行解释。</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甲  方：（盖章）                          乙  方：（盖章）</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单位名称：                                单位名称：</w:t>
      </w:r>
    </w:p>
    <w:p>
      <w:pPr>
        <w:tabs>
          <w:tab w:val="left" w:pos="480"/>
        </w:tabs>
        <w:spacing w:line="360" w:lineRule="auto"/>
        <w:ind w:left="6720" w:leftChars="200" w:hanging="6240" w:hangingChars="2600"/>
        <w:rPr>
          <w:rFonts w:hAnsi="宋体" w:cs="宋体"/>
          <w:szCs w:val="21"/>
          <w:highlight w:val="none"/>
        </w:rPr>
      </w:pPr>
      <w:r>
        <w:rPr>
          <w:rFonts w:hint="eastAsia" w:hAnsi="宋体" w:cs="宋体"/>
          <w:szCs w:val="21"/>
          <w:highlight w:val="none"/>
        </w:rPr>
        <w:t>地  址：                                  地  址：</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法定代表人                                法定代表人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或委托代理人：                            或委托代理人：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                                          开户银行：</w:t>
      </w:r>
    </w:p>
    <w:p>
      <w:pPr>
        <w:tabs>
          <w:tab w:val="left" w:pos="480"/>
        </w:tabs>
        <w:spacing w:line="360" w:lineRule="auto"/>
        <w:ind w:firstLine="5520" w:firstLineChars="2300"/>
        <w:rPr>
          <w:rFonts w:hAnsi="宋体" w:cs="宋体"/>
          <w:szCs w:val="21"/>
          <w:highlight w:val="none"/>
        </w:rPr>
      </w:pPr>
      <w:r>
        <w:rPr>
          <w:rFonts w:hint="eastAsia" w:hAnsi="宋体" w:cs="宋体"/>
          <w:szCs w:val="21"/>
          <w:highlight w:val="none"/>
        </w:rPr>
        <w:t xml:space="preserve">账  号：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联系电话：                                联系电话：</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签订日期：     年    月      日           签订日期：     年    月   日</w:t>
      </w:r>
    </w:p>
    <w:p>
      <w:pPr>
        <w:rPr>
          <w:highlight w:val="none"/>
        </w:rPr>
      </w:pP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鉴证方：（盖章）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单位名称：                                </w:t>
      </w:r>
    </w:p>
    <w:p>
      <w:pPr>
        <w:tabs>
          <w:tab w:val="left" w:pos="480"/>
        </w:tabs>
        <w:spacing w:line="360" w:lineRule="auto"/>
        <w:ind w:left="6720" w:leftChars="200" w:hanging="6240" w:hangingChars="2600"/>
        <w:rPr>
          <w:rFonts w:hAnsi="宋体" w:cs="宋体"/>
          <w:szCs w:val="21"/>
          <w:highlight w:val="none"/>
        </w:rPr>
      </w:pPr>
      <w:r>
        <w:rPr>
          <w:rFonts w:hint="eastAsia" w:hAnsi="宋体" w:cs="宋体"/>
          <w:szCs w:val="21"/>
          <w:highlight w:val="none"/>
        </w:rPr>
        <w:t xml:space="preserve">地  址：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法定代表人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或委托代理人：                                                                      </w:t>
      </w:r>
    </w:p>
    <w:p>
      <w:pPr>
        <w:tabs>
          <w:tab w:val="left" w:pos="480"/>
        </w:tabs>
        <w:spacing w:line="360" w:lineRule="auto"/>
        <w:ind w:firstLine="480" w:firstLineChars="200"/>
        <w:rPr>
          <w:rFonts w:hAnsi="宋体" w:cs="宋体"/>
          <w:szCs w:val="21"/>
          <w:highlight w:val="none"/>
        </w:rPr>
      </w:pPr>
    </w:p>
    <w:p>
      <w:pPr>
        <w:tabs>
          <w:tab w:val="left" w:pos="480"/>
        </w:tabs>
        <w:spacing w:line="360" w:lineRule="auto"/>
        <w:ind w:firstLine="480" w:firstLineChars="200"/>
        <w:rPr>
          <w:rFonts w:hAnsi="宋体" w:cs="宋体"/>
          <w:szCs w:val="21"/>
          <w:highlight w:val="none"/>
        </w:rPr>
      </w:pP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联系电话：                                </w:t>
      </w:r>
    </w:p>
    <w:p>
      <w:pPr>
        <w:ind w:firstLine="480" w:firstLineChars="200"/>
        <w:rPr>
          <w:rFonts w:hAnsi="宋体" w:cs="宋体"/>
          <w:b/>
          <w:bCs/>
          <w:kern w:val="2"/>
          <w:sz w:val="36"/>
          <w:szCs w:val="36"/>
          <w:highlight w:val="none"/>
        </w:rPr>
      </w:pPr>
      <w:r>
        <w:rPr>
          <w:rFonts w:hint="eastAsia" w:hAnsi="宋体" w:cs="宋体"/>
          <w:szCs w:val="21"/>
          <w:highlight w:val="none"/>
        </w:rPr>
        <w:t xml:space="preserve">签订日期：     年    月      日    </w:t>
      </w:r>
      <w:r>
        <w:rPr>
          <w:rFonts w:hint="eastAsia" w:hAnsi="宋体" w:cs="宋体"/>
          <w:szCs w:val="21"/>
          <w:highlight w:val="none"/>
        </w:rPr>
        <w:br w:type="page"/>
      </w:r>
      <w:bookmarkStart w:id="134" w:name="_Toc4254"/>
    </w:p>
    <w:p>
      <w:pPr>
        <w:rPr>
          <w:highlight w:val="none"/>
        </w:rPr>
      </w:pPr>
      <w:bookmarkStart w:id="135" w:name="_Toc31213"/>
    </w:p>
    <w:p>
      <w:pPr>
        <w:pStyle w:val="6"/>
        <w:jc w:val="center"/>
        <w:rPr>
          <w:rStyle w:val="39"/>
          <w:b/>
          <w:highlight w:val="none"/>
        </w:rPr>
      </w:pPr>
      <w:r>
        <w:rPr>
          <w:rFonts w:hint="eastAsia" w:ascii="宋体" w:eastAsia="宋体" w:cs="宋体"/>
          <w:bCs/>
          <w:sz w:val="36"/>
          <w:szCs w:val="36"/>
          <w:highlight w:val="none"/>
        </w:rPr>
        <w:t xml:space="preserve">第五章 </w:t>
      </w:r>
      <w:bookmarkEnd w:id="87"/>
      <w:bookmarkEnd w:id="88"/>
      <w:bookmarkEnd w:id="89"/>
      <w:bookmarkEnd w:id="90"/>
      <w:bookmarkEnd w:id="91"/>
      <w:bookmarkEnd w:id="92"/>
      <w:bookmarkEnd w:id="93"/>
      <w:bookmarkEnd w:id="94"/>
      <w:bookmarkEnd w:id="95"/>
      <w:r>
        <w:rPr>
          <w:rFonts w:hint="eastAsia" w:ascii="宋体" w:eastAsia="宋体" w:cs="宋体"/>
          <w:bCs/>
          <w:sz w:val="36"/>
          <w:szCs w:val="36"/>
          <w:highlight w:val="none"/>
        </w:rPr>
        <w:t xml:space="preserve"> 磋商内容及技术要求</w:t>
      </w:r>
      <w:bookmarkEnd w:id="62"/>
      <w:bookmarkEnd w:id="134"/>
      <w:bookmarkEnd w:id="135"/>
      <w:bookmarkStart w:id="136" w:name="_Toc423973079"/>
      <w:bookmarkStart w:id="137" w:name="_Toc403077646"/>
      <w:bookmarkStart w:id="138" w:name="_Toc363474025"/>
      <w:bookmarkStart w:id="139" w:name="_Toc5084"/>
    </w:p>
    <w:p>
      <w:pPr>
        <w:rPr>
          <w:highlight w:val="none"/>
        </w:rPr>
      </w:pPr>
    </w:p>
    <w:p>
      <w:pPr>
        <w:numPr>
          <w:ilvl w:val="0"/>
          <w:numId w:val="0"/>
        </w:numPr>
        <w:spacing w:before="133" w:line="360" w:lineRule="auto"/>
        <w:ind w:right="546" w:rightChars="0"/>
        <w:rPr>
          <w:rFonts w:hint="eastAsia" w:hAnsi="宋体" w:cs="宋体"/>
          <w:snapToGrid w:val="0"/>
          <w:color w:val="000000"/>
          <w:spacing w:val="13"/>
          <w:w w:val="101"/>
          <w:kern w:val="2"/>
          <w:sz w:val="24"/>
          <w:szCs w:val="24"/>
          <w:lang w:val="en-US" w:eastAsia="zh-CN"/>
        </w:rPr>
      </w:pPr>
      <w:r>
        <w:rPr>
          <w:rFonts w:hint="eastAsia" w:hAnsi="宋体" w:cs="宋体"/>
          <w:snapToGrid w:val="0"/>
          <w:color w:val="000000"/>
          <w:spacing w:val="13"/>
          <w:w w:val="101"/>
          <w:kern w:val="2"/>
          <w:sz w:val="24"/>
          <w:szCs w:val="24"/>
          <w:lang w:val="en-US" w:eastAsia="zh-CN"/>
        </w:rPr>
        <w:t>一、项目概况</w:t>
      </w:r>
    </w:p>
    <w:p>
      <w:pPr>
        <w:numPr>
          <w:ilvl w:val="0"/>
          <w:numId w:val="0"/>
        </w:numPr>
        <w:spacing w:before="133" w:line="360" w:lineRule="auto"/>
        <w:ind w:right="546" w:rightChars="0"/>
        <w:rPr>
          <w:rFonts w:hint="eastAsia" w:hAnsi="宋体" w:cs="宋体"/>
          <w:snapToGrid w:val="0"/>
          <w:color w:val="000000"/>
          <w:spacing w:val="13"/>
          <w:w w:val="101"/>
          <w:kern w:val="2"/>
          <w:sz w:val="24"/>
          <w:szCs w:val="24"/>
          <w:lang w:val="en-US" w:eastAsia="zh-CN"/>
        </w:rPr>
      </w:pPr>
      <w:r>
        <w:rPr>
          <w:rFonts w:hint="eastAsia" w:hAnsi="宋体" w:cs="宋体"/>
          <w:snapToGrid w:val="0"/>
          <w:color w:val="000000"/>
          <w:spacing w:val="13"/>
          <w:w w:val="101"/>
          <w:kern w:val="2"/>
          <w:sz w:val="24"/>
          <w:szCs w:val="24"/>
          <w:lang w:val="en-US" w:eastAsia="zh-CN"/>
        </w:rPr>
        <w:t>宜君县2022年残疾人托养和照护服务项目（二次）</w:t>
      </w:r>
    </w:p>
    <w:p>
      <w:pPr>
        <w:numPr>
          <w:ilvl w:val="0"/>
          <w:numId w:val="0"/>
        </w:numPr>
        <w:spacing w:before="133" w:line="360" w:lineRule="auto"/>
        <w:ind w:right="546" w:rightChars="0"/>
        <w:rPr>
          <w:rFonts w:hint="eastAsia" w:ascii="宋体" w:hAnsi="宋体" w:eastAsia="宋体" w:cs="宋体"/>
          <w:spacing w:val="15"/>
          <w:w w:val="105"/>
          <w:sz w:val="24"/>
          <w:szCs w:val="24"/>
        </w:rPr>
      </w:pPr>
      <w:r>
        <w:rPr>
          <w:rFonts w:hint="eastAsia" w:ascii="宋体" w:hAnsi="宋体" w:eastAsia="宋体" w:cs="宋体"/>
          <w:spacing w:val="15"/>
          <w:w w:val="105"/>
          <w:sz w:val="24"/>
          <w:szCs w:val="24"/>
          <w:lang w:val="en-US" w:eastAsia="zh-CN"/>
        </w:rPr>
        <w:t>二、</w:t>
      </w:r>
      <w:r>
        <w:rPr>
          <w:rFonts w:hint="eastAsia" w:ascii="宋体" w:hAnsi="宋体" w:eastAsia="宋体" w:cs="宋体"/>
          <w:spacing w:val="15"/>
          <w:w w:val="105"/>
          <w:sz w:val="24"/>
          <w:szCs w:val="24"/>
        </w:rPr>
        <w:t>服务内容</w:t>
      </w:r>
    </w:p>
    <w:p>
      <w:pPr>
        <w:numPr>
          <w:ilvl w:val="0"/>
          <w:numId w:val="0"/>
        </w:numPr>
        <w:spacing w:before="133" w:line="448" w:lineRule="auto"/>
        <w:ind w:right="546" w:righ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残疾人托养服务：具有铜川市户籍、处于就业年龄段（16周岁至法定退休年龄）、持有《中华人民共和国残疾人证》，有托养服务需求的智力残疾人、稳定期的精神残疾人（指精神障碍已经在精神专科确诊并得到治疗，急性期症状已被控制，目前处于较稳定的状态，并经精神科医师风险评估可以转介托养的精神残疾人）、重度肢体残疾人以及同时存在智力残疾或精神残疾的多重残疾人。</w:t>
      </w:r>
    </w:p>
    <w:p>
      <w:pPr>
        <w:numPr>
          <w:ilvl w:val="0"/>
          <w:numId w:val="0"/>
        </w:numPr>
        <w:spacing w:before="133" w:line="448" w:lineRule="auto"/>
        <w:ind w:right="546" w:righ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社会救助家庭中生活不能自理残疾人照护服务：具有铜川市户籍、16周岁以上、持有《中华人民共和国残疾人证》、属低保或低保边缘家庭、生活不能自理、有照护需求和意愿的残疾人。已经纳入特困救助供养、服务类救助、失能老年人照护服务、长期护理保险、残疾人托养服务、精神卫生社区康复服务等相关照护政策或项目覆盖范围的，不作为服务对象。优先保障符合以上条件的重度残疾人。</w:t>
      </w:r>
    </w:p>
    <w:p>
      <w:pPr>
        <w:numPr>
          <w:ilvl w:val="0"/>
          <w:numId w:val="0"/>
        </w:numPr>
        <w:spacing w:before="133" w:line="448" w:lineRule="auto"/>
        <w:ind w:right="546" w:rightChars="0"/>
        <w:rPr>
          <w:rFonts w:hint="eastAsia" w:ascii="宋体" w:hAnsi="宋体" w:eastAsia="宋体" w:cs="宋体"/>
          <w:spacing w:val="15"/>
          <w:w w:val="105"/>
          <w:sz w:val="24"/>
          <w:szCs w:val="24"/>
          <w:lang w:val="en-US" w:eastAsia="zh-CN"/>
        </w:rPr>
      </w:pPr>
      <w:r>
        <w:rPr>
          <w:rFonts w:hint="eastAsia" w:ascii="宋体" w:hAnsi="宋体" w:eastAsia="宋体" w:cs="宋体"/>
          <w:spacing w:val="15"/>
          <w:w w:val="105"/>
          <w:sz w:val="24"/>
          <w:szCs w:val="24"/>
          <w:lang w:val="en-US" w:eastAsia="zh-CN"/>
        </w:rPr>
        <w:t>三、技术（参数）要求：</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（一）寄宿制托养机构和日间照料机构</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1.生活照料和护理；</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2.生活自理能力训练；</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3.社会适应能力辅导；</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4.职业康复和劳动技能训练；</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5.运动功能训练。</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（二）居家服务机构</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1.生活照料和护理；</w:t>
      </w:r>
    </w:p>
    <w:p>
      <w:pPr>
        <w:pStyle w:val="10"/>
        <w:numPr>
          <w:ilvl w:val="0"/>
          <w:numId w:val="0"/>
        </w:numPr>
        <w:spacing w:line="360" w:lineRule="auto"/>
        <w:ind w:left="525"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2.社会适应能力辅导；</w:t>
      </w:r>
    </w:p>
    <w:p>
      <w:pPr>
        <w:pStyle w:val="10"/>
        <w:numPr>
          <w:ilvl w:val="0"/>
          <w:numId w:val="0"/>
        </w:numPr>
        <w:spacing w:line="360" w:lineRule="auto"/>
        <w:ind w:left="525" w:leftChars="0"/>
        <w:rPr>
          <w:rFonts w:hint="eastAsia"/>
          <w:lang w:val="en-US" w:eastAsia="zh-CN"/>
        </w:rPr>
      </w:pPr>
      <w:r>
        <w:rPr>
          <w:rFonts w:hint="eastAsia" w:ascii="宋体" w:hAnsi="宋体" w:eastAsia="宋体" w:cs="宋体"/>
          <w:sz w:val="24"/>
          <w:szCs w:val="24"/>
          <w:lang w:val="en-US" w:eastAsia="zh-CN"/>
        </w:rPr>
        <w:t>3.运动功能训练。</w:t>
      </w:r>
    </w:p>
    <w:p>
      <w:pPr>
        <w:pStyle w:val="10"/>
        <w:numPr>
          <w:ilvl w:val="0"/>
          <w:numId w:val="0"/>
        </w:num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合同包1寄宿托养</w:t>
      </w:r>
      <w:r>
        <w:rPr>
          <w:rFonts w:hint="eastAsia" w:ascii="宋体" w:hAnsi="宋体" w:eastAsia="宋体" w:cs="宋体"/>
          <w:b/>
          <w:bCs/>
          <w:kern w:val="0"/>
          <w:sz w:val="24"/>
          <w:szCs w:val="24"/>
          <w:lang w:val="en-US" w:eastAsia="zh-CN" w:bidi="ar"/>
        </w:rPr>
        <w:t>服务标准要求</w:t>
      </w:r>
      <w:r>
        <w:rPr>
          <w:rFonts w:hint="eastAsia" w:ascii="宋体" w:hAnsi="宋体" w:eastAsia="宋体" w:cs="宋体"/>
          <w:b/>
          <w:bCs/>
          <w:sz w:val="24"/>
          <w:szCs w:val="24"/>
          <w:lang w:val="en-US" w:eastAsia="zh-CN"/>
        </w:rPr>
        <w:t>：</w:t>
      </w:r>
    </w:p>
    <w:p>
      <w:pPr>
        <w:pStyle w:val="10"/>
        <w:numPr>
          <w:ilvl w:val="0"/>
          <w:numId w:val="0"/>
        </w:numPr>
        <w:spacing w:line="360" w:lineRule="auto"/>
        <w:ind w:left="525" w:leftChars="0"/>
        <w:rPr>
          <w:rStyle w:val="29"/>
          <w:rFonts w:hint="eastAsia" w:ascii="宋体" w:hAnsi="宋体" w:eastAsia="宋体" w:cs="宋体"/>
          <w:sz w:val="24"/>
          <w:szCs w:val="24"/>
        </w:rPr>
      </w:pPr>
      <w:r>
        <w:rPr>
          <w:rFonts w:hint="eastAsia" w:ascii="宋体" w:hAnsi="宋体" w:cs="宋体"/>
          <w:sz w:val="24"/>
          <w:szCs w:val="24"/>
          <w:lang w:val="en-US" w:eastAsia="zh-CN"/>
        </w:rPr>
        <w:t>人数（30）人</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1、生活照料服务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1.1 为托养对象提供基本的饮食、睡眠、衣物清洗及代购代办等服务。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1.2 协助托养对象洗澡，为托养对象理发、修剪指甲等。</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1.3 配备相应的洗涤设施、设备与用具。</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1.4 为托养对象送来的洗涤衣物进行登记、分类、消毒、洗涤、熨烫和返还。</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2、饮食照料</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2.1 为托养对象配制菜谱，制作适宜的饭菜, 应尊重少数民族生活习惯和风俗。</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2.2 协助托养对象完成正常饮食和饮水。</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2.3 为托养对象提供订餐服务。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3、医疗保健</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3.1 根据医生的医嘱提供配药、发药服务。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3.2 为托养对象提供健康咨询、健康指导及简单医疗服务。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3.3 能够为托养对象提供康复理疗、医疗护理协助服务。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4、安全保护</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4.1 协助托养对象正确使用轮椅、拐杖等助行器，对其进行扶、抱、搬移。</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4.2 预防托养对象走失、摔伤、烫伤、自伤、互伤、噎食、触电及火灾等意外事故。</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4.3 开展文化娱乐活动时，应考虑相应的安全防护措施。</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5、心理/精神关爱</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5.1 为托养对象读书、读报，进行交流，能够掌握其心理或精神的变化。</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5.2 由心理咨询师、社会工作者、医护人员定期进行心理咨询、危机干预等服务。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5.3 保护托养对象的隐私。</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6、文化娱乐</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6.1 根据托养对象身心状况需求，开展文艺、美术、书法、棋牌、健身、观影、参观等活动。</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6.2 邀请专业人士、社会工作者组织或相关志愿者给予指导和帮助。</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6.3 配备相应的文化娱乐设施和设备。</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7、法律援助</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能够充分利用社会资源为托养对象提供法律咨询，维护其合法权益。</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8、紧急救助援助</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如托养对象突发疾病或发生意外情况，即时与医疗机构联系进行救助，并通知家人、亲属及监护人。</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9、慈善援助</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2" w:firstLineChars="200"/>
        <w:rPr>
          <w:rFonts w:hint="eastAsia" w:ascii="宋体" w:hAnsi="宋体" w:eastAsia="宋体" w:cs="宋体"/>
          <w:sz w:val="24"/>
          <w:szCs w:val="24"/>
        </w:rPr>
      </w:pPr>
      <w:r>
        <w:rPr>
          <w:rStyle w:val="29"/>
          <w:rFonts w:hint="eastAsia" w:ascii="宋体" w:hAnsi="宋体" w:eastAsia="宋体" w:cs="宋体"/>
          <w:sz w:val="24"/>
          <w:szCs w:val="24"/>
        </w:rPr>
        <w:t>针对家庭困难的托</w:t>
      </w:r>
      <w:r>
        <w:rPr>
          <w:rFonts w:hint="eastAsia" w:ascii="宋体" w:hAnsi="宋体" w:eastAsia="宋体" w:cs="宋体"/>
          <w:sz w:val="24"/>
          <w:szCs w:val="24"/>
        </w:rPr>
        <w:t>养对象，与民政部门、慈善机构等相关部门联系给予救助和帮扶。</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10、物品保管</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协助保管托养对象随身携带的个人物品并予以登记。</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11、外出安全</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11.1 托养对象外出时，受托机构应登记其去向，并协助其携带写有姓名和联系方式的卡片。</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11.2 托养对象在托养期间走失的，受托机构应立即向老年人亲属报告，同时立即报警和寻找。</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Style w:val="29"/>
          <w:rFonts w:hint="eastAsia" w:ascii="宋体" w:hAnsi="宋体" w:eastAsia="宋体" w:cs="宋体"/>
          <w:sz w:val="24"/>
          <w:szCs w:val="24"/>
        </w:rPr>
        <w:t>12、其它服务</w:t>
      </w:r>
    </w:p>
    <w:p>
      <w:pPr>
        <w:keepNext w:val="0"/>
        <w:keepLines w:val="0"/>
        <w:widowControl/>
        <w:suppressLineNumbers w:val="0"/>
        <w:spacing w:line="480" w:lineRule="auto"/>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协议约定的其它服务按照协议执行。</w:t>
      </w:r>
    </w:p>
    <w:p>
      <w:pPr>
        <w:pStyle w:val="10"/>
        <w:spacing w:line="480" w:lineRule="auto"/>
        <w:ind w:left="0" w:leftChars="0" w:firstLine="0" w:firstLineChars="0"/>
        <w:rPr>
          <w:rFonts w:hint="eastAsia" w:ascii="宋体" w:hAnsi="宋体" w:eastAsia="宋体" w:cs="宋体"/>
          <w:sz w:val="24"/>
          <w:szCs w:val="24"/>
          <w:lang w:val="en-US" w:eastAsia="zh-CN"/>
        </w:rPr>
      </w:pPr>
      <w:r>
        <w:rPr>
          <w:rFonts w:hint="default" w:ascii="宋体" w:hAnsi="宋体" w:eastAsia="宋体" w:cs="宋体"/>
          <w:b/>
          <w:bCs/>
          <w:kern w:val="0"/>
          <w:sz w:val="24"/>
          <w:szCs w:val="24"/>
          <w:lang w:val="en-US" w:eastAsia="zh-CN" w:bidi="ar"/>
        </w:rPr>
        <w:t>合同包2(日常照料)</w:t>
      </w:r>
      <w:r>
        <w:rPr>
          <w:rFonts w:hint="eastAsia" w:ascii="宋体" w:hAnsi="宋体" w:eastAsia="宋体" w:cs="宋体"/>
          <w:b/>
          <w:bCs/>
          <w:kern w:val="0"/>
          <w:sz w:val="24"/>
          <w:szCs w:val="24"/>
          <w:lang w:val="en-US" w:eastAsia="zh-CN" w:bidi="ar"/>
        </w:rPr>
        <w:t>服务标准要求</w:t>
      </w:r>
      <w:r>
        <w:rPr>
          <w:rFonts w:hint="eastAsia" w:ascii="宋体" w:hAnsi="宋体" w:eastAsia="宋体" w:cs="宋体"/>
          <w:b/>
          <w:bCs/>
          <w:sz w:val="24"/>
          <w:szCs w:val="24"/>
          <w:lang w:val="en-US" w:eastAsia="zh-CN"/>
        </w:rPr>
        <w:t>：</w:t>
      </w:r>
    </w:p>
    <w:p>
      <w:pPr>
        <w:pStyle w:val="10"/>
        <w:spacing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人数（20）人</w:t>
      </w:r>
    </w:p>
    <w:p>
      <w:pPr>
        <w:pStyle w:val="10"/>
        <w:spacing w:line="480" w:lineRule="auto"/>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注：不得少于70天。</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一、 日间照料工作人员必须遵守职业道德规范～爱岗敬业～无私奉献～坚持全心全意为残疾人服务～千方百计为残疾人排忧解难。 </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二、 尊重残疾人的人格及权利～对待残疾人一视同仁。</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三、 为残疾人服务做到文明礼貌～热情周到～亲切和谐～关心爱护～体贴老人。 </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四、 工作作风严谨求实、业务熟练、技能过硬～不断更新服务理念～提高服务水平。 </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五、 严格执行各项规章制度～坚守服务规范～做好残疾人的日间护理和照料工作。 </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六、 发现残疾人有异常现象～在第一时间报告值班主任～通知家属～并及时采取救助措施。 </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七、 每天打扫室内卫生～及时通风换气～保持环境清新整洁。</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八、 日间照料服务中心工作人员要定期征询残疾人及家属对居家托养服务的意见和建议。 </w:t>
      </w:r>
    </w:p>
    <w:p>
      <w:pPr>
        <w:pStyle w:val="10"/>
        <w:ind w:left="0" w:leftChars="0" w:firstLine="0" w:firstLineChars="0"/>
        <w:rPr>
          <w:rFonts w:hint="eastAsia" w:ascii="宋体" w:hAnsi="宋体" w:eastAsia="宋体" w:cs="宋体"/>
          <w:b/>
          <w:bCs/>
          <w:kern w:val="0"/>
          <w:sz w:val="24"/>
          <w:szCs w:val="24"/>
          <w:lang w:val="en-US" w:eastAsia="zh-CN" w:bidi="ar"/>
        </w:rPr>
      </w:pPr>
      <w:r>
        <w:rPr>
          <w:rFonts w:hint="default" w:ascii="宋体" w:hAnsi="宋体" w:eastAsia="宋体" w:cs="宋体"/>
          <w:b/>
          <w:bCs/>
          <w:kern w:val="0"/>
          <w:sz w:val="24"/>
          <w:szCs w:val="24"/>
          <w:lang w:val="en-US" w:eastAsia="zh-CN" w:bidi="ar"/>
        </w:rPr>
        <w:t>合同包</w:t>
      </w:r>
      <w:r>
        <w:rPr>
          <w:rFonts w:hint="eastAsia" w:ascii="宋体" w:hAnsi="宋体" w:eastAsia="宋体" w:cs="宋体"/>
          <w:b/>
          <w:bCs/>
          <w:kern w:val="0"/>
          <w:sz w:val="24"/>
          <w:szCs w:val="24"/>
          <w:lang w:val="en-US" w:eastAsia="zh-CN" w:bidi="ar"/>
        </w:rPr>
        <w:t>3（</w:t>
      </w:r>
      <w:r>
        <w:rPr>
          <w:rFonts w:hint="default" w:ascii="宋体" w:hAnsi="宋体" w:eastAsia="宋体" w:cs="宋体"/>
          <w:b/>
          <w:bCs/>
          <w:sz w:val="24"/>
          <w:szCs w:val="24"/>
          <w:lang w:val="en-US" w:eastAsia="zh-CN"/>
        </w:rPr>
        <w:t>居家托养</w:t>
      </w:r>
      <w:r>
        <w:rPr>
          <w:rFonts w:hint="eastAsia" w:ascii="宋体" w:hAnsi="宋体" w:eastAsia="宋体" w:cs="宋体"/>
          <w:b/>
          <w:bCs/>
          <w:kern w:val="0"/>
          <w:sz w:val="24"/>
          <w:szCs w:val="24"/>
          <w:lang w:val="en-US" w:eastAsia="zh-CN" w:bidi="ar"/>
        </w:rPr>
        <w:t>）服务标准要求：</w:t>
      </w:r>
    </w:p>
    <w:p>
      <w:pPr>
        <w:pStyle w:val="10"/>
        <w:spacing w:line="480" w:lineRule="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人数（40人）</w:t>
      </w:r>
    </w:p>
    <w:p>
      <w:pPr>
        <w:pStyle w:val="10"/>
        <w:spacing w:line="480" w:lineRule="auto"/>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注：居家服务每月不得少于12次。</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托养服务的范围包括，为符合条件的残疾人提供基本生活照料和护理、生活自理能力训练、社会适应能力辅导、劳动技能训练和运动功能训练等方面的社会服务。主要包括：</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1.承担或协助服务对象整理家庭环境卫生。对居住房间的窗户和桌、椅、厨柜、墙砖等进行擦洗。整理范围主要包括残疾人居住房间、卫生间、厨房。每月为服务对象整理一次，主要传统节日前夕必保整理一次。</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2.承担或协助服务对象整理个人卫生。适时为服务对象进行理发，每月为服务对象清洗一次本人的床单、被罩。</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3.指导残疾人正确使用辅助器具。随时电话咨询随时指导。</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服务流程</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１.签订协议。服务机构与服务对象或其家属、监护人签订具有法律效力、权责清晰的居家托养服务协议及服务卡，并为服务对象或其监护人提供有效的信息咨询。</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２.制定居家托养方案。坚持因人制宜，科学合理制定适合托养对象的服务方案，托养方案要得到服务对象或其家属、监护人的认可。</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提供居家托养服务。服务协议签订和托养方案制定后，服务机构要在一个月内对服务对象开展最低一次服务，服务对象在签订协议后二个月内不接受服务的，视为自动放弃本服务。残疾人所需各项服务均可通过服务平台向机构提出服务请求。服务机构收到残疾人服务请求后，由信息管理人员联系相关专业服务人员，以网络、短信和电话方式传递服务信息，将服务人员派至残疾人家庭。每次服务结束后，由残疾人或其监护人填写服务完成情况单并签字为据，以示服务完成。</w:t>
      </w:r>
    </w:p>
    <w:p>
      <w:pPr>
        <w:pStyle w:val="10"/>
        <w:spacing w:line="480" w:lineRule="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4.定期服务回访。一方面，服务机构要定期安排人员回访，及时掌握派出人员的服务质量。另一方面，根据协议和残疾人实际情况，市残联和街道残联定期对托养对象对服务人员的满意度和机构服务质量进行调查和随访，调查随访要在随访记录表上做好记录，以便改进工作、做好绩效考评。</w:t>
      </w:r>
    </w:p>
    <w:p>
      <w:pPr>
        <w:pStyle w:val="10"/>
        <w:numPr>
          <w:ilvl w:val="0"/>
          <w:numId w:val="0"/>
        </w:numPr>
        <w:spacing w:line="360" w:lineRule="auto"/>
        <w:rPr>
          <w:rFonts w:hint="eastAsia" w:ascii="宋体" w:hAnsi="宋体" w:eastAsia="宋体" w:cs="宋体"/>
          <w:spacing w:val="13"/>
          <w:w w:val="101"/>
          <w:sz w:val="24"/>
          <w:szCs w:val="24"/>
          <w:highlight w:val="none"/>
          <w:lang w:val="en-US" w:eastAsia="zh-CN"/>
        </w:rPr>
      </w:pPr>
      <w:r>
        <w:rPr>
          <w:rFonts w:hint="eastAsia" w:ascii="宋体" w:hAnsi="宋体" w:eastAsia="宋体" w:cs="宋体"/>
          <w:b/>
          <w:bCs/>
          <w:spacing w:val="13"/>
          <w:w w:val="101"/>
          <w:sz w:val="24"/>
          <w:szCs w:val="24"/>
          <w:highlight w:val="none"/>
          <w:lang w:val="en-US" w:eastAsia="zh-CN"/>
        </w:rPr>
        <w:t>商务要求</w:t>
      </w:r>
      <w:r>
        <w:rPr>
          <w:rFonts w:hint="eastAsia" w:ascii="宋体" w:hAnsi="宋体" w:eastAsia="宋体" w:cs="宋体"/>
          <w:spacing w:val="13"/>
          <w:w w:val="101"/>
          <w:sz w:val="24"/>
          <w:szCs w:val="24"/>
          <w:highlight w:val="none"/>
          <w:lang w:val="en-US" w:eastAsia="zh-CN"/>
        </w:rPr>
        <w:t>：</w:t>
      </w:r>
    </w:p>
    <w:p>
      <w:pPr>
        <w:pStyle w:val="10"/>
        <w:numPr>
          <w:ilvl w:val="0"/>
          <w:numId w:val="0"/>
        </w:numPr>
        <w:spacing w:line="360" w:lineRule="auto"/>
        <w:rPr>
          <w:rFonts w:hint="eastAsia" w:ascii="宋体" w:hAnsi="宋体" w:eastAsia="宋体" w:cs="宋体"/>
          <w:spacing w:val="13"/>
          <w:w w:val="101"/>
          <w:sz w:val="24"/>
          <w:szCs w:val="24"/>
          <w:highlight w:val="none"/>
          <w:u w:val="none"/>
          <w:lang w:val="en-US" w:eastAsia="zh-CN"/>
        </w:rPr>
      </w:pPr>
      <w:r>
        <w:rPr>
          <w:rFonts w:hint="eastAsia" w:ascii="宋体" w:hAnsi="宋体" w:eastAsia="宋体" w:cs="宋体"/>
          <w:spacing w:val="13"/>
          <w:w w:val="101"/>
          <w:sz w:val="24"/>
          <w:szCs w:val="24"/>
          <w:highlight w:val="none"/>
          <w:lang w:val="en-US" w:eastAsia="zh-CN"/>
        </w:rPr>
        <w:t>1、服务期：</w:t>
      </w:r>
      <w:r>
        <w:rPr>
          <w:rFonts w:hint="eastAsia" w:ascii="宋体" w:hAnsi="宋体" w:eastAsia="宋体" w:cs="宋体"/>
          <w:spacing w:val="13"/>
          <w:w w:val="101"/>
          <w:sz w:val="24"/>
          <w:szCs w:val="24"/>
          <w:highlight w:val="none"/>
          <w:u w:val="single"/>
          <w:lang w:val="en-US" w:eastAsia="zh-CN"/>
        </w:rPr>
        <w:t xml:space="preserve">   90  </w:t>
      </w:r>
      <w:r>
        <w:rPr>
          <w:rFonts w:hint="eastAsia" w:ascii="宋体" w:hAnsi="宋体" w:eastAsia="宋体" w:cs="宋体"/>
          <w:spacing w:val="13"/>
          <w:w w:val="101"/>
          <w:sz w:val="24"/>
          <w:szCs w:val="24"/>
          <w:highlight w:val="none"/>
          <w:u w:val="none"/>
          <w:lang w:val="en-US" w:eastAsia="zh-CN"/>
        </w:rPr>
        <w:t>日历日</w:t>
      </w:r>
    </w:p>
    <w:p>
      <w:pPr>
        <w:pStyle w:val="10"/>
        <w:numPr>
          <w:ilvl w:val="0"/>
          <w:numId w:val="0"/>
        </w:numPr>
        <w:spacing w:line="360" w:lineRule="auto"/>
        <w:rPr>
          <w:rFonts w:hint="eastAsia" w:ascii="宋体" w:hAnsi="宋体" w:eastAsia="宋体" w:cs="宋体"/>
          <w:spacing w:val="13"/>
          <w:w w:val="101"/>
          <w:sz w:val="24"/>
          <w:szCs w:val="24"/>
          <w:highlight w:val="none"/>
          <w:lang w:val="en-US" w:eastAsia="zh-CN"/>
        </w:rPr>
      </w:pPr>
      <w:r>
        <w:rPr>
          <w:rFonts w:hint="eastAsia" w:ascii="宋体" w:hAnsi="宋体" w:eastAsia="宋体" w:cs="宋体"/>
          <w:spacing w:val="13"/>
          <w:w w:val="101"/>
          <w:sz w:val="24"/>
          <w:szCs w:val="24"/>
          <w:highlight w:val="none"/>
          <w:lang w:val="en-US" w:eastAsia="zh-CN"/>
        </w:rPr>
        <w:t>2、付款方式：合同签订后5个工作日内支付合同总价款的50%;项目验收合格后付剩余，支付剩余合同额全部款项。在付款前，供应商必须开具全额发票给采购人。</w:t>
      </w:r>
    </w:p>
    <w:p>
      <w:pPr>
        <w:numPr>
          <w:ilvl w:val="0"/>
          <w:numId w:val="0"/>
        </w:numPr>
        <w:rPr>
          <w:highlight w:val="none"/>
        </w:rPr>
      </w:pPr>
      <w:r>
        <w:rPr>
          <w:rFonts w:hint="eastAsia"/>
          <w:highlight w:val="none"/>
        </w:rPr>
        <w:br w:type="page"/>
      </w:r>
    </w:p>
    <w:p>
      <w:pPr>
        <w:pStyle w:val="2"/>
        <w:rPr>
          <w:highlight w:val="none"/>
        </w:rPr>
      </w:pPr>
    </w:p>
    <w:p>
      <w:pPr>
        <w:pStyle w:val="6"/>
        <w:jc w:val="center"/>
        <w:rPr>
          <w:rFonts w:ascii="宋体" w:eastAsia="宋体" w:cs="宋体"/>
          <w:bCs/>
          <w:sz w:val="36"/>
          <w:szCs w:val="36"/>
          <w:highlight w:val="none"/>
        </w:rPr>
      </w:pPr>
      <w:bookmarkStart w:id="140" w:name="_Toc5880"/>
      <w:r>
        <w:rPr>
          <w:rFonts w:hint="eastAsia" w:ascii="宋体" w:eastAsia="宋体" w:cs="宋体"/>
          <w:bCs/>
          <w:sz w:val="36"/>
          <w:szCs w:val="36"/>
          <w:highlight w:val="none"/>
        </w:rPr>
        <w:t>第六章 竞争性磋商响应文件格式</w:t>
      </w:r>
      <w:bookmarkEnd w:id="136"/>
      <w:bookmarkEnd w:id="137"/>
      <w:bookmarkEnd w:id="138"/>
      <w:bookmarkEnd w:id="139"/>
      <w:bookmarkEnd w:id="140"/>
    </w:p>
    <w:p>
      <w:pPr>
        <w:rPr>
          <w:rFonts w:hAnsi="宋体" w:cs="宋体"/>
          <w:highlight w:val="none"/>
        </w:rPr>
      </w:pPr>
    </w:p>
    <w:p>
      <w:pPr>
        <w:rPr>
          <w:rFonts w:hAnsi="宋体" w:cs="宋体"/>
          <w:highlight w:val="none"/>
        </w:rPr>
      </w:pPr>
    </w:p>
    <w:p>
      <w:pPr>
        <w:framePr w:hSpace="180" w:wrap="around" w:vAnchor="text" w:hAnchor="page" w:x="1472" w:y="18"/>
        <w:rPr>
          <w:rFonts w:hint="eastAsia" w:eastAsia="宋体" w:asciiTheme="minorEastAsia" w:hAnsiTheme="minorEastAsia" w:cstheme="minorEastAsia"/>
          <w:szCs w:val="24"/>
          <w:highlight w:val="none"/>
          <w:shd w:val="clear" w:color="auto" w:fill="FFFFFF"/>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QH2022-CS-013</w:t>
      </w:r>
    </w:p>
    <w:p>
      <w:pPr>
        <w:jc w:val="right"/>
        <w:rPr>
          <w:rFonts w:hAnsi="宋体" w:cs="宋体"/>
          <w:b/>
          <w:sz w:val="32"/>
          <w:szCs w:val="32"/>
          <w:highlight w:val="none"/>
        </w:rPr>
      </w:pPr>
      <w:r>
        <w:rPr>
          <w:rFonts w:hint="eastAsia" w:hAnsi="宋体" w:cs="宋体"/>
          <w:b/>
          <w:sz w:val="32"/>
          <w:szCs w:val="32"/>
          <w:highlight w:val="none"/>
        </w:rPr>
        <w:t>（正本或副本）</w:t>
      </w:r>
      <w:r>
        <w:rPr>
          <w:rFonts w:hint="eastAsia" w:hAnsi="宋体" w:cs="宋体"/>
          <w:b/>
          <w:bCs/>
          <w:sz w:val="32"/>
          <w:szCs w:val="32"/>
          <w:highlight w:val="none"/>
        </w:rPr>
        <w:t xml:space="preserve">          </w:t>
      </w:r>
    </w:p>
    <w:p>
      <w:pPr>
        <w:jc w:val="right"/>
        <w:rPr>
          <w:rFonts w:hAnsi="宋体" w:cs="宋体"/>
          <w:b/>
          <w:sz w:val="32"/>
          <w:szCs w:val="32"/>
          <w:highlight w:val="none"/>
        </w:rPr>
      </w:pPr>
    </w:p>
    <w:p>
      <w:pPr>
        <w:jc w:val="right"/>
        <w:rPr>
          <w:rFonts w:hAnsi="宋体" w:cs="宋体"/>
          <w:b/>
          <w:sz w:val="32"/>
          <w:szCs w:val="32"/>
          <w:highlight w:val="none"/>
        </w:rPr>
      </w:pPr>
    </w:p>
    <w:p>
      <w:pPr>
        <w:pStyle w:val="2"/>
        <w:rPr>
          <w:rFonts w:ascii="宋体" w:hAnsi="宋体" w:cs="宋体"/>
          <w:highlight w:val="none"/>
        </w:rPr>
      </w:pPr>
    </w:p>
    <w:p>
      <w:pPr>
        <w:spacing w:line="360" w:lineRule="auto"/>
        <w:jc w:val="center"/>
        <w:rPr>
          <w:rFonts w:hAnsi="宋体" w:cs="宋体"/>
          <w:b/>
          <w:sz w:val="48"/>
          <w:szCs w:val="52"/>
          <w:highlight w:val="none"/>
        </w:rPr>
      </w:pPr>
      <w:r>
        <w:rPr>
          <w:rFonts w:hint="eastAsia" w:hAnsi="宋体" w:cs="宋体"/>
          <w:b/>
          <w:sz w:val="44"/>
          <w:szCs w:val="48"/>
          <w:highlight w:val="none"/>
          <w:lang w:eastAsia="zh-CN"/>
        </w:rPr>
        <w:t>宜君县2022年残疾人托养和照护服务项目（</w:t>
      </w:r>
      <w:r>
        <w:rPr>
          <w:rFonts w:hint="eastAsia" w:hAnsi="宋体" w:cs="宋体"/>
          <w:b/>
          <w:sz w:val="44"/>
          <w:szCs w:val="48"/>
          <w:highlight w:val="none"/>
          <w:lang w:val="en-US" w:eastAsia="zh-CN"/>
        </w:rPr>
        <w:t>二次</w:t>
      </w:r>
      <w:r>
        <w:rPr>
          <w:rFonts w:hint="eastAsia" w:hAnsi="宋体" w:cs="宋体"/>
          <w:b/>
          <w:sz w:val="44"/>
          <w:szCs w:val="48"/>
          <w:highlight w:val="none"/>
          <w:lang w:eastAsia="zh-CN"/>
        </w:rPr>
        <w:t>）</w:t>
      </w:r>
      <w:r>
        <w:rPr>
          <w:rFonts w:hint="eastAsia" w:hAnsi="宋体" w:cs="宋体"/>
          <w:b/>
          <w:sz w:val="44"/>
          <w:szCs w:val="48"/>
          <w:highlight w:val="none"/>
        </w:rPr>
        <w:t xml:space="preserve"> </w:t>
      </w:r>
    </w:p>
    <w:p>
      <w:pPr>
        <w:jc w:val="center"/>
        <w:rPr>
          <w:rFonts w:hint="eastAsia" w:hAnsi="宋体" w:cs="宋体"/>
          <w:b/>
          <w:sz w:val="44"/>
          <w:szCs w:val="48"/>
          <w:highlight w:val="none"/>
          <w:lang w:val="en-US" w:eastAsia="zh-CN"/>
        </w:rPr>
      </w:pPr>
      <w:r>
        <w:rPr>
          <w:rFonts w:hint="eastAsia" w:hAnsi="宋体" w:cs="宋体"/>
          <w:b/>
          <w:sz w:val="44"/>
          <w:szCs w:val="48"/>
          <w:highlight w:val="none"/>
          <w:lang w:val="en-US" w:eastAsia="zh-CN"/>
        </w:rPr>
        <w:t>（第</w:t>
      </w:r>
      <w:r>
        <w:rPr>
          <w:rFonts w:hint="eastAsia" w:hAnsi="宋体" w:cs="宋体"/>
          <w:b/>
          <w:sz w:val="44"/>
          <w:szCs w:val="48"/>
          <w:highlight w:val="none"/>
          <w:u w:val="single"/>
          <w:lang w:val="en-US" w:eastAsia="zh-CN"/>
        </w:rPr>
        <w:t xml:space="preserve">    </w:t>
      </w:r>
      <w:r>
        <w:rPr>
          <w:rFonts w:hint="eastAsia" w:hAnsi="宋体" w:cs="宋体"/>
          <w:b/>
          <w:sz w:val="44"/>
          <w:szCs w:val="48"/>
          <w:highlight w:val="none"/>
          <w:lang w:val="en-US" w:eastAsia="zh-CN"/>
        </w:rPr>
        <w:t>包）</w:t>
      </w:r>
    </w:p>
    <w:p>
      <w:pPr>
        <w:rPr>
          <w:rFonts w:hint="default" w:hAnsi="宋体" w:eastAsia="宋体" w:cs="宋体"/>
          <w:b/>
          <w:sz w:val="62"/>
          <w:szCs w:val="72"/>
          <w:highlight w:val="none"/>
          <w:lang w:val="en-US" w:eastAsia="zh-CN"/>
        </w:rPr>
      </w:pPr>
    </w:p>
    <w:p>
      <w:pPr>
        <w:pStyle w:val="2"/>
        <w:rPr>
          <w:rFonts w:ascii="宋体" w:hAnsi="宋体" w:cs="宋体"/>
          <w:b/>
          <w:sz w:val="62"/>
          <w:szCs w:val="72"/>
          <w:highlight w:val="none"/>
        </w:rPr>
      </w:pPr>
    </w:p>
    <w:p>
      <w:pPr>
        <w:rPr>
          <w:rFonts w:hAnsi="宋体" w:cs="宋体"/>
          <w:highlight w:val="none"/>
        </w:rPr>
      </w:pPr>
    </w:p>
    <w:p>
      <w:pPr>
        <w:jc w:val="center"/>
        <w:rPr>
          <w:rFonts w:hAnsi="宋体" w:cs="宋体"/>
          <w:b/>
          <w:sz w:val="52"/>
          <w:szCs w:val="52"/>
          <w:highlight w:val="none"/>
        </w:rPr>
      </w:pPr>
      <w:r>
        <w:rPr>
          <w:rFonts w:hint="eastAsia" w:hAnsi="宋体" w:cs="宋体"/>
          <w:b/>
          <w:sz w:val="52"/>
          <w:szCs w:val="52"/>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   日</w:t>
      </w:r>
      <w:r>
        <w:rPr>
          <w:rFonts w:hint="eastAsia" w:hAnsi="宋体" w:cs="宋体"/>
          <w:b/>
          <w:sz w:val="36"/>
          <w:szCs w:val="36"/>
          <w:highlight w:val="none"/>
        </w:rPr>
        <w:br w:type="page"/>
      </w:r>
      <w:bookmarkStart w:id="141" w:name="_Toc344572156"/>
    </w:p>
    <w:p>
      <w:pPr>
        <w:jc w:val="center"/>
        <w:rPr>
          <w:rFonts w:hAnsi="宋体" w:cs="宋体"/>
          <w:b/>
          <w:sz w:val="44"/>
          <w:highlight w:val="none"/>
        </w:rPr>
      </w:pPr>
      <w:r>
        <w:rPr>
          <w:rFonts w:hint="eastAsia" w:hAnsi="宋体" w:cs="宋体"/>
          <w:b/>
          <w:sz w:val="44"/>
          <w:highlight w:val="none"/>
        </w:rPr>
        <w:t>目  录</w:t>
      </w:r>
    </w:p>
    <w:p>
      <w:pPr>
        <w:pStyle w:val="2"/>
        <w:rPr>
          <w:rFonts w:ascii="宋体" w:hAnsi="宋体" w:cs="宋体"/>
          <w:highlight w:val="none"/>
        </w:rPr>
      </w:pP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一、磋商响应函</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二、磋商报价表</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三、磋商方案说明书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四、商务响应说明书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五、陕西省政府采购供应商拒绝政府采购领域商业贿赂承诺书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六、特定资格证明文件</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七、其他</w:t>
      </w:r>
    </w:p>
    <w:p>
      <w:pPr>
        <w:pStyle w:val="10"/>
        <w:spacing w:line="360" w:lineRule="auto"/>
        <w:rPr>
          <w:rFonts w:ascii="宋体" w:hAnsi="宋体" w:cs="宋体"/>
          <w:highlight w:val="none"/>
        </w:rPr>
      </w:pPr>
    </w:p>
    <w:p>
      <w:pPr>
        <w:pStyle w:val="10"/>
        <w:spacing w:line="360" w:lineRule="auto"/>
        <w:rPr>
          <w:rFonts w:ascii="宋体" w:hAnsi="宋体" w:cs="宋体"/>
          <w:highlight w:val="none"/>
        </w:rPr>
      </w:pPr>
    </w:p>
    <w:p>
      <w:pPr>
        <w:keepNext/>
        <w:keepLines/>
        <w:widowControl/>
        <w:tabs>
          <w:tab w:val="left" w:pos="3705"/>
        </w:tabs>
        <w:spacing w:line="360" w:lineRule="auto"/>
        <w:ind w:left="3708"/>
        <w:rPr>
          <w:rFonts w:hAnsi="宋体" w:cs="宋体"/>
          <w:bCs/>
          <w:sz w:val="44"/>
          <w:highlight w:val="none"/>
        </w:rPr>
      </w:pPr>
    </w:p>
    <w:p>
      <w:pPr>
        <w:pStyle w:val="10"/>
        <w:ind w:firstLine="880"/>
        <w:rPr>
          <w:rFonts w:ascii="宋体" w:hAnsi="宋体" w:cs="宋体"/>
          <w:bCs/>
          <w:sz w:val="44"/>
          <w:highlight w:val="none"/>
        </w:rPr>
      </w:pPr>
    </w:p>
    <w:p>
      <w:pPr>
        <w:pStyle w:val="10"/>
        <w:ind w:firstLine="880"/>
        <w:rPr>
          <w:rFonts w:ascii="宋体" w:hAnsi="宋体" w:cs="宋体"/>
          <w:bCs/>
          <w:sz w:val="44"/>
          <w:highlight w:val="none"/>
        </w:rPr>
      </w:pPr>
    </w:p>
    <w:bookmarkEnd w:id="141"/>
    <w:p>
      <w:pPr>
        <w:pStyle w:val="2"/>
        <w:rPr>
          <w:rFonts w:ascii="宋体" w:hAnsi="宋体" w:cs="宋体"/>
          <w:b/>
          <w:sz w:val="32"/>
          <w:szCs w:val="32"/>
          <w:highlight w:val="none"/>
        </w:rPr>
      </w:pPr>
      <w:bookmarkStart w:id="142" w:name="_Toc363474027"/>
      <w:bookmarkStart w:id="143" w:name="_Toc403077648"/>
      <w:bookmarkStart w:id="144" w:name="_Toc204524343"/>
    </w:p>
    <w:p>
      <w:pPr>
        <w:pStyle w:val="2"/>
        <w:rPr>
          <w:rFonts w:ascii="宋体" w:hAnsi="宋体" w:cs="宋体"/>
          <w:b/>
          <w:sz w:val="32"/>
          <w:szCs w:val="32"/>
          <w:highlight w:val="none"/>
        </w:rPr>
      </w:pPr>
    </w:p>
    <w:p>
      <w:pPr>
        <w:pStyle w:val="2"/>
        <w:rPr>
          <w:rFonts w:ascii="宋体" w:hAnsi="宋体" w:cs="宋体"/>
          <w:b/>
          <w:sz w:val="32"/>
          <w:szCs w:val="32"/>
          <w:highlight w:val="none"/>
        </w:rPr>
      </w:pPr>
    </w:p>
    <w:p>
      <w:pPr>
        <w:spacing w:line="520" w:lineRule="exact"/>
        <w:jc w:val="center"/>
        <w:outlineLvl w:val="1"/>
        <w:rPr>
          <w:rFonts w:hAnsi="宋体" w:cs="宋体"/>
          <w:b/>
          <w:sz w:val="32"/>
          <w:szCs w:val="32"/>
          <w:highlight w:val="none"/>
        </w:rPr>
      </w:pPr>
      <w:r>
        <w:rPr>
          <w:rFonts w:hint="eastAsia" w:hAnsi="宋体" w:cs="宋体"/>
          <w:b/>
          <w:sz w:val="32"/>
          <w:szCs w:val="32"/>
          <w:highlight w:val="none"/>
        </w:rPr>
        <w:br w:type="page"/>
      </w:r>
      <w:bookmarkStart w:id="145" w:name="_Toc4367"/>
      <w:bookmarkStart w:id="146" w:name="_Toc32002"/>
      <w:bookmarkStart w:id="147" w:name="_Toc15762"/>
      <w:bookmarkStart w:id="148" w:name="_Toc8094"/>
      <w:r>
        <w:rPr>
          <w:rFonts w:hint="eastAsia" w:hAnsi="宋体" w:cs="宋体"/>
          <w:b/>
          <w:sz w:val="32"/>
          <w:szCs w:val="32"/>
          <w:highlight w:val="none"/>
        </w:rPr>
        <w:t>一、磋商</w:t>
      </w:r>
      <w:bookmarkEnd w:id="142"/>
      <w:bookmarkEnd w:id="143"/>
      <w:r>
        <w:rPr>
          <w:rFonts w:hint="eastAsia" w:hAnsi="宋体" w:cs="宋体"/>
          <w:b/>
          <w:sz w:val="32"/>
          <w:szCs w:val="32"/>
          <w:highlight w:val="none"/>
        </w:rPr>
        <w:t>响应函</w:t>
      </w:r>
      <w:bookmarkEnd w:id="145"/>
      <w:bookmarkEnd w:id="146"/>
      <w:bookmarkEnd w:id="147"/>
      <w:bookmarkEnd w:id="148"/>
    </w:p>
    <w:p>
      <w:pPr>
        <w:spacing w:line="360" w:lineRule="auto"/>
        <w:jc w:val="left"/>
        <w:rPr>
          <w:rFonts w:hint="eastAsia" w:hAnsi="宋体" w:eastAsia="宋体" w:cs="宋体"/>
          <w:spacing w:val="4"/>
          <w:szCs w:val="24"/>
          <w:highlight w:val="none"/>
          <w:lang w:eastAsia="zh-CN"/>
        </w:rPr>
      </w:pPr>
      <w:r>
        <w:rPr>
          <w:rFonts w:hint="eastAsia" w:hAnsi="宋体" w:cs="宋体"/>
          <w:spacing w:val="4"/>
          <w:szCs w:val="24"/>
          <w:highlight w:val="none"/>
        </w:rPr>
        <w:t>致：</w:t>
      </w:r>
      <w:r>
        <w:rPr>
          <w:rFonts w:hint="eastAsia" w:hAnsi="宋体" w:cs="宋体"/>
          <w:spacing w:val="4"/>
          <w:szCs w:val="24"/>
          <w:highlight w:val="none"/>
          <w:u w:val="single"/>
          <w:lang w:eastAsia="zh-CN"/>
        </w:rPr>
        <w:t>陕西启航项目管理咨询有限公司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 xml:space="preserve">根据贵方“ </w:t>
      </w:r>
      <w:r>
        <w:rPr>
          <w:rFonts w:hint="eastAsia" w:hAnsi="宋体" w:cs="宋体"/>
          <w:spacing w:val="4"/>
          <w:szCs w:val="24"/>
          <w:highlight w:val="none"/>
          <w:u w:val="single"/>
        </w:rPr>
        <w:t xml:space="preserve">                     </w:t>
      </w:r>
      <w:r>
        <w:rPr>
          <w:rFonts w:hint="eastAsia" w:hAnsi="宋体" w:cs="宋体"/>
          <w:spacing w:val="4"/>
          <w:szCs w:val="24"/>
          <w:highlight w:val="none"/>
        </w:rPr>
        <w:t>”项目的磋商邀请</w:t>
      </w:r>
      <w:r>
        <w:rPr>
          <w:rFonts w:hint="eastAsia" w:hAnsi="宋体" w:cs="宋体"/>
          <w:spacing w:val="4"/>
          <w:szCs w:val="24"/>
          <w:highlight w:val="none"/>
          <w:u w:val="single"/>
        </w:rPr>
        <w:t xml:space="preserve">(项目编号：     </w:t>
      </w:r>
      <w:r>
        <w:rPr>
          <w:rFonts w:hint="eastAsia" w:hAnsi="宋体" w:cs="宋体"/>
          <w:spacing w:val="4"/>
          <w:szCs w:val="24"/>
          <w:highlight w:val="none"/>
          <w:u w:val="single"/>
          <w:lang w:eastAsia="zh-CN"/>
        </w:rPr>
        <w:t>包号：</w:t>
      </w:r>
      <w:r>
        <w:rPr>
          <w:rFonts w:hint="eastAsia" w:hAnsi="宋体" w:cs="宋体"/>
          <w:spacing w:val="4"/>
          <w:szCs w:val="24"/>
          <w:highlight w:val="none"/>
          <w:u w:val="single"/>
        </w:rPr>
        <w:t xml:space="preserve">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份，磋商保证金额：</w:t>
      </w:r>
      <w:r>
        <w:rPr>
          <w:rFonts w:hint="eastAsia" w:hAnsi="宋体" w:cs="宋体"/>
          <w:spacing w:val="4"/>
          <w:szCs w:val="24"/>
          <w:highlight w:val="none"/>
          <w:u w:val="single"/>
        </w:rPr>
        <w:t xml:space="preserve">       </w:t>
      </w:r>
      <w:r>
        <w:rPr>
          <w:rFonts w:hint="eastAsia" w:hAnsi="宋体" w:cs="宋体"/>
          <w:spacing w:val="4"/>
          <w:szCs w:val="24"/>
          <w:highlight w:val="none"/>
        </w:rPr>
        <w:t xml:space="preserve"> 。</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6"/>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 xml:space="preserve">为小写： </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6"/>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5）同意提供贵方可能另外要求的与本磋商有关的任何证据和资料。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6）我们同意，如果成交，向</w:t>
      </w:r>
      <w:r>
        <w:rPr>
          <w:rFonts w:hint="eastAsia" w:hAnsi="宋体" w:cs="宋体"/>
          <w:spacing w:val="4"/>
          <w:szCs w:val="24"/>
          <w:highlight w:val="none"/>
          <w:lang w:eastAsia="zh-CN"/>
        </w:rPr>
        <w:t>陕西启航项目管理咨询有限公司</w:t>
      </w:r>
      <w:r>
        <w:rPr>
          <w:rFonts w:hint="eastAsia" w:hAnsi="宋体" w:cs="宋体"/>
          <w:spacing w:val="4"/>
          <w:szCs w:val="24"/>
          <w:highlight w:val="none"/>
        </w:rPr>
        <w:t>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7）与本磋商有关的一切正式往来通讯为：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7"/>
        <w:spacing w:before="312" w:beforeLines="100" w:line="360" w:lineRule="auto"/>
        <w:jc w:val="center"/>
        <w:rPr>
          <w:rFonts w:ascii="宋体" w:hAnsi="宋体" w:cs="宋体"/>
          <w:bCs w:val="0"/>
          <w:sz w:val="32"/>
          <w:highlight w:val="none"/>
        </w:rPr>
      </w:pPr>
      <w:r>
        <w:rPr>
          <w:rFonts w:hint="eastAsia" w:ascii="宋体" w:hAnsi="宋体" w:cs="宋体"/>
          <w:highlight w:val="none"/>
        </w:rPr>
        <w:br w:type="page"/>
      </w:r>
      <w:bookmarkStart w:id="149" w:name="_Toc403077651"/>
      <w:bookmarkStart w:id="150" w:name="_Toc363474030"/>
      <w:bookmarkStart w:id="151" w:name="_Toc9730"/>
      <w:bookmarkStart w:id="152" w:name="_Toc11497"/>
      <w:bookmarkStart w:id="153" w:name="_Toc17800"/>
      <w:bookmarkStart w:id="154" w:name="_Toc28910"/>
      <w:r>
        <w:rPr>
          <w:rFonts w:hint="eastAsia" w:ascii="宋体" w:hAnsi="宋体" w:cs="宋体"/>
          <w:bCs w:val="0"/>
          <w:sz w:val="32"/>
          <w:highlight w:val="none"/>
        </w:rPr>
        <w:t>二、磋商报价表</w:t>
      </w:r>
      <w:bookmarkEnd w:id="149"/>
      <w:bookmarkEnd w:id="150"/>
      <w:bookmarkEnd w:id="151"/>
      <w:bookmarkEnd w:id="152"/>
      <w:bookmarkEnd w:id="153"/>
      <w:bookmarkEnd w:id="154"/>
    </w:p>
    <w:p>
      <w:pPr>
        <w:spacing w:line="360" w:lineRule="auto"/>
        <w:jc w:val="center"/>
        <w:outlineLvl w:val="1"/>
        <w:rPr>
          <w:rFonts w:hAnsi="宋体" w:cs="宋体"/>
          <w:szCs w:val="24"/>
          <w:highlight w:val="none"/>
        </w:rPr>
      </w:pPr>
      <w:bookmarkStart w:id="155" w:name="_Toc32277"/>
      <w:bookmarkStart w:id="156" w:name="_Toc20548"/>
      <w:bookmarkStart w:id="157" w:name="_Toc12732"/>
      <w:bookmarkStart w:id="158" w:name="_Toc7982"/>
      <w:r>
        <w:rPr>
          <w:rFonts w:hint="eastAsia" w:hAnsi="宋体" w:cs="宋体"/>
          <w:szCs w:val="24"/>
          <w:highlight w:val="none"/>
        </w:rPr>
        <w:t>2.1报价一览表</w:t>
      </w:r>
      <w:bookmarkEnd w:id="155"/>
      <w:bookmarkEnd w:id="156"/>
      <w:bookmarkEnd w:id="157"/>
      <w:bookmarkEnd w:id="158"/>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r>
        <w:rPr>
          <w:rFonts w:hint="eastAsia" w:hAnsi="宋体" w:cs="宋体"/>
          <w:highlight w:val="none"/>
          <w:lang w:val="en-US" w:eastAsia="zh-CN"/>
        </w:rPr>
        <w:t xml:space="preserve">                                                  包号：</w:t>
      </w:r>
      <w:r>
        <w:rPr>
          <w:rFonts w:hint="eastAsia" w:hAnsi="宋体" w:cs="宋体"/>
          <w:highlight w:val="none"/>
        </w:rPr>
        <w:t xml:space="preserve">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3"/>
        <w:gridCol w:w="3881"/>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3653" w:type="dxa"/>
            <w:vAlign w:val="center"/>
          </w:tcPr>
          <w:p>
            <w:pPr>
              <w:jc w:val="center"/>
              <w:rPr>
                <w:rFonts w:hAnsi="宋体" w:cs="宋体"/>
                <w:szCs w:val="24"/>
                <w:highlight w:val="none"/>
              </w:rPr>
            </w:pPr>
            <w:r>
              <w:rPr>
                <w:rFonts w:hint="eastAsia" w:hAnsi="宋体" w:cs="宋体"/>
                <w:szCs w:val="24"/>
                <w:highlight w:val="none"/>
              </w:rPr>
              <w:t>磋商总报价</w:t>
            </w:r>
          </w:p>
          <w:p>
            <w:pPr>
              <w:jc w:val="center"/>
              <w:rPr>
                <w:rFonts w:hAnsi="宋体" w:cs="宋体"/>
                <w:szCs w:val="24"/>
                <w:highlight w:val="none"/>
              </w:rPr>
            </w:pPr>
            <w:r>
              <w:rPr>
                <w:rFonts w:hint="eastAsia" w:hAnsi="宋体" w:cs="宋体"/>
                <w:szCs w:val="24"/>
                <w:highlight w:val="none"/>
              </w:rPr>
              <w:t>（元）</w:t>
            </w:r>
          </w:p>
        </w:tc>
        <w:tc>
          <w:tcPr>
            <w:tcW w:w="3881" w:type="dxa"/>
            <w:vAlign w:val="center"/>
          </w:tcPr>
          <w:p>
            <w:pPr>
              <w:jc w:val="center"/>
              <w:rPr>
                <w:rFonts w:ascii="宋体" w:hAnsi="宋体" w:cs="宋体"/>
                <w:highlight w:val="none"/>
              </w:rPr>
            </w:pPr>
            <w:r>
              <w:rPr>
                <w:rFonts w:hint="eastAsia" w:hAnsi="宋体" w:cs="宋体"/>
                <w:szCs w:val="24"/>
                <w:highlight w:val="none"/>
              </w:rPr>
              <w:t>服务期</w:t>
            </w:r>
          </w:p>
        </w:tc>
        <w:tc>
          <w:tcPr>
            <w:tcW w:w="1916" w:type="dxa"/>
            <w:vAlign w:val="center"/>
          </w:tcPr>
          <w:p>
            <w:pPr>
              <w:jc w:val="center"/>
              <w:rPr>
                <w:rFonts w:hAnsi="宋体" w:cs="宋体"/>
                <w:szCs w:val="24"/>
                <w:highlight w:val="none"/>
              </w:rPr>
            </w:pPr>
            <w:r>
              <w:rPr>
                <w:rFonts w:hint="eastAsia" w:hAnsi="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3653" w:type="dxa"/>
            <w:vAlign w:val="center"/>
          </w:tcPr>
          <w:p>
            <w:pPr>
              <w:jc w:val="center"/>
              <w:rPr>
                <w:rFonts w:hAnsi="宋体" w:cs="宋体"/>
                <w:szCs w:val="24"/>
                <w:highlight w:val="none"/>
              </w:rPr>
            </w:pPr>
          </w:p>
        </w:tc>
        <w:tc>
          <w:tcPr>
            <w:tcW w:w="3881" w:type="dxa"/>
            <w:vAlign w:val="center"/>
          </w:tcPr>
          <w:p>
            <w:pPr>
              <w:jc w:val="center"/>
              <w:rPr>
                <w:rFonts w:hAnsi="宋体" w:cs="宋体"/>
                <w:szCs w:val="24"/>
                <w:highlight w:val="none"/>
              </w:rPr>
            </w:pPr>
          </w:p>
        </w:tc>
        <w:tc>
          <w:tcPr>
            <w:tcW w:w="1916" w:type="dxa"/>
            <w:vAlign w:val="center"/>
          </w:tcPr>
          <w:p>
            <w:pPr>
              <w:jc w:val="center"/>
              <w:rPr>
                <w:rFonts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3"/>
            <w:vAlign w:val="center"/>
          </w:tcPr>
          <w:p>
            <w:pPr>
              <w:jc w:val="center"/>
              <w:rPr>
                <w:rFonts w:hAnsi="宋体" w:cs="宋体"/>
                <w:szCs w:val="24"/>
                <w:highlight w:val="none"/>
              </w:rPr>
            </w:pPr>
            <w:r>
              <w:rPr>
                <w:rFonts w:hint="eastAsia" w:hAnsi="宋体" w:cs="宋体"/>
                <w:szCs w:val="24"/>
                <w:highlight w:val="none"/>
              </w:rPr>
              <w:t>磋商报价（大写）：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3"/>
            <w:vAlign w:val="center"/>
          </w:tcPr>
          <w:p>
            <w:pPr>
              <w:rPr>
                <w:rFonts w:hAnsi="宋体" w:cs="宋体"/>
                <w:szCs w:val="24"/>
                <w:highlight w:val="none"/>
              </w:rPr>
            </w:pPr>
            <w:r>
              <w:rPr>
                <w:rFonts w:hint="eastAsia" w:hAnsi="宋体" w:cs="宋体"/>
                <w:szCs w:val="24"/>
                <w:highlight w:val="none"/>
              </w:rPr>
              <w:t>备注：表内报价内容以元为单位，保留小数点后（</w:t>
            </w:r>
            <w:r>
              <w:rPr>
                <w:rFonts w:hint="eastAsia" w:hAnsi="宋体" w:cs="宋体"/>
                <w:b/>
                <w:szCs w:val="24"/>
                <w:highlight w:val="none"/>
              </w:rPr>
              <w:t>两位</w:t>
            </w:r>
            <w:r>
              <w:rPr>
                <w:rFonts w:hint="eastAsia" w:hAnsi="宋体" w:cs="宋体"/>
                <w:szCs w:val="24"/>
                <w:highlight w:val="none"/>
              </w:rPr>
              <w:t>）。</w:t>
            </w:r>
          </w:p>
        </w:tc>
      </w:tr>
    </w:tbl>
    <w:p>
      <w:pPr>
        <w:rPr>
          <w:rFonts w:hAnsi="宋体" w:cs="宋体"/>
          <w:szCs w:val="24"/>
          <w:highlight w:val="none"/>
        </w:rPr>
      </w:pPr>
    </w:p>
    <w:p>
      <w:pPr>
        <w:rPr>
          <w:rFonts w:hAnsi="宋体" w:cs="宋体"/>
          <w:szCs w:val="24"/>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szCs w:val="24"/>
          <w:highlight w:val="none"/>
          <w:u w:val="singl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Ansi="宋体" w:cs="宋体"/>
          <w:b/>
          <w:sz w:val="30"/>
          <w:szCs w:val="30"/>
          <w:highlight w:val="none"/>
        </w:rPr>
      </w:pPr>
    </w:p>
    <w:p>
      <w:pPr>
        <w:jc w:val="center"/>
        <w:outlineLvl w:val="1"/>
        <w:rPr>
          <w:rFonts w:hAnsi="宋体" w:cs="宋体"/>
          <w:b/>
          <w:sz w:val="30"/>
          <w:szCs w:val="30"/>
          <w:highlight w:val="none"/>
        </w:rPr>
      </w:pPr>
      <w:r>
        <w:rPr>
          <w:rFonts w:hint="eastAsia" w:hAnsi="宋体" w:cs="宋体"/>
          <w:b/>
          <w:sz w:val="30"/>
          <w:szCs w:val="30"/>
          <w:highlight w:val="none"/>
        </w:rPr>
        <w:br w:type="page"/>
      </w:r>
      <w:bookmarkStart w:id="159" w:name="_Toc9760"/>
      <w:bookmarkStart w:id="160" w:name="_Toc11197"/>
      <w:bookmarkStart w:id="161" w:name="_Toc428"/>
      <w:bookmarkStart w:id="162" w:name="_Toc8017"/>
      <w:r>
        <w:rPr>
          <w:rFonts w:hint="eastAsia" w:hAnsi="宋体" w:cs="宋体"/>
          <w:b/>
          <w:sz w:val="30"/>
          <w:szCs w:val="30"/>
          <w:highlight w:val="none"/>
        </w:rPr>
        <w:t>2.2分项报价表</w:t>
      </w:r>
      <w:bookmarkEnd w:id="159"/>
      <w:bookmarkEnd w:id="160"/>
      <w:bookmarkEnd w:id="161"/>
      <w:bookmarkEnd w:id="162"/>
    </w:p>
    <w:p>
      <w:pPr>
        <w:pStyle w:val="2"/>
        <w:jc w:val="center"/>
        <w:rPr>
          <w:rFonts w:ascii="宋体" w:hAnsi="宋体" w:cs="宋体"/>
          <w:bCs/>
          <w:sz w:val="24"/>
          <w:szCs w:val="24"/>
          <w:highlight w:val="none"/>
        </w:rPr>
      </w:pPr>
    </w:p>
    <w:p>
      <w:pPr>
        <w:pStyle w:val="2"/>
        <w:jc w:val="center"/>
        <w:rPr>
          <w:rFonts w:ascii="宋体" w:hAnsi="宋体" w:cs="宋体"/>
          <w:bCs/>
          <w:sz w:val="24"/>
          <w:szCs w:val="24"/>
          <w:highlight w:val="none"/>
        </w:rPr>
      </w:pPr>
      <w:r>
        <w:rPr>
          <w:rFonts w:hint="eastAsia" w:ascii="宋体" w:hAnsi="宋体" w:cs="宋体"/>
          <w:bCs/>
          <w:sz w:val="24"/>
          <w:szCs w:val="24"/>
          <w:highlight w:val="none"/>
        </w:rPr>
        <w:t>供应商自行拟定格式</w:t>
      </w:r>
    </w:p>
    <w:p>
      <w:pPr>
        <w:pStyle w:val="2"/>
        <w:rPr>
          <w:rFonts w:ascii="宋体" w:hAnsi="宋体" w:cs="宋体"/>
          <w:highlight w:val="none"/>
        </w:rPr>
      </w:pPr>
    </w:p>
    <w:p>
      <w:pPr>
        <w:ind w:firstLine="420"/>
        <w:rPr>
          <w:rFonts w:hAnsi="宋体" w:cs="宋体"/>
          <w:highlight w:val="none"/>
        </w:rPr>
      </w:pPr>
    </w:p>
    <w:p>
      <w:pPr>
        <w:pStyle w:val="2"/>
        <w:spacing w:line="360" w:lineRule="auto"/>
        <w:rPr>
          <w:rFonts w:ascii="宋体" w:hAnsi="宋体" w:cs="宋体"/>
          <w:sz w:val="28"/>
          <w:szCs w:val="28"/>
          <w:highlight w:val="none"/>
        </w:rPr>
      </w:pPr>
    </w:p>
    <w:p>
      <w:pPr>
        <w:rPr>
          <w:rFonts w:hAnsi="宋体" w:cs="宋体"/>
          <w:highlight w:val="none"/>
        </w:rPr>
      </w:pPr>
    </w:p>
    <w:bookmarkEnd w:id="144"/>
    <w:p>
      <w:pPr>
        <w:jc w:val="center"/>
        <w:outlineLvl w:val="1"/>
        <w:rPr>
          <w:rFonts w:hAnsi="宋体" w:cs="宋体"/>
          <w:sz w:val="32"/>
          <w:szCs w:val="32"/>
          <w:highlight w:val="none"/>
        </w:rPr>
      </w:pPr>
      <w:bookmarkStart w:id="163" w:name="_Toc344572163"/>
      <w:r>
        <w:rPr>
          <w:rFonts w:hint="eastAsia" w:hAnsi="宋体" w:cs="宋体"/>
          <w:sz w:val="32"/>
          <w:szCs w:val="32"/>
          <w:highlight w:val="none"/>
        </w:rPr>
        <w:br w:type="page"/>
      </w:r>
      <w:bookmarkStart w:id="164" w:name="_Toc25469"/>
      <w:bookmarkStart w:id="165" w:name="_Toc32126"/>
      <w:bookmarkStart w:id="166" w:name="_Toc3628"/>
      <w:bookmarkStart w:id="167" w:name="_Toc5944"/>
      <w:r>
        <w:rPr>
          <w:rFonts w:hint="eastAsia" w:hAnsi="宋体" w:cs="宋体"/>
          <w:b/>
          <w:bCs/>
          <w:sz w:val="32"/>
          <w:szCs w:val="32"/>
          <w:highlight w:val="none"/>
        </w:rPr>
        <w:t>三、磋商方案说明书</w:t>
      </w:r>
      <w:bookmarkEnd w:id="164"/>
      <w:bookmarkEnd w:id="165"/>
      <w:bookmarkEnd w:id="166"/>
      <w:bookmarkEnd w:id="167"/>
    </w:p>
    <w:p>
      <w:pPr>
        <w:spacing w:after="120" w:line="440" w:lineRule="exact"/>
        <w:rPr>
          <w:rFonts w:hAnsi="宋体" w:cs="宋体"/>
          <w:szCs w:val="24"/>
          <w:highlight w:val="none"/>
        </w:rPr>
      </w:pPr>
      <w:r>
        <w:rPr>
          <w:rFonts w:hint="eastAsia" w:hAnsi="宋体" w:cs="宋体"/>
          <w:szCs w:val="24"/>
          <w:highlight w:val="none"/>
        </w:rPr>
        <w:t>项目名称：</w:t>
      </w:r>
    </w:p>
    <w:p>
      <w:pPr>
        <w:tabs>
          <w:tab w:val="left" w:pos="1800"/>
        </w:tabs>
        <w:spacing w:after="120" w:line="440" w:lineRule="exact"/>
        <w:rPr>
          <w:rFonts w:hAnsi="宋体" w:cs="宋体"/>
          <w:szCs w:val="24"/>
          <w:highlight w:val="none"/>
        </w:rPr>
      </w:pPr>
      <w:r>
        <w:rPr>
          <w:rFonts w:hint="eastAsia" w:hAnsi="宋体" w:cs="宋体"/>
          <w:szCs w:val="24"/>
          <w:highlight w:val="none"/>
        </w:rPr>
        <w:t>项目编号</w:t>
      </w:r>
      <w:r>
        <w:rPr>
          <w:rFonts w:hint="eastAsia" w:hAnsi="宋体" w:cs="宋体"/>
          <w:szCs w:val="24"/>
          <w:highlight w:val="none"/>
          <w:lang w:eastAsia="zh-CN"/>
        </w:rPr>
        <w:t>、包号</w:t>
      </w:r>
      <w:r>
        <w:rPr>
          <w:rFonts w:hint="eastAsia" w:hAnsi="宋体" w:cs="宋体"/>
          <w:szCs w:val="24"/>
          <w:highlight w:val="none"/>
        </w:rPr>
        <w:t>：</w:t>
      </w:r>
      <w:r>
        <w:rPr>
          <w:rFonts w:hint="eastAsia" w:hAnsi="宋体" w:cs="宋体"/>
          <w:szCs w:val="24"/>
          <w:highlight w:val="none"/>
        </w:rPr>
        <w:tab/>
      </w:r>
    </w:p>
    <w:p>
      <w:pPr>
        <w:spacing w:line="480" w:lineRule="auto"/>
        <w:ind w:firstLine="480" w:firstLineChars="200"/>
        <w:rPr>
          <w:rFonts w:hAnsi="宋体" w:cs="宋体"/>
          <w:b/>
          <w:bCs/>
          <w:szCs w:val="24"/>
          <w:highlight w:val="none"/>
        </w:rPr>
      </w:pPr>
      <w:r>
        <w:rPr>
          <w:rFonts w:hint="eastAsia" w:hAnsi="宋体" w:cs="宋体"/>
          <w:szCs w:val="24"/>
          <w:highlight w:val="none"/>
        </w:rPr>
        <w:t>按照磋商文件的要求编制的技术响应说明书，内容（包括但不限于）可参照第三章评审办法进行响应。</w:t>
      </w:r>
    </w:p>
    <w:p>
      <w:pPr>
        <w:pStyle w:val="2"/>
        <w:rPr>
          <w:rFonts w:ascii="宋体" w:hAnsi="宋体" w:cs="宋体"/>
          <w:highlight w:val="none"/>
        </w:rPr>
      </w:pPr>
    </w:p>
    <w:p>
      <w:pPr>
        <w:pStyle w:val="2"/>
        <w:rPr>
          <w:rFonts w:ascii="宋体" w:hAnsi="宋体" w:cs="宋体"/>
          <w:highlight w:val="none"/>
        </w:rPr>
      </w:pPr>
    </w:p>
    <w:p>
      <w:pPr>
        <w:rPr>
          <w:rFonts w:hAnsi="宋体" w:cs="宋体"/>
          <w:highlight w:val="none"/>
        </w:rPr>
      </w:pPr>
    </w:p>
    <w:p>
      <w:pPr>
        <w:pStyle w:val="2"/>
        <w:rPr>
          <w:rFonts w:ascii="宋体" w:hAnsi="宋体" w:cs="宋体"/>
          <w:highlight w:val="none"/>
        </w:rPr>
      </w:pPr>
    </w:p>
    <w:p>
      <w:pPr>
        <w:spacing w:line="480" w:lineRule="auto"/>
        <w:ind w:left="3725" w:leftChars="1552"/>
        <w:rPr>
          <w:rFonts w:hAnsi="宋体" w:cs="宋体"/>
          <w:szCs w:val="24"/>
          <w:highlight w:val="none"/>
        </w:rPr>
      </w:pPr>
      <w:r>
        <w:rPr>
          <w:rFonts w:hint="eastAsia" w:hAnsi="宋体" w:cs="宋体"/>
          <w:szCs w:val="24"/>
          <w:highlight w:val="none"/>
        </w:rPr>
        <w:t>法定代表人/或被授权人（签字或盖章）：</w:t>
      </w:r>
    </w:p>
    <w:p>
      <w:pPr>
        <w:spacing w:line="480" w:lineRule="auto"/>
        <w:ind w:left="3725" w:leftChars="155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公      章：</w:t>
      </w:r>
    </w:p>
    <w:p>
      <w:pPr>
        <w:spacing w:line="480" w:lineRule="auto"/>
        <w:ind w:left="3725" w:leftChars="1552" w:firstLine="5668" w:firstLineChars="236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日      期：</w:t>
      </w:r>
    </w:p>
    <w:p>
      <w:pPr>
        <w:spacing w:after="120" w:line="480" w:lineRule="auto"/>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rPr>
          <w:rFonts w:hAnsi="宋体" w:cs="宋体"/>
          <w:b/>
          <w:szCs w:val="24"/>
          <w:highlight w:val="none"/>
        </w:rPr>
      </w:pPr>
      <w:r>
        <w:rPr>
          <w:rFonts w:hint="eastAsia" w:hAnsi="宋体" w:cs="宋体"/>
          <w:b/>
          <w:szCs w:val="24"/>
          <w:highlight w:val="none"/>
        </w:rPr>
        <w:br w:type="page"/>
      </w:r>
      <w:bookmarkStart w:id="168" w:name="_Toc9218"/>
      <w:bookmarkStart w:id="169" w:name="_Toc23455"/>
      <w:bookmarkStart w:id="170" w:name="_Toc21284"/>
      <w:bookmarkStart w:id="171" w:name="_Toc2621"/>
      <w:bookmarkStart w:id="172" w:name="_Toc1379"/>
      <w:bookmarkStart w:id="173" w:name="_Toc5662"/>
      <w:bookmarkStart w:id="174" w:name="_Toc15265"/>
      <w:bookmarkStart w:id="175" w:name="_Toc8845"/>
    </w:p>
    <w:p>
      <w:pPr>
        <w:ind w:firstLine="161" w:firstLineChars="50"/>
        <w:jc w:val="center"/>
        <w:outlineLvl w:val="1"/>
        <w:rPr>
          <w:rFonts w:hAnsi="宋体" w:cs="宋体"/>
          <w:sz w:val="32"/>
          <w:szCs w:val="32"/>
          <w:highlight w:val="none"/>
        </w:rPr>
      </w:pPr>
      <w:bookmarkStart w:id="176" w:name="_Toc17052"/>
      <w:r>
        <w:rPr>
          <w:rFonts w:hint="eastAsia" w:hAnsi="宋体" w:cs="宋体"/>
          <w:b/>
          <w:bCs/>
          <w:sz w:val="32"/>
          <w:szCs w:val="32"/>
          <w:highlight w:val="none"/>
        </w:rPr>
        <w:t>四、</w:t>
      </w:r>
      <w:bookmarkEnd w:id="168"/>
      <w:bookmarkEnd w:id="169"/>
      <w:bookmarkEnd w:id="170"/>
      <w:bookmarkEnd w:id="171"/>
      <w:bookmarkEnd w:id="172"/>
      <w:r>
        <w:rPr>
          <w:rFonts w:hint="eastAsia" w:hAnsi="宋体" w:cs="宋体"/>
          <w:b/>
          <w:bCs/>
          <w:sz w:val="32"/>
          <w:szCs w:val="32"/>
          <w:highlight w:val="none"/>
        </w:rPr>
        <w:t>商务条款偏离表</w:t>
      </w:r>
      <w:bookmarkEnd w:id="173"/>
      <w:bookmarkEnd w:id="174"/>
      <w:bookmarkEnd w:id="175"/>
      <w:bookmarkEnd w:id="176"/>
    </w:p>
    <w:p>
      <w:pPr>
        <w:pStyle w:val="24"/>
        <w:widowControl w:val="0"/>
        <w:spacing w:before="0" w:beforeAutospacing="0" w:after="0" w:afterAutospacing="0"/>
        <w:jc w:val="both"/>
        <w:rPr>
          <w:rFonts w:cs="宋体"/>
          <w:highlight w:val="none"/>
        </w:rPr>
      </w:pPr>
    </w:p>
    <w:p>
      <w:pPr>
        <w:pStyle w:val="24"/>
        <w:widowControl w:val="0"/>
        <w:spacing w:before="156" w:beforeLines="50" w:beforeAutospacing="0" w:after="156" w:afterLines="50" w:afterAutospacing="0"/>
        <w:rPr>
          <w:rFonts w:cs="宋体"/>
          <w:highlight w:val="none"/>
        </w:rPr>
      </w:pPr>
      <w:r>
        <w:rPr>
          <w:rFonts w:hint="eastAsia" w:cs="宋体"/>
          <w:highlight w:val="none"/>
        </w:rPr>
        <w:t>项目编号</w:t>
      </w:r>
      <w:r>
        <w:rPr>
          <w:rFonts w:hint="eastAsia" w:cs="宋体"/>
          <w:highlight w:val="none"/>
          <w:lang w:eastAsia="zh-CN"/>
        </w:rPr>
        <w:t>、包号</w:t>
      </w:r>
      <w:r>
        <w:rPr>
          <w:rFonts w:hint="eastAsia" w:cs="宋体"/>
          <w:highlight w:val="none"/>
        </w:rPr>
        <w:t>：</w:t>
      </w:r>
    </w:p>
    <w:p>
      <w:pPr>
        <w:pStyle w:val="24"/>
        <w:widowControl w:val="0"/>
        <w:spacing w:before="156" w:beforeLines="50" w:beforeAutospacing="0" w:after="156" w:afterLines="50" w:afterAutospacing="0"/>
        <w:rPr>
          <w:rFonts w:cs="宋体"/>
          <w:highlight w:val="none"/>
          <w:u w:val="single"/>
        </w:rPr>
      </w:pPr>
      <w:r>
        <w:rPr>
          <w:rFonts w:hint="eastAsia" w:cs="宋体"/>
          <w:highlight w:val="none"/>
        </w:rPr>
        <w:t>项目名称：</w:t>
      </w:r>
    </w:p>
    <w:p>
      <w:pPr>
        <w:pStyle w:val="24"/>
        <w:widowControl w:val="0"/>
        <w:spacing w:before="0" w:beforeAutospacing="0" w:after="0" w:afterAutospacing="0"/>
        <w:ind w:firstLine="480" w:firstLineChars="200"/>
        <w:jc w:val="center"/>
        <w:rPr>
          <w:rFonts w:cs="宋体"/>
          <w:highlight w:val="none"/>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jc w:val="center"/>
              <w:rPr>
                <w:rFonts w:cs="宋体"/>
                <w:highlight w:val="none"/>
              </w:rPr>
            </w:pPr>
            <w:r>
              <w:rPr>
                <w:rFonts w:hint="eastAsia"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0" w:beforeAutospacing="0" w:after="0" w:afterAutospacing="0"/>
              <w:ind w:firstLine="480" w:firstLineChars="200"/>
              <w:jc w:val="center"/>
              <w:rPr>
                <w:rFonts w:cs="宋体"/>
                <w:highlight w:val="none"/>
              </w:rPr>
            </w:pPr>
          </w:p>
        </w:tc>
      </w:tr>
    </w:tbl>
    <w:p>
      <w:pPr>
        <w:pStyle w:val="24"/>
        <w:widowControl w:val="0"/>
        <w:spacing w:before="0" w:beforeAutospacing="0" w:after="0" w:afterAutospacing="0"/>
        <w:rPr>
          <w:rFonts w:cs="宋体"/>
          <w:highlight w:val="none"/>
        </w:rPr>
      </w:pPr>
      <w:r>
        <w:rPr>
          <w:rFonts w:hint="eastAsia" w:cs="宋体"/>
          <w:highlight w:val="none"/>
        </w:rPr>
        <w:t>说明：</w:t>
      </w:r>
    </w:p>
    <w:p>
      <w:pPr>
        <w:pStyle w:val="24"/>
        <w:widowControl w:val="0"/>
        <w:spacing w:before="0" w:beforeAutospacing="0" w:after="0" w:afterAutospacing="0"/>
        <w:ind w:firstLine="480" w:firstLineChars="200"/>
        <w:jc w:val="both"/>
        <w:rPr>
          <w:rFonts w:cs="宋体"/>
          <w:highlight w:val="none"/>
        </w:rPr>
      </w:pPr>
      <w:r>
        <w:rPr>
          <w:rFonts w:hint="eastAsia" w:cs="宋体"/>
          <w:highlight w:val="none"/>
        </w:rPr>
        <w:t>1.本表只填写磋商响应文件中与磋商文件有偏离（包括正偏离和负偏离）的内容，磋商响应文件中商务响应与磋商文件要求完全一致的，不用在此表中列出，但必须提交空白表。</w:t>
      </w:r>
    </w:p>
    <w:p>
      <w:pPr>
        <w:pStyle w:val="24"/>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24"/>
        <w:widowControl w:val="0"/>
        <w:spacing w:before="0" w:beforeAutospacing="0" w:after="0" w:afterAutospacing="0"/>
        <w:ind w:firstLine="480" w:firstLineChars="200"/>
        <w:jc w:val="center"/>
        <w:rPr>
          <w:rFonts w:cs="宋体"/>
          <w:highlight w:val="none"/>
        </w:rPr>
      </w:pPr>
    </w:p>
    <w:p>
      <w:pPr>
        <w:pStyle w:val="24"/>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24"/>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（签字或盖章）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163"/>
    <w:p>
      <w:pPr>
        <w:spacing w:line="360" w:lineRule="auto"/>
        <w:jc w:val="center"/>
        <w:outlineLvl w:val="1"/>
        <w:rPr>
          <w:rFonts w:hAnsi="宋体" w:cs="宋体"/>
          <w:b/>
          <w:bCs/>
          <w:sz w:val="30"/>
          <w:szCs w:val="30"/>
          <w:highlight w:val="none"/>
        </w:rPr>
      </w:pPr>
      <w:bookmarkStart w:id="177" w:name="_Toc363474033"/>
      <w:bookmarkStart w:id="178" w:name="_Toc403077656"/>
      <w:r>
        <w:rPr>
          <w:rFonts w:hint="eastAsia" w:hAnsi="宋体" w:cs="宋体"/>
          <w:b/>
          <w:bCs/>
          <w:sz w:val="30"/>
          <w:szCs w:val="30"/>
          <w:highlight w:val="none"/>
        </w:rPr>
        <w:br w:type="page"/>
      </w:r>
      <w:bookmarkStart w:id="179" w:name="_Toc3386"/>
      <w:bookmarkStart w:id="180" w:name="_Toc1542"/>
      <w:bookmarkStart w:id="181" w:name="_Toc27470"/>
      <w:bookmarkStart w:id="182" w:name="_Toc9081"/>
      <w:r>
        <w:rPr>
          <w:rFonts w:hint="eastAsia" w:hAnsi="宋体" w:cs="宋体"/>
          <w:b/>
          <w:bCs/>
          <w:sz w:val="30"/>
          <w:szCs w:val="30"/>
          <w:highlight w:val="none"/>
        </w:rPr>
        <w:t>五、陕西省政府采购供应商拒绝政府采购领域商业贿赂承诺书</w:t>
      </w:r>
      <w:bookmarkEnd w:id="177"/>
      <w:bookmarkEnd w:id="178"/>
      <w:bookmarkEnd w:id="179"/>
      <w:bookmarkEnd w:id="180"/>
      <w:bookmarkEnd w:id="181"/>
      <w:bookmarkEnd w:id="182"/>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w:t>
      </w:r>
      <w:r>
        <w:rPr>
          <w:rFonts w:hint="eastAsia" w:hAnsi="宋体" w:cs="宋体"/>
          <w:szCs w:val="24"/>
          <w:highlight w:val="none"/>
          <w:lang w:eastAsia="zh-CN"/>
        </w:rPr>
        <w:t>或盖章</w:t>
      </w:r>
      <w:r>
        <w:rPr>
          <w:rFonts w:hint="eastAsia" w:hAnsi="宋体" w:cs="宋体"/>
          <w:szCs w:val="24"/>
          <w:highlight w:val="none"/>
        </w:rPr>
        <w:t>）：</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1"/>
        <w:rPr>
          <w:rFonts w:hAnsi="宋体" w:cs="宋体"/>
          <w:highlight w:val="none"/>
          <w:shd w:val="clear" w:color="auto" w:fill="FFFFFF"/>
        </w:rPr>
      </w:pPr>
      <w:bookmarkStart w:id="183" w:name="_Toc403077657"/>
      <w:bookmarkStart w:id="184" w:name="_Toc363474034"/>
      <w:r>
        <w:rPr>
          <w:rFonts w:hint="eastAsia" w:hAnsi="宋体" w:cs="宋体"/>
          <w:b/>
          <w:bCs/>
          <w:sz w:val="30"/>
          <w:szCs w:val="30"/>
          <w:highlight w:val="none"/>
        </w:rPr>
        <w:br w:type="page"/>
      </w:r>
      <w:bookmarkStart w:id="185" w:name="_Toc32016"/>
      <w:bookmarkStart w:id="186" w:name="_Toc8806"/>
      <w:bookmarkStart w:id="187" w:name="_Toc7842"/>
      <w:bookmarkStart w:id="188" w:name="_Toc29285"/>
      <w:r>
        <w:rPr>
          <w:rFonts w:hint="eastAsia" w:hAnsi="宋体" w:cs="宋体"/>
          <w:b/>
          <w:bCs/>
          <w:sz w:val="30"/>
          <w:szCs w:val="30"/>
          <w:highlight w:val="none"/>
        </w:rPr>
        <w:t>六、特定资格证明文件</w:t>
      </w:r>
      <w:bookmarkEnd w:id="183"/>
      <w:bookmarkEnd w:id="184"/>
      <w:bookmarkEnd w:id="185"/>
      <w:bookmarkEnd w:id="186"/>
      <w:bookmarkEnd w:id="187"/>
      <w:bookmarkEnd w:id="188"/>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寄宿托养</w:t>
      </w:r>
      <w:r>
        <w:rPr>
          <w:rFonts w:hint="eastAsia" w:ascii="宋体" w:hAnsi="宋体" w:eastAsia="宋体" w:cs="宋体"/>
          <w:i w:val="0"/>
          <w:iCs w:val="0"/>
          <w:caps w:val="0"/>
          <w:color w:val="333333"/>
          <w:spacing w:val="0"/>
          <w:sz w:val="24"/>
          <w:szCs w:val="24"/>
          <w:highlight w:val="none"/>
          <w:shd w:val="clear" w:fill="FFFFFF"/>
          <w:vertAlign w:val="baseline"/>
        </w:rPr>
        <w:t>)特定资格要求如下: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hAnsi="宋体" w:cs="宋体"/>
          <w:sz w:val="24"/>
          <w:szCs w:val="24"/>
          <w:highlight w:val="none"/>
          <w:lang w:eastAsia="zh-CN"/>
        </w:rPr>
        <w:t>（</w:t>
      </w:r>
      <w:r>
        <w:rPr>
          <w:rFonts w:hint="eastAsia" w:hAnsi="宋体" w:cs="宋体"/>
          <w:sz w:val="24"/>
          <w:szCs w:val="24"/>
          <w:highlight w:val="none"/>
          <w:lang w:val="en-US" w:eastAsia="zh-CN"/>
        </w:rPr>
        <w:t>1</w:t>
      </w:r>
      <w:r>
        <w:rPr>
          <w:rFonts w:hint="eastAsia" w:hAnsi="宋体" w:cs="宋体"/>
          <w:sz w:val="24"/>
          <w:szCs w:val="24"/>
          <w:highlight w:val="none"/>
          <w:lang w:eastAsia="zh-CN"/>
        </w:rPr>
        <w:t>）</w:t>
      </w:r>
      <w:r>
        <w:rPr>
          <w:rFonts w:hint="eastAsia" w:ascii="宋体" w:hAnsi="宋体" w:eastAsia="宋体" w:cs="宋体"/>
          <w:sz w:val="24"/>
          <w:szCs w:val="24"/>
          <w:highlight w:val="none"/>
        </w:rPr>
        <w:t xml:space="preserve">提供合格有效的法人或者其他组织的营业执照等证明文件，自然人的身份证明；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宋体" w:hAnsi="宋体" w:eastAsia="宋体" w:cs="宋体"/>
          <w:sz w:val="24"/>
          <w:szCs w:val="24"/>
          <w:highlight w:val="none"/>
        </w:rPr>
      </w:pPr>
      <w:r>
        <w:rPr>
          <w:rFonts w:hint="eastAsia" w:hAnsi="宋体" w:cs="宋体"/>
          <w:sz w:val="24"/>
          <w:szCs w:val="24"/>
          <w:highlight w:val="none"/>
          <w:lang w:eastAsia="zh-CN"/>
        </w:rPr>
        <w:t>（</w:t>
      </w:r>
      <w:r>
        <w:rPr>
          <w:rFonts w:hint="eastAsia" w:hAnsi="宋体" w:cs="宋体"/>
          <w:sz w:val="24"/>
          <w:szCs w:val="24"/>
          <w:highlight w:val="none"/>
          <w:lang w:val="en-US" w:eastAsia="zh-CN"/>
        </w:rPr>
        <w:t>2</w:t>
      </w:r>
      <w:r>
        <w:rPr>
          <w:rFonts w:hint="eastAsia" w:hAnsi="宋体" w:cs="宋体"/>
          <w:sz w:val="24"/>
          <w:szCs w:val="24"/>
          <w:highlight w:val="none"/>
          <w:lang w:eastAsia="zh-CN"/>
        </w:rPr>
        <w:t>）</w:t>
      </w:r>
      <w:r>
        <w:rPr>
          <w:rFonts w:hint="eastAsia" w:ascii="宋体" w:hAnsi="宋体" w:eastAsia="宋体" w:cs="宋体"/>
          <w:sz w:val="24"/>
          <w:szCs w:val="24"/>
          <w:highlight w:val="none"/>
        </w:rPr>
        <w:t>提供法定代表人授权书（附法定代表人、被授权人身份证复印件）及被授权人身份证原件（法定代表人直接参加投标，须提供法定代表人身份证明及身份证原件）</w:t>
      </w:r>
      <w:r>
        <w:rPr>
          <w:rFonts w:hint="eastAsia" w:hAnsi="宋体" w:cs="宋体"/>
          <w:sz w:val="24"/>
          <w:szCs w:val="24"/>
          <w:highlight w:val="none"/>
          <w:lang w:eastAsia="zh-CN"/>
        </w:rPr>
        <w:t>；</w:t>
      </w:r>
      <w:r>
        <w:rPr>
          <w:rFonts w:hint="eastAsia" w:ascii="宋体" w:hAnsi="宋体" w:eastAsia="宋体" w:cs="宋体"/>
          <w:sz w:val="24"/>
          <w:szCs w:val="24"/>
          <w:highlight w:val="none"/>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宋体" w:hAnsi="宋体" w:eastAsia="宋体" w:cs="宋体"/>
          <w:sz w:val="24"/>
          <w:szCs w:val="24"/>
          <w:highlight w:val="none"/>
        </w:rPr>
      </w:pPr>
      <w:r>
        <w:rPr>
          <w:rFonts w:hint="eastAsia" w:hAnsi="宋体" w:cs="宋体"/>
          <w:sz w:val="24"/>
          <w:szCs w:val="24"/>
          <w:highlight w:val="none"/>
          <w:lang w:eastAsia="zh-CN"/>
        </w:rPr>
        <w:t>（</w:t>
      </w:r>
      <w:r>
        <w:rPr>
          <w:rFonts w:hint="eastAsia" w:hAnsi="宋体" w:cs="宋体"/>
          <w:sz w:val="24"/>
          <w:szCs w:val="24"/>
          <w:highlight w:val="none"/>
          <w:lang w:val="en-US" w:eastAsia="zh-CN"/>
        </w:rPr>
        <w:t>3</w:t>
      </w:r>
      <w:r>
        <w:rPr>
          <w:rFonts w:hint="eastAsia" w:hAnsi="宋体" w:cs="宋体"/>
          <w:sz w:val="24"/>
          <w:szCs w:val="24"/>
          <w:highlight w:val="none"/>
          <w:lang w:eastAsia="zh-CN"/>
        </w:rPr>
        <w:t>）</w:t>
      </w:r>
      <w:r>
        <w:rPr>
          <w:rFonts w:hint="eastAsia" w:ascii="宋体" w:hAnsi="宋体" w:eastAsia="宋体" w:cs="宋体"/>
          <w:sz w:val="24"/>
          <w:szCs w:val="24"/>
          <w:highlight w:val="none"/>
        </w:rPr>
        <w:t>财务状况：提供20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或202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hAnsi="宋体" w:cs="宋体"/>
          <w:sz w:val="24"/>
          <w:szCs w:val="24"/>
          <w:highlight w:val="none"/>
          <w:lang w:eastAsia="zh-CN"/>
        </w:rPr>
        <w:t>（</w:t>
      </w:r>
      <w:r>
        <w:rPr>
          <w:rFonts w:hint="eastAsia" w:hAnsi="宋体" w:cs="宋体"/>
          <w:sz w:val="24"/>
          <w:szCs w:val="24"/>
          <w:highlight w:val="none"/>
          <w:lang w:val="en-US" w:eastAsia="zh-CN"/>
        </w:rPr>
        <w:t>4</w:t>
      </w:r>
      <w:r>
        <w:rPr>
          <w:rFonts w:hint="eastAsia" w:hAnsi="宋体" w:cs="宋体"/>
          <w:sz w:val="24"/>
          <w:szCs w:val="24"/>
          <w:highlight w:val="none"/>
          <w:lang w:eastAsia="zh-CN"/>
        </w:rPr>
        <w:t>）</w:t>
      </w:r>
      <w:r>
        <w:rPr>
          <w:rFonts w:hint="eastAsia" w:ascii="宋体" w:hAnsi="宋体" w:eastAsia="宋体" w:cs="宋体"/>
          <w:sz w:val="24"/>
          <w:szCs w:val="24"/>
          <w:highlight w:val="none"/>
        </w:rPr>
        <w:t>税收缴纳证明：提供磋商截止日前近一年内任意一个</w:t>
      </w:r>
      <w:r>
        <w:rPr>
          <w:rFonts w:hint="eastAsia" w:asciiTheme="minorEastAsia" w:hAnsiTheme="minorEastAsia" w:eastAsiaTheme="minorEastAsia" w:cstheme="minorEastAsia"/>
          <w:highlight w:val="none"/>
          <w:shd w:val="clear" w:color="auto" w:fill="FFFFFF"/>
        </w:rPr>
        <w:t>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5</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6</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7</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9</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10</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rPr>
        <w:t>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11</w:t>
      </w:r>
      <w:r>
        <w:rPr>
          <w:rFonts w:hint="eastAsia" w:asciiTheme="minorEastAsia" w:hAnsiTheme="minorEastAsia" w:eastAsiaTheme="minorEastAsia" w:cstheme="minorEastAsia"/>
          <w:highlight w:val="none"/>
          <w:shd w:val="clear" w:color="auto" w:fill="FFFFFF"/>
          <w:lang w:eastAsia="zh-CN"/>
        </w:rPr>
        <w:t>）</w:t>
      </w:r>
      <w:r>
        <w:rPr>
          <w:rFonts w:hint="eastAsia" w:asciiTheme="minorEastAsia" w:hAnsiTheme="minorEastAsia" w:eastAsiaTheme="minorEastAsia" w:cstheme="minorEastAsia"/>
          <w:highlight w:val="none"/>
          <w:shd w:val="clear" w:color="auto" w:fill="FFFFFF"/>
          <w:lang w:val="en-US" w:eastAsia="zh-CN"/>
        </w:rPr>
        <w:t>本项目专门面向中小微企业采购。</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Style w:val="29"/>
          <w:rFonts w:hint="eastAsia" w:ascii="宋体" w:hAnsi="宋体" w:eastAsia="宋体" w:cs="宋体"/>
          <w:b/>
          <w:bCs/>
          <w:i w:val="0"/>
          <w:iCs w:val="0"/>
          <w:caps w:val="0"/>
          <w:color w:val="333333"/>
          <w:spacing w:val="0"/>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合同包</w:t>
      </w:r>
      <w:r>
        <w:rPr>
          <w:rFonts w:hint="eastAsia" w:cs="宋体"/>
          <w:i w:val="0"/>
          <w:iCs w:val="0"/>
          <w:caps w:val="0"/>
          <w:color w:val="333333"/>
          <w:spacing w:val="0"/>
          <w:sz w:val="24"/>
          <w:szCs w:val="24"/>
          <w:highlight w:val="none"/>
          <w:shd w:val="clear" w:fill="FFFFFF"/>
          <w:vertAlign w:val="baseline"/>
          <w:lang w:val="en-US" w:eastAsia="zh-CN"/>
        </w:rPr>
        <w:t>2</w:t>
      </w:r>
      <w:r>
        <w:rPr>
          <w:rFonts w:hint="eastAsia" w:ascii="宋体" w:hAnsi="宋体" w:eastAsia="宋体" w:cs="宋体"/>
          <w:i w:val="0"/>
          <w:iCs w:val="0"/>
          <w:caps w:val="0"/>
          <w:color w:val="333333"/>
          <w:spacing w:val="0"/>
          <w:sz w:val="24"/>
          <w:szCs w:val="24"/>
          <w:highlight w:val="none"/>
          <w:shd w:val="clear" w:fill="FFFFFF"/>
          <w:vertAlign w:val="baseline"/>
        </w:rPr>
        <w:t>(日常照料)特定资格要求如下: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（1）提供合格有效的法人或者其他组织的营业执照等证明文件，自然人的身份证明；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（2）提供法定代表人授权书（附法定代表人、被授权人身份证复印件）及被授权人身份证原件（法定代表人直接参加投标，须提供法定代表人身份证明及身份证原件）；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（3）财务状况：提供2020或2021年度经审计的财务审计报告（成立时间至提交磋商响应文件截止时间不足一年的可提供成立后任意时段的资产负债表）或开标时间前六个月内银行出具的资信证明；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（4）税收缴纳证明：提供磋商截止日前近一年内任意一个月的纳税证明或完税证明（任意税种），依法免税的单位应提供相关证明材料；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（6）供应商应在磋商文件发售期至投标截止时间前通过“信用中国”网站(www.creditchina.gov.cn)、中国政府采购网(www.ccgp.gov.cn)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（7）参加政府采购活动前3年内，在经营活动中没有重大违法记录的书面声明；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（9）提供投标保证金转款凭证或担保机构出具的保函。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（10）本项目不接受联合体磋商。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（11）本项目专门面向中小微企业采购。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合同包3(居家托养)特定资格要求如下: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（1）提供合格有效的法人或者其他组织的营业执照等证明文件，自然人的身份证明；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 xml:space="preserve">（2）提供法定代表人授权书（附法定代表人、被授权人身份证复印件）及被授权人身份证原件（法定代表人直接参加投标，须提供法定代表人身份证明及身份证原件）；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（3）财务状况：提供2020或2021年度经审计的财务审计报告（成立时间至提交磋商响应文件截止时间不足一年的可提供成立后任意时段的资产负债表）或开标时间前六个月内银行出具的资信证明；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（4）税收缴纳证明：提供磋商截止日前近一年内任意一个月的纳税证明或完税证明（任意税种），依法免税的单位应提供相关证明材料；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（6）供应商应在磋商文件发售期至投标截止时间前通过“信用中国”网站(www.creditchina.gov.cn)、中国政府采购网(www.ccgp.gov.cn) 查询相关主体信用记录；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（7）参加政府采购活动前3年内，在经营活动中没有重大违法记录的书面声明；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（8）提供具有履行合同所必需的设备和专业技术能力的书面承诺；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（9）提供投标保证金转款凭证或担保机构出具的保函。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Fonts w:hint="eastAsia" w:asciiTheme="minorEastAsia" w:hAnsiTheme="minorEastAsia" w:eastAsiaTheme="minorEastAsia" w:cstheme="minorEastAsia"/>
          <w:highlight w:val="none"/>
          <w:shd w:val="clear" w:color="auto" w:fill="FFFFFF"/>
          <w:lang w:val="en-US" w:eastAsia="zh-CN"/>
        </w:rPr>
      </w:pPr>
      <w:r>
        <w:rPr>
          <w:rFonts w:hint="eastAsia" w:asciiTheme="minorEastAsia" w:hAnsiTheme="minorEastAsia" w:eastAsiaTheme="minorEastAsia" w:cstheme="minorEastAsia"/>
          <w:highlight w:val="none"/>
          <w:shd w:val="clear" w:color="auto" w:fill="FFFFFF"/>
          <w:lang w:val="en-US" w:eastAsia="zh-CN"/>
        </w:rPr>
        <w:t>（10）本项目不接受联合体磋商。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Chars="0" w:right="0" w:rightChars="0"/>
        <w:jc w:val="left"/>
        <w:textAlignment w:val="baseline"/>
        <w:outlineLvl w:val="9"/>
        <w:rPr>
          <w:rStyle w:val="29"/>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Theme="minorEastAsia" w:hAnsiTheme="minorEastAsia" w:eastAsiaTheme="minorEastAsia" w:cstheme="minorEastAsia"/>
          <w:highlight w:val="none"/>
          <w:shd w:val="clear" w:color="auto" w:fill="FFFFFF"/>
          <w:lang w:val="en-US" w:eastAsia="zh-CN"/>
        </w:rPr>
        <w:t>（11）本项目专门面向中小微企业采购。</w:t>
      </w:r>
    </w:p>
    <w:p>
      <w:pPr>
        <w:jc w:val="center"/>
        <w:outlineLvl w:val="1"/>
        <w:rPr>
          <w:rFonts w:hAnsi="宋体" w:cs="宋体"/>
          <w:b/>
          <w:bCs/>
          <w:sz w:val="30"/>
          <w:szCs w:val="30"/>
          <w:highlight w:val="none"/>
        </w:rPr>
      </w:pPr>
      <w:r>
        <w:rPr>
          <w:rFonts w:hint="eastAsia" w:hAnsi="宋体" w:cs="宋体"/>
          <w:szCs w:val="24"/>
          <w:highlight w:val="none"/>
        </w:rPr>
        <w:br w:type="page"/>
      </w:r>
      <w:bookmarkStart w:id="189" w:name="_Toc11394"/>
      <w:bookmarkStart w:id="190" w:name="_Toc12717"/>
      <w:bookmarkStart w:id="191" w:name="_Toc19114"/>
      <w:bookmarkStart w:id="192" w:name="_Toc6853"/>
      <w:r>
        <w:rPr>
          <w:rFonts w:hint="eastAsia" w:hAnsi="宋体" w:cs="宋体"/>
          <w:b/>
          <w:bCs/>
          <w:sz w:val="30"/>
          <w:szCs w:val="30"/>
          <w:highlight w:val="none"/>
        </w:rPr>
        <w:t>七、其它</w:t>
      </w:r>
      <w:bookmarkEnd w:id="189"/>
      <w:bookmarkEnd w:id="190"/>
      <w:bookmarkEnd w:id="191"/>
      <w:bookmarkEnd w:id="192"/>
    </w:p>
    <w:p>
      <w:pPr>
        <w:pStyle w:val="2"/>
        <w:spacing w:line="360" w:lineRule="auto"/>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2"/>
        <w:spacing w:line="360" w:lineRule="auto"/>
        <w:rPr>
          <w:rFonts w:ascii="宋体" w:hAnsi="宋体" w:cs="宋体"/>
          <w:sz w:val="24"/>
          <w:szCs w:val="24"/>
          <w:highlight w:val="none"/>
        </w:rPr>
      </w:pPr>
      <w:r>
        <w:rPr>
          <w:rFonts w:hint="eastAsia" w:ascii="宋体" w:hAnsi="宋体" w:cs="宋体"/>
          <w:sz w:val="24"/>
          <w:szCs w:val="24"/>
          <w:highlight w:val="none"/>
        </w:rPr>
        <w:t>2、开户许可证或基本存款证明。</w:t>
      </w:r>
    </w:p>
    <w:p>
      <w:pPr>
        <w:pStyle w:val="2"/>
        <w:spacing w:line="360" w:lineRule="auto"/>
        <w:rPr>
          <w:rFonts w:ascii="宋体" w:hAnsi="宋体" w:cs="宋体"/>
          <w:sz w:val="24"/>
          <w:szCs w:val="24"/>
          <w:highlight w:val="none"/>
        </w:rPr>
      </w:pPr>
      <w:r>
        <w:rPr>
          <w:rFonts w:hint="eastAsia" w:ascii="宋体" w:hAnsi="宋体" w:cs="宋体"/>
          <w:sz w:val="24"/>
          <w:szCs w:val="24"/>
          <w:highlight w:val="none"/>
        </w:rPr>
        <w:t>3、其他可以证明供应商实力的文件。</w:t>
      </w:r>
    </w:p>
    <w:p>
      <w:pPr>
        <w:rPr>
          <w:highlight w:val="none"/>
        </w:rPr>
      </w:pPr>
    </w:p>
    <w:p>
      <w:pPr>
        <w:rPr>
          <w:highlight w:val="none"/>
        </w:rPr>
      </w:pPr>
    </w:p>
    <w:p>
      <w:pPr>
        <w:spacing w:before="156" w:beforeLines="50" w:after="156" w:afterLines="50" w:line="500" w:lineRule="exact"/>
        <w:outlineLvl w:val="2"/>
        <w:rPr>
          <w:rFonts w:hAnsi="宋体" w:cs="宋体"/>
          <w:b/>
          <w:sz w:val="28"/>
          <w:szCs w:val="28"/>
          <w:highlight w:val="none"/>
        </w:rPr>
      </w:pPr>
      <w:r>
        <w:rPr>
          <w:rFonts w:hint="eastAsia" w:hAnsi="宋体" w:cs="宋体"/>
          <w:szCs w:val="24"/>
          <w:highlight w:val="none"/>
        </w:rPr>
        <w:br w:type="page"/>
      </w:r>
      <w:bookmarkStart w:id="193" w:name="_Toc17513"/>
      <w:bookmarkStart w:id="194" w:name="_Toc6055"/>
      <w:bookmarkStart w:id="195" w:name="_Toc30515"/>
      <w:r>
        <w:rPr>
          <w:rFonts w:hint="eastAsia" w:hAnsi="宋体" w:cs="宋体"/>
          <w:b/>
          <w:sz w:val="28"/>
          <w:szCs w:val="28"/>
          <w:highlight w:val="none"/>
        </w:rPr>
        <w:t>附件1：法定代表人身份证明/法定代表人授权书</w:t>
      </w:r>
      <w:bookmarkEnd w:id="193"/>
      <w:bookmarkEnd w:id="194"/>
      <w:bookmarkEnd w:id="195"/>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2"/>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w:t>
      </w:r>
      <w:r>
        <w:rPr>
          <w:rFonts w:hint="eastAsia" w:hAnsi="宋体" w:cs="宋体"/>
          <w:szCs w:val="24"/>
          <w:highlight w:val="non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统一社会信用代码：</w:t>
      </w:r>
      <w:r>
        <w:rPr>
          <w:rFonts w:hint="eastAsia" w:hAnsi="宋体" w:cs="宋体"/>
          <w:szCs w:val="24"/>
          <w:highlight w:val="none"/>
          <w:u w:val="singl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注册地址：</w:t>
      </w:r>
      <w:r>
        <w:rPr>
          <w:rFonts w:hint="eastAsia" w:hAnsi="宋体" w:cs="宋体"/>
          <w:szCs w:val="24"/>
          <w:highlight w:val="none"/>
          <w:u w:val="singl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成立时间：</w:t>
      </w:r>
      <w:r>
        <w:rPr>
          <w:rFonts w:hint="eastAsia" w:hAnsi="宋体" w:cs="宋体"/>
          <w:szCs w:val="24"/>
          <w:highlight w:val="none"/>
          <w:u w:val="single"/>
        </w:rPr>
        <w:t xml:space="preserve">    </w:t>
      </w:r>
      <w:r>
        <w:rPr>
          <w:rFonts w:hint="eastAsia" w:hAnsi="宋体" w:cs="宋体"/>
          <w:szCs w:val="24"/>
          <w:highlight w:val="none"/>
        </w:rPr>
        <w:t xml:space="preserve">年 </w:t>
      </w:r>
      <w:r>
        <w:rPr>
          <w:rFonts w:hint="eastAsia" w:hAnsi="宋体" w:cs="宋体"/>
          <w:szCs w:val="24"/>
          <w:highlight w:val="none"/>
          <w:u w:val="single"/>
        </w:rPr>
        <w:t xml:space="preserve">  </w:t>
      </w:r>
      <w:r>
        <w:rPr>
          <w:rFonts w:hint="eastAsia" w:hAnsi="宋体" w:cs="宋体"/>
          <w:szCs w:val="24"/>
          <w:highlight w:val="none"/>
        </w:rPr>
        <w:t>月</w:t>
      </w:r>
      <w:r>
        <w:rPr>
          <w:rFonts w:hint="eastAsia" w:hAnsi="宋体" w:cs="宋体"/>
          <w:szCs w:val="24"/>
          <w:highlight w:val="none"/>
          <w:u w:val="single"/>
        </w:rPr>
        <w:t xml:space="preserve">  </w:t>
      </w:r>
      <w:r>
        <w:rPr>
          <w:rFonts w:hint="eastAsia" w:hAnsi="宋体" w:cs="宋体"/>
          <w:szCs w:val="24"/>
          <w:highlight w:val="none"/>
        </w:rPr>
        <w:t>日</w:t>
      </w:r>
    </w:p>
    <w:p>
      <w:pPr>
        <w:autoSpaceDE w:val="0"/>
        <w:autoSpaceDN w:val="0"/>
        <w:adjustRightInd w:val="0"/>
        <w:snapToGrid w:val="0"/>
        <w:spacing w:before="156" w:beforeLines="50" w:line="360" w:lineRule="auto"/>
        <w:jc w:val="left"/>
        <w:rPr>
          <w:rFonts w:hAnsi="宋体" w:cs="宋体"/>
          <w:szCs w:val="24"/>
          <w:highlight w:val="none"/>
          <w:u w:val="single"/>
        </w:rPr>
      </w:pPr>
      <w:r>
        <w:rPr>
          <w:rFonts w:hint="eastAsia" w:hAnsi="宋体" w:cs="宋体"/>
          <w:szCs w:val="24"/>
          <w:highlight w:val="none"/>
        </w:rPr>
        <w:t>经营期限：</w:t>
      </w:r>
      <w:r>
        <w:rPr>
          <w:rFonts w:hint="eastAsia" w:hAnsi="宋体" w:cs="宋体"/>
          <w:szCs w:val="24"/>
          <w:highlight w:val="none"/>
          <w:u w:val="singl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姓名：</w:t>
      </w:r>
      <w:r>
        <w:rPr>
          <w:rFonts w:hint="eastAsia" w:hAnsi="宋体" w:cs="宋体"/>
          <w:szCs w:val="24"/>
          <w:highlight w:val="none"/>
          <w:u w:val="single"/>
        </w:rPr>
        <w:t xml:space="preserve">      </w:t>
      </w:r>
      <w:r>
        <w:rPr>
          <w:rFonts w:hint="eastAsia" w:hAnsi="宋体" w:cs="宋体"/>
          <w:szCs w:val="24"/>
          <w:highlight w:val="none"/>
        </w:rPr>
        <w:t xml:space="preserve"> 性别：</w:t>
      </w:r>
      <w:r>
        <w:rPr>
          <w:rFonts w:hint="eastAsia" w:hAnsi="宋体" w:cs="宋体"/>
          <w:szCs w:val="24"/>
          <w:highlight w:val="none"/>
          <w:u w:val="single"/>
        </w:rPr>
        <w:t xml:space="preserve">  </w:t>
      </w:r>
      <w:r>
        <w:rPr>
          <w:rFonts w:hint="eastAsia" w:hAnsi="宋体" w:cs="宋体"/>
          <w:szCs w:val="24"/>
          <w:highlight w:val="none"/>
        </w:rPr>
        <w:t xml:space="preserve"> 年龄：</w:t>
      </w:r>
      <w:r>
        <w:rPr>
          <w:rFonts w:hint="eastAsia" w:hAnsi="宋体" w:cs="宋体"/>
          <w:szCs w:val="24"/>
          <w:highlight w:val="none"/>
          <w:u w:val="single"/>
        </w:rPr>
        <w:t xml:space="preserve">  </w:t>
      </w:r>
      <w:r>
        <w:rPr>
          <w:rFonts w:hint="eastAsia" w:hAnsi="宋体" w:cs="宋体"/>
          <w:szCs w:val="24"/>
          <w:highlight w:val="none"/>
        </w:rPr>
        <w:t xml:space="preserve"> 系</w:t>
      </w:r>
      <w:r>
        <w:rPr>
          <w:rFonts w:hint="eastAsia" w:hAnsi="宋体" w:cs="宋体"/>
          <w:szCs w:val="24"/>
          <w:highlight w:val="none"/>
          <w:u w:val="single"/>
        </w:rPr>
        <w:t xml:space="preserve">            </w:t>
      </w:r>
      <w:r>
        <w:rPr>
          <w:rFonts w:hint="eastAsia" w:hAnsi="宋体" w:cs="宋体"/>
          <w:szCs w:val="24"/>
          <w:highlight w:val="none"/>
        </w:rPr>
        <w:t>（供应商名称）的法定代表人。</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特此证明。</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附：法定代表人身份证复印件</w:t>
      </w:r>
    </w:p>
    <w:tbl>
      <w:tblPr>
        <w:tblStyle w:val="27"/>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360" w:lineRule="auto"/>
              <w:jc w:val="center"/>
              <w:rPr>
                <w:rFonts w:hAnsi="宋体" w:cs="宋体"/>
                <w:szCs w:val="24"/>
                <w:highlight w:val="none"/>
              </w:rPr>
            </w:pPr>
          </w:p>
          <w:p>
            <w:pPr>
              <w:snapToGrid w:val="0"/>
              <w:spacing w:line="360" w:lineRule="auto"/>
              <w:jc w:val="center"/>
              <w:rPr>
                <w:rFonts w:hAnsi="宋体" w:cs="宋体"/>
                <w:szCs w:val="24"/>
                <w:highlight w:val="none"/>
              </w:rPr>
            </w:pPr>
          </w:p>
          <w:p>
            <w:pPr>
              <w:autoSpaceDE w:val="0"/>
              <w:autoSpaceDN w:val="0"/>
              <w:adjustRightInd w:val="0"/>
              <w:snapToGrid w:val="0"/>
              <w:spacing w:before="156" w:beforeLines="50" w:line="360" w:lineRule="auto"/>
              <w:jc w:val="center"/>
              <w:rPr>
                <w:rFonts w:hAnsi="宋体" w:cs="宋体"/>
                <w:szCs w:val="24"/>
                <w:highlight w:val="none"/>
              </w:rPr>
            </w:pPr>
            <w:r>
              <w:rPr>
                <w:rFonts w:hint="eastAsia" w:hAnsi="宋体" w:cs="宋体"/>
                <w:szCs w:val="24"/>
                <w:highlight w:val="none"/>
              </w:rPr>
              <w:t>法定代表人身份证复印件粘贴处</w:t>
            </w:r>
          </w:p>
          <w:p>
            <w:pPr>
              <w:pStyle w:val="2"/>
              <w:spacing w:line="360" w:lineRule="auto"/>
              <w:jc w:val="center"/>
              <w:rPr>
                <w:rFonts w:ascii="宋体" w:hAnsi="宋体" w:cs="宋体"/>
                <w:sz w:val="24"/>
                <w:szCs w:val="24"/>
                <w:highlight w:val="none"/>
              </w:rPr>
            </w:pPr>
            <w:r>
              <w:rPr>
                <w:rFonts w:hint="eastAsia" w:ascii="宋体" w:hAnsi="宋体" w:cs="宋体"/>
                <w:sz w:val="24"/>
                <w:szCs w:val="24"/>
                <w:highlight w:val="none"/>
              </w:rPr>
              <w:t>（正反面）</w:t>
            </w:r>
          </w:p>
          <w:p>
            <w:pPr>
              <w:snapToGrid w:val="0"/>
              <w:spacing w:line="360" w:lineRule="auto"/>
              <w:jc w:val="center"/>
              <w:rPr>
                <w:rFonts w:hAnsi="宋体" w:cs="宋体"/>
                <w:szCs w:val="24"/>
                <w:highlight w:val="none"/>
              </w:rPr>
            </w:pPr>
          </w:p>
          <w:p>
            <w:pPr>
              <w:snapToGrid w:val="0"/>
              <w:spacing w:line="360" w:lineRule="auto"/>
              <w:jc w:val="center"/>
              <w:rPr>
                <w:rFonts w:hAnsi="宋体" w:cs="宋体"/>
                <w:szCs w:val="24"/>
                <w:highlight w:val="none"/>
              </w:rPr>
            </w:pPr>
          </w:p>
        </w:tc>
      </w:tr>
    </w:tbl>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adjustRightInd w:val="0"/>
        <w:snapToGrid w:val="0"/>
        <w:spacing w:line="360" w:lineRule="auto"/>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r>
        <w:rPr>
          <w:rFonts w:hint="eastAsia" w:hAnsi="宋体" w:cs="宋体"/>
          <w:szCs w:val="24"/>
          <w:highlight w:val="none"/>
        </w:rPr>
        <w:t>供应商名称（公章）：</w:t>
      </w:r>
    </w:p>
    <w:p>
      <w:pPr>
        <w:adjustRightInd w:val="0"/>
        <w:snapToGrid w:val="0"/>
        <w:spacing w:line="360" w:lineRule="auto"/>
        <w:ind w:right="420"/>
        <w:rPr>
          <w:rFonts w:hAnsi="宋体" w:cs="宋体"/>
          <w:szCs w:val="24"/>
          <w:highlight w:val="none"/>
        </w:rPr>
      </w:pPr>
      <w:r>
        <w:rPr>
          <w:rFonts w:hint="eastAsia" w:hAnsi="宋体" w:cs="宋体"/>
          <w:szCs w:val="24"/>
          <w:highlight w:val="none"/>
        </w:rPr>
        <w:t>日期：    年  月  日</w:t>
      </w:r>
    </w:p>
    <w:p>
      <w:pPr>
        <w:pStyle w:val="2"/>
        <w:spacing w:line="360" w:lineRule="auto"/>
        <w:rPr>
          <w:rFonts w:ascii="宋体" w:hAnsi="宋体" w:cs="宋体"/>
          <w:sz w:val="24"/>
          <w:szCs w:val="24"/>
          <w:highlight w:val="none"/>
        </w:rPr>
      </w:pP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lang w:eastAsia="zh-CN"/>
        </w:rPr>
        <w:t>陕西启航项目管理咨询有限公司</w:t>
      </w:r>
      <w:r>
        <w:rPr>
          <w:rFonts w:hint="eastAsia" w:hAnsi="宋体" w:cs="宋体"/>
          <w:spacing w:val="4"/>
          <w:szCs w:val="24"/>
          <w:highlight w:val="none"/>
          <w:u w:val="single"/>
        </w:rPr>
        <w:t xml:space="preserve">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w:t>
      </w:r>
      <w:r>
        <w:rPr>
          <w:rFonts w:hint="eastAsia" w:hAnsi="宋体" w:cs="宋体"/>
          <w:spacing w:val="4"/>
          <w:szCs w:val="24"/>
          <w:highlight w:val="none"/>
          <w:u w:val="single"/>
          <w:lang w:eastAsia="zh-CN"/>
        </w:rPr>
        <w:t>包号：</w:t>
      </w:r>
      <w:r>
        <w:rPr>
          <w:rFonts w:hint="eastAsia" w:hAnsi="宋体" w:cs="宋体"/>
          <w:spacing w:val="4"/>
          <w:szCs w:val="24"/>
          <w:highlight w:val="none"/>
          <w:u w:val="single"/>
        </w:rPr>
        <w:t xml:space="preserve">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7"/>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7"/>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日期：</w:t>
      </w:r>
    </w:p>
    <w:p>
      <w:pPr>
        <w:spacing w:before="100" w:beforeAutospacing="1" w:after="156" w:afterLines="50" w:line="360" w:lineRule="auto"/>
        <w:jc w:val="left"/>
        <w:outlineLvl w:val="2"/>
        <w:rPr>
          <w:rFonts w:hAnsi="宋体" w:cs="宋体"/>
          <w:b/>
          <w:sz w:val="28"/>
          <w:szCs w:val="28"/>
          <w:highlight w:val="none"/>
        </w:rPr>
      </w:pPr>
      <w:r>
        <w:rPr>
          <w:rFonts w:hint="eastAsia" w:hAnsi="宋体" w:cs="宋体"/>
          <w:b/>
          <w:sz w:val="28"/>
          <w:szCs w:val="28"/>
          <w:highlight w:val="none"/>
        </w:rPr>
        <w:br w:type="page"/>
      </w:r>
      <w:bookmarkStart w:id="196" w:name="_Toc17295"/>
      <w:bookmarkStart w:id="197" w:name="_Toc8962"/>
      <w:bookmarkStart w:id="198" w:name="_Toc11767"/>
      <w:r>
        <w:rPr>
          <w:rFonts w:hint="eastAsia" w:hAnsi="宋体" w:cs="宋体"/>
          <w:b/>
          <w:sz w:val="28"/>
          <w:szCs w:val="28"/>
          <w:highlight w:val="none"/>
        </w:rPr>
        <w:t>附件2：中小企业声明函（如有）</w:t>
      </w:r>
      <w:bookmarkEnd w:id="196"/>
      <w:bookmarkEnd w:id="197"/>
      <w:bookmarkEnd w:id="198"/>
    </w:p>
    <w:p>
      <w:pPr>
        <w:spacing w:line="588" w:lineRule="exact"/>
        <w:jc w:val="center"/>
        <w:rPr>
          <w:rFonts w:hAnsi="宋体" w:cs="宋体"/>
          <w:b/>
          <w:spacing w:val="6"/>
          <w:sz w:val="32"/>
          <w:szCs w:val="32"/>
          <w:highlight w:val="none"/>
        </w:rPr>
      </w:pPr>
      <w:bookmarkStart w:id="199" w:name="_Toc13836"/>
    </w:p>
    <w:p>
      <w:pPr>
        <w:spacing w:line="588" w:lineRule="exact"/>
        <w:jc w:val="center"/>
        <w:rPr>
          <w:rFonts w:hAnsi="宋体" w:cs="宋体"/>
          <w:b/>
          <w:spacing w:val="6"/>
          <w:sz w:val="32"/>
          <w:szCs w:val="32"/>
          <w:highlight w:val="none"/>
        </w:rPr>
      </w:pPr>
      <w:r>
        <w:rPr>
          <w:rFonts w:hAnsi="宋体" w:cs="宋体"/>
          <w:b/>
          <w:spacing w:val="6"/>
          <w:sz w:val="32"/>
          <w:szCs w:val="32"/>
          <w:highlight w:val="none"/>
        </w:rPr>
        <w:t>中小企业声明函</w:t>
      </w:r>
    </w:p>
    <w:p>
      <w:pPr>
        <w:pStyle w:val="2"/>
        <w:spacing w:before="2"/>
        <w:rPr>
          <w:rFonts w:ascii="宋体"/>
          <w:b/>
          <w:sz w:val="24"/>
          <w:highlight w:val="none"/>
        </w:rPr>
      </w:pP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hint="eastAsia" w:ascii="宋体" w:hAnsi="宋体" w:cs="宋体"/>
          <w:spacing w:val="6"/>
          <w:sz w:val="24"/>
          <w:szCs w:val="24"/>
          <w:highlight w:val="none"/>
        </w:rPr>
      </w:pPr>
      <w:r>
        <w:rPr>
          <w:rFonts w:hint="eastAsia" w:ascii="宋体" w:hAnsi="宋体" w:cs="宋体"/>
          <w:spacing w:val="6"/>
          <w:sz w:val="24"/>
          <w:szCs w:val="24"/>
          <w:highlight w:val="none"/>
        </w:rPr>
        <w:t>1. （标的名称） ，属于（采购文件中明确的所属行业）；承建（承接）企业为（企业名称），从业人员 人，营业收入为 万元，资产总额为 万元1，属于（中型企业、</w:t>
      </w:r>
    </w:p>
    <w:p>
      <w:pPr>
        <w:spacing w:line="360" w:lineRule="auto"/>
        <w:rPr>
          <w:rFonts w:hint="eastAsia" w:ascii="宋体" w:hAnsi="宋体" w:cs="宋体"/>
          <w:spacing w:val="6"/>
          <w:sz w:val="24"/>
          <w:szCs w:val="24"/>
          <w:highlight w:val="none"/>
        </w:rPr>
      </w:pPr>
      <w:r>
        <w:rPr>
          <w:rFonts w:hint="eastAsia" w:ascii="宋体" w:hAnsi="宋体" w:cs="宋体"/>
          <w:spacing w:val="6"/>
          <w:sz w:val="24"/>
          <w:szCs w:val="24"/>
          <w:highlight w:val="none"/>
        </w:rPr>
        <w:t>小型企业、微型企业）；</w:t>
      </w:r>
    </w:p>
    <w:p>
      <w:pPr>
        <w:spacing w:line="360" w:lineRule="auto"/>
        <w:rPr>
          <w:rFonts w:hint="eastAsia" w:ascii="宋体" w:hAnsi="宋体" w:cs="宋体"/>
          <w:spacing w:val="6"/>
          <w:sz w:val="24"/>
          <w:szCs w:val="24"/>
          <w:highlight w:val="none"/>
        </w:rPr>
      </w:pPr>
      <w:r>
        <w:rPr>
          <w:rFonts w:hint="eastAsia" w:ascii="宋体" w:hAnsi="宋体" w:cs="宋体"/>
          <w:spacing w:val="6"/>
          <w:sz w:val="24"/>
          <w:szCs w:val="24"/>
          <w:highlight w:val="none"/>
        </w:rPr>
        <w:t>2. （标的名称） ，属于（采购文件中明确的所属行业）；承建（承接）企业为（企业名称），从业人员 人，营业收入为 万元，资产总额为 万元，属于（中型企业、</w:t>
      </w:r>
    </w:p>
    <w:p>
      <w:pPr>
        <w:spacing w:line="360" w:lineRule="auto"/>
        <w:rPr>
          <w:rFonts w:hint="eastAsia" w:ascii="宋体" w:hAnsi="宋体" w:cs="宋体"/>
          <w:spacing w:val="6"/>
          <w:sz w:val="24"/>
          <w:szCs w:val="24"/>
          <w:highlight w:val="none"/>
        </w:rPr>
      </w:pPr>
      <w:r>
        <w:rPr>
          <w:rFonts w:hint="eastAsia" w:ascii="宋体" w:hAnsi="宋体" w:cs="宋体"/>
          <w:spacing w:val="6"/>
          <w:sz w:val="24"/>
          <w:szCs w:val="24"/>
          <w:highlight w:val="none"/>
        </w:rPr>
        <w:t>小型企业、微型企业）；</w:t>
      </w:r>
    </w:p>
    <w:p>
      <w:pPr>
        <w:spacing w:line="360" w:lineRule="auto"/>
        <w:rPr>
          <w:rFonts w:hint="eastAsia" w:ascii="宋体" w:hAnsi="宋体" w:cs="宋体"/>
          <w:spacing w:val="6"/>
          <w:sz w:val="24"/>
          <w:szCs w:val="24"/>
          <w:highlight w:val="none"/>
        </w:rPr>
      </w:pPr>
      <w:r>
        <w:rPr>
          <w:rFonts w:hint="eastAsia" w:ascii="宋体" w:hAnsi="宋体" w:cs="宋体"/>
          <w:spacing w:val="6"/>
          <w:sz w:val="24"/>
          <w:szCs w:val="24"/>
          <w:highlight w:val="none"/>
        </w:rPr>
        <w:t>……</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以上企业，不属于大企业的分支机构，不存在控股股东为大企业的情形，也不存在与大企业的负责人为同一人的情形。</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本企业对上述声明内容的真实性负责。如有虚假，将依法承担相应责任。</w:t>
      </w:r>
    </w:p>
    <w:p>
      <w:pPr>
        <w:spacing w:line="360" w:lineRule="auto"/>
        <w:rPr>
          <w:rFonts w:hint="eastAsia" w:ascii="宋体" w:hAnsi="宋体" w:cs="宋体"/>
          <w:spacing w:val="6"/>
          <w:sz w:val="24"/>
          <w:szCs w:val="24"/>
          <w:highlight w:val="none"/>
        </w:rPr>
      </w:pPr>
    </w:p>
    <w:p>
      <w:pPr>
        <w:spacing w:line="360" w:lineRule="auto"/>
        <w:ind w:firstLine="4536" w:firstLineChars="1800"/>
        <w:rPr>
          <w:rFonts w:hint="eastAsia" w:ascii="宋体" w:hAnsi="宋体" w:cs="宋体"/>
          <w:spacing w:val="6"/>
          <w:sz w:val="24"/>
          <w:szCs w:val="24"/>
          <w:highlight w:val="none"/>
        </w:rPr>
      </w:pPr>
      <w:r>
        <w:rPr>
          <w:rFonts w:hint="eastAsia" w:ascii="宋体" w:hAnsi="宋体" w:cs="宋体"/>
          <w:spacing w:val="6"/>
          <w:sz w:val="24"/>
          <w:szCs w:val="24"/>
          <w:highlight w:val="none"/>
        </w:rPr>
        <w:t>企业名称（盖章）：</w:t>
      </w:r>
    </w:p>
    <w:p>
      <w:pPr>
        <w:spacing w:line="360" w:lineRule="auto"/>
        <w:ind w:firstLine="4788" w:firstLineChars="1900"/>
        <w:rPr>
          <w:rFonts w:hint="eastAsia" w:ascii="宋体" w:hAnsi="宋体" w:cs="宋体"/>
          <w:spacing w:val="6"/>
          <w:sz w:val="24"/>
          <w:szCs w:val="24"/>
          <w:highlight w:val="none"/>
        </w:rPr>
      </w:pPr>
      <w:r>
        <w:rPr>
          <w:rFonts w:hint="eastAsia" w:ascii="宋体" w:hAnsi="宋体" w:cs="宋体"/>
          <w:spacing w:val="6"/>
          <w:sz w:val="24"/>
          <w:szCs w:val="24"/>
          <w:highlight w:val="none"/>
        </w:rPr>
        <w:t>日 期：</w:t>
      </w:r>
    </w:p>
    <w:p>
      <w:pPr>
        <w:spacing w:line="360" w:lineRule="auto"/>
        <w:ind w:firstLine="4788" w:firstLineChars="1900"/>
        <w:rPr>
          <w:rFonts w:hint="eastAsia" w:ascii="宋体" w:hAnsi="宋体" w:cs="宋体"/>
          <w:spacing w:val="6"/>
          <w:sz w:val="24"/>
          <w:szCs w:val="24"/>
          <w:highlight w:val="none"/>
        </w:rPr>
      </w:pPr>
    </w:p>
    <w:p>
      <w:pPr>
        <w:spacing w:line="360" w:lineRule="auto"/>
        <w:ind w:firstLine="4788" w:firstLineChars="1900"/>
        <w:rPr>
          <w:rFonts w:hint="eastAsia" w:ascii="宋体" w:hAnsi="宋体" w:cs="宋体"/>
          <w:spacing w:val="6"/>
          <w:sz w:val="24"/>
          <w:szCs w:val="24"/>
          <w:highlight w:val="none"/>
        </w:rPr>
      </w:pPr>
    </w:p>
    <w:p>
      <w:pPr>
        <w:spacing w:line="360" w:lineRule="auto"/>
        <w:ind w:firstLine="4788" w:firstLineChars="1900"/>
        <w:rPr>
          <w:rFonts w:hint="eastAsia" w:ascii="宋体" w:hAnsi="宋体" w:cs="宋体"/>
          <w:spacing w:val="6"/>
          <w:sz w:val="24"/>
          <w:szCs w:val="24"/>
          <w:highlight w:val="none"/>
        </w:rPr>
      </w:pPr>
    </w:p>
    <w:p>
      <w:pPr>
        <w:bidi w:val="0"/>
        <w:rPr>
          <w:rFonts w:hint="eastAsia"/>
        </w:rPr>
      </w:pPr>
    </w:p>
    <w:p>
      <w:pPr>
        <w:bidi w:val="0"/>
      </w:pPr>
      <w:r>
        <w:rPr>
          <w:rFonts w:hint="eastAsia"/>
          <w:lang w:eastAsia="zh-CN"/>
        </w:rPr>
        <w:t>注：</w:t>
      </w:r>
      <w:r>
        <w:rPr>
          <w:rFonts w:hint="eastAsia"/>
        </w:rPr>
        <w:t>1 从业人员、营业收入、资产总额填报上一年度数据，无上一年度数据的新成立企业可不填报。</w:t>
      </w:r>
      <w:r>
        <w:rPr>
          <w:rFonts w:hint="eastAsia"/>
        </w:rPr>
        <w:br w:type="page"/>
      </w:r>
    </w:p>
    <w:p>
      <w:pPr>
        <w:bidi w:val="0"/>
        <w:rPr>
          <w:rFonts w:ascii="宋体" w:hAnsi="宋体"/>
          <w:b/>
          <w:sz w:val="24"/>
          <w:highlight w:val="none"/>
        </w:rPr>
      </w:pPr>
      <w:bookmarkStart w:id="200" w:name="_Toc13530"/>
      <w:bookmarkStart w:id="201" w:name="_Toc26401"/>
      <w:bookmarkStart w:id="202" w:name="_Toc12704"/>
      <w:r>
        <w:rPr>
          <w:rFonts w:hint="eastAsia" w:ascii="宋体" w:hAnsi="宋体"/>
          <w:b/>
          <w:sz w:val="24"/>
          <w:highlight w:val="none"/>
        </w:rPr>
        <w:t>附：《</w:t>
      </w:r>
      <w:r>
        <w:rPr>
          <w:rFonts w:ascii="宋体" w:hAnsi="宋体"/>
          <w:b/>
          <w:sz w:val="24"/>
          <w:highlight w:val="none"/>
        </w:rPr>
        <w:t>中小企业划型标准规定</w:t>
      </w:r>
      <w:r>
        <w:rPr>
          <w:rFonts w:hint="eastAsia" w:ascii="宋体" w:hAnsi="宋体"/>
          <w:b/>
          <w:sz w:val="24"/>
          <w:highlight w:val="none"/>
        </w:rPr>
        <w:t>》</w:t>
      </w:r>
      <w:r>
        <w:rPr>
          <w:rFonts w:ascii="宋体" w:hAnsi="宋体"/>
          <w:b/>
          <w:sz w:val="24"/>
          <w:highlight w:val="none"/>
        </w:rPr>
        <w:t>各行业划型标准</w:t>
      </w:r>
    </w:p>
    <w:p>
      <w:pPr>
        <w:spacing w:line="360" w:lineRule="auto"/>
        <w:ind w:firstLine="420"/>
        <w:jc w:val="left"/>
        <w:rPr>
          <w:rFonts w:ascii="宋体" w:hAnsi="宋体"/>
          <w:sz w:val="24"/>
          <w:highlight w:val="none"/>
        </w:rPr>
      </w:pPr>
      <w:r>
        <w:rPr>
          <w:rFonts w:ascii="宋体" w:hAnsi="宋体"/>
          <w:sz w:val="24"/>
          <w:highlight w:val="none"/>
        </w:rPr>
        <w:t>（一）农、林、牧、渔业。营业收入20000万元以下的为中小微型企业。其中，营业收入500万元及以上的为中型企业，营业收入50万元及以上的为小型企业，营业收入50万元以下的为微型企业。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420"/>
        <w:jc w:val="left"/>
        <w:rPr>
          <w:rFonts w:ascii="宋体" w:hAnsi="宋体"/>
          <w:sz w:val="24"/>
          <w:highlight w:val="none"/>
        </w:rPr>
      </w:pPr>
      <w:r>
        <w:rPr>
          <w:rFonts w:ascii="宋体" w:hAnsi="宋体"/>
          <w:sz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420"/>
        <w:jc w:val="left"/>
        <w:rPr>
          <w:rFonts w:ascii="宋体" w:hAnsi="宋体"/>
          <w:sz w:val="24"/>
          <w:highlight w:val="none"/>
        </w:rPr>
      </w:pPr>
      <w:r>
        <w:rPr>
          <w:rFonts w:ascii="宋体" w:hAnsi="宋体"/>
          <w:sz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20"/>
        <w:jc w:val="left"/>
        <w:rPr>
          <w:rFonts w:ascii="宋体" w:hAnsi="宋体"/>
          <w:sz w:val="24"/>
          <w:highlight w:val="none"/>
        </w:rPr>
      </w:pPr>
      <w:r>
        <w:rPr>
          <w:rFonts w:ascii="宋体" w:hAnsi="宋体"/>
          <w:sz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420"/>
        <w:jc w:val="left"/>
        <w:rPr>
          <w:rFonts w:ascii="宋体" w:hAnsi="宋体"/>
          <w:sz w:val="24"/>
          <w:highlight w:val="none"/>
        </w:rPr>
      </w:pPr>
      <w:r>
        <w:rPr>
          <w:rFonts w:ascii="宋体" w:hAnsi="宋体"/>
          <w:sz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20"/>
        <w:jc w:val="left"/>
        <w:rPr>
          <w:rFonts w:ascii="宋体" w:hAnsi="宋体"/>
          <w:sz w:val="24"/>
          <w:highlight w:val="none"/>
        </w:rPr>
      </w:pPr>
      <w:r>
        <w:rPr>
          <w:rFonts w:ascii="宋体" w:hAnsi="宋体"/>
          <w:sz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420"/>
        <w:jc w:val="left"/>
        <w:rPr>
          <w:rFonts w:ascii="宋体" w:hAnsi="宋体"/>
          <w:sz w:val="24"/>
          <w:highlight w:val="none"/>
        </w:rPr>
      </w:pPr>
      <w:r>
        <w:rPr>
          <w:rFonts w:ascii="宋体" w:hAnsi="宋体"/>
          <w:sz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420"/>
        <w:jc w:val="left"/>
        <w:rPr>
          <w:rFonts w:ascii="宋体" w:hAnsi="宋体"/>
          <w:sz w:val="24"/>
          <w:highlight w:val="none"/>
        </w:rPr>
      </w:pPr>
      <w:r>
        <w:rPr>
          <w:rFonts w:ascii="宋体" w:hAnsi="宋体"/>
          <w:sz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420"/>
        <w:jc w:val="left"/>
        <w:rPr>
          <w:rFonts w:hint="eastAsia" w:ascii="宋体" w:hAnsi="宋体"/>
          <w:sz w:val="24"/>
          <w:highlight w:val="none"/>
        </w:rPr>
      </w:pPr>
      <w:r>
        <w:rPr>
          <w:rFonts w:ascii="宋体" w:hAnsi="宋体"/>
          <w:sz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jc w:val="left"/>
        <w:rPr>
          <w:rFonts w:ascii="宋体" w:hAnsi="宋体"/>
          <w:sz w:val="24"/>
          <w:highlight w:val="none"/>
        </w:rPr>
      </w:pPr>
      <w:r>
        <w:rPr>
          <w:rFonts w:ascii="宋体" w:hAnsi="宋体"/>
          <w:sz w:val="24"/>
          <w:highlight w:val="none"/>
        </w:rPr>
        <w:t>（十六）其他未列明行业。从业人员300人以下的为中小微型企业。其中，从业人员100人及以上的为中型企业；从业人员10人及以上的为小型企业；从业人员10人以下的为微型企业。</w:t>
      </w:r>
    </w:p>
    <w:p>
      <w:pPr>
        <w:rPr>
          <w:rFonts w:hint="eastAsia" w:hAnsi="宋体" w:cs="宋体"/>
          <w:b/>
          <w:szCs w:val="24"/>
          <w:highlight w:val="none"/>
        </w:rPr>
      </w:pPr>
      <w:r>
        <w:rPr>
          <w:rFonts w:hint="eastAsia" w:hAnsi="宋体" w:cs="宋体"/>
          <w:b/>
          <w:szCs w:val="24"/>
          <w:highlight w:val="none"/>
        </w:rPr>
        <w:br w:type="page"/>
      </w:r>
    </w:p>
    <w:p>
      <w:pPr>
        <w:spacing w:before="312" w:beforeLines="100" w:after="156" w:afterLines="50" w:line="360" w:lineRule="auto"/>
        <w:outlineLvl w:val="2"/>
        <w:rPr>
          <w:rFonts w:hAnsi="宋体" w:cs="宋体"/>
          <w:b/>
          <w:szCs w:val="24"/>
          <w:highlight w:val="none"/>
        </w:rPr>
      </w:pPr>
      <w:r>
        <w:rPr>
          <w:rFonts w:hint="eastAsia" w:hAnsi="宋体" w:cs="宋体"/>
          <w:b/>
          <w:szCs w:val="24"/>
          <w:highlight w:val="none"/>
        </w:rPr>
        <w:t>附件3：磋商产品属节能、环境标志产品列表（如有）</w:t>
      </w:r>
      <w:bookmarkEnd w:id="200"/>
      <w:bookmarkEnd w:id="201"/>
      <w:bookmarkEnd w:id="202"/>
    </w:p>
    <w:p>
      <w:pPr>
        <w:spacing w:before="312" w:beforeLines="100" w:after="156" w:afterLines="50" w:line="360" w:lineRule="auto"/>
        <w:jc w:val="center"/>
        <w:rPr>
          <w:rFonts w:hAnsi="宋体" w:cs="宋体"/>
          <w:b/>
          <w:szCs w:val="24"/>
          <w:highlight w:val="none"/>
        </w:rPr>
      </w:pPr>
      <w:r>
        <w:rPr>
          <w:rFonts w:hint="eastAsia" w:hAnsi="宋体" w:cs="宋体"/>
          <w:b/>
          <w:szCs w:val="24"/>
          <w:highlight w:val="none"/>
        </w:rPr>
        <w:t>磋商产品属节能、环境标志产品列表</w:t>
      </w:r>
      <w:bookmarkEnd w:id="199"/>
    </w:p>
    <w:p>
      <w:pPr>
        <w:spacing w:line="360" w:lineRule="auto"/>
        <w:rPr>
          <w:rFonts w:hAnsi="宋体" w:cs="宋体"/>
          <w:bCs/>
          <w:szCs w:val="24"/>
          <w:highlight w:val="none"/>
        </w:rPr>
      </w:pPr>
      <w:r>
        <w:rPr>
          <w:rFonts w:hint="eastAsia" w:hAnsi="宋体" w:cs="宋体"/>
          <w:bCs/>
          <w:szCs w:val="24"/>
          <w:highlight w:val="none"/>
        </w:rPr>
        <w:t>项目名称：</w:t>
      </w:r>
    </w:p>
    <w:p>
      <w:pPr>
        <w:spacing w:line="360" w:lineRule="auto"/>
        <w:rPr>
          <w:rFonts w:hAnsi="宋体" w:cs="宋体"/>
          <w:bCs/>
          <w:szCs w:val="24"/>
          <w:highlight w:val="none"/>
        </w:rPr>
      </w:pPr>
      <w:r>
        <w:rPr>
          <w:rFonts w:hint="eastAsia" w:hAnsi="宋体" w:cs="宋体"/>
          <w:bCs/>
          <w:szCs w:val="24"/>
          <w:highlight w:val="none"/>
        </w:rPr>
        <w:t>项目编号</w:t>
      </w:r>
      <w:r>
        <w:rPr>
          <w:rFonts w:hint="eastAsia" w:hAnsi="宋体" w:cs="宋体"/>
          <w:bCs/>
          <w:szCs w:val="24"/>
          <w:highlight w:val="none"/>
          <w:lang w:eastAsia="zh-CN"/>
        </w:rPr>
        <w:t>、包号</w:t>
      </w:r>
      <w:r>
        <w:rPr>
          <w:rFonts w:hint="eastAsia" w:hAnsi="宋体" w:cs="宋体"/>
          <w:bCs/>
          <w:szCs w:val="24"/>
          <w:highlight w:val="none"/>
        </w:rPr>
        <w:t>：</w:t>
      </w:r>
    </w:p>
    <w:tbl>
      <w:tblPr>
        <w:tblStyle w:val="27"/>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line="360" w:lineRule="auto"/>
              <w:jc w:val="center"/>
              <w:rPr>
                <w:rFonts w:hAnsi="宋体" w:cs="宋体"/>
                <w:szCs w:val="24"/>
                <w:highlight w:val="none"/>
              </w:rPr>
            </w:pPr>
            <w:r>
              <w:rPr>
                <w:rFonts w:hint="eastAsia" w:hAnsi="宋体" w:cs="宋体"/>
                <w:szCs w:val="24"/>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单价</w:t>
            </w:r>
          </w:p>
          <w:p>
            <w:pPr>
              <w:spacing w:after="120" w:line="360" w:lineRule="auto"/>
              <w:jc w:val="center"/>
              <w:rPr>
                <w:rFonts w:hAnsi="宋体" w:cs="宋体"/>
                <w:bCs/>
                <w:szCs w:val="24"/>
                <w:highlight w:val="none"/>
              </w:rPr>
            </w:pPr>
            <w:r>
              <w:rPr>
                <w:rFonts w:hint="eastAsia" w:hAnsi="宋体" w:cs="宋体"/>
                <w:szCs w:val="24"/>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bCs/>
                <w:szCs w:val="24"/>
                <w:highlight w:val="none"/>
              </w:rPr>
            </w:pPr>
            <w:r>
              <w:rPr>
                <w:rFonts w:hint="eastAsia" w:hAnsi="宋体" w:cs="宋体"/>
                <w:bCs/>
                <w:szCs w:val="24"/>
                <w:highlight w:val="none"/>
              </w:rPr>
              <w:t>总价</w:t>
            </w:r>
          </w:p>
          <w:p>
            <w:pPr>
              <w:spacing w:after="120" w:line="360" w:lineRule="auto"/>
              <w:jc w:val="center"/>
              <w:rPr>
                <w:rFonts w:hAnsi="宋体" w:cs="宋体"/>
                <w:bCs/>
                <w:szCs w:val="24"/>
                <w:highlight w:val="none"/>
              </w:rPr>
            </w:pPr>
            <w:r>
              <w:rPr>
                <w:rFonts w:hint="eastAsia" w:hAnsi="宋体" w:cs="宋体"/>
                <w:bCs/>
                <w:szCs w:val="24"/>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b/>
                <w:szCs w:val="24"/>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spacing w:line="360" w:lineRule="auto"/>
              <w:jc w:val="center"/>
              <w:rPr>
                <w:rFonts w:hAnsi="宋体" w:cs="宋体"/>
                <w:szCs w:val="24"/>
                <w:highlight w:val="none"/>
              </w:rPr>
            </w:pPr>
            <w:r>
              <w:rPr>
                <w:rFonts w:hint="eastAsia" w:hAnsi="宋体" w:cs="宋体"/>
                <w:szCs w:val="24"/>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left"/>
              <w:rPr>
                <w:rFonts w:hAnsi="宋体" w:cs="宋体"/>
                <w:szCs w:val="24"/>
                <w:highlight w:val="none"/>
              </w:rPr>
            </w:pPr>
            <w:r>
              <w:rPr>
                <w:rFonts w:hint="eastAsia" w:hAnsi="宋体" w:cs="宋体"/>
                <w:szCs w:val="24"/>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spacing w:line="360" w:lineRule="auto"/>
              <w:jc w:val="center"/>
              <w:rPr>
                <w:rFonts w:hAnsi="宋体" w:cs="宋体"/>
                <w:szCs w:val="24"/>
                <w:highlight w:val="none"/>
              </w:rPr>
            </w:pPr>
            <w:r>
              <w:rPr>
                <w:rFonts w:hint="eastAsia" w:hAnsi="宋体" w:cs="宋体"/>
                <w:szCs w:val="24"/>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r>
              <w:rPr>
                <w:rFonts w:hint="eastAsia" w:hAnsi="宋体" w:cs="宋体"/>
                <w:spacing w:val="-6"/>
                <w:szCs w:val="24"/>
                <w:highlight w:val="none"/>
              </w:rPr>
              <w:t>保留小数点后两位。</w:t>
            </w:r>
          </w:p>
        </w:tc>
      </w:tr>
    </w:tbl>
    <w:p>
      <w:pPr>
        <w:adjustRightInd w:val="0"/>
        <w:snapToGrid w:val="0"/>
        <w:spacing w:line="360" w:lineRule="auto"/>
        <w:rPr>
          <w:rFonts w:hAnsi="宋体" w:cs="宋体"/>
          <w:szCs w:val="24"/>
          <w:highlight w:val="none"/>
        </w:rPr>
      </w:pPr>
    </w:p>
    <w:p>
      <w:pPr>
        <w:adjustRightInd w:val="0"/>
        <w:snapToGrid w:val="0"/>
        <w:spacing w:line="360" w:lineRule="auto"/>
        <w:rPr>
          <w:rFonts w:hAnsi="宋体" w:cs="宋体"/>
          <w:bCs/>
          <w:szCs w:val="24"/>
          <w:highlight w:val="none"/>
        </w:rPr>
      </w:pPr>
      <w:r>
        <w:rPr>
          <w:rFonts w:hint="eastAsia" w:hAnsi="宋体" w:cs="宋体"/>
          <w:szCs w:val="24"/>
          <w:highlight w:val="none"/>
        </w:rPr>
        <w:t>说明：</w:t>
      </w:r>
      <w:r>
        <w:rPr>
          <w:rFonts w:hint="eastAsia" w:hAnsi="宋体" w:cs="宋体"/>
          <w:bCs/>
          <w:szCs w:val="24"/>
          <w:highlight w:val="none"/>
        </w:rPr>
        <w:t>1、</w:t>
      </w:r>
      <w:r>
        <w:rPr>
          <w:rFonts w:hint="eastAsia" w:hAnsi="宋体" w:cs="宋体"/>
          <w:szCs w:val="24"/>
          <w:highlight w:val="none"/>
        </w:rPr>
        <w:t>供应商提供的属于节能、环境标志产品品目清单中优先采购的产品，须按磋商文件要求提供相关证明材料。</w:t>
      </w:r>
    </w:p>
    <w:p>
      <w:pPr>
        <w:pStyle w:val="38"/>
        <w:spacing w:line="360" w:lineRule="auto"/>
        <w:ind w:left="480" w:leftChars="200" w:firstLine="240" w:firstLineChars="100"/>
        <w:rPr>
          <w:rFonts w:hAnsi="宋体" w:cs="宋体"/>
          <w:highlight w:val="none"/>
        </w:rPr>
      </w:pPr>
      <w:r>
        <w:rPr>
          <w:rFonts w:hint="eastAsia" w:hAnsi="宋体" w:cs="宋体"/>
          <w:bCs/>
          <w:highlight w:val="none"/>
        </w:rPr>
        <w:t>2、未按上述要求提供、</w:t>
      </w:r>
      <w:r>
        <w:rPr>
          <w:rFonts w:hint="eastAsia" w:hAnsi="宋体" w:cs="宋体"/>
          <w:highlight w:val="none"/>
        </w:rPr>
        <w:t>填写</w:t>
      </w:r>
      <w:r>
        <w:rPr>
          <w:rFonts w:hint="eastAsia" w:hAnsi="宋体" w:cs="宋体"/>
          <w:bCs/>
          <w:highlight w:val="none"/>
        </w:rPr>
        <w:t>的，评审时不予以考虑。</w:t>
      </w:r>
    </w:p>
    <w:p>
      <w:pPr>
        <w:spacing w:before="100" w:beforeAutospacing="1" w:after="156" w:afterLines="50" w:line="360" w:lineRule="auto"/>
        <w:outlineLvl w:val="2"/>
        <w:rPr>
          <w:rFonts w:hAnsi="宋体" w:cs="宋体"/>
          <w:b/>
          <w:bCs/>
          <w:spacing w:val="6"/>
          <w:szCs w:val="24"/>
          <w:highlight w:val="none"/>
        </w:rPr>
      </w:pPr>
      <w:r>
        <w:rPr>
          <w:rFonts w:hint="eastAsia" w:hAnsi="宋体" w:cs="宋体"/>
          <w:szCs w:val="24"/>
          <w:highlight w:val="none"/>
        </w:rPr>
        <w:br w:type="page"/>
      </w:r>
      <w:bookmarkStart w:id="203" w:name="_Toc17038"/>
      <w:bookmarkStart w:id="204" w:name="_Toc22425"/>
      <w:bookmarkStart w:id="205" w:name="_Toc11235"/>
      <w:r>
        <w:rPr>
          <w:rFonts w:hint="eastAsia" w:hAnsi="宋体" w:cs="宋体"/>
          <w:b/>
          <w:bCs/>
          <w:spacing w:val="6"/>
          <w:szCs w:val="24"/>
          <w:highlight w:val="none"/>
        </w:rPr>
        <w:t>附件4：残疾人福利性单位声明函（如有）</w:t>
      </w:r>
      <w:bookmarkEnd w:id="203"/>
      <w:bookmarkEnd w:id="204"/>
      <w:bookmarkEnd w:id="205"/>
    </w:p>
    <w:p>
      <w:pPr>
        <w:spacing w:line="360" w:lineRule="auto"/>
        <w:jc w:val="center"/>
        <w:rPr>
          <w:rFonts w:hAnsi="宋体" w:cs="宋体"/>
          <w:b/>
          <w:spacing w:val="6"/>
          <w:szCs w:val="24"/>
          <w:highlight w:val="none"/>
        </w:rPr>
      </w:pPr>
      <w:bookmarkStart w:id="206" w:name="OLE_LINK14"/>
      <w:bookmarkStart w:id="207" w:name="OLE_LINK13"/>
      <w:r>
        <w:rPr>
          <w:rFonts w:hint="eastAsia" w:hAnsi="宋体" w:cs="宋体"/>
          <w:b/>
          <w:spacing w:val="6"/>
          <w:szCs w:val="24"/>
          <w:highlight w:val="none"/>
        </w:rPr>
        <w:t>残疾人福利性单位声明函</w:t>
      </w:r>
    </w:p>
    <w:bookmarkEnd w:id="206"/>
    <w:bookmarkEnd w:id="207"/>
    <w:p>
      <w:pPr>
        <w:spacing w:line="360" w:lineRule="auto"/>
        <w:rPr>
          <w:rFonts w:hAnsi="宋体" w:cs="宋体"/>
          <w:b/>
          <w:spacing w:val="6"/>
          <w:szCs w:val="24"/>
          <w:highlight w:val="none"/>
        </w:rPr>
      </w:pPr>
    </w:p>
    <w:p>
      <w:pPr>
        <w:spacing w:line="360" w:lineRule="auto"/>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360" w:lineRule="auto"/>
        <w:ind w:firstLine="504" w:firstLineChars="200"/>
        <w:rPr>
          <w:rFonts w:hAnsi="宋体" w:cs="宋体"/>
          <w:spacing w:val="6"/>
          <w:szCs w:val="24"/>
          <w:highlight w:val="none"/>
        </w:rPr>
      </w:pPr>
    </w:p>
    <w:p>
      <w:pPr>
        <w:spacing w:line="360" w:lineRule="auto"/>
        <w:ind w:firstLine="504" w:firstLineChars="200"/>
        <w:rPr>
          <w:rFonts w:hAnsi="宋体" w:cs="宋体"/>
          <w:spacing w:val="6"/>
          <w:szCs w:val="24"/>
          <w:highlight w:val="none"/>
        </w:rPr>
      </w:pPr>
    </w:p>
    <w:p>
      <w:pPr>
        <w:spacing w:line="360" w:lineRule="auto"/>
        <w:ind w:firstLine="504" w:firstLineChars="200"/>
        <w:rPr>
          <w:rFonts w:hAnsi="宋体" w:cs="宋体"/>
          <w:spacing w:val="6"/>
          <w:szCs w:val="24"/>
          <w:highlight w:val="none"/>
        </w:rPr>
      </w:pPr>
    </w:p>
    <w:p>
      <w:pPr>
        <w:spacing w:line="360" w:lineRule="auto"/>
        <w:ind w:firstLine="504" w:firstLineChars="200"/>
        <w:rPr>
          <w:rFonts w:hAnsi="宋体" w:cs="宋体"/>
          <w:spacing w:val="6"/>
          <w:szCs w:val="24"/>
          <w:highlight w:val="none"/>
        </w:rPr>
      </w:pPr>
    </w:p>
    <w:p>
      <w:pPr>
        <w:tabs>
          <w:tab w:val="left" w:pos="4860"/>
        </w:tabs>
        <w:spacing w:line="360" w:lineRule="auto"/>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360" w:lineRule="auto"/>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tabs>
          <w:tab w:val="left" w:pos="2488"/>
        </w:tabs>
        <w:spacing w:line="360" w:lineRule="auto"/>
        <w:jc w:val="left"/>
        <w:outlineLvl w:val="2"/>
        <w:rPr>
          <w:rFonts w:hAnsi="宋体" w:cs="宋体"/>
          <w:b/>
          <w:szCs w:val="24"/>
          <w:highlight w:val="none"/>
        </w:rPr>
      </w:pPr>
      <w:r>
        <w:rPr>
          <w:rFonts w:hint="eastAsia" w:hAnsi="宋体" w:cs="宋体"/>
          <w:szCs w:val="24"/>
          <w:highlight w:val="none"/>
        </w:rPr>
        <w:br w:type="page"/>
      </w:r>
      <w:bookmarkStart w:id="208" w:name="_Toc10296"/>
      <w:bookmarkStart w:id="209" w:name="_Toc15616"/>
      <w:bookmarkStart w:id="210" w:name="_Toc32154"/>
      <w:r>
        <w:rPr>
          <w:rFonts w:hint="eastAsia" w:hAnsi="宋体" w:cs="宋体"/>
          <w:b/>
          <w:szCs w:val="24"/>
          <w:highlight w:val="none"/>
        </w:rPr>
        <w:t>附件5：磋商担保函（参考格式）</w:t>
      </w:r>
      <w:bookmarkEnd w:id="208"/>
      <w:bookmarkEnd w:id="209"/>
      <w:bookmarkEnd w:id="210"/>
    </w:p>
    <w:p>
      <w:pPr>
        <w:spacing w:line="360" w:lineRule="auto"/>
        <w:jc w:val="center"/>
        <w:rPr>
          <w:rFonts w:hAnsi="宋体" w:cs="宋体"/>
          <w:b/>
          <w:bCs/>
          <w:szCs w:val="24"/>
          <w:highlight w:val="none"/>
        </w:rPr>
      </w:pPr>
      <w:r>
        <w:rPr>
          <w:rFonts w:hint="eastAsia" w:hAnsi="宋体" w:cs="宋体"/>
          <w:b/>
          <w:bCs/>
          <w:szCs w:val="24"/>
          <w:highlight w:val="none"/>
        </w:rPr>
        <w:t>磋商担保函</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jc w:val="center"/>
        <w:rPr>
          <w:rFonts w:hAnsi="宋体" w:cs="宋体"/>
          <w:szCs w:val="24"/>
          <w:highlight w:val="none"/>
        </w:rPr>
      </w:pPr>
      <w:r>
        <w:rPr>
          <w:rFonts w:hint="eastAsia" w:hAnsi="宋体" w:cs="宋体"/>
          <w:szCs w:val="24"/>
          <w:highlight w:val="none"/>
        </w:rPr>
        <w:t xml:space="preserve">                              编号： </w:t>
      </w:r>
    </w:p>
    <w:p>
      <w:pPr>
        <w:spacing w:line="360" w:lineRule="auto"/>
        <w:rPr>
          <w:rFonts w:hAnsi="宋体" w:cs="宋体"/>
          <w:szCs w:val="24"/>
          <w:highlight w:val="none"/>
          <w:u w:val="single"/>
        </w:rPr>
      </w:pPr>
    </w:p>
    <w:p>
      <w:pPr>
        <w:spacing w:line="360" w:lineRule="auto"/>
        <w:rPr>
          <w:rFonts w:hAnsi="宋体" w:cs="宋体"/>
          <w:szCs w:val="24"/>
          <w:highlight w:val="none"/>
        </w:rPr>
      </w:pPr>
      <w:r>
        <w:rPr>
          <w:rFonts w:hint="eastAsia" w:hAnsi="宋体" w:cs="宋体"/>
          <w:szCs w:val="24"/>
          <w:highlight w:val="none"/>
        </w:rPr>
        <w:t xml:space="preserve">___________________（采购人或采购代理机构）： </w:t>
      </w:r>
    </w:p>
    <w:p>
      <w:pPr>
        <w:spacing w:line="360" w:lineRule="auto"/>
        <w:ind w:firstLine="480" w:firstLineChars="200"/>
        <w:rPr>
          <w:rFonts w:hAnsi="宋体" w:cs="宋体"/>
          <w:szCs w:val="24"/>
          <w:highlight w:val="none"/>
        </w:rPr>
      </w:pPr>
      <w:r>
        <w:rPr>
          <w:rFonts w:hint="eastAsia" w:hAnsi="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一、保证责任的情形及保证金额 </w:t>
      </w:r>
    </w:p>
    <w:p>
      <w:pPr>
        <w:spacing w:line="360" w:lineRule="auto"/>
        <w:rPr>
          <w:rFonts w:hAnsi="宋体" w:cs="宋体"/>
          <w:szCs w:val="24"/>
          <w:highlight w:val="none"/>
        </w:rPr>
      </w:pPr>
      <w:r>
        <w:rPr>
          <w:rFonts w:hint="eastAsia" w:hAnsi="宋体" w:cs="宋体"/>
          <w:szCs w:val="24"/>
          <w:highlight w:val="none"/>
        </w:rPr>
        <w:t xml:space="preserve">    （一）在供应商出现下列情形之一时，我方承担保证责任： </w:t>
      </w:r>
    </w:p>
    <w:p>
      <w:pPr>
        <w:spacing w:line="360" w:lineRule="auto"/>
        <w:rPr>
          <w:rFonts w:hAnsi="宋体" w:cs="宋体"/>
          <w:szCs w:val="24"/>
          <w:highlight w:val="none"/>
        </w:rPr>
      </w:pPr>
      <w:r>
        <w:rPr>
          <w:rFonts w:hint="eastAsia" w:hAnsi="宋体" w:cs="宋体"/>
          <w:szCs w:val="24"/>
          <w:highlight w:val="none"/>
        </w:rPr>
        <w:t xml:space="preserve">    1．成交后供应商无正当理由不与采购人或者采购代理机构签订《政府采购合同》； </w:t>
      </w:r>
    </w:p>
    <w:p>
      <w:pPr>
        <w:spacing w:line="360" w:lineRule="auto"/>
        <w:rPr>
          <w:rFonts w:hAnsi="宋体" w:cs="宋体"/>
          <w:szCs w:val="24"/>
          <w:highlight w:val="none"/>
        </w:rPr>
      </w:pPr>
      <w:r>
        <w:rPr>
          <w:rFonts w:hint="eastAsia" w:hAnsi="宋体" w:cs="宋体"/>
          <w:szCs w:val="24"/>
          <w:highlight w:val="none"/>
        </w:rPr>
        <w:t xml:space="preserve">    2．竞争性磋商文件规定的供应商应当缴纳保证金的其他情形。 </w:t>
      </w:r>
    </w:p>
    <w:p>
      <w:pPr>
        <w:spacing w:line="360" w:lineRule="auto"/>
        <w:ind w:firstLine="480" w:firstLineChars="200"/>
        <w:jc w:val="left"/>
        <w:rPr>
          <w:rFonts w:hAnsi="宋体" w:cs="宋体"/>
          <w:szCs w:val="24"/>
          <w:highlight w:val="none"/>
        </w:rPr>
      </w:pPr>
      <w:r>
        <w:rPr>
          <w:rFonts w:hint="eastAsia" w:hAnsi="宋体" w:cs="宋体"/>
          <w:szCs w:val="24"/>
          <w:highlight w:val="none"/>
        </w:rPr>
        <w:t xml:space="preserve">（二）我方承担保证责任的最高金额为人民币______元（大写_____________），即本项目的磋商保证金金额。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二、保证的方式及保证期间 </w:t>
      </w:r>
    </w:p>
    <w:p>
      <w:pPr>
        <w:spacing w:line="360" w:lineRule="auto"/>
        <w:rPr>
          <w:rFonts w:hAnsi="宋体" w:cs="宋体"/>
          <w:szCs w:val="24"/>
          <w:highlight w:val="none"/>
        </w:rPr>
      </w:pPr>
      <w:r>
        <w:rPr>
          <w:rFonts w:hint="eastAsia" w:hAnsi="宋体" w:cs="宋体"/>
          <w:szCs w:val="24"/>
          <w:highlight w:val="none"/>
        </w:rPr>
        <w:t xml:space="preserve">    我方保证的方式为：连带责任保证。 </w:t>
      </w:r>
    </w:p>
    <w:p>
      <w:pPr>
        <w:spacing w:line="360" w:lineRule="auto"/>
        <w:rPr>
          <w:rFonts w:hAnsi="宋体" w:cs="宋体"/>
          <w:szCs w:val="24"/>
          <w:highlight w:val="none"/>
        </w:rPr>
      </w:pPr>
      <w:r>
        <w:rPr>
          <w:rFonts w:hint="eastAsia" w:hAnsi="宋体" w:cs="宋体"/>
          <w:szCs w:val="24"/>
          <w:highlight w:val="none"/>
        </w:rPr>
        <w:t xml:space="preserve">    我方的保证期间为：自本保函生效之日起______个月止。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三、承担保证责任的程序 </w:t>
      </w:r>
    </w:p>
    <w:p>
      <w:pPr>
        <w:spacing w:line="360" w:lineRule="auto"/>
        <w:rPr>
          <w:rFonts w:hAnsi="宋体" w:cs="宋体"/>
          <w:szCs w:val="24"/>
          <w:highlight w:val="none"/>
        </w:rPr>
      </w:pPr>
      <w:r>
        <w:rPr>
          <w:rFonts w:hint="eastAsia" w:hAnsi="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highlight w:val="none"/>
        </w:rPr>
      </w:pPr>
      <w:r>
        <w:rPr>
          <w:rFonts w:hint="eastAsia" w:hAnsi="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szCs w:val="24"/>
          <w:highlight w:val="none"/>
        </w:rPr>
      </w:pPr>
      <w:r>
        <w:rPr>
          <w:rFonts w:hint="eastAsia" w:hAnsi="宋体" w:cs="宋体"/>
          <w:b/>
          <w:szCs w:val="24"/>
          <w:highlight w:val="none"/>
        </w:rPr>
        <w:t xml:space="preserve">    四、保证责任的终止 </w:t>
      </w:r>
    </w:p>
    <w:p>
      <w:pPr>
        <w:spacing w:line="360" w:lineRule="auto"/>
        <w:rPr>
          <w:rFonts w:hAnsi="宋体" w:cs="宋体"/>
          <w:szCs w:val="24"/>
          <w:highlight w:val="none"/>
        </w:rPr>
      </w:pPr>
      <w:r>
        <w:rPr>
          <w:rFonts w:hint="eastAsia" w:hAnsi="宋体" w:cs="宋体"/>
          <w:szCs w:val="24"/>
          <w:highlight w:val="none"/>
        </w:rPr>
        <w:t xml:space="preserve">    1．保证期间届满你方未向我方书面主张保证责任的，自保证期间届满次日起，我方保证责任自动终止。 </w:t>
      </w:r>
    </w:p>
    <w:p>
      <w:pPr>
        <w:spacing w:line="360" w:lineRule="auto"/>
        <w:rPr>
          <w:rFonts w:hAnsi="宋体" w:cs="宋体"/>
          <w:szCs w:val="24"/>
          <w:highlight w:val="none"/>
        </w:rPr>
      </w:pPr>
      <w:r>
        <w:rPr>
          <w:rFonts w:hint="eastAsia" w:hAnsi="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szCs w:val="24"/>
          <w:highlight w:val="none"/>
        </w:rPr>
      </w:pPr>
      <w:r>
        <w:rPr>
          <w:rFonts w:hint="eastAsia" w:hAnsi="宋体" w:cs="宋体"/>
          <w:szCs w:val="24"/>
          <w:highlight w:val="none"/>
        </w:rPr>
        <w:t xml:space="preserve">    3．按照法律法规的规定或出现我方保证责任终止的其它情形的，我方在本保函项下的保证责任亦终止。 </w:t>
      </w:r>
    </w:p>
    <w:p>
      <w:pPr>
        <w:spacing w:line="360" w:lineRule="auto"/>
        <w:rPr>
          <w:rFonts w:hAnsi="宋体" w:cs="宋体"/>
          <w:b/>
          <w:szCs w:val="24"/>
          <w:highlight w:val="none"/>
        </w:rPr>
      </w:pPr>
      <w:r>
        <w:rPr>
          <w:rFonts w:hint="eastAsia" w:hAnsi="宋体" w:cs="宋体"/>
          <w:b/>
          <w:szCs w:val="24"/>
          <w:highlight w:val="none"/>
        </w:rPr>
        <w:t xml:space="preserve">    五、免责条款 </w:t>
      </w:r>
    </w:p>
    <w:p>
      <w:pPr>
        <w:spacing w:line="360" w:lineRule="auto"/>
        <w:rPr>
          <w:rFonts w:hAnsi="宋体" w:cs="宋体"/>
          <w:szCs w:val="24"/>
          <w:highlight w:val="none"/>
        </w:rPr>
      </w:pPr>
      <w:r>
        <w:rPr>
          <w:rFonts w:hint="eastAsia" w:hAnsi="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szCs w:val="24"/>
          <w:highlight w:val="none"/>
        </w:rPr>
      </w:pPr>
      <w:r>
        <w:rPr>
          <w:rFonts w:hint="eastAsia" w:hAnsi="宋体" w:cs="宋体"/>
          <w:szCs w:val="24"/>
          <w:highlight w:val="none"/>
        </w:rPr>
        <w:t xml:space="preserve">    2．因你方原因致使供应商发生本保函第一条第（一）款约定情形的，我方不承担保证责任。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3．因不可抗力造成供应商发生本保函第一条约定情形的，我方不承担保证责任。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六、争议的解决 </w:t>
      </w:r>
    </w:p>
    <w:p>
      <w:pPr>
        <w:spacing w:line="360" w:lineRule="auto"/>
        <w:rPr>
          <w:rFonts w:hAnsi="宋体" w:cs="宋体"/>
          <w:szCs w:val="24"/>
          <w:highlight w:val="none"/>
        </w:rPr>
      </w:pPr>
      <w:r>
        <w:rPr>
          <w:rFonts w:hint="eastAsia" w:hAnsi="宋体" w:cs="宋体"/>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szCs w:val="24"/>
          <w:highlight w:val="none"/>
        </w:rPr>
      </w:pPr>
      <w:r>
        <w:rPr>
          <w:rFonts w:hint="eastAsia" w:hAnsi="宋体" w:cs="宋体"/>
          <w:b/>
          <w:szCs w:val="24"/>
          <w:highlight w:val="none"/>
        </w:rPr>
        <w:t xml:space="preserve">    七、保函的生效 </w:t>
      </w:r>
    </w:p>
    <w:p>
      <w:pPr>
        <w:spacing w:line="360" w:lineRule="auto"/>
        <w:rPr>
          <w:rFonts w:hAnsi="宋体" w:cs="宋体"/>
          <w:szCs w:val="24"/>
          <w:highlight w:val="none"/>
        </w:rPr>
      </w:pPr>
      <w:r>
        <w:rPr>
          <w:rFonts w:hint="eastAsia" w:hAnsi="宋体" w:cs="宋体"/>
          <w:szCs w:val="24"/>
          <w:highlight w:val="none"/>
        </w:rPr>
        <w:t xml:space="preserve">    本保函自我方加盖公章之日起生效。 </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rPr>
          <w:rFonts w:hAnsi="宋体" w:cs="宋体"/>
          <w:szCs w:val="24"/>
          <w:highlight w:val="none"/>
        </w:rPr>
      </w:pPr>
    </w:p>
    <w:p>
      <w:pPr>
        <w:spacing w:line="360" w:lineRule="auto"/>
        <w:ind w:right="640" w:firstLine="3840" w:firstLineChars="1600"/>
        <w:rPr>
          <w:rFonts w:hAnsi="宋体" w:cs="宋体"/>
          <w:szCs w:val="24"/>
          <w:highlight w:val="none"/>
        </w:rPr>
      </w:pPr>
      <w:r>
        <w:rPr>
          <w:rFonts w:hint="eastAsia" w:hAnsi="宋体" w:cs="宋体"/>
          <w:szCs w:val="24"/>
          <w:highlight w:val="none"/>
        </w:rPr>
        <w:t>保证人：（公章）</w:t>
      </w:r>
    </w:p>
    <w:p>
      <w:pPr>
        <w:spacing w:line="360" w:lineRule="auto"/>
        <w:ind w:right="640"/>
        <w:rPr>
          <w:rFonts w:hAnsi="宋体" w:cs="宋体"/>
          <w:szCs w:val="24"/>
          <w:highlight w:val="none"/>
        </w:rPr>
      </w:pPr>
      <w:r>
        <w:rPr>
          <w:rFonts w:hint="eastAsia" w:hAnsi="宋体" w:cs="宋体"/>
          <w:szCs w:val="24"/>
          <w:highlight w:val="none"/>
        </w:rPr>
        <w:t xml:space="preserve">                              年     月      日</w:t>
      </w: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outlineLvl w:val="2"/>
        <w:rPr>
          <w:rFonts w:hAnsi="宋体" w:cs="宋体"/>
          <w:b/>
          <w:szCs w:val="24"/>
          <w:highlight w:val="none"/>
        </w:rPr>
      </w:pPr>
      <w:bookmarkStart w:id="211" w:name="_Toc2119"/>
      <w:bookmarkStart w:id="212" w:name="_Toc22124"/>
      <w:bookmarkStart w:id="213" w:name="_Toc2139"/>
      <w:r>
        <w:rPr>
          <w:rFonts w:hint="eastAsia" w:hAnsi="宋体" w:cs="宋体"/>
          <w:b/>
          <w:szCs w:val="24"/>
          <w:highlight w:val="none"/>
        </w:rPr>
        <w:t>附件6：质疑函范本</w:t>
      </w:r>
      <w:bookmarkEnd w:id="211"/>
      <w:bookmarkEnd w:id="212"/>
      <w:bookmarkEnd w:id="213"/>
    </w:p>
    <w:p>
      <w:pPr>
        <w:spacing w:line="360" w:lineRule="auto"/>
        <w:jc w:val="center"/>
        <w:rPr>
          <w:rFonts w:hAnsi="宋体" w:cs="宋体"/>
          <w:b/>
          <w:bCs/>
          <w:szCs w:val="24"/>
          <w:highlight w:val="none"/>
        </w:rPr>
      </w:pPr>
      <w:r>
        <w:rPr>
          <w:rFonts w:hint="eastAsia" w:hAnsi="宋体" w:cs="宋体"/>
          <w:b/>
          <w:bCs/>
          <w:szCs w:val="2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 xml:space="preserve">签字(签章)：                   公章：                      </w:t>
      </w:r>
    </w:p>
    <w:p>
      <w:pPr>
        <w:spacing w:line="360" w:lineRule="auto"/>
        <w:rPr>
          <w:rFonts w:hAnsi="宋体" w:cs="宋体"/>
          <w:szCs w:val="24"/>
          <w:highlight w:val="none"/>
        </w:rPr>
      </w:pPr>
      <w:r>
        <w:rPr>
          <w:rFonts w:hint="eastAsia" w:hAnsi="宋体" w:cs="宋体"/>
          <w:szCs w:val="24"/>
          <w:highlight w:val="none"/>
        </w:rPr>
        <w:t xml:space="preserve">日期：    </w:t>
      </w:r>
    </w:p>
    <w:p>
      <w:pPr>
        <w:spacing w:line="360" w:lineRule="auto"/>
        <w:jc w:val="center"/>
        <w:rPr>
          <w:rFonts w:hAnsi="宋体" w:cs="宋体"/>
          <w:b/>
          <w:szCs w:val="24"/>
          <w:highlight w:val="none"/>
        </w:rPr>
      </w:pPr>
    </w:p>
    <w:p>
      <w:pPr>
        <w:spacing w:line="360" w:lineRule="auto"/>
        <w:jc w:val="center"/>
        <w:rPr>
          <w:rFonts w:hAnsi="宋体" w:cs="宋体"/>
          <w:b/>
          <w:szCs w:val="24"/>
          <w:highlight w:val="none"/>
        </w:rPr>
      </w:pPr>
    </w:p>
    <w:p>
      <w:pPr>
        <w:spacing w:line="360" w:lineRule="auto"/>
        <w:rPr>
          <w:rFonts w:hAnsi="宋体" w:cs="宋体"/>
          <w:b/>
          <w:szCs w:val="24"/>
          <w:highlight w:val="none"/>
        </w:rPr>
      </w:pPr>
    </w:p>
    <w:p>
      <w:pPr>
        <w:spacing w:line="360" w:lineRule="auto"/>
        <w:jc w:val="center"/>
        <w:rPr>
          <w:rFonts w:hAnsi="宋体" w:cs="宋体"/>
          <w:b/>
          <w:szCs w:val="24"/>
          <w:highlight w:val="none"/>
        </w:rPr>
      </w:pPr>
      <w:r>
        <w:rPr>
          <w:rFonts w:hint="eastAsia" w:hAnsi="宋体" w:cs="宋体"/>
          <w:b/>
          <w:szCs w:val="24"/>
          <w:highlight w:val="none"/>
        </w:rPr>
        <w:t>投诉书范本</w:t>
      </w:r>
    </w:p>
    <w:p>
      <w:pPr>
        <w:spacing w:line="360" w:lineRule="auto"/>
        <w:rPr>
          <w:rFonts w:hAnsi="宋体" w:cs="宋体"/>
          <w:szCs w:val="24"/>
          <w:highlight w:val="none"/>
        </w:rPr>
      </w:pPr>
      <w:r>
        <w:rPr>
          <w:rFonts w:hint="eastAsia" w:hAnsi="宋体" w:cs="宋体"/>
          <w:szCs w:val="24"/>
          <w:highlight w:val="none"/>
        </w:rPr>
        <w:t>一、投诉相关主体基本情况</w:t>
      </w:r>
    </w:p>
    <w:p>
      <w:pPr>
        <w:spacing w:line="360" w:lineRule="auto"/>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spacing w:line="360" w:lineRule="auto"/>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spacing w:line="360" w:lineRule="auto"/>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rPr>
      </w:pPr>
      <w:r>
        <w:rPr>
          <w:rFonts w:hint="eastAsia" w:hAnsi="宋体" w:cs="宋体"/>
          <w:szCs w:val="24"/>
          <w:highlight w:val="none"/>
        </w:rPr>
        <w:t>被投诉人2</w:t>
      </w:r>
    </w:p>
    <w:p>
      <w:pPr>
        <w:spacing w:line="360" w:lineRule="auto"/>
        <w:rPr>
          <w:rFonts w:hAnsi="宋体" w:cs="宋体"/>
          <w:szCs w:val="24"/>
          <w:highlight w:val="none"/>
          <w:u w:val="dotted"/>
        </w:rPr>
      </w:pPr>
      <w:r>
        <w:rPr>
          <w:rFonts w:hint="eastAsia" w:hAnsi="宋体" w:cs="宋体"/>
          <w:szCs w:val="24"/>
          <w:highlight w:val="none"/>
        </w:rPr>
        <w:t>……</w:t>
      </w:r>
    </w:p>
    <w:p>
      <w:pPr>
        <w:spacing w:line="360" w:lineRule="auto"/>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rPr>
      </w:pPr>
      <w:r>
        <w:rPr>
          <w:rFonts w:hint="eastAsia" w:hAnsi="宋体" w:cs="宋体"/>
          <w:szCs w:val="24"/>
          <w:highlight w:val="none"/>
        </w:rPr>
        <w:t>二、投诉项目基本情况</w:t>
      </w:r>
    </w:p>
    <w:p>
      <w:pPr>
        <w:spacing w:line="360" w:lineRule="auto"/>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三、质疑基本情况</w:t>
      </w:r>
    </w:p>
    <w:p>
      <w:pPr>
        <w:spacing w:line="360" w:lineRule="auto"/>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spacing w:line="360" w:lineRule="auto"/>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spacing w:line="360" w:lineRule="auto"/>
        <w:rPr>
          <w:rFonts w:hAnsi="宋体" w:cs="宋体"/>
          <w:szCs w:val="24"/>
          <w:highlight w:val="none"/>
        </w:rPr>
      </w:pPr>
      <w:r>
        <w:rPr>
          <w:rFonts w:hint="eastAsia" w:hAnsi="宋体" w:cs="宋体"/>
          <w:szCs w:val="24"/>
          <w:highlight w:val="none"/>
        </w:rPr>
        <w:t>四、投诉事项具体内容</w:t>
      </w:r>
    </w:p>
    <w:p>
      <w:pPr>
        <w:spacing w:line="360" w:lineRule="auto"/>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投诉事项2</w:t>
      </w:r>
    </w:p>
    <w:p>
      <w:pPr>
        <w:spacing w:line="360" w:lineRule="auto"/>
        <w:rPr>
          <w:rFonts w:hAnsi="宋体" w:cs="宋体"/>
          <w:szCs w:val="24"/>
          <w:highlight w:val="none"/>
          <w:u w:val="dotted"/>
        </w:rPr>
      </w:pPr>
      <w:r>
        <w:rPr>
          <w:rFonts w:hint="eastAsia" w:hAnsi="宋体" w:cs="宋体"/>
          <w:szCs w:val="24"/>
          <w:highlight w:val="none"/>
        </w:rPr>
        <w:t>……</w:t>
      </w:r>
    </w:p>
    <w:p>
      <w:pPr>
        <w:spacing w:line="360" w:lineRule="auto"/>
        <w:rPr>
          <w:rFonts w:hAnsi="宋体" w:cs="宋体"/>
          <w:szCs w:val="24"/>
          <w:highlight w:val="none"/>
        </w:rPr>
      </w:pPr>
      <w:r>
        <w:rPr>
          <w:rFonts w:hint="eastAsia" w:hAnsi="宋体" w:cs="宋体"/>
          <w:szCs w:val="24"/>
          <w:highlight w:val="none"/>
        </w:rPr>
        <w:t>五、与投诉事项相关的投诉请求</w:t>
      </w:r>
    </w:p>
    <w:p>
      <w:pPr>
        <w:spacing w:line="360" w:lineRule="auto"/>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spacing w:line="360" w:lineRule="auto"/>
        <w:rPr>
          <w:rFonts w:hAnsi="宋体" w:cs="宋体"/>
          <w:szCs w:val="24"/>
          <w:highlight w:val="none"/>
          <w:u w:val="single"/>
        </w:rPr>
      </w:pPr>
      <w:r>
        <w:rPr>
          <w:rFonts w:hint="eastAsia" w:hAnsi="宋体" w:cs="宋体"/>
          <w:szCs w:val="24"/>
          <w:highlight w:val="none"/>
        </w:rPr>
        <w:t xml:space="preserve">                                                                                                    </w:t>
      </w:r>
    </w:p>
    <w:p>
      <w:pPr>
        <w:spacing w:line="360" w:lineRule="auto"/>
        <w:rPr>
          <w:rFonts w:hAnsi="宋体" w:cs="宋体"/>
          <w:szCs w:val="24"/>
          <w:highlight w:val="none"/>
        </w:rPr>
      </w:pPr>
      <w:r>
        <w:rPr>
          <w:rFonts w:hint="eastAsia" w:hAnsi="宋体" w:cs="宋体"/>
          <w:szCs w:val="24"/>
          <w:highlight w:val="none"/>
        </w:rPr>
        <w:t xml:space="preserve">签字(签章)：                   公章：                      </w:t>
      </w:r>
    </w:p>
    <w:p>
      <w:pPr>
        <w:spacing w:line="360" w:lineRule="auto"/>
        <w:rPr>
          <w:rFonts w:hAnsi="宋体" w:cs="宋体"/>
          <w:szCs w:val="24"/>
          <w:highlight w:val="none"/>
        </w:rPr>
      </w:pPr>
      <w:r>
        <w:rPr>
          <w:rFonts w:hint="eastAsia" w:hAnsi="宋体" w:cs="宋体"/>
          <w:szCs w:val="24"/>
          <w:highlight w:val="none"/>
        </w:rPr>
        <w:t xml:space="preserve">日期：   </w:t>
      </w:r>
      <w:r>
        <w:rPr>
          <w:rFonts w:hint="eastAsia" w:hAnsi="宋体" w:cs="宋体"/>
          <w:sz w:val="32"/>
          <w:szCs w:val="32"/>
          <w:highlight w:val="none"/>
        </w:rPr>
        <w:t xml:space="preserve"> </w:t>
      </w:r>
      <w:r>
        <w:rPr>
          <w:rFonts w:hint="eastAsia" w:hAnsi="宋体" w:cs="宋体"/>
          <w:szCs w:val="24"/>
          <w:highlight w:val="none"/>
        </w:rPr>
        <w:t xml:space="preserve">                  </w:t>
      </w:r>
    </w:p>
    <w:p>
      <w:pPr>
        <w:spacing w:line="360" w:lineRule="auto"/>
        <w:rPr>
          <w:rFonts w:hAnsi="宋体" w:cs="宋体"/>
          <w:szCs w:val="24"/>
          <w:highlight w:val="none"/>
        </w:rPr>
      </w:pPr>
      <w:r>
        <w:rPr>
          <w:rFonts w:hint="eastAsia" w:hAnsi="宋体" w:cs="宋体"/>
          <w:szCs w:val="24"/>
          <w:highlight w:val="none"/>
        </w:rPr>
        <w:t xml:space="preserve">                                </w:t>
      </w:r>
    </w:p>
    <w:p>
      <w:pPr>
        <w:tabs>
          <w:tab w:val="left" w:pos="7839"/>
        </w:tabs>
        <w:rPr>
          <w:rFonts w:hAnsi="宋体" w:cs="宋体"/>
          <w:szCs w:val="24"/>
          <w:highlight w:val="none"/>
        </w:rPr>
      </w:pPr>
      <w:r>
        <w:rPr>
          <w:rFonts w:hint="eastAsia" w:hAnsi="宋体" w:cs="宋体"/>
          <w:szCs w:val="24"/>
          <w:highlight w:val="none"/>
        </w:rPr>
        <w:tab/>
      </w:r>
    </w:p>
    <w:p>
      <w:pPr>
        <w:rPr>
          <w:highlight w:val="none"/>
        </w:rPr>
      </w:pPr>
    </w:p>
    <w:p>
      <w:pPr>
        <w:rPr>
          <w:highlight w:val="none"/>
        </w:rPr>
      </w:pPr>
    </w:p>
    <w:sectPr>
      <w:footerReference r:id="rId11" w:type="first"/>
      <w:footerReference r:id="rId10" w:type="default"/>
      <w:pgSz w:w="11906" w:h="16838"/>
      <w:pgMar w:top="1361" w:right="1304" w:bottom="136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宋体"/>
        <w:lang w:eastAsia="zh-CN"/>
      </w:rPr>
    </w:pPr>
    <w:r>
      <w:rPr>
        <w:rFonts w:hint="eastAsia"/>
        <w:lang w:eastAsia="zh-CN"/>
      </w:rPr>
      <w:t>陕西启航项目管理咨询有限公司</w:t>
    </w:r>
    <w:r>
      <w:rPr>
        <w:rFonts w:hint="eastAsia"/>
      </w:rPr>
      <w:t xml:space="preserve">                         </w:t>
    </w:r>
    <w:r>
      <w:rPr>
        <w:rFonts w:hint="eastAsia"/>
      </w:rPr>
      <w:tab/>
    </w:r>
    <w:r>
      <w:rPr>
        <w:rFonts w:hint="eastAsia"/>
      </w:rPr>
      <w:t>地址：西安市</w:t>
    </w:r>
    <w:r>
      <w:rPr>
        <w:rFonts w:hint="eastAsia"/>
        <w:lang w:eastAsia="zh-CN"/>
      </w:rPr>
      <w:t>陕西省西安市经济技术开发区未央路171-1号银池道拉斯财富中心21楼1开标室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宋体"/>
        <w:lang w:eastAsia="zh-C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lang w:eastAsia="zh-CN"/>
      </w:rPr>
      <w:t>陕西启航项目管理咨询有限公司</w:t>
    </w:r>
    <w:r>
      <w:rPr>
        <w:rFonts w:hint="eastAsia"/>
      </w:rPr>
      <w:t xml:space="preserve">                         </w:t>
    </w:r>
    <w:r>
      <w:rPr>
        <w:rFonts w:hint="eastAsia"/>
      </w:rPr>
      <w:tab/>
    </w:r>
    <w:r>
      <w:rPr>
        <w:rFonts w:hint="eastAsia"/>
      </w:rPr>
      <w:t>地址：西安市</w:t>
    </w:r>
    <w:r>
      <w:rPr>
        <w:rFonts w:hint="eastAsia"/>
        <w:lang w:eastAsia="zh-CN"/>
      </w:rPr>
      <w:t>陕西省西安市经济技术开发区未央路171-1号银池道拉斯财富中心21楼1开标室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9"/>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 w:val="28"/>
        <w:szCs w:val="28"/>
      </w:rPr>
    </w:pPr>
    <w:r>
      <w:rPr>
        <w:rFonts w:hint="eastAsia" w:hAnsi="宋体"/>
        <w:bCs/>
        <w:sz w:val="18"/>
        <w:szCs w:val="18"/>
        <w:u w:val="single"/>
        <w:lang w:eastAsia="zh-CN"/>
      </w:rPr>
      <w:t>宜君县2022年残疾人托养和照护服务项目（二次）</w:t>
    </w:r>
    <w:r>
      <w:rPr>
        <w:rFonts w:hint="eastAsia" w:hAnsi="宋体"/>
        <w:bCs/>
        <w:sz w:val="18"/>
        <w:szCs w:val="18"/>
        <w:u w:val="single"/>
      </w:rPr>
      <w:t xml:space="preserve"> </w:t>
    </w:r>
    <w:r>
      <w:rPr>
        <w:rFonts w:hint="eastAsia" w:hAnsi="宋体"/>
        <w:bCs/>
        <w:sz w:val="20"/>
        <w:u w:val="single"/>
      </w:rPr>
      <w:t xml:space="preserve">         </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 xml:space="preserve">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6F8DE"/>
    <w:multiLevelType w:val="singleLevel"/>
    <w:tmpl w:val="DDE6F8DE"/>
    <w:lvl w:ilvl="0" w:tentative="0">
      <w:start w:val="2"/>
      <w:numFmt w:val="chineseCounting"/>
      <w:suff w:val="space"/>
      <w:lvlText w:val="第%1章"/>
      <w:lvlJc w:val="left"/>
      <w:rPr>
        <w:rFonts w:hint="eastAsia"/>
      </w:rPr>
    </w:lvl>
  </w:abstractNum>
  <w:abstractNum w:abstractNumId="1">
    <w:nsid w:val="3345DCC0"/>
    <w:multiLevelType w:val="singleLevel"/>
    <w:tmpl w:val="3345DCC0"/>
    <w:lvl w:ilvl="0" w:tentative="0">
      <w:start w:val="1"/>
      <w:numFmt w:val="decimal"/>
      <w:suff w:val="nothing"/>
      <w:lvlText w:val="%1）"/>
      <w:lvlJc w:val="left"/>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abstractNum w:abstractNumId="5">
    <w:nsid w:val="737AB7C4"/>
    <w:multiLevelType w:val="singleLevel"/>
    <w:tmpl w:val="737AB7C4"/>
    <w:lvl w:ilvl="0" w:tentative="0">
      <w:start w:val="1"/>
      <w:numFmt w:val="decimal"/>
      <w:suff w:val="nothing"/>
      <w:lvlText w:val="（%1）"/>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0NmViMmQxMDQ0ZTVlMTUzM2ZlMGNlNWYwMjYyNTYifQ=="/>
  </w:docVars>
  <w:rsids>
    <w:rsidRoot w:val="006C691A"/>
    <w:rsid w:val="000E413E"/>
    <w:rsid w:val="001F7DA5"/>
    <w:rsid w:val="003952CC"/>
    <w:rsid w:val="006C691A"/>
    <w:rsid w:val="006E0B53"/>
    <w:rsid w:val="0078114D"/>
    <w:rsid w:val="007F1AEA"/>
    <w:rsid w:val="00A83637"/>
    <w:rsid w:val="00B8148A"/>
    <w:rsid w:val="00CF1117"/>
    <w:rsid w:val="00F211C1"/>
    <w:rsid w:val="011E05A8"/>
    <w:rsid w:val="01C61E35"/>
    <w:rsid w:val="02751561"/>
    <w:rsid w:val="02981B14"/>
    <w:rsid w:val="03591462"/>
    <w:rsid w:val="04021E3A"/>
    <w:rsid w:val="04167724"/>
    <w:rsid w:val="043C0DAC"/>
    <w:rsid w:val="04740C66"/>
    <w:rsid w:val="04A6311B"/>
    <w:rsid w:val="052267B3"/>
    <w:rsid w:val="0567510A"/>
    <w:rsid w:val="05991595"/>
    <w:rsid w:val="05CF2330"/>
    <w:rsid w:val="05ED0E3F"/>
    <w:rsid w:val="063B03BA"/>
    <w:rsid w:val="067F03C8"/>
    <w:rsid w:val="06B639C8"/>
    <w:rsid w:val="06C80A63"/>
    <w:rsid w:val="06D01AA0"/>
    <w:rsid w:val="06F7725F"/>
    <w:rsid w:val="07047C8B"/>
    <w:rsid w:val="070A6D90"/>
    <w:rsid w:val="074D261F"/>
    <w:rsid w:val="0757185D"/>
    <w:rsid w:val="084F02FA"/>
    <w:rsid w:val="0858727E"/>
    <w:rsid w:val="088F6005"/>
    <w:rsid w:val="08D92764"/>
    <w:rsid w:val="08EE72A4"/>
    <w:rsid w:val="09376CFA"/>
    <w:rsid w:val="093F6824"/>
    <w:rsid w:val="09AC3D9D"/>
    <w:rsid w:val="0A4E7BDE"/>
    <w:rsid w:val="0A6B23EB"/>
    <w:rsid w:val="0A8801C3"/>
    <w:rsid w:val="0BCA2CBB"/>
    <w:rsid w:val="0BF00680"/>
    <w:rsid w:val="0C683852"/>
    <w:rsid w:val="0C8A2E07"/>
    <w:rsid w:val="0C8C1C06"/>
    <w:rsid w:val="0CEF6B8E"/>
    <w:rsid w:val="0D7769D5"/>
    <w:rsid w:val="0E892334"/>
    <w:rsid w:val="0F3252C6"/>
    <w:rsid w:val="0F457591"/>
    <w:rsid w:val="0F4A418B"/>
    <w:rsid w:val="0F5608D1"/>
    <w:rsid w:val="0FCD3AAE"/>
    <w:rsid w:val="0FD06877"/>
    <w:rsid w:val="10083757"/>
    <w:rsid w:val="10652A7D"/>
    <w:rsid w:val="10A212FE"/>
    <w:rsid w:val="10BC57F8"/>
    <w:rsid w:val="116431F1"/>
    <w:rsid w:val="11B41016"/>
    <w:rsid w:val="1206132C"/>
    <w:rsid w:val="121C12F4"/>
    <w:rsid w:val="122F520E"/>
    <w:rsid w:val="124E6541"/>
    <w:rsid w:val="131A26F2"/>
    <w:rsid w:val="136B30E9"/>
    <w:rsid w:val="139B7B8F"/>
    <w:rsid w:val="13C05F8A"/>
    <w:rsid w:val="144D6395"/>
    <w:rsid w:val="14593280"/>
    <w:rsid w:val="14C136B2"/>
    <w:rsid w:val="14E33AB0"/>
    <w:rsid w:val="14E64AC7"/>
    <w:rsid w:val="15515E6C"/>
    <w:rsid w:val="15F21E69"/>
    <w:rsid w:val="16301CA8"/>
    <w:rsid w:val="164954E6"/>
    <w:rsid w:val="16C07888"/>
    <w:rsid w:val="17151EB2"/>
    <w:rsid w:val="173D2507"/>
    <w:rsid w:val="17B16064"/>
    <w:rsid w:val="17DD234B"/>
    <w:rsid w:val="18112E2D"/>
    <w:rsid w:val="195C11B3"/>
    <w:rsid w:val="197E03A6"/>
    <w:rsid w:val="19FC6FB4"/>
    <w:rsid w:val="19FF1239"/>
    <w:rsid w:val="1A1D22EC"/>
    <w:rsid w:val="1A354BF2"/>
    <w:rsid w:val="1A793022"/>
    <w:rsid w:val="1B005CAB"/>
    <w:rsid w:val="1B54472B"/>
    <w:rsid w:val="1B6C38D5"/>
    <w:rsid w:val="1BBA4B74"/>
    <w:rsid w:val="1BCA6820"/>
    <w:rsid w:val="1BE33A5A"/>
    <w:rsid w:val="1BF4667F"/>
    <w:rsid w:val="1C8F6A89"/>
    <w:rsid w:val="1CB80140"/>
    <w:rsid w:val="1D221781"/>
    <w:rsid w:val="1DCB77A4"/>
    <w:rsid w:val="1DD16F98"/>
    <w:rsid w:val="1DEC3551"/>
    <w:rsid w:val="1E250A39"/>
    <w:rsid w:val="1E4B6530"/>
    <w:rsid w:val="1E580433"/>
    <w:rsid w:val="1E6E38F8"/>
    <w:rsid w:val="1E73543E"/>
    <w:rsid w:val="1EA55E56"/>
    <w:rsid w:val="1ED62FA5"/>
    <w:rsid w:val="1F2B7580"/>
    <w:rsid w:val="1FCD6069"/>
    <w:rsid w:val="20FF4843"/>
    <w:rsid w:val="21210A4D"/>
    <w:rsid w:val="214B3B35"/>
    <w:rsid w:val="216A1093"/>
    <w:rsid w:val="21E802E6"/>
    <w:rsid w:val="22C87E1F"/>
    <w:rsid w:val="23027AE7"/>
    <w:rsid w:val="234370C6"/>
    <w:rsid w:val="236C12F4"/>
    <w:rsid w:val="24275B61"/>
    <w:rsid w:val="24735D66"/>
    <w:rsid w:val="25351CE5"/>
    <w:rsid w:val="25503BDB"/>
    <w:rsid w:val="256C6B64"/>
    <w:rsid w:val="25723304"/>
    <w:rsid w:val="25794923"/>
    <w:rsid w:val="2590335E"/>
    <w:rsid w:val="25CD67EA"/>
    <w:rsid w:val="25D7589B"/>
    <w:rsid w:val="26450D58"/>
    <w:rsid w:val="267912FF"/>
    <w:rsid w:val="269D0F1A"/>
    <w:rsid w:val="26D501B5"/>
    <w:rsid w:val="277219C2"/>
    <w:rsid w:val="278177E4"/>
    <w:rsid w:val="28307F81"/>
    <w:rsid w:val="289A76C1"/>
    <w:rsid w:val="28D668F0"/>
    <w:rsid w:val="29AA1368"/>
    <w:rsid w:val="29C918F6"/>
    <w:rsid w:val="2A1F32F0"/>
    <w:rsid w:val="2A454F8A"/>
    <w:rsid w:val="2A91460E"/>
    <w:rsid w:val="2ABA36EB"/>
    <w:rsid w:val="2ABC42FB"/>
    <w:rsid w:val="2B27629D"/>
    <w:rsid w:val="2C457832"/>
    <w:rsid w:val="2CB05D3F"/>
    <w:rsid w:val="2DA83DCF"/>
    <w:rsid w:val="2E733E17"/>
    <w:rsid w:val="2EBB4D79"/>
    <w:rsid w:val="2EC7732E"/>
    <w:rsid w:val="2F02634B"/>
    <w:rsid w:val="2F416D1B"/>
    <w:rsid w:val="2F4A00A5"/>
    <w:rsid w:val="2FC86AE1"/>
    <w:rsid w:val="300611A5"/>
    <w:rsid w:val="308A3B72"/>
    <w:rsid w:val="30DB5676"/>
    <w:rsid w:val="31B16370"/>
    <w:rsid w:val="31DE4D8C"/>
    <w:rsid w:val="33AA77EF"/>
    <w:rsid w:val="33FF6444"/>
    <w:rsid w:val="34604A96"/>
    <w:rsid w:val="34660755"/>
    <w:rsid w:val="359827AC"/>
    <w:rsid w:val="36DC5104"/>
    <w:rsid w:val="37005B29"/>
    <w:rsid w:val="3710733D"/>
    <w:rsid w:val="37265F69"/>
    <w:rsid w:val="372C45BC"/>
    <w:rsid w:val="37576CAB"/>
    <w:rsid w:val="383B0B9E"/>
    <w:rsid w:val="38627441"/>
    <w:rsid w:val="38DE0838"/>
    <w:rsid w:val="394C41DD"/>
    <w:rsid w:val="396452D2"/>
    <w:rsid w:val="39956894"/>
    <w:rsid w:val="39B42FA6"/>
    <w:rsid w:val="3A31162F"/>
    <w:rsid w:val="3A3F0516"/>
    <w:rsid w:val="3AAD1D7E"/>
    <w:rsid w:val="3ABD70EB"/>
    <w:rsid w:val="3AF02658"/>
    <w:rsid w:val="3B1810FD"/>
    <w:rsid w:val="3B6A2E21"/>
    <w:rsid w:val="3BA27C04"/>
    <w:rsid w:val="3BC04FFA"/>
    <w:rsid w:val="3C0417FB"/>
    <w:rsid w:val="3C347E93"/>
    <w:rsid w:val="3C3E01AA"/>
    <w:rsid w:val="3C7D53DE"/>
    <w:rsid w:val="3CB777E3"/>
    <w:rsid w:val="3D72015A"/>
    <w:rsid w:val="3EBE2F0F"/>
    <w:rsid w:val="3ECA4180"/>
    <w:rsid w:val="3F336184"/>
    <w:rsid w:val="3F3929D2"/>
    <w:rsid w:val="3FBA7C3F"/>
    <w:rsid w:val="3FC24B04"/>
    <w:rsid w:val="4007482F"/>
    <w:rsid w:val="402B1362"/>
    <w:rsid w:val="404F0722"/>
    <w:rsid w:val="405846A5"/>
    <w:rsid w:val="40835B1C"/>
    <w:rsid w:val="416039C5"/>
    <w:rsid w:val="41E07BB7"/>
    <w:rsid w:val="424D6C5B"/>
    <w:rsid w:val="430D1EB3"/>
    <w:rsid w:val="43792260"/>
    <w:rsid w:val="43A200BB"/>
    <w:rsid w:val="44DC384B"/>
    <w:rsid w:val="453253B2"/>
    <w:rsid w:val="45496CF4"/>
    <w:rsid w:val="45737BBD"/>
    <w:rsid w:val="45985989"/>
    <w:rsid w:val="46305D8F"/>
    <w:rsid w:val="463F3C8A"/>
    <w:rsid w:val="46580851"/>
    <w:rsid w:val="465E5F4F"/>
    <w:rsid w:val="47DE5643"/>
    <w:rsid w:val="48024D8E"/>
    <w:rsid w:val="483B785E"/>
    <w:rsid w:val="48BE32BB"/>
    <w:rsid w:val="49187402"/>
    <w:rsid w:val="497B770A"/>
    <w:rsid w:val="49A77582"/>
    <w:rsid w:val="4A0033AE"/>
    <w:rsid w:val="4AA56333"/>
    <w:rsid w:val="4BA3155A"/>
    <w:rsid w:val="4BB44D8B"/>
    <w:rsid w:val="4C7C5044"/>
    <w:rsid w:val="4CE55790"/>
    <w:rsid w:val="4D596375"/>
    <w:rsid w:val="4DE22E84"/>
    <w:rsid w:val="4DE566E6"/>
    <w:rsid w:val="4DF142CD"/>
    <w:rsid w:val="4DF71C9A"/>
    <w:rsid w:val="4E09460E"/>
    <w:rsid w:val="4E170611"/>
    <w:rsid w:val="4E226623"/>
    <w:rsid w:val="4E477EC0"/>
    <w:rsid w:val="4E58692D"/>
    <w:rsid w:val="4EB63DA9"/>
    <w:rsid w:val="4F414601"/>
    <w:rsid w:val="4F4E1041"/>
    <w:rsid w:val="4F704FFB"/>
    <w:rsid w:val="505607A8"/>
    <w:rsid w:val="50F51AE2"/>
    <w:rsid w:val="51026B78"/>
    <w:rsid w:val="5118526A"/>
    <w:rsid w:val="514D25A2"/>
    <w:rsid w:val="51ED02C6"/>
    <w:rsid w:val="52927B75"/>
    <w:rsid w:val="52B6298B"/>
    <w:rsid w:val="535237BC"/>
    <w:rsid w:val="54734506"/>
    <w:rsid w:val="54C06725"/>
    <w:rsid w:val="55420CF4"/>
    <w:rsid w:val="55B6041C"/>
    <w:rsid w:val="55D92429"/>
    <w:rsid w:val="55E72A54"/>
    <w:rsid w:val="5645418E"/>
    <w:rsid w:val="564C31A4"/>
    <w:rsid w:val="564F6596"/>
    <w:rsid w:val="56D3247F"/>
    <w:rsid w:val="573942E7"/>
    <w:rsid w:val="577D1A8B"/>
    <w:rsid w:val="57AA5FF5"/>
    <w:rsid w:val="57D67253"/>
    <w:rsid w:val="5821226E"/>
    <w:rsid w:val="58E4480E"/>
    <w:rsid w:val="58FB11C3"/>
    <w:rsid w:val="59264CF1"/>
    <w:rsid w:val="5A3713B6"/>
    <w:rsid w:val="5A7A73BD"/>
    <w:rsid w:val="5A93015D"/>
    <w:rsid w:val="5A937513"/>
    <w:rsid w:val="5AE74D53"/>
    <w:rsid w:val="5B664351"/>
    <w:rsid w:val="5BC17A0C"/>
    <w:rsid w:val="5C6621F3"/>
    <w:rsid w:val="5C7B66ED"/>
    <w:rsid w:val="5CE46C9A"/>
    <w:rsid w:val="5D237834"/>
    <w:rsid w:val="5DA42CAA"/>
    <w:rsid w:val="5DD5361E"/>
    <w:rsid w:val="5E4C5B89"/>
    <w:rsid w:val="5ED82522"/>
    <w:rsid w:val="5F2660BD"/>
    <w:rsid w:val="5F694217"/>
    <w:rsid w:val="5F6D0A57"/>
    <w:rsid w:val="5F8E3A0E"/>
    <w:rsid w:val="604B36E9"/>
    <w:rsid w:val="605E0180"/>
    <w:rsid w:val="609A0F47"/>
    <w:rsid w:val="60C21775"/>
    <w:rsid w:val="60E15732"/>
    <w:rsid w:val="614D13CA"/>
    <w:rsid w:val="62031A89"/>
    <w:rsid w:val="624C011C"/>
    <w:rsid w:val="62D126D1"/>
    <w:rsid w:val="630A3D64"/>
    <w:rsid w:val="63A00E6C"/>
    <w:rsid w:val="63C06F1C"/>
    <w:rsid w:val="63F069AF"/>
    <w:rsid w:val="63F53CA1"/>
    <w:rsid w:val="650A2874"/>
    <w:rsid w:val="65514F59"/>
    <w:rsid w:val="65E85861"/>
    <w:rsid w:val="66227FD8"/>
    <w:rsid w:val="66565333"/>
    <w:rsid w:val="66C52024"/>
    <w:rsid w:val="66F41125"/>
    <w:rsid w:val="67223F20"/>
    <w:rsid w:val="679B47E6"/>
    <w:rsid w:val="679D7E7C"/>
    <w:rsid w:val="686A3C6A"/>
    <w:rsid w:val="68995FE7"/>
    <w:rsid w:val="69591371"/>
    <w:rsid w:val="69CC3C53"/>
    <w:rsid w:val="69DE533E"/>
    <w:rsid w:val="6A2A1834"/>
    <w:rsid w:val="6B016C5F"/>
    <w:rsid w:val="6B4733A3"/>
    <w:rsid w:val="6B956B9C"/>
    <w:rsid w:val="6C426376"/>
    <w:rsid w:val="6C822533"/>
    <w:rsid w:val="6C866E4A"/>
    <w:rsid w:val="6DA51EB1"/>
    <w:rsid w:val="6E19229B"/>
    <w:rsid w:val="6E20589F"/>
    <w:rsid w:val="6E2B7CB3"/>
    <w:rsid w:val="6E4E4786"/>
    <w:rsid w:val="6EB630EA"/>
    <w:rsid w:val="6EF75196"/>
    <w:rsid w:val="6F4B1277"/>
    <w:rsid w:val="6F8146A3"/>
    <w:rsid w:val="6F8B4D87"/>
    <w:rsid w:val="6FD22246"/>
    <w:rsid w:val="703031D8"/>
    <w:rsid w:val="70406237"/>
    <w:rsid w:val="710524AC"/>
    <w:rsid w:val="71244BDF"/>
    <w:rsid w:val="71530950"/>
    <w:rsid w:val="718D31A7"/>
    <w:rsid w:val="71D46493"/>
    <w:rsid w:val="72A10D64"/>
    <w:rsid w:val="72B47012"/>
    <w:rsid w:val="73BB5659"/>
    <w:rsid w:val="73F12BC9"/>
    <w:rsid w:val="752C6F61"/>
    <w:rsid w:val="756D651C"/>
    <w:rsid w:val="75724312"/>
    <w:rsid w:val="757642DF"/>
    <w:rsid w:val="75C57A49"/>
    <w:rsid w:val="76070008"/>
    <w:rsid w:val="76381B53"/>
    <w:rsid w:val="76E06023"/>
    <w:rsid w:val="771442B4"/>
    <w:rsid w:val="77D31CA4"/>
    <w:rsid w:val="780A49AE"/>
    <w:rsid w:val="785042F1"/>
    <w:rsid w:val="786A6207"/>
    <w:rsid w:val="79336444"/>
    <w:rsid w:val="79C42BF9"/>
    <w:rsid w:val="7A176260"/>
    <w:rsid w:val="7A4063C7"/>
    <w:rsid w:val="7B7A16ED"/>
    <w:rsid w:val="7BE83E51"/>
    <w:rsid w:val="7C516D1A"/>
    <w:rsid w:val="7CDC740A"/>
    <w:rsid w:val="7D6E3A63"/>
    <w:rsid w:val="7DB941E4"/>
    <w:rsid w:val="7ED93350"/>
    <w:rsid w:val="7F1B489E"/>
    <w:rsid w:val="7F6C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6">
    <w:name w:val="heading 1"/>
    <w:basedOn w:val="1"/>
    <w:next w:val="1"/>
    <w:link w:val="36"/>
    <w:qFormat/>
    <w:uiPriority w:val="0"/>
    <w:pPr>
      <w:keepNext/>
      <w:outlineLvl w:val="0"/>
    </w:pPr>
    <w:rPr>
      <w:rFonts w:ascii="仿宋_GB2312" w:hAnsi="宋体" w:eastAsia="仿宋_GB2312"/>
      <w:b/>
      <w:kern w:val="2"/>
      <w:sz w:val="32"/>
    </w:rPr>
  </w:style>
  <w:style w:type="paragraph" w:styleId="7">
    <w:name w:val="heading 2"/>
    <w:basedOn w:val="1"/>
    <w:next w:val="1"/>
    <w:link w:val="39"/>
    <w:qFormat/>
    <w:uiPriority w:val="9"/>
    <w:pPr>
      <w:keepNext/>
      <w:keepLines/>
      <w:widowControl/>
      <w:spacing w:before="260" w:after="260"/>
      <w:ind w:left="284"/>
      <w:jc w:val="left"/>
      <w:outlineLvl w:val="1"/>
    </w:pPr>
    <w:rPr>
      <w:rFonts w:ascii="Arial" w:hAnsi="Arial"/>
      <w:b/>
      <w:bCs/>
      <w:sz w:val="28"/>
      <w:szCs w:val="32"/>
    </w:rPr>
  </w:style>
  <w:style w:type="paragraph" w:styleId="8">
    <w:name w:val="heading 3"/>
    <w:basedOn w:val="1"/>
    <w:next w:val="1"/>
    <w:qFormat/>
    <w:uiPriority w:val="0"/>
    <w:pPr>
      <w:keepNext/>
      <w:keepLines/>
      <w:spacing w:before="260" w:beforeAutospacing="0" w:after="260" w:afterAutospacing="0" w:line="413" w:lineRule="auto"/>
      <w:jc w:val="center"/>
      <w:outlineLvl w:val="2"/>
    </w:pPr>
    <w:rPr>
      <w:b/>
      <w:sz w:val="44"/>
    </w:rPr>
  </w:style>
  <w:style w:type="paragraph" w:styleId="9">
    <w:name w:val="heading 4"/>
    <w:basedOn w:val="1"/>
    <w:next w:val="1"/>
    <w:unhideWhenUsed/>
    <w:qFormat/>
    <w:uiPriority w:val="0"/>
    <w:pPr>
      <w:keepNext/>
      <w:keepLines/>
      <w:jc w:val="left"/>
      <w:outlineLvl w:val="3"/>
    </w:pPr>
    <w:rPr>
      <w:rFonts w:hint="eastAsia" w:ascii="Arial" w:hAnsi="Arial"/>
      <w:b/>
      <w:sz w:val="32"/>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kern w:val="2"/>
      <w:sz w:val="21"/>
    </w:rPr>
  </w:style>
  <w:style w:type="paragraph" w:customStyle="1" w:styleId="3">
    <w:name w:val="一级条标题"/>
    <w:basedOn w:val="4"/>
    <w:next w:val="5"/>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4">
    <w:name w:val="章标题"/>
    <w:basedOn w:val="1"/>
    <w:next w:val="1"/>
    <w:qFormat/>
    <w:uiPriority w:val="0"/>
    <w:pPr>
      <w:widowControl/>
      <w:spacing w:before="158" w:after="153" w:line="1292" w:lineRule="atLeast"/>
      <w:jc w:val="center"/>
    </w:pPr>
    <w:rPr>
      <w:rFonts w:ascii="Arial" w:eastAsia="黑体" w:cs="黑体"/>
      <w:kern w:val="0"/>
      <w:sz w:val="31"/>
      <w:lang w:eastAsia="en-US" w:bidi="en-US"/>
    </w:rPr>
  </w:style>
  <w:style w:type="paragraph" w:customStyle="1" w:styleId="5">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0">
    <w:name w:val="Normal Indent"/>
    <w:basedOn w:val="1"/>
    <w:qFormat/>
    <w:uiPriority w:val="0"/>
    <w:pPr>
      <w:spacing w:line="300" w:lineRule="auto"/>
      <w:ind w:firstLine="420" w:firstLineChars="200"/>
    </w:pPr>
    <w:rPr>
      <w:rFonts w:ascii="Calibri"/>
      <w:kern w:val="2"/>
      <w:sz w:val="21"/>
      <w:szCs w:val="24"/>
    </w:rPr>
  </w:style>
  <w:style w:type="paragraph" w:styleId="11">
    <w:name w:val="toa heading"/>
    <w:basedOn w:val="1"/>
    <w:next w:val="1"/>
    <w:qFormat/>
    <w:uiPriority w:val="0"/>
    <w:pPr>
      <w:spacing w:before="120"/>
    </w:pPr>
    <w:rPr>
      <w:rFonts w:ascii="Arial" w:hAnsi="Arial"/>
    </w:rPr>
  </w:style>
  <w:style w:type="paragraph" w:styleId="12">
    <w:name w:val="annotation text"/>
    <w:basedOn w:val="1"/>
    <w:qFormat/>
    <w:uiPriority w:val="0"/>
    <w:pPr>
      <w:jc w:val="left"/>
    </w:pPr>
  </w:style>
  <w:style w:type="paragraph" w:styleId="13">
    <w:name w:val="Body Text 3"/>
    <w:basedOn w:val="1"/>
    <w:qFormat/>
    <w:uiPriority w:val="0"/>
    <w:pPr>
      <w:jc w:val="center"/>
    </w:pPr>
    <w:rPr>
      <w:rFonts w:ascii="Times New Roman"/>
      <w:b/>
      <w:spacing w:val="-20"/>
      <w:w w:val="110"/>
      <w:kern w:val="2"/>
      <w:sz w:val="52"/>
    </w:rPr>
  </w:style>
  <w:style w:type="paragraph" w:styleId="14">
    <w:name w:val="Body Text Indent"/>
    <w:basedOn w:val="1"/>
    <w:qFormat/>
    <w:uiPriority w:val="0"/>
    <w:pPr>
      <w:widowControl/>
      <w:ind w:firstLine="652" w:firstLineChars="233"/>
    </w:pPr>
    <w:rPr>
      <w:rFonts w:ascii="Calibri" w:hAnsi="Calibri Light" w:eastAsia="华文仿宋"/>
      <w:sz w:val="28"/>
    </w:rPr>
  </w:style>
  <w:style w:type="paragraph" w:styleId="15">
    <w:name w:val="toc 3"/>
    <w:basedOn w:val="1"/>
    <w:next w:val="1"/>
    <w:qFormat/>
    <w:uiPriority w:val="0"/>
    <w:pPr>
      <w:ind w:left="840" w:leftChars="400"/>
    </w:pPr>
  </w:style>
  <w:style w:type="paragraph" w:styleId="16">
    <w:name w:val="Plain Text"/>
    <w:basedOn w:val="1"/>
    <w:qFormat/>
    <w:uiPriority w:val="0"/>
    <w:rPr>
      <w:rFonts w:hAnsi="Courier New"/>
      <w:kern w:val="2"/>
      <w:sz w:val="21"/>
    </w:rPr>
  </w:style>
  <w:style w:type="paragraph" w:styleId="17">
    <w:name w:val="Body Text Indent 2"/>
    <w:basedOn w:val="1"/>
    <w:qFormat/>
    <w:uiPriority w:val="0"/>
    <w:pPr>
      <w:spacing w:line="640" w:lineRule="exact"/>
      <w:ind w:firstLine="645"/>
    </w:pPr>
    <w:rPr>
      <w:rFonts w:ascii="楷体_GB2312" w:eastAsia="楷体_GB2312"/>
      <w:sz w:val="32"/>
    </w:rPr>
  </w:style>
  <w:style w:type="paragraph" w:styleId="18">
    <w:name w:val="Balloon Text"/>
    <w:basedOn w:val="1"/>
    <w:link w:val="43"/>
    <w:qFormat/>
    <w:uiPriority w:val="0"/>
    <w:rPr>
      <w:sz w:val="18"/>
      <w:szCs w:val="18"/>
    </w:rPr>
  </w:style>
  <w:style w:type="paragraph" w:styleId="19">
    <w:name w:val="footer"/>
    <w:basedOn w:val="1"/>
    <w:qFormat/>
    <w:uiPriority w:val="99"/>
    <w:pPr>
      <w:tabs>
        <w:tab w:val="center" w:pos="4153"/>
        <w:tab w:val="right" w:pos="8306"/>
      </w:tabs>
      <w:snapToGrid w:val="0"/>
      <w:jc w:val="left"/>
    </w:pPr>
    <w:rPr>
      <w:rFonts w:ascii="Calibri"/>
      <w:kern w:val="2"/>
      <w:sz w:val="18"/>
      <w:szCs w:val="18"/>
    </w:rPr>
  </w:style>
  <w:style w:type="paragraph" w:styleId="20">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21">
    <w:name w:val="toc 1"/>
    <w:basedOn w:val="1"/>
    <w:next w:val="1"/>
    <w:unhideWhenUsed/>
    <w:qFormat/>
    <w:uiPriority w:val="39"/>
  </w:style>
  <w:style w:type="paragraph" w:styleId="22">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3">
    <w:name w:val="toc 2"/>
    <w:basedOn w:val="1"/>
    <w:next w:val="1"/>
    <w:unhideWhenUsed/>
    <w:qFormat/>
    <w:uiPriority w:val="39"/>
    <w:pPr>
      <w:ind w:left="420" w:leftChars="200"/>
    </w:pPr>
  </w:style>
  <w:style w:type="paragraph" w:styleId="24">
    <w:name w:val="Normal (Web)"/>
    <w:basedOn w:val="1"/>
    <w:qFormat/>
    <w:uiPriority w:val="0"/>
    <w:pPr>
      <w:widowControl/>
      <w:spacing w:before="100" w:beforeAutospacing="1" w:after="100" w:afterAutospacing="1"/>
      <w:jc w:val="left"/>
    </w:pPr>
    <w:rPr>
      <w:rFonts w:hAnsi="宋体"/>
      <w:szCs w:val="24"/>
    </w:rPr>
  </w:style>
  <w:style w:type="paragraph" w:styleId="25">
    <w:name w:val="Body Text First Indent"/>
    <w:basedOn w:val="2"/>
    <w:unhideWhenUsed/>
    <w:qFormat/>
    <w:uiPriority w:val="0"/>
    <w:pPr>
      <w:ind w:firstLine="420" w:firstLineChars="100"/>
    </w:pPr>
    <w:rPr>
      <w:rFonts w:ascii="Times New Roman"/>
      <w:sz w:val="18"/>
      <w:szCs w:val="18"/>
    </w:rPr>
  </w:style>
  <w:style w:type="paragraph" w:styleId="26">
    <w:name w:val="Body Text First Indent 2"/>
    <w:basedOn w:val="14"/>
    <w:next w:val="1"/>
    <w:qFormat/>
    <w:uiPriority w:val="99"/>
  </w:style>
  <w:style w:type="character" w:styleId="29">
    <w:name w:val="Strong"/>
    <w:basedOn w:val="28"/>
    <w:qFormat/>
    <w:uiPriority w:val="22"/>
    <w:rPr>
      <w:b/>
      <w:bCs/>
    </w:rPr>
  </w:style>
  <w:style w:type="character" w:styleId="30">
    <w:name w:val="Hyperlink"/>
    <w:basedOn w:val="28"/>
    <w:qFormat/>
    <w:uiPriority w:val="0"/>
    <w:rPr>
      <w:color w:val="0000FF"/>
      <w:u w:val="single"/>
    </w:rPr>
  </w:style>
  <w:style w:type="paragraph" w:customStyle="1" w:styleId="31">
    <w:name w:val="首行缩进"/>
    <w:basedOn w:val="1"/>
    <w:qFormat/>
    <w:uiPriority w:val="99"/>
    <w:pPr>
      <w:ind w:firstLine="480"/>
    </w:pPr>
    <w:rPr>
      <w:rFonts w:ascii="Calibri" w:hAnsi="Calibri"/>
      <w:lang w:val="zh-CN"/>
    </w:rPr>
  </w:style>
  <w:style w:type="paragraph" w:customStyle="1" w:styleId="32">
    <w:name w:val="MessageHeader"/>
    <w:basedOn w:val="1"/>
    <w:next w:val="33"/>
    <w:qFormat/>
    <w:uiPriority w:val="0"/>
    <w:pPr>
      <w:pBdr>
        <w:top w:val="none" w:color="000000" w:sz="0" w:space="1"/>
        <w:left w:val="none" w:color="000000" w:sz="0" w:space="1"/>
        <w:bottom w:val="none" w:color="000000" w:sz="0" w:space="1"/>
        <w:right w:val="none" w:color="000000" w:sz="0" w:space="1"/>
      </w:pBdr>
      <w:snapToGrid w:val="0"/>
      <w:spacing w:line="360" w:lineRule="auto"/>
      <w:textAlignment w:val="baseline"/>
    </w:pPr>
    <w:rPr>
      <w:rFonts w:ascii="Arial" w:hAnsi="Arial"/>
      <w:kern w:val="2"/>
      <w:sz w:val="28"/>
    </w:rPr>
  </w:style>
  <w:style w:type="paragraph" w:customStyle="1" w:styleId="33">
    <w:name w:val="BodyText"/>
    <w:basedOn w:val="1"/>
    <w:next w:val="1"/>
    <w:qFormat/>
    <w:uiPriority w:val="0"/>
    <w:pPr>
      <w:jc w:val="center"/>
      <w:textAlignment w:val="baseline"/>
    </w:pPr>
  </w:style>
  <w:style w:type="paragraph" w:customStyle="1" w:styleId="34">
    <w:name w:val="列出段落1"/>
    <w:basedOn w:val="1"/>
    <w:qFormat/>
    <w:uiPriority w:val="34"/>
    <w:pPr>
      <w:ind w:firstLine="420" w:firstLineChars="200"/>
    </w:pPr>
  </w:style>
  <w:style w:type="paragraph" w:customStyle="1" w:styleId="35">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36">
    <w:name w:val="标题 1 字符"/>
    <w:link w:val="6"/>
    <w:qFormat/>
    <w:uiPriority w:val="0"/>
    <w:rPr>
      <w:rFonts w:ascii="仿宋_GB2312" w:hAnsi="宋体" w:eastAsia="仿宋_GB2312"/>
      <w:b/>
      <w:kern w:val="2"/>
      <w:sz w:val="32"/>
    </w:rPr>
  </w:style>
  <w:style w:type="paragraph" w:customStyle="1" w:styleId="37">
    <w:name w:val="表格文字中"/>
    <w:basedOn w:val="1"/>
    <w:qFormat/>
    <w:uiPriority w:val="0"/>
    <w:pPr>
      <w:adjustRightInd w:val="0"/>
      <w:snapToGrid w:val="0"/>
      <w:ind w:left="22" w:leftChars="8"/>
      <w:jc w:val="center"/>
    </w:pPr>
    <w:rPr>
      <w:szCs w:val="24"/>
    </w:rPr>
  </w:style>
  <w:style w:type="paragraph" w:customStyle="1" w:styleId="38">
    <w:name w:val="Char1"/>
    <w:basedOn w:val="1"/>
    <w:qFormat/>
    <w:uiPriority w:val="0"/>
    <w:pPr>
      <w:tabs>
        <w:tab w:val="left" w:pos="360"/>
      </w:tabs>
      <w:ind w:left="360" w:hanging="360" w:hangingChars="200"/>
    </w:pPr>
    <w:rPr>
      <w:szCs w:val="24"/>
    </w:rPr>
  </w:style>
  <w:style w:type="character" w:customStyle="1" w:styleId="39">
    <w:name w:val="标题 2 字符"/>
    <w:link w:val="7"/>
    <w:qFormat/>
    <w:uiPriority w:val="9"/>
    <w:rPr>
      <w:rFonts w:ascii="Arial" w:hAnsi="Arial"/>
      <w:b/>
      <w:bCs/>
      <w:sz w:val="28"/>
      <w:szCs w:val="32"/>
    </w:rPr>
  </w:style>
  <w:style w:type="paragraph" w:customStyle="1" w:styleId="40">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reader-word-layer reader-word-s12-5"/>
    <w:basedOn w:val="1"/>
    <w:qFormat/>
    <w:uiPriority w:val="0"/>
    <w:pPr>
      <w:widowControl/>
      <w:spacing w:before="100" w:beforeAutospacing="1" w:after="100" w:afterAutospacing="1"/>
      <w:jc w:val="left"/>
    </w:pPr>
    <w:rPr>
      <w:rFonts w:hAnsi="宋体" w:cs="宋体"/>
    </w:rPr>
  </w:style>
  <w:style w:type="character" w:customStyle="1" w:styleId="42">
    <w:name w:val="Table caption + 4 pt"/>
    <w:basedOn w:val="28"/>
    <w:unhideWhenUsed/>
    <w:qFormat/>
    <w:uiPriority w:val="99"/>
    <w:rPr>
      <w:rFonts w:hint="eastAsia" w:ascii="黑体" w:hAnsi="黑体" w:eastAsia="黑体"/>
      <w:spacing w:val="0"/>
      <w:sz w:val="8"/>
      <w:szCs w:val="24"/>
    </w:rPr>
  </w:style>
  <w:style w:type="character" w:customStyle="1" w:styleId="43">
    <w:name w:val="批注框文本 字符"/>
    <w:basedOn w:val="28"/>
    <w:link w:val="18"/>
    <w:qFormat/>
    <w:uiPriority w:val="0"/>
    <w:rPr>
      <w:rFonts w:ascii="宋体"/>
      <w:sz w:val="18"/>
      <w:szCs w:val="18"/>
    </w:rPr>
  </w:style>
  <w:style w:type="paragraph" w:customStyle="1" w:styleId="44">
    <w:name w:val="正文 New"/>
    <w:basedOn w:val="1"/>
    <w:qFormat/>
    <w:uiPriority w:val="0"/>
    <w:rPr>
      <w:rFonts w:ascii="Times New Roman" w:cs="宋体"/>
      <w:kern w:val="2"/>
      <w:sz w:val="21"/>
      <w:szCs w:val="21"/>
    </w:rPr>
  </w:style>
  <w:style w:type="paragraph" w:customStyle="1" w:styleId="45">
    <w:name w:val="p"/>
    <w:basedOn w:val="1"/>
    <w:qFormat/>
    <w:uiPriority w:val="0"/>
    <w:pPr>
      <w:spacing w:line="525" w:lineRule="atLeast"/>
      <w:ind w:firstLine="375"/>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35756</Words>
  <Characters>38288</Characters>
  <Lines>248</Lines>
  <Paragraphs>69</Paragraphs>
  <TotalTime>5</TotalTime>
  <ScaleCrop>false</ScaleCrop>
  <LinksUpToDate>false</LinksUpToDate>
  <CharactersWithSpaces>42331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2021-09-06T07:43:00Z</dcterms:created>
  <dc:creator>Administrator</dc:creator>
  <cp:lastModifiedBy>Supreme</cp:lastModifiedBy>
  <cp:lastPrinted>2021-09-08T02:25:00Z</cp:lastPrinted>
  <dcterms:modified xsi:type="dcterms:W3CDTF">2022-10-10T07:30:01Z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9629D35800C4479A995A0A9B5FBB471C</vt:lpwstr>
  </property>
</Properties>
</file>