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720"/>
        <w:textAlignment w:val="auto"/>
        <w:rPr>
          <w:rFonts w:hint="eastAsia" w:ascii="宋体" w:hAnsi="宋体" w:eastAsia="宋体" w:cs="宋体"/>
          <w:color w:val="auto"/>
          <w:sz w:val="36"/>
          <w:szCs w:val="36"/>
          <w:highlight w:val="none"/>
          <w:bdr w:val="single" w:color="auto" w:sz="4" w:space="0"/>
          <w:shd w:val="pct10" w:color="auto" w:fill="FFFFFF"/>
        </w:rPr>
      </w:pPr>
      <w:r>
        <w:rPr>
          <w:rFonts w:hint="eastAsia" w:ascii="宋体" w:hAnsi="宋体" w:eastAsia="宋体" w:cs="宋体"/>
          <w:color w:val="auto"/>
          <w:sz w:val="36"/>
          <w:szCs w:val="36"/>
          <w:highlight w:val="none"/>
          <w:bdr w:val="single" w:color="auto" w:sz="4" w:space="0"/>
          <w:shd w:val="pct10" w:color="auto" w:fill="FFFFFF"/>
        </w:rPr>
        <w:t>政府采购项目</w:t>
      </w:r>
    </w:p>
    <w:p>
      <w:pPr>
        <w:jc w:val="center"/>
        <w:rPr>
          <w:rFonts w:hint="eastAsia" w:ascii="宋体" w:hAnsi="宋体" w:eastAsia="宋体" w:cs="宋体"/>
          <w:color w:val="auto"/>
          <w:sz w:val="44"/>
          <w:szCs w:val="44"/>
          <w:highlight w:val="none"/>
        </w:rPr>
      </w:pPr>
    </w:p>
    <w:p>
      <w:pPr>
        <w:jc w:val="center"/>
        <w:rPr>
          <w:rFonts w:hint="eastAsia" w:ascii="宋体" w:hAnsi="宋体" w:eastAsia="宋体" w:cs="宋体"/>
          <w:color w:val="auto"/>
          <w:sz w:val="44"/>
          <w:szCs w:val="44"/>
          <w:highlight w:val="none"/>
        </w:rPr>
      </w:pPr>
    </w:p>
    <w:p>
      <w:pPr>
        <w:jc w:val="center"/>
        <w:outlineLvl w:val="0"/>
        <w:rPr>
          <w:rFonts w:hint="eastAsia" w:ascii="宋体" w:hAnsi="宋体" w:eastAsia="宋体" w:cs="宋体"/>
          <w:color w:val="auto"/>
          <w:sz w:val="52"/>
          <w:szCs w:val="52"/>
          <w:highlight w:val="none"/>
          <w:lang w:val="en-US" w:eastAsia="zh-CN"/>
        </w:rPr>
      </w:pPr>
      <w:bookmarkStart w:id="0" w:name="_Toc29543"/>
      <w:bookmarkStart w:id="1" w:name="_Toc4123"/>
      <w:r>
        <w:rPr>
          <w:rFonts w:hint="eastAsia" w:ascii="宋体" w:hAnsi="宋体" w:eastAsia="宋体" w:cs="宋体"/>
          <w:color w:val="auto"/>
          <w:sz w:val="52"/>
          <w:szCs w:val="52"/>
          <w:highlight w:val="none"/>
          <w:lang w:val="en-US" w:eastAsia="zh-CN"/>
        </w:rPr>
        <w:t>陕西上德招标有限公司</w:t>
      </w:r>
      <w:bookmarkEnd w:id="0"/>
      <w:bookmarkEnd w:id="1"/>
    </w:p>
    <w:p>
      <w:pPr>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招标文件</w:t>
      </w: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960" w:firstLineChars="300"/>
        <w:jc w:val="left"/>
        <w:rPr>
          <w:rFonts w:hint="eastAsia" w:ascii="宋体" w:hAnsi="宋体" w:eastAsia="宋体" w:cs="宋体"/>
          <w:color w:val="auto"/>
          <w:sz w:val="32"/>
          <w:szCs w:val="32"/>
          <w:highlight w:val="none"/>
          <w:u w:val="none"/>
          <w:lang w:eastAsia="zh-CN"/>
        </w:rPr>
      </w:pPr>
      <w:r>
        <w:rPr>
          <w:rFonts w:hint="eastAsia" w:ascii="宋体" w:hAnsi="宋体" w:eastAsia="宋体" w:cs="宋体"/>
          <w:color w:val="auto"/>
          <w:sz w:val="32"/>
          <w:szCs w:val="32"/>
          <w:highlight w:val="none"/>
        </w:rPr>
        <w:t>项目名称：</w:t>
      </w:r>
      <w:r>
        <w:rPr>
          <w:rFonts w:hint="eastAsia" w:ascii="宋体" w:hAnsi="宋体" w:eastAsia="宋体" w:cs="宋体"/>
          <w:color w:val="auto"/>
          <w:sz w:val="32"/>
          <w:szCs w:val="32"/>
          <w:highlight w:val="none"/>
          <w:u w:val="none"/>
          <w:lang w:eastAsia="zh-CN"/>
        </w:rPr>
        <w:t>西安市鄠邑区妇幼保健计划生育服务中心</w:t>
      </w:r>
    </w:p>
    <w:p>
      <w:pPr>
        <w:bidi w:val="0"/>
        <w:ind w:firstLine="960" w:firstLineChars="300"/>
        <w:rPr>
          <w:rFonts w:hint="eastAsia" w:ascii="宋体" w:hAnsi="宋体" w:eastAsia="宋体" w:cs="宋体"/>
          <w:sz w:val="32"/>
          <w:szCs w:val="32"/>
          <w:lang w:eastAsia="zh-CN"/>
        </w:rPr>
      </w:pPr>
      <w:r>
        <w:rPr>
          <w:rFonts w:hint="eastAsia" w:ascii="宋体" w:hAnsi="宋体" w:eastAsia="宋体" w:cs="宋体"/>
          <w:sz w:val="32"/>
          <w:szCs w:val="32"/>
          <w:lang w:eastAsia="zh-CN"/>
        </w:rPr>
        <w:t>（区妇幼保健院）宫腔镜和电子阴道镜系统购置项目</w:t>
      </w:r>
    </w:p>
    <w:p>
      <w:pPr>
        <w:spacing w:line="560" w:lineRule="exact"/>
        <w:ind w:left="957" w:leftChars="399" w:firstLine="0" w:firstLineChars="0"/>
        <w:jc w:val="left"/>
        <w:rPr>
          <w:rFonts w:hint="eastAsia" w:ascii="宋体" w:hAnsi="宋体" w:eastAsia="宋体" w:cs="宋体"/>
          <w:color w:val="auto"/>
          <w:sz w:val="32"/>
          <w:szCs w:val="32"/>
          <w:highlight w:val="none"/>
          <w:u w:val="none"/>
          <w:lang w:eastAsia="zh-CN"/>
        </w:rPr>
      </w:pPr>
      <w:r>
        <w:rPr>
          <w:rFonts w:hint="eastAsia" w:ascii="宋体" w:hAnsi="宋体" w:eastAsia="宋体" w:cs="宋体"/>
          <w:color w:val="auto"/>
          <w:sz w:val="32"/>
          <w:szCs w:val="32"/>
          <w:highlight w:val="none"/>
          <w:u w:val="none"/>
          <w:lang w:eastAsia="zh-CN"/>
        </w:rPr>
        <w:t>（第二标段：宫腔镜系统购置项目）</w:t>
      </w:r>
    </w:p>
    <w:p>
      <w:pPr>
        <w:spacing w:line="560" w:lineRule="exact"/>
        <w:ind w:firstLine="960" w:firstLineChars="300"/>
        <w:jc w:val="left"/>
        <w:rPr>
          <w:rFonts w:hint="default"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rPr>
        <w:t>项目编号：</w:t>
      </w:r>
      <w:r>
        <w:rPr>
          <w:rFonts w:hint="eastAsia" w:ascii="宋体" w:hAnsi="宋体" w:eastAsia="宋体" w:cs="宋体"/>
          <w:color w:val="auto"/>
          <w:sz w:val="32"/>
          <w:szCs w:val="32"/>
          <w:highlight w:val="none"/>
          <w:lang w:eastAsia="zh-CN"/>
        </w:rPr>
        <w:t>SDZC2022-286-02</w:t>
      </w:r>
    </w:p>
    <w:p>
      <w:pPr>
        <w:spacing w:line="560" w:lineRule="exact"/>
        <w:ind w:firstLine="640" w:firstLineChars="200"/>
        <w:jc w:val="center"/>
        <w:rPr>
          <w:rFonts w:hint="eastAsia" w:ascii="宋体" w:hAnsi="宋体" w:eastAsia="宋体" w:cs="宋体"/>
          <w:color w:val="auto"/>
          <w:sz w:val="32"/>
          <w:szCs w:val="32"/>
          <w:highlight w:val="none"/>
        </w:rPr>
      </w:pPr>
    </w:p>
    <w:p>
      <w:pPr>
        <w:spacing w:line="560" w:lineRule="exact"/>
        <w:rPr>
          <w:rFonts w:hint="eastAsia" w:ascii="宋体" w:hAnsi="宋体" w:eastAsia="宋体" w:cs="宋体"/>
          <w:color w:val="auto"/>
          <w:sz w:val="32"/>
          <w:szCs w:val="32"/>
          <w:highlight w:val="none"/>
        </w:rPr>
      </w:pPr>
    </w:p>
    <w:p>
      <w:pPr>
        <w:pStyle w:val="3"/>
        <w:rPr>
          <w:rFonts w:hint="eastAsia" w:ascii="宋体" w:hAnsi="宋体" w:eastAsia="宋体" w:cs="宋体"/>
          <w:color w:val="auto"/>
          <w:sz w:val="32"/>
          <w:szCs w:val="32"/>
          <w:highlight w:val="none"/>
        </w:rPr>
        <w:sectPr>
          <w:headerReference r:id="rId5" w:type="first"/>
          <w:footerReference r:id="rId7" w:type="first"/>
          <w:headerReference r:id="rId3" w:type="default"/>
          <w:headerReference r:id="rId4" w:type="even"/>
          <w:footerReference r:id="rId6" w:type="even"/>
          <w:pgSz w:w="11906" w:h="16838"/>
          <w:pgMar w:top="1440" w:right="1406" w:bottom="1440" w:left="1633" w:header="851" w:footer="992" w:gutter="0"/>
          <w:pgBorders>
            <w:top w:val="none" w:sz="0" w:space="0"/>
            <w:left w:val="none" w:sz="0" w:space="0"/>
            <w:bottom w:val="none" w:sz="0" w:space="0"/>
            <w:right w:val="none" w:sz="0" w:space="0"/>
          </w:pgBorders>
          <w:cols w:space="425" w:num="1"/>
          <w:docGrid w:type="linesAndChars" w:linePitch="420" w:charSpace="0"/>
        </w:sectPr>
      </w:pPr>
      <w:bookmarkStart w:id="2" w:name="_Toc18285"/>
      <w:bookmarkStart w:id="3" w:name="_Toc19033"/>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TIME \@ "yyyy年M月"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2022年10月</w:t>
      </w:r>
      <w:r>
        <w:rPr>
          <w:rFonts w:hint="eastAsia" w:ascii="宋体" w:hAnsi="宋体" w:eastAsia="宋体" w:cs="宋体"/>
          <w:color w:val="auto"/>
          <w:sz w:val="32"/>
          <w:szCs w:val="32"/>
          <w:highlight w:val="none"/>
        </w:rPr>
        <w:fldChar w:fldCharType="end"/>
      </w:r>
      <w:bookmarkEnd w:id="2"/>
      <w:bookmarkEnd w:id="3"/>
      <w:bookmarkStart w:id="4" w:name="_Toc100219612"/>
    </w:p>
    <w:sdt>
      <w:sdtPr>
        <w:rPr>
          <w:rFonts w:ascii="宋体" w:hAnsi="宋体" w:eastAsia="宋体" w:cs="Times New Roman"/>
          <w:b/>
          <w:bCs/>
          <w:color w:val="auto"/>
          <w:sz w:val="40"/>
          <w:szCs w:val="48"/>
          <w:highlight w:val="none"/>
          <w:lang w:val="en-US" w:eastAsia="zh-CN" w:bidi="ar-SA"/>
        </w:rPr>
        <w:id w:val="147475430"/>
        <w15:color w:val="DBDBDB"/>
        <w:docPartObj>
          <w:docPartGallery w:val="Table of Contents"/>
          <w:docPartUnique/>
        </w:docPartObj>
      </w:sdtPr>
      <w:sdtEndPr>
        <w:rPr>
          <w:rFonts w:hint="eastAsia" w:ascii="宋体" w:hAnsi="宋体" w:eastAsia="宋体" w:cs="宋体"/>
          <w:b/>
          <w:bCs/>
          <w:color w:val="auto"/>
          <w:sz w:val="44"/>
          <w:szCs w:val="44"/>
          <w:highlight w:val="none"/>
          <w:lang w:val="en-US" w:eastAsia="zh-CN" w:bidi="ar-SA"/>
        </w:rPr>
      </w:sdtEndPr>
      <w:sdtContent>
        <w:p>
          <w:pPr>
            <w:spacing w:before="0" w:beforeLines="0" w:after="0" w:afterLines="0" w:line="240" w:lineRule="auto"/>
            <w:ind w:left="0" w:leftChars="0" w:right="0" w:rightChars="0" w:firstLine="0" w:firstLineChars="0"/>
            <w:jc w:val="center"/>
            <w:rPr>
              <w:b/>
              <w:bCs/>
              <w:color w:val="auto"/>
              <w:sz w:val="48"/>
              <w:szCs w:val="48"/>
              <w:highlight w:val="none"/>
            </w:rPr>
          </w:pPr>
          <w:r>
            <w:rPr>
              <w:rFonts w:ascii="宋体" w:hAnsi="宋体" w:eastAsia="宋体"/>
              <w:b/>
              <w:bCs/>
              <w:color w:val="auto"/>
              <w:sz w:val="40"/>
              <w:szCs w:val="48"/>
              <w:highlight w:val="none"/>
            </w:rPr>
            <w:t>目</w:t>
          </w:r>
          <w:r>
            <w:rPr>
              <w:rFonts w:hint="eastAsia" w:ascii="宋体" w:hAnsi="宋体" w:eastAsia="宋体"/>
              <w:b/>
              <w:bCs/>
              <w:color w:val="auto"/>
              <w:sz w:val="40"/>
              <w:szCs w:val="48"/>
              <w:highlight w:val="none"/>
              <w:lang w:val="en-US" w:eastAsia="zh-CN"/>
            </w:rPr>
            <w:t xml:space="preserve">  </w:t>
          </w:r>
          <w:r>
            <w:rPr>
              <w:rFonts w:ascii="宋体" w:hAnsi="宋体" w:eastAsia="宋体"/>
              <w:b/>
              <w:bCs/>
              <w:color w:val="auto"/>
              <w:sz w:val="40"/>
              <w:szCs w:val="48"/>
              <w:highlight w:val="none"/>
            </w:rPr>
            <w:t>录</w:t>
          </w:r>
        </w:p>
        <w:p>
          <w:pPr>
            <w:pStyle w:val="102"/>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TOC \o "1-3" \h \u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_Toc12120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第一章  招标公告</w:t>
          </w:r>
          <w:r>
            <w:rPr>
              <w:color w:val="auto"/>
              <w:sz w:val="24"/>
              <w:szCs w:val="24"/>
              <w:highlight w:val="none"/>
            </w:rPr>
            <w:tab/>
          </w:r>
          <w:r>
            <w:rPr>
              <w:rFonts w:hint="eastAsia"/>
              <w:color w:val="auto"/>
              <w:sz w:val="24"/>
              <w:szCs w:val="24"/>
              <w:highlight w:val="none"/>
              <w:lang w:val="en-US" w:eastAsia="zh-CN"/>
            </w:rPr>
            <w:t>4</w:t>
          </w:r>
          <w:r>
            <w:rPr>
              <w:rFonts w:hint="eastAsia" w:ascii="宋体" w:hAnsi="宋体" w:eastAsia="宋体" w:cs="宋体"/>
              <w:color w:val="auto"/>
              <w:sz w:val="24"/>
              <w:szCs w:val="24"/>
              <w:highlight w:val="none"/>
            </w:rPr>
            <w:fldChar w:fldCharType="end"/>
          </w:r>
        </w:p>
        <w:p>
          <w:pPr>
            <w:pStyle w:val="102"/>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_Toc1830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第二章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须知</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_Toc1830 \h </w:instrText>
          </w:r>
          <w:r>
            <w:rPr>
              <w:color w:val="auto"/>
              <w:sz w:val="24"/>
              <w:szCs w:val="24"/>
              <w:highlight w:val="none"/>
            </w:rPr>
            <w:fldChar w:fldCharType="separate"/>
          </w:r>
          <w:r>
            <w:rPr>
              <w:color w:val="auto"/>
              <w:sz w:val="24"/>
              <w:szCs w:val="24"/>
              <w:highlight w:val="none"/>
            </w:rPr>
            <w:t>9</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_Toc28595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一、有关定义</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_Toc28595 \h </w:instrText>
          </w:r>
          <w:r>
            <w:rPr>
              <w:color w:val="auto"/>
              <w:sz w:val="24"/>
              <w:szCs w:val="24"/>
              <w:highlight w:val="none"/>
            </w:rPr>
            <w:fldChar w:fldCharType="separate"/>
          </w:r>
          <w:r>
            <w:rPr>
              <w:color w:val="auto"/>
              <w:sz w:val="24"/>
              <w:szCs w:val="24"/>
              <w:highlight w:val="none"/>
            </w:rPr>
            <w:t>13</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_Toc18249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注意事项</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_Toc18249 \h </w:instrText>
          </w:r>
          <w:r>
            <w:rPr>
              <w:color w:val="auto"/>
              <w:sz w:val="24"/>
              <w:szCs w:val="24"/>
              <w:highlight w:val="none"/>
            </w:rPr>
            <w:fldChar w:fldCharType="separate"/>
          </w:r>
          <w:r>
            <w:rPr>
              <w:color w:val="auto"/>
              <w:sz w:val="24"/>
              <w:szCs w:val="24"/>
              <w:highlight w:val="none"/>
            </w:rPr>
            <w:t>13</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_Toc2975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投标流程</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_Toc2975 \h </w:instrText>
          </w:r>
          <w:r>
            <w:rPr>
              <w:color w:val="auto"/>
              <w:sz w:val="24"/>
              <w:szCs w:val="24"/>
              <w:highlight w:val="none"/>
            </w:rPr>
            <w:fldChar w:fldCharType="separate"/>
          </w:r>
          <w:r>
            <w:rPr>
              <w:color w:val="auto"/>
              <w:sz w:val="24"/>
              <w:szCs w:val="24"/>
              <w:highlight w:val="none"/>
            </w:rPr>
            <w:t>13</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_Toc10189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（二）关于询问、质疑和投诉</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_Toc10189 \h </w:instrText>
          </w:r>
          <w:r>
            <w:rPr>
              <w:color w:val="auto"/>
              <w:sz w:val="24"/>
              <w:szCs w:val="24"/>
              <w:highlight w:val="none"/>
            </w:rPr>
            <w:fldChar w:fldCharType="separate"/>
          </w:r>
          <w:r>
            <w:rPr>
              <w:color w:val="auto"/>
              <w:sz w:val="24"/>
              <w:szCs w:val="24"/>
              <w:highlight w:val="none"/>
            </w:rPr>
            <w:t>15</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4"/>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_Toc415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1．询问</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_Toc415 \h </w:instrText>
          </w:r>
          <w:r>
            <w:rPr>
              <w:color w:val="auto"/>
              <w:sz w:val="24"/>
              <w:szCs w:val="24"/>
              <w:highlight w:val="none"/>
            </w:rPr>
            <w:fldChar w:fldCharType="separate"/>
          </w:r>
          <w:r>
            <w:rPr>
              <w:color w:val="auto"/>
              <w:sz w:val="24"/>
              <w:szCs w:val="24"/>
              <w:highlight w:val="none"/>
            </w:rPr>
            <w:t>15</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4"/>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_Toc27463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2．质疑</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_Toc27463 \h </w:instrText>
          </w:r>
          <w:r>
            <w:rPr>
              <w:color w:val="auto"/>
              <w:sz w:val="24"/>
              <w:szCs w:val="24"/>
              <w:highlight w:val="none"/>
            </w:rPr>
            <w:fldChar w:fldCharType="separate"/>
          </w:r>
          <w:r>
            <w:rPr>
              <w:color w:val="auto"/>
              <w:sz w:val="24"/>
              <w:szCs w:val="24"/>
              <w:highlight w:val="none"/>
            </w:rPr>
            <w:t>15</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4"/>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3．投诉</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_Toc609 \h </w:instrText>
          </w:r>
          <w:r>
            <w:rPr>
              <w:color w:val="auto"/>
              <w:sz w:val="24"/>
              <w:szCs w:val="24"/>
              <w:highlight w:val="none"/>
            </w:rPr>
            <w:fldChar w:fldCharType="separate"/>
          </w:r>
          <w:r>
            <w:rPr>
              <w:color w:val="auto"/>
              <w:sz w:val="24"/>
              <w:szCs w:val="24"/>
              <w:highlight w:val="none"/>
            </w:rPr>
            <w:t>16</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4"/>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_Toc21647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4．恶意质疑、投诉的法律后果</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_Toc21647 \h </w:instrText>
          </w:r>
          <w:r>
            <w:rPr>
              <w:color w:val="auto"/>
              <w:sz w:val="24"/>
              <w:szCs w:val="24"/>
              <w:highlight w:val="none"/>
            </w:rPr>
            <w:fldChar w:fldCharType="separate"/>
          </w:r>
          <w:r>
            <w:rPr>
              <w:color w:val="auto"/>
              <w:sz w:val="24"/>
              <w:szCs w:val="24"/>
              <w:highlight w:val="none"/>
            </w:rPr>
            <w:t>16</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_Toc7297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（三）关于保证金</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_Toc7297 \h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_Toc9936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（四）关于联合体</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_Toc9936 \h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_Toc18164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（五）关于进口产品</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_Toc18164 \h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_Toc28193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（六）关于政府采购政策</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_Toc28193 \h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4"/>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_Toc29567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1．对中小企业、监狱企业、残疾人福利性单位的优惠政策</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_Toc29567 \h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4"/>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_Toc32162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2．节能、环保产品采购政策</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_Toc32162 \h </w:instrText>
          </w:r>
          <w:r>
            <w:rPr>
              <w:color w:val="auto"/>
              <w:sz w:val="24"/>
              <w:szCs w:val="24"/>
              <w:highlight w:val="none"/>
            </w:rPr>
            <w:fldChar w:fldCharType="separate"/>
          </w:r>
          <w:r>
            <w:rPr>
              <w:color w:val="auto"/>
              <w:sz w:val="24"/>
              <w:szCs w:val="24"/>
              <w:highlight w:val="none"/>
            </w:rPr>
            <w:t>18</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4"/>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_Toc12208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3．陕西省中小企业政府采购信用融资办法</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_Toc12208 \h </w:instrText>
          </w:r>
          <w:r>
            <w:rPr>
              <w:color w:val="auto"/>
              <w:sz w:val="24"/>
              <w:szCs w:val="24"/>
              <w:highlight w:val="none"/>
            </w:rPr>
            <w:fldChar w:fldCharType="separate"/>
          </w:r>
          <w:r>
            <w:rPr>
              <w:color w:val="auto"/>
              <w:sz w:val="24"/>
              <w:szCs w:val="24"/>
              <w:highlight w:val="none"/>
            </w:rPr>
            <w:t>19</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_Toc2708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（七）关于现场踏勘和集中答疑</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_Toc2708 \h </w:instrText>
          </w:r>
          <w:r>
            <w:rPr>
              <w:color w:val="auto"/>
              <w:sz w:val="24"/>
              <w:szCs w:val="24"/>
              <w:highlight w:val="none"/>
            </w:rPr>
            <w:fldChar w:fldCharType="separate"/>
          </w:r>
          <w:r>
            <w:rPr>
              <w:color w:val="auto"/>
              <w:sz w:val="24"/>
              <w:szCs w:val="24"/>
              <w:highlight w:val="none"/>
            </w:rPr>
            <w:t>20</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_Toc16237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（八）关于同一品牌产品的处理</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_Toc16237 \h </w:instrText>
          </w:r>
          <w:r>
            <w:rPr>
              <w:color w:val="auto"/>
              <w:sz w:val="24"/>
              <w:szCs w:val="24"/>
              <w:highlight w:val="none"/>
            </w:rPr>
            <w:fldChar w:fldCharType="separate"/>
          </w:r>
          <w:r>
            <w:rPr>
              <w:color w:val="auto"/>
              <w:sz w:val="24"/>
              <w:szCs w:val="24"/>
              <w:highlight w:val="none"/>
            </w:rPr>
            <w:t>20</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_Toc17987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（九）关于知识产权和保密事项</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_Toc17987 \h </w:instrText>
          </w:r>
          <w:r>
            <w:rPr>
              <w:color w:val="auto"/>
              <w:sz w:val="24"/>
              <w:szCs w:val="24"/>
              <w:highlight w:val="none"/>
            </w:rPr>
            <w:fldChar w:fldCharType="separate"/>
          </w:r>
          <w:r>
            <w:rPr>
              <w:color w:val="auto"/>
              <w:sz w:val="24"/>
              <w:szCs w:val="24"/>
              <w:highlight w:val="none"/>
            </w:rPr>
            <w:t>20</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_Toc8141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（十）关于信用记录的查询和使用</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_Toc8141 \h </w:instrText>
          </w:r>
          <w:r>
            <w:rPr>
              <w:color w:val="auto"/>
              <w:sz w:val="24"/>
              <w:szCs w:val="24"/>
              <w:highlight w:val="none"/>
            </w:rPr>
            <w:fldChar w:fldCharType="separate"/>
          </w:r>
          <w:r>
            <w:rPr>
              <w:color w:val="auto"/>
              <w:sz w:val="24"/>
              <w:szCs w:val="24"/>
              <w:highlight w:val="none"/>
            </w:rPr>
            <w:t>20</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_Toc28286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（十一）其他重要事项</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_Toc28286 \h </w:instrText>
          </w:r>
          <w:r>
            <w:rPr>
              <w:color w:val="auto"/>
              <w:sz w:val="24"/>
              <w:szCs w:val="24"/>
              <w:highlight w:val="none"/>
            </w:rPr>
            <w:fldChar w:fldCharType="separate"/>
          </w:r>
          <w:r>
            <w:rPr>
              <w:color w:val="auto"/>
              <w:sz w:val="24"/>
              <w:szCs w:val="24"/>
              <w:highlight w:val="none"/>
            </w:rPr>
            <w:t>21</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_Toc16427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三、招标文件</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_Toc16427 \h </w:instrText>
          </w:r>
          <w:r>
            <w:rPr>
              <w:color w:val="auto"/>
              <w:sz w:val="24"/>
              <w:szCs w:val="24"/>
              <w:highlight w:val="none"/>
            </w:rPr>
            <w:fldChar w:fldCharType="separate"/>
          </w:r>
          <w:r>
            <w:rPr>
              <w:color w:val="auto"/>
              <w:sz w:val="24"/>
              <w:szCs w:val="24"/>
              <w:highlight w:val="none"/>
            </w:rPr>
            <w:t>21</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_Toc25303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（一）招标文件的解释权</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_Toc25303 \h </w:instrText>
          </w:r>
          <w:r>
            <w:rPr>
              <w:color w:val="auto"/>
              <w:sz w:val="24"/>
              <w:szCs w:val="24"/>
              <w:highlight w:val="none"/>
            </w:rPr>
            <w:fldChar w:fldCharType="separate"/>
          </w:r>
          <w:r>
            <w:rPr>
              <w:color w:val="auto"/>
              <w:sz w:val="24"/>
              <w:szCs w:val="24"/>
              <w:highlight w:val="none"/>
            </w:rPr>
            <w:t>21</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（二）招标文件主要内容</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_Toc236 \h </w:instrText>
          </w:r>
          <w:r>
            <w:rPr>
              <w:color w:val="auto"/>
              <w:sz w:val="24"/>
              <w:szCs w:val="24"/>
              <w:highlight w:val="none"/>
            </w:rPr>
            <w:fldChar w:fldCharType="separate"/>
          </w:r>
          <w:r>
            <w:rPr>
              <w:color w:val="auto"/>
              <w:sz w:val="24"/>
              <w:szCs w:val="24"/>
              <w:highlight w:val="none"/>
            </w:rPr>
            <w:t>21</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_Toc27851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（三）招标文件的检查及阅读</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_Toc27851 \h </w:instrText>
          </w:r>
          <w:r>
            <w:rPr>
              <w:color w:val="auto"/>
              <w:sz w:val="24"/>
              <w:szCs w:val="24"/>
              <w:highlight w:val="none"/>
            </w:rPr>
            <w:fldChar w:fldCharType="separate"/>
          </w:r>
          <w:r>
            <w:rPr>
              <w:color w:val="auto"/>
              <w:sz w:val="24"/>
              <w:szCs w:val="24"/>
              <w:highlight w:val="none"/>
            </w:rPr>
            <w:t>22</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_Toc3462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（四）招标文件的修改、澄清</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_Toc3462 \h </w:instrText>
          </w:r>
          <w:r>
            <w:rPr>
              <w:color w:val="auto"/>
              <w:sz w:val="24"/>
              <w:szCs w:val="24"/>
              <w:highlight w:val="none"/>
            </w:rPr>
            <w:fldChar w:fldCharType="separate"/>
          </w:r>
          <w:r>
            <w:rPr>
              <w:color w:val="auto"/>
              <w:sz w:val="24"/>
              <w:szCs w:val="24"/>
              <w:highlight w:val="none"/>
            </w:rPr>
            <w:t>22</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_Toc6721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四、投标文件</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_Toc6721 \h </w:instrText>
          </w:r>
          <w:r>
            <w:rPr>
              <w:color w:val="auto"/>
              <w:sz w:val="24"/>
              <w:szCs w:val="24"/>
              <w:highlight w:val="none"/>
            </w:rPr>
            <w:fldChar w:fldCharType="separate"/>
          </w:r>
          <w:r>
            <w:rPr>
              <w:color w:val="auto"/>
              <w:sz w:val="24"/>
              <w:szCs w:val="24"/>
              <w:highlight w:val="none"/>
            </w:rPr>
            <w:t>23</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_Toc4984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（一）投标文件的式样</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_Toc4984 \h </w:instrText>
          </w:r>
          <w:r>
            <w:rPr>
              <w:color w:val="auto"/>
              <w:sz w:val="24"/>
              <w:szCs w:val="24"/>
              <w:highlight w:val="none"/>
            </w:rPr>
            <w:fldChar w:fldCharType="separate"/>
          </w:r>
          <w:r>
            <w:rPr>
              <w:color w:val="auto"/>
              <w:sz w:val="24"/>
              <w:szCs w:val="24"/>
              <w:highlight w:val="none"/>
            </w:rPr>
            <w:t>23</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_Toc24886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（二）投标文件的有效期</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_Toc24886 \h </w:instrText>
          </w:r>
          <w:r>
            <w:rPr>
              <w:color w:val="auto"/>
              <w:sz w:val="24"/>
              <w:szCs w:val="24"/>
              <w:highlight w:val="none"/>
            </w:rPr>
            <w:fldChar w:fldCharType="separate"/>
          </w:r>
          <w:r>
            <w:rPr>
              <w:color w:val="auto"/>
              <w:sz w:val="24"/>
              <w:szCs w:val="24"/>
              <w:highlight w:val="none"/>
            </w:rPr>
            <w:t>23</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_Toc7102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（三）投标报价</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_Toc7102 \h </w:instrText>
          </w:r>
          <w:r>
            <w:rPr>
              <w:color w:val="auto"/>
              <w:sz w:val="24"/>
              <w:szCs w:val="24"/>
              <w:highlight w:val="none"/>
            </w:rPr>
            <w:fldChar w:fldCharType="separate"/>
          </w:r>
          <w:r>
            <w:rPr>
              <w:color w:val="auto"/>
              <w:sz w:val="24"/>
              <w:szCs w:val="24"/>
              <w:highlight w:val="none"/>
            </w:rPr>
            <w:t>23</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_Toc6077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（四）投标文件的制作和签章</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_Toc6077 \h </w:instrText>
          </w:r>
          <w:r>
            <w:rPr>
              <w:color w:val="auto"/>
              <w:sz w:val="24"/>
              <w:szCs w:val="24"/>
              <w:highlight w:val="none"/>
            </w:rPr>
            <w:fldChar w:fldCharType="separate"/>
          </w:r>
          <w:r>
            <w:rPr>
              <w:color w:val="auto"/>
              <w:sz w:val="24"/>
              <w:szCs w:val="24"/>
              <w:highlight w:val="none"/>
            </w:rPr>
            <w:t>24</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_Toc8936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（五）投标文件的加密和提交</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_Toc8936 \h </w:instrText>
          </w:r>
          <w:r>
            <w:rPr>
              <w:color w:val="auto"/>
              <w:sz w:val="24"/>
              <w:szCs w:val="24"/>
              <w:highlight w:val="none"/>
            </w:rPr>
            <w:fldChar w:fldCharType="separate"/>
          </w:r>
          <w:r>
            <w:rPr>
              <w:color w:val="auto"/>
              <w:sz w:val="24"/>
              <w:szCs w:val="24"/>
              <w:highlight w:val="none"/>
            </w:rPr>
            <w:t>25</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_Toc15901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（六）投标文件的补充、修改和撤回</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_Toc15901 \h </w:instrText>
          </w:r>
          <w:r>
            <w:rPr>
              <w:color w:val="auto"/>
              <w:sz w:val="24"/>
              <w:szCs w:val="24"/>
              <w:highlight w:val="none"/>
            </w:rPr>
            <w:fldChar w:fldCharType="separate"/>
          </w:r>
          <w:r>
            <w:rPr>
              <w:color w:val="auto"/>
              <w:sz w:val="24"/>
              <w:szCs w:val="24"/>
              <w:highlight w:val="none"/>
            </w:rPr>
            <w:t>26</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_Toc18383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（七）关于投标文件的雷同性分析</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_Toc18383 \h </w:instrText>
          </w:r>
          <w:r>
            <w:rPr>
              <w:color w:val="auto"/>
              <w:sz w:val="24"/>
              <w:szCs w:val="24"/>
              <w:highlight w:val="none"/>
            </w:rPr>
            <w:fldChar w:fldCharType="separate"/>
          </w:r>
          <w:r>
            <w:rPr>
              <w:color w:val="auto"/>
              <w:sz w:val="24"/>
              <w:szCs w:val="24"/>
              <w:highlight w:val="none"/>
            </w:rPr>
            <w:t>26</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_Toc9339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（八）投标文件被拒绝接收的情形</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_Toc9339 \h </w:instrText>
          </w:r>
          <w:r>
            <w:rPr>
              <w:color w:val="auto"/>
              <w:sz w:val="24"/>
              <w:szCs w:val="24"/>
              <w:highlight w:val="none"/>
            </w:rPr>
            <w:fldChar w:fldCharType="separate"/>
          </w:r>
          <w:r>
            <w:rPr>
              <w:color w:val="auto"/>
              <w:sz w:val="24"/>
              <w:szCs w:val="24"/>
              <w:highlight w:val="none"/>
            </w:rPr>
            <w:t>27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_Toc15904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五、开标程序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_Toc15904 \h </w:instrText>
          </w:r>
          <w:r>
            <w:rPr>
              <w:color w:val="auto"/>
              <w:sz w:val="24"/>
              <w:szCs w:val="24"/>
              <w:highlight w:val="none"/>
            </w:rPr>
            <w:fldChar w:fldCharType="separate"/>
          </w:r>
          <w:r>
            <w:rPr>
              <w:color w:val="auto"/>
              <w:sz w:val="24"/>
              <w:szCs w:val="24"/>
              <w:highlight w:val="none"/>
            </w:rPr>
            <w:t>27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_Toc19303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（一）“不见面开标”基本流程</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_Toc19303 \h </w:instrText>
          </w:r>
          <w:r>
            <w:rPr>
              <w:color w:val="auto"/>
              <w:sz w:val="24"/>
              <w:szCs w:val="24"/>
              <w:highlight w:val="none"/>
            </w:rPr>
            <w:fldChar w:fldCharType="separate"/>
          </w:r>
          <w:r>
            <w:rPr>
              <w:color w:val="auto"/>
              <w:sz w:val="24"/>
              <w:szCs w:val="24"/>
              <w:highlight w:val="none"/>
            </w:rPr>
            <w:t>27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_Toc6494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）开标环节投标文件视为无效的情形</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_Toc6494 \h </w:instrText>
          </w:r>
          <w:r>
            <w:rPr>
              <w:color w:val="auto"/>
              <w:sz w:val="24"/>
              <w:szCs w:val="24"/>
              <w:highlight w:val="none"/>
            </w:rPr>
            <w:fldChar w:fldCharType="separate"/>
          </w:r>
          <w:r>
            <w:rPr>
              <w:color w:val="auto"/>
              <w:sz w:val="24"/>
              <w:szCs w:val="24"/>
              <w:highlight w:val="none"/>
            </w:rPr>
            <w:t>28</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_Toc195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）突发状况的应急处置</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_Toc195 \h </w:instrText>
          </w:r>
          <w:r>
            <w:rPr>
              <w:color w:val="auto"/>
              <w:sz w:val="24"/>
              <w:szCs w:val="24"/>
              <w:highlight w:val="none"/>
            </w:rPr>
            <w:fldChar w:fldCharType="separate"/>
          </w:r>
          <w:r>
            <w:rPr>
              <w:color w:val="auto"/>
              <w:sz w:val="24"/>
              <w:szCs w:val="24"/>
              <w:highlight w:val="none"/>
            </w:rPr>
            <w:t>28</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_Toc32425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六、资格审查</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_Toc32425 \h </w:instrText>
          </w:r>
          <w:r>
            <w:rPr>
              <w:color w:val="auto"/>
              <w:sz w:val="24"/>
              <w:szCs w:val="24"/>
              <w:highlight w:val="none"/>
            </w:rPr>
            <w:fldChar w:fldCharType="separate"/>
          </w:r>
          <w:r>
            <w:rPr>
              <w:color w:val="auto"/>
              <w:sz w:val="24"/>
              <w:szCs w:val="24"/>
              <w:highlight w:val="none"/>
            </w:rPr>
            <w:t>28</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_Toc12520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七、评审方法和程序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_Toc12520 \h </w:instrText>
          </w:r>
          <w:r>
            <w:rPr>
              <w:color w:val="auto"/>
              <w:sz w:val="24"/>
              <w:szCs w:val="24"/>
              <w:highlight w:val="none"/>
            </w:rPr>
            <w:fldChar w:fldCharType="separate"/>
          </w:r>
          <w:r>
            <w:rPr>
              <w:color w:val="auto"/>
              <w:sz w:val="24"/>
              <w:szCs w:val="24"/>
              <w:highlight w:val="none"/>
            </w:rPr>
            <w:t>32</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_Toc32195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（一）评标方法</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_Toc32195 \h </w:instrText>
          </w:r>
          <w:r>
            <w:rPr>
              <w:color w:val="auto"/>
              <w:sz w:val="24"/>
              <w:szCs w:val="24"/>
              <w:highlight w:val="none"/>
            </w:rPr>
            <w:fldChar w:fldCharType="separate"/>
          </w:r>
          <w:r>
            <w:rPr>
              <w:color w:val="auto"/>
              <w:sz w:val="24"/>
              <w:szCs w:val="24"/>
              <w:highlight w:val="none"/>
            </w:rPr>
            <w:t>32</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_Toc30239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（二）评标程序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_Toc30239 \h </w:instrText>
          </w:r>
          <w:r>
            <w:rPr>
              <w:color w:val="auto"/>
              <w:sz w:val="24"/>
              <w:szCs w:val="24"/>
              <w:highlight w:val="none"/>
            </w:rPr>
            <w:fldChar w:fldCharType="separate"/>
          </w:r>
          <w:r>
            <w:rPr>
              <w:color w:val="auto"/>
              <w:sz w:val="24"/>
              <w:szCs w:val="24"/>
              <w:highlight w:val="none"/>
            </w:rPr>
            <w:t>32</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_Toc30859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（三）评标争议处理规则</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_Toc30859 \h </w:instrText>
          </w:r>
          <w:r>
            <w:rPr>
              <w:color w:val="auto"/>
              <w:sz w:val="24"/>
              <w:szCs w:val="24"/>
              <w:highlight w:val="none"/>
            </w:rPr>
            <w:fldChar w:fldCharType="separate"/>
          </w:r>
          <w:r>
            <w:rPr>
              <w:color w:val="auto"/>
              <w:sz w:val="24"/>
              <w:szCs w:val="24"/>
              <w:highlight w:val="none"/>
            </w:rPr>
            <w:t>37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_Toc2900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（四）评审现场人员的保密责任</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_Toc2900 \h </w:instrText>
          </w:r>
          <w:r>
            <w:rPr>
              <w:color w:val="auto"/>
              <w:sz w:val="24"/>
              <w:szCs w:val="24"/>
              <w:highlight w:val="none"/>
            </w:rPr>
            <w:fldChar w:fldCharType="separate"/>
          </w:r>
          <w:r>
            <w:rPr>
              <w:color w:val="auto"/>
              <w:sz w:val="24"/>
              <w:szCs w:val="24"/>
              <w:highlight w:val="none"/>
            </w:rPr>
            <w:t>38</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_Toc20093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（五）视同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串通投标的情形，其投标无效：</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_Toc20093 \h </w:instrText>
          </w:r>
          <w:r>
            <w:rPr>
              <w:color w:val="auto"/>
              <w:sz w:val="24"/>
              <w:szCs w:val="24"/>
              <w:highlight w:val="none"/>
            </w:rPr>
            <w:fldChar w:fldCharType="separate"/>
          </w:r>
          <w:r>
            <w:rPr>
              <w:color w:val="auto"/>
              <w:sz w:val="24"/>
              <w:szCs w:val="24"/>
              <w:highlight w:val="none"/>
            </w:rPr>
            <w:t>38</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_Toc31588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八、中标</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_Toc31588 \h </w:instrText>
          </w:r>
          <w:r>
            <w:rPr>
              <w:color w:val="auto"/>
              <w:sz w:val="24"/>
              <w:szCs w:val="24"/>
              <w:highlight w:val="none"/>
            </w:rPr>
            <w:fldChar w:fldCharType="separate"/>
          </w:r>
          <w:r>
            <w:rPr>
              <w:color w:val="auto"/>
              <w:sz w:val="24"/>
              <w:szCs w:val="24"/>
              <w:highlight w:val="none"/>
            </w:rPr>
            <w:t>38</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_Toc3816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九、合同签订、履行及验收</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_Toc3816 \h </w:instrText>
          </w:r>
          <w:r>
            <w:rPr>
              <w:color w:val="auto"/>
              <w:sz w:val="24"/>
              <w:szCs w:val="24"/>
              <w:highlight w:val="none"/>
            </w:rPr>
            <w:fldChar w:fldCharType="separate"/>
          </w:r>
          <w:r>
            <w:rPr>
              <w:color w:val="auto"/>
              <w:sz w:val="24"/>
              <w:szCs w:val="24"/>
              <w:highlight w:val="none"/>
            </w:rPr>
            <w:t>39</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_Toc30314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（一）签订政府采购合同</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_Toc30314 \h </w:instrText>
          </w:r>
          <w:r>
            <w:rPr>
              <w:color w:val="auto"/>
              <w:sz w:val="24"/>
              <w:szCs w:val="24"/>
              <w:highlight w:val="none"/>
            </w:rPr>
            <w:fldChar w:fldCharType="separate"/>
          </w:r>
          <w:r>
            <w:rPr>
              <w:color w:val="auto"/>
              <w:sz w:val="24"/>
              <w:szCs w:val="24"/>
              <w:highlight w:val="none"/>
            </w:rPr>
            <w:t>39</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_Toc993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（二）合同公告及备案</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_Toc993 \h </w:instrText>
          </w:r>
          <w:r>
            <w:rPr>
              <w:color w:val="auto"/>
              <w:sz w:val="24"/>
              <w:szCs w:val="24"/>
              <w:highlight w:val="none"/>
            </w:rPr>
            <w:fldChar w:fldCharType="separate"/>
          </w:r>
          <w:r>
            <w:rPr>
              <w:color w:val="auto"/>
              <w:sz w:val="24"/>
              <w:szCs w:val="24"/>
              <w:highlight w:val="none"/>
            </w:rPr>
            <w:t>40</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_Toc13241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（三）履行合同</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_Toc13241 \h </w:instrText>
          </w:r>
          <w:r>
            <w:rPr>
              <w:color w:val="auto"/>
              <w:sz w:val="24"/>
              <w:szCs w:val="24"/>
              <w:highlight w:val="none"/>
            </w:rPr>
            <w:fldChar w:fldCharType="separate"/>
          </w:r>
          <w:r>
            <w:rPr>
              <w:color w:val="auto"/>
              <w:sz w:val="24"/>
              <w:szCs w:val="24"/>
              <w:highlight w:val="none"/>
            </w:rPr>
            <w:t>40</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_Toc28391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（四）验收或考核</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_Toc28391 \h </w:instrText>
          </w:r>
          <w:r>
            <w:rPr>
              <w:color w:val="auto"/>
              <w:sz w:val="24"/>
              <w:szCs w:val="24"/>
              <w:highlight w:val="none"/>
            </w:rPr>
            <w:fldChar w:fldCharType="separate"/>
          </w:r>
          <w:r>
            <w:rPr>
              <w:color w:val="auto"/>
              <w:sz w:val="24"/>
              <w:szCs w:val="24"/>
              <w:highlight w:val="none"/>
            </w:rPr>
            <w:t>40</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_Toc8941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十、废标及重新招标</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_Toc8941 \h </w:instrText>
          </w:r>
          <w:r>
            <w:rPr>
              <w:color w:val="auto"/>
              <w:sz w:val="24"/>
              <w:szCs w:val="24"/>
              <w:highlight w:val="none"/>
            </w:rPr>
            <w:fldChar w:fldCharType="separate"/>
          </w:r>
          <w:r>
            <w:rPr>
              <w:color w:val="auto"/>
              <w:sz w:val="24"/>
              <w:szCs w:val="24"/>
              <w:highlight w:val="none"/>
            </w:rPr>
            <w:t>41</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2"/>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_Toc17694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第三章  招标内容及要求</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_Toc17694 \h </w:instrText>
          </w:r>
          <w:r>
            <w:rPr>
              <w:color w:val="auto"/>
              <w:sz w:val="24"/>
              <w:szCs w:val="24"/>
              <w:highlight w:val="none"/>
            </w:rPr>
            <w:fldChar w:fldCharType="separate"/>
          </w:r>
          <w:r>
            <w:rPr>
              <w:color w:val="auto"/>
              <w:sz w:val="24"/>
              <w:szCs w:val="24"/>
              <w:highlight w:val="none"/>
            </w:rPr>
            <w:t>42</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2"/>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_Toc20811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第四章  合同文本</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_Toc20811 \h </w:instrText>
          </w:r>
          <w:r>
            <w:rPr>
              <w:color w:val="auto"/>
              <w:sz w:val="24"/>
              <w:szCs w:val="24"/>
              <w:highlight w:val="none"/>
            </w:rPr>
            <w:fldChar w:fldCharType="separate"/>
          </w:r>
          <w:r>
            <w:rPr>
              <w:color w:val="auto"/>
              <w:sz w:val="24"/>
              <w:szCs w:val="24"/>
              <w:highlight w:val="none"/>
            </w:rPr>
            <w:t>47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2"/>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_Toc23737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第五章  投标文件构成及格式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_Toc23737 \h </w:instrText>
          </w:r>
          <w:r>
            <w:rPr>
              <w:color w:val="auto"/>
              <w:sz w:val="24"/>
              <w:szCs w:val="24"/>
              <w:highlight w:val="none"/>
            </w:rPr>
            <w:fldChar w:fldCharType="separate"/>
          </w:r>
          <w:r>
            <w:rPr>
              <w:color w:val="auto"/>
              <w:sz w:val="24"/>
              <w:szCs w:val="24"/>
              <w:highlight w:val="none"/>
            </w:rPr>
            <w:t>58</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3"/>
            <w:keepNext w:val="0"/>
            <w:keepLines w:val="0"/>
            <w:pageBreakBefore w:val="0"/>
            <w:widowControl/>
            <w:kinsoku/>
            <w:wordWrap/>
            <w:overflowPunct/>
            <w:topLinePunct w:val="0"/>
            <w:autoSpaceDE/>
            <w:autoSpaceDN/>
            <w:bidi w:val="0"/>
            <w:adjustRightInd/>
            <w:snapToGrid/>
            <w:spacing w:line="420" w:lineRule="exact"/>
            <w:jc w:val="both"/>
            <w:textAlignment w:val="auto"/>
            <w:outlineLvl w:val="9"/>
            <w:rPr>
              <w:color w:val="auto"/>
              <w:highlight w:val="none"/>
            </w:rPr>
          </w:pPr>
          <w:r>
            <w:rPr>
              <w:rFonts w:hint="eastAsia" w:ascii="宋体" w:hAnsi="宋体" w:eastAsia="宋体" w:cs="宋体"/>
              <w:color w:val="auto"/>
              <w:highlight w:val="none"/>
            </w:rPr>
            <w:fldChar w:fldCharType="end"/>
          </w:r>
          <w:bookmarkStart w:id="5" w:name="_Toc27929"/>
          <w:bookmarkStart w:id="6" w:name="_Toc12120"/>
        </w:p>
      </w:sdtContent>
    </w:sdt>
    <w:p>
      <w:pPr>
        <w:rPr>
          <w:rFonts w:hint="eastAsia"/>
        </w:rPr>
      </w:pPr>
      <w:r>
        <w:rPr>
          <w:rFonts w:hint="eastAsia" w:ascii="宋体" w:hAnsi="宋体" w:eastAsia="宋体" w:cs="宋体"/>
          <w:b/>
          <w:bCs/>
          <w:color w:val="auto"/>
          <w:highlight w:val="none"/>
        </w:rPr>
        <w:br w:type="page"/>
      </w:r>
    </w:p>
    <w:p>
      <w:pPr>
        <w:pStyle w:val="3"/>
        <w:jc w:val="center"/>
        <w:outlineLvl w:val="9"/>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第一章  </w:t>
      </w:r>
      <w:bookmarkEnd w:id="4"/>
      <w:r>
        <w:rPr>
          <w:rFonts w:hint="eastAsia" w:ascii="宋体" w:hAnsi="宋体" w:eastAsia="宋体" w:cs="宋体"/>
          <w:b/>
          <w:bCs/>
          <w:color w:val="auto"/>
          <w:highlight w:val="none"/>
        </w:rPr>
        <w:t>招标公告</w:t>
      </w:r>
      <w:bookmarkEnd w:id="5"/>
      <w:bookmarkEnd w:id="6"/>
    </w:p>
    <w:p>
      <w:pPr>
        <w:pStyle w:val="8"/>
        <w:keepNext w:val="0"/>
        <w:keepLines w:val="0"/>
        <w:pageBreakBefore w:val="0"/>
        <w:widowControl/>
        <w:numPr>
          <w:ilvl w:val="5"/>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520" w:lineRule="exact"/>
        <w:ind w:right="0" w:rightChars="0"/>
        <w:jc w:val="left"/>
        <w:textAlignment w:val="auto"/>
        <w:outlineLvl w:val="1"/>
        <w:rPr>
          <w:rFonts w:hint="eastAsia" w:ascii="宋体" w:hAnsi="宋体" w:eastAsia="宋体" w:cs="宋体"/>
          <w:b w:val="0"/>
          <w:bCs w:val="0"/>
          <w:color w:val="auto"/>
          <w:sz w:val="24"/>
          <w:szCs w:val="24"/>
          <w:highlight w:val="none"/>
        </w:rPr>
      </w:pPr>
      <w:bookmarkStart w:id="7" w:name="_Toc16614"/>
      <w:r>
        <w:rPr>
          <w:rStyle w:val="28"/>
          <w:rFonts w:hint="eastAsia" w:ascii="宋体" w:hAnsi="宋体" w:eastAsia="宋体" w:cs="宋体"/>
          <w:b/>
          <w:bCs/>
          <w:i w:val="0"/>
          <w:iCs w:val="0"/>
          <w:caps w:val="0"/>
          <w:color w:val="auto"/>
          <w:spacing w:val="0"/>
          <w:sz w:val="24"/>
          <w:szCs w:val="24"/>
          <w:highlight w:val="none"/>
          <w:shd w:val="clear" w:fill="FFFFFF"/>
        </w:rPr>
        <w:t>项目概况</w:t>
      </w:r>
      <w:bookmarkEnd w:id="7"/>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520" w:lineRule="exact"/>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宫腔镜和电子阴道镜系统购置项目</w:t>
      </w:r>
      <w:r>
        <w:rPr>
          <w:rFonts w:hint="eastAsia" w:ascii="宋体" w:hAnsi="宋体" w:eastAsia="宋体" w:cs="宋体"/>
          <w:i w:val="0"/>
          <w:iCs w:val="0"/>
          <w:caps w:val="0"/>
          <w:color w:val="auto"/>
          <w:spacing w:val="0"/>
          <w:sz w:val="24"/>
          <w:szCs w:val="24"/>
          <w:highlight w:val="none"/>
          <w:shd w:val="clear" w:color="auto" w:fill="auto"/>
        </w:rPr>
        <w:t>的潜在投标人应在全国公共资源交易平台（陕西省·西安市）网站〖首页〉电子交易平台〉陕西政府采购交易系统〉企业端〗获取招标文件，并于</w:t>
      </w:r>
      <w:r>
        <w:rPr>
          <w:rFonts w:hint="eastAsia" w:ascii="宋体" w:hAnsi="宋体" w:eastAsia="宋体" w:cs="宋体"/>
          <w:i w:val="0"/>
          <w:iCs w:val="0"/>
          <w:caps w:val="0"/>
          <w:color w:val="auto"/>
          <w:spacing w:val="0"/>
          <w:sz w:val="24"/>
          <w:szCs w:val="24"/>
          <w:highlight w:val="none"/>
          <w:shd w:val="clear" w:fill="FFFFFF"/>
        </w:rPr>
        <w:t>2022年</w:t>
      </w:r>
      <w:r>
        <w:rPr>
          <w:rFonts w:hint="eastAsia" w:ascii="宋体" w:hAnsi="宋体" w:eastAsia="宋体" w:cs="宋体"/>
          <w:i w:val="0"/>
          <w:iCs w:val="0"/>
          <w:caps w:val="0"/>
          <w:color w:val="auto"/>
          <w:spacing w:val="0"/>
          <w:sz w:val="24"/>
          <w:szCs w:val="24"/>
          <w:highlight w:val="none"/>
          <w:shd w:val="clear" w:fill="FFFFFF"/>
          <w:lang w:val="en-US" w:eastAsia="zh-CN"/>
        </w:rPr>
        <w:t>11</w:t>
      </w:r>
      <w:r>
        <w:rPr>
          <w:rFonts w:hint="eastAsia" w:ascii="宋体" w:hAnsi="宋体" w:eastAsia="宋体" w:cs="宋体"/>
          <w:i w:val="0"/>
          <w:iCs w:val="0"/>
          <w:caps w:val="0"/>
          <w:color w:val="auto"/>
          <w:spacing w:val="0"/>
          <w:sz w:val="24"/>
          <w:szCs w:val="24"/>
          <w:highlight w:val="none"/>
          <w:shd w:val="clear" w:fill="FFFFFF"/>
        </w:rPr>
        <w:t>月</w:t>
      </w:r>
      <w:r>
        <w:rPr>
          <w:rFonts w:hint="eastAsia" w:ascii="宋体" w:hAnsi="宋体" w:eastAsia="宋体" w:cs="宋体"/>
          <w:i w:val="0"/>
          <w:iCs w:val="0"/>
          <w:caps w:val="0"/>
          <w:color w:val="auto"/>
          <w:spacing w:val="0"/>
          <w:sz w:val="24"/>
          <w:szCs w:val="24"/>
          <w:highlight w:val="none"/>
          <w:shd w:val="clear" w:fill="FFFFFF"/>
          <w:lang w:val="en-US" w:eastAsia="zh-CN"/>
        </w:rPr>
        <w:t>15</w:t>
      </w:r>
      <w:r>
        <w:rPr>
          <w:rFonts w:hint="eastAsia" w:ascii="宋体" w:hAnsi="宋体" w:eastAsia="宋体" w:cs="宋体"/>
          <w:i w:val="0"/>
          <w:iCs w:val="0"/>
          <w:caps w:val="0"/>
          <w:color w:val="auto"/>
          <w:spacing w:val="0"/>
          <w:sz w:val="24"/>
          <w:szCs w:val="24"/>
          <w:highlight w:val="none"/>
          <w:shd w:val="clear" w:fill="FFFFFF"/>
        </w:rPr>
        <w:t>日</w:t>
      </w:r>
      <w:r>
        <w:rPr>
          <w:rFonts w:hint="eastAsia" w:ascii="宋体" w:hAnsi="宋体" w:eastAsia="宋体" w:cs="宋体"/>
          <w:i w:val="0"/>
          <w:iCs w:val="0"/>
          <w:caps w:val="0"/>
          <w:color w:val="auto"/>
          <w:spacing w:val="0"/>
          <w:sz w:val="24"/>
          <w:szCs w:val="24"/>
          <w:highlight w:val="none"/>
          <w:shd w:val="clear" w:fill="FFFFFF"/>
          <w:lang w:val="en-US" w:eastAsia="zh-CN"/>
        </w:rPr>
        <w:t>9</w:t>
      </w:r>
      <w:r>
        <w:rPr>
          <w:rFonts w:hint="eastAsia" w:ascii="宋体" w:hAnsi="宋体" w:eastAsia="宋体" w:cs="宋体"/>
          <w:i w:val="0"/>
          <w:iCs w:val="0"/>
          <w:caps w:val="0"/>
          <w:color w:val="auto"/>
          <w:spacing w:val="0"/>
          <w:sz w:val="24"/>
          <w:szCs w:val="24"/>
          <w:highlight w:val="none"/>
          <w:shd w:val="clear" w:fill="FFFFFF"/>
        </w:rPr>
        <w:t>时00分（北京时间）前递交投标文件。</w:t>
      </w:r>
    </w:p>
    <w:p>
      <w:pPr>
        <w:pStyle w:val="6"/>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Chars="0" w:right="0" w:rightChars="0"/>
        <w:jc w:val="left"/>
        <w:textAlignment w:val="auto"/>
        <w:outlineLvl w:val="1"/>
        <w:rPr>
          <w:rFonts w:hint="eastAsia" w:ascii="宋体" w:hAnsi="宋体" w:eastAsia="宋体" w:cs="宋体"/>
          <w:b w:val="0"/>
          <w:bCs w:val="0"/>
          <w:i w:val="0"/>
          <w:iCs w:val="0"/>
          <w:caps w:val="0"/>
          <w:color w:val="auto"/>
          <w:spacing w:val="0"/>
          <w:sz w:val="24"/>
          <w:szCs w:val="24"/>
          <w:highlight w:val="none"/>
        </w:rPr>
      </w:pPr>
      <w:bookmarkStart w:id="8" w:name="_Toc6010"/>
      <w:r>
        <w:rPr>
          <w:rStyle w:val="28"/>
          <w:rFonts w:hint="eastAsia" w:ascii="宋体" w:hAnsi="宋体" w:eastAsia="宋体" w:cs="宋体"/>
          <w:b/>
          <w:bCs/>
          <w:i w:val="0"/>
          <w:iCs w:val="0"/>
          <w:caps w:val="0"/>
          <w:color w:val="auto"/>
          <w:spacing w:val="0"/>
          <w:sz w:val="24"/>
          <w:szCs w:val="24"/>
          <w:highlight w:val="none"/>
          <w:shd w:val="clear" w:fill="FFFFFF"/>
        </w:rPr>
        <w:t>一、项目基本情况</w:t>
      </w:r>
      <w:bookmarkEnd w:id="8"/>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项目编号：</w:t>
      </w:r>
      <w:r>
        <w:rPr>
          <w:rFonts w:hint="eastAsia" w:ascii="宋体" w:hAnsi="宋体" w:eastAsia="宋体" w:cs="宋体"/>
          <w:i w:val="0"/>
          <w:iCs w:val="0"/>
          <w:caps w:val="0"/>
          <w:color w:val="auto"/>
          <w:spacing w:val="0"/>
          <w:sz w:val="24"/>
          <w:szCs w:val="24"/>
          <w:highlight w:val="none"/>
          <w:shd w:val="clear" w:fill="FFFFFF"/>
          <w:lang w:eastAsia="zh-CN"/>
        </w:rPr>
        <w:t>SDZC2022-286-02</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1680" w:leftChars="200" w:right="0" w:hanging="1200" w:hangingChars="500"/>
        <w:jc w:val="both"/>
        <w:textAlignment w:val="auto"/>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项目名称：</w:t>
      </w:r>
      <w:r>
        <w:rPr>
          <w:rFonts w:hint="eastAsia" w:ascii="宋体" w:hAnsi="宋体" w:eastAsia="宋体" w:cs="宋体"/>
          <w:i w:val="0"/>
          <w:iCs w:val="0"/>
          <w:caps w:val="0"/>
          <w:color w:val="auto"/>
          <w:spacing w:val="0"/>
          <w:sz w:val="24"/>
          <w:szCs w:val="24"/>
          <w:highlight w:val="none"/>
          <w:shd w:val="clear" w:fill="FFFFFF"/>
          <w:lang w:val="en-US" w:eastAsia="zh-CN"/>
        </w:rPr>
        <w:t>宫腔镜系统购置项目</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采购方式：公开招标</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预算金额：</w:t>
      </w:r>
      <w:r>
        <w:rPr>
          <w:rFonts w:hint="eastAsia" w:ascii="宋体" w:hAnsi="宋体" w:eastAsia="宋体" w:cs="宋体"/>
          <w:i w:val="0"/>
          <w:iCs w:val="0"/>
          <w:caps w:val="0"/>
          <w:color w:val="auto"/>
          <w:spacing w:val="0"/>
          <w:sz w:val="24"/>
          <w:szCs w:val="24"/>
          <w:highlight w:val="none"/>
          <w:shd w:val="clear" w:fill="FFFFFF"/>
          <w:lang w:val="en-US" w:eastAsia="zh-CN"/>
        </w:rPr>
        <w:t>170万</w:t>
      </w:r>
      <w:r>
        <w:rPr>
          <w:rFonts w:hint="eastAsia" w:ascii="宋体" w:hAnsi="宋体" w:eastAsia="宋体" w:cs="宋体"/>
          <w:i w:val="0"/>
          <w:iCs w:val="0"/>
          <w:caps w:val="0"/>
          <w:color w:val="auto"/>
          <w:spacing w:val="0"/>
          <w:sz w:val="24"/>
          <w:szCs w:val="24"/>
          <w:highlight w:val="none"/>
          <w:shd w:val="clear" w:fill="FFFFFF"/>
          <w:lang w:val="zh-CN"/>
        </w:rPr>
        <w:t>元</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采购需求：</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eastAsia="zh-CN"/>
        </w:rPr>
        <w:t>合同包2(宫腔镜系统购置):</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eastAsia="zh-CN"/>
        </w:rPr>
        <w:t>合同包预算金额：1,700,000.00元</w:t>
      </w:r>
    </w:p>
    <w:tbl>
      <w:tblPr>
        <w:tblStyle w:val="2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808"/>
        <w:gridCol w:w="1036"/>
        <w:gridCol w:w="1036"/>
        <w:gridCol w:w="1326"/>
        <w:gridCol w:w="1831"/>
        <w:gridCol w:w="1680"/>
        <w:gridCol w:w="13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品目名称</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采购标的</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数量（单位）</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品目预算(元)</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2-1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医用内窥镜</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宫腔镜一套</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1,700,000.00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w:t>
            </w:r>
          </w:p>
        </w:tc>
      </w:tr>
    </w:tbl>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eastAsia="zh-CN"/>
        </w:rPr>
        <w:t>本合同包不接受联合体投标</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lang w:eastAsia="zh-CN"/>
        </w:rPr>
        <w:t>合同履行期限：合同签订之日起30天内，按需配送</w:t>
      </w:r>
    </w:p>
    <w:p>
      <w:pPr>
        <w:pStyle w:val="6"/>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Chars="0" w:right="0" w:rightChars="0"/>
        <w:jc w:val="left"/>
        <w:textAlignment w:val="auto"/>
        <w:outlineLvl w:val="1"/>
        <w:rPr>
          <w:rFonts w:hint="eastAsia" w:ascii="宋体" w:hAnsi="宋体" w:eastAsia="宋体" w:cs="宋体"/>
          <w:b w:val="0"/>
          <w:bCs w:val="0"/>
          <w:i w:val="0"/>
          <w:iCs w:val="0"/>
          <w:caps w:val="0"/>
          <w:color w:val="auto"/>
          <w:spacing w:val="0"/>
          <w:sz w:val="24"/>
          <w:szCs w:val="24"/>
          <w:highlight w:val="none"/>
        </w:rPr>
      </w:pPr>
      <w:bookmarkStart w:id="9" w:name="_Toc13358"/>
      <w:r>
        <w:rPr>
          <w:rStyle w:val="28"/>
          <w:rFonts w:hint="eastAsia" w:ascii="宋体" w:hAnsi="宋体" w:eastAsia="宋体" w:cs="宋体"/>
          <w:b/>
          <w:bCs/>
          <w:i w:val="0"/>
          <w:iCs w:val="0"/>
          <w:caps w:val="0"/>
          <w:color w:val="auto"/>
          <w:spacing w:val="0"/>
          <w:sz w:val="24"/>
          <w:szCs w:val="24"/>
          <w:highlight w:val="none"/>
          <w:shd w:val="clear" w:fill="FFFFFF"/>
        </w:rPr>
        <w:t>二、申请人的资格要求：</w:t>
      </w:r>
      <w:bookmarkEnd w:id="9"/>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1.满足《中华人民共和国政府采购法》第二十二条规定;</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2.落实政府采购政策需满足的资格要求：</w:t>
      </w:r>
      <w:r>
        <w:rPr>
          <w:rFonts w:hint="eastAsia" w:ascii="宋体" w:hAnsi="宋体" w:eastAsia="宋体" w:cs="宋体"/>
          <w:i w:val="0"/>
          <w:iCs w:val="0"/>
          <w:caps w:val="0"/>
          <w:color w:val="auto"/>
          <w:spacing w:val="0"/>
          <w:sz w:val="24"/>
          <w:szCs w:val="24"/>
          <w:highlight w:val="none"/>
          <w:shd w:val="clear" w:fill="FFFFFF"/>
          <w:lang w:val="en-US" w:eastAsia="zh-CN"/>
        </w:rPr>
        <w:t>无</w:t>
      </w:r>
      <w:r>
        <w:rPr>
          <w:rFonts w:hint="eastAsia" w:ascii="宋体" w:hAnsi="宋体" w:eastAsia="宋体" w:cs="宋体"/>
          <w:i w:val="0"/>
          <w:iCs w:val="0"/>
          <w:caps w:val="0"/>
          <w:color w:val="auto"/>
          <w:spacing w:val="0"/>
          <w:sz w:val="24"/>
          <w:szCs w:val="24"/>
          <w:highlight w:val="none"/>
          <w:shd w:val="clear" w:fill="FFFFFF"/>
        </w:rPr>
        <w:t> </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outlineLvl w:val="3"/>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3.本项目的特定资格要求：</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both"/>
        <w:textAlignment w:val="auto"/>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rPr>
        <w:t>合同包</w:t>
      </w:r>
      <w:r>
        <w:rPr>
          <w:rFonts w:hint="eastAsia" w:ascii="宋体" w:hAnsi="宋体" w:eastAsia="宋体" w:cs="宋体"/>
          <w:i w:val="0"/>
          <w:iCs w:val="0"/>
          <w:caps w:val="0"/>
          <w:color w:val="auto"/>
          <w:spacing w:val="0"/>
          <w:sz w:val="24"/>
          <w:szCs w:val="24"/>
          <w:highlight w:val="none"/>
          <w:shd w:val="clear" w:fill="FFFFFF"/>
          <w:lang w:val="en-US" w:eastAsia="zh-CN"/>
        </w:rPr>
        <w:t>1</w:t>
      </w:r>
      <w:r>
        <w:rPr>
          <w:rFonts w:hint="eastAsia" w:ascii="宋体" w:hAnsi="宋体" w:eastAsia="宋体" w:cs="宋体"/>
          <w:i w:val="0"/>
          <w:iCs w:val="0"/>
          <w:caps w:val="0"/>
          <w:color w:val="auto"/>
          <w:spacing w:val="0"/>
          <w:sz w:val="24"/>
          <w:szCs w:val="24"/>
          <w:highlight w:val="none"/>
          <w:shd w:val="clear" w:fill="FFFFFF"/>
        </w:rPr>
        <w:t>(</w:t>
      </w:r>
      <w:r>
        <w:rPr>
          <w:rFonts w:hint="eastAsia" w:ascii="宋体" w:hAnsi="宋体" w:eastAsia="宋体" w:cs="宋体"/>
          <w:i w:val="0"/>
          <w:iCs w:val="0"/>
          <w:caps w:val="0"/>
          <w:color w:val="auto"/>
          <w:spacing w:val="0"/>
          <w:sz w:val="24"/>
          <w:szCs w:val="24"/>
          <w:highlight w:val="none"/>
          <w:shd w:val="clear" w:fill="FFFFFF"/>
          <w:lang w:val="en-US" w:eastAsia="zh-CN"/>
        </w:rPr>
        <w:t>宫腔镜系统购置项目</w:t>
      </w:r>
      <w:r>
        <w:rPr>
          <w:rFonts w:hint="eastAsia" w:ascii="宋体" w:hAnsi="宋体" w:eastAsia="宋体" w:cs="宋体"/>
          <w:i w:val="0"/>
          <w:iCs w:val="0"/>
          <w:caps w:val="0"/>
          <w:color w:val="auto"/>
          <w:spacing w:val="0"/>
          <w:sz w:val="24"/>
          <w:szCs w:val="24"/>
          <w:highlight w:val="none"/>
          <w:shd w:val="clear" w:fill="FFFFFF"/>
        </w:rPr>
        <w:t>)特定资格要求如下: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480" w:right="0" w:firstLine="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3.1</w:t>
      </w:r>
      <w:r>
        <w:rPr>
          <w:rFonts w:hint="eastAsia" w:ascii="宋体" w:hAnsi="宋体" w:eastAsia="宋体" w:cs="宋体"/>
          <w:i w:val="0"/>
          <w:iCs w:val="0"/>
          <w:caps w:val="0"/>
          <w:color w:val="auto"/>
          <w:spacing w:val="0"/>
          <w:sz w:val="24"/>
          <w:szCs w:val="24"/>
          <w:highlight w:val="none"/>
          <w:shd w:val="clear" w:fill="FFFFFF"/>
          <w:lang w:eastAsia="zh-CN"/>
        </w:rPr>
        <w:t xml:space="preserve">法定代表人授权委托书（附法定代表人或负责人身份证复印件及被授权人身份证复印件）；法定代表人或负责人直接参加投标只须提供法定代表人资格证明书（附法定代表人或负责人身份证复印件）； </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480" w:right="0" w:firstLine="0"/>
        <w:jc w:val="both"/>
        <w:textAlignment w:val="auto"/>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lang w:val="en-US" w:eastAsia="zh-CN"/>
        </w:rPr>
        <w:t>3.2</w:t>
      </w:r>
      <w:r>
        <w:rPr>
          <w:rFonts w:ascii="宋体" w:hAnsi="宋体" w:eastAsia="宋体" w:cs="宋体"/>
          <w:color w:val="auto"/>
          <w:sz w:val="24"/>
          <w:szCs w:val="24"/>
        </w:rPr>
        <w:t>投标人须提供医疗器械经营许可证或备案凭证、所投产品生产厂家的医疗器械生产许可证、所投产品医疗器械产品注册证（或备案凭证）</w:t>
      </w:r>
      <w:r>
        <w:rPr>
          <w:rFonts w:hint="eastAsia" w:ascii="宋体" w:hAnsi="宋体" w:eastAsia="宋体" w:cs="宋体"/>
          <w:color w:val="auto"/>
          <w:sz w:val="24"/>
          <w:szCs w:val="24"/>
          <w:lang w:val="en-US" w:eastAsia="zh-CN"/>
        </w:rPr>
        <w:t>；</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480" w:right="0" w:firstLine="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3.3</w:t>
      </w:r>
      <w:r>
        <w:rPr>
          <w:rFonts w:hint="eastAsia" w:ascii="宋体" w:hAnsi="宋体" w:eastAsia="宋体" w:cs="宋体"/>
          <w:i w:val="0"/>
          <w:iCs w:val="0"/>
          <w:caps w:val="0"/>
          <w:color w:val="auto"/>
          <w:spacing w:val="0"/>
          <w:sz w:val="24"/>
          <w:szCs w:val="24"/>
          <w:highlight w:val="none"/>
          <w:shd w:val="clear" w:fill="FFFFFF"/>
        </w:rPr>
        <w:t>不得为“信用中国”网站(http://www.creditchina.gov.cn)列入“失信被执行人</w:t>
      </w:r>
      <w:r>
        <w:rPr>
          <w:rFonts w:hint="eastAsia" w:ascii="宋体" w:hAnsi="宋体" w:eastAsia="宋体" w:cs="宋体"/>
          <w:i w:val="0"/>
          <w:iCs w:val="0"/>
          <w:caps w:val="0"/>
          <w:color w:val="auto"/>
          <w:spacing w:val="0"/>
          <w:sz w:val="24"/>
          <w:szCs w:val="24"/>
          <w:highlight w:val="none"/>
          <w:shd w:val="clear" w:fill="FFFFFF"/>
          <w:lang w:eastAsia="zh-CN"/>
        </w:rPr>
        <w:t>、重大税收违法失信主体、</w:t>
      </w:r>
      <w:r>
        <w:rPr>
          <w:rFonts w:hint="eastAsia" w:ascii="宋体" w:hAnsi="宋体" w:eastAsia="宋体" w:cs="宋体"/>
          <w:i w:val="0"/>
          <w:iCs w:val="0"/>
          <w:caps w:val="0"/>
          <w:color w:val="auto"/>
          <w:spacing w:val="0"/>
          <w:sz w:val="24"/>
          <w:szCs w:val="24"/>
          <w:highlight w:val="none"/>
          <w:shd w:val="clear" w:fill="FFFFFF"/>
        </w:rPr>
        <w:t>政府采购严重违法失信行为记录名单”的</w:t>
      </w:r>
      <w:r>
        <w:rPr>
          <w:rFonts w:hint="eastAsia" w:ascii="宋体" w:hAnsi="宋体" w:eastAsia="宋体" w:cs="宋体"/>
          <w:i w:val="0"/>
          <w:iCs w:val="0"/>
          <w:caps w:val="0"/>
          <w:color w:val="auto"/>
          <w:spacing w:val="0"/>
          <w:sz w:val="24"/>
          <w:szCs w:val="24"/>
          <w:highlight w:val="none"/>
          <w:shd w:val="clear" w:fill="FFFFFF"/>
          <w:lang w:eastAsia="zh-CN"/>
        </w:rPr>
        <w:t>投标人</w:t>
      </w:r>
      <w:r>
        <w:rPr>
          <w:rFonts w:hint="eastAsia" w:ascii="宋体" w:hAnsi="宋体" w:eastAsia="宋体" w:cs="宋体"/>
          <w:i w:val="0"/>
          <w:iCs w:val="0"/>
          <w:caps w:val="0"/>
          <w:color w:val="auto"/>
          <w:spacing w:val="0"/>
          <w:sz w:val="24"/>
          <w:szCs w:val="24"/>
          <w:highlight w:val="none"/>
          <w:shd w:val="clear" w:fill="FFFFFF"/>
        </w:rPr>
        <w:t>；不得为中国政府采购网(http://www.ccgp.gov.cn)“政府采购严重违法失信行为记录名单”中的</w:t>
      </w:r>
      <w:r>
        <w:rPr>
          <w:rFonts w:hint="eastAsia" w:ascii="宋体" w:hAnsi="宋体" w:eastAsia="宋体" w:cs="宋体"/>
          <w:i w:val="0"/>
          <w:iCs w:val="0"/>
          <w:caps w:val="0"/>
          <w:color w:val="auto"/>
          <w:spacing w:val="0"/>
          <w:sz w:val="24"/>
          <w:szCs w:val="24"/>
          <w:highlight w:val="none"/>
          <w:shd w:val="clear" w:fill="FFFFFF"/>
          <w:lang w:eastAsia="zh-CN"/>
        </w:rPr>
        <w:t>投标人</w:t>
      </w:r>
      <w:r>
        <w:rPr>
          <w:rFonts w:hint="eastAsia" w:ascii="宋体" w:hAnsi="宋体" w:eastAsia="宋体" w:cs="宋体"/>
          <w:i w:val="0"/>
          <w:iCs w:val="0"/>
          <w:caps w:val="0"/>
          <w:color w:val="auto"/>
          <w:spacing w:val="0"/>
          <w:sz w:val="24"/>
          <w:szCs w:val="24"/>
          <w:highlight w:val="none"/>
          <w:shd w:val="clear" w:fill="FFFFFF"/>
        </w:rPr>
        <w:t xml:space="preserve">； </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480" w:right="0" w:firstLine="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3.4</w:t>
      </w:r>
      <w:r>
        <w:rPr>
          <w:rFonts w:hint="eastAsia" w:ascii="宋体" w:hAnsi="宋体" w:eastAsia="宋体" w:cs="宋体"/>
          <w:i w:val="0"/>
          <w:iCs w:val="0"/>
          <w:caps w:val="0"/>
          <w:color w:val="auto"/>
          <w:spacing w:val="0"/>
          <w:sz w:val="24"/>
          <w:szCs w:val="24"/>
          <w:highlight w:val="none"/>
          <w:shd w:val="clear" w:fill="FFFFFF"/>
        </w:rPr>
        <w:t>单位负责人为同一人或者存在直接控股、管理关系的不同</w:t>
      </w:r>
      <w:r>
        <w:rPr>
          <w:rFonts w:hint="eastAsia" w:ascii="宋体" w:hAnsi="宋体" w:eastAsia="宋体" w:cs="宋体"/>
          <w:i w:val="0"/>
          <w:iCs w:val="0"/>
          <w:caps w:val="0"/>
          <w:color w:val="auto"/>
          <w:spacing w:val="0"/>
          <w:sz w:val="24"/>
          <w:szCs w:val="24"/>
          <w:highlight w:val="none"/>
          <w:shd w:val="clear" w:fill="FFFFFF"/>
          <w:lang w:eastAsia="zh-CN"/>
        </w:rPr>
        <w:t>投标人</w:t>
      </w:r>
      <w:r>
        <w:rPr>
          <w:rFonts w:hint="eastAsia" w:ascii="宋体" w:hAnsi="宋体" w:eastAsia="宋体" w:cs="宋体"/>
          <w:i w:val="0"/>
          <w:iCs w:val="0"/>
          <w:caps w:val="0"/>
          <w:color w:val="auto"/>
          <w:spacing w:val="0"/>
          <w:sz w:val="24"/>
          <w:szCs w:val="24"/>
          <w:highlight w:val="none"/>
          <w:shd w:val="clear" w:fill="FFFFFF"/>
        </w:rPr>
        <w:t>，不得参加同一合同项下的政府采购活动</w:t>
      </w:r>
      <w:r>
        <w:rPr>
          <w:rFonts w:hint="eastAsia" w:ascii="宋体" w:hAnsi="宋体" w:eastAsia="宋体" w:cs="宋体"/>
          <w:i w:val="0"/>
          <w:iCs w:val="0"/>
          <w:caps w:val="0"/>
          <w:color w:val="auto"/>
          <w:spacing w:val="0"/>
          <w:sz w:val="24"/>
          <w:szCs w:val="24"/>
          <w:highlight w:val="none"/>
          <w:shd w:val="clear" w:fill="FFFFFF"/>
          <w:lang w:eastAsia="zh-CN"/>
        </w:rPr>
        <w:t>。</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480" w:right="0" w:firstLine="0"/>
        <w:jc w:val="both"/>
        <w:textAlignment w:val="auto"/>
        <w:outlineLvl w:val="1"/>
        <w:rPr>
          <w:rFonts w:hint="eastAsia" w:ascii="宋体" w:hAnsi="宋体" w:eastAsia="宋体" w:cs="宋体"/>
          <w:b w:val="0"/>
          <w:bCs w:val="0"/>
          <w:i w:val="0"/>
          <w:iCs w:val="0"/>
          <w:caps w:val="0"/>
          <w:color w:val="auto"/>
          <w:spacing w:val="0"/>
          <w:sz w:val="24"/>
          <w:szCs w:val="24"/>
          <w:highlight w:val="none"/>
        </w:rPr>
      </w:pPr>
      <w:bookmarkStart w:id="10" w:name="_Toc22133"/>
      <w:r>
        <w:rPr>
          <w:rStyle w:val="28"/>
          <w:rFonts w:hint="eastAsia" w:ascii="宋体" w:hAnsi="宋体" w:eastAsia="宋体" w:cs="宋体"/>
          <w:b/>
          <w:bCs/>
          <w:i w:val="0"/>
          <w:iCs w:val="0"/>
          <w:caps w:val="0"/>
          <w:color w:val="auto"/>
          <w:spacing w:val="0"/>
          <w:sz w:val="24"/>
          <w:szCs w:val="24"/>
          <w:highlight w:val="none"/>
          <w:shd w:val="clear" w:fill="FFFFFF"/>
        </w:rPr>
        <w:t>三、获取招标文件</w:t>
      </w:r>
      <w:bookmarkEnd w:id="10"/>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时间：2022年</w:t>
      </w:r>
      <w:r>
        <w:rPr>
          <w:rFonts w:hint="eastAsia" w:ascii="宋体" w:hAnsi="宋体" w:eastAsia="宋体" w:cs="宋体"/>
          <w:i w:val="0"/>
          <w:iCs w:val="0"/>
          <w:caps w:val="0"/>
          <w:color w:val="auto"/>
          <w:spacing w:val="0"/>
          <w:sz w:val="24"/>
          <w:szCs w:val="24"/>
          <w:highlight w:val="none"/>
          <w:shd w:val="clear" w:fill="FFFFFF"/>
          <w:lang w:val="en-US" w:eastAsia="zh-CN"/>
        </w:rPr>
        <w:t>10</w:t>
      </w:r>
      <w:r>
        <w:rPr>
          <w:rFonts w:hint="eastAsia" w:ascii="宋体" w:hAnsi="宋体" w:eastAsia="宋体" w:cs="宋体"/>
          <w:i w:val="0"/>
          <w:iCs w:val="0"/>
          <w:caps w:val="0"/>
          <w:color w:val="auto"/>
          <w:spacing w:val="0"/>
          <w:sz w:val="24"/>
          <w:szCs w:val="24"/>
          <w:highlight w:val="none"/>
          <w:shd w:val="clear" w:fill="FFFFFF"/>
        </w:rPr>
        <w:t>月</w:t>
      </w:r>
      <w:r>
        <w:rPr>
          <w:rFonts w:hint="eastAsia" w:ascii="宋体" w:hAnsi="宋体" w:eastAsia="宋体" w:cs="宋体"/>
          <w:i w:val="0"/>
          <w:iCs w:val="0"/>
          <w:caps w:val="0"/>
          <w:color w:val="auto"/>
          <w:spacing w:val="0"/>
          <w:sz w:val="24"/>
          <w:szCs w:val="24"/>
          <w:highlight w:val="none"/>
          <w:shd w:val="clear" w:fill="FFFFFF"/>
          <w:lang w:val="en-US" w:eastAsia="zh-CN"/>
        </w:rPr>
        <w:t>24</w:t>
      </w:r>
      <w:r>
        <w:rPr>
          <w:rFonts w:hint="eastAsia" w:ascii="宋体" w:hAnsi="宋体" w:eastAsia="宋体" w:cs="宋体"/>
          <w:i w:val="0"/>
          <w:iCs w:val="0"/>
          <w:caps w:val="0"/>
          <w:color w:val="auto"/>
          <w:spacing w:val="0"/>
          <w:sz w:val="24"/>
          <w:szCs w:val="24"/>
          <w:highlight w:val="none"/>
          <w:shd w:val="clear" w:fill="FFFFFF"/>
        </w:rPr>
        <w:t>日至2022年</w:t>
      </w:r>
      <w:r>
        <w:rPr>
          <w:rFonts w:hint="eastAsia" w:ascii="宋体" w:hAnsi="宋体" w:eastAsia="宋体" w:cs="宋体"/>
          <w:i w:val="0"/>
          <w:iCs w:val="0"/>
          <w:caps w:val="0"/>
          <w:color w:val="auto"/>
          <w:spacing w:val="0"/>
          <w:sz w:val="24"/>
          <w:szCs w:val="24"/>
          <w:highlight w:val="none"/>
          <w:shd w:val="clear" w:fill="FFFFFF"/>
          <w:lang w:val="en-US" w:eastAsia="zh-CN"/>
        </w:rPr>
        <w:t>10</w:t>
      </w:r>
      <w:r>
        <w:rPr>
          <w:rFonts w:hint="eastAsia" w:ascii="宋体" w:hAnsi="宋体" w:eastAsia="宋体" w:cs="宋体"/>
          <w:i w:val="0"/>
          <w:iCs w:val="0"/>
          <w:caps w:val="0"/>
          <w:color w:val="auto"/>
          <w:spacing w:val="0"/>
          <w:sz w:val="24"/>
          <w:szCs w:val="24"/>
          <w:highlight w:val="none"/>
          <w:shd w:val="clear" w:fill="FFFFFF"/>
        </w:rPr>
        <w:t>月</w:t>
      </w:r>
      <w:r>
        <w:rPr>
          <w:rFonts w:hint="eastAsia" w:ascii="宋体" w:hAnsi="宋体" w:eastAsia="宋体" w:cs="宋体"/>
          <w:i w:val="0"/>
          <w:iCs w:val="0"/>
          <w:caps w:val="0"/>
          <w:color w:val="auto"/>
          <w:spacing w:val="0"/>
          <w:sz w:val="24"/>
          <w:szCs w:val="24"/>
          <w:highlight w:val="none"/>
          <w:shd w:val="clear" w:fill="FFFFFF"/>
          <w:lang w:val="en-US" w:eastAsia="zh-CN"/>
        </w:rPr>
        <w:t>31</w:t>
      </w:r>
      <w:r>
        <w:rPr>
          <w:rFonts w:hint="eastAsia" w:ascii="宋体" w:hAnsi="宋体" w:eastAsia="宋体" w:cs="宋体"/>
          <w:i w:val="0"/>
          <w:iCs w:val="0"/>
          <w:caps w:val="0"/>
          <w:color w:val="auto"/>
          <w:spacing w:val="0"/>
          <w:sz w:val="24"/>
          <w:szCs w:val="24"/>
          <w:highlight w:val="none"/>
          <w:shd w:val="clear" w:fill="FFFFFF"/>
        </w:rPr>
        <w:t>日，每天上午00:00:00至12:00:00，下午12:00:00至23:59:59（北京时间,法定节假日除外）</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途径：全国公共资源交易平台（陕西省·西安市）网站〖首页〉电子交易平台〉陕西政府采购交易系统〉企业端〗</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方式：在线获取</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售价：免费获取</w:t>
      </w:r>
    </w:p>
    <w:p>
      <w:pPr>
        <w:pStyle w:val="6"/>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Chars="0" w:right="0" w:rightChars="0"/>
        <w:jc w:val="left"/>
        <w:textAlignment w:val="auto"/>
        <w:outlineLvl w:val="1"/>
        <w:rPr>
          <w:rFonts w:hint="eastAsia" w:ascii="宋体" w:hAnsi="宋体" w:eastAsia="宋体" w:cs="宋体"/>
          <w:b w:val="0"/>
          <w:bCs w:val="0"/>
          <w:i w:val="0"/>
          <w:iCs w:val="0"/>
          <w:caps w:val="0"/>
          <w:color w:val="auto"/>
          <w:spacing w:val="0"/>
          <w:sz w:val="24"/>
          <w:szCs w:val="24"/>
          <w:highlight w:val="none"/>
        </w:rPr>
      </w:pPr>
      <w:bookmarkStart w:id="11" w:name="_Toc19895"/>
      <w:r>
        <w:rPr>
          <w:rStyle w:val="28"/>
          <w:rFonts w:hint="eastAsia" w:ascii="宋体" w:hAnsi="宋体" w:eastAsia="宋体" w:cs="宋体"/>
          <w:b/>
          <w:bCs/>
          <w:i w:val="0"/>
          <w:iCs w:val="0"/>
          <w:caps w:val="0"/>
          <w:color w:val="auto"/>
          <w:spacing w:val="0"/>
          <w:sz w:val="24"/>
          <w:szCs w:val="24"/>
          <w:highlight w:val="none"/>
          <w:shd w:val="clear" w:fill="FFFFFF"/>
        </w:rPr>
        <w:t>四、提交投标文件截止时间、开标时间和地点</w:t>
      </w:r>
      <w:bookmarkEnd w:id="11"/>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时间：2022年</w:t>
      </w:r>
      <w:r>
        <w:rPr>
          <w:rFonts w:hint="eastAsia" w:ascii="宋体" w:hAnsi="宋体" w:eastAsia="宋体" w:cs="宋体"/>
          <w:i w:val="0"/>
          <w:iCs w:val="0"/>
          <w:caps w:val="0"/>
          <w:color w:val="auto"/>
          <w:spacing w:val="0"/>
          <w:sz w:val="24"/>
          <w:szCs w:val="24"/>
          <w:highlight w:val="none"/>
          <w:shd w:val="clear" w:fill="FFFFFF"/>
          <w:lang w:val="en-US" w:eastAsia="zh-CN"/>
        </w:rPr>
        <w:t>11</w:t>
      </w:r>
      <w:r>
        <w:rPr>
          <w:rFonts w:hint="eastAsia" w:ascii="宋体" w:hAnsi="宋体" w:eastAsia="宋体" w:cs="宋体"/>
          <w:i w:val="0"/>
          <w:iCs w:val="0"/>
          <w:caps w:val="0"/>
          <w:color w:val="auto"/>
          <w:spacing w:val="0"/>
          <w:sz w:val="24"/>
          <w:szCs w:val="24"/>
          <w:highlight w:val="none"/>
          <w:shd w:val="clear" w:fill="FFFFFF"/>
        </w:rPr>
        <w:t>月</w:t>
      </w:r>
      <w:r>
        <w:rPr>
          <w:rFonts w:hint="eastAsia" w:ascii="宋体" w:hAnsi="宋体" w:eastAsia="宋体" w:cs="宋体"/>
          <w:i w:val="0"/>
          <w:iCs w:val="0"/>
          <w:caps w:val="0"/>
          <w:color w:val="auto"/>
          <w:spacing w:val="0"/>
          <w:sz w:val="24"/>
          <w:szCs w:val="24"/>
          <w:highlight w:val="none"/>
          <w:shd w:val="clear" w:fill="FFFFFF"/>
          <w:lang w:val="en-US" w:eastAsia="zh-CN"/>
        </w:rPr>
        <w:t>15</w:t>
      </w:r>
      <w:r>
        <w:rPr>
          <w:rFonts w:hint="eastAsia" w:ascii="宋体" w:hAnsi="宋体" w:eastAsia="宋体" w:cs="宋体"/>
          <w:i w:val="0"/>
          <w:iCs w:val="0"/>
          <w:caps w:val="0"/>
          <w:color w:val="auto"/>
          <w:spacing w:val="0"/>
          <w:sz w:val="24"/>
          <w:szCs w:val="24"/>
          <w:highlight w:val="none"/>
          <w:shd w:val="clear" w:fill="FFFFFF"/>
        </w:rPr>
        <w:t>日</w:t>
      </w:r>
      <w:r>
        <w:rPr>
          <w:rFonts w:hint="eastAsia" w:ascii="宋体" w:hAnsi="宋体" w:eastAsia="宋体" w:cs="宋体"/>
          <w:i w:val="0"/>
          <w:iCs w:val="0"/>
          <w:caps w:val="0"/>
          <w:color w:val="auto"/>
          <w:spacing w:val="0"/>
          <w:sz w:val="24"/>
          <w:szCs w:val="24"/>
          <w:highlight w:val="none"/>
          <w:shd w:val="clear" w:fill="FFFFFF"/>
          <w:lang w:val="en-US" w:eastAsia="zh-CN"/>
        </w:rPr>
        <w:t>9</w:t>
      </w:r>
      <w:r>
        <w:rPr>
          <w:rFonts w:hint="eastAsia" w:ascii="宋体" w:hAnsi="宋体" w:eastAsia="宋体" w:cs="宋体"/>
          <w:i w:val="0"/>
          <w:iCs w:val="0"/>
          <w:caps w:val="0"/>
          <w:color w:val="auto"/>
          <w:spacing w:val="0"/>
          <w:sz w:val="24"/>
          <w:szCs w:val="24"/>
          <w:highlight w:val="none"/>
          <w:shd w:val="clear" w:fill="FFFFFF"/>
        </w:rPr>
        <w:t>时00分00秒（北京时间）</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提交投标文件地点：全国公共资源交易平台（陕西省·西安市）网站〖首页〉电子交易平台&lt;陕西政府采购交易系统&gt;企业端〗，在线提交</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开标地点：全国公共资源交易平台（陕西省·西安市）</w:t>
      </w:r>
    </w:p>
    <w:p>
      <w:pPr>
        <w:pStyle w:val="6"/>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Chars="0" w:right="0" w:rightChars="0"/>
        <w:jc w:val="left"/>
        <w:textAlignment w:val="auto"/>
        <w:outlineLvl w:val="1"/>
        <w:rPr>
          <w:rFonts w:hint="eastAsia" w:ascii="宋体" w:hAnsi="宋体" w:eastAsia="宋体" w:cs="宋体"/>
          <w:b w:val="0"/>
          <w:bCs w:val="0"/>
          <w:i w:val="0"/>
          <w:iCs w:val="0"/>
          <w:caps w:val="0"/>
          <w:color w:val="auto"/>
          <w:spacing w:val="0"/>
          <w:sz w:val="24"/>
          <w:szCs w:val="24"/>
          <w:highlight w:val="none"/>
        </w:rPr>
      </w:pPr>
      <w:bookmarkStart w:id="12" w:name="_Toc16107"/>
      <w:r>
        <w:rPr>
          <w:rStyle w:val="28"/>
          <w:rFonts w:hint="eastAsia" w:ascii="宋体" w:hAnsi="宋体" w:eastAsia="宋体" w:cs="宋体"/>
          <w:b/>
          <w:bCs/>
          <w:i w:val="0"/>
          <w:iCs w:val="0"/>
          <w:caps w:val="0"/>
          <w:color w:val="auto"/>
          <w:spacing w:val="0"/>
          <w:sz w:val="24"/>
          <w:szCs w:val="24"/>
          <w:highlight w:val="none"/>
          <w:shd w:val="clear" w:fill="FFFFFF"/>
        </w:rPr>
        <w:t>五、公告期限</w:t>
      </w:r>
      <w:bookmarkEnd w:id="12"/>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自本公告发布之日起5个工作日。</w:t>
      </w:r>
    </w:p>
    <w:p>
      <w:pPr>
        <w:pStyle w:val="6"/>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Chars="0" w:right="0" w:rightChars="0"/>
        <w:jc w:val="left"/>
        <w:textAlignment w:val="auto"/>
        <w:outlineLvl w:val="1"/>
        <w:rPr>
          <w:rFonts w:hint="eastAsia" w:ascii="宋体" w:hAnsi="宋体" w:eastAsia="宋体" w:cs="宋体"/>
          <w:b w:val="0"/>
          <w:bCs w:val="0"/>
          <w:i w:val="0"/>
          <w:iCs w:val="0"/>
          <w:caps w:val="0"/>
          <w:color w:val="auto"/>
          <w:spacing w:val="0"/>
          <w:sz w:val="24"/>
          <w:szCs w:val="24"/>
          <w:highlight w:val="none"/>
        </w:rPr>
      </w:pPr>
      <w:bookmarkStart w:id="13" w:name="_Toc8021"/>
      <w:r>
        <w:rPr>
          <w:rStyle w:val="28"/>
          <w:rFonts w:hint="eastAsia" w:ascii="宋体" w:hAnsi="宋体" w:eastAsia="宋体" w:cs="宋体"/>
          <w:b/>
          <w:bCs/>
          <w:i w:val="0"/>
          <w:iCs w:val="0"/>
          <w:caps w:val="0"/>
          <w:color w:val="auto"/>
          <w:spacing w:val="0"/>
          <w:sz w:val="24"/>
          <w:szCs w:val="24"/>
          <w:highlight w:val="none"/>
          <w:shd w:val="clear" w:fill="FFFFFF"/>
        </w:rPr>
        <w:t>六、其他补充事宜</w:t>
      </w:r>
      <w:bookmarkEnd w:id="13"/>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1.落实的政府采购政策:</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 xml:space="preserve">1.1《政府采购促进中小企业发展管理办法》（财库〔2020〕46号）； </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 xml:space="preserve">1.2《财政部 司法部关于政府采购支持监狱企业发展有关问题的通知》（财库〔2014〕68号）； </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 xml:space="preserve">1.3《国务院办公厅关于建立政府强制采购节能产品制度的通知》（国办发〔2007〕51号）； </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 xml:space="preserve">1.4《节能产品政府采购实施意见》（财库[2004]185号）； </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1.5《环境标志产品政府采购实施的意见》（财库[2006]90号）；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1.6《财政部、民政部、中国残疾人联合会关于促进残疾人就业政府采购政策的通知》（财库[2017]141号）；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rPr>
        <w:t>1.7《陕西省中小企业政府采购信用融资办法》（陕财办采〔2018〕23号）</w:t>
      </w:r>
      <w:r>
        <w:rPr>
          <w:rFonts w:hint="eastAsia" w:ascii="宋体" w:hAnsi="宋体" w:eastAsia="宋体" w:cs="宋体"/>
          <w:i w:val="0"/>
          <w:iCs w:val="0"/>
          <w:caps w:val="0"/>
          <w:color w:val="auto"/>
          <w:spacing w:val="0"/>
          <w:sz w:val="24"/>
          <w:szCs w:val="24"/>
          <w:highlight w:val="none"/>
          <w:shd w:val="clear" w:fill="FFFFFF"/>
          <w:lang w:eastAsia="zh-CN"/>
        </w:rPr>
        <w:t>；</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1.8《陕西省财政厅关于进一步加大政府采购支持中小企业力度的通知》（陕财办采〔2022〕5号）、《陕西省财政厅关于落实政府采购支持中小企业政策有关事项的通知》（陕财办采函〔2022〕10号）；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1.9如有最新颁布的政府采购政策，按最新的文件执行。</w:t>
      </w:r>
    </w:p>
    <w:p>
      <w:pPr>
        <w:pStyle w:val="2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其他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2.1供应商初次使用电子交易平台时,请先阅读【全国公共资源交易平台(陕西省·西安市)】 (http://sxggzyjy.xa.gov.cn/)网站 〖首页〉服务指南〉下载专区〗中的 《西安市市级单位电子化政府采购项目投标指南》,并按要求完成诚信入库登记 、CA认证及企业信息绑定；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2.2办理CA认证:电子交易平台现已接入陕西CA、深圳CA、西部CA、北京CA四家数字证书公司,各供应商在交易过程中登录系统、加密/解密投标文件、文件签章等均可使用上述四家 CA公司签发的数字证书。办理须知及所需资料详见 :http://www.sxggzyjy.cn/fwzn/004003/20220701/6972fe02-f996-4928-951e-545dab02e53c.htm1；</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2.3请各供应商务必及时下载招标文件并做好备份，否则会影响投标文件编制及后续投标活动；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2.4制作电子投标文件（*.SXSTF）需要使用专用制作工具。软件下载及操作说明详见西安市公共资源交易平台〖首面·&gt;服务指南·&gt;下载专区〗中的《政府采购项目投标文件制作软件及操作手册》。提交投标文件截止时间前，供应商应随时留意【陕西省政府采购网〗、【全国公区资源交易平台（陕西省·西安市）〗上可能发布的变更公告。若变更公告中明确注明本项目提供有变更文件的，供应商应登录企业端后，从【项目流程·&gt;项目管理·&gt;答疑文件下载〗获取更新后的电子招标文件（*.SXSCF）,使用旧版电子招标文件制作的电子投标文件（*.SXSTF），系统将拒绝接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2.5提交投标文件截止时间前，供应商应随时留意【陕西省政府采购网〗、【全国公区资源交易平台（陕西省·西安市）〗上可能发布的变更公告。若变更公告中明确注明本项目提供有变更文件的，供应商应登录企业端后，从【项目流程·&gt;项目管理·&gt;答疑文件下载〗获取更新后的电子招标文件（*.SXSCF）,使用旧版电子招标文件制作的电子投标文件（*.SXSTF），系统将拒绝接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2.6本项目采用“不见面开标”形式，供应商可登录全国公共资源交易平台（陕西省·西安市）网站〖首页〉不见面开标〗系统，在线参加开标过程。操作手册详见〖首页〉服务指南〉下载专区〗中的《西安公共资源交易不见面开标大厅投标人操作手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2.7因供应商自身设施故障或自身原因导致无法完成签到、解密或投标的，由供应商自行承担后果；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2.8按照陕西省财政厅《关于政府采购供应商注册登记有关事项的通知》中的要求,供应商应通过陕西省政府采购网 (http://www.ccgp shaanxi.gov.cn/)注册登记 ,加入陕西省政府采购供应商库；</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sz w:val="24"/>
          <w:szCs w:val="24"/>
          <w:highlight w:val="none"/>
        </w:rPr>
        <w:t>2.9其他事项见本项目招标文件</w:t>
      </w:r>
      <w:r>
        <w:rPr>
          <w:rFonts w:hint="eastAsia" w:ascii="宋体" w:hAnsi="宋体" w:eastAsia="宋体" w:cs="宋体"/>
          <w:i w:val="0"/>
          <w:iCs w:val="0"/>
          <w:caps w:val="0"/>
          <w:color w:val="auto"/>
          <w:spacing w:val="0"/>
          <w:sz w:val="24"/>
          <w:szCs w:val="24"/>
          <w:highlight w:val="none"/>
          <w:shd w:val="clear" w:color="auto" w:fill="FFFFFF"/>
        </w:rPr>
        <w:t>。</w:t>
      </w:r>
    </w:p>
    <w:p>
      <w:pPr>
        <w:pStyle w:val="101"/>
        <w:shd w:val="clear" w:color="auto" w:fill="FFFFFF"/>
        <w:spacing w:before="0" w:beforeAutospacing="0" w:after="0" w:afterAutospacing="0" w:line="500" w:lineRule="exact"/>
        <w:outlineLvl w:val="1"/>
        <w:rPr>
          <w:rFonts w:hint="eastAsia" w:ascii="宋体" w:hAnsi="宋体" w:eastAsia="宋体" w:cs="宋体"/>
          <w:b/>
          <w:bCs/>
          <w:color w:val="auto"/>
          <w:highlight w:val="none"/>
        </w:rPr>
      </w:pPr>
      <w:bookmarkStart w:id="14" w:name="_Toc30524"/>
      <w:r>
        <w:rPr>
          <w:rFonts w:hint="eastAsia" w:ascii="宋体" w:hAnsi="宋体" w:eastAsia="宋体" w:cs="宋体"/>
          <w:b/>
          <w:bCs/>
          <w:color w:val="auto"/>
          <w:highlight w:val="none"/>
          <w:lang w:val="en-US" w:eastAsia="zh-CN"/>
        </w:rPr>
        <w:t>七</w:t>
      </w:r>
      <w:r>
        <w:rPr>
          <w:rFonts w:hint="eastAsia" w:ascii="宋体" w:hAnsi="宋体" w:eastAsia="宋体" w:cs="宋体"/>
          <w:b/>
          <w:bCs/>
          <w:color w:val="auto"/>
          <w:highlight w:val="none"/>
        </w:rPr>
        <w:t>、凡对本次采购提出询问，请按以下方式联系。</w:t>
      </w:r>
      <w:bookmarkEnd w:id="14"/>
    </w:p>
    <w:p>
      <w:pPr>
        <w:pStyle w:val="101"/>
        <w:shd w:val="clear" w:color="auto" w:fill="FFFFFF"/>
        <w:spacing w:before="0" w:beforeAutospacing="0" w:after="0" w:afterAutospacing="0" w:line="500" w:lineRule="exact"/>
        <w:ind w:firstLine="240" w:firstLineChars="100"/>
        <w:outlineLvl w:val="2"/>
        <w:rPr>
          <w:rFonts w:hint="eastAsia" w:ascii="宋体" w:hAnsi="宋体" w:eastAsia="宋体" w:cs="宋体"/>
          <w:b w:val="0"/>
          <w:bCs w:val="0"/>
          <w:color w:val="auto"/>
          <w:highlight w:val="none"/>
        </w:rPr>
      </w:pPr>
      <w:bookmarkStart w:id="15" w:name="_Toc1157"/>
      <w:r>
        <w:rPr>
          <w:rFonts w:hint="eastAsia" w:ascii="宋体" w:hAnsi="宋体" w:eastAsia="宋体" w:cs="宋体"/>
          <w:b w:val="0"/>
          <w:bCs w:val="0"/>
          <w:color w:val="auto"/>
          <w:highlight w:val="none"/>
        </w:rPr>
        <w:t>1.釆购人信息</w:t>
      </w:r>
      <w:bookmarkEnd w:id="15"/>
    </w:p>
    <w:p>
      <w:pPr>
        <w:pStyle w:val="101"/>
        <w:shd w:val="clear" w:color="auto" w:fill="FFFFFF"/>
        <w:spacing w:before="0" w:beforeAutospacing="0" w:after="0" w:afterAutospacing="0" w:line="500" w:lineRule="exact"/>
        <w:ind w:firstLine="240" w:firstLineChars="1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名称：</w:t>
      </w:r>
      <w:r>
        <w:rPr>
          <w:rFonts w:hint="eastAsia" w:ascii="宋体" w:hAnsi="宋体" w:eastAsia="宋体" w:cs="宋体"/>
          <w:b w:val="0"/>
          <w:bCs w:val="0"/>
          <w:color w:val="auto"/>
          <w:highlight w:val="none"/>
          <w:lang w:val="en-US" w:eastAsia="zh-CN"/>
        </w:rPr>
        <w:t>西安市鄠邑区妇幼保健计划生育服务中心（区妇幼保健院）</w:t>
      </w:r>
    </w:p>
    <w:p>
      <w:pPr>
        <w:pStyle w:val="101"/>
        <w:shd w:val="clear" w:color="auto" w:fill="FFFFFF"/>
        <w:spacing w:before="0" w:beforeAutospacing="0" w:after="0" w:afterAutospacing="0" w:line="500" w:lineRule="exact"/>
        <w:ind w:firstLine="240" w:firstLineChars="100"/>
        <w:rPr>
          <w:rFonts w:hint="default" w:ascii="宋体" w:hAnsi="宋体" w:eastAsia="宋体" w:cs="宋体"/>
          <w:b w:val="0"/>
          <w:bCs w:val="0"/>
          <w:color w:val="0000FF"/>
          <w:highlight w:val="none"/>
          <w:lang w:val="en-US" w:eastAsia="zh-CN"/>
        </w:rPr>
      </w:pPr>
      <w:r>
        <w:rPr>
          <w:rFonts w:hint="eastAsia" w:ascii="宋体" w:hAnsi="宋体" w:eastAsia="宋体" w:cs="宋体"/>
          <w:b w:val="0"/>
          <w:bCs w:val="0"/>
          <w:color w:val="auto"/>
          <w:highlight w:val="none"/>
        </w:rPr>
        <w:t>地址：</w:t>
      </w:r>
      <w:r>
        <w:rPr>
          <w:rFonts w:hint="eastAsia" w:eastAsia="宋体" w:cs="宋体"/>
          <w:b w:val="0"/>
          <w:bCs w:val="0"/>
          <w:color w:val="auto"/>
          <w:highlight w:val="none"/>
          <w:lang w:eastAsia="zh-CN"/>
        </w:rPr>
        <w:t>西安市鄠邑区画展路</w:t>
      </w:r>
      <w:r>
        <w:rPr>
          <w:rFonts w:hint="eastAsia" w:eastAsia="宋体" w:cs="宋体"/>
          <w:b w:val="0"/>
          <w:bCs w:val="0"/>
          <w:color w:val="auto"/>
          <w:highlight w:val="none"/>
          <w:lang w:val="en-US" w:eastAsia="zh-CN"/>
        </w:rPr>
        <w:t>17号</w:t>
      </w:r>
    </w:p>
    <w:p>
      <w:pPr>
        <w:pStyle w:val="101"/>
        <w:shd w:val="clear" w:color="auto" w:fill="FFFFFF"/>
        <w:spacing w:before="0" w:beforeAutospacing="0" w:after="0" w:afterAutospacing="0" w:line="500" w:lineRule="exact"/>
        <w:ind w:firstLine="240" w:firstLineChars="100"/>
        <w:outlineLvl w:val="2"/>
        <w:rPr>
          <w:rFonts w:hint="eastAsia" w:ascii="宋体" w:hAnsi="宋体" w:eastAsia="宋体" w:cs="宋体"/>
          <w:b w:val="0"/>
          <w:bCs w:val="0"/>
          <w:color w:val="0000FF"/>
          <w:highlight w:val="none"/>
          <w:lang w:eastAsia="zh-CN"/>
        </w:rPr>
      </w:pPr>
      <w:r>
        <w:rPr>
          <w:rFonts w:hint="eastAsia" w:ascii="宋体" w:hAnsi="宋体" w:eastAsia="宋体" w:cs="宋体"/>
          <w:b w:val="0"/>
          <w:bCs w:val="0"/>
          <w:color w:val="auto"/>
          <w:highlight w:val="none"/>
        </w:rPr>
        <w:t>联系方式：</w:t>
      </w:r>
      <w:bookmarkStart w:id="16" w:name="_Toc23642"/>
      <w:r>
        <w:rPr>
          <w:rFonts w:hint="eastAsia" w:eastAsia="宋体" w:cs="宋体"/>
          <w:b w:val="0"/>
          <w:bCs w:val="0"/>
          <w:color w:val="auto"/>
          <w:highlight w:val="none"/>
          <w:lang w:val="en-US" w:eastAsia="zh-CN"/>
        </w:rPr>
        <w:t>029-84812572</w:t>
      </w:r>
      <w:r>
        <w:rPr>
          <w:rFonts w:hint="eastAsia" w:eastAsia="宋体" w:cs="宋体"/>
          <w:b w:val="0"/>
          <w:bCs w:val="0"/>
          <w:color w:val="0000FF"/>
          <w:highlight w:val="none"/>
          <w:lang w:val="en-US" w:eastAsia="zh-CN"/>
        </w:rPr>
        <w:t xml:space="preserve"> </w:t>
      </w:r>
    </w:p>
    <w:p>
      <w:pPr>
        <w:pStyle w:val="101"/>
        <w:shd w:val="clear" w:color="auto" w:fill="FFFFFF"/>
        <w:spacing w:before="0" w:beforeAutospacing="0" w:after="0" w:afterAutospacing="0" w:line="500" w:lineRule="exact"/>
        <w:ind w:firstLine="240" w:firstLineChars="100"/>
        <w:outlineLvl w:val="2"/>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2.釆购代理机构信息</w:t>
      </w:r>
      <w:bookmarkEnd w:id="16"/>
    </w:p>
    <w:p>
      <w:pPr>
        <w:pStyle w:val="101"/>
        <w:shd w:val="clear" w:color="auto" w:fill="FFFFFF"/>
        <w:spacing w:before="0" w:beforeAutospacing="0" w:after="0" w:afterAutospacing="0" w:line="500" w:lineRule="exact"/>
        <w:ind w:firstLine="240" w:firstLineChars="1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名称：</w:t>
      </w:r>
      <w:r>
        <w:rPr>
          <w:rFonts w:hint="eastAsia" w:ascii="宋体" w:hAnsi="宋体" w:eastAsia="宋体" w:cs="宋体"/>
          <w:color w:val="auto"/>
          <w:highlight w:val="none"/>
        </w:rPr>
        <w:t>陕西上德招标有限公司</w:t>
      </w:r>
    </w:p>
    <w:p>
      <w:pPr>
        <w:pStyle w:val="101"/>
        <w:shd w:val="clear" w:color="auto" w:fill="FFFFFF"/>
        <w:spacing w:before="0" w:beforeAutospacing="0" w:after="0" w:afterAutospacing="0" w:line="500" w:lineRule="exact"/>
        <w:ind w:firstLine="240" w:firstLineChars="1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地址：西安市经开区凤城八路正尚国际金融广场A座7层703（张家堡转盘东南角）</w:t>
      </w:r>
    </w:p>
    <w:p>
      <w:pPr>
        <w:pStyle w:val="101"/>
        <w:shd w:val="clear" w:color="auto" w:fill="FFFFFF"/>
        <w:spacing w:before="0" w:beforeAutospacing="0" w:after="0" w:afterAutospacing="0" w:line="500" w:lineRule="exact"/>
        <w:ind w:firstLine="240" w:firstLineChars="100"/>
        <w:rPr>
          <w:rFonts w:hint="eastAsia" w:ascii="宋体" w:hAnsi="宋体" w:eastAsia="宋体" w:cs="宋体"/>
          <w:color w:val="auto"/>
          <w:highlight w:val="none"/>
          <w:lang w:val="en-US" w:eastAsia="zh-CN"/>
        </w:rPr>
      </w:pPr>
      <w:r>
        <w:rPr>
          <w:rFonts w:hint="eastAsia" w:ascii="宋体" w:hAnsi="宋体" w:eastAsia="宋体" w:cs="宋体"/>
          <w:b w:val="0"/>
          <w:bCs w:val="0"/>
          <w:color w:val="auto"/>
          <w:highlight w:val="none"/>
        </w:rPr>
        <w:t>联系方式：</w:t>
      </w:r>
      <w:r>
        <w:rPr>
          <w:rFonts w:hint="eastAsia" w:ascii="宋体" w:hAnsi="宋体" w:eastAsia="宋体" w:cs="宋体"/>
          <w:color w:val="auto"/>
          <w:highlight w:val="none"/>
        </w:rPr>
        <w:t xml:space="preserve">029-86673953、029-86518381、029-89299829、029-89293231  </w:t>
      </w:r>
    </w:p>
    <w:p>
      <w:pPr>
        <w:pStyle w:val="101"/>
        <w:shd w:val="clear" w:color="auto" w:fill="FFFFFF"/>
        <w:spacing w:before="0" w:beforeAutospacing="0" w:after="0" w:afterAutospacing="0" w:line="500" w:lineRule="exact"/>
        <w:ind w:firstLine="240" w:firstLineChars="100"/>
        <w:outlineLvl w:val="2"/>
        <w:rPr>
          <w:rFonts w:hint="eastAsia" w:ascii="宋体" w:hAnsi="宋体" w:eastAsia="宋体" w:cs="宋体"/>
          <w:b w:val="0"/>
          <w:bCs w:val="0"/>
          <w:color w:val="auto"/>
          <w:highlight w:val="none"/>
        </w:rPr>
      </w:pPr>
      <w:bookmarkStart w:id="17" w:name="_Toc22972"/>
      <w:r>
        <w:rPr>
          <w:rFonts w:hint="eastAsia" w:ascii="宋体" w:hAnsi="宋体" w:eastAsia="宋体" w:cs="宋体"/>
          <w:b w:val="0"/>
          <w:bCs w:val="0"/>
          <w:color w:val="auto"/>
          <w:highlight w:val="none"/>
        </w:rPr>
        <w:t>3.项目联系方式</w:t>
      </w:r>
      <w:bookmarkEnd w:id="17"/>
    </w:p>
    <w:p>
      <w:pPr>
        <w:pStyle w:val="101"/>
        <w:shd w:val="clear" w:color="auto" w:fill="FFFFFF"/>
        <w:spacing w:before="0" w:beforeAutospacing="0" w:after="0" w:afterAutospacing="0" w:line="500" w:lineRule="exact"/>
        <w:ind w:firstLine="240" w:firstLineChars="1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项目联系人：</w:t>
      </w:r>
      <w:r>
        <w:rPr>
          <w:rFonts w:hint="eastAsia" w:ascii="宋体" w:hAnsi="宋体" w:eastAsia="宋体" w:cs="宋体"/>
          <w:color w:val="auto"/>
          <w:sz w:val="24"/>
          <w:highlight w:val="none"/>
          <w:lang w:val="en-US" w:eastAsia="zh-CN"/>
        </w:rPr>
        <w:t>郅龙（17号工位）</w:t>
      </w:r>
    </w:p>
    <w:p>
      <w:pPr>
        <w:spacing w:line="560" w:lineRule="exact"/>
        <w:ind w:firstLine="240" w:firstLineChars="100"/>
        <w:jc w:val="both"/>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402590</wp:posOffset>
                </wp:positionV>
                <wp:extent cx="5953125" cy="735965"/>
                <wp:effectExtent l="4445" t="4445" r="5080" b="21590"/>
                <wp:wrapSquare wrapText="bothSides"/>
                <wp:docPr id="1" name="文本框 1"/>
                <wp:cNvGraphicFramePr/>
                <a:graphic xmlns:a="http://schemas.openxmlformats.org/drawingml/2006/main">
                  <a:graphicData uri="http://schemas.microsoft.com/office/word/2010/wordprocessingShape">
                    <wps:wsp>
                      <wps:cNvSpPr txBox="1"/>
                      <wps:spPr>
                        <a:xfrm>
                          <a:off x="0" y="0"/>
                          <a:ext cx="5953125" cy="735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rPr>
                                <w:rFonts w:ascii="宋体" w:hAnsi="宋体"/>
                                <w:b/>
                                <w:sz w:val="24"/>
                              </w:rPr>
                            </w:pPr>
                            <w:r>
                              <w:rPr>
                                <w:rFonts w:hint="eastAsia" w:ascii="宋体" w:hAnsi="宋体"/>
                                <w:b/>
                                <w:sz w:val="24"/>
                              </w:rPr>
                              <w:t>温馨提示：</w:t>
                            </w:r>
                            <w:r>
                              <w:rPr>
                                <w:rFonts w:hint="eastAsia" w:ascii="宋体" w:hAnsi="宋体"/>
                                <w:b/>
                                <w:sz w:val="24"/>
                                <w:lang w:eastAsia="zh-CN"/>
                              </w:rPr>
                              <w:t>获取公开招标</w:t>
                            </w:r>
                            <w:r>
                              <w:rPr>
                                <w:rFonts w:hint="eastAsia" w:ascii="宋体" w:hAnsi="宋体"/>
                                <w:b/>
                                <w:sz w:val="24"/>
                              </w:rPr>
                              <w:t>文件后，请仔细阅读，特别注意粗体及划线部分，如有疑问请来电咨询。</w:t>
                            </w:r>
                          </w:p>
                        </w:txbxContent>
                      </wps:txbx>
                      <wps:bodyPr wrap="none" upright="1">
                        <a:spAutoFit/>
                      </wps:bodyPr>
                    </wps:wsp>
                  </a:graphicData>
                </a:graphic>
              </wp:anchor>
            </w:drawing>
          </mc:Choice>
          <mc:Fallback>
            <w:pict>
              <v:shape id="_x0000_s1026" o:spid="_x0000_s1026" o:spt="202" type="#_x0000_t202" style="position:absolute;left:0pt;margin-left:-3.3pt;margin-top:31.7pt;height:57.95pt;width:468.75pt;mso-wrap-distance-bottom:0pt;mso-wrap-distance-left:9pt;mso-wrap-distance-right:9pt;mso-wrap-distance-top:0pt;mso-wrap-style:none;z-index:251659264;mso-width-relative:page;mso-height-relative:page;" fillcolor="#FFFFFF" filled="t" stroked="t" coordsize="21600,21600" o:gfxdata="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eHBTz2gAAAAkB&#10;AAAPAAAAAAAAAAEAIAAAACIAAABkcnMvZG93bnJldi54bWxQSwECFAAUAAAACACHTuJA2ZakpBkC&#10;AABcBAAADgAAAAAAAAABACAAAAApAQAAZHJzL2Uyb0RvYy54bWxQSwUGAAAAAAYABgBZAQAAtAUA&#10;AAAA&#10;">
                <v:fill on="t" focussize="0,0"/>
                <v:stroke color="#000000" joinstyle="miter"/>
                <v:imagedata o:title=""/>
                <o:lock v:ext="edit" aspectratio="f"/>
                <v:textbox style="mso-fit-shape-to-text:t;">
                  <w:txbxContent>
                    <w:p>
                      <w:pPr>
                        <w:spacing w:line="500" w:lineRule="exact"/>
                        <w:rPr>
                          <w:rFonts w:ascii="宋体" w:hAnsi="宋体"/>
                          <w:b/>
                          <w:sz w:val="24"/>
                        </w:rPr>
                      </w:pPr>
                      <w:r>
                        <w:rPr>
                          <w:rFonts w:hint="eastAsia" w:ascii="宋体" w:hAnsi="宋体"/>
                          <w:b/>
                          <w:sz w:val="24"/>
                        </w:rPr>
                        <w:t>温馨提示：</w:t>
                      </w:r>
                      <w:r>
                        <w:rPr>
                          <w:rFonts w:hint="eastAsia" w:ascii="宋体" w:hAnsi="宋体"/>
                          <w:b/>
                          <w:sz w:val="24"/>
                          <w:lang w:eastAsia="zh-CN"/>
                        </w:rPr>
                        <w:t>获取公开招标</w:t>
                      </w:r>
                      <w:r>
                        <w:rPr>
                          <w:rFonts w:hint="eastAsia" w:ascii="宋体" w:hAnsi="宋体"/>
                          <w:b/>
                          <w:sz w:val="24"/>
                        </w:rPr>
                        <w:t>文件后，请仔细阅读，特别注意粗体及划线部分，如有疑问请来电咨询。</w:t>
                      </w:r>
                    </w:p>
                  </w:txbxContent>
                </v:textbox>
                <w10:wrap type="square"/>
              </v:shape>
            </w:pict>
          </mc:Fallback>
        </mc:AlternateContent>
      </w:r>
      <w:r>
        <w:rPr>
          <w:rFonts w:hint="eastAsia" w:ascii="宋体" w:hAnsi="宋体" w:eastAsia="宋体" w:cs="宋体"/>
          <w:b w:val="0"/>
          <w:bCs w:val="0"/>
          <w:color w:val="auto"/>
          <w:highlight w:val="none"/>
        </w:rPr>
        <w:t>电话：</w:t>
      </w:r>
      <w:r>
        <w:rPr>
          <w:rFonts w:hint="eastAsia" w:ascii="宋体" w:hAnsi="宋体" w:eastAsia="宋体" w:cs="宋体"/>
          <w:color w:val="auto"/>
          <w:highlight w:val="none"/>
          <w:lang w:eastAsia="zh-CN"/>
        </w:rPr>
        <w:t>029-86673953、029-86518381、029-89299829、029-89293231</w:t>
      </w:r>
      <w:r>
        <w:rPr>
          <w:rFonts w:hint="eastAsia" w:ascii="宋体" w:hAnsi="宋体" w:eastAsia="宋体" w:cs="宋体"/>
          <w:color w:val="auto"/>
          <w:highlight w:val="none"/>
        </w:rPr>
        <w:t>转80</w:t>
      </w:r>
      <w:r>
        <w:rPr>
          <w:rFonts w:hint="eastAsia" w:ascii="宋体" w:hAnsi="宋体" w:eastAsia="宋体" w:cs="宋体"/>
          <w:color w:val="auto"/>
          <w:highlight w:val="none"/>
          <w:lang w:val="en-US" w:eastAsia="zh-CN"/>
        </w:rPr>
        <w:t>17</w:t>
      </w:r>
    </w:p>
    <w:p>
      <w:pPr>
        <w:rPr>
          <w:rFonts w:hint="eastAsia" w:ascii="宋体" w:hAnsi="宋体" w:eastAsia="宋体" w:cs="宋体"/>
          <w:b/>
          <w:bCs/>
          <w:color w:val="auto"/>
          <w:highlight w:val="none"/>
        </w:rPr>
      </w:pPr>
      <w:bookmarkStart w:id="18" w:name="_Toc445407251"/>
      <w:bookmarkStart w:id="19" w:name="_Toc533363262"/>
      <w:bookmarkStart w:id="20" w:name="_Toc1830"/>
      <w:bookmarkStart w:id="21" w:name="_Toc534656409"/>
      <w:bookmarkStart w:id="22" w:name="_Toc534656414"/>
      <w:bookmarkStart w:id="23" w:name="_Toc3398"/>
      <w:bookmarkStart w:id="24" w:name="_Toc97563329"/>
      <w:bookmarkStart w:id="25" w:name="_Toc100219613"/>
      <w:bookmarkStart w:id="26" w:name="_Toc533363235"/>
      <w:bookmarkStart w:id="27" w:name="_Toc498349068"/>
      <w:r>
        <w:rPr>
          <w:rFonts w:hint="eastAsia" w:ascii="宋体" w:hAnsi="宋体" w:eastAsia="宋体" w:cs="宋体"/>
          <w:b/>
          <w:bCs/>
          <w:color w:val="auto"/>
          <w:highlight w:val="none"/>
        </w:rPr>
        <w:br w:type="page"/>
      </w:r>
    </w:p>
    <w:p>
      <w:pPr>
        <w:pStyle w:val="3"/>
        <w:jc w:val="center"/>
        <w:outlineLvl w:val="9"/>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第二章  </w:t>
      </w:r>
      <w:r>
        <w:rPr>
          <w:rFonts w:hint="eastAsia" w:ascii="宋体" w:hAnsi="宋体" w:eastAsia="宋体" w:cs="宋体"/>
          <w:b/>
          <w:bCs/>
          <w:color w:val="auto"/>
          <w:highlight w:val="none"/>
          <w:lang w:eastAsia="zh-CN"/>
        </w:rPr>
        <w:t>投标人</w:t>
      </w:r>
      <w:r>
        <w:rPr>
          <w:rFonts w:hint="eastAsia" w:ascii="宋体" w:hAnsi="宋体" w:eastAsia="宋体" w:cs="宋体"/>
          <w:b/>
          <w:bCs/>
          <w:color w:val="auto"/>
          <w:highlight w:val="none"/>
        </w:rPr>
        <w:t>须知</w:t>
      </w:r>
      <w:bookmarkEnd w:id="18"/>
      <w:bookmarkEnd w:id="19"/>
      <w:bookmarkEnd w:id="20"/>
      <w:bookmarkEnd w:id="21"/>
      <w:bookmarkEnd w:id="22"/>
      <w:bookmarkEnd w:id="23"/>
      <w:bookmarkEnd w:id="24"/>
      <w:bookmarkEnd w:id="25"/>
      <w:bookmarkEnd w:id="26"/>
      <w:bookmarkEnd w:id="27"/>
    </w:p>
    <w:p>
      <w:pPr>
        <w:pStyle w:val="3"/>
        <w:spacing w:line="240" w:lineRule="auto"/>
        <w:jc w:val="center"/>
        <w:outlineLvl w:val="1"/>
        <w:rPr>
          <w:rFonts w:hint="eastAsia"/>
        </w:rPr>
      </w:pPr>
      <w:bookmarkStart w:id="28" w:name="_Toc21988"/>
      <w:bookmarkStart w:id="29" w:name="_Toc12706"/>
      <w:r>
        <w:rPr>
          <w:rFonts w:hint="eastAsia" w:ascii="宋体" w:hAnsi="宋体" w:eastAsia="宋体" w:cs="宋体"/>
          <w:color w:val="auto"/>
          <w:sz w:val="24"/>
          <w:szCs w:val="24"/>
          <w:highlight w:val="none"/>
        </w:rPr>
        <w:t>〖前附表〗</w:t>
      </w:r>
      <w:bookmarkEnd w:id="28"/>
      <w:bookmarkEnd w:id="29"/>
    </w:p>
    <w:tbl>
      <w:tblPr>
        <w:tblStyle w:val="26"/>
        <w:tblW w:w="887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01"/>
        <w:gridCol w:w="2549"/>
        <w:gridCol w:w="552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12" w:space="0"/>
              <w:bottom w:val="single" w:color="auto" w:sz="12" w:space="0"/>
            </w:tcBorders>
            <w:shd w:val="clear" w:color="auto" w:fill="F1F1F1" w:themeFill="background1" w:themeFillShade="F2"/>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549" w:type="dxa"/>
            <w:tcBorders>
              <w:top w:val="single" w:color="auto" w:sz="12" w:space="0"/>
              <w:bottom w:val="single" w:color="auto" w:sz="12" w:space="0"/>
            </w:tcBorders>
            <w:shd w:val="clear" w:color="auto" w:fill="F1F1F1" w:themeFill="background1" w:themeFillShade="F2"/>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内容</w:t>
            </w:r>
          </w:p>
        </w:tc>
        <w:tc>
          <w:tcPr>
            <w:tcW w:w="5520" w:type="dxa"/>
            <w:tcBorders>
              <w:top w:val="single" w:color="auto" w:sz="12" w:space="0"/>
              <w:bottom w:val="single" w:color="auto" w:sz="12" w:space="0"/>
            </w:tcBorders>
            <w:shd w:val="clear" w:color="auto" w:fill="F1F1F1" w:themeFill="background1" w:themeFillShade="F2"/>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25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预算执行书编号</w:t>
            </w:r>
          </w:p>
        </w:tc>
        <w:tc>
          <w:tcPr>
            <w:tcW w:w="5520" w:type="dxa"/>
            <w:tcBorders>
              <w:top w:val="single" w:color="auto" w:sz="4" w:space="0"/>
              <w:left w:val="single" w:color="auto" w:sz="4" w:space="0"/>
              <w:bottom w:val="single" w:color="auto" w:sz="4" w:space="0"/>
              <w:right w:val="single" w:color="auto" w:sz="12" w:space="0"/>
            </w:tcBorders>
            <w:shd w:val="clear" w:color="auto" w:fill="auto"/>
            <w:vAlign w:val="center"/>
          </w:tcPr>
          <w:p>
            <w:pPr>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ZCBN-鄠邑区-2022-00490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25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w:t>
            </w:r>
          </w:p>
        </w:tc>
        <w:tc>
          <w:tcPr>
            <w:tcW w:w="5520" w:type="dxa"/>
            <w:tcBorders>
              <w:top w:val="single" w:color="auto" w:sz="4" w:space="0"/>
              <w:left w:val="single" w:color="auto" w:sz="4" w:space="0"/>
              <w:bottom w:val="single" w:color="auto" w:sz="4" w:space="0"/>
              <w:right w:val="single" w:color="auto" w:sz="12" w:space="0"/>
            </w:tcBorders>
            <w:shd w:val="clear" w:color="auto" w:fill="auto"/>
            <w:vAlign w:val="top"/>
          </w:tcPr>
          <w:p>
            <w:pPr>
              <w:jc w:val="left"/>
              <w:rPr>
                <w:rFonts w:hint="eastAsia" w:ascii="宋体" w:hAnsi="宋体" w:eastAsia="宋体" w:cs="宋体"/>
                <w:color w:val="auto"/>
                <w:sz w:val="24"/>
                <w:szCs w:val="24"/>
                <w:highlight w:val="none"/>
              </w:rPr>
            </w:pPr>
            <w:r>
              <w:rPr>
                <w:rFonts w:hint="eastAsia" w:ascii="宋体" w:hAnsi="宋体" w:eastAsia="宋体" w:cs="宋体"/>
                <w:b w:val="0"/>
                <w:bCs w:val="0"/>
                <w:color w:val="auto"/>
                <w:highlight w:val="none"/>
                <w:lang w:val="en-US" w:eastAsia="zh-CN"/>
              </w:rPr>
              <w:t>西安市鄠邑区妇幼保健计划生育服务中心（区妇幼保健院）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25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采购代理机构</w:t>
            </w:r>
          </w:p>
        </w:tc>
        <w:tc>
          <w:tcPr>
            <w:tcW w:w="5520" w:type="dxa"/>
            <w:tcBorders>
              <w:top w:val="single" w:color="auto" w:sz="4" w:space="0"/>
              <w:left w:val="single" w:color="auto" w:sz="4" w:space="0"/>
              <w:bottom w:val="single" w:color="auto" w:sz="4" w:space="0"/>
              <w:right w:val="single" w:color="auto" w:sz="12" w:space="0"/>
            </w:tcBorders>
            <w:shd w:val="clear" w:color="auto" w:fill="auto"/>
            <w:vAlign w:val="top"/>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陕西上德招标有限公司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25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监督管理机构</w:t>
            </w:r>
          </w:p>
        </w:tc>
        <w:tc>
          <w:tcPr>
            <w:tcW w:w="5520" w:type="dxa"/>
            <w:tcBorders>
              <w:top w:val="single" w:color="auto" w:sz="4" w:space="0"/>
              <w:left w:val="single" w:color="auto" w:sz="4" w:space="0"/>
              <w:bottom w:val="single" w:color="auto" w:sz="4" w:space="0"/>
              <w:right w:val="single" w:color="auto" w:sz="12" w:space="0"/>
            </w:tcBorders>
            <w:shd w:val="clear" w:color="auto" w:fill="auto"/>
            <w:vAlign w:val="top"/>
          </w:tcPr>
          <w:p>
            <w:pPr>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西安市鄠邑区财政局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25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资金性质</w:t>
            </w:r>
          </w:p>
        </w:tc>
        <w:tc>
          <w:tcPr>
            <w:tcW w:w="5520" w:type="dxa"/>
            <w:tcBorders>
              <w:top w:val="single" w:color="auto" w:sz="4" w:space="0"/>
              <w:left w:val="single" w:color="auto" w:sz="4" w:space="0"/>
              <w:bottom w:val="single" w:color="auto" w:sz="4" w:space="0"/>
              <w:right w:val="single" w:color="auto" w:sz="12" w:space="0"/>
            </w:tcBorders>
            <w:shd w:val="clear" w:color="auto" w:fill="auto"/>
            <w:vAlign w:val="top"/>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财政划拨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254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交货期、交货地点</w:t>
            </w:r>
          </w:p>
        </w:tc>
        <w:tc>
          <w:tcPr>
            <w:tcW w:w="5520" w:type="dxa"/>
            <w:tcBorders>
              <w:top w:val="single" w:color="auto" w:sz="4" w:space="0"/>
              <w:left w:val="single" w:color="auto" w:sz="4" w:space="0"/>
              <w:bottom w:val="single" w:color="auto" w:sz="4" w:space="0"/>
            </w:tcBorders>
            <w:shd w:val="clear" w:color="auto" w:fill="auto"/>
            <w:vAlign w:val="top"/>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交货期：自合同签订之日起30天内，按需配送</w:t>
            </w:r>
            <w:r>
              <w:rPr>
                <w:rFonts w:hint="eastAsia" w:ascii="宋体" w:hAnsi="宋体" w:eastAsia="宋体" w:cs="宋体"/>
                <w:color w:val="auto"/>
                <w:sz w:val="24"/>
                <w:szCs w:val="24"/>
                <w:highlight w:val="none"/>
                <w:lang w:val="en-US" w:eastAsia="zh-CN"/>
              </w:rPr>
              <w:t>。</w:t>
            </w:r>
          </w:p>
          <w:p>
            <w:pPr>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交货地点：</w:t>
            </w:r>
            <w:r>
              <w:rPr>
                <w:rFonts w:hint="eastAsia" w:ascii="宋体" w:hAnsi="宋体" w:eastAsia="宋体" w:cs="宋体"/>
                <w:b w:val="0"/>
                <w:bCs w:val="0"/>
                <w:color w:val="auto"/>
                <w:highlight w:val="none"/>
                <w:lang w:val="en-US" w:eastAsia="zh-CN"/>
              </w:rPr>
              <w:t>西安市鄠邑区妇幼保健计划生育服务中心（区妇幼保健院）</w:t>
            </w:r>
            <w:r>
              <w:rPr>
                <w:rFonts w:hint="eastAsia" w:ascii="宋体" w:hAnsi="宋体" w:eastAsia="宋体" w:cs="宋体"/>
                <w:color w:val="auto"/>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2549" w:type="dxa"/>
            <w:tcBorders>
              <w:top w:val="single" w:color="auto" w:sz="4" w:space="0"/>
            </w:tcBorders>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投标人对招标文件提出质疑的时间</w:t>
            </w:r>
          </w:p>
        </w:tc>
        <w:tc>
          <w:tcPr>
            <w:tcW w:w="5520" w:type="dxa"/>
            <w:tcBorders>
              <w:top w:val="single" w:color="auto" w:sz="4" w:space="0"/>
            </w:tcBorders>
            <w:shd w:val="clear" w:color="auto" w:fill="auto"/>
            <w:vAlign w:val="top"/>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投标人认为招标文件使自己的权益受到损害的，在收到采购文件之日起七个工作日内提出质疑，逾期提出的无效，因此带来的一切不利后果由投标人自负。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2549" w:type="dxa"/>
            <w:tcBorders>
              <w:top w:val="single" w:color="auto" w:sz="4" w:space="0"/>
            </w:tcBorders>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构成招标文件的其他文件</w:t>
            </w:r>
          </w:p>
        </w:tc>
        <w:tc>
          <w:tcPr>
            <w:tcW w:w="5520" w:type="dxa"/>
            <w:tcBorders>
              <w:top w:val="single" w:color="auto" w:sz="4" w:space="0"/>
            </w:tcBorders>
            <w:shd w:val="clear" w:color="auto" w:fill="auto"/>
            <w:vAlign w:val="top"/>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2549" w:type="dxa"/>
            <w:tcBorders>
              <w:top w:val="single" w:color="auto" w:sz="4" w:space="0"/>
            </w:tcBorders>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5520" w:type="dxa"/>
            <w:tcBorders>
              <w:top w:val="single" w:color="auto" w:sz="4" w:space="0"/>
            </w:tcBorders>
            <w:shd w:val="clear" w:color="auto" w:fill="auto"/>
            <w:vAlign w:val="top"/>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自提交投标文件的截止之日起90个日历日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2549" w:type="dxa"/>
            <w:tcBorders>
              <w:top w:val="single" w:color="auto" w:sz="4" w:space="0"/>
            </w:tcBorders>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汇款账户</w:t>
            </w:r>
          </w:p>
        </w:tc>
        <w:tc>
          <w:tcPr>
            <w:tcW w:w="5520" w:type="dxa"/>
            <w:tcBorders>
              <w:top w:val="single" w:color="auto" w:sz="4" w:space="0"/>
            </w:tcBorders>
            <w:shd w:val="clear" w:color="auto" w:fill="auto"/>
            <w:vAlign w:val="top"/>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1、开户行名称：陕西上德招标有限公司</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  户  行：中信银行西安南稍门支行</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3、帐      号：8111 7010 1170 0299 237</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财务部联系方式： </w:t>
            </w:r>
            <w:r>
              <w:rPr>
                <w:rFonts w:hint="eastAsia" w:ascii="宋体" w:hAnsi="宋体" w:eastAsia="宋体" w:cs="宋体"/>
                <w:color w:val="auto"/>
                <w:sz w:val="24"/>
                <w:szCs w:val="24"/>
                <w:highlight w:val="none"/>
                <w:lang w:eastAsia="zh-CN"/>
              </w:rPr>
              <w:t>029-86673953、029-86518381、029-89299829、029-89293231</w:t>
            </w:r>
            <w:r>
              <w:rPr>
                <w:rFonts w:hint="eastAsia" w:ascii="宋体" w:hAnsi="宋体" w:eastAsia="宋体" w:cs="宋体"/>
                <w:color w:val="auto"/>
                <w:sz w:val="24"/>
                <w:szCs w:val="24"/>
                <w:highlight w:val="none"/>
              </w:rPr>
              <w:t xml:space="preserve"> 转8033</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在汇款</w:t>
            </w:r>
            <w:r>
              <w:rPr>
                <w:rFonts w:hint="eastAsia" w:ascii="宋体" w:hAnsi="宋体" w:eastAsia="宋体" w:cs="宋体"/>
                <w:color w:val="auto"/>
                <w:sz w:val="24"/>
                <w:szCs w:val="24"/>
                <w:highlight w:val="none"/>
                <w:lang w:eastAsia="zh-CN"/>
              </w:rPr>
              <w:t>（招标服务费）</w:t>
            </w:r>
            <w:r>
              <w:rPr>
                <w:rFonts w:hint="eastAsia" w:ascii="宋体" w:hAnsi="宋体" w:eastAsia="宋体" w:cs="宋体"/>
                <w:color w:val="auto"/>
                <w:sz w:val="24"/>
                <w:szCs w:val="24"/>
                <w:highlight w:val="none"/>
              </w:rPr>
              <w:t>时须注明项目编号+项目简称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2549" w:type="dxa"/>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备选投标方案</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和报价</w:t>
            </w:r>
          </w:p>
        </w:tc>
        <w:tc>
          <w:tcPr>
            <w:tcW w:w="5520" w:type="dxa"/>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不接受备选投标方案和多个报价。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2549" w:type="dxa"/>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盖章签字</w:t>
            </w:r>
          </w:p>
        </w:tc>
        <w:tc>
          <w:tcPr>
            <w:tcW w:w="5520" w:type="dxa"/>
            <w:shd w:val="clear" w:color="auto" w:fill="auto"/>
            <w:vAlign w:val="center"/>
          </w:tcPr>
          <w:p>
            <w:pPr>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电子投标文件制作过程中，需要法定代表人签字或盖章的地方，请使用“法人CA锁”进行签章；需要加盖</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公章的地方，请使用“企业CA锁”进行签章</w:t>
            </w:r>
            <w:r>
              <w:rPr>
                <w:rFonts w:hint="eastAsia" w:ascii="宋体" w:hAnsi="宋体" w:eastAsia="宋体" w:cs="宋体"/>
                <w:color w:val="auto"/>
                <w:sz w:val="24"/>
                <w:szCs w:val="24"/>
                <w:highlight w:val="none"/>
                <w:lang w:eastAsia="zh-CN"/>
              </w:rPr>
              <w:t>。</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投标人必须按照招标文件的规定和要求在投标文件中指定的页面落款处加盖公章（鲜章）并由法定代表人签字（或盖章）。招标文件凡是要求法定代表人签字或盖章之处，非法人单位的负责人均参照执行。</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5520" w:type="dxa"/>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本项目属于交钥匙工程，投标报价=设备价（含税）＋运输费+安装费+调试费+培训费+产品辅材费+售后服务费+保险费+相关伴随费用等。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评标办法及标准</w:t>
            </w:r>
          </w:p>
        </w:tc>
        <w:tc>
          <w:tcPr>
            <w:tcW w:w="5520" w:type="dxa"/>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详见招标文件第二章。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其它事项</w:t>
            </w:r>
          </w:p>
        </w:tc>
        <w:tc>
          <w:tcPr>
            <w:tcW w:w="5520" w:type="dxa"/>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本次采购、投标报价、评审和合同授予均以项目为单位，投标人必须就一个完整项目进行响应。</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与采购人在中标通知书发出30天内签订合同，不及时签订视为自动放弃。本项目不允许中标后另行转包或者分包履行。因自身原因拒绝签订政府采购合同的或者未按合同约定进行履约的，中标人不得参加对该项目重新开展的招标活动。</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已免费领取</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，如不参与项目</w:t>
            </w:r>
            <w:r>
              <w:rPr>
                <w:rFonts w:hint="eastAsia" w:ascii="宋体" w:hAnsi="宋体" w:eastAsia="宋体" w:cs="宋体"/>
                <w:color w:val="auto"/>
                <w:sz w:val="24"/>
                <w:szCs w:val="24"/>
                <w:highlight w:val="none"/>
                <w:lang w:eastAsia="zh-CN"/>
              </w:rPr>
              <w:t>投标活动</w:t>
            </w:r>
            <w:r>
              <w:rPr>
                <w:rFonts w:hint="eastAsia" w:ascii="宋体" w:hAnsi="宋体" w:eastAsia="宋体" w:cs="宋体"/>
                <w:color w:val="auto"/>
                <w:sz w:val="24"/>
                <w:szCs w:val="24"/>
                <w:highlight w:val="none"/>
              </w:rPr>
              <w:t>，应在递</w:t>
            </w:r>
            <w:r>
              <w:rPr>
                <w:rFonts w:hint="eastAsia" w:ascii="宋体" w:hAnsi="宋体" w:eastAsia="宋体" w:cs="宋体"/>
                <w:color w:val="auto"/>
                <w:sz w:val="24"/>
                <w:szCs w:val="24"/>
                <w:highlight w:val="none"/>
                <w:lang w:eastAsia="zh-CN"/>
              </w:rPr>
              <w:t>交投标</w:t>
            </w:r>
            <w:r>
              <w:rPr>
                <w:rFonts w:hint="eastAsia" w:ascii="宋体" w:hAnsi="宋体" w:eastAsia="宋体" w:cs="宋体"/>
                <w:color w:val="auto"/>
                <w:sz w:val="24"/>
                <w:szCs w:val="24"/>
                <w:highlight w:val="none"/>
              </w:rPr>
              <w:t>文件截止时间前一天以书面形式告知采购代理机构。否则，采购代理机构可以向财政部门反应情况并提供相应佐证。投标</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一年内累计出现三次该情形，将被监管部门记录为失信行为。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是否预留份额</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专门面向中小企业采购</w:t>
            </w:r>
          </w:p>
        </w:tc>
        <w:tc>
          <w:tcPr>
            <w:tcW w:w="5520"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17</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是否接受联合体</w:t>
            </w:r>
          </w:p>
        </w:tc>
        <w:tc>
          <w:tcPr>
            <w:tcW w:w="5520"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是否允许进口产品</w:t>
            </w:r>
          </w:p>
        </w:tc>
        <w:tc>
          <w:tcPr>
            <w:tcW w:w="5520"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19</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是否允许大中企业</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向小微企业分包</w:t>
            </w:r>
          </w:p>
        </w:tc>
        <w:tc>
          <w:tcPr>
            <w:tcW w:w="5520"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w:t>
            </w:r>
          </w:p>
        </w:tc>
        <w:tc>
          <w:tcPr>
            <w:tcW w:w="5520"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履约保证金</w:t>
            </w:r>
          </w:p>
        </w:tc>
        <w:tc>
          <w:tcPr>
            <w:tcW w:w="5520"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投标文件份数</w:t>
            </w:r>
          </w:p>
        </w:tc>
        <w:tc>
          <w:tcPr>
            <w:tcW w:w="5520" w:type="dxa"/>
            <w:shd w:val="clear" w:color="auto" w:fill="auto"/>
            <w:vAlign w:val="center"/>
          </w:tcPr>
          <w:p>
            <w:pPr>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无需提供；</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在领取中标通知书时提供一正两副</w:t>
            </w:r>
            <w:r>
              <w:rPr>
                <w:rFonts w:hint="eastAsia" w:ascii="宋体" w:hAnsi="宋体" w:eastAsia="宋体" w:cs="宋体"/>
                <w:color w:val="auto"/>
                <w:sz w:val="24"/>
                <w:szCs w:val="24"/>
                <w:highlight w:val="none"/>
                <w:lang w:eastAsia="zh-CN"/>
              </w:rPr>
              <w:t>纸质投标文件及</w:t>
            </w:r>
            <w:r>
              <w:rPr>
                <w:rFonts w:hint="eastAsia" w:ascii="宋体" w:hAnsi="宋体" w:eastAsia="宋体" w:cs="宋体"/>
                <w:color w:val="auto"/>
                <w:sz w:val="24"/>
                <w:szCs w:val="24"/>
                <w:highlight w:val="none"/>
              </w:rPr>
              <w:t>电子投标文件一份（U盘或移动硬盘；电子投标文件为Word版本和PDF版本，PDF文件为签字、盖章的完整正本扫描件）。</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装订：纸质投标文件采用书籍（胶装）方式装订成册，</w:t>
            </w:r>
            <w:r>
              <w:rPr>
                <w:rFonts w:hint="eastAsia" w:ascii="宋体" w:hAnsi="宋体" w:eastAsia="宋体" w:cs="宋体"/>
                <w:color w:val="auto"/>
                <w:sz w:val="24"/>
                <w:szCs w:val="24"/>
                <w:highlight w:val="none"/>
                <w:lang w:eastAsia="zh-CN"/>
              </w:rPr>
              <w:t>与电子投标文件一致的</w:t>
            </w:r>
            <w:r>
              <w:rPr>
                <w:rFonts w:hint="eastAsia" w:ascii="宋体" w:hAnsi="宋体" w:eastAsia="宋体" w:cs="宋体"/>
                <w:color w:val="auto"/>
                <w:sz w:val="24"/>
                <w:szCs w:val="24"/>
                <w:highlight w:val="none"/>
              </w:rPr>
              <w:t>签字、盖章的</w:t>
            </w:r>
            <w:r>
              <w:rPr>
                <w:rFonts w:hint="eastAsia" w:ascii="宋体" w:hAnsi="宋体" w:eastAsia="宋体" w:cs="宋体"/>
                <w:color w:val="auto"/>
                <w:sz w:val="24"/>
                <w:szCs w:val="24"/>
                <w:highlight w:val="none"/>
                <w:lang w:eastAsia="zh-CN"/>
              </w:rPr>
              <w:t>完整版本</w:t>
            </w:r>
            <w:r>
              <w:rPr>
                <w:rFonts w:hint="eastAsia" w:ascii="宋体" w:hAnsi="宋体" w:eastAsia="宋体" w:cs="宋体"/>
                <w:color w:val="auto"/>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现场踏勘和集中答疑</w:t>
            </w:r>
          </w:p>
        </w:tc>
        <w:tc>
          <w:tcPr>
            <w:tcW w:w="5520" w:type="dxa"/>
            <w:shd w:val="clear" w:color="auto" w:fill="auto"/>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不组织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24</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政府采购信息发布媒体</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（采购公告、采购结果公告、变更公告）</w:t>
            </w:r>
          </w:p>
        </w:tc>
        <w:tc>
          <w:tcPr>
            <w:tcW w:w="5520" w:type="dxa"/>
            <w:shd w:val="clear" w:color="auto" w:fill="auto"/>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1．陕西省政府采购网：仅提供项目公告，官网地址：http://ccgp-shaanxi.gov.cn/。</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2．全国公共资源交易平台（陕西省西安市）：即西安市公共资源交易平台，提供项目公告和采购文件下载。官网地址：http://sxggzyjy.xa.gov.cn/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25</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询问和质疑</w:t>
            </w:r>
          </w:p>
        </w:tc>
        <w:tc>
          <w:tcPr>
            <w:tcW w:w="5520" w:type="dxa"/>
            <w:shd w:val="clear" w:color="auto" w:fill="auto"/>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见投标邀请函中的“联系方式”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26</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投诉受理</w:t>
            </w:r>
          </w:p>
        </w:tc>
        <w:tc>
          <w:tcPr>
            <w:tcW w:w="5520" w:type="dxa"/>
            <w:shd w:val="clear" w:color="auto" w:fill="auto"/>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受理单位：</w:t>
            </w:r>
            <w:r>
              <w:rPr>
                <w:rFonts w:hint="eastAsia" w:ascii="宋体" w:hAnsi="宋体" w:eastAsia="宋体" w:cs="宋体"/>
                <w:color w:val="auto"/>
                <w:sz w:val="24"/>
                <w:szCs w:val="24"/>
                <w:highlight w:val="none"/>
                <w:lang w:eastAsia="zh-CN"/>
              </w:rPr>
              <w:t>西安市鄠邑区财政局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27</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信用信息查询截至时点</w:t>
            </w:r>
          </w:p>
        </w:tc>
        <w:tc>
          <w:tcPr>
            <w:tcW w:w="5520" w:type="dxa"/>
            <w:shd w:val="clear" w:color="auto" w:fill="auto"/>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28</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开标形式</w:t>
            </w:r>
          </w:p>
        </w:tc>
        <w:tc>
          <w:tcPr>
            <w:tcW w:w="5520" w:type="dxa"/>
            <w:shd w:val="clear" w:color="auto" w:fill="auto"/>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不见面开标 </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29</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是否允许递交多个备选投标方案</w:t>
            </w:r>
          </w:p>
        </w:tc>
        <w:tc>
          <w:tcPr>
            <w:tcW w:w="5520" w:type="dxa"/>
            <w:shd w:val="clear" w:color="auto" w:fill="auto"/>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30</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西安市公共资源交易中心电子化政府采购系统技术支持（软件开发商）</w:t>
            </w:r>
          </w:p>
        </w:tc>
        <w:tc>
          <w:tcPr>
            <w:tcW w:w="5520" w:type="dxa"/>
            <w:shd w:val="clear" w:color="auto" w:fill="auto"/>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国泰新点软件股份有限公司</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1．技术支持热线：400-998-0000/400-928-0095</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31</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CA业务网点</w:t>
            </w:r>
          </w:p>
        </w:tc>
        <w:tc>
          <w:tcPr>
            <w:tcW w:w="5520" w:type="dxa"/>
            <w:shd w:val="clear" w:color="auto" w:fill="auto"/>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陕西省数字证书认证中心股份有限公司</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网点1：西安市高新三路信息港大厦1楼客服中心</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客服电话：4006-369-888</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网点2：西安市长安北路14号省体育公寓B座一楼</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咨询电话：029-88661241</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网点3：西安市文景北路16号白桦林国际B座2楼11#窗口</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咨询电话：029-86510073转80211</w:t>
            </w:r>
          </w:p>
        </w:tc>
      </w:tr>
    </w:tbl>
    <w:p>
      <w:pPr>
        <w:spacing w:line="560" w:lineRule="exact"/>
        <w:ind w:firstLine="640" w:firstLineChars="200"/>
        <w:jc w:val="both"/>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p>
    <w:p>
      <w:pPr>
        <w:pStyle w:val="4"/>
        <w:rPr>
          <w:rFonts w:hint="eastAsia" w:ascii="宋体" w:hAnsi="宋体" w:eastAsia="宋体" w:cs="宋体"/>
          <w:color w:val="auto"/>
          <w:sz w:val="24"/>
          <w:szCs w:val="24"/>
          <w:highlight w:val="none"/>
        </w:rPr>
      </w:pPr>
      <w:bookmarkStart w:id="30" w:name="_Toc28595"/>
      <w:r>
        <w:rPr>
          <w:rFonts w:hint="eastAsia" w:ascii="宋体" w:hAnsi="宋体" w:eastAsia="宋体" w:cs="宋体"/>
          <w:color w:val="auto"/>
          <w:sz w:val="24"/>
          <w:szCs w:val="24"/>
          <w:highlight w:val="none"/>
        </w:rPr>
        <w:t>一、有关定义</w:t>
      </w:r>
      <w:bookmarkEnd w:id="30"/>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1．采购人：依法进行政府采购的西安市市级机关、事业单位或团体组织。</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：指向采购人提供货物、工程或者服务的法人、其他组织或者自然人。</w:t>
      </w:r>
    </w:p>
    <w:p>
      <w:pPr>
        <w:spacing w:line="560" w:lineRule="exact"/>
        <w:ind w:firstLine="480" w:firstLineChars="200"/>
        <w:jc w:val="both"/>
        <w:outlineLvl w:val="2"/>
        <w:rPr>
          <w:rFonts w:hint="eastAsia" w:ascii="宋体" w:hAnsi="宋体" w:eastAsia="宋体" w:cs="宋体"/>
          <w:color w:val="auto"/>
          <w:sz w:val="24"/>
          <w:szCs w:val="24"/>
          <w:highlight w:val="none"/>
        </w:rPr>
      </w:pPr>
      <w:bookmarkStart w:id="31" w:name="_Toc15334"/>
      <w:r>
        <w:rPr>
          <w:rFonts w:hint="eastAsia" w:ascii="宋体" w:hAnsi="宋体" w:eastAsia="宋体" w:cs="宋体"/>
          <w:color w:val="auto"/>
          <w:sz w:val="24"/>
          <w:szCs w:val="24"/>
          <w:highlight w:val="none"/>
        </w:rPr>
        <w:t>3．同级政府采购监管部门：</w:t>
      </w:r>
      <w:r>
        <w:rPr>
          <w:rFonts w:hint="eastAsia" w:ascii="宋体" w:hAnsi="宋体" w:eastAsia="宋体" w:cs="宋体"/>
          <w:color w:val="auto"/>
          <w:sz w:val="24"/>
          <w:szCs w:val="24"/>
          <w:highlight w:val="none"/>
          <w:lang w:eastAsia="zh-CN"/>
        </w:rPr>
        <w:t>西安市鄠邑区财政局</w:t>
      </w:r>
      <w:r>
        <w:rPr>
          <w:rFonts w:hint="eastAsia" w:ascii="宋体" w:hAnsi="宋体" w:eastAsia="宋体" w:cs="宋体"/>
          <w:color w:val="auto"/>
          <w:sz w:val="24"/>
          <w:szCs w:val="24"/>
          <w:highlight w:val="none"/>
        </w:rPr>
        <w:t>。</w:t>
      </w:r>
      <w:bookmarkEnd w:id="31"/>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4．西安市公共资源交易平台：即【全国公共资源交易平台（陕西省西安市）】的简称，官网地址</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"http://sxggzyjy.xa.gov.cn/"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http://sxggzyjy.xa.gov.cn/</w:t>
      </w:r>
      <w:r>
        <w:rPr>
          <w:rStyle w:val="32"/>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5．企业端：指西安市公共资源交易平台〖首页〉电子交易平台〉陕西政府采购交易系统〉企业端〗，快捷登录网址</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"http://www.sxggzyjy.cn:9002/TPBidder/memberLogin"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http://www.sxggzyjy.cn:9002/TPBidder/memberLogin</w:t>
      </w:r>
      <w:r>
        <w:rPr>
          <w:rStyle w:val="32"/>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w:t>
      </w:r>
    </w:p>
    <w:p>
      <w:pPr>
        <w:pStyle w:val="4"/>
        <w:rPr>
          <w:rFonts w:hint="eastAsia" w:ascii="宋体" w:hAnsi="宋体" w:eastAsia="宋体" w:cs="宋体"/>
          <w:color w:val="auto"/>
          <w:sz w:val="24"/>
          <w:szCs w:val="24"/>
          <w:highlight w:val="none"/>
        </w:rPr>
      </w:pPr>
      <w:bookmarkStart w:id="32" w:name="_Toc18249"/>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注意事项</w:t>
      </w:r>
      <w:bookmarkEnd w:id="32"/>
    </w:p>
    <w:p>
      <w:pPr>
        <w:pStyle w:val="93"/>
        <w:spacing w:before="210" w:after="210"/>
        <w:ind w:firstLine="640"/>
        <w:outlineLvl w:val="2"/>
        <w:rPr>
          <w:rFonts w:hint="eastAsia" w:ascii="宋体" w:hAnsi="宋体" w:eastAsia="宋体" w:cs="宋体"/>
          <w:color w:val="auto"/>
          <w:sz w:val="24"/>
          <w:szCs w:val="24"/>
          <w:highlight w:val="none"/>
        </w:rPr>
      </w:pPr>
      <w:bookmarkStart w:id="33" w:name="_Toc2975"/>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投标流程</w:t>
      </w:r>
      <w:bookmarkEnd w:id="33"/>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使用电子交易系统的采购项目（即线上项目），将同时提供WORD\PDF格式（仅用于预览）和SXSZF格式（用于制作电子投标文件）两个版本，文件内容一致。</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1．预览采购文件：打开西安市公共资源交易平台〖首页〉交易大厅〉政府采购〗栏目，下载和阅读本项目采购文件的预览版本（WORD\PDF格式）；</w:t>
      </w:r>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2．办理注册登记（针对初次使用电子交易系统的用户）：</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（1）办理诚信入库注册：在决定参加本项目采购活动后，</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应先在西安市公共资源交易平台上完成“诚信入库登记”；</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p>
    <w:p>
      <w:pPr>
        <w:widowControl w:val="0"/>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办理须知：</w:t>
      </w:r>
    </w:p>
    <w:p>
      <w:pPr>
        <w:widowControl w:val="0"/>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http://</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"http://www.snca.com.cn/channel/show/27.html"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www.snca.com.cn/channel/show/27.html</w:t>
      </w:r>
      <w:r>
        <w:rPr>
          <w:rStyle w:val="32"/>
          <w:rFonts w:hint="eastAsia" w:ascii="宋体" w:hAnsi="宋体" w:eastAsia="宋体" w:cs="宋体"/>
          <w:color w:val="auto"/>
          <w:sz w:val="24"/>
          <w:szCs w:val="24"/>
          <w:highlight w:val="none"/>
          <w:u w:val="none"/>
        </w:rPr>
        <w:fldChar w:fldCharType="end"/>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（3）绑定和激活CA：将数字证书与诚信库中的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账户进行绑定。</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3．下载电子招标文件：</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4．制作电子投标文件：需要使用专用制作软件“新点投标文件制作软件（陕西公共资源）”进行编制，编制完成后使用CA锁对电子投标文件进行签章、加密。详见本章中的“投标文件”相关内容。</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5．提交电子投标文件：在提交投标文件截止时间前及时提交加密后电子投标文件，逾期提交的，系统将会拒收；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6．在线参加开标大会：开标当日，</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法定代表人或其授权代表需提前登录“不见面开标”系统，收到主持人“开始解密”指令后，使用CA锁（必须与加密文件时的CA锁为同一把锁）在线对电子投标文件进行解密。采用“不见面开标”系统后，</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无需到达开标现场，即可在线参与整个开标过程。相关技术问题，请咨询软件开发商。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7．等待专家评审：评审期间，可能需要对评审专家提出的问题进行澄清或答复。在主持人宣布评审结束前，</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请勿擅自离席，否则由此造成的不利后果，由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自行承担。</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注册：按照陕西省政府采购监管部门的要求，采购代理机构在发布中标公告前，应由</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在陕西省政府采购网上完成注册。</w:t>
      </w:r>
    </w:p>
    <w:p>
      <w:pPr>
        <w:pStyle w:val="93"/>
        <w:spacing w:before="210" w:after="210"/>
        <w:ind w:firstLine="640"/>
        <w:outlineLvl w:val="2"/>
        <w:rPr>
          <w:rFonts w:hint="eastAsia" w:ascii="宋体" w:hAnsi="宋体" w:eastAsia="宋体" w:cs="宋体"/>
          <w:color w:val="auto"/>
          <w:sz w:val="24"/>
          <w:szCs w:val="24"/>
          <w:highlight w:val="none"/>
        </w:rPr>
      </w:pPr>
      <w:bookmarkStart w:id="34" w:name="_Toc10189"/>
      <w:r>
        <w:rPr>
          <w:rFonts w:hint="eastAsia" w:ascii="宋体" w:hAnsi="宋体" w:eastAsia="宋体" w:cs="宋体"/>
          <w:color w:val="auto"/>
          <w:sz w:val="24"/>
          <w:szCs w:val="24"/>
          <w:highlight w:val="none"/>
        </w:rPr>
        <w:t>（二）关于询问、质疑和投诉</w:t>
      </w:r>
      <w:bookmarkEnd w:id="34"/>
    </w:p>
    <w:p>
      <w:pPr>
        <w:pStyle w:val="92"/>
        <w:outlineLvl w:val="3"/>
        <w:rPr>
          <w:rFonts w:hint="eastAsia" w:ascii="宋体" w:hAnsi="宋体" w:eastAsia="宋体" w:cs="宋体"/>
          <w:color w:val="auto"/>
          <w:sz w:val="24"/>
          <w:szCs w:val="24"/>
          <w:highlight w:val="none"/>
        </w:rPr>
      </w:pPr>
      <w:bookmarkStart w:id="35" w:name="_Toc415"/>
      <w:r>
        <w:rPr>
          <w:rFonts w:hint="eastAsia" w:ascii="宋体" w:hAnsi="宋体" w:eastAsia="宋体" w:cs="宋体"/>
          <w:color w:val="auto"/>
          <w:sz w:val="24"/>
          <w:szCs w:val="24"/>
          <w:highlight w:val="none"/>
        </w:rPr>
        <w:t>1．询问</w:t>
      </w:r>
      <w:bookmarkEnd w:id="35"/>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对政府采购活动事项有疑问的，可以向采购人或采购代理机构提出询问。采购人或采购代理机构将在3个工作日内对</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依法提出的询问作出答复。</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根据采购人和采购代理机构签订的《政府采购委托代理协议》，针对采购需求（包括采购内容、技术或服务要求、商务要求、合同条款、</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资格条件、评审要素及分值一览表）的询问请向采购人提出。</w:t>
      </w:r>
    </w:p>
    <w:p>
      <w:pPr>
        <w:pStyle w:val="92"/>
        <w:outlineLvl w:val="3"/>
        <w:rPr>
          <w:rFonts w:hint="eastAsia" w:ascii="宋体" w:hAnsi="宋体" w:eastAsia="宋体" w:cs="宋体"/>
          <w:color w:val="auto"/>
          <w:sz w:val="24"/>
          <w:szCs w:val="24"/>
          <w:highlight w:val="none"/>
        </w:rPr>
      </w:pPr>
      <w:bookmarkStart w:id="36" w:name="_Toc27463"/>
      <w:r>
        <w:rPr>
          <w:rFonts w:hint="eastAsia" w:ascii="宋体" w:hAnsi="宋体" w:eastAsia="宋体" w:cs="宋体"/>
          <w:color w:val="auto"/>
          <w:sz w:val="24"/>
          <w:szCs w:val="24"/>
          <w:highlight w:val="none"/>
        </w:rPr>
        <w:t>2．质疑</w:t>
      </w:r>
      <w:bookmarkEnd w:id="36"/>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认为采购文件、采购过程、成交结果使自己的权益受到损害的，可以在知道或应知其权益受到损害之日起7个工作日内以书面形式向采购人、采购代理机构提出。</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（2）质疑方式：</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 在线质疑：</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登录西安市公共资源交易平台〖首页〉电子交易平台〉企业端〗，在〖我的项目〗中点击“项目流程〉提出质疑”，填写表单并提交质疑。</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 书面质疑：</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书面质疑函应按照财政部国库司制定的《政府采购</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质疑函范本》（见下方链接）进行填写，签字、盖章后提交至采购人、采购代理机构。</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质疑函范本地址：</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"http://download.ccgp.gov.cn/2018/zhiyihanfanben.zip"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http://download.ccgp.gov.cn/2018/zhiyihanfanben.zip</w:t>
      </w:r>
      <w:r>
        <w:rPr>
          <w:rStyle w:val="32"/>
          <w:rFonts w:hint="eastAsia" w:ascii="宋体" w:hAnsi="宋体" w:eastAsia="宋体" w:cs="宋体"/>
          <w:color w:val="auto"/>
          <w:sz w:val="24"/>
          <w:szCs w:val="24"/>
          <w:highlight w:val="none"/>
          <w:u w:val="none"/>
        </w:rPr>
        <w:fldChar w:fldCharType="end"/>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为自然人的，应当由本人签字；</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为法人或者其他组织的，应当由法定代表人、主要负责人，或者其授权代表签字或者盖章，并加盖单位公章，公章不得以合同章或其他印章代替。</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委托代理人提出质疑的，应当同时提交</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签署的授权委托书。</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（4）在法定质疑期内，针对同一采购程序环节的质疑应当一次性提出。采购人、采购代理机构将在收到书面质疑后7个工作日内做出答复，并以书面形式通知质疑人和其他有关</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（5）有下列情形之一的，属于无效质疑：</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 对采购文件提出质疑的质疑人不是依法获取采购文件的潜在</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；对采购过程、中标结果提出质疑的质疑人不是参与本次政府采购项目的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 超过法定期限或未以书面形式提出的；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 缺乏必要的证明材料，或捏造事实、提供虚假材料，或以非法手段取得证明材料的；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 质疑函没有合法有效的签字、盖章或委托授权书的（代理人提出质疑和投诉，应当提交</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签署的授权委托书）；</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 针对同一采购程序环节又提出其他质疑事项的，或质疑答复后就同一事项再次提出质疑的；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⑥ 不符合法律、法规、规章和政府采购监管机构规定的其他条件的。</w:t>
      </w:r>
    </w:p>
    <w:p>
      <w:pPr>
        <w:pStyle w:val="92"/>
        <w:outlineLvl w:val="3"/>
        <w:rPr>
          <w:rFonts w:hint="eastAsia" w:ascii="宋体" w:hAnsi="宋体" w:eastAsia="宋体" w:cs="宋体"/>
          <w:color w:val="auto"/>
          <w:sz w:val="24"/>
          <w:szCs w:val="24"/>
          <w:highlight w:val="none"/>
        </w:rPr>
      </w:pPr>
      <w:bookmarkStart w:id="37" w:name="_Toc609"/>
      <w:r>
        <w:rPr>
          <w:rFonts w:hint="eastAsia" w:ascii="宋体" w:hAnsi="宋体" w:eastAsia="宋体" w:cs="宋体"/>
          <w:color w:val="auto"/>
          <w:sz w:val="24"/>
          <w:szCs w:val="24"/>
          <w:highlight w:val="none"/>
        </w:rPr>
        <w:t>3．投诉</w:t>
      </w:r>
      <w:bookmarkEnd w:id="37"/>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（1）质疑</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对采购人、采购代理机构的答复不满意，或者采购人、采购代理机构未在规定的时间内做出答复的，可以在答复期满后15个工作日内按照《政府采购质疑和投诉办法》（财政部94号令）相关规定向</w:t>
      </w:r>
      <w:r>
        <w:rPr>
          <w:rFonts w:hint="eastAsia" w:ascii="宋体" w:hAnsi="宋体" w:eastAsia="宋体" w:cs="宋体"/>
          <w:color w:val="auto"/>
          <w:sz w:val="24"/>
          <w:szCs w:val="24"/>
          <w:highlight w:val="none"/>
          <w:lang w:eastAsia="zh-CN"/>
        </w:rPr>
        <w:t>西安市鄠邑区财政局</w:t>
      </w:r>
      <w:r>
        <w:rPr>
          <w:rFonts w:hint="eastAsia" w:ascii="宋体" w:hAnsi="宋体" w:eastAsia="宋体" w:cs="宋体"/>
          <w:color w:val="auto"/>
          <w:sz w:val="24"/>
          <w:szCs w:val="24"/>
          <w:highlight w:val="none"/>
        </w:rPr>
        <w:t>提出投诉。</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投诉的事项不得超出已质疑事项的范围。</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提出投诉时，应当提交投诉书和必要的证明材料，并按财政部《投诉书范本》给定的格式进行填写。</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投诉书范本地址：</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"http://download.ccgp.gov.cn/2018/tousushufanben.zip"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rPr>
        <w:t>http://download.ccgp.gov.cn/2018/tousushufanben.zip</w:t>
      </w:r>
      <w:r>
        <w:rPr>
          <w:rStyle w:val="32"/>
          <w:rFonts w:hint="eastAsia" w:ascii="宋体" w:hAnsi="宋体" w:eastAsia="宋体" w:cs="宋体"/>
          <w:color w:val="auto"/>
          <w:sz w:val="24"/>
          <w:szCs w:val="24"/>
          <w:highlight w:val="none"/>
        </w:rPr>
        <w:fldChar w:fldCharType="end"/>
      </w:r>
    </w:p>
    <w:p>
      <w:pPr>
        <w:pStyle w:val="92"/>
        <w:outlineLvl w:val="3"/>
        <w:rPr>
          <w:rFonts w:hint="eastAsia" w:ascii="宋体" w:hAnsi="宋体" w:eastAsia="宋体" w:cs="宋体"/>
          <w:color w:val="auto"/>
          <w:sz w:val="24"/>
          <w:szCs w:val="24"/>
          <w:highlight w:val="none"/>
        </w:rPr>
      </w:pPr>
      <w:bookmarkStart w:id="38" w:name="_Toc21647"/>
      <w:r>
        <w:rPr>
          <w:rFonts w:hint="eastAsia" w:ascii="宋体" w:hAnsi="宋体" w:eastAsia="宋体" w:cs="宋体"/>
          <w:color w:val="auto"/>
          <w:sz w:val="24"/>
          <w:szCs w:val="24"/>
          <w:highlight w:val="none"/>
        </w:rPr>
        <w:t>4．恶意质疑、投诉的法律后果</w:t>
      </w:r>
      <w:bookmarkEnd w:id="38"/>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（1）对捏造事实、提供虚假材料进行质疑、投诉的行为予以严肃处理：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（2）对捏造事实诬告陷害他人、诽谤他人的法律适用：</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《中华人民共和国刑法》第243条【诬告陷害罪】捏造事实诬告陷害他人，意图使他人受刑事追究，情节严重的，处三年以下有期徒刑、拘役或者管制；造成严重后果的，处三年以上十年以下有期徒刑。</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《中华人民共和国刑法》第246条【侮辱罪、诽谤罪】以暴力或者其他方法公然侮辱他人或者捏造事实诽谤他人，情节严重的，处三年以下有期徒刑、拘役、管制或者剥夺政治权利。</w:t>
      </w:r>
    </w:p>
    <w:p>
      <w:pPr>
        <w:pStyle w:val="93"/>
        <w:numPr>
          <w:ilvl w:val="0"/>
          <w:numId w:val="3"/>
        </w:numPr>
        <w:spacing w:before="210" w:after="210"/>
        <w:ind w:firstLine="640"/>
        <w:outlineLvl w:val="2"/>
        <w:rPr>
          <w:rFonts w:hint="eastAsia" w:ascii="宋体" w:hAnsi="宋体" w:eastAsia="宋体" w:cs="宋体"/>
          <w:color w:val="auto"/>
          <w:sz w:val="24"/>
          <w:szCs w:val="24"/>
          <w:highlight w:val="none"/>
        </w:rPr>
      </w:pPr>
      <w:bookmarkStart w:id="39" w:name="_Toc7297"/>
      <w:r>
        <w:rPr>
          <w:rFonts w:hint="eastAsia" w:ascii="宋体" w:hAnsi="宋体" w:eastAsia="宋体" w:cs="宋体"/>
          <w:color w:val="auto"/>
          <w:sz w:val="24"/>
          <w:szCs w:val="24"/>
          <w:highlight w:val="none"/>
        </w:rPr>
        <w:t>关于保证金</w:t>
      </w:r>
      <w:bookmarkEnd w:id="39"/>
    </w:p>
    <w:p>
      <w:pPr>
        <w:pStyle w:val="93"/>
        <w:spacing w:before="210" w:after="210"/>
        <w:ind w:firstLine="640"/>
        <w:outlineLvl w:val="2"/>
        <w:rPr>
          <w:rFonts w:hint="eastAsia" w:ascii="宋体" w:hAnsi="宋体" w:eastAsia="宋体" w:cs="宋体"/>
          <w:b w:val="0"/>
          <w:bCs w:val="0"/>
          <w:color w:val="auto"/>
          <w:sz w:val="24"/>
          <w:szCs w:val="24"/>
          <w:highlight w:val="none"/>
          <w:lang w:val="en-US" w:eastAsia="zh-CN"/>
        </w:rPr>
      </w:pPr>
      <w:bookmarkStart w:id="40" w:name="_Toc9936"/>
      <w:r>
        <w:rPr>
          <w:rFonts w:hint="eastAsia" w:ascii="宋体" w:hAnsi="宋体" w:eastAsia="宋体" w:cs="宋体"/>
          <w:b w:val="0"/>
          <w:bCs w:val="0"/>
          <w:color w:val="auto"/>
          <w:sz w:val="24"/>
          <w:szCs w:val="24"/>
          <w:highlight w:val="none"/>
          <w:lang w:val="en-US" w:eastAsia="zh-CN"/>
        </w:rPr>
        <w:t>本项目</w:t>
      </w:r>
      <w:r>
        <w:rPr>
          <w:rFonts w:hint="eastAsia" w:ascii="宋体" w:hAnsi="宋体" w:eastAsia="宋体" w:cs="宋体"/>
          <w:b w:val="0"/>
          <w:bCs w:val="0"/>
          <w:color w:val="auto"/>
          <w:sz w:val="24"/>
          <w:szCs w:val="24"/>
          <w:highlight w:val="none"/>
          <w:lang w:val="en-US" w:eastAsia="zh-CN"/>
        </w:rPr>
        <w:t>不收取保证金</w:t>
      </w:r>
    </w:p>
    <w:p>
      <w:pPr>
        <w:pStyle w:val="93"/>
        <w:spacing w:before="210" w:after="210"/>
        <w:ind w:firstLine="64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（四）关于联合体</w:t>
      </w:r>
      <w:bookmarkEnd w:id="40"/>
    </w:p>
    <w:p>
      <w:pPr>
        <w:spacing w:line="56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本项目不接受联合体</w:t>
      </w:r>
      <w:r>
        <w:rPr>
          <w:rFonts w:hint="eastAsia" w:ascii="宋体" w:hAnsi="宋体" w:eastAsia="宋体" w:cs="宋体"/>
          <w:color w:val="auto"/>
          <w:sz w:val="24"/>
          <w:szCs w:val="24"/>
          <w:highlight w:val="none"/>
          <w:lang w:val="en-US" w:eastAsia="zh-CN"/>
        </w:rPr>
        <w:t>投标</w:t>
      </w:r>
    </w:p>
    <w:p>
      <w:pPr>
        <w:pStyle w:val="93"/>
        <w:spacing w:before="210" w:after="210"/>
        <w:ind w:firstLine="640"/>
        <w:outlineLvl w:val="2"/>
        <w:rPr>
          <w:rFonts w:hint="eastAsia" w:ascii="宋体" w:hAnsi="宋体" w:eastAsia="宋体" w:cs="宋体"/>
          <w:color w:val="auto"/>
          <w:sz w:val="24"/>
          <w:szCs w:val="24"/>
          <w:highlight w:val="none"/>
        </w:rPr>
      </w:pPr>
      <w:bookmarkStart w:id="41" w:name="_Toc18164"/>
      <w:r>
        <w:rPr>
          <w:rFonts w:hint="eastAsia" w:ascii="宋体" w:hAnsi="宋体" w:eastAsia="宋体" w:cs="宋体"/>
          <w:color w:val="auto"/>
          <w:sz w:val="24"/>
          <w:szCs w:val="24"/>
          <w:highlight w:val="none"/>
        </w:rPr>
        <w:t>（五）关于进口产品</w:t>
      </w:r>
      <w:bookmarkEnd w:id="41"/>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本项目不接受进口产品</w:t>
      </w:r>
      <w:r>
        <w:rPr>
          <w:rFonts w:hint="eastAsia" w:ascii="宋体" w:hAnsi="宋体" w:eastAsia="宋体" w:cs="宋体"/>
          <w:color w:val="auto"/>
          <w:sz w:val="24"/>
          <w:szCs w:val="24"/>
          <w:highlight w:val="none"/>
          <w:lang w:val="en-US" w:eastAsia="zh-CN"/>
        </w:rPr>
        <w:t>投标</w:t>
      </w:r>
    </w:p>
    <w:p>
      <w:pPr>
        <w:pStyle w:val="93"/>
        <w:spacing w:before="210" w:after="210"/>
        <w:ind w:firstLine="640"/>
        <w:outlineLvl w:val="2"/>
        <w:rPr>
          <w:rFonts w:hint="eastAsia" w:ascii="宋体" w:hAnsi="宋体" w:eastAsia="宋体" w:cs="宋体"/>
          <w:color w:val="auto"/>
          <w:sz w:val="24"/>
          <w:szCs w:val="24"/>
          <w:highlight w:val="none"/>
        </w:rPr>
      </w:pPr>
      <w:bookmarkStart w:id="42" w:name="_Toc28193"/>
      <w:r>
        <w:rPr>
          <w:rFonts w:hint="eastAsia" w:ascii="宋体" w:hAnsi="宋体" w:eastAsia="宋体" w:cs="宋体"/>
          <w:color w:val="auto"/>
          <w:sz w:val="24"/>
          <w:szCs w:val="24"/>
          <w:highlight w:val="none"/>
        </w:rPr>
        <w:t>（六）关于政府采购政策</w:t>
      </w:r>
      <w:bookmarkEnd w:id="42"/>
    </w:p>
    <w:p>
      <w:pPr>
        <w:pStyle w:val="92"/>
        <w:outlineLvl w:val="3"/>
        <w:rPr>
          <w:rFonts w:hint="eastAsia" w:ascii="宋体" w:hAnsi="宋体" w:eastAsia="宋体" w:cs="宋体"/>
          <w:color w:val="auto"/>
          <w:sz w:val="24"/>
          <w:szCs w:val="24"/>
          <w:highlight w:val="none"/>
        </w:rPr>
      </w:pPr>
      <w:bookmarkStart w:id="43" w:name="_Toc29567"/>
      <w:r>
        <w:rPr>
          <w:rFonts w:hint="eastAsia" w:ascii="宋体" w:hAnsi="宋体" w:eastAsia="宋体" w:cs="宋体"/>
          <w:color w:val="auto"/>
          <w:sz w:val="24"/>
          <w:szCs w:val="24"/>
          <w:highlight w:val="none"/>
        </w:rPr>
        <w:t>1．对中小企业、监狱企业、残疾人福利性单位的优惠政策</w:t>
      </w:r>
      <w:bookmarkEnd w:id="43"/>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政府采购促进中小企业发展管理办法》（财库〔2020〕46号）的有关规定，提供小微企业制造的货物、承建的工程或者承接的服务（不包括使用大型、中型企业商号或者注册商标的货物）参与政府采购活动时对小型和微型企业产品的报价给予</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%的扣除（实际价格扣除比例以本章《评审要素及分值一览表》中的具体规定为准），用扣除后的价格参加评审。同时，依据该办法第四条第二款规定在货物采购项目中，</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提供的货物既有中小企业制造货物，也有大型企业制造货物的，不享受中小企业扶持政策。</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（2）根据财政部、司法部联合下发的《关于政府采购支持监狱企业发展有关问题的通知》（财库〔2014〕68号）的规定，监狱企业视同小型、微型企业。</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pStyle w:val="92"/>
        <w:outlineLvl w:val="3"/>
        <w:rPr>
          <w:rFonts w:hint="eastAsia" w:ascii="宋体" w:hAnsi="宋体" w:eastAsia="宋体" w:cs="宋体"/>
          <w:color w:val="auto"/>
          <w:sz w:val="24"/>
          <w:szCs w:val="24"/>
          <w:highlight w:val="none"/>
        </w:rPr>
      </w:pPr>
      <w:bookmarkStart w:id="44" w:name="_Toc32162"/>
      <w:r>
        <w:rPr>
          <w:rFonts w:hint="eastAsia" w:ascii="宋体" w:hAnsi="宋体" w:eastAsia="宋体" w:cs="宋体"/>
          <w:color w:val="auto"/>
          <w:sz w:val="24"/>
          <w:szCs w:val="24"/>
          <w:highlight w:val="none"/>
        </w:rPr>
        <w:t>2．节能、环保产品采购政策</w:t>
      </w:r>
      <w:bookmarkEnd w:id="44"/>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（3）《节能产品政府采购品目清单》见财政部、发展改革委《关于印发节能产品政府采购品目清单的通知》（财库〔2019〕19号）附件。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（4）《环境标志产品政府采购品目清单》见财政部、生态环境部《关于印发环境标志产品政府采购品目清单的通知》（财库〔2019〕18号）附件。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（5）“国家确定的认证机构”名单见市场监管总局《关于发布参与实施政府采购节能产品、环境标志产品认证机构名录的公告》（2019年第16号）。</w:t>
      </w:r>
    </w:p>
    <w:p>
      <w:pPr>
        <w:pStyle w:val="92"/>
        <w:outlineLvl w:val="3"/>
        <w:rPr>
          <w:rFonts w:hint="eastAsia" w:ascii="宋体" w:hAnsi="宋体" w:eastAsia="宋体" w:cs="宋体"/>
          <w:color w:val="auto"/>
          <w:sz w:val="24"/>
          <w:szCs w:val="24"/>
          <w:highlight w:val="none"/>
        </w:rPr>
      </w:pPr>
      <w:bookmarkStart w:id="45" w:name="_Toc12208"/>
      <w:r>
        <w:rPr>
          <w:rFonts w:hint="eastAsia" w:ascii="宋体" w:hAnsi="宋体" w:eastAsia="宋体" w:cs="宋体"/>
          <w:color w:val="auto"/>
          <w:sz w:val="24"/>
          <w:szCs w:val="24"/>
          <w:highlight w:val="none"/>
        </w:rPr>
        <w:t>3．陕西省中小企业政府采购信用融资办法</w:t>
      </w:r>
      <w:bookmarkEnd w:id="45"/>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链接地址：</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"http://www.ccgp-shaanxi.gov.cn/zcdservice/zcd/shanxi/article/zcdt/1390497710741917696"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http://www.ccgp-shaanxi.gov.cn/zcdservice/zcd/shanxi/article/zcdt/1390497710741917696</w:t>
      </w:r>
      <w:r>
        <w:rPr>
          <w:rStyle w:val="32"/>
          <w:rFonts w:hint="eastAsia" w:ascii="宋体" w:hAnsi="宋体" w:eastAsia="宋体" w:cs="宋体"/>
          <w:color w:val="auto"/>
          <w:sz w:val="24"/>
          <w:szCs w:val="24"/>
          <w:highlight w:val="none"/>
          <w:u w:val="none"/>
        </w:rPr>
        <w:fldChar w:fldCharType="end"/>
      </w:r>
    </w:p>
    <w:p>
      <w:pPr>
        <w:pStyle w:val="93"/>
        <w:spacing w:before="210" w:after="210"/>
        <w:ind w:firstLine="640"/>
        <w:outlineLvl w:val="2"/>
        <w:rPr>
          <w:rFonts w:hint="eastAsia" w:ascii="宋体" w:hAnsi="宋体" w:eastAsia="宋体" w:cs="宋体"/>
          <w:color w:val="auto"/>
          <w:sz w:val="24"/>
          <w:szCs w:val="24"/>
          <w:highlight w:val="none"/>
        </w:rPr>
      </w:pPr>
      <w:bookmarkStart w:id="46" w:name="_Toc2708"/>
      <w:r>
        <w:rPr>
          <w:rFonts w:hint="eastAsia" w:ascii="宋体" w:hAnsi="宋体" w:eastAsia="宋体" w:cs="宋体"/>
          <w:color w:val="auto"/>
          <w:sz w:val="24"/>
          <w:szCs w:val="24"/>
          <w:highlight w:val="none"/>
        </w:rPr>
        <w:t>（七）关于现场踏勘和集中答疑</w:t>
      </w:r>
      <w:bookmarkEnd w:id="46"/>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color w:val="auto"/>
          <w:sz w:val="24"/>
          <w:highlight w:val="none"/>
        </w:rPr>
        <w:t>不组织。</w:t>
      </w:r>
    </w:p>
    <w:p>
      <w:pPr>
        <w:pStyle w:val="93"/>
        <w:spacing w:before="210" w:after="210"/>
        <w:ind w:firstLine="640"/>
        <w:outlineLvl w:val="2"/>
        <w:rPr>
          <w:rFonts w:hint="eastAsia" w:ascii="宋体" w:hAnsi="宋体" w:eastAsia="宋体" w:cs="宋体"/>
          <w:color w:val="auto"/>
          <w:sz w:val="24"/>
          <w:szCs w:val="24"/>
          <w:highlight w:val="none"/>
        </w:rPr>
      </w:pPr>
      <w:bookmarkStart w:id="47" w:name="_Toc16237"/>
      <w:r>
        <w:rPr>
          <w:rFonts w:hint="eastAsia" w:ascii="宋体" w:hAnsi="宋体" w:eastAsia="宋体" w:cs="宋体"/>
          <w:color w:val="auto"/>
          <w:sz w:val="24"/>
          <w:szCs w:val="24"/>
          <w:highlight w:val="none"/>
        </w:rPr>
        <w:t>（八）关于同一品牌产品的处理</w:t>
      </w:r>
      <w:bookmarkEnd w:id="47"/>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使用综合评分法的采购项目，提供相同品牌产品且通过资格审查、符合性审查的不同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参加同一合同项下投标的，按一家</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计算，评审后得分最高的同品牌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获得</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推荐资格；评审得分相同的，由采购人或者采购人委托评审委员会按照采购文件规定的方式确定一个</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获得</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推荐资格，采购文件未规定的采取随机抽取方式确定，其他同品牌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不作为中标候选人。</w:t>
      </w:r>
    </w:p>
    <w:p>
      <w:pPr>
        <w:pStyle w:val="93"/>
        <w:spacing w:before="210" w:after="210"/>
        <w:ind w:firstLine="640"/>
        <w:outlineLvl w:val="2"/>
        <w:rPr>
          <w:rFonts w:hint="eastAsia" w:ascii="宋体" w:hAnsi="宋体" w:eastAsia="宋体" w:cs="宋体"/>
          <w:color w:val="auto"/>
          <w:sz w:val="24"/>
          <w:szCs w:val="24"/>
          <w:highlight w:val="none"/>
        </w:rPr>
      </w:pPr>
      <w:bookmarkStart w:id="48" w:name="_Toc17987"/>
      <w:r>
        <w:rPr>
          <w:rFonts w:hint="eastAsia" w:ascii="宋体" w:hAnsi="宋体" w:eastAsia="宋体" w:cs="宋体"/>
          <w:color w:val="auto"/>
          <w:sz w:val="24"/>
          <w:szCs w:val="24"/>
          <w:highlight w:val="none"/>
        </w:rPr>
        <w:t>（九）关于知识产权和保密事项</w:t>
      </w:r>
      <w:bookmarkEnd w:id="48"/>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1．所有涉及知识产权的产品及设计，</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必须确保委托人、采购人拥有其合法的、不受限制的无偿使用权，并免受任何侵权诉讼或索偿；否则，由此产生的一切经济损失和法律责任由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承担。</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2．由采购人向</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提供的用户需求书、图纸、样品、模型、模件和所有资料，</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获得后，应对其保密。除非采购人同意，</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不得向第三方透露或将其用于本次投 标以外的任何用途。开标后，若采购人有要求，</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人须归还采购人认为需保密的文件和资料，并销毁所有相应的备份文件及资料。</w:t>
      </w:r>
    </w:p>
    <w:p>
      <w:pPr>
        <w:pStyle w:val="93"/>
        <w:spacing w:before="210" w:after="210"/>
        <w:ind w:firstLine="640"/>
        <w:outlineLvl w:val="2"/>
        <w:rPr>
          <w:rFonts w:hint="eastAsia" w:ascii="宋体" w:hAnsi="宋体" w:eastAsia="宋体" w:cs="宋体"/>
          <w:color w:val="auto"/>
          <w:sz w:val="24"/>
          <w:szCs w:val="24"/>
          <w:highlight w:val="none"/>
        </w:rPr>
      </w:pPr>
      <w:bookmarkStart w:id="49" w:name="_Toc8141"/>
      <w:r>
        <w:rPr>
          <w:rFonts w:hint="eastAsia" w:ascii="宋体" w:hAnsi="宋体" w:eastAsia="宋体" w:cs="宋体"/>
          <w:color w:val="auto"/>
          <w:sz w:val="24"/>
          <w:szCs w:val="24"/>
          <w:highlight w:val="none"/>
        </w:rPr>
        <w:t>（十）关于信用记录的查询和使用</w:t>
      </w:r>
      <w:bookmarkEnd w:id="49"/>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1．根据财政部《关于在政府采购活动中查询及使用信用记录有关问题的通知》（财库〔2016〕125号）第二条有关要求，采购人将在资格审查阶段通过【信用中国】（</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"https://www.creditchina.gov.cn"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https://www.creditchina.gov.cn</w:t>
      </w:r>
      <w:r>
        <w:rPr>
          <w:rStyle w:val="32"/>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/）和【中国政府采购网】（</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"http://www.ccgp.gov.cn/"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http://www.ccgp.gov.cn/）</w:t>
      </w:r>
      <w:r>
        <w:rPr>
          <w:rStyle w:val="32"/>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的信用情况进行甄别。</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2．对列入失信被执行人、</w:t>
      </w:r>
      <w:r>
        <w:rPr>
          <w:rFonts w:hint="eastAsia" w:ascii="宋体" w:hAnsi="宋体" w:eastAsia="宋体" w:cs="宋体"/>
          <w:color w:val="auto"/>
          <w:sz w:val="24"/>
          <w:szCs w:val="24"/>
          <w:highlight w:val="none"/>
          <w:lang w:eastAsia="zh-CN"/>
        </w:rPr>
        <w:t>重大税收违法失信主体</w:t>
      </w:r>
      <w:r>
        <w:rPr>
          <w:rFonts w:hint="eastAsia" w:ascii="宋体" w:hAnsi="宋体" w:eastAsia="宋体" w:cs="宋体"/>
          <w:color w:val="auto"/>
          <w:sz w:val="24"/>
          <w:szCs w:val="24"/>
          <w:highlight w:val="none"/>
        </w:rPr>
        <w:t>、政府采购严重违法失信行为记录名单及其他不符合《中华人民共和国政府采购法》第二十二条规定条件的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，将拒绝其参与政府采购活动。</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在参加政府采购活动前3年内因违法经营被禁止在一定期限内参加政府采购活动，期限届满的，可以参加政府采购活动的，但</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应提供相关证明材料。</w:t>
      </w:r>
    </w:p>
    <w:p>
      <w:pPr>
        <w:spacing w:line="560" w:lineRule="exact"/>
        <w:ind w:firstLine="480" w:firstLineChars="20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4．信用记录查询结果打印后，将与其他采购文件一并保存。如相关失信记录已失效，需提供相关证明资料</w:t>
      </w:r>
      <w:r>
        <w:rPr>
          <w:rFonts w:hint="eastAsia" w:ascii="宋体" w:hAnsi="宋体" w:eastAsia="宋体" w:cs="宋体"/>
          <w:color w:val="auto"/>
          <w:sz w:val="24"/>
          <w:szCs w:val="24"/>
          <w:highlight w:val="none"/>
          <w:lang w:eastAsia="zh-CN"/>
        </w:rPr>
        <w:t>。</w:t>
      </w:r>
    </w:p>
    <w:p>
      <w:pPr>
        <w:pStyle w:val="93"/>
        <w:spacing w:before="210" w:after="210"/>
        <w:ind w:firstLine="640"/>
        <w:outlineLvl w:val="2"/>
        <w:rPr>
          <w:rFonts w:hint="eastAsia" w:ascii="宋体" w:hAnsi="宋体" w:eastAsia="宋体" w:cs="宋体"/>
          <w:color w:val="auto"/>
          <w:sz w:val="24"/>
          <w:szCs w:val="24"/>
          <w:highlight w:val="none"/>
        </w:rPr>
      </w:pPr>
      <w:bookmarkStart w:id="50" w:name="_Toc28286"/>
      <w:r>
        <w:rPr>
          <w:rFonts w:hint="eastAsia" w:ascii="宋体" w:hAnsi="宋体" w:eastAsia="宋体" w:cs="宋体"/>
          <w:color w:val="auto"/>
          <w:sz w:val="24"/>
          <w:szCs w:val="24"/>
          <w:highlight w:val="none"/>
        </w:rPr>
        <w:t>（十一）其他重要事项</w:t>
      </w:r>
      <w:bookmarkEnd w:id="50"/>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1．招标文件内所附网络链接仅供参考，不保证其长期有效性。</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的投标费用自理。</w:t>
      </w:r>
    </w:p>
    <w:p>
      <w:pPr>
        <w:pStyle w:val="4"/>
        <w:rPr>
          <w:rFonts w:hint="eastAsia" w:ascii="宋体" w:hAnsi="宋体" w:eastAsia="宋体" w:cs="宋体"/>
          <w:color w:val="auto"/>
          <w:sz w:val="24"/>
          <w:szCs w:val="24"/>
          <w:highlight w:val="none"/>
        </w:rPr>
      </w:pPr>
      <w:bookmarkStart w:id="51" w:name="_Toc16427"/>
      <w:r>
        <w:rPr>
          <w:rFonts w:hint="eastAsia" w:ascii="宋体" w:hAnsi="宋体" w:eastAsia="宋体" w:cs="宋体"/>
          <w:color w:val="auto"/>
          <w:sz w:val="24"/>
          <w:szCs w:val="24"/>
          <w:highlight w:val="none"/>
        </w:rPr>
        <w:t>三、招标文件</w:t>
      </w:r>
      <w:bookmarkEnd w:id="51"/>
    </w:p>
    <w:p>
      <w:pPr>
        <w:pStyle w:val="93"/>
        <w:spacing w:before="210" w:after="210"/>
        <w:ind w:firstLine="640"/>
        <w:outlineLvl w:val="2"/>
        <w:rPr>
          <w:rFonts w:hint="eastAsia" w:ascii="宋体" w:hAnsi="宋体" w:eastAsia="宋体" w:cs="宋体"/>
          <w:color w:val="auto"/>
          <w:sz w:val="24"/>
          <w:szCs w:val="24"/>
          <w:highlight w:val="none"/>
        </w:rPr>
      </w:pPr>
      <w:bookmarkStart w:id="52" w:name="_Toc25303"/>
      <w:r>
        <w:rPr>
          <w:rFonts w:hint="eastAsia" w:ascii="宋体" w:hAnsi="宋体" w:eastAsia="宋体" w:cs="宋体"/>
          <w:color w:val="auto"/>
          <w:sz w:val="24"/>
          <w:szCs w:val="24"/>
          <w:highlight w:val="none"/>
        </w:rPr>
        <w:t>（一）招标文件的解释权</w:t>
      </w:r>
      <w:bookmarkEnd w:id="52"/>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本项目招标文件的解释权归采购代理机构，评标委员会成员应根据政府采购法律法规和招标文件所载明的评审方法、标准进行评审。</w:t>
      </w:r>
    </w:p>
    <w:p>
      <w:pPr>
        <w:pStyle w:val="93"/>
        <w:spacing w:before="210" w:after="210"/>
        <w:ind w:firstLine="640"/>
        <w:outlineLvl w:val="2"/>
        <w:rPr>
          <w:rFonts w:hint="eastAsia" w:ascii="宋体" w:hAnsi="宋体" w:eastAsia="宋体" w:cs="宋体"/>
          <w:color w:val="auto"/>
          <w:sz w:val="24"/>
          <w:szCs w:val="24"/>
          <w:highlight w:val="none"/>
        </w:rPr>
      </w:pPr>
      <w:bookmarkStart w:id="53" w:name="_Toc236"/>
      <w:r>
        <w:rPr>
          <w:rFonts w:hint="eastAsia" w:ascii="宋体" w:hAnsi="宋体" w:eastAsia="宋体" w:cs="宋体"/>
          <w:color w:val="auto"/>
          <w:sz w:val="24"/>
          <w:szCs w:val="24"/>
          <w:highlight w:val="none"/>
        </w:rPr>
        <w:t>（二）招标文件主要内容</w:t>
      </w:r>
      <w:bookmarkEnd w:id="53"/>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第1章  投标邀请函</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第2章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须知</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第3章  招标内容及要求</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第4章  合同文本</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第5章  投标文件构成及格式</w:t>
      </w:r>
    </w:p>
    <w:p>
      <w:pPr>
        <w:pStyle w:val="93"/>
        <w:spacing w:before="210" w:after="210"/>
        <w:ind w:firstLine="640"/>
        <w:outlineLvl w:val="2"/>
        <w:rPr>
          <w:rFonts w:hint="eastAsia" w:ascii="宋体" w:hAnsi="宋体" w:eastAsia="宋体" w:cs="宋体"/>
          <w:color w:val="auto"/>
          <w:sz w:val="24"/>
          <w:szCs w:val="24"/>
          <w:highlight w:val="none"/>
        </w:rPr>
      </w:pPr>
      <w:bookmarkStart w:id="54" w:name="_Toc27851"/>
      <w:r>
        <w:rPr>
          <w:rFonts w:hint="eastAsia" w:ascii="宋体" w:hAnsi="宋体" w:eastAsia="宋体" w:cs="宋体"/>
          <w:color w:val="auto"/>
          <w:sz w:val="24"/>
          <w:szCs w:val="24"/>
          <w:highlight w:val="none"/>
        </w:rPr>
        <w:t>（三）招标文件的检查及阅读</w:t>
      </w:r>
      <w:bookmarkEnd w:id="54"/>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应认真阅读和充分理解招标文件中所有的事项、格式条款和规范要求，在投标文件中对招标文件做出全面响应，并按招标文件的要求提交全部资料。</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项目废标后重新组织招标的，采购代理机构将重新编制、发布新版招标文件，</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应按新版招标文件重新编制投标文件。原招标文件及投标文件失效。</w:t>
      </w:r>
    </w:p>
    <w:p>
      <w:pPr>
        <w:pStyle w:val="93"/>
        <w:spacing w:before="210" w:after="210"/>
        <w:ind w:firstLine="640"/>
        <w:outlineLvl w:val="2"/>
        <w:rPr>
          <w:rFonts w:hint="eastAsia" w:ascii="宋体" w:hAnsi="宋体" w:eastAsia="宋体" w:cs="宋体"/>
          <w:color w:val="auto"/>
          <w:sz w:val="24"/>
          <w:szCs w:val="24"/>
          <w:highlight w:val="none"/>
        </w:rPr>
      </w:pPr>
      <w:bookmarkStart w:id="55" w:name="_Toc3462"/>
      <w:r>
        <w:rPr>
          <w:rFonts w:hint="eastAsia" w:ascii="宋体" w:hAnsi="宋体" w:eastAsia="宋体" w:cs="宋体"/>
          <w:color w:val="auto"/>
          <w:sz w:val="24"/>
          <w:szCs w:val="24"/>
          <w:highlight w:val="none"/>
        </w:rPr>
        <w:t>（四）招标文件的修改、澄清</w:t>
      </w:r>
      <w:bookmarkEnd w:id="55"/>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1．提交投标文件截止之日前，采购人或采购代理机构可能对已发出的招标文件进行澄清或者修改，澄清或者修改的内容为招标文件的组成部分。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2．当需要澄清或修改时，采购代理机构将在提交投标文件截止之日15日前，在财政部门指定的“政府采购信息发布媒体”上发布变更公告；不足15日的，将顺延提交投标文件截止时间。</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3．澄清或修改的内容可能影响投标文件编制时，采购代理机构将在发布变更公告的同时，提醒</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下载答疑文件（*.SXSCF，即更新后的电子招标文件）。</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4．请各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在提交投标文件截止时间之前，务必随时关注“政府采购信息发布媒体”上发布的变更公告，采购代理机构不再另行通知，因</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未及时关注所造成的一切后果由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自行承担：</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"http://www.ccgp-shaanxi.gov.cn"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陕西省政府采购网</w:t>
      </w:r>
      <w:r>
        <w:rPr>
          <w:rStyle w:val="32"/>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"http://www.ccgp-shaanxi.gov.cn/"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http://www.ccgp-shaanxi.gov.cn/</w:t>
      </w:r>
      <w:r>
        <w:rPr>
          <w:rStyle w:val="32"/>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）中的〖首页〉信息公告〉市级〉西安市〗；</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"http://xa.sxggzyjy.cn/"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全国公共资源交易网（陕西省西安市）</w:t>
      </w:r>
      <w:r>
        <w:rPr>
          <w:rStyle w:val="32"/>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"http://sxggzyjy.xa.gov.cn/"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http://sxggzyjy.xa.gov.cn/</w:t>
      </w:r>
      <w:r>
        <w:rPr>
          <w:rStyle w:val="32"/>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）中的〖首页〉交易大厅〉政府采购〗。</w:t>
      </w:r>
    </w:p>
    <w:p>
      <w:pPr>
        <w:pStyle w:val="4"/>
        <w:rPr>
          <w:rFonts w:hint="eastAsia" w:ascii="宋体" w:hAnsi="宋体" w:eastAsia="宋体" w:cs="宋体"/>
          <w:color w:val="auto"/>
          <w:sz w:val="24"/>
          <w:szCs w:val="24"/>
          <w:highlight w:val="none"/>
        </w:rPr>
      </w:pPr>
      <w:bookmarkStart w:id="56" w:name="_Toc6721"/>
      <w:r>
        <w:rPr>
          <w:rFonts w:hint="eastAsia" w:ascii="宋体" w:hAnsi="宋体" w:eastAsia="宋体" w:cs="宋体"/>
          <w:color w:val="auto"/>
          <w:sz w:val="24"/>
          <w:szCs w:val="24"/>
          <w:highlight w:val="none"/>
        </w:rPr>
        <w:t>四、投标文件</w:t>
      </w:r>
      <w:bookmarkEnd w:id="56"/>
    </w:p>
    <w:p>
      <w:pPr>
        <w:pStyle w:val="93"/>
        <w:spacing w:before="210" w:after="210"/>
        <w:ind w:firstLine="640"/>
        <w:outlineLvl w:val="2"/>
        <w:rPr>
          <w:rFonts w:hint="eastAsia" w:ascii="宋体" w:hAnsi="宋体" w:eastAsia="宋体" w:cs="宋体"/>
          <w:color w:val="auto"/>
          <w:sz w:val="24"/>
          <w:szCs w:val="24"/>
          <w:highlight w:val="none"/>
        </w:rPr>
      </w:pPr>
      <w:bookmarkStart w:id="57" w:name="_Toc4984"/>
      <w:r>
        <w:rPr>
          <w:rFonts w:hint="eastAsia" w:ascii="宋体" w:hAnsi="宋体" w:eastAsia="宋体" w:cs="宋体"/>
          <w:color w:val="auto"/>
          <w:sz w:val="24"/>
          <w:szCs w:val="24"/>
          <w:highlight w:val="none"/>
        </w:rPr>
        <w:t>（一）投标文件的式样</w:t>
      </w:r>
      <w:bookmarkEnd w:id="57"/>
    </w:p>
    <w:p>
      <w:pPr>
        <w:pStyle w:val="92"/>
        <w:outlineLvl w:val="3"/>
        <w:rPr>
          <w:rFonts w:hint="eastAsia" w:ascii="宋体" w:hAnsi="宋体" w:eastAsia="宋体" w:cs="宋体"/>
          <w:color w:val="auto"/>
          <w:sz w:val="24"/>
          <w:szCs w:val="24"/>
          <w:highlight w:val="none"/>
        </w:rPr>
      </w:pPr>
      <w:bookmarkStart w:id="58" w:name="_Toc17676"/>
      <w:r>
        <w:rPr>
          <w:rFonts w:hint="eastAsia" w:ascii="宋体" w:hAnsi="宋体" w:eastAsia="宋体" w:cs="宋体"/>
          <w:color w:val="auto"/>
          <w:sz w:val="24"/>
          <w:szCs w:val="24"/>
          <w:highlight w:val="none"/>
        </w:rPr>
        <w:t>1．组成及格式</w:t>
      </w:r>
      <w:bookmarkEnd w:id="58"/>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依照招标文件第五章《投标文件构成及格式》给定形式进行编制投标文件。项目分标段的，应按所投标段分别准备投标文件。</w:t>
      </w:r>
    </w:p>
    <w:p>
      <w:pPr>
        <w:pStyle w:val="92"/>
        <w:outlineLvl w:val="3"/>
        <w:rPr>
          <w:rFonts w:hint="eastAsia" w:ascii="宋体" w:hAnsi="宋体" w:eastAsia="宋体" w:cs="宋体"/>
          <w:color w:val="auto"/>
          <w:sz w:val="24"/>
          <w:szCs w:val="24"/>
          <w:highlight w:val="none"/>
        </w:rPr>
      </w:pPr>
      <w:bookmarkStart w:id="59" w:name="_Toc9818"/>
      <w:r>
        <w:rPr>
          <w:rFonts w:hint="eastAsia" w:ascii="宋体" w:hAnsi="宋体" w:eastAsia="宋体" w:cs="宋体"/>
          <w:color w:val="auto"/>
          <w:sz w:val="24"/>
          <w:szCs w:val="24"/>
          <w:highlight w:val="none"/>
        </w:rPr>
        <w:t>2．语言</w:t>
      </w:r>
      <w:bookmarkEnd w:id="59"/>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招标活动的所有文件、资料、函电文字均使用简体中文，确需提交用其他语言形成的资料，必须翻译成简体中文，如有差异，以简体中文为准。</w:t>
      </w:r>
    </w:p>
    <w:p>
      <w:pPr>
        <w:pStyle w:val="92"/>
        <w:outlineLvl w:val="3"/>
        <w:rPr>
          <w:rFonts w:hint="eastAsia" w:ascii="宋体" w:hAnsi="宋体" w:eastAsia="宋体" w:cs="宋体"/>
          <w:color w:val="auto"/>
          <w:sz w:val="24"/>
          <w:szCs w:val="24"/>
          <w:highlight w:val="none"/>
        </w:rPr>
      </w:pPr>
      <w:bookmarkStart w:id="60" w:name="_Toc30532"/>
      <w:r>
        <w:rPr>
          <w:rFonts w:hint="eastAsia" w:ascii="宋体" w:hAnsi="宋体" w:eastAsia="宋体" w:cs="宋体"/>
          <w:color w:val="auto"/>
          <w:sz w:val="24"/>
          <w:szCs w:val="24"/>
          <w:highlight w:val="none"/>
        </w:rPr>
        <w:t>3．计量单位</w:t>
      </w:r>
      <w:bookmarkEnd w:id="60"/>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投标文件的计量单位应使用中华人民共和国法定计量单位，但招标文件另有规定的除外。</w:t>
      </w:r>
    </w:p>
    <w:p>
      <w:pPr>
        <w:pStyle w:val="93"/>
        <w:spacing w:before="210" w:after="210"/>
        <w:ind w:firstLine="640"/>
        <w:outlineLvl w:val="2"/>
        <w:rPr>
          <w:rFonts w:hint="eastAsia" w:ascii="宋体" w:hAnsi="宋体" w:eastAsia="宋体" w:cs="宋体"/>
          <w:color w:val="auto"/>
          <w:sz w:val="24"/>
          <w:szCs w:val="24"/>
          <w:highlight w:val="none"/>
        </w:rPr>
      </w:pPr>
      <w:bookmarkStart w:id="61" w:name="_Toc24886"/>
      <w:r>
        <w:rPr>
          <w:rFonts w:hint="eastAsia" w:ascii="宋体" w:hAnsi="宋体" w:eastAsia="宋体" w:cs="宋体"/>
          <w:color w:val="auto"/>
          <w:sz w:val="24"/>
          <w:szCs w:val="24"/>
          <w:highlight w:val="none"/>
        </w:rPr>
        <w:t>（二）投标文件的有效期</w:t>
      </w:r>
      <w:bookmarkEnd w:id="61"/>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投标文件有效期为自开标之日起不少于90个日历日。如中标，延长至合同执行完毕时止。</w:t>
      </w:r>
    </w:p>
    <w:p>
      <w:pPr>
        <w:pStyle w:val="93"/>
        <w:spacing w:before="210" w:after="210"/>
        <w:ind w:firstLine="640"/>
        <w:outlineLvl w:val="2"/>
        <w:rPr>
          <w:rFonts w:hint="eastAsia" w:ascii="宋体" w:hAnsi="宋体" w:eastAsia="宋体" w:cs="宋体"/>
          <w:color w:val="auto"/>
          <w:sz w:val="24"/>
          <w:szCs w:val="24"/>
          <w:highlight w:val="none"/>
        </w:rPr>
      </w:pPr>
      <w:bookmarkStart w:id="62" w:name="_Toc7102"/>
      <w:r>
        <w:rPr>
          <w:rFonts w:hint="eastAsia" w:ascii="宋体" w:hAnsi="宋体" w:eastAsia="宋体" w:cs="宋体"/>
          <w:color w:val="auto"/>
          <w:sz w:val="24"/>
          <w:szCs w:val="24"/>
          <w:highlight w:val="none"/>
        </w:rPr>
        <w:t>（三）投标报价</w:t>
      </w:r>
      <w:bookmarkEnd w:id="62"/>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投标报价是</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响应采购项目要求的全部工作内容的价格体现，包括完成采购内容所需的直接费、间接费、利润、税金及其它相关的一切费用。</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在报价时应充分考虑所有可能发生的费用，招标文件未列明，而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认为应当计取的费用均应列入报价中。报价时不论是否计取，采购人均按已计取对待。</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应严格按照《投标文件构成及格式》第二部分《开标一览表》中的相关要求填写分类报价及其他需要响应的内容。投标报价只能提交唯一报价，任何有选择的报价将不予接受，按无效投标处理。</w:t>
      </w:r>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3．投标报价货币：人民币；单位：元。</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4．投标文件报价出现前后不一致的，除招标文件另有规定外，按照下列规则修正：</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（1）投标文件中开标一览表内容与投标文件中其他位置相应内容表述不一致的，以开标一览表为准；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（2）大写金额和小写金额不一致的，以大写金额为准；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（3）单价金额小数点或者百分比有明显错位的，以开标一览表的总价为准，并修改单价；</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（4）总价金额与按单价汇总金额不一致的，以单价金额计算结果为准。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同时出现两种以上不一致的，按照前款规定的顺序修正。修正后的报价经</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确认后产生约束力，</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不确认的，其投标无效。</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5．因</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对招标文件理解不透、误解、疏漏或对市场行情了解不清造成的后果和风险，均由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自己负责。</w:t>
      </w:r>
    </w:p>
    <w:p>
      <w:pPr>
        <w:pStyle w:val="93"/>
        <w:spacing w:before="210" w:after="210"/>
        <w:ind w:firstLine="640"/>
        <w:outlineLvl w:val="2"/>
        <w:rPr>
          <w:rFonts w:hint="eastAsia" w:ascii="宋体" w:hAnsi="宋体" w:eastAsia="宋体" w:cs="宋体"/>
          <w:color w:val="auto"/>
          <w:sz w:val="24"/>
          <w:szCs w:val="24"/>
          <w:highlight w:val="none"/>
        </w:rPr>
      </w:pPr>
      <w:bookmarkStart w:id="63" w:name="_Toc6077"/>
      <w:r>
        <w:rPr>
          <w:rFonts w:hint="eastAsia" w:ascii="宋体" w:hAnsi="宋体" w:eastAsia="宋体" w:cs="宋体"/>
          <w:color w:val="auto"/>
          <w:sz w:val="24"/>
          <w:szCs w:val="24"/>
          <w:highlight w:val="none"/>
        </w:rPr>
        <w:t>（四）投标文件的制作和签章</w:t>
      </w:r>
      <w:bookmarkEnd w:id="63"/>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链接地址：</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"http://sxggzyjy.xa.gov.cn/fwzn/004003/20181115/4d59c184-e8f6-4d5a-a416-c2f6b0601e66.html"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rPr>
        <w:t>http://sxggzyjy.xa.gov.cn/fwzn/004003/20181115/4d59c184-e8f6-4d5a-a416-c2f6b0601e66.html</w:t>
      </w:r>
      <w:r>
        <w:rPr>
          <w:rStyle w:val="32"/>
          <w:rFonts w:hint="eastAsia" w:ascii="宋体" w:hAnsi="宋体" w:eastAsia="宋体" w:cs="宋体"/>
          <w:color w:val="auto"/>
          <w:sz w:val="24"/>
          <w:szCs w:val="24"/>
          <w:highlight w:val="none"/>
        </w:rPr>
        <w:fldChar w:fldCharType="end"/>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再次提醒：提交投标文件截止时间前，</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应随时留意“政府采购信息发布媒体”上可能发布的变更公告。若变更公告中明确注明本项目伴有变更文件的，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应登录企业端后，从〖项目流程〉项目管理〉答疑文件下载〗获取更新后的电子招标文件（*.SXSCF），使用旧版电子招标文件制作的电子投标文件（*.SXSTF），系统将拒绝接收。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3．电子投标文件制作过程中，需要法定代表人签字或盖章的地方，请使用“法人CA锁”进行签章；需要加盖</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公章的地方，请使用“企业CA锁”进行签章。</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93"/>
        <w:spacing w:before="210" w:after="210"/>
        <w:ind w:firstLine="640"/>
        <w:outlineLvl w:val="2"/>
        <w:rPr>
          <w:rFonts w:hint="eastAsia" w:ascii="宋体" w:hAnsi="宋体" w:eastAsia="宋体" w:cs="宋体"/>
          <w:color w:val="auto"/>
          <w:sz w:val="24"/>
          <w:szCs w:val="24"/>
          <w:highlight w:val="none"/>
        </w:rPr>
      </w:pPr>
      <w:bookmarkStart w:id="64" w:name="_Toc8936"/>
      <w:r>
        <w:rPr>
          <w:rFonts w:hint="eastAsia" w:ascii="宋体" w:hAnsi="宋体" w:eastAsia="宋体" w:cs="宋体"/>
          <w:color w:val="auto"/>
          <w:sz w:val="24"/>
          <w:szCs w:val="24"/>
          <w:highlight w:val="none"/>
        </w:rPr>
        <w:t>（五）投标文件的加密和提交</w:t>
      </w:r>
      <w:bookmarkEnd w:id="64"/>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1．在生成电子投标文件时，需要使用CA锁对投标文件进行加密。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注意：加密投标文件和开标时解密投标文件应当使用同一CA，否则将会导致解密失败。</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电子投标文件可于提交投标文件截止时间前任意时段，登录西安市公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3．上传文件有误或需要重新提交的，可先撤销已经上传的文件，然后重新上传新文件。</w:t>
      </w:r>
    </w:p>
    <w:p>
      <w:pPr>
        <w:pStyle w:val="93"/>
        <w:spacing w:before="210" w:after="210"/>
        <w:ind w:firstLine="640"/>
        <w:outlineLvl w:val="2"/>
        <w:rPr>
          <w:rFonts w:hint="eastAsia" w:ascii="宋体" w:hAnsi="宋体" w:eastAsia="宋体" w:cs="宋体"/>
          <w:color w:val="auto"/>
          <w:sz w:val="24"/>
          <w:szCs w:val="24"/>
          <w:highlight w:val="none"/>
        </w:rPr>
      </w:pPr>
      <w:bookmarkStart w:id="65" w:name="_Toc15901"/>
      <w:r>
        <w:rPr>
          <w:rFonts w:hint="eastAsia" w:ascii="宋体" w:hAnsi="宋体" w:eastAsia="宋体" w:cs="宋体"/>
          <w:color w:val="auto"/>
          <w:sz w:val="24"/>
          <w:szCs w:val="24"/>
          <w:highlight w:val="none"/>
        </w:rPr>
        <w:t>（六）投标文件的补充、修改和撤回</w:t>
      </w:r>
      <w:bookmarkEnd w:id="65"/>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在提交投标文件截止时间后，撤回投标文件的，投标保证金不予退还。</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93"/>
        <w:spacing w:before="210" w:after="210"/>
        <w:ind w:firstLine="640"/>
        <w:outlineLvl w:val="2"/>
        <w:rPr>
          <w:rFonts w:hint="eastAsia" w:ascii="宋体" w:hAnsi="宋体" w:eastAsia="宋体" w:cs="宋体"/>
          <w:color w:val="auto"/>
          <w:sz w:val="24"/>
          <w:szCs w:val="24"/>
          <w:highlight w:val="none"/>
        </w:rPr>
      </w:pPr>
      <w:bookmarkStart w:id="66" w:name="_Toc18383"/>
      <w:r>
        <w:rPr>
          <w:rFonts w:hint="eastAsia" w:ascii="宋体" w:hAnsi="宋体" w:eastAsia="宋体" w:cs="宋体"/>
          <w:color w:val="auto"/>
          <w:sz w:val="24"/>
          <w:szCs w:val="24"/>
          <w:highlight w:val="none"/>
        </w:rPr>
        <w:t>（七）关于投标文件的雷同性分析</w:t>
      </w:r>
      <w:bookmarkEnd w:id="66"/>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根据陕西省公共资源交易中心2021年7月22日印发的《关于在政府采购交易系统中开通标书雷同性分析功能的通知》，在符合性审查环节，将由评标委员会在评标系统中对</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的电子投标文件进行雷同性分析。</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若“文件制作机器码”一致，则表明不同</w:t>
      </w:r>
      <w:r>
        <w:rPr>
          <w:rFonts w:hint="eastAsia" w:ascii="宋体" w:hAnsi="宋体" w:eastAsia="宋体" w:cs="宋体"/>
          <w:color w:val="auto"/>
          <w:sz w:val="24"/>
          <w:szCs w:val="24"/>
          <w:highlight w:val="none"/>
          <w:lang w:eastAsia="zh-CN"/>
        </w:rPr>
        <w:t xml:space="preserve">投标人 </w:t>
      </w:r>
      <w:r>
        <w:rPr>
          <w:rFonts w:hint="eastAsia" w:ascii="宋体" w:hAnsi="宋体" w:eastAsia="宋体" w:cs="宋体"/>
          <w:color w:val="auto"/>
          <w:sz w:val="24"/>
          <w:szCs w:val="24"/>
          <w:highlight w:val="none"/>
        </w:rPr>
        <w:t>的电子投标文件出自同一台制作设备，根据《陕西省财政厅关于政府采购有关政策的复函》（陕财办采函〔2019〕18号），该情形可以视为</w:t>
      </w:r>
      <w:r>
        <w:rPr>
          <w:rFonts w:hint="eastAsia" w:ascii="宋体" w:hAnsi="宋体" w:eastAsia="宋体" w:cs="宋体"/>
          <w:color w:val="auto"/>
          <w:sz w:val="24"/>
          <w:szCs w:val="24"/>
          <w:highlight w:val="none"/>
          <w:lang w:eastAsia="zh-CN"/>
        </w:rPr>
        <w:t xml:space="preserve">投标人 </w:t>
      </w:r>
      <w:r>
        <w:rPr>
          <w:rFonts w:hint="eastAsia" w:ascii="宋体" w:hAnsi="宋体" w:eastAsia="宋体" w:cs="宋体"/>
          <w:color w:val="auto"/>
          <w:sz w:val="24"/>
          <w:szCs w:val="24"/>
          <w:highlight w:val="none"/>
        </w:rPr>
        <w:t>串通投标，其投标无效。</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若“文件创建标识码”一致，则表示不同</w:t>
      </w:r>
      <w:r>
        <w:rPr>
          <w:rFonts w:hint="eastAsia" w:ascii="宋体" w:hAnsi="宋体" w:eastAsia="宋体" w:cs="宋体"/>
          <w:color w:val="auto"/>
          <w:sz w:val="24"/>
          <w:szCs w:val="24"/>
          <w:highlight w:val="none"/>
          <w:lang w:eastAsia="zh-CN"/>
        </w:rPr>
        <w:t xml:space="preserve">投标人 </w:t>
      </w:r>
      <w:r>
        <w:rPr>
          <w:rFonts w:hint="eastAsia" w:ascii="宋体" w:hAnsi="宋体" w:eastAsia="宋体" w:cs="宋体"/>
          <w:color w:val="auto"/>
          <w:sz w:val="24"/>
          <w:szCs w:val="24"/>
          <w:highlight w:val="none"/>
        </w:rPr>
        <w:t>使用投标文件制作软件时，使用同一源工程文件，该情形建议由评标委员会结合项目情况综合判定。</w:t>
      </w:r>
    </w:p>
    <w:p>
      <w:pPr>
        <w:pStyle w:val="93"/>
        <w:spacing w:before="210" w:after="210"/>
        <w:ind w:firstLine="640"/>
        <w:outlineLvl w:val="2"/>
        <w:rPr>
          <w:rFonts w:hint="eastAsia" w:ascii="宋体" w:hAnsi="宋体" w:eastAsia="宋体" w:cs="宋体"/>
          <w:color w:val="auto"/>
          <w:sz w:val="24"/>
          <w:szCs w:val="24"/>
          <w:highlight w:val="none"/>
        </w:rPr>
      </w:pPr>
      <w:bookmarkStart w:id="67" w:name="_Toc9339"/>
      <w:r>
        <w:rPr>
          <w:rFonts w:hint="eastAsia" w:ascii="宋体" w:hAnsi="宋体" w:eastAsia="宋体" w:cs="宋体"/>
          <w:color w:val="auto"/>
          <w:sz w:val="24"/>
          <w:szCs w:val="24"/>
          <w:highlight w:val="none"/>
        </w:rPr>
        <w:t>（八）投标文件被拒绝接收的情形</w:t>
      </w:r>
      <w:bookmarkEnd w:id="67"/>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1．误投的或采用旧版电子招标文件制作的；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2．逾期提交电子投标文件的。</w:t>
      </w:r>
    </w:p>
    <w:p>
      <w:pPr>
        <w:spacing w:line="560" w:lineRule="exact"/>
        <w:ind w:firstLine="480" w:firstLineChars="200"/>
        <w:jc w:val="both"/>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bookmarkStart w:id="68" w:name="_Toc15904"/>
      <w:r>
        <w:rPr>
          <w:rFonts w:hint="eastAsia" w:ascii="宋体" w:hAnsi="宋体" w:eastAsia="宋体" w:cs="宋体"/>
          <w:color w:val="auto"/>
          <w:sz w:val="24"/>
          <w:szCs w:val="24"/>
          <w:highlight w:val="none"/>
        </w:rPr>
        <w:t>五、开标程序</w:t>
      </w:r>
      <w:bookmarkEnd w:id="68"/>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开标工作由采购代理机构组织实施，整个过程受同级政府采购监管机构的监督、管理。</w:t>
      </w:r>
    </w:p>
    <w:p>
      <w:pPr>
        <w:pStyle w:val="93"/>
        <w:spacing w:before="210" w:after="210"/>
        <w:ind w:firstLine="640"/>
        <w:outlineLvl w:val="2"/>
        <w:rPr>
          <w:rFonts w:hint="eastAsia" w:ascii="宋体" w:hAnsi="宋体" w:eastAsia="宋体" w:cs="宋体"/>
          <w:color w:val="auto"/>
          <w:sz w:val="24"/>
          <w:szCs w:val="24"/>
          <w:highlight w:val="none"/>
        </w:rPr>
      </w:pPr>
      <w:bookmarkStart w:id="69" w:name="_Toc19303"/>
      <w:r>
        <w:rPr>
          <w:rFonts w:hint="eastAsia" w:ascii="宋体" w:hAnsi="宋体" w:eastAsia="宋体" w:cs="宋体"/>
          <w:color w:val="auto"/>
          <w:sz w:val="24"/>
          <w:szCs w:val="24"/>
          <w:highlight w:val="none"/>
        </w:rPr>
        <w:t>（一）“不见面开标”基本流程</w:t>
      </w:r>
      <w:bookmarkEnd w:id="69"/>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“不见面开标”是依托政府采购云平台实现的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在线参与开标的一种组织形式。</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无需抵达开标现场，即可在线实现开标、解密、澄清等操作。</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登录：开标前，请各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至少提前半小时登录西安市公共资源交易平台〖首页〉不见面开标〗系统。</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2．主持人宣布开标：提交投标文件截止时间过后，系统将不再接收任何投标文件。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3．解密投标文件：</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收到主持人“开始解密”指令后，应使用“加密该投标文件的CA锁（必须是同一把锁）”在线完成投标文件解密。除因【西安市公共资源交易中心】断电、断网、系统故障及其他不可抗力等因素，导致“不见面开标”系统无法正常运行外，</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应在规定的解密时间内完成解密。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4．唱标：对于公开招标项目，“不见面开标”系统将自动展示</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名单及其投标报价。</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5．开标结束：进入评审环节。</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请保持在线，评审期间评标委员会可能会要求</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做相应的澄清。因</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擅自离席造成的不利后果，由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自行承担。</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“不见面开标”系统操作说明：详见西安市公共资源交易平台〖首页〉服务指南〉下载专区〗中的《西安公共资源交易不见面开标大厅</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操作手册》。</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链接地址：</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"http://sxggzyjy.xa.gov.cn/fwzn/004003/20200426/bc8b2c1e-abe2-4168-913c-68ff93345faf.html"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http://sxggzyjy.xa.gov.cn/fwzn/004003/20200426/bc8b2c1e-abe2-4168-913c-68ff93345faf.html</w:t>
      </w:r>
      <w:r>
        <w:rPr>
          <w:rStyle w:val="32"/>
          <w:rFonts w:hint="eastAsia" w:ascii="宋体" w:hAnsi="宋体" w:eastAsia="宋体" w:cs="宋体"/>
          <w:color w:val="auto"/>
          <w:sz w:val="24"/>
          <w:szCs w:val="24"/>
          <w:highlight w:val="none"/>
          <w:u w:val="none"/>
        </w:rPr>
        <w:fldChar w:fldCharType="end"/>
      </w:r>
    </w:p>
    <w:p>
      <w:pPr>
        <w:pStyle w:val="93"/>
        <w:spacing w:before="210" w:after="210"/>
        <w:ind w:firstLine="640"/>
        <w:outlineLvl w:val="2"/>
        <w:rPr>
          <w:rFonts w:hint="eastAsia" w:ascii="宋体" w:hAnsi="宋体" w:eastAsia="宋体" w:cs="宋体"/>
          <w:color w:val="auto"/>
          <w:sz w:val="24"/>
          <w:szCs w:val="24"/>
          <w:highlight w:val="none"/>
        </w:rPr>
      </w:pPr>
      <w:bookmarkStart w:id="70" w:name="_Toc6494"/>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）开标环节投标文件视为无效的情形</w:t>
      </w:r>
      <w:bookmarkEnd w:id="70"/>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放弃或拒绝对电子投标文件进行解密的；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2．因</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自身原因，导致未在规定的解密时限内完整解密的，如忘带CA锁、或携带的CA锁与加密文件的CA锁不同、或使用旧版招标文件编制投标文件等情形；</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3．上传的电子投标文件无法正常打开的；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4．政府采购法律法规规定的其他无效情形。</w:t>
      </w:r>
    </w:p>
    <w:p>
      <w:pPr>
        <w:pStyle w:val="93"/>
        <w:spacing w:before="210" w:after="210"/>
        <w:ind w:firstLine="640"/>
        <w:outlineLvl w:val="2"/>
        <w:rPr>
          <w:rFonts w:hint="eastAsia" w:ascii="宋体" w:hAnsi="宋体" w:eastAsia="宋体" w:cs="宋体"/>
          <w:color w:val="auto"/>
          <w:sz w:val="24"/>
          <w:szCs w:val="24"/>
          <w:highlight w:val="none"/>
        </w:rPr>
      </w:pPr>
      <w:bookmarkStart w:id="71" w:name="_Toc195"/>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）突发状况的应急处置</w:t>
      </w:r>
      <w:bookmarkEnd w:id="71"/>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在开评标过程中，如因停电、断网、电子化系统故障等特殊原因导致电子化开、评标工作无法正常进行时，采购代理机构将及时汇报政府采购监管部门，并等待或中止后续活动。</w:t>
      </w:r>
    </w:p>
    <w:p>
      <w:pPr>
        <w:pStyle w:val="4"/>
        <w:rPr>
          <w:rFonts w:hint="eastAsia" w:ascii="宋体" w:hAnsi="宋体" w:eastAsia="宋体" w:cs="宋体"/>
          <w:color w:val="auto"/>
          <w:sz w:val="24"/>
          <w:szCs w:val="24"/>
          <w:highlight w:val="none"/>
        </w:rPr>
      </w:pPr>
      <w:bookmarkStart w:id="72" w:name="_Toc32425"/>
      <w:r>
        <w:rPr>
          <w:rFonts w:hint="eastAsia" w:ascii="宋体" w:hAnsi="宋体" w:eastAsia="宋体" w:cs="宋体"/>
          <w:color w:val="auto"/>
          <w:sz w:val="24"/>
          <w:szCs w:val="24"/>
          <w:highlight w:val="none"/>
        </w:rPr>
        <w:t>六、资格审查</w:t>
      </w:r>
      <w:bookmarkEnd w:id="72"/>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开标结束后，由采购人委派的资格审查小组按照《政府采购货物和服务招标投标管理办法》（财政部第87号令）有关规定，对投标文件中的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资格证明文件进行审查，并对</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信用记录进行核查。资格审查小组由3人以上单数组成，采购人应出具书面授权函，并指定组长。</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提供的资格证明文件缺少任何一项或有任何一项不满足，都将被视为无效投标。</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所提供的资格证明文件应图文清晰、易于辨识，否则由此带来的不利后果由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自行承担。</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资格审查结束后，资格审查小组成员应当对审查结果进行签字确认；对未通过资格审查的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，资格审查小组应当场告知其未通过的原因。</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合格</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不足3家的，不得评标。</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spacing w:line="5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〖资格性审查表〗</w:t>
      </w:r>
    </w:p>
    <w:tbl>
      <w:tblPr>
        <w:tblStyle w:val="25"/>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6"/>
        <w:gridCol w:w="2336"/>
        <w:gridCol w:w="9"/>
        <w:gridCol w:w="568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336"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资格项</w:t>
            </w:r>
          </w:p>
        </w:tc>
        <w:tc>
          <w:tcPr>
            <w:tcW w:w="5696" w:type="dxa"/>
            <w:gridSpan w:val="2"/>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2" w:space="0"/>
            </w:tcBorders>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w:t>
            </w:r>
          </w:p>
        </w:tc>
        <w:tc>
          <w:tcPr>
            <w:tcW w:w="8032" w:type="dxa"/>
            <w:gridSpan w:val="3"/>
            <w:tcBorders>
              <w:top w:val="single" w:color="auto" w:sz="2" w:space="0"/>
            </w:tcBorders>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3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有效的主体资格证明</w:t>
            </w:r>
          </w:p>
        </w:tc>
        <w:tc>
          <w:tcPr>
            <w:tcW w:w="5696"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具有独立承担民事责任能力，提供投标人合法注册的法人或其他组织的营业执照/事业单位法人证书/非企业专业服务机构执业许可证/民办非企业单位登记证书；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3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财务状况报告</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（任选其一）</w:t>
            </w:r>
          </w:p>
        </w:tc>
        <w:tc>
          <w:tcPr>
            <w:tcW w:w="5696"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1．提供具有财务审计资质单位出具的20</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年度或202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年度财务报告（成立时间至开标时间不足一年的可提供成立后任意时段的资产负债表）；</w:t>
            </w:r>
          </w:p>
          <w:p>
            <w:p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2、开标前六个月内其基本账户银行出具的资信证明；</w:t>
            </w:r>
            <w:r>
              <w:rPr>
                <w:rFonts w:hint="eastAsia" w:ascii="宋体" w:hAnsi="宋体" w:eastAsia="宋体" w:cs="宋体"/>
                <w:color w:val="auto"/>
                <w:sz w:val="24"/>
                <w:szCs w:val="24"/>
                <w:highlight w:val="none"/>
              </w:rPr>
              <w:t>（附基本存款账户信息）</w:t>
            </w:r>
          </w:p>
          <w:p>
            <w:p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政府采购信用担保机构出具的担保函</w:t>
            </w:r>
            <w:r>
              <w:rPr>
                <w:rFonts w:hint="eastAsia" w:ascii="宋体" w:hAnsi="宋体" w:eastAsia="宋体" w:cs="宋体"/>
                <w:color w:val="auto"/>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3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税收缴纳证明</w:t>
            </w:r>
          </w:p>
        </w:tc>
        <w:tc>
          <w:tcPr>
            <w:tcW w:w="5696" w:type="dxa"/>
            <w:gridSpan w:val="2"/>
            <w:vAlign w:val="center"/>
          </w:tcPr>
          <w:p>
            <w:p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提交投标文件截止时间前一年内至少一个月的纳税证明或完税证明（增值税、营业税、企业所得税至少提供一种），纳税证明或完税证明上应有代收机构或税务机关的公章或业务专用章。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3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社保资金缴纳</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证明</w:t>
            </w:r>
          </w:p>
        </w:tc>
        <w:tc>
          <w:tcPr>
            <w:tcW w:w="5696"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提交投标文件截止时间前一年内至少一个月的社会保障资金缴存单据或社保机构开具的社会保险参保缴费情况证明，单据或证明上应有社保机构或代收机构的公章或业务专用章。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3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履行合同的说明和承诺</w:t>
            </w:r>
          </w:p>
        </w:tc>
        <w:tc>
          <w:tcPr>
            <w:tcW w:w="5696"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提供具有履行本合同所必需的设备和专业技术能力的说明及承诺；（提供书面说明及承诺，加盖投标人公章）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3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无重大违法记录声明</w:t>
            </w:r>
          </w:p>
        </w:tc>
        <w:tc>
          <w:tcPr>
            <w:tcW w:w="5696"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参加本次政府采购活动前3年内在经营活动中没有重大违法记录，以及未被列入失信被执行人、</w:t>
            </w:r>
            <w:r>
              <w:rPr>
                <w:rFonts w:hint="eastAsia" w:ascii="宋体" w:hAnsi="宋体" w:eastAsia="宋体" w:cs="宋体"/>
                <w:color w:val="auto"/>
                <w:sz w:val="24"/>
                <w:szCs w:val="24"/>
                <w:highlight w:val="none"/>
                <w:lang w:eastAsia="zh-CN"/>
              </w:rPr>
              <w:t>重大税收违法失信主体</w:t>
            </w:r>
            <w:r>
              <w:rPr>
                <w:rFonts w:hint="eastAsia" w:ascii="宋体" w:hAnsi="宋体" w:eastAsia="宋体" w:cs="宋体"/>
                <w:color w:val="auto"/>
                <w:sz w:val="24"/>
                <w:szCs w:val="24"/>
                <w:highlight w:val="none"/>
              </w:rPr>
              <w:t>、政府采购严重违法失信行为记录名单的书面声明。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w:t>
            </w:r>
          </w:p>
        </w:tc>
        <w:tc>
          <w:tcPr>
            <w:tcW w:w="8032" w:type="dxa"/>
            <w:gridSpan w:val="3"/>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特定资格条件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45" w:type="dxa"/>
            <w:gridSpan w:val="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法定代表人授权委托书</w:t>
            </w:r>
            <w:r>
              <w:rPr>
                <w:rFonts w:hint="eastAsia" w:ascii="宋体" w:hAnsi="宋体" w:eastAsia="宋体" w:cs="宋体"/>
                <w:color w:val="auto"/>
                <w:sz w:val="24"/>
                <w:szCs w:val="24"/>
                <w:highlight w:val="none"/>
              </w:rPr>
              <w:t>\身份证明</w:t>
            </w:r>
          </w:p>
        </w:tc>
        <w:tc>
          <w:tcPr>
            <w:tcW w:w="5687"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授权委托书（附法定代表人或负责人身份证复印件及被授权人身份证复印件）；法定代表人或负责人直接参加投标只须提供法定代表人资格证明书（附法定代表人或负责人身份证复印件）；（式样见投标文件格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45" w:type="dxa"/>
            <w:gridSpan w:val="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医疗器械许可证</w:t>
            </w:r>
          </w:p>
        </w:tc>
        <w:tc>
          <w:tcPr>
            <w:tcW w:w="5687" w:type="dxa"/>
            <w:vAlign w:val="center"/>
          </w:tcPr>
          <w:p>
            <w:pPr>
              <w:jc w:val="left"/>
              <w:rPr>
                <w:rFonts w:hint="eastAsia" w:ascii="宋体" w:hAnsi="宋体" w:eastAsia="宋体" w:cs="宋体"/>
                <w:color w:val="auto"/>
                <w:sz w:val="24"/>
                <w:szCs w:val="24"/>
                <w:highlight w:val="none"/>
              </w:rPr>
            </w:pPr>
            <w:r>
              <w:rPr>
                <w:rFonts w:ascii="宋体" w:hAnsi="宋体" w:eastAsia="宋体" w:cs="宋体"/>
                <w:color w:val="auto"/>
                <w:sz w:val="24"/>
                <w:szCs w:val="24"/>
              </w:rPr>
              <w:t>投标人须提供医疗器械经营许可证或备案凭证、所投产品生产厂家的医疗器械生产许可证、所投产品医疗器械产品注册证（或备案凭证）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45" w:type="dxa"/>
            <w:gridSpan w:val="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信用记录审查</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结果</w:t>
            </w:r>
          </w:p>
        </w:tc>
        <w:tc>
          <w:tcPr>
            <w:tcW w:w="5687"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不得为“信用中国”网站(http://www.creditchina.gov.cn)列入“失信被执行人、</w:t>
            </w:r>
            <w:r>
              <w:rPr>
                <w:rFonts w:hint="eastAsia" w:ascii="宋体" w:hAnsi="宋体" w:eastAsia="宋体" w:cs="宋体"/>
                <w:color w:val="auto"/>
                <w:sz w:val="24"/>
                <w:szCs w:val="24"/>
                <w:highlight w:val="none"/>
                <w:lang w:eastAsia="zh-CN"/>
              </w:rPr>
              <w:t>重大税收违法失信主体</w:t>
            </w:r>
            <w:r>
              <w:rPr>
                <w:rFonts w:hint="eastAsia" w:ascii="宋体" w:hAnsi="宋体" w:eastAsia="宋体" w:cs="宋体"/>
                <w:color w:val="auto"/>
                <w:sz w:val="24"/>
                <w:szCs w:val="24"/>
                <w:highlight w:val="none"/>
              </w:rPr>
              <w:t>、政府采购严重违法失信行为记录名单”的投标人；不得为中国政府采购网(http://www.ccgp.gov.cn)“政府采购严重违法失信行为记录名单”中的投标人；(根据财库【2019】38号文规定，此项由</w:t>
            </w:r>
            <w:r>
              <w:rPr>
                <w:rFonts w:hint="eastAsia" w:ascii="宋体" w:hAnsi="宋体" w:eastAsia="宋体" w:cs="宋体"/>
                <w:b/>
                <w:bCs/>
                <w:color w:val="auto"/>
                <w:sz w:val="24"/>
                <w:szCs w:val="24"/>
                <w:highlight w:val="none"/>
                <w:lang w:val="en-US" w:eastAsia="zh-CN"/>
              </w:rPr>
              <w:t>资审小组</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截止日当天在“信用中国”网站和中国政府采购网站进行查询，截图留档；如网站无投标人信息的，投标人须提供相关证明资料或书面声明，且</w:t>
            </w:r>
            <w:r>
              <w:rPr>
                <w:rFonts w:hint="eastAsia" w:ascii="宋体" w:hAnsi="宋体" w:eastAsia="宋体" w:cs="宋体"/>
                <w:color w:val="auto"/>
                <w:sz w:val="24"/>
                <w:szCs w:val="24"/>
                <w:highlight w:val="none"/>
                <w:lang w:val="en-US" w:eastAsia="zh-CN"/>
              </w:rPr>
              <w:t>附</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文件中）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45" w:type="dxa"/>
            <w:gridSpan w:val="2"/>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控股、管理关系的</w:t>
            </w:r>
            <w:r>
              <w:rPr>
                <w:rFonts w:hint="eastAsia" w:ascii="宋体" w:hAnsi="宋体" w:eastAsia="宋体" w:cs="宋体"/>
                <w:color w:val="auto"/>
                <w:sz w:val="24"/>
                <w:szCs w:val="24"/>
                <w:highlight w:val="none"/>
                <w:lang w:eastAsia="zh-CN"/>
              </w:rPr>
              <w:t>查询结果</w:t>
            </w:r>
          </w:p>
        </w:tc>
        <w:tc>
          <w:tcPr>
            <w:tcW w:w="5687"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单位负责人为同一人或者存在直接控股、管理关系的不同投标人，不得参加同一合同项下的政府采购活动。投标响应截止日当天</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在“国家企业信用信息公示系统”进行查询(查询结果打印后，将与其他采购文件一并保存。如相关失信记录已失效，需提供相关证明资料。）(根据财库【2019】38号文规定，此项由</w:t>
            </w:r>
            <w:r>
              <w:rPr>
                <w:rFonts w:hint="eastAsia" w:ascii="宋体" w:hAnsi="宋体" w:eastAsia="宋体" w:cs="宋体"/>
                <w:b/>
                <w:bCs/>
                <w:color w:val="auto"/>
                <w:sz w:val="24"/>
                <w:szCs w:val="24"/>
                <w:highlight w:val="none"/>
                <w:lang w:val="en-US" w:eastAsia="zh-CN"/>
              </w:rPr>
              <w:t>资审小组</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截止日当天在“国家企业信用信息公示系统”网站进行查询，截图留档；如网站无投标人信息的，投标人须提供相关证明资料或书面声明，且</w:t>
            </w:r>
            <w:r>
              <w:rPr>
                <w:rFonts w:hint="eastAsia" w:ascii="宋体" w:hAnsi="宋体" w:eastAsia="宋体" w:cs="宋体"/>
                <w:color w:val="auto"/>
                <w:sz w:val="24"/>
                <w:szCs w:val="24"/>
                <w:highlight w:val="none"/>
                <w:lang w:val="en-US" w:eastAsia="zh-CN"/>
              </w:rPr>
              <w:t>附</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文件中）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868" w:type="dxa"/>
            <w:gridSpan w:val="4"/>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注意事项：</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2．事业单位参与投标时，可不提供财务状况报告、社会保障资金和税收缴纳证明；依法免税或不需要缴纳社会保障资金的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，应提供相应证明文件，证明其依法免税或不需要缴纳社会保障资金；自然人（仅限中国公民）参与投标时，只须提供身份证复印件。</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．《基本存款账户信息》、《无重大违法记录声明》、《</w:t>
            </w:r>
            <w:r>
              <w:rPr>
                <w:rFonts w:hint="eastAsia" w:ascii="宋体" w:hAnsi="宋体" w:eastAsia="宋体" w:cs="宋体"/>
                <w:color w:val="auto"/>
                <w:sz w:val="24"/>
                <w:szCs w:val="24"/>
                <w:highlight w:val="none"/>
                <w:lang w:eastAsia="zh-CN"/>
              </w:rPr>
              <w:t>法定代表人授权委托书</w:t>
            </w:r>
            <w:r>
              <w:rPr>
                <w:rFonts w:hint="eastAsia" w:ascii="宋体" w:hAnsi="宋体" w:eastAsia="宋体" w:cs="宋体"/>
                <w:color w:val="auto"/>
                <w:sz w:val="24"/>
                <w:szCs w:val="24"/>
                <w:highlight w:val="none"/>
              </w:rPr>
              <w:t>》、《法定代表人身份证明书》应按第五章《投标文件构成及格式》中给定的格式填写，并按要求签字、盖章。</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．按照财政部《关于在政府采购活动中查询及使用信用记录有关问题的通知》（财库〔2016〕125号）要求，在资格审查阶段，采购人将对</w:t>
            </w:r>
            <w:r>
              <w:rPr>
                <w:rFonts w:hint="eastAsia" w:ascii="宋体" w:hAnsi="宋体" w:eastAsia="宋体" w:cs="宋体"/>
                <w:color w:val="auto"/>
                <w:sz w:val="24"/>
                <w:szCs w:val="24"/>
                <w:highlight w:val="none"/>
                <w:lang w:eastAsia="zh-CN"/>
              </w:rPr>
              <w:t xml:space="preserve">投标人 </w:t>
            </w:r>
            <w:r>
              <w:rPr>
                <w:rFonts w:hint="eastAsia" w:ascii="宋体" w:hAnsi="宋体" w:eastAsia="宋体" w:cs="宋体"/>
                <w:color w:val="auto"/>
                <w:sz w:val="24"/>
                <w:szCs w:val="24"/>
                <w:highlight w:val="none"/>
              </w:rPr>
              <w:t>的信用记录进行核查，出现招标文件第二章中“关于信用记录的查询和使用”所列失信行为的，将拒绝其参与政府采购活动。</w:t>
            </w:r>
          </w:p>
        </w:tc>
      </w:tr>
    </w:tbl>
    <w:p>
      <w:pPr>
        <w:pStyle w:val="4"/>
        <w:rPr>
          <w:rFonts w:hint="eastAsia" w:ascii="宋体" w:hAnsi="宋体" w:eastAsia="宋体" w:cs="宋体"/>
          <w:color w:val="auto"/>
          <w:sz w:val="24"/>
          <w:szCs w:val="24"/>
          <w:highlight w:val="none"/>
        </w:rPr>
      </w:pPr>
      <w:bookmarkStart w:id="73" w:name="_Toc12520"/>
      <w:r>
        <w:rPr>
          <w:rFonts w:hint="eastAsia" w:ascii="宋体" w:hAnsi="宋体" w:eastAsia="宋体" w:cs="宋体"/>
          <w:color w:val="auto"/>
          <w:sz w:val="24"/>
          <w:szCs w:val="24"/>
          <w:highlight w:val="none"/>
        </w:rPr>
        <w:t>七、评审方法和程序</w:t>
      </w:r>
      <w:bookmarkEnd w:id="73"/>
    </w:p>
    <w:p>
      <w:pPr>
        <w:pStyle w:val="93"/>
        <w:spacing w:before="210" w:after="210"/>
        <w:ind w:firstLine="640"/>
        <w:outlineLvl w:val="2"/>
        <w:rPr>
          <w:rFonts w:hint="eastAsia" w:ascii="宋体" w:hAnsi="宋体" w:eastAsia="宋体" w:cs="宋体"/>
          <w:color w:val="auto"/>
          <w:sz w:val="24"/>
          <w:szCs w:val="24"/>
          <w:highlight w:val="none"/>
        </w:rPr>
      </w:pPr>
      <w:bookmarkStart w:id="74" w:name="_Toc32195"/>
      <w:r>
        <w:rPr>
          <w:rFonts w:hint="eastAsia" w:ascii="宋体" w:hAnsi="宋体" w:eastAsia="宋体" w:cs="宋体"/>
          <w:color w:val="auto"/>
          <w:sz w:val="24"/>
          <w:szCs w:val="24"/>
          <w:highlight w:val="none"/>
        </w:rPr>
        <w:t>（一）评标方法</w:t>
      </w:r>
      <w:bookmarkEnd w:id="74"/>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本项目采用综合评分法，即投标文件满足招标文件全部实质性要求，且按照评审因素的量化指标评审得分最高的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为中标候选人。</w:t>
      </w:r>
    </w:p>
    <w:p>
      <w:pPr>
        <w:pStyle w:val="93"/>
        <w:spacing w:before="210" w:after="210"/>
        <w:ind w:firstLine="640"/>
        <w:outlineLvl w:val="2"/>
        <w:rPr>
          <w:rFonts w:hint="eastAsia" w:ascii="宋体" w:hAnsi="宋体" w:eastAsia="宋体" w:cs="宋体"/>
          <w:color w:val="auto"/>
          <w:sz w:val="24"/>
          <w:szCs w:val="24"/>
          <w:highlight w:val="none"/>
        </w:rPr>
      </w:pPr>
      <w:bookmarkStart w:id="75" w:name="_Toc30239"/>
      <w:r>
        <w:rPr>
          <w:rFonts w:hint="eastAsia" w:ascii="宋体" w:hAnsi="宋体" w:eastAsia="宋体" w:cs="宋体"/>
          <w:color w:val="auto"/>
          <w:sz w:val="24"/>
          <w:szCs w:val="24"/>
          <w:highlight w:val="none"/>
        </w:rPr>
        <w:t>（二）评标程序</w:t>
      </w:r>
      <w:bookmarkEnd w:id="75"/>
    </w:p>
    <w:p>
      <w:pPr>
        <w:pStyle w:val="92"/>
        <w:outlineLvl w:val="3"/>
        <w:rPr>
          <w:rFonts w:hint="eastAsia" w:ascii="宋体" w:hAnsi="宋体" w:eastAsia="宋体" w:cs="宋体"/>
          <w:color w:val="auto"/>
          <w:sz w:val="24"/>
          <w:szCs w:val="24"/>
          <w:highlight w:val="none"/>
        </w:rPr>
      </w:pPr>
      <w:bookmarkStart w:id="76" w:name="_Toc4917"/>
      <w:r>
        <w:rPr>
          <w:rFonts w:hint="eastAsia" w:ascii="宋体" w:hAnsi="宋体" w:eastAsia="宋体" w:cs="宋体"/>
          <w:color w:val="auto"/>
          <w:sz w:val="24"/>
          <w:szCs w:val="24"/>
          <w:highlight w:val="none"/>
        </w:rPr>
        <w:t>1．组建评标委员会</w:t>
      </w:r>
      <w:bookmarkEnd w:id="76"/>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为了确保评标工作的公平、公正，依据</w:t>
      </w:r>
      <w:r>
        <w:rPr>
          <w:rFonts w:hint="eastAsia" w:ascii="宋体" w:hAnsi="宋体" w:eastAsia="宋体" w:cs="宋体"/>
          <w:color w:val="auto"/>
          <w:sz w:val="24"/>
          <w:szCs w:val="24"/>
          <w:highlight w:val="none"/>
          <w:lang w:eastAsia="zh-CN"/>
        </w:rPr>
        <w:t>《中华人民共和国</w:t>
      </w:r>
      <w:r>
        <w:rPr>
          <w:rFonts w:hint="eastAsia" w:ascii="宋体" w:hAnsi="宋体" w:eastAsia="宋体" w:cs="宋体"/>
          <w:color w:val="auto"/>
          <w:sz w:val="24"/>
          <w:szCs w:val="24"/>
          <w:highlight w:val="none"/>
        </w:rPr>
        <w:t>政府采购法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由采购代理机构组织评标委员会推选评标组长，采购人代表不得担任组长。</w:t>
      </w:r>
    </w:p>
    <w:p>
      <w:pPr>
        <w:pStyle w:val="92"/>
        <w:outlineLvl w:val="3"/>
        <w:rPr>
          <w:rFonts w:hint="eastAsia" w:ascii="宋体" w:hAnsi="宋体" w:eastAsia="宋体" w:cs="宋体"/>
          <w:color w:val="auto"/>
          <w:sz w:val="24"/>
          <w:szCs w:val="24"/>
          <w:highlight w:val="none"/>
        </w:rPr>
      </w:pPr>
      <w:bookmarkStart w:id="77" w:name="_Toc159"/>
      <w:r>
        <w:rPr>
          <w:rFonts w:hint="eastAsia" w:ascii="宋体" w:hAnsi="宋体" w:eastAsia="宋体" w:cs="宋体"/>
          <w:color w:val="auto"/>
          <w:sz w:val="24"/>
          <w:szCs w:val="24"/>
          <w:highlight w:val="none"/>
        </w:rPr>
        <w:t>2．投标文件的符合性审查</w:t>
      </w:r>
      <w:bookmarkEnd w:id="77"/>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资格性审查通过后，评标委员会对符合资格的投标人的投标文件进行符合性审查，以确定其是否满足招标文件的实质性要求。</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对于投标文件中含义不明确、同类问题表述不一致或者有明显文字和计算错误的内容，评标委员会应当以书面形式要求投标人作出必要的澄清、说明或者补正。</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投标人的澄清、说明或者补正应当采用书面形式，并加盖公章，或者由法定代表人或其授权的代表签字。投标人的澄清、说明或者补正不得超出投标文件的范围或者改变投标文件的实质性内容。</w:t>
      </w:r>
    </w:p>
    <w:p>
      <w:pPr>
        <w:spacing w:line="5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〖符合性审查表〗</w:t>
      </w:r>
    </w:p>
    <w:tbl>
      <w:tblPr>
        <w:tblStyle w:val="25"/>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2392"/>
        <w:gridCol w:w="549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392"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符合性审查项</w:t>
            </w:r>
          </w:p>
        </w:tc>
        <w:tc>
          <w:tcPr>
            <w:tcW w:w="549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2" w:space="0"/>
            </w:tcBorders>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2392" w:type="dxa"/>
            <w:tcBorders>
              <w:top w:val="single" w:color="auto" w:sz="2" w:space="0"/>
            </w:tcBorders>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与项目的一致性</w:t>
            </w:r>
          </w:p>
        </w:tc>
        <w:tc>
          <w:tcPr>
            <w:tcW w:w="5498" w:type="dxa"/>
            <w:tcBorders>
              <w:top w:val="single" w:color="auto" w:sz="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至少以下三处的项目名称、项目编号、标段（未分标段的除外）与本项目完全一致：</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（1）投标文件封面</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（2）投标函</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（3）法定代表人（主要负责人）委托授权书\身份证明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6" w:hRule="atLeast"/>
          <w:jc w:val="center"/>
        </w:trPr>
        <w:tc>
          <w:tcPr>
            <w:tcW w:w="978" w:type="dxa"/>
            <w:tcBorders>
              <w:top w:val="single" w:color="auto" w:sz="2" w:space="0"/>
            </w:tcBorders>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2392" w:type="dxa"/>
            <w:tcBorders>
              <w:top w:val="single" w:color="auto" w:sz="2" w:space="0"/>
            </w:tcBorders>
            <w:vAlign w:val="center"/>
          </w:tcPr>
          <w:p>
            <w:pPr>
              <w:spacing w:line="56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编制格式</w:t>
            </w:r>
          </w:p>
        </w:tc>
        <w:tc>
          <w:tcPr>
            <w:tcW w:w="5498" w:type="dxa"/>
            <w:tcBorders>
              <w:top w:val="single" w:color="auto" w:sz="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除明确允许投标人可以自行编写的外，投标文件</w:t>
            </w:r>
            <w:r>
              <w:rPr>
                <w:rFonts w:hint="eastAsia" w:ascii="宋体" w:hAnsi="宋体" w:eastAsia="宋体" w:cs="宋体"/>
                <w:color w:val="auto"/>
                <w:sz w:val="24"/>
                <w:szCs w:val="24"/>
                <w:highlight w:val="none"/>
                <w:lang w:eastAsia="zh-CN"/>
              </w:rPr>
              <w:t>必须</w:t>
            </w:r>
            <w:r>
              <w:rPr>
                <w:rFonts w:hint="eastAsia" w:ascii="宋体" w:hAnsi="宋体" w:eastAsia="宋体" w:cs="宋体"/>
                <w:color w:val="auto"/>
                <w:sz w:val="24"/>
                <w:szCs w:val="24"/>
                <w:highlight w:val="none"/>
              </w:rPr>
              <w:t xml:space="preserve">按照招标文件给定的格式和要求编制；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投标文件组成</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投标文件应包含以下部分：</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（1）投标函</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（2）开标一览表</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（3）资格证明文件</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概况</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参加政府采购活动承诺书</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（6）投标方案</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签章</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签章均符合招标文件要求，且无遗漏。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语言和计量单位</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投标文件有效期</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同时满足以下条款：</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（1）货币单位符合招标文件要求</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（2）报价符合唯一性要求</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（3）未超出采购预算</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（4）符合《开标一览表》的填报要求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实质性条款响应</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完全响应招标文件要求的各项技术</w:t>
            </w:r>
            <w:r>
              <w:rPr>
                <w:rFonts w:hint="eastAsia" w:ascii="宋体" w:hAnsi="宋体" w:eastAsia="宋体" w:cs="宋体"/>
                <w:color w:val="auto"/>
                <w:sz w:val="24"/>
                <w:szCs w:val="24"/>
                <w:highlight w:val="none"/>
                <w:lang w:val="en-US" w:eastAsia="zh-CN"/>
              </w:rPr>
              <w:t>及</w:t>
            </w:r>
            <w:r>
              <w:rPr>
                <w:rFonts w:hint="eastAsia" w:ascii="宋体" w:hAnsi="宋体" w:eastAsia="宋体" w:cs="宋体"/>
                <w:color w:val="auto"/>
                <w:sz w:val="24"/>
                <w:szCs w:val="24"/>
                <w:highlight w:val="none"/>
              </w:rPr>
              <w:t>服务、商务实质性条款。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合同条款响应</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完全理解并响应招标文件合同条款的要求，且未含有采购人不能接受的附加条件的。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电子投标文件雷同性分析</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电子投标文件的“文件制作机器码”和“文件创建标识码”通过评标系统的雷同性分析。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完全理解并接受法律法规和招标文件对</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合法经营的各类规约和责任义务要求，没有出现法律法规或招标文件规定的其他无效情形。</w:t>
            </w:r>
          </w:p>
        </w:tc>
      </w:tr>
    </w:tbl>
    <w:p>
      <w:pPr>
        <w:pStyle w:val="92"/>
        <w:outlineLvl w:val="3"/>
        <w:rPr>
          <w:rFonts w:hint="eastAsia" w:ascii="宋体" w:hAnsi="宋体" w:eastAsia="宋体" w:cs="宋体"/>
          <w:color w:val="auto"/>
          <w:sz w:val="24"/>
          <w:szCs w:val="24"/>
          <w:highlight w:val="none"/>
        </w:rPr>
      </w:pPr>
      <w:bookmarkStart w:id="78" w:name="_Toc9423"/>
      <w:r>
        <w:rPr>
          <w:rFonts w:hint="eastAsia" w:ascii="宋体" w:hAnsi="宋体" w:eastAsia="宋体" w:cs="宋体"/>
          <w:color w:val="auto"/>
          <w:sz w:val="24"/>
          <w:szCs w:val="24"/>
          <w:highlight w:val="none"/>
        </w:rPr>
        <w:t>3．综合比较与评价</w:t>
      </w:r>
      <w:bookmarkEnd w:id="78"/>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评标委员会按《评审要素及分值一览表》中规定的评标方法和标准，对通过符合性审查的投标文件进行商务和技术评估，综合比较与评价。</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出现下列情形的，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投标无效：</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（1）投标文件报价出现本章第五小节“投标报价”所列需要修正情形，但</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对修正后的报价不予确认的；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（2）评标委员会认为</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的报价明显低于其他通过符合性审查</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的报价，有可能影响产品质量或者不能诚信履约的，要求</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在评标现场合理的时间内提供书面说明（必要时提交相关证明材料），</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不能证明其报价合理性的。</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spacing w:line="5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〖评审要素及分值一览表〗</w:t>
      </w:r>
    </w:p>
    <w:tbl>
      <w:tblPr>
        <w:tblStyle w:val="25"/>
        <w:tblW w:w="9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92"/>
        <w:gridCol w:w="7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2" w:type="dxa"/>
            <w:noWrap w:val="0"/>
            <w:vAlign w:val="center"/>
          </w:tcPr>
          <w:p>
            <w:pPr>
              <w:spacing w:line="480" w:lineRule="exact"/>
              <w:ind w:left="-134" w:leftChars="-56" w:right="-108" w:rightChars="-45"/>
              <w:jc w:val="center"/>
              <w:rPr>
                <w:rFonts w:hint="eastAsia" w:ascii="宋体" w:hAnsi="宋体"/>
                <w:szCs w:val="24"/>
              </w:rPr>
            </w:pPr>
            <w:bookmarkStart w:id="79" w:name="_Toc937"/>
            <w:r>
              <w:rPr>
                <w:rFonts w:hint="eastAsia" w:ascii="宋体" w:hAnsi="宋体"/>
              </w:rPr>
              <w:t>评审分项</w:t>
            </w:r>
          </w:p>
        </w:tc>
        <w:tc>
          <w:tcPr>
            <w:tcW w:w="992" w:type="dxa"/>
            <w:noWrap w:val="0"/>
            <w:vAlign w:val="center"/>
          </w:tcPr>
          <w:p>
            <w:pPr>
              <w:spacing w:line="480" w:lineRule="exact"/>
              <w:ind w:left="-134" w:leftChars="-56" w:right="-108" w:rightChars="-45"/>
              <w:jc w:val="center"/>
              <w:rPr>
                <w:rFonts w:hint="eastAsia" w:ascii="宋体" w:hAnsi="宋体"/>
                <w:szCs w:val="24"/>
              </w:rPr>
            </w:pPr>
            <w:r>
              <w:rPr>
                <w:rFonts w:hint="eastAsia" w:ascii="宋体" w:hAnsi="宋体"/>
              </w:rPr>
              <w:t>分项分值</w:t>
            </w:r>
          </w:p>
        </w:tc>
        <w:tc>
          <w:tcPr>
            <w:tcW w:w="7541" w:type="dxa"/>
            <w:noWrap w:val="0"/>
            <w:vAlign w:val="center"/>
          </w:tcPr>
          <w:p>
            <w:pPr>
              <w:spacing w:line="420" w:lineRule="exact"/>
              <w:jc w:val="center"/>
              <w:rPr>
                <w:rFonts w:hint="eastAsia" w:ascii="宋体" w:hAnsi="宋体"/>
                <w:szCs w:val="24"/>
              </w:rPr>
            </w:pPr>
            <w:r>
              <w:rPr>
                <w:rFonts w:hint="eastAsia" w:ascii="宋体" w:hAnsi="宋体"/>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2" w:type="dxa"/>
            <w:noWrap w:val="0"/>
            <w:vAlign w:val="center"/>
          </w:tcPr>
          <w:p>
            <w:pPr>
              <w:spacing w:line="480" w:lineRule="exact"/>
              <w:ind w:right="-108" w:rightChars="-45"/>
              <w:jc w:val="center"/>
              <w:rPr>
                <w:rFonts w:ascii="宋体" w:hAnsi="宋体"/>
                <w:szCs w:val="24"/>
              </w:rPr>
            </w:pPr>
            <w:r>
              <w:rPr>
                <w:rFonts w:hint="eastAsia" w:ascii="宋体" w:hAnsi="宋体"/>
                <w:szCs w:val="24"/>
              </w:rPr>
              <w:t>报价</w:t>
            </w:r>
          </w:p>
        </w:tc>
        <w:tc>
          <w:tcPr>
            <w:tcW w:w="992" w:type="dxa"/>
            <w:noWrap w:val="0"/>
            <w:vAlign w:val="center"/>
          </w:tcPr>
          <w:p>
            <w:pPr>
              <w:spacing w:line="480" w:lineRule="exact"/>
              <w:ind w:left="-134" w:leftChars="-56" w:right="-108" w:rightChars="-45"/>
              <w:jc w:val="center"/>
              <w:rPr>
                <w:rFonts w:ascii="宋体" w:hAnsi="宋体"/>
                <w:szCs w:val="24"/>
              </w:rPr>
            </w:pPr>
            <w:r>
              <w:rPr>
                <w:rFonts w:hint="eastAsia" w:ascii="宋体" w:hAnsi="宋体"/>
                <w:szCs w:val="24"/>
              </w:rPr>
              <w:t>30分</w:t>
            </w:r>
          </w:p>
        </w:tc>
        <w:tc>
          <w:tcPr>
            <w:tcW w:w="7541" w:type="dxa"/>
            <w:noWrap w:val="0"/>
            <w:vAlign w:val="center"/>
          </w:tcPr>
          <w:p>
            <w:pPr>
              <w:pStyle w:val="100"/>
              <w:spacing w:line="460" w:lineRule="exact"/>
              <w:rPr>
                <w:rFonts w:ascii="宋体" w:hAnsi="宋体"/>
                <w:kern w:val="2"/>
                <w:sz w:val="24"/>
                <w:szCs w:val="24"/>
              </w:rPr>
            </w:pPr>
            <w:r>
              <w:rPr>
                <w:rFonts w:hint="eastAsia" w:ascii="宋体" w:hAnsi="宋体"/>
                <w:sz w:val="24"/>
                <w:szCs w:val="24"/>
              </w:rPr>
              <w:t xml:space="preserve">    按照财政部《政府采购货物和服务招标投标管理办法》（财政部令第87号）的有关规定：</w:t>
            </w:r>
            <w:r>
              <w:rPr>
                <w:rFonts w:hint="eastAsia" w:ascii="宋体" w:hAnsi="宋体"/>
                <w:kern w:val="2"/>
                <w:sz w:val="24"/>
                <w:szCs w:val="24"/>
              </w:rPr>
              <w:t>价格分采用低价优先法计算，即满足招标文件要求且投标价格最低的投标报价为评标基准价，其价格分为满分。其他投标人的价格分统一按照下列公式计算：</w:t>
            </w:r>
          </w:p>
          <w:p>
            <w:pPr>
              <w:widowControl/>
              <w:spacing w:line="460" w:lineRule="exact"/>
              <w:jc w:val="left"/>
              <w:rPr>
                <w:rFonts w:ascii="宋体" w:hAnsi="宋体"/>
                <w:szCs w:val="24"/>
              </w:rPr>
            </w:pPr>
            <w:r>
              <w:rPr>
                <w:rFonts w:hint="eastAsia" w:ascii="宋体" w:hAnsi="宋体"/>
                <w:szCs w:val="24"/>
              </w:rPr>
              <w:t>投标报价得分=（评标基准价/投标报价）</w:t>
            </w:r>
            <w:r>
              <w:rPr>
                <w:rFonts w:hint="eastAsia" w:ascii="宋体" w:hAnsi="宋体"/>
                <w:spacing w:val="-10"/>
              </w:rPr>
              <w:t>×价格权值（即30%）×100</w:t>
            </w:r>
          </w:p>
          <w:p>
            <w:pPr>
              <w:widowControl/>
              <w:spacing w:line="460" w:lineRule="exact"/>
              <w:jc w:val="left"/>
              <w:rPr>
                <w:rFonts w:ascii="宋体" w:hAnsi="宋体"/>
                <w:szCs w:val="24"/>
              </w:rPr>
            </w:pPr>
            <w:r>
              <w:rPr>
                <w:rFonts w:hint="eastAsia" w:ascii="宋体" w:hAnsi="宋体"/>
                <w:szCs w:val="24"/>
              </w:rPr>
              <w:t>（因落实政府采购政策进行价格调整的，以调整后的价格计算评标基准价和投标报价，详见3</w:t>
            </w:r>
            <w:r>
              <w:rPr>
                <w:rFonts w:hint="eastAsia" w:ascii="宋体" w:hAnsi="宋体"/>
                <w:szCs w:val="24"/>
                <w:lang w:val="en-US" w:eastAsia="zh-CN"/>
              </w:rPr>
              <w:t>.7.1</w:t>
            </w:r>
            <w:r>
              <w:rPr>
                <w:rFonts w:hint="eastAsia" w:ascii="宋体" w:hAnsi="宋体"/>
                <w:szCs w:val="24"/>
              </w:rPr>
              <w:t>至</w:t>
            </w:r>
            <w:r>
              <w:rPr>
                <w:rFonts w:hint="eastAsia" w:ascii="宋体" w:hAnsi="宋体"/>
                <w:szCs w:val="24"/>
                <w:lang w:val="en-US" w:eastAsia="zh-CN"/>
              </w:rPr>
              <w:t>3.7.3</w:t>
            </w:r>
            <w:r>
              <w:rPr>
                <w:rFonts w:hint="eastAsia" w:ascii="宋体" w:hAnsi="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992" w:type="dxa"/>
            <w:noWrap w:val="0"/>
            <w:vAlign w:val="center"/>
          </w:tcPr>
          <w:p>
            <w:pPr>
              <w:spacing w:line="480" w:lineRule="exact"/>
              <w:ind w:left="-134" w:leftChars="-56" w:right="-108" w:rightChars="-45"/>
              <w:jc w:val="center"/>
              <w:rPr>
                <w:rFonts w:ascii="宋体" w:hAnsi="宋体"/>
                <w:szCs w:val="24"/>
              </w:rPr>
            </w:pPr>
            <w:r>
              <w:rPr>
                <w:rFonts w:hint="eastAsia" w:ascii="宋体" w:hAnsi="宋体"/>
                <w:szCs w:val="24"/>
              </w:rPr>
              <w:t>商务</w:t>
            </w:r>
          </w:p>
          <w:p>
            <w:pPr>
              <w:spacing w:line="480" w:lineRule="exact"/>
              <w:ind w:left="-134" w:leftChars="-56" w:right="-108" w:rightChars="-45"/>
              <w:jc w:val="center"/>
              <w:rPr>
                <w:rFonts w:ascii="宋体" w:hAnsi="宋体"/>
                <w:szCs w:val="24"/>
              </w:rPr>
            </w:pPr>
            <w:r>
              <w:rPr>
                <w:rFonts w:hint="eastAsia" w:ascii="宋体" w:hAnsi="宋体"/>
                <w:szCs w:val="24"/>
              </w:rPr>
              <w:t>响应</w:t>
            </w:r>
          </w:p>
        </w:tc>
        <w:tc>
          <w:tcPr>
            <w:tcW w:w="992" w:type="dxa"/>
            <w:noWrap w:val="0"/>
            <w:vAlign w:val="center"/>
          </w:tcPr>
          <w:p>
            <w:pPr>
              <w:spacing w:line="480" w:lineRule="exact"/>
              <w:ind w:left="-134" w:leftChars="-56" w:right="-108" w:rightChars="-45"/>
              <w:jc w:val="center"/>
              <w:rPr>
                <w:rFonts w:ascii="宋体" w:hAnsi="宋体"/>
                <w:szCs w:val="24"/>
              </w:rPr>
            </w:pPr>
            <w:r>
              <w:rPr>
                <w:rFonts w:hint="eastAsia" w:ascii="宋体" w:hAnsi="宋体"/>
                <w:szCs w:val="24"/>
              </w:rPr>
              <w:t>3分</w:t>
            </w:r>
          </w:p>
        </w:tc>
        <w:tc>
          <w:tcPr>
            <w:tcW w:w="7541" w:type="dxa"/>
            <w:noWrap w:val="0"/>
            <w:vAlign w:val="center"/>
          </w:tcPr>
          <w:p>
            <w:pPr>
              <w:spacing w:line="460" w:lineRule="exact"/>
              <w:rPr>
                <w:rFonts w:ascii="宋体" w:hAnsi="宋体"/>
                <w:szCs w:val="24"/>
              </w:rPr>
            </w:pPr>
            <w:r>
              <w:rPr>
                <w:rFonts w:hint="eastAsia" w:ascii="宋体" w:hAnsi="宋体"/>
                <w:szCs w:val="24"/>
              </w:rPr>
              <w:t xml:space="preserve">   投标文件对交货期、质保期、付款方式、验收等商务要求进行详细说明，完全响应招标文件的计1分，交货期、质保期两项优于招标文件的，每项最多加1分。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2" w:type="dxa"/>
            <w:noWrap w:val="0"/>
            <w:vAlign w:val="center"/>
          </w:tcPr>
          <w:p>
            <w:pPr>
              <w:spacing w:line="460" w:lineRule="exact"/>
              <w:rPr>
                <w:rFonts w:ascii="宋体" w:hAnsi="宋体" w:cs="宋体"/>
                <w:color w:val="000000"/>
                <w:kern w:val="0"/>
                <w:szCs w:val="24"/>
              </w:rPr>
            </w:pPr>
            <w:r>
              <w:rPr>
                <w:rFonts w:hint="eastAsia" w:ascii="宋体" w:hAnsi="宋体" w:cs="宋体"/>
                <w:color w:val="000000"/>
                <w:kern w:val="0"/>
                <w:szCs w:val="24"/>
              </w:rPr>
              <w:t>技术</w:t>
            </w:r>
          </w:p>
          <w:p>
            <w:pPr>
              <w:spacing w:line="460" w:lineRule="exact"/>
              <w:rPr>
                <w:rFonts w:ascii="宋体" w:hAnsi="宋体" w:cs="宋体"/>
                <w:color w:val="000000"/>
                <w:kern w:val="0"/>
                <w:szCs w:val="24"/>
              </w:rPr>
            </w:pPr>
            <w:r>
              <w:rPr>
                <w:rFonts w:hint="eastAsia" w:ascii="宋体" w:hAnsi="宋体" w:cs="宋体"/>
                <w:color w:val="000000"/>
                <w:kern w:val="0"/>
                <w:szCs w:val="24"/>
              </w:rPr>
              <w:t>指标和配置</w:t>
            </w:r>
          </w:p>
        </w:tc>
        <w:tc>
          <w:tcPr>
            <w:tcW w:w="992" w:type="dxa"/>
            <w:noWrap w:val="0"/>
            <w:vAlign w:val="center"/>
          </w:tcPr>
          <w:p>
            <w:pPr>
              <w:spacing w:line="460" w:lineRule="exact"/>
              <w:jc w:val="center"/>
              <w:rPr>
                <w:rFonts w:ascii="宋体" w:hAnsi="宋体" w:cs="宋体"/>
                <w:color w:val="000000"/>
                <w:kern w:val="0"/>
                <w:szCs w:val="24"/>
              </w:rPr>
            </w:pPr>
            <w:r>
              <w:rPr>
                <w:rFonts w:hint="eastAsia" w:ascii="宋体" w:hAnsi="宋体" w:cs="宋体"/>
                <w:color w:val="000000"/>
                <w:kern w:val="0"/>
                <w:szCs w:val="24"/>
              </w:rPr>
              <w:t>2</w:t>
            </w:r>
            <w:r>
              <w:rPr>
                <w:rFonts w:hint="eastAsia" w:ascii="宋体" w:hAnsi="宋体" w:cs="宋体"/>
                <w:color w:val="000000"/>
                <w:kern w:val="0"/>
                <w:szCs w:val="24"/>
                <w:lang w:val="en-US" w:eastAsia="zh-CN"/>
              </w:rPr>
              <w:t>5</w:t>
            </w:r>
            <w:r>
              <w:rPr>
                <w:rFonts w:hint="eastAsia" w:ascii="宋体" w:hAnsi="宋体" w:cs="宋体"/>
                <w:color w:val="000000"/>
                <w:kern w:val="0"/>
                <w:szCs w:val="24"/>
              </w:rPr>
              <w:t>分</w:t>
            </w:r>
          </w:p>
        </w:tc>
        <w:tc>
          <w:tcPr>
            <w:tcW w:w="7541" w:type="dxa"/>
            <w:noWrap w:val="0"/>
            <w:vAlign w:val="top"/>
          </w:tcPr>
          <w:p>
            <w:pPr>
              <w:widowControl/>
              <w:spacing w:line="460" w:lineRule="exact"/>
              <w:jc w:val="left"/>
              <w:rPr>
                <w:rFonts w:ascii="宋体" w:hAnsi="宋体"/>
              </w:rPr>
            </w:pPr>
            <w:r>
              <w:rPr>
                <w:rFonts w:hint="eastAsia"/>
              </w:rPr>
              <w:t>1</w:t>
            </w:r>
            <w:r>
              <w:rPr>
                <w:rFonts w:hint="eastAsia" w:ascii="宋体" w:hAnsi="宋体"/>
              </w:rPr>
              <w:t>、基本分（</w:t>
            </w:r>
            <w:r>
              <w:rPr>
                <w:rFonts w:hint="eastAsia" w:ascii="宋体" w:hAnsi="宋体"/>
                <w:lang w:val="en-US" w:eastAsia="zh-CN"/>
              </w:rPr>
              <w:t>20</w:t>
            </w:r>
            <w:r>
              <w:rPr>
                <w:rFonts w:hint="eastAsia" w:ascii="宋体" w:hAnsi="宋体"/>
              </w:rPr>
              <w:t>分）：完全符合、满足招标文件技术要求的，计2</w:t>
            </w:r>
            <w:r>
              <w:rPr>
                <w:rFonts w:hint="eastAsia" w:ascii="宋体" w:hAnsi="宋体"/>
                <w:lang w:val="en-US" w:eastAsia="zh-CN"/>
              </w:rPr>
              <w:t>0</w:t>
            </w:r>
            <w:r>
              <w:rPr>
                <w:rFonts w:hint="eastAsia" w:ascii="宋体" w:hAnsi="宋体"/>
              </w:rPr>
              <w:t>分；</w:t>
            </w:r>
            <w:r>
              <w:rPr>
                <w:rFonts w:hint="eastAsia" w:ascii="宋体" w:hAnsi="宋体"/>
                <w:highlight w:val="none"/>
              </w:rPr>
              <w:t>“★”号技术参数</w:t>
            </w:r>
            <w:r>
              <w:rPr>
                <w:rFonts w:hint="eastAsia" w:ascii="宋体" w:hAnsi="宋体"/>
                <w:color w:val="auto"/>
                <w:sz w:val="24"/>
                <w:szCs w:val="24"/>
                <w:highlight w:val="none"/>
              </w:rPr>
              <w:t>逐项提供详细说明及相关证明材料（包括但不限于</w:t>
            </w:r>
            <w:r>
              <w:rPr>
                <w:rFonts w:hint="eastAsia" w:ascii="宋体" w:hAnsi="宋体"/>
                <w:highlight w:val="none"/>
              </w:rPr>
              <w:t>经厂家确认的产品彩页</w:t>
            </w:r>
            <w:r>
              <w:rPr>
                <w:rFonts w:hint="eastAsia" w:ascii="宋体" w:hAnsi="宋体"/>
                <w:color w:val="auto"/>
                <w:sz w:val="24"/>
                <w:szCs w:val="24"/>
                <w:highlight w:val="none"/>
              </w:rPr>
              <w:t>、</w:t>
            </w:r>
            <w:r>
              <w:rPr>
                <w:rFonts w:hint="eastAsia" w:ascii="宋体" w:hAnsi="宋体"/>
                <w:highlight w:val="none"/>
              </w:rPr>
              <w:t>检测报告</w:t>
            </w:r>
            <w:r>
              <w:rPr>
                <w:rFonts w:hint="eastAsia" w:ascii="宋体" w:hAnsi="宋体"/>
                <w:color w:val="auto"/>
                <w:sz w:val="24"/>
                <w:szCs w:val="24"/>
                <w:highlight w:val="none"/>
              </w:rPr>
              <w:t>、技术白皮书、功能截图等）</w:t>
            </w:r>
            <w:r>
              <w:rPr>
                <w:rFonts w:hint="eastAsia" w:ascii="宋体" w:hAnsi="宋体"/>
                <w:color w:val="auto"/>
                <w:sz w:val="24"/>
                <w:szCs w:val="24"/>
                <w:highlight w:val="none"/>
                <w:lang w:val="en-US" w:eastAsia="zh-CN"/>
              </w:rPr>
              <w:t>,</w:t>
            </w:r>
            <w:r>
              <w:rPr>
                <w:rFonts w:hint="eastAsia" w:ascii="宋体" w:hAnsi="宋体"/>
                <w:highlight w:val="none"/>
              </w:rPr>
              <w:t>每有一条负偏离扣2分。参数中非“★”号技术指标每有一条负偏离扣</w:t>
            </w:r>
            <w:r>
              <w:rPr>
                <w:rFonts w:hint="eastAsia" w:ascii="宋体" w:hAnsi="宋体"/>
                <w:highlight w:val="none"/>
                <w:lang w:val="en-US" w:eastAsia="zh-CN"/>
              </w:rPr>
              <w:t>1</w:t>
            </w:r>
            <w:r>
              <w:rPr>
                <w:rFonts w:hint="eastAsia" w:ascii="宋体" w:hAnsi="宋体"/>
                <w:highlight w:val="none"/>
              </w:rPr>
              <w:t>分，基本分扣完为止。</w:t>
            </w:r>
          </w:p>
          <w:p>
            <w:pPr>
              <w:widowControl/>
              <w:spacing w:line="460" w:lineRule="exact"/>
              <w:jc w:val="left"/>
              <w:rPr>
                <w:rFonts w:ascii="宋体" w:hAnsi="宋体"/>
              </w:rPr>
            </w:pPr>
            <w:r>
              <w:rPr>
                <w:rFonts w:hint="eastAsia" w:ascii="宋体" w:hAnsi="宋体"/>
              </w:rPr>
              <w:t>2、加分（</w:t>
            </w:r>
            <w:r>
              <w:rPr>
                <w:rFonts w:hint="eastAsia" w:ascii="宋体" w:hAnsi="宋体"/>
                <w:lang w:val="en-US" w:eastAsia="zh-CN"/>
              </w:rPr>
              <w:t>5</w:t>
            </w:r>
            <w:r>
              <w:rPr>
                <w:rFonts w:hint="eastAsia" w:ascii="宋体" w:hAnsi="宋体"/>
              </w:rPr>
              <w:t>分）：在各自所得基本分的基础上，主要投标产品技术指标、参数或功能优于招标文件规定的相应技术指标、参数或功能，并且有实质性能提升的，评标委员会一致认可的可进行相应加分，每项加1分，加分最多加</w:t>
            </w:r>
            <w:r>
              <w:rPr>
                <w:rFonts w:hint="eastAsia" w:ascii="宋体" w:hAnsi="宋体"/>
                <w:lang w:val="en-US" w:eastAsia="zh-CN"/>
              </w:rPr>
              <w:t>5</w:t>
            </w:r>
            <w:r>
              <w:rPr>
                <w:rFonts w:hint="eastAsia" w:ascii="宋体" w:hAnsi="宋体"/>
              </w:rPr>
              <w:t>分。投标人应提供充足的佐证材料（佐证材料包括但不限于：经厂家确认的产品彩页、检测报告、官网截图等证明材料）予以佐证，佐证材料应编制在投标文件中，投标人自行承担因佐证材料不全而被视为技术参数无正偏离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2" w:type="dxa"/>
            <w:noWrap w:val="0"/>
            <w:vAlign w:val="center"/>
          </w:tcPr>
          <w:p>
            <w:pPr>
              <w:spacing w:line="460" w:lineRule="exact"/>
              <w:rPr>
                <w:rFonts w:ascii="宋体" w:hAnsi="宋体" w:cs="宋体"/>
                <w:color w:val="000000"/>
                <w:kern w:val="0"/>
                <w:szCs w:val="24"/>
              </w:rPr>
            </w:pPr>
            <w:r>
              <w:rPr>
                <w:rFonts w:hint="eastAsia" w:ascii="宋体" w:hAnsi="宋体" w:cs="宋体"/>
                <w:color w:val="000000"/>
                <w:kern w:val="0"/>
                <w:szCs w:val="24"/>
              </w:rPr>
              <w:t>项目实施方案</w:t>
            </w:r>
          </w:p>
        </w:tc>
        <w:tc>
          <w:tcPr>
            <w:tcW w:w="992" w:type="dxa"/>
            <w:noWrap w:val="0"/>
            <w:vAlign w:val="center"/>
          </w:tcPr>
          <w:p>
            <w:pPr>
              <w:spacing w:line="460" w:lineRule="exact"/>
              <w:jc w:val="center"/>
              <w:rPr>
                <w:rFonts w:ascii="宋体" w:hAnsi="宋体" w:cs="宋体"/>
                <w:color w:val="000000"/>
                <w:kern w:val="0"/>
                <w:szCs w:val="24"/>
              </w:rPr>
            </w:pPr>
            <w:r>
              <w:rPr>
                <w:rFonts w:hint="eastAsia" w:ascii="宋体" w:hAnsi="宋体" w:cs="宋体"/>
                <w:color w:val="000000"/>
                <w:kern w:val="0"/>
                <w:szCs w:val="24"/>
              </w:rPr>
              <w:t>10分</w:t>
            </w:r>
          </w:p>
        </w:tc>
        <w:tc>
          <w:tcPr>
            <w:tcW w:w="7541" w:type="dxa"/>
            <w:noWrap w:val="0"/>
            <w:vAlign w:val="top"/>
          </w:tcPr>
          <w:p>
            <w:pPr>
              <w:spacing w:line="460" w:lineRule="exact"/>
              <w:jc w:val="left"/>
              <w:rPr>
                <w:rFonts w:ascii="宋体" w:hAnsi="宋体" w:cs="宋体"/>
                <w:color w:val="000000"/>
                <w:kern w:val="0"/>
                <w:szCs w:val="24"/>
              </w:rPr>
            </w:pPr>
            <w:r>
              <w:rPr>
                <w:rFonts w:hint="eastAsia" w:ascii="宋体" w:hAnsi="宋体" w:cs="宋体"/>
                <w:color w:val="000000"/>
                <w:kern w:val="0"/>
                <w:szCs w:val="24"/>
              </w:rPr>
              <w:t>项目实施方案：</w:t>
            </w:r>
            <w:r>
              <w:rPr>
                <w:rFonts w:hint="eastAsia" w:ascii="宋体" w:hAnsi="宋体"/>
              </w:rPr>
              <w:t>备货、供货进度及保证措施，拟投入本项目的人员安排及责任制度，</w:t>
            </w:r>
            <w:r>
              <w:rPr>
                <w:rFonts w:hint="eastAsia" w:ascii="宋体" w:hAnsi="宋体" w:cs="宋体"/>
                <w:color w:val="000000"/>
                <w:kern w:val="0"/>
                <w:szCs w:val="24"/>
              </w:rPr>
              <w:t>安装、检测、调试措施，安全保障措施，应急处理措施。①方案内容完整、全面、详细的计10-7分；</w:t>
            </w:r>
          </w:p>
          <w:p>
            <w:pPr>
              <w:spacing w:line="460" w:lineRule="exact"/>
              <w:jc w:val="left"/>
              <w:rPr>
                <w:rFonts w:ascii="宋体" w:hAnsi="宋体" w:cs="宋体"/>
                <w:color w:val="000000"/>
                <w:kern w:val="0"/>
                <w:szCs w:val="24"/>
              </w:rPr>
            </w:pPr>
            <w:r>
              <w:rPr>
                <w:rFonts w:hint="eastAsia" w:ascii="宋体" w:hAnsi="宋体" w:cs="宋体"/>
                <w:color w:val="000000"/>
                <w:kern w:val="0"/>
                <w:szCs w:val="24"/>
              </w:rPr>
              <w:t>②方案内容有1到3项欠缺、较薄弱的计7-4分；</w:t>
            </w:r>
          </w:p>
          <w:p>
            <w:pPr>
              <w:spacing w:line="460" w:lineRule="exact"/>
              <w:jc w:val="left"/>
              <w:rPr>
                <w:rFonts w:ascii="宋体" w:hAnsi="宋体" w:cs="宋体"/>
                <w:color w:val="000000"/>
                <w:kern w:val="0"/>
                <w:szCs w:val="24"/>
              </w:rPr>
            </w:pPr>
            <w:r>
              <w:rPr>
                <w:rFonts w:hint="eastAsia" w:ascii="宋体" w:hAnsi="宋体"/>
              </w:rPr>
              <w:t>③</w:t>
            </w:r>
            <w:r>
              <w:rPr>
                <w:rFonts w:hint="eastAsia" w:ascii="宋体" w:hAnsi="宋体" w:cs="宋体"/>
                <w:color w:val="000000"/>
                <w:kern w:val="0"/>
                <w:szCs w:val="24"/>
              </w:rPr>
              <w:t>方案内容有3项以上严重欠缺、薄弱的计4-1分；</w:t>
            </w:r>
          </w:p>
          <w:p>
            <w:pPr>
              <w:spacing w:line="460" w:lineRule="exact"/>
              <w:jc w:val="left"/>
              <w:rPr>
                <w:rFonts w:ascii="宋体" w:hAnsi="宋体" w:cs="宋体"/>
                <w:color w:val="000000"/>
                <w:kern w:val="0"/>
                <w:szCs w:val="24"/>
              </w:rPr>
            </w:pPr>
            <w:r>
              <w:rPr>
                <w:rFonts w:hint="eastAsia" w:ascii="宋体" w:hAnsi="宋体" w:cs="宋体"/>
                <w:color w:val="000000"/>
                <w:kern w:val="0"/>
                <w:szCs w:val="24"/>
              </w:rPr>
              <w:t>④未提供项目实施方案不计分。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2" w:type="dxa"/>
            <w:noWrap w:val="0"/>
            <w:vAlign w:val="center"/>
          </w:tcPr>
          <w:p>
            <w:pPr>
              <w:spacing w:line="480" w:lineRule="exact"/>
              <w:jc w:val="center"/>
              <w:rPr>
                <w:rFonts w:hint="eastAsia" w:ascii="宋体" w:hAnsi="宋体" w:cs="宋体"/>
                <w:color w:val="000000"/>
                <w:szCs w:val="24"/>
              </w:rPr>
            </w:pPr>
            <w:r>
              <w:rPr>
                <w:rFonts w:hint="eastAsia" w:ascii="宋体" w:hAnsi="宋体" w:cs="宋体"/>
                <w:color w:val="000000"/>
                <w:szCs w:val="24"/>
              </w:rPr>
              <w:t>产品</w:t>
            </w:r>
          </w:p>
          <w:p>
            <w:pPr>
              <w:spacing w:line="480" w:lineRule="exact"/>
              <w:jc w:val="center"/>
              <w:rPr>
                <w:rFonts w:hint="eastAsia" w:ascii="宋体" w:hAnsi="宋体" w:cs="宋体"/>
                <w:color w:val="000000"/>
                <w:szCs w:val="24"/>
              </w:rPr>
            </w:pPr>
            <w:r>
              <w:rPr>
                <w:rFonts w:hint="eastAsia" w:ascii="宋体" w:hAnsi="宋体" w:cs="宋体"/>
                <w:color w:val="000000"/>
                <w:szCs w:val="24"/>
              </w:rPr>
              <w:t>渠道</w:t>
            </w:r>
          </w:p>
        </w:tc>
        <w:tc>
          <w:tcPr>
            <w:tcW w:w="992" w:type="dxa"/>
            <w:noWrap w:val="0"/>
            <w:vAlign w:val="center"/>
          </w:tcPr>
          <w:p>
            <w:pPr>
              <w:spacing w:line="480" w:lineRule="exact"/>
              <w:jc w:val="center"/>
              <w:rPr>
                <w:rFonts w:hint="eastAsia" w:ascii="宋体" w:hAnsi="宋体" w:cs="宋体"/>
                <w:color w:val="000000"/>
                <w:szCs w:val="24"/>
              </w:rPr>
            </w:pPr>
            <w:r>
              <w:rPr>
                <w:rFonts w:hint="eastAsia" w:ascii="宋体" w:hAnsi="宋体" w:cs="宋体"/>
                <w:color w:val="000000"/>
                <w:szCs w:val="24"/>
                <w:lang w:val="en-US" w:eastAsia="zh-CN"/>
              </w:rPr>
              <w:t>4</w:t>
            </w:r>
            <w:r>
              <w:rPr>
                <w:rFonts w:hint="eastAsia" w:ascii="宋体" w:hAnsi="宋体" w:cs="宋体"/>
                <w:color w:val="000000"/>
                <w:szCs w:val="24"/>
              </w:rPr>
              <w:t>分</w:t>
            </w:r>
          </w:p>
        </w:tc>
        <w:tc>
          <w:tcPr>
            <w:tcW w:w="7541" w:type="dxa"/>
            <w:noWrap w:val="0"/>
            <w:vAlign w:val="center"/>
          </w:tcPr>
          <w:p>
            <w:pPr>
              <w:spacing w:line="480" w:lineRule="exact"/>
              <w:rPr>
                <w:rFonts w:hint="eastAsia" w:ascii="宋体" w:hAnsi="宋体" w:cs="宋体"/>
                <w:color w:val="FF0000"/>
                <w:szCs w:val="24"/>
                <w:lang w:val="zh-CN"/>
              </w:rPr>
            </w:pPr>
            <w:r>
              <w:rPr>
                <w:rFonts w:hint="eastAsia" w:ascii="宋体" w:hAnsi="宋体" w:cs="宋体"/>
                <w:color w:val="auto"/>
                <w:szCs w:val="24"/>
                <w:lang w:val="zh-CN"/>
              </w:rPr>
              <w:t>能提供所投产品的合法来源渠道证明文件（包括但不限于产品制造商授权、销售协议、代理协议、原厂授权等），计</w:t>
            </w:r>
            <w:r>
              <w:rPr>
                <w:rFonts w:hint="eastAsia" w:ascii="宋体" w:hAnsi="宋体" w:cs="宋体"/>
                <w:color w:val="auto"/>
                <w:szCs w:val="24"/>
                <w:lang w:val="en-US" w:eastAsia="zh-CN"/>
              </w:rPr>
              <w:t>4</w:t>
            </w:r>
            <w:r>
              <w:rPr>
                <w:rFonts w:hint="eastAsia" w:ascii="宋体" w:hAnsi="宋体" w:cs="宋体"/>
                <w:color w:val="auto"/>
                <w:szCs w:val="24"/>
                <w:lang w:val="zh-CN"/>
              </w:rPr>
              <w:t>分，不提供的不计分。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2" w:type="dxa"/>
            <w:noWrap w:val="0"/>
            <w:vAlign w:val="center"/>
          </w:tcPr>
          <w:p>
            <w:pPr>
              <w:spacing w:line="480" w:lineRule="exact"/>
              <w:jc w:val="center"/>
              <w:rPr>
                <w:rFonts w:hint="eastAsia" w:ascii="宋体" w:hAnsi="宋体" w:cs="宋体" w:eastAsiaTheme="minorEastAsia"/>
                <w:color w:val="000000"/>
                <w:szCs w:val="24"/>
                <w:highlight w:val="none"/>
                <w:lang w:eastAsia="zh-CN"/>
              </w:rPr>
            </w:pPr>
            <w:r>
              <w:rPr>
                <w:rFonts w:hint="eastAsia" w:ascii="宋体" w:hAnsi="宋体" w:cs="宋体"/>
                <w:color w:val="000000"/>
                <w:szCs w:val="24"/>
                <w:highlight w:val="none"/>
                <w:lang w:eastAsia="zh-CN"/>
              </w:rPr>
              <w:t>业绩</w:t>
            </w:r>
          </w:p>
        </w:tc>
        <w:tc>
          <w:tcPr>
            <w:tcW w:w="992" w:type="dxa"/>
            <w:noWrap w:val="0"/>
            <w:vAlign w:val="center"/>
          </w:tcPr>
          <w:p>
            <w:pPr>
              <w:spacing w:line="480" w:lineRule="exact"/>
              <w:jc w:val="center"/>
              <w:rPr>
                <w:rFonts w:hint="default" w:ascii="宋体" w:hAnsi="宋体" w:cs="宋体"/>
                <w:color w:val="000000"/>
                <w:szCs w:val="24"/>
                <w:highlight w:val="none"/>
                <w:lang w:val="en-US" w:eastAsia="zh-CN"/>
              </w:rPr>
            </w:pPr>
            <w:r>
              <w:rPr>
                <w:rFonts w:hint="eastAsia" w:ascii="宋体" w:hAnsi="宋体" w:cs="宋体"/>
                <w:color w:val="000000"/>
                <w:szCs w:val="24"/>
                <w:highlight w:val="none"/>
                <w:lang w:val="en-US" w:eastAsia="zh-CN"/>
              </w:rPr>
              <w:t>4分</w:t>
            </w:r>
          </w:p>
        </w:tc>
        <w:tc>
          <w:tcPr>
            <w:tcW w:w="7541" w:type="dxa"/>
            <w:noWrap w:val="0"/>
            <w:vAlign w:val="center"/>
          </w:tcPr>
          <w:p>
            <w:pPr>
              <w:spacing w:line="480" w:lineRule="exact"/>
              <w:rPr>
                <w:rFonts w:hint="eastAsia" w:ascii="宋体" w:hAnsi="宋体" w:cs="宋体"/>
                <w:color w:val="auto"/>
                <w:szCs w:val="24"/>
                <w:highlight w:val="none"/>
                <w:lang w:val="zh-CN"/>
              </w:rPr>
            </w:pPr>
            <w:r>
              <w:rPr>
                <w:rFonts w:hint="eastAsia" w:ascii="宋体" w:hAnsi="宋体" w:cs="宋体"/>
                <w:color w:val="000000"/>
                <w:kern w:val="0"/>
                <w:szCs w:val="24"/>
                <w:highlight w:val="none"/>
              </w:rPr>
              <w:t>以合同形式提供</w:t>
            </w:r>
            <w:r>
              <w:rPr>
                <w:rFonts w:hint="eastAsia" w:ascii="宋体" w:hAnsi="宋体" w:cs="宋体"/>
                <w:color w:val="000000"/>
                <w:kern w:val="0"/>
                <w:szCs w:val="24"/>
                <w:highlight w:val="none"/>
                <w:lang w:eastAsia="zh-CN"/>
              </w:rPr>
              <w:t>厂商</w:t>
            </w:r>
            <w:r>
              <w:rPr>
                <w:rFonts w:hint="eastAsia" w:ascii="宋体" w:hAnsi="宋体" w:cs="宋体"/>
                <w:color w:val="000000"/>
                <w:kern w:val="0"/>
                <w:szCs w:val="24"/>
                <w:highlight w:val="none"/>
              </w:rPr>
              <w:t>201</w:t>
            </w:r>
            <w:r>
              <w:rPr>
                <w:rFonts w:hint="eastAsia" w:ascii="宋体" w:hAnsi="宋体" w:cs="宋体"/>
                <w:color w:val="000000"/>
                <w:kern w:val="0"/>
                <w:szCs w:val="24"/>
                <w:highlight w:val="none"/>
                <w:lang w:val="en-US" w:eastAsia="zh-CN"/>
              </w:rPr>
              <w:t>9</w:t>
            </w:r>
            <w:r>
              <w:rPr>
                <w:rFonts w:hint="eastAsia" w:ascii="宋体" w:hAnsi="宋体" w:cs="宋体"/>
                <w:color w:val="000000"/>
                <w:kern w:val="0"/>
                <w:szCs w:val="24"/>
                <w:highlight w:val="none"/>
              </w:rPr>
              <w:t>年</w:t>
            </w:r>
            <w:r>
              <w:rPr>
                <w:rFonts w:hint="eastAsia" w:ascii="宋体" w:hAnsi="宋体" w:cs="宋体"/>
                <w:color w:val="000000"/>
                <w:kern w:val="0"/>
                <w:szCs w:val="24"/>
                <w:highlight w:val="none"/>
                <w:lang w:val="en-US" w:eastAsia="zh-CN"/>
              </w:rPr>
              <w:t>10</w:t>
            </w:r>
            <w:r>
              <w:rPr>
                <w:rFonts w:hint="eastAsia" w:ascii="宋体" w:hAnsi="宋体" w:cs="宋体"/>
                <w:color w:val="000000"/>
                <w:kern w:val="0"/>
                <w:szCs w:val="24"/>
                <w:highlight w:val="none"/>
              </w:rPr>
              <w:t>月至今同类项目业绩，每份计</w:t>
            </w:r>
            <w:r>
              <w:rPr>
                <w:rFonts w:hint="eastAsia" w:ascii="宋体" w:hAnsi="宋体" w:cs="宋体"/>
                <w:color w:val="000000"/>
                <w:kern w:val="0"/>
                <w:szCs w:val="24"/>
                <w:highlight w:val="none"/>
                <w:lang w:val="en-US" w:eastAsia="zh-CN"/>
              </w:rPr>
              <w:t>2</w:t>
            </w:r>
            <w:r>
              <w:rPr>
                <w:rFonts w:hint="eastAsia" w:ascii="宋体" w:hAnsi="宋体" w:cs="宋体"/>
                <w:color w:val="000000"/>
                <w:kern w:val="0"/>
                <w:szCs w:val="24"/>
                <w:highlight w:val="none"/>
              </w:rPr>
              <w:t>分，计满</w:t>
            </w:r>
            <w:r>
              <w:rPr>
                <w:rFonts w:hint="eastAsia" w:ascii="宋体" w:hAnsi="宋体" w:cs="宋体"/>
                <w:color w:val="000000"/>
                <w:kern w:val="0"/>
                <w:szCs w:val="24"/>
                <w:highlight w:val="none"/>
                <w:lang w:val="en-US" w:eastAsia="zh-CN"/>
              </w:rPr>
              <w:t>4</w:t>
            </w:r>
            <w:r>
              <w:rPr>
                <w:rFonts w:hint="eastAsia" w:ascii="宋体" w:hAnsi="宋体" w:cs="宋体"/>
                <w:color w:val="000000"/>
                <w:kern w:val="0"/>
                <w:szCs w:val="24"/>
                <w:highlight w:val="none"/>
              </w:rPr>
              <w:t>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2" w:type="dxa"/>
            <w:noWrap w:val="0"/>
            <w:vAlign w:val="center"/>
          </w:tcPr>
          <w:p>
            <w:pPr>
              <w:spacing w:line="480" w:lineRule="atLeast"/>
              <w:ind w:right="-95"/>
              <w:rPr>
                <w:rFonts w:ascii="宋体" w:hAnsi="宋体" w:cs="宋体"/>
                <w:color w:val="000000"/>
                <w:kern w:val="0"/>
                <w:szCs w:val="24"/>
              </w:rPr>
            </w:pPr>
            <w:r>
              <w:rPr>
                <w:rFonts w:hint="eastAsia" w:ascii="宋体" w:hAnsi="宋体" w:cs="宋体"/>
                <w:color w:val="000000"/>
                <w:kern w:val="0"/>
                <w:szCs w:val="24"/>
              </w:rPr>
              <w:t>质量</w:t>
            </w:r>
          </w:p>
          <w:p>
            <w:pPr>
              <w:spacing w:line="480" w:lineRule="atLeast"/>
              <w:ind w:right="-95"/>
              <w:rPr>
                <w:rFonts w:ascii="宋体" w:hAnsi="宋体" w:cs="宋体"/>
                <w:color w:val="000000"/>
                <w:kern w:val="0"/>
                <w:szCs w:val="24"/>
              </w:rPr>
            </w:pPr>
            <w:r>
              <w:rPr>
                <w:rFonts w:hint="eastAsia" w:ascii="宋体" w:hAnsi="宋体" w:cs="宋体"/>
                <w:color w:val="000000"/>
                <w:kern w:val="0"/>
                <w:szCs w:val="24"/>
              </w:rPr>
              <w:t>保证</w:t>
            </w:r>
          </w:p>
        </w:tc>
        <w:tc>
          <w:tcPr>
            <w:tcW w:w="992" w:type="dxa"/>
            <w:noWrap w:val="0"/>
            <w:vAlign w:val="center"/>
          </w:tcPr>
          <w:p>
            <w:pPr>
              <w:spacing w:line="480" w:lineRule="atLeast"/>
              <w:ind w:right="-95"/>
              <w:jc w:val="center"/>
              <w:rPr>
                <w:rFonts w:ascii="宋体" w:hAnsi="宋体" w:cs="宋体"/>
                <w:color w:val="000000"/>
                <w:kern w:val="0"/>
                <w:szCs w:val="24"/>
              </w:rPr>
            </w:pPr>
            <w:r>
              <w:rPr>
                <w:rFonts w:hint="eastAsia" w:ascii="宋体" w:hAnsi="宋体" w:cs="宋体"/>
                <w:color w:val="000000"/>
                <w:kern w:val="0"/>
                <w:szCs w:val="24"/>
                <w:lang w:val="en-US" w:eastAsia="zh-CN"/>
              </w:rPr>
              <w:t>6</w:t>
            </w:r>
            <w:r>
              <w:rPr>
                <w:rFonts w:hint="eastAsia" w:ascii="宋体" w:hAnsi="宋体" w:cs="宋体"/>
                <w:color w:val="000000"/>
                <w:kern w:val="0"/>
                <w:szCs w:val="24"/>
              </w:rPr>
              <w:t>分</w:t>
            </w:r>
          </w:p>
        </w:tc>
        <w:tc>
          <w:tcPr>
            <w:tcW w:w="7541" w:type="dxa"/>
            <w:noWrap w:val="0"/>
            <w:vAlign w:val="center"/>
          </w:tcPr>
          <w:p>
            <w:pPr>
              <w:spacing w:line="460" w:lineRule="exact"/>
              <w:rPr>
                <w:rFonts w:hint="eastAsia" w:ascii="宋体" w:hAnsi="宋体"/>
              </w:rPr>
            </w:pPr>
            <w:r>
              <w:rPr>
                <w:rFonts w:hint="eastAsia" w:ascii="宋体" w:hAnsi="宋体"/>
              </w:rPr>
              <w:t>所投产品制造厂家有可靠、完善的管理制度；有足够的设计、工艺、加工、检验能力；所投产品符合国际、国内相关标准，有具体可行的</w:t>
            </w:r>
            <w:r>
              <w:rPr>
                <w:rFonts w:hint="eastAsia" w:ascii="宋体" w:hAnsi="宋体" w:cs="宋体"/>
                <w:color w:val="000000"/>
                <w:kern w:val="0"/>
                <w:szCs w:val="24"/>
              </w:rPr>
              <w:t>质量保证承诺，保证使用单位能熟练操作维护和正常使用</w:t>
            </w:r>
            <w:r>
              <w:rPr>
                <w:rFonts w:hint="eastAsia" w:ascii="宋体" w:hAnsi="宋体"/>
              </w:rPr>
              <w:t>。</w:t>
            </w:r>
          </w:p>
          <w:p>
            <w:pPr>
              <w:spacing w:line="460" w:lineRule="exact"/>
              <w:rPr>
                <w:rFonts w:hint="eastAsia" w:ascii="宋体" w:hAnsi="宋体"/>
              </w:rPr>
            </w:pPr>
            <w:r>
              <w:rPr>
                <w:rFonts w:hint="eastAsia" w:ascii="宋体" w:hAnsi="宋体" w:cs="宋体"/>
                <w:color w:val="000000"/>
                <w:kern w:val="0"/>
                <w:szCs w:val="24"/>
              </w:rPr>
              <w:t>①内容具体、完整、详细、全面的计</w:t>
            </w:r>
            <w:r>
              <w:rPr>
                <w:rFonts w:hint="eastAsia" w:ascii="宋体" w:hAnsi="宋体" w:cs="宋体"/>
                <w:color w:val="000000"/>
                <w:kern w:val="0"/>
                <w:szCs w:val="24"/>
                <w:lang w:val="en-US" w:eastAsia="zh-CN"/>
              </w:rPr>
              <w:t>6</w:t>
            </w:r>
            <w:r>
              <w:rPr>
                <w:rFonts w:hint="eastAsia" w:ascii="宋体" w:hAnsi="宋体"/>
              </w:rPr>
              <w:t>-</w:t>
            </w:r>
            <w:r>
              <w:rPr>
                <w:rFonts w:hint="eastAsia" w:ascii="宋体" w:hAnsi="宋体"/>
                <w:lang w:val="en-US" w:eastAsia="zh-CN"/>
              </w:rPr>
              <w:t>3</w:t>
            </w:r>
            <w:r>
              <w:rPr>
                <w:rFonts w:hint="eastAsia" w:ascii="宋体" w:hAnsi="宋体"/>
              </w:rPr>
              <w:t>分；</w:t>
            </w:r>
          </w:p>
          <w:p>
            <w:pPr>
              <w:spacing w:line="460" w:lineRule="exact"/>
              <w:rPr>
                <w:rFonts w:hint="eastAsia" w:ascii="宋体" w:hAnsi="宋体"/>
              </w:rPr>
            </w:pPr>
            <w:r>
              <w:rPr>
                <w:rFonts w:hint="eastAsia" w:ascii="宋体" w:hAnsi="宋体"/>
              </w:rPr>
              <w:t>②内容</w:t>
            </w:r>
            <w:r>
              <w:rPr>
                <w:rFonts w:hint="eastAsia" w:ascii="宋体" w:hAnsi="宋体" w:cs="宋体"/>
                <w:color w:val="000000"/>
                <w:kern w:val="0"/>
                <w:szCs w:val="24"/>
              </w:rPr>
              <w:t>欠缺、薄弱的计</w:t>
            </w:r>
            <w:r>
              <w:rPr>
                <w:rFonts w:hint="eastAsia" w:ascii="宋体" w:hAnsi="宋体"/>
              </w:rPr>
              <w:t>3-1分；</w:t>
            </w:r>
          </w:p>
          <w:p>
            <w:pPr>
              <w:spacing w:line="460" w:lineRule="exact"/>
              <w:rPr>
                <w:rFonts w:ascii="宋体" w:hAnsi="宋体" w:cs="宋体"/>
                <w:color w:val="000000"/>
                <w:kern w:val="0"/>
                <w:szCs w:val="24"/>
              </w:rPr>
            </w:pPr>
            <w:r>
              <w:rPr>
                <w:rFonts w:hint="eastAsia" w:ascii="宋体" w:hAnsi="宋体"/>
              </w:rPr>
              <w:t>③未提供</w:t>
            </w:r>
            <w:r>
              <w:rPr>
                <w:rFonts w:hint="eastAsia" w:ascii="宋体" w:hAnsi="宋体" w:cs="宋体"/>
                <w:color w:val="000000"/>
                <w:kern w:val="0"/>
                <w:szCs w:val="24"/>
              </w:rPr>
              <w:t>质量保证及与质量保证有关内容的</w:t>
            </w:r>
            <w:r>
              <w:rPr>
                <w:rFonts w:hint="eastAsia" w:ascii="宋体" w:hAnsi="宋体"/>
              </w:rPr>
              <w:t>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2" w:type="dxa"/>
            <w:noWrap w:val="0"/>
            <w:vAlign w:val="center"/>
          </w:tcPr>
          <w:p>
            <w:pPr>
              <w:spacing w:line="480" w:lineRule="atLeast"/>
              <w:ind w:right="-95"/>
              <w:rPr>
                <w:rFonts w:hint="eastAsia" w:ascii="宋体" w:hAnsi="宋体" w:cs="宋体"/>
                <w:color w:val="000000"/>
                <w:kern w:val="0"/>
                <w:szCs w:val="24"/>
              </w:rPr>
            </w:pPr>
            <w:r>
              <w:rPr>
                <w:rFonts w:hint="eastAsia" w:ascii="宋体" w:hAnsi="宋体" w:cs="宋体"/>
                <w:color w:val="000000"/>
                <w:kern w:val="0"/>
                <w:szCs w:val="24"/>
              </w:rPr>
              <w:t>履约</w:t>
            </w:r>
          </w:p>
          <w:p>
            <w:pPr>
              <w:spacing w:line="480" w:lineRule="atLeast"/>
              <w:ind w:right="-95"/>
              <w:rPr>
                <w:rFonts w:hint="eastAsia" w:ascii="宋体" w:hAnsi="宋体" w:cs="宋体"/>
                <w:color w:val="000000"/>
                <w:kern w:val="0"/>
                <w:szCs w:val="24"/>
              </w:rPr>
            </w:pPr>
            <w:r>
              <w:rPr>
                <w:rFonts w:hint="eastAsia" w:ascii="宋体" w:hAnsi="宋体" w:cs="宋体"/>
                <w:color w:val="000000"/>
                <w:kern w:val="0"/>
                <w:szCs w:val="24"/>
              </w:rPr>
              <w:t>能力</w:t>
            </w:r>
          </w:p>
        </w:tc>
        <w:tc>
          <w:tcPr>
            <w:tcW w:w="992" w:type="dxa"/>
            <w:noWrap w:val="0"/>
            <w:vAlign w:val="center"/>
          </w:tcPr>
          <w:p>
            <w:pPr>
              <w:spacing w:line="480" w:lineRule="atLeast"/>
              <w:ind w:right="-95"/>
              <w:jc w:val="center"/>
              <w:rPr>
                <w:rFonts w:hint="eastAsia" w:ascii="宋体" w:hAnsi="宋体" w:cs="宋体"/>
                <w:color w:val="000000"/>
                <w:kern w:val="0"/>
                <w:szCs w:val="24"/>
              </w:rPr>
            </w:pPr>
            <w:r>
              <w:rPr>
                <w:rFonts w:hint="eastAsia" w:ascii="宋体" w:hAnsi="宋体" w:cs="宋体"/>
                <w:color w:val="000000"/>
                <w:kern w:val="0"/>
                <w:szCs w:val="24"/>
                <w:lang w:val="en-US" w:eastAsia="zh-CN"/>
              </w:rPr>
              <w:t>6</w:t>
            </w:r>
            <w:r>
              <w:rPr>
                <w:rFonts w:hint="eastAsia" w:ascii="宋体" w:hAnsi="宋体" w:cs="宋体"/>
                <w:color w:val="000000"/>
                <w:kern w:val="0"/>
                <w:szCs w:val="24"/>
              </w:rPr>
              <w:t>分</w:t>
            </w:r>
          </w:p>
        </w:tc>
        <w:tc>
          <w:tcPr>
            <w:tcW w:w="7541" w:type="dxa"/>
            <w:noWrap w:val="0"/>
            <w:vAlign w:val="center"/>
          </w:tcPr>
          <w:p>
            <w:pPr>
              <w:spacing w:line="460" w:lineRule="exact"/>
              <w:rPr>
                <w:rFonts w:hint="eastAsia" w:ascii="宋体" w:hAnsi="宋体" w:cs="宋体"/>
                <w:color w:val="FF0000"/>
                <w:kern w:val="0"/>
                <w:szCs w:val="24"/>
              </w:rPr>
            </w:pPr>
            <w:r>
              <w:rPr>
                <w:rFonts w:hint="eastAsia" w:ascii="宋体" w:hAnsi="宋体" w:cs="宋体"/>
                <w:color w:val="auto"/>
                <w:kern w:val="0"/>
                <w:szCs w:val="24"/>
              </w:rPr>
              <w:t>履约能力承诺详细、具体,包括</w:t>
            </w:r>
            <w:r>
              <w:rPr>
                <w:rFonts w:ascii="宋体" w:hAnsi="宋体" w:cs="宋体"/>
                <w:color w:val="auto"/>
                <w:kern w:val="0"/>
                <w:szCs w:val="24"/>
              </w:rPr>
              <w:t>资金筹措、仓储设施、运输工具、人员素质、管理水平</w:t>
            </w:r>
            <w:r>
              <w:rPr>
                <w:rFonts w:hint="eastAsia" w:ascii="宋体" w:hAnsi="宋体" w:cs="宋体"/>
                <w:color w:val="auto"/>
                <w:kern w:val="0"/>
                <w:szCs w:val="24"/>
              </w:rPr>
              <w:t>等方面进行比较</w:t>
            </w:r>
            <w:r>
              <w:rPr>
                <w:rFonts w:hint="eastAsia" w:ascii="宋体" w:hAnsi="宋体"/>
                <w:color w:val="auto"/>
              </w:rPr>
              <w:t>计</w:t>
            </w:r>
            <w:r>
              <w:rPr>
                <w:rFonts w:hint="eastAsia" w:ascii="宋体" w:hAnsi="宋体"/>
                <w:color w:val="auto"/>
                <w:lang w:val="en-US" w:eastAsia="zh-CN"/>
              </w:rPr>
              <w:t>6</w:t>
            </w:r>
            <w:r>
              <w:rPr>
                <w:rFonts w:hint="eastAsia" w:ascii="宋体" w:hAnsi="宋体" w:cs="宋体"/>
                <w:color w:val="000000"/>
                <w:kern w:val="0"/>
                <w:szCs w:val="24"/>
                <w:lang w:val="zh-CN"/>
              </w:rPr>
              <w:t>-1分，没有履约能力的不计分</w:t>
            </w:r>
            <w:r>
              <w:rPr>
                <w:rFonts w:hint="eastAsia" w:ascii="宋体"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92" w:type="dxa"/>
            <w:noWrap w:val="0"/>
            <w:vAlign w:val="center"/>
          </w:tcPr>
          <w:p>
            <w:pPr>
              <w:spacing w:line="460" w:lineRule="exact"/>
              <w:rPr>
                <w:rFonts w:ascii="宋体" w:hAnsi="宋体" w:cs="宋体"/>
                <w:color w:val="000000"/>
                <w:kern w:val="0"/>
                <w:szCs w:val="24"/>
              </w:rPr>
            </w:pPr>
            <w:r>
              <w:rPr>
                <w:rFonts w:hint="eastAsia" w:ascii="宋体" w:hAnsi="宋体" w:cs="宋体"/>
                <w:color w:val="000000"/>
                <w:kern w:val="0"/>
                <w:szCs w:val="24"/>
              </w:rPr>
              <w:t>售后</w:t>
            </w:r>
          </w:p>
          <w:p>
            <w:pPr>
              <w:spacing w:line="460" w:lineRule="exact"/>
              <w:rPr>
                <w:rFonts w:hint="eastAsia" w:ascii="宋体" w:hAnsi="宋体" w:cs="宋体"/>
                <w:color w:val="000000"/>
                <w:kern w:val="0"/>
                <w:szCs w:val="24"/>
              </w:rPr>
            </w:pPr>
            <w:r>
              <w:rPr>
                <w:rFonts w:hint="eastAsia" w:ascii="宋体" w:hAnsi="宋体" w:cs="宋体"/>
                <w:color w:val="000000"/>
                <w:kern w:val="0"/>
                <w:szCs w:val="24"/>
              </w:rPr>
              <w:t>服务</w:t>
            </w:r>
          </w:p>
          <w:p>
            <w:pPr>
              <w:spacing w:line="460" w:lineRule="exact"/>
              <w:rPr>
                <w:rFonts w:ascii="宋体" w:hAnsi="宋体" w:cs="宋体"/>
                <w:color w:val="000000"/>
                <w:kern w:val="0"/>
                <w:szCs w:val="24"/>
              </w:rPr>
            </w:pPr>
            <w:r>
              <w:rPr>
                <w:rFonts w:hint="eastAsia" w:ascii="宋体" w:hAnsi="宋体" w:cs="宋体"/>
                <w:color w:val="000000"/>
                <w:kern w:val="0"/>
                <w:szCs w:val="24"/>
              </w:rPr>
              <w:t>方案</w:t>
            </w:r>
          </w:p>
        </w:tc>
        <w:tc>
          <w:tcPr>
            <w:tcW w:w="992" w:type="dxa"/>
            <w:noWrap w:val="0"/>
            <w:vAlign w:val="center"/>
          </w:tcPr>
          <w:p>
            <w:pPr>
              <w:spacing w:line="460" w:lineRule="exact"/>
              <w:jc w:val="center"/>
              <w:rPr>
                <w:rFonts w:ascii="宋体" w:hAnsi="宋体" w:cs="宋体"/>
                <w:color w:val="000000"/>
                <w:kern w:val="0"/>
                <w:szCs w:val="24"/>
              </w:rPr>
            </w:pPr>
            <w:r>
              <w:rPr>
                <w:rFonts w:hint="eastAsia" w:ascii="宋体" w:hAnsi="宋体" w:cs="宋体"/>
                <w:color w:val="000000"/>
                <w:kern w:val="0"/>
                <w:szCs w:val="24"/>
                <w:lang w:val="en-US" w:eastAsia="zh-CN"/>
              </w:rPr>
              <w:t>6</w:t>
            </w:r>
            <w:r>
              <w:rPr>
                <w:rFonts w:hint="eastAsia" w:ascii="宋体" w:hAnsi="宋体" w:cs="宋体"/>
                <w:color w:val="000000"/>
                <w:kern w:val="0"/>
                <w:szCs w:val="24"/>
              </w:rPr>
              <w:t>分</w:t>
            </w:r>
          </w:p>
        </w:tc>
        <w:tc>
          <w:tcPr>
            <w:tcW w:w="7541" w:type="dxa"/>
            <w:noWrap w:val="0"/>
            <w:vAlign w:val="center"/>
          </w:tcPr>
          <w:p>
            <w:pPr>
              <w:spacing w:line="360" w:lineRule="auto"/>
              <w:rPr>
                <w:rFonts w:ascii="宋体" w:hAnsi="宋体"/>
              </w:rPr>
            </w:pPr>
            <w:r>
              <w:rPr>
                <w:rFonts w:hint="eastAsia" w:ascii="宋体" w:hAnsi="宋体" w:cs="宋体"/>
                <w:color w:val="000000"/>
                <w:kern w:val="0"/>
                <w:szCs w:val="24"/>
              </w:rPr>
              <w:t>售后服务方案：售后服务网点的设定、拟投入售后服务人员配置情况、日常维护、</w:t>
            </w:r>
            <w:r>
              <w:rPr>
                <w:rFonts w:hint="eastAsia" w:ascii="宋体" w:hAnsi="宋体"/>
              </w:rPr>
              <w:t>项目交付用户后出现故障响应时间及措施、备品备件计划，质量保证范围。</w:t>
            </w:r>
          </w:p>
          <w:p>
            <w:pPr>
              <w:spacing w:line="360" w:lineRule="auto"/>
              <w:rPr>
                <w:rFonts w:ascii="宋体" w:hAnsi="宋体"/>
              </w:rPr>
            </w:pPr>
            <w:r>
              <w:rPr>
                <w:rFonts w:hint="eastAsia" w:ascii="宋体" w:hAnsi="宋体" w:cs="宋体"/>
                <w:color w:val="000000"/>
                <w:kern w:val="0"/>
                <w:szCs w:val="24"/>
              </w:rPr>
              <w:t>①售后服务方案内容具体、完整、详细、全面的计</w:t>
            </w:r>
            <w:r>
              <w:rPr>
                <w:rFonts w:hint="eastAsia" w:ascii="宋体" w:hAnsi="宋体"/>
                <w:lang w:val="en-US" w:eastAsia="zh-CN"/>
              </w:rPr>
              <w:t>6</w:t>
            </w:r>
            <w:r>
              <w:rPr>
                <w:rFonts w:hint="eastAsia" w:ascii="宋体" w:hAnsi="宋体"/>
              </w:rPr>
              <w:t>-3分；</w:t>
            </w:r>
          </w:p>
          <w:p>
            <w:pPr>
              <w:spacing w:line="360" w:lineRule="auto"/>
              <w:rPr>
                <w:rFonts w:ascii="宋体" w:hAnsi="宋体"/>
              </w:rPr>
            </w:pPr>
            <w:r>
              <w:rPr>
                <w:rFonts w:hint="eastAsia" w:ascii="宋体" w:hAnsi="宋体"/>
              </w:rPr>
              <w:t>②售后服务方案内容</w:t>
            </w:r>
            <w:r>
              <w:rPr>
                <w:rFonts w:hint="eastAsia" w:ascii="宋体" w:hAnsi="宋体" w:cs="宋体"/>
                <w:color w:val="000000"/>
                <w:kern w:val="0"/>
                <w:szCs w:val="24"/>
              </w:rPr>
              <w:t>欠缺、薄弱的计</w:t>
            </w:r>
            <w:r>
              <w:rPr>
                <w:rFonts w:hint="eastAsia" w:ascii="宋体" w:hAnsi="宋体"/>
              </w:rPr>
              <w:t>3-1分；</w:t>
            </w:r>
          </w:p>
          <w:p>
            <w:pPr>
              <w:spacing w:line="360" w:lineRule="auto"/>
              <w:rPr>
                <w:rFonts w:ascii="宋体" w:hAnsi="宋体"/>
              </w:rPr>
            </w:pPr>
            <w:r>
              <w:rPr>
                <w:rFonts w:hint="eastAsia" w:ascii="宋体" w:hAnsi="宋体"/>
              </w:rPr>
              <w:t>③未提供</w:t>
            </w:r>
            <w:r>
              <w:rPr>
                <w:rFonts w:hint="eastAsia" w:ascii="宋体" w:hAnsi="宋体" w:cs="宋体"/>
                <w:color w:val="000000"/>
                <w:kern w:val="0"/>
                <w:szCs w:val="24"/>
              </w:rPr>
              <w:t>售后服务方案</w:t>
            </w:r>
            <w:r>
              <w:rPr>
                <w:rFonts w:hint="eastAsia" w:ascii="宋体" w:hAnsi="宋体"/>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92" w:type="dxa"/>
            <w:noWrap w:val="0"/>
            <w:vAlign w:val="center"/>
          </w:tcPr>
          <w:p>
            <w:pPr>
              <w:spacing w:line="460" w:lineRule="exact"/>
              <w:rPr>
                <w:rFonts w:hint="eastAsia" w:ascii="宋体" w:hAnsi="宋体" w:cs="宋体"/>
                <w:color w:val="000000"/>
                <w:kern w:val="0"/>
                <w:szCs w:val="24"/>
              </w:rPr>
            </w:pPr>
            <w:r>
              <w:rPr>
                <w:rFonts w:hint="eastAsia" w:ascii="宋体" w:hAnsi="宋体" w:cs="宋体"/>
                <w:color w:val="000000"/>
                <w:kern w:val="0"/>
                <w:szCs w:val="24"/>
              </w:rPr>
              <w:t>培训</w:t>
            </w:r>
          </w:p>
          <w:p>
            <w:pPr>
              <w:spacing w:line="460" w:lineRule="exact"/>
              <w:rPr>
                <w:rFonts w:hint="eastAsia" w:ascii="宋体" w:hAnsi="宋体" w:cs="宋体"/>
                <w:color w:val="000000"/>
                <w:kern w:val="0"/>
                <w:szCs w:val="24"/>
              </w:rPr>
            </w:pPr>
            <w:r>
              <w:rPr>
                <w:rFonts w:hint="eastAsia" w:ascii="宋体" w:hAnsi="宋体" w:cs="宋体"/>
                <w:color w:val="000000"/>
                <w:kern w:val="0"/>
                <w:szCs w:val="24"/>
              </w:rPr>
              <w:t>方案</w:t>
            </w:r>
          </w:p>
        </w:tc>
        <w:tc>
          <w:tcPr>
            <w:tcW w:w="992" w:type="dxa"/>
            <w:noWrap w:val="0"/>
            <w:vAlign w:val="center"/>
          </w:tcPr>
          <w:p>
            <w:pPr>
              <w:spacing w:line="460" w:lineRule="exact"/>
              <w:jc w:val="center"/>
              <w:rPr>
                <w:rFonts w:hint="eastAsia" w:ascii="宋体" w:hAnsi="宋体" w:cs="宋体"/>
                <w:color w:val="000000"/>
                <w:kern w:val="0"/>
                <w:szCs w:val="24"/>
              </w:rPr>
            </w:pPr>
            <w:r>
              <w:rPr>
                <w:rFonts w:hint="eastAsia" w:ascii="宋体" w:hAnsi="宋体" w:cs="宋体"/>
                <w:color w:val="000000"/>
                <w:kern w:val="0"/>
                <w:szCs w:val="24"/>
                <w:lang w:val="en-US" w:eastAsia="zh-CN"/>
              </w:rPr>
              <w:t>6</w:t>
            </w:r>
            <w:r>
              <w:rPr>
                <w:rFonts w:hint="eastAsia" w:ascii="宋体" w:hAnsi="宋体" w:cs="宋体"/>
                <w:color w:val="000000"/>
                <w:kern w:val="0"/>
                <w:szCs w:val="24"/>
              </w:rPr>
              <w:t>分</w:t>
            </w:r>
          </w:p>
        </w:tc>
        <w:tc>
          <w:tcPr>
            <w:tcW w:w="7541" w:type="dxa"/>
            <w:noWrap w:val="0"/>
            <w:vAlign w:val="center"/>
          </w:tcPr>
          <w:p>
            <w:pPr>
              <w:spacing w:line="360" w:lineRule="auto"/>
              <w:rPr>
                <w:rFonts w:ascii="宋体" w:hAnsi="宋体"/>
              </w:rPr>
            </w:pPr>
            <w:r>
              <w:rPr>
                <w:rFonts w:hint="eastAsia" w:ascii="宋体" w:hAnsi="宋体"/>
              </w:rPr>
              <w:t>培训方案：培训方式、时间、地点、人员、</w:t>
            </w:r>
            <w:r>
              <w:rPr>
                <w:rFonts w:hint="eastAsia" w:ascii="宋体" w:hAnsi="宋体"/>
                <w:szCs w:val="24"/>
              </w:rPr>
              <w:t>培训内容</w:t>
            </w:r>
            <w:r>
              <w:rPr>
                <w:rFonts w:hint="eastAsia" w:ascii="宋体" w:hAnsi="宋体"/>
              </w:rPr>
              <w:t>。</w:t>
            </w:r>
          </w:p>
          <w:p>
            <w:pPr>
              <w:spacing w:line="360" w:lineRule="auto"/>
              <w:rPr>
                <w:rFonts w:ascii="宋体" w:hAnsi="宋体"/>
              </w:rPr>
            </w:pPr>
            <w:r>
              <w:rPr>
                <w:rFonts w:hint="eastAsia" w:ascii="宋体" w:hAnsi="宋体" w:cs="宋体"/>
                <w:color w:val="000000"/>
                <w:kern w:val="0"/>
                <w:szCs w:val="24"/>
              </w:rPr>
              <w:t>①</w:t>
            </w:r>
            <w:r>
              <w:rPr>
                <w:rFonts w:hint="eastAsia" w:ascii="宋体" w:hAnsi="宋体"/>
              </w:rPr>
              <w:t>培训方案</w:t>
            </w:r>
            <w:r>
              <w:rPr>
                <w:rFonts w:hint="eastAsia" w:ascii="宋体" w:hAnsi="宋体" w:cs="宋体"/>
                <w:color w:val="000000"/>
                <w:kern w:val="0"/>
                <w:szCs w:val="24"/>
              </w:rPr>
              <w:t>内容具体、完整、详细、全面、可行的计</w:t>
            </w:r>
            <w:r>
              <w:rPr>
                <w:rFonts w:hint="eastAsia" w:ascii="宋体" w:hAnsi="宋体" w:cs="宋体"/>
                <w:color w:val="000000"/>
                <w:kern w:val="0"/>
                <w:szCs w:val="24"/>
                <w:lang w:val="en-US" w:eastAsia="zh-CN"/>
              </w:rPr>
              <w:t>6</w:t>
            </w:r>
            <w:r>
              <w:rPr>
                <w:rFonts w:hint="eastAsia" w:ascii="宋体" w:hAnsi="宋体"/>
              </w:rPr>
              <w:t>-3分；</w:t>
            </w:r>
          </w:p>
          <w:p>
            <w:pPr>
              <w:spacing w:line="360" w:lineRule="auto"/>
              <w:rPr>
                <w:rFonts w:ascii="宋体" w:hAnsi="宋体"/>
              </w:rPr>
            </w:pPr>
            <w:r>
              <w:rPr>
                <w:rFonts w:hint="eastAsia" w:ascii="宋体" w:hAnsi="宋体"/>
              </w:rPr>
              <w:t>②培训方案内容</w:t>
            </w:r>
            <w:r>
              <w:rPr>
                <w:rFonts w:hint="eastAsia" w:ascii="宋体" w:hAnsi="宋体" w:cs="宋体"/>
                <w:color w:val="000000"/>
                <w:kern w:val="0"/>
                <w:szCs w:val="24"/>
              </w:rPr>
              <w:t>欠缺、薄弱的计</w:t>
            </w:r>
            <w:r>
              <w:rPr>
                <w:rFonts w:hint="eastAsia" w:ascii="宋体" w:hAnsi="宋体"/>
              </w:rPr>
              <w:t>3-1分；</w:t>
            </w:r>
          </w:p>
          <w:p>
            <w:pPr>
              <w:spacing w:line="360" w:lineRule="auto"/>
              <w:rPr>
                <w:rFonts w:hint="eastAsia" w:ascii="宋体" w:hAnsi="宋体" w:cs="宋体"/>
                <w:color w:val="000000"/>
                <w:kern w:val="0"/>
                <w:szCs w:val="24"/>
              </w:rPr>
            </w:pPr>
            <w:r>
              <w:rPr>
                <w:rFonts w:hint="eastAsia" w:ascii="宋体" w:hAnsi="宋体"/>
              </w:rPr>
              <w:t>③未提供</w:t>
            </w:r>
            <w:r>
              <w:rPr>
                <w:rFonts w:hint="eastAsia" w:ascii="宋体" w:hAnsi="宋体" w:cs="宋体"/>
                <w:color w:val="000000"/>
                <w:kern w:val="0"/>
                <w:szCs w:val="24"/>
              </w:rPr>
              <w:t>培训服务方案</w:t>
            </w:r>
            <w:r>
              <w:rPr>
                <w:rFonts w:hint="eastAsia" w:ascii="宋体" w:hAnsi="宋体"/>
              </w:rPr>
              <w:t>不得分。</w:t>
            </w:r>
          </w:p>
        </w:tc>
      </w:tr>
    </w:tbl>
    <w:p>
      <w:pPr>
        <w:pStyle w:val="92"/>
        <w:outlineLvl w:val="3"/>
        <w:rPr>
          <w:rFonts w:hint="eastAsia" w:ascii="宋体" w:hAnsi="宋体" w:eastAsia="宋体" w:cs="宋体"/>
          <w:color w:val="auto"/>
          <w:sz w:val="24"/>
          <w:szCs w:val="24"/>
          <w:highlight w:val="none"/>
        </w:rPr>
      </w:pPr>
    </w:p>
    <w:p>
      <w:pPr>
        <w:pStyle w:val="92"/>
        <w:outlineLvl w:val="3"/>
        <w:rPr>
          <w:rFonts w:hint="eastAsia" w:ascii="宋体" w:hAnsi="宋体" w:eastAsia="宋体" w:cs="宋体"/>
          <w:color w:val="auto"/>
          <w:sz w:val="24"/>
          <w:szCs w:val="24"/>
          <w:highlight w:val="none"/>
        </w:rPr>
      </w:pPr>
    </w:p>
    <w:p>
      <w:pPr>
        <w:pStyle w:val="92"/>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4．推荐中标候选人</w:t>
      </w:r>
      <w:bookmarkEnd w:id="79"/>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为排名第一的中标候选人。</w:t>
      </w:r>
    </w:p>
    <w:p>
      <w:pPr>
        <w:pStyle w:val="92"/>
        <w:outlineLvl w:val="3"/>
        <w:rPr>
          <w:rFonts w:hint="eastAsia" w:ascii="宋体" w:hAnsi="宋体" w:eastAsia="宋体" w:cs="宋体"/>
          <w:color w:val="auto"/>
          <w:sz w:val="24"/>
          <w:szCs w:val="24"/>
          <w:highlight w:val="none"/>
        </w:rPr>
      </w:pPr>
      <w:bookmarkStart w:id="80" w:name="_Toc4809"/>
      <w:r>
        <w:rPr>
          <w:rFonts w:hint="eastAsia" w:ascii="宋体" w:hAnsi="宋体" w:eastAsia="宋体" w:cs="宋体"/>
          <w:color w:val="auto"/>
          <w:sz w:val="24"/>
          <w:szCs w:val="24"/>
          <w:highlight w:val="none"/>
        </w:rPr>
        <w:t>5．编写评审报告</w:t>
      </w:r>
      <w:bookmarkEnd w:id="80"/>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评审报告是评标委员会根据全体评标成员签字的原始评标记录和评标结果编写的报告，其主要内容包括：</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（1）招标公告刊登的媒体名称、开标日期和地点；</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 xml:space="preserve">投标人 </w:t>
      </w:r>
      <w:r>
        <w:rPr>
          <w:rFonts w:hint="eastAsia" w:ascii="宋体" w:hAnsi="宋体" w:eastAsia="宋体" w:cs="宋体"/>
          <w:color w:val="auto"/>
          <w:sz w:val="24"/>
          <w:szCs w:val="24"/>
          <w:highlight w:val="none"/>
        </w:rPr>
        <w:t>名单和评标委员会成员名单；</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（3）评标方法；</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（4）开标记录和评标情况及说明，包括投标无效</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名单及原因；</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（5）评标结果，确定的中标候选人名单或者经采购人委托直接确定的</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（6）其他需要说明的情况，包括评标过程中</w:t>
      </w:r>
      <w:r>
        <w:rPr>
          <w:rFonts w:hint="eastAsia" w:ascii="宋体" w:hAnsi="宋体" w:eastAsia="宋体" w:cs="宋体"/>
          <w:color w:val="auto"/>
          <w:sz w:val="24"/>
          <w:szCs w:val="24"/>
          <w:highlight w:val="none"/>
          <w:lang w:eastAsia="zh-CN"/>
        </w:rPr>
        <w:t xml:space="preserve">投标人 </w:t>
      </w:r>
      <w:r>
        <w:rPr>
          <w:rFonts w:hint="eastAsia" w:ascii="宋体" w:hAnsi="宋体" w:eastAsia="宋体" w:cs="宋体"/>
          <w:color w:val="auto"/>
          <w:sz w:val="24"/>
          <w:szCs w:val="24"/>
          <w:highlight w:val="none"/>
        </w:rPr>
        <w:t>根据评标委员会要求进行的澄清、说明或者补正，评标委员会成员的更换等。</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93"/>
        <w:spacing w:before="210" w:after="210"/>
        <w:ind w:firstLine="640"/>
        <w:outlineLvl w:val="2"/>
        <w:rPr>
          <w:rFonts w:hint="eastAsia" w:ascii="宋体" w:hAnsi="宋体" w:eastAsia="宋体" w:cs="宋体"/>
          <w:color w:val="auto"/>
          <w:sz w:val="24"/>
          <w:szCs w:val="24"/>
          <w:highlight w:val="none"/>
        </w:rPr>
      </w:pPr>
      <w:bookmarkStart w:id="81" w:name="_Toc30859"/>
      <w:r>
        <w:rPr>
          <w:rFonts w:hint="eastAsia" w:ascii="宋体" w:hAnsi="宋体" w:eastAsia="宋体" w:cs="宋体"/>
          <w:color w:val="auto"/>
          <w:sz w:val="24"/>
          <w:szCs w:val="24"/>
          <w:highlight w:val="none"/>
        </w:rPr>
        <w:t>（三）评标争议处理规则</w:t>
      </w:r>
      <w:bookmarkEnd w:id="81"/>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93"/>
        <w:spacing w:before="210" w:after="210"/>
        <w:ind w:firstLine="640"/>
        <w:outlineLvl w:val="2"/>
        <w:rPr>
          <w:rFonts w:hint="eastAsia" w:ascii="宋体" w:hAnsi="宋体" w:eastAsia="宋体" w:cs="宋体"/>
          <w:color w:val="auto"/>
          <w:sz w:val="24"/>
          <w:szCs w:val="24"/>
          <w:highlight w:val="none"/>
        </w:rPr>
      </w:pPr>
      <w:bookmarkStart w:id="82" w:name="_Toc2900"/>
      <w:r>
        <w:rPr>
          <w:rFonts w:hint="eastAsia" w:ascii="宋体" w:hAnsi="宋体" w:eastAsia="宋体" w:cs="宋体"/>
          <w:color w:val="auto"/>
          <w:sz w:val="24"/>
          <w:szCs w:val="24"/>
          <w:highlight w:val="none"/>
        </w:rPr>
        <w:t>（四）评审现场人员的保密责任</w:t>
      </w:r>
      <w:bookmarkEnd w:id="82"/>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93"/>
        <w:spacing w:before="210" w:after="210"/>
        <w:ind w:firstLine="640"/>
        <w:outlineLvl w:val="2"/>
        <w:rPr>
          <w:rFonts w:hint="eastAsia" w:ascii="宋体" w:hAnsi="宋体" w:eastAsia="宋体" w:cs="宋体"/>
          <w:color w:val="auto"/>
          <w:sz w:val="24"/>
          <w:szCs w:val="24"/>
          <w:highlight w:val="none"/>
        </w:rPr>
      </w:pPr>
      <w:bookmarkStart w:id="83" w:name="_Toc20093"/>
      <w:r>
        <w:rPr>
          <w:rFonts w:hint="eastAsia" w:ascii="宋体" w:hAnsi="宋体" w:eastAsia="宋体" w:cs="宋体"/>
          <w:color w:val="auto"/>
          <w:sz w:val="24"/>
          <w:szCs w:val="24"/>
          <w:highlight w:val="none"/>
        </w:rPr>
        <w:t>（五）视同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串通投标的情形，其投标无效：</w:t>
      </w:r>
      <w:bookmarkEnd w:id="83"/>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1．不同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的投标文件由同一单位或者个人编制；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委托同一单位或者个人办理投标事宜；</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的投标文件载明的项目管理成员或者联系人员为同一人；</w:t>
      </w:r>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4．不同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的投标文件异常一致或者投标报价呈规律性差异。</w:t>
      </w:r>
    </w:p>
    <w:p>
      <w:pPr>
        <w:pStyle w:val="4"/>
        <w:rPr>
          <w:rFonts w:hint="eastAsia" w:ascii="宋体" w:hAnsi="宋体" w:eastAsia="宋体" w:cs="宋体"/>
          <w:color w:val="auto"/>
          <w:sz w:val="24"/>
          <w:szCs w:val="24"/>
          <w:highlight w:val="none"/>
        </w:rPr>
      </w:pPr>
      <w:bookmarkStart w:id="84" w:name="_Toc31588"/>
      <w:r>
        <w:rPr>
          <w:rFonts w:hint="eastAsia" w:ascii="宋体" w:hAnsi="宋体" w:eastAsia="宋体" w:cs="宋体"/>
          <w:color w:val="auto"/>
          <w:sz w:val="24"/>
          <w:szCs w:val="24"/>
          <w:highlight w:val="none"/>
        </w:rPr>
        <w:t>八、中标</w:t>
      </w:r>
      <w:bookmarkEnd w:id="84"/>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1．采购代理机构在评标工作结束后2个工作日内将评审报告送采购人。</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5个工作日内未按评标报告推荐的中标候选人顺序确定中标人，又不能说明合法理由的，视同按评标报告推荐的顺序确定排名第一的中标候选人为中标人。</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3．采购代理机构将在</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确定之日起2个工作日内，在【</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"http://www.ccgp-shaanxi.gov.cn"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陕西省政府采购网</w:t>
      </w:r>
      <w:r>
        <w:rPr>
          <w:rStyle w:val="32"/>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"http://www.ccgp-shaanxi.gov.cn/"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http://www.ccgp-shaanxi.gov.cn/</w:t>
      </w:r>
      <w:r>
        <w:rPr>
          <w:rStyle w:val="32"/>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）上公布中标结果。中标公告期限为1个工作日。</w:t>
      </w:r>
    </w:p>
    <w:p>
      <w:pPr>
        <w:spacing w:line="560" w:lineRule="exact"/>
        <w:ind w:firstLine="480" w:firstLineChars="200"/>
        <w:jc w:val="both"/>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b/>
          <w:bCs/>
          <w:color w:val="auto"/>
          <w:sz w:val="24"/>
          <w:szCs w:val="24"/>
          <w:highlight w:val="none"/>
        </w:rPr>
        <w:t>在公告中标结果的同时，代理机构在线向</w:t>
      </w:r>
      <w:r>
        <w:rPr>
          <w:rFonts w:hint="eastAsia" w:ascii="宋体" w:hAnsi="宋体" w:eastAsia="宋体" w:cs="宋体"/>
          <w:b/>
          <w:bCs/>
          <w:color w:val="auto"/>
          <w:sz w:val="24"/>
          <w:szCs w:val="24"/>
          <w:highlight w:val="none"/>
          <w:lang w:eastAsia="zh-CN"/>
        </w:rPr>
        <w:t>中标人</w:t>
      </w:r>
      <w:r>
        <w:rPr>
          <w:rFonts w:hint="eastAsia" w:ascii="宋体" w:hAnsi="宋体" w:eastAsia="宋体" w:cs="宋体"/>
          <w:b/>
          <w:bCs/>
          <w:color w:val="auto"/>
          <w:sz w:val="24"/>
          <w:szCs w:val="24"/>
          <w:highlight w:val="none"/>
        </w:rPr>
        <w:t>发出中标通知书，</w:t>
      </w:r>
      <w:r>
        <w:rPr>
          <w:rFonts w:hint="eastAsia" w:ascii="宋体" w:hAnsi="宋体" w:eastAsia="宋体" w:cs="宋体"/>
          <w:b/>
          <w:bCs/>
          <w:color w:val="auto"/>
          <w:sz w:val="24"/>
          <w:szCs w:val="24"/>
          <w:highlight w:val="none"/>
          <w:lang w:eastAsia="zh-CN"/>
        </w:rPr>
        <w:t>投标人</w:t>
      </w:r>
      <w:r>
        <w:rPr>
          <w:rFonts w:hint="eastAsia" w:ascii="宋体" w:hAnsi="宋体" w:eastAsia="宋体" w:cs="宋体"/>
          <w:b/>
          <w:bCs/>
          <w:color w:val="auto"/>
          <w:sz w:val="24"/>
          <w:szCs w:val="24"/>
          <w:highlight w:val="none"/>
        </w:rPr>
        <w:t>可登录【全国公共资源交易平台（陕西省•西安市）】网站〖首页〉电子交易平台〉企业端〗后，在〖我的项目/项目流程〗模块中点击下载“中标通知书”。</w:t>
      </w:r>
    </w:p>
    <w:p>
      <w:pPr>
        <w:spacing w:line="560" w:lineRule="exact"/>
        <w:ind w:firstLine="480" w:firstLineChars="200"/>
        <w:jc w:val="both"/>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中标人</w:t>
      </w:r>
      <w:r>
        <w:rPr>
          <w:rFonts w:hint="eastAsia" w:ascii="宋体" w:hAnsi="宋体" w:eastAsia="宋体" w:cs="宋体"/>
          <w:b/>
          <w:bCs/>
          <w:color w:val="auto"/>
          <w:sz w:val="24"/>
          <w:szCs w:val="24"/>
          <w:highlight w:val="none"/>
        </w:rPr>
        <w:t>下载中标通知书后，向采购代理机构提供一正两副纸质投标文件</w:t>
      </w:r>
      <w:r>
        <w:rPr>
          <w:rFonts w:hint="eastAsia" w:ascii="宋体" w:hAnsi="宋体" w:eastAsia="宋体" w:cs="宋体"/>
          <w:b/>
          <w:bCs/>
          <w:color w:val="auto"/>
          <w:sz w:val="24"/>
          <w:szCs w:val="24"/>
          <w:highlight w:val="none"/>
          <w:lang w:eastAsia="zh-CN"/>
        </w:rPr>
        <w:t>及</w:t>
      </w:r>
      <w:r>
        <w:rPr>
          <w:rFonts w:hint="eastAsia" w:ascii="宋体" w:hAnsi="宋体" w:eastAsia="宋体" w:cs="宋体"/>
          <w:b/>
          <w:bCs/>
          <w:color w:val="auto"/>
          <w:sz w:val="24"/>
          <w:szCs w:val="24"/>
          <w:highlight w:val="none"/>
        </w:rPr>
        <w:t>电子投标文件一份（U盘或移动硬盘；电子投标文件为Word版本和PDF版本，PDF文件为签字、盖章的完整正本扫描件）用于备案及档案保存。</w:t>
      </w:r>
    </w:p>
    <w:p>
      <w:pPr>
        <w:spacing w:line="560" w:lineRule="exact"/>
        <w:ind w:firstLine="480" w:firstLineChars="20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5．采用综合评分法评审的，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可登录【全国公共资源交易中心（陕西省·西安市）】网站〖首页·〉电子交易平台·〉企业端〗，登录后切换到〖我的项目〗模块，依次点选〖项目流程·〉项目管理·〉评标结果查看〗，查看本单位的最终得分与排序。</w:t>
      </w:r>
    </w:p>
    <w:p>
      <w:pPr>
        <w:spacing w:line="560" w:lineRule="exact"/>
        <w:ind w:firstLine="480" w:firstLineChars="200"/>
        <w:jc w:val="both"/>
        <w:outlineLvl w:val="2"/>
        <w:rPr>
          <w:rFonts w:hint="eastAsia" w:ascii="宋体" w:hAnsi="宋体" w:eastAsia="宋体" w:cs="宋体"/>
          <w:color w:val="auto"/>
          <w:sz w:val="24"/>
          <w:szCs w:val="24"/>
          <w:highlight w:val="none"/>
        </w:rPr>
      </w:pPr>
      <w:bookmarkStart w:id="85" w:name="_Toc5823"/>
      <w:r>
        <w:rPr>
          <w:rFonts w:hint="eastAsia" w:ascii="宋体" w:hAnsi="宋体" w:eastAsia="宋体" w:cs="宋体"/>
          <w:color w:val="auto"/>
          <w:sz w:val="24"/>
          <w:szCs w:val="24"/>
          <w:highlight w:val="none"/>
        </w:rPr>
        <w:t>6．采购代理机构按照相关规定将评审报告送监管机构备案。</w:t>
      </w:r>
      <w:bookmarkEnd w:id="85"/>
    </w:p>
    <w:p>
      <w:pPr>
        <w:pStyle w:val="4"/>
        <w:rPr>
          <w:rFonts w:hint="eastAsia" w:ascii="宋体" w:hAnsi="宋体" w:eastAsia="宋体" w:cs="宋体"/>
          <w:color w:val="auto"/>
          <w:sz w:val="24"/>
          <w:szCs w:val="24"/>
          <w:highlight w:val="none"/>
        </w:rPr>
      </w:pPr>
      <w:bookmarkStart w:id="86" w:name="_Toc3816"/>
      <w:r>
        <w:rPr>
          <w:rFonts w:hint="eastAsia" w:ascii="宋体" w:hAnsi="宋体" w:eastAsia="宋体" w:cs="宋体"/>
          <w:color w:val="auto"/>
          <w:sz w:val="24"/>
          <w:szCs w:val="24"/>
          <w:highlight w:val="none"/>
        </w:rPr>
        <w:t>九、合同签订、履行及验收</w:t>
      </w:r>
      <w:bookmarkEnd w:id="86"/>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招标文件、投标文件、澄清、补充合同等为政府采购合同的组成部分，具有同等法律效力。</w:t>
      </w:r>
    </w:p>
    <w:p>
      <w:pPr>
        <w:pStyle w:val="93"/>
        <w:spacing w:before="210" w:after="210"/>
        <w:ind w:firstLine="640"/>
        <w:outlineLvl w:val="2"/>
        <w:rPr>
          <w:rFonts w:hint="eastAsia" w:ascii="宋体" w:hAnsi="宋体" w:eastAsia="宋体" w:cs="宋体"/>
          <w:color w:val="auto"/>
          <w:sz w:val="24"/>
          <w:szCs w:val="24"/>
          <w:highlight w:val="none"/>
        </w:rPr>
      </w:pPr>
      <w:bookmarkStart w:id="87" w:name="_Toc30314"/>
      <w:r>
        <w:rPr>
          <w:rFonts w:hint="eastAsia" w:ascii="宋体" w:hAnsi="宋体" w:eastAsia="宋体" w:cs="宋体"/>
          <w:color w:val="auto"/>
          <w:sz w:val="24"/>
          <w:szCs w:val="24"/>
          <w:highlight w:val="none"/>
        </w:rPr>
        <w:t>（一）签订政府采购合同</w:t>
      </w:r>
      <w:bookmarkEnd w:id="87"/>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1．自中标通知书发出之日起30日内，采购人与</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应按招标文件和</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投标文件的约定，签订书面合同。</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拒绝与采购人签订合同的，采购人可以按照《</w:t>
      </w:r>
      <w:r>
        <w:rPr>
          <w:rFonts w:hint="eastAsia" w:ascii="宋体" w:hAnsi="宋体" w:eastAsia="宋体" w:cs="宋体"/>
          <w:color w:val="auto"/>
          <w:sz w:val="24"/>
          <w:szCs w:val="24"/>
          <w:highlight w:val="none"/>
          <w:lang w:eastAsia="zh-CN"/>
        </w:rPr>
        <w:t>中华人民共和国</w:t>
      </w:r>
      <w:r>
        <w:rPr>
          <w:rFonts w:hint="eastAsia" w:ascii="宋体" w:hAnsi="宋体" w:eastAsia="宋体" w:cs="宋体"/>
          <w:color w:val="auto"/>
          <w:sz w:val="24"/>
          <w:szCs w:val="24"/>
          <w:highlight w:val="none"/>
        </w:rPr>
        <w:t>政府采购法实施条例》第四十九条规定，确定下一候选人为</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，也可以重新开展政府采购活动。</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3．采购人不得向</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提出任何不合理的要求，作为签订合同的条件，不得与</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私下订立背离合同实质性内容的任何协议，所签订的合同不得对招标文件和</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投标文件作实质性修改。</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4．质疑或者投诉事项可能影响中标、成交结果的，采购人应当暂停签订合同，已经签订合同的，应当中止履行合同。</w:t>
      </w:r>
    </w:p>
    <w:p>
      <w:pPr>
        <w:pStyle w:val="93"/>
        <w:spacing w:before="210" w:after="210"/>
        <w:ind w:firstLine="640"/>
        <w:outlineLvl w:val="2"/>
        <w:rPr>
          <w:rFonts w:hint="eastAsia" w:ascii="宋体" w:hAnsi="宋体" w:eastAsia="宋体" w:cs="宋体"/>
          <w:color w:val="auto"/>
          <w:sz w:val="24"/>
          <w:szCs w:val="24"/>
          <w:highlight w:val="none"/>
        </w:rPr>
      </w:pPr>
      <w:bookmarkStart w:id="88" w:name="_Toc993"/>
      <w:r>
        <w:rPr>
          <w:rFonts w:hint="eastAsia" w:ascii="宋体" w:hAnsi="宋体" w:eastAsia="宋体" w:cs="宋体"/>
          <w:color w:val="auto"/>
          <w:sz w:val="24"/>
          <w:szCs w:val="24"/>
          <w:highlight w:val="none"/>
        </w:rPr>
        <w:t>（二）合同公告及备案</w:t>
      </w:r>
      <w:bookmarkEnd w:id="88"/>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1．采购人应当自政府采购合同签订之日起2个工作日内，在陕西省政府采购网对合同进行公示，但政府采购合同中涉及国家秘密、商业秘密的内容除外。</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2．采购人应自合同签订之日起7个工作日内将政府采购合同报送监管机构备案。</w:t>
      </w:r>
    </w:p>
    <w:p>
      <w:pPr>
        <w:pStyle w:val="93"/>
        <w:spacing w:before="210" w:after="210"/>
        <w:ind w:firstLine="640"/>
        <w:outlineLvl w:val="2"/>
        <w:rPr>
          <w:rFonts w:hint="eastAsia" w:ascii="宋体" w:hAnsi="宋体" w:eastAsia="宋体" w:cs="宋体"/>
          <w:color w:val="auto"/>
          <w:sz w:val="24"/>
          <w:szCs w:val="24"/>
          <w:highlight w:val="none"/>
        </w:rPr>
      </w:pPr>
      <w:bookmarkStart w:id="89" w:name="_Toc13241"/>
      <w:r>
        <w:rPr>
          <w:rFonts w:hint="eastAsia" w:ascii="宋体" w:hAnsi="宋体" w:eastAsia="宋体" w:cs="宋体"/>
          <w:color w:val="auto"/>
          <w:sz w:val="24"/>
          <w:szCs w:val="24"/>
          <w:highlight w:val="none"/>
        </w:rPr>
        <w:t>（三）履行合同</w:t>
      </w:r>
      <w:bookmarkEnd w:id="89"/>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1．合同一经签订，双方应严格履行合同规定的义务。</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2．在合同履行过程中，如发生合同纠纷，合同双方应按照《中华人民共和国民法典》及合同条款的有关规定进行处理。</w:t>
      </w:r>
    </w:p>
    <w:p>
      <w:pPr>
        <w:pStyle w:val="93"/>
        <w:spacing w:before="210" w:after="210"/>
        <w:ind w:firstLine="640"/>
        <w:outlineLvl w:val="2"/>
        <w:rPr>
          <w:rFonts w:hint="eastAsia" w:ascii="宋体" w:hAnsi="宋体" w:eastAsia="宋体" w:cs="宋体"/>
          <w:color w:val="auto"/>
          <w:sz w:val="24"/>
          <w:szCs w:val="24"/>
          <w:highlight w:val="none"/>
        </w:rPr>
      </w:pPr>
      <w:bookmarkStart w:id="90" w:name="_Toc28391"/>
      <w:r>
        <w:rPr>
          <w:rFonts w:hint="eastAsia" w:ascii="宋体" w:hAnsi="宋体" w:eastAsia="宋体" w:cs="宋体"/>
          <w:color w:val="auto"/>
          <w:sz w:val="24"/>
          <w:szCs w:val="24"/>
          <w:highlight w:val="none"/>
        </w:rPr>
        <w:t>（四）验收或考核</w:t>
      </w:r>
      <w:bookmarkEnd w:id="90"/>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1．采购人严格按照国家相关法律法规的要求及招标文件的要求组织验收或考核。</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2．采购人按《关于促进政府采购公平竞争优化营商环境的通知》（财库〔2019〕38号）、《保障中小企业款项支付条例》（国务院令第728号）等规定及采购合同的约定进行支付合同款项。</w:t>
      </w:r>
    </w:p>
    <w:p>
      <w:pPr>
        <w:pStyle w:val="4"/>
        <w:rPr>
          <w:rFonts w:hint="eastAsia" w:ascii="宋体" w:hAnsi="宋体" w:eastAsia="宋体" w:cs="宋体"/>
          <w:color w:val="auto"/>
          <w:sz w:val="24"/>
          <w:szCs w:val="24"/>
          <w:highlight w:val="none"/>
        </w:rPr>
      </w:pPr>
      <w:bookmarkStart w:id="91" w:name="_Toc8941"/>
      <w:r>
        <w:rPr>
          <w:rFonts w:hint="eastAsia" w:ascii="宋体" w:hAnsi="宋体" w:eastAsia="宋体" w:cs="宋体"/>
          <w:color w:val="auto"/>
          <w:sz w:val="24"/>
          <w:szCs w:val="24"/>
          <w:highlight w:val="none"/>
        </w:rPr>
        <w:t>十、废标及重新招标</w:t>
      </w:r>
      <w:bookmarkEnd w:id="91"/>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2．根据《</w:t>
      </w:r>
      <w:r>
        <w:rPr>
          <w:rFonts w:hint="eastAsia" w:ascii="宋体" w:hAnsi="宋体" w:eastAsia="宋体" w:cs="宋体"/>
          <w:color w:val="auto"/>
          <w:sz w:val="24"/>
          <w:szCs w:val="24"/>
          <w:highlight w:val="none"/>
          <w:lang w:eastAsia="zh-CN"/>
        </w:rPr>
        <w:t>中华人民共和国</w:t>
      </w:r>
      <w:r>
        <w:rPr>
          <w:rFonts w:hint="eastAsia" w:ascii="宋体" w:hAnsi="宋体" w:eastAsia="宋体" w:cs="宋体"/>
          <w:color w:val="auto"/>
          <w:sz w:val="24"/>
          <w:szCs w:val="24"/>
          <w:highlight w:val="none"/>
        </w:rPr>
        <w:t>政府采购法》第三十六条规定，在招标采购中，出现下列情形之一的，本项目按废标处理：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（1）出现影响采购公正的违法、违规行为的；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的报价均超过了采购预算，采购人不能支付的；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（3）因重大变故，采购任务取消的。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废标后，除采购任务取消外，本项目将重新组织招标。</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3．在递交投标文件阶段、密封性等形式检查阶段、资格审查阶段或评标委员会评标阶段，当出现有效</w:t>
      </w:r>
      <w:r>
        <w:rPr>
          <w:rFonts w:hint="eastAsia" w:ascii="宋体" w:hAnsi="宋体" w:eastAsia="宋体" w:cs="宋体"/>
          <w:color w:val="auto"/>
          <w:sz w:val="24"/>
          <w:szCs w:val="24"/>
          <w:highlight w:val="none"/>
          <w:lang w:eastAsia="zh-CN"/>
        </w:rPr>
        <w:t xml:space="preserve">投标人 </w:t>
      </w:r>
      <w:r>
        <w:rPr>
          <w:rFonts w:hint="eastAsia" w:ascii="宋体" w:hAnsi="宋体" w:eastAsia="宋体" w:cs="宋体"/>
          <w:color w:val="auto"/>
          <w:sz w:val="24"/>
          <w:szCs w:val="24"/>
          <w:highlight w:val="none"/>
        </w:rPr>
        <w:t>不足3家时，本项目将依据西安市财政局《关于进一步规范市级预算单位变更政府采购方式审批管理的通知》（市财发〔2017〕186号）的有关规定，按政府采购监管部门事前批准的采购方式继续进行。</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4．招标文件未明确的其他事项，按《</w:t>
      </w:r>
      <w:r>
        <w:rPr>
          <w:rFonts w:hint="eastAsia" w:ascii="宋体" w:hAnsi="宋体" w:eastAsia="宋体" w:cs="宋体"/>
          <w:color w:val="auto"/>
          <w:sz w:val="24"/>
          <w:szCs w:val="24"/>
          <w:highlight w:val="none"/>
          <w:lang w:eastAsia="zh-CN"/>
        </w:rPr>
        <w:t>中华人民共和国</w:t>
      </w:r>
      <w:r>
        <w:rPr>
          <w:rFonts w:hint="eastAsia" w:ascii="宋体" w:hAnsi="宋体" w:eastAsia="宋体" w:cs="宋体"/>
          <w:color w:val="auto"/>
          <w:sz w:val="24"/>
          <w:szCs w:val="24"/>
          <w:highlight w:val="none"/>
        </w:rPr>
        <w:t>政府采购法》及其相关法律法规执行。</w:t>
      </w:r>
    </w:p>
    <w:p>
      <w:pPr>
        <w:rPr>
          <w:rFonts w:hint="eastAsia" w:ascii="宋体" w:hAnsi="宋体" w:eastAsia="宋体" w:cs="宋体"/>
          <w:color w:val="auto"/>
          <w:sz w:val="24"/>
          <w:szCs w:val="24"/>
          <w:highlight w:val="none"/>
        </w:rPr>
      </w:pPr>
      <w:bookmarkStart w:id="92" w:name="_Toc100219614"/>
      <w:r>
        <w:rPr>
          <w:rFonts w:hint="eastAsia" w:ascii="宋体" w:hAnsi="宋体" w:eastAsia="宋体" w:cs="宋体"/>
          <w:color w:val="auto"/>
          <w:sz w:val="24"/>
          <w:szCs w:val="24"/>
          <w:highlight w:val="none"/>
        </w:rPr>
        <w:br w:type="page"/>
      </w:r>
    </w:p>
    <w:p>
      <w:pPr>
        <w:pStyle w:val="3"/>
        <w:numPr>
          <w:ilvl w:val="0"/>
          <w:numId w:val="5"/>
        </w:numPr>
        <w:jc w:val="center"/>
        <w:outlineLvl w:val="9"/>
        <w:rPr>
          <w:rFonts w:hint="eastAsia" w:ascii="宋体" w:hAnsi="宋体" w:eastAsia="宋体" w:cs="宋体"/>
          <w:b/>
          <w:bCs/>
          <w:color w:val="auto"/>
          <w:highlight w:val="none"/>
        </w:rPr>
      </w:pPr>
      <w:bookmarkStart w:id="93" w:name="_Toc31046"/>
      <w:bookmarkStart w:id="94" w:name="_Toc17694"/>
      <w:r>
        <w:rPr>
          <w:rFonts w:hint="eastAsia" w:ascii="宋体" w:hAnsi="宋体" w:eastAsia="宋体" w:cs="宋体"/>
          <w:b/>
          <w:bCs/>
          <w:color w:val="auto"/>
          <w:highlight w:val="none"/>
        </w:rPr>
        <w:t xml:space="preserve"> 招标内容及要求</w:t>
      </w:r>
      <w:bookmarkEnd w:id="92"/>
      <w:bookmarkEnd w:id="93"/>
      <w:bookmarkEnd w:id="94"/>
      <w:bookmarkStart w:id="95" w:name="_Toc26024"/>
    </w:p>
    <w:p>
      <w:pPr>
        <w:numPr>
          <w:ilvl w:val="0"/>
          <w:numId w:val="0"/>
        </w:numPr>
        <w:pBdr>
          <w:bottom w:val="single" w:color="auto" w:sz="4" w:space="1"/>
        </w:pBdr>
        <w:spacing w:before="312" w:beforeLines="10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一、宫腔镜系统技术参数</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（一）、摄像主机与摄像头</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rPr>
        <w:tab/>
      </w:r>
      <w:r>
        <w:rPr>
          <w:rFonts w:hint="eastAsia" w:ascii="宋体" w:hAnsi="宋体" w:eastAsia="宋体" w:cs="宋体"/>
          <w:color w:val="auto"/>
          <w:sz w:val="24"/>
          <w:szCs w:val="24"/>
        </w:rPr>
        <w:t>摄像系统主机可兼容三晶片全高清摄像头，具备全高清图像处理性能，能够输出≥1920*1080P动态图像，水平分辨线≥1000线；</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rPr>
        <w:tab/>
      </w:r>
      <w:r>
        <w:rPr>
          <w:rFonts w:hint="eastAsia" w:ascii="宋体" w:hAnsi="宋体" w:eastAsia="宋体" w:cs="宋体"/>
          <w:color w:val="auto"/>
          <w:sz w:val="24"/>
          <w:szCs w:val="24"/>
        </w:rPr>
        <w:t>摄像系统主机具有静态和动态图像采集（内置USB静态储存装置）、图像水平翻转、图像垂直翻转功能；</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3.</w:t>
      </w:r>
      <w:r>
        <w:rPr>
          <w:rFonts w:hint="eastAsia" w:ascii="宋体" w:hAnsi="宋体" w:eastAsia="宋体" w:cs="宋体"/>
          <w:color w:val="auto"/>
          <w:sz w:val="24"/>
          <w:szCs w:val="24"/>
        </w:rPr>
        <w:tab/>
      </w:r>
      <w:r>
        <w:rPr>
          <w:rFonts w:hint="eastAsia" w:ascii="宋体" w:hAnsi="宋体" w:eastAsia="宋体" w:cs="宋体"/>
          <w:color w:val="auto"/>
          <w:sz w:val="24"/>
          <w:szCs w:val="24"/>
        </w:rPr>
        <w:t>摄像系统主机内置USB输出接口，可直接通过USB移动储存设备储存静态图像和动态视频。动态视频采集支持≥1920*1080P分辨率，静态图像采集支持≥1280*1024分辨率。</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rPr>
        <w:tab/>
      </w:r>
      <w:r>
        <w:rPr>
          <w:rFonts w:hint="eastAsia" w:ascii="宋体" w:hAnsi="宋体" w:eastAsia="宋体" w:cs="宋体"/>
          <w:color w:val="auto"/>
          <w:sz w:val="24"/>
          <w:szCs w:val="24"/>
        </w:rPr>
        <w:t>具备多种高清、标清信号输出接口，满足医院多显示器需求，信号输出包括：HDTV信号：HD-SDI*2个、DVI-D*2个，最高分辨率可达1920*1080P；</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SDTV 信号：复合视频信号S-Video；</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rPr>
        <w:tab/>
      </w:r>
      <w:r>
        <w:rPr>
          <w:rFonts w:hint="eastAsia" w:ascii="宋体" w:hAnsi="宋体" w:eastAsia="宋体" w:cs="宋体"/>
          <w:color w:val="auto"/>
          <w:sz w:val="24"/>
          <w:szCs w:val="24"/>
        </w:rPr>
        <w:t>主机面板设计简洁，易于操作和清洁；</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rPr>
        <w:tab/>
      </w:r>
      <w:r>
        <w:rPr>
          <w:rFonts w:hint="eastAsia" w:ascii="宋体" w:hAnsi="宋体" w:eastAsia="宋体" w:cs="宋体"/>
          <w:color w:val="auto"/>
          <w:sz w:val="24"/>
          <w:szCs w:val="24"/>
        </w:rPr>
        <w:t>主机具有隐藏操作面板设计，可有效避免医护人员误操作；打开隐藏面板可进行主机性能设置；</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sz w:val="24"/>
          <w:szCs w:val="24"/>
        </w:rPr>
        <w:tab/>
      </w:r>
      <w:r>
        <w:rPr>
          <w:rFonts w:hint="eastAsia" w:ascii="宋体" w:hAnsi="宋体" w:eastAsia="宋体" w:cs="宋体"/>
          <w:color w:val="auto"/>
          <w:sz w:val="24"/>
          <w:szCs w:val="24"/>
        </w:rPr>
        <w:t>出厂预设4种工作模式，另可通过菜单，调节白平衡设置、曝光区域设置、图像清晰度设置等，进行客户自定义操作；</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rPr>
        <w:tab/>
      </w:r>
      <w:r>
        <w:rPr>
          <w:rFonts w:hint="eastAsia" w:ascii="宋体" w:hAnsi="宋体" w:eastAsia="宋体" w:cs="宋体"/>
          <w:color w:val="auto"/>
          <w:sz w:val="24"/>
          <w:szCs w:val="24"/>
        </w:rPr>
        <w:t>摄像头采用3个1/3英寸CMOS的三晶片的成像技术，具有成像清晰、噪点低、功耗低等优势，实现数字化的全高清成像；</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9.</w:t>
      </w:r>
      <w:r>
        <w:rPr>
          <w:rFonts w:hint="eastAsia" w:ascii="宋体" w:hAnsi="宋体" w:eastAsia="宋体" w:cs="宋体"/>
          <w:color w:val="auto"/>
          <w:sz w:val="24"/>
          <w:szCs w:val="24"/>
        </w:rPr>
        <w:tab/>
      </w:r>
      <w:r>
        <w:rPr>
          <w:rFonts w:hint="eastAsia" w:ascii="宋体" w:hAnsi="宋体" w:eastAsia="宋体" w:cs="宋体"/>
          <w:color w:val="auto"/>
          <w:sz w:val="24"/>
          <w:szCs w:val="24"/>
        </w:rPr>
        <w:t>摄像头具备2倍光学变焦技术；配合摄像主机，还可实现2倍电子放大，能够精准进行手术治疗和检查诊断；</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eastAsia="宋体" w:cs="宋体"/>
          <w:color w:val="auto"/>
          <w:sz w:val="24"/>
          <w:szCs w:val="24"/>
        </w:rPr>
        <w:tab/>
      </w:r>
      <w:r>
        <w:rPr>
          <w:rFonts w:hint="eastAsia" w:ascii="宋体" w:hAnsi="宋体" w:eastAsia="宋体" w:cs="宋体"/>
          <w:color w:val="auto"/>
          <w:sz w:val="24"/>
          <w:szCs w:val="24"/>
        </w:rPr>
        <w:t>摄像头具备齐焦变焦技术，术中针对同一操作术野，单次对焦后，变焦过程中不失焦；手术过程中无需反复对焦，简便操作流程，提高手术效率；</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11.</w:t>
      </w:r>
      <w:r>
        <w:rPr>
          <w:rFonts w:hint="eastAsia" w:ascii="宋体" w:hAnsi="宋体" w:eastAsia="宋体" w:cs="宋体"/>
          <w:color w:val="auto"/>
          <w:sz w:val="24"/>
          <w:szCs w:val="24"/>
        </w:rPr>
        <w:tab/>
      </w:r>
      <w:r>
        <w:rPr>
          <w:rFonts w:hint="eastAsia" w:ascii="宋体" w:hAnsi="宋体" w:eastAsia="宋体" w:cs="宋体"/>
          <w:color w:val="auto"/>
          <w:sz w:val="24"/>
          <w:szCs w:val="24"/>
        </w:rPr>
        <w:t>摄像头可连接目镜杯卡口为32mm直径的各类光学视管和软性纤维镜；</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12.摄像头具备3个或以上遥控按钮，可操作拍照、录像和白平衡；</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13.</w:t>
      </w:r>
      <w:r>
        <w:rPr>
          <w:rFonts w:hint="eastAsia" w:ascii="宋体" w:hAnsi="宋体" w:eastAsia="宋体" w:cs="宋体"/>
          <w:color w:val="auto"/>
          <w:sz w:val="24"/>
          <w:szCs w:val="24"/>
        </w:rPr>
        <w:tab/>
      </w:r>
      <w:r>
        <w:rPr>
          <w:rFonts w:hint="eastAsia" w:ascii="宋体" w:hAnsi="宋体" w:eastAsia="宋体" w:cs="宋体"/>
          <w:color w:val="auto"/>
          <w:sz w:val="24"/>
          <w:szCs w:val="24"/>
        </w:rPr>
        <w:t>摄像头具备≥IPX7级防水性能，可用于浸泡消毒；</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14.</w:t>
      </w:r>
      <w:r>
        <w:rPr>
          <w:rFonts w:hint="eastAsia" w:ascii="宋体" w:hAnsi="宋体" w:eastAsia="宋体" w:cs="宋体"/>
          <w:color w:val="auto"/>
          <w:sz w:val="24"/>
          <w:szCs w:val="24"/>
        </w:rPr>
        <w:tab/>
      </w:r>
      <w:r>
        <w:rPr>
          <w:rFonts w:hint="eastAsia" w:ascii="宋体" w:hAnsi="宋体" w:eastAsia="宋体" w:cs="宋体"/>
          <w:color w:val="auto"/>
          <w:sz w:val="24"/>
          <w:szCs w:val="24"/>
        </w:rPr>
        <w:t>信噪比≥61db，最小照度≤1Lux，图像传感器ADC位宽≥12Bits；</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（二）、LED冷光源技术参数</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rPr>
        <w:tab/>
      </w:r>
      <w:r>
        <w:rPr>
          <w:rFonts w:hint="eastAsia" w:ascii="宋体" w:hAnsi="宋体" w:eastAsia="宋体" w:cs="宋体"/>
          <w:color w:val="auto"/>
          <w:sz w:val="24"/>
          <w:szCs w:val="24"/>
        </w:rPr>
        <w:t>整机输入电源电压： AC 100～220V±10%，50/60HZ；</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rPr>
        <w:tab/>
      </w:r>
      <w:r>
        <w:rPr>
          <w:rFonts w:hint="eastAsia" w:ascii="宋体" w:hAnsi="宋体" w:eastAsia="宋体" w:cs="宋体"/>
          <w:color w:val="auto"/>
          <w:sz w:val="24"/>
          <w:szCs w:val="24"/>
        </w:rPr>
        <w:t>整机输入功率：1.9-0.8A；</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rPr>
        <w:tab/>
      </w:r>
      <w:r>
        <w:rPr>
          <w:rFonts w:hint="eastAsia" w:ascii="宋体" w:hAnsi="宋体" w:eastAsia="宋体" w:cs="宋体"/>
          <w:color w:val="auto"/>
          <w:sz w:val="24"/>
          <w:szCs w:val="24"/>
        </w:rPr>
        <w:t>设备类型：Ⅰ类CF型，保证可用于直接接触心脏的手术需要；</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rPr>
        <w:tab/>
      </w:r>
      <w:r>
        <w:rPr>
          <w:rFonts w:hint="eastAsia" w:ascii="宋体" w:hAnsi="宋体" w:eastAsia="宋体" w:cs="宋体"/>
          <w:color w:val="auto"/>
          <w:sz w:val="24"/>
          <w:szCs w:val="24"/>
        </w:rPr>
        <w:t>灯泡输入功率：≥135W；</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rPr>
        <w:tab/>
      </w:r>
      <w:r>
        <w:rPr>
          <w:rFonts w:hint="eastAsia" w:ascii="宋体" w:hAnsi="宋体" w:eastAsia="宋体" w:cs="宋体"/>
          <w:color w:val="auto"/>
          <w:sz w:val="24"/>
          <w:szCs w:val="24"/>
        </w:rPr>
        <w:t>冷光源300nm-1700nm波长范围内的辐射通量和光通量比值≤4mW/lm；</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6.</w:t>
      </w:r>
      <w:r>
        <w:rPr>
          <w:rFonts w:hint="eastAsia" w:ascii="宋体" w:hAnsi="宋体" w:eastAsia="宋体" w:cs="宋体"/>
          <w:color w:val="auto"/>
          <w:sz w:val="24"/>
          <w:szCs w:val="24"/>
        </w:rPr>
        <w:tab/>
      </w:r>
      <w:r>
        <w:rPr>
          <w:rFonts w:hint="eastAsia" w:ascii="宋体" w:hAnsi="宋体" w:eastAsia="宋体" w:cs="宋体"/>
          <w:color w:val="auto"/>
          <w:sz w:val="24"/>
          <w:szCs w:val="24"/>
        </w:rPr>
        <w:t>冷光源的输出总光通量应≥1300lm，确保大量出血后仍然能够保证高亮度；</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sz w:val="24"/>
          <w:szCs w:val="24"/>
        </w:rPr>
        <w:tab/>
      </w:r>
      <w:r>
        <w:rPr>
          <w:rFonts w:hint="eastAsia" w:ascii="宋体" w:hAnsi="宋体" w:eastAsia="宋体" w:cs="宋体"/>
          <w:color w:val="auto"/>
          <w:sz w:val="24"/>
          <w:szCs w:val="24"/>
        </w:rPr>
        <w:t>灯工作寿命≥20000小时，节约医院后续维护成本；</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rPr>
        <w:tab/>
      </w:r>
      <w:r>
        <w:rPr>
          <w:rFonts w:hint="eastAsia" w:ascii="宋体" w:hAnsi="宋体" w:eastAsia="宋体" w:cs="宋体"/>
          <w:color w:val="auto"/>
          <w:sz w:val="24"/>
          <w:szCs w:val="24"/>
        </w:rPr>
        <w:t>色温≥6600K，确保能最接近于自然光；</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9.</w:t>
      </w:r>
      <w:r>
        <w:rPr>
          <w:rFonts w:hint="eastAsia" w:ascii="宋体" w:hAnsi="宋体" w:eastAsia="宋体" w:cs="宋体"/>
          <w:color w:val="auto"/>
          <w:sz w:val="24"/>
          <w:szCs w:val="24"/>
        </w:rPr>
        <w:tab/>
      </w:r>
      <w:r>
        <w:rPr>
          <w:rFonts w:hint="eastAsia" w:ascii="宋体" w:hAnsi="宋体" w:eastAsia="宋体" w:cs="宋体"/>
          <w:color w:val="auto"/>
          <w:sz w:val="24"/>
          <w:szCs w:val="24"/>
        </w:rPr>
        <w:t>光输出最大中心照度≥3200000LX，确保照明充足；</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eastAsia="宋体" w:cs="宋体"/>
          <w:color w:val="auto"/>
          <w:sz w:val="24"/>
          <w:szCs w:val="24"/>
        </w:rPr>
        <w:tab/>
      </w:r>
      <w:r>
        <w:rPr>
          <w:rFonts w:hint="eastAsia" w:ascii="宋体" w:hAnsi="宋体" w:eastAsia="宋体" w:cs="宋体"/>
          <w:color w:val="auto"/>
          <w:sz w:val="24"/>
          <w:szCs w:val="24"/>
        </w:rPr>
        <w:t>可进行多级亮度调节，满足不同临床手术的亮度要求；</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11.</w:t>
      </w:r>
      <w:r>
        <w:rPr>
          <w:rFonts w:hint="eastAsia" w:ascii="宋体" w:hAnsi="宋体" w:eastAsia="宋体" w:cs="宋体"/>
          <w:color w:val="auto"/>
          <w:sz w:val="24"/>
          <w:szCs w:val="24"/>
        </w:rPr>
        <w:tab/>
      </w:r>
      <w:r>
        <w:rPr>
          <w:rFonts w:hint="eastAsia" w:ascii="宋体" w:hAnsi="宋体" w:eastAsia="宋体" w:cs="宋体"/>
          <w:color w:val="auto"/>
          <w:sz w:val="24"/>
          <w:szCs w:val="24"/>
        </w:rPr>
        <w:t>冷光源在正常运行时产生的最大噪音噪音≤50dB（A），能保证在手术室安静运行，不影响手术室环境；</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12.</w:t>
      </w:r>
      <w:r>
        <w:rPr>
          <w:rFonts w:hint="eastAsia" w:ascii="宋体" w:hAnsi="宋体" w:eastAsia="宋体" w:cs="宋体"/>
          <w:color w:val="auto"/>
          <w:sz w:val="24"/>
          <w:szCs w:val="24"/>
        </w:rPr>
        <w:tab/>
      </w:r>
      <w:r>
        <w:rPr>
          <w:rFonts w:hint="eastAsia" w:ascii="宋体" w:hAnsi="宋体" w:eastAsia="宋体" w:cs="宋体"/>
          <w:color w:val="auto"/>
          <w:sz w:val="24"/>
          <w:szCs w:val="24"/>
        </w:rPr>
        <w:t>可通过外部设备的串行控制接口控制LED光源的功能；</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（三）、膨宫泵技术参数</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rPr>
        <w:tab/>
      </w:r>
      <w:r>
        <w:rPr>
          <w:rFonts w:hint="eastAsia" w:ascii="宋体" w:hAnsi="宋体" w:eastAsia="宋体" w:cs="宋体"/>
          <w:color w:val="auto"/>
          <w:sz w:val="24"/>
          <w:szCs w:val="24"/>
        </w:rPr>
        <w:t>流速范围30-500ml/min，压力范围15-150mmHg；最大压力值200mmHg；</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rPr>
        <w:tab/>
      </w:r>
      <w:r>
        <w:rPr>
          <w:rFonts w:hint="eastAsia" w:ascii="宋体" w:hAnsi="宋体" w:eastAsia="宋体" w:cs="宋体"/>
          <w:color w:val="auto"/>
          <w:sz w:val="24"/>
          <w:szCs w:val="24"/>
        </w:rPr>
        <w:t>测量范围：流量0-0.5l/min，压力0-300mmHg，缺失量-999到+9999ml</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rPr>
        <w:tab/>
      </w:r>
      <w:r>
        <w:rPr>
          <w:rFonts w:hint="eastAsia" w:ascii="宋体" w:hAnsi="宋体" w:eastAsia="宋体" w:cs="宋体"/>
          <w:color w:val="auto"/>
          <w:sz w:val="24"/>
          <w:szCs w:val="24"/>
        </w:rPr>
        <w:t>可重复性：流速±10%，压力±5%，缺失量±10%</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rPr>
        <w:tab/>
      </w:r>
      <w:r>
        <w:rPr>
          <w:rFonts w:hint="eastAsia" w:ascii="宋体" w:hAnsi="宋体" w:eastAsia="宋体" w:cs="宋体"/>
          <w:color w:val="auto"/>
          <w:sz w:val="24"/>
          <w:szCs w:val="24"/>
        </w:rPr>
        <w:t>过压保护：超过250mmHg切断发送机；</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快速精确的压力控制； </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大屏幕显示宫内压力； </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sz w:val="24"/>
          <w:szCs w:val="24"/>
        </w:rPr>
        <w:tab/>
      </w:r>
      <w:r>
        <w:rPr>
          <w:rFonts w:hint="eastAsia" w:ascii="宋体" w:hAnsi="宋体" w:eastAsia="宋体" w:cs="宋体"/>
          <w:color w:val="auto"/>
          <w:sz w:val="24"/>
          <w:szCs w:val="24"/>
        </w:rPr>
        <w:t>安全保护级别：I，BF型，IP41</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（四）、电外科能量系统技术参数</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1、整机为全数字化、程序化设计，能够满足各个外科的手术需要。</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2、触控屏操作，人机交互式对话，参数调节简便。</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3、智能功率调节技术根据组织变化和电切面积或速度变化快速调节输出功率至所需的最低水平。</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4、前面板具有≥4个输出端，两个单极输出，可同时连接两个器械；两个双极输出，可同时连接两个器械。具备输出口器械连接指示和启动指示。</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5、具备智能器械管理，完成器械识别、智能设置功能和参数、不合理的参数修改。</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6、具备专科程序选择，方便功能设定；程序存储功能可存储不少于300组程序。</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7、双极水下电切和电凝：全自动功率调整， ≥3种效果，可以匹配各品牌双极电切镜。</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8、具备标准电切模式、精细电切模式、无血电切模式、水下电切模式、双极电切模式等至少10种单双极电切模式，最大功率输出≥400W</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9、具有柔和电凝模式、强力电凝模式、精细电凝模式、喷射电凝模式、双极强力电凝等至少20种单双极电凝模式，最大输出功率≥250W</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（五）、宫腔镜和器械技术参数</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1. </w:t>
      </w:r>
      <w:bookmarkStart w:id="96" w:name="_Hlk86959746"/>
      <w:r>
        <w:rPr>
          <w:rFonts w:hint="eastAsia" w:ascii="宋体" w:hAnsi="宋体" w:eastAsia="宋体" w:cs="宋体"/>
          <w:color w:val="auto"/>
          <w:sz w:val="24"/>
          <w:szCs w:val="24"/>
        </w:rPr>
        <w:t>大视野宫腔镜，</w:t>
      </w:r>
      <w:bookmarkEnd w:id="96"/>
      <w:r>
        <w:rPr>
          <w:rFonts w:hint="eastAsia" w:ascii="宋体" w:hAnsi="宋体" w:eastAsia="宋体" w:cs="宋体"/>
          <w:color w:val="auto"/>
          <w:sz w:val="24"/>
          <w:szCs w:val="24"/>
        </w:rPr>
        <w:t>直径≤2.9</w:t>
      </w:r>
      <w:bookmarkStart w:id="97" w:name="_Hlk86959002"/>
      <w:r>
        <w:rPr>
          <w:rFonts w:hint="eastAsia" w:ascii="宋体" w:hAnsi="宋体" w:eastAsia="宋体" w:cs="宋体"/>
          <w:color w:val="auto"/>
          <w:sz w:val="24"/>
          <w:szCs w:val="24"/>
        </w:rPr>
        <w:t>mm</w:t>
      </w:r>
      <w:bookmarkEnd w:id="97"/>
      <w:r>
        <w:rPr>
          <w:rFonts w:hint="eastAsia" w:ascii="宋体" w:hAnsi="宋体" w:eastAsia="宋体" w:cs="宋体"/>
          <w:color w:val="auto"/>
          <w:sz w:val="24"/>
          <w:szCs w:val="24"/>
        </w:rPr>
        <w:t>,工作长度302mm,30度广角；</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2. </w:t>
      </w:r>
      <w:bookmarkStart w:id="98" w:name="_Hlk86959088"/>
      <w:r>
        <w:rPr>
          <w:rFonts w:hint="eastAsia" w:ascii="宋体" w:hAnsi="宋体" w:eastAsia="宋体" w:cs="宋体"/>
          <w:color w:val="auto"/>
          <w:sz w:val="24"/>
          <w:szCs w:val="24"/>
        </w:rPr>
        <w:t>2.9 mm手术宫腔镜外鞘；</w:t>
      </w:r>
    </w:p>
    <w:bookmarkEnd w:id="98"/>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3. 2.9 mm手术宫腔镜内鞘带5Fr器械通道；</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rPr>
        <w:tab/>
      </w:r>
      <w:r>
        <w:rPr>
          <w:rFonts w:hint="eastAsia" w:ascii="宋体" w:hAnsi="宋体" w:eastAsia="宋体" w:cs="宋体"/>
          <w:color w:val="auto"/>
          <w:sz w:val="24"/>
          <w:szCs w:val="24"/>
        </w:rPr>
        <w:t>半硬性尖头剪1根，5Fr，长度340mm；</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rPr>
        <w:tab/>
      </w:r>
      <w:r>
        <w:rPr>
          <w:rFonts w:hint="eastAsia" w:ascii="宋体" w:hAnsi="宋体" w:eastAsia="宋体" w:cs="宋体"/>
          <w:color w:val="auto"/>
          <w:sz w:val="24"/>
          <w:szCs w:val="24"/>
        </w:rPr>
        <w:t>半硬性抓钳1根，5Fr，长度340mm；</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rPr>
        <w:tab/>
      </w:r>
      <w:r>
        <w:rPr>
          <w:rFonts w:hint="eastAsia" w:ascii="宋体" w:hAnsi="宋体" w:eastAsia="宋体" w:cs="宋体"/>
          <w:color w:val="auto"/>
          <w:sz w:val="24"/>
          <w:szCs w:val="24"/>
        </w:rPr>
        <w:t>半硬性活检钳一根，5Fr，长度340mm；</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7.  镜子和器械可进行高温高压、等温等离子、环氧乙烷灭菌、低温灭菌；</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8.  配</w:t>
      </w:r>
      <w:bookmarkStart w:id="99" w:name="_Hlk86959262"/>
      <w:r>
        <w:rPr>
          <w:rFonts w:hint="eastAsia" w:ascii="宋体" w:hAnsi="宋体" w:eastAsia="宋体" w:cs="宋体"/>
          <w:color w:val="auto"/>
          <w:sz w:val="24"/>
          <w:szCs w:val="24"/>
        </w:rPr>
        <w:t>镜子和器械配</w:t>
      </w:r>
      <w:bookmarkEnd w:id="99"/>
      <w:r>
        <w:rPr>
          <w:rFonts w:hint="eastAsia" w:ascii="宋体" w:hAnsi="宋体" w:eastAsia="宋体" w:cs="宋体"/>
          <w:color w:val="auto"/>
          <w:sz w:val="24"/>
          <w:szCs w:val="24"/>
        </w:rPr>
        <w:t>各4套；</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9.  镜子和主机为同一制造商</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（六）、宫腔双极电切镜技术参数</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rPr>
        <w:tab/>
      </w:r>
      <w:r>
        <w:rPr>
          <w:rFonts w:hint="eastAsia" w:ascii="宋体" w:hAnsi="宋体" w:eastAsia="宋体" w:cs="宋体"/>
          <w:color w:val="auto"/>
          <w:sz w:val="24"/>
          <w:szCs w:val="24"/>
        </w:rPr>
        <w:t>直接4≤mm，工作长度302mm，12°大视野内窥镜；</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rPr>
        <w:tab/>
      </w:r>
      <w:r>
        <w:rPr>
          <w:rFonts w:hint="eastAsia" w:ascii="宋体" w:hAnsi="宋体" w:eastAsia="宋体" w:cs="宋体"/>
          <w:color w:val="auto"/>
          <w:sz w:val="24"/>
          <w:szCs w:val="24"/>
        </w:rPr>
        <w:t>可旋转电切镜鞘，外径26Fr，带长方形孔；</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rPr>
        <w:tab/>
      </w:r>
      <w:r>
        <w:rPr>
          <w:rFonts w:hint="eastAsia" w:ascii="宋体" w:hAnsi="宋体" w:eastAsia="宋体" w:cs="宋体"/>
          <w:color w:val="auto"/>
          <w:sz w:val="24"/>
          <w:szCs w:val="24"/>
        </w:rPr>
        <w:t>內鞘，24Fr，带陶瓷头，可旋转；</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rPr>
        <w:tab/>
      </w:r>
      <w:r>
        <w:rPr>
          <w:rFonts w:hint="eastAsia" w:ascii="宋体" w:hAnsi="宋体" w:eastAsia="宋体" w:cs="宋体"/>
          <w:color w:val="auto"/>
          <w:sz w:val="24"/>
          <w:szCs w:val="24"/>
        </w:rPr>
        <w:t>标准闭孔器，24Fr；</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rPr>
        <w:tab/>
      </w:r>
      <w:r>
        <w:rPr>
          <w:rFonts w:hint="eastAsia" w:ascii="宋体" w:hAnsi="宋体" w:eastAsia="宋体" w:cs="宋体"/>
          <w:color w:val="auto"/>
          <w:sz w:val="24"/>
          <w:szCs w:val="24"/>
        </w:rPr>
        <w:t>电切镜工作手件，被动式，闭环状手柄；</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rPr>
        <w:tab/>
      </w:r>
      <w:r>
        <w:rPr>
          <w:rFonts w:hint="eastAsia" w:ascii="宋体" w:hAnsi="宋体" w:eastAsia="宋体" w:cs="宋体"/>
          <w:color w:val="auto"/>
          <w:sz w:val="24"/>
          <w:szCs w:val="24"/>
        </w:rPr>
        <w:t>电切环30，24Fr；</w:t>
      </w:r>
      <w:r>
        <w:rPr>
          <w:rFonts w:hint="eastAsia" w:ascii="宋体" w:hAnsi="宋体" w:eastAsia="宋体" w:cs="宋体"/>
          <w:color w:val="auto"/>
          <w:sz w:val="24"/>
          <w:szCs w:val="24"/>
        </w:rPr>
        <w:tab/>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sz w:val="24"/>
          <w:szCs w:val="24"/>
        </w:rPr>
        <w:tab/>
      </w:r>
      <w:r>
        <w:rPr>
          <w:rFonts w:hint="eastAsia" w:ascii="宋体" w:hAnsi="宋体" w:eastAsia="宋体" w:cs="宋体"/>
          <w:color w:val="auto"/>
          <w:sz w:val="24"/>
          <w:szCs w:val="24"/>
        </w:rPr>
        <w:t>滚珠电极，24Fr，直径5mm；</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rPr>
        <w:tab/>
      </w:r>
      <w:r>
        <w:rPr>
          <w:rFonts w:hint="eastAsia" w:ascii="宋体" w:hAnsi="宋体" w:eastAsia="宋体" w:cs="宋体"/>
          <w:color w:val="auto"/>
          <w:sz w:val="24"/>
          <w:szCs w:val="24"/>
        </w:rPr>
        <w:t>电极刀，24Fr</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（七）、监视器技术参数</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rPr>
        <w:tab/>
      </w:r>
      <w:r>
        <w:rPr>
          <w:rFonts w:hint="eastAsia" w:ascii="宋体" w:hAnsi="宋体" w:eastAsia="宋体" w:cs="宋体"/>
          <w:color w:val="auto"/>
          <w:sz w:val="24"/>
          <w:szCs w:val="24"/>
        </w:rPr>
        <w:t>26寸或以上高清医用LCD监视器；</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rPr>
        <w:tab/>
      </w:r>
      <w:r>
        <w:rPr>
          <w:rFonts w:hint="eastAsia" w:ascii="宋体" w:hAnsi="宋体" w:eastAsia="宋体" w:cs="宋体"/>
          <w:color w:val="auto"/>
          <w:sz w:val="24"/>
          <w:szCs w:val="24"/>
        </w:rPr>
        <w:t>支持≥1920*1080P全高清显示；</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rPr>
        <w:tab/>
      </w:r>
      <w:r>
        <w:rPr>
          <w:rFonts w:hint="eastAsia" w:ascii="宋体" w:hAnsi="宋体" w:eastAsia="宋体" w:cs="宋体"/>
          <w:color w:val="auto"/>
          <w:sz w:val="24"/>
          <w:szCs w:val="24"/>
        </w:rPr>
        <w:t>具有DVI、HD-SDI、VGA、RGB等多种高清接口，可满足不同摄像主机需求；</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rPr>
        <w:tab/>
      </w:r>
      <w:r>
        <w:rPr>
          <w:rFonts w:hint="eastAsia" w:ascii="宋体" w:hAnsi="宋体" w:eastAsia="宋体" w:cs="宋体"/>
          <w:color w:val="auto"/>
          <w:sz w:val="24"/>
          <w:szCs w:val="24"/>
        </w:rPr>
        <w:t>支持环出功能，可通过监视器输出连接到其他同信号监视器；</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rPr>
        <w:tab/>
      </w:r>
      <w:r>
        <w:rPr>
          <w:rFonts w:hint="eastAsia" w:ascii="宋体" w:hAnsi="宋体" w:eastAsia="宋体" w:cs="宋体"/>
          <w:color w:val="auto"/>
          <w:sz w:val="24"/>
          <w:szCs w:val="24"/>
        </w:rPr>
        <w:t>显示面板使用光学玻璃全贴合技术，有效避免保护面板和显示面板之间空气层所带来的折射，提升显示亮度和色彩还原性；</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rPr>
        <w:tab/>
      </w:r>
      <w:r>
        <w:rPr>
          <w:rFonts w:hint="eastAsia" w:ascii="宋体" w:hAnsi="宋体" w:eastAsia="宋体" w:cs="宋体"/>
          <w:color w:val="auto"/>
          <w:sz w:val="24"/>
          <w:szCs w:val="24"/>
        </w:rPr>
        <w:t>最大背光亮度≥900cd/m2，能更清晰显示暗部细节，提升手术安全性；</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sz w:val="24"/>
          <w:szCs w:val="24"/>
        </w:rPr>
        <w:tab/>
      </w:r>
      <w:r>
        <w:rPr>
          <w:rFonts w:hint="eastAsia" w:ascii="宋体" w:hAnsi="宋体" w:eastAsia="宋体" w:cs="宋体"/>
          <w:color w:val="auto"/>
          <w:sz w:val="24"/>
          <w:szCs w:val="24"/>
        </w:rPr>
        <w:t>具有≥178°可视角度，满足手术室不同站位需求；</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rPr>
        <w:tab/>
      </w:r>
      <w:r>
        <w:rPr>
          <w:rFonts w:hint="eastAsia" w:ascii="宋体" w:hAnsi="宋体" w:eastAsia="宋体" w:cs="宋体"/>
          <w:color w:val="auto"/>
          <w:sz w:val="24"/>
          <w:szCs w:val="24"/>
        </w:rPr>
        <w:t>显示器对比度≥1400:1；</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（八）、其他配置技术参数</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rPr>
        <w:tab/>
      </w:r>
      <w:r>
        <w:rPr>
          <w:rFonts w:hint="eastAsia" w:ascii="宋体" w:hAnsi="宋体" w:eastAsia="宋体" w:cs="宋体"/>
          <w:color w:val="auto"/>
          <w:sz w:val="24"/>
          <w:szCs w:val="24"/>
        </w:rPr>
        <w:t>同品牌国产医用台车1个；</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rPr>
        <w:tab/>
      </w:r>
      <w:r>
        <w:rPr>
          <w:rFonts w:hint="eastAsia" w:ascii="宋体" w:hAnsi="宋体" w:eastAsia="宋体" w:cs="宋体"/>
          <w:color w:val="auto"/>
          <w:sz w:val="24"/>
          <w:szCs w:val="24"/>
        </w:rPr>
        <w:t>配宫腔镜工作站（含电脑、打印机）</w:t>
      </w:r>
    </w:p>
    <w:bookmarkEnd w:id="95"/>
    <w:p>
      <w:pPr>
        <w:pStyle w:val="4"/>
        <w:rPr>
          <w:rFonts w:hint="eastAsia" w:ascii="宋体" w:hAnsi="宋体" w:eastAsia="宋体" w:cs="宋体"/>
          <w:color w:val="auto"/>
          <w:sz w:val="24"/>
          <w:szCs w:val="24"/>
          <w:highlight w:val="yellow"/>
        </w:rPr>
      </w:pPr>
    </w:p>
    <w:p>
      <w:pPr>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br w:type="page"/>
      </w:r>
    </w:p>
    <w:p>
      <w:pPr>
        <w:pStyle w:val="4"/>
        <w:keepNext w:val="0"/>
        <w:keepLines w:val="0"/>
        <w:pageBreakBefore w:val="0"/>
        <w:widowControl/>
        <w:kinsoku/>
        <w:wordWrap/>
        <w:overflowPunct/>
        <w:topLinePunct w:val="0"/>
        <w:autoSpaceDE/>
        <w:autoSpaceDN/>
        <w:bidi w:val="0"/>
        <w:spacing w:line="480" w:lineRule="exact"/>
        <w:ind w:left="0" w:leftChars="0" w:firstLine="0" w:firstLineChars="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二</w:t>
      </w:r>
      <w:r>
        <w:rPr>
          <w:rFonts w:hint="eastAsia" w:ascii="宋体" w:hAnsi="宋体" w:eastAsia="宋体" w:cs="宋体"/>
          <w:b/>
          <w:bCs/>
          <w:sz w:val="24"/>
          <w:szCs w:val="24"/>
          <w:highlight w:val="none"/>
        </w:rPr>
        <w:t>、商务要求</w:t>
      </w:r>
    </w:p>
    <w:p>
      <w:pPr>
        <w:keepNext w:val="0"/>
        <w:keepLines w:val="0"/>
        <w:pageBreakBefore w:val="0"/>
        <w:widowControl/>
        <w:kinsoku/>
        <w:wordWrap/>
        <w:overflowPunct/>
        <w:topLinePunct w:val="0"/>
        <w:autoSpaceDE/>
        <w:autoSpaceDN/>
        <w:bidi w:val="0"/>
        <w:spacing w:line="480" w:lineRule="exact"/>
        <w:ind w:firstLine="480" w:firstLineChars="200"/>
        <w:textAlignment w:val="auto"/>
        <w:outlineLvl w:val="2"/>
        <w:rPr>
          <w:rFonts w:hint="eastAsia" w:ascii="宋体" w:hAnsi="宋体" w:eastAsia="宋体" w:cs="宋体"/>
          <w:sz w:val="24"/>
          <w:szCs w:val="24"/>
          <w:highlight w:val="none"/>
        </w:rPr>
      </w:pPr>
      <w:bookmarkStart w:id="100" w:name="_Toc24247"/>
      <w:r>
        <w:rPr>
          <w:rFonts w:hint="eastAsia" w:ascii="宋体" w:hAnsi="宋体" w:eastAsia="宋体" w:cs="宋体"/>
          <w:b/>
          <w:sz w:val="24"/>
          <w:szCs w:val="24"/>
          <w:highlight w:val="none"/>
          <w:lang w:val="en-US" w:eastAsia="zh-CN"/>
        </w:rPr>
        <w:t>1.</w:t>
      </w:r>
      <w:r>
        <w:rPr>
          <w:rFonts w:hint="eastAsia" w:ascii="宋体" w:hAnsi="宋体" w:eastAsia="宋体" w:cs="宋体"/>
          <w:b/>
          <w:sz w:val="24"/>
          <w:szCs w:val="24"/>
          <w:highlight w:val="none"/>
          <w:lang w:eastAsia="zh-CN"/>
        </w:rPr>
        <w:t>交货期</w:t>
      </w:r>
      <w:r>
        <w:rPr>
          <w:rFonts w:hint="eastAsia" w:ascii="宋体" w:hAnsi="宋体" w:eastAsia="宋体" w:cs="宋体"/>
          <w:b/>
          <w:sz w:val="24"/>
          <w:szCs w:val="24"/>
          <w:highlight w:val="none"/>
        </w:rPr>
        <w:t>及地点：</w:t>
      </w:r>
      <w:bookmarkEnd w:id="100"/>
    </w:p>
    <w:p>
      <w:pPr>
        <w:keepNext w:val="0"/>
        <w:keepLines w:val="0"/>
        <w:pageBreakBefore w:val="0"/>
        <w:widowControl/>
        <w:kinsoku/>
        <w:wordWrap/>
        <w:overflowPunct/>
        <w:topLinePunct w:val="0"/>
        <w:autoSpaceDE/>
        <w:autoSpaceDN/>
        <w:bidi w:val="0"/>
        <w:adjustRightInd w:val="0"/>
        <w:snapToGrid w:val="0"/>
        <w:spacing w:line="480" w:lineRule="exact"/>
        <w:ind w:firstLine="840" w:firstLineChars="350"/>
        <w:textAlignment w:val="auto"/>
        <w:rPr>
          <w:rFonts w:hint="eastAsia" w:ascii="宋体" w:hAnsi="宋体" w:eastAsia="宋体" w:cs="宋体"/>
          <w:sz w:val="24"/>
          <w:szCs w:val="24"/>
          <w:highlight w:val="none"/>
          <w:lang w:eastAsia="zh-CN"/>
        </w:rPr>
      </w:pPr>
      <w:bookmarkStart w:id="101" w:name="_Toc167714037"/>
      <w:bookmarkStart w:id="102" w:name="_Toc167715234"/>
      <w:bookmarkStart w:id="103" w:name="_Toc167712839"/>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lang w:eastAsia="zh-CN"/>
        </w:rPr>
        <w:t>交货期</w:t>
      </w:r>
      <w:r>
        <w:rPr>
          <w:rFonts w:hint="eastAsia" w:ascii="宋体" w:hAnsi="宋体" w:eastAsia="宋体" w:cs="宋体"/>
          <w:sz w:val="24"/>
          <w:szCs w:val="24"/>
          <w:highlight w:val="none"/>
        </w:rPr>
        <w:t>：</w:t>
      </w:r>
      <w:bookmarkEnd w:id="101"/>
      <w:bookmarkEnd w:id="102"/>
      <w:bookmarkEnd w:id="103"/>
      <w:r>
        <w:rPr>
          <w:rFonts w:hint="eastAsia" w:ascii="宋体" w:hAnsi="宋体"/>
          <w:color w:val="auto"/>
          <w:sz w:val="24"/>
          <w:highlight w:val="none"/>
        </w:rPr>
        <w:t>自合同签订之日起30天内，按需配送</w:t>
      </w:r>
      <w:r>
        <w:rPr>
          <w:rFonts w:hint="eastAsia" w:ascii="宋体" w:hAnsi="宋体" w:eastAsia="宋体" w:cs="宋体"/>
          <w:sz w:val="24"/>
          <w:szCs w:val="24"/>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480" w:lineRule="exact"/>
        <w:ind w:firstLine="840" w:firstLineChars="3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w:t>
      </w:r>
      <w:r>
        <w:rPr>
          <w:rFonts w:hint="eastAsia" w:ascii="宋体" w:hAnsi="宋体" w:eastAsia="宋体" w:cs="宋体"/>
          <w:sz w:val="24"/>
          <w:szCs w:val="24"/>
          <w:highlight w:val="none"/>
        </w:rPr>
        <w:t>交货地点：</w:t>
      </w:r>
      <w:r>
        <w:rPr>
          <w:rFonts w:hint="eastAsia" w:ascii="宋体" w:hAnsi="宋体" w:cs="宋体"/>
          <w:color w:val="auto"/>
          <w:kern w:val="0"/>
          <w:sz w:val="24"/>
          <w:highlight w:val="none"/>
          <w:lang w:eastAsia="zh-CN"/>
        </w:rPr>
        <w:t>西安市鄠邑区妇幼保健计划生育服务中心（区妇幼保健院）</w:t>
      </w:r>
      <w:r>
        <w:rPr>
          <w:rFonts w:hint="eastAsia" w:ascii="宋体" w:hAnsi="宋体" w:eastAsia="宋体" w:cs="宋体"/>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outlineLvl w:val="2"/>
        <w:rPr>
          <w:rFonts w:hint="eastAsia" w:ascii="宋体" w:hAnsi="宋体" w:eastAsia="宋体" w:cs="宋体"/>
          <w:b/>
          <w:sz w:val="24"/>
          <w:highlight w:val="none"/>
        </w:rPr>
      </w:pPr>
      <w:bookmarkStart w:id="104" w:name="_Toc23647"/>
      <w:r>
        <w:rPr>
          <w:rFonts w:hint="eastAsia" w:ascii="宋体" w:hAnsi="宋体" w:eastAsia="宋体" w:cs="宋体"/>
          <w:b/>
          <w:sz w:val="24"/>
          <w:highlight w:val="none"/>
          <w:lang w:val="en-US" w:eastAsia="zh-CN"/>
        </w:rPr>
        <w:t>2.</w:t>
      </w:r>
      <w:r>
        <w:rPr>
          <w:rFonts w:hint="eastAsia" w:ascii="宋体" w:hAnsi="宋体" w:eastAsia="宋体" w:cs="宋体"/>
          <w:b/>
          <w:sz w:val="24"/>
          <w:highlight w:val="none"/>
        </w:rPr>
        <w:t>包装、运输、安装、调试及培训要求：</w:t>
      </w:r>
      <w:bookmarkEnd w:id="104"/>
    </w:p>
    <w:p>
      <w:pPr>
        <w:keepNext w:val="0"/>
        <w:keepLines w:val="0"/>
        <w:pageBreakBefore w:val="0"/>
        <w:widowControl/>
        <w:kinsoku/>
        <w:wordWrap/>
        <w:overflowPunct/>
        <w:topLinePunct w:val="0"/>
        <w:autoSpaceDE/>
        <w:autoSpaceDN/>
        <w:bidi w:val="0"/>
        <w:adjustRightInd w:val="0"/>
        <w:snapToGrid w:val="0"/>
        <w:spacing w:line="480" w:lineRule="exact"/>
        <w:ind w:firstLine="828" w:firstLineChars="345"/>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2.1</w:t>
      </w:r>
      <w:r>
        <w:rPr>
          <w:rFonts w:hint="eastAsia" w:ascii="宋体" w:hAnsi="宋体" w:eastAsia="宋体" w:cs="宋体"/>
          <w:sz w:val="24"/>
          <w:highlight w:val="none"/>
        </w:rPr>
        <w:t>包装：应采取防潮、防晒、防腐蚀、防震动及防止其它损坏的必要措施。</w:t>
      </w:r>
      <w:r>
        <w:rPr>
          <w:rFonts w:hint="eastAsia" w:ascii="宋体" w:hAnsi="宋体" w:eastAsia="宋体" w:cs="宋体"/>
          <w:sz w:val="24"/>
          <w:highlight w:val="none"/>
          <w:lang w:eastAsia="zh-CN"/>
        </w:rPr>
        <w:t>中标人</w:t>
      </w:r>
      <w:r>
        <w:rPr>
          <w:rFonts w:hint="eastAsia" w:ascii="宋体" w:hAnsi="宋体" w:eastAsia="宋体" w:cs="宋体"/>
          <w:sz w:val="24"/>
          <w:highlight w:val="none"/>
        </w:rPr>
        <w:t>应承担由于其包装或防护措施不妥而引起的货物锈蚀、损坏和丢失等任何损失造成的责任或费用。</w:t>
      </w:r>
    </w:p>
    <w:p>
      <w:pPr>
        <w:keepNext w:val="0"/>
        <w:keepLines w:val="0"/>
        <w:pageBreakBefore w:val="0"/>
        <w:widowControl/>
        <w:kinsoku/>
        <w:wordWrap/>
        <w:overflowPunct/>
        <w:topLinePunct w:val="0"/>
        <w:autoSpaceDE/>
        <w:autoSpaceDN/>
        <w:bidi w:val="0"/>
        <w:adjustRightInd w:val="0"/>
        <w:snapToGrid w:val="0"/>
        <w:spacing w:line="480" w:lineRule="exact"/>
        <w:ind w:firstLine="828" w:firstLineChars="345"/>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2.2</w:t>
      </w:r>
      <w:r>
        <w:rPr>
          <w:rFonts w:hint="eastAsia" w:ascii="宋体" w:hAnsi="宋体" w:eastAsia="宋体" w:cs="宋体"/>
          <w:sz w:val="24"/>
          <w:highlight w:val="none"/>
        </w:rPr>
        <w:t>运输：选择运输风险小、运费低、距离短的运输路线。运杂费一次包死在总价内，包括生产厂到施工现场所需的装卸、运输（含保险费）、现场保管费、二次倒运费、吊装费等费用。</w:t>
      </w:r>
    </w:p>
    <w:p>
      <w:pPr>
        <w:keepNext w:val="0"/>
        <w:keepLines w:val="0"/>
        <w:pageBreakBefore w:val="0"/>
        <w:widowControl/>
        <w:kinsoku/>
        <w:wordWrap/>
        <w:overflowPunct/>
        <w:topLinePunct w:val="0"/>
        <w:autoSpaceDE/>
        <w:autoSpaceDN/>
        <w:bidi w:val="0"/>
        <w:adjustRightInd w:val="0"/>
        <w:snapToGrid w:val="0"/>
        <w:spacing w:line="480" w:lineRule="exact"/>
        <w:ind w:firstLine="828" w:firstLineChars="345"/>
        <w:textAlignment w:val="auto"/>
        <w:rPr>
          <w:rFonts w:hint="eastAsia" w:ascii="宋体" w:hAnsi="宋体" w:eastAsia="宋体" w:cs="宋体"/>
          <w:b/>
          <w:bCs/>
          <w:sz w:val="24"/>
          <w:highlight w:val="none"/>
        </w:rPr>
      </w:pPr>
      <w:r>
        <w:rPr>
          <w:rFonts w:hint="eastAsia" w:ascii="宋体" w:hAnsi="宋体" w:eastAsia="宋体" w:cs="宋体"/>
          <w:sz w:val="24"/>
          <w:highlight w:val="none"/>
          <w:lang w:val="en-US" w:eastAsia="zh-CN"/>
        </w:rPr>
        <w:t>2.3</w:t>
      </w:r>
      <w:r>
        <w:rPr>
          <w:rFonts w:hint="eastAsia" w:ascii="宋体" w:hAnsi="宋体" w:eastAsia="宋体" w:cs="宋体"/>
          <w:sz w:val="24"/>
          <w:highlight w:val="none"/>
        </w:rPr>
        <w:t>安装、调试</w:t>
      </w:r>
      <w:r>
        <w:rPr>
          <w:rFonts w:hint="eastAsia" w:ascii="宋体" w:hAnsi="宋体" w:eastAsia="宋体" w:cs="宋体"/>
          <w:sz w:val="24"/>
          <w:highlight w:val="none"/>
          <w:lang w:eastAsia="zh-CN"/>
        </w:rPr>
        <w:t>、</w:t>
      </w:r>
      <w:r>
        <w:rPr>
          <w:rFonts w:hint="eastAsia" w:ascii="宋体" w:hAnsi="宋体" w:eastAsia="宋体" w:cs="宋体"/>
          <w:sz w:val="24"/>
          <w:highlight w:val="none"/>
        </w:rPr>
        <w:t>培训：</w:t>
      </w:r>
      <w:r>
        <w:rPr>
          <w:rFonts w:hint="eastAsia" w:ascii="宋体" w:hAnsi="宋体" w:eastAsia="宋体" w:cs="宋体"/>
          <w:sz w:val="24"/>
          <w:highlight w:val="none"/>
          <w:lang w:eastAsia="zh-CN"/>
        </w:rPr>
        <w:t>中标人</w:t>
      </w:r>
      <w:r>
        <w:rPr>
          <w:rFonts w:hint="eastAsia" w:ascii="宋体" w:hAnsi="宋体" w:eastAsia="宋体" w:cs="宋体"/>
          <w:sz w:val="24"/>
          <w:highlight w:val="none"/>
        </w:rPr>
        <w:t>负责所有设备的安装、调试工作，所有费用一次包死在总价内。</w:t>
      </w:r>
      <w:r>
        <w:rPr>
          <w:rFonts w:hint="eastAsia" w:ascii="宋体" w:hAnsi="宋体" w:eastAsia="宋体" w:cs="宋体"/>
          <w:sz w:val="24"/>
          <w:highlight w:val="none"/>
          <w:lang w:eastAsia="zh-CN"/>
        </w:rPr>
        <w:t>中标人</w:t>
      </w:r>
      <w:r>
        <w:rPr>
          <w:rFonts w:hint="eastAsia" w:ascii="宋体" w:hAnsi="宋体" w:eastAsia="宋体" w:cs="宋体"/>
          <w:sz w:val="24"/>
          <w:highlight w:val="none"/>
        </w:rPr>
        <w:t>应免费培训科室工作人员熟练掌握设备操作及设备今后免费系统升级。</w:t>
      </w:r>
    </w:p>
    <w:p>
      <w:pPr>
        <w:keepNext w:val="0"/>
        <w:keepLines w:val="0"/>
        <w:pageBreakBefore w:val="0"/>
        <w:widowControl/>
        <w:kinsoku/>
        <w:wordWrap/>
        <w:overflowPunct/>
        <w:topLinePunct w:val="0"/>
        <w:autoSpaceDE/>
        <w:autoSpaceDN/>
        <w:bidi w:val="0"/>
        <w:spacing w:line="480" w:lineRule="exact"/>
        <w:ind w:firstLine="480" w:firstLineChars="200"/>
        <w:textAlignment w:val="auto"/>
        <w:outlineLvl w:val="2"/>
        <w:rPr>
          <w:rFonts w:hint="eastAsia" w:ascii="宋体" w:hAnsi="宋体" w:eastAsia="宋体" w:cs="宋体"/>
          <w:sz w:val="24"/>
          <w:highlight w:val="none"/>
        </w:rPr>
      </w:pPr>
      <w:bookmarkStart w:id="105" w:name="_Toc14764"/>
      <w:r>
        <w:rPr>
          <w:rFonts w:hint="eastAsia" w:ascii="宋体" w:hAnsi="宋体" w:eastAsia="宋体" w:cs="宋体"/>
          <w:b/>
          <w:bCs/>
          <w:sz w:val="24"/>
          <w:highlight w:val="none"/>
          <w:lang w:val="en-US" w:eastAsia="zh-CN"/>
        </w:rPr>
        <w:t>3.</w:t>
      </w:r>
      <w:r>
        <w:rPr>
          <w:rFonts w:hint="eastAsia" w:ascii="宋体" w:hAnsi="宋体" w:eastAsia="宋体" w:cs="宋体"/>
          <w:b/>
          <w:bCs/>
          <w:sz w:val="24"/>
          <w:highlight w:val="none"/>
        </w:rPr>
        <w:t>付款方式：</w:t>
      </w:r>
      <w:bookmarkEnd w:id="105"/>
    </w:p>
    <w:p>
      <w:pPr>
        <w:keepNext w:val="0"/>
        <w:keepLines w:val="0"/>
        <w:pageBreakBefore w:val="0"/>
        <w:widowControl/>
        <w:kinsoku/>
        <w:wordWrap/>
        <w:overflowPunct/>
        <w:topLinePunct w:val="0"/>
        <w:autoSpaceDE/>
        <w:autoSpaceDN/>
        <w:bidi w:val="0"/>
        <w:spacing w:line="480" w:lineRule="exact"/>
        <w:ind w:firstLine="480" w:firstLineChars="200"/>
        <w:textAlignment w:val="auto"/>
        <w:rPr>
          <w:rFonts w:hint="eastAsia" w:ascii="宋体" w:hAnsi="宋体" w:eastAsia="宋体" w:cs="宋体"/>
          <w:b/>
          <w:bCs/>
          <w:sz w:val="24"/>
          <w:highlight w:val="none"/>
          <w:lang w:val="en-US" w:eastAsia="zh-CN"/>
        </w:rPr>
      </w:pPr>
      <w:bookmarkStart w:id="106" w:name="_Toc3408"/>
      <w:r>
        <w:rPr>
          <w:rFonts w:hint="eastAsia" w:ascii="宋体" w:hAnsi="宋体"/>
          <w:color w:val="auto"/>
          <w:sz w:val="24"/>
          <w:highlight w:val="none"/>
        </w:rPr>
        <w:t>货物安装调试使用合格验收后支付总金额的60%，一年后无质量问题支付总金额的30%，二年后无质量问题支付剩余10%</w:t>
      </w:r>
      <w:r>
        <w:rPr>
          <w:rFonts w:hint="eastAsia" w:ascii="宋体" w:hAnsi="宋体" w:eastAsia="宋体" w:cs="宋体"/>
          <w:b w:val="0"/>
          <w:bCs w:val="0"/>
          <w:sz w:val="24"/>
          <w:highlight w:val="none"/>
          <w:lang w:val="en-US" w:eastAsia="zh-CN"/>
        </w:rPr>
        <w:t>。</w:t>
      </w:r>
    </w:p>
    <w:p>
      <w:pPr>
        <w:keepNext w:val="0"/>
        <w:keepLines w:val="0"/>
        <w:pageBreakBefore w:val="0"/>
        <w:widowControl/>
        <w:tabs>
          <w:tab w:val="left" w:pos="3918"/>
        </w:tabs>
        <w:kinsoku/>
        <w:wordWrap/>
        <w:overflowPunct/>
        <w:topLinePunct w:val="0"/>
        <w:autoSpaceDE/>
        <w:autoSpaceDN/>
        <w:bidi w:val="0"/>
        <w:adjustRightInd w:val="0"/>
        <w:snapToGrid w:val="0"/>
        <w:spacing w:line="480" w:lineRule="exact"/>
        <w:ind w:firstLine="470" w:firstLineChars="196"/>
        <w:textAlignment w:val="auto"/>
        <w:outlineLvl w:val="2"/>
        <w:rPr>
          <w:rFonts w:hint="eastAsia" w:ascii="宋体" w:hAnsi="宋体" w:eastAsia="宋体" w:cs="宋体"/>
          <w:b/>
          <w:sz w:val="24"/>
          <w:highlight w:val="none"/>
        </w:rPr>
      </w:pPr>
      <w:r>
        <w:rPr>
          <w:rFonts w:hint="eastAsia" w:ascii="宋体" w:hAnsi="宋体" w:eastAsia="宋体" w:cs="宋体"/>
          <w:b/>
          <w:sz w:val="24"/>
          <w:highlight w:val="none"/>
          <w:lang w:val="en-US" w:eastAsia="zh-CN"/>
        </w:rPr>
        <w:t>4.</w:t>
      </w:r>
      <w:r>
        <w:rPr>
          <w:rFonts w:hint="eastAsia" w:ascii="宋体" w:hAnsi="宋体" w:eastAsia="宋体" w:cs="宋体"/>
          <w:b/>
          <w:sz w:val="24"/>
          <w:highlight w:val="none"/>
        </w:rPr>
        <w:t>验收</w:t>
      </w:r>
      <w:bookmarkStart w:id="107" w:name="_Toc167715238"/>
      <w:bookmarkStart w:id="108" w:name="_Toc167712843"/>
      <w:bookmarkStart w:id="109" w:name="_Toc167714041"/>
      <w:r>
        <w:rPr>
          <w:rFonts w:hint="eastAsia" w:ascii="宋体" w:hAnsi="宋体" w:eastAsia="宋体" w:cs="宋体"/>
          <w:b/>
          <w:sz w:val="24"/>
          <w:highlight w:val="none"/>
        </w:rPr>
        <w:t>:</w:t>
      </w:r>
      <w:bookmarkEnd w:id="106"/>
      <w:r>
        <w:rPr>
          <w:rFonts w:hint="eastAsia" w:ascii="宋体" w:hAnsi="宋体" w:eastAsia="宋体" w:cs="宋体"/>
          <w:b/>
          <w:sz w:val="24"/>
          <w:highlight w:val="none"/>
        </w:rPr>
        <w:tab/>
      </w:r>
    </w:p>
    <w:p>
      <w:pPr>
        <w:keepNext w:val="0"/>
        <w:keepLines w:val="0"/>
        <w:pageBreakBefore w:val="0"/>
        <w:widowControl/>
        <w:kinsoku/>
        <w:wordWrap/>
        <w:overflowPunct/>
        <w:topLinePunct w:val="0"/>
        <w:autoSpaceDE/>
        <w:autoSpaceDN/>
        <w:bidi w:val="0"/>
        <w:adjustRightInd w:val="0"/>
        <w:snapToGrid w:val="0"/>
        <w:spacing w:line="480" w:lineRule="exact"/>
        <w:ind w:firstLine="470" w:firstLineChars="196"/>
        <w:textAlignment w:val="auto"/>
        <w:rPr>
          <w:rFonts w:hint="eastAsia" w:ascii="宋体" w:hAnsi="宋体" w:eastAsia="宋体" w:cs="宋体"/>
          <w:sz w:val="24"/>
          <w:highlight w:val="none"/>
          <w:lang w:val="en-US" w:eastAsia="zh-CN"/>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设备的验收执行</w:t>
      </w:r>
      <w:r>
        <w:rPr>
          <w:rFonts w:hint="eastAsia" w:ascii="宋体" w:hAnsi="宋体" w:eastAsia="宋体" w:cs="宋体"/>
          <w:color w:val="000000" w:themeColor="text1"/>
          <w:sz w:val="24"/>
          <w:szCs w:val="24"/>
          <w:highlight w:val="none"/>
          <w14:textFill>
            <w14:solidFill>
              <w14:schemeClr w14:val="tx1"/>
            </w14:solidFill>
          </w14:textFill>
        </w:rPr>
        <w:t>国家标准或国家行政部门颁布的法律法规、规章制度等，没有国家标准的，可以参考行业标准</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480" w:lineRule="exact"/>
        <w:ind w:firstLine="470" w:firstLineChars="196"/>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4.1</w:t>
      </w:r>
      <w:r>
        <w:rPr>
          <w:rFonts w:hint="eastAsia" w:ascii="宋体" w:hAnsi="宋体" w:eastAsia="宋体" w:cs="宋体"/>
          <w:sz w:val="24"/>
          <w:highlight w:val="none"/>
        </w:rPr>
        <w:t>项目验收分初验和终验:</w:t>
      </w:r>
      <w:bookmarkEnd w:id="107"/>
      <w:bookmarkEnd w:id="108"/>
      <w:bookmarkEnd w:id="109"/>
      <w:bookmarkStart w:id="110" w:name="_Toc167715239"/>
      <w:bookmarkStart w:id="111" w:name="_Toc167714042"/>
      <w:bookmarkStart w:id="112" w:name="_Toc167712844"/>
    </w:p>
    <w:bookmarkEnd w:id="110"/>
    <w:bookmarkEnd w:id="111"/>
    <w:bookmarkEnd w:id="112"/>
    <w:p>
      <w:pPr>
        <w:keepNext w:val="0"/>
        <w:keepLines w:val="0"/>
        <w:pageBreakBefore w:val="0"/>
        <w:widowControl/>
        <w:kinsoku/>
        <w:wordWrap/>
        <w:overflowPunct/>
        <w:topLinePunct w:val="0"/>
        <w:autoSpaceDE/>
        <w:autoSpaceDN/>
        <w:bidi w:val="0"/>
        <w:spacing w:line="480" w:lineRule="exact"/>
        <w:ind w:firstLine="480" w:firstLineChars="200"/>
        <w:textAlignment w:val="auto"/>
        <w:rPr>
          <w:rFonts w:hint="eastAsia" w:ascii="宋体" w:hAnsi="宋体" w:eastAsia="宋体" w:cs="宋体"/>
          <w:sz w:val="24"/>
          <w:highlight w:val="none"/>
        </w:rPr>
      </w:pPr>
      <w:bookmarkStart w:id="113" w:name="_Toc167712846"/>
      <w:bookmarkStart w:id="114" w:name="_Toc167715241"/>
      <w:bookmarkStart w:id="115" w:name="_Toc167714044"/>
      <w:r>
        <w:rPr>
          <w:rFonts w:hint="eastAsia" w:ascii="宋体" w:hAnsi="宋体" w:eastAsia="宋体" w:cs="宋体"/>
          <w:sz w:val="24"/>
          <w:highlight w:val="none"/>
        </w:rPr>
        <w:t>初验：货物到达交货地点后，由使用单位根据合同对货物的名称、品牌、规格、型号、产地、数量进行检查。</w:t>
      </w:r>
    </w:p>
    <w:p>
      <w:pPr>
        <w:keepNext w:val="0"/>
        <w:keepLines w:val="0"/>
        <w:pageBreakBefore w:val="0"/>
        <w:widowControl/>
        <w:kinsoku/>
        <w:wordWrap/>
        <w:overflowPunct/>
        <w:topLinePunct w:val="0"/>
        <w:autoSpaceDE/>
        <w:autoSpaceDN/>
        <w:bidi w:val="0"/>
        <w:spacing w:line="48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终验：所有货物安装完毕，正常使用10个日历日后，由采购人、使用单位进行终验（最终验收），合格后签发《终验合格单》。</w:t>
      </w:r>
      <w:r>
        <w:rPr>
          <w:rFonts w:hint="eastAsia" w:ascii="宋体" w:hAnsi="宋体" w:eastAsia="宋体" w:cs="宋体"/>
          <w:sz w:val="24"/>
          <w:highlight w:val="none"/>
        </w:rPr>
        <w:cr/>
      </w:r>
      <w:r>
        <w:rPr>
          <w:rFonts w:hint="eastAsia" w:ascii="宋体" w:hAnsi="宋体" w:eastAsia="宋体" w:cs="宋体"/>
          <w:sz w:val="24"/>
          <w:highlight w:val="none"/>
        </w:rPr>
        <w:t xml:space="preserve">  </w:t>
      </w:r>
      <w:r>
        <w:rPr>
          <w:rFonts w:hint="eastAsia" w:ascii="宋体" w:hAnsi="宋体" w:eastAsia="宋体" w:cs="宋体"/>
          <w:sz w:val="24"/>
          <w:highlight w:val="none"/>
          <w:lang w:val="en-US" w:eastAsia="zh-CN"/>
        </w:rPr>
        <w:t xml:space="preserve">  4.2</w:t>
      </w:r>
      <w:r>
        <w:rPr>
          <w:rFonts w:hint="eastAsia" w:ascii="宋体" w:hAnsi="宋体" w:eastAsia="宋体" w:cs="宋体"/>
          <w:sz w:val="24"/>
          <w:highlight w:val="none"/>
        </w:rPr>
        <w:t>验收不合格的</w:t>
      </w:r>
      <w:r>
        <w:rPr>
          <w:rFonts w:hint="eastAsia" w:ascii="宋体" w:hAnsi="宋体" w:eastAsia="宋体" w:cs="宋体"/>
          <w:sz w:val="24"/>
          <w:highlight w:val="none"/>
          <w:lang w:eastAsia="zh-CN"/>
        </w:rPr>
        <w:t>中标人</w:t>
      </w:r>
      <w:r>
        <w:rPr>
          <w:rFonts w:hint="eastAsia" w:ascii="宋体" w:hAnsi="宋体" w:eastAsia="宋体" w:cs="宋体"/>
          <w:sz w:val="24"/>
          <w:highlight w:val="none"/>
        </w:rPr>
        <w:t>，必须在接到通知后7个日历日内确保货物通过验收。如接到通知后7个日历日内验收仍不合格，采购人可提出索赔或取消其供货合同。采购代理机构将把成交资格授予评审排序下一名的</w:t>
      </w:r>
      <w:r>
        <w:rPr>
          <w:rFonts w:hint="eastAsia" w:ascii="宋体" w:hAnsi="宋体" w:eastAsia="宋体" w:cs="宋体"/>
          <w:sz w:val="24"/>
          <w:highlight w:val="none"/>
          <w:lang w:eastAsia="zh-CN"/>
        </w:rPr>
        <w:t>中标人</w:t>
      </w:r>
      <w:r>
        <w:rPr>
          <w:rFonts w:hint="eastAsia" w:ascii="宋体" w:hAnsi="宋体" w:eastAsia="宋体" w:cs="宋体"/>
          <w:sz w:val="24"/>
          <w:highlight w:val="none"/>
        </w:rPr>
        <w:t>。</w:t>
      </w:r>
    </w:p>
    <w:p>
      <w:pPr>
        <w:keepNext w:val="0"/>
        <w:keepLines w:val="0"/>
        <w:pageBreakBefore w:val="0"/>
        <w:widowControl/>
        <w:kinsoku/>
        <w:wordWrap/>
        <w:overflowPunct/>
        <w:topLinePunct w:val="0"/>
        <w:autoSpaceDE/>
        <w:autoSpaceDN/>
        <w:bidi w:val="0"/>
        <w:adjustRightInd w:val="0"/>
        <w:snapToGrid w:val="0"/>
        <w:spacing w:line="480" w:lineRule="exact"/>
        <w:ind w:firstLine="470" w:firstLineChars="196"/>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4.3</w:t>
      </w:r>
      <w:r>
        <w:rPr>
          <w:rFonts w:hint="eastAsia" w:ascii="宋体" w:hAnsi="宋体" w:eastAsia="宋体" w:cs="宋体"/>
          <w:sz w:val="24"/>
          <w:highlight w:val="none"/>
        </w:rPr>
        <w:t>验收依据</w:t>
      </w:r>
      <w:bookmarkEnd w:id="113"/>
      <w:bookmarkEnd w:id="114"/>
      <w:bookmarkEnd w:id="115"/>
      <w:bookmarkStart w:id="116" w:name="_Toc167712847"/>
      <w:bookmarkStart w:id="117" w:name="_Toc167714045"/>
      <w:bookmarkStart w:id="118" w:name="_Toc167715242"/>
    </w:p>
    <w:bookmarkEnd w:id="116"/>
    <w:bookmarkEnd w:id="117"/>
    <w:bookmarkEnd w:id="118"/>
    <w:p>
      <w:pPr>
        <w:pStyle w:val="4"/>
        <w:keepNext w:val="0"/>
        <w:keepLines w:val="0"/>
        <w:pageBreakBefore w:val="0"/>
        <w:widowControl/>
        <w:kinsoku/>
        <w:wordWrap/>
        <w:overflowPunct/>
        <w:topLinePunct w:val="0"/>
        <w:autoSpaceDE/>
        <w:autoSpaceDN/>
        <w:bidi w:val="0"/>
        <w:spacing w:line="480" w:lineRule="exact"/>
        <w:textAlignment w:val="auto"/>
        <w:outlineLvl w:val="2"/>
        <w:rPr>
          <w:rFonts w:hint="eastAsia" w:ascii="宋体" w:hAnsi="宋体" w:eastAsia="宋体" w:cs="宋体"/>
          <w:b w:val="0"/>
          <w:bCs/>
          <w:sz w:val="24"/>
          <w:highlight w:val="none"/>
          <w:lang w:val="en-US" w:eastAsia="zh-CN"/>
        </w:rPr>
      </w:pPr>
      <w:bookmarkStart w:id="119" w:name="_Toc1389"/>
      <w:r>
        <w:rPr>
          <w:rFonts w:hint="eastAsia" w:ascii="宋体" w:hAnsi="宋体" w:eastAsia="宋体" w:cs="宋体"/>
          <w:b w:val="0"/>
          <w:bCs/>
          <w:sz w:val="24"/>
          <w:highlight w:val="none"/>
          <w:lang w:val="en-US" w:eastAsia="zh-CN"/>
        </w:rPr>
        <w:t xml:space="preserve">4.3.1合同文本及合同补充文件（条款）； </w:t>
      </w:r>
    </w:p>
    <w:p>
      <w:pPr>
        <w:pStyle w:val="4"/>
        <w:keepNext w:val="0"/>
        <w:keepLines w:val="0"/>
        <w:pageBreakBefore w:val="0"/>
        <w:widowControl/>
        <w:kinsoku/>
        <w:wordWrap/>
        <w:overflowPunct/>
        <w:topLinePunct w:val="0"/>
        <w:autoSpaceDE/>
        <w:autoSpaceDN/>
        <w:bidi w:val="0"/>
        <w:spacing w:line="480" w:lineRule="exact"/>
        <w:textAlignment w:val="auto"/>
        <w:outlineLvl w:val="2"/>
        <w:rPr>
          <w:rFonts w:hint="eastAsia" w:ascii="宋体" w:hAnsi="宋体" w:eastAsia="宋体" w:cs="宋体"/>
          <w:b w:val="0"/>
          <w:bCs/>
          <w:sz w:val="24"/>
          <w:highlight w:val="none"/>
          <w:lang w:val="en-US" w:eastAsia="zh-CN"/>
        </w:rPr>
      </w:pPr>
      <w:r>
        <w:rPr>
          <w:rFonts w:hint="eastAsia" w:ascii="宋体" w:hAnsi="宋体" w:eastAsia="宋体" w:cs="宋体"/>
          <w:b w:val="0"/>
          <w:bCs/>
          <w:sz w:val="24"/>
          <w:highlight w:val="none"/>
          <w:lang w:val="en-US" w:eastAsia="zh-CN"/>
        </w:rPr>
        <w:t>4.3.2产品的合法来源渠道证明文件、响应功能证明材料；</w:t>
      </w:r>
    </w:p>
    <w:p>
      <w:pPr>
        <w:pStyle w:val="4"/>
        <w:keepNext w:val="0"/>
        <w:keepLines w:val="0"/>
        <w:pageBreakBefore w:val="0"/>
        <w:widowControl/>
        <w:kinsoku/>
        <w:wordWrap/>
        <w:overflowPunct/>
        <w:topLinePunct w:val="0"/>
        <w:autoSpaceDE/>
        <w:autoSpaceDN/>
        <w:bidi w:val="0"/>
        <w:spacing w:line="480" w:lineRule="exact"/>
        <w:textAlignment w:val="auto"/>
        <w:outlineLvl w:val="2"/>
        <w:rPr>
          <w:rFonts w:hint="eastAsia" w:ascii="宋体" w:hAnsi="宋体" w:eastAsia="宋体" w:cs="宋体"/>
          <w:b w:val="0"/>
          <w:bCs/>
          <w:sz w:val="24"/>
          <w:highlight w:val="none"/>
          <w:lang w:val="en-US" w:eastAsia="zh-CN"/>
        </w:rPr>
      </w:pPr>
      <w:r>
        <w:rPr>
          <w:rFonts w:hint="eastAsia" w:ascii="宋体" w:hAnsi="宋体" w:eastAsia="宋体" w:cs="宋体"/>
          <w:b w:val="0"/>
          <w:bCs/>
          <w:sz w:val="24"/>
          <w:highlight w:val="none"/>
          <w:lang w:val="en-US" w:eastAsia="zh-CN"/>
        </w:rPr>
        <w:t>4.3.3公开招标文件；</w:t>
      </w:r>
    </w:p>
    <w:p>
      <w:pPr>
        <w:pStyle w:val="4"/>
        <w:keepNext w:val="0"/>
        <w:keepLines w:val="0"/>
        <w:pageBreakBefore w:val="0"/>
        <w:widowControl/>
        <w:kinsoku/>
        <w:wordWrap/>
        <w:overflowPunct/>
        <w:topLinePunct w:val="0"/>
        <w:autoSpaceDE/>
        <w:autoSpaceDN/>
        <w:bidi w:val="0"/>
        <w:spacing w:line="480" w:lineRule="exact"/>
        <w:textAlignment w:val="auto"/>
        <w:outlineLvl w:val="2"/>
        <w:rPr>
          <w:rFonts w:hint="eastAsia" w:ascii="宋体" w:hAnsi="宋体" w:eastAsia="宋体" w:cs="宋体"/>
          <w:b w:val="0"/>
          <w:bCs/>
          <w:sz w:val="24"/>
          <w:highlight w:val="none"/>
          <w:lang w:val="en-US" w:eastAsia="zh-CN"/>
        </w:rPr>
      </w:pPr>
      <w:r>
        <w:rPr>
          <w:rFonts w:hint="eastAsia" w:ascii="宋体" w:hAnsi="宋体" w:eastAsia="宋体" w:cs="宋体"/>
          <w:b w:val="0"/>
          <w:bCs/>
          <w:sz w:val="24"/>
          <w:highlight w:val="none"/>
          <w:lang w:val="en-US" w:eastAsia="zh-CN"/>
        </w:rPr>
        <w:t>4.3.4中标人的投标文件；</w:t>
      </w:r>
    </w:p>
    <w:p>
      <w:pPr>
        <w:pStyle w:val="4"/>
        <w:keepNext w:val="0"/>
        <w:keepLines w:val="0"/>
        <w:pageBreakBefore w:val="0"/>
        <w:widowControl/>
        <w:kinsoku/>
        <w:wordWrap/>
        <w:overflowPunct/>
        <w:topLinePunct w:val="0"/>
        <w:autoSpaceDE/>
        <w:autoSpaceDN/>
        <w:bidi w:val="0"/>
        <w:spacing w:line="480" w:lineRule="exact"/>
        <w:textAlignment w:val="auto"/>
        <w:outlineLvl w:val="2"/>
        <w:rPr>
          <w:rFonts w:hint="eastAsia" w:ascii="宋体" w:hAnsi="宋体" w:eastAsia="宋体" w:cs="宋体"/>
          <w:b w:val="0"/>
          <w:bCs/>
          <w:sz w:val="24"/>
          <w:highlight w:val="none"/>
          <w:lang w:val="en-US" w:eastAsia="zh-CN"/>
        </w:rPr>
      </w:pPr>
      <w:r>
        <w:rPr>
          <w:rFonts w:hint="eastAsia" w:ascii="宋体" w:hAnsi="宋体" w:eastAsia="宋体" w:cs="宋体"/>
          <w:b w:val="0"/>
          <w:bCs/>
          <w:sz w:val="24"/>
          <w:highlight w:val="none"/>
          <w:lang w:val="en-US" w:eastAsia="zh-CN"/>
        </w:rPr>
        <w:t>4.3.5货物清单；</w:t>
      </w:r>
    </w:p>
    <w:p>
      <w:pPr>
        <w:pStyle w:val="4"/>
        <w:keepNext w:val="0"/>
        <w:keepLines w:val="0"/>
        <w:pageBreakBefore w:val="0"/>
        <w:widowControl/>
        <w:kinsoku/>
        <w:wordWrap/>
        <w:overflowPunct/>
        <w:topLinePunct w:val="0"/>
        <w:autoSpaceDE/>
        <w:autoSpaceDN/>
        <w:bidi w:val="0"/>
        <w:spacing w:line="480" w:lineRule="exact"/>
        <w:textAlignment w:val="auto"/>
        <w:outlineLvl w:val="2"/>
        <w:rPr>
          <w:rFonts w:hint="eastAsia" w:ascii="宋体" w:hAnsi="宋体" w:eastAsia="宋体" w:cs="宋体"/>
          <w:b w:val="0"/>
          <w:bCs/>
          <w:sz w:val="24"/>
          <w:highlight w:val="none"/>
          <w:lang w:val="en-US" w:eastAsia="zh-CN"/>
        </w:rPr>
      </w:pPr>
      <w:r>
        <w:rPr>
          <w:rFonts w:hint="eastAsia" w:ascii="宋体" w:hAnsi="宋体" w:eastAsia="宋体" w:cs="宋体"/>
          <w:b w:val="0"/>
          <w:bCs/>
          <w:sz w:val="24"/>
          <w:highlight w:val="none"/>
          <w:lang w:val="en-US" w:eastAsia="zh-CN"/>
        </w:rPr>
        <w:t>4.3.6生产厂家的企业资质、货物的执行标准。</w:t>
      </w:r>
    </w:p>
    <w:p>
      <w:pPr>
        <w:pStyle w:val="4"/>
        <w:keepNext w:val="0"/>
        <w:keepLines w:val="0"/>
        <w:pageBreakBefore w:val="0"/>
        <w:widowControl/>
        <w:kinsoku/>
        <w:wordWrap/>
        <w:overflowPunct/>
        <w:topLinePunct w:val="0"/>
        <w:autoSpaceDE/>
        <w:autoSpaceDN/>
        <w:bidi w:val="0"/>
        <w:spacing w:line="480" w:lineRule="exact"/>
        <w:textAlignment w:val="auto"/>
        <w:outlineLvl w:val="2"/>
        <w:rPr>
          <w:rFonts w:hint="eastAsia" w:ascii="宋体" w:hAnsi="宋体" w:eastAsia="宋体" w:cs="宋体"/>
          <w:b/>
          <w:bCs w:val="0"/>
          <w:sz w:val="24"/>
          <w:highlight w:val="none"/>
          <w:lang w:val="en-US" w:eastAsia="zh-CN"/>
        </w:rPr>
      </w:pPr>
      <w:r>
        <w:rPr>
          <w:rFonts w:hint="eastAsia" w:ascii="宋体" w:hAnsi="宋体" w:eastAsia="宋体" w:cs="宋体"/>
          <w:b/>
          <w:bCs w:val="0"/>
          <w:sz w:val="24"/>
          <w:highlight w:val="none"/>
          <w:lang w:val="en-US" w:eastAsia="zh-CN"/>
        </w:rPr>
        <w:t>5.质量保证</w:t>
      </w:r>
      <w:bookmarkEnd w:id="119"/>
    </w:p>
    <w:p>
      <w:pPr>
        <w:pStyle w:val="4"/>
        <w:keepNext w:val="0"/>
        <w:keepLines w:val="0"/>
        <w:pageBreakBefore w:val="0"/>
        <w:widowControl/>
        <w:kinsoku/>
        <w:wordWrap/>
        <w:overflowPunct/>
        <w:topLinePunct w:val="0"/>
        <w:autoSpaceDE/>
        <w:autoSpaceDN/>
        <w:bidi w:val="0"/>
        <w:spacing w:line="480" w:lineRule="exact"/>
        <w:textAlignment w:val="auto"/>
        <w:rPr>
          <w:rFonts w:hint="eastAsia" w:ascii="宋体" w:hAnsi="宋体" w:eastAsia="宋体" w:cs="宋体"/>
          <w:b w:val="0"/>
          <w:bCs/>
          <w:sz w:val="24"/>
          <w:highlight w:val="none"/>
          <w:lang w:val="en-US" w:eastAsia="zh-CN"/>
        </w:rPr>
      </w:pPr>
      <w:bookmarkStart w:id="120" w:name="_Toc30956"/>
      <w:r>
        <w:rPr>
          <w:rFonts w:hint="eastAsia" w:ascii="宋体" w:hAnsi="宋体" w:eastAsia="宋体" w:cs="宋体"/>
          <w:b w:val="0"/>
          <w:bCs/>
          <w:sz w:val="24"/>
          <w:highlight w:val="none"/>
          <w:lang w:val="en-US" w:eastAsia="zh-CN"/>
        </w:rPr>
        <w:t>5.1设备整机质保二年，终身免费维修（只收取成本费）（参数中有具体要求的，按参数要求提供质保）。中标人承诺的质保时间超过招标文件要求的，按其承诺时间质保。</w:t>
      </w:r>
      <w:bookmarkEnd w:id="120"/>
    </w:p>
    <w:p>
      <w:pPr>
        <w:pStyle w:val="4"/>
        <w:keepNext w:val="0"/>
        <w:keepLines w:val="0"/>
        <w:pageBreakBefore w:val="0"/>
        <w:widowControl/>
        <w:kinsoku/>
        <w:wordWrap/>
        <w:overflowPunct/>
        <w:topLinePunct w:val="0"/>
        <w:autoSpaceDE/>
        <w:autoSpaceDN/>
        <w:bidi w:val="0"/>
        <w:spacing w:line="480" w:lineRule="exact"/>
        <w:textAlignment w:val="auto"/>
        <w:outlineLvl w:val="3"/>
        <w:rPr>
          <w:rFonts w:hint="eastAsia" w:ascii="宋体" w:hAnsi="宋体" w:eastAsia="宋体" w:cs="宋体"/>
          <w:b w:val="0"/>
          <w:bCs/>
          <w:sz w:val="24"/>
          <w:highlight w:val="none"/>
          <w:lang w:val="en-US" w:eastAsia="zh-CN"/>
        </w:rPr>
      </w:pPr>
      <w:bookmarkStart w:id="121" w:name="_Toc11290"/>
      <w:r>
        <w:rPr>
          <w:rFonts w:hint="eastAsia" w:ascii="宋体" w:hAnsi="宋体" w:eastAsia="宋体" w:cs="宋体"/>
          <w:b w:val="0"/>
          <w:bCs/>
          <w:sz w:val="24"/>
          <w:highlight w:val="none"/>
          <w:lang w:val="en-US" w:eastAsia="zh-CN"/>
        </w:rPr>
        <w:t>5.2中标人承诺的质保期起始时间为终验合格之日。</w:t>
      </w:r>
      <w:bookmarkEnd w:id="121"/>
    </w:p>
    <w:p>
      <w:pPr>
        <w:pStyle w:val="4"/>
        <w:keepNext w:val="0"/>
        <w:keepLines w:val="0"/>
        <w:pageBreakBefore w:val="0"/>
        <w:widowControl/>
        <w:kinsoku/>
        <w:wordWrap/>
        <w:overflowPunct/>
        <w:topLinePunct w:val="0"/>
        <w:autoSpaceDE/>
        <w:autoSpaceDN/>
        <w:bidi w:val="0"/>
        <w:spacing w:line="480" w:lineRule="exact"/>
        <w:textAlignment w:val="auto"/>
        <w:rPr>
          <w:rFonts w:hint="eastAsia" w:ascii="宋体" w:hAnsi="宋体" w:eastAsia="宋体" w:cs="宋体"/>
          <w:b w:val="0"/>
          <w:bCs/>
          <w:sz w:val="24"/>
          <w:highlight w:val="none"/>
          <w:lang w:val="en-US" w:eastAsia="zh-CN"/>
        </w:rPr>
      </w:pPr>
      <w:bookmarkStart w:id="122" w:name="_Toc17915"/>
      <w:r>
        <w:rPr>
          <w:rFonts w:hint="eastAsia" w:ascii="宋体" w:hAnsi="宋体" w:eastAsia="宋体" w:cs="宋体"/>
          <w:b w:val="0"/>
          <w:bCs/>
          <w:sz w:val="24"/>
          <w:highlight w:val="none"/>
          <w:lang w:val="en-US" w:eastAsia="zh-CN"/>
        </w:rPr>
        <w:t>5.3所有产品质量必须符合国家有关规范和相关政策。所有设备及辅材必须是未使用过的新产品，质量优良、渠道正当，配置合理。</w:t>
      </w:r>
      <w:bookmarkEnd w:id="122"/>
    </w:p>
    <w:p>
      <w:pPr>
        <w:pStyle w:val="4"/>
        <w:keepNext w:val="0"/>
        <w:keepLines w:val="0"/>
        <w:pageBreakBefore w:val="0"/>
        <w:widowControl/>
        <w:kinsoku/>
        <w:wordWrap/>
        <w:overflowPunct/>
        <w:topLinePunct w:val="0"/>
        <w:autoSpaceDE/>
        <w:autoSpaceDN/>
        <w:bidi w:val="0"/>
        <w:spacing w:line="480" w:lineRule="exact"/>
        <w:textAlignment w:val="auto"/>
        <w:rPr>
          <w:rFonts w:hint="eastAsia" w:ascii="宋体" w:hAnsi="宋体" w:eastAsia="宋体" w:cs="宋体"/>
          <w:b w:val="0"/>
          <w:bCs/>
          <w:sz w:val="24"/>
          <w:highlight w:val="none"/>
          <w:lang w:val="en-US" w:eastAsia="zh-CN"/>
        </w:rPr>
      </w:pPr>
      <w:bookmarkStart w:id="123" w:name="_Toc2249"/>
      <w:r>
        <w:rPr>
          <w:rFonts w:hint="eastAsia" w:ascii="宋体" w:hAnsi="宋体" w:eastAsia="宋体" w:cs="宋体"/>
          <w:b w:val="0"/>
          <w:bCs/>
          <w:sz w:val="24"/>
          <w:highlight w:val="none"/>
          <w:lang w:val="en-US" w:eastAsia="zh-CN"/>
        </w:rPr>
        <w:t>5.4质保期出现的质量问题由中标人负责解决并承担所有费用。质保期后如需更换零部件，中标人应以优惠价提供。</w:t>
      </w:r>
      <w:bookmarkEnd w:id="123"/>
    </w:p>
    <w:p>
      <w:pPr>
        <w:pStyle w:val="4"/>
        <w:keepNext w:val="0"/>
        <w:keepLines w:val="0"/>
        <w:pageBreakBefore w:val="0"/>
        <w:widowControl/>
        <w:kinsoku/>
        <w:wordWrap/>
        <w:overflowPunct/>
        <w:topLinePunct w:val="0"/>
        <w:autoSpaceDE/>
        <w:autoSpaceDN/>
        <w:bidi w:val="0"/>
        <w:spacing w:line="480" w:lineRule="exact"/>
        <w:textAlignment w:val="auto"/>
        <w:outlineLvl w:val="2"/>
        <w:rPr>
          <w:rFonts w:hint="eastAsia" w:ascii="宋体" w:hAnsi="宋体" w:eastAsia="宋体" w:cs="宋体"/>
          <w:b/>
          <w:bCs w:val="0"/>
          <w:sz w:val="24"/>
          <w:highlight w:val="none"/>
          <w:lang w:val="en-US" w:eastAsia="zh-CN"/>
        </w:rPr>
      </w:pPr>
      <w:bookmarkStart w:id="124" w:name="_Toc20226"/>
      <w:r>
        <w:rPr>
          <w:rFonts w:hint="eastAsia" w:ascii="宋体" w:hAnsi="宋体" w:eastAsia="宋体" w:cs="宋体"/>
          <w:b/>
          <w:bCs w:val="0"/>
          <w:sz w:val="24"/>
          <w:highlight w:val="none"/>
          <w:lang w:val="en-US" w:eastAsia="zh-CN"/>
        </w:rPr>
        <w:t>6.合同实施：</w:t>
      </w:r>
      <w:bookmarkEnd w:id="124"/>
    </w:p>
    <w:p>
      <w:pPr>
        <w:pStyle w:val="4"/>
        <w:keepNext w:val="0"/>
        <w:keepLines w:val="0"/>
        <w:pageBreakBefore w:val="0"/>
        <w:widowControl/>
        <w:kinsoku/>
        <w:wordWrap/>
        <w:overflowPunct/>
        <w:topLinePunct w:val="0"/>
        <w:autoSpaceDE/>
        <w:autoSpaceDN/>
        <w:bidi w:val="0"/>
        <w:spacing w:line="480" w:lineRule="exact"/>
        <w:textAlignment w:val="auto"/>
        <w:rPr>
          <w:rFonts w:hint="eastAsia" w:ascii="宋体" w:hAnsi="宋体" w:eastAsia="宋体" w:cs="宋体"/>
          <w:b w:val="0"/>
          <w:bCs/>
          <w:sz w:val="24"/>
          <w:highlight w:val="none"/>
          <w:lang w:val="en-US" w:eastAsia="zh-CN"/>
        </w:rPr>
      </w:pPr>
      <w:bookmarkStart w:id="125" w:name="_Toc20640"/>
      <w:r>
        <w:rPr>
          <w:rFonts w:hint="eastAsia" w:ascii="宋体" w:hAnsi="宋体" w:eastAsia="宋体" w:cs="宋体"/>
          <w:b w:val="0"/>
          <w:bCs/>
          <w:sz w:val="24"/>
          <w:highlight w:val="none"/>
          <w:lang w:val="en-US" w:eastAsia="zh-CN"/>
        </w:rPr>
        <w:t>6.1中标人应在合同签订后7个日历日内安排人员（项目组成人员简历表所列）与使用单位就送货、安装、调试、培训等工作进行安排、部署。</w:t>
      </w:r>
      <w:bookmarkEnd w:id="125"/>
    </w:p>
    <w:p>
      <w:pPr>
        <w:pStyle w:val="4"/>
        <w:keepNext w:val="0"/>
        <w:keepLines w:val="0"/>
        <w:pageBreakBefore w:val="0"/>
        <w:widowControl/>
        <w:kinsoku/>
        <w:wordWrap/>
        <w:overflowPunct/>
        <w:topLinePunct w:val="0"/>
        <w:autoSpaceDE/>
        <w:autoSpaceDN/>
        <w:bidi w:val="0"/>
        <w:spacing w:line="480" w:lineRule="exact"/>
        <w:textAlignment w:val="auto"/>
        <w:rPr>
          <w:rFonts w:hint="eastAsia" w:ascii="宋体" w:hAnsi="宋体" w:eastAsia="宋体" w:cs="宋体"/>
          <w:b w:val="0"/>
          <w:bCs/>
          <w:sz w:val="24"/>
          <w:highlight w:val="none"/>
          <w:lang w:val="en-US" w:eastAsia="zh-CN"/>
        </w:rPr>
      </w:pPr>
      <w:bookmarkStart w:id="126" w:name="_Toc3673"/>
      <w:r>
        <w:rPr>
          <w:rFonts w:hint="eastAsia" w:ascii="宋体" w:hAnsi="宋体" w:eastAsia="宋体" w:cs="宋体"/>
          <w:b w:val="0"/>
          <w:bCs/>
          <w:sz w:val="24"/>
          <w:highlight w:val="none"/>
          <w:lang w:val="en-US" w:eastAsia="zh-CN"/>
        </w:rPr>
        <w:t>6.2若未能在交货期内完成合同规定的义务，由此对采购人造成的延误和一切损失，由中标人承担和赔偿。</w:t>
      </w:r>
      <w:bookmarkEnd w:id="126"/>
    </w:p>
    <w:p>
      <w:pPr>
        <w:pStyle w:val="4"/>
        <w:keepNext w:val="0"/>
        <w:keepLines w:val="0"/>
        <w:pageBreakBefore w:val="0"/>
        <w:widowControl/>
        <w:kinsoku/>
        <w:wordWrap/>
        <w:overflowPunct/>
        <w:topLinePunct w:val="0"/>
        <w:autoSpaceDE/>
        <w:autoSpaceDN/>
        <w:bidi w:val="0"/>
        <w:spacing w:line="480" w:lineRule="exact"/>
        <w:textAlignment w:val="auto"/>
        <w:outlineLvl w:val="2"/>
        <w:rPr>
          <w:rFonts w:hint="eastAsia" w:ascii="宋体" w:hAnsi="宋体" w:eastAsia="宋体" w:cs="宋体"/>
          <w:b/>
          <w:bCs w:val="0"/>
          <w:sz w:val="24"/>
          <w:highlight w:val="none"/>
          <w:lang w:val="en-US" w:eastAsia="zh-CN"/>
        </w:rPr>
      </w:pPr>
      <w:bookmarkStart w:id="127" w:name="_Toc3871"/>
      <w:r>
        <w:rPr>
          <w:rFonts w:hint="eastAsia" w:ascii="宋体" w:hAnsi="宋体" w:eastAsia="宋体" w:cs="宋体"/>
          <w:b/>
          <w:bCs w:val="0"/>
          <w:sz w:val="24"/>
          <w:highlight w:val="none"/>
          <w:lang w:val="en-US" w:eastAsia="zh-CN"/>
        </w:rPr>
        <w:t>7.违约责任：</w:t>
      </w:r>
      <w:bookmarkEnd w:id="127"/>
    </w:p>
    <w:p>
      <w:pPr>
        <w:pStyle w:val="4"/>
        <w:keepNext w:val="0"/>
        <w:keepLines w:val="0"/>
        <w:pageBreakBefore w:val="0"/>
        <w:widowControl/>
        <w:kinsoku/>
        <w:wordWrap/>
        <w:overflowPunct/>
        <w:topLinePunct w:val="0"/>
        <w:autoSpaceDE/>
        <w:autoSpaceDN/>
        <w:bidi w:val="0"/>
        <w:spacing w:line="480" w:lineRule="exact"/>
        <w:textAlignment w:val="auto"/>
        <w:outlineLvl w:val="0"/>
        <w:rPr>
          <w:rFonts w:hint="eastAsia" w:ascii="宋体" w:hAnsi="宋体" w:eastAsia="宋体" w:cs="宋体"/>
          <w:b w:val="0"/>
          <w:bCs/>
          <w:sz w:val="24"/>
          <w:highlight w:val="none"/>
          <w:lang w:val="en-US" w:eastAsia="zh-CN"/>
        </w:rPr>
      </w:pPr>
      <w:bookmarkStart w:id="128" w:name="_Toc6632"/>
      <w:bookmarkStart w:id="129" w:name="_Toc27995"/>
      <w:r>
        <w:rPr>
          <w:rFonts w:hint="eastAsia" w:ascii="宋体" w:hAnsi="宋体" w:eastAsia="宋体" w:cs="宋体"/>
          <w:b w:val="0"/>
          <w:bCs/>
          <w:sz w:val="24"/>
          <w:highlight w:val="none"/>
          <w:lang w:val="en-US" w:eastAsia="zh-CN"/>
        </w:rPr>
        <w:t>7.1按《中华人民共和国民法典》中的相关条款执行。</w:t>
      </w:r>
      <w:bookmarkEnd w:id="128"/>
      <w:bookmarkEnd w:id="129"/>
    </w:p>
    <w:p>
      <w:pPr>
        <w:pStyle w:val="4"/>
        <w:keepNext w:val="0"/>
        <w:keepLines w:val="0"/>
        <w:pageBreakBefore w:val="0"/>
        <w:widowControl/>
        <w:kinsoku/>
        <w:wordWrap/>
        <w:overflowPunct/>
        <w:topLinePunct w:val="0"/>
        <w:autoSpaceDE/>
        <w:autoSpaceDN/>
        <w:bidi w:val="0"/>
        <w:spacing w:line="480" w:lineRule="exact"/>
        <w:textAlignment w:val="auto"/>
        <w:rPr>
          <w:rFonts w:hint="eastAsia" w:ascii="宋体" w:hAnsi="宋体" w:eastAsia="宋体" w:cs="宋体"/>
          <w:b w:val="0"/>
          <w:bCs/>
          <w:sz w:val="24"/>
          <w:highlight w:val="none"/>
          <w:lang w:val="en-US" w:eastAsia="zh-CN"/>
        </w:rPr>
      </w:pPr>
      <w:bookmarkStart w:id="130" w:name="_Toc24942"/>
      <w:r>
        <w:rPr>
          <w:rFonts w:hint="eastAsia" w:ascii="宋体" w:hAnsi="宋体" w:eastAsia="宋体" w:cs="宋体"/>
          <w:b w:val="0"/>
          <w:bCs/>
          <w:sz w:val="24"/>
          <w:highlight w:val="none"/>
          <w:lang w:val="en-US" w:eastAsia="zh-CN"/>
        </w:rPr>
        <w:t>7.2未按合同要求提供产品或设备质量不能满足技术要求，采购人有权终止合同，并对供方违约行为进行追究，同时按《中华人民共和国政府采购法》的有关规定进行处罚。</w:t>
      </w:r>
      <w:bookmarkEnd w:id="130"/>
    </w:p>
    <w:p>
      <w:pPr>
        <w:rPr>
          <w:rFonts w:hint="eastAsia"/>
        </w:rPr>
      </w:pPr>
      <w:r>
        <w:rPr>
          <w:rFonts w:hint="eastAsia" w:ascii="宋体" w:hAnsi="宋体" w:eastAsia="宋体" w:cs="宋体"/>
          <w:b/>
          <w:sz w:val="24"/>
          <w:highlight w:val="none"/>
          <w:lang w:val="en-US" w:eastAsia="zh-CN"/>
        </w:rPr>
        <w:t>注：商务要求为实质性要求，不得负偏离，如有偏离按无效投标处理。</w:t>
      </w:r>
    </w:p>
    <w:p>
      <w:pPr>
        <w:pStyle w:val="3"/>
        <w:ind w:firstLine="2640" w:firstLineChars="600"/>
        <w:jc w:val="both"/>
        <w:outlineLvl w:val="9"/>
        <w:rPr>
          <w:rFonts w:hint="eastAsia" w:ascii="宋体" w:hAnsi="宋体" w:eastAsia="宋体" w:cs="宋体"/>
          <w:b/>
          <w:bCs/>
          <w:color w:val="auto"/>
          <w:highlight w:val="none"/>
        </w:rPr>
      </w:pPr>
      <w:bookmarkStart w:id="131" w:name="_Toc20811"/>
      <w:bookmarkStart w:id="132" w:name="_Toc13472"/>
      <w:bookmarkStart w:id="133" w:name="_Toc100219615"/>
      <w:r>
        <w:rPr>
          <w:rFonts w:hint="eastAsia" w:ascii="宋体" w:hAnsi="宋体" w:eastAsia="宋体" w:cs="宋体"/>
          <w:b/>
          <w:bCs/>
          <w:color w:val="auto"/>
          <w:highlight w:val="none"/>
        </w:rPr>
        <w:t>第四章  合同文本</w:t>
      </w:r>
      <w:bookmarkEnd w:id="131"/>
      <w:bookmarkEnd w:id="132"/>
      <w:bookmarkEnd w:id="133"/>
    </w:p>
    <w:p>
      <w:pPr>
        <w:keepNext w:val="0"/>
        <w:keepLines w:val="0"/>
        <w:pageBreakBefore w:val="0"/>
        <w:widowControl w:val="0"/>
        <w:kinsoku/>
        <w:wordWrap/>
        <w:overflowPunct/>
        <w:topLinePunct w:val="0"/>
        <w:bidi w:val="0"/>
        <w:spacing w:line="500" w:lineRule="atLeast"/>
        <w:ind w:firstLine="480" w:firstLineChars="200"/>
        <w:textAlignment w:val="auto"/>
        <w:rPr>
          <w:rFonts w:ascii="宋体" w:hAnsi="宋体"/>
          <w:color w:val="auto"/>
          <w:sz w:val="24"/>
          <w:highlight w:val="none"/>
        </w:rPr>
      </w:pPr>
      <w:bookmarkStart w:id="134" w:name="_Toc100219616"/>
      <w:r>
        <w:rPr>
          <w:rFonts w:ascii="宋体" w:hAnsi="宋体"/>
          <w:color w:val="auto"/>
          <w:sz w:val="24"/>
          <w:highlight w:val="none"/>
        </w:rPr>
        <w:t xml:space="preserve">合同编号： </w:t>
      </w:r>
    </w:p>
    <w:p>
      <w:pPr>
        <w:keepNext w:val="0"/>
        <w:keepLines w:val="0"/>
        <w:pageBreakBefore w:val="0"/>
        <w:widowControl w:val="0"/>
        <w:kinsoku/>
        <w:wordWrap/>
        <w:overflowPunct/>
        <w:topLinePunct w:val="0"/>
        <w:bidi w:val="0"/>
        <w:spacing w:line="500" w:lineRule="atLeast"/>
        <w:ind w:firstLine="480" w:firstLineChars="200"/>
        <w:textAlignment w:val="auto"/>
        <w:rPr>
          <w:rFonts w:ascii="宋体" w:hAnsi="宋体"/>
          <w:color w:val="auto"/>
          <w:sz w:val="24"/>
          <w:highlight w:val="none"/>
        </w:rPr>
      </w:pPr>
      <w:r>
        <w:rPr>
          <w:rFonts w:ascii="宋体" w:hAnsi="宋体"/>
          <w:color w:val="auto"/>
          <w:sz w:val="24"/>
          <w:highlight w:val="none"/>
        </w:rPr>
        <w:t xml:space="preserve">签订地点： </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color w:val="auto"/>
          <w:sz w:val="24"/>
          <w:highlight w:val="none"/>
        </w:rPr>
      </w:pPr>
      <w:r>
        <w:rPr>
          <w:rFonts w:ascii="宋体" w:hAnsi="宋体"/>
          <w:color w:val="auto"/>
          <w:sz w:val="24"/>
          <w:highlight w:val="none"/>
        </w:rPr>
        <w:t>签订时间：</w:t>
      </w:r>
    </w:p>
    <w:p>
      <w:pPr>
        <w:keepNext w:val="0"/>
        <w:keepLines w:val="0"/>
        <w:pageBreakBefore w:val="0"/>
        <w:widowControl w:val="0"/>
        <w:kinsoku/>
        <w:wordWrap/>
        <w:overflowPunct/>
        <w:topLinePunct w:val="0"/>
        <w:bidi w:val="0"/>
        <w:spacing w:line="500" w:lineRule="atLeast"/>
        <w:ind w:firstLine="480" w:firstLineChars="200"/>
        <w:textAlignment w:val="auto"/>
        <w:rPr>
          <w:rFonts w:ascii="宋体" w:hAnsi="宋体"/>
          <w:color w:val="auto"/>
          <w:sz w:val="24"/>
          <w:highlight w:val="none"/>
        </w:rPr>
      </w:pPr>
      <w:r>
        <w:rPr>
          <w:rFonts w:hint="eastAsia" w:ascii="宋体" w:hAnsi="宋体"/>
          <w:color w:val="auto"/>
          <w:sz w:val="24"/>
          <w:highlight w:val="none"/>
        </w:rPr>
        <w:t>采购人（买</w:t>
      </w:r>
      <w:r>
        <w:rPr>
          <w:rFonts w:ascii="宋体" w:hAnsi="宋体"/>
          <w:color w:val="auto"/>
          <w:sz w:val="24"/>
          <w:highlight w:val="none"/>
        </w:rPr>
        <w:t>方</w:t>
      </w:r>
      <w:r>
        <w:rPr>
          <w:rFonts w:hint="eastAsia" w:ascii="宋体" w:hAnsi="宋体"/>
          <w:color w:val="auto"/>
          <w:sz w:val="24"/>
          <w:highlight w:val="none"/>
        </w:rPr>
        <w:t>）</w:t>
      </w:r>
      <w:r>
        <w:rPr>
          <w:rFonts w:ascii="宋体" w:hAnsi="宋体"/>
          <w:color w:val="auto"/>
          <w:sz w:val="24"/>
          <w:highlight w:val="none"/>
        </w:rPr>
        <w:t>：</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eastAsia="zh-CN"/>
        </w:rPr>
        <w:t>中标人</w:t>
      </w:r>
      <w:r>
        <w:rPr>
          <w:rFonts w:hint="eastAsia" w:ascii="宋体" w:hAnsi="宋体"/>
          <w:color w:val="auto"/>
          <w:sz w:val="24"/>
          <w:highlight w:val="none"/>
        </w:rPr>
        <w:t>（卖</w:t>
      </w:r>
      <w:r>
        <w:rPr>
          <w:rFonts w:ascii="宋体" w:hAnsi="宋体"/>
          <w:color w:val="auto"/>
          <w:sz w:val="24"/>
          <w:highlight w:val="none"/>
        </w:rPr>
        <w:t>方</w:t>
      </w:r>
      <w:r>
        <w:rPr>
          <w:rFonts w:hint="eastAsia" w:ascii="宋体" w:hAnsi="宋体"/>
          <w:color w:val="auto"/>
          <w:sz w:val="24"/>
          <w:highlight w:val="none"/>
        </w:rPr>
        <w:t>）</w:t>
      </w:r>
      <w:r>
        <w:rPr>
          <w:rFonts w:ascii="宋体" w:hAnsi="宋体"/>
          <w:color w:val="auto"/>
          <w:sz w:val="24"/>
          <w:highlight w:val="none"/>
        </w:rPr>
        <w:t>：</w:t>
      </w:r>
    </w:p>
    <w:p>
      <w:pPr>
        <w:keepNext w:val="0"/>
        <w:keepLines w:val="0"/>
        <w:pageBreakBefore w:val="0"/>
        <w:widowControl w:val="0"/>
        <w:numPr>
          <w:ilvl w:val="0"/>
          <w:numId w:val="6"/>
        </w:numPr>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供货合同格式</w:t>
      </w:r>
    </w:p>
    <w:p>
      <w:pPr>
        <w:keepNext w:val="0"/>
        <w:keepLines w:val="0"/>
        <w:pageBreakBefore w:val="0"/>
        <w:widowControl w:val="0"/>
        <w:kinsoku/>
        <w:wordWrap/>
        <w:overflowPunct/>
        <w:topLinePunct w:val="0"/>
        <w:bidi w:val="0"/>
        <w:spacing w:line="500" w:lineRule="atLeast"/>
        <w:textAlignment w:val="auto"/>
        <w:rPr>
          <w:rFonts w:hint="eastAsia" w:ascii="宋体" w:hAnsi="宋体"/>
          <w:color w:val="auto"/>
          <w:spacing w:val="-2"/>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eastAsia="zh-CN"/>
        </w:rPr>
        <w:t>西安市鄠邑区妇幼保健计划生育服务中心（区妇幼保健院）宫腔镜和电子阴道镜系统购置项目</w:t>
      </w:r>
      <w:r>
        <w:rPr>
          <w:rFonts w:hint="eastAsia" w:ascii="宋体" w:hAnsi="宋体" w:cs="宋体"/>
          <w:color w:val="auto"/>
          <w:kern w:val="0"/>
          <w:sz w:val="24"/>
          <w:highlight w:val="none"/>
        </w:rPr>
        <w:t>(项目编号：</w:t>
      </w:r>
      <w:r>
        <w:rPr>
          <w:rFonts w:hint="eastAsia" w:ascii="宋体" w:hAnsi="宋体" w:cs="宋体"/>
          <w:color w:val="auto"/>
          <w:kern w:val="0"/>
          <w:sz w:val="24"/>
          <w:highlight w:val="none"/>
          <w:lang w:eastAsia="zh-CN"/>
        </w:rPr>
        <w:t>SDZC2022-286-0</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w:t>
      </w:r>
      <w:r>
        <w:rPr>
          <w:rFonts w:hint="eastAsia" w:ascii="宋体" w:hAnsi="宋体"/>
          <w:color w:val="auto"/>
          <w:spacing w:val="-2"/>
          <w:kern w:val="0"/>
          <w:sz w:val="24"/>
          <w:highlight w:val="none"/>
        </w:rPr>
        <w:t>，在</w:t>
      </w:r>
      <w:r>
        <w:rPr>
          <w:rFonts w:hint="eastAsia" w:ascii="宋体" w:hAnsi="宋体"/>
          <w:color w:val="auto"/>
          <w:spacing w:val="-2"/>
          <w:kern w:val="0"/>
          <w:sz w:val="24"/>
          <w:highlight w:val="none"/>
          <w:lang w:val="en-US" w:eastAsia="zh-CN"/>
        </w:rPr>
        <w:t>西安市鄠邑区财政局</w:t>
      </w:r>
      <w:r>
        <w:rPr>
          <w:rFonts w:hint="eastAsia" w:ascii="宋体" w:hAnsi="宋体"/>
          <w:color w:val="auto"/>
          <w:spacing w:val="-2"/>
          <w:kern w:val="0"/>
          <w:sz w:val="24"/>
          <w:highlight w:val="none"/>
        </w:rPr>
        <w:t>的监督管理下，由陕西上德招标有限公司组织</w:t>
      </w:r>
      <w:r>
        <w:rPr>
          <w:rFonts w:hint="eastAsia" w:ascii="宋体" w:hAnsi="宋体"/>
          <w:color w:val="auto"/>
          <w:spacing w:val="-2"/>
          <w:kern w:val="0"/>
          <w:sz w:val="24"/>
          <w:highlight w:val="none"/>
          <w:lang w:val="en-US" w:eastAsia="zh-CN"/>
        </w:rPr>
        <w:t>公开招标</w:t>
      </w:r>
      <w:r>
        <w:rPr>
          <w:rFonts w:hint="eastAsia" w:ascii="宋体" w:hAnsi="宋体"/>
          <w:color w:val="auto"/>
          <w:spacing w:val="-2"/>
          <w:kern w:val="0"/>
          <w:sz w:val="24"/>
          <w:highlight w:val="none"/>
        </w:rPr>
        <w:t>。</w:t>
      </w:r>
      <w:r>
        <w:rPr>
          <w:rFonts w:hint="eastAsia" w:ascii="宋体" w:hAnsi="宋体"/>
          <w:color w:val="auto"/>
          <w:sz w:val="24"/>
          <w:highlight w:val="none"/>
          <w:lang w:eastAsia="zh-CN"/>
        </w:rPr>
        <w:t>西安市鄠邑区妇幼保健计划生育服务中心（区妇幼保健院）</w:t>
      </w:r>
      <w:r>
        <w:rPr>
          <w:rFonts w:hint="eastAsia" w:ascii="宋体" w:hAnsi="宋体"/>
          <w:color w:val="auto"/>
          <w:spacing w:val="-2"/>
          <w:kern w:val="0"/>
          <w:sz w:val="24"/>
          <w:highlight w:val="none"/>
        </w:rPr>
        <w:t>(以下简称“买方”)确定 (</w:t>
      </w:r>
      <w:r>
        <w:rPr>
          <w:rFonts w:hint="eastAsia" w:ascii="宋体" w:hAnsi="宋体"/>
          <w:color w:val="auto"/>
          <w:spacing w:val="-2"/>
          <w:kern w:val="0"/>
          <w:sz w:val="24"/>
          <w:highlight w:val="none"/>
          <w:lang w:eastAsia="zh-CN"/>
        </w:rPr>
        <w:t>中标人</w:t>
      </w:r>
      <w:r>
        <w:rPr>
          <w:rFonts w:hint="eastAsia" w:ascii="宋体" w:hAnsi="宋体"/>
          <w:color w:val="auto"/>
          <w:spacing w:val="-2"/>
          <w:kern w:val="0"/>
          <w:sz w:val="24"/>
          <w:highlight w:val="none"/>
        </w:rPr>
        <w:t>名称) （以下简称“卖方”）为</w:t>
      </w:r>
      <w:r>
        <w:rPr>
          <w:rFonts w:hint="eastAsia" w:ascii="宋体" w:hAnsi="宋体"/>
          <w:color w:val="auto"/>
          <w:spacing w:val="-2"/>
          <w:kern w:val="0"/>
          <w:sz w:val="24"/>
          <w:highlight w:val="none"/>
          <w:lang w:eastAsia="zh-CN"/>
        </w:rPr>
        <w:t>中标人</w:t>
      </w:r>
      <w:r>
        <w:rPr>
          <w:rFonts w:hint="eastAsia" w:ascii="宋体" w:hAnsi="宋体"/>
          <w:color w:val="auto"/>
          <w:spacing w:val="-2"/>
          <w:kern w:val="0"/>
          <w:sz w:val="24"/>
          <w:highlight w:val="none"/>
        </w:rPr>
        <w:t>。</w:t>
      </w:r>
    </w:p>
    <w:p>
      <w:pPr>
        <w:keepNext w:val="0"/>
        <w:keepLines w:val="0"/>
        <w:pageBreakBefore w:val="0"/>
        <w:widowControl w:val="0"/>
        <w:kinsoku/>
        <w:wordWrap/>
        <w:overflowPunct/>
        <w:topLinePunct w:val="0"/>
        <w:bidi w:val="0"/>
        <w:spacing w:line="500" w:lineRule="atLeast"/>
        <w:ind w:firstLine="472" w:firstLineChars="200"/>
        <w:textAlignment w:val="auto"/>
        <w:rPr>
          <w:rFonts w:hint="eastAsia" w:ascii="宋体" w:hAnsi="宋体"/>
          <w:color w:val="auto"/>
          <w:spacing w:val="-2"/>
          <w:kern w:val="0"/>
          <w:sz w:val="24"/>
          <w:highlight w:val="none"/>
        </w:rPr>
      </w:pPr>
      <w:r>
        <w:rPr>
          <w:rFonts w:hint="eastAsia" w:ascii="宋体" w:hAnsi="宋体"/>
          <w:color w:val="auto"/>
          <w:spacing w:val="-2"/>
          <w:kern w:val="0"/>
          <w:sz w:val="24"/>
          <w:highlight w:val="none"/>
        </w:rPr>
        <w:t>依据《</w:t>
      </w:r>
      <w:r>
        <w:rPr>
          <w:rFonts w:hint="eastAsia" w:ascii="宋体" w:hAnsi="宋体"/>
          <w:color w:val="auto"/>
          <w:spacing w:val="-2"/>
          <w:kern w:val="0"/>
          <w:sz w:val="24"/>
          <w:highlight w:val="none"/>
          <w:lang w:eastAsia="zh-CN"/>
        </w:rPr>
        <w:t>中华人民共和国民法典</w:t>
      </w:r>
      <w:r>
        <w:rPr>
          <w:rFonts w:hint="eastAsia" w:ascii="宋体" w:hAnsi="宋体"/>
          <w:color w:val="auto"/>
          <w:spacing w:val="-2"/>
          <w:kern w:val="0"/>
          <w:sz w:val="24"/>
          <w:highlight w:val="none"/>
        </w:rPr>
        <w:t>》和《中华人民共和国政府采购法》，买方通过</w:t>
      </w:r>
      <w:r>
        <w:rPr>
          <w:rFonts w:hint="eastAsia" w:ascii="宋体" w:hAnsi="宋体"/>
          <w:color w:val="auto"/>
          <w:spacing w:val="-2"/>
          <w:kern w:val="0"/>
          <w:sz w:val="24"/>
          <w:highlight w:val="none"/>
          <w:lang w:val="en-US" w:eastAsia="zh-CN"/>
        </w:rPr>
        <w:t>公开招标</w:t>
      </w:r>
      <w:r>
        <w:rPr>
          <w:rFonts w:hint="eastAsia" w:ascii="宋体" w:hAnsi="宋体"/>
          <w:color w:val="auto"/>
          <w:spacing w:val="-2"/>
          <w:kern w:val="0"/>
          <w:sz w:val="24"/>
          <w:highlight w:val="none"/>
        </w:rPr>
        <w:t>采购</w:t>
      </w:r>
      <w:r>
        <w:rPr>
          <w:rFonts w:hint="eastAsia" w:ascii="宋体" w:hAnsi="宋体"/>
          <w:color w:val="auto"/>
          <w:spacing w:val="-2"/>
          <w:kern w:val="0"/>
          <w:sz w:val="24"/>
          <w:highlight w:val="none"/>
          <w:u w:val="single"/>
        </w:rPr>
        <w:t xml:space="preserve">   （采购内容）     </w:t>
      </w:r>
      <w:r>
        <w:rPr>
          <w:rFonts w:hint="eastAsia" w:ascii="宋体" w:hAnsi="宋体"/>
          <w:color w:val="auto"/>
          <w:spacing w:val="-2"/>
          <w:kern w:val="0"/>
          <w:sz w:val="24"/>
          <w:highlight w:val="none"/>
        </w:rPr>
        <w:t>，并接受了卖方以价格</w:t>
      </w:r>
      <w:r>
        <w:rPr>
          <w:rFonts w:hint="eastAsia" w:ascii="宋体" w:hAnsi="宋体"/>
          <w:color w:val="auto"/>
          <w:spacing w:val="-2"/>
          <w:kern w:val="0"/>
          <w:sz w:val="24"/>
          <w:highlight w:val="none"/>
          <w:u w:val="single"/>
        </w:rPr>
        <w:t xml:space="preserve">    （成交金额大写)   </w:t>
      </w:r>
      <w:r>
        <w:rPr>
          <w:rFonts w:hint="eastAsia" w:ascii="宋体" w:hAnsi="宋体"/>
          <w:color w:val="auto"/>
          <w:spacing w:val="-2"/>
          <w:kern w:val="0"/>
          <w:sz w:val="24"/>
          <w:highlight w:val="none"/>
        </w:rPr>
        <w:t>(以下简称“合同价”)提供的货物和服务。</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本合同在此声明如下：</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1.</w:t>
      </w:r>
      <w:r>
        <w:rPr>
          <w:rFonts w:hint="eastAsia" w:ascii="宋体" w:hAnsi="宋体"/>
          <w:color w:val="auto"/>
          <w:sz w:val="24"/>
          <w:highlight w:val="none"/>
        </w:rPr>
        <w:t>本合同中的词语和术语的含义与合同条款中定义的相同。</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下述文件是本合同的一部分，并与本合同一起阅读和解释：</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2.1</w:t>
      </w:r>
      <w:r>
        <w:rPr>
          <w:rFonts w:hint="eastAsia" w:ascii="宋体" w:hAnsi="宋体"/>
          <w:color w:val="auto"/>
          <w:sz w:val="24"/>
          <w:highlight w:val="none"/>
        </w:rPr>
        <w:t>合同条款</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2.2</w:t>
      </w:r>
      <w:r>
        <w:rPr>
          <w:rFonts w:hint="eastAsia" w:ascii="宋体" w:hAnsi="宋体"/>
          <w:color w:val="auto"/>
          <w:sz w:val="24"/>
          <w:highlight w:val="none"/>
        </w:rPr>
        <w:t>合同条款附件</w:t>
      </w:r>
    </w:p>
    <w:p>
      <w:pPr>
        <w:keepNext w:val="0"/>
        <w:keepLines w:val="0"/>
        <w:pageBreakBefore w:val="0"/>
        <w:widowControl w:val="0"/>
        <w:kinsoku/>
        <w:wordWrap/>
        <w:overflowPunct/>
        <w:topLinePunct w:val="0"/>
        <w:bidi w:val="0"/>
        <w:spacing w:line="500" w:lineRule="atLeast"/>
        <w:ind w:firstLine="840" w:firstLineChars="350"/>
        <w:textAlignment w:val="auto"/>
        <w:rPr>
          <w:rFonts w:hint="eastAsia" w:ascii="宋体" w:hAnsi="宋体"/>
          <w:color w:val="auto"/>
          <w:sz w:val="24"/>
          <w:highlight w:val="none"/>
        </w:rPr>
      </w:pPr>
      <w:r>
        <w:rPr>
          <w:rFonts w:hint="eastAsia" w:ascii="宋体" w:hAnsi="宋体"/>
          <w:color w:val="auto"/>
          <w:sz w:val="24"/>
          <w:highlight w:val="none"/>
        </w:rPr>
        <w:t>附件1—货物清单</w:t>
      </w:r>
    </w:p>
    <w:p>
      <w:pPr>
        <w:keepNext w:val="0"/>
        <w:keepLines w:val="0"/>
        <w:pageBreakBefore w:val="0"/>
        <w:widowControl w:val="0"/>
        <w:kinsoku/>
        <w:wordWrap/>
        <w:overflowPunct/>
        <w:topLinePunct w:val="0"/>
        <w:bidi w:val="0"/>
        <w:spacing w:line="500" w:lineRule="atLeast"/>
        <w:ind w:firstLine="840" w:firstLineChars="350"/>
        <w:textAlignment w:val="auto"/>
        <w:rPr>
          <w:rFonts w:hint="eastAsia" w:ascii="宋体" w:hAnsi="宋体"/>
          <w:color w:val="auto"/>
          <w:sz w:val="24"/>
          <w:highlight w:val="none"/>
        </w:rPr>
      </w:pPr>
      <w:r>
        <w:rPr>
          <w:rFonts w:hint="eastAsia" w:ascii="宋体" w:hAnsi="宋体"/>
          <w:color w:val="auto"/>
          <w:sz w:val="24"/>
          <w:highlight w:val="none"/>
        </w:rPr>
        <w:t>附件2—质量保证承诺</w:t>
      </w:r>
    </w:p>
    <w:p>
      <w:pPr>
        <w:keepNext w:val="0"/>
        <w:keepLines w:val="0"/>
        <w:pageBreakBefore w:val="0"/>
        <w:widowControl w:val="0"/>
        <w:kinsoku/>
        <w:wordWrap/>
        <w:overflowPunct/>
        <w:topLinePunct w:val="0"/>
        <w:bidi w:val="0"/>
        <w:spacing w:line="500" w:lineRule="atLeast"/>
        <w:ind w:firstLine="840" w:firstLineChars="350"/>
        <w:textAlignment w:val="auto"/>
        <w:rPr>
          <w:rFonts w:hint="eastAsia" w:ascii="宋体" w:hAnsi="宋体"/>
          <w:color w:val="auto"/>
          <w:sz w:val="24"/>
          <w:highlight w:val="none"/>
        </w:rPr>
      </w:pPr>
      <w:r>
        <w:rPr>
          <w:rFonts w:hint="eastAsia" w:ascii="宋体" w:hAnsi="宋体"/>
          <w:color w:val="auto"/>
          <w:sz w:val="24"/>
          <w:highlight w:val="none"/>
        </w:rPr>
        <w:t>附件3—售后服务方案</w:t>
      </w:r>
    </w:p>
    <w:p>
      <w:pPr>
        <w:keepNext w:val="0"/>
        <w:keepLines w:val="0"/>
        <w:pageBreakBefore w:val="0"/>
        <w:widowControl w:val="0"/>
        <w:kinsoku/>
        <w:wordWrap/>
        <w:overflowPunct/>
        <w:topLinePunct w:val="0"/>
        <w:bidi w:val="0"/>
        <w:spacing w:line="500" w:lineRule="atLeast"/>
        <w:ind w:firstLine="840" w:firstLineChars="350"/>
        <w:textAlignment w:val="auto"/>
        <w:rPr>
          <w:rFonts w:hint="eastAsia" w:ascii="宋体" w:hAnsi="宋体"/>
          <w:color w:val="auto"/>
          <w:sz w:val="24"/>
          <w:highlight w:val="none"/>
        </w:rPr>
      </w:pPr>
      <w:r>
        <w:rPr>
          <w:rFonts w:hint="eastAsia" w:ascii="宋体" w:hAnsi="宋体"/>
          <w:color w:val="auto"/>
          <w:sz w:val="24"/>
          <w:highlight w:val="none"/>
        </w:rPr>
        <w:t>附件4—培训计划</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2.3</w:t>
      </w:r>
      <w:r>
        <w:rPr>
          <w:rFonts w:hint="eastAsia" w:ascii="宋体" w:hAnsi="宋体"/>
          <w:color w:val="auto"/>
          <w:sz w:val="24"/>
          <w:highlight w:val="none"/>
        </w:rPr>
        <w:t>成交通知书</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2.4</w:t>
      </w:r>
      <w:r>
        <w:rPr>
          <w:rFonts w:hint="eastAsia" w:ascii="宋体" w:hAnsi="宋体"/>
          <w:color w:val="auto"/>
          <w:sz w:val="24"/>
          <w:highlight w:val="none"/>
          <w:lang w:eastAsia="zh-CN"/>
        </w:rPr>
        <w:t>公开招标文件</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2.5</w:t>
      </w:r>
      <w:r>
        <w:rPr>
          <w:rFonts w:hint="eastAsia" w:ascii="宋体" w:hAnsi="宋体"/>
          <w:color w:val="auto"/>
          <w:sz w:val="24"/>
          <w:highlight w:val="none"/>
          <w:lang w:eastAsia="zh-CN"/>
        </w:rPr>
        <w:t>投标文件</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考虑到买方将按照本合同向卖方支付货款，卖方在此保证全部按照合同的规定向买方提供货物和服务，并修补缺陷。</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4.</w:t>
      </w:r>
      <w:r>
        <w:rPr>
          <w:rFonts w:hint="eastAsia" w:ascii="宋体" w:hAnsi="宋体"/>
          <w:color w:val="auto"/>
          <w:sz w:val="24"/>
          <w:highlight w:val="none"/>
        </w:rPr>
        <w:t>考虑到卖方提供的货物和服务并修补缺陷，买方在此保证按照合同规定的时间和方式向卖方支付合同价或其他按合同规定应支付的金额。</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rPr>
        <w:t>付款方式：</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rPr>
        <w:t>货物安装调试使用合格验收后支付总金额的60%，一年后无质量问题支付总金额的30%，二年后无质量问题支付剩余10%。</w:t>
      </w:r>
      <w:r>
        <w:rPr>
          <w:rFonts w:hint="eastAsia" w:ascii="宋体" w:hAnsi="宋体"/>
          <w:color w:val="auto"/>
          <w:sz w:val="24"/>
          <w:highlight w:val="none"/>
          <w:lang w:val="en-US" w:eastAsia="zh-CN"/>
        </w:rPr>
        <w:t xml:space="preserve"> </w:t>
      </w:r>
    </w:p>
    <w:p>
      <w:pPr>
        <w:keepNext w:val="0"/>
        <w:keepLines w:val="0"/>
        <w:pageBreakBefore w:val="0"/>
        <w:widowControl w:val="0"/>
        <w:kinsoku/>
        <w:wordWrap/>
        <w:overflowPunct/>
        <w:topLinePunct w:val="0"/>
        <w:bidi w:val="0"/>
        <w:adjustRightInd w:val="0"/>
        <w:snapToGrid w:val="0"/>
        <w:spacing w:line="500" w:lineRule="atLeas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6.产品质保期</w:t>
      </w:r>
    </w:p>
    <w:p>
      <w:pPr>
        <w:keepNext w:val="0"/>
        <w:keepLines w:val="0"/>
        <w:pageBreakBefore w:val="0"/>
        <w:widowControl w:val="0"/>
        <w:kinsoku/>
        <w:wordWrap/>
        <w:overflowPunct/>
        <w:topLinePunct w:val="0"/>
        <w:bidi w:val="0"/>
        <w:adjustRightInd w:val="0"/>
        <w:snapToGrid w:val="0"/>
        <w:spacing w:line="500" w:lineRule="atLeas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6.1设备整机质保二年。</w:t>
      </w:r>
    </w:p>
    <w:p>
      <w:pPr>
        <w:keepNext w:val="0"/>
        <w:keepLines w:val="0"/>
        <w:pageBreakBefore w:val="0"/>
        <w:widowControl w:val="0"/>
        <w:kinsoku/>
        <w:wordWrap/>
        <w:overflowPunct/>
        <w:topLinePunct w:val="0"/>
        <w:bidi w:val="0"/>
        <w:adjustRightInd w:val="0"/>
        <w:snapToGrid w:val="0"/>
        <w:spacing w:line="500" w:lineRule="atLeast"/>
        <w:ind w:firstLine="480" w:firstLineChars="200"/>
        <w:textAlignment w:val="auto"/>
        <w:rPr>
          <w:rFonts w:hint="default" w:ascii="宋体" w:hAnsi="宋体"/>
          <w:color w:val="auto"/>
          <w:sz w:val="24"/>
          <w:highlight w:val="none"/>
          <w:lang w:val="en-US" w:eastAsia="zh-CN"/>
        </w:rPr>
      </w:pPr>
      <w:r>
        <w:rPr>
          <w:rFonts w:hint="eastAsia" w:ascii="宋体" w:hAnsi="宋体"/>
          <w:color w:val="auto"/>
          <w:sz w:val="24"/>
          <w:highlight w:val="none"/>
          <w:lang w:val="en-US" w:eastAsia="zh-CN"/>
        </w:rPr>
        <w:t>6.2终身免费维修（只收取成本费）</w:t>
      </w:r>
    </w:p>
    <w:p>
      <w:pPr>
        <w:keepNext w:val="0"/>
        <w:keepLines w:val="0"/>
        <w:pageBreakBefore w:val="0"/>
        <w:widowControl w:val="0"/>
        <w:kinsoku/>
        <w:wordWrap/>
        <w:overflowPunct/>
        <w:topLinePunct w:val="0"/>
        <w:bidi w:val="0"/>
        <w:adjustRightInd w:val="0"/>
        <w:snapToGrid w:val="0"/>
        <w:spacing w:line="500" w:lineRule="atLeast"/>
        <w:ind w:firstLine="480" w:firstLineChars="200"/>
        <w:textAlignment w:val="auto"/>
        <w:rPr>
          <w:rFonts w:hint="eastAsia" w:ascii="宋体" w:hAnsi="宋体" w:eastAsiaTheme="minorEastAsia"/>
          <w:color w:val="auto"/>
          <w:sz w:val="24"/>
          <w:highlight w:val="none"/>
          <w:lang w:eastAsia="zh-CN"/>
        </w:rPr>
      </w:pPr>
      <w:r>
        <w:rPr>
          <w:rFonts w:hint="eastAsia" w:ascii="宋体" w:hAnsi="宋体"/>
          <w:color w:val="auto"/>
          <w:sz w:val="24"/>
          <w:highlight w:val="none"/>
          <w:lang w:val="en-US" w:eastAsia="zh-CN"/>
        </w:rPr>
        <w:t>7.</w:t>
      </w:r>
      <w:r>
        <w:rPr>
          <w:rFonts w:hint="eastAsia" w:ascii="宋体" w:hAnsi="宋体"/>
          <w:color w:val="auto"/>
          <w:sz w:val="24"/>
          <w:highlight w:val="none"/>
        </w:rPr>
        <w:t>交货</w:t>
      </w:r>
      <w:r>
        <w:rPr>
          <w:rFonts w:hint="eastAsia" w:ascii="宋体" w:hAnsi="宋体"/>
          <w:color w:val="auto"/>
          <w:sz w:val="24"/>
          <w:highlight w:val="none"/>
          <w:lang w:val="en-US" w:eastAsia="zh-CN"/>
        </w:rPr>
        <w:t>期</w:t>
      </w:r>
      <w:r>
        <w:rPr>
          <w:rFonts w:hint="eastAsia" w:ascii="宋体" w:hAnsi="宋体"/>
          <w:color w:val="auto"/>
          <w:sz w:val="24"/>
          <w:highlight w:val="none"/>
        </w:rPr>
        <w:t>：自合同签订之日起30天内，按需配送</w:t>
      </w:r>
      <w:r>
        <w:rPr>
          <w:rFonts w:hint="eastAsia" w:ascii="宋体" w:hAnsi="宋体"/>
          <w:color w:val="auto"/>
          <w:sz w:val="24"/>
          <w:highlight w:val="none"/>
          <w:lang w:eastAsia="zh-CN"/>
        </w:rPr>
        <w:t>。</w:t>
      </w:r>
    </w:p>
    <w:p>
      <w:pPr>
        <w:keepNext w:val="0"/>
        <w:keepLines w:val="0"/>
        <w:pageBreakBefore w:val="0"/>
        <w:widowControl w:val="0"/>
        <w:kinsoku/>
        <w:wordWrap/>
        <w:overflowPunct/>
        <w:topLinePunct w:val="0"/>
        <w:bidi w:val="0"/>
        <w:adjustRightInd w:val="0"/>
        <w:snapToGrid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 xml:space="preserve">  交货地点：</w:t>
      </w:r>
      <w:r>
        <w:rPr>
          <w:rFonts w:hint="eastAsia" w:ascii="宋体" w:hAnsi="宋体" w:cs="宋体"/>
          <w:color w:val="auto"/>
          <w:kern w:val="0"/>
          <w:sz w:val="24"/>
          <w:highlight w:val="none"/>
          <w:lang w:eastAsia="zh-CN"/>
        </w:rPr>
        <w:t>西安市鄠邑区妇幼保健计划生育服务中心（区妇幼保健院）。</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Cs w:val="24"/>
        </w:rPr>
        <w:t>本合同一式</w:t>
      </w:r>
      <w:r>
        <w:rPr>
          <w:rFonts w:hint="eastAsia" w:ascii="宋体" w:hAnsi="宋体"/>
          <w:color w:val="auto"/>
          <w:szCs w:val="24"/>
          <w:lang w:eastAsia="zh-CN"/>
        </w:rPr>
        <w:t>伍</w:t>
      </w:r>
      <w:r>
        <w:rPr>
          <w:rFonts w:hint="eastAsia" w:ascii="宋体" w:hAnsi="宋体"/>
          <w:color w:val="auto"/>
          <w:szCs w:val="24"/>
        </w:rPr>
        <w:t>份，其中，买方贰份，</w:t>
      </w:r>
      <w:r>
        <w:rPr>
          <w:rFonts w:hint="eastAsia" w:ascii="宋体" w:hAnsi="宋体"/>
          <w:szCs w:val="24"/>
        </w:rPr>
        <w:t>卖方贰份，</w:t>
      </w:r>
      <w:r>
        <w:rPr>
          <w:rFonts w:hint="eastAsia" w:ascii="宋体" w:hAnsi="宋体"/>
          <w:szCs w:val="24"/>
          <w:lang w:eastAsia="zh-CN"/>
        </w:rPr>
        <w:t>鄠邑区</w:t>
      </w:r>
      <w:r>
        <w:rPr>
          <w:rFonts w:hint="eastAsia" w:ascii="宋体" w:hAnsi="宋体"/>
          <w:szCs w:val="24"/>
        </w:rPr>
        <w:t>财政局备案壹份</w:t>
      </w:r>
      <w:r>
        <w:rPr>
          <w:rFonts w:hint="eastAsia" w:ascii="宋体" w:hAnsi="宋体"/>
          <w:color w:val="auto"/>
          <w:sz w:val="24"/>
          <w:highlight w:val="none"/>
        </w:rPr>
        <w:t>。</w:t>
      </w:r>
    </w:p>
    <w:p>
      <w:pPr>
        <w:keepNext w:val="0"/>
        <w:keepLines w:val="0"/>
        <w:pageBreakBefore w:val="0"/>
        <w:widowControl w:val="0"/>
        <w:kinsoku/>
        <w:wordWrap/>
        <w:overflowPunct/>
        <w:topLinePunct w:val="0"/>
        <w:bidi w:val="0"/>
        <w:adjustRightInd w:val="0"/>
        <w:snapToGrid w:val="0"/>
        <w:spacing w:line="500" w:lineRule="atLeast"/>
        <w:ind w:firstLine="480" w:firstLineChars="200"/>
        <w:textAlignment w:val="auto"/>
        <w:rPr>
          <w:rFonts w:hint="eastAsia" w:ascii="宋体" w:hAnsi="宋体"/>
          <w:color w:val="auto"/>
          <w:kern w:val="0"/>
          <w:sz w:val="24"/>
          <w:highlight w:val="none"/>
        </w:rPr>
      </w:pPr>
      <w:r>
        <w:rPr>
          <w:rFonts w:hint="eastAsia" w:ascii="宋体" w:hAnsi="宋体"/>
          <w:color w:val="auto"/>
          <w:kern w:val="0"/>
          <w:sz w:val="24"/>
          <w:highlight w:val="none"/>
          <w:lang w:val="en-US" w:eastAsia="zh-CN"/>
        </w:rPr>
        <w:t>9.</w:t>
      </w:r>
      <w:r>
        <w:rPr>
          <w:rFonts w:hint="eastAsia" w:ascii="宋体" w:hAnsi="宋体"/>
          <w:color w:val="auto"/>
          <w:kern w:val="0"/>
          <w:sz w:val="24"/>
          <w:highlight w:val="none"/>
        </w:rPr>
        <w:t>本合同由买卖双方共同签字盖章，自最后一方签字盖章之日起生效。。</w:t>
      </w:r>
    </w:p>
    <w:tbl>
      <w:tblPr>
        <w:tblStyle w:val="25"/>
        <w:tblpPr w:leftFromText="180" w:rightFromText="180" w:vertAnchor="text" w:horzAnchor="margin" w:tblpX="406" w:tblpY="58"/>
        <w:tblOverlap w:val="never"/>
        <w:tblW w:w="0" w:type="dxa"/>
        <w:tblInd w:w="0" w:type="dxa"/>
        <w:tblLayout w:type="fixed"/>
        <w:tblCellMar>
          <w:top w:w="0" w:type="dxa"/>
          <w:left w:w="108" w:type="dxa"/>
          <w:bottom w:w="0" w:type="dxa"/>
          <w:right w:w="108" w:type="dxa"/>
        </w:tblCellMar>
      </w:tblPr>
      <w:tblGrid>
        <w:gridCol w:w="4425"/>
        <w:gridCol w:w="3936"/>
      </w:tblGrid>
      <w:tr>
        <w:tblPrEx>
          <w:tblCellMar>
            <w:top w:w="0" w:type="dxa"/>
            <w:left w:w="108" w:type="dxa"/>
            <w:bottom w:w="0" w:type="dxa"/>
            <w:right w:w="108" w:type="dxa"/>
          </w:tblCellMar>
        </w:tblPrEx>
        <w:trPr>
          <w:trHeight w:val="3093" w:hRule="atLeast"/>
        </w:trPr>
        <w:tc>
          <w:tcPr>
            <w:tcW w:w="4425" w:type="dxa"/>
            <w:noWrap w:val="0"/>
            <w:tcMar>
              <w:top w:w="113" w:type="dxa"/>
              <w:left w:w="113" w:type="dxa"/>
              <w:bottom w:w="113" w:type="dxa"/>
              <w:right w:w="113" w:type="dxa"/>
            </w:tcMar>
            <w:vAlign w:val="top"/>
          </w:tcPr>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 xml:space="preserve">买方名称： </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 xml:space="preserve">地    址： </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邮    编：</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电    话：</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传    真：</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代表签字或盖章：</w:t>
            </w:r>
          </w:p>
          <w:p>
            <w:pPr>
              <w:keepNext w:val="0"/>
              <w:keepLines w:val="0"/>
              <w:pageBreakBefore w:val="0"/>
              <w:widowControl w:val="0"/>
              <w:kinsoku/>
              <w:wordWrap/>
              <w:overflowPunct/>
              <w:topLinePunct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盖章：</w:t>
            </w:r>
          </w:p>
          <w:p>
            <w:pPr>
              <w:keepNext w:val="0"/>
              <w:keepLines w:val="0"/>
              <w:pageBreakBefore w:val="0"/>
              <w:widowControl w:val="0"/>
              <w:kinsoku/>
              <w:wordWrap/>
              <w:overflowPunct/>
              <w:topLinePunct w:val="0"/>
              <w:autoSpaceDE w:val="0"/>
              <w:autoSpaceDN w:val="0"/>
              <w:bidi w:val="0"/>
              <w:spacing w:line="500" w:lineRule="atLeast"/>
              <w:textAlignment w:val="auto"/>
              <w:rPr>
                <w:rFonts w:hint="eastAsia" w:ascii="宋体" w:hAnsi="宋体"/>
                <w:color w:val="auto"/>
                <w:sz w:val="24"/>
                <w:highlight w:val="none"/>
              </w:rPr>
            </w:pPr>
            <w:r>
              <w:rPr>
                <w:rFonts w:hint="eastAsia" w:ascii="宋体" w:hAnsi="宋体"/>
                <w:color w:val="auto"/>
                <w:sz w:val="24"/>
                <w:highlight w:val="none"/>
              </w:rPr>
              <w:t xml:space="preserve">  年  月  日    </w:t>
            </w:r>
          </w:p>
        </w:tc>
        <w:tc>
          <w:tcPr>
            <w:tcW w:w="3936" w:type="dxa"/>
            <w:noWrap w:val="0"/>
            <w:tcMar>
              <w:top w:w="113" w:type="dxa"/>
              <w:left w:w="113" w:type="dxa"/>
              <w:bottom w:w="113" w:type="dxa"/>
              <w:right w:w="113" w:type="dxa"/>
            </w:tcMar>
            <w:vAlign w:val="top"/>
          </w:tcPr>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卖方名称：</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 xml:space="preserve">地    址： </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 xml:space="preserve">邮    编： </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 xml:space="preserve">电    话： </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 xml:space="preserve">传    真：  </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开户银行：</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帐    号：</w:t>
            </w:r>
          </w:p>
          <w:p>
            <w:pPr>
              <w:keepNext w:val="0"/>
              <w:keepLines w:val="0"/>
              <w:pageBreakBefore w:val="0"/>
              <w:widowControl w:val="0"/>
              <w:kinsoku/>
              <w:wordWrap/>
              <w:overflowPunct/>
              <w:topLinePunct w:val="0"/>
              <w:bidi w:val="0"/>
              <w:spacing w:line="500" w:lineRule="atLeast"/>
              <w:ind w:left="240" w:leftChars="100"/>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代表签字或盖章</w:t>
            </w:r>
            <w:r>
              <w:rPr>
                <w:rFonts w:hint="eastAsia" w:ascii="宋体" w:hAnsi="宋体"/>
                <w:color w:val="auto"/>
                <w:sz w:val="24"/>
                <w:highlight w:val="none"/>
                <w:lang w:eastAsia="zh-CN"/>
              </w:rPr>
              <w:t>：</w:t>
            </w:r>
          </w:p>
          <w:p>
            <w:pPr>
              <w:keepNext w:val="0"/>
              <w:keepLines w:val="0"/>
              <w:pageBreakBefore w:val="0"/>
              <w:widowControl w:val="0"/>
              <w:kinsoku/>
              <w:wordWrap/>
              <w:overflowPunct/>
              <w:topLinePunct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盖章：</w:t>
            </w:r>
          </w:p>
          <w:p>
            <w:pPr>
              <w:keepNext w:val="0"/>
              <w:keepLines w:val="0"/>
              <w:pageBreakBefore w:val="0"/>
              <w:widowControl w:val="0"/>
              <w:kinsoku/>
              <w:wordWrap/>
              <w:overflowPunct/>
              <w:topLinePunct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 xml:space="preserve">             年  月  日</w:t>
            </w:r>
          </w:p>
        </w:tc>
      </w:tr>
    </w:tbl>
    <w:p>
      <w:pPr>
        <w:keepNext w:val="0"/>
        <w:keepLines w:val="0"/>
        <w:pageBreakBefore w:val="0"/>
        <w:widowControl w:val="0"/>
        <w:kinsoku/>
        <w:wordWrap/>
        <w:overflowPunct/>
        <w:topLinePunct w:val="0"/>
        <w:bidi w:val="0"/>
        <w:spacing w:line="500" w:lineRule="atLeast"/>
        <w:textAlignment w:val="auto"/>
        <w:rPr>
          <w:rFonts w:hint="eastAsia" w:ascii="宋体" w:hAnsi="宋体"/>
          <w:color w:val="auto"/>
          <w:sz w:val="24"/>
          <w:highlight w:val="none"/>
        </w:rPr>
      </w:pPr>
      <w:r>
        <w:rPr>
          <w:rFonts w:hint="eastAsia" w:ascii="宋体" w:hAnsi="宋体"/>
          <w:color w:val="auto"/>
          <w:sz w:val="24"/>
          <w:highlight w:val="none"/>
        </w:rPr>
        <w:t xml:space="preserve">             </w:t>
      </w:r>
    </w:p>
    <w:p>
      <w:pPr>
        <w:adjustRightInd w:val="0"/>
        <w:snapToGrid w:val="0"/>
        <w:spacing w:line="480" w:lineRule="exact"/>
        <w:rPr>
          <w:rFonts w:hint="eastAsia" w:ascii="宋体" w:hAnsi="宋体"/>
          <w:color w:val="auto"/>
          <w:kern w:val="0"/>
          <w:sz w:val="24"/>
          <w:highlight w:val="none"/>
        </w:rPr>
      </w:pPr>
      <w:r>
        <w:rPr>
          <w:rFonts w:hint="eastAsia" w:ascii="宋体" w:hAnsi="宋体"/>
          <w:color w:val="auto"/>
          <w:kern w:val="0"/>
          <w:sz w:val="24"/>
          <w:highlight w:val="none"/>
        </w:rPr>
        <w:t>二、合同条款</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1</w:t>
      </w:r>
      <w:r>
        <w:rPr>
          <w:rFonts w:hint="eastAsia" w:ascii="宋体" w:hAnsi="宋体"/>
          <w:color w:val="auto"/>
          <w:kern w:val="0"/>
          <w:sz w:val="24"/>
          <w:highlight w:val="none"/>
          <w:lang w:val="en-US" w:eastAsia="zh-CN"/>
        </w:rPr>
        <w:t>.</w:t>
      </w:r>
      <w:r>
        <w:rPr>
          <w:rFonts w:hint="eastAsia" w:ascii="宋体" w:hAnsi="宋体"/>
          <w:color w:val="auto"/>
          <w:kern w:val="0"/>
          <w:sz w:val="24"/>
          <w:highlight w:val="none"/>
        </w:rPr>
        <w:t>定义</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本合同下列术语应解释为：</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1.1</w:t>
      </w:r>
      <w:r>
        <w:rPr>
          <w:rFonts w:hint="eastAsia" w:ascii="宋体" w:hAnsi="宋体"/>
          <w:color w:val="auto"/>
          <w:kern w:val="0"/>
          <w:sz w:val="24"/>
          <w:highlight w:val="none"/>
        </w:rPr>
        <w:t>“合同”系指买卖双方签署的、合同格式中载明的买卖双方所达成的协议，包括所有的附件、附录和</w:t>
      </w:r>
      <w:r>
        <w:rPr>
          <w:rFonts w:hint="eastAsia" w:ascii="宋体" w:hAnsi="宋体"/>
          <w:color w:val="auto"/>
          <w:kern w:val="0"/>
          <w:sz w:val="24"/>
          <w:highlight w:val="none"/>
          <w:lang w:eastAsia="zh-CN"/>
        </w:rPr>
        <w:t>公开招标文件</w:t>
      </w:r>
      <w:r>
        <w:rPr>
          <w:rFonts w:hint="eastAsia" w:ascii="宋体" w:hAnsi="宋体"/>
          <w:color w:val="auto"/>
          <w:kern w:val="0"/>
          <w:sz w:val="24"/>
          <w:highlight w:val="none"/>
        </w:rPr>
        <w:t>所提到的构成合同的所有文件。</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1.2</w:t>
      </w:r>
      <w:r>
        <w:rPr>
          <w:rFonts w:hint="eastAsia" w:ascii="宋体" w:hAnsi="宋体"/>
          <w:color w:val="auto"/>
          <w:kern w:val="0"/>
          <w:sz w:val="24"/>
          <w:highlight w:val="none"/>
        </w:rPr>
        <w:t>“合同价”系指根据本合同规定卖方在正确地完全履行合同义务后买方应支付给卖方的价款。</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1.3</w:t>
      </w:r>
      <w:r>
        <w:rPr>
          <w:rFonts w:hint="eastAsia" w:ascii="宋体" w:hAnsi="宋体"/>
          <w:color w:val="auto"/>
          <w:kern w:val="0"/>
          <w:sz w:val="24"/>
          <w:highlight w:val="none"/>
        </w:rPr>
        <w:t>“货物”系指卖方根据本合同规定须向买方提供的一切产品、部件或其它材料。</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1.4</w:t>
      </w:r>
      <w:r>
        <w:rPr>
          <w:rFonts w:hint="eastAsia" w:ascii="宋体" w:hAnsi="宋体"/>
          <w:color w:val="auto"/>
          <w:kern w:val="0"/>
          <w:sz w:val="24"/>
          <w:highlight w:val="none"/>
        </w:rPr>
        <w:t>“服务”系指根据本合同规定卖方承担与供货有关的辅助服务如运输、保险以及其它的伴随服务，例如调试、提供技术援助、培训和合同中规定卖方应承担的其它义务。</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1.5</w:t>
      </w:r>
      <w:r>
        <w:rPr>
          <w:rFonts w:hint="eastAsia" w:ascii="宋体" w:hAnsi="宋体"/>
          <w:color w:val="auto"/>
          <w:kern w:val="0"/>
          <w:sz w:val="24"/>
          <w:highlight w:val="none"/>
        </w:rPr>
        <w:t>“项目现场”系指本合同项下货物安装、运行的场地。</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1</w:t>
      </w:r>
      <w:r>
        <w:rPr>
          <w:rFonts w:hint="eastAsia" w:ascii="宋体" w:hAnsi="宋体"/>
          <w:color w:val="auto"/>
          <w:kern w:val="0"/>
          <w:sz w:val="24"/>
          <w:highlight w:val="none"/>
          <w:lang w:val="en-US" w:eastAsia="zh-CN"/>
        </w:rPr>
        <w:t>.6</w:t>
      </w:r>
      <w:r>
        <w:rPr>
          <w:rFonts w:hint="eastAsia" w:ascii="宋体" w:hAnsi="宋体"/>
          <w:color w:val="auto"/>
          <w:kern w:val="0"/>
          <w:sz w:val="24"/>
          <w:highlight w:val="none"/>
        </w:rPr>
        <w:t>“合同条款”系指本合同条款。</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1</w:t>
      </w:r>
      <w:r>
        <w:rPr>
          <w:rFonts w:hint="eastAsia" w:ascii="宋体" w:hAnsi="宋体"/>
          <w:color w:val="auto"/>
          <w:kern w:val="0"/>
          <w:sz w:val="24"/>
          <w:highlight w:val="none"/>
          <w:lang w:val="en-US" w:eastAsia="zh-CN"/>
        </w:rPr>
        <w:t>.7</w:t>
      </w:r>
      <w:r>
        <w:rPr>
          <w:rFonts w:hint="eastAsia" w:ascii="宋体" w:hAnsi="宋体"/>
          <w:color w:val="auto"/>
          <w:kern w:val="0"/>
          <w:sz w:val="24"/>
          <w:highlight w:val="none"/>
        </w:rPr>
        <w:t>“买方”是指购买货物和服务的单位即</w:t>
      </w:r>
      <w:r>
        <w:rPr>
          <w:rFonts w:hint="eastAsia" w:ascii="宋体" w:hAnsi="宋体"/>
          <w:color w:val="auto"/>
          <w:spacing w:val="-2"/>
          <w:kern w:val="0"/>
          <w:sz w:val="24"/>
          <w:highlight w:val="none"/>
          <w:lang w:eastAsia="zh-CN"/>
        </w:rPr>
        <w:t>西安市鄠邑区妇幼保健计划生育服务中心（区妇幼保健院）</w:t>
      </w:r>
      <w:r>
        <w:rPr>
          <w:rFonts w:hint="eastAsia" w:ascii="宋体" w:hAnsi="宋体"/>
          <w:color w:val="auto"/>
          <w:kern w:val="0"/>
          <w:sz w:val="24"/>
          <w:highlight w:val="none"/>
        </w:rPr>
        <w:t>。</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1</w:t>
      </w:r>
      <w:r>
        <w:rPr>
          <w:rFonts w:hint="eastAsia" w:ascii="宋体" w:hAnsi="宋体"/>
          <w:color w:val="auto"/>
          <w:kern w:val="0"/>
          <w:sz w:val="24"/>
          <w:highlight w:val="none"/>
          <w:lang w:val="en-US" w:eastAsia="zh-CN"/>
        </w:rPr>
        <w:t>.8</w:t>
      </w:r>
      <w:r>
        <w:rPr>
          <w:rFonts w:hint="eastAsia" w:ascii="宋体" w:hAnsi="宋体"/>
          <w:color w:val="auto"/>
          <w:kern w:val="0"/>
          <w:sz w:val="24"/>
          <w:highlight w:val="none"/>
        </w:rPr>
        <w:t>“卖方”是指提供本合同内的货物和服务的公司或其它实体即</w:t>
      </w:r>
      <w:r>
        <w:rPr>
          <w:rFonts w:hint="eastAsia" w:ascii="宋体" w:hAnsi="宋体"/>
          <w:color w:val="auto"/>
          <w:kern w:val="0"/>
          <w:sz w:val="24"/>
          <w:highlight w:val="none"/>
          <w:lang w:eastAsia="zh-CN"/>
        </w:rPr>
        <w:t>中标人</w:t>
      </w:r>
      <w:r>
        <w:rPr>
          <w:rFonts w:hint="eastAsia" w:ascii="宋体" w:hAnsi="宋体"/>
          <w:color w:val="auto"/>
          <w:kern w:val="0"/>
          <w:sz w:val="24"/>
          <w:highlight w:val="none"/>
        </w:rPr>
        <w:t>。</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1</w:t>
      </w:r>
      <w:r>
        <w:rPr>
          <w:rFonts w:hint="eastAsia" w:ascii="宋体" w:hAnsi="宋体"/>
          <w:color w:val="auto"/>
          <w:kern w:val="0"/>
          <w:sz w:val="24"/>
          <w:highlight w:val="none"/>
          <w:lang w:val="en-US" w:eastAsia="zh-CN"/>
        </w:rPr>
        <w:t>.9</w:t>
      </w:r>
      <w:r>
        <w:rPr>
          <w:rFonts w:hint="eastAsia" w:ascii="宋体" w:hAnsi="宋体"/>
          <w:color w:val="auto"/>
          <w:kern w:val="0"/>
          <w:sz w:val="24"/>
          <w:highlight w:val="none"/>
        </w:rPr>
        <w:t>“天”指日历天数。</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w:t>
      </w:r>
      <w:r>
        <w:rPr>
          <w:rFonts w:hint="eastAsia" w:ascii="宋体" w:hAnsi="宋体"/>
          <w:color w:val="auto"/>
          <w:kern w:val="0"/>
          <w:sz w:val="24"/>
          <w:highlight w:val="none"/>
        </w:rPr>
        <w:t>适用性</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本合同条款适用于没有被本项目</w:t>
      </w:r>
      <w:r>
        <w:rPr>
          <w:rFonts w:hint="eastAsia" w:ascii="宋体" w:hAnsi="宋体"/>
          <w:color w:val="auto"/>
          <w:kern w:val="0"/>
          <w:sz w:val="24"/>
          <w:highlight w:val="none"/>
          <w:lang w:eastAsia="zh-CN"/>
        </w:rPr>
        <w:t>公开招标文件</w:t>
      </w:r>
      <w:r>
        <w:rPr>
          <w:rFonts w:hint="eastAsia" w:ascii="宋体" w:hAnsi="宋体"/>
          <w:color w:val="auto"/>
          <w:kern w:val="0"/>
          <w:sz w:val="24"/>
          <w:highlight w:val="none"/>
        </w:rPr>
        <w:t>规定条款、卖方的</w:t>
      </w:r>
      <w:r>
        <w:rPr>
          <w:rFonts w:hint="eastAsia" w:ascii="宋体" w:hAnsi="宋体"/>
          <w:color w:val="auto"/>
          <w:kern w:val="0"/>
          <w:sz w:val="24"/>
          <w:highlight w:val="none"/>
          <w:lang w:eastAsia="zh-CN"/>
        </w:rPr>
        <w:t>投标文件</w:t>
      </w:r>
      <w:r>
        <w:rPr>
          <w:rFonts w:hint="eastAsia" w:ascii="宋体" w:hAnsi="宋体"/>
          <w:color w:val="auto"/>
          <w:kern w:val="0"/>
          <w:sz w:val="24"/>
          <w:highlight w:val="none"/>
        </w:rPr>
        <w:t>承诺条款所取代的范围。</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3.</w:t>
      </w:r>
      <w:r>
        <w:rPr>
          <w:rFonts w:hint="eastAsia" w:ascii="宋体" w:hAnsi="宋体"/>
          <w:color w:val="auto"/>
          <w:kern w:val="0"/>
          <w:sz w:val="24"/>
          <w:highlight w:val="none"/>
        </w:rPr>
        <w:t>使用合同文件和资料</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3</w:t>
      </w:r>
      <w:r>
        <w:rPr>
          <w:rFonts w:hint="eastAsia" w:ascii="宋体" w:hAnsi="宋体"/>
          <w:color w:val="auto"/>
          <w:kern w:val="0"/>
          <w:sz w:val="24"/>
          <w:highlight w:val="none"/>
          <w:lang w:val="en-US" w:eastAsia="zh-CN"/>
        </w:rPr>
        <w:t>.1</w:t>
      </w:r>
      <w:r>
        <w:rPr>
          <w:rFonts w:hint="eastAsia" w:ascii="宋体" w:hAnsi="宋体"/>
          <w:color w:val="auto"/>
          <w:kern w:val="0"/>
          <w:sz w:val="24"/>
          <w:highlight w:val="none"/>
        </w:rPr>
        <w:t>没有买方事先书面同意，卖方不得将买方或代表买方提供的有关合同或任何合同条文、规格、计划、图纸、模型或资料提供给与履行本合同无关的任何其他人，即使向与履行本合同有关的人员提供，也应注意保密并限于履行合同必须的范围。</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3</w:t>
      </w:r>
      <w:r>
        <w:rPr>
          <w:rFonts w:hint="eastAsia" w:ascii="宋体" w:hAnsi="宋体"/>
          <w:color w:val="auto"/>
          <w:kern w:val="0"/>
          <w:sz w:val="24"/>
          <w:highlight w:val="none"/>
          <w:lang w:val="en-US" w:eastAsia="zh-CN"/>
        </w:rPr>
        <w:t>.2</w:t>
      </w:r>
      <w:r>
        <w:rPr>
          <w:rFonts w:hint="eastAsia" w:ascii="宋体" w:hAnsi="宋体"/>
          <w:color w:val="auto"/>
          <w:kern w:val="0"/>
          <w:sz w:val="24"/>
          <w:highlight w:val="none"/>
        </w:rPr>
        <w:t>没有买方事先书面同意，除了履行本合同之外，卖方不应使用合同条款第3-1条所列举的任何文件和资料。</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3</w:t>
      </w:r>
      <w:r>
        <w:rPr>
          <w:rFonts w:hint="eastAsia" w:ascii="宋体" w:hAnsi="宋体"/>
          <w:color w:val="auto"/>
          <w:kern w:val="0"/>
          <w:sz w:val="24"/>
          <w:highlight w:val="none"/>
          <w:lang w:val="en-US" w:eastAsia="zh-CN"/>
        </w:rPr>
        <w:t>.3</w:t>
      </w:r>
      <w:r>
        <w:rPr>
          <w:rFonts w:hint="eastAsia" w:ascii="宋体" w:hAnsi="宋体"/>
          <w:color w:val="auto"/>
          <w:kern w:val="0"/>
          <w:sz w:val="24"/>
          <w:highlight w:val="none"/>
        </w:rPr>
        <w:t>除了合同本身以外，合同条款第3</w:t>
      </w:r>
      <w:r>
        <w:rPr>
          <w:rFonts w:hint="eastAsia" w:ascii="宋体" w:hAnsi="宋体"/>
          <w:color w:val="auto"/>
          <w:kern w:val="0"/>
          <w:sz w:val="24"/>
          <w:highlight w:val="none"/>
          <w:lang w:val="en-US" w:eastAsia="zh-CN"/>
        </w:rPr>
        <w:t>.</w:t>
      </w:r>
      <w:r>
        <w:rPr>
          <w:rFonts w:hint="eastAsia" w:ascii="宋体" w:hAnsi="宋体"/>
          <w:color w:val="auto"/>
          <w:kern w:val="0"/>
          <w:sz w:val="24"/>
          <w:highlight w:val="none"/>
        </w:rPr>
        <w:t>1条所列举的任何文件是买方的财产。如果买方有要求，卖方在完成合同后应将这些文件及全部复制件还给买方。</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4</w:t>
      </w:r>
      <w:r>
        <w:rPr>
          <w:rFonts w:hint="eastAsia" w:ascii="宋体" w:hAnsi="宋体"/>
          <w:color w:val="auto"/>
          <w:kern w:val="0"/>
          <w:sz w:val="24"/>
          <w:highlight w:val="none"/>
          <w:lang w:val="en-US" w:eastAsia="zh-CN"/>
        </w:rPr>
        <w:t>.</w:t>
      </w:r>
      <w:r>
        <w:rPr>
          <w:rFonts w:hint="eastAsia" w:ascii="宋体" w:hAnsi="宋体"/>
          <w:color w:val="auto"/>
          <w:kern w:val="0"/>
          <w:sz w:val="24"/>
          <w:highlight w:val="none"/>
        </w:rPr>
        <w:t>专利权</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卖方应保证，买方在使用该产品或产品的任何一部分，免受第三方提出的侵犯（其专利权）、商标权、著作权或其它知识产权的起诉。</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5.</w:t>
      </w:r>
      <w:r>
        <w:rPr>
          <w:rFonts w:hint="eastAsia" w:ascii="宋体" w:hAnsi="宋体"/>
          <w:color w:val="auto"/>
          <w:kern w:val="0"/>
          <w:sz w:val="24"/>
          <w:highlight w:val="none"/>
        </w:rPr>
        <w:t>技术规格</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本合同下交付的货物必须等同或优于本项目</w:t>
      </w:r>
      <w:r>
        <w:rPr>
          <w:rFonts w:hint="eastAsia" w:ascii="宋体" w:hAnsi="宋体"/>
          <w:color w:val="auto"/>
          <w:kern w:val="0"/>
          <w:sz w:val="24"/>
          <w:highlight w:val="none"/>
          <w:lang w:eastAsia="zh-CN"/>
        </w:rPr>
        <w:t>公开招标文件</w:t>
      </w:r>
      <w:r>
        <w:rPr>
          <w:rFonts w:hint="eastAsia" w:ascii="宋体" w:hAnsi="宋体"/>
          <w:color w:val="auto"/>
          <w:kern w:val="0"/>
          <w:sz w:val="24"/>
          <w:highlight w:val="none"/>
        </w:rPr>
        <w:t>《</w:t>
      </w:r>
      <w:r>
        <w:rPr>
          <w:rFonts w:hint="eastAsia" w:ascii="宋体" w:hAnsi="宋体"/>
          <w:color w:val="auto"/>
          <w:kern w:val="0"/>
          <w:sz w:val="24"/>
          <w:highlight w:val="none"/>
          <w:lang w:eastAsia="zh-CN"/>
        </w:rPr>
        <w:t>采购内容及技术</w:t>
      </w:r>
      <w:r>
        <w:rPr>
          <w:rFonts w:hint="eastAsia" w:ascii="宋体" w:hAnsi="宋体"/>
          <w:color w:val="auto"/>
          <w:kern w:val="0"/>
          <w:sz w:val="24"/>
          <w:highlight w:val="none"/>
        </w:rPr>
        <w:t>要求》所述的标准。若卖方在其</w:t>
      </w:r>
      <w:r>
        <w:rPr>
          <w:rFonts w:hint="eastAsia" w:ascii="宋体" w:hAnsi="宋体"/>
          <w:color w:val="auto"/>
          <w:kern w:val="0"/>
          <w:sz w:val="24"/>
          <w:highlight w:val="none"/>
          <w:lang w:eastAsia="zh-CN"/>
        </w:rPr>
        <w:t>投标文件</w:t>
      </w:r>
      <w:r>
        <w:rPr>
          <w:rFonts w:hint="eastAsia" w:ascii="宋体" w:hAnsi="宋体"/>
          <w:color w:val="auto"/>
          <w:kern w:val="0"/>
          <w:sz w:val="24"/>
          <w:highlight w:val="none"/>
        </w:rPr>
        <w:t>中承诺的技术标准优于本项目</w:t>
      </w:r>
      <w:r>
        <w:rPr>
          <w:rFonts w:hint="eastAsia" w:ascii="宋体" w:hAnsi="宋体"/>
          <w:color w:val="auto"/>
          <w:kern w:val="0"/>
          <w:sz w:val="24"/>
          <w:highlight w:val="none"/>
          <w:lang w:eastAsia="zh-CN"/>
        </w:rPr>
        <w:t>公开招标文件</w:t>
      </w:r>
      <w:r>
        <w:rPr>
          <w:rFonts w:hint="eastAsia" w:ascii="宋体" w:hAnsi="宋体"/>
          <w:color w:val="auto"/>
          <w:kern w:val="0"/>
          <w:sz w:val="24"/>
          <w:highlight w:val="none"/>
        </w:rPr>
        <w:t>《</w:t>
      </w:r>
      <w:r>
        <w:rPr>
          <w:rFonts w:hint="eastAsia" w:ascii="宋体" w:hAnsi="宋体"/>
          <w:color w:val="auto"/>
          <w:kern w:val="0"/>
          <w:sz w:val="24"/>
          <w:highlight w:val="none"/>
          <w:lang w:eastAsia="zh-CN"/>
        </w:rPr>
        <w:t>采购内容及技术</w:t>
      </w:r>
      <w:r>
        <w:rPr>
          <w:rFonts w:hint="eastAsia" w:ascii="宋体" w:hAnsi="宋体"/>
          <w:color w:val="auto"/>
          <w:kern w:val="0"/>
          <w:sz w:val="24"/>
          <w:highlight w:val="none"/>
        </w:rPr>
        <w:t>要求》所述标准的，按</w:t>
      </w:r>
      <w:r>
        <w:rPr>
          <w:rFonts w:hint="eastAsia" w:ascii="宋体" w:hAnsi="宋体"/>
          <w:color w:val="auto"/>
          <w:kern w:val="0"/>
          <w:sz w:val="24"/>
          <w:highlight w:val="none"/>
          <w:lang w:eastAsia="zh-CN"/>
        </w:rPr>
        <w:t>投标文件</w:t>
      </w:r>
      <w:r>
        <w:rPr>
          <w:rFonts w:hint="eastAsia" w:ascii="宋体" w:hAnsi="宋体"/>
          <w:color w:val="auto"/>
          <w:kern w:val="0"/>
          <w:sz w:val="24"/>
          <w:highlight w:val="none"/>
        </w:rPr>
        <w:t>的承诺执行。</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6.</w:t>
      </w:r>
      <w:r>
        <w:rPr>
          <w:rFonts w:hint="eastAsia" w:ascii="宋体" w:hAnsi="宋体"/>
          <w:color w:val="auto"/>
          <w:kern w:val="0"/>
          <w:sz w:val="24"/>
          <w:highlight w:val="none"/>
        </w:rPr>
        <w:t>检验和测试</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6</w:t>
      </w:r>
      <w:r>
        <w:rPr>
          <w:rFonts w:hint="eastAsia" w:ascii="宋体" w:hAnsi="宋体"/>
          <w:color w:val="auto"/>
          <w:kern w:val="0"/>
          <w:sz w:val="24"/>
          <w:highlight w:val="none"/>
          <w:lang w:val="en-US" w:eastAsia="zh-CN"/>
        </w:rPr>
        <w:t>.1</w:t>
      </w:r>
      <w:r>
        <w:rPr>
          <w:rFonts w:hint="eastAsia" w:ascii="宋体" w:hAnsi="宋体"/>
          <w:color w:val="auto"/>
          <w:kern w:val="0"/>
          <w:sz w:val="24"/>
          <w:highlight w:val="none"/>
        </w:rPr>
        <w:t>买方或其代表应有权检验和测试产品及其部件，以确认所供产品是否符合合同规格的要求，并且不承担额外的费用。买方要求进行的检验和测试，以及在何处进行这些检验和测试，以书面形式通知卖方。</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6</w:t>
      </w:r>
      <w:r>
        <w:rPr>
          <w:rFonts w:hint="eastAsia" w:ascii="宋体" w:hAnsi="宋体"/>
          <w:color w:val="auto"/>
          <w:kern w:val="0"/>
          <w:sz w:val="24"/>
          <w:highlight w:val="none"/>
          <w:lang w:val="en-US" w:eastAsia="zh-CN"/>
        </w:rPr>
        <w:t>.2</w:t>
      </w:r>
      <w:r>
        <w:rPr>
          <w:rFonts w:hint="eastAsia" w:ascii="宋体" w:hAnsi="宋体"/>
          <w:color w:val="auto"/>
          <w:kern w:val="0"/>
          <w:sz w:val="24"/>
          <w:highlight w:val="none"/>
        </w:rPr>
        <w:t>检验和测试在买方指定的交货地点进行。</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6</w:t>
      </w:r>
      <w:r>
        <w:rPr>
          <w:rFonts w:hint="eastAsia" w:ascii="宋体" w:hAnsi="宋体"/>
          <w:color w:val="auto"/>
          <w:kern w:val="0"/>
          <w:sz w:val="24"/>
          <w:highlight w:val="none"/>
          <w:lang w:val="en-US" w:eastAsia="zh-CN"/>
        </w:rPr>
        <w:t>.3</w:t>
      </w:r>
      <w:r>
        <w:rPr>
          <w:rFonts w:hint="eastAsia" w:ascii="宋体" w:hAnsi="宋体"/>
          <w:color w:val="auto"/>
          <w:kern w:val="0"/>
          <w:sz w:val="24"/>
          <w:highlight w:val="none"/>
        </w:rPr>
        <w:t>如果任何被检验或测试的产品或部件不能满足</w:t>
      </w:r>
      <w:r>
        <w:rPr>
          <w:rFonts w:hint="eastAsia" w:ascii="宋体" w:hAnsi="宋体"/>
          <w:color w:val="auto"/>
          <w:kern w:val="0"/>
          <w:sz w:val="24"/>
          <w:highlight w:val="none"/>
          <w:lang w:eastAsia="zh-CN"/>
        </w:rPr>
        <w:t>公开招标文件</w:t>
      </w:r>
      <w:r>
        <w:rPr>
          <w:rFonts w:hint="eastAsia" w:ascii="宋体" w:hAnsi="宋体"/>
          <w:color w:val="auto"/>
          <w:kern w:val="0"/>
          <w:sz w:val="24"/>
          <w:highlight w:val="none"/>
        </w:rPr>
        <w:t>及合同的要求，买方可以拒绝接受该产品或部件，卖方应更换被拒绝的产品或部件，或者免费进行必要的修改以满足规格的要求。</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6</w:t>
      </w:r>
      <w:r>
        <w:rPr>
          <w:rFonts w:hint="eastAsia" w:ascii="宋体" w:hAnsi="宋体"/>
          <w:color w:val="auto"/>
          <w:kern w:val="0"/>
          <w:sz w:val="24"/>
          <w:highlight w:val="none"/>
          <w:lang w:val="en-US" w:eastAsia="zh-CN"/>
        </w:rPr>
        <w:t>.4</w:t>
      </w:r>
      <w:r>
        <w:rPr>
          <w:rFonts w:hint="eastAsia" w:ascii="宋体" w:hAnsi="宋体"/>
          <w:color w:val="auto"/>
          <w:kern w:val="0"/>
          <w:sz w:val="24"/>
          <w:highlight w:val="none"/>
        </w:rPr>
        <w:t>在交货前，卖方应让制造商对产品及其部件的质量、规格、性能、数量和重量等进行详细而全面的检验，并出具一份证明符合合同规定的检验证书，检验证书是验收文件的一个组成部分，但不能作为有关质量、规格、性能、数量和重量的最终检验，制造商检验的结果和细节应附在质量检验证书后面。</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6</w:t>
      </w:r>
      <w:r>
        <w:rPr>
          <w:rFonts w:hint="eastAsia" w:ascii="宋体" w:hAnsi="宋体"/>
          <w:color w:val="auto"/>
          <w:kern w:val="0"/>
          <w:sz w:val="24"/>
          <w:highlight w:val="none"/>
          <w:lang w:val="en-US" w:eastAsia="zh-CN"/>
        </w:rPr>
        <w:t>.5</w:t>
      </w:r>
      <w:r>
        <w:rPr>
          <w:rFonts w:hint="eastAsia" w:ascii="宋体" w:hAnsi="宋体"/>
          <w:color w:val="auto"/>
          <w:kern w:val="0"/>
          <w:sz w:val="24"/>
          <w:highlight w:val="none"/>
        </w:rPr>
        <w:t>如果在产品使用寿命期内，根据检验结果，发现产品的质量或规格与合同要求不符，或被证实有缺陷，包含潜在的缺陷或使用不合适的材料，买方应向卖方提出索赔。</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7</w:t>
      </w:r>
      <w:r>
        <w:rPr>
          <w:rFonts w:hint="eastAsia" w:ascii="宋体" w:hAnsi="宋体"/>
          <w:color w:val="auto"/>
          <w:kern w:val="0"/>
          <w:sz w:val="24"/>
          <w:highlight w:val="none"/>
          <w:lang w:val="en-US" w:eastAsia="zh-CN"/>
        </w:rPr>
        <w:t>.</w:t>
      </w:r>
      <w:r>
        <w:rPr>
          <w:rFonts w:hint="eastAsia" w:ascii="宋体" w:hAnsi="宋体"/>
          <w:color w:val="auto"/>
          <w:kern w:val="0"/>
          <w:sz w:val="24"/>
          <w:highlight w:val="none"/>
        </w:rPr>
        <w:t>包装及运输</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7</w:t>
      </w:r>
      <w:r>
        <w:rPr>
          <w:rFonts w:hint="eastAsia" w:ascii="宋体" w:hAnsi="宋体"/>
          <w:color w:val="auto"/>
          <w:kern w:val="0"/>
          <w:sz w:val="24"/>
          <w:highlight w:val="none"/>
          <w:lang w:val="en-US" w:eastAsia="zh-CN"/>
        </w:rPr>
        <w:t>.1</w:t>
      </w:r>
      <w:r>
        <w:rPr>
          <w:rFonts w:hint="eastAsia" w:ascii="宋体" w:hAnsi="宋体"/>
          <w:color w:val="auto"/>
          <w:kern w:val="0"/>
          <w:sz w:val="24"/>
          <w:highlight w:val="none"/>
        </w:rPr>
        <w:t>卖方负责货物到达交货地点前的所有包装、运输、装卸及保险事项，相关费用应包括在合同总价中。</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7</w:t>
      </w:r>
      <w:r>
        <w:rPr>
          <w:rFonts w:hint="eastAsia" w:ascii="宋体" w:hAnsi="宋体"/>
          <w:color w:val="auto"/>
          <w:kern w:val="0"/>
          <w:sz w:val="24"/>
          <w:highlight w:val="none"/>
          <w:lang w:val="en-US" w:eastAsia="zh-CN"/>
        </w:rPr>
        <w:t>.2</w:t>
      </w:r>
      <w:r>
        <w:rPr>
          <w:rFonts w:hint="eastAsia" w:ascii="宋体" w:hAnsi="宋体"/>
          <w:color w:val="auto"/>
          <w:kern w:val="0"/>
          <w:sz w:val="24"/>
          <w:highlight w:val="none"/>
        </w:rPr>
        <w:t>卖方应提供货物运至合同规定的最终目的地所需要的包装，以防止货物在运转中损坏。这类包装应采取防漏、防晒、防腐蚀、防震动及防止其它损坏的必要保护措施。卖方应承担由于其包装或其防护措施不妥而引起货物锈蚀、损坏和丢失的任何损失责任和费用。</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7</w:t>
      </w:r>
      <w:r>
        <w:rPr>
          <w:rFonts w:hint="eastAsia" w:ascii="宋体" w:hAnsi="宋体"/>
          <w:color w:val="auto"/>
          <w:kern w:val="0"/>
          <w:sz w:val="24"/>
          <w:highlight w:val="none"/>
          <w:lang w:val="en-US" w:eastAsia="zh-CN"/>
        </w:rPr>
        <w:t>.3</w:t>
      </w:r>
      <w:r>
        <w:rPr>
          <w:rFonts w:hint="eastAsia" w:ascii="宋体" w:hAnsi="宋体"/>
          <w:color w:val="auto"/>
          <w:kern w:val="0"/>
          <w:sz w:val="24"/>
          <w:highlight w:val="none"/>
        </w:rPr>
        <w:t xml:space="preserve">货物的运输方式由卖方自行选择，但包装必须满足货物运输和装卸的要求，保证买方收到的是无任何损伤的货物。否则，因此造成的损失由卖方自行承担。 </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8</w:t>
      </w:r>
      <w:r>
        <w:rPr>
          <w:rFonts w:hint="eastAsia" w:ascii="宋体" w:hAnsi="宋体"/>
          <w:color w:val="auto"/>
          <w:kern w:val="0"/>
          <w:sz w:val="24"/>
          <w:highlight w:val="none"/>
          <w:lang w:val="en-US" w:eastAsia="zh-CN"/>
        </w:rPr>
        <w:t>.</w:t>
      </w:r>
      <w:r>
        <w:rPr>
          <w:rFonts w:hint="eastAsia" w:ascii="宋体" w:hAnsi="宋体"/>
          <w:color w:val="auto"/>
          <w:kern w:val="0"/>
          <w:sz w:val="24"/>
          <w:highlight w:val="none"/>
        </w:rPr>
        <w:t>伴随服务</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8</w:t>
      </w:r>
      <w:r>
        <w:rPr>
          <w:rFonts w:hint="eastAsia" w:ascii="宋体" w:hAnsi="宋体"/>
          <w:color w:val="auto"/>
          <w:kern w:val="0"/>
          <w:sz w:val="24"/>
          <w:highlight w:val="none"/>
          <w:lang w:val="en-US" w:eastAsia="zh-CN"/>
        </w:rPr>
        <w:t>.1</w:t>
      </w:r>
      <w:r>
        <w:rPr>
          <w:rFonts w:hint="eastAsia" w:ascii="宋体" w:hAnsi="宋体"/>
          <w:color w:val="auto"/>
          <w:kern w:val="0"/>
          <w:sz w:val="24"/>
          <w:highlight w:val="none"/>
        </w:rPr>
        <w:t>卖方必须在合同生效后三十 (30)天内向买方提交所供货物的技术文件（中文技术文件），例如：产品说明、图纸、操作手册、使用说明、维护手册和／或服务指南等。</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8</w:t>
      </w:r>
      <w:r>
        <w:rPr>
          <w:rFonts w:hint="eastAsia" w:ascii="宋体" w:hAnsi="宋体"/>
          <w:color w:val="auto"/>
          <w:kern w:val="0"/>
          <w:sz w:val="24"/>
          <w:highlight w:val="none"/>
          <w:lang w:val="en-US" w:eastAsia="zh-CN"/>
        </w:rPr>
        <w:t>.2</w:t>
      </w:r>
      <w:r>
        <w:rPr>
          <w:rFonts w:hint="eastAsia" w:ascii="宋体" w:hAnsi="宋体"/>
          <w:color w:val="auto"/>
          <w:kern w:val="0"/>
          <w:sz w:val="24"/>
          <w:highlight w:val="none"/>
        </w:rPr>
        <w:t>卖方应向买方提供下列所有服务，包括本项目</w:t>
      </w:r>
      <w:r>
        <w:rPr>
          <w:rFonts w:hint="eastAsia" w:ascii="宋体" w:hAnsi="宋体"/>
          <w:color w:val="auto"/>
          <w:kern w:val="0"/>
          <w:sz w:val="24"/>
          <w:highlight w:val="none"/>
          <w:lang w:eastAsia="zh-CN"/>
        </w:rPr>
        <w:t>公开招标文件</w:t>
      </w:r>
      <w:r>
        <w:rPr>
          <w:rFonts w:hint="eastAsia" w:ascii="宋体" w:hAnsi="宋体"/>
          <w:color w:val="auto"/>
          <w:kern w:val="0"/>
          <w:sz w:val="24"/>
          <w:highlight w:val="none"/>
        </w:rPr>
        <w:t>“商务</w:t>
      </w:r>
      <w:r>
        <w:rPr>
          <w:rFonts w:hint="eastAsia" w:ascii="宋体" w:hAnsi="宋体"/>
          <w:color w:val="auto"/>
          <w:kern w:val="0"/>
          <w:sz w:val="24"/>
          <w:highlight w:val="none"/>
          <w:lang w:eastAsia="zh-CN"/>
        </w:rPr>
        <w:t>要求</w:t>
      </w:r>
      <w:r>
        <w:rPr>
          <w:rFonts w:hint="eastAsia" w:ascii="宋体" w:hAnsi="宋体"/>
          <w:color w:val="auto"/>
          <w:kern w:val="0"/>
          <w:sz w:val="24"/>
          <w:highlight w:val="none"/>
        </w:rPr>
        <w:t>”与“</w:t>
      </w:r>
      <w:r>
        <w:rPr>
          <w:rFonts w:hint="eastAsia" w:ascii="宋体" w:hAnsi="宋体"/>
          <w:color w:val="auto"/>
          <w:kern w:val="0"/>
          <w:sz w:val="24"/>
          <w:highlight w:val="none"/>
          <w:lang w:eastAsia="zh-CN"/>
        </w:rPr>
        <w:t>采购内容及技术</w:t>
      </w:r>
      <w:r>
        <w:rPr>
          <w:rFonts w:hint="eastAsia" w:ascii="宋体" w:hAnsi="宋体"/>
          <w:color w:val="auto"/>
          <w:kern w:val="0"/>
          <w:sz w:val="24"/>
          <w:highlight w:val="none"/>
        </w:rPr>
        <w:t>要求”中规定的附加服务（如果有的话）：</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8.2.1</w:t>
      </w:r>
      <w:r>
        <w:rPr>
          <w:rFonts w:hint="eastAsia" w:ascii="宋体" w:hAnsi="宋体"/>
          <w:color w:val="auto"/>
          <w:kern w:val="0"/>
          <w:sz w:val="24"/>
          <w:highlight w:val="none"/>
        </w:rPr>
        <w:t>实施或监督所供货物的现场组装 和/或试运行；</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8.2.2</w:t>
      </w:r>
      <w:r>
        <w:rPr>
          <w:rFonts w:hint="eastAsia" w:ascii="宋体" w:hAnsi="宋体"/>
          <w:color w:val="auto"/>
          <w:kern w:val="0"/>
          <w:sz w:val="24"/>
          <w:highlight w:val="none"/>
        </w:rPr>
        <w:t>提供货物组装 和/或 维修所需的工具；</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8.2.3</w:t>
      </w:r>
      <w:r>
        <w:rPr>
          <w:rFonts w:hint="eastAsia" w:ascii="宋体" w:hAnsi="宋体"/>
          <w:color w:val="auto"/>
          <w:kern w:val="0"/>
          <w:sz w:val="24"/>
          <w:highlight w:val="none"/>
        </w:rPr>
        <w:t>为所供货物的每一适当的单台设备提供详细的操作和维护手册；</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8.2.4</w:t>
      </w:r>
      <w:r>
        <w:rPr>
          <w:rFonts w:hint="eastAsia" w:ascii="宋体" w:hAnsi="宋体"/>
          <w:color w:val="auto"/>
          <w:kern w:val="0"/>
          <w:sz w:val="24"/>
          <w:highlight w:val="none"/>
        </w:rPr>
        <w:t xml:space="preserve">在双方商定的一定期限内对所供货物实施运行或监督或维护或修理，但前提条件是该服务并不能免除卖方在合同保证期内所承担的义务；  </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8.2.5</w:t>
      </w:r>
      <w:r>
        <w:rPr>
          <w:rFonts w:hint="eastAsia" w:ascii="宋体" w:hAnsi="宋体"/>
          <w:color w:val="auto"/>
          <w:kern w:val="0"/>
          <w:sz w:val="24"/>
          <w:highlight w:val="none"/>
        </w:rPr>
        <w:t>在卖方或制造厂和/或在项目现场就所供货物的组装、试运行、运行、维护和/或修理、软硬件升级对买方人员进行培训。</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8.3</w:t>
      </w:r>
      <w:r>
        <w:rPr>
          <w:rFonts w:hint="eastAsia" w:ascii="宋体" w:hAnsi="宋体"/>
          <w:color w:val="auto"/>
          <w:kern w:val="0"/>
          <w:sz w:val="24"/>
          <w:highlight w:val="none"/>
        </w:rPr>
        <w:t>卖方应提供本项目</w:t>
      </w:r>
      <w:r>
        <w:rPr>
          <w:rFonts w:hint="eastAsia" w:ascii="宋体" w:hAnsi="宋体"/>
          <w:color w:val="auto"/>
          <w:kern w:val="0"/>
          <w:sz w:val="24"/>
          <w:highlight w:val="none"/>
          <w:lang w:eastAsia="zh-CN"/>
        </w:rPr>
        <w:t>公开招标文件</w:t>
      </w:r>
      <w:r>
        <w:rPr>
          <w:rFonts w:hint="eastAsia" w:ascii="宋体" w:hAnsi="宋体"/>
          <w:color w:val="auto"/>
          <w:kern w:val="0"/>
          <w:sz w:val="24"/>
          <w:highlight w:val="none"/>
        </w:rPr>
        <w:t>“商务</w:t>
      </w:r>
      <w:r>
        <w:rPr>
          <w:rFonts w:hint="eastAsia" w:ascii="宋体" w:hAnsi="宋体"/>
          <w:color w:val="auto"/>
          <w:kern w:val="0"/>
          <w:sz w:val="24"/>
          <w:highlight w:val="none"/>
          <w:lang w:eastAsia="zh-CN"/>
        </w:rPr>
        <w:t>要求</w:t>
      </w:r>
      <w:r>
        <w:rPr>
          <w:rFonts w:hint="eastAsia" w:ascii="宋体" w:hAnsi="宋体"/>
          <w:color w:val="auto"/>
          <w:kern w:val="0"/>
          <w:sz w:val="24"/>
          <w:highlight w:val="none"/>
        </w:rPr>
        <w:t>”和“</w:t>
      </w:r>
      <w:r>
        <w:rPr>
          <w:rFonts w:hint="eastAsia" w:ascii="宋体" w:hAnsi="宋体"/>
          <w:color w:val="auto"/>
          <w:kern w:val="0"/>
          <w:sz w:val="24"/>
          <w:highlight w:val="none"/>
          <w:lang w:eastAsia="zh-CN"/>
        </w:rPr>
        <w:t>采购内容及技术</w:t>
      </w:r>
      <w:r>
        <w:rPr>
          <w:rFonts w:hint="eastAsia" w:ascii="宋体" w:hAnsi="宋体"/>
          <w:color w:val="auto"/>
          <w:kern w:val="0"/>
          <w:sz w:val="24"/>
          <w:highlight w:val="none"/>
        </w:rPr>
        <w:t>要求”中规定的所有服务。为履行要求的伴随服务的报价或双方商定的费用应包括在合同价中。</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8.4</w:t>
      </w:r>
      <w:r>
        <w:rPr>
          <w:rFonts w:hint="eastAsia" w:ascii="宋体" w:hAnsi="宋体"/>
          <w:color w:val="auto"/>
          <w:kern w:val="0"/>
          <w:sz w:val="24"/>
          <w:highlight w:val="none"/>
        </w:rPr>
        <w:t>如果卖方或制造厂提供的伴随服务的费用未含在货物的合同价中，双方应事先就其达成协议，但其费用单价不应超过卖方向其他人提供类似服务所收取的现行单价。</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9.</w:t>
      </w:r>
      <w:r>
        <w:rPr>
          <w:rFonts w:hint="eastAsia" w:ascii="宋体" w:hAnsi="宋体"/>
          <w:color w:val="auto"/>
          <w:kern w:val="0"/>
          <w:sz w:val="24"/>
          <w:highlight w:val="none"/>
        </w:rPr>
        <w:t>备品备件</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9.1</w:t>
      </w:r>
      <w:r>
        <w:rPr>
          <w:rFonts w:hint="eastAsia" w:ascii="宋体" w:hAnsi="宋体"/>
          <w:color w:val="auto"/>
          <w:kern w:val="0"/>
          <w:sz w:val="24"/>
          <w:highlight w:val="none"/>
        </w:rPr>
        <w:t>卖方可能被要求提供下列与备品备件有关的材料、通知和资料：</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9.1.1</w:t>
      </w:r>
      <w:r>
        <w:rPr>
          <w:rFonts w:hint="eastAsia" w:ascii="宋体" w:hAnsi="宋体"/>
          <w:color w:val="auto"/>
          <w:kern w:val="0"/>
          <w:sz w:val="24"/>
          <w:highlight w:val="none"/>
        </w:rPr>
        <w:t>买方从卖方选购备品备件，但前提条件是该选择并不能免除卖方在合同保证期内所承担的义务；</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9.1.2</w:t>
      </w:r>
      <w:r>
        <w:rPr>
          <w:rFonts w:hint="eastAsia" w:ascii="宋体" w:hAnsi="宋体"/>
          <w:color w:val="auto"/>
          <w:kern w:val="0"/>
          <w:sz w:val="24"/>
          <w:highlight w:val="none"/>
        </w:rPr>
        <w:t>在备品备件停止生产的情况下，卖方应事先将要停止生产的计划通知买方使买方有足够的时间采购所需的备品备件；</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9.1.3</w:t>
      </w:r>
      <w:r>
        <w:rPr>
          <w:rFonts w:hint="eastAsia" w:ascii="宋体" w:hAnsi="宋体"/>
          <w:color w:val="auto"/>
          <w:kern w:val="0"/>
          <w:sz w:val="24"/>
          <w:highlight w:val="none"/>
        </w:rPr>
        <w:t>在备品备件停止生产后，如果买方要求，卖方应免费向买方提供备品备件的蓝图、图纸和规格。</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9.2</w:t>
      </w:r>
      <w:r>
        <w:rPr>
          <w:rFonts w:hint="eastAsia" w:ascii="宋体" w:hAnsi="宋体"/>
          <w:color w:val="auto"/>
          <w:kern w:val="0"/>
          <w:sz w:val="24"/>
          <w:highlight w:val="none"/>
        </w:rPr>
        <w:t>卖方应按照本项目</w:t>
      </w:r>
      <w:r>
        <w:rPr>
          <w:rFonts w:hint="eastAsia" w:ascii="宋体" w:hAnsi="宋体"/>
          <w:color w:val="auto"/>
          <w:kern w:val="0"/>
          <w:sz w:val="24"/>
          <w:highlight w:val="none"/>
          <w:lang w:eastAsia="zh-CN"/>
        </w:rPr>
        <w:t>公开招标文件</w:t>
      </w:r>
      <w:r>
        <w:rPr>
          <w:rFonts w:hint="eastAsia" w:ascii="宋体" w:hAnsi="宋体"/>
          <w:color w:val="auto"/>
          <w:kern w:val="0"/>
          <w:sz w:val="24"/>
          <w:highlight w:val="none"/>
        </w:rPr>
        <w:t>“商务</w:t>
      </w:r>
      <w:r>
        <w:rPr>
          <w:rFonts w:hint="eastAsia" w:ascii="宋体" w:hAnsi="宋体"/>
          <w:color w:val="auto"/>
          <w:kern w:val="0"/>
          <w:sz w:val="24"/>
          <w:highlight w:val="none"/>
          <w:lang w:eastAsia="zh-CN"/>
        </w:rPr>
        <w:t>要求</w:t>
      </w:r>
      <w:r>
        <w:rPr>
          <w:rFonts w:hint="eastAsia" w:ascii="宋体" w:hAnsi="宋体"/>
          <w:color w:val="auto"/>
          <w:kern w:val="0"/>
          <w:sz w:val="24"/>
          <w:highlight w:val="none"/>
        </w:rPr>
        <w:t>”和“</w:t>
      </w:r>
      <w:r>
        <w:rPr>
          <w:rFonts w:hint="eastAsia" w:ascii="宋体" w:hAnsi="宋体"/>
          <w:color w:val="auto"/>
          <w:kern w:val="0"/>
          <w:sz w:val="24"/>
          <w:highlight w:val="none"/>
          <w:lang w:eastAsia="zh-CN"/>
        </w:rPr>
        <w:t>采购内容及技术</w:t>
      </w:r>
      <w:r>
        <w:rPr>
          <w:rFonts w:hint="eastAsia" w:ascii="宋体" w:hAnsi="宋体"/>
          <w:color w:val="auto"/>
          <w:kern w:val="0"/>
          <w:sz w:val="24"/>
          <w:highlight w:val="none"/>
        </w:rPr>
        <w:t>要求”中的规定提供所需的备品备件。</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10.</w:t>
      </w:r>
      <w:r>
        <w:rPr>
          <w:rFonts w:hint="eastAsia" w:ascii="宋体" w:hAnsi="宋体"/>
          <w:color w:val="auto"/>
          <w:kern w:val="0"/>
          <w:sz w:val="24"/>
          <w:highlight w:val="none"/>
        </w:rPr>
        <w:t>质量保证</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10.1</w:t>
      </w:r>
      <w:r>
        <w:rPr>
          <w:rFonts w:hint="eastAsia" w:ascii="宋体" w:hAnsi="宋体"/>
          <w:color w:val="auto"/>
          <w:kern w:val="0"/>
          <w:sz w:val="24"/>
          <w:highlight w:val="none"/>
        </w:rPr>
        <w:t>质量保证期为终验合格之日起   个月。</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10.2</w:t>
      </w:r>
      <w:r>
        <w:rPr>
          <w:rFonts w:hint="eastAsia" w:ascii="宋体" w:hAnsi="宋体"/>
          <w:color w:val="auto"/>
          <w:kern w:val="0"/>
          <w:sz w:val="24"/>
          <w:highlight w:val="none"/>
        </w:rPr>
        <w:t>卖方应保证合同项下所供货物是合同规定厂家制造的、全新的、未使用过的，并完全符合合同规定的质量、规格和性能要求的合格产品。卖方应保证其货物在正确安装、正常使用和保养条件下，在其使用寿命期内应具有满意的性能。在货物的质量保证期内，卖方对由于设计、工艺或材料的缺陷而产生的故障负责。</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10.3</w:t>
      </w:r>
      <w:r>
        <w:rPr>
          <w:rFonts w:hint="eastAsia" w:ascii="宋体" w:hAnsi="宋体"/>
          <w:color w:val="auto"/>
          <w:kern w:val="0"/>
          <w:sz w:val="24"/>
          <w:highlight w:val="none"/>
        </w:rPr>
        <w:t>根据检验结果或者在质量保证期内，如果货物的数量、质量或规格与合同不符，或证实货物是有缺陷的，包括潜在的缺陷，买方应尽快以书面形式向卖方提出所发现的缺陷。</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10.4</w:t>
      </w:r>
      <w:r>
        <w:rPr>
          <w:rFonts w:hint="eastAsia" w:ascii="宋体" w:hAnsi="宋体"/>
          <w:color w:val="auto"/>
          <w:kern w:val="0"/>
          <w:sz w:val="24"/>
          <w:highlight w:val="none"/>
        </w:rPr>
        <w:t>卖方收到通知后应在</w:t>
      </w:r>
      <w:r>
        <w:rPr>
          <w:rFonts w:hint="eastAsia" w:ascii="宋体" w:hAnsi="宋体"/>
          <w:color w:val="auto"/>
          <w:kern w:val="0"/>
          <w:sz w:val="24"/>
          <w:highlight w:val="none"/>
          <w:lang w:eastAsia="zh-CN"/>
        </w:rPr>
        <w:t>公开招标文件</w:t>
      </w:r>
      <w:r>
        <w:rPr>
          <w:rFonts w:hint="eastAsia" w:ascii="宋体" w:hAnsi="宋体"/>
          <w:color w:val="auto"/>
          <w:kern w:val="0"/>
          <w:sz w:val="24"/>
          <w:highlight w:val="none"/>
        </w:rPr>
        <w:t>规定的时间内以合理的速度免费维修或更换有缺陷的货物或部件。</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10.5</w:t>
      </w:r>
      <w:r>
        <w:rPr>
          <w:rFonts w:hint="eastAsia" w:ascii="宋体" w:hAnsi="宋体"/>
          <w:color w:val="auto"/>
          <w:kern w:val="0"/>
          <w:sz w:val="24"/>
          <w:highlight w:val="none"/>
        </w:rPr>
        <w:t>如果卖方收到通知后在</w:t>
      </w:r>
      <w:r>
        <w:rPr>
          <w:rFonts w:hint="eastAsia" w:ascii="宋体" w:hAnsi="宋体"/>
          <w:color w:val="auto"/>
          <w:kern w:val="0"/>
          <w:sz w:val="24"/>
          <w:highlight w:val="none"/>
          <w:lang w:eastAsia="zh-CN"/>
        </w:rPr>
        <w:t>公开招标文件</w:t>
      </w:r>
      <w:r>
        <w:rPr>
          <w:rFonts w:hint="eastAsia" w:ascii="宋体" w:hAnsi="宋体"/>
          <w:color w:val="auto"/>
          <w:kern w:val="0"/>
          <w:sz w:val="24"/>
          <w:highlight w:val="none"/>
        </w:rPr>
        <w:t>规定的时间内没有及时修补缺陷，买方可提出索赔，并可采取必要的补救措施，但其风险和费用将由卖方承担，买方根据合同规定对卖方行使的其他权力不受影响。</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11.</w:t>
      </w:r>
      <w:r>
        <w:rPr>
          <w:rFonts w:hint="eastAsia" w:ascii="宋体" w:hAnsi="宋体"/>
          <w:color w:val="auto"/>
          <w:kern w:val="0"/>
          <w:sz w:val="24"/>
          <w:highlight w:val="none"/>
        </w:rPr>
        <w:t>索赔</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11.1</w:t>
      </w:r>
      <w:r>
        <w:rPr>
          <w:rFonts w:hint="eastAsia" w:ascii="宋体" w:hAnsi="宋体"/>
          <w:color w:val="auto"/>
          <w:kern w:val="0"/>
          <w:sz w:val="24"/>
          <w:highlight w:val="none"/>
        </w:rPr>
        <w:t>如果卖方对偏差负有责任，而买方在安装、调试、验收和质量保证期内提出了索赔，卖方应按照买方同意的下列一种或几种方式结合起来解决索赔事宜：</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11.1.1</w:t>
      </w:r>
      <w:r>
        <w:rPr>
          <w:rFonts w:hint="eastAsia" w:ascii="宋体" w:hAnsi="宋体"/>
          <w:color w:val="auto"/>
          <w:kern w:val="0"/>
          <w:sz w:val="24"/>
          <w:highlight w:val="none"/>
        </w:rPr>
        <w:t>卖方同意退货并用合同规定的货币将货款退还给买方，并承担由此发生的一切损失和费用，包括利息、银行手续费、运费、保险费、检验费、仓储费、装卸费以及为看管和保护退回货物所需的其它必要费用。</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11.1.2</w:t>
      </w:r>
      <w:r>
        <w:rPr>
          <w:rFonts w:hint="eastAsia" w:ascii="宋体" w:hAnsi="宋体"/>
          <w:color w:val="auto"/>
          <w:kern w:val="0"/>
          <w:sz w:val="24"/>
          <w:highlight w:val="none"/>
        </w:rPr>
        <w:t>根据货物的偏差情况、损坏程度、以及买方所遭受损失的金额，经买卖双方商定降低货物的价格。</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11.1.3</w:t>
      </w:r>
      <w:r>
        <w:rPr>
          <w:rFonts w:hint="eastAsia" w:ascii="宋体" w:hAnsi="宋体"/>
          <w:color w:val="auto"/>
          <w:kern w:val="0"/>
          <w:sz w:val="24"/>
          <w:highlight w:val="none"/>
        </w:rPr>
        <w:t>用符合合同规定的规格、质量和性能要求的新零件、部件和/或设备来更换有缺陷的部分和/或修补缺陷部分，卖方应承担一切费用和风险并负担买方蒙受的全部直接损失费用。同时，卖方应按合同条款第10</w:t>
      </w:r>
      <w:r>
        <w:rPr>
          <w:rFonts w:hint="eastAsia" w:ascii="宋体" w:hAnsi="宋体"/>
          <w:color w:val="auto"/>
          <w:kern w:val="0"/>
          <w:sz w:val="24"/>
          <w:highlight w:val="none"/>
          <w:lang w:val="en-US" w:eastAsia="zh-CN"/>
        </w:rPr>
        <w:t>.</w:t>
      </w:r>
      <w:r>
        <w:rPr>
          <w:rFonts w:hint="eastAsia" w:ascii="宋体" w:hAnsi="宋体"/>
          <w:color w:val="auto"/>
          <w:kern w:val="0"/>
          <w:sz w:val="24"/>
          <w:highlight w:val="none"/>
        </w:rPr>
        <w:t>1条规定，相应延长所更换货物的质量保证期。</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11.2</w:t>
      </w:r>
      <w:r>
        <w:rPr>
          <w:rFonts w:hint="eastAsia" w:ascii="宋体" w:hAnsi="宋体"/>
          <w:color w:val="auto"/>
          <w:kern w:val="0"/>
          <w:sz w:val="24"/>
          <w:highlight w:val="none"/>
        </w:rPr>
        <w:t>如果在买方发出索赔通知后三十（30）天内，卖方未作答复，上述索赔应视为已被卖方接受。如卖方未能在买方发出索赔通知后三十（30）天内或买方同意的延长期限内，按照买方同意的上述规定的任何一种方法解决索赔事宜，买方将从未付货款或从卖方交纳的履约保证金中扣回索赔金额。若索赔金额超过未付货款或履约保证金的，卖方必须用已收货款进行弥补。</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12.</w:t>
      </w:r>
      <w:r>
        <w:rPr>
          <w:rFonts w:hint="eastAsia" w:ascii="宋体" w:hAnsi="宋体"/>
          <w:color w:val="auto"/>
          <w:kern w:val="0"/>
          <w:sz w:val="24"/>
          <w:highlight w:val="none"/>
        </w:rPr>
        <w:t>变更指令</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12.1</w:t>
      </w:r>
      <w:r>
        <w:rPr>
          <w:rFonts w:hint="eastAsia" w:ascii="宋体" w:hAnsi="宋体"/>
          <w:color w:val="auto"/>
          <w:kern w:val="0"/>
          <w:sz w:val="24"/>
          <w:highlight w:val="none"/>
        </w:rPr>
        <w:t>买方可以在任何时候书面向卖方发出指令，在本合同的一般范围内变更下述一项或几项：</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12.1.1</w:t>
      </w:r>
      <w:r>
        <w:rPr>
          <w:rFonts w:hint="eastAsia" w:ascii="宋体" w:hAnsi="宋体"/>
          <w:color w:val="auto"/>
          <w:kern w:val="0"/>
          <w:sz w:val="24"/>
          <w:highlight w:val="none"/>
        </w:rPr>
        <w:t>本合同项下提供的货物是专为买方制造时，变更图纸、设计或规格；</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12.1.2</w:t>
      </w:r>
      <w:r>
        <w:rPr>
          <w:rFonts w:hint="eastAsia" w:ascii="宋体" w:hAnsi="宋体"/>
          <w:color w:val="auto"/>
          <w:kern w:val="0"/>
          <w:sz w:val="24"/>
          <w:highlight w:val="none"/>
        </w:rPr>
        <w:t>运输或包装的方法；</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12.1.3</w:t>
      </w:r>
      <w:r>
        <w:rPr>
          <w:rFonts w:hint="eastAsia" w:ascii="宋体" w:hAnsi="宋体"/>
          <w:color w:val="auto"/>
          <w:kern w:val="0"/>
          <w:sz w:val="24"/>
          <w:highlight w:val="none"/>
        </w:rPr>
        <w:t>交货地点；</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12.1.4</w:t>
      </w:r>
      <w:r>
        <w:rPr>
          <w:rFonts w:hint="eastAsia" w:ascii="宋体" w:hAnsi="宋体"/>
          <w:color w:val="auto"/>
          <w:kern w:val="0"/>
          <w:sz w:val="24"/>
          <w:highlight w:val="none"/>
        </w:rPr>
        <w:t>卖方提供的服务。</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12.2</w:t>
      </w:r>
      <w:r>
        <w:rPr>
          <w:rFonts w:hint="eastAsia" w:ascii="宋体" w:hAnsi="宋体"/>
          <w:color w:val="auto"/>
          <w:kern w:val="0"/>
          <w:sz w:val="24"/>
          <w:highlight w:val="none"/>
        </w:rPr>
        <w:t>如果上述变更使卖方履行合同义务的费用或时间增加或减少，将对合同价或</w:t>
      </w:r>
      <w:r>
        <w:rPr>
          <w:rFonts w:hint="eastAsia" w:ascii="宋体" w:hAnsi="宋体"/>
          <w:color w:val="auto"/>
          <w:kern w:val="0"/>
          <w:sz w:val="24"/>
          <w:highlight w:val="none"/>
          <w:lang w:eastAsia="zh-CN"/>
        </w:rPr>
        <w:t>交货期</w:t>
      </w:r>
      <w:r>
        <w:rPr>
          <w:rFonts w:hint="eastAsia" w:ascii="宋体" w:hAnsi="宋体"/>
          <w:color w:val="auto"/>
          <w:kern w:val="0"/>
          <w:sz w:val="24"/>
          <w:highlight w:val="none"/>
        </w:rPr>
        <w:t>或两者进行公平的调整，同时相应修改合同。卖方根据本条进行调整的要求必须在收到买方的变更指令后三十（30）天内提出。</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13.</w:t>
      </w:r>
      <w:r>
        <w:rPr>
          <w:rFonts w:hint="eastAsia" w:ascii="宋体" w:hAnsi="宋体"/>
          <w:color w:val="auto"/>
          <w:kern w:val="0"/>
          <w:sz w:val="24"/>
          <w:highlight w:val="none"/>
        </w:rPr>
        <w:t>合同修改</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除了合同条款第12条的情况，不应对合同条款进行任何变更或修改，除非双方同意并签订书面的合同修改书。</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14.</w:t>
      </w:r>
      <w:r>
        <w:rPr>
          <w:rFonts w:hint="eastAsia" w:ascii="宋体" w:hAnsi="宋体"/>
          <w:color w:val="auto"/>
          <w:kern w:val="0"/>
          <w:sz w:val="24"/>
          <w:highlight w:val="none"/>
        </w:rPr>
        <w:t>转让</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未经买方事先书面同意，卖方不得部分转让或全部转让其应履行的合同义务。</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15.</w:t>
      </w:r>
      <w:r>
        <w:rPr>
          <w:rFonts w:hint="eastAsia" w:ascii="宋体" w:hAnsi="宋体"/>
          <w:color w:val="auto"/>
          <w:kern w:val="0"/>
          <w:sz w:val="24"/>
          <w:highlight w:val="none"/>
        </w:rPr>
        <w:t>卖方履约延误</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15.1</w:t>
      </w:r>
      <w:r>
        <w:rPr>
          <w:rFonts w:hint="eastAsia" w:ascii="宋体" w:hAnsi="宋体"/>
          <w:color w:val="auto"/>
          <w:kern w:val="0"/>
          <w:sz w:val="24"/>
          <w:highlight w:val="none"/>
        </w:rPr>
        <w:t>卖方应按照本项目</w:t>
      </w:r>
      <w:r>
        <w:rPr>
          <w:rFonts w:hint="eastAsia" w:ascii="宋体" w:hAnsi="宋体"/>
          <w:color w:val="auto"/>
          <w:kern w:val="0"/>
          <w:sz w:val="24"/>
          <w:highlight w:val="none"/>
          <w:lang w:eastAsia="zh-CN"/>
        </w:rPr>
        <w:t>公开招标文件</w:t>
      </w:r>
      <w:r>
        <w:rPr>
          <w:rFonts w:hint="eastAsia" w:ascii="宋体" w:hAnsi="宋体"/>
          <w:color w:val="auto"/>
          <w:kern w:val="0"/>
          <w:sz w:val="24"/>
          <w:highlight w:val="none"/>
        </w:rPr>
        <w:t>“商务</w:t>
      </w:r>
      <w:r>
        <w:rPr>
          <w:rFonts w:hint="eastAsia" w:ascii="宋体" w:hAnsi="宋体"/>
          <w:color w:val="auto"/>
          <w:kern w:val="0"/>
          <w:sz w:val="24"/>
          <w:highlight w:val="none"/>
          <w:lang w:eastAsia="zh-CN"/>
        </w:rPr>
        <w:t>要求</w:t>
      </w:r>
      <w:r>
        <w:rPr>
          <w:rFonts w:hint="eastAsia" w:ascii="宋体" w:hAnsi="宋体"/>
          <w:color w:val="auto"/>
          <w:kern w:val="0"/>
          <w:sz w:val="24"/>
          <w:highlight w:val="none"/>
        </w:rPr>
        <w:t>”中规定的</w:t>
      </w:r>
      <w:r>
        <w:rPr>
          <w:rFonts w:hint="eastAsia" w:ascii="宋体" w:hAnsi="宋体"/>
          <w:color w:val="auto"/>
          <w:kern w:val="0"/>
          <w:sz w:val="24"/>
          <w:highlight w:val="none"/>
          <w:lang w:eastAsia="zh-CN"/>
        </w:rPr>
        <w:t>交货期</w:t>
      </w:r>
      <w:r>
        <w:rPr>
          <w:rFonts w:hint="eastAsia" w:ascii="宋体" w:hAnsi="宋体"/>
          <w:color w:val="auto"/>
          <w:kern w:val="0"/>
          <w:sz w:val="24"/>
          <w:highlight w:val="none"/>
        </w:rPr>
        <w:t>交货和提供服务。</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15.2</w:t>
      </w:r>
      <w:r>
        <w:rPr>
          <w:rFonts w:hint="eastAsia" w:ascii="宋体" w:hAnsi="宋体"/>
          <w:color w:val="auto"/>
          <w:kern w:val="0"/>
          <w:sz w:val="24"/>
          <w:highlight w:val="none"/>
        </w:rPr>
        <w:t>在履行合同过程中，如果卖方遇到妨碍按时交货和提供服务的情况时，应及时以书面形式将拖延的事实、可能拖延的时间和原因通知买方。买方在收到卖方通知后，应尽快对情况进行评价，并确定是否同意延长</w:t>
      </w:r>
      <w:r>
        <w:rPr>
          <w:rFonts w:hint="eastAsia" w:ascii="宋体" w:hAnsi="宋体"/>
          <w:color w:val="auto"/>
          <w:kern w:val="0"/>
          <w:sz w:val="24"/>
          <w:highlight w:val="none"/>
          <w:lang w:eastAsia="zh-CN"/>
        </w:rPr>
        <w:t>交货期</w:t>
      </w:r>
      <w:r>
        <w:rPr>
          <w:rFonts w:hint="eastAsia" w:ascii="宋体" w:hAnsi="宋体"/>
          <w:color w:val="auto"/>
          <w:kern w:val="0"/>
          <w:sz w:val="24"/>
          <w:highlight w:val="none"/>
        </w:rPr>
        <w:t>以及是否收取误期赔偿费。延期应通过修改合同的方式由双方认可。</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15.3</w:t>
      </w:r>
      <w:r>
        <w:rPr>
          <w:rFonts w:hint="eastAsia" w:ascii="宋体" w:hAnsi="宋体"/>
          <w:color w:val="auto"/>
          <w:kern w:val="0"/>
          <w:sz w:val="24"/>
          <w:highlight w:val="none"/>
        </w:rPr>
        <w:t>除合同条款第20条规定的情况外,除非拖延是根据合同条款第15-2条的规定取得同意而不收取误期赔偿费之外，卖方延误交货，将按合同条款第17条的规定被收取误期赔偿费。</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16.</w:t>
      </w:r>
      <w:r>
        <w:rPr>
          <w:rFonts w:hint="eastAsia" w:ascii="宋体" w:hAnsi="宋体"/>
          <w:color w:val="auto"/>
          <w:kern w:val="0"/>
          <w:sz w:val="24"/>
          <w:highlight w:val="none"/>
        </w:rPr>
        <w:t>验收</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16.1</w:t>
      </w:r>
      <w:r>
        <w:rPr>
          <w:rFonts w:hint="eastAsia" w:ascii="宋体" w:hAnsi="宋体"/>
          <w:color w:val="auto"/>
          <w:kern w:val="0"/>
          <w:sz w:val="24"/>
          <w:highlight w:val="none"/>
        </w:rPr>
        <w:t>项目验收分初验和终验:</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初验：货物到达交货地点后，由使用单位根据合同对货物（设备）的名称、品牌、规格、型号、产地、数量进行检查。</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 xml:space="preserve">终验：所有货物(设备)安装、调试完毕，正常使用10个日历日后，由采购人进行终验（最终验收），合格后签发《终验合格单》。     </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16.2</w:t>
      </w:r>
      <w:r>
        <w:rPr>
          <w:rFonts w:hint="eastAsia" w:ascii="宋体" w:hAnsi="宋体"/>
          <w:color w:val="auto"/>
          <w:kern w:val="0"/>
          <w:sz w:val="24"/>
          <w:highlight w:val="none"/>
        </w:rPr>
        <w:t>验收不合格的成交单位，必须在接到通知后7个日历日内确保货物通过验收。如接到通知后7个日历日内验收仍不合格，采购人可提出索赔或取消其供货合同。采购代理机构将把成交资格授予评审排序下一名的成交单位。</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16.3</w:t>
      </w:r>
      <w:r>
        <w:rPr>
          <w:rFonts w:hint="eastAsia" w:ascii="宋体" w:hAnsi="宋体"/>
          <w:color w:val="auto"/>
          <w:kern w:val="0"/>
          <w:sz w:val="24"/>
          <w:highlight w:val="none"/>
        </w:rPr>
        <w:t>验收依据</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16.3.1</w:t>
      </w:r>
      <w:r>
        <w:rPr>
          <w:rFonts w:hint="eastAsia" w:ascii="宋体" w:hAnsi="宋体"/>
          <w:color w:val="auto"/>
          <w:kern w:val="0"/>
          <w:sz w:val="24"/>
          <w:highlight w:val="none"/>
        </w:rPr>
        <w:t xml:space="preserve">合同文本及合同补充文件（条款）； </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16.3.2</w:t>
      </w:r>
      <w:r>
        <w:rPr>
          <w:rFonts w:hint="eastAsia" w:ascii="宋体" w:hAnsi="宋体"/>
          <w:color w:val="auto"/>
          <w:kern w:val="0"/>
          <w:sz w:val="24"/>
          <w:highlight w:val="none"/>
        </w:rPr>
        <w:t>产品的合法来源渠道证明文件、响应功能证明材料；</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16.3.3</w:t>
      </w:r>
      <w:r>
        <w:rPr>
          <w:rFonts w:hint="eastAsia" w:ascii="宋体" w:hAnsi="宋体"/>
          <w:color w:val="auto"/>
          <w:kern w:val="0"/>
          <w:sz w:val="24"/>
          <w:highlight w:val="none"/>
          <w:lang w:eastAsia="zh-CN"/>
        </w:rPr>
        <w:t>公开招标文件</w:t>
      </w:r>
      <w:r>
        <w:rPr>
          <w:rFonts w:hint="eastAsia" w:ascii="宋体" w:hAnsi="宋体"/>
          <w:color w:val="auto"/>
          <w:kern w:val="0"/>
          <w:sz w:val="24"/>
          <w:highlight w:val="none"/>
        </w:rPr>
        <w:t>；</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16.3.4</w:t>
      </w:r>
      <w:r>
        <w:rPr>
          <w:rFonts w:hint="eastAsia" w:ascii="宋体" w:hAnsi="宋体"/>
          <w:color w:val="auto"/>
          <w:kern w:val="0"/>
          <w:sz w:val="24"/>
          <w:highlight w:val="none"/>
          <w:lang w:eastAsia="zh-CN"/>
        </w:rPr>
        <w:t>中标人的投标文件</w:t>
      </w:r>
      <w:r>
        <w:rPr>
          <w:rFonts w:hint="eastAsia" w:ascii="宋体" w:hAnsi="宋体"/>
          <w:color w:val="auto"/>
          <w:kern w:val="0"/>
          <w:sz w:val="24"/>
          <w:highlight w:val="none"/>
        </w:rPr>
        <w:t>；</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16.3.5</w:t>
      </w:r>
      <w:r>
        <w:rPr>
          <w:rFonts w:hint="eastAsia" w:ascii="宋体" w:hAnsi="宋体"/>
          <w:color w:val="auto"/>
          <w:kern w:val="0"/>
          <w:sz w:val="24"/>
          <w:highlight w:val="none"/>
        </w:rPr>
        <w:t>货物清单；</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16.3.6</w:t>
      </w:r>
      <w:r>
        <w:rPr>
          <w:rFonts w:hint="eastAsia" w:ascii="宋体" w:hAnsi="宋体"/>
          <w:color w:val="auto"/>
          <w:kern w:val="0"/>
          <w:sz w:val="24"/>
          <w:highlight w:val="none"/>
        </w:rPr>
        <w:t>生产厂家的企业资质、货物的执行标准。</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17.</w:t>
      </w:r>
      <w:r>
        <w:rPr>
          <w:rFonts w:hint="eastAsia" w:ascii="宋体" w:hAnsi="宋体"/>
          <w:color w:val="auto"/>
          <w:kern w:val="0"/>
          <w:sz w:val="24"/>
          <w:highlight w:val="none"/>
        </w:rPr>
        <w:t>误期赔偿费</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除合同条款第19条规定的情况外，如果卖方没有按照合同规定的时间交货和提供服务，买方应在不影响合同项下的其他补救措施的情况下，从合同价中扣除误期赔偿费。每延误一周的赔偿费按合同价的0.5％计收，直至交货或提供服务为止。误期赔偿费的最高限额为合同价格的百分之五（5%）。一旦达到误期赔偿费的最高限额，买方可考虑根据合同条款18条的规定终止合同。</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18.</w:t>
      </w:r>
      <w:r>
        <w:rPr>
          <w:rFonts w:hint="eastAsia" w:ascii="宋体" w:hAnsi="宋体"/>
          <w:color w:val="auto"/>
          <w:kern w:val="0"/>
          <w:sz w:val="24"/>
          <w:highlight w:val="none"/>
        </w:rPr>
        <w:t>违约终止合同</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18.1</w:t>
      </w:r>
      <w:r>
        <w:rPr>
          <w:rFonts w:hint="eastAsia" w:ascii="宋体" w:hAnsi="宋体"/>
          <w:color w:val="auto"/>
          <w:kern w:val="0"/>
          <w:sz w:val="24"/>
          <w:highlight w:val="none"/>
        </w:rPr>
        <w:t>在买方对卖方违约而采取的任何补救措施不受影响的情况下，买方可向卖方发出书面违约通知书，提出终止部分或全部合同：</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18.1.1</w:t>
      </w:r>
      <w:r>
        <w:rPr>
          <w:rFonts w:hint="eastAsia" w:ascii="宋体" w:hAnsi="宋体"/>
          <w:color w:val="auto"/>
          <w:kern w:val="0"/>
          <w:sz w:val="24"/>
          <w:highlight w:val="none"/>
        </w:rPr>
        <w:t>如果卖方未能在合同规定的期限内或买方根据合同条款第15.2条的规定同意延长的期限内提供部分或全部货物；或误期赔偿费达到最高限额。</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18.1.2</w:t>
      </w:r>
      <w:r>
        <w:rPr>
          <w:rFonts w:hint="eastAsia" w:ascii="宋体" w:hAnsi="宋体"/>
          <w:color w:val="auto"/>
          <w:kern w:val="0"/>
          <w:sz w:val="24"/>
          <w:highlight w:val="none"/>
        </w:rPr>
        <w:t>如果卖方未能履行合同规定的其它任何义务。</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18.1.3</w:t>
      </w:r>
      <w:r>
        <w:rPr>
          <w:rFonts w:hint="eastAsia" w:ascii="宋体" w:hAnsi="宋体"/>
          <w:color w:val="auto"/>
          <w:kern w:val="0"/>
          <w:sz w:val="24"/>
          <w:highlight w:val="none"/>
        </w:rPr>
        <w:t>如果买方认为卖方在本合同的竞争和实施过程中有腐败和欺诈行为。为此目的，定义下述条件：</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“腐败行为”是指提供、给予、接受或索取任何有价值的物品来影响买方在采购过程或合同实施过程中的行为。</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“欺诈行为”是指为了影响采购过程或合同实施过程而谎报或隐瞒事实，损害买方利益的行为。</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18.2</w:t>
      </w:r>
      <w:r>
        <w:rPr>
          <w:rFonts w:hint="eastAsia" w:ascii="宋体" w:hAnsi="宋体"/>
          <w:color w:val="auto"/>
          <w:kern w:val="0"/>
          <w:sz w:val="24"/>
          <w:highlight w:val="none"/>
        </w:rPr>
        <w:t>如果买方根据上述第18</w:t>
      </w:r>
      <w:r>
        <w:rPr>
          <w:rFonts w:hint="eastAsia" w:ascii="宋体" w:hAnsi="宋体"/>
          <w:color w:val="auto"/>
          <w:kern w:val="0"/>
          <w:sz w:val="24"/>
          <w:highlight w:val="none"/>
          <w:lang w:val="en-US" w:eastAsia="zh-CN"/>
        </w:rPr>
        <w:t>.</w:t>
      </w:r>
      <w:r>
        <w:rPr>
          <w:rFonts w:hint="eastAsia" w:ascii="宋体" w:hAnsi="宋体"/>
          <w:color w:val="auto"/>
          <w:kern w:val="0"/>
          <w:sz w:val="24"/>
          <w:highlight w:val="none"/>
        </w:rPr>
        <w:t>1条的规定，终止了全部或部分合同，买方可以依其认为适当的条件和方法购买与未交货物类似的货物或服务，卖方应承担买方因购买类似货物或服务而产生的额外支出。但是，卖方应继续执行合同中未终止的部分。</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19.</w:t>
      </w:r>
      <w:r>
        <w:rPr>
          <w:rFonts w:hint="eastAsia" w:ascii="宋体" w:hAnsi="宋体"/>
          <w:color w:val="auto"/>
          <w:kern w:val="0"/>
          <w:sz w:val="24"/>
          <w:highlight w:val="none"/>
        </w:rPr>
        <w:t>不可抗力</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19.1</w:t>
      </w:r>
      <w:r>
        <w:rPr>
          <w:rFonts w:hint="eastAsia" w:ascii="宋体" w:hAnsi="宋体"/>
          <w:color w:val="auto"/>
          <w:kern w:val="0"/>
          <w:sz w:val="24"/>
          <w:highlight w:val="none"/>
        </w:rPr>
        <w:t>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战争、严重火灾、洪水、台风、地震等。</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19.2</w:t>
      </w:r>
      <w:r>
        <w:rPr>
          <w:rFonts w:hint="eastAsia" w:ascii="宋体" w:hAnsi="宋体"/>
          <w:color w:val="auto"/>
          <w:kern w:val="0"/>
          <w:sz w:val="24"/>
          <w:highlight w:val="none"/>
        </w:rPr>
        <w:t>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19.3</w:t>
      </w:r>
      <w:r>
        <w:rPr>
          <w:rFonts w:hint="eastAsia" w:ascii="宋体" w:hAnsi="宋体"/>
          <w:color w:val="auto"/>
          <w:kern w:val="0"/>
          <w:sz w:val="24"/>
          <w:highlight w:val="none"/>
        </w:rPr>
        <w:t>因合同一方迟延履行合同后发生不可抗力的，不能免除迟延履行方的相应责任。</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20.</w:t>
      </w:r>
      <w:r>
        <w:rPr>
          <w:rFonts w:hint="eastAsia" w:ascii="宋体" w:hAnsi="宋体"/>
          <w:color w:val="auto"/>
          <w:kern w:val="0"/>
          <w:sz w:val="24"/>
          <w:highlight w:val="none"/>
        </w:rPr>
        <w:t>因破产而终止合同</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如果卖方破产或无清偿能力，买方可在任何时候以书面形式通知卖方，提出终止合同而不给卖方补偿。该合同的终止将不损害或影响买方已经采取或将要采取的任何行动或补救措施的权力。</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21.</w:t>
      </w:r>
      <w:r>
        <w:rPr>
          <w:rFonts w:hint="eastAsia" w:ascii="宋体" w:hAnsi="宋体"/>
          <w:color w:val="auto"/>
          <w:kern w:val="0"/>
          <w:sz w:val="24"/>
          <w:highlight w:val="none"/>
        </w:rPr>
        <w:t>因买方的便利而终止合同</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21.1</w:t>
      </w:r>
      <w:r>
        <w:rPr>
          <w:rFonts w:hint="eastAsia" w:ascii="宋体" w:hAnsi="宋体"/>
          <w:color w:val="auto"/>
          <w:kern w:val="0"/>
          <w:sz w:val="24"/>
          <w:highlight w:val="none"/>
        </w:rPr>
        <w:t>买方可在任何时候出于自身的便利向卖方发出书面通知全部或部分终止合同，终止通知应明确该终止合同是出于买方的便利，并明确合同终止的程度，以及终止的生效日期。</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21.2</w:t>
      </w:r>
      <w:r>
        <w:rPr>
          <w:rFonts w:hint="eastAsia" w:ascii="宋体" w:hAnsi="宋体"/>
          <w:color w:val="auto"/>
          <w:kern w:val="0"/>
          <w:sz w:val="24"/>
          <w:highlight w:val="none"/>
        </w:rPr>
        <w:t>对卖方收到终止通知后三十（30）天内已完成并准备装运的货物，买方应按原合同价格和条款予以接收，对于剩下的货物，买方可：</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21.2.1</w:t>
      </w:r>
      <w:r>
        <w:rPr>
          <w:rFonts w:hint="eastAsia" w:ascii="宋体" w:hAnsi="宋体"/>
          <w:color w:val="auto"/>
          <w:kern w:val="0"/>
          <w:sz w:val="24"/>
          <w:highlight w:val="none"/>
        </w:rPr>
        <w:t>仅对部分货物按照原来的合同价格和条款予以接受；</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21.2.2</w:t>
      </w:r>
      <w:r>
        <w:rPr>
          <w:rFonts w:hint="eastAsia" w:ascii="宋体" w:hAnsi="宋体"/>
          <w:color w:val="auto"/>
          <w:kern w:val="0"/>
          <w:sz w:val="24"/>
          <w:highlight w:val="none"/>
        </w:rPr>
        <w:t>取消对所剩货物的采购，并按双方商定的金额向卖方支付部分完成的货物和服务以及卖方以前已采购的材料和部件的费用。</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22.</w:t>
      </w:r>
      <w:r>
        <w:rPr>
          <w:rFonts w:hint="eastAsia" w:ascii="宋体" w:hAnsi="宋体"/>
          <w:color w:val="auto"/>
          <w:kern w:val="0"/>
          <w:sz w:val="24"/>
          <w:highlight w:val="none"/>
        </w:rPr>
        <w:t>争议的解决</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因执行本合同所发生的或与本合同有关的一切争议,双方应通过友好协商解决。如果协商开始后六十（60）天还不能解决，双方可依以下一种方式解决：</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22.1</w:t>
      </w:r>
      <w:r>
        <w:rPr>
          <w:rFonts w:hint="eastAsia" w:ascii="宋体" w:hAnsi="宋体"/>
          <w:color w:val="auto"/>
          <w:kern w:val="0"/>
          <w:sz w:val="24"/>
          <w:highlight w:val="none"/>
        </w:rPr>
        <w:t>双方达成仲裁协议，向约定的仲裁委员会申请仲裁。</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22.2</w:t>
      </w:r>
      <w:r>
        <w:rPr>
          <w:rFonts w:hint="eastAsia" w:ascii="宋体" w:hAnsi="宋体"/>
          <w:color w:val="auto"/>
          <w:kern w:val="0"/>
          <w:sz w:val="24"/>
          <w:highlight w:val="none"/>
        </w:rPr>
        <w:t>向有管辖权的人民法院起诉。</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23.</w:t>
      </w:r>
      <w:r>
        <w:rPr>
          <w:rFonts w:hint="eastAsia" w:ascii="宋体" w:hAnsi="宋体"/>
          <w:color w:val="auto"/>
          <w:kern w:val="0"/>
          <w:sz w:val="24"/>
          <w:highlight w:val="none"/>
        </w:rPr>
        <w:t>适用法律</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本合同应按照中华人民共和国的现行法律进行解释。</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24.</w:t>
      </w:r>
      <w:r>
        <w:rPr>
          <w:rFonts w:hint="eastAsia" w:ascii="宋体" w:hAnsi="宋体"/>
          <w:color w:val="auto"/>
          <w:kern w:val="0"/>
          <w:sz w:val="24"/>
          <w:highlight w:val="none"/>
        </w:rPr>
        <w:t>通知</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24.1</w:t>
      </w:r>
      <w:r>
        <w:rPr>
          <w:rFonts w:hint="eastAsia" w:ascii="宋体" w:hAnsi="宋体"/>
          <w:color w:val="auto"/>
          <w:kern w:val="0"/>
          <w:sz w:val="24"/>
          <w:highlight w:val="none"/>
        </w:rPr>
        <w:t>本合同一方给对方的通知应用书面形式送到合同专用条款中规定的对方的地址。传真要经书面确认。</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24.2</w:t>
      </w:r>
      <w:r>
        <w:rPr>
          <w:rFonts w:hint="eastAsia" w:ascii="宋体" w:hAnsi="宋体"/>
          <w:color w:val="auto"/>
          <w:kern w:val="0"/>
          <w:sz w:val="24"/>
          <w:highlight w:val="none"/>
        </w:rPr>
        <w:t>通知以送到日期或通知书的生效日期为生效日期，两者中以晚的一个日期为准。</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25.</w:t>
      </w:r>
      <w:r>
        <w:rPr>
          <w:rFonts w:hint="eastAsia" w:ascii="宋体" w:hAnsi="宋体"/>
          <w:color w:val="auto"/>
          <w:kern w:val="0"/>
          <w:sz w:val="24"/>
          <w:highlight w:val="none"/>
        </w:rPr>
        <w:t>税款</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25.1</w:t>
      </w:r>
      <w:r>
        <w:rPr>
          <w:rFonts w:hint="eastAsia" w:ascii="宋体" w:hAnsi="宋体"/>
          <w:color w:val="auto"/>
          <w:kern w:val="0"/>
          <w:sz w:val="24"/>
          <w:highlight w:val="none"/>
        </w:rPr>
        <w:t>按照中华人民共和国税法和有关部门的规定，买方需交纳的与本合同有关的一切税费均应由买方负担。</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25.2</w:t>
      </w:r>
      <w:r>
        <w:rPr>
          <w:rFonts w:hint="eastAsia" w:ascii="宋体" w:hAnsi="宋体"/>
          <w:color w:val="auto"/>
          <w:kern w:val="0"/>
          <w:sz w:val="24"/>
          <w:highlight w:val="none"/>
        </w:rPr>
        <w:t>按照中华人民共和国税法和有关部门的规定，卖方需交纳的与本合同有关的一切税费均应由卖方负担。</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26.</w:t>
      </w:r>
      <w:r>
        <w:rPr>
          <w:rFonts w:hint="eastAsia" w:ascii="宋体" w:hAnsi="宋体"/>
          <w:color w:val="auto"/>
          <w:kern w:val="0"/>
          <w:sz w:val="24"/>
          <w:highlight w:val="none"/>
        </w:rPr>
        <w:t>合同生效</w:t>
      </w:r>
    </w:p>
    <w:p>
      <w:pPr>
        <w:spacing w:line="500" w:lineRule="exact"/>
        <w:ind w:firstLine="480" w:firstLineChars="200"/>
        <w:rPr>
          <w:rFonts w:hint="eastAsia" w:ascii="宋体" w:hAnsi="宋体"/>
          <w:b/>
          <w:color w:val="auto"/>
          <w:sz w:val="24"/>
          <w:highlight w:val="none"/>
        </w:rPr>
      </w:pPr>
      <w:r>
        <w:rPr>
          <w:rFonts w:hint="eastAsia" w:ascii="宋体" w:hAnsi="宋体" w:eastAsia="宋体" w:cs="宋体"/>
          <w:color w:val="auto"/>
          <w:kern w:val="0"/>
          <w:sz w:val="24"/>
          <w:highlight w:val="none"/>
        </w:rPr>
        <w:t>本合同由买卖双方共同签字盖章，自最后一方签字盖章之日起生效</w:t>
      </w:r>
      <w:r>
        <w:rPr>
          <w:rFonts w:hint="eastAsia" w:ascii="宋体" w:hAnsi="宋体" w:eastAsia="宋体" w:cs="宋体"/>
          <w:color w:val="auto"/>
          <w:kern w:val="0"/>
          <w:sz w:val="24"/>
          <w:highlight w:val="none"/>
          <w:lang w:eastAsia="zh-CN"/>
        </w:rPr>
        <w:t>。</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3"/>
        <w:jc w:val="center"/>
        <w:outlineLvl w:val="9"/>
        <w:rPr>
          <w:rFonts w:hint="eastAsia" w:ascii="宋体" w:hAnsi="宋体" w:eastAsia="宋体" w:cs="宋体"/>
          <w:b/>
          <w:bCs/>
          <w:color w:val="auto"/>
          <w:highlight w:val="none"/>
        </w:rPr>
      </w:pPr>
      <w:bookmarkStart w:id="135" w:name="_Toc23737"/>
      <w:bookmarkStart w:id="136" w:name="_Toc31160"/>
      <w:r>
        <w:rPr>
          <w:rFonts w:hint="eastAsia" w:ascii="宋体" w:hAnsi="宋体" w:eastAsia="宋体" w:cs="宋体"/>
          <w:b/>
          <w:bCs/>
          <w:color w:val="auto"/>
          <w:highlight w:val="none"/>
        </w:rPr>
        <w:t>第五章  投标文件构成及格式</w:t>
      </w:r>
      <w:bookmarkEnd w:id="134"/>
      <w:bookmarkEnd w:id="135"/>
      <w:bookmarkEnd w:id="136"/>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jc w:val="both"/>
        <w:rPr>
          <w:rFonts w:hint="eastAsia" w:ascii="宋体" w:hAnsi="宋体" w:eastAsia="宋体" w:cs="宋体"/>
          <w:color w:val="auto"/>
          <w:sz w:val="32"/>
          <w:szCs w:val="32"/>
          <w:highlight w:val="none"/>
        </w:rPr>
      </w:pPr>
    </w:p>
    <w:p>
      <w:pPr>
        <w:pStyle w:val="3"/>
        <w:outlineLvl w:val="1"/>
        <w:rPr>
          <w:rFonts w:hint="eastAsia" w:ascii="宋体" w:hAnsi="宋体" w:eastAsia="宋体" w:cs="宋体"/>
          <w:b/>
          <w:bCs/>
          <w:color w:val="auto"/>
          <w:sz w:val="40"/>
          <w:szCs w:val="40"/>
          <w:highlight w:val="none"/>
          <w:lang w:eastAsia="zh-CN"/>
        </w:rPr>
      </w:pPr>
      <w:bookmarkStart w:id="137" w:name="_Toc29392"/>
      <w:bookmarkStart w:id="138" w:name="_Toc2407"/>
      <w:r>
        <w:rPr>
          <w:rFonts w:hint="eastAsia" w:ascii="宋体" w:hAnsi="宋体" w:eastAsia="宋体" w:cs="宋体"/>
          <w:b/>
          <w:bCs/>
          <w:color w:val="auto"/>
          <w:sz w:val="40"/>
          <w:szCs w:val="40"/>
          <w:highlight w:val="none"/>
          <w:lang w:eastAsia="zh-CN"/>
        </w:rPr>
        <w:t>西安市鄠邑区妇幼保健计划生育服务中心</w:t>
      </w:r>
    </w:p>
    <w:p>
      <w:pPr>
        <w:pStyle w:val="3"/>
        <w:outlineLvl w:val="1"/>
        <w:rPr>
          <w:rFonts w:hint="eastAsia" w:ascii="宋体" w:hAnsi="宋体" w:eastAsia="宋体" w:cs="宋体"/>
          <w:b/>
          <w:bCs/>
          <w:color w:val="auto"/>
          <w:sz w:val="40"/>
          <w:szCs w:val="40"/>
          <w:highlight w:val="none"/>
          <w:lang w:eastAsia="zh-CN"/>
        </w:rPr>
      </w:pPr>
      <w:r>
        <w:rPr>
          <w:rFonts w:hint="eastAsia" w:ascii="宋体" w:hAnsi="宋体" w:eastAsia="宋体" w:cs="宋体"/>
          <w:b/>
          <w:bCs/>
          <w:color w:val="auto"/>
          <w:sz w:val="40"/>
          <w:szCs w:val="40"/>
          <w:highlight w:val="none"/>
          <w:lang w:eastAsia="zh-CN"/>
        </w:rPr>
        <w:t>（区妇幼保健院）</w:t>
      </w:r>
    </w:p>
    <w:p>
      <w:pPr>
        <w:pStyle w:val="3"/>
        <w:outlineLvl w:val="1"/>
        <w:rPr>
          <w:rFonts w:hint="eastAsia" w:ascii="宋体" w:hAnsi="宋体" w:eastAsia="宋体" w:cs="宋体"/>
          <w:b/>
          <w:bCs/>
          <w:color w:val="auto"/>
          <w:sz w:val="40"/>
          <w:szCs w:val="40"/>
          <w:highlight w:val="none"/>
          <w:lang w:eastAsia="zh-CN"/>
        </w:rPr>
      </w:pPr>
      <w:r>
        <w:rPr>
          <w:rFonts w:hint="eastAsia" w:ascii="宋体" w:hAnsi="宋体" w:eastAsia="宋体" w:cs="宋体"/>
          <w:b/>
          <w:bCs/>
          <w:color w:val="auto"/>
          <w:sz w:val="40"/>
          <w:szCs w:val="40"/>
          <w:highlight w:val="none"/>
          <w:lang w:eastAsia="zh-CN"/>
        </w:rPr>
        <w:t>宫腔镜和电子阴道镜系统购置项目</w:t>
      </w:r>
    </w:p>
    <w:p>
      <w:pPr>
        <w:rPr>
          <w:rFonts w:hint="eastAsia"/>
          <w:sz w:val="32"/>
          <w:szCs w:val="32"/>
          <w:lang w:eastAsia="zh-CN"/>
        </w:rPr>
      </w:pPr>
    </w:p>
    <w:p>
      <w:pPr>
        <w:spacing w:line="560" w:lineRule="exact"/>
        <w:ind w:firstLine="960" w:firstLineChars="300"/>
        <w:jc w:val="center"/>
        <w:rPr>
          <w:rFonts w:hint="eastAsia" w:ascii="宋体" w:hAnsi="宋体" w:eastAsia="宋体" w:cs="宋体"/>
          <w:color w:val="auto"/>
          <w:sz w:val="32"/>
          <w:szCs w:val="32"/>
          <w:highlight w:val="none"/>
          <w:u w:val="none"/>
          <w:lang w:eastAsia="zh-CN"/>
        </w:rPr>
      </w:pPr>
      <w:r>
        <w:rPr>
          <w:rFonts w:hint="eastAsia" w:ascii="宋体" w:hAnsi="宋体" w:eastAsia="宋体" w:cs="宋体"/>
          <w:b/>
          <w:bCs/>
          <w:color w:val="auto"/>
          <w:sz w:val="32"/>
          <w:szCs w:val="32"/>
          <w:highlight w:val="none"/>
          <w:u w:val="none"/>
          <w:lang w:eastAsia="zh-CN"/>
        </w:rPr>
        <w:t>（第二标段：宫腔镜系统购置项目）</w:t>
      </w:r>
    </w:p>
    <w:p>
      <w:pPr>
        <w:pStyle w:val="3"/>
        <w:jc w:val="both"/>
        <w:outlineLvl w:val="1"/>
        <w:rPr>
          <w:rFonts w:hint="eastAsia" w:ascii="宋体" w:hAnsi="宋体" w:eastAsia="宋体" w:cs="宋体"/>
          <w:color w:val="auto"/>
          <w:highlight w:val="none"/>
        </w:rPr>
      </w:pPr>
    </w:p>
    <w:p>
      <w:pPr>
        <w:pStyle w:val="3"/>
        <w:outlineLvl w:val="1"/>
        <w:rPr>
          <w:rFonts w:hint="eastAsia" w:ascii="宋体" w:hAnsi="宋体" w:eastAsia="宋体" w:cs="宋体"/>
          <w:b/>
          <w:bCs/>
          <w:color w:val="auto"/>
          <w:sz w:val="56"/>
          <w:szCs w:val="56"/>
          <w:highlight w:val="none"/>
        </w:rPr>
      </w:pPr>
      <w:r>
        <w:rPr>
          <w:rFonts w:hint="eastAsia" w:ascii="宋体" w:hAnsi="宋体" w:eastAsia="宋体" w:cs="宋体"/>
          <w:b/>
          <w:bCs/>
          <w:color w:val="auto"/>
          <w:sz w:val="56"/>
          <w:szCs w:val="56"/>
          <w:highlight w:val="none"/>
        </w:rPr>
        <w:t>投</w:t>
      </w:r>
      <w:r>
        <w:rPr>
          <w:rFonts w:hint="eastAsia" w:ascii="宋体" w:hAnsi="宋体" w:eastAsia="宋体" w:cs="宋体"/>
          <w:b/>
          <w:bCs/>
          <w:color w:val="auto"/>
          <w:sz w:val="56"/>
          <w:szCs w:val="56"/>
          <w:highlight w:val="none"/>
          <w:lang w:val="en-US" w:eastAsia="zh-CN"/>
        </w:rPr>
        <w:t xml:space="preserve"> </w:t>
      </w:r>
      <w:r>
        <w:rPr>
          <w:rFonts w:hint="eastAsia" w:ascii="宋体" w:hAnsi="宋体" w:eastAsia="宋体" w:cs="宋体"/>
          <w:b/>
          <w:bCs/>
          <w:color w:val="auto"/>
          <w:sz w:val="56"/>
          <w:szCs w:val="56"/>
          <w:highlight w:val="none"/>
        </w:rPr>
        <w:t>标</w:t>
      </w:r>
      <w:r>
        <w:rPr>
          <w:rFonts w:hint="eastAsia" w:ascii="宋体" w:hAnsi="宋体" w:eastAsia="宋体" w:cs="宋体"/>
          <w:b/>
          <w:bCs/>
          <w:color w:val="auto"/>
          <w:sz w:val="56"/>
          <w:szCs w:val="56"/>
          <w:highlight w:val="none"/>
          <w:lang w:val="en-US" w:eastAsia="zh-CN"/>
        </w:rPr>
        <w:t xml:space="preserve"> </w:t>
      </w:r>
      <w:r>
        <w:rPr>
          <w:rFonts w:hint="eastAsia" w:ascii="宋体" w:hAnsi="宋体" w:eastAsia="宋体" w:cs="宋体"/>
          <w:b/>
          <w:bCs/>
          <w:color w:val="auto"/>
          <w:sz w:val="56"/>
          <w:szCs w:val="56"/>
          <w:highlight w:val="none"/>
        </w:rPr>
        <w:t>文</w:t>
      </w:r>
      <w:r>
        <w:rPr>
          <w:rFonts w:hint="eastAsia" w:ascii="宋体" w:hAnsi="宋体" w:eastAsia="宋体" w:cs="宋体"/>
          <w:b/>
          <w:bCs/>
          <w:color w:val="auto"/>
          <w:sz w:val="56"/>
          <w:szCs w:val="56"/>
          <w:highlight w:val="none"/>
          <w:lang w:val="en-US" w:eastAsia="zh-CN"/>
        </w:rPr>
        <w:t xml:space="preserve"> </w:t>
      </w:r>
      <w:r>
        <w:rPr>
          <w:rFonts w:hint="eastAsia" w:ascii="宋体" w:hAnsi="宋体" w:eastAsia="宋体" w:cs="宋体"/>
          <w:b/>
          <w:bCs/>
          <w:color w:val="auto"/>
          <w:sz w:val="56"/>
          <w:szCs w:val="56"/>
          <w:highlight w:val="none"/>
        </w:rPr>
        <w:t>件</w:t>
      </w:r>
      <w:bookmarkEnd w:id="137"/>
      <w:bookmarkEnd w:id="138"/>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4"/>
        <w:jc w:val="center"/>
        <w:rPr>
          <w:rFonts w:hint="eastAsia" w:ascii="宋体" w:hAnsi="宋体" w:eastAsia="宋体" w:cs="宋体"/>
          <w:b/>
          <w:bCs/>
          <w:color w:val="auto"/>
          <w:sz w:val="32"/>
          <w:szCs w:val="32"/>
          <w:highlight w:val="none"/>
        </w:rPr>
      </w:pPr>
      <w:bookmarkStart w:id="139" w:name="_Toc10966"/>
      <w:r>
        <w:rPr>
          <w:rFonts w:hint="eastAsia" w:ascii="宋体" w:hAnsi="宋体" w:eastAsia="宋体" w:cs="宋体"/>
          <w:b/>
          <w:bCs/>
          <w:color w:val="auto"/>
          <w:highlight w:val="none"/>
        </w:rPr>
        <w:t>（项目编号：</w:t>
      </w:r>
      <w:r>
        <w:rPr>
          <w:rFonts w:hint="eastAsia" w:ascii="宋体" w:hAnsi="宋体" w:eastAsia="宋体" w:cs="宋体"/>
          <w:b/>
          <w:bCs/>
          <w:color w:val="auto"/>
          <w:sz w:val="32"/>
          <w:szCs w:val="32"/>
          <w:highlight w:val="none"/>
          <w:lang w:eastAsia="zh-CN"/>
        </w:rPr>
        <w:t>SDZC2022-286-02</w:t>
      </w:r>
      <w:r>
        <w:rPr>
          <w:rFonts w:hint="eastAsia" w:ascii="宋体" w:hAnsi="宋体" w:eastAsia="宋体" w:cs="宋体"/>
          <w:b/>
          <w:bCs/>
          <w:color w:val="auto"/>
          <w:highlight w:val="none"/>
        </w:rPr>
        <w:t>）</w:t>
      </w:r>
      <w:bookmarkEnd w:id="139"/>
    </w:p>
    <w:p>
      <w:pPr>
        <w:spacing w:line="560" w:lineRule="exact"/>
        <w:jc w:val="both"/>
        <w:rPr>
          <w:rFonts w:hint="eastAsia" w:ascii="宋体" w:hAnsi="宋体" w:eastAsia="宋体" w:cs="宋体"/>
          <w:color w:val="auto"/>
          <w:sz w:val="32"/>
          <w:szCs w:val="32"/>
          <w:highlight w:val="none"/>
        </w:rPr>
      </w:pPr>
    </w:p>
    <w:p>
      <w:pPr>
        <w:spacing w:line="560" w:lineRule="exact"/>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eastAsia="zh-CN"/>
        </w:rPr>
        <w:t>投标人</w:t>
      </w:r>
      <w:r>
        <w:rPr>
          <w:rFonts w:hint="eastAsia" w:ascii="宋体" w:hAnsi="宋体" w:eastAsia="宋体" w:cs="宋体"/>
          <w:b/>
          <w:bCs/>
          <w:color w:val="auto"/>
          <w:sz w:val="32"/>
          <w:szCs w:val="32"/>
          <w:highlight w:val="none"/>
        </w:rPr>
        <w:t>：__________________</w:t>
      </w:r>
    </w:p>
    <w:p>
      <w:pPr>
        <w:spacing w:line="560" w:lineRule="exact"/>
        <w:ind w:firstLine="640" w:firstLineChars="20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标  段：__________________</w:t>
      </w:r>
    </w:p>
    <w:p>
      <w:pPr>
        <w:spacing w:line="560" w:lineRule="exact"/>
        <w:ind w:firstLine="640" w:firstLineChars="20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时  间：__________________</w:t>
      </w:r>
    </w:p>
    <w:p>
      <w:pPr>
        <w:spacing w:line="560" w:lineRule="exact"/>
        <w:ind w:firstLine="640" w:firstLineChars="200"/>
        <w:jc w:val="both"/>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p>
    <w:p>
      <w:pPr>
        <w:spacing w:line="560" w:lineRule="exact"/>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目    录</w:t>
      </w:r>
    </w:p>
    <w:p>
      <w:pPr>
        <w:spacing w:line="560" w:lineRule="exact"/>
        <w:ind w:firstLine="480" w:firstLineChars="200"/>
        <w:jc w:val="both"/>
        <w:rPr>
          <w:rFonts w:hint="eastAsia" w:ascii="宋体" w:hAnsi="宋体" w:eastAsia="宋体" w:cs="宋体"/>
          <w:color w:val="auto"/>
          <w:sz w:val="24"/>
          <w:szCs w:val="24"/>
          <w:highlight w:val="none"/>
        </w:rPr>
      </w:pPr>
    </w:p>
    <w:p>
      <w:pPr>
        <w:spacing w:line="48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第一部分  投标函</w:t>
      </w:r>
    </w:p>
    <w:p>
      <w:pPr>
        <w:spacing w:line="48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第二部分  开标一览表</w:t>
      </w:r>
    </w:p>
    <w:p>
      <w:pPr>
        <w:spacing w:line="48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第三部分  资格证明文件</w:t>
      </w:r>
    </w:p>
    <w:p>
      <w:pPr>
        <w:spacing w:line="48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第四部分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概况</w:t>
      </w:r>
    </w:p>
    <w:p>
      <w:pPr>
        <w:spacing w:line="48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第五部分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参加政府采购活动承诺书</w:t>
      </w:r>
    </w:p>
    <w:p>
      <w:pPr>
        <w:spacing w:line="48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第六部分  投标方案</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4"/>
        <w:rPr>
          <w:rFonts w:hint="eastAsia" w:ascii="宋体" w:hAnsi="宋体" w:eastAsia="宋体" w:cs="宋体"/>
          <w:color w:val="auto"/>
          <w:sz w:val="24"/>
          <w:szCs w:val="24"/>
          <w:highlight w:val="none"/>
        </w:rPr>
      </w:pPr>
      <w:bookmarkStart w:id="140" w:name="_Toc16719"/>
      <w:r>
        <w:rPr>
          <w:rFonts w:hint="eastAsia" w:ascii="宋体" w:hAnsi="宋体" w:eastAsia="宋体" w:cs="宋体"/>
          <w:color w:val="auto"/>
          <w:sz w:val="24"/>
          <w:szCs w:val="24"/>
          <w:highlight w:val="none"/>
        </w:rPr>
        <w:t>第一部分  投标函</w:t>
      </w:r>
      <w:bookmarkEnd w:id="140"/>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〈采购人〉〈政府采购代理机构〉：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我方收到贵中心发布的〈项目名称〉（项目编号：〈项目编号〉）招标文件，经详细研究，我方决定参加该项目第___标段的招标活动。为此，我方郑重声明以下诸点，并负法律责任。</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1．我方已详细阅读了招标文件，完全理解并同意招标文件的所有事项及内容。</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已悉知并及时关注了贵中心在陕西省政府采购网、全国公共资源交易平台（陕西省·西安市）上发布的关于本项目的有关变更公告（包括但不限于对招标文件做出的修改或澄清、答疑纪要，以及项目暂停、重启、延期、终止等）。</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3．我方同意向贵中心提供与本次招标有关的全部证明材料，并保证所提交的证明材料真实、合法、有效。</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4．我方理解最低价不是成交的唯一条件，并尊重评标委员会的评审结果。</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5．我方投标文件在开启之日起___个日历日（应不少于90个日历日）内有效。</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若我方成交，我方承诺：（1）将投标文件有效期延长至合同执行完毕；（2）收到成交通知书后提交纸质投标文件一正两副，并按时交纳履约保证金；（3）遵照招标文件中的要求，完成本项目的合同责任和义务。</w:t>
      </w:r>
    </w:p>
    <w:p>
      <w:pPr>
        <w:spacing w:line="560" w:lineRule="exact"/>
        <w:ind w:firstLine="480" w:firstLineChars="200"/>
        <w:jc w:val="both"/>
        <w:outlineLvl w:val="2"/>
        <w:rPr>
          <w:rFonts w:hint="eastAsia" w:ascii="宋体" w:hAnsi="宋体" w:eastAsia="宋体" w:cs="宋体"/>
          <w:color w:val="auto"/>
          <w:sz w:val="24"/>
          <w:szCs w:val="24"/>
          <w:highlight w:val="none"/>
        </w:rPr>
      </w:pPr>
      <w:bookmarkStart w:id="141" w:name="_Toc31223"/>
      <w:r>
        <w:rPr>
          <w:rFonts w:hint="eastAsia" w:ascii="宋体" w:hAnsi="宋体" w:eastAsia="宋体" w:cs="宋体"/>
          <w:color w:val="auto"/>
          <w:sz w:val="24"/>
          <w:szCs w:val="24"/>
          <w:highlight w:val="none"/>
        </w:rPr>
        <w:t>7．所有关于此次招标活动的函电，请按下列方式联系：</w:t>
      </w:r>
      <w:bookmarkEnd w:id="141"/>
    </w:p>
    <w:p>
      <w:pPr>
        <w:keepNext w:val="0"/>
        <w:keepLines w:val="0"/>
        <w:pageBreakBefore w:val="0"/>
        <w:widowControl/>
        <w:kinsoku/>
        <w:wordWrap/>
        <w:overflowPunct/>
        <w:topLinePunct w:val="0"/>
        <w:autoSpaceDE/>
        <w:autoSpaceDN/>
        <w:bidi w:val="0"/>
        <w:adjustRightInd/>
        <w:snapToGrid/>
        <w:spacing w:line="560" w:lineRule="exact"/>
        <w:ind w:firstLine="264" w:firstLineChars="11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keepNext w:val="0"/>
        <w:keepLines w:val="0"/>
        <w:pageBreakBefore w:val="0"/>
        <w:widowControl/>
        <w:kinsoku/>
        <w:wordWrap/>
        <w:overflowPunct/>
        <w:topLinePunct w:val="0"/>
        <w:autoSpaceDE/>
        <w:autoSpaceDN/>
        <w:bidi w:val="0"/>
        <w:adjustRightInd/>
        <w:snapToGrid/>
        <w:spacing w:line="240" w:lineRule="auto"/>
        <w:ind w:firstLine="264" w:firstLineChars="11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法定代表人（主要负责人）或委托代理人：（签字或盖章）</w:t>
      </w:r>
    </w:p>
    <w:p>
      <w:pPr>
        <w:keepNext w:val="0"/>
        <w:keepLines w:val="0"/>
        <w:pageBreakBefore w:val="0"/>
        <w:widowControl/>
        <w:kinsoku/>
        <w:wordWrap/>
        <w:overflowPunct/>
        <w:topLinePunct w:val="0"/>
        <w:autoSpaceDE/>
        <w:autoSpaceDN/>
        <w:bidi w:val="0"/>
        <w:adjustRightInd/>
        <w:snapToGrid/>
        <w:spacing w:line="240" w:lineRule="auto"/>
        <w:ind w:firstLine="264" w:firstLineChars="11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p>
      <w:pPr>
        <w:keepNext w:val="0"/>
        <w:keepLines w:val="0"/>
        <w:pageBreakBefore w:val="0"/>
        <w:widowControl/>
        <w:kinsoku/>
        <w:wordWrap/>
        <w:overflowPunct/>
        <w:topLinePunct w:val="0"/>
        <w:autoSpaceDE/>
        <w:autoSpaceDN/>
        <w:bidi w:val="0"/>
        <w:adjustRightInd/>
        <w:snapToGrid/>
        <w:spacing w:line="240" w:lineRule="auto"/>
        <w:ind w:firstLine="264" w:firstLineChars="11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通讯地址：</w:t>
      </w:r>
    </w:p>
    <w:p>
      <w:pPr>
        <w:keepNext w:val="0"/>
        <w:keepLines w:val="0"/>
        <w:pageBreakBefore w:val="0"/>
        <w:widowControl/>
        <w:kinsoku/>
        <w:wordWrap/>
        <w:overflowPunct/>
        <w:topLinePunct w:val="0"/>
        <w:autoSpaceDE/>
        <w:autoSpaceDN/>
        <w:bidi w:val="0"/>
        <w:adjustRightInd/>
        <w:snapToGrid/>
        <w:spacing w:line="240" w:lineRule="auto"/>
        <w:ind w:firstLine="264" w:firstLineChars="11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    编：</w:t>
      </w:r>
    </w:p>
    <w:p>
      <w:pPr>
        <w:keepNext w:val="0"/>
        <w:keepLines w:val="0"/>
        <w:pageBreakBefore w:val="0"/>
        <w:widowControl/>
        <w:kinsoku/>
        <w:wordWrap/>
        <w:overflowPunct/>
        <w:topLinePunct w:val="0"/>
        <w:autoSpaceDE/>
        <w:autoSpaceDN/>
        <w:bidi w:val="0"/>
        <w:adjustRightInd/>
        <w:snapToGrid/>
        <w:spacing w:line="240" w:lineRule="auto"/>
        <w:ind w:firstLine="264" w:firstLineChars="11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电子邮箱：</w:t>
      </w:r>
    </w:p>
    <w:p>
      <w:pPr>
        <w:keepNext w:val="0"/>
        <w:keepLines w:val="0"/>
        <w:pageBreakBefore w:val="0"/>
        <w:widowControl/>
        <w:kinsoku/>
        <w:wordWrap/>
        <w:overflowPunct/>
        <w:topLinePunct w:val="0"/>
        <w:autoSpaceDE/>
        <w:autoSpaceDN/>
        <w:bidi w:val="0"/>
        <w:adjustRightInd/>
        <w:snapToGrid/>
        <w:spacing w:line="240" w:lineRule="auto"/>
        <w:ind w:firstLine="264" w:firstLineChars="11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    年  月  日</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4"/>
        <w:rPr>
          <w:rFonts w:hint="eastAsia" w:ascii="宋体" w:hAnsi="宋体" w:eastAsia="宋体" w:cs="宋体"/>
          <w:color w:val="auto"/>
          <w:sz w:val="24"/>
          <w:szCs w:val="24"/>
          <w:highlight w:val="none"/>
        </w:rPr>
      </w:pPr>
      <w:bookmarkStart w:id="142" w:name="_Toc29882"/>
      <w:r>
        <w:rPr>
          <w:rFonts w:hint="eastAsia" w:ascii="宋体" w:hAnsi="宋体" w:eastAsia="宋体" w:cs="宋体"/>
          <w:color w:val="auto"/>
          <w:sz w:val="24"/>
          <w:szCs w:val="24"/>
          <w:highlight w:val="none"/>
        </w:rPr>
        <w:t>第二部分  开标一览表</w:t>
      </w:r>
      <w:bookmarkEnd w:id="142"/>
    </w:p>
    <w:tbl>
      <w:tblPr>
        <w:tblStyle w:val="2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6"/>
        <w:gridCol w:w="2021"/>
        <w:gridCol w:w="2415"/>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226" w:type="pct"/>
            <w:vMerge w:val="restart"/>
            <w:tcBorders>
              <w:tl2br w:val="single" w:color="auto" w:sz="4" w:space="0"/>
            </w:tcBorders>
            <w:shd w:val="clear" w:color="auto" w:fill="F1F1F1"/>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报价内容</w:t>
            </w:r>
          </w:p>
          <w:p>
            <w:pPr>
              <w:spacing w:line="560" w:lineRule="exact"/>
              <w:rPr>
                <w:rFonts w:hint="eastAsia" w:ascii="宋体" w:hAnsi="宋体" w:eastAsia="宋体" w:cs="宋体"/>
                <w:sz w:val="24"/>
                <w:szCs w:val="24"/>
                <w:highlight w:val="none"/>
              </w:rPr>
            </w:pPr>
          </w:p>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2021" w:type="dxa"/>
            <w:shd w:val="clear" w:color="auto" w:fill="D0CECE"/>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A</w:t>
            </w:r>
          </w:p>
        </w:tc>
        <w:tc>
          <w:tcPr>
            <w:tcW w:w="2415" w:type="dxa"/>
            <w:shd w:val="clear" w:color="auto" w:fill="D0CECE"/>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B</w:t>
            </w:r>
          </w:p>
        </w:tc>
        <w:tc>
          <w:tcPr>
            <w:tcW w:w="2416" w:type="dxa"/>
            <w:shd w:val="clear" w:color="auto" w:fill="D0CECE"/>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color w:val="auto"/>
                <w:sz w:val="24"/>
                <w:szCs w:val="24"/>
                <w:highlight w:val="no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226" w:type="pct"/>
            <w:vMerge w:val="continue"/>
            <w:tcBorders>
              <w:tl2br w:val="single" w:color="auto" w:sz="4" w:space="0"/>
            </w:tcBorders>
            <w:shd w:val="clear" w:color="auto" w:fill="F1F1F1"/>
            <w:noWrap w:val="0"/>
            <w:vAlign w:val="center"/>
          </w:tcPr>
          <w:p>
            <w:pPr>
              <w:spacing w:line="560" w:lineRule="exact"/>
              <w:jc w:val="center"/>
              <w:rPr>
                <w:rFonts w:hint="eastAsia" w:ascii="宋体" w:hAnsi="宋体" w:eastAsia="宋体" w:cs="宋体"/>
                <w:sz w:val="24"/>
                <w:szCs w:val="24"/>
                <w:highlight w:val="none"/>
              </w:rPr>
            </w:pPr>
          </w:p>
        </w:tc>
        <w:tc>
          <w:tcPr>
            <w:tcW w:w="1113" w:type="pct"/>
            <w:shd w:val="clear" w:color="auto" w:fill="ECECEC"/>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合计（元）</w:t>
            </w:r>
          </w:p>
        </w:tc>
        <w:tc>
          <w:tcPr>
            <w:tcW w:w="1330" w:type="pct"/>
            <w:shd w:val="clear" w:color="auto" w:fill="ECECEC"/>
            <w:noWrap w:val="0"/>
            <w:vAlign w:val="center"/>
          </w:tcPr>
          <w:p>
            <w:pPr>
              <w:spacing w:line="560" w:lineRule="exact"/>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交</w:t>
            </w:r>
            <w:r>
              <w:rPr>
                <w:rFonts w:hint="eastAsia" w:ascii="宋体" w:hAnsi="宋体" w:eastAsia="宋体" w:cs="宋体"/>
                <w:b w:val="0"/>
                <w:bCs w:val="0"/>
                <w:sz w:val="24"/>
                <w:szCs w:val="24"/>
                <w:highlight w:val="none"/>
                <w:lang w:val="en-US" w:eastAsia="zh-CN"/>
              </w:rPr>
              <w:t>货</w:t>
            </w:r>
            <w:r>
              <w:rPr>
                <w:rFonts w:hint="eastAsia" w:ascii="宋体" w:hAnsi="宋体" w:eastAsia="宋体" w:cs="宋体"/>
                <w:b w:val="0"/>
                <w:bCs w:val="0"/>
                <w:sz w:val="24"/>
                <w:szCs w:val="24"/>
                <w:highlight w:val="none"/>
              </w:rPr>
              <w:t>期</w:t>
            </w:r>
          </w:p>
          <w:p>
            <w:pPr>
              <w:spacing w:line="560" w:lineRule="exact"/>
              <w:jc w:val="center"/>
              <w:rPr>
                <w:rFonts w:hint="eastAsia" w:ascii="宋体" w:hAnsi="宋体" w:eastAsia="宋体" w:cs="宋体"/>
                <w:b w:val="0"/>
                <w:bCs w:val="0"/>
                <w:sz w:val="24"/>
                <w:szCs w:val="24"/>
                <w:highlight w:val="none"/>
                <w:lang w:eastAsia="zh-CN"/>
              </w:rPr>
            </w:pPr>
            <w:r>
              <w:rPr>
                <w:rFonts w:hint="eastAsia" w:ascii="宋体" w:hAnsi="宋体" w:eastAsia="宋体" w:cs="宋体"/>
                <w:b w:val="0"/>
                <w:bCs w:val="0"/>
                <w:color w:val="auto"/>
                <w:sz w:val="24"/>
                <w:szCs w:val="24"/>
                <w:highlight w:val="none"/>
                <w:lang w:eastAsia="zh-CN"/>
              </w:rPr>
              <w:t>（日历日）</w:t>
            </w:r>
          </w:p>
        </w:tc>
        <w:tc>
          <w:tcPr>
            <w:tcW w:w="1329" w:type="pct"/>
            <w:shd w:val="clear" w:color="auto" w:fill="ECECEC"/>
            <w:noWrap w:val="0"/>
            <w:vAlign w:val="center"/>
          </w:tcPr>
          <w:p>
            <w:pPr>
              <w:spacing w:line="560" w:lineRule="exact"/>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1226" w:type="pct"/>
            <w:shd w:val="clear" w:color="auto" w:fill="F1F1F1"/>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1113" w:type="pct"/>
            <w:noWrap w:val="0"/>
            <w:vAlign w:val="center"/>
          </w:tcPr>
          <w:p>
            <w:pPr>
              <w:spacing w:line="560" w:lineRule="exact"/>
              <w:jc w:val="center"/>
              <w:rPr>
                <w:rFonts w:hint="eastAsia" w:ascii="宋体" w:hAnsi="宋体" w:eastAsia="宋体" w:cs="宋体"/>
                <w:sz w:val="24"/>
                <w:szCs w:val="24"/>
                <w:highlight w:val="none"/>
              </w:rPr>
            </w:pPr>
          </w:p>
        </w:tc>
        <w:tc>
          <w:tcPr>
            <w:tcW w:w="1330" w:type="pct"/>
            <w:noWrap w:val="0"/>
            <w:vAlign w:val="center"/>
          </w:tcPr>
          <w:p>
            <w:pPr>
              <w:spacing w:line="560" w:lineRule="exact"/>
              <w:jc w:val="center"/>
              <w:rPr>
                <w:rFonts w:hint="eastAsia" w:ascii="宋体" w:hAnsi="宋体" w:eastAsia="宋体" w:cs="宋体"/>
                <w:sz w:val="24"/>
                <w:szCs w:val="24"/>
                <w:highlight w:val="none"/>
              </w:rPr>
            </w:pPr>
          </w:p>
        </w:tc>
        <w:tc>
          <w:tcPr>
            <w:tcW w:w="1329" w:type="pct"/>
            <w:noWrap w:val="0"/>
            <w:vAlign w:val="center"/>
          </w:tcPr>
          <w:p>
            <w:pPr>
              <w:spacing w:line="56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26" w:type="pct"/>
            <w:shd w:val="clear" w:color="auto" w:fill="F1F1F1"/>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合计（大写）</w:t>
            </w:r>
          </w:p>
        </w:tc>
        <w:tc>
          <w:tcPr>
            <w:tcW w:w="3773" w:type="pct"/>
            <w:gridSpan w:val="3"/>
            <w:noWrap w:val="0"/>
            <w:vAlign w:val="center"/>
          </w:tcPr>
          <w:p>
            <w:pPr>
              <w:spacing w:line="560" w:lineRule="exact"/>
              <w:jc w:val="center"/>
              <w:rPr>
                <w:rFonts w:hint="eastAsia" w:ascii="宋体" w:hAnsi="宋体" w:eastAsia="宋体" w:cs="宋体"/>
                <w:sz w:val="24"/>
                <w:szCs w:val="24"/>
                <w:highlight w:val="none"/>
              </w:rPr>
            </w:pPr>
          </w:p>
        </w:tc>
      </w:tr>
    </w:tbl>
    <w:p>
      <w:pPr>
        <w:spacing w:line="560" w:lineRule="exact"/>
        <w:ind w:firstLine="2762" w:firstLineChars="1151"/>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注：出现下列情形的按无效投标处理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1．A栏未按阿拉伯小写金额样式填写；B栏未填写交</w:t>
      </w:r>
      <w:r>
        <w:rPr>
          <w:rFonts w:hint="eastAsia" w:ascii="宋体" w:hAnsi="宋体" w:eastAsia="宋体" w:cs="宋体"/>
          <w:color w:val="auto"/>
          <w:sz w:val="24"/>
          <w:szCs w:val="24"/>
          <w:highlight w:val="none"/>
          <w:lang w:val="en-US" w:eastAsia="zh-CN"/>
        </w:rPr>
        <w:t>货</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C栏未填写质保期</w:t>
      </w:r>
      <w:r>
        <w:rPr>
          <w:rFonts w:hint="eastAsia" w:ascii="宋体" w:hAnsi="宋体" w:eastAsia="宋体" w:cs="宋体"/>
          <w:color w:val="auto"/>
          <w:sz w:val="24"/>
          <w:szCs w:val="24"/>
          <w:highlight w:val="none"/>
        </w:rPr>
        <w:t>。</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2．“合计（大写）”栏未按银行大写金额样式进行填写。样式参考：壹、贰、叁、肆、伍、陆、柒、捌、玖、拾、佰、仟、万、亿、元（圆）、角、分、零、整（正）。</w:t>
      </w:r>
    </w:p>
    <w:p>
      <w:pPr>
        <w:spacing w:line="560" w:lineRule="exact"/>
        <w:ind w:firstLine="480" w:firstLineChars="200"/>
        <w:jc w:val="both"/>
        <w:outlineLvl w:val="2"/>
        <w:rPr>
          <w:rFonts w:hint="eastAsia" w:ascii="宋体" w:hAnsi="宋体" w:eastAsia="宋体" w:cs="宋体"/>
          <w:color w:val="auto"/>
          <w:sz w:val="24"/>
          <w:szCs w:val="24"/>
          <w:highlight w:val="none"/>
        </w:rPr>
      </w:pPr>
      <w:bookmarkStart w:id="143" w:name="_Toc2925"/>
      <w:r>
        <w:rPr>
          <w:rFonts w:hint="eastAsia" w:ascii="宋体" w:hAnsi="宋体" w:eastAsia="宋体" w:cs="宋体"/>
          <w:color w:val="auto"/>
          <w:sz w:val="24"/>
          <w:szCs w:val="24"/>
          <w:highlight w:val="none"/>
        </w:rPr>
        <w:t>3．“合计（大写）”金额与A栏“合计”不一致的。</w:t>
      </w:r>
      <w:bookmarkEnd w:id="143"/>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95"/>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分项报价表（货物类适用）</w:t>
      </w:r>
    </w:p>
    <w:p>
      <w:pPr>
        <w:spacing w:line="560" w:lineRule="exact"/>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单位：元</w:t>
      </w:r>
    </w:p>
    <w:tbl>
      <w:tblPr>
        <w:tblStyle w:val="25"/>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661"/>
        <w:gridCol w:w="1401"/>
        <w:gridCol w:w="1554"/>
        <w:gridCol w:w="1331"/>
        <w:gridCol w:w="949"/>
        <w:gridCol w:w="11"/>
        <w:gridCol w:w="939"/>
        <w:gridCol w:w="11"/>
        <w:gridCol w:w="1027"/>
        <w:gridCol w:w="11"/>
        <w:gridCol w:w="9"/>
        <w:gridCol w:w="96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shd w:val="clear" w:color="auto" w:fill="F1F1F1" w:themeFill="background1" w:themeFillShade="F2"/>
            <w:noWrap/>
            <w:tcMar>
              <w:top w:w="20" w:type="dxa"/>
              <w:left w:w="20" w:type="dxa"/>
              <w:bottom w:w="0" w:type="dxa"/>
              <w:right w:w="20" w:type="dxa"/>
            </w:tcMar>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w:t>
            </w:r>
          </w:p>
        </w:tc>
        <w:tc>
          <w:tcPr>
            <w:tcW w:w="8252" w:type="dxa"/>
            <w:gridSpan w:val="11"/>
            <w:shd w:val="clear" w:color="auto" w:fill="F1F1F1" w:themeFill="background1" w:themeFillShade="F2"/>
            <w:noWrap/>
            <w:tcMar>
              <w:top w:w="20" w:type="dxa"/>
              <w:left w:w="20" w:type="dxa"/>
              <w:bottom w:w="0" w:type="dxa"/>
              <w:right w:w="20" w:type="dxa"/>
            </w:tcMar>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产品购置费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shd w:val="clear" w:color="auto" w:fill="auto"/>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409" w:type="dxa"/>
            <w:shd w:val="clear" w:color="auto" w:fill="auto"/>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产品名称</w:t>
            </w:r>
          </w:p>
        </w:tc>
        <w:tc>
          <w:tcPr>
            <w:tcW w:w="1563" w:type="dxa"/>
            <w:shd w:val="clear" w:color="auto" w:fill="auto"/>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品牌及</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规格型号</w:t>
            </w:r>
          </w:p>
        </w:tc>
        <w:tc>
          <w:tcPr>
            <w:tcW w:w="1338" w:type="dxa"/>
            <w:shd w:val="clear" w:color="auto" w:fill="auto"/>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生产厂家</w:t>
            </w:r>
          </w:p>
        </w:tc>
        <w:tc>
          <w:tcPr>
            <w:tcW w:w="954" w:type="dxa"/>
            <w:shd w:val="clear" w:color="auto" w:fill="auto"/>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是否小微企业产品</w:t>
            </w:r>
          </w:p>
        </w:tc>
        <w:tc>
          <w:tcPr>
            <w:tcW w:w="955" w:type="dxa"/>
            <w:gridSpan w:val="2"/>
            <w:shd w:val="clear" w:color="auto" w:fill="auto"/>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1044" w:type="dxa"/>
            <w:gridSpan w:val="2"/>
            <w:shd w:val="clear" w:color="auto" w:fill="auto"/>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单价</w:t>
            </w:r>
          </w:p>
        </w:tc>
        <w:tc>
          <w:tcPr>
            <w:tcW w:w="989" w:type="dxa"/>
            <w:gridSpan w:val="3"/>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409"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563"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338"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5"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044"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89" w:type="dxa"/>
            <w:gridSpan w:val="3"/>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409"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563"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338"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5"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044"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89" w:type="dxa"/>
            <w:gridSpan w:val="3"/>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409"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563"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338"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5"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044"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89" w:type="dxa"/>
            <w:gridSpan w:val="3"/>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409"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563"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338"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5"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044"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89" w:type="dxa"/>
            <w:gridSpan w:val="3"/>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409"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563"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338"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5"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044"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89" w:type="dxa"/>
            <w:gridSpan w:val="3"/>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409"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563"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338"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5"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044"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89" w:type="dxa"/>
            <w:gridSpan w:val="3"/>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shd w:val="clear" w:color="auto" w:fill="F1F1F1" w:themeFill="background1" w:themeFillShade="F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w:t>
            </w:r>
          </w:p>
        </w:tc>
        <w:tc>
          <w:tcPr>
            <w:tcW w:w="8252" w:type="dxa"/>
            <w:gridSpan w:val="11"/>
            <w:shd w:val="clear" w:color="auto" w:fill="F1F1F1" w:themeFill="background1" w:themeFillShade="F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其他费用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409"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费用名称</w:t>
            </w:r>
          </w:p>
        </w:tc>
        <w:tc>
          <w:tcPr>
            <w:tcW w:w="3866" w:type="dxa"/>
            <w:gridSpan w:val="4"/>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费用描述</w:t>
            </w:r>
          </w:p>
        </w:tc>
        <w:tc>
          <w:tcPr>
            <w:tcW w:w="955"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1044"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单价</w:t>
            </w:r>
          </w:p>
        </w:tc>
        <w:tc>
          <w:tcPr>
            <w:tcW w:w="978" w:type="dxa"/>
            <w:gridSpan w:val="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409"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3866" w:type="dxa"/>
            <w:gridSpan w:val="4"/>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5"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044"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78" w:type="dxa"/>
            <w:gridSpan w:val="2"/>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409"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3866" w:type="dxa"/>
            <w:gridSpan w:val="4"/>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5"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044"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78" w:type="dxa"/>
            <w:gridSpan w:val="2"/>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409"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3866" w:type="dxa"/>
            <w:gridSpan w:val="4"/>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5"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044"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78" w:type="dxa"/>
            <w:gridSpan w:val="2"/>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409"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3866" w:type="dxa"/>
            <w:gridSpan w:val="4"/>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5"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044"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78" w:type="dxa"/>
            <w:gridSpan w:val="2"/>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7947" w:type="dxa"/>
            <w:gridSpan w:val="11"/>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总计</w:t>
            </w:r>
          </w:p>
        </w:tc>
        <w:tc>
          <w:tcPr>
            <w:tcW w:w="969" w:type="dxa"/>
            <w:vAlign w:val="center"/>
          </w:tcPr>
          <w:p>
            <w:pPr>
              <w:jc w:val="center"/>
              <w:rPr>
                <w:rFonts w:hint="eastAsia" w:ascii="宋体" w:hAnsi="宋体" w:eastAsia="宋体" w:cs="宋体"/>
                <w:color w:val="auto"/>
                <w:sz w:val="24"/>
                <w:szCs w:val="24"/>
                <w:highlight w:val="none"/>
              </w:rPr>
            </w:pPr>
          </w:p>
        </w:tc>
      </w:tr>
    </w:tbl>
    <w:p>
      <w:pPr>
        <w:spacing w:line="560" w:lineRule="exact"/>
        <w:ind w:firstLine="2762" w:firstLineChars="1151"/>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注：1．监狱企业、残疾人福利性单位视同小微企业。</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2．“是否小微企业产品”一栏若有漏报，将被视为“非小微企业产品”。</w:t>
      </w:r>
    </w:p>
    <w:p>
      <w:pPr>
        <w:spacing w:line="560" w:lineRule="exact"/>
        <w:ind w:firstLine="480" w:firstLineChars="200"/>
        <w:jc w:val="both"/>
        <w:outlineLvl w:val="2"/>
        <w:rPr>
          <w:rFonts w:hint="eastAsia" w:ascii="宋体" w:hAnsi="宋体" w:eastAsia="宋体" w:cs="宋体"/>
          <w:color w:val="auto"/>
          <w:sz w:val="24"/>
          <w:szCs w:val="24"/>
          <w:highlight w:val="none"/>
        </w:rPr>
      </w:pPr>
      <w:bookmarkStart w:id="144" w:name="_Toc4813"/>
      <w:r>
        <w:rPr>
          <w:rFonts w:hint="eastAsia" w:ascii="宋体" w:hAnsi="宋体" w:eastAsia="宋体" w:cs="宋体"/>
          <w:color w:val="auto"/>
          <w:sz w:val="24"/>
          <w:szCs w:val="24"/>
          <w:highlight w:val="none"/>
        </w:rPr>
        <w:t>3．表格空间不足时，可自行扩展。</w:t>
      </w:r>
      <w:r>
        <w:rPr>
          <w:rFonts w:hint="eastAsia" w:ascii="宋体" w:hAnsi="宋体" w:eastAsia="宋体" w:cs="宋体"/>
          <w:color w:val="auto"/>
          <w:sz w:val="24"/>
          <w:szCs w:val="24"/>
          <w:highlight w:val="none"/>
        </w:rPr>
        <w:br w:type="page"/>
      </w:r>
      <w:bookmarkEnd w:id="144"/>
    </w:p>
    <w:p>
      <w:pPr>
        <w:pStyle w:val="4"/>
        <w:rPr>
          <w:rFonts w:hint="eastAsia" w:ascii="宋体" w:hAnsi="宋体" w:eastAsia="宋体" w:cs="宋体"/>
          <w:color w:val="auto"/>
          <w:sz w:val="24"/>
          <w:szCs w:val="24"/>
          <w:highlight w:val="none"/>
        </w:rPr>
      </w:pPr>
      <w:bookmarkStart w:id="145" w:name="_Toc14582"/>
      <w:r>
        <w:rPr>
          <w:rFonts w:hint="eastAsia" w:ascii="宋体" w:hAnsi="宋体" w:eastAsia="宋体" w:cs="宋体"/>
          <w:color w:val="auto"/>
          <w:sz w:val="24"/>
          <w:szCs w:val="24"/>
          <w:highlight w:val="none"/>
        </w:rPr>
        <w:t>第三部分  资格证明文件</w:t>
      </w:r>
      <w:bookmarkEnd w:id="145"/>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按照招标文件第一章《投标邀请函》所列“</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资格要求”提供各项资格证明文件，未按要求提供的，其投标文件将被视为无效文件。</w:t>
      </w:r>
    </w:p>
    <w:p>
      <w:pPr>
        <w:pStyle w:val="2"/>
        <w:outlineLvl w:val="2"/>
        <w:rPr>
          <w:rFonts w:hint="eastAsia" w:ascii="宋体" w:hAnsi="宋体" w:eastAsia="宋体" w:cs="宋体"/>
          <w:b/>
          <w:bCs/>
          <w:color w:val="auto"/>
          <w:sz w:val="24"/>
          <w:szCs w:val="24"/>
          <w:highlight w:val="none"/>
        </w:rPr>
      </w:pPr>
      <w:bookmarkStart w:id="146" w:name="_Toc30097"/>
      <w:r>
        <w:rPr>
          <w:rFonts w:hint="eastAsia" w:ascii="宋体" w:hAnsi="宋体" w:eastAsia="宋体" w:cs="宋体"/>
          <w:b/>
          <w:bCs/>
          <w:color w:val="auto"/>
          <w:sz w:val="24"/>
          <w:szCs w:val="24"/>
          <w:highlight w:val="none"/>
          <w:lang w:val="en-US" w:eastAsia="zh-CN"/>
        </w:rPr>
        <w:t>一</w:t>
      </w:r>
      <w:r>
        <w:rPr>
          <w:rFonts w:hint="eastAsia" w:ascii="宋体" w:hAnsi="宋体" w:eastAsia="宋体" w:cs="宋体"/>
          <w:b/>
          <w:bCs/>
          <w:color w:val="auto"/>
          <w:sz w:val="24"/>
          <w:szCs w:val="24"/>
          <w:highlight w:val="none"/>
        </w:rPr>
        <w:t>、基本资格条件：</w:t>
      </w:r>
      <w:bookmarkEnd w:id="146"/>
    </w:p>
    <w:p>
      <w:pPr>
        <w:pStyle w:val="93"/>
        <w:spacing w:before="210" w:after="210"/>
        <w:ind w:firstLine="640"/>
        <w:outlineLvl w:val="3"/>
        <w:rPr>
          <w:rFonts w:hint="eastAsia" w:ascii="宋体" w:hAnsi="宋体" w:eastAsia="宋体" w:cs="宋体"/>
          <w:color w:val="auto"/>
          <w:sz w:val="24"/>
          <w:szCs w:val="24"/>
          <w:highlight w:val="none"/>
        </w:rPr>
      </w:pPr>
      <w:bookmarkStart w:id="147" w:name="_Toc18090"/>
      <w:r>
        <w:rPr>
          <w:rFonts w:hint="eastAsia" w:ascii="宋体" w:hAnsi="宋体" w:eastAsia="宋体" w:cs="宋体"/>
          <w:color w:val="auto"/>
          <w:sz w:val="24"/>
          <w:szCs w:val="24"/>
          <w:highlight w:val="none"/>
        </w:rPr>
        <w:t>（一）有效的登记注册证</w:t>
      </w:r>
      <w:bookmarkEnd w:id="147"/>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pStyle w:val="93"/>
        <w:spacing w:before="210" w:after="210"/>
        <w:ind w:firstLine="640"/>
        <w:outlineLvl w:val="3"/>
        <w:rPr>
          <w:rFonts w:hint="eastAsia" w:ascii="宋体" w:hAnsi="宋体" w:eastAsia="宋体" w:cs="宋体"/>
          <w:color w:val="auto"/>
          <w:sz w:val="24"/>
          <w:szCs w:val="24"/>
          <w:highlight w:val="none"/>
        </w:rPr>
      </w:pPr>
      <w:bookmarkStart w:id="148" w:name="_Toc16913"/>
      <w:r>
        <w:rPr>
          <w:rFonts w:hint="eastAsia" w:ascii="宋体" w:hAnsi="宋体" w:eastAsia="宋体" w:cs="宋体"/>
          <w:color w:val="auto"/>
          <w:sz w:val="24"/>
          <w:szCs w:val="24"/>
          <w:highlight w:val="none"/>
        </w:rPr>
        <w:t>（二）财务状况报告</w:t>
      </w:r>
      <w:bookmarkEnd w:id="148"/>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种形式任选一种，其中采用第二种形式的须按下方给定格式（详见《中国人民银行关于取消企业银行账户许可的通知》银发〔2019〕41号附件1）填写基本存款账户信息。</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基本存款账户信息</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账户名称：</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账户号码：</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法定代表人：（签字或盖章）</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基本存款账户编号：向开户银行进行询问</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pStyle w:val="93"/>
        <w:spacing w:before="210" w:after="210"/>
        <w:ind w:firstLine="640"/>
        <w:outlineLvl w:val="3"/>
        <w:rPr>
          <w:rFonts w:hint="eastAsia" w:ascii="宋体" w:hAnsi="宋体" w:eastAsia="宋体" w:cs="宋体"/>
          <w:color w:val="auto"/>
          <w:sz w:val="24"/>
          <w:szCs w:val="24"/>
          <w:highlight w:val="none"/>
        </w:rPr>
      </w:pPr>
      <w:bookmarkStart w:id="149" w:name="_Toc14710"/>
      <w:r>
        <w:rPr>
          <w:rFonts w:hint="eastAsia" w:ascii="宋体" w:hAnsi="宋体" w:eastAsia="宋体" w:cs="宋体"/>
          <w:color w:val="auto"/>
          <w:sz w:val="24"/>
          <w:szCs w:val="24"/>
          <w:highlight w:val="none"/>
        </w:rPr>
        <w:t>（三）社会保障资金缴纳证明</w:t>
      </w:r>
      <w:bookmarkEnd w:id="149"/>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pStyle w:val="93"/>
        <w:numPr>
          <w:ilvl w:val="0"/>
          <w:numId w:val="7"/>
        </w:numPr>
        <w:spacing w:before="210" w:after="210"/>
        <w:ind w:firstLine="640"/>
        <w:outlineLvl w:val="3"/>
        <w:rPr>
          <w:rFonts w:hint="eastAsia" w:ascii="宋体" w:hAnsi="宋体" w:eastAsia="宋体" w:cs="宋体"/>
          <w:color w:val="auto"/>
          <w:sz w:val="24"/>
          <w:szCs w:val="24"/>
          <w:highlight w:val="none"/>
        </w:rPr>
      </w:pPr>
      <w:bookmarkStart w:id="150" w:name="_Toc13670"/>
      <w:r>
        <w:rPr>
          <w:rFonts w:hint="eastAsia" w:ascii="宋体" w:hAnsi="宋体" w:eastAsia="宋体" w:cs="宋体"/>
          <w:color w:val="auto"/>
          <w:sz w:val="24"/>
          <w:szCs w:val="24"/>
          <w:highlight w:val="none"/>
        </w:rPr>
        <w:t>税收缴纳证明</w:t>
      </w:r>
      <w:bookmarkEnd w:id="150"/>
    </w:p>
    <w:p>
      <w:pPr>
        <w:pStyle w:val="93"/>
        <w:keepNext/>
        <w:numPr>
          <w:ilvl w:val="0"/>
          <w:numId w:val="0"/>
        </w:numPr>
        <w:spacing w:before="210" w:beforeLines="50" w:after="210" w:afterLines="50" w:line="560" w:lineRule="exact"/>
        <w:jc w:val="both"/>
        <w:outlineLvl w:val="9"/>
        <w:rPr>
          <w:rFonts w:hint="eastAsia" w:ascii="宋体" w:hAnsi="宋体" w:eastAsia="宋体" w:cs="宋体"/>
          <w:color w:val="auto"/>
          <w:sz w:val="24"/>
          <w:szCs w:val="24"/>
          <w:highlight w:val="none"/>
        </w:rPr>
      </w:pPr>
    </w:p>
    <w:p>
      <w:pPr>
        <w:pStyle w:val="93"/>
        <w:keepNext/>
        <w:numPr>
          <w:ilvl w:val="0"/>
          <w:numId w:val="0"/>
        </w:numPr>
        <w:spacing w:before="210" w:beforeLines="50" w:after="210" w:afterLines="50" w:line="560" w:lineRule="exact"/>
        <w:jc w:val="both"/>
        <w:outlineLvl w:val="9"/>
        <w:rPr>
          <w:rFonts w:hint="eastAsia" w:ascii="宋体" w:hAnsi="宋体" w:eastAsia="宋体" w:cs="宋体"/>
          <w:color w:val="auto"/>
          <w:sz w:val="24"/>
          <w:szCs w:val="24"/>
          <w:highlight w:val="none"/>
        </w:rPr>
      </w:pPr>
    </w:p>
    <w:p>
      <w:pPr>
        <w:pStyle w:val="93"/>
        <w:keepNext/>
        <w:numPr>
          <w:ilvl w:val="0"/>
          <w:numId w:val="0"/>
        </w:numPr>
        <w:spacing w:before="210" w:beforeLines="50" w:after="210" w:afterLines="50" w:line="560" w:lineRule="exact"/>
        <w:jc w:val="both"/>
        <w:outlineLvl w:val="9"/>
        <w:rPr>
          <w:rFonts w:hint="eastAsia" w:ascii="宋体" w:hAnsi="宋体" w:eastAsia="宋体" w:cs="宋体"/>
          <w:color w:val="auto"/>
          <w:sz w:val="24"/>
          <w:szCs w:val="24"/>
          <w:highlight w:val="none"/>
        </w:rPr>
      </w:pPr>
    </w:p>
    <w:p>
      <w:pPr>
        <w:pStyle w:val="93"/>
        <w:numPr>
          <w:ilvl w:val="0"/>
          <w:numId w:val="7"/>
        </w:numPr>
        <w:spacing w:before="210" w:after="210"/>
        <w:ind w:left="0" w:leftChars="0" w:firstLine="480" w:firstLineChars="200"/>
        <w:outlineLvl w:val="3"/>
        <w:rPr>
          <w:rFonts w:hint="eastAsia" w:ascii="宋体" w:hAnsi="宋体" w:eastAsia="宋体" w:cs="宋体"/>
          <w:color w:val="auto"/>
          <w:sz w:val="24"/>
          <w:szCs w:val="24"/>
          <w:highlight w:val="none"/>
        </w:rPr>
      </w:pPr>
      <w:bookmarkStart w:id="151" w:name="_Toc32361"/>
      <w:r>
        <w:rPr>
          <w:rFonts w:hint="eastAsia" w:ascii="宋体" w:hAnsi="宋体" w:eastAsia="宋体" w:cs="宋体"/>
          <w:color w:val="auto"/>
          <w:sz w:val="24"/>
          <w:szCs w:val="24"/>
          <w:highlight w:val="none"/>
        </w:rPr>
        <w:t>履行合同的说明和承诺</w:t>
      </w:r>
      <w:bookmarkEnd w:id="151"/>
      <w:r>
        <w:rPr>
          <w:rFonts w:hint="eastAsia" w:ascii="宋体" w:hAnsi="宋体" w:eastAsia="宋体" w:cs="宋体"/>
          <w:color w:val="auto"/>
          <w:sz w:val="24"/>
          <w:szCs w:val="24"/>
          <w:highlight w:val="none"/>
        </w:rPr>
        <w:tab/>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提示：提供具有履行本合同所必需的设备和专业技术能力的说明及承诺；（提供书面说明及承诺，加盖投标人公章</w:t>
      </w:r>
      <w:r>
        <w:rPr>
          <w:rFonts w:hint="eastAsia" w:ascii="宋体" w:hAnsi="宋体" w:eastAsia="宋体" w:cs="宋体"/>
          <w:color w:val="auto"/>
          <w:sz w:val="24"/>
          <w:szCs w:val="24"/>
          <w:highlight w:val="none"/>
          <w:lang w:eastAsia="zh-CN"/>
        </w:rPr>
        <w:t>，内容格式自拟</w:t>
      </w:r>
      <w:r>
        <w:rPr>
          <w:rFonts w:hint="eastAsia" w:ascii="宋体" w:hAnsi="宋体" w:eastAsia="宋体" w:cs="宋体"/>
          <w:color w:val="auto"/>
          <w:sz w:val="24"/>
          <w:szCs w:val="24"/>
          <w:highlight w:val="none"/>
        </w:rPr>
        <w:t>）</w:t>
      </w:r>
    </w:p>
    <w:p>
      <w:pPr>
        <w:pStyle w:val="93"/>
        <w:keepNext/>
        <w:numPr>
          <w:ilvl w:val="0"/>
          <w:numId w:val="0"/>
        </w:numPr>
        <w:spacing w:before="210" w:beforeLines="50" w:after="210" w:afterLines="50" w:line="560" w:lineRule="exact"/>
        <w:jc w:val="both"/>
        <w:outlineLvl w:val="9"/>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2"/>
        <w:rPr>
          <w:rFonts w:hint="eastAsia"/>
        </w:rPr>
      </w:pPr>
    </w:p>
    <w:p>
      <w:pPr>
        <w:pStyle w:val="93"/>
        <w:spacing w:before="210" w:after="210"/>
        <w:ind w:firstLine="640"/>
        <w:outlineLvl w:val="3"/>
        <w:rPr>
          <w:rFonts w:hint="eastAsia" w:ascii="宋体" w:hAnsi="宋体" w:eastAsia="宋体" w:cs="宋体"/>
          <w:color w:val="auto"/>
          <w:sz w:val="24"/>
          <w:szCs w:val="24"/>
          <w:highlight w:val="none"/>
        </w:rPr>
      </w:pPr>
      <w:bookmarkStart w:id="152" w:name="_Toc856"/>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六</w:t>
      </w:r>
      <w:r>
        <w:rPr>
          <w:rFonts w:hint="eastAsia" w:ascii="宋体" w:hAnsi="宋体" w:eastAsia="宋体" w:cs="宋体"/>
          <w:color w:val="auto"/>
          <w:sz w:val="24"/>
          <w:szCs w:val="24"/>
          <w:highlight w:val="none"/>
        </w:rPr>
        <w:t>）无重大违法记录声明（按下方给定格式进行填写）</w:t>
      </w:r>
      <w:bookmarkEnd w:id="152"/>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提示：</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在参加政府采购活动前三年内因违法经营被禁止在一定期限内参加政府采购活动，期限届满的，可以参加政府采购活动，但应提供期限届满的证明材料。</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无重大违法记录声明</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〈政府采购代理机构〉：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我方作为〈项目名称〉（项目编号：〈项目编号〉）第___标段的</w:t>
      </w:r>
      <w:r>
        <w:rPr>
          <w:rFonts w:hint="eastAsia" w:ascii="宋体" w:hAnsi="宋体" w:eastAsia="宋体" w:cs="宋体"/>
          <w:color w:val="auto"/>
          <w:sz w:val="24"/>
          <w:szCs w:val="24"/>
          <w:highlight w:val="none"/>
          <w:lang w:eastAsia="zh-CN"/>
        </w:rPr>
        <w:t xml:space="preserve">投标人 </w:t>
      </w:r>
      <w:r>
        <w:rPr>
          <w:rFonts w:hint="eastAsia" w:ascii="宋体" w:hAnsi="宋体" w:eastAsia="宋体" w:cs="宋体"/>
          <w:color w:val="auto"/>
          <w:sz w:val="24"/>
          <w:szCs w:val="24"/>
          <w:highlight w:val="none"/>
        </w:rPr>
        <w:t>，在此郑重声明：</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1．在参加本次政府采购活动前3年内的经营活动中___（填“没有”或“有”）重大违法记录。</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2．我方___（填“未被列入”或“被列入”）失信被执行人名单。</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3．我方___（填“未被列入”或“被列入”）</w:t>
      </w:r>
      <w:r>
        <w:rPr>
          <w:rFonts w:hint="eastAsia" w:ascii="宋体" w:hAnsi="宋体" w:eastAsia="宋体" w:cs="宋体"/>
          <w:color w:val="auto"/>
          <w:sz w:val="24"/>
          <w:szCs w:val="24"/>
          <w:highlight w:val="none"/>
          <w:lang w:eastAsia="zh-CN"/>
        </w:rPr>
        <w:t>重大税收违法失信主体</w:t>
      </w:r>
      <w:r>
        <w:rPr>
          <w:rFonts w:hint="eastAsia" w:ascii="宋体" w:hAnsi="宋体" w:eastAsia="宋体" w:cs="宋体"/>
          <w:color w:val="auto"/>
          <w:sz w:val="24"/>
          <w:szCs w:val="24"/>
          <w:highlight w:val="none"/>
        </w:rPr>
        <w:t>。</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4．我方___（填“未被列入”或“被列入”）政府采购严重违法失信行为记录名单。</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如有不实，我方将无条件地退出本项目的采购活动，并遵照《</w:t>
      </w:r>
      <w:r>
        <w:rPr>
          <w:rFonts w:hint="eastAsia" w:ascii="宋体" w:hAnsi="宋体" w:eastAsia="宋体" w:cs="宋体"/>
          <w:color w:val="auto"/>
          <w:sz w:val="24"/>
          <w:szCs w:val="24"/>
          <w:highlight w:val="none"/>
          <w:lang w:eastAsia="zh-CN"/>
        </w:rPr>
        <w:t>中华人民共和国</w:t>
      </w:r>
      <w:r>
        <w:rPr>
          <w:rFonts w:hint="eastAsia" w:ascii="宋体" w:hAnsi="宋体" w:eastAsia="宋体" w:cs="宋体"/>
          <w:color w:val="auto"/>
          <w:sz w:val="24"/>
          <w:szCs w:val="24"/>
          <w:highlight w:val="none"/>
        </w:rPr>
        <w:t>政府采购法》有关“提供虚假材料的规定”接受处罚。</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特此声明。</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  期：    年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月  日</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2"/>
        <w:outlineLvl w:val="2"/>
        <w:rPr>
          <w:rFonts w:hint="eastAsia" w:ascii="宋体" w:hAnsi="宋体" w:eastAsia="宋体" w:cs="宋体"/>
          <w:b/>
          <w:bCs/>
          <w:color w:val="auto"/>
          <w:sz w:val="24"/>
          <w:szCs w:val="24"/>
          <w:highlight w:val="none"/>
        </w:rPr>
      </w:pPr>
      <w:bookmarkStart w:id="153" w:name="_Toc20821"/>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特定</w:t>
      </w:r>
      <w:r>
        <w:rPr>
          <w:rFonts w:hint="eastAsia" w:ascii="宋体" w:hAnsi="宋体" w:eastAsia="宋体" w:cs="宋体"/>
          <w:b/>
          <w:bCs/>
          <w:color w:val="auto"/>
          <w:sz w:val="24"/>
          <w:szCs w:val="24"/>
          <w:highlight w:val="none"/>
        </w:rPr>
        <w:t>资格条件：</w:t>
      </w:r>
      <w:bookmarkEnd w:id="153"/>
    </w:p>
    <w:p>
      <w:pPr>
        <w:pStyle w:val="2"/>
        <w:outlineLvl w:val="3"/>
        <w:rPr>
          <w:rFonts w:hint="eastAsia" w:ascii="宋体" w:hAnsi="宋体" w:eastAsia="宋体" w:cs="宋体"/>
          <w:b/>
          <w:bCs/>
          <w:color w:val="auto"/>
          <w:sz w:val="24"/>
          <w:szCs w:val="24"/>
          <w:highlight w:val="none"/>
          <w:lang w:val="en-US" w:eastAsia="zh-CN"/>
        </w:rPr>
      </w:pPr>
      <w:bookmarkStart w:id="154" w:name="_Toc25582"/>
      <w:bookmarkStart w:id="155" w:name="_Toc29319"/>
      <w:r>
        <w:rPr>
          <w:rFonts w:hint="eastAsia" w:ascii="宋体" w:hAnsi="宋体" w:eastAsia="宋体" w:cs="宋体"/>
          <w:b/>
          <w:bCs/>
          <w:color w:val="auto"/>
          <w:sz w:val="24"/>
          <w:szCs w:val="24"/>
          <w:highlight w:val="none"/>
          <w:lang w:val="en-US" w:eastAsia="zh-CN"/>
        </w:rPr>
        <w:t>（一）法定代表人授权委托书\身份证明（按下方给定格式进行填写）</w:t>
      </w:r>
      <w:bookmarkEnd w:id="154"/>
      <w:bookmarkEnd w:id="155"/>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（1）法定代表人包括：①企业法人的法定代表人；②个人独资企业的投资人；③分支机构的负责人；④合伙企业的执行事务合伙人（委派代表）；⑤个体工商户业主；⑥农民专业合作社的法定代表人。</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（2）法定代表人授权委托书\身份证明（二选一）：法定代表人委托代理人参加投标时，提供法定代表人授权委托书；法定代表人亲自参加投标时，提供法定代表人身份证明。</w:t>
      </w:r>
    </w:p>
    <w:p>
      <w:pPr>
        <w:spacing w:line="560" w:lineRule="exact"/>
        <w:ind w:firstLine="480" w:firstLineChars="200"/>
        <w:jc w:val="both"/>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spacing w:line="560" w:lineRule="exact"/>
        <w:ind w:firstLine="480" w:firstLineChars="20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法定代表人身份证明（格式）</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〉〈政府采购代理机构〉</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〈法定代表人姓名〉系〈</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全称〉的法定代表人，特此证明。</w:t>
      </w:r>
    </w:p>
    <w:tbl>
      <w:tblPr>
        <w:tblStyle w:val="25"/>
        <w:tblW w:w="905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05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798" w:hRule="atLeast"/>
          <w:jc w:val="center"/>
        </w:trPr>
        <w:tc>
          <w:tcPr>
            <w:tcW w:w="9057" w:type="dxa"/>
            <w:vAlign w:val="center"/>
          </w:tcPr>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身份证正反面（扫描件）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或护照资料页（扫描件）</w:t>
            </w:r>
          </w:p>
        </w:tc>
      </w:tr>
    </w:tbl>
    <w:p>
      <w:pPr>
        <w:spacing w:line="560" w:lineRule="exact"/>
        <w:ind w:firstLine="2445" w:firstLineChars="1019"/>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2445" w:firstLineChars="1019"/>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r>
        <w:rPr>
          <w:rFonts w:hint="eastAsia" w:ascii="宋体" w:hAnsi="宋体" w:eastAsia="宋体" w:cs="宋体"/>
          <w:color w:val="auto"/>
          <w:sz w:val="24"/>
          <w:szCs w:val="24"/>
          <w:highlight w:val="none"/>
        </w:rPr>
        <w:br w:type="page"/>
      </w:r>
    </w:p>
    <w:p>
      <w:pPr>
        <w:spacing w:line="560" w:lineRule="exact"/>
        <w:ind w:firstLine="480" w:firstLineChars="20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法定代表人授权委托书</w:t>
      </w:r>
      <w:r>
        <w:rPr>
          <w:rFonts w:hint="eastAsia" w:ascii="宋体" w:hAnsi="宋体" w:eastAsia="宋体" w:cs="宋体"/>
          <w:b/>
          <w:bCs/>
          <w:color w:val="auto"/>
          <w:sz w:val="24"/>
          <w:szCs w:val="24"/>
          <w:highlight w:val="none"/>
        </w:rPr>
        <w:t>（格式）</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〉〈政府采购代理机构〉：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委派〈代理人姓名〉代表我方参加贵中心组织的〈项目名称〉（项目编号：〈项目编号〉）第___标段政府采购活动，以我方名义签署、澄清、确认、递交、撤回、修改投标文件，签订合同和全权处理一切与之有关的事宜，其法律后果由我方承担。</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本授权有效期与投标文件有效期一致。代理人无转委托权。</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代理人姓名：_________________________</w:t>
      </w:r>
      <w:r>
        <w:rPr>
          <w:rFonts w:hint="eastAsia" w:ascii="宋体" w:hAnsi="宋体" w:eastAsia="宋体" w:cs="宋体"/>
          <w:color w:val="auto"/>
          <w:sz w:val="24"/>
          <w:szCs w:val="24"/>
          <w:highlight w:val="none"/>
        </w:rPr>
        <w:tab/>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联系电话：______________</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身份证（护照）号码：_________________</w:t>
      </w:r>
      <w:r>
        <w:rPr>
          <w:rFonts w:hint="eastAsia" w:ascii="宋体" w:hAnsi="宋体" w:eastAsia="宋体" w:cs="宋体"/>
          <w:color w:val="auto"/>
          <w:sz w:val="24"/>
          <w:szCs w:val="24"/>
          <w:highlight w:val="none"/>
        </w:rPr>
        <w:tab/>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职务：__________________</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通讯地址：____________________________</w:t>
      </w:r>
    </w:p>
    <w:p>
      <w:pPr>
        <w:spacing w:line="560" w:lineRule="exact"/>
        <w:ind w:firstLine="480" w:firstLineChars="200"/>
        <w:rPr>
          <w:rFonts w:hint="eastAsia" w:ascii="宋体" w:hAnsi="宋体" w:eastAsia="宋体" w:cs="宋体"/>
          <w:color w:val="auto"/>
          <w:sz w:val="24"/>
          <w:szCs w:val="24"/>
          <w:highlight w:val="none"/>
        </w:rPr>
      </w:pPr>
    </w:p>
    <w:p>
      <w:pPr>
        <w:spacing w:line="560" w:lineRule="exact"/>
        <w:ind w:firstLine="480" w:firstLineChars="200"/>
        <w:rPr>
          <w:rFonts w:hint="eastAsia" w:ascii="宋体" w:hAnsi="宋体" w:eastAsia="宋体" w:cs="宋体"/>
          <w:color w:val="auto"/>
          <w:sz w:val="24"/>
          <w:szCs w:val="24"/>
          <w:highlight w:val="none"/>
        </w:rPr>
      </w:pPr>
    </w:p>
    <w:p>
      <w:pPr>
        <w:spacing w:line="560" w:lineRule="exact"/>
        <w:ind w:firstLine="480" w:firstLineChars="200"/>
        <w:rPr>
          <w:rFonts w:hint="eastAsia" w:ascii="宋体" w:hAnsi="宋体" w:eastAsia="宋体" w:cs="宋体"/>
          <w:color w:val="auto"/>
          <w:sz w:val="24"/>
          <w:szCs w:val="24"/>
          <w:highlight w:val="none"/>
        </w:rPr>
      </w:pPr>
    </w:p>
    <w:p>
      <w:pPr>
        <w:spacing w:line="560" w:lineRule="exact"/>
        <w:ind w:firstLine="480" w:firstLineChars="200"/>
        <w:rPr>
          <w:rFonts w:hint="eastAsia" w:ascii="宋体" w:hAnsi="宋体" w:eastAsia="宋体" w:cs="宋体"/>
          <w:color w:val="auto"/>
          <w:sz w:val="24"/>
          <w:szCs w:val="24"/>
          <w:highlight w:val="none"/>
        </w:rPr>
      </w:pPr>
    </w:p>
    <w:p>
      <w:pPr>
        <w:spacing w:line="560" w:lineRule="exact"/>
        <w:ind w:firstLine="480" w:firstLineChars="200"/>
        <w:rPr>
          <w:rFonts w:hint="eastAsia" w:ascii="宋体" w:hAnsi="宋体" w:eastAsia="宋体" w:cs="宋体"/>
          <w:color w:val="auto"/>
          <w:sz w:val="24"/>
          <w:szCs w:val="24"/>
          <w:highlight w:val="none"/>
        </w:rPr>
      </w:pPr>
    </w:p>
    <w:p>
      <w:pPr>
        <w:spacing w:line="560" w:lineRule="exact"/>
        <w:ind w:firstLine="480" w:firstLineChars="200"/>
        <w:rPr>
          <w:rFonts w:hint="eastAsia" w:ascii="宋体" w:hAnsi="宋体" w:eastAsia="宋体" w:cs="宋体"/>
          <w:color w:val="auto"/>
          <w:sz w:val="24"/>
          <w:szCs w:val="24"/>
          <w:highlight w:val="none"/>
        </w:rPr>
      </w:pPr>
    </w:p>
    <w:p>
      <w:pPr>
        <w:spacing w:line="560" w:lineRule="exact"/>
        <w:ind w:firstLine="480" w:firstLineChars="200"/>
        <w:rPr>
          <w:rFonts w:hint="eastAsia" w:ascii="宋体" w:hAnsi="宋体" w:eastAsia="宋体" w:cs="宋体"/>
          <w:color w:val="auto"/>
          <w:sz w:val="24"/>
          <w:szCs w:val="24"/>
          <w:highlight w:val="none"/>
        </w:rPr>
      </w:pPr>
    </w:p>
    <w:p>
      <w:pPr>
        <w:spacing w:line="560" w:lineRule="exact"/>
        <w:ind w:firstLine="480" w:firstLineChars="200"/>
        <w:rPr>
          <w:rFonts w:hint="eastAsia" w:ascii="宋体" w:hAnsi="宋体" w:eastAsia="宋体" w:cs="宋体"/>
          <w:color w:val="auto"/>
          <w:sz w:val="24"/>
          <w:szCs w:val="24"/>
          <w:highlight w:val="none"/>
        </w:rPr>
      </w:pPr>
    </w:p>
    <w:p>
      <w:pPr>
        <w:spacing w:line="560" w:lineRule="exact"/>
        <w:ind w:firstLine="480" w:firstLineChars="200"/>
        <w:rPr>
          <w:rFonts w:hint="eastAsia" w:ascii="宋体" w:hAnsi="宋体" w:eastAsia="宋体" w:cs="宋体"/>
          <w:color w:val="auto"/>
          <w:sz w:val="24"/>
          <w:szCs w:val="24"/>
          <w:highlight w:val="none"/>
        </w:rPr>
      </w:pPr>
    </w:p>
    <w:tbl>
      <w:tblPr>
        <w:tblStyle w:val="2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7"/>
        <w:gridCol w:w="236"/>
        <w:gridCol w:w="4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1" w:hRule="atLeast"/>
          <w:jc w:val="center"/>
        </w:trPr>
        <w:tc>
          <w:tcPr>
            <w:tcW w:w="4717" w:type="dxa"/>
            <w:vMerge w:val="restart"/>
            <w:tcBorders>
              <w:top w:val="single" w:color="auto" w:sz="12" w:space="0"/>
              <w:left w:val="single" w:color="auto" w:sz="12" w:space="0"/>
              <w:right w:val="single" w:color="auto" w:sz="12" w:space="0"/>
            </w:tcBorders>
            <w:vAlign w:val="center"/>
          </w:tcPr>
          <w:p>
            <w:pPr>
              <w:spacing w:line="560" w:lineRule="exact"/>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p>
          <w:p>
            <w:pPr>
              <w:spacing w:line="560" w:lineRule="exact"/>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身份证正反面（扫描件）</w:t>
            </w:r>
          </w:p>
          <w:p>
            <w:pPr>
              <w:spacing w:line="560" w:lineRule="exact"/>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或护照资料页（扫描件）</w:t>
            </w:r>
          </w:p>
        </w:tc>
        <w:tc>
          <w:tcPr>
            <w:tcW w:w="236" w:type="dxa"/>
            <w:tcBorders>
              <w:top w:val="nil"/>
              <w:left w:val="single" w:color="auto" w:sz="12" w:space="0"/>
              <w:bottom w:val="nil"/>
              <w:right w:val="single" w:color="auto" w:sz="12" w:space="0"/>
            </w:tcBorders>
            <w:vAlign w:val="center"/>
          </w:tcPr>
          <w:p>
            <w:pPr>
              <w:spacing w:line="560" w:lineRule="exact"/>
              <w:ind w:firstLine="480" w:firstLineChars="200"/>
              <w:jc w:val="center"/>
              <w:rPr>
                <w:rFonts w:hint="eastAsia" w:ascii="宋体" w:hAnsi="宋体" w:eastAsia="宋体" w:cs="宋体"/>
                <w:color w:val="auto"/>
                <w:sz w:val="24"/>
                <w:szCs w:val="24"/>
                <w:highlight w:val="none"/>
              </w:rPr>
            </w:pPr>
          </w:p>
        </w:tc>
        <w:tc>
          <w:tcPr>
            <w:tcW w:w="4686" w:type="dxa"/>
            <w:vMerge w:val="restart"/>
            <w:tcBorders>
              <w:top w:val="single" w:color="auto" w:sz="12" w:space="0"/>
              <w:left w:val="single" w:color="auto" w:sz="12" w:space="0"/>
              <w:right w:val="single" w:color="auto" w:sz="12" w:space="0"/>
            </w:tcBorders>
            <w:vAlign w:val="center"/>
          </w:tcPr>
          <w:p>
            <w:pPr>
              <w:spacing w:line="560" w:lineRule="exact"/>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w:t>
            </w:r>
          </w:p>
          <w:p>
            <w:pPr>
              <w:spacing w:line="560" w:lineRule="exact"/>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身份证正反面（扫描件）</w:t>
            </w:r>
          </w:p>
          <w:p>
            <w:pPr>
              <w:spacing w:line="560" w:lineRule="exact"/>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或护照资料页（扫描件）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4717" w:type="dxa"/>
            <w:vMerge w:val="continue"/>
            <w:tcBorders>
              <w:left w:val="single" w:color="auto" w:sz="12" w:space="0"/>
              <w:bottom w:val="single" w:color="auto" w:sz="12" w:space="0"/>
              <w:right w:val="single" w:color="auto" w:sz="12" w:space="0"/>
            </w:tcBorders>
            <w:vAlign w:val="center"/>
          </w:tcPr>
          <w:p>
            <w:pPr>
              <w:spacing w:line="560" w:lineRule="exact"/>
              <w:ind w:firstLine="480" w:firstLineChars="200"/>
              <w:jc w:val="center"/>
              <w:rPr>
                <w:rFonts w:hint="eastAsia" w:ascii="宋体" w:hAnsi="宋体" w:eastAsia="宋体" w:cs="宋体"/>
                <w:color w:val="auto"/>
                <w:sz w:val="24"/>
                <w:szCs w:val="24"/>
                <w:highlight w:val="none"/>
              </w:rPr>
            </w:pPr>
          </w:p>
        </w:tc>
        <w:tc>
          <w:tcPr>
            <w:tcW w:w="236" w:type="dxa"/>
            <w:tcBorders>
              <w:top w:val="nil"/>
              <w:left w:val="single" w:color="auto" w:sz="12" w:space="0"/>
              <w:bottom w:val="nil"/>
              <w:right w:val="single" w:color="auto" w:sz="12" w:space="0"/>
            </w:tcBorders>
            <w:vAlign w:val="center"/>
          </w:tcPr>
          <w:p>
            <w:pPr>
              <w:spacing w:line="560" w:lineRule="exact"/>
              <w:ind w:firstLine="480" w:firstLineChars="200"/>
              <w:jc w:val="center"/>
              <w:rPr>
                <w:rFonts w:hint="eastAsia" w:ascii="宋体" w:hAnsi="宋体" w:eastAsia="宋体" w:cs="宋体"/>
                <w:color w:val="auto"/>
                <w:sz w:val="24"/>
                <w:szCs w:val="24"/>
                <w:highlight w:val="none"/>
              </w:rPr>
            </w:pPr>
          </w:p>
        </w:tc>
        <w:tc>
          <w:tcPr>
            <w:tcW w:w="4686" w:type="dxa"/>
            <w:vMerge w:val="continue"/>
            <w:tcBorders>
              <w:left w:val="single" w:color="auto" w:sz="12" w:space="0"/>
              <w:bottom w:val="single" w:color="auto" w:sz="12" w:space="0"/>
              <w:right w:val="single" w:color="auto" w:sz="12" w:space="0"/>
            </w:tcBorders>
            <w:vAlign w:val="center"/>
          </w:tcPr>
          <w:p>
            <w:pPr>
              <w:spacing w:line="560" w:lineRule="exact"/>
              <w:ind w:firstLine="480" w:firstLineChars="200"/>
              <w:jc w:val="center"/>
              <w:rPr>
                <w:rFonts w:hint="eastAsia" w:ascii="宋体" w:hAnsi="宋体" w:eastAsia="宋体" w:cs="宋体"/>
                <w:color w:val="auto"/>
                <w:sz w:val="24"/>
                <w:szCs w:val="24"/>
                <w:highlight w:val="none"/>
              </w:rPr>
            </w:pPr>
          </w:p>
        </w:tc>
      </w:tr>
    </w:tbl>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1680" w:firstLineChars="7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w:t>
      </w:r>
      <w:r>
        <w:rPr>
          <w:rFonts w:hint="eastAsia" w:ascii="宋体" w:hAnsi="宋体" w:eastAsia="宋体" w:cs="宋体"/>
          <w:color w:val="auto"/>
          <w:sz w:val="24"/>
          <w:szCs w:val="24"/>
          <w:highlight w:val="none"/>
        </w:rPr>
        <w:t>定代表人：（签字或盖章）</w:t>
      </w:r>
    </w:p>
    <w:p>
      <w:pPr>
        <w:spacing w:line="560" w:lineRule="exact"/>
        <w:ind w:firstLine="1680" w:firstLineChars="7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1680" w:firstLineChars="7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授权日期：      年  月  日</w:t>
      </w:r>
    </w:p>
    <w:p>
      <w:pPr>
        <w:spacing w:line="560" w:lineRule="exact"/>
        <w:jc w:val="both"/>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93"/>
        <w:spacing w:before="210" w:after="210"/>
        <w:ind w:firstLine="640"/>
        <w:outlineLvl w:val="3"/>
        <w:rPr>
          <w:rFonts w:hint="eastAsia" w:ascii="宋体" w:hAnsi="宋体" w:eastAsia="宋体" w:cs="宋体"/>
          <w:color w:val="auto"/>
          <w:sz w:val="24"/>
          <w:szCs w:val="24"/>
          <w:highlight w:val="none"/>
          <w:lang w:eastAsia="zh-CN"/>
        </w:rPr>
      </w:pPr>
      <w:bookmarkStart w:id="156" w:name="_Toc6896"/>
      <w:r>
        <w:rPr>
          <w:rFonts w:hint="eastAsia" w:ascii="宋体" w:hAnsi="宋体" w:eastAsia="宋体" w:cs="宋体"/>
          <w:color w:val="auto"/>
          <w:sz w:val="24"/>
          <w:szCs w:val="24"/>
          <w:highlight w:val="none"/>
          <w:lang w:eastAsia="zh-CN"/>
        </w:rPr>
        <w:t>（二）</w:t>
      </w:r>
      <w:r>
        <w:rPr>
          <w:rFonts w:ascii="宋体" w:hAnsi="宋体" w:eastAsia="宋体" w:cs="宋体"/>
          <w:color w:val="auto"/>
          <w:sz w:val="24"/>
          <w:szCs w:val="24"/>
        </w:rPr>
        <w:t>投标人须提供医疗器械经营许可证或备案凭证、所投产品生产厂家的医疗器械生产许可证、所投产品医疗器械产品注册证（或备案凭证）</w:t>
      </w:r>
      <w:r>
        <w:rPr>
          <w:rFonts w:hint="eastAsia" w:ascii="宋体" w:hAnsi="宋体" w:eastAsia="宋体" w:cs="宋体"/>
          <w:color w:val="auto"/>
          <w:sz w:val="24"/>
          <w:szCs w:val="24"/>
          <w:lang w:val="en-US" w:eastAsia="zh-CN"/>
        </w:rPr>
        <w:t>;</w:t>
      </w:r>
    </w:p>
    <w:p>
      <w:pPr>
        <w:pStyle w:val="93"/>
        <w:spacing w:before="210" w:after="210"/>
        <w:ind w:firstLine="640"/>
        <w:outlineLvl w:val="3"/>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投标邀请函中要求的其他资格证明文件</w:t>
      </w:r>
      <w:bookmarkEnd w:id="156"/>
    </w:p>
    <w:p>
      <w:pPr>
        <w:pStyle w:val="93"/>
        <w:spacing w:before="210" w:after="210"/>
        <w:ind w:firstLine="640"/>
        <w:outlineLvl w:val="9"/>
        <w:rPr>
          <w:rFonts w:hint="eastAsia" w:ascii="宋体" w:hAnsi="宋体" w:eastAsia="宋体" w:cs="宋体"/>
          <w:color w:val="auto"/>
          <w:sz w:val="24"/>
          <w:szCs w:val="24"/>
          <w:highlight w:val="none"/>
        </w:rPr>
      </w:pPr>
      <w:bookmarkStart w:id="157" w:name="_Toc1431"/>
      <w:r>
        <w:rPr>
          <w:rFonts w:hint="eastAsia" w:ascii="宋体" w:hAnsi="宋体" w:eastAsia="宋体" w:cs="宋体"/>
          <w:color w:val="auto"/>
          <w:sz w:val="24"/>
          <w:szCs w:val="24"/>
          <w:highlight w:val="none"/>
        </w:rPr>
        <w:t>提示：</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可通过【信用中国】（www.creditchina.gov.cn）、【中国政府采购网】（www.ccgp.gov.cn）</w:t>
      </w:r>
      <w:r>
        <w:rPr>
          <w:rFonts w:hint="eastAsia" w:ascii="宋体" w:hAnsi="宋体" w:eastAsia="宋体" w:cs="宋体"/>
          <w:color w:val="auto"/>
          <w:sz w:val="24"/>
          <w:szCs w:val="24"/>
          <w:highlight w:val="none"/>
          <w:lang w:eastAsia="zh-CN"/>
        </w:rPr>
        <w:t>、“国家企业信用信息公示系统”</w:t>
      </w:r>
      <w:r>
        <w:rPr>
          <w:rFonts w:hint="eastAsia" w:ascii="宋体" w:hAnsi="宋体" w:eastAsia="宋体" w:cs="宋体"/>
          <w:color w:val="auto"/>
          <w:sz w:val="24"/>
          <w:szCs w:val="24"/>
          <w:highlight w:val="none"/>
        </w:rPr>
        <w:t>网站对自身信用记录</w:t>
      </w:r>
      <w:r>
        <w:rPr>
          <w:rFonts w:hint="eastAsia" w:ascii="宋体" w:hAnsi="宋体" w:eastAsia="宋体" w:cs="宋体"/>
          <w:color w:val="auto"/>
          <w:sz w:val="24"/>
          <w:szCs w:val="24"/>
          <w:highlight w:val="none"/>
          <w:lang w:eastAsia="zh-CN"/>
        </w:rPr>
        <w:t>及控股、管理关系</w:t>
      </w:r>
      <w:r>
        <w:rPr>
          <w:rFonts w:hint="eastAsia" w:ascii="宋体" w:hAnsi="宋体" w:eastAsia="宋体" w:cs="宋体"/>
          <w:color w:val="auto"/>
          <w:sz w:val="24"/>
          <w:szCs w:val="24"/>
          <w:highlight w:val="none"/>
        </w:rPr>
        <w:t>进行自查</w:t>
      </w:r>
      <w:r>
        <w:rPr>
          <w:rFonts w:hint="eastAsia" w:ascii="宋体" w:hAnsi="宋体" w:eastAsia="宋体" w:cs="宋体"/>
          <w:color w:val="auto"/>
          <w:sz w:val="24"/>
          <w:szCs w:val="24"/>
          <w:highlight w:val="none"/>
          <w:lang w:eastAsia="zh-CN"/>
        </w:rPr>
        <w:t>。</w:t>
      </w:r>
      <w:bookmarkEnd w:id="157"/>
    </w:p>
    <w:p>
      <w:pPr>
        <w:pStyle w:val="93"/>
        <w:spacing w:before="210" w:after="210"/>
        <w:ind w:firstLine="640"/>
        <w:outlineLvl w:val="9"/>
        <w:rPr>
          <w:rFonts w:hint="eastAsia" w:ascii="宋体" w:hAnsi="宋体" w:eastAsia="宋体" w:cs="宋体"/>
          <w:color w:val="auto"/>
          <w:sz w:val="24"/>
          <w:szCs w:val="24"/>
          <w:highlight w:val="none"/>
        </w:rPr>
      </w:pPr>
    </w:p>
    <w:p>
      <w:pPr>
        <w:pStyle w:val="93"/>
        <w:spacing w:before="210" w:after="210"/>
        <w:ind w:firstLine="640"/>
        <w:outlineLvl w:val="9"/>
        <w:rPr>
          <w:rFonts w:hint="eastAsia" w:ascii="宋体" w:hAnsi="宋体" w:eastAsia="宋体" w:cs="宋体"/>
          <w:color w:val="auto"/>
          <w:sz w:val="24"/>
          <w:szCs w:val="24"/>
          <w:highlight w:val="none"/>
        </w:rPr>
      </w:pPr>
    </w:p>
    <w:p>
      <w:pPr>
        <w:pStyle w:val="93"/>
        <w:spacing w:before="210" w:after="210"/>
        <w:ind w:firstLine="640"/>
        <w:outlineLvl w:val="9"/>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4"/>
        <w:rPr>
          <w:rFonts w:hint="eastAsia" w:ascii="宋体" w:hAnsi="宋体" w:eastAsia="宋体" w:cs="宋体"/>
          <w:color w:val="auto"/>
          <w:sz w:val="24"/>
          <w:szCs w:val="24"/>
          <w:highlight w:val="none"/>
        </w:rPr>
      </w:pPr>
      <w:bookmarkStart w:id="158" w:name="_Toc2219"/>
      <w:r>
        <w:rPr>
          <w:rFonts w:hint="eastAsia" w:ascii="宋体" w:hAnsi="宋体" w:eastAsia="宋体" w:cs="宋体"/>
          <w:color w:val="auto"/>
          <w:sz w:val="24"/>
          <w:szCs w:val="24"/>
          <w:highlight w:val="none"/>
        </w:rPr>
        <w:t xml:space="preserve">第四部分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概况</w:t>
      </w:r>
      <w:bookmarkEnd w:id="158"/>
    </w:p>
    <w:p>
      <w:pPr>
        <w:pStyle w:val="93"/>
        <w:spacing w:before="210" w:after="210"/>
        <w:ind w:firstLine="640"/>
        <w:outlineLvl w:val="2"/>
        <w:rPr>
          <w:rFonts w:hint="eastAsia" w:ascii="宋体" w:hAnsi="宋体" w:eastAsia="宋体" w:cs="宋体"/>
          <w:color w:val="auto"/>
          <w:sz w:val="24"/>
          <w:szCs w:val="24"/>
          <w:highlight w:val="none"/>
        </w:rPr>
      </w:pPr>
      <w:bookmarkStart w:id="159" w:name="_Toc10755"/>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基本信息</w:t>
      </w:r>
      <w:bookmarkEnd w:id="159"/>
    </w:p>
    <w:tbl>
      <w:tblPr>
        <w:tblStyle w:val="85"/>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992"/>
        <w:gridCol w:w="1424"/>
        <w:gridCol w:w="1411"/>
        <w:gridCol w:w="146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eastAsia="zh-CN"/>
              </w:rPr>
              <w:t>投标人</w:t>
            </w:r>
            <w:r>
              <w:rPr>
                <w:rFonts w:hint="eastAsia" w:ascii="宋体" w:hAnsi="宋体" w:eastAsia="宋体" w:cs="宋体"/>
                <w:color w:val="auto"/>
                <w:kern w:val="2"/>
                <w:sz w:val="24"/>
                <w:szCs w:val="24"/>
                <w:highlight w:val="none"/>
              </w:rPr>
              <w:t>全称</w:t>
            </w:r>
          </w:p>
        </w:tc>
        <w:tc>
          <w:tcPr>
            <w:tcW w:w="6756" w:type="dxa"/>
            <w:gridSpan w:val="5"/>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注册地址</w:t>
            </w:r>
          </w:p>
        </w:tc>
        <w:tc>
          <w:tcPr>
            <w:tcW w:w="2416" w:type="dxa"/>
            <w:gridSpan w:val="2"/>
          </w:tcPr>
          <w:p>
            <w:pPr>
              <w:ind w:firstLine="0"/>
              <w:jc w:val="both"/>
              <w:rPr>
                <w:rFonts w:hint="eastAsia" w:ascii="宋体" w:hAnsi="宋体" w:eastAsia="宋体" w:cs="宋体"/>
                <w:color w:val="auto"/>
                <w:kern w:val="2"/>
                <w:sz w:val="24"/>
                <w:szCs w:val="24"/>
                <w:highlight w:val="none"/>
              </w:rPr>
            </w:pPr>
          </w:p>
        </w:tc>
        <w:tc>
          <w:tcPr>
            <w:tcW w:w="1411"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成立时间</w:t>
            </w:r>
          </w:p>
        </w:tc>
        <w:tc>
          <w:tcPr>
            <w:tcW w:w="2929" w:type="dxa"/>
            <w:gridSpan w:val="2"/>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统一社会信用代码</w:t>
            </w:r>
          </w:p>
        </w:tc>
        <w:tc>
          <w:tcPr>
            <w:tcW w:w="2416" w:type="dxa"/>
            <w:gridSpan w:val="2"/>
          </w:tcPr>
          <w:p>
            <w:pPr>
              <w:ind w:firstLine="0"/>
              <w:jc w:val="both"/>
              <w:rPr>
                <w:rFonts w:hint="eastAsia" w:ascii="宋体" w:hAnsi="宋体" w:eastAsia="宋体" w:cs="宋体"/>
                <w:color w:val="auto"/>
                <w:kern w:val="2"/>
                <w:sz w:val="24"/>
                <w:szCs w:val="24"/>
                <w:highlight w:val="none"/>
              </w:rPr>
            </w:pPr>
          </w:p>
        </w:tc>
        <w:tc>
          <w:tcPr>
            <w:tcW w:w="1411"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单位性质</w:t>
            </w:r>
          </w:p>
        </w:tc>
        <w:tc>
          <w:tcPr>
            <w:tcW w:w="2929" w:type="dxa"/>
            <w:gridSpan w:val="2"/>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法定代表人</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（主要负责人）</w:t>
            </w:r>
          </w:p>
        </w:tc>
        <w:tc>
          <w:tcPr>
            <w:tcW w:w="2416" w:type="dxa"/>
            <w:gridSpan w:val="2"/>
          </w:tcPr>
          <w:p>
            <w:pPr>
              <w:ind w:firstLine="0"/>
              <w:jc w:val="both"/>
              <w:rPr>
                <w:rFonts w:hint="eastAsia" w:ascii="宋体" w:hAnsi="宋体" w:eastAsia="宋体" w:cs="宋体"/>
                <w:color w:val="auto"/>
                <w:kern w:val="2"/>
                <w:sz w:val="24"/>
                <w:szCs w:val="24"/>
                <w:highlight w:val="none"/>
              </w:rPr>
            </w:pPr>
          </w:p>
        </w:tc>
        <w:tc>
          <w:tcPr>
            <w:tcW w:w="1411"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所属行业</w:t>
            </w:r>
          </w:p>
        </w:tc>
        <w:tc>
          <w:tcPr>
            <w:tcW w:w="2929" w:type="dxa"/>
            <w:gridSpan w:val="2"/>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基本存款账户</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开户银行</w:t>
            </w:r>
          </w:p>
        </w:tc>
        <w:tc>
          <w:tcPr>
            <w:tcW w:w="2416" w:type="dxa"/>
            <w:gridSpan w:val="2"/>
          </w:tcPr>
          <w:p>
            <w:pPr>
              <w:ind w:firstLine="0"/>
              <w:jc w:val="both"/>
              <w:rPr>
                <w:rFonts w:hint="eastAsia" w:ascii="宋体" w:hAnsi="宋体" w:eastAsia="宋体" w:cs="宋体"/>
                <w:color w:val="auto"/>
                <w:kern w:val="2"/>
                <w:sz w:val="24"/>
                <w:szCs w:val="24"/>
                <w:highlight w:val="none"/>
              </w:rPr>
            </w:pPr>
          </w:p>
        </w:tc>
        <w:tc>
          <w:tcPr>
            <w:tcW w:w="1411" w:type="dxa"/>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基本存款</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账户账号</w:t>
            </w:r>
          </w:p>
        </w:tc>
        <w:tc>
          <w:tcPr>
            <w:tcW w:w="2929" w:type="dxa"/>
            <w:gridSpan w:val="2"/>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上年度</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营业收入*</w:t>
            </w:r>
          </w:p>
        </w:tc>
        <w:tc>
          <w:tcPr>
            <w:tcW w:w="2416" w:type="dxa"/>
            <w:gridSpan w:val="2"/>
          </w:tcPr>
          <w:p>
            <w:pPr>
              <w:ind w:firstLine="0"/>
              <w:jc w:val="both"/>
              <w:rPr>
                <w:rFonts w:hint="eastAsia" w:ascii="宋体" w:hAnsi="宋体" w:eastAsia="宋体" w:cs="宋体"/>
                <w:color w:val="auto"/>
                <w:kern w:val="2"/>
                <w:sz w:val="24"/>
                <w:szCs w:val="24"/>
                <w:highlight w:val="none"/>
              </w:rPr>
            </w:pPr>
          </w:p>
        </w:tc>
        <w:tc>
          <w:tcPr>
            <w:tcW w:w="1411"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资产总额</w:t>
            </w:r>
          </w:p>
        </w:tc>
        <w:tc>
          <w:tcPr>
            <w:tcW w:w="2929" w:type="dxa"/>
            <w:gridSpan w:val="2"/>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经营范围</w:t>
            </w:r>
          </w:p>
        </w:tc>
        <w:tc>
          <w:tcPr>
            <w:tcW w:w="6756" w:type="dxa"/>
            <w:gridSpan w:val="5"/>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资质证书名称</w:t>
            </w:r>
          </w:p>
        </w:tc>
        <w:tc>
          <w:tcPr>
            <w:tcW w:w="2416" w:type="dxa"/>
            <w:gridSpan w:val="2"/>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证书号</w:t>
            </w:r>
          </w:p>
        </w:tc>
        <w:tc>
          <w:tcPr>
            <w:tcW w:w="1411"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等级</w:t>
            </w:r>
          </w:p>
        </w:tc>
        <w:tc>
          <w:tcPr>
            <w:tcW w:w="2929" w:type="dxa"/>
            <w:gridSpan w:val="2"/>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p>
        </w:tc>
        <w:tc>
          <w:tcPr>
            <w:tcW w:w="2416" w:type="dxa"/>
            <w:gridSpan w:val="2"/>
          </w:tcPr>
          <w:p>
            <w:pPr>
              <w:ind w:firstLine="0"/>
              <w:jc w:val="both"/>
              <w:rPr>
                <w:rFonts w:hint="eastAsia" w:ascii="宋体" w:hAnsi="宋体" w:eastAsia="宋体" w:cs="宋体"/>
                <w:color w:val="auto"/>
                <w:kern w:val="2"/>
                <w:sz w:val="24"/>
                <w:szCs w:val="24"/>
                <w:highlight w:val="none"/>
              </w:rPr>
            </w:pPr>
          </w:p>
        </w:tc>
        <w:tc>
          <w:tcPr>
            <w:tcW w:w="1411" w:type="dxa"/>
          </w:tcPr>
          <w:p>
            <w:pPr>
              <w:ind w:firstLine="0"/>
              <w:jc w:val="both"/>
              <w:rPr>
                <w:rFonts w:hint="eastAsia" w:ascii="宋体" w:hAnsi="宋体" w:eastAsia="宋体" w:cs="宋体"/>
                <w:color w:val="auto"/>
                <w:kern w:val="2"/>
                <w:sz w:val="24"/>
                <w:szCs w:val="24"/>
                <w:highlight w:val="none"/>
              </w:rPr>
            </w:pPr>
          </w:p>
        </w:tc>
        <w:tc>
          <w:tcPr>
            <w:tcW w:w="2929" w:type="dxa"/>
            <w:gridSpan w:val="2"/>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p>
        </w:tc>
        <w:tc>
          <w:tcPr>
            <w:tcW w:w="2416" w:type="dxa"/>
            <w:gridSpan w:val="2"/>
          </w:tcPr>
          <w:p>
            <w:pPr>
              <w:ind w:firstLine="0"/>
              <w:jc w:val="both"/>
              <w:rPr>
                <w:rFonts w:hint="eastAsia" w:ascii="宋体" w:hAnsi="宋体" w:eastAsia="宋体" w:cs="宋体"/>
                <w:color w:val="auto"/>
                <w:kern w:val="2"/>
                <w:sz w:val="24"/>
                <w:szCs w:val="24"/>
                <w:highlight w:val="none"/>
              </w:rPr>
            </w:pPr>
          </w:p>
        </w:tc>
        <w:tc>
          <w:tcPr>
            <w:tcW w:w="1411" w:type="dxa"/>
          </w:tcPr>
          <w:p>
            <w:pPr>
              <w:ind w:firstLine="0"/>
              <w:jc w:val="both"/>
              <w:rPr>
                <w:rFonts w:hint="eastAsia" w:ascii="宋体" w:hAnsi="宋体" w:eastAsia="宋体" w:cs="宋体"/>
                <w:color w:val="auto"/>
                <w:kern w:val="2"/>
                <w:sz w:val="24"/>
                <w:szCs w:val="24"/>
                <w:highlight w:val="none"/>
              </w:rPr>
            </w:pPr>
          </w:p>
        </w:tc>
        <w:tc>
          <w:tcPr>
            <w:tcW w:w="2929" w:type="dxa"/>
            <w:gridSpan w:val="2"/>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restart"/>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从业人员总数</w:t>
            </w:r>
          </w:p>
        </w:tc>
        <w:tc>
          <w:tcPr>
            <w:tcW w:w="992" w:type="dxa"/>
            <w:vMerge w:val="restart"/>
          </w:tcPr>
          <w:p>
            <w:pPr>
              <w:ind w:firstLine="0"/>
              <w:jc w:val="both"/>
              <w:rPr>
                <w:rFonts w:hint="eastAsia" w:ascii="宋体" w:hAnsi="宋体" w:eastAsia="宋体" w:cs="宋体"/>
                <w:color w:val="auto"/>
                <w:kern w:val="2"/>
                <w:sz w:val="24"/>
                <w:szCs w:val="24"/>
                <w:highlight w:val="none"/>
              </w:rPr>
            </w:pPr>
          </w:p>
        </w:tc>
        <w:tc>
          <w:tcPr>
            <w:tcW w:w="1424" w:type="dxa"/>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管理人员</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数量</w:t>
            </w:r>
          </w:p>
        </w:tc>
        <w:tc>
          <w:tcPr>
            <w:tcW w:w="1411" w:type="dxa"/>
          </w:tcPr>
          <w:p>
            <w:pPr>
              <w:ind w:firstLine="0"/>
              <w:jc w:val="both"/>
              <w:rPr>
                <w:rFonts w:hint="eastAsia" w:ascii="宋体" w:hAnsi="宋体" w:eastAsia="宋体" w:cs="宋体"/>
                <w:color w:val="auto"/>
                <w:kern w:val="2"/>
                <w:sz w:val="24"/>
                <w:szCs w:val="24"/>
                <w:highlight w:val="none"/>
              </w:rPr>
            </w:pPr>
          </w:p>
        </w:tc>
        <w:tc>
          <w:tcPr>
            <w:tcW w:w="1464" w:type="dxa"/>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专业技术</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人员数量</w:t>
            </w:r>
          </w:p>
        </w:tc>
        <w:tc>
          <w:tcPr>
            <w:tcW w:w="1465" w:type="dxa"/>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continue"/>
          </w:tcPr>
          <w:p>
            <w:pPr>
              <w:ind w:firstLine="0"/>
              <w:jc w:val="both"/>
              <w:rPr>
                <w:rFonts w:hint="eastAsia" w:ascii="宋体" w:hAnsi="宋体" w:eastAsia="宋体" w:cs="宋体"/>
                <w:color w:val="auto"/>
                <w:kern w:val="2"/>
                <w:sz w:val="24"/>
                <w:szCs w:val="24"/>
                <w:highlight w:val="none"/>
              </w:rPr>
            </w:pPr>
          </w:p>
        </w:tc>
        <w:tc>
          <w:tcPr>
            <w:tcW w:w="992" w:type="dxa"/>
            <w:vMerge w:val="continue"/>
          </w:tcPr>
          <w:p>
            <w:pPr>
              <w:ind w:firstLine="0"/>
              <w:jc w:val="both"/>
              <w:rPr>
                <w:rFonts w:hint="eastAsia" w:ascii="宋体" w:hAnsi="宋体" w:eastAsia="宋体" w:cs="宋体"/>
                <w:color w:val="auto"/>
                <w:kern w:val="2"/>
                <w:sz w:val="24"/>
                <w:szCs w:val="24"/>
                <w:highlight w:val="none"/>
              </w:rPr>
            </w:pPr>
          </w:p>
        </w:tc>
        <w:tc>
          <w:tcPr>
            <w:tcW w:w="1424" w:type="dxa"/>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残疾人</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数量</w:t>
            </w:r>
          </w:p>
        </w:tc>
        <w:tc>
          <w:tcPr>
            <w:tcW w:w="1411" w:type="dxa"/>
          </w:tcPr>
          <w:p>
            <w:pPr>
              <w:ind w:firstLine="0"/>
              <w:jc w:val="both"/>
              <w:rPr>
                <w:rFonts w:hint="eastAsia" w:ascii="宋体" w:hAnsi="宋体" w:eastAsia="宋体" w:cs="宋体"/>
                <w:color w:val="auto"/>
                <w:kern w:val="2"/>
                <w:sz w:val="24"/>
                <w:szCs w:val="24"/>
                <w:highlight w:val="none"/>
              </w:rPr>
            </w:pPr>
          </w:p>
        </w:tc>
        <w:tc>
          <w:tcPr>
            <w:tcW w:w="1464" w:type="dxa"/>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少数民族</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数量</w:t>
            </w:r>
          </w:p>
        </w:tc>
        <w:tc>
          <w:tcPr>
            <w:tcW w:w="1465" w:type="dxa"/>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存在直接控股、管理关系的相关</w:t>
            </w:r>
            <w:r>
              <w:rPr>
                <w:rFonts w:hint="eastAsia" w:ascii="宋体" w:hAnsi="宋体" w:eastAsia="宋体" w:cs="宋体"/>
                <w:color w:val="auto"/>
                <w:kern w:val="2"/>
                <w:sz w:val="24"/>
                <w:szCs w:val="24"/>
                <w:highlight w:val="none"/>
                <w:lang w:eastAsia="zh-CN"/>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关系</w:t>
            </w:r>
          </w:p>
        </w:tc>
        <w:tc>
          <w:tcPr>
            <w:tcW w:w="6756" w:type="dxa"/>
            <w:gridSpan w:val="5"/>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eastAsia="zh-CN"/>
              </w:rPr>
              <w:t>投标人</w:t>
            </w:r>
            <w:r>
              <w:rPr>
                <w:rFonts w:hint="eastAsia" w:ascii="宋体" w:hAnsi="宋体" w:eastAsia="宋体" w:cs="宋体"/>
                <w:color w:val="auto"/>
                <w:kern w:val="2"/>
                <w:sz w:val="24"/>
                <w:szCs w:val="24"/>
                <w:highlight w:val="none"/>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p>
        </w:tc>
        <w:tc>
          <w:tcPr>
            <w:tcW w:w="6756" w:type="dxa"/>
            <w:gridSpan w:val="5"/>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p>
        </w:tc>
        <w:tc>
          <w:tcPr>
            <w:tcW w:w="6756" w:type="dxa"/>
            <w:gridSpan w:val="5"/>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说明</w:t>
            </w:r>
          </w:p>
        </w:tc>
        <w:tc>
          <w:tcPr>
            <w:tcW w:w="6756" w:type="dxa"/>
            <w:gridSpan w:val="5"/>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1.成立时间至提交投标文件截止时间不足一年的可不填写“上年度营业收入”；</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2.招标文件接受联合体的，联合体各方均应提供；</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3.表格空间不足时，请自行扩展。</w:t>
            </w:r>
          </w:p>
        </w:tc>
      </w:tr>
    </w:tbl>
    <w:p>
      <w:pPr>
        <w:pStyle w:val="93"/>
        <w:spacing w:before="210" w:after="210"/>
        <w:ind w:firstLine="640"/>
        <w:outlineLvl w:val="2"/>
        <w:rPr>
          <w:rFonts w:hint="eastAsia" w:ascii="宋体" w:hAnsi="宋体" w:eastAsia="宋体" w:cs="宋体"/>
          <w:color w:val="auto"/>
          <w:sz w:val="24"/>
          <w:szCs w:val="24"/>
          <w:highlight w:val="none"/>
        </w:rPr>
      </w:pPr>
      <w:bookmarkStart w:id="160" w:name="_Toc11055"/>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性质</w:t>
      </w:r>
      <w:bookmarkEnd w:id="160"/>
    </w:p>
    <w:p>
      <w:pPr>
        <w:pStyle w:val="92"/>
        <w:outlineLvl w:val="3"/>
        <w:rPr>
          <w:rFonts w:hint="eastAsia" w:ascii="宋体" w:hAnsi="宋体" w:eastAsia="宋体" w:cs="宋体"/>
          <w:color w:val="auto"/>
          <w:sz w:val="24"/>
          <w:szCs w:val="24"/>
          <w:highlight w:val="none"/>
        </w:rPr>
      </w:pPr>
      <w:bookmarkStart w:id="161" w:name="_Toc2373"/>
      <w:r>
        <w:rPr>
          <w:rFonts w:hint="eastAsia" w:ascii="宋体" w:hAnsi="宋体" w:eastAsia="宋体" w:cs="宋体"/>
          <w:color w:val="auto"/>
          <w:sz w:val="24"/>
          <w:szCs w:val="24"/>
          <w:highlight w:val="none"/>
        </w:rPr>
        <w:t>1．中小企业声明函</w:t>
      </w:r>
      <w:bookmarkEnd w:id="161"/>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说明：当且仅当</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填报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2020〕46号）相关规定。</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spacing w:line="240" w:lineRule="auto"/>
        <w:jc w:val="center"/>
        <w:outlineLvl w:val="4"/>
        <w:rPr>
          <w:rFonts w:ascii="宋体" w:hAnsi="宋体" w:cs="仿宋"/>
          <w:b/>
          <w:bCs/>
          <w:color w:val="auto"/>
          <w:kern w:val="0"/>
          <w:sz w:val="28"/>
          <w:szCs w:val="28"/>
          <w:highlight w:val="none"/>
        </w:rPr>
      </w:pPr>
      <w:r>
        <w:rPr>
          <w:rFonts w:ascii="宋体" w:hAnsi="宋体" w:cs="仿宋"/>
          <w:b/>
          <w:bCs/>
          <w:color w:val="auto"/>
          <w:kern w:val="0"/>
          <w:sz w:val="28"/>
          <w:szCs w:val="28"/>
          <w:highlight w:val="none"/>
        </w:rPr>
        <w:t>中小企业声明函（货物）</w:t>
      </w:r>
    </w:p>
    <w:p>
      <w:pPr>
        <w:adjustRightInd w:val="0"/>
        <w:snapToGrid w:val="0"/>
        <w:spacing w:line="240" w:lineRule="auto"/>
        <w:ind w:left="420" w:hanging="480" w:hangingChars="200"/>
        <w:jc w:val="left"/>
        <w:rPr>
          <w:rFonts w:ascii="Calibri" w:hAnsi="Calibri"/>
          <w:color w:val="auto"/>
          <w:szCs w:val="22"/>
          <w:highlight w:val="none"/>
        </w:rPr>
      </w:pPr>
    </w:p>
    <w:p>
      <w:pPr>
        <w:adjustRightInd w:val="0"/>
        <w:snapToGrid w:val="0"/>
        <w:spacing w:line="360" w:lineRule="auto"/>
        <w:ind w:firstLine="484" w:firstLineChars="202"/>
        <w:jc w:val="left"/>
        <w:rPr>
          <w:rFonts w:hint="eastAsia" w:ascii="宋体" w:hAnsi="宋体" w:eastAsia="宋体"/>
          <w:color w:val="auto"/>
          <w:sz w:val="24"/>
          <w:szCs w:val="22"/>
          <w:highlight w:val="none"/>
          <w:lang w:eastAsia="zh-CN"/>
        </w:rPr>
      </w:pPr>
      <w:r>
        <w:rPr>
          <w:rFonts w:ascii="宋体" w:hAnsi="宋体"/>
          <w:color w:val="auto"/>
          <w:sz w:val="24"/>
          <w:szCs w:val="22"/>
          <w:highlight w:val="none"/>
        </w:rPr>
        <w:t>本公司郑重声明，根据《政府采购促进中小企业发展管理办法》（财库﹝2020﹞46 号）的规定，本公司参加</w:t>
      </w:r>
      <w:r>
        <w:rPr>
          <w:rFonts w:ascii="宋体" w:hAnsi="宋体"/>
          <w:i/>
          <w:color w:val="auto"/>
          <w:sz w:val="24"/>
          <w:szCs w:val="22"/>
          <w:highlight w:val="none"/>
          <w:u w:val="single"/>
        </w:rPr>
        <w:t>（单位名称）</w:t>
      </w:r>
      <w:r>
        <w:rPr>
          <w:rFonts w:ascii="宋体" w:hAnsi="宋体"/>
          <w:color w:val="auto"/>
          <w:sz w:val="24"/>
          <w:szCs w:val="22"/>
          <w:highlight w:val="none"/>
        </w:rPr>
        <w:t>的</w:t>
      </w:r>
      <w:r>
        <w:rPr>
          <w:rFonts w:ascii="宋体" w:hAnsi="宋体"/>
          <w:i/>
          <w:color w:val="auto"/>
          <w:sz w:val="24"/>
          <w:szCs w:val="22"/>
          <w:highlight w:val="none"/>
          <w:u w:val="single"/>
        </w:rPr>
        <w:t>（项目名称）</w:t>
      </w:r>
      <w:r>
        <w:rPr>
          <w:rFonts w:hint="eastAsia" w:ascii="宋体" w:hAnsi="宋体"/>
          <w:i/>
          <w:color w:val="auto"/>
          <w:sz w:val="24"/>
          <w:szCs w:val="22"/>
          <w:highlight w:val="none"/>
          <w:u w:val="none"/>
        </w:rPr>
        <w:t>第___标段采购活动</w:t>
      </w:r>
      <w:r>
        <w:rPr>
          <w:rFonts w:ascii="宋体" w:hAnsi="宋体"/>
          <w:color w:val="auto"/>
          <w:sz w:val="24"/>
          <w:szCs w:val="22"/>
          <w:highlight w:val="none"/>
          <w:u w:val="none"/>
        </w:rPr>
        <w:t>，</w:t>
      </w:r>
      <w:r>
        <w:rPr>
          <w:rFonts w:ascii="宋体" w:hAnsi="宋体"/>
          <w:color w:val="auto"/>
          <w:sz w:val="24"/>
          <w:szCs w:val="22"/>
          <w:highlight w:val="none"/>
        </w:rPr>
        <w:t>提供的货物全部由符合政策要求的中小企业制造。相关企业的具体情况如下：</w:t>
      </w:r>
    </w:p>
    <w:p>
      <w:pPr>
        <w:adjustRightInd w:val="0"/>
        <w:snapToGrid w:val="0"/>
        <w:spacing w:line="360" w:lineRule="auto"/>
        <w:ind w:firstLine="484" w:firstLineChars="202"/>
        <w:jc w:val="left"/>
        <w:rPr>
          <w:rFonts w:hint="eastAsia" w:ascii="宋体" w:hAnsi="宋体" w:eastAsia="宋体"/>
          <w:color w:val="auto"/>
          <w:sz w:val="24"/>
          <w:szCs w:val="22"/>
          <w:highlight w:val="none"/>
          <w:lang w:eastAsia="zh-CN"/>
        </w:rPr>
      </w:pPr>
      <w:r>
        <w:rPr>
          <w:rFonts w:ascii="宋体" w:hAnsi="宋体"/>
          <w:color w:val="auto"/>
          <w:sz w:val="24"/>
          <w:szCs w:val="22"/>
          <w:highlight w:val="none"/>
        </w:rPr>
        <w:t xml:space="preserve">    1.</w:t>
      </w:r>
      <w:r>
        <w:rPr>
          <w:rFonts w:ascii="宋体" w:hAnsi="宋体"/>
          <w:color w:val="auto"/>
          <w:sz w:val="24"/>
          <w:szCs w:val="22"/>
          <w:highlight w:val="none"/>
          <w:u w:val="single"/>
        </w:rPr>
        <w:t xml:space="preserve"> </w:t>
      </w:r>
      <w:r>
        <w:rPr>
          <w:rFonts w:ascii="宋体" w:hAnsi="宋体"/>
          <w:i/>
          <w:color w:val="auto"/>
          <w:sz w:val="24"/>
          <w:szCs w:val="22"/>
          <w:highlight w:val="none"/>
          <w:u w:val="single"/>
        </w:rPr>
        <w:t>（标的名称）</w:t>
      </w:r>
      <w:r>
        <w:rPr>
          <w:rFonts w:hint="eastAsia" w:ascii="宋体" w:hAnsi="宋体"/>
          <w:i/>
          <w:color w:val="auto"/>
          <w:sz w:val="24"/>
          <w:szCs w:val="22"/>
          <w:highlight w:val="none"/>
          <w:u w:val="single"/>
        </w:rPr>
        <w:t xml:space="preserve"> </w:t>
      </w:r>
      <w:r>
        <w:rPr>
          <w:rFonts w:ascii="宋体" w:hAnsi="宋体"/>
          <w:color w:val="auto"/>
          <w:sz w:val="24"/>
          <w:szCs w:val="22"/>
          <w:highlight w:val="none"/>
        </w:rPr>
        <w:t>，属于</w:t>
      </w:r>
      <w:r>
        <w:rPr>
          <w:rFonts w:ascii="宋体" w:hAnsi="宋体"/>
          <w:i/>
          <w:color w:val="auto"/>
          <w:sz w:val="24"/>
          <w:szCs w:val="22"/>
          <w:highlight w:val="none"/>
          <w:u w:val="single"/>
        </w:rPr>
        <w:t xml:space="preserve">        </w:t>
      </w:r>
      <w:r>
        <w:rPr>
          <w:rFonts w:ascii="宋体" w:hAnsi="宋体"/>
          <w:color w:val="auto"/>
          <w:sz w:val="24"/>
          <w:szCs w:val="22"/>
          <w:highlight w:val="none"/>
        </w:rPr>
        <w:t>行业；制造商为</w:t>
      </w:r>
      <w:r>
        <w:rPr>
          <w:rFonts w:ascii="宋体" w:hAnsi="宋体"/>
          <w:i/>
          <w:color w:val="auto"/>
          <w:sz w:val="24"/>
          <w:szCs w:val="22"/>
          <w:highlight w:val="none"/>
          <w:u w:val="single"/>
        </w:rPr>
        <w:t>（企业名称）</w:t>
      </w:r>
      <w:r>
        <w:rPr>
          <w:rFonts w:ascii="宋体" w:hAnsi="宋体"/>
          <w:color w:val="auto"/>
          <w:sz w:val="24"/>
          <w:szCs w:val="22"/>
          <w:highlight w:val="none"/>
        </w:rPr>
        <w:t>，从业人员</w:t>
      </w:r>
      <w:r>
        <w:rPr>
          <w:rFonts w:ascii="宋体" w:hAnsi="宋体"/>
          <w:color w:val="auto"/>
          <w:sz w:val="24"/>
          <w:szCs w:val="22"/>
          <w:highlight w:val="none"/>
          <w:u w:val="single"/>
        </w:rPr>
        <w:t xml:space="preserve"> </w:t>
      </w:r>
      <w:r>
        <w:rPr>
          <w:rFonts w:hint="eastAsia" w:ascii="宋体" w:hAnsi="宋体"/>
          <w:color w:val="auto"/>
          <w:sz w:val="24"/>
          <w:szCs w:val="22"/>
          <w:highlight w:val="none"/>
          <w:u w:val="single"/>
        </w:rPr>
        <w:t xml:space="preserve">   </w:t>
      </w:r>
      <w:r>
        <w:rPr>
          <w:rFonts w:ascii="宋体" w:hAnsi="宋体"/>
          <w:color w:val="auto"/>
          <w:sz w:val="24"/>
          <w:szCs w:val="22"/>
          <w:highlight w:val="none"/>
        </w:rPr>
        <w:t>人，营业收入为</w:t>
      </w:r>
      <w:r>
        <w:rPr>
          <w:rFonts w:ascii="宋体" w:hAnsi="宋体"/>
          <w:color w:val="auto"/>
          <w:sz w:val="24"/>
          <w:szCs w:val="22"/>
          <w:highlight w:val="none"/>
          <w:u w:val="single"/>
        </w:rPr>
        <w:t xml:space="preserve"> </w:t>
      </w:r>
      <w:r>
        <w:rPr>
          <w:rFonts w:hint="eastAsia" w:ascii="宋体" w:hAnsi="宋体"/>
          <w:color w:val="auto"/>
          <w:sz w:val="24"/>
          <w:szCs w:val="22"/>
          <w:highlight w:val="none"/>
          <w:u w:val="single"/>
        </w:rPr>
        <w:t xml:space="preserve">   </w:t>
      </w:r>
      <w:r>
        <w:rPr>
          <w:rFonts w:ascii="宋体" w:hAnsi="宋体"/>
          <w:color w:val="auto"/>
          <w:sz w:val="24"/>
          <w:szCs w:val="22"/>
          <w:highlight w:val="none"/>
        </w:rPr>
        <w:t>万元，资产总额为</w:t>
      </w:r>
      <w:r>
        <w:rPr>
          <w:rFonts w:ascii="宋体" w:hAnsi="宋体"/>
          <w:color w:val="auto"/>
          <w:sz w:val="24"/>
          <w:szCs w:val="22"/>
          <w:highlight w:val="none"/>
          <w:u w:val="single"/>
        </w:rPr>
        <w:t xml:space="preserve"> </w:t>
      </w:r>
      <w:r>
        <w:rPr>
          <w:rFonts w:hint="eastAsia" w:ascii="宋体" w:hAnsi="宋体"/>
          <w:color w:val="auto"/>
          <w:sz w:val="24"/>
          <w:szCs w:val="22"/>
          <w:highlight w:val="none"/>
          <w:u w:val="single"/>
        </w:rPr>
        <w:t xml:space="preserve">   </w:t>
      </w:r>
      <w:r>
        <w:rPr>
          <w:rFonts w:ascii="宋体" w:hAnsi="宋体"/>
          <w:color w:val="auto"/>
          <w:sz w:val="24"/>
          <w:szCs w:val="22"/>
          <w:highlight w:val="none"/>
        </w:rPr>
        <w:t>万元</w:t>
      </w:r>
      <w:r>
        <w:rPr>
          <w:rFonts w:hint="eastAsia" w:ascii="宋体" w:hAnsi="宋体"/>
          <w:color w:val="auto"/>
          <w:sz w:val="24"/>
          <w:szCs w:val="22"/>
          <w:highlight w:val="none"/>
          <w:vertAlign w:val="superscript"/>
        </w:rPr>
        <w:t>1</w:t>
      </w:r>
      <w:r>
        <w:rPr>
          <w:rFonts w:ascii="宋体" w:hAnsi="宋体"/>
          <w:color w:val="auto"/>
          <w:sz w:val="24"/>
          <w:szCs w:val="22"/>
          <w:highlight w:val="none"/>
        </w:rPr>
        <w:t>，属于</w:t>
      </w:r>
      <w:r>
        <w:rPr>
          <w:rFonts w:ascii="宋体" w:hAnsi="宋体"/>
          <w:i/>
          <w:color w:val="auto"/>
          <w:sz w:val="24"/>
          <w:szCs w:val="22"/>
          <w:highlight w:val="none"/>
          <w:u w:val="single"/>
        </w:rPr>
        <w:t>（中型企业、小型企业、微型企业</w:t>
      </w:r>
      <w:r>
        <w:rPr>
          <w:rFonts w:ascii="宋体" w:hAnsi="宋体"/>
          <w:i/>
          <w:color w:val="auto"/>
          <w:sz w:val="24"/>
          <w:szCs w:val="22"/>
          <w:highlight w:val="none"/>
        </w:rPr>
        <w:t>）</w:t>
      </w:r>
      <w:r>
        <w:rPr>
          <w:rFonts w:ascii="宋体" w:hAnsi="宋体"/>
          <w:color w:val="auto"/>
          <w:sz w:val="24"/>
          <w:szCs w:val="22"/>
          <w:highlight w:val="none"/>
        </w:rPr>
        <w:t>；</w:t>
      </w:r>
    </w:p>
    <w:p>
      <w:pPr>
        <w:adjustRightInd w:val="0"/>
        <w:snapToGrid w:val="0"/>
        <w:spacing w:line="360" w:lineRule="auto"/>
        <w:ind w:firstLine="484" w:firstLineChars="202"/>
        <w:jc w:val="left"/>
        <w:rPr>
          <w:rFonts w:hint="eastAsia" w:ascii="宋体" w:hAnsi="宋体" w:eastAsia="宋体"/>
          <w:color w:val="auto"/>
          <w:sz w:val="24"/>
          <w:szCs w:val="22"/>
          <w:highlight w:val="none"/>
          <w:lang w:eastAsia="zh-CN"/>
        </w:rPr>
      </w:pPr>
      <w:r>
        <w:rPr>
          <w:rFonts w:ascii="宋体" w:hAnsi="宋体"/>
          <w:color w:val="auto"/>
          <w:sz w:val="24"/>
          <w:szCs w:val="22"/>
          <w:highlight w:val="none"/>
        </w:rPr>
        <w:t xml:space="preserve">    2.</w:t>
      </w:r>
      <w:r>
        <w:rPr>
          <w:rFonts w:ascii="宋体" w:hAnsi="宋体"/>
          <w:color w:val="auto"/>
          <w:sz w:val="24"/>
          <w:szCs w:val="22"/>
          <w:highlight w:val="none"/>
          <w:u w:val="single"/>
        </w:rPr>
        <w:t xml:space="preserve"> </w:t>
      </w:r>
      <w:r>
        <w:rPr>
          <w:rFonts w:ascii="宋体" w:hAnsi="宋体"/>
          <w:i/>
          <w:color w:val="auto"/>
          <w:sz w:val="24"/>
          <w:szCs w:val="22"/>
          <w:highlight w:val="none"/>
          <w:u w:val="single"/>
        </w:rPr>
        <w:t>（标的名称）</w:t>
      </w:r>
      <w:r>
        <w:rPr>
          <w:rFonts w:hint="eastAsia" w:ascii="宋体" w:hAnsi="宋体"/>
          <w:i/>
          <w:color w:val="auto"/>
          <w:sz w:val="24"/>
          <w:szCs w:val="22"/>
          <w:highlight w:val="none"/>
          <w:u w:val="single"/>
        </w:rPr>
        <w:t xml:space="preserve"> </w:t>
      </w:r>
      <w:r>
        <w:rPr>
          <w:rFonts w:ascii="宋体" w:hAnsi="宋体"/>
          <w:color w:val="auto"/>
          <w:sz w:val="24"/>
          <w:szCs w:val="22"/>
          <w:highlight w:val="none"/>
        </w:rPr>
        <w:t>，属于</w:t>
      </w:r>
      <w:r>
        <w:rPr>
          <w:rFonts w:hint="eastAsia" w:ascii="宋体" w:hAnsi="宋体"/>
          <w:i/>
          <w:color w:val="auto"/>
          <w:sz w:val="24"/>
          <w:szCs w:val="22"/>
          <w:highlight w:val="none"/>
          <w:u w:val="single"/>
        </w:rPr>
        <w:t xml:space="preserve"> </w:t>
      </w:r>
      <w:r>
        <w:rPr>
          <w:rFonts w:ascii="宋体" w:hAnsi="宋体"/>
          <w:i/>
          <w:color w:val="auto"/>
          <w:sz w:val="24"/>
          <w:szCs w:val="22"/>
          <w:highlight w:val="none"/>
          <w:u w:val="single"/>
        </w:rPr>
        <w:t xml:space="preserve">       </w:t>
      </w:r>
      <w:r>
        <w:rPr>
          <w:rFonts w:ascii="宋体" w:hAnsi="宋体"/>
          <w:color w:val="auto"/>
          <w:sz w:val="24"/>
          <w:szCs w:val="22"/>
          <w:highlight w:val="none"/>
        </w:rPr>
        <w:t>行业；制造商为</w:t>
      </w:r>
      <w:r>
        <w:rPr>
          <w:rFonts w:ascii="宋体" w:hAnsi="宋体"/>
          <w:i/>
          <w:color w:val="auto"/>
          <w:sz w:val="24"/>
          <w:szCs w:val="22"/>
          <w:highlight w:val="none"/>
          <w:u w:val="single"/>
        </w:rPr>
        <w:t>（企业名称）</w:t>
      </w:r>
      <w:r>
        <w:rPr>
          <w:rFonts w:ascii="宋体" w:hAnsi="宋体"/>
          <w:color w:val="auto"/>
          <w:sz w:val="24"/>
          <w:szCs w:val="22"/>
          <w:highlight w:val="none"/>
        </w:rPr>
        <w:t>，从业人员</w:t>
      </w:r>
      <w:r>
        <w:rPr>
          <w:rFonts w:ascii="宋体" w:hAnsi="宋体"/>
          <w:color w:val="auto"/>
          <w:sz w:val="24"/>
          <w:szCs w:val="22"/>
          <w:highlight w:val="none"/>
          <w:u w:val="single"/>
        </w:rPr>
        <w:t xml:space="preserve"> </w:t>
      </w:r>
      <w:r>
        <w:rPr>
          <w:rFonts w:hint="eastAsia" w:ascii="宋体" w:hAnsi="宋体"/>
          <w:color w:val="auto"/>
          <w:sz w:val="24"/>
          <w:szCs w:val="22"/>
          <w:highlight w:val="none"/>
          <w:u w:val="single"/>
        </w:rPr>
        <w:t xml:space="preserve">   </w:t>
      </w:r>
      <w:r>
        <w:rPr>
          <w:rFonts w:ascii="宋体" w:hAnsi="宋体"/>
          <w:color w:val="auto"/>
          <w:sz w:val="24"/>
          <w:szCs w:val="22"/>
          <w:highlight w:val="none"/>
        </w:rPr>
        <w:t>人，营业收入为</w:t>
      </w:r>
      <w:r>
        <w:rPr>
          <w:rFonts w:ascii="宋体" w:hAnsi="宋体"/>
          <w:color w:val="auto"/>
          <w:sz w:val="24"/>
          <w:szCs w:val="22"/>
          <w:highlight w:val="none"/>
          <w:u w:val="single"/>
        </w:rPr>
        <w:t xml:space="preserve"> </w:t>
      </w:r>
      <w:r>
        <w:rPr>
          <w:rFonts w:hint="eastAsia" w:ascii="宋体" w:hAnsi="宋体"/>
          <w:color w:val="auto"/>
          <w:sz w:val="24"/>
          <w:szCs w:val="22"/>
          <w:highlight w:val="none"/>
          <w:u w:val="single"/>
        </w:rPr>
        <w:t xml:space="preserve">   </w:t>
      </w:r>
      <w:r>
        <w:rPr>
          <w:rFonts w:ascii="宋体" w:hAnsi="宋体"/>
          <w:color w:val="auto"/>
          <w:sz w:val="24"/>
          <w:szCs w:val="22"/>
          <w:highlight w:val="none"/>
        </w:rPr>
        <w:t>万元，资产总额为</w:t>
      </w:r>
      <w:r>
        <w:rPr>
          <w:rFonts w:ascii="宋体" w:hAnsi="宋体"/>
          <w:color w:val="auto"/>
          <w:sz w:val="24"/>
          <w:szCs w:val="22"/>
          <w:highlight w:val="none"/>
          <w:u w:val="single"/>
        </w:rPr>
        <w:t xml:space="preserve"> </w:t>
      </w:r>
      <w:r>
        <w:rPr>
          <w:rFonts w:hint="eastAsia" w:ascii="宋体" w:hAnsi="宋体"/>
          <w:color w:val="auto"/>
          <w:sz w:val="24"/>
          <w:szCs w:val="22"/>
          <w:highlight w:val="none"/>
          <w:u w:val="single"/>
        </w:rPr>
        <w:t xml:space="preserve">   </w:t>
      </w:r>
      <w:r>
        <w:rPr>
          <w:rFonts w:ascii="宋体" w:hAnsi="宋体"/>
          <w:color w:val="auto"/>
          <w:sz w:val="24"/>
          <w:szCs w:val="22"/>
          <w:highlight w:val="none"/>
        </w:rPr>
        <w:t>万元，属于</w:t>
      </w:r>
      <w:r>
        <w:rPr>
          <w:rFonts w:ascii="宋体" w:hAnsi="宋体"/>
          <w:i/>
          <w:color w:val="auto"/>
          <w:sz w:val="24"/>
          <w:szCs w:val="22"/>
          <w:highlight w:val="none"/>
          <w:u w:val="single"/>
        </w:rPr>
        <w:t>（中型企业、小型企业、微型企业</w:t>
      </w:r>
      <w:r>
        <w:rPr>
          <w:rFonts w:ascii="宋体" w:hAnsi="宋体"/>
          <w:i/>
          <w:color w:val="auto"/>
          <w:sz w:val="24"/>
          <w:szCs w:val="22"/>
          <w:highlight w:val="none"/>
        </w:rPr>
        <w:t>）</w:t>
      </w:r>
      <w:r>
        <w:rPr>
          <w:rFonts w:ascii="宋体" w:hAnsi="宋体"/>
          <w:color w:val="auto"/>
          <w:sz w:val="24"/>
          <w:szCs w:val="22"/>
          <w:highlight w:val="none"/>
        </w:rPr>
        <w:t>；</w:t>
      </w:r>
    </w:p>
    <w:p>
      <w:pPr>
        <w:adjustRightInd w:val="0"/>
        <w:snapToGrid w:val="0"/>
        <w:spacing w:line="360" w:lineRule="auto"/>
        <w:ind w:firstLine="484" w:firstLineChars="202"/>
        <w:jc w:val="left"/>
        <w:rPr>
          <w:rFonts w:hint="eastAsia" w:ascii="宋体" w:hAnsi="宋体" w:eastAsia="宋体"/>
          <w:color w:val="auto"/>
          <w:sz w:val="24"/>
          <w:szCs w:val="22"/>
          <w:highlight w:val="none"/>
          <w:lang w:eastAsia="zh-CN"/>
        </w:rPr>
      </w:pPr>
      <w:r>
        <w:rPr>
          <w:rFonts w:ascii="宋体" w:hAnsi="宋体"/>
          <w:color w:val="auto"/>
          <w:sz w:val="24"/>
          <w:szCs w:val="22"/>
          <w:highlight w:val="none"/>
        </w:rPr>
        <w:t xml:space="preserve">    ……</w:t>
      </w:r>
    </w:p>
    <w:p>
      <w:pPr>
        <w:adjustRightInd w:val="0"/>
        <w:snapToGrid w:val="0"/>
        <w:spacing w:line="360" w:lineRule="auto"/>
        <w:ind w:firstLine="484" w:firstLineChars="202"/>
        <w:jc w:val="left"/>
        <w:rPr>
          <w:rFonts w:hint="eastAsia" w:ascii="宋体" w:hAnsi="宋体" w:eastAsia="宋体"/>
          <w:color w:val="auto"/>
          <w:sz w:val="24"/>
          <w:szCs w:val="22"/>
          <w:highlight w:val="none"/>
          <w:lang w:eastAsia="zh-CN"/>
        </w:rPr>
      </w:pPr>
      <w:r>
        <w:rPr>
          <w:rFonts w:hint="eastAsia" w:ascii="宋体" w:hAnsi="宋体"/>
          <w:color w:val="auto"/>
          <w:sz w:val="24"/>
          <w:szCs w:val="22"/>
          <w:highlight w:val="none"/>
        </w:rPr>
        <w:t xml:space="preserve">    </w:t>
      </w:r>
      <w:r>
        <w:rPr>
          <w:rFonts w:ascii="宋体" w:hAnsi="宋体"/>
          <w:color w:val="auto"/>
          <w:sz w:val="24"/>
          <w:szCs w:val="22"/>
          <w:highlight w:val="none"/>
        </w:rPr>
        <w:t>以上企业，不属于大企业的分支机构，不存在控股股东为大企业的情形，也不存在与大企业的负责人为同一人的情形。</w:t>
      </w:r>
    </w:p>
    <w:p>
      <w:pPr>
        <w:adjustRightInd w:val="0"/>
        <w:snapToGrid w:val="0"/>
        <w:spacing w:line="360" w:lineRule="auto"/>
        <w:ind w:firstLine="484" w:firstLineChars="202"/>
        <w:jc w:val="left"/>
        <w:rPr>
          <w:rFonts w:hint="eastAsia" w:ascii="宋体" w:hAnsi="宋体" w:eastAsia="宋体"/>
          <w:color w:val="auto"/>
          <w:sz w:val="24"/>
          <w:szCs w:val="22"/>
          <w:highlight w:val="none"/>
          <w:lang w:eastAsia="zh-CN"/>
        </w:rPr>
      </w:pPr>
      <w:r>
        <w:rPr>
          <w:rFonts w:ascii="宋体" w:hAnsi="宋体"/>
          <w:color w:val="auto"/>
          <w:sz w:val="24"/>
          <w:szCs w:val="22"/>
          <w:highlight w:val="none"/>
        </w:rPr>
        <w:t xml:space="preserve">    本企业对上述声明内容的真实性负责。如有虚假，将依法承担相应责任。</w:t>
      </w:r>
    </w:p>
    <w:p>
      <w:pPr>
        <w:adjustRightInd w:val="0"/>
        <w:snapToGrid w:val="0"/>
        <w:spacing w:line="360" w:lineRule="auto"/>
        <w:ind w:firstLine="484" w:firstLineChars="202"/>
        <w:jc w:val="left"/>
        <w:rPr>
          <w:rFonts w:ascii="宋体" w:hAnsi="宋体"/>
          <w:color w:val="auto"/>
          <w:sz w:val="24"/>
          <w:szCs w:val="22"/>
          <w:highlight w:val="none"/>
        </w:rPr>
      </w:pPr>
      <w:r>
        <w:rPr>
          <w:rFonts w:ascii="宋体" w:hAnsi="宋体"/>
          <w:color w:val="auto"/>
          <w:sz w:val="24"/>
          <w:szCs w:val="22"/>
          <w:highlight w:val="none"/>
        </w:rPr>
        <w:t xml:space="preserve"> </w:t>
      </w:r>
    </w:p>
    <w:p>
      <w:pPr>
        <w:spacing w:line="360" w:lineRule="auto"/>
        <w:ind w:left="5280" w:leftChars="2200"/>
        <w:rPr>
          <w:rFonts w:hint="eastAsia" w:ascii="宋体" w:hAnsi="宋体" w:eastAsia="宋体"/>
          <w:color w:val="auto"/>
          <w:sz w:val="24"/>
          <w:szCs w:val="22"/>
          <w:highlight w:val="none"/>
          <w:lang w:eastAsia="zh-CN"/>
        </w:rPr>
      </w:pPr>
      <w:r>
        <w:rPr>
          <w:rFonts w:ascii="宋体" w:hAnsi="宋体"/>
          <w:color w:val="auto"/>
          <w:sz w:val="24"/>
          <w:szCs w:val="22"/>
          <w:highlight w:val="none"/>
        </w:rPr>
        <w:t>企业名称（盖章）：</w:t>
      </w:r>
    </w:p>
    <w:p>
      <w:pPr>
        <w:spacing w:line="360" w:lineRule="auto"/>
        <w:ind w:left="5280" w:leftChars="2200"/>
        <w:rPr>
          <w:rFonts w:ascii="宋体" w:hAnsi="宋体"/>
          <w:color w:val="auto"/>
          <w:sz w:val="24"/>
          <w:szCs w:val="22"/>
          <w:highlight w:val="none"/>
        </w:rPr>
      </w:pPr>
      <w:r>
        <w:rPr>
          <w:rFonts w:ascii="宋体" w:hAnsi="宋体"/>
          <w:color w:val="auto"/>
          <w:sz w:val="24"/>
          <w:szCs w:val="22"/>
          <w:highlight w:val="none"/>
        </w:rPr>
        <w:t>日期：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olor w:val="auto"/>
          <w:sz w:val="24"/>
          <w:highlight w:val="none"/>
        </w:rPr>
      </w:pPr>
      <w:r>
        <w:rPr>
          <w:rFonts w:hint="eastAsia" w:ascii="宋体" w:hAnsi="宋体"/>
          <w:color w:val="auto"/>
          <w:sz w:val="24"/>
          <w:highlight w:val="none"/>
        </w:rPr>
        <w:t>备注：</w:t>
      </w:r>
      <w:r>
        <w:rPr>
          <w:rFonts w:hint="eastAsia" w:ascii="宋体" w:hAnsi="宋体"/>
          <w:color w:val="auto"/>
          <w:sz w:val="24"/>
          <w:highlight w:val="none"/>
          <w:lang w:val="en-US" w:eastAsia="zh-CN"/>
        </w:rPr>
        <w:t>1.</w:t>
      </w:r>
      <w:r>
        <w:rPr>
          <w:rFonts w:hint="eastAsia" w:ascii="宋体" w:hAnsi="宋体"/>
          <w:color w:val="auto"/>
          <w:sz w:val="24"/>
          <w:highlight w:val="none"/>
        </w:rPr>
        <w:t>从业人员、营业收入、资产总额填报上一年度数据，无上一年度数据的新成立企业可不填报。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 号）相关规定。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52" w:firstLineChars="100"/>
        <w:textAlignment w:val="auto"/>
        <w:rPr>
          <w:rFonts w:hint="eastAsia" w:ascii="宋体" w:hAnsi="宋体"/>
          <w:color w:val="auto"/>
          <w:sz w:val="24"/>
          <w:highlight w:val="none"/>
        </w:rPr>
      </w:pPr>
      <w:r>
        <w:rPr>
          <w:rFonts w:hint="eastAsia" w:ascii="宋体" w:hAnsi="宋体" w:eastAsia="宋体" w:cs="宋体"/>
          <w:color w:val="auto"/>
          <w:spacing w:val="6"/>
          <w:sz w:val="24"/>
          <w:szCs w:val="24"/>
          <w:highlight w:val="none"/>
          <w:lang w:val="en-US" w:eastAsia="zh-CN"/>
        </w:rPr>
        <w:t>3.本项目</w:t>
      </w:r>
      <w:r>
        <w:rPr>
          <w:rFonts w:hint="eastAsia" w:ascii="宋体" w:hAnsi="宋体" w:eastAsia="宋体" w:cs="宋体"/>
          <w:color w:val="auto"/>
          <w:spacing w:val="6"/>
          <w:sz w:val="24"/>
          <w:szCs w:val="24"/>
          <w:highlight w:val="none"/>
        </w:rPr>
        <w:t>采购标的对应的中小企业划分标准所属行业为</w:t>
      </w:r>
      <w:r>
        <w:rPr>
          <w:rFonts w:hint="eastAsia" w:ascii="宋体" w:hAnsi="宋体" w:eastAsia="宋体" w:cs="宋体"/>
          <w:color w:val="auto"/>
          <w:spacing w:val="6"/>
          <w:sz w:val="24"/>
          <w:szCs w:val="24"/>
          <w:highlight w:val="none"/>
          <w:u w:val="single"/>
          <w:lang w:val="en-US" w:eastAsia="zh-CN"/>
        </w:rPr>
        <w:t>工业</w:t>
      </w:r>
      <w:r>
        <w:rPr>
          <w:rFonts w:hint="eastAsia" w:ascii="宋体" w:hAnsi="宋体" w:eastAsia="宋体" w:cs="宋体"/>
          <w:color w:val="auto"/>
          <w:spacing w:val="6"/>
          <w:sz w:val="24"/>
          <w:szCs w:val="24"/>
          <w:highlight w:val="none"/>
          <w:u w:val="none"/>
          <w:lang w:val="en-US" w:eastAsia="zh-CN"/>
        </w:rPr>
        <w:t>。（所属行业类别投标人不得更改，否则，造成不利影响投标人自行承担）</w:t>
      </w:r>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2．残疾人福利性单位声明函</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说明：当且仅当</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为残疾人福利性单位的，应按下文给定格式填写声明函。未提供或未按给定格式提供声明函的，将不能享受招标文件规定的价格优惠政策，但不影响投标文件的有效性。</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在填报前请认真阅读《财政部、民政部、中国残疾人联合会关于促进残疾人就业政府采购政策的通知》（财库〔2017〕141号）相关规定。</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5"/>
        <w:outlineLvl w:val="4"/>
        <w:rPr>
          <w:rFonts w:hint="eastAsia" w:ascii="宋体" w:hAnsi="宋体" w:eastAsia="宋体" w:cs="宋体"/>
          <w:color w:val="auto"/>
          <w:sz w:val="24"/>
          <w:szCs w:val="24"/>
          <w:highlight w:val="none"/>
        </w:rPr>
      </w:pPr>
      <w:bookmarkStart w:id="162" w:name="_Toc22185"/>
      <w:r>
        <w:rPr>
          <w:rFonts w:hint="eastAsia" w:ascii="宋体" w:hAnsi="宋体" w:eastAsia="宋体" w:cs="宋体"/>
          <w:color w:val="auto"/>
          <w:sz w:val="24"/>
          <w:szCs w:val="24"/>
          <w:highlight w:val="none"/>
        </w:rPr>
        <w:t>残疾人福利性单位声明函（格式）</w:t>
      </w:r>
      <w:bookmarkEnd w:id="162"/>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 民政部 中国残疾人联合会关于促进残疾人就业政府采购政策的通知》（财库〔2017〕141号）的规定，本单位为符合条件的残疾人福利性单位，且本单位参加〈项目名称〉（项目编号：〈项目编号〉）第___标段采购活动提供本单位制造的货物，或者提供其他残疾人福利性单位制造的货物（不包括使用非残疾人福利性单位注册商标的货物）。</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本单位对上述声明的真实性负责。如有虚假，将依法承担相应责任。</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2445" w:firstLineChars="1019"/>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2445" w:firstLineChars="1019"/>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    年  月  日</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3．监狱企业证明函</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说明：当且仅当</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监狱企业的，应当提供由省级以上监狱管理局、戒毒管理局（含新疆生产建设兵团）出具的属于监狱企业的证明函（格式不限）。未提供证明函的，将不能享受招标文件规定的价格优惠政策，但不影响投标文件的有效性。</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监狱企业证明函</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监狱企业参加政府采购活动时，应当提供由省级以上监狱管理局、戒毒管理局（含新疆生产建设兵团）出具的属于监狱企业的证明文件。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4"/>
        <w:rPr>
          <w:rFonts w:hint="eastAsia" w:ascii="宋体" w:hAnsi="宋体" w:eastAsia="宋体" w:cs="宋体"/>
          <w:color w:val="auto"/>
          <w:sz w:val="24"/>
          <w:szCs w:val="24"/>
          <w:highlight w:val="none"/>
        </w:rPr>
      </w:pPr>
      <w:bookmarkStart w:id="163" w:name="_Toc21046"/>
      <w:r>
        <w:rPr>
          <w:rFonts w:hint="eastAsia" w:ascii="宋体" w:hAnsi="宋体" w:eastAsia="宋体" w:cs="宋体"/>
          <w:color w:val="auto"/>
          <w:sz w:val="24"/>
          <w:szCs w:val="24"/>
          <w:highlight w:val="none"/>
        </w:rPr>
        <w:t xml:space="preserve">第五部分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参加政府采购活动承诺书</w:t>
      </w:r>
      <w:bookmarkEnd w:id="163"/>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未签署下列承诺书的，将被视为无效投标，其责任由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自行承担。</w:t>
      </w:r>
    </w:p>
    <w:p>
      <w:pPr>
        <w:pStyle w:val="5"/>
        <w:rPr>
          <w:rFonts w:hint="eastAsia" w:ascii="宋体" w:hAnsi="宋体" w:eastAsia="宋体" w:cs="宋体"/>
          <w:color w:val="auto"/>
          <w:sz w:val="24"/>
          <w:szCs w:val="24"/>
          <w:highlight w:val="none"/>
        </w:rPr>
      </w:pPr>
      <w:bookmarkStart w:id="164" w:name="_Toc9294"/>
      <w:r>
        <w:rPr>
          <w:rFonts w:hint="eastAsia" w:ascii="宋体" w:hAnsi="宋体" w:eastAsia="宋体" w:cs="宋体"/>
          <w:color w:val="auto"/>
          <w:sz w:val="24"/>
          <w:szCs w:val="24"/>
          <w:highlight w:val="none"/>
        </w:rPr>
        <w:t>（一）质量安全责任承诺书</w:t>
      </w:r>
      <w:bookmarkEnd w:id="164"/>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为保证本采购项目顺利进行，作为</w:t>
      </w:r>
      <w:r>
        <w:rPr>
          <w:rFonts w:hint="eastAsia" w:ascii="宋体" w:hAnsi="宋体" w:eastAsia="宋体" w:cs="宋体"/>
          <w:color w:val="auto"/>
          <w:sz w:val="24"/>
          <w:szCs w:val="24"/>
          <w:highlight w:val="none"/>
          <w:lang w:eastAsia="zh-CN"/>
        </w:rPr>
        <w:t xml:space="preserve">投标人 </w:t>
      </w:r>
      <w:r>
        <w:rPr>
          <w:rFonts w:hint="eastAsia" w:ascii="宋体" w:hAnsi="宋体" w:eastAsia="宋体" w:cs="宋体"/>
          <w:color w:val="auto"/>
          <w:sz w:val="24"/>
          <w:szCs w:val="24"/>
          <w:highlight w:val="none"/>
        </w:rPr>
        <w:t>，现郑重承诺：</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1．我方所投产品的生产（包括设计、制造、安装、改造、维修等）、投入使用的材料等均完全符合国家现行质量、安全、环保标准和要求。</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2．我方将严格按照国家现行相关储存、运输、安装调试技术标准及规范、服务标准及规范、施工标准及规范，在规定的时限内，保质、保量完成项目全部内容，并向采购人交付合格产品。</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3．对于因产品生产质量以及储存、运输、安装调试、服务、施工等过程中产生的任何安全事故，我方承担全部责任。</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4．我方提供的货物、工程、服务等符合现行的国家、行业、地区、企业标准及要求，标准不一致的，以更为严格的为准，我方对提供的货物、工程、服务等的质量、安全、环保等承担全部责任。</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2656" w:firstLineChars="1107"/>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2656" w:firstLineChars="1107"/>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    年  月  日</w:t>
      </w:r>
    </w:p>
    <w:p>
      <w:pPr>
        <w:spacing w:line="560" w:lineRule="exact"/>
        <w:ind w:firstLine="480" w:firstLineChars="200"/>
        <w:jc w:val="both"/>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bookmarkStart w:id="165" w:name="_Toc20474"/>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（二）参加政府采购活动行为自律承诺书</w:t>
      </w:r>
      <w:bookmarkEnd w:id="165"/>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作为参加本次政府采购项目的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，我方郑重承诺在参与政府采购活动中遵纪守法、公平竞争、诚实守信，如有违反愿承担一切责任及后果：</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1．不与采购人、采购代理机构、政府采购评审专家恶意串通，不向其行贿或提供其他不正当利益；</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2．不与其他</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恶意串通，采取“围标、串标、陪标”等商业欺诈手段谋取中标、成交；</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3．不提供虚假或无效证明文件（包括但不限于资格证明文件、合同及验收文件、检验检测报告、从业人员资格证书、机构或所投产品的各类认证证书等）或虚假材料谋取中标、成交；</w:t>
      </w:r>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4．不采取不正当手段诋毁、排挤其他</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5．不以不正当理由拒不与采购人签订政府采购合同，或逾期签订政府采购合同，或不按照采购文件确定的事项签订政府采购合同；</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6．不以不正当理由拒绝履行合同义务，不会擅自变更、中止或者终止政府采购合同或将政府采购合同转包；</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7．不在提供商品、服务或工程施工过程中提供假冒伪劣产品，损害采购人的合法权益或公共利益；</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8．不采取捏造事实、提供虚假材料或者以非法手段取得证明材料进行质疑和投诉；</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9．不发生其他有悖于政府采购公开、公平、公正和诚信原则的行为。</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10．尊重和接受政府采购监督管理部门的监督和采购人、采购代理机构的政府采购工作要求，愿意承担因违约行为给采购人造成的损失。</w:t>
      </w:r>
    </w:p>
    <w:p>
      <w:pPr>
        <w:spacing w:line="560" w:lineRule="exact"/>
        <w:ind w:firstLine="2656" w:firstLineChars="1107"/>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2656" w:firstLineChars="1107"/>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    年  月  日</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4"/>
        <w:rPr>
          <w:rFonts w:hint="eastAsia" w:ascii="宋体" w:hAnsi="宋体" w:eastAsia="宋体" w:cs="宋体"/>
          <w:color w:val="auto"/>
          <w:sz w:val="24"/>
          <w:szCs w:val="24"/>
          <w:highlight w:val="none"/>
        </w:rPr>
      </w:pPr>
      <w:bookmarkStart w:id="166" w:name="_Toc22151"/>
      <w:r>
        <w:rPr>
          <w:rFonts w:hint="eastAsia" w:ascii="宋体" w:hAnsi="宋体" w:eastAsia="宋体" w:cs="宋体"/>
          <w:color w:val="auto"/>
          <w:sz w:val="24"/>
          <w:szCs w:val="24"/>
          <w:highlight w:val="none"/>
        </w:rPr>
        <w:t>第六部分  投标方案</w:t>
      </w:r>
      <w:bookmarkEnd w:id="166"/>
    </w:p>
    <w:p>
      <w:pPr>
        <w:rPr>
          <w:rFonts w:hint="eastAsia" w:ascii="宋体" w:hAnsi="宋体" w:eastAsia="宋体" w:cs="宋体"/>
          <w:color w:val="auto"/>
          <w:sz w:val="24"/>
          <w:szCs w:val="24"/>
          <w:highlight w:val="none"/>
        </w:rPr>
      </w:pPr>
    </w:p>
    <w:p>
      <w:pPr>
        <w:pStyle w:val="93"/>
        <w:spacing w:before="210" w:after="210"/>
        <w:ind w:firstLine="640"/>
        <w:outlineLvl w:val="2"/>
        <w:rPr>
          <w:rFonts w:hint="eastAsia" w:ascii="宋体" w:hAnsi="宋体" w:eastAsia="宋体" w:cs="宋体"/>
          <w:color w:val="auto"/>
          <w:sz w:val="24"/>
          <w:szCs w:val="24"/>
          <w:highlight w:val="none"/>
        </w:rPr>
      </w:pPr>
      <w:bookmarkStart w:id="167" w:name="_Toc6111"/>
      <w:r>
        <w:rPr>
          <w:rFonts w:hint="eastAsia" w:ascii="宋体" w:hAnsi="宋体" w:eastAsia="宋体" w:cs="宋体"/>
          <w:color w:val="auto"/>
          <w:sz w:val="24"/>
          <w:szCs w:val="24"/>
          <w:highlight w:val="none"/>
        </w:rPr>
        <w:t>（一）技术要求响应索引表</w:t>
      </w:r>
      <w:bookmarkEnd w:id="167"/>
    </w:p>
    <w:tbl>
      <w:tblPr>
        <w:tblStyle w:val="25"/>
        <w:tblW w:w="908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741"/>
        <w:gridCol w:w="2826"/>
        <w:gridCol w:w="2940"/>
        <w:gridCol w:w="1287"/>
        <w:gridCol w:w="128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741"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826" w:type="dxa"/>
            <w:tcBorders>
              <w:top w:val="single" w:color="auto" w:sz="12" w:space="0"/>
              <w:bottom w:val="single" w:color="auto" w:sz="2" w:space="0"/>
            </w:tcBorders>
            <w:shd w:val="clear" w:color="auto" w:fill="F1F1F1" w:themeFill="background1" w:themeFillShade="F2"/>
            <w:vAlign w:val="center"/>
          </w:tcPr>
          <w:p>
            <w:pPr>
              <w:spacing w:line="360" w:lineRule="exact"/>
              <w:ind w:left="240" w:leftChars="100"/>
              <w:jc w:val="center"/>
              <w:rPr>
                <w:rFonts w:hint="eastAsia" w:ascii="宋体" w:hAnsi="宋体" w:eastAsia="宋体" w:cs="宋体"/>
                <w:b/>
                <w:szCs w:val="24"/>
                <w:highlight w:val="none"/>
              </w:rPr>
            </w:pPr>
            <w:r>
              <w:rPr>
                <w:rFonts w:hint="eastAsia" w:ascii="宋体" w:hAnsi="宋体" w:eastAsia="宋体" w:cs="宋体"/>
                <w:b/>
                <w:szCs w:val="24"/>
                <w:highlight w:val="none"/>
              </w:rPr>
              <w:t>招标文件</w:t>
            </w:r>
          </w:p>
          <w:p>
            <w:pPr>
              <w:spacing w:line="360" w:lineRule="exact"/>
              <w:ind w:left="240" w:leftChars="100"/>
              <w:jc w:val="center"/>
              <w:rPr>
                <w:rFonts w:hint="eastAsia" w:ascii="宋体" w:hAnsi="宋体" w:eastAsia="宋体" w:cs="宋体"/>
                <w:b/>
                <w:bCs/>
                <w:color w:val="auto"/>
                <w:sz w:val="24"/>
                <w:szCs w:val="24"/>
                <w:highlight w:val="none"/>
              </w:rPr>
            </w:pPr>
            <w:r>
              <w:rPr>
                <w:rFonts w:hint="eastAsia" w:ascii="宋体" w:hAnsi="宋体" w:eastAsia="宋体" w:cs="宋体"/>
                <w:b/>
                <w:bCs/>
                <w:sz w:val="24"/>
                <w:highlight w:val="none"/>
                <w:lang w:eastAsia="zh-CN"/>
              </w:rPr>
              <w:t>招标内容及要求</w:t>
            </w:r>
          </w:p>
        </w:tc>
        <w:tc>
          <w:tcPr>
            <w:tcW w:w="2940" w:type="dxa"/>
            <w:tcBorders>
              <w:top w:val="single" w:color="auto" w:sz="12" w:space="0"/>
              <w:bottom w:val="single" w:color="auto" w:sz="2" w:space="0"/>
            </w:tcBorders>
            <w:shd w:val="clear" w:color="auto" w:fill="F1F1F1" w:themeFill="background1" w:themeFillShade="F2"/>
            <w:vAlign w:val="center"/>
          </w:tcPr>
          <w:p>
            <w:pPr>
              <w:spacing w:line="360" w:lineRule="exact"/>
              <w:jc w:val="center"/>
              <w:rPr>
                <w:rFonts w:hint="eastAsia" w:ascii="宋体" w:hAnsi="宋体" w:eastAsia="宋体" w:cs="宋体"/>
                <w:b/>
                <w:szCs w:val="24"/>
                <w:highlight w:val="none"/>
              </w:rPr>
            </w:pPr>
            <w:r>
              <w:rPr>
                <w:rFonts w:hint="eastAsia" w:ascii="宋体" w:hAnsi="宋体" w:eastAsia="宋体" w:cs="宋体"/>
                <w:b/>
                <w:szCs w:val="24"/>
                <w:highlight w:val="none"/>
              </w:rPr>
              <w:t>投标文件</w:t>
            </w:r>
          </w:p>
          <w:p>
            <w:pPr>
              <w:spacing w:line="360" w:lineRule="exact"/>
              <w:jc w:val="center"/>
              <w:rPr>
                <w:rFonts w:hint="eastAsia" w:ascii="宋体" w:hAnsi="宋体" w:eastAsia="宋体" w:cs="宋体"/>
                <w:b/>
                <w:bCs/>
                <w:color w:val="auto"/>
                <w:sz w:val="24"/>
                <w:szCs w:val="24"/>
                <w:highlight w:val="none"/>
              </w:rPr>
            </w:pPr>
            <w:r>
              <w:rPr>
                <w:rFonts w:hint="eastAsia" w:ascii="宋体" w:hAnsi="宋体" w:eastAsia="宋体" w:cs="宋体"/>
                <w:b/>
                <w:szCs w:val="24"/>
                <w:highlight w:val="none"/>
              </w:rPr>
              <w:t>技术响应</w:t>
            </w:r>
          </w:p>
        </w:tc>
        <w:tc>
          <w:tcPr>
            <w:tcW w:w="1287" w:type="dxa"/>
            <w:tcBorders>
              <w:top w:val="single" w:color="auto" w:sz="12" w:space="0"/>
              <w:bottom w:val="single" w:color="auto" w:sz="2" w:space="0"/>
            </w:tcBorders>
            <w:shd w:val="clear" w:color="auto" w:fill="F1F1F1" w:themeFill="background1" w:themeFillShade="F2"/>
            <w:vAlign w:val="center"/>
          </w:tcPr>
          <w:p>
            <w:pPr>
              <w:spacing w:line="360" w:lineRule="exact"/>
              <w:jc w:val="center"/>
              <w:rPr>
                <w:rFonts w:hint="eastAsia" w:ascii="宋体" w:hAnsi="宋体" w:eastAsia="宋体" w:cs="宋体"/>
                <w:b/>
                <w:bCs/>
                <w:color w:val="auto"/>
                <w:sz w:val="24"/>
                <w:szCs w:val="24"/>
                <w:highlight w:val="none"/>
              </w:rPr>
            </w:pPr>
            <w:r>
              <w:rPr>
                <w:rFonts w:hint="eastAsia" w:ascii="宋体" w:hAnsi="宋体" w:eastAsia="宋体" w:cs="宋体"/>
                <w:b/>
                <w:szCs w:val="24"/>
                <w:highlight w:val="none"/>
                <w:lang w:eastAsia="zh-CN"/>
              </w:rPr>
              <w:t>响应情况</w:t>
            </w:r>
          </w:p>
        </w:tc>
        <w:tc>
          <w:tcPr>
            <w:tcW w:w="1287" w:type="dxa"/>
            <w:tcBorders>
              <w:top w:val="single" w:color="auto" w:sz="12" w:space="0"/>
              <w:bottom w:val="single" w:color="auto" w:sz="2" w:space="0"/>
            </w:tcBorders>
            <w:shd w:val="clear" w:color="auto" w:fill="F1F1F1" w:themeFill="background1" w:themeFillShade="F2"/>
            <w:vAlign w:val="center"/>
          </w:tcPr>
          <w:p>
            <w:pPr>
              <w:spacing w:line="360" w:lineRule="exact"/>
              <w:jc w:val="center"/>
              <w:rPr>
                <w:rFonts w:hint="eastAsia" w:ascii="宋体" w:hAnsi="宋体" w:eastAsia="宋体" w:cs="宋体"/>
                <w:b/>
                <w:bCs/>
                <w:color w:val="auto"/>
                <w:sz w:val="24"/>
                <w:szCs w:val="24"/>
                <w:highlight w:val="none"/>
              </w:rPr>
            </w:pPr>
            <w:r>
              <w:rPr>
                <w:rFonts w:hint="eastAsia" w:ascii="宋体" w:hAnsi="宋体" w:eastAsia="宋体" w:cs="宋体"/>
                <w:b/>
                <w:szCs w:val="24"/>
                <w:highlight w:val="none"/>
                <w:lang w:eastAsia="zh-CN"/>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741" w:type="dxa"/>
            <w:tcBorders>
              <w:top w:val="single" w:color="auto" w:sz="2" w:space="0"/>
            </w:tcBorders>
            <w:vAlign w:val="center"/>
          </w:tcPr>
          <w:p>
            <w:pPr>
              <w:jc w:val="center"/>
              <w:rPr>
                <w:rFonts w:hint="eastAsia" w:ascii="宋体" w:hAnsi="宋体" w:eastAsia="宋体" w:cs="宋体"/>
                <w:color w:val="auto"/>
                <w:sz w:val="24"/>
                <w:szCs w:val="24"/>
                <w:highlight w:val="none"/>
              </w:rPr>
            </w:pPr>
          </w:p>
        </w:tc>
        <w:tc>
          <w:tcPr>
            <w:tcW w:w="2826" w:type="dxa"/>
            <w:tcBorders>
              <w:top w:val="single" w:color="auto" w:sz="2" w:space="0"/>
            </w:tcBorders>
            <w:vAlign w:val="center"/>
          </w:tcPr>
          <w:p>
            <w:pPr>
              <w:jc w:val="center"/>
              <w:rPr>
                <w:rFonts w:hint="eastAsia" w:ascii="宋体" w:hAnsi="宋体" w:eastAsia="宋体" w:cs="宋体"/>
                <w:color w:val="auto"/>
                <w:sz w:val="24"/>
                <w:szCs w:val="24"/>
                <w:highlight w:val="none"/>
              </w:rPr>
            </w:pPr>
          </w:p>
        </w:tc>
        <w:tc>
          <w:tcPr>
            <w:tcW w:w="2940" w:type="dxa"/>
            <w:tcBorders>
              <w:top w:val="single" w:color="auto" w:sz="2" w:space="0"/>
            </w:tcBorders>
            <w:vAlign w:val="center"/>
          </w:tcPr>
          <w:p>
            <w:pPr>
              <w:jc w:val="center"/>
              <w:rPr>
                <w:rFonts w:hint="eastAsia" w:ascii="宋体" w:hAnsi="宋体" w:eastAsia="宋体" w:cs="宋体"/>
                <w:color w:val="auto"/>
                <w:sz w:val="24"/>
                <w:szCs w:val="24"/>
                <w:highlight w:val="none"/>
              </w:rPr>
            </w:pPr>
          </w:p>
        </w:tc>
        <w:tc>
          <w:tcPr>
            <w:tcW w:w="1287" w:type="dxa"/>
            <w:tcBorders>
              <w:top w:val="single" w:color="auto" w:sz="2" w:space="0"/>
            </w:tcBorders>
            <w:vAlign w:val="center"/>
          </w:tcPr>
          <w:p>
            <w:pPr>
              <w:jc w:val="center"/>
              <w:rPr>
                <w:rFonts w:hint="eastAsia" w:ascii="宋体" w:hAnsi="宋体" w:eastAsia="宋体" w:cs="宋体"/>
                <w:color w:val="auto"/>
                <w:sz w:val="24"/>
                <w:szCs w:val="24"/>
                <w:highlight w:val="none"/>
              </w:rPr>
            </w:pPr>
          </w:p>
        </w:tc>
        <w:tc>
          <w:tcPr>
            <w:tcW w:w="1287" w:type="dxa"/>
            <w:tcBorders>
              <w:top w:val="single" w:color="auto" w:sz="2" w:space="0"/>
            </w:tcBorders>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741" w:type="dxa"/>
            <w:vAlign w:val="center"/>
          </w:tcPr>
          <w:p>
            <w:pPr>
              <w:jc w:val="center"/>
              <w:rPr>
                <w:rFonts w:hint="eastAsia" w:ascii="宋体" w:hAnsi="宋体" w:eastAsia="宋体" w:cs="宋体"/>
                <w:color w:val="auto"/>
                <w:sz w:val="24"/>
                <w:szCs w:val="24"/>
                <w:highlight w:val="none"/>
              </w:rPr>
            </w:pPr>
          </w:p>
        </w:tc>
        <w:tc>
          <w:tcPr>
            <w:tcW w:w="2826" w:type="dxa"/>
            <w:vAlign w:val="center"/>
          </w:tcPr>
          <w:p>
            <w:pPr>
              <w:jc w:val="center"/>
              <w:rPr>
                <w:rFonts w:hint="eastAsia" w:ascii="宋体" w:hAnsi="宋体" w:eastAsia="宋体" w:cs="宋体"/>
                <w:color w:val="auto"/>
                <w:sz w:val="24"/>
                <w:szCs w:val="24"/>
                <w:highlight w:val="none"/>
              </w:rPr>
            </w:pPr>
          </w:p>
        </w:tc>
        <w:tc>
          <w:tcPr>
            <w:tcW w:w="2940"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741" w:type="dxa"/>
            <w:vAlign w:val="center"/>
          </w:tcPr>
          <w:p>
            <w:pPr>
              <w:jc w:val="center"/>
              <w:rPr>
                <w:rFonts w:hint="eastAsia" w:ascii="宋体" w:hAnsi="宋体" w:eastAsia="宋体" w:cs="宋体"/>
                <w:color w:val="auto"/>
                <w:sz w:val="24"/>
                <w:szCs w:val="24"/>
                <w:highlight w:val="none"/>
              </w:rPr>
            </w:pPr>
          </w:p>
        </w:tc>
        <w:tc>
          <w:tcPr>
            <w:tcW w:w="2826" w:type="dxa"/>
            <w:vAlign w:val="center"/>
          </w:tcPr>
          <w:p>
            <w:pPr>
              <w:jc w:val="center"/>
              <w:rPr>
                <w:rFonts w:hint="eastAsia" w:ascii="宋体" w:hAnsi="宋体" w:eastAsia="宋体" w:cs="宋体"/>
                <w:color w:val="auto"/>
                <w:sz w:val="24"/>
                <w:szCs w:val="24"/>
                <w:highlight w:val="none"/>
              </w:rPr>
            </w:pPr>
          </w:p>
        </w:tc>
        <w:tc>
          <w:tcPr>
            <w:tcW w:w="2940"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741" w:type="dxa"/>
            <w:vAlign w:val="center"/>
          </w:tcPr>
          <w:p>
            <w:pPr>
              <w:jc w:val="center"/>
              <w:rPr>
                <w:rFonts w:hint="eastAsia" w:ascii="宋体" w:hAnsi="宋体" w:eastAsia="宋体" w:cs="宋体"/>
                <w:color w:val="auto"/>
                <w:sz w:val="24"/>
                <w:szCs w:val="24"/>
                <w:highlight w:val="none"/>
              </w:rPr>
            </w:pPr>
          </w:p>
        </w:tc>
        <w:tc>
          <w:tcPr>
            <w:tcW w:w="2826" w:type="dxa"/>
            <w:vAlign w:val="center"/>
          </w:tcPr>
          <w:p>
            <w:pPr>
              <w:jc w:val="center"/>
              <w:rPr>
                <w:rFonts w:hint="eastAsia" w:ascii="宋体" w:hAnsi="宋体" w:eastAsia="宋体" w:cs="宋体"/>
                <w:color w:val="auto"/>
                <w:sz w:val="24"/>
                <w:szCs w:val="24"/>
                <w:highlight w:val="none"/>
              </w:rPr>
            </w:pPr>
          </w:p>
        </w:tc>
        <w:tc>
          <w:tcPr>
            <w:tcW w:w="2940"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741" w:type="dxa"/>
            <w:vAlign w:val="center"/>
          </w:tcPr>
          <w:p>
            <w:pPr>
              <w:jc w:val="center"/>
              <w:rPr>
                <w:rFonts w:hint="eastAsia" w:ascii="宋体" w:hAnsi="宋体" w:eastAsia="宋体" w:cs="宋体"/>
                <w:color w:val="auto"/>
                <w:sz w:val="24"/>
                <w:szCs w:val="24"/>
                <w:highlight w:val="none"/>
              </w:rPr>
            </w:pPr>
          </w:p>
        </w:tc>
        <w:tc>
          <w:tcPr>
            <w:tcW w:w="2826" w:type="dxa"/>
            <w:vAlign w:val="center"/>
          </w:tcPr>
          <w:p>
            <w:pPr>
              <w:jc w:val="center"/>
              <w:rPr>
                <w:rFonts w:hint="eastAsia" w:ascii="宋体" w:hAnsi="宋体" w:eastAsia="宋体" w:cs="宋体"/>
                <w:color w:val="auto"/>
                <w:sz w:val="24"/>
                <w:szCs w:val="24"/>
                <w:highlight w:val="none"/>
              </w:rPr>
            </w:pPr>
          </w:p>
        </w:tc>
        <w:tc>
          <w:tcPr>
            <w:tcW w:w="2940"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741" w:type="dxa"/>
            <w:vAlign w:val="center"/>
          </w:tcPr>
          <w:p>
            <w:pPr>
              <w:jc w:val="center"/>
              <w:rPr>
                <w:rFonts w:hint="eastAsia" w:ascii="宋体" w:hAnsi="宋体" w:eastAsia="宋体" w:cs="宋体"/>
                <w:color w:val="auto"/>
                <w:sz w:val="24"/>
                <w:szCs w:val="24"/>
                <w:highlight w:val="none"/>
              </w:rPr>
            </w:pPr>
          </w:p>
        </w:tc>
        <w:tc>
          <w:tcPr>
            <w:tcW w:w="2826" w:type="dxa"/>
            <w:vAlign w:val="center"/>
          </w:tcPr>
          <w:p>
            <w:pPr>
              <w:jc w:val="center"/>
              <w:rPr>
                <w:rFonts w:hint="eastAsia" w:ascii="宋体" w:hAnsi="宋体" w:eastAsia="宋体" w:cs="宋体"/>
                <w:color w:val="auto"/>
                <w:sz w:val="24"/>
                <w:szCs w:val="24"/>
                <w:highlight w:val="none"/>
              </w:rPr>
            </w:pPr>
          </w:p>
        </w:tc>
        <w:tc>
          <w:tcPr>
            <w:tcW w:w="2940"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741"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8340" w:type="dxa"/>
            <w:gridSpan w:val="4"/>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none"/>
              </w:rPr>
              <w:t>第三章招标内容及要求</w:t>
            </w:r>
            <w:r>
              <w:rPr>
                <w:rFonts w:hint="eastAsia" w:ascii="宋体" w:hAnsi="宋体" w:eastAsia="宋体" w:cs="宋体"/>
                <w:color w:val="auto"/>
                <w:sz w:val="24"/>
                <w:szCs w:val="24"/>
                <w:highlight w:val="none"/>
                <w:u w:val="none"/>
                <w:lang w:eastAsia="zh-CN"/>
              </w:rPr>
              <w:t>中的</w:t>
            </w:r>
            <w:r>
              <w:rPr>
                <w:rFonts w:hint="eastAsia" w:ascii="宋体" w:hAnsi="宋体" w:eastAsia="宋体" w:cs="宋体"/>
                <w:b/>
                <w:bCs/>
                <w:color w:val="auto"/>
                <w:sz w:val="24"/>
                <w:szCs w:val="24"/>
                <w:highlight w:val="none"/>
                <w:u w:val="none"/>
                <w:lang w:eastAsia="zh-CN"/>
              </w:rPr>
              <w:t>一、</w:t>
            </w:r>
            <w:r>
              <w:rPr>
                <w:rFonts w:hint="eastAsia" w:ascii="宋体" w:hAnsi="宋体" w:eastAsia="宋体" w:cs="宋体"/>
                <w:b w:val="0"/>
                <w:bCs w:val="0"/>
                <w:color w:val="000000" w:themeColor="text1"/>
                <w:sz w:val="24"/>
                <w:szCs w:val="24"/>
                <w:lang w:val="en-US" w:eastAsia="zh-CN"/>
                <w14:textFill>
                  <w14:solidFill>
                    <w14:schemeClr w14:val="tx1"/>
                  </w14:solidFill>
                </w14:textFill>
              </w:rPr>
              <w:t>技术参数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逐条做出响应。</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2．响应说明按实际响应情况填写“优于”、“响应”、“不响应”。</w:t>
            </w:r>
          </w:p>
        </w:tc>
      </w:tr>
    </w:tbl>
    <w:p>
      <w:pPr>
        <w:spacing w:line="560" w:lineRule="exact"/>
        <w:ind w:firstLine="2762" w:firstLineChars="1151"/>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bookmarkStart w:id="171" w:name="_GoBack"/>
      <w:bookmarkEnd w:id="171"/>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93"/>
        <w:spacing w:before="210" w:after="210"/>
        <w:ind w:firstLine="640"/>
        <w:outlineLvl w:val="2"/>
        <w:rPr>
          <w:rFonts w:hint="eastAsia" w:ascii="宋体" w:hAnsi="宋体" w:eastAsia="宋体" w:cs="宋体"/>
          <w:sz w:val="24"/>
          <w:szCs w:val="24"/>
          <w:highlight w:val="none"/>
        </w:rPr>
      </w:pPr>
      <w:bookmarkStart w:id="168" w:name="_Toc16334"/>
      <w:bookmarkStart w:id="169" w:name="_Toc846"/>
      <w:r>
        <w:rPr>
          <w:rFonts w:hint="eastAsia" w:ascii="宋体" w:hAnsi="宋体" w:eastAsia="宋体" w:cs="宋体"/>
          <w:sz w:val="24"/>
          <w:szCs w:val="24"/>
          <w:highlight w:val="none"/>
        </w:rPr>
        <w:t>（二）商务要求响应索引表</w:t>
      </w:r>
      <w:bookmarkEnd w:id="168"/>
    </w:p>
    <w:tbl>
      <w:tblPr>
        <w:tblStyle w:val="25"/>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43"/>
        <w:gridCol w:w="3215"/>
        <w:gridCol w:w="3345"/>
        <w:gridCol w:w="146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tcBorders>
              <w:top w:val="single" w:color="auto" w:sz="12" w:space="0"/>
              <w:bottom w:val="single" w:color="auto" w:sz="2" w:space="0"/>
            </w:tcBorders>
            <w:shd w:val="clear" w:color="auto" w:fill="F1F1F1"/>
            <w:noWrap w:val="0"/>
            <w:vAlign w:val="center"/>
          </w:tcPr>
          <w:p>
            <w:pPr>
              <w:spacing w:line="560" w:lineRule="exact"/>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3381" w:type="dxa"/>
            <w:tcBorders>
              <w:top w:val="single" w:color="auto" w:sz="12" w:space="0"/>
              <w:bottom w:val="single" w:color="auto" w:sz="2" w:space="0"/>
            </w:tcBorders>
            <w:shd w:val="clear" w:color="auto" w:fill="F1F1F1"/>
            <w:noWrap w:val="0"/>
            <w:vAlign w:val="center"/>
          </w:tcPr>
          <w:p>
            <w:pPr>
              <w:spacing w:line="560" w:lineRule="exact"/>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招标文件条款明细</w:t>
            </w:r>
          </w:p>
        </w:tc>
        <w:tc>
          <w:tcPr>
            <w:tcW w:w="3519" w:type="dxa"/>
            <w:tcBorders>
              <w:top w:val="single" w:color="auto" w:sz="12" w:space="0"/>
              <w:bottom w:val="single" w:color="auto" w:sz="2" w:space="0"/>
            </w:tcBorders>
            <w:shd w:val="clear" w:color="auto" w:fill="F1F1F1"/>
            <w:noWrap w:val="0"/>
            <w:vAlign w:val="center"/>
          </w:tcPr>
          <w:p>
            <w:pPr>
              <w:spacing w:line="560" w:lineRule="exact"/>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响应索引</w:t>
            </w:r>
          </w:p>
        </w:tc>
        <w:tc>
          <w:tcPr>
            <w:tcW w:w="1526" w:type="dxa"/>
            <w:tcBorders>
              <w:top w:val="single" w:color="auto" w:sz="12" w:space="0"/>
              <w:bottom w:val="single" w:color="auto" w:sz="2" w:space="0"/>
            </w:tcBorders>
            <w:shd w:val="clear" w:color="auto" w:fill="F1F1F1"/>
            <w:noWrap w:val="0"/>
            <w:vAlign w:val="center"/>
          </w:tcPr>
          <w:p>
            <w:pPr>
              <w:spacing w:line="560" w:lineRule="exact"/>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tcBorders>
              <w:top w:val="single" w:color="auto" w:sz="2" w:space="0"/>
            </w:tcBorders>
            <w:noWrap w:val="0"/>
            <w:vAlign w:val="center"/>
          </w:tcPr>
          <w:p>
            <w:pPr>
              <w:spacing w:line="560" w:lineRule="exact"/>
              <w:jc w:val="center"/>
              <w:rPr>
                <w:rFonts w:hint="eastAsia" w:ascii="宋体" w:hAnsi="宋体" w:eastAsia="宋体" w:cs="宋体"/>
                <w:sz w:val="24"/>
                <w:szCs w:val="24"/>
                <w:highlight w:val="none"/>
              </w:rPr>
            </w:pPr>
          </w:p>
        </w:tc>
        <w:tc>
          <w:tcPr>
            <w:tcW w:w="3381" w:type="dxa"/>
            <w:tcBorders>
              <w:top w:val="single" w:color="auto" w:sz="2" w:space="0"/>
            </w:tcBorders>
            <w:noWrap w:val="0"/>
            <w:vAlign w:val="center"/>
          </w:tcPr>
          <w:p>
            <w:pPr>
              <w:spacing w:line="560" w:lineRule="exact"/>
              <w:jc w:val="center"/>
              <w:rPr>
                <w:rFonts w:hint="eastAsia" w:ascii="宋体" w:hAnsi="宋体" w:eastAsia="宋体" w:cs="宋体"/>
                <w:sz w:val="24"/>
                <w:szCs w:val="24"/>
                <w:highlight w:val="none"/>
              </w:rPr>
            </w:pPr>
          </w:p>
        </w:tc>
        <w:tc>
          <w:tcPr>
            <w:tcW w:w="3519" w:type="dxa"/>
            <w:tcBorders>
              <w:top w:val="single" w:color="auto" w:sz="2" w:space="0"/>
            </w:tcBorders>
            <w:noWrap w:val="0"/>
            <w:vAlign w:val="center"/>
          </w:tcPr>
          <w:p>
            <w:pPr>
              <w:spacing w:line="560" w:lineRule="exact"/>
              <w:jc w:val="center"/>
              <w:rPr>
                <w:rFonts w:hint="eastAsia" w:ascii="宋体" w:hAnsi="宋体" w:eastAsia="宋体" w:cs="宋体"/>
                <w:sz w:val="24"/>
                <w:szCs w:val="24"/>
                <w:highlight w:val="none"/>
              </w:rPr>
            </w:pPr>
          </w:p>
        </w:tc>
        <w:tc>
          <w:tcPr>
            <w:tcW w:w="1526" w:type="dxa"/>
            <w:tcBorders>
              <w:top w:val="single" w:color="auto" w:sz="2" w:space="0"/>
            </w:tcBorders>
            <w:noWrap w:val="0"/>
            <w:vAlign w:val="center"/>
          </w:tcPr>
          <w:p>
            <w:pPr>
              <w:spacing w:line="560" w:lineRule="exact"/>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noWrap w:val="0"/>
            <w:vAlign w:val="center"/>
          </w:tcPr>
          <w:p>
            <w:pPr>
              <w:spacing w:line="560" w:lineRule="exact"/>
              <w:jc w:val="center"/>
              <w:rPr>
                <w:rFonts w:hint="eastAsia" w:ascii="宋体" w:hAnsi="宋体" w:eastAsia="宋体" w:cs="宋体"/>
                <w:sz w:val="24"/>
                <w:szCs w:val="24"/>
                <w:highlight w:val="none"/>
              </w:rPr>
            </w:pPr>
          </w:p>
        </w:tc>
        <w:tc>
          <w:tcPr>
            <w:tcW w:w="3381" w:type="dxa"/>
            <w:noWrap w:val="0"/>
            <w:vAlign w:val="center"/>
          </w:tcPr>
          <w:p>
            <w:pPr>
              <w:spacing w:line="560" w:lineRule="exact"/>
              <w:jc w:val="center"/>
              <w:rPr>
                <w:rFonts w:hint="eastAsia" w:ascii="宋体" w:hAnsi="宋体" w:eastAsia="宋体" w:cs="宋体"/>
                <w:sz w:val="24"/>
                <w:szCs w:val="24"/>
                <w:highlight w:val="none"/>
              </w:rPr>
            </w:pPr>
          </w:p>
        </w:tc>
        <w:tc>
          <w:tcPr>
            <w:tcW w:w="3519" w:type="dxa"/>
            <w:noWrap w:val="0"/>
            <w:vAlign w:val="center"/>
          </w:tcPr>
          <w:p>
            <w:pPr>
              <w:spacing w:line="560" w:lineRule="exact"/>
              <w:jc w:val="center"/>
              <w:rPr>
                <w:rFonts w:hint="eastAsia" w:ascii="宋体" w:hAnsi="宋体" w:eastAsia="宋体" w:cs="宋体"/>
                <w:sz w:val="24"/>
                <w:szCs w:val="24"/>
                <w:highlight w:val="none"/>
              </w:rPr>
            </w:pPr>
          </w:p>
        </w:tc>
        <w:tc>
          <w:tcPr>
            <w:tcW w:w="1526" w:type="dxa"/>
            <w:noWrap w:val="0"/>
            <w:vAlign w:val="center"/>
          </w:tcPr>
          <w:p>
            <w:pPr>
              <w:spacing w:line="560" w:lineRule="exact"/>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noWrap w:val="0"/>
            <w:vAlign w:val="center"/>
          </w:tcPr>
          <w:p>
            <w:pPr>
              <w:spacing w:line="560" w:lineRule="exact"/>
              <w:jc w:val="center"/>
              <w:rPr>
                <w:rFonts w:hint="eastAsia" w:ascii="宋体" w:hAnsi="宋体" w:eastAsia="宋体" w:cs="宋体"/>
                <w:sz w:val="24"/>
                <w:szCs w:val="24"/>
                <w:highlight w:val="none"/>
              </w:rPr>
            </w:pPr>
          </w:p>
        </w:tc>
        <w:tc>
          <w:tcPr>
            <w:tcW w:w="3381" w:type="dxa"/>
            <w:noWrap w:val="0"/>
            <w:vAlign w:val="center"/>
          </w:tcPr>
          <w:p>
            <w:pPr>
              <w:spacing w:line="560" w:lineRule="exact"/>
              <w:jc w:val="center"/>
              <w:rPr>
                <w:rFonts w:hint="eastAsia" w:ascii="宋体" w:hAnsi="宋体" w:eastAsia="宋体" w:cs="宋体"/>
                <w:sz w:val="24"/>
                <w:szCs w:val="24"/>
                <w:highlight w:val="none"/>
              </w:rPr>
            </w:pPr>
          </w:p>
        </w:tc>
        <w:tc>
          <w:tcPr>
            <w:tcW w:w="3519" w:type="dxa"/>
            <w:noWrap w:val="0"/>
            <w:vAlign w:val="center"/>
          </w:tcPr>
          <w:p>
            <w:pPr>
              <w:spacing w:line="560" w:lineRule="exact"/>
              <w:jc w:val="center"/>
              <w:rPr>
                <w:rFonts w:hint="eastAsia" w:ascii="宋体" w:hAnsi="宋体" w:eastAsia="宋体" w:cs="宋体"/>
                <w:sz w:val="24"/>
                <w:szCs w:val="24"/>
                <w:highlight w:val="none"/>
              </w:rPr>
            </w:pPr>
          </w:p>
        </w:tc>
        <w:tc>
          <w:tcPr>
            <w:tcW w:w="1526" w:type="dxa"/>
            <w:noWrap w:val="0"/>
            <w:vAlign w:val="center"/>
          </w:tcPr>
          <w:p>
            <w:pPr>
              <w:spacing w:line="560" w:lineRule="exact"/>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noWrap w:val="0"/>
            <w:vAlign w:val="center"/>
          </w:tcPr>
          <w:p>
            <w:pPr>
              <w:spacing w:line="560" w:lineRule="exact"/>
              <w:jc w:val="center"/>
              <w:rPr>
                <w:rFonts w:hint="eastAsia" w:ascii="宋体" w:hAnsi="宋体" w:eastAsia="宋体" w:cs="宋体"/>
                <w:sz w:val="24"/>
                <w:szCs w:val="24"/>
                <w:highlight w:val="none"/>
              </w:rPr>
            </w:pPr>
          </w:p>
        </w:tc>
        <w:tc>
          <w:tcPr>
            <w:tcW w:w="3381" w:type="dxa"/>
            <w:noWrap w:val="0"/>
            <w:vAlign w:val="center"/>
          </w:tcPr>
          <w:p>
            <w:pPr>
              <w:spacing w:line="560" w:lineRule="exact"/>
              <w:jc w:val="center"/>
              <w:rPr>
                <w:rFonts w:hint="eastAsia" w:ascii="宋体" w:hAnsi="宋体" w:eastAsia="宋体" w:cs="宋体"/>
                <w:sz w:val="24"/>
                <w:szCs w:val="24"/>
                <w:highlight w:val="none"/>
              </w:rPr>
            </w:pPr>
          </w:p>
        </w:tc>
        <w:tc>
          <w:tcPr>
            <w:tcW w:w="3519" w:type="dxa"/>
            <w:noWrap w:val="0"/>
            <w:vAlign w:val="center"/>
          </w:tcPr>
          <w:p>
            <w:pPr>
              <w:spacing w:line="560" w:lineRule="exact"/>
              <w:jc w:val="center"/>
              <w:rPr>
                <w:rFonts w:hint="eastAsia" w:ascii="宋体" w:hAnsi="宋体" w:eastAsia="宋体" w:cs="宋体"/>
                <w:sz w:val="24"/>
                <w:szCs w:val="24"/>
                <w:highlight w:val="none"/>
              </w:rPr>
            </w:pPr>
          </w:p>
        </w:tc>
        <w:tc>
          <w:tcPr>
            <w:tcW w:w="1526" w:type="dxa"/>
            <w:noWrap w:val="0"/>
            <w:vAlign w:val="center"/>
          </w:tcPr>
          <w:p>
            <w:pPr>
              <w:spacing w:line="560" w:lineRule="exact"/>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noWrap w:val="0"/>
            <w:vAlign w:val="center"/>
          </w:tcPr>
          <w:p>
            <w:pPr>
              <w:spacing w:line="560" w:lineRule="exact"/>
              <w:jc w:val="center"/>
              <w:rPr>
                <w:rFonts w:hint="eastAsia" w:ascii="宋体" w:hAnsi="宋体" w:eastAsia="宋体" w:cs="宋体"/>
                <w:sz w:val="24"/>
                <w:szCs w:val="24"/>
                <w:highlight w:val="none"/>
              </w:rPr>
            </w:pPr>
          </w:p>
        </w:tc>
        <w:tc>
          <w:tcPr>
            <w:tcW w:w="3381" w:type="dxa"/>
            <w:noWrap w:val="0"/>
            <w:vAlign w:val="center"/>
          </w:tcPr>
          <w:p>
            <w:pPr>
              <w:spacing w:line="560" w:lineRule="exact"/>
              <w:jc w:val="center"/>
              <w:rPr>
                <w:rFonts w:hint="eastAsia" w:ascii="宋体" w:hAnsi="宋体" w:eastAsia="宋体" w:cs="宋体"/>
                <w:sz w:val="24"/>
                <w:szCs w:val="24"/>
                <w:highlight w:val="none"/>
              </w:rPr>
            </w:pPr>
          </w:p>
        </w:tc>
        <w:tc>
          <w:tcPr>
            <w:tcW w:w="3519" w:type="dxa"/>
            <w:noWrap w:val="0"/>
            <w:vAlign w:val="center"/>
          </w:tcPr>
          <w:p>
            <w:pPr>
              <w:spacing w:line="560" w:lineRule="exact"/>
              <w:jc w:val="center"/>
              <w:rPr>
                <w:rFonts w:hint="eastAsia" w:ascii="宋体" w:hAnsi="宋体" w:eastAsia="宋体" w:cs="宋体"/>
                <w:sz w:val="24"/>
                <w:szCs w:val="24"/>
                <w:highlight w:val="none"/>
              </w:rPr>
            </w:pPr>
          </w:p>
        </w:tc>
        <w:tc>
          <w:tcPr>
            <w:tcW w:w="1526" w:type="dxa"/>
            <w:noWrap w:val="0"/>
            <w:vAlign w:val="center"/>
          </w:tcPr>
          <w:p>
            <w:pPr>
              <w:spacing w:line="560" w:lineRule="exact"/>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noWrap w:val="0"/>
            <w:vAlign w:val="center"/>
          </w:tcPr>
          <w:p>
            <w:pPr>
              <w:spacing w:line="560" w:lineRule="exact"/>
              <w:jc w:val="center"/>
              <w:rPr>
                <w:rFonts w:hint="eastAsia" w:ascii="宋体" w:hAnsi="宋体" w:eastAsia="宋体" w:cs="宋体"/>
                <w:sz w:val="24"/>
                <w:szCs w:val="24"/>
                <w:highlight w:val="none"/>
              </w:rPr>
            </w:pPr>
          </w:p>
        </w:tc>
        <w:tc>
          <w:tcPr>
            <w:tcW w:w="3381" w:type="dxa"/>
            <w:noWrap w:val="0"/>
            <w:vAlign w:val="center"/>
          </w:tcPr>
          <w:p>
            <w:pPr>
              <w:spacing w:line="560" w:lineRule="exact"/>
              <w:jc w:val="center"/>
              <w:rPr>
                <w:rFonts w:hint="eastAsia" w:ascii="宋体" w:hAnsi="宋体" w:eastAsia="宋体" w:cs="宋体"/>
                <w:sz w:val="24"/>
                <w:szCs w:val="24"/>
                <w:highlight w:val="none"/>
              </w:rPr>
            </w:pPr>
          </w:p>
        </w:tc>
        <w:tc>
          <w:tcPr>
            <w:tcW w:w="3519" w:type="dxa"/>
            <w:noWrap w:val="0"/>
            <w:vAlign w:val="center"/>
          </w:tcPr>
          <w:p>
            <w:pPr>
              <w:spacing w:line="560" w:lineRule="exact"/>
              <w:jc w:val="center"/>
              <w:rPr>
                <w:rFonts w:hint="eastAsia" w:ascii="宋体" w:hAnsi="宋体" w:eastAsia="宋体" w:cs="宋体"/>
                <w:sz w:val="24"/>
                <w:szCs w:val="24"/>
                <w:highlight w:val="none"/>
              </w:rPr>
            </w:pPr>
          </w:p>
        </w:tc>
        <w:tc>
          <w:tcPr>
            <w:tcW w:w="1526" w:type="dxa"/>
            <w:noWrap w:val="0"/>
            <w:vAlign w:val="center"/>
          </w:tcPr>
          <w:p>
            <w:pPr>
              <w:spacing w:line="560" w:lineRule="exact"/>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备注</w:t>
            </w:r>
          </w:p>
        </w:tc>
        <w:tc>
          <w:tcPr>
            <w:tcW w:w="8426" w:type="dxa"/>
            <w:gridSpan w:val="3"/>
            <w:noWrap w:val="0"/>
            <w:vAlign w:val="center"/>
          </w:tcPr>
          <w:p>
            <w:pPr>
              <w:spacing w:line="560" w:lineRule="exact"/>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对</w:t>
            </w:r>
            <w:r>
              <w:rPr>
                <w:rFonts w:hint="eastAsia" w:ascii="宋体" w:hAnsi="宋体" w:eastAsia="宋体" w:cs="宋体"/>
                <w:sz w:val="24"/>
                <w:szCs w:val="24"/>
                <w:highlight w:val="none"/>
                <w:lang w:eastAsia="zh-CN"/>
              </w:rPr>
              <w:t>《第三章招标内容及要求中的</w:t>
            </w: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、商务要求</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响应。</w:t>
            </w:r>
          </w:p>
          <w:p>
            <w:pPr>
              <w:spacing w:line="560" w:lineRule="exact"/>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2．响应说明按实际响 应情况填写“优于”、“响应”、“不响应”。</w:t>
            </w:r>
          </w:p>
          <w:p>
            <w:pPr>
              <w:spacing w:line="560" w:lineRule="exact"/>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3．“响应索引”单元格中注明引用位置，如“见商务响应方案</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.1.1”。</w:t>
            </w:r>
          </w:p>
        </w:tc>
      </w:tr>
    </w:tbl>
    <w:p>
      <w:pPr>
        <w:spacing w:line="560" w:lineRule="exact"/>
        <w:ind w:firstLine="2762" w:firstLineChars="1151"/>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全称并加盖公章）</w:t>
      </w:r>
    </w:p>
    <w:p>
      <w:pPr>
        <w:spacing w:line="560" w:lineRule="exact"/>
        <w:ind w:firstLine="480" w:firstLineChars="200"/>
        <w:jc w:val="both"/>
        <w:rPr>
          <w:rFonts w:hint="eastAsia" w:ascii="宋体" w:hAnsi="宋体" w:eastAsia="宋体" w:cs="宋体"/>
          <w:sz w:val="24"/>
          <w:szCs w:val="24"/>
          <w:highlight w:val="none"/>
        </w:rPr>
      </w:pPr>
    </w:p>
    <w:p>
      <w:pPr>
        <w:spacing w:line="560" w:lineRule="exact"/>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附：商务响应方案</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93"/>
        <w:spacing w:before="210" w:after="210"/>
        <w:ind w:firstLine="64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）合同条款响应</w:t>
      </w:r>
      <w:bookmarkEnd w:id="169"/>
    </w:p>
    <w:tbl>
      <w:tblPr>
        <w:tblStyle w:val="25"/>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988"/>
        <w:gridCol w:w="1549"/>
        <w:gridCol w:w="2517"/>
        <w:gridCol w:w="2532"/>
        <w:gridCol w:w="128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549"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条款名称</w:t>
            </w:r>
          </w:p>
        </w:tc>
        <w:tc>
          <w:tcPr>
            <w:tcW w:w="2518"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招标文件合同条款明细</w:t>
            </w:r>
          </w:p>
        </w:tc>
        <w:tc>
          <w:tcPr>
            <w:tcW w:w="2533"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投标文件合同条款响应</w:t>
            </w:r>
          </w:p>
        </w:tc>
        <w:tc>
          <w:tcPr>
            <w:tcW w:w="1282"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tcBorders>
              <w:top w:val="single" w:color="auto" w:sz="2" w:space="0"/>
            </w:tcBorders>
            <w:vAlign w:val="center"/>
          </w:tcPr>
          <w:p>
            <w:pPr>
              <w:jc w:val="center"/>
              <w:rPr>
                <w:rFonts w:hint="eastAsia" w:ascii="宋体" w:hAnsi="宋体" w:eastAsia="宋体" w:cs="宋体"/>
                <w:color w:val="auto"/>
                <w:sz w:val="24"/>
                <w:szCs w:val="24"/>
                <w:highlight w:val="none"/>
              </w:rPr>
            </w:pPr>
          </w:p>
        </w:tc>
        <w:tc>
          <w:tcPr>
            <w:tcW w:w="1549" w:type="dxa"/>
            <w:tcBorders>
              <w:top w:val="single" w:color="auto" w:sz="2" w:space="0"/>
            </w:tcBorders>
            <w:vAlign w:val="center"/>
          </w:tcPr>
          <w:p>
            <w:pPr>
              <w:jc w:val="center"/>
              <w:rPr>
                <w:rFonts w:hint="eastAsia" w:ascii="宋体" w:hAnsi="宋体" w:eastAsia="宋体" w:cs="宋体"/>
                <w:color w:val="auto"/>
                <w:sz w:val="24"/>
                <w:szCs w:val="24"/>
                <w:highlight w:val="none"/>
              </w:rPr>
            </w:pPr>
          </w:p>
        </w:tc>
        <w:tc>
          <w:tcPr>
            <w:tcW w:w="2518" w:type="dxa"/>
            <w:tcBorders>
              <w:top w:val="single" w:color="auto" w:sz="2" w:space="0"/>
            </w:tcBorders>
            <w:vAlign w:val="center"/>
          </w:tcPr>
          <w:p>
            <w:pPr>
              <w:jc w:val="center"/>
              <w:rPr>
                <w:rFonts w:hint="eastAsia" w:ascii="宋体" w:hAnsi="宋体" w:eastAsia="宋体" w:cs="宋体"/>
                <w:color w:val="auto"/>
                <w:sz w:val="24"/>
                <w:szCs w:val="24"/>
                <w:highlight w:val="none"/>
              </w:rPr>
            </w:pPr>
          </w:p>
        </w:tc>
        <w:tc>
          <w:tcPr>
            <w:tcW w:w="2533" w:type="dxa"/>
            <w:tcBorders>
              <w:top w:val="single" w:color="auto" w:sz="2" w:space="0"/>
            </w:tcBorders>
            <w:vAlign w:val="center"/>
          </w:tcPr>
          <w:p>
            <w:pPr>
              <w:jc w:val="center"/>
              <w:rPr>
                <w:rFonts w:hint="eastAsia" w:ascii="宋体" w:hAnsi="宋体" w:eastAsia="宋体" w:cs="宋体"/>
                <w:color w:val="auto"/>
                <w:sz w:val="24"/>
                <w:szCs w:val="24"/>
                <w:highlight w:val="none"/>
              </w:rPr>
            </w:pPr>
          </w:p>
        </w:tc>
        <w:tc>
          <w:tcPr>
            <w:tcW w:w="1282" w:type="dxa"/>
            <w:tcBorders>
              <w:top w:val="single" w:color="auto" w:sz="2" w:space="0"/>
            </w:tcBorders>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color w:val="auto"/>
                <w:sz w:val="24"/>
                <w:szCs w:val="24"/>
                <w:highlight w:val="none"/>
              </w:rPr>
            </w:pPr>
          </w:p>
        </w:tc>
        <w:tc>
          <w:tcPr>
            <w:tcW w:w="1549" w:type="dxa"/>
            <w:vAlign w:val="center"/>
          </w:tcPr>
          <w:p>
            <w:pPr>
              <w:jc w:val="center"/>
              <w:rPr>
                <w:rFonts w:hint="eastAsia" w:ascii="宋体" w:hAnsi="宋体" w:eastAsia="宋体" w:cs="宋体"/>
                <w:color w:val="auto"/>
                <w:sz w:val="24"/>
                <w:szCs w:val="24"/>
                <w:highlight w:val="none"/>
              </w:rPr>
            </w:pPr>
          </w:p>
        </w:tc>
        <w:tc>
          <w:tcPr>
            <w:tcW w:w="2518" w:type="dxa"/>
            <w:vAlign w:val="center"/>
          </w:tcPr>
          <w:p>
            <w:pPr>
              <w:jc w:val="center"/>
              <w:rPr>
                <w:rFonts w:hint="eastAsia" w:ascii="宋体" w:hAnsi="宋体" w:eastAsia="宋体" w:cs="宋体"/>
                <w:color w:val="auto"/>
                <w:sz w:val="24"/>
                <w:szCs w:val="24"/>
                <w:highlight w:val="none"/>
              </w:rPr>
            </w:pPr>
          </w:p>
        </w:tc>
        <w:tc>
          <w:tcPr>
            <w:tcW w:w="2533" w:type="dxa"/>
            <w:vAlign w:val="center"/>
          </w:tcPr>
          <w:p>
            <w:pPr>
              <w:jc w:val="center"/>
              <w:rPr>
                <w:rFonts w:hint="eastAsia" w:ascii="宋体" w:hAnsi="宋体" w:eastAsia="宋体" w:cs="宋体"/>
                <w:color w:val="auto"/>
                <w:sz w:val="24"/>
                <w:szCs w:val="24"/>
                <w:highlight w:val="none"/>
              </w:rPr>
            </w:pPr>
          </w:p>
        </w:tc>
        <w:tc>
          <w:tcPr>
            <w:tcW w:w="1282"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color w:val="auto"/>
                <w:sz w:val="24"/>
                <w:szCs w:val="24"/>
                <w:highlight w:val="none"/>
              </w:rPr>
            </w:pPr>
          </w:p>
        </w:tc>
        <w:tc>
          <w:tcPr>
            <w:tcW w:w="1549" w:type="dxa"/>
            <w:vAlign w:val="center"/>
          </w:tcPr>
          <w:p>
            <w:pPr>
              <w:jc w:val="center"/>
              <w:rPr>
                <w:rFonts w:hint="eastAsia" w:ascii="宋体" w:hAnsi="宋体" w:eastAsia="宋体" w:cs="宋体"/>
                <w:color w:val="auto"/>
                <w:sz w:val="24"/>
                <w:szCs w:val="24"/>
                <w:highlight w:val="none"/>
              </w:rPr>
            </w:pPr>
          </w:p>
        </w:tc>
        <w:tc>
          <w:tcPr>
            <w:tcW w:w="2518" w:type="dxa"/>
            <w:vAlign w:val="center"/>
          </w:tcPr>
          <w:p>
            <w:pPr>
              <w:jc w:val="center"/>
              <w:rPr>
                <w:rFonts w:hint="eastAsia" w:ascii="宋体" w:hAnsi="宋体" w:eastAsia="宋体" w:cs="宋体"/>
                <w:color w:val="auto"/>
                <w:sz w:val="24"/>
                <w:szCs w:val="24"/>
                <w:highlight w:val="none"/>
              </w:rPr>
            </w:pPr>
          </w:p>
        </w:tc>
        <w:tc>
          <w:tcPr>
            <w:tcW w:w="2533" w:type="dxa"/>
            <w:vAlign w:val="center"/>
          </w:tcPr>
          <w:p>
            <w:pPr>
              <w:jc w:val="center"/>
              <w:rPr>
                <w:rFonts w:hint="eastAsia" w:ascii="宋体" w:hAnsi="宋体" w:eastAsia="宋体" w:cs="宋体"/>
                <w:color w:val="auto"/>
                <w:sz w:val="24"/>
                <w:szCs w:val="24"/>
                <w:highlight w:val="none"/>
              </w:rPr>
            </w:pPr>
          </w:p>
        </w:tc>
        <w:tc>
          <w:tcPr>
            <w:tcW w:w="1282"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color w:val="auto"/>
                <w:sz w:val="24"/>
                <w:szCs w:val="24"/>
                <w:highlight w:val="none"/>
              </w:rPr>
            </w:pPr>
          </w:p>
        </w:tc>
        <w:tc>
          <w:tcPr>
            <w:tcW w:w="1549" w:type="dxa"/>
            <w:vAlign w:val="center"/>
          </w:tcPr>
          <w:p>
            <w:pPr>
              <w:jc w:val="center"/>
              <w:rPr>
                <w:rFonts w:hint="eastAsia" w:ascii="宋体" w:hAnsi="宋体" w:eastAsia="宋体" w:cs="宋体"/>
                <w:color w:val="auto"/>
                <w:sz w:val="24"/>
                <w:szCs w:val="24"/>
                <w:highlight w:val="none"/>
              </w:rPr>
            </w:pPr>
          </w:p>
        </w:tc>
        <w:tc>
          <w:tcPr>
            <w:tcW w:w="2518" w:type="dxa"/>
            <w:vAlign w:val="center"/>
          </w:tcPr>
          <w:p>
            <w:pPr>
              <w:jc w:val="center"/>
              <w:rPr>
                <w:rFonts w:hint="eastAsia" w:ascii="宋体" w:hAnsi="宋体" w:eastAsia="宋体" w:cs="宋体"/>
                <w:color w:val="auto"/>
                <w:sz w:val="24"/>
                <w:szCs w:val="24"/>
                <w:highlight w:val="none"/>
              </w:rPr>
            </w:pPr>
          </w:p>
        </w:tc>
        <w:tc>
          <w:tcPr>
            <w:tcW w:w="2533" w:type="dxa"/>
            <w:vAlign w:val="center"/>
          </w:tcPr>
          <w:p>
            <w:pPr>
              <w:jc w:val="center"/>
              <w:rPr>
                <w:rFonts w:hint="eastAsia" w:ascii="宋体" w:hAnsi="宋体" w:eastAsia="宋体" w:cs="宋体"/>
                <w:color w:val="auto"/>
                <w:sz w:val="24"/>
                <w:szCs w:val="24"/>
                <w:highlight w:val="none"/>
              </w:rPr>
            </w:pPr>
          </w:p>
        </w:tc>
        <w:tc>
          <w:tcPr>
            <w:tcW w:w="1282"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color w:val="auto"/>
                <w:sz w:val="24"/>
                <w:szCs w:val="24"/>
                <w:highlight w:val="none"/>
              </w:rPr>
            </w:pPr>
          </w:p>
        </w:tc>
        <w:tc>
          <w:tcPr>
            <w:tcW w:w="1549" w:type="dxa"/>
            <w:vAlign w:val="center"/>
          </w:tcPr>
          <w:p>
            <w:pPr>
              <w:jc w:val="center"/>
              <w:rPr>
                <w:rFonts w:hint="eastAsia" w:ascii="宋体" w:hAnsi="宋体" w:eastAsia="宋体" w:cs="宋体"/>
                <w:color w:val="auto"/>
                <w:sz w:val="24"/>
                <w:szCs w:val="24"/>
                <w:highlight w:val="none"/>
              </w:rPr>
            </w:pPr>
          </w:p>
        </w:tc>
        <w:tc>
          <w:tcPr>
            <w:tcW w:w="2518" w:type="dxa"/>
            <w:vAlign w:val="center"/>
          </w:tcPr>
          <w:p>
            <w:pPr>
              <w:jc w:val="center"/>
              <w:rPr>
                <w:rFonts w:hint="eastAsia" w:ascii="宋体" w:hAnsi="宋体" w:eastAsia="宋体" w:cs="宋体"/>
                <w:color w:val="auto"/>
                <w:sz w:val="24"/>
                <w:szCs w:val="24"/>
                <w:highlight w:val="none"/>
              </w:rPr>
            </w:pPr>
          </w:p>
        </w:tc>
        <w:tc>
          <w:tcPr>
            <w:tcW w:w="2533" w:type="dxa"/>
            <w:vAlign w:val="center"/>
          </w:tcPr>
          <w:p>
            <w:pPr>
              <w:jc w:val="center"/>
              <w:rPr>
                <w:rFonts w:hint="eastAsia" w:ascii="宋体" w:hAnsi="宋体" w:eastAsia="宋体" w:cs="宋体"/>
                <w:color w:val="auto"/>
                <w:sz w:val="24"/>
                <w:szCs w:val="24"/>
                <w:highlight w:val="none"/>
              </w:rPr>
            </w:pPr>
          </w:p>
        </w:tc>
        <w:tc>
          <w:tcPr>
            <w:tcW w:w="1282"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color w:val="auto"/>
                <w:sz w:val="24"/>
                <w:szCs w:val="24"/>
                <w:highlight w:val="none"/>
              </w:rPr>
            </w:pPr>
          </w:p>
        </w:tc>
        <w:tc>
          <w:tcPr>
            <w:tcW w:w="1549" w:type="dxa"/>
            <w:vAlign w:val="center"/>
          </w:tcPr>
          <w:p>
            <w:pPr>
              <w:jc w:val="center"/>
              <w:rPr>
                <w:rFonts w:hint="eastAsia" w:ascii="宋体" w:hAnsi="宋体" w:eastAsia="宋体" w:cs="宋体"/>
                <w:color w:val="auto"/>
                <w:sz w:val="24"/>
                <w:szCs w:val="24"/>
                <w:highlight w:val="none"/>
              </w:rPr>
            </w:pPr>
          </w:p>
        </w:tc>
        <w:tc>
          <w:tcPr>
            <w:tcW w:w="2518" w:type="dxa"/>
            <w:vAlign w:val="center"/>
          </w:tcPr>
          <w:p>
            <w:pPr>
              <w:jc w:val="center"/>
              <w:rPr>
                <w:rFonts w:hint="eastAsia" w:ascii="宋体" w:hAnsi="宋体" w:eastAsia="宋体" w:cs="宋体"/>
                <w:color w:val="auto"/>
                <w:sz w:val="24"/>
                <w:szCs w:val="24"/>
                <w:highlight w:val="none"/>
              </w:rPr>
            </w:pPr>
          </w:p>
        </w:tc>
        <w:tc>
          <w:tcPr>
            <w:tcW w:w="2533" w:type="dxa"/>
            <w:vAlign w:val="center"/>
          </w:tcPr>
          <w:p>
            <w:pPr>
              <w:jc w:val="center"/>
              <w:rPr>
                <w:rFonts w:hint="eastAsia" w:ascii="宋体" w:hAnsi="宋体" w:eastAsia="宋体" w:cs="宋体"/>
                <w:color w:val="auto"/>
                <w:sz w:val="24"/>
                <w:szCs w:val="24"/>
                <w:highlight w:val="none"/>
              </w:rPr>
            </w:pPr>
          </w:p>
        </w:tc>
        <w:tc>
          <w:tcPr>
            <w:tcW w:w="1282"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color w:val="auto"/>
                <w:sz w:val="24"/>
                <w:szCs w:val="24"/>
                <w:highlight w:val="none"/>
              </w:rPr>
            </w:pPr>
          </w:p>
        </w:tc>
        <w:tc>
          <w:tcPr>
            <w:tcW w:w="1549" w:type="dxa"/>
            <w:vAlign w:val="center"/>
          </w:tcPr>
          <w:p>
            <w:pPr>
              <w:jc w:val="center"/>
              <w:rPr>
                <w:rFonts w:hint="eastAsia" w:ascii="宋体" w:hAnsi="宋体" w:eastAsia="宋体" w:cs="宋体"/>
                <w:color w:val="auto"/>
                <w:sz w:val="24"/>
                <w:szCs w:val="24"/>
                <w:highlight w:val="none"/>
              </w:rPr>
            </w:pPr>
          </w:p>
        </w:tc>
        <w:tc>
          <w:tcPr>
            <w:tcW w:w="2518" w:type="dxa"/>
            <w:vAlign w:val="center"/>
          </w:tcPr>
          <w:p>
            <w:pPr>
              <w:jc w:val="center"/>
              <w:rPr>
                <w:rFonts w:hint="eastAsia" w:ascii="宋体" w:hAnsi="宋体" w:eastAsia="宋体" w:cs="宋体"/>
                <w:color w:val="auto"/>
                <w:sz w:val="24"/>
                <w:szCs w:val="24"/>
                <w:highlight w:val="none"/>
              </w:rPr>
            </w:pPr>
          </w:p>
        </w:tc>
        <w:tc>
          <w:tcPr>
            <w:tcW w:w="2533" w:type="dxa"/>
            <w:vAlign w:val="center"/>
          </w:tcPr>
          <w:p>
            <w:pPr>
              <w:jc w:val="center"/>
              <w:rPr>
                <w:rFonts w:hint="eastAsia" w:ascii="宋体" w:hAnsi="宋体" w:eastAsia="宋体" w:cs="宋体"/>
                <w:color w:val="auto"/>
                <w:sz w:val="24"/>
                <w:szCs w:val="24"/>
                <w:highlight w:val="none"/>
              </w:rPr>
            </w:pPr>
          </w:p>
        </w:tc>
        <w:tc>
          <w:tcPr>
            <w:tcW w:w="1282"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7882" w:type="dxa"/>
            <w:gridSpan w:val="4"/>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1．“完全接受”的条款无需在本表中列出，按表下方所做“声明”执行；对于需要</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填报的内容，以及“不能接受”或“有条件接受”的条款，则应写明该条款名称及条款明细、以及</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所能接受的条件。</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2．根据《政府采购货物和服务招标投标管理办法》（财政部87号令）第六十三条，若投标文件含有采购人不能接受的附加条件的，投标无效。</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3．因表格空间因有限，不足以容纳响应内容时，允许在表后进行响应，但须在表中注明引用位置，如“见本表下方</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.1.1”。</w:t>
            </w:r>
          </w:p>
        </w:tc>
      </w:tr>
    </w:tbl>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声明：除上表所列的合同条款外，招标文件中的其他合同条款我方均完全接受。</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r>
        <w:rPr>
          <w:rFonts w:hint="eastAsia" w:ascii="宋体" w:hAnsi="宋体" w:eastAsia="宋体" w:cs="宋体"/>
          <w:color w:val="auto"/>
          <w:sz w:val="24"/>
          <w:szCs w:val="24"/>
          <w:highlight w:val="none"/>
        </w:rPr>
        <w:br w:type="page"/>
      </w:r>
    </w:p>
    <w:p>
      <w:pPr>
        <w:pStyle w:val="93"/>
        <w:spacing w:before="210" w:after="210"/>
        <w:ind w:firstLine="640"/>
        <w:outlineLvl w:val="2"/>
        <w:rPr>
          <w:rFonts w:hint="eastAsia" w:ascii="宋体" w:hAnsi="宋体" w:eastAsia="宋体" w:cs="宋体"/>
          <w:color w:val="auto"/>
          <w:sz w:val="24"/>
          <w:szCs w:val="24"/>
          <w:highlight w:val="none"/>
        </w:rPr>
      </w:pPr>
      <w:bookmarkStart w:id="170" w:name="_Toc18773"/>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）其他需要</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提供的材料</w:t>
      </w:r>
      <w:bookmarkEnd w:id="170"/>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1．项目实施人员情况表</w:t>
      </w:r>
    </w:p>
    <w:tbl>
      <w:tblPr>
        <w:tblStyle w:val="25"/>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941"/>
        <w:gridCol w:w="1221"/>
        <w:gridCol w:w="23"/>
        <w:gridCol w:w="1319"/>
        <w:gridCol w:w="17"/>
        <w:gridCol w:w="6"/>
        <w:gridCol w:w="1529"/>
        <w:gridCol w:w="1683"/>
        <w:gridCol w:w="40"/>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900" w:type="dxa"/>
            <w:gridSpan w:val="11"/>
            <w:tcBorders>
              <w:top w:val="single" w:color="auto" w:sz="12"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年龄</w:t>
            </w:r>
          </w:p>
        </w:tc>
        <w:tc>
          <w:tcPr>
            <w:tcW w:w="1221"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w:t>
            </w:r>
          </w:p>
        </w:tc>
        <w:tc>
          <w:tcPr>
            <w:tcW w:w="1342"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w:t>
            </w:r>
          </w:p>
        </w:tc>
        <w:tc>
          <w:tcPr>
            <w:tcW w:w="1552" w:type="dxa"/>
            <w:gridSpan w:val="3"/>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在本行业从业工作年限</w:t>
            </w:r>
          </w:p>
        </w:tc>
        <w:tc>
          <w:tcPr>
            <w:tcW w:w="1683" w:type="dxa"/>
            <w:tcBorders>
              <w:right w:val="single" w:color="auto" w:sz="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主要工作</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业绩和经历</w:t>
            </w:r>
          </w:p>
        </w:tc>
        <w:tc>
          <w:tcPr>
            <w:tcW w:w="1062" w:type="dxa"/>
            <w:gridSpan w:val="2"/>
            <w:tcBorders>
              <w:left w:val="single" w:color="auto" w:sz="2" w:space="0"/>
              <w:right w:val="single" w:color="auto" w:sz="1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拟派</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21" w:type="dxa"/>
            <w:vAlign w:val="center"/>
          </w:tcPr>
          <w:p>
            <w:pPr>
              <w:jc w:val="both"/>
              <w:rPr>
                <w:rFonts w:hint="eastAsia" w:ascii="宋体" w:hAnsi="宋体" w:eastAsia="宋体" w:cs="宋体"/>
                <w:color w:val="auto"/>
                <w:sz w:val="24"/>
                <w:szCs w:val="24"/>
                <w:highlight w:val="none"/>
              </w:rPr>
            </w:pPr>
          </w:p>
        </w:tc>
        <w:tc>
          <w:tcPr>
            <w:tcW w:w="1342" w:type="dxa"/>
            <w:gridSpan w:val="2"/>
            <w:vAlign w:val="center"/>
          </w:tcPr>
          <w:p>
            <w:pPr>
              <w:jc w:val="both"/>
              <w:rPr>
                <w:rFonts w:hint="eastAsia" w:ascii="宋体" w:hAnsi="宋体" w:eastAsia="宋体" w:cs="宋体"/>
                <w:color w:val="auto"/>
                <w:sz w:val="24"/>
                <w:szCs w:val="24"/>
                <w:highlight w:val="none"/>
              </w:rPr>
            </w:pPr>
          </w:p>
        </w:tc>
        <w:tc>
          <w:tcPr>
            <w:tcW w:w="1552" w:type="dxa"/>
            <w:gridSpan w:val="3"/>
            <w:vAlign w:val="center"/>
          </w:tcPr>
          <w:p>
            <w:pPr>
              <w:jc w:val="both"/>
              <w:rPr>
                <w:rFonts w:hint="eastAsia" w:ascii="宋体" w:hAnsi="宋体" w:eastAsia="宋体" w:cs="宋体"/>
                <w:color w:val="auto"/>
                <w:sz w:val="24"/>
                <w:szCs w:val="24"/>
                <w:highlight w:val="none"/>
              </w:rPr>
            </w:pPr>
          </w:p>
        </w:tc>
        <w:tc>
          <w:tcPr>
            <w:tcW w:w="1683" w:type="dxa"/>
            <w:tcBorders>
              <w:right w:val="single" w:color="auto" w:sz="2" w:space="0"/>
            </w:tcBorders>
            <w:vAlign w:val="center"/>
          </w:tcPr>
          <w:p>
            <w:pPr>
              <w:jc w:val="both"/>
              <w:rPr>
                <w:rFonts w:hint="eastAsia" w:ascii="宋体" w:hAnsi="宋体" w:eastAsia="宋体" w:cs="宋体"/>
                <w:color w:val="auto"/>
                <w:sz w:val="24"/>
                <w:szCs w:val="24"/>
                <w:highlight w:val="none"/>
              </w:rPr>
            </w:pPr>
          </w:p>
        </w:tc>
        <w:tc>
          <w:tcPr>
            <w:tcW w:w="1062" w:type="dxa"/>
            <w:gridSpan w:val="2"/>
            <w:tcBorders>
              <w:left w:val="single" w:color="auto" w:sz="2" w:space="0"/>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21" w:type="dxa"/>
            <w:vAlign w:val="center"/>
          </w:tcPr>
          <w:p>
            <w:pPr>
              <w:jc w:val="both"/>
              <w:rPr>
                <w:rFonts w:hint="eastAsia" w:ascii="宋体" w:hAnsi="宋体" w:eastAsia="宋体" w:cs="宋体"/>
                <w:color w:val="auto"/>
                <w:sz w:val="24"/>
                <w:szCs w:val="24"/>
                <w:highlight w:val="none"/>
              </w:rPr>
            </w:pPr>
          </w:p>
        </w:tc>
        <w:tc>
          <w:tcPr>
            <w:tcW w:w="1342" w:type="dxa"/>
            <w:gridSpan w:val="2"/>
            <w:vAlign w:val="center"/>
          </w:tcPr>
          <w:p>
            <w:pPr>
              <w:jc w:val="both"/>
              <w:rPr>
                <w:rFonts w:hint="eastAsia" w:ascii="宋体" w:hAnsi="宋体" w:eastAsia="宋体" w:cs="宋体"/>
                <w:color w:val="auto"/>
                <w:sz w:val="24"/>
                <w:szCs w:val="24"/>
                <w:highlight w:val="none"/>
              </w:rPr>
            </w:pPr>
          </w:p>
        </w:tc>
        <w:tc>
          <w:tcPr>
            <w:tcW w:w="1552" w:type="dxa"/>
            <w:gridSpan w:val="3"/>
            <w:vAlign w:val="center"/>
          </w:tcPr>
          <w:p>
            <w:pPr>
              <w:jc w:val="both"/>
              <w:rPr>
                <w:rFonts w:hint="eastAsia" w:ascii="宋体" w:hAnsi="宋体" w:eastAsia="宋体" w:cs="宋体"/>
                <w:color w:val="auto"/>
                <w:sz w:val="24"/>
                <w:szCs w:val="24"/>
                <w:highlight w:val="none"/>
              </w:rPr>
            </w:pPr>
          </w:p>
        </w:tc>
        <w:tc>
          <w:tcPr>
            <w:tcW w:w="1683" w:type="dxa"/>
            <w:tcBorders>
              <w:right w:val="single" w:color="auto" w:sz="2" w:space="0"/>
            </w:tcBorders>
            <w:vAlign w:val="center"/>
          </w:tcPr>
          <w:p>
            <w:pPr>
              <w:jc w:val="both"/>
              <w:rPr>
                <w:rFonts w:hint="eastAsia" w:ascii="宋体" w:hAnsi="宋体" w:eastAsia="宋体" w:cs="宋体"/>
                <w:color w:val="auto"/>
                <w:sz w:val="24"/>
                <w:szCs w:val="24"/>
                <w:highlight w:val="none"/>
              </w:rPr>
            </w:pPr>
          </w:p>
        </w:tc>
        <w:tc>
          <w:tcPr>
            <w:tcW w:w="1062" w:type="dxa"/>
            <w:gridSpan w:val="2"/>
            <w:tcBorders>
              <w:left w:val="single" w:color="auto" w:sz="2" w:space="0"/>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900" w:type="dxa"/>
            <w:gridSpan w:val="11"/>
            <w:tcBorders>
              <w:top w:val="single" w:color="auto" w:sz="6"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年龄</w:t>
            </w:r>
          </w:p>
        </w:tc>
        <w:tc>
          <w:tcPr>
            <w:tcW w:w="1221"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w:t>
            </w:r>
          </w:p>
        </w:tc>
        <w:tc>
          <w:tcPr>
            <w:tcW w:w="1359" w:type="dxa"/>
            <w:gridSpan w:val="3"/>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w:t>
            </w:r>
          </w:p>
        </w:tc>
        <w:tc>
          <w:tcPr>
            <w:tcW w:w="1535"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在本行业从业工作年限</w:t>
            </w:r>
          </w:p>
        </w:tc>
        <w:tc>
          <w:tcPr>
            <w:tcW w:w="1723"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主要工作</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业绩和经历</w:t>
            </w: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拟派</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21" w:type="dxa"/>
            <w:vAlign w:val="center"/>
          </w:tcPr>
          <w:p>
            <w:pPr>
              <w:jc w:val="both"/>
              <w:rPr>
                <w:rFonts w:hint="eastAsia" w:ascii="宋体" w:hAnsi="宋体" w:eastAsia="宋体" w:cs="宋体"/>
                <w:color w:val="auto"/>
                <w:sz w:val="24"/>
                <w:szCs w:val="24"/>
                <w:highlight w:val="none"/>
              </w:rPr>
            </w:pPr>
          </w:p>
        </w:tc>
        <w:tc>
          <w:tcPr>
            <w:tcW w:w="1359" w:type="dxa"/>
            <w:gridSpan w:val="3"/>
            <w:vAlign w:val="center"/>
          </w:tcPr>
          <w:p>
            <w:pPr>
              <w:jc w:val="both"/>
              <w:rPr>
                <w:rFonts w:hint="eastAsia" w:ascii="宋体" w:hAnsi="宋体" w:eastAsia="宋体" w:cs="宋体"/>
                <w:color w:val="auto"/>
                <w:sz w:val="24"/>
                <w:szCs w:val="24"/>
                <w:highlight w:val="none"/>
              </w:rPr>
            </w:pPr>
          </w:p>
        </w:tc>
        <w:tc>
          <w:tcPr>
            <w:tcW w:w="1535" w:type="dxa"/>
            <w:gridSpan w:val="2"/>
            <w:vAlign w:val="center"/>
          </w:tcPr>
          <w:p>
            <w:pPr>
              <w:jc w:val="both"/>
              <w:rPr>
                <w:rFonts w:hint="eastAsia" w:ascii="宋体" w:hAnsi="宋体" w:eastAsia="宋体" w:cs="宋体"/>
                <w:color w:val="auto"/>
                <w:sz w:val="24"/>
                <w:szCs w:val="24"/>
                <w:highlight w:val="none"/>
              </w:rPr>
            </w:pPr>
          </w:p>
        </w:tc>
        <w:tc>
          <w:tcPr>
            <w:tcW w:w="1723" w:type="dxa"/>
            <w:gridSpan w:val="2"/>
            <w:vAlign w:val="center"/>
          </w:tcPr>
          <w:p>
            <w:pPr>
              <w:jc w:val="both"/>
              <w:rPr>
                <w:rFonts w:hint="eastAsia" w:ascii="宋体" w:hAnsi="宋体" w:eastAsia="宋体" w:cs="宋体"/>
                <w:color w:val="auto"/>
                <w:sz w:val="24"/>
                <w:szCs w:val="24"/>
                <w:highlight w:val="none"/>
              </w:rPr>
            </w:pP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21" w:type="dxa"/>
            <w:vAlign w:val="center"/>
          </w:tcPr>
          <w:p>
            <w:pPr>
              <w:jc w:val="both"/>
              <w:rPr>
                <w:rFonts w:hint="eastAsia" w:ascii="宋体" w:hAnsi="宋体" w:eastAsia="宋体" w:cs="宋体"/>
                <w:color w:val="auto"/>
                <w:sz w:val="24"/>
                <w:szCs w:val="24"/>
                <w:highlight w:val="none"/>
              </w:rPr>
            </w:pPr>
          </w:p>
        </w:tc>
        <w:tc>
          <w:tcPr>
            <w:tcW w:w="1359" w:type="dxa"/>
            <w:gridSpan w:val="3"/>
            <w:vAlign w:val="center"/>
          </w:tcPr>
          <w:p>
            <w:pPr>
              <w:jc w:val="both"/>
              <w:rPr>
                <w:rFonts w:hint="eastAsia" w:ascii="宋体" w:hAnsi="宋体" w:eastAsia="宋体" w:cs="宋体"/>
                <w:color w:val="auto"/>
                <w:sz w:val="24"/>
                <w:szCs w:val="24"/>
                <w:highlight w:val="none"/>
              </w:rPr>
            </w:pPr>
          </w:p>
        </w:tc>
        <w:tc>
          <w:tcPr>
            <w:tcW w:w="1535" w:type="dxa"/>
            <w:gridSpan w:val="2"/>
            <w:vAlign w:val="center"/>
          </w:tcPr>
          <w:p>
            <w:pPr>
              <w:jc w:val="both"/>
              <w:rPr>
                <w:rFonts w:hint="eastAsia" w:ascii="宋体" w:hAnsi="宋体" w:eastAsia="宋体" w:cs="宋体"/>
                <w:color w:val="auto"/>
                <w:sz w:val="24"/>
                <w:szCs w:val="24"/>
                <w:highlight w:val="none"/>
              </w:rPr>
            </w:pPr>
          </w:p>
        </w:tc>
        <w:tc>
          <w:tcPr>
            <w:tcW w:w="1723" w:type="dxa"/>
            <w:gridSpan w:val="2"/>
            <w:vAlign w:val="center"/>
          </w:tcPr>
          <w:p>
            <w:pPr>
              <w:jc w:val="both"/>
              <w:rPr>
                <w:rFonts w:hint="eastAsia" w:ascii="宋体" w:hAnsi="宋体" w:eastAsia="宋体" w:cs="宋体"/>
                <w:color w:val="auto"/>
                <w:sz w:val="24"/>
                <w:szCs w:val="24"/>
                <w:highlight w:val="none"/>
              </w:rPr>
            </w:pP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21" w:type="dxa"/>
            <w:vAlign w:val="center"/>
          </w:tcPr>
          <w:p>
            <w:pPr>
              <w:jc w:val="both"/>
              <w:rPr>
                <w:rFonts w:hint="eastAsia" w:ascii="宋体" w:hAnsi="宋体" w:eastAsia="宋体" w:cs="宋体"/>
                <w:color w:val="auto"/>
                <w:sz w:val="24"/>
                <w:szCs w:val="24"/>
                <w:highlight w:val="none"/>
              </w:rPr>
            </w:pPr>
          </w:p>
        </w:tc>
        <w:tc>
          <w:tcPr>
            <w:tcW w:w="1359" w:type="dxa"/>
            <w:gridSpan w:val="3"/>
            <w:vAlign w:val="center"/>
          </w:tcPr>
          <w:p>
            <w:pPr>
              <w:jc w:val="both"/>
              <w:rPr>
                <w:rFonts w:hint="eastAsia" w:ascii="宋体" w:hAnsi="宋体" w:eastAsia="宋体" w:cs="宋体"/>
                <w:color w:val="auto"/>
                <w:sz w:val="24"/>
                <w:szCs w:val="24"/>
                <w:highlight w:val="none"/>
              </w:rPr>
            </w:pPr>
          </w:p>
        </w:tc>
        <w:tc>
          <w:tcPr>
            <w:tcW w:w="1535" w:type="dxa"/>
            <w:gridSpan w:val="2"/>
            <w:vAlign w:val="center"/>
          </w:tcPr>
          <w:p>
            <w:pPr>
              <w:jc w:val="both"/>
              <w:rPr>
                <w:rFonts w:hint="eastAsia" w:ascii="宋体" w:hAnsi="宋体" w:eastAsia="宋体" w:cs="宋体"/>
                <w:color w:val="auto"/>
                <w:sz w:val="24"/>
                <w:szCs w:val="24"/>
                <w:highlight w:val="none"/>
              </w:rPr>
            </w:pPr>
          </w:p>
        </w:tc>
        <w:tc>
          <w:tcPr>
            <w:tcW w:w="1723" w:type="dxa"/>
            <w:gridSpan w:val="2"/>
            <w:vAlign w:val="center"/>
          </w:tcPr>
          <w:p>
            <w:pPr>
              <w:jc w:val="both"/>
              <w:rPr>
                <w:rFonts w:hint="eastAsia" w:ascii="宋体" w:hAnsi="宋体" w:eastAsia="宋体" w:cs="宋体"/>
                <w:color w:val="auto"/>
                <w:sz w:val="24"/>
                <w:szCs w:val="24"/>
                <w:highlight w:val="none"/>
              </w:rPr>
            </w:pP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900" w:type="dxa"/>
            <w:gridSpan w:val="11"/>
            <w:tcBorders>
              <w:top w:val="single" w:color="auto" w:sz="6"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技术人员/服务人员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年龄</w:t>
            </w:r>
          </w:p>
        </w:tc>
        <w:tc>
          <w:tcPr>
            <w:tcW w:w="1244" w:type="dxa"/>
            <w:gridSpan w:val="2"/>
            <w:tcBorders>
              <w:right w:val="single" w:color="auto" w:sz="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学历</w:t>
            </w:r>
          </w:p>
        </w:tc>
        <w:tc>
          <w:tcPr>
            <w:tcW w:w="1342" w:type="dxa"/>
            <w:gridSpan w:val="3"/>
            <w:tcBorders>
              <w:left w:val="single" w:color="auto" w:sz="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w:t>
            </w:r>
          </w:p>
        </w:tc>
        <w:tc>
          <w:tcPr>
            <w:tcW w:w="1529"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从事类似项目工作年限</w:t>
            </w:r>
          </w:p>
        </w:tc>
        <w:tc>
          <w:tcPr>
            <w:tcW w:w="1723"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主要工作</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业绩和经历</w:t>
            </w: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拟派</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44" w:type="dxa"/>
            <w:gridSpan w:val="2"/>
            <w:tcBorders>
              <w:right w:val="single" w:color="auto" w:sz="2" w:space="0"/>
            </w:tcBorders>
            <w:vAlign w:val="center"/>
          </w:tcPr>
          <w:p>
            <w:pPr>
              <w:jc w:val="both"/>
              <w:rPr>
                <w:rFonts w:hint="eastAsia" w:ascii="宋体" w:hAnsi="宋体" w:eastAsia="宋体" w:cs="宋体"/>
                <w:color w:val="auto"/>
                <w:sz w:val="24"/>
                <w:szCs w:val="24"/>
                <w:highlight w:val="none"/>
              </w:rPr>
            </w:pPr>
          </w:p>
        </w:tc>
        <w:tc>
          <w:tcPr>
            <w:tcW w:w="1342" w:type="dxa"/>
            <w:gridSpan w:val="3"/>
            <w:tcBorders>
              <w:left w:val="single" w:color="auto" w:sz="2" w:space="0"/>
            </w:tcBorders>
            <w:vAlign w:val="center"/>
          </w:tcPr>
          <w:p>
            <w:pPr>
              <w:jc w:val="both"/>
              <w:rPr>
                <w:rFonts w:hint="eastAsia" w:ascii="宋体" w:hAnsi="宋体" w:eastAsia="宋体" w:cs="宋体"/>
                <w:color w:val="auto"/>
                <w:sz w:val="24"/>
                <w:szCs w:val="24"/>
                <w:highlight w:val="none"/>
              </w:rPr>
            </w:pPr>
          </w:p>
        </w:tc>
        <w:tc>
          <w:tcPr>
            <w:tcW w:w="1529" w:type="dxa"/>
            <w:vAlign w:val="center"/>
          </w:tcPr>
          <w:p>
            <w:pPr>
              <w:jc w:val="both"/>
              <w:rPr>
                <w:rFonts w:hint="eastAsia" w:ascii="宋体" w:hAnsi="宋体" w:eastAsia="宋体" w:cs="宋体"/>
                <w:color w:val="auto"/>
                <w:sz w:val="24"/>
                <w:szCs w:val="24"/>
                <w:highlight w:val="none"/>
              </w:rPr>
            </w:pPr>
          </w:p>
        </w:tc>
        <w:tc>
          <w:tcPr>
            <w:tcW w:w="1723" w:type="dxa"/>
            <w:gridSpan w:val="2"/>
            <w:vAlign w:val="center"/>
          </w:tcPr>
          <w:p>
            <w:pPr>
              <w:jc w:val="both"/>
              <w:rPr>
                <w:rFonts w:hint="eastAsia" w:ascii="宋体" w:hAnsi="宋体" w:eastAsia="宋体" w:cs="宋体"/>
                <w:color w:val="auto"/>
                <w:sz w:val="24"/>
                <w:szCs w:val="24"/>
                <w:highlight w:val="none"/>
              </w:rPr>
            </w:pP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44" w:type="dxa"/>
            <w:gridSpan w:val="2"/>
            <w:tcBorders>
              <w:right w:val="single" w:color="auto" w:sz="2" w:space="0"/>
            </w:tcBorders>
            <w:vAlign w:val="center"/>
          </w:tcPr>
          <w:p>
            <w:pPr>
              <w:jc w:val="both"/>
              <w:rPr>
                <w:rFonts w:hint="eastAsia" w:ascii="宋体" w:hAnsi="宋体" w:eastAsia="宋体" w:cs="宋体"/>
                <w:color w:val="auto"/>
                <w:sz w:val="24"/>
                <w:szCs w:val="24"/>
                <w:highlight w:val="none"/>
              </w:rPr>
            </w:pPr>
          </w:p>
        </w:tc>
        <w:tc>
          <w:tcPr>
            <w:tcW w:w="1342" w:type="dxa"/>
            <w:gridSpan w:val="3"/>
            <w:tcBorders>
              <w:left w:val="single" w:color="auto" w:sz="2" w:space="0"/>
            </w:tcBorders>
            <w:vAlign w:val="center"/>
          </w:tcPr>
          <w:p>
            <w:pPr>
              <w:jc w:val="both"/>
              <w:rPr>
                <w:rFonts w:hint="eastAsia" w:ascii="宋体" w:hAnsi="宋体" w:eastAsia="宋体" w:cs="宋体"/>
                <w:color w:val="auto"/>
                <w:sz w:val="24"/>
                <w:szCs w:val="24"/>
                <w:highlight w:val="none"/>
              </w:rPr>
            </w:pPr>
          </w:p>
        </w:tc>
        <w:tc>
          <w:tcPr>
            <w:tcW w:w="1529" w:type="dxa"/>
            <w:vAlign w:val="center"/>
          </w:tcPr>
          <w:p>
            <w:pPr>
              <w:jc w:val="both"/>
              <w:rPr>
                <w:rFonts w:hint="eastAsia" w:ascii="宋体" w:hAnsi="宋体" w:eastAsia="宋体" w:cs="宋体"/>
                <w:color w:val="auto"/>
                <w:sz w:val="24"/>
                <w:szCs w:val="24"/>
                <w:highlight w:val="none"/>
              </w:rPr>
            </w:pPr>
          </w:p>
        </w:tc>
        <w:tc>
          <w:tcPr>
            <w:tcW w:w="1723" w:type="dxa"/>
            <w:gridSpan w:val="2"/>
            <w:vAlign w:val="center"/>
          </w:tcPr>
          <w:p>
            <w:pPr>
              <w:jc w:val="both"/>
              <w:rPr>
                <w:rFonts w:hint="eastAsia" w:ascii="宋体" w:hAnsi="宋体" w:eastAsia="宋体" w:cs="宋体"/>
                <w:color w:val="auto"/>
                <w:sz w:val="24"/>
                <w:szCs w:val="24"/>
                <w:highlight w:val="none"/>
              </w:rPr>
            </w:pP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900" w:type="dxa"/>
            <w:gridSpan w:val="11"/>
            <w:tcBorders>
              <w:top w:val="single" w:color="auto" w:sz="6"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年龄</w:t>
            </w:r>
          </w:p>
        </w:tc>
        <w:tc>
          <w:tcPr>
            <w:tcW w:w="1244" w:type="dxa"/>
            <w:gridSpan w:val="2"/>
            <w:tcBorders>
              <w:right w:val="single" w:color="auto" w:sz="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学历</w:t>
            </w:r>
          </w:p>
        </w:tc>
        <w:tc>
          <w:tcPr>
            <w:tcW w:w="1342" w:type="dxa"/>
            <w:gridSpan w:val="3"/>
            <w:tcBorders>
              <w:left w:val="single" w:color="auto" w:sz="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w:t>
            </w:r>
          </w:p>
        </w:tc>
        <w:tc>
          <w:tcPr>
            <w:tcW w:w="1529"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从事类似项目工作年限</w:t>
            </w:r>
          </w:p>
        </w:tc>
        <w:tc>
          <w:tcPr>
            <w:tcW w:w="1723"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主要工作</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业绩和经历</w:t>
            </w: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拟派</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44" w:type="dxa"/>
            <w:gridSpan w:val="2"/>
            <w:tcBorders>
              <w:right w:val="single" w:color="auto" w:sz="2" w:space="0"/>
            </w:tcBorders>
            <w:vAlign w:val="center"/>
          </w:tcPr>
          <w:p>
            <w:pPr>
              <w:jc w:val="both"/>
              <w:rPr>
                <w:rFonts w:hint="eastAsia" w:ascii="宋体" w:hAnsi="宋体" w:eastAsia="宋体" w:cs="宋体"/>
                <w:color w:val="auto"/>
                <w:sz w:val="24"/>
                <w:szCs w:val="24"/>
                <w:highlight w:val="none"/>
              </w:rPr>
            </w:pPr>
          </w:p>
        </w:tc>
        <w:tc>
          <w:tcPr>
            <w:tcW w:w="1342" w:type="dxa"/>
            <w:gridSpan w:val="3"/>
            <w:tcBorders>
              <w:left w:val="single" w:color="auto" w:sz="2" w:space="0"/>
            </w:tcBorders>
            <w:vAlign w:val="center"/>
          </w:tcPr>
          <w:p>
            <w:pPr>
              <w:jc w:val="both"/>
              <w:rPr>
                <w:rFonts w:hint="eastAsia" w:ascii="宋体" w:hAnsi="宋体" w:eastAsia="宋体" w:cs="宋体"/>
                <w:color w:val="auto"/>
                <w:sz w:val="24"/>
                <w:szCs w:val="24"/>
                <w:highlight w:val="none"/>
              </w:rPr>
            </w:pPr>
          </w:p>
        </w:tc>
        <w:tc>
          <w:tcPr>
            <w:tcW w:w="1529" w:type="dxa"/>
            <w:vAlign w:val="center"/>
          </w:tcPr>
          <w:p>
            <w:pPr>
              <w:jc w:val="both"/>
              <w:rPr>
                <w:rFonts w:hint="eastAsia" w:ascii="宋体" w:hAnsi="宋体" w:eastAsia="宋体" w:cs="宋体"/>
                <w:color w:val="auto"/>
                <w:sz w:val="24"/>
                <w:szCs w:val="24"/>
                <w:highlight w:val="none"/>
              </w:rPr>
            </w:pPr>
          </w:p>
        </w:tc>
        <w:tc>
          <w:tcPr>
            <w:tcW w:w="1723" w:type="dxa"/>
            <w:gridSpan w:val="2"/>
            <w:vAlign w:val="center"/>
          </w:tcPr>
          <w:p>
            <w:pPr>
              <w:jc w:val="both"/>
              <w:rPr>
                <w:rFonts w:hint="eastAsia" w:ascii="宋体" w:hAnsi="宋体" w:eastAsia="宋体" w:cs="宋体"/>
                <w:color w:val="auto"/>
                <w:sz w:val="24"/>
                <w:szCs w:val="24"/>
                <w:highlight w:val="none"/>
              </w:rPr>
            </w:pP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44" w:type="dxa"/>
            <w:gridSpan w:val="2"/>
            <w:tcBorders>
              <w:right w:val="single" w:color="auto" w:sz="2" w:space="0"/>
            </w:tcBorders>
            <w:vAlign w:val="center"/>
          </w:tcPr>
          <w:p>
            <w:pPr>
              <w:jc w:val="both"/>
              <w:rPr>
                <w:rFonts w:hint="eastAsia" w:ascii="宋体" w:hAnsi="宋体" w:eastAsia="宋体" w:cs="宋体"/>
                <w:color w:val="auto"/>
                <w:sz w:val="24"/>
                <w:szCs w:val="24"/>
                <w:highlight w:val="none"/>
              </w:rPr>
            </w:pPr>
          </w:p>
        </w:tc>
        <w:tc>
          <w:tcPr>
            <w:tcW w:w="1342" w:type="dxa"/>
            <w:gridSpan w:val="3"/>
            <w:tcBorders>
              <w:left w:val="single" w:color="auto" w:sz="2" w:space="0"/>
            </w:tcBorders>
            <w:vAlign w:val="center"/>
          </w:tcPr>
          <w:p>
            <w:pPr>
              <w:jc w:val="both"/>
              <w:rPr>
                <w:rFonts w:hint="eastAsia" w:ascii="宋体" w:hAnsi="宋体" w:eastAsia="宋体" w:cs="宋体"/>
                <w:color w:val="auto"/>
                <w:sz w:val="24"/>
                <w:szCs w:val="24"/>
                <w:highlight w:val="none"/>
              </w:rPr>
            </w:pPr>
          </w:p>
        </w:tc>
        <w:tc>
          <w:tcPr>
            <w:tcW w:w="1529" w:type="dxa"/>
            <w:vAlign w:val="center"/>
          </w:tcPr>
          <w:p>
            <w:pPr>
              <w:jc w:val="both"/>
              <w:rPr>
                <w:rFonts w:hint="eastAsia" w:ascii="宋体" w:hAnsi="宋体" w:eastAsia="宋体" w:cs="宋体"/>
                <w:color w:val="auto"/>
                <w:sz w:val="24"/>
                <w:szCs w:val="24"/>
                <w:highlight w:val="none"/>
              </w:rPr>
            </w:pPr>
          </w:p>
        </w:tc>
        <w:tc>
          <w:tcPr>
            <w:tcW w:w="1723" w:type="dxa"/>
            <w:gridSpan w:val="2"/>
            <w:vAlign w:val="center"/>
          </w:tcPr>
          <w:p>
            <w:pPr>
              <w:jc w:val="both"/>
              <w:rPr>
                <w:rFonts w:hint="eastAsia" w:ascii="宋体" w:hAnsi="宋体" w:eastAsia="宋体" w:cs="宋体"/>
                <w:color w:val="auto"/>
                <w:sz w:val="24"/>
                <w:szCs w:val="24"/>
                <w:highlight w:val="none"/>
              </w:rPr>
            </w:pP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099" w:type="dxa"/>
            <w:tcBorders>
              <w:top w:val="single" w:color="auto" w:sz="6" w:space="0"/>
              <w:left w:val="single" w:color="auto" w:sz="12" w:space="0"/>
              <w:bottom w:val="single" w:color="auto" w:sz="12" w:space="0"/>
              <w:righ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7801" w:type="dxa"/>
            <w:gridSpan w:val="10"/>
            <w:tcBorders>
              <w:left w:val="single" w:color="auto" w:sz="6" w:space="0"/>
              <w:bottom w:val="single" w:color="auto" w:sz="12" w:space="0"/>
              <w:right w:val="single" w:color="auto" w:sz="1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1．表格行数不足时请自行扩展。</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2．表中所列“项目负责人、管理人员、技术人员/服务人员、辅助人员”仅为示例，</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可根据招标文件要求自行安排人员类别。</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3．招标文件对人员“资格\学历\职称”提出要求的，应在本表下方附相应的“资格证\学历证\职称证”等证明文件。</w:t>
            </w:r>
          </w:p>
        </w:tc>
      </w:tr>
    </w:tbl>
    <w:p>
      <w:pPr>
        <w:spacing w:line="560" w:lineRule="exact"/>
        <w:ind w:firstLine="2762" w:firstLineChars="1151"/>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2．拟投入项目的专业设备情况表</w:t>
      </w:r>
    </w:p>
    <w:tbl>
      <w:tblPr>
        <w:tblStyle w:val="85"/>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552"/>
        <w:gridCol w:w="1361"/>
        <w:gridCol w:w="1474"/>
        <w:gridCol w:w="851"/>
        <w:gridCol w:w="1559"/>
        <w:gridCol w:w="1418"/>
        <w:gridCol w:w="165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tcBorders>
              <w:top w:val="single" w:color="auto" w:sz="12" w:space="0"/>
              <w:bottom w:val="single" w:color="auto" w:sz="2" w:space="0"/>
            </w:tcBorders>
            <w:shd w:val="clear" w:color="auto" w:fill="F1F1F1" w:themeFill="background1" w:themeFillShade="F2"/>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序号</w:t>
            </w:r>
          </w:p>
        </w:tc>
        <w:tc>
          <w:tcPr>
            <w:tcW w:w="1361" w:type="dxa"/>
            <w:tcBorders>
              <w:top w:val="single" w:color="auto" w:sz="12" w:space="0"/>
              <w:bottom w:val="single" w:color="auto" w:sz="2" w:space="0"/>
            </w:tcBorders>
            <w:shd w:val="clear" w:color="auto" w:fill="F1F1F1" w:themeFill="background1" w:themeFillShade="F2"/>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设备名称</w:t>
            </w:r>
          </w:p>
        </w:tc>
        <w:tc>
          <w:tcPr>
            <w:tcW w:w="1474" w:type="dxa"/>
            <w:tcBorders>
              <w:top w:val="single" w:color="auto" w:sz="12" w:space="0"/>
              <w:bottom w:val="single" w:color="auto" w:sz="2" w:space="0"/>
            </w:tcBorders>
            <w:shd w:val="clear" w:color="auto" w:fill="F1F1F1" w:themeFill="background1" w:themeFillShade="F2"/>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计量单位</w:t>
            </w:r>
          </w:p>
        </w:tc>
        <w:tc>
          <w:tcPr>
            <w:tcW w:w="851" w:type="dxa"/>
            <w:tcBorders>
              <w:top w:val="single" w:color="auto" w:sz="12" w:space="0"/>
              <w:bottom w:val="single" w:color="auto" w:sz="2" w:space="0"/>
            </w:tcBorders>
            <w:shd w:val="clear" w:color="auto" w:fill="F1F1F1" w:themeFill="background1" w:themeFillShade="F2"/>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数量</w:t>
            </w:r>
          </w:p>
        </w:tc>
        <w:tc>
          <w:tcPr>
            <w:tcW w:w="1559" w:type="dxa"/>
            <w:tcBorders>
              <w:top w:val="single" w:color="auto" w:sz="12" w:space="0"/>
              <w:bottom w:val="single" w:color="auto" w:sz="2" w:space="0"/>
            </w:tcBorders>
            <w:shd w:val="clear" w:color="auto" w:fill="F1F1F1" w:themeFill="background1" w:themeFillShade="F2"/>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生产企业</w:t>
            </w:r>
          </w:p>
        </w:tc>
        <w:tc>
          <w:tcPr>
            <w:tcW w:w="1418" w:type="dxa"/>
            <w:tcBorders>
              <w:top w:val="single" w:color="auto" w:sz="12" w:space="0"/>
              <w:bottom w:val="single" w:color="auto" w:sz="2" w:space="0"/>
            </w:tcBorders>
            <w:shd w:val="clear" w:color="auto" w:fill="F1F1F1" w:themeFill="background1" w:themeFillShade="F2"/>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使用年限</w:t>
            </w:r>
          </w:p>
        </w:tc>
        <w:tc>
          <w:tcPr>
            <w:tcW w:w="1653" w:type="dxa"/>
            <w:tcBorders>
              <w:top w:val="single" w:color="auto" w:sz="12" w:space="0"/>
              <w:bottom w:val="single" w:color="auto" w:sz="2" w:space="0"/>
            </w:tcBorders>
            <w:shd w:val="clear" w:color="auto" w:fill="F1F1F1" w:themeFill="background1" w:themeFillShade="F2"/>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自购/外协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tcBorders>
              <w:top w:val="single" w:color="auto" w:sz="2" w:space="0"/>
            </w:tcBorders>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361" w:type="dxa"/>
            <w:tcBorders>
              <w:top w:val="single" w:color="auto" w:sz="2" w:space="0"/>
            </w:tcBorders>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74" w:type="dxa"/>
            <w:tcBorders>
              <w:top w:val="single" w:color="auto" w:sz="2" w:space="0"/>
            </w:tcBorders>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851" w:type="dxa"/>
            <w:tcBorders>
              <w:top w:val="single" w:color="auto" w:sz="2" w:space="0"/>
            </w:tcBorders>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559" w:type="dxa"/>
            <w:tcBorders>
              <w:top w:val="single" w:color="auto" w:sz="2" w:space="0"/>
            </w:tcBorders>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18" w:type="dxa"/>
            <w:tcBorders>
              <w:top w:val="single" w:color="auto" w:sz="2" w:space="0"/>
            </w:tcBorders>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653" w:type="dxa"/>
            <w:tcBorders>
              <w:top w:val="single" w:color="auto" w:sz="2" w:space="0"/>
            </w:tcBorders>
            <w:shd w:val="clear" w:color="auto" w:fill="auto"/>
            <w:vAlign w:val="center"/>
          </w:tcPr>
          <w:p>
            <w:pPr>
              <w:ind w:firstLine="0"/>
              <w:jc w:val="both"/>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36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74"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85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559"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18"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653" w:type="dxa"/>
            <w:shd w:val="clear" w:color="auto" w:fill="auto"/>
            <w:vAlign w:val="center"/>
          </w:tcPr>
          <w:p>
            <w:pPr>
              <w:ind w:firstLine="0"/>
              <w:jc w:val="both"/>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36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74"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85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559"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18"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653" w:type="dxa"/>
            <w:shd w:val="clear" w:color="auto" w:fill="auto"/>
            <w:vAlign w:val="center"/>
          </w:tcPr>
          <w:p>
            <w:pPr>
              <w:ind w:firstLine="0"/>
              <w:jc w:val="both"/>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36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74"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85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559"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18"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653" w:type="dxa"/>
            <w:shd w:val="clear" w:color="auto" w:fill="auto"/>
            <w:vAlign w:val="center"/>
          </w:tcPr>
          <w:p>
            <w:pPr>
              <w:ind w:firstLine="0"/>
              <w:jc w:val="both"/>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36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74"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85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559"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18"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653" w:type="dxa"/>
            <w:shd w:val="clear" w:color="auto" w:fill="auto"/>
            <w:vAlign w:val="center"/>
          </w:tcPr>
          <w:p>
            <w:pPr>
              <w:ind w:firstLine="0"/>
              <w:jc w:val="both"/>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36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74"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85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559"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18"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653" w:type="dxa"/>
            <w:shd w:val="clear" w:color="auto" w:fill="auto"/>
            <w:vAlign w:val="center"/>
          </w:tcPr>
          <w:p>
            <w:pPr>
              <w:ind w:firstLine="0"/>
              <w:jc w:val="both"/>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36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74"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85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559"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18"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653" w:type="dxa"/>
            <w:shd w:val="clear" w:color="auto" w:fill="auto"/>
            <w:vAlign w:val="center"/>
          </w:tcPr>
          <w:p>
            <w:pPr>
              <w:ind w:firstLine="0"/>
              <w:jc w:val="both"/>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36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74"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85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559"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18"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653" w:type="dxa"/>
            <w:shd w:val="clear" w:color="auto" w:fill="auto"/>
            <w:vAlign w:val="center"/>
          </w:tcPr>
          <w:p>
            <w:pPr>
              <w:ind w:firstLine="0"/>
              <w:jc w:val="both"/>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备注</w:t>
            </w:r>
          </w:p>
        </w:tc>
        <w:tc>
          <w:tcPr>
            <w:tcW w:w="8316" w:type="dxa"/>
            <w:gridSpan w:val="6"/>
            <w:shd w:val="clear" w:color="auto" w:fill="auto"/>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1．表格行数不足时请自行扩展。</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2．设备可以填写单台设备，也可以填写成套设备。</w:t>
            </w:r>
          </w:p>
        </w:tc>
      </w:tr>
    </w:tbl>
    <w:p>
      <w:pPr>
        <w:spacing w:line="560" w:lineRule="exact"/>
        <w:ind w:firstLine="2762" w:firstLineChars="1151"/>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3．业绩</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4.其他（根据招标文件要求自行补充）</w:t>
      </w:r>
    </w:p>
    <w:sectPr>
      <w:headerReference r:id="rId9" w:type="first"/>
      <w:footerReference r:id="rId12" w:type="first"/>
      <w:headerReference r:id="rId8" w:type="default"/>
      <w:footerReference r:id="rId10" w:type="default"/>
      <w:footerReference r:id="rId11" w:type="even"/>
      <w:pgSz w:w="11906" w:h="16838"/>
      <w:pgMar w:top="1440" w:right="1406" w:bottom="1440" w:left="1633" w:header="851" w:footer="992" w:gutter="0"/>
      <w:pgBorders>
        <w:top w:val="none" w:sz="0" w:space="0"/>
        <w:left w:val="none" w:sz="0" w:space="0"/>
        <w:bottom w:val="none" w:sz="0" w:space="0"/>
        <w:right w:val="none" w:sz="0" w:space="0"/>
      </w:pgBorders>
      <w:pgNumType w:fmt="decimal" w:start="2"/>
      <w:cols w:space="425" w:num="1"/>
      <w:titlePg/>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left"/>
      <w:rPr>
        <w:rFonts w:hint="eastAsia" w:ascii="仿宋" w:hAnsi="仿宋" w:eastAsia="仿宋"/>
        <w:b/>
        <w:szCs w:val="21"/>
      </w:rPr>
    </w:pPr>
    <w:r>
      <w:rPr>
        <w:rFonts w:hint="eastAsia" w:ascii="仿宋" w:hAnsi="仿宋" w:eastAsia="仿宋"/>
        <w:b/>
        <w:szCs w:val="21"/>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126365</wp:posOffset>
              </wp:positionV>
              <wp:extent cx="5588000" cy="34925"/>
              <wp:effectExtent l="0" t="4445" r="12700" b="17780"/>
              <wp:wrapNone/>
              <wp:docPr id="7" name="直接箭头连接符 7"/>
              <wp:cNvGraphicFramePr/>
              <a:graphic xmlns:a="http://schemas.openxmlformats.org/drawingml/2006/main">
                <a:graphicData uri="http://schemas.microsoft.com/office/word/2010/wordprocessingShape">
                  <wps:wsp>
                    <wps:cNvCnPr/>
                    <wps:spPr>
                      <a:xfrm>
                        <a:off x="0" y="0"/>
                        <a:ext cx="5588000" cy="34925"/>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05pt;margin-top:9.95pt;height:2.75pt;width:440pt;z-index:251661312;mso-width-relative:page;mso-height-relative:page;" filled="f" stroked="t" coordsize="21600,21600" o:gfxdata="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hHe19QAAAAGAQAADwAAAAAAAAABACAAAAAiAAAAZHJzL2Rvd25yZXYu&#10;eG1sUEsBAhQAFAAAAAgAh07iQBT160b/AQAA8AMAAA4AAAAAAAAAAQAgAAAAIwEAAGRycy9lMm9E&#10;b2MueG1sUEsFBgAAAAAGAAYAWQEAAJQFAAAAAA==&#10;">
              <v:fill on="f" focussize="0,0"/>
              <v:stroke weight="0.25pt" color="#000000" joinstyle="round"/>
              <v:imagedata o:title=""/>
              <o:lock v:ext="edit" aspectratio="f"/>
            </v:shape>
          </w:pict>
        </mc:Fallback>
      </mc:AlternateContent>
    </w:r>
  </w:p>
  <w:p>
    <w:pPr>
      <w:spacing w:line="280" w:lineRule="exact"/>
      <w:jc w:val="center"/>
    </w:pPr>
    <w:r>
      <w:rPr>
        <w:rFonts w:hint="eastAsia" w:ascii="宋体" w:hAnsi="宋体"/>
        <w:b/>
        <w:sz w:val="18"/>
        <w:szCs w:val="18"/>
      </w:rPr>
      <w:t>陕西上德招标有限公司（</w:t>
    </w:r>
    <w:r>
      <w:rPr>
        <w:rFonts w:ascii="宋体" w:hAnsi="宋体"/>
        <w:b/>
        <w:sz w:val="18"/>
        <w:szCs w:val="18"/>
      </w:rPr>
      <w:fldChar w:fldCharType="begin"/>
    </w:r>
    <w:r>
      <w:rPr>
        <w:rFonts w:ascii="宋体" w:hAnsi="宋体"/>
        <w:b/>
        <w:sz w:val="18"/>
        <w:szCs w:val="18"/>
      </w:rPr>
      <w:instrText xml:space="preserve"> HYPERLINK "http://www.sxsdzb.com/" </w:instrText>
    </w:r>
    <w:r>
      <w:rPr>
        <w:rFonts w:ascii="宋体" w:hAnsi="宋体"/>
        <w:b/>
        <w:sz w:val="18"/>
        <w:szCs w:val="18"/>
      </w:rPr>
      <w:fldChar w:fldCharType="separate"/>
    </w:r>
    <w:r>
      <w:rPr>
        <w:rStyle w:val="32"/>
        <w:rFonts w:ascii="宋体" w:hAnsi="宋体"/>
        <w:sz w:val="18"/>
        <w:szCs w:val="18"/>
      </w:rPr>
      <w:t>http://www.sxsdzb.com/</w:t>
    </w:r>
    <w:r>
      <w:rPr>
        <w:rFonts w:ascii="宋体" w:hAnsi="宋体"/>
        <w:b/>
        <w:sz w:val="18"/>
        <w:szCs w:val="18"/>
      </w:rPr>
      <w:fldChar w:fldCharType="end"/>
    </w:r>
    <w:r>
      <w:rPr>
        <w:rFonts w:hint="eastAsia" w:ascii="宋体" w:hAnsi="宋体"/>
        <w:b/>
        <w:sz w:val="18"/>
        <w:szCs w:val="18"/>
      </w:rPr>
      <w:t>）    西安市经开区凤城八路正尚国际金融广场A座7层703第</w:t>
    </w:r>
    <w:r>
      <w:rPr>
        <w:rFonts w:ascii="宋体" w:hAnsi="宋体"/>
        <w:b/>
        <w:sz w:val="18"/>
        <w:szCs w:val="18"/>
      </w:rPr>
      <w:fldChar w:fldCharType="begin"/>
    </w:r>
    <w:r>
      <w:rPr>
        <w:rFonts w:ascii="宋体" w:hAnsi="宋体"/>
        <w:b/>
        <w:sz w:val="18"/>
        <w:szCs w:val="18"/>
      </w:rPr>
      <w:instrText xml:space="preserve"> </w:instrText>
    </w:r>
    <w:r>
      <w:rPr>
        <w:rFonts w:hint="eastAsia" w:ascii="宋体" w:hAnsi="宋体"/>
        <w:b/>
        <w:sz w:val="18"/>
        <w:szCs w:val="18"/>
      </w:rPr>
      <w:instrText xml:space="preserve">PAGE  \* Arabic  \* MERGEFORMAT</w:instrText>
    </w:r>
    <w:r>
      <w:rPr>
        <w:rFonts w:ascii="宋体" w:hAnsi="宋体"/>
        <w:b/>
        <w:sz w:val="18"/>
        <w:szCs w:val="18"/>
      </w:rPr>
      <w:instrText xml:space="preserve"> </w:instrText>
    </w:r>
    <w:r>
      <w:rPr>
        <w:rFonts w:ascii="宋体" w:hAnsi="宋体"/>
        <w:b/>
        <w:sz w:val="18"/>
        <w:szCs w:val="18"/>
      </w:rPr>
      <w:fldChar w:fldCharType="separate"/>
    </w:r>
    <w:r>
      <w:rPr>
        <w:rFonts w:ascii="宋体" w:hAnsi="宋体"/>
        <w:b/>
        <w:sz w:val="18"/>
        <w:szCs w:val="18"/>
      </w:rPr>
      <w:t>53</w:t>
    </w:r>
    <w:r>
      <w:rPr>
        <w:rFonts w:ascii="宋体" w:hAnsi="宋体"/>
        <w:b/>
        <w:sz w:val="18"/>
        <w:szCs w:val="18"/>
      </w:rPr>
      <w:fldChar w:fldCharType="end"/>
    </w:r>
    <w:r>
      <w:rPr>
        <w:rFonts w:hint="eastAsia" w:ascii="宋体" w:hAnsi="宋体"/>
        <w:b/>
        <w:sz w:val="18"/>
        <w:szCs w:val="18"/>
      </w:rPr>
      <w:t>页 共</w:t>
    </w:r>
    <w:r>
      <w:rPr>
        <w:rFonts w:ascii="宋体" w:hAnsi="宋体"/>
        <w:b/>
        <w:sz w:val="18"/>
        <w:szCs w:val="18"/>
      </w:rPr>
      <w:fldChar w:fldCharType="begin"/>
    </w:r>
    <w:r>
      <w:rPr>
        <w:rFonts w:ascii="宋体" w:hAnsi="宋体"/>
        <w:b/>
        <w:sz w:val="18"/>
        <w:szCs w:val="18"/>
      </w:rPr>
      <w:instrText xml:space="preserve"> </w:instrText>
    </w:r>
    <w:r>
      <w:rPr>
        <w:rFonts w:hint="eastAsia" w:ascii="宋体" w:hAnsi="宋体"/>
        <w:b/>
        <w:sz w:val="18"/>
        <w:szCs w:val="18"/>
      </w:rPr>
      <w:instrText xml:space="preserve">NUMPAGES  \* Arabic  \* MERGEFORMAT</w:instrText>
    </w:r>
    <w:r>
      <w:rPr>
        <w:rFonts w:ascii="宋体" w:hAnsi="宋体"/>
        <w:b/>
        <w:sz w:val="18"/>
        <w:szCs w:val="18"/>
      </w:rPr>
      <w:instrText xml:space="preserve"> </w:instrText>
    </w:r>
    <w:r>
      <w:rPr>
        <w:rFonts w:ascii="宋体" w:hAnsi="宋体"/>
        <w:b/>
        <w:sz w:val="18"/>
        <w:szCs w:val="18"/>
      </w:rPr>
      <w:fldChar w:fldCharType="separate"/>
    </w:r>
    <w:r>
      <w:rPr>
        <w:rFonts w:ascii="宋体" w:hAnsi="宋体"/>
        <w:b/>
        <w:sz w:val="18"/>
        <w:szCs w:val="18"/>
      </w:rPr>
      <w:t>70</w:t>
    </w:r>
    <w:r>
      <w:rPr>
        <w:rFonts w:ascii="宋体" w:hAnsi="宋体"/>
        <w:b/>
        <w:sz w:val="18"/>
        <w:szCs w:val="18"/>
      </w:rPr>
      <w:fldChar w:fldCharType="end"/>
    </w:r>
    <w:r>
      <w:rPr>
        <w:rFonts w:hint="eastAsia" w:ascii="宋体" w:hAnsi="宋体"/>
        <w:b/>
        <w:sz w:val="18"/>
        <w:szCs w:val="18"/>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left"/>
      <w:rPr>
        <w:rFonts w:hint="eastAsia" w:ascii="仿宋" w:hAnsi="仿宋" w:eastAsia="仿宋"/>
        <w:b/>
        <w:szCs w:val="21"/>
      </w:rPr>
    </w:pPr>
    <w:r>
      <w:rPr>
        <w:rFonts w:hint="eastAsia" w:ascii="仿宋" w:hAnsi="仿宋" w:eastAsia="仿宋"/>
        <w:b/>
        <w:szCs w:val="21"/>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126365</wp:posOffset>
              </wp:positionV>
              <wp:extent cx="5588000" cy="34925"/>
              <wp:effectExtent l="0" t="4445" r="12700" b="17780"/>
              <wp:wrapNone/>
              <wp:docPr id="6" name="直接箭头连接符 6"/>
              <wp:cNvGraphicFramePr/>
              <a:graphic xmlns:a="http://schemas.openxmlformats.org/drawingml/2006/main">
                <a:graphicData uri="http://schemas.microsoft.com/office/word/2010/wordprocessingShape">
                  <wps:wsp>
                    <wps:cNvCnPr/>
                    <wps:spPr>
                      <a:xfrm>
                        <a:off x="0" y="0"/>
                        <a:ext cx="5588000" cy="34925"/>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05pt;margin-top:9.95pt;height:2.75pt;width:440pt;z-index:251662336;mso-width-relative:page;mso-height-relative:page;" filled="f" stroked="t" coordsize="21600,21600" o:gfxdata="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hHe19QAAAAGAQAADwAAAAAAAAABACAAAAAiAAAAZHJzL2Rvd25yZXYu&#10;eG1sUEsBAhQAFAAAAAgAh07iQFOFMQn/AQAA8AMAAA4AAAAAAAAAAQAgAAAAIwEAAGRycy9lMm9E&#10;b2MueG1sUEsFBgAAAAAGAAYAWQEAAJQFAAAAAA==&#10;">
              <v:fill on="f" focussize="0,0"/>
              <v:stroke weight="0.25pt" color="#000000" joinstyle="round"/>
              <v:imagedata o:title=""/>
              <o:lock v:ext="edit" aspectratio="f"/>
            </v:shape>
          </w:pict>
        </mc:Fallback>
      </mc:AlternateContent>
    </w:r>
  </w:p>
  <w:p>
    <w:pPr>
      <w:spacing w:line="280" w:lineRule="exact"/>
      <w:jc w:val="center"/>
      <w:rPr>
        <w:rFonts w:hint="eastAsia" w:ascii="宋体" w:hAnsi="宋体"/>
        <w:b/>
        <w:sz w:val="18"/>
        <w:szCs w:val="18"/>
      </w:rPr>
    </w:pPr>
    <w:r>
      <w:rPr>
        <w:rFonts w:hint="eastAsia" w:ascii="宋体" w:hAnsi="宋体"/>
        <w:b/>
        <w:sz w:val="18"/>
        <w:szCs w:val="18"/>
      </w:rPr>
      <w:t>陕西上德招标有限公司（</w:t>
    </w:r>
    <w:r>
      <w:rPr>
        <w:rFonts w:ascii="宋体" w:hAnsi="宋体"/>
        <w:b/>
        <w:sz w:val="18"/>
        <w:szCs w:val="18"/>
      </w:rPr>
      <w:fldChar w:fldCharType="begin"/>
    </w:r>
    <w:r>
      <w:rPr>
        <w:rFonts w:ascii="宋体" w:hAnsi="宋体"/>
        <w:b/>
        <w:sz w:val="18"/>
        <w:szCs w:val="18"/>
      </w:rPr>
      <w:instrText xml:space="preserve"> HYPERLINK "http://www.sxsdzb.com/" </w:instrText>
    </w:r>
    <w:r>
      <w:rPr>
        <w:rFonts w:ascii="宋体" w:hAnsi="宋体"/>
        <w:b/>
        <w:sz w:val="18"/>
        <w:szCs w:val="18"/>
      </w:rPr>
      <w:fldChar w:fldCharType="separate"/>
    </w:r>
    <w:r>
      <w:rPr>
        <w:rStyle w:val="32"/>
        <w:rFonts w:ascii="宋体" w:hAnsi="宋体"/>
        <w:sz w:val="18"/>
        <w:szCs w:val="18"/>
      </w:rPr>
      <w:t>http://www.sxsdzb.com/</w:t>
    </w:r>
    <w:r>
      <w:rPr>
        <w:rFonts w:ascii="宋体" w:hAnsi="宋体"/>
        <w:b/>
        <w:sz w:val="18"/>
        <w:szCs w:val="18"/>
      </w:rPr>
      <w:fldChar w:fldCharType="end"/>
    </w:r>
    <w:r>
      <w:rPr>
        <w:rFonts w:hint="eastAsia" w:ascii="宋体" w:hAnsi="宋体"/>
        <w:b/>
        <w:sz w:val="18"/>
        <w:szCs w:val="18"/>
      </w:rPr>
      <w:t>）    西安市经开区凤城八路正尚国际金融广场A座7层703第</w:t>
    </w:r>
    <w:r>
      <w:rPr>
        <w:rFonts w:ascii="宋体" w:hAnsi="宋体"/>
        <w:b/>
        <w:sz w:val="18"/>
        <w:szCs w:val="18"/>
      </w:rPr>
      <w:fldChar w:fldCharType="begin"/>
    </w:r>
    <w:r>
      <w:rPr>
        <w:rFonts w:ascii="宋体" w:hAnsi="宋体"/>
        <w:b/>
        <w:sz w:val="18"/>
        <w:szCs w:val="18"/>
      </w:rPr>
      <w:instrText xml:space="preserve"> </w:instrText>
    </w:r>
    <w:r>
      <w:rPr>
        <w:rFonts w:hint="eastAsia" w:ascii="宋体" w:hAnsi="宋体"/>
        <w:b/>
        <w:sz w:val="18"/>
        <w:szCs w:val="18"/>
      </w:rPr>
      <w:instrText xml:space="preserve">PAGE  \* Arabic  \* MERGEFORMAT</w:instrText>
    </w:r>
    <w:r>
      <w:rPr>
        <w:rFonts w:ascii="宋体" w:hAnsi="宋体"/>
        <w:b/>
        <w:sz w:val="18"/>
        <w:szCs w:val="18"/>
      </w:rPr>
      <w:instrText xml:space="preserve"> </w:instrText>
    </w:r>
    <w:r>
      <w:rPr>
        <w:rFonts w:ascii="宋体" w:hAnsi="宋体"/>
        <w:b/>
        <w:sz w:val="18"/>
        <w:szCs w:val="18"/>
      </w:rPr>
      <w:fldChar w:fldCharType="separate"/>
    </w:r>
    <w:r>
      <w:rPr>
        <w:rFonts w:ascii="宋体" w:hAnsi="宋体"/>
        <w:b/>
        <w:sz w:val="18"/>
        <w:szCs w:val="18"/>
      </w:rPr>
      <w:t>53</w:t>
    </w:r>
    <w:r>
      <w:rPr>
        <w:rFonts w:ascii="宋体" w:hAnsi="宋体"/>
        <w:b/>
        <w:sz w:val="18"/>
        <w:szCs w:val="18"/>
      </w:rPr>
      <w:fldChar w:fldCharType="end"/>
    </w:r>
    <w:r>
      <w:rPr>
        <w:rFonts w:hint="eastAsia" w:ascii="宋体" w:hAnsi="宋体"/>
        <w:b/>
        <w:sz w:val="18"/>
        <w:szCs w:val="18"/>
      </w:rPr>
      <w:t>页 共</w:t>
    </w:r>
    <w:r>
      <w:rPr>
        <w:rFonts w:ascii="宋体" w:hAnsi="宋体"/>
        <w:b/>
        <w:sz w:val="18"/>
        <w:szCs w:val="18"/>
      </w:rPr>
      <w:fldChar w:fldCharType="begin"/>
    </w:r>
    <w:r>
      <w:rPr>
        <w:rFonts w:ascii="宋体" w:hAnsi="宋体"/>
        <w:b/>
        <w:sz w:val="18"/>
        <w:szCs w:val="18"/>
      </w:rPr>
      <w:instrText xml:space="preserve"> </w:instrText>
    </w:r>
    <w:r>
      <w:rPr>
        <w:rFonts w:hint="eastAsia" w:ascii="宋体" w:hAnsi="宋体"/>
        <w:b/>
        <w:sz w:val="18"/>
        <w:szCs w:val="18"/>
      </w:rPr>
      <w:instrText xml:space="preserve">NUMPAGES  \* Arabic  \* MERGEFORMAT</w:instrText>
    </w:r>
    <w:r>
      <w:rPr>
        <w:rFonts w:ascii="宋体" w:hAnsi="宋体"/>
        <w:b/>
        <w:sz w:val="18"/>
        <w:szCs w:val="18"/>
      </w:rPr>
      <w:instrText xml:space="preserve"> </w:instrText>
    </w:r>
    <w:r>
      <w:rPr>
        <w:rFonts w:ascii="宋体" w:hAnsi="宋体"/>
        <w:b/>
        <w:sz w:val="18"/>
        <w:szCs w:val="18"/>
      </w:rPr>
      <w:fldChar w:fldCharType="separate"/>
    </w:r>
    <w:r>
      <w:rPr>
        <w:rFonts w:ascii="宋体" w:hAnsi="宋体"/>
        <w:b/>
        <w:sz w:val="18"/>
        <w:szCs w:val="18"/>
      </w:rPr>
      <w:t>70</w:t>
    </w:r>
    <w:r>
      <w:rPr>
        <w:rFonts w:ascii="宋体" w:hAnsi="宋体"/>
        <w:b/>
        <w:sz w:val="18"/>
        <w:szCs w:val="18"/>
      </w:rPr>
      <w:fldChar w:fldCharType="end"/>
    </w:r>
    <w:r>
      <w:rPr>
        <w:rFonts w:hint="eastAsia" w:ascii="宋体" w:hAnsi="宋体"/>
        <w:b/>
        <w:sz w:val="18"/>
        <w:szCs w:val="18"/>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hint="default" w:ascii="宋体" w:hAnsi="宋体" w:eastAsia="宋体"/>
        <w:b/>
        <w:sz w:val="18"/>
        <w:szCs w:val="18"/>
        <w:u w:val="single"/>
        <w:lang w:val="en-US" w:eastAsia="zh-CN"/>
      </w:rPr>
    </w:pPr>
    <w:r>
      <w:rPr>
        <w:rFonts w:hint="eastAsia" w:ascii="宋体" w:hAnsi="宋体"/>
        <w:b/>
        <w:sz w:val="18"/>
        <w:szCs w:val="18"/>
        <w:u w:val="single"/>
        <w:lang w:eastAsia="zh-CN"/>
      </w:rPr>
      <w:t>西安市鄠邑区妇幼保健计划生育服务中心（区妇幼保健院）宫腔镜和电子阴道镜系统购置项目</w:t>
    </w:r>
    <w:r>
      <w:rPr>
        <w:rFonts w:hint="eastAsia" w:ascii="宋体" w:hAnsi="宋体"/>
        <w:b/>
        <w:sz w:val="18"/>
        <w:szCs w:val="18"/>
        <w:u w:val="single"/>
      </w:rPr>
      <w:t xml:space="preserve">       </w:t>
    </w:r>
    <w:r>
      <w:rPr>
        <w:rFonts w:hint="eastAsia" w:ascii="宋体" w:hAnsi="宋体"/>
        <w:b/>
        <w:sz w:val="18"/>
        <w:szCs w:val="18"/>
        <w:u w:val="single"/>
        <w:lang w:val="en-US" w:eastAsia="zh-CN"/>
      </w:rPr>
      <w:t xml:space="preserve">                  </w:t>
    </w:r>
    <w:r>
      <w:rPr>
        <w:rFonts w:hint="eastAsia" w:ascii="宋体" w:hAnsi="宋体"/>
        <w:b/>
        <w:sz w:val="18"/>
        <w:szCs w:val="18"/>
        <w:u w:val="single"/>
      </w:rPr>
      <w:t xml:space="preserve">    项目编号: </w:t>
    </w:r>
    <w:r>
      <w:rPr>
        <w:rFonts w:hint="eastAsia" w:ascii="宋体" w:hAnsi="宋体"/>
        <w:b/>
        <w:sz w:val="18"/>
        <w:szCs w:val="18"/>
        <w:u w:val="single"/>
        <w:lang w:eastAsia="zh-CN"/>
      </w:rPr>
      <w:t>SDZC2022-286-02</w:t>
    </w:r>
  </w:p>
  <w:p>
    <w:pPr>
      <w:pStyle w:val="2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hint="default" w:ascii="宋体" w:hAnsi="宋体" w:eastAsia="宋体"/>
        <w:b/>
        <w:spacing w:val="-6"/>
        <w:sz w:val="18"/>
        <w:szCs w:val="18"/>
        <w:u w:val="single"/>
        <w:lang w:val="en-US" w:eastAsia="zh-CN"/>
      </w:rPr>
    </w:pPr>
    <w:r>
      <w:rPr>
        <w:rFonts w:hint="eastAsia" w:ascii="宋体" w:hAnsi="宋体"/>
        <w:b/>
        <w:spacing w:val="-6"/>
        <w:sz w:val="18"/>
        <w:szCs w:val="18"/>
        <w:u w:val="single"/>
        <w:lang w:eastAsia="zh-CN"/>
      </w:rPr>
      <w:t>西安市鄠邑区妇幼保健计划生育服务中心（区妇幼保健院）宫腔镜和电子阴道镜系统购置项目</w:t>
    </w:r>
    <w:r>
      <w:rPr>
        <w:rFonts w:hint="eastAsia" w:ascii="宋体" w:hAnsi="宋体"/>
        <w:b/>
        <w:spacing w:val="-6"/>
        <w:sz w:val="18"/>
        <w:szCs w:val="18"/>
        <w:u w:val="single"/>
      </w:rPr>
      <w:t xml:space="preserve">项目编号: </w:t>
    </w:r>
    <w:r>
      <w:rPr>
        <w:rFonts w:hint="eastAsia" w:ascii="宋体" w:hAnsi="宋体"/>
        <w:b/>
        <w:spacing w:val="-6"/>
        <w:sz w:val="18"/>
        <w:szCs w:val="18"/>
        <w:u w:val="single"/>
        <w:lang w:eastAsia="zh-CN"/>
      </w:rPr>
      <w:t>SDZC2022-286-02</w:t>
    </w:r>
  </w:p>
  <w:p>
    <w:pPr>
      <w:pStyle w:val="2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hint="default" w:ascii="宋体" w:hAnsi="宋体" w:eastAsia="宋体"/>
        <w:b/>
        <w:spacing w:val="-6"/>
        <w:sz w:val="18"/>
        <w:szCs w:val="18"/>
        <w:u w:val="single"/>
        <w:lang w:val="en-US" w:eastAsia="zh-CN"/>
      </w:rPr>
    </w:pPr>
    <w:r>
      <w:rPr>
        <w:rFonts w:hint="eastAsia" w:ascii="宋体" w:hAnsi="宋体" w:eastAsiaTheme="minorEastAsia"/>
        <w:b/>
        <w:spacing w:val="-6"/>
        <w:sz w:val="18"/>
        <w:szCs w:val="18"/>
        <w:u w:val="single"/>
        <w:lang w:eastAsia="zh-CN"/>
      </w:rPr>
      <w:t>西安市鄠邑区妇幼保健计划生育服务中心（区妇幼保健院）宫腔镜和电子阴道镜系统购置项目</w:t>
    </w:r>
    <w:r>
      <w:rPr>
        <w:rFonts w:hint="eastAsia" w:ascii="宋体" w:hAnsi="宋体" w:eastAsiaTheme="minorEastAsia"/>
        <w:b/>
        <w:spacing w:val="-6"/>
        <w:sz w:val="18"/>
        <w:szCs w:val="18"/>
        <w:u w:val="single"/>
      </w:rPr>
      <w:t xml:space="preserve">项目编号: </w:t>
    </w:r>
    <w:r>
      <w:rPr>
        <w:rFonts w:hint="eastAsia" w:ascii="宋体" w:hAnsi="宋体"/>
        <w:b/>
        <w:spacing w:val="-6"/>
        <w:sz w:val="18"/>
        <w:szCs w:val="18"/>
        <w:u w:val="single"/>
        <w:lang w:eastAsia="zh-CN"/>
      </w:rPr>
      <w:t>SDZC2022-286-02</w:t>
    </w:r>
  </w:p>
  <w:p>
    <w:pPr>
      <w:pStyle w:val="2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D267F"/>
    <w:multiLevelType w:val="singleLevel"/>
    <w:tmpl w:val="958D267F"/>
    <w:lvl w:ilvl="0" w:tentative="0">
      <w:start w:val="4"/>
      <w:numFmt w:val="chineseCounting"/>
      <w:suff w:val="nothing"/>
      <w:lvlText w:val="（%1）"/>
      <w:lvlJc w:val="left"/>
      <w:rPr>
        <w:rFonts w:hint="eastAsia"/>
      </w:rPr>
    </w:lvl>
  </w:abstractNum>
  <w:abstractNum w:abstractNumId="1">
    <w:nsid w:val="AC4F17C0"/>
    <w:multiLevelType w:val="singleLevel"/>
    <w:tmpl w:val="AC4F17C0"/>
    <w:lvl w:ilvl="0" w:tentative="0">
      <w:start w:val="3"/>
      <w:numFmt w:val="chineseCounting"/>
      <w:suff w:val="space"/>
      <w:lvlText w:val="第%1章"/>
      <w:lvlJc w:val="left"/>
      <w:rPr>
        <w:rFonts w:hint="eastAsia"/>
      </w:rPr>
    </w:lvl>
  </w:abstractNum>
  <w:abstractNum w:abstractNumId="2">
    <w:nsid w:val="24F6DA4E"/>
    <w:multiLevelType w:val="singleLevel"/>
    <w:tmpl w:val="24F6DA4E"/>
    <w:lvl w:ilvl="0" w:tentative="0">
      <w:start w:val="1"/>
      <w:numFmt w:val="decimal"/>
      <w:lvlText w:val="%1."/>
      <w:lvlJc w:val="left"/>
      <w:pPr>
        <w:ind w:left="425" w:hanging="425"/>
      </w:pPr>
      <w:rPr>
        <w:rFonts w:hint="default"/>
      </w:rPr>
    </w:lvl>
  </w:abstractNum>
  <w:abstractNum w:abstractNumId="3">
    <w:nsid w:val="55A6183C"/>
    <w:multiLevelType w:val="singleLevel"/>
    <w:tmpl w:val="55A6183C"/>
    <w:lvl w:ilvl="0" w:tentative="0">
      <w:start w:val="1"/>
      <w:numFmt w:val="chineseCounting"/>
      <w:suff w:val="nothing"/>
      <w:lvlText w:val="%1、"/>
      <w:lvlJc w:val="left"/>
    </w:lvl>
  </w:abstractNum>
  <w:abstractNum w:abstractNumId="4">
    <w:nsid w:val="5C3CC36B"/>
    <w:multiLevelType w:val="singleLevel"/>
    <w:tmpl w:val="5C3CC36B"/>
    <w:lvl w:ilvl="0" w:tentative="0">
      <w:start w:val="3"/>
      <w:numFmt w:val="chineseCounting"/>
      <w:suff w:val="nothing"/>
      <w:lvlText w:val="（%1）"/>
      <w:lvlJc w:val="left"/>
      <w:rPr>
        <w:rFonts w:hint="eastAsia"/>
      </w:rPr>
    </w:lvl>
  </w:abstractNum>
  <w:abstractNum w:abstractNumId="5">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14:cntxtalts w14:val="0"/>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14:cntxtalts w14:val="0"/>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14:cntxtalts w14:val="0"/>
      </w:rPr>
    </w:lvl>
    <w:lvl w:ilvl="3" w:tentative="0">
      <w:start w:val="1"/>
      <w:numFmt w:val="decimal"/>
      <w:pStyle w:val="6"/>
      <w:lvlText w:val="%1.%2.%3.%4"/>
      <w:lvlJc w:val="left"/>
      <w:pPr>
        <w:ind w:left="864" w:hanging="864"/>
      </w:pPr>
      <w:rPr>
        <w:rFonts w:hint="eastAsia"/>
      </w:rPr>
    </w:lvl>
    <w:lvl w:ilvl="4" w:tentative="0">
      <w:start w:val="1"/>
      <w:numFmt w:val="decimal"/>
      <w:pStyle w:val="7"/>
      <w:lvlText w:val="%1.%2.%3.%4.%5"/>
      <w:lvlJc w:val="left"/>
      <w:pPr>
        <w:ind w:left="1008" w:hanging="1008"/>
      </w:pPr>
      <w:rPr>
        <w:rFonts w:hint="eastAsia"/>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6">
    <w:nsid w:val="7A914DF8"/>
    <w:multiLevelType w:val="singleLevel"/>
    <w:tmpl w:val="7A914DF8"/>
    <w:lvl w:ilvl="0" w:tentative="0">
      <w:start w:val="2"/>
      <w:numFmt w:val="decimal"/>
      <w:lvlText w:val="%1."/>
      <w:lvlJc w:val="left"/>
      <w:pPr>
        <w:tabs>
          <w:tab w:val="left" w:pos="312"/>
        </w:tabs>
      </w:p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21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Q3ODNlYjZjZWMzNDM3YjRkMjE4MzBmODAzNWZiY2UifQ=="/>
  </w:docVars>
  <w:rsids>
    <w:rsidRoot w:val="006A6B87"/>
    <w:rsid w:val="0000159C"/>
    <w:rsid w:val="000019FA"/>
    <w:rsid w:val="00002BB3"/>
    <w:rsid w:val="00003F53"/>
    <w:rsid w:val="00004F9A"/>
    <w:rsid w:val="00006A52"/>
    <w:rsid w:val="00012137"/>
    <w:rsid w:val="00012844"/>
    <w:rsid w:val="00012F9B"/>
    <w:rsid w:val="000131C6"/>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53D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0B"/>
    <w:rsid w:val="000A2583"/>
    <w:rsid w:val="000A2B11"/>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34A7"/>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67F98"/>
    <w:rsid w:val="00271136"/>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AAA"/>
    <w:rsid w:val="002F2EAB"/>
    <w:rsid w:val="002F30DD"/>
    <w:rsid w:val="002F3224"/>
    <w:rsid w:val="002F3350"/>
    <w:rsid w:val="002F7D7D"/>
    <w:rsid w:val="00300067"/>
    <w:rsid w:val="00300513"/>
    <w:rsid w:val="00300B27"/>
    <w:rsid w:val="0030123B"/>
    <w:rsid w:val="00301E0D"/>
    <w:rsid w:val="00301FAE"/>
    <w:rsid w:val="003024CF"/>
    <w:rsid w:val="00306470"/>
    <w:rsid w:val="00311862"/>
    <w:rsid w:val="00316D60"/>
    <w:rsid w:val="003172BB"/>
    <w:rsid w:val="00322208"/>
    <w:rsid w:val="003245F8"/>
    <w:rsid w:val="00325D47"/>
    <w:rsid w:val="00325EF1"/>
    <w:rsid w:val="00326169"/>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31B"/>
    <w:rsid w:val="00375819"/>
    <w:rsid w:val="00375C89"/>
    <w:rsid w:val="00376DAF"/>
    <w:rsid w:val="00377482"/>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B086A"/>
    <w:rsid w:val="003B0D75"/>
    <w:rsid w:val="003B2AF6"/>
    <w:rsid w:val="003B3207"/>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0ECF"/>
    <w:rsid w:val="0040124D"/>
    <w:rsid w:val="004017C8"/>
    <w:rsid w:val="0040181A"/>
    <w:rsid w:val="004024C2"/>
    <w:rsid w:val="00405285"/>
    <w:rsid w:val="004068A7"/>
    <w:rsid w:val="00406C11"/>
    <w:rsid w:val="00407BBB"/>
    <w:rsid w:val="004106B2"/>
    <w:rsid w:val="00412CBC"/>
    <w:rsid w:val="00414D38"/>
    <w:rsid w:val="004155E3"/>
    <w:rsid w:val="00415649"/>
    <w:rsid w:val="004156E2"/>
    <w:rsid w:val="00415AB5"/>
    <w:rsid w:val="00416478"/>
    <w:rsid w:val="00420875"/>
    <w:rsid w:val="0042388D"/>
    <w:rsid w:val="00425038"/>
    <w:rsid w:val="0042688F"/>
    <w:rsid w:val="00427ABD"/>
    <w:rsid w:val="004317AB"/>
    <w:rsid w:val="00431DBF"/>
    <w:rsid w:val="00433512"/>
    <w:rsid w:val="0043432D"/>
    <w:rsid w:val="00441423"/>
    <w:rsid w:val="00441D7B"/>
    <w:rsid w:val="00444250"/>
    <w:rsid w:val="00444298"/>
    <w:rsid w:val="004456C5"/>
    <w:rsid w:val="00454666"/>
    <w:rsid w:val="004547F6"/>
    <w:rsid w:val="004574A4"/>
    <w:rsid w:val="00461F1D"/>
    <w:rsid w:val="00463236"/>
    <w:rsid w:val="004657D3"/>
    <w:rsid w:val="0046690A"/>
    <w:rsid w:val="0046782F"/>
    <w:rsid w:val="00471E1E"/>
    <w:rsid w:val="0047278F"/>
    <w:rsid w:val="00473CE1"/>
    <w:rsid w:val="0047590B"/>
    <w:rsid w:val="004846F1"/>
    <w:rsid w:val="00490F98"/>
    <w:rsid w:val="00491349"/>
    <w:rsid w:val="00493684"/>
    <w:rsid w:val="00493E48"/>
    <w:rsid w:val="00496ACE"/>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7112"/>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20F8"/>
    <w:rsid w:val="00522932"/>
    <w:rsid w:val="0052539A"/>
    <w:rsid w:val="005309DD"/>
    <w:rsid w:val="005330CB"/>
    <w:rsid w:val="0053320F"/>
    <w:rsid w:val="005340C0"/>
    <w:rsid w:val="00534E48"/>
    <w:rsid w:val="0053507D"/>
    <w:rsid w:val="00535F18"/>
    <w:rsid w:val="00537136"/>
    <w:rsid w:val="005406CD"/>
    <w:rsid w:val="00544037"/>
    <w:rsid w:val="00544FDF"/>
    <w:rsid w:val="0054537C"/>
    <w:rsid w:val="00547AD0"/>
    <w:rsid w:val="005509F0"/>
    <w:rsid w:val="00551012"/>
    <w:rsid w:val="00553778"/>
    <w:rsid w:val="00553AC5"/>
    <w:rsid w:val="00554646"/>
    <w:rsid w:val="00554791"/>
    <w:rsid w:val="00555365"/>
    <w:rsid w:val="005555A0"/>
    <w:rsid w:val="0056050F"/>
    <w:rsid w:val="00560BBE"/>
    <w:rsid w:val="005612F2"/>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2CFD"/>
    <w:rsid w:val="00593C8A"/>
    <w:rsid w:val="00594467"/>
    <w:rsid w:val="00594F66"/>
    <w:rsid w:val="005960B9"/>
    <w:rsid w:val="005A1806"/>
    <w:rsid w:val="005A20E0"/>
    <w:rsid w:val="005A32F2"/>
    <w:rsid w:val="005A3DFC"/>
    <w:rsid w:val="005A43AB"/>
    <w:rsid w:val="005A4B53"/>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37E1"/>
    <w:rsid w:val="005E548A"/>
    <w:rsid w:val="005E5BCC"/>
    <w:rsid w:val="005E5CCE"/>
    <w:rsid w:val="005E6CCC"/>
    <w:rsid w:val="005F1247"/>
    <w:rsid w:val="005F19BB"/>
    <w:rsid w:val="005F3B5B"/>
    <w:rsid w:val="005F6909"/>
    <w:rsid w:val="005F6C88"/>
    <w:rsid w:val="0060005D"/>
    <w:rsid w:val="006022C0"/>
    <w:rsid w:val="00602E42"/>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350A"/>
    <w:rsid w:val="006340A0"/>
    <w:rsid w:val="0063581A"/>
    <w:rsid w:val="00635858"/>
    <w:rsid w:val="00636BF4"/>
    <w:rsid w:val="00637FE9"/>
    <w:rsid w:val="00642CB1"/>
    <w:rsid w:val="006431A9"/>
    <w:rsid w:val="006460E3"/>
    <w:rsid w:val="006466DF"/>
    <w:rsid w:val="00646A42"/>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390"/>
    <w:rsid w:val="00685B24"/>
    <w:rsid w:val="006870E8"/>
    <w:rsid w:val="00690BC5"/>
    <w:rsid w:val="00690C8E"/>
    <w:rsid w:val="00691341"/>
    <w:rsid w:val="006933DD"/>
    <w:rsid w:val="0069471D"/>
    <w:rsid w:val="00695670"/>
    <w:rsid w:val="00695E20"/>
    <w:rsid w:val="006A2D90"/>
    <w:rsid w:val="006A3BA0"/>
    <w:rsid w:val="006A4EC6"/>
    <w:rsid w:val="006A6B87"/>
    <w:rsid w:val="006A6DF3"/>
    <w:rsid w:val="006A7769"/>
    <w:rsid w:val="006B20D5"/>
    <w:rsid w:val="006B34F6"/>
    <w:rsid w:val="006B4952"/>
    <w:rsid w:val="006B5EA1"/>
    <w:rsid w:val="006B62C2"/>
    <w:rsid w:val="006B6316"/>
    <w:rsid w:val="006B6C2F"/>
    <w:rsid w:val="006B7A21"/>
    <w:rsid w:val="006B7F10"/>
    <w:rsid w:val="006C042B"/>
    <w:rsid w:val="006C2543"/>
    <w:rsid w:val="006C2A45"/>
    <w:rsid w:val="006C4042"/>
    <w:rsid w:val="006C6C85"/>
    <w:rsid w:val="006C6F0B"/>
    <w:rsid w:val="006C700A"/>
    <w:rsid w:val="006C7C59"/>
    <w:rsid w:val="006D0312"/>
    <w:rsid w:val="006D06D5"/>
    <w:rsid w:val="006D214E"/>
    <w:rsid w:val="006D2DEA"/>
    <w:rsid w:val="006D2E9C"/>
    <w:rsid w:val="006D30BC"/>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B21"/>
    <w:rsid w:val="00721BAC"/>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051D"/>
    <w:rsid w:val="007E1576"/>
    <w:rsid w:val="007E2BD2"/>
    <w:rsid w:val="007E5F41"/>
    <w:rsid w:val="007E6CF2"/>
    <w:rsid w:val="007F0B94"/>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64FB"/>
    <w:rsid w:val="008C6F63"/>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73A3"/>
    <w:rsid w:val="0092016A"/>
    <w:rsid w:val="00920CEB"/>
    <w:rsid w:val="00921082"/>
    <w:rsid w:val="00922A3C"/>
    <w:rsid w:val="00922DE7"/>
    <w:rsid w:val="00922EFB"/>
    <w:rsid w:val="00923A6C"/>
    <w:rsid w:val="009249C8"/>
    <w:rsid w:val="0093115A"/>
    <w:rsid w:val="00931671"/>
    <w:rsid w:val="00932C0E"/>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C33"/>
    <w:rsid w:val="009A2439"/>
    <w:rsid w:val="009A2BFF"/>
    <w:rsid w:val="009A6D30"/>
    <w:rsid w:val="009B206F"/>
    <w:rsid w:val="009B5F6F"/>
    <w:rsid w:val="009B7A7F"/>
    <w:rsid w:val="009B7A90"/>
    <w:rsid w:val="009B7BA4"/>
    <w:rsid w:val="009C1007"/>
    <w:rsid w:val="009C1F6E"/>
    <w:rsid w:val="009C2514"/>
    <w:rsid w:val="009C3C03"/>
    <w:rsid w:val="009C3C6C"/>
    <w:rsid w:val="009C3EBA"/>
    <w:rsid w:val="009C4C61"/>
    <w:rsid w:val="009C5377"/>
    <w:rsid w:val="009C58A2"/>
    <w:rsid w:val="009C7BA0"/>
    <w:rsid w:val="009D1B51"/>
    <w:rsid w:val="009D426B"/>
    <w:rsid w:val="009D43A5"/>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0634"/>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17E7D"/>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604"/>
    <w:rsid w:val="00B50C36"/>
    <w:rsid w:val="00B51C5E"/>
    <w:rsid w:val="00B52083"/>
    <w:rsid w:val="00B52525"/>
    <w:rsid w:val="00B52A88"/>
    <w:rsid w:val="00B52B44"/>
    <w:rsid w:val="00B52D72"/>
    <w:rsid w:val="00B56BAC"/>
    <w:rsid w:val="00B56E5B"/>
    <w:rsid w:val="00B571F4"/>
    <w:rsid w:val="00B61F86"/>
    <w:rsid w:val="00B64780"/>
    <w:rsid w:val="00B6494B"/>
    <w:rsid w:val="00B64BD5"/>
    <w:rsid w:val="00B64D7D"/>
    <w:rsid w:val="00B658BB"/>
    <w:rsid w:val="00B65E8E"/>
    <w:rsid w:val="00B6622F"/>
    <w:rsid w:val="00B67926"/>
    <w:rsid w:val="00B679FA"/>
    <w:rsid w:val="00B72B4C"/>
    <w:rsid w:val="00B75DE1"/>
    <w:rsid w:val="00B76EAC"/>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5539"/>
    <w:rsid w:val="00C25C2B"/>
    <w:rsid w:val="00C2744F"/>
    <w:rsid w:val="00C33D5F"/>
    <w:rsid w:val="00C34648"/>
    <w:rsid w:val="00C34D95"/>
    <w:rsid w:val="00C357EB"/>
    <w:rsid w:val="00C37015"/>
    <w:rsid w:val="00C40072"/>
    <w:rsid w:val="00C408BD"/>
    <w:rsid w:val="00C4213E"/>
    <w:rsid w:val="00C438D5"/>
    <w:rsid w:val="00C45741"/>
    <w:rsid w:val="00C4699F"/>
    <w:rsid w:val="00C472A3"/>
    <w:rsid w:val="00C50C4A"/>
    <w:rsid w:val="00C524B1"/>
    <w:rsid w:val="00C53D6E"/>
    <w:rsid w:val="00C56B9D"/>
    <w:rsid w:val="00C60706"/>
    <w:rsid w:val="00C61A1B"/>
    <w:rsid w:val="00C6464D"/>
    <w:rsid w:val="00C64FE6"/>
    <w:rsid w:val="00C65838"/>
    <w:rsid w:val="00C72DBC"/>
    <w:rsid w:val="00C74041"/>
    <w:rsid w:val="00C76B39"/>
    <w:rsid w:val="00C77891"/>
    <w:rsid w:val="00C80803"/>
    <w:rsid w:val="00C8081E"/>
    <w:rsid w:val="00C8194B"/>
    <w:rsid w:val="00C8510F"/>
    <w:rsid w:val="00C856C4"/>
    <w:rsid w:val="00C8634C"/>
    <w:rsid w:val="00C86F92"/>
    <w:rsid w:val="00C90072"/>
    <w:rsid w:val="00C9533B"/>
    <w:rsid w:val="00CA14A2"/>
    <w:rsid w:val="00CA408B"/>
    <w:rsid w:val="00CA597B"/>
    <w:rsid w:val="00CB0748"/>
    <w:rsid w:val="00CB18BD"/>
    <w:rsid w:val="00CB1B09"/>
    <w:rsid w:val="00CB232C"/>
    <w:rsid w:val="00CB2D79"/>
    <w:rsid w:val="00CB2E90"/>
    <w:rsid w:val="00CB31D0"/>
    <w:rsid w:val="00CB4405"/>
    <w:rsid w:val="00CB4EF4"/>
    <w:rsid w:val="00CB5BD0"/>
    <w:rsid w:val="00CB63F6"/>
    <w:rsid w:val="00CC042F"/>
    <w:rsid w:val="00CC11D6"/>
    <w:rsid w:val="00CC237A"/>
    <w:rsid w:val="00CC2A69"/>
    <w:rsid w:val="00CD2668"/>
    <w:rsid w:val="00CD2B6F"/>
    <w:rsid w:val="00CD2FAC"/>
    <w:rsid w:val="00CD3879"/>
    <w:rsid w:val="00CD495B"/>
    <w:rsid w:val="00CD5C64"/>
    <w:rsid w:val="00CD69A5"/>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1E87"/>
    <w:rsid w:val="00D23DB6"/>
    <w:rsid w:val="00D242FC"/>
    <w:rsid w:val="00D24CEB"/>
    <w:rsid w:val="00D24F90"/>
    <w:rsid w:val="00D26400"/>
    <w:rsid w:val="00D264F9"/>
    <w:rsid w:val="00D31768"/>
    <w:rsid w:val="00D33471"/>
    <w:rsid w:val="00D35E6A"/>
    <w:rsid w:val="00D361F7"/>
    <w:rsid w:val="00D37A4D"/>
    <w:rsid w:val="00D37BDA"/>
    <w:rsid w:val="00D41D8D"/>
    <w:rsid w:val="00D475DD"/>
    <w:rsid w:val="00D50781"/>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EB9"/>
    <w:rsid w:val="00E10A87"/>
    <w:rsid w:val="00E114BC"/>
    <w:rsid w:val="00E11D50"/>
    <w:rsid w:val="00E13609"/>
    <w:rsid w:val="00E14B3C"/>
    <w:rsid w:val="00E16067"/>
    <w:rsid w:val="00E212E3"/>
    <w:rsid w:val="00E22505"/>
    <w:rsid w:val="00E226B6"/>
    <w:rsid w:val="00E227F4"/>
    <w:rsid w:val="00E23903"/>
    <w:rsid w:val="00E2465F"/>
    <w:rsid w:val="00E2575E"/>
    <w:rsid w:val="00E25E0D"/>
    <w:rsid w:val="00E27DAA"/>
    <w:rsid w:val="00E27FDC"/>
    <w:rsid w:val="00E303C9"/>
    <w:rsid w:val="00E30E7D"/>
    <w:rsid w:val="00E31BA9"/>
    <w:rsid w:val="00E332F8"/>
    <w:rsid w:val="00E33659"/>
    <w:rsid w:val="00E4021E"/>
    <w:rsid w:val="00E40872"/>
    <w:rsid w:val="00E41594"/>
    <w:rsid w:val="00E4296F"/>
    <w:rsid w:val="00E46A08"/>
    <w:rsid w:val="00E47BE1"/>
    <w:rsid w:val="00E518FB"/>
    <w:rsid w:val="00E56FE8"/>
    <w:rsid w:val="00E57945"/>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6E57"/>
    <w:rsid w:val="00EB7A4C"/>
    <w:rsid w:val="00EC0DD8"/>
    <w:rsid w:val="00EC2A66"/>
    <w:rsid w:val="00EC3672"/>
    <w:rsid w:val="00EC44FF"/>
    <w:rsid w:val="00ED0960"/>
    <w:rsid w:val="00ED3782"/>
    <w:rsid w:val="00ED56C1"/>
    <w:rsid w:val="00ED7D80"/>
    <w:rsid w:val="00EE1F49"/>
    <w:rsid w:val="00EE1F87"/>
    <w:rsid w:val="00EE3720"/>
    <w:rsid w:val="00EE3F92"/>
    <w:rsid w:val="00EE7634"/>
    <w:rsid w:val="00EF271D"/>
    <w:rsid w:val="00EF4228"/>
    <w:rsid w:val="00EF473E"/>
    <w:rsid w:val="00EF4DC8"/>
    <w:rsid w:val="00EF659E"/>
    <w:rsid w:val="00EF6A13"/>
    <w:rsid w:val="00EF6F24"/>
    <w:rsid w:val="00F00971"/>
    <w:rsid w:val="00F01751"/>
    <w:rsid w:val="00F02CF2"/>
    <w:rsid w:val="00F0385A"/>
    <w:rsid w:val="00F053D3"/>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4AD2"/>
    <w:rsid w:val="00F37170"/>
    <w:rsid w:val="00F43040"/>
    <w:rsid w:val="00F440E7"/>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355F"/>
    <w:rsid w:val="00F85256"/>
    <w:rsid w:val="00F87572"/>
    <w:rsid w:val="00F87CA2"/>
    <w:rsid w:val="00F91976"/>
    <w:rsid w:val="00F92C8D"/>
    <w:rsid w:val="00F931AD"/>
    <w:rsid w:val="00F95FE5"/>
    <w:rsid w:val="00F9741A"/>
    <w:rsid w:val="00FA18B4"/>
    <w:rsid w:val="00FA1F53"/>
    <w:rsid w:val="00FA2095"/>
    <w:rsid w:val="00FA244D"/>
    <w:rsid w:val="00FA7224"/>
    <w:rsid w:val="00FB01BB"/>
    <w:rsid w:val="00FB1215"/>
    <w:rsid w:val="00FB3D8E"/>
    <w:rsid w:val="00FB4CB0"/>
    <w:rsid w:val="00FB608E"/>
    <w:rsid w:val="00FB6392"/>
    <w:rsid w:val="00FC39BA"/>
    <w:rsid w:val="00FC3DAC"/>
    <w:rsid w:val="00FD1428"/>
    <w:rsid w:val="00FD20C5"/>
    <w:rsid w:val="00FD221D"/>
    <w:rsid w:val="00FD2761"/>
    <w:rsid w:val="00FD309E"/>
    <w:rsid w:val="00FD37B5"/>
    <w:rsid w:val="00FD4568"/>
    <w:rsid w:val="00FD5B5E"/>
    <w:rsid w:val="00FD613E"/>
    <w:rsid w:val="00FD6F4D"/>
    <w:rsid w:val="00FE0559"/>
    <w:rsid w:val="00FE05A0"/>
    <w:rsid w:val="00FE3884"/>
    <w:rsid w:val="00FE3FCF"/>
    <w:rsid w:val="00FF2E19"/>
    <w:rsid w:val="00FF756F"/>
    <w:rsid w:val="022C24DE"/>
    <w:rsid w:val="05174C45"/>
    <w:rsid w:val="05E068B4"/>
    <w:rsid w:val="064E6FAC"/>
    <w:rsid w:val="06C02D91"/>
    <w:rsid w:val="08CC281C"/>
    <w:rsid w:val="0B3D67C1"/>
    <w:rsid w:val="0BBF3AF2"/>
    <w:rsid w:val="0C38016B"/>
    <w:rsid w:val="0C4D41B4"/>
    <w:rsid w:val="0D49488C"/>
    <w:rsid w:val="0DF93BB4"/>
    <w:rsid w:val="0E3E3FD7"/>
    <w:rsid w:val="0E7A273F"/>
    <w:rsid w:val="0EB07F45"/>
    <w:rsid w:val="10051A3A"/>
    <w:rsid w:val="10F25D7A"/>
    <w:rsid w:val="10FE4484"/>
    <w:rsid w:val="121877CE"/>
    <w:rsid w:val="1384217A"/>
    <w:rsid w:val="155E4C4D"/>
    <w:rsid w:val="160F15BB"/>
    <w:rsid w:val="175E3CFF"/>
    <w:rsid w:val="1763654B"/>
    <w:rsid w:val="179F0CF1"/>
    <w:rsid w:val="17F52C44"/>
    <w:rsid w:val="18235FF2"/>
    <w:rsid w:val="19230DE2"/>
    <w:rsid w:val="19DF45AE"/>
    <w:rsid w:val="1A147DA1"/>
    <w:rsid w:val="1C305AEA"/>
    <w:rsid w:val="1C422BD3"/>
    <w:rsid w:val="1D56777E"/>
    <w:rsid w:val="21DA565B"/>
    <w:rsid w:val="23DD54D0"/>
    <w:rsid w:val="2407582A"/>
    <w:rsid w:val="24827E18"/>
    <w:rsid w:val="25824FE5"/>
    <w:rsid w:val="261C6242"/>
    <w:rsid w:val="261F47B0"/>
    <w:rsid w:val="26BE1CB8"/>
    <w:rsid w:val="26E17BDE"/>
    <w:rsid w:val="281A500B"/>
    <w:rsid w:val="28706D19"/>
    <w:rsid w:val="29203D1F"/>
    <w:rsid w:val="29952416"/>
    <w:rsid w:val="2AC52913"/>
    <w:rsid w:val="2C7D0FBC"/>
    <w:rsid w:val="2F060E7D"/>
    <w:rsid w:val="2F517D03"/>
    <w:rsid w:val="2F5C7FF7"/>
    <w:rsid w:val="31124E12"/>
    <w:rsid w:val="31541D0B"/>
    <w:rsid w:val="33247CD6"/>
    <w:rsid w:val="33841D5E"/>
    <w:rsid w:val="33D62126"/>
    <w:rsid w:val="35942299"/>
    <w:rsid w:val="361C5DEB"/>
    <w:rsid w:val="38231018"/>
    <w:rsid w:val="387168C2"/>
    <w:rsid w:val="39DA12C6"/>
    <w:rsid w:val="3A5F3290"/>
    <w:rsid w:val="3E3F4D6C"/>
    <w:rsid w:val="3EBC460F"/>
    <w:rsid w:val="3F9E3891"/>
    <w:rsid w:val="40443AC7"/>
    <w:rsid w:val="41B15A1D"/>
    <w:rsid w:val="41E33C60"/>
    <w:rsid w:val="47E15034"/>
    <w:rsid w:val="48847FFB"/>
    <w:rsid w:val="48D91E83"/>
    <w:rsid w:val="49112EE1"/>
    <w:rsid w:val="4A0621B7"/>
    <w:rsid w:val="4B5D5C92"/>
    <w:rsid w:val="4BBE277F"/>
    <w:rsid w:val="4C2F4672"/>
    <w:rsid w:val="4C957214"/>
    <w:rsid w:val="4D9E5CA8"/>
    <w:rsid w:val="4E823E01"/>
    <w:rsid w:val="4F8F3E16"/>
    <w:rsid w:val="50B12FCF"/>
    <w:rsid w:val="515A0737"/>
    <w:rsid w:val="51DE4E8D"/>
    <w:rsid w:val="52967A11"/>
    <w:rsid w:val="53B4545D"/>
    <w:rsid w:val="548B737D"/>
    <w:rsid w:val="565D28F6"/>
    <w:rsid w:val="57EC3417"/>
    <w:rsid w:val="586456A3"/>
    <w:rsid w:val="59484FC5"/>
    <w:rsid w:val="5ADD34EB"/>
    <w:rsid w:val="5BC85B04"/>
    <w:rsid w:val="61944EFC"/>
    <w:rsid w:val="61C54B0A"/>
    <w:rsid w:val="637D0D3C"/>
    <w:rsid w:val="646D18AF"/>
    <w:rsid w:val="65717652"/>
    <w:rsid w:val="66625E23"/>
    <w:rsid w:val="66806C64"/>
    <w:rsid w:val="674548F2"/>
    <w:rsid w:val="689F73A2"/>
    <w:rsid w:val="69965CFB"/>
    <w:rsid w:val="6C0B2879"/>
    <w:rsid w:val="6C307222"/>
    <w:rsid w:val="6D7D4E4F"/>
    <w:rsid w:val="6E5D42B4"/>
    <w:rsid w:val="6E7A30D3"/>
    <w:rsid w:val="707327C8"/>
    <w:rsid w:val="734E5C82"/>
    <w:rsid w:val="736A0201"/>
    <w:rsid w:val="741144D9"/>
    <w:rsid w:val="741D5387"/>
    <w:rsid w:val="74C652C4"/>
    <w:rsid w:val="756E5221"/>
    <w:rsid w:val="76DF18DF"/>
    <w:rsid w:val="7819395D"/>
    <w:rsid w:val="794E2FB2"/>
    <w:rsid w:val="7A897F87"/>
    <w:rsid w:val="7B446F42"/>
    <w:rsid w:val="7CF60FEF"/>
    <w:rsid w:val="7E4121CA"/>
    <w:rsid w:val="7E92713B"/>
    <w:rsid w:val="7EAF501B"/>
    <w:rsid w:val="7EB7471D"/>
    <w:rsid w:val="7FDE7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57"/>
    <w:qFormat/>
    <w:uiPriority w:val="9"/>
    <w:pPr>
      <w:spacing w:line="360" w:lineRule="auto"/>
      <w:jc w:val="center"/>
      <w:outlineLvl w:val="0"/>
    </w:pPr>
    <w:rPr>
      <w:rFonts w:ascii="方正小标宋_GBK" w:hAnsi="仿宋" w:eastAsia="方正小标宋_GBK"/>
      <w:sz w:val="44"/>
      <w:szCs w:val="44"/>
    </w:rPr>
  </w:style>
  <w:style w:type="paragraph" w:styleId="4">
    <w:name w:val="heading 2"/>
    <w:basedOn w:val="1"/>
    <w:next w:val="1"/>
    <w:link w:val="58"/>
    <w:unhideWhenUsed/>
    <w:qFormat/>
    <w:uiPriority w:val="9"/>
    <w:pPr>
      <w:spacing w:line="560" w:lineRule="exact"/>
      <w:ind w:firstLine="640" w:firstLineChars="200"/>
      <w:jc w:val="both"/>
      <w:outlineLvl w:val="1"/>
    </w:pPr>
    <w:rPr>
      <w:rFonts w:ascii="楷体" w:hAnsi="楷体" w:eastAsia="黑体"/>
      <w:sz w:val="32"/>
      <w:szCs w:val="32"/>
    </w:rPr>
  </w:style>
  <w:style w:type="paragraph" w:styleId="5">
    <w:name w:val="heading 3"/>
    <w:basedOn w:val="1"/>
    <w:next w:val="1"/>
    <w:link w:val="59"/>
    <w:unhideWhenUsed/>
    <w:qFormat/>
    <w:uiPriority w:val="9"/>
    <w:pPr>
      <w:spacing w:line="560" w:lineRule="exact"/>
      <w:jc w:val="center"/>
      <w:outlineLvl w:val="2"/>
    </w:pPr>
    <w:rPr>
      <w:rFonts w:ascii="方正小标宋_GBK" w:hAnsi="仿宋" w:eastAsia="方正小标宋_GBK"/>
      <w:sz w:val="36"/>
      <w:szCs w:val="36"/>
    </w:rPr>
  </w:style>
  <w:style w:type="paragraph" w:styleId="6">
    <w:name w:val="heading 4"/>
    <w:basedOn w:val="1"/>
    <w:next w:val="1"/>
    <w:link w:val="60"/>
    <w:semiHidden/>
    <w:unhideWhenUsed/>
    <w:qFormat/>
    <w:uiPriority w:val="9"/>
    <w:pPr>
      <w:keepNext/>
      <w:numPr>
        <w:ilvl w:val="3"/>
        <w:numId w:val="1"/>
      </w:numPr>
      <w:spacing w:before="240" w:after="60"/>
      <w:outlineLvl w:val="3"/>
    </w:pPr>
    <w:rPr>
      <w:rFonts w:cstheme="majorBidi"/>
      <w:b/>
      <w:bCs/>
      <w:sz w:val="28"/>
      <w:szCs w:val="28"/>
    </w:rPr>
  </w:style>
  <w:style w:type="paragraph" w:styleId="7">
    <w:name w:val="heading 5"/>
    <w:basedOn w:val="1"/>
    <w:next w:val="1"/>
    <w:link w:val="61"/>
    <w:semiHidden/>
    <w:unhideWhenUsed/>
    <w:qFormat/>
    <w:uiPriority w:val="9"/>
    <w:pPr>
      <w:numPr>
        <w:ilvl w:val="4"/>
        <w:numId w:val="1"/>
      </w:numPr>
      <w:spacing w:before="240" w:after="60"/>
      <w:outlineLvl w:val="4"/>
    </w:pPr>
    <w:rPr>
      <w:b/>
      <w:bCs/>
      <w:i/>
      <w:iCs/>
      <w:sz w:val="26"/>
      <w:szCs w:val="26"/>
    </w:rPr>
  </w:style>
  <w:style w:type="paragraph" w:styleId="8">
    <w:name w:val="heading 6"/>
    <w:basedOn w:val="1"/>
    <w:next w:val="1"/>
    <w:link w:val="62"/>
    <w:semiHidden/>
    <w:unhideWhenUsed/>
    <w:qFormat/>
    <w:uiPriority w:val="9"/>
    <w:pPr>
      <w:numPr>
        <w:ilvl w:val="5"/>
        <w:numId w:val="1"/>
      </w:numPr>
      <w:spacing w:before="240" w:after="60"/>
      <w:outlineLvl w:val="5"/>
    </w:pPr>
    <w:rPr>
      <w:rFonts w:cstheme="majorBidi"/>
      <w:b/>
      <w:bCs/>
      <w:sz w:val="22"/>
      <w:szCs w:val="22"/>
    </w:rPr>
  </w:style>
  <w:style w:type="paragraph" w:styleId="9">
    <w:name w:val="heading 7"/>
    <w:basedOn w:val="1"/>
    <w:next w:val="1"/>
    <w:link w:val="63"/>
    <w:semiHidden/>
    <w:unhideWhenUsed/>
    <w:qFormat/>
    <w:uiPriority w:val="9"/>
    <w:pPr>
      <w:numPr>
        <w:ilvl w:val="6"/>
        <w:numId w:val="1"/>
      </w:numPr>
      <w:spacing w:before="240" w:after="60"/>
      <w:outlineLvl w:val="6"/>
    </w:pPr>
  </w:style>
  <w:style w:type="paragraph" w:styleId="10">
    <w:name w:val="heading 8"/>
    <w:basedOn w:val="1"/>
    <w:next w:val="1"/>
    <w:link w:val="64"/>
    <w:semiHidden/>
    <w:unhideWhenUsed/>
    <w:qFormat/>
    <w:uiPriority w:val="9"/>
    <w:pPr>
      <w:numPr>
        <w:ilvl w:val="7"/>
        <w:numId w:val="1"/>
      </w:numPr>
      <w:spacing w:before="240" w:after="60"/>
      <w:outlineLvl w:val="7"/>
    </w:pPr>
    <w:rPr>
      <w:rFonts w:cstheme="majorBidi"/>
      <w:i/>
      <w:iCs/>
    </w:rPr>
  </w:style>
  <w:style w:type="paragraph" w:styleId="11">
    <w:name w:val="heading 9"/>
    <w:basedOn w:val="1"/>
    <w:next w:val="1"/>
    <w:link w:val="65"/>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12">
    <w:name w:val="caption"/>
    <w:basedOn w:val="1"/>
    <w:next w:val="1"/>
    <w:semiHidden/>
    <w:unhideWhenUsed/>
    <w:qFormat/>
    <w:uiPriority w:val="35"/>
    <w:rPr>
      <w:rFonts w:eastAsia="黑体" w:asciiTheme="majorHAnsi" w:hAnsiTheme="majorHAnsi" w:cstheme="majorBidi"/>
      <w:sz w:val="20"/>
      <w:szCs w:val="20"/>
    </w:rPr>
  </w:style>
  <w:style w:type="paragraph" w:styleId="13">
    <w:name w:val="Document Map"/>
    <w:basedOn w:val="1"/>
    <w:link w:val="89"/>
    <w:semiHidden/>
    <w:unhideWhenUsed/>
    <w:qFormat/>
    <w:uiPriority w:val="99"/>
    <w:pPr>
      <w:spacing w:line="400" w:lineRule="exact"/>
      <w:jc w:val="both"/>
    </w:pPr>
    <w:rPr>
      <w:rFonts w:ascii="宋体" w:hAnsi="Calibri Light" w:eastAsia="宋体" w:cs="Calibri Light"/>
      <w:kern w:val="2"/>
      <w:sz w:val="18"/>
      <w:szCs w:val="18"/>
    </w:rPr>
  </w:style>
  <w:style w:type="paragraph" w:styleId="14">
    <w:name w:val="annotation text"/>
    <w:basedOn w:val="1"/>
    <w:link w:val="81"/>
    <w:unhideWhenUsed/>
    <w:qFormat/>
    <w:uiPriority w:val="99"/>
    <w:pPr>
      <w:spacing w:line="400" w:lineRule="exact"/>
    </w:pPr>
    <w:rPr>
      <w:rFonts w:ascii="Calibri Light" w:hAnsi="Calibri Light" w:eastAsia="华文仿宋" w:cs="Calibri Light"/>
      <w:kern w:val="2"/>
      <w:sz w:val="28"/>
      <w:szCs w:val="28"/>
    </w:rPr>
  </w:style>
  <w:style w:type="paragraph" w:styleId="15">
    <w:name w:val="Body Text"/>
    <w:basedOn w:val="1"/>
    <w:next w:val="1"/>
    <w:unhideWhenUsed/>
    <w:qFormat/>
    <w:uiPriority w:val="99"/>
    <w:pPr>
      <w:spacing w:after="120"/>
    </w:pPr>
    <w:rPr>
      <w:rFonts w:eastAsia="Times New Roman"/>
    </w:rPr>
  </w:style>
  <w:style w:type="paragraph" w:styleId="16">
    <w:name w:val="Plain Text"/>
    <w:basedOn w:val="1"/>
    <w:qFormat/>
    <w:uiPriority w:val="0"/>
    <w:rPr>
      <w:rFonts w:ascii="宋体" w:hAnsi="Courier New"/>
      <w:szCs w:val="20"/>
    </w:rPr>
  </w:style>
  <w:style w:type="paragraph" w:styleId="17">
    <w:name w:val="Date"/>
    <w:basedOn w:val="1"/>
    <w:next w:val="1"/>
    <w:link w:val="54"/>
    <w:semiHidden/>
    <w:unhideWhenUsed/>
    <w:qFormat/>
    <w:uiPriority w:val="99"/>
    <w:pPr>
      <w:ind w:left="100" w:leftChars="2500"/>
    </w:pPr>
  </w:style>
  <w:style w:type="paragraph" w:styleId="18">
    <w:name w:val="Balloon Text"/>
    <w:basedOn w:val="1"/>
    <w:link w:val="80"/>
    <w:semiHidden/>
    <w:unhideWhenUsed/>
    <w:qFormat/>
    <w:uiPriority w:val="99"/>
    <w:rPr>
      <w:sz w:val="18"/>
      <w:szCs w:val="18"/>
    </w:rPr>
  </w:style>
  <w:style w:type="paragraph" w:styleId="19">
    <w:name w:val="footer"/>
    <w:basedOn w:val="1"/>
    <w:link w:val="56"/>
    <w:unhideWhenUsed/>
    <w:qFormat/>
    <w:uiPriority w:val="99"/>
    <w:pPr>
      <w:tabs>
        <w:tab w:val="center" w:pos="4153"/>
        <w:tab w:val="right" w:pos="8306"/>
      </w:tabs>
      <w:snapToGrid w:val="0"/>
      <w:spacing w:line="240" w:lineRule="atLeast"/>
    </w:pPr>
    <w:rPr>
      <w:sz w:val="18"/>
      <w:szCs w:val="18"/>
    </w:rPr>
  </w:style>
  <w:style w:type="paragraph" w:styleId="20">
    <w:name w:val="header"/>
    <w:basedOn w:val="1"/>
    <w:link w:val="55"/>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1">
    <w:name w:val="Subtitle"/>
    <w:basedOn w:val="1"/>
    <w:next w:val="1"/>
    <w:link w:val="67"/>
    <w:qFormat/>
    <w:uiPriority w:val="11"/>
    <w:pPr>
      <w:keepNext/>
      <w:spacing w:before="50" w:beforeLines="50" w:after="50" w:afterLines="50"/>
      <w:jc w:val="center"/>
      <w:outlineLvl w:val="1"/>
    </w:pPr>
    <w:rPr>
      <w:rFonts w:ascii="Calibri" w:hAnsi="Calibri" w:eastAsia="黑体" w:cstheme="majorBidi"/>
      <w:sz w:val="32"/>
    </w:rPr>
  </w:style>
  <w:style w:type="paragraph" w:styleId="22">
    <w:name w:val="Normal (Web)"/>
    <w:basedOn w:val="1"/>
    <w:qFormat/>
    <w:uiPriority w:val="99"/>
    <w:rPr>
      <w:szCs w:val="24"/>
    </w:rPr>
  </w:style>
  <w:style w:type="paragraph" w:styleId="23">
    <w:name w:val="Title"/>
    <w:basedOn w:val="1"/>
    <w:next w:val="1"/>
    <w:link w:val="66"/>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24">
    <w:name w:val="annotation subject"/>
    <w:basedOn w:val="14"/>
    <w:next w:val="14"/>
    <w:link w:val="88"/>
    <w:semiHidden/>
    <w:unhideWhenUsed/>
    <w:qFormat/>
    <w:uiPriority w:val="99"/>
    <w:rPr>
      <w:b/>
      <w:bCs/>
    </w:rPr>
  </w:style>
  <w:style w:type="table" w:styleId="26">
    <w:name w:val="Table Grid"/>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bCs/>
    </w:rPr>
  </w:style>
  <w:style w:type="character" w:styleId="29">
    <w:name w:val="page number"/>
    <w:qFormat/>
    <w:uiPriority w:val="0"/>
    <w:rPr>
      <w:rFonts w:ascii="Times New Roman" w:hAnsi="Times New Roman" w:eastAsia="宋体" w:cs="Times New Roman"/>
    </w:rPr>
  </w:style>
  <w:style w:type="character" w:styleId="30">
    <w:name w:val="FollowedHyperlink"/>
    <w:basedOn w:val="27"/>
    <w:semiHidden/>
    <w:unhideWhenUsed/>
    <w:qFormat/>
    <w:uiPriority w:val="99"/>
    <w:rPr>
      <w:color w:val="954F72" w:themeColor="followedHyperlink"/>
      <w:u w:val="single"/>
      <w14:textFill>
        <w14:solidFill>
          <w14:schemeClr w14:val="folHlink"/>
        </w14:solidFill>
      </w14:textFill>
    </w:rPr>
  </w:style>
  <w:style w:type="character" w:styleId="31">
    <w:name w:val="Emphasis"/>
    <w:basedOn w:val="27"/>
    <w:qFormat/>
    <w:uiPriority w:val="20"/>
    <w:rPr>
      <w:rFonts w:asciiTheme="minorHAnsi" w:hAnsiTheme="minorHAnsi"/>
      <w:b/>
      <w:i/>
      <w:iCs/>
    </w:rPr>
  </w:style>
  <w:style w:type="character" w:styleId="32">
    <w:name w:val="Hyperlink"/>
    <w:basedOn w:val="27"/>
    <w:unhideWhenUsed/>
    <w:qFormat/>
    <w:uiPriority w:val="99"/>
    <w:rPr>
      <w:color w:val="0563C1" w:themeColor="hyperlink"/>
      <w:u w:val="single"/>
      <w14:textFill>
        <w14:solidFill>
          <w14:schemeClr w14:val="hlink"/>
        </w14:solidFill>
      </w14:textFill>
    </w:rPr>
  </w:style>
  <w:style w:type="character" w:styleId="33">
    <w:name w:val="annotation reference"/>
    <w:basedOn w:val="27"/>
    <w:semiHidden/>
    <w:unhideWhenUsed/>
    <w:qFormat/>
    <w:uiPriority w:val="99"/>
    <w:rPr>
      <w:sz w:val="21"/>
      <w:szCs w:val="21"/>
    </w:rPr>
  </w:style>
  <w:style w:type="paragraph" w:customStyle="1" w:styleId="34">
    <w:name w:val="※封面大标题"/>
    <w:basedOn w:val="1"/>
    <w:next w:val="1"/>
    <w:qFormat/>
    <w:uiPriority w:val="0"/>
    <w:pPr>
      <w:jc w:val="center"/>
    </w:pPr>
    <w:rPr>
      <w:rFonts w:ascii="华文中宋" w:hAnsi="华文中宋" w:eastAsia="华文中宋"/>
      <w:sz w:val="96"/>
      <w:szCs w:val="96"/>
    </w:rPr>
  </w:style>
  <w:style w:type="paragraph" w:customStyle="1" w:styleId="35">
    <w:name w:val="※封面题颌"/>
    <w:basedOn w:val="1"/>
    <w:next w:val="1"/>
    <w:qFormat/>
    <w:uiPriority w:val="0"/>
    <w:pPr>
      <w:jc w:val="center"/>
    </w:pPr>
    <w:rPr>
      <w:rFonts w:ascii="Calibri Light" w:hAnsi="Calibri Light" w:eastAsia="华文仿宋"/>
      <w:sz w:val="36"/>
      <w:szCs w:val="36"/>
    </w:rPr>
  </w:style>
  <w:style w:type="paragraph" w:customStyle="1" w:styleId="36">
    <w:name w:val="※封面题眉"/>
    <w:basedOn w:val="1"/>
    <w:next w:val="34"/>
    <w:qFormat/>
    <w:uiPriority w:val="0"/>
    <w:pPr>
      <w:jc w:val="center"/>
    </w:pPr>
    <w:rPr>
      <w:rFonts w:ascii="华文仿宋" w:hAnsi="华文仿宋" w:eastAsia="华文仿宋"/>
      <w:sz w:val="52"/>
      <w:szCs w:val="28"/>
    </w:rPr>
  </w:style>
  <w:style w:type="paragraph" w:customStyle="1" w:styleId="37">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38">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39">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40">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41">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42">
    <w:name w:val="※小标题 一"/>
    <w:basedOn w:val="41"/>
    <w:next w:val="41"/>
    <w:qFormat/>
    <w:uiPriority w:val="0"/>
    <w:pPr>
      <w:spacing w:before="120" w:line="240" w:lineRule="auto"/>
      <w:outlineLvl w:val="2"/>
    </w:pPr>
    <w:rPr>
      <w:b/>
      <w:color w:val="203864" w:themeColor="accent5" w:themeShade="80"/>
      <w:sz w:val="32"/>
    </w:rPr>
  </w:style>
  <w:style w:type="paragraph" w:customStyle="1" w:styleId="43">
    <w:name w:val="※小标题（1）"/>
    <w:basedOn w:val="1"/>
    <w:next w:val="41"/>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44">
    <w:name w:val="※小标题（一）"/>
    <w:basedOn w:val="1"/>
    <w:next w:val="41"/>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45">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46">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47">
    <w:name w:val="※页眉"/>
    <w:basedOn w:val="41"/>
    <w:qFormat/>
    <w:uiPriority w:val="0"/>
    <w:pPr>
      <w:pBdr>
        <w:bottom w:val="single" w:color="auto" w:sz="4" w:space="1"/>
      </w:pBdr>
      <w:spacing w:line="240" w:lineRule="atLeast"/>
      <w:jc w:val="right"/>
    </w:pPr>
    <w:rPr>
      <w:rFonts w:ascii="宋体" w:hAnsi="宋体" w:eastAsia="宋体"/>
      <w:sz w:val="18"/>
    </w:rPr>
  </w:style>
  <w:style w:type="paragraph" w:customStyle="1" w:styleId="48">
    <w:name w:val="※章节标题（第X章）"/>
    <w:basedOn w:val="1"/>
    <w:qFormat/>
    <w:uiPriority w:val="0"/>
    <w:pPr>
      <w:jc w:val="center"/>
      <w:outlineLvl w:val="0"/>
    </w:pPr>
    <w:rPr>
      <w:rFonts w:ascii="Calibri Light" w:hAnsi="Calibri Light" w:eastAsia="黑体"/>
      <w:sz w:val="36"/>
      <w:szCs w:val="28"/>
    </w:rPr>
  </w:style>
  <w:style w:type="paragraph" w:customStyle="1" w:styleId="49">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50">
    <w:name w:val="※章节标题（第Z部分分项）"/>
    <w:basedOn w:val="49"/>
    <w:qFormat/>
    <w:uiPriority w:val="0"/>
    <w:pPr>
      <w:outlineLvl w:val="2"/>
    </w:pPr>
  </w:style>
  <w:style w:type="paragraph" w:customStyle="1" w:styleId="51">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52">
    <w:name w:val="※正文（缩进2）"/>
    <w:basedOn w:val="41"/>
    <w:qFormat/>
    <w:uiPriority w:val="0"/>
    <w:pPr>
      <w:ind w:firstLine="200" w:firstLineChars="200"/>
    </w:pPr>
  </w:style>
  <w:style w:type="paragraph" w:customStyle="1" w:styleId="53">
    <w:name w:val="※正文（缩进4）"/>
    <w:basedOn w:val="41"/>
    <w:qFormat/>
    <w:uiPriority w:val="0"/>
    <w:pPr>
      <w:ind w:firstLine="400" w:firstLineChars="400"/>
    </w:pPr>
  </w:style>
  <w:style w:type="character" w:customStyle="1" w:styleId="54">
    <w:name w:val="日期 字符"/>
    <w:basedOn w:val="27"/>
    <w:link w:val="17"/>
    <w:semiHidden/>
    <w:qFormat/>
    <w:uiPriority w:val="99"/>
    <w:rPr>
      <w:rFonts w:ascii="华文仿宋" w:hAnsi="华文仿宋" w:eastAsia="华文仿宋"/>
      <w:sz w:val="28"/>
      <w:szCs w:val="28"/>
    </w:rPr>
  </w:style>
  <w:style w:type="character" w:customStyle="1" w:styleId="55">
    <w:name w:val="页眉 字符"/>
    <w:basedOn w:val="27"/>
    <w:link w:val="20"/>
    <w:qFormat/>
    <w:uiPriority w:val="0"/>
    <w:rPr>
      <w:rFonts w:ascii="华文仿宋" w:hAnsi="华文仿宋" w:eastAsia="华文仿宋"/>
      <w:sz w:val="18"/>
      <w:szCs w:val="18"/>
    </w:rPr>
  </w:style>
  <w:style w:type="character" w:customStyle="1" w:styleId="56">
    <w:name w:val="页脚 字符"/>
    <w:basedOn w:val="27"/>
    <w:link w:val="19"/>
    <w:qFormat/>
    <w:uiPriority w:val="99"/>
    <w:rPr>
      <w:rFonts w:ascii="华文仿宋" w:hAnsi="华文仿宋" w:eastAsia="华文仿宋"/>
      <w:sz w:val="18"/>
      <w:szCs w:val="18"/>
    </w:rPr>
  </w:style>
  <w:style w:type="character" w:customStyle="1" w:styleId="57">
    <w:name w:val="标题 1 字符"/>
    <w:basedOn w:val="27"/>
    <w:link w:val="3"/>
    <w:qFormat/>
    <w:uiPriority w:val="9"/>
    <w:rPr>
      <w:rFonts w:ascii="方正小标宋_GBK" w:hAnsi="仿宋" w:eastAsia="方正小标宋_GBK"/>
      <w:sz w:val="44"/>
      <w:szCs w:val="44"/>
    </w:rPr>
  </w:style>
  <w:style w:type="character" w:customStyle="1" w:styleId="58">
    <w:name w:val="标题 2 字符"/>
    <w:basedOn w:val="27"/>
    <w:link w:val="4"/>
    <w:qFormat/>
    <w:uiPriority w:val="9"/>
    <w:rPr>
      <w:rFonts w:ascii="楷体" w:hAnsi="楷体" w:eastAsia="黑体"/>
      <w:sz w:val="32"/>
      <w:szCs w:val="32"/>
    </w:rPr>
  </w:style>
  <w:style w:type="character" w:customStyle="1" w:styleId="59">
    <w:name w:val="标题 3 字符"/>
    <w:basedOn w:val="27"/>
    <w:link w:val="5"/>
    <w:qFormat/>
    <w:uiPriority w:val="9"/>
    <w:rPr>
      <w:rFonts w:ascii="方正小标宋_GBK" w:hAnsi="仿宋" w:eastAsia="方正小标宋_GBK"/>
      <w:sz w:val="36"/>
      <w:szCs w:val="36"/>
    </w:rPr>
  </w:style>
  <w:style w:type="character" w:customStyle="1" w:styleId="60">
    <w:name w:val="标题 4 字符"/>
    <w:basedOn w:val="27"/>
    <w:link w:val="6"/>
    <w:semiHidden/>
    <w:qFormat/>
    <w:uiPriority w:val="9"/>
    <w:rPr>
      <w:rFonts w:cstheme="majorBidi"/>
      <w:b/>
      <w:bCs/>
      <w:sz w:val="28"/>
      <w:szCs w:val="28"/>
    </w:rPr>
  </w:style>
  <w:style w:type="character" w:customStyle="1" w:styleId="61">
    <w:name w:val="标题 5 字符"/>
    <w:basedOn w:val="27"/>
    <w:link w:val="7"/>
    <w:semiHidden/>
    <w:qFormat/>
    <w:uiPriority w:val="9"/>
    <w:rPr>
      <w:b/>
      <w:bCs/>
      <w:i/>
      <w:iCs/>
      <w:sz w:val="26"/>
      <w:szCs w:val="26"/>
    </w:rPr>
  </w:style>
  <w:style w:type="character" w:customStyle="1" w:styleId="62">
    <w:name w:val="标题 6 字符"/>
    <w:basedOn w:val="27"/>
    <w:link w:val="8"/>
    <w:semiHidden/>
    <w:qFormat/>
    <w:uiPriority w:val="9"/>
    <w:rPr>
      <w:rFonts w:cstheme="majorBidi"/>
      <w:b/>
      <w:bCs/>
    </w:rPr>
  </w:style>
  <w:style w:type="character" w:customStyle="1" w:styleId="63">
    <w:name w:val="标题 7 字符"/>
    <w:basedOn w:val="27"/>
    <w:link w:val="9"/>
    <w:semiHidden/>
    <w:qFormat/>
    <w:uiPriority w:val="9"/>
    <w:rPr>
      <w:sz w:val="24"/>
      <w:szCs w:val="24"/>
    </w:rPr>
  </w:style>
  <w:style w:type="character" w:customStyle="1" w:styleId="64">
    <w:name w:val="标题 8 字符"/>
    <w:basedOn w:val="27"/>
    <w:link w:val="10"/>
    <w:semiHidden/>
    <w:qFormat/>
    <w:uiPriority w:val="9"/>
    <w:rPr>
      <w:rFonts w:cstheme="majorBidi"/>
      <w:i/>
      <w:iCs/>
      <w:sz w:val="24"/>
      <w:szCs w:val="24"/>
    </w:rPr>
  </w:style>
  <w:style w:type="character" w:customStyle="1" w:styleId="65">
    <w:name w:val="标题 9 字符"/>
    <w:basedOn w:val="27"/>
    <w:link w:val="11"/>
    <w:semiHidden/>
    <w:qFormat/>
    <w:uiPriority w:val="9"/>
    <w:rPr>
      <w:rFonts w:asciiTheme="majorHAnsi" w:hAnsiTheme="majorHAnsi" w:eastAsiaTheme="majorEastAsia" w:cstheme="majorBidi"/>
    </w:rPr>
  </w:style>
  <w:style w:type="character" w:customStyle="1" w:styleId="66">
    <w:name w:val="标题 字符"/>
    <w:basedOn w:val="27"/>
    <w:link w:val="23"/>
    <w:qFormat/>
    <w:uiPriority w:val="10"/>
    <w:rPr>
      <w:rFonts w:asciiTheme="majorHAnsi" w:hAnsiTheme="majorHAnsi" w:eastAsiaTheme="majorEastAsia" w:cstheme="majorBidi"/>
      <w:b/>
      <w:bCs/>
      <w:kern w:val="28"/>
      <w:sz w:val="32"/>
      <w:szCs w:val="32"/>
    </w:rPr>
  </w:style>
  <w:style w:type="character" w:customStyle="1" w:styleId="67">
    <w:name w:val="副标题 字符"/>
    <w:basedOn w:val="27"/>
    <w:link w:val="21"/>
    <w:qFormat/>
    <w:uiPriority w:val="11"/>
    <w:rPr>
      <w:rFonts w:ascii="Calibri" w:hAnsi="Calibri" w:eastAsia="黑体" w:cstheme="majorBidi"/>
      <w:sz w:val="32"/>
      <w:szCs w:val="24"/>
    </w:rPr>
  </w:style>
  <w:style w:type="paragraph" w:styleId="68">
    <w:name w:val="No Spacing"/>
    <w:basedOn w:val="1"/>
    <w:qFormat/>
    <w:uiPriority w:val="1"/>
    <w:rPr>
      <w:szCs w:val="32"/>
    </w:rPr>
  </w:style>
  <w:style w:type="paragraph" w:styleId="69">
    <w:name w:val="List Paragraph"/>
    <w:basedOn w:val="1"/>
    <w:qFormat/>
    <w:uiPriority w:val="0"/>
    <w:pPr>
      <w:ind w:left="720"/>
      <w:contextualSpacing/>
    </w:pPr>
  </w:style>
  <w:style w:type="paragraph" w:styleId="70">
    <w:name w:val="Quote"/>
    <w:basedOn w:val="1"/>
    <w:next w:val="1"/>
    <w:link w:val="71"/>
    <w:qFormat/>
    <w:uiPriority w:val="29"/>
    <w:rPr>
      <w:i/>
    </w:rPr>
  </w:style>
  <w:style w:type="character" w:customStyle="1" w:styleId="71">
    <w:name w:val="引用 字符"/>
    <w:basedOn w:val="27"/>
    <w:link w:val="70"/>
    <w:qFormat/>
    <w:uiPriority w:val="29"/>
    <w:rPr>
      <w:i/>
      <w:sz w:val="24"/>
      <w:szCs w:val="24"/>
    </w:rPr>
  </w:style>
  <w:style w:type="paragraph" w:styleId="72">
    <w:name w:val="Intense Quote"/>
    <w:basedOn w:val="1"/>
    <w:next w:val="1"/>
    <w:link w:val="73"/>
    <w:qFormat/>
    <w:uiPriority w:val="30"/>
    <w:pPr>
      <w:ind w:left="720" w:right="720"/>
    </w:pPr>
    <w:rPr>
      <w:b/>
      <w:i/>
      <w:szCs w:val="22"/>
    </w:rPr>
  </w:style>
  <w:style w:type="character" w:customStyle="1" w:styleId="73">
    <w:name w:val="明显引用 字符"/>
    <w:basedOn w:val="27"/>
    <w:link w:val="72"/>
    <w:qFormat/>
    <w:uiPriority w:val="30"/>
    <w:rPr>
      <w:b/>
      <w:i/>
      <w:sz w:val="24"/>
    </w:rPr>
  </w:style>
  <w:style w:type="character" w:customStyle="1" w:styleId="74">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75">
    <w:name w:val="Intense Emphasis"/>
    <w:basedOn w:val="27"/>
    <w:qFormat/>
    <w:uiPriority w:val="21"/>
    <w:rPr>
      <w:b/>
      <w:i/>
      <w:sz w:val="24"/>
      <w:szCs w:val="24"/>
      <w:u w:val="single"/>
    </w:rPr>
  </w:style>
  <w:style w:type="character" w:customStyle="1" w:styleId="76">
    <w:name w:val="Subtle Reference"/>
    <w:basedOn w:val="27"/>
    <w:qFormat/>
    <w:uiPriority w:val="31"/>
    <w:rPr>
      <w:sz w:val="24"/>
      <w:szCs w:val="24"/>
      <w:u w:val="single"/>
    </w:rPr>
  </w:style>
  <w:style w:type="character" w:customStyle="1" w:styleId="77">
    <w:name w:val="Intense Reference"/>
    <w:basedOn w:val="27"/>
    <w:qFormat/>
    <w:uiPriority w:val="32"/>
    <w:rPr>
      <w:b/>
      <w:sz w:val="24"/>
      <w:u w:val="single"/>
    </w:rPr>
  </w:style>
  <w:style w:type="character" w:customStyle="1" w:styleId="78">
    <w:name w:val="Book Title"/>
    <w:basedOn w:val="27"/>
    <w:qFormat/>
    <w:uiPriority w:val="33"/>
    <w:rPr>
      <w:rFonts w:asciiTheme="majorHAnsi" w:hAnsiTheme="majorHAnsi" w:eastAsiaTheme="majorEastAsia"/>
      <w:b/>
      <w:i/>
      <w:sz w:val="24"/>
      <w:szCs w:val="24"/>
    </w:rPr>
  </w:style>
  <w:style w:type="paragraph" w:customStyle="1" w:styleId="79">
    <w:name w:val="TOC Heading"/>
    <w:basedOn w:val="3"/>
    <w:next w:val="1"/>
    <w:semiHidden/>
    <w:unhideWhenUsed/>
    <w:qFormat/>
    <w:uiPriority w:val="39"/>
    <w:pPr>
      <w:outlineLvl w:val="9"/>
    </w:pPr>
  </w:style>
  <w:style w:type="character" w:customStyle="1" w:styleId="80">
    <w:name w:val="批注框文本 字符"/>
    <w:basedOn w:val="27"/>
    <w:link w:val="18"/>
    <w:semiHidden/>
    <w:qFormat/>
    <w:uiPriority w:val="99"/>
    <w:rPr>
      <w:sz w:val="18"/>
      <w:szCs w:val="18"/>
    </w:rPr>
  </w:style>
  <w:style w:type="character" w:customStyle="1" w:styleId="81">
    <w:name w:val="批注文字 字符"/>
    <w:basedOn w:val="27"/>
    <w:link w:val="14"/>
    <w:qFormat/>
    <w:uiPriority w:val="99"/>
    <w:rPr>
      <w:rFonts w:ascii="Calibri Light" w:hAnsi="Calibri Light" w:eastAsia="华文仿宋" w:cs="Calibri Light"/>
      <w:kern w:val="2"/>
      <w:sz w:val="28"/>
      <w:szCs w:val="28"/>
    </w:rPr>
  </w:style>
  <w:style w:type="paragraph" w:customStyle="1" w:styleId="82">
    <w:name w:val="@正文"/>
    <w:basedOn w:val="41"/>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83">
    <w:name w:val="@一级小标题"/>
    <w:basedOn w:val="1"/>
    <w:next w:val="82"/>
    <w:qFormat/>
    <w:uiPriority w:val="0"/>
    <w:pPr>
      <w:keepNext/>
      <w:spacing w:before="120" w:after="60"/>
      <w:outlineLvl w:val="2"/>
    </w:pPr>
    <w:rPr>
      <w:rFonts w:ascii="Calibri" w:hAnsi="Calibri" w:eastAsia="黑体"/>
      <w:kern w:val="28"/>
      <w:sz w:val="28"/>
    </w:rPr>
  </w:style>
  <w:style w:type="paragraph" w:customStyle="1" w:styleId="84">
    <w:name w:val="@标题"/>
    <w:basedOn w:val="1"/>
    <w:next w:val="82"/>
    <w:qFormat/>
    <w:uiPriority w:val="0"/>
    <w:pPr>
      <w:keepNext/>
      <w:spacing w:before="50" w:beforeLines="50" w:after="50" w:afterLines="50"/>
      <w:jc w:val="center"/>
      <w:outlineLvl w:val="1"/>
    </w:pPr>
    <w:rPr>
      <w:rFonts w:ascii="Calibri" w:hAnsi="Calibri" w:eastAsia="黑体"/>
      <w:kern w:val="32"/>
      <w:sz w:val="32"/>
    </w:rPr>
  </w:style>
  <w:style w:type="table" w:customStyle="1" w:styleId="85">
    <w:name w:val="网格型1"/>
    <w:basedOn w:val="25"/>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6">
    <w:name w:val="页眉 Char1"/>
    <w:basedOn w:val="27"/>
    <w:semiHidden/>
    <w:qFormat/>
    <w:uiPriority w:val="99"/>
    <w:rPr>
      <w:rFonts w:cs="Calibri Light"/>
      <w:sz w:val="18"/>
      <w:szCs w:val="18"/>
    </w:rPr>
  </w:style>
  <w:style w:type="character" w:customStyle="1" w:styleId="87">
    <w:name w:val="页脚 Char1"/>
    <w:basedOn w:val="27"/>
    <w:semiHidden/>
    <w:qFormat/>
    <w:uiPriority w:val="99"/>
    <w:rPr>
      <w:rFonts w:cs="Calibri Light"/>
      <w:sz w:val="18"/>
      <w:szCs w:val="18"/>
    </w:rPr>
  </w:style>
  <w:style w:type="character" w:customStyle="1" w:styleId="88">
    <w:name w:val="批注主题 字符"/>
    <w:basedOn w:val="81"/>
    <w:link w:val="24"/>
    <w:semiHidden/>
    <w:qFormat/>
    <w:uiPriority w:val="99"/>
    <w:rPr>
      <w:rFonts w:ascii="Calibri Light" w:hAnsi="Calibri Light" w:eastAsia="华文仿宋" w:cs="Calibri Light"/>
      <w:b/>
      <w:bCs/>
      <w:kern w:val="2"/>
      <w:sz w:val="28"/>
      <w:szCs w:val="28"/>
    </w:rPr>
  </w:style>
  <w:style w:type="character" w:customStyle="1" w:styleId="89">
    <w:name w:val="文档结构图 字符"/>
    <w:basedOn w:val="27"/>
    <w:link w:val="13"/>
    <w:semiHidden/>
    <w:qFormat/>
    <w:uiPriority w:val="99"/>
    <w:rPr>
      <w:rFonts w:ascii="宋体" w:hAnsi="Calibri Light" w:eastAsia="宋体" w:cs="Calibri Light"/>
      <w:kern w:val="2"/>
      <w:sz w:val="18"/>
      <w:szCs w:val="18"/>
    </w:rPr>
  </w:style>
  <w:style w:type="character" w:styleId="90">
    <w:name w:val="Placeholder Text"/>
    <w:basedOn w:val="27"/>
    <w:semiHidden/>
    <w:qFormat/>
    <w:uiPriority w:val="99"/>
    <w:rPr>
      <w:color w:val="808080"/>
    </w:rPr>
  </w:style>
  <w:style w:type="character" w:customStyle="1" w:styleId="91">
    <w:name w:val="Unresolved Mention"/>
    <w:basedOn w:val="27"/>
    <w:semiHidden/>
    <w:unhideWhenUsed/>
    <w:qFormat/>
    <w:uiPriority w:val="99"/>
    <w:rPr>
      <w:color w:val="605E5C"/>
      <w:shd w:val="clear" w:color="auto" w:fill="E1DFDD"/>
    </w:rPr>
  </w:style>
  <w:style w:type="paragraph" w:customStyle="1" w:styleId="92">
    <w:name w:val="样式1"/>
    <w:basedOn w:val="5"/>
    <w:link w:val="94"/>
    <w:qFormat/>
    <w:uiPriority w:val="0"/>
    <w:pPr>
      <w:jc w:val="left"/>
    </w:pPr>
    <w:rPr>
      <w:rFonts w:eastAsia="楷体"/>
      <w:sz w:val="32"/>
    </w:rPr>
  </w:style>
  <w:style w:type="paragraph" w:customStyle="1" w:styleId="93">
    <w:name w:val="样式2"/>
    <w:basedOn w:val="84"/>
    <w:link w:val="96"/>
    <w:qFormat/>
    <w:uiPriority w:val="0"/>
    <w:pPr>
      <w:spacing w:line="560" w:lineRule="exact"/>
      <w:ind w:firstLine="643" w:firstLineChars="200"/>
      <w:jc w:val="both"/>
    </w:pPr>
    <w:rPr>
      <w:rFonts w:ascii="仿宋_GB2312" w:hAnsi="仿宋" w:eastAsia="仿宋_GB2312"/>
      <w:b/>
      <w:bCs/>
      <w:szCs w:val="32"/>
    </w:rPr>
  </w:style>
  <w:style w:type="character" w:customStyle="1" w:styleId="94">
    <w:name w:val="样式1 字符"/>
    <w:basedOn w:val="58"/>
    <w:link w:val="92"/>
    <w:qFormat/>
    <w:uiPriority w:val="0"/>
    <w:rPr>
      <w:rFonts w:ascii="方正小标宋_GBK" w:hAnsi="仿宋" w:eastAsia="楷体"/>
      <w:sz w:val="32"/>
      <w:szCs w:val="36"/>
    </w:rPr>
  </w:style>
  <w:style w:type="paragraph" w:customStyle="1" w:styleId="95">
    <w:name w:val="样式3"/>
    <w:basedOn w:val="1"/>
    <w:link w:val="97"/>
    <w:qFormat/>
    <w:uiPriority w:val="0"/>
    <w:pPr>
      <w:spacing w:line="560" w:lineRule="exact"/>
      <w:jc w:val="center"/>
    </w:pPr>
    <w:rPr>
      <w:rFonts w:ascii="方正小标宋_GBK" w:hAnsi="仿宋" w:eastAsia="方正小标宋_GBK"/>
      <w:sz w:val="36"/>
      <w:szCs w:val="36"/>
    </w:rPr>
  </w:style>
  <w:style w:type="character" w:customStyle="1" w:styleId="96">
    <w:name w:val="样式2 字符"/>
    <w:basedOn w:val="27"/>
    <w:link w:val="93"/>
    <w:qFormat/>
    <w:uiPriority w:val="0"/>
    <w:rPr>
      <w:rFonts w:ascii="仿宋_GB2312" w:hAnsi="仿宋" w:eastAsia="仿宋_GB2312"/>
      <w:b/>
      <w:bCs/>
      <w:kern w:val="32"/>
      <w:sz w:val="32"/>
      <w:szCs w:val="32"/>
    </w:rPr>
  </w:style>
  <w:style w:type="character" w:customStyle="1" w:styleId="97">
    <w:name w:val="样式3 字符"/>
    <w:basedOn w:val="27"/>
    <w:link w:val="95"/>
    <w:qFormat/>
    <w:uiPriority w:val="0"/>
    <w:rPr>
      <w:rFonts w:ascii="方正小标宋_GBK" w:hAnsi="仿宋" w:eastAsia="方正小标宋_GBK"/>
      <w:sz w:val="36"/>
      <w:szCs w:val="36"/>
    </w:rPr>
  </w:style>
  <w:style w:type="paragraph" w:customStyle="1" w:styleId="98">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99">
    <w:name w:val="p15"/>
    <w:basedOn w:val="1"/>
    <w:qFormat/>
    <w:uiPriority w:val="99"/>
    <w:pPr>
      <w:widowControl/>
    </w:pPr>
    <w:rPr>
      <w:kern w:val="0"/>
      <w:sz w:val="21"/>
      <w:szCs w:val="21"/>
    </w:rPr>
  </w:style>
  <w:style w:type="paragraph" w:customStyle="1" w:styleId="100">
    <w:name w:val="正文 New"/>
    <w:qFormat/>
    <w:uiPriority w:val="99"/>
    <w:pPr>
      <w:widowControl w:val="0"/>
      <w:jc w:val="both"/>
    </w:pPr>
    <w:rPr>
      <w:rFonts w:ascii="Times New Roman" w:hAnsi="Times New Roman" w:eastAsia="宋体" w:cs="Times New Roman"/>
      <w:lang w:val="en-US" w:eastAsia="zh-CN" w:bidi="ar-SA"/>
    </w:rPr>
  </w:style>
  <w:style w:type="paragraph" w:customStyle="1" w:styleId="101">
    <w:name w:val="title1"/>
    <w:basedOn w:val="1"/>
    <w:qFormat/>
    <w:uiPriority w:val="0"/>
    <w:pPr>
      <w:widowControl/>
      <w:spacing w:before="100" w:beforeAutospacing="1" w:after="100" w:afterAutospacing="1"/>
      <w:jc w:val="left"/>
    </w:pPr>
    <w:rPr>
      <w:rFonts w:ascii="宋体" w:hAnsi="宋体" w:cs="宋体"/>
      <w:kern w:val="0"/>
      <w:sz w:val="24"/>
    </w:rPr>
  </w:style>
  <w:style w:type="paragraph" w:customStyle="1" w:styleId="102">
    <w:name w:val="WPSOffice手动目录 1"/>
    <w:qFormat/>
    <w:uiPriority w:val="0"/>
    <w:pPr>
      <w:ind w:leftChars="0"/>
    </w:pPr>
    <w:rPr>
      <w:rFonts w:ascii="Times New Roman" w:hAnsi="Times New Roman" w:eastAsia="宋体" w:cs="Times New Roman"/>
      <w:sz w:val="20"/>
      <w:szCs w:val="20"/>
    </w:rPr>
  </w:style>
  <w:style w:type="paragraph" w:customStyle="1" w:styleId="103">
    <w:name w:val="WPSOffice手动目录 2"/>
    <w:qFormat/>
    <w:uiPriority w:val="0"/>
    <w:pPr>
      <w:ind w:leftChars="200"/>
    </w:pPr>
    <w:rPr>
      <w:rFonts w:ascii="Times New Roman" w:hAnsi="Times New Roman" w:eastAsia="宋体" w:cs="Times New Roman"/>
      <w:sz w:val="20"/>
      <w:szCs w:val="20"/>
    </w:rPr>
  </w:style>
  <w:style w:type="paragraph" w:customStyle="1" w:styleId="104">
    <w:name w:val="WPSOffice手动目录 3"/>
    <w:qFormat/>
    <w:uiPriority w:val="0"/>
    <w:pPr>
      <w:ind w:leftChars="400"/>
    </w:pPr>
    <w:rPr>
      <w:rFonts w:ascii="Times New Roman" w:hAnsi="Times New Roman" w:eastAsia="宋体" w:cs="Times New Roman"/>
      <w:sz w:val="20"/>
      <w:szCs w:val="20"/>
    </w:rPr>
  </w:style>
  <w:style w:type="paragraph" w:customStyle="1" w:styleId="105">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823A8D-A678-4E48-B7B4-2C97FA0C4A8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85</Pages>
  <Words>36321</Words>
  <Characters>39221</Characters>
  <Lines>1035</Lines>
  <Paragraphs>716</Paragraphs>
  <TotalTime>2</TotalTime>
  <ScaleCrop>false</ScaleCrop>
  <LinksUpToDate>false</LinksUpToDate>
  <CharactersWithSpaces>40369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2022-04-07T08:51:00Z</dcterms:created>
  <dc:creator>lenovo</dc:creator>
  <cp:lastModifiedBy>宝@老头</cp:lastModifiedBy>
  <cp:lastPrinted>2022-04-09T07:59:00Z</cp:lastPrinted>
  <dcterms:modified xsi:type="dcterms:W3CDTF">2022-10-24T03:32:35Z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D03BFF8BB9C548D0964006ED26E89919</vt:lpwstr>
  </property>
</Properties>
</file>