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b/>
          <w:sz w:val="36"/>
          <w:szCs w:val="36"/>
          <w:highlight w:val="none"/>
        </w:rPr>
      </w:pPr>
    </w:p>
    <w:p>
      <w:pPr>
        <w:spacing w:line="560" w:lineRule="exact"/>
        <w:rPr>
          <w:rFonts w:ascii="仿宋" w:hAnsi="仿宋" w:eastAsia="仿宋" w:cs="仿宋"/>
          <w:sz w:val="36"/>
          <w:highlight w:val="none"/>
        </w:rPr>
      </w:pPr>
      <w:r>
        <w:rPr>
          <w:rFonts w:ascii="仿宋" w:hAnsi="仿宋" w:eastAsia="仿宋" w:cs="仿宋"/>
          <w:sz w:val="36"/>
          <w:highlight w:val="none"/>
        </w:rPr>
        <w:pict>
          <v:shape id="_x0000_s1036" o:spid="_x0000_s1036" o:spt="202" type="#_x0000_t202" style="position:absolute;left:0pt;margin-left:326.15pt;margin-top:-20.4pt;height:29.15pt;width:117.7pt;z-index:251668480;mso-width-relative:page;mso-height-relative:page;" coordsize="21600,21600">
            <v:path/>
            <v:fill focussize="0,0"/>
            <v:stroke joinstyle="miter"/>
            <v:imagedata o:title=""/>
            <o:lock v:ext="edit"/>
            <v:textbox>
              <w:txbxContent>
                <w:p>
                  <w:pPr>
                    <w:jc w:val="center"/>
                    <w:rPr>
                      <w:rFonts w:ascii="仿宋" w:hAnsi="仿宋" w:eastAsia="仿宋" w:cs="仿宋"/>
                      <w:sz w:val="32"/>
                      <w:szCs w:val="28"/>
                    </w:rPr>
                  </w:pPr>
                  <w:r>
                    <w:rPr>
                      <w:rFonts w:hint="eastAsia" w:ascii="仿宋" w:hAnsi="仿宋" w:eastAsia="仿宋" w:cs="仿宋"/>
                      <w:b/>
                      <w:bCs/>
                      <w:sz w:val="32"/>
                      <w:szCs w:val="28"/>
                    </w:rPr>
                    <w:t>政府采购项目</w:t>
                  </w:r>
                </w:p>
              </w:txbxContent>
            </v:textbox>
          </v:shape>
        </w:pict>
      </w:r>
    </w:p>
    <w:p>
      <w:pPr>
        <w:spacing w:line="560" w:lineRule="exact"/>
        <w:ind w:left="-240" w:leftChars="-100" w:firstLine="239" w:firstLineChars="66"/>
        <w:rPr>
          <w:rFonts w:ascii="仿宋" w:hAnsi="仿宋" w:eastAsia="仿宋" w:cs="仿宋"/>
          <w:b/>
          <w:sz w:val="15"/>
          <w:szCs w:val="15"/>
          <w:highlight w:val="none"/>
        </w:rPr>
      </w:pPr>
      <w:r>
        <w:rPr>
          <w:rFonts w:hint="eastAsia" w:ascii="仿宋" w:hAnsi="仿宋" w:eastAsia="仿宋" w:cs="仿宋"/>
          <w:b/>
          <w:sz w:val="36"/>
          <w:szCs w:val="36"/>
          <w:highlight w:val="none"/>
        </w:rPr>
        <w:t>文件编号:HZGH-2022-086</w:t>
      </w:r>
    </w:p>
    <w:p>
      <w:pPr>
        <w:widowControl/>
        <w:wordWrap w:val="0"/>
        <w:spacing w:line="560" w:lineRule="exact"/>
        <w:rPr>
          <w:rFonts w:ascii="仿宋" w:hAnsi="仿宋" w:eastAsia="仿宋" w:cs="仿宋"/>
          <w:b/>
          <w:bCs/>
          <w:spacing w:val="20"/>
          <w:kern w:val="0"/>
          <w:sz w:val="84"/>
          <w:szCs w:val="84"/>
          <w:highlight w:val="none"/>
        </w:rPr>
      </w:pPr>
    </w:p>
    <w:p>
      <w:pPr>
        <w:widowControl/>
        <w:spacing w:line="560" w:lineRule="exact"/>
        <w:rPr>
          <w:rFonts w:ascii="仿宋" w:hAnsi="仿宋" w:eastAsia="仿宋" w:cs="仿宋"/>
          <w:b/>
          <w:sz w:val="52"/>
          <w:szCs w:val="52"/>
          <w:highlight w:val="none"/>
        </w:rPr>
      </w:pPr>
    </w:p>
    <w:p>
      <w:pPr>
        <w:spacing w:beforeLines="50" w:line="560" w:lineRule="exact"/>
        <w:jc w:val="center"/>
        <w:rPr>
          <w:rFonts w:ascii="仿宋" w:hAnsi="仿宋" w:eastAsia="仿宋" w:cs="仿宋"/>
          <w:b/>
          <w:bCs/>
          <w:spacing w:val="20"/>
          <w:kern w:val="0"/>
          <w:sz w:val="72"/>
          <w:szCs w:val="72"/>
          <w:highlight w:val="none"/>
        </w:rPr>
      </w:pPr>
    </w:p>
    <w:p>
      <w:pPr>
        <w:spacing w:beforeLines="50" w:line="560" w:lineRule="exact"/>
        <w:jc w:val="center"/>
        <w:rPr>
          <w:rFonts w:ascii="仿宋" w:hAnsi="仿宋" w:eastAsia="仿宋" w:cs="仿宋"/>
          <w:b/>
          <w:bCs/>
          <w:spacing w:val="20"/>
          <w:kern w:val="0"/>
          <w:sz w:val="56"/>
          <w:szCs w:val="56"/>
          <w:highlight w:val="none"/>
        </w:rPr>
      </w:pPr>
      <w:r>
        <w:rPr>
          <w:rFonts w:hint="eastAsia" w:ascii="仿宋" w:hAnsi="仿宋" w:eastAsia="仿宋" w:cs="仿宋"/>
          <w:b/>
          <w:bCs/>
          <w:spacing w:val="20"/>
          <w:kern w:val="0"/>
          <w:sz w:val="56"/>
          <w:szCs w:val="56"/>
          <w:highlight w:val="none"/>
        </w:rPr>
        <w:t>高清设备改造</w:t>
      </w:r>
    </w:p>
    <w:p>
      <w:pPr>
        <w:spacing w:beforeLines="50" w:line="560" w:lineRule="exact"/>
        <w:jc w:val="center"/>
        <w:rPr>
          <w:rFonts w:ascii="仿宋" w:hAnsi="仿宋" w:eastAsia="仿宋" w:cs="仿宋"/>
          <w:b/>
          <w:bCs/>
          <w:spacing w:val="20"/>
          <w:kern w:val="0"/>
          <w:sz w:val="72"/>
          <w:szCs w:val="72"/>
          <w:highlight w:val="none"/>
        </w:rPr>
      </w:pPr>
    </w:p>
    <w:p>
      <w:pPr>
        <w:spacing w:beforeLines="50" w:line="560" w:lineRule="exact"/>
        <w:jc w:val="center"/>
        <w:rPr>
          <w:rFonts w:ascii="仿宋" w:hAnsi="仿宋" w:eastAsia="仿宋" w:cs="仿宋"/>
          <w:b/>
          <w:bCs/>
          <w:spacing w:val="20"/>
          <w:kern w:val="0"/>
          <w:sz w:val="72"/>
          <w:szCs w:val="72"/>
          <w:highlight w:val="none"/>
        </w:rPr>
      </w:pPr>
    </w:p>
    <w:p>
      <w:pPr>
        <w:spacing w:beforeLines="50" w:line="560" w:lineRule="exact"/>
        <w:jc w:val="center"/>
        <w:rPr>
          <w:rFonts w:ascii="仿宋" w:hAnsi="仿宋" w:eastAsia="仿宋" w:cs="仿宋"/>
          <w:b/>
          <w:bCs/>
          <w:spacing w:val="20"/>
          <w:kern w:val="0"/>
          <w:sz w:val="72"/>
          <w:szCs w:val="72"/>
          <w:highlight w:val="none"/>
        </w:rPr>
      </w:pPr>
      <w:r>
        <w:rPr>
          <w:rFonts w:hint="eastAsia" w:ascii="仿宋" w:hAnsi="仿宋" w:eastAsia="仿宋" w:cs="仿宋"/>
          <w:b/>
          <w:bCs/>
          <w:spacing w:val="20"/>
          <w:kern w:val="0"/>
          <w:sz w:val="72"/>
          <w:szCs w:val="72"/>
          <w:highlight w:val="none"/>
        </w:rPr>
        <w:t>公开招标文件</w:t>
      </w:r>
    </w:p>
    <w:p>
      <w:pPr>
        <w:pStyle w:val="36"/>
        <w:ind w:firstLine="1526"/>
        <w:rPr>
          <w:rFonts w:ascii="仿宋" w:hAnsi="仿宋" w:eastAsia="仿宋" w:cs="仿宋"/>
          <w:b/>
          <w:bCs/>
          <w:spacing w:val="20"/>
          <w:kern w:val="0"/>
          <w:sz w:val="72"/>
          <w:szCs w:val="72"/>
          <w:highlight w:val="none"/>
        </w:rPr>
      </w:pPr>
    </w:p>
    <w:p>
      <w:pPr>
        <w:spacing w:beforeLines="70" w:line="560" w:lineRule="exact"/>
        <w:rPr>
          <w:rFonts w:ascii="仿宋" w:hAnsi="仿宋" w:eastAsia="仿宋" w:cs="仿宋"/>
          <w:b/>
          <w:bCs/>
          <w:sz w:val="32"/>
          <w:szCs w:val="32"/>
          <w:highlight w:val="none"/>
        </w:rPr>
      </w:pPr>
      <w:r>
        <w:rPr>
          <w:rFonts w:hint="eastAsia" w:ascii="仿宋" w:hAnsi="仿宋" w:eastAsia="仿宋" w:cs="仿宋"/>
          <w:b/>
          <w:sz w:val="32"/>
          <w:szCs w:val="32"/>
          <w:highlight w:val="none"/>
          <w:shd w:val="clear" w:color="auto" w:fill="FFFFFF"/>
        </w:rPr>
        <w:drawing>
          <wp:anchor distT="0" distB="0" distL="114300" distR="114300" simplePos="0" relativeHeight="251663360" behindDoc="1" locked="0" layoutInCell="1" allowOverlap="1">
            <wp:simplePos x="0" y="0"/>
            <wp:positionH relativeFrom="column">
              <wp:posOffset>2034540</wp:posOffset>
            </wp:positionH>
            <wp:positionV relativeFrom="paragraph">
              <wp:posOffset>123190</wp:posOffset>
            </wp:positionV>
            <wp:extent cx="1466215" cy="1390650"/>
            <wp:effectExtent l="0" t="0" r="12065" b="0"/>
            <wp:wrapTight wrapText="bothSides">
              <wp:wrapPolygon>
                <wp:start x="0" y="0"/>
                <wp:lineTo x="0" y="21304"/>
                <wp:lineTo x="21329" y="21304"/>
                <wp:lineTo x="21329" y="0"/>
                <wp:lineTo x="0" y="0"/>
              </wp:wrapPolygon>
            </wp:wrapTight>
            <wp:docPr id="1" name="图片 1"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3eb5700307075d23daf00df32f9f8"/>
                    <pic:cNvPicPr>
                      <a:picLocks noChangeAspect="1"/>
                    </pic:cNvPicPr>
                  </pic:nvPicPr>
                  <pic:blipFill>
                    <a:blip r:embed="rId33"/>
                    <a:stretch>
                      <a:fillRect/>
                    </a:stretch>
                  </pic:blipFill>
                  <pic:spPr>
                    <a:xfrm>
                      <a:off x="0" y="0"/>
                      <a:ext cx="1466215" cy="1390650"/>
                    </a:xfrm>
                    <a:prstGeom prst="rect">
                      <a:avLst/>
                    </a:prstGeom>
                  </pic:spPr>
                </pic:pic>
              </a:graphicData>
            </a:graphic>
          </wp:anchor>
        </w:drawing>
      </w:r>
    </w:p>
    <w:p>
      <w:pPr>
        <w:spacing w:beforeLines="70" w:line="560" w:lineRule="exact"/>
        <w:ind w:firstLine="2570" w:firstLineChars="800"/>
        <w:rPr>
          <w:rFonts w:ascii="仿宋" w:hAnsi="仿宋" w:eastAsia="仿宋" w:cs="仿宋"/>
          <w:b/>
          <w:bCs/>
          <w:sz w:val="32"/>
          <w:szCs w:val="32"/>
          <w:highlight w:val="none"/>
        </w:rPr>
      </w:pPr>
    </w:p>
    <w:p>
      <w:pPr>
        <w:spacing w:beforeLines="70" w:line="560" w:lineRule="exact"/>
        <w:ind w:firstLine="2570" w:firstLineChars="800"/>
        <w:rPr>
          <w:rFonts w:ascii="仿宋" w:hAnsi="仿宋" w:eastAsia="仿宋" w:cs="仿宋"/>
          <w:b/>
          <w:bCs/>
          <w:sz w:val="32"/>
          <w:szCs w:val="32"/>
          <w:highlight w:val="none"/>
        </w:rPr>
      </w:pPr>
    </w:p>
    <w:p>
      <w:pPr>
        <w:spacing w:beforeLines="70" w:line="560" w:lineRule="exact"/>
        <w:ind w:firstLine="2570" w:firstLineChars="800"/>
        <w:rPr>
          <w:rFonts w:ascii="仿宋" w:hAnsi="仿宋" w:eastAsia="仿宋" w:cs="仿宋"/>
          <w:b/>
          <w:bCs/>
          <w:sz w:val="32"/>
          <w:szCs w:val="32"/>
          <w:highlight w:val="none"/>
        </w:rPr>
      </w:pPr>
    </w:p>
    <w:p>
      <w:pPr>
        <w:spacing w:beforeLines="70" w:line="560" w:lineRule="exact"/>
        <w:ind w:firstLine="2570" w:firstLineChars="800"/>
        <w:rPr>
          <w:rFonts w:ascii="仿宋" w:hAnsi="仿宋" w:eastAsia="仿宋" w:cs="仿宋"/>
          <w:b/>
          <w:bCs/>
          <w:sz w:val="32"/>
          <w:szCs w:val="32"/>
          <w:highlight w:val="none"/>
        </w:rPr>
      </w:pPr>
    </w:p>
    <w:p>
      <w:pPr>
        <w:pStyle w:val="16"/>
        <w:rPr>
          <w:rFonts w:ascii="仿宋" w:hAnsi="仿宋" w:eastAsia="仿宋" w:cs="仿宋"/>
          <w:highlight w:val="none"/>
        </w:rPr>
      </w:pPr>
    </w:p>
    <w:p>
      <w:pPr>
        <w:pStyle w:val="2"/>
        <w:spacing w:line="640" w:lineRule="exact"/>
        <w:ind w:firstLine="1446" w:firstLineChars="450"/>
        <w:rPr>
          <w:rFonts w:ascii="仿宋" w:hAnsi="仿宋" w:eastAsia="仿宋" w:cs="仿宋"/>
          <w:b/>
          <w:bCs/>
          <w:sz w:val="32"/>
          <w:szCs w:val="32"/>
          <w:highlight w:val="none"/>
        </w:rPr>
      </w:pPr>
      <w:r>
        <w:rPr>
          <w:rFonts w:hint="eastAsia" w:ascii="仿宋" w:hAnsi="仿宋" w:eastAsia="仿宋" w:cs="仿宋"/>
          <w:b/>
          <w:bCs/>
          <w:sz w:val="32"/>
          <w:szCs w:val="32"/>
          <w:highlight w:val="none"/>
        </w:rPr>
        <w:t>采购人：西安市高陵区融媒体中心（区广播电视台）</w:t>
      </w:r>
    </w:p>
    <w:p>
      <w:pPr>
        <w:pStyle w:val="2"/>
        <w:spacing w:line="640" w:lineRule="exact"/>
        <w:jc w:val="center"/>
        <w:rPr>
          <w:rFonts w:ascii="仿宋" w:hAnsi="仿宋" w:eastAsia="仿宋" w:cs="仿宋"/>
          <w:highlight w:val="none"/>
        </w:rPr>
      </w:pPr>
      <w:r>
        <w:rPr>
          <w:rFonts w:hint="eastAsia" w:ascii="仿宋" w:hAnsi="仿宋" w:eastAsia="仿宋" w:cs="仿宋"/>
          <w:b/>
          <w:bCs/>
          <w:sz w:val="32"/>
          <w:szCs w:val="32"/>
          <w:highlight w:val="none"/>
        </w:rPr>
        <w:t>采购代理机构：华招广和项目管理有限公司</w:t>
      </w:r>
    </w:p>
    <w:p>
      <w:pPr>
        <w:spacing w:beforeLines="70" w:line="560" w:lineRule="exact"/>
        <w:ind w:firstLine="3213" w:firstLineChars="1000"/>
        <w:rPr>
          <w:rFonts w:ascii="仿宋" w:hAnsi="仿宋" w:eastAsia="仿宋" w:cs="仿宋"/>
          <w:b/>
          <w:bCs/>
          <w:sz w:val="32"/>
          <w:szCs w:val="32"/>
          <w:highlight w:val="none"/>
        </w:rPr>
      </w:pPr>
      <w:r>
        <w:rPr>
          <w:rFonts w:hint="eastAsia" w:ascii="仿宋" w:hAnsi="仿宋" w:eastAsia="仿宋" w:cs="仿宋"/>
          <w:b/>
          <w:bCs/>
          <w:sz w:val="32"/>
          <w:szCs w:val="32"/>
          <w:highlight w:val="none"/>
        </w:rPr>
        <w:t>二零二二年九月</w:t>
      </w:r>
    </w:p>
    <w:p>
      <w:pPr>
        <w:rPr>
          <w:rFonts w:ascii="仿宋" w:hAnsi="仿宋" w:eastAsia="仿宋" w:cs="仿宋"/>
          <w:sz w:val="48"/>
          <w:szCs w:val="4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5" w:h="16840"/>
          <w:pgMar w:top="1417" w:right="1417" w:bottom="1417" w:left="1417" w:header="935" w:footer="771" w:gutter="0"/>
          <w:pgNumType w:start="1"/>
          <w:cols w:space="0" w:num="1"/>
          <w:titlePg/>
          <w:docGrid w:linePitch="312" w:charSpace="0"/>
        </w:sectPr>
      </w:pPr>
      <w:r>
        <w:rPr>
          <w:rFonts w:hint="eastAsia" w:ascii="仿宋" w:hAnsi="仿宋" w:eastAsia="仿宋" w:cs="仿宋"/>
          <w:sz w:val="48"/>
          <w:szCs w:val="48"/>
          <w:highlight w:val="none"/>
          <w:lang w:val="zh-CN"/>
        </w:rPr>
        <w:br w:type="page"/>
      </w:r>
    </w:p>
    <w:p>
      <w:pPr>
        <w:jc w:val="center"/>
        <w:rPr>
          <w:rFonts w:ascii="仿宋" w:hAnsi="仿宋" w:eastAsia="仿宋" w:cs="仿宋"/>
          <w:sz w:val="48"/>
          <w:szCs w:val="48"/>
          <w:highlight w:val="none"/>
          <w:lang w:val="zh-CN"/>
        </w:rPr>
      </w:pPr>
    </w:p>
    <w:p>
      <w:pPr>
        <w:jc w:val="center"/>
        <w:rPr>
          <w:rFonts w:ascii="仿宋" w:hAnsi="仿宋" w:eastAsia="仿宋" w:cs="仿宋"/>
          <w:b/>
          <w:spacing w:val="140"/>
          <w:sz w:val="52"/>
          <w:szCs w:val="52"/>
          <w:highlight w:val="none"/>
          <w:u w:val="double"/>
        </w:rPr>
      </w:pPr>
      <w:r>
        <w:rPr>
          <w:rFonts w:hint="eastAsia" w:ascii="仿宋" w:hAnsi="仿宋" w:eastAsia="仿宋" w:cs="仿宋"/>
          <w:b/>
          <w:spacing w:val="140"/>
          <w:sz w:val="52"/>
          <w:szCs w:val="52"/>
          <w:highlight w:val="none"/>
          <w:u w:val="double"/>
        </w:rPr>
        <w:t>特别提示</w:t>
      </w:r>
    </w:p>
    <w:p>
      <w:pPr>
        <w:ind w:firstLine="422"/>
        <w:rPr>
          <w:rFonts w:ascii="仿宋" w:hAnsi="仿宋" w:eastAsia="仿宋" w:cs="仿宋"/>
          <w:b/>
          <w:sz w:val="21"/>
          <w:szCs w:val="21"/>
          <w:highlight w:val="none"/>
        </w:rPr>
      </w:pPr>
    </w:p>
    <w:p>
      <w:pPr>
        <w:spacing w:line="560" w:lineRule="exact"/>
        <w:ind w:firstLine="422"/>
        <w:rPr>
          <w:rFonts w:ascii="仿宋" w:hAnsi="仿宋" w:eastAsia="仿宋" w:cs="仿宋"/>
          <w:b/>
          <w:szCs w:val="24"/>
          <w:highlight w:val="none"/>
        </w:rPr>
      </w:pPr>
    </w:p>
    <w:p>
      <w:pPr>
        <w:spacing w:line="560" w:lineRule="exact"/>
        <w:rPr>
          <w:rFonts w:ascii="仿宋" w:hAnsi="仿宋" w:eastAsia="仿宋" w:cs="仿宋"/>
          <w:szCs w:val="24"/>
          <w:highlight w:val="none"/>
        </w:rPr>
      </w:pPr>
      <w:r>
        <w:rPr>
          <w:rFonts w:hint="eastAsia" w:ascii="仿宋" w:hAnsi="仿宋" w:eastAsia="仿宋" w:cs="仿宋"/>
          <w:b/>
          <w:szCs w:val="24"/>
          <w:highlight w:val="none"/>
        </w:rPr>
        <w:t>各投标人</w:t>
      </w:r>
      <w:r>
        <w:rPr>
          <w:rFonts w:hint="eastAsia" w:ascii="仿宋" w:hAnsi="仿宋" w:eastAsia="仿宋" w:cs="仿宋"/>
          <w:szCs w:val="24"/>
          <w:highlight w:val="none"/>
        </w:rPr>
        <w:t>：在此我们特别善意地提醒您注意！</w:t>
      </w:r>
    </w:p>
    <w:p>
      <w:pPr>
        <w:tabs>
          <w:tab w:val="left" w:pos="1064"/>
        </w:tabs>
        <w:spacing w:line="560" w:lineRule="exact"/>
        <w:ind w:firstLine="420"/>
        <w:rPr>
          <w:rFonts w:ascii="仿宋" w:hAnsi="仿宋" w:eastAsia="仿宋" w:cs="仿宋"/>
          <w:szCs w:val="24"/>
          <w:highlight w:val="none"/>
        </w:rPr>
      </w:pPr>
      <w:r>
        <w:rPr>
          <w:rFonts w:hint="eastAsia" w:ascii="仿宋" w:hAnsi="仿宋" w:eastAsia="仿宋" w:cs="仿宋"/>
          <w:szCs w:val="24"/>
          <w:highlight w:val="none"/>
        </w:rPr>
        <w:t>1、请您仔细地阅读招标文件并正确理解招标文件中各项具体要求。</w:t>
      </w:r>
    </w:p>
    <w:p>
      <w:pPr>
        <w:tabs>
          <w:tab w:val="left" w:pos="1064"/>
        </w:tabs>
        <w:spacing w:line="560" w:lineRule="exact"/>
        <w:ind w:firstLine="420"/>
        <w:rPr>
          <w:rFonts w:ascii="仿宋" w:hAnsi="仿宋" w:eastAsia="仿宋" w:cs="仿宋"/>
          <w:szCs w:val="24"/>
          <w:highlight w:val="none"/>
        </w:rPr>
      </w:pPr>
      <w:r>
        <w:rPr>
          <w:rFonts w:hint="eastAsia" w:ascii="仿宋" w:hAnsi="仿宋" w:eastAsia="仿宋" w:cs="仿宋"/>
          <w:szCs w:val="24"/>
          <w:highlight w:val="none"/>
        </w:rPr>
        <w:t>2、请您严格按照招标文件载明的投标文件格式要求编制投标文件。</w:t>
      </w:r>
    </w:p>
    <w:p>
      <w:pPr>
        <w:tabs>
          <w:tab w:val="left" w:pos="1064"/>
        </w:tabs>
        <w:spacing w:line="560" w:lineRule="exact"/>
        <w:ind w:firstLine="420"/>
        <w:rPr>
          <w:rFonts w:ascii="仿宋" w:hAnsi="仿宋" w:eastAsia="仿宋" w:cs="仿宋"/>
          <w:szCs w:val="24"/>
          <w:highlight w:val="none"/>
        </w:rPr>
      </w:pPr>
      <w:r>
        <w:rPr>
          <w:rFonts w:hint="eastAsia" w:ascii="仿宋" w:hAnsi="仿宋" w:eastAsia="仿宋" w:cs="仿宋"/>
          <w:szCs w:val="24"/>
          <w:highlight w:val="none"/>
        </w:rPr>
        <w:t>3、请您按照招标文件要求密封投标文件。</w:t>
      </w:r>
    </w:p>
    <w:p>
      <w:pPr>
        <w:tabs>
          <w:tab w:val="left" w:pos="1064"/>
        </w:tabs>
        <w:spacing w:line="560" w:lineRule="exact"/>
        <w:ind w:firstLine="420"/>
        <w:rPr>
          <w:rFonts w:ascii="仿宋" w:hAnsi="仿宋" w:eastAsia="仿宋" w:cs="仿宋"/>
          <w:szCs w:val="24"/>
          <w:highlight w:val="none"/>
        </w:rPr>
      </w:pPr>
      <w:r>
        <w:rPr>
          <w:rFonts w:hint="eastAsia" w:ascii="仿宋" w:hAnsi="仿宋" w:eastAsia="仿宋" w:cs="仿宋"/>
          <w:szCs w:val="24"/>
          <w:highlight w:val="none"/>
        </w:rPr>
        <w:t>4、请您明确标记投标文件的正本、副本。</w:t>
      </w:r>
    </w:p>
    <w:p>
      <w:pPr>
        <w:tabs>
          <w:tab w:val="left" w:pos="1064"/>
        </w:tabs>
        <w:spacing w:line="560" w:lineRule="exact"/>
        <w:ind w:firstLine="422"/>
        <w:rPr>
          <w:rFonts w:ascii="仿宋" w:hAnsi="仿宋" w:eastAsia="仿宋" w:cs="仿宋"/>
          <w:b/>
          <w:bCs/>
          <w:szCs w:val="24"/>
          <w:highlight w:val="none"/>
        </w:rPr>
      </w:pPr>
      <w:r>
        <w:rPr>
          <w:rFonts w:hint="eastAsia" w:ascii="仿宋" w:hAnsi="仿宋" w:eastAsia="仿宋" w:cs="仿宋"/>
          <w:b/>
          <w:bCs/>
          <w:szCs w:val="24"/>
          <w:highlight w:val="none"/>
        </w:rPr>
        <w:t>5、如在投标文件递交截止时间前放弃本次投标，请以书面形式发出弃标函。</w:t>
      </w:r>
    </w:p>
    <w:p>
      <w:pPr>
        <w:tabs>
          <w:tab w:val="left" w:pos="1064"/>
        </w:tabs>
        <w:spacing w:line="560" w:lineRule="exact"/>
        <w:ind w:firstLine="420"/>
        <w:rPr>
          <w:rFonts w:ascii="仿宋" w:hAnsi="仿宋" w:eastAsia="仿宋" w:cs="仿宋"/>
          <w:szCs w:val="24"/>
          <w:highlight w:val="none"/>
        </w:rPr>
      </w:pPr>
      <w:r>
        <w:rPr>
          <w:rFonts w:hint="eastAsia" w:ascii="仿宋" w:hAnsi="仿宋" w:eastAsia="仿宋" w:cs="仿宋"/>
          <w:szCs w:val="24"/>
          <w:highlight w:val="none"/>
        </w:rPr>
        <w:t>6、请您于2022年9月30日10:00前，准时到华招广和项目管理有限公司会议室（西安市朱雀大街南段1号汇成天玺C座18层1818室）递交投标文件并参加开标会议，避免迟误。</w:t>
      </w:r>
    </w:p>
    <w:p>
      <w:pPr>
        <w:tabs>
          <w:tab w:val="left" w:pos="1064"/>
        </w:tabs>
        <w:spacing w:line="560" w:lineRule="exact"/>
        <w:ind w:firstLine="420"/>
        <w:rPr>
          <w:rFonts w:ascii="仿宋" w:hAnsi="仿宋" w:eastAsia="仿宋" w:cs="仿宋"/>
          <w:szCs w:val="24"/>
          <w:highlight w:val="none"/>
        </w:rPr>
      </w:pPr>
      <w:r>
        <w:rPr>
          <w:rFonts w:hint="eastAsia" w:ascii="仿宋" w:hAnsi="仿宋" w:eastAsia="仿宋" w:cs="仿宋"/>
          <w:szCs w:val="24"/>
          <w:highlight w:val="none"/>
        </w:rPr>
        <w:t>7、请您到达开标会议地点后及时到签到处签字登记。</w:t>
      </w:r>
    </w:p>
    <w:p>
      <w:pPr>
        <w:tabs>
          <w:tab w:val="left" w:pos="1064"/>
        </w:tabs>
        <w:spacing w:line="560" w:lineRule="exact"/>
        <w:ind w:firstLine="420"/>
        <w:rPr>
          <w:rFonts w:ascii="仿宋" w:hAnsi="仿宋" w:eastAsia="仿宋" w:cs="仿宋"/>
          <w:highlight w:val="none"/>
        </w:rPr>
      </w:pPr>
      <w:r>
        <w:rPr>
          <w:rFonts w:hint="eastAsia" w:ascii="仿宋" w:hAnsi="仿宋" w:eastAsia="仿宋" w:cs="仿宋"/>
          <w:b/>
          <w:bCs/>
          <w:szCs w:val="24"/>
          <w:highlight w:val="none"/>
        </w:rPr>
        <w:t>8、请您按照《陕西省财政厅关于政府采购供应商注册登记有关事项的通知》中的要求，通过陕西省政府采购网（http://www.ccgp-shaanxi.gov.cn/）注册登记加入陕西省政府采购供应商库，并接受财政部门的监督管理。</w:t>
      </w:r>
    </w:p>
    <w:p>
      <w:pPr>
        <w:tabs>
          <w:tab w:val="left" w:pos="1064"/>
        </w:tabs>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9、投标人只需拟派1人参与本项目招标会议，须注册西安市“一码通”且为绿码，现场测量体温不得超过37℃，参与招标会议的人员均需佩戴口罩。</w:t>
      </w:r>
    </w:p>
    <w:p>
      <w:pPr>
        <w:tabs>
          <w:tab w:val="left" w:pos="1064"/>
        </w:tabs>
        <w:spacing w:line="560" w:lineRule="exact"/>
        <w:ind w:firstLine="420"/>
        <w:rPr>
          <w:rFonts w:ascii="仿宋" w:hAnsi="仿宋" w:eastAsia="仿宋" w:cs="仿宋"/>
          <w:sz w:val="21"/>
          <w:szCs w:val="21"/>
          <w:highlight w:val="none"/>
        </w:rPr>
      </w:pPr>
      <w:r>
        <w:rPr>
          <w:rFonts w:hint="eastAsia" w:ascii="仿宋" w:hAnsi="仿宋" w:eastAsia="仿宋" w:cs="仿宋"/>
          <w:szCs w:val="24"/>
          <w:highlight w:val="none"/>
        </w:rPr>
        <w:t>谨记上述提示，将有助您顺利地参加投标。若有什么需要帮助，请您与我们的工作人员联系，我们将竭诚为您服务。</w:t>
      </w:r>
    </w:p>
    <w:p>
      <w:pPr>
        <w:rPr>
          <w:rFonts w:ascii="仿宋" w:hAnsi="仿宋" w:eastAsia="仿宋" w:cs="仿宋"/>
          <w:sz w:val="48"/>
          <w:szCs w:val="48"/>
          <w:highlight w:val="none"/>
          <w:lang w:val="zh-CN"/>
        </w:rPr>
      </w:pPr>
    </w:p>
    <w:p>
      <w:pPr>
        <w:pStyle w:val="38"/>
        <w:spacing w:before="0" w:line="560" w:lineRule="exact"/>
        <w:jc w:val="center"/>
        <w:rPr>
          <w:rFonts w:ascii="仿宋" w:hAnsi="仿宋" w:eastAsia="仿宋" w:cs="仿宋"/>
          <w:color w:val="auto"/>
          <w:sz w:val="48"/>
          <w:szCs w:val="48"/>
          <w:highlight w:val="none"/>
          <w:lang w:val="zh-CN"/>
        </w:rPr>
        <w:sectPr>
          <w:headerReference r:id="rId9" w:type="first"/>
          <w:footerReference r:id="rId11" w:type="first"/>
          <w:footerReference r:id="rId10" w:type="default"/>
          <w:pgSz w:w="11905" w:h="16840"/>
          <w:pgMar w:top="1417" w:right="1417" w:bottom="1417" w:left="1417" w:header="935" w:footer="771" w:gutter="0"/>
          <w:pgNumType w:start="1"/>
          <w:cols w:space="0" w:num="1"/>
          <w:titlePg/>
          <w:docGrid w:linePitch="312" w:charSpace="0"/>
        </w:sectPr>
      </w:pPr>
    </w:p>
    <w:p>
      <w:pPr>
        <w:pStyle w:val="38"/>
        <w:spacing w:before="0" w:line="560" w:lineRule="exact"/>
        <w:jc w:val="center"/>
        <w:rPr>
          <w:rFonts w:ascii="仿宋" w:hAnsi="仿宋" w:eastAsia="仿宋" w:cs="仿宋"/>
          <w:color w:val="auto"/>
          <w:sz w:val="48"/>
          <w:szCs w:val="48"/>
          <w:highlight w:val="none"/>
          <w:lang w:val="zh-CN"/>
        </w:rPr>
      </w:pPr>
      <w:r>
        <w:rPr>
          <w:rFonts w:hint="eastAsia" w:ascii="仿宋" w:hAnsi="仿宋" w:eastAsia="仿宋" w:cs="仿宋"/>
          <w:color w:val="auto"/>
          <w:sz w:val="48"/>
          <w:szCs w:val="48"/>
          <w:highlight w:val="none"/>
          <w:lang w:val="zh-CN"/>
        </w:rPr>
        <w:t>目 录</w:t>
      </w:r>
    </w:p>
    <w:p>
      <w:pPr>
        <w:spacing w:line="560" w:lineRule="exact"/>
        <w:rPr>
          <w:rFonts w:ascii="仿宋" w:hAnsi="仿宋" w:eastAsia="仿宋" w:cs="仿宋"/>
          <w:highlight w:val="none"/>
          <w:lang w:val="zh-CN"/>
        </w:rPr>
      </w:pPr>
    </w:p>
    <w:p>
      <w:pPr>
        <w:pStyle w:val="16"/>
        <w:tabs>
          <w:tab w:val="right" w:leader="dot" w:pos="9071"/>
        </w:tabs>
        <w:spacing w:line="480" w:lineRule="auto"/>
        <w:rPr>
          <w:rFonts w:ascii="仿宋" w:hAnsi="仿宋" w:eastAsia="仿宋" w:cs="仿宋"/>
          <w:sz w:val="24"/>
          <w:highlight w:val="none"/>
        </w:rPr>
      </w:pP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TOC \o "1-3" \h \z \u </w:instrText>
      </w:r>
      <w:r>
        <w:rPr>
          <w:rFonts w:hint="eastAsia" w:ascii="仿宋" w:hAnsi="仿宋" w:eastAsia="仿宋" w:cs="仿宋"/>
          <w:sz w:val="24"/>
          <w:highlight w:val="none"/>
        </w:rPr>
        <w:fldChar w:fldCharType="separate"/>
      </w:r>
      <w:r>
        <w:rPr>
          <w:highlight w:val="none"/>
        </w:rPr>
        <w:fldChar w:fldCharType="begin"/>
      </w:r>
      <w:r>
        <w:rPr>
          <w:highlight w:val="none"/>
        </w:rPr>
        <w:instrText xml:space="preserve"> HYPERLINK \l "_Toc8848" </w:instrText>
      </w:r>
      <w:r>
        <w:rPr>
          <w:highlight w:val="none"/>
        </w:rPr>
        <w:fldChar w:fldCharType="separate"/>
      </w:r>
      <w:r>
        <w:rPr>
          <w:rFonts w:hint="eastAsia" w:ascii="仿宋" w:hAnsi="仿宋" w:eastAsia="仿宋" w:cs="仿宋"/>
          <w:sz w:val="24"/>
          <w:highlight w:val="none"/>
        </w:rPr>
        <w:t>第一章  招标公告</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_Toc8848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5</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6"/>
        <w:tabs>
          <w:tab w:val="right" w:leader="dot" w:pos="9071"/>
        </w:tabs>
        <w:spacing w:line="480" w:lineRule="auto"/>
        <w:rPr>
          <w:rFonts w:ascii="仿宋" w:hAnsi="仿宋" w:eastAsia="仿宋" w:cs="仿宋"/>
          <w:sz w:val="24"/>
          <w:highlight w:val="none"/>
        </w:rPr>
      </w:pPr>
      <w:r>
        <w:rPr>
          <w:highlight w:val="none"/>
        </w:rPr>
        <w:fldChar w:fldCharType="begin"/>
      </w:r>
      <w:r>
        <w:rPr>
          <w:highlight w:val="none"/>
        </w:rPr>
        <w:instrText xml:space="preserve"> HYPERLINK \l "_Toc5261" </w:instrText>
      </w:r>
      <w:r>
        <w:rPr>
          <w:highlight w:val="none"/>
        </w:rPr>
        <w:fldChar w:fldCharType="separate"/>
      </w:r>
      <w:r>
        <w:rPr>
          <w:rFonts w:hint="eastAsia" w:ascii="仿宋" w:hAnsi="仿宋" w:eastAsia="仿宋" w:cs="仿宋"/>
          <w:sz w:val="24"/>
          <w:highlight w:val="none"/>
        </w:rPr>
        <w:t>第二章  投标人须知</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_Toc5261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9</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7"/>
        <w:tabs>
          <w:tab w:val="right" w:leader="dot" w:pos="9071"/>
        </w:tabs>
        <w:spacing w:line="480" w:lineRule="auto"/>
        <w:ind w:left="480"/>
        <w:rPr>
          <w:rFonts w:ascii="仿宋" w:hAnsi="仿宋" w:eastAsia="仿宋" w:cs="仿宋"/>
          <w:sz w:val="24"/>
          <w:highlight w:val="none"/>
        </w:rPr>
      </w:pPr>
      <w:r>
        <w:rPr>
          <w:highlight w:val="none"/>
        </w:rPr>
        <w:fldChar w:fldCharType="begin"/>
      </w:r>
      <w:r>
        <w:rPr>
          <w:highlight w:val="none"/>
        </w:rPr>
        <w:instrText xml:space="preserve"> HYPERLINK \l "_Toc8251" </w:instrText>
      </w:r>
      <w:r>
        <w:rPr>
          <w:highlight w:val="none"/>
        </w:rPr>
        <w:fldChar w:fldCharType="separate"/>
      </w:r>
      <w:r>
        <w:rPr>
          <w:rFonts w:hint="eastAsia" w:ascii="仿宋" w:hAnsi="仿宋" w:eastAsia="仿宋" w:cs="仿宋"/>
          <w:sz w:val="24"/>
          <w:highlight w:val="none"/>
        </w:rPr>
        <w:t>一、投标人须知前附表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_Toc8251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9</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7"/>
        <w:tabs>
          <w:tab w:val="right" w:leader="dot" w:pos="9071"/>
        </w:tabs>
        <w:spacing w:line="480" w:lineRule="auto"/>
        <w:ind w:left="480"/>
        <w:rPr>
          <w:rFonts w:ascii="仿宋" w:hAnsi="仿宋" w:eastAsia="仿宋" w:cs="仿宋"/>
          <w:sz w:val="24"/>
          <w:highlight w:val="none"/>
        </w:rPr>
      </w:pPr>
      <w:r>
        <w:rPr>
          <w:highlight w:val="none"/>
        </w:rPr>
        <w:fldChar w:fldCharType="begin"/>
      </w:r>
      <w:r>
        <w:rPr>
          <w:highlight w:val="none"/>
        </w:rPr>
        <w:instrText xml:space="preserve"> HYPERLINK \l "_Toc13358" </w:instrText>
      </w:r>
      <w:r>
        <w:rPr>
          <w:highlight w:val="none"/>
        </w:rPr>
        <w:fldChar w:fldCharType="separate"/>
      </w:r>
      <w:r>
        <w:rPr>
          <w:rFonts w:hint="eastAsia" w:ascii="仿宋" w:hAnsi="仿宋" w:eastAsia="仿宋" w:cs="仿宋"/>
          <w:kern w:val="0"/>
          <w:sz w:val="24"/>
          <w:highlight w:val="none"/>
        </w:rPr>
        <w:t>二、项目说明</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_Toc13358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14</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7"/>
        <w:tabs>
          <w:tab w:val="right" w:leader="dot" w:pos="9071"/>
        </w:tabs>
        <w:spacing w:line="480" w:lineRule="auto"/>
        <w:ind w:left="480"/>
        <w:rPr>
          <w:rFonts w:ascii="仿宋" w:hAnsi="仿宋" w:eastAsia="仿宋" w:cs="仿宋"/>
          <w:sz w:val="24"/>
          <w:highlight w:val="none"/>
        </w:rPr>
      </w:pPr>
      <w:r>
        <w:rPr>
          <w:highlight w:val="none"/>
        </w:rPr>
        <w:fldChar w:fldCharType="begin"/>
      </w:r>
      <w:r>
        <w:rPr>
          <w:highlight w:val="none"/>
        </w:rPr>
        <w:instrText xml:space="preserve"> HYPERLINK \l "_Toc32654" </w:instrText>
      </w:r>
      <w:r>
        <w:rPr>
          <w:highlight w:val="none"/>
        </w:rPr>
        <w:fldChar w:fldCharType="separate"/>
      </w:r>
      <w:r>
        <w:rPr>
          <w:rFonts w:hint="eastAsia" w:ascii="仿宋" w:hAnsi="仿宋" w:eastAsia="仿宋" w:cs="仿宋"/>
          <w:kern w:val="0"/>
          <w:sz w:val="24"/>
          <w:highlight w:val="none"/>
        </w:rPr>
        <w:t>三、招标文件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_Toc32654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14</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7"/>
        <w:tabs>
          <w:tab w:val="right" w:leader="dot" w:pos="9071"/>
        </w:tabs>
        <w:spacing w:line="480" w:lineRule="auto"/>
        <w:ind w:left="480"/>
        <w:rPr>
          <w:rFonts w:ascii="仿宋" w:hAnsi="仿宋" w:eastAsia="仿宋" w:cs="仿宋"/>
          <w:sz w:val="24"/>
          <w:highlight w:val="none"/>
        </w:rPr>
      </w:pPr>
      <w:r>
        <w:rPr>
          <w:highlight w:val="none"/>
        </w:rPr>
        <w:fldChar w:fldCharType="begin"/>
      </w:r>
      <w:r>
        <w:rPr>
          <w:highlight w:val="none"/>
        </w:rPr>
        <w:instrText xml:space="preserve"> HYPERLINK \l "_Toc17207" </w:instrText>
      </w:r>
      <w:r>
        <w:rPr>
          <w:highlight w:val="none"/>
        </w:rPr>
        <w:fldChar w:fldCharType="separate"/>
      </w:r>
      <w:r>
        <w:rPr>
          <w:rFonts w:hint="eastAsia" w:ascii="仿宋" w:hAnsi="仿宋" w:eastAsia="仿宋" w:cs="仿宋"/>
          <w:kern w:val="0"/>
          <w:sz w:val="24"/>
          <w:highlight w:val="none"/>
        </w:rPr>
        <w:t>四、投标文件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_Toc17207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15</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7"/>
        <w:tabs>
          <w:tab w:val="right" w:leader="dot" w:pos="9071"/>
        </w:tabs>
        <w:spacing w:line="480" w:lineRule="auto"/>
        <w:ind w:left="480"/>
        <w:rPr>
          <w:rFonts w:ascii="仿宋" w:hAnsi="仿宋" w:eastAsia="仿宋" w:cs="仿宋"/>
          <w:sz w:val="24"/>
          <w:highlight w:val="none"/>
        </w:rPr>
      </w:pPr>
      <w:r>
        <w:rPr>
          <w:highlight w:val="none"/>
        </w:rPr>
        <w:fldChar w:fldCharType="begin"/>
      </w:r>
      <w:r>
        <w:rPr>
          <w:highlight w:val="none"/>
        </w:rPr>
        <w:instrText xml:space="preserve"> HYPERLINK \l "_Toc25183" </w:instrText>
      </w:r>
      <w:r>
        <w:rPr>
          <w:highlight w:val="none"/>
        </w:rPr>
        <w:fldChar w:fldCharType="separate"/>
      </w:r>
      <w:r>
        <w:rPr>
          <w:rFonts w:hint="eastAsia" w:ascii="仿宋" w:hAnsi="仿宋" w:eastAsia="仿宋" w:cs="仿宋"/>
          <w:sz w:val="24"/>
          <w:szCs w:val="24"/>
          <w:highlight w:val="none"/>
          <w:lang w:val="en-US" w:eastAsia="zh-CN"/>
        </w:rPr>
        <w:t>五</w:t>
      </w:r>
      <w:r>
        <w:rPr>
          <w:rFonts w:hint="eastAsia" w:ascii="仿宋" w:hAnsi="仿宋" w:eastAsia="仿宋" w:cs="仿宋"/>
          <w:kern w:val="0"/>
          <w:sz w:val="24"/>
          <w:highlight w:val="none"/>
        </w:rPr>
        <w:t>、投标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_Toc25183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21</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7"/>
        <w:tabs>
          <w:tab w:val="right" w:leader="dot" w:pos="9071"/>
        </w:tabs>
        <w:spacing w:line="480" w:lineRule="auto"/>
        <w:ind w:left="480"/>
        <w:rPr>
          <w:rFonts w:ascii="仿宋" w:hAnsi="仿宋" w:eastAsia="仿宋" w:cs="仿宋"/>
          <w:sz w:val="24"/>
          <w:highlight w:val="none"/>
        </w:rPr>
      </w:pPr>
      <w:r>
        <w:rPr>
          <w:highlight w:val="none"/>
        </w:rPr>
        <w:fldChar w:fldCharType="begin"/>
      </w:r>
      <w:r>
        <w:rPr>
          <w:highlight w:val="none"/>
        </w:rPr>
        <w:instrText xml:space="preserve"> HYPERLINK \l "_Toc11905" </w:instrText>
      </w:r>
      <w:r>
        <w:rPr>
          <w:highlight w:val="none"/>
        </w:rPr>
        <w:fldChar w:fldCharType="separate"/>
      </w:r>
      <w:r>
        <w:rPr>
          <w:rFonts w:hint="eastAsia" w:ascii="仿宋" w:hAnsi="仿宋" w:eastAsia="仿宋" w:cs="仿宋"/>
          <w:kern w:val="0"/>
          <w:sz w:val="24"/>
          <w:highlight w:val="none"/>
          <w:lang w:val="en-US" w:eastAsia="zh-CN"/>
        </w:rPr>
        <w:t>六</w:t>
      </w:r>
      <w:r>
        <w:rPr>
          <w:rFonts w:hint="eastAsia" w:ascii="仿宋" w:hAnsi="仿宋" w:eastAsia="仿宋" w:cs="仿宋"/>
          <w:kern w:val="0"/>
          <w:sz w:val="24"/>
          <w:highlight w:val="none"/>
        </w:rPr>
        <w:t>、开标、资格审查、评标和定标</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_Toc11905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22</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7"/>
        <w:tabs>
          <w:tab w:val="right" w:leader="dot" w:pos="9071"/>
        </w:tabs>
        <w:spacing w:line="480" w:lineRule="auto"/>
        <w:ind w:left="480"/>
        <w:rPr>
          <w:rFonts w:ascii="仿宋" w:hAnsi="仿宋" w:eastAsia="仿宋" w:cs="仿宋"/>
          <w:sz w:val="24"/>
          <w:highlight w:val="none"/>
        </w:rPr>
      </w:pPr>
      <w:r>
        <w:rPr>
          <w:highlight w:val="none"/>
        </w:rPr>
        <w:fldChar w:fldCharType="begin"/>
      </w:r>
      <w:r>
        <w:rPr>
          <w:highlight w:val="none"/>
        </w:rPr>
        <w:instrText xml:space="preserve"> HYPERLINK \l "_Toc30729" </w:instrText>
      </w:r>
      <w:r>
        <w:rPr>
          <w:highlight w:val="none"/>
        </w:rPr>
        <w:fldChar w:fldCharType="separate"/>
      </w:r>
      <w:r>
        <w:rPr>
          <w:rFonts w:hint="eastAsia" w:ascii="仿宋" w:hAnsi="仿宋" w:eastAsia="仿宋" w:cs="仿宋"/>
          <w:kern w:val="0"/>
          <w:sz w:val="24"/>
          <w:highlight w:val="none"/>
          <w:lang w:val="en-US" w:eastAsia="zh-CN"/>
        </w:rPr>
        <w:t>七</w:t>
      </w:r>
      <w:r>
        <w:rPr>
          <w:rFonts w:hint="eastAsia" w:ascii="仿宋" w:hAnsi="仿宋" w:eastAsia="仿宋" w:cs="仿宋"/>
          <w:kern w:val="0"/>
          <w:sz w:val="24"/>
          <w:highlight w:val="none"/>
        </w:rPr>
        <w:t>、合同</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_Toc30729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34</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7"/>
        <w:tabs>
          <w:tab w:val="right" w:leader="dot" w:pos="9071"/>
        </w:tabs>
        <w:spacing w:line="480" w:lineRule="auto"/>
        <w:ind w:left="480"/>
        <w:rPr>
          <w:rFonts w:ascii="仿宋" w:hAnsi="仿宋" w:eastAsia="仿宋" w:cs="仿宋"/>
          <w:sz w:val="24"/>
          <w:highlight w:val="none"/>
        </w:rPr>
      </w:pPr>
      <w:r>
        <w:rPr>
          <w:highlight w:val="none"/>
        </w:rPr>
        <w:fldChar w:fldCharType="begin"/>
      </w:r>
      <w:r>
        <w:rPr>
          <w:highlight w:val="none"/>
        </w:rPr>
        <w:instrText xml:space="preserve"> HYPERLINK \l "_Toc26201" </w:instrText>
      </w:r>
      <w:r>
        <w:rPr>
          <w:highlight w:val="none"/>
        </w:rPr>
        <w:fldChar w:fldCharType="separate"/>
      </w:r>
      <w:r>
        <w:rPr>
          <w:rFonts w:hint="eastAsia" w:ascii="仿宋" w:hAnsi="仿宋" w:eastAsia="仿宋" w:cs="仿宋"/>
          <w:kern w:val="0"/>
          <w:sz w:val="24"/>
          <w:highlight w:val="none"/>
          <w:lang w:val="en-US" w:eastAsia="zh-CN"/>
        </w:rPr>
        <w:t>八</w:t>
      </w:r>
      <w:r>
        <w:rPr>
          <w:rFonts w:hint="eastAsia" w:ascii="仿宋" w:hAnsi="仿宋" w:eastAsia="仿宋" w:cs="仿宋"/>
          <w:kern w:val="0"/>
          <w:sz w:val="24"/>
          <w:highlight w:val="none"/>
        </w:rPr>
        <w:t>、合同的履约验收</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_Toc26201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7"/>
        <w:tabs>
          <w:tab w:val="right" w:leader="dot" w:pos="9071"/>
        </w:tabs>
        <w:spacing w:line="480" w:lineRule="auto"/>
        <w:ind w:left="480"/>
        <w:rPr>
          <w:rFonts w:ascii="仿宋" w:hAnsi="仿宋" w:eastAsia="仿宋" w:cs="仿宋"/>
          <w:sz w:val="24"/>
          <w:highlight w:val="none"/>
        </w:rPr>
      </w:pPr>
      <w:r>
        <w:rPr>
          <w:highlight w:val="none"/>
        </w:rPr>
        <w:fldChar w:fldCharType="begin"/>
      </w:r>
      <w:r>
        <w:rPr>
          <w:highlight w:val="none"/>
        </w:rPr>
        <w:instrText xml:space="preserve"> HYPERLINK \l "_Toc31905" </w:instrText>
      </w:r>
      <w:r>
        <w:rPr>
          <w:highlight w:val="none"/>
        </w:rPr>
        <w:fldChar w:fldCharType="separate"/>
      </w:r>
      <w:r>
        <w:rPr>
          <w:rFonts w:hint="eastAsia" w:ascii="仿宋" w:hAnsi="仿宋" w:eastAsia="仿宋" w:cs="仿宋"/>
          <w:kern w:val="0"/>
          <w:sz w:val="24"/>
          <w:highlight w:val="none"/>
          <w:lang w:val="en-US" w:eastAsia="zh-CN"/>
        </w:rPr>
        <w:t>九</w:t>
      </w:r>
      <w:r>
        <w:rPr>
          <w:rFonts w:hint="eastAsia" w:ascii="仿宋" w:hAnsi="仿宋" w:eastAsia="仿宋" w:cs="仿宋"/>
          <w:kern w:val="0"/>
          <w:sz w:val="24"/>
          <w:highlight w:val="none"/>
        </w:rPr>
        <w:t>、招标服务费</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_Toc31905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7"/>
        <w:tabs>
          <w:tab w:val="right" w:leader="dot" w:pos="9071"/>
        </w:tabs>
        <w:spacing w:line="480" w:lineRule="auto"/>
        <w:ind w:left="480"/>
        <w:rPr>
          <w:rFonts w:ascii="仿宋" w:hAnsi="仿宋" w:eastAsia="仿宋" w:cs="仿宋"/>
          <w:sz w:val="24"/>
          <w:highlight w:val="none"/>
        </w:rPr>
      </w:pPr>
      <w:r>
        <w:rPr>
          <w:highlight w:val="none"/>
        </w:rPr>
        <w:fldChar w:fldCharType="begin"/>
      </w:r>
      <w:r>
        <w:rPr>
          <w:highlight w:val="none"/>
        </w:rPr>
        <w:instrText xml:space="preserve"> HYPERLINK \l "_Toc4176" </w:instrText>
      </w:r>
      <w:r>
        <w:rPr>
          <w:highlight w:val="none"/>
        </w:rPr>
        <w:fldChar w:fldCharType="separate"/>
      </w:r>
      <w:r>
        <w:rPr>
          <w:rFonts w:hint="eastAsia" w:ascii="仿宋" w:hAnsi="仿宋" w:eastAsia="仿宋" w:cs="仿宋"/>
          <w:kern w:val="0"/>
          <w:sz w:val="24"/>
          <w:highlight w:val="none"/>
        </w:rPr>
        <w:t>十、重新组织采购活动</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_Toc4176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7"/>
        <w:tabs>
          <w:tab w:val="right" w:leader="dot" w:pos="9071"/>
        </w:tabs>
        <w:spacing w:line="480" w:lineRule="auto"/>
        <w:ind w:left="480"/>
        <w:rPr>
          <w:rFonts w:ascii="仿宋" w:hAnsi="仿宋" w:eastAsia="仿宋" w:cs="仿宋"/>
          <w:sz w:val="24"/>
          <w:highlight w:val="none"/>
        </w:rPr>
      </w:pPr>
      <w:r>
        <w:rPr>
          <w:highlight w:val="none"/>
        </w:rPr>
        <w:fldChar w:fldCharType="begin"/>
      </w:r>
      <w:r>
        <w:rPr>
          <w:highlight w:val="none"/>
        </w:rPr>
        <w:instrText xml:space="preserve"> HYPERLINK \l "_Toc8992" </w:instrText>
      </w:r>
      <w:r>
        <w:rPr>
          <w:highlight w:val="none"/>
        </w:rPr>
        <w:fldChar w:fldCharType="separate"/>
      </w:r>
      <w:r>
        <w:rPr>
          <w:rFonts w:hint="eastAsia" w:ascii="仿宋" w:hAnsi="仿宋" w:eastAsia="仿宋" w:cs="仿宋"/>
          <w:kern w:val="0"/>
          <w:sz w:val="24"/>
          <w:highlight w:val="none"/>
        </w:rPr>
        <w:t>十</w:t>
      </w:r>
      <w:r>
        <w:rPr>
          <w:rFonts w:hint="eastAsia" w:ascii="仿宋" w:hAnsi="仿宋" w:eastAsia="仿宋" w:cs="仿宋"/>
          <w:kern w:val="0"/>
          <w:sz w:val="24"/>
          <w:highlight w:val="none"/>
          <w:lang w:val="en-US" w:eastAsia="zh-CN"/>
        </w:rPr>
        <w:t>一</w:t>
      </w:r>
      <w:r>
        <w:rPr>
          <w:rFonts w:hint="eastAsia" w:ascii="仿宋" w:hAnsi="仿宋" w:eastAsia="仿宋" w:cs="仿宋"/>
          <w:kern w:val="0"/>
          <w:sz w:val="24"/>
          <w:highlight w:val="none"/>
        </w:rPr>
        <w:t>、询问、质疑与投诉</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_Toc8992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35</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7"/>
        <w:tabs>
          <w:tab w:val="right" w:leader="dot" w:pos="9071"/>
        </w:tabs>
        <w:spacing w:line="480" w:lineRule="auto"/>
        <w:ind w:left="480"/>
        <w:rPr>
          <w:rFonts w:ascii="仿宋" w:hAnsi="仿宋" w:eastAsia="仿宋" w:cs="仿宋"/>
          <w:sz w:val="24"/>
          <w:highlight w:val="none"/>
        </w:rPr>
      </w:pPr>
      <w:r>
        <w:rPr>
          <w:highlight w:val="none"/>
        </w:rPr>
        <w:fldChar w:fldCharType="begin"/>
      </w:r>
      <w:r>
        <w:rPr>
          <w:highlight w:val="none"/>
        </w:rPr>
        <w:instrText xml:space="preserve"> HYPERLINK \l "_Toc19651" </w:instrText>
      </w:r>
      <w:r>
        <w:rPr>
          <w:highlight w:val="none"/>
        </w:rPr>
        <w:fldChar w:fldCharType="separate"/>
      </w:r>
      <w:r>
        <w:rPr>
          <w:rFonts w:hint="eastAsia" w:ascii="仿宋" w:hAnsi="仿宋" w:eastAsia="仿宋" w:cs="仿宋"/>
          <w:kern w:val="0"/>
          <w:sz w:val="24"/>
          <w:highlight w:val="none"/>
        </w:rPr>
        <w:t>十</w:t>
      </w:r>
      <w:r>
        <w:rPr>
          <w:rFonts w:hint="eastAsia" w:ascii="仿宋" w:hAnsi="仿宋" w:eastAsia="仿宋" w:cs="仿宋"/>
          <w:kern w:val="0"/>
          <w:sz w:val="24"/>
          <w:highlight w:val="none"/>
          <w:lang w:val="en-US" w:eastAsia="zh-CN"/>
        </w:rPr>
        <w:t>二</w:t>
      </w:r>
      <w:r>
        <w:rPr>
          <w:rFonts w:hint="eastAsia" w:ascii="仿宋" w:hAnsi="仿宋" w:eastAsia="仿宋" w:cs="仿宋"/>
          <w:kern w:val="0"/>
          <w:sz w:val="24"/>
          <w:highlight w:val="none"/>
        </w:rPr>
        <w:t>、拒绝商业贿赂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_Toc19651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37</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6"/>
        <w:tabs>
          <w:tab w:val="right" w:leader="dot" w:pos="9071"/>
        </w:tabs>
        <w:spacing w:line="480" w:lineRule="auto"/>
        <w:rPr>
          <w:rFonts w:ascii="仿宋" w:hAnsi="仿宋" w:eastAsia="仿宋" w:cs="仿宋"/>
          <w:sz w:val="24"/>
          <w:highlight w:val="none"/>
        </w:rPr>
      </w:pPr>
      <w:r>
        <w:rPr>
          <w:highlight w:val="none"/>
        </w:rPr>
        <w:fldChar w:fldCharType="begin"/>
      </w:r>
      <w:r>
        <w:rPr>
          <w:highlight w:val="none"/>
        </w:rPr>
        <w:instrText xml:space="preserve"> HYPERLINK \l "_Toc1684" </w:instrText>
      </w:r>
      <w:r>
        <w:rPr>
          <w:highlight w:val="none"/>
        </w:rPr>
        <w:fldChar w:fldCharType="separate"/>
      </w:r>
      <w:r>
        <w:rPr>
          <w:rFonts w:hint="eastAsia" w:ascii="仿宋" w:hAnsi="仿宋" w:eastAsia="仿宋" w:cs="仿宋"/>
          <w:kern w:val="0"/>
          <w:sz w:val="24"/>
          <w:highlight w:val="none"/>
        </w:rPr>
        <w:t>第三章 采购内容及技术要求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_Toc1684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38</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6"/>
        <w:tabs>
          <w:tab w:val="right" w:leader="dot" w:pos="9071"/>
        </w:tabs>
        <w:spacing w:line="480" w:lineRule="auto"/>
        <w:rPr>
          <w:rFonts w:ascii="仿宋" w:hAnsi="仿宋" w:eastAsia="仿宋" w:cs="仿宋"/>
          <w:sz w:val="24"/>
          <w:highlight w:val="none"/>
        </w:rPr>
      </w:pPr>
      <w:r>
        <w:rPr>
          <w:highlight w:val="none"/>
        </w:rPr>
        <w:fldChar w:fldCharType="begin"/>
      </w:r>
      <w:r>
        <w:rPr>
          <w:highlight w:val="none"/>
        </w:rPr>
        <w:instrText xml:space="preserve"> HYPERLINK \l "_Toc24102" </w:instrText>
      </w:r>
      <w:r>
        <w:rPr>
          <w:highlight w:val="none"/>
        </w:rPr>
        <w:fldChar w:fldCharType="separate"/>
      </w:r>
      <w:r>
        <w:rPr>
          <w:rFonts w:hint="eastAsia" w:ascii="仿宋" w:hAnsi="仿宋" w:eastAsia="仿宋" w:cs="仿宋"/>
          <w:sz w:val="24"/>
          <w:highlight w:val="none"/>
        </w:rPr>
        <w:t>第四章 商务要求</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_Toc24102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94</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6"/>
        <w:tabs>
          <w:tab w:val="right" w:leader="dot" w:pos="9071"/>
        </w:tabs>
        <w:spacing w:line="480" w:lineRule="auto"/>
        <w:rPr>
          <w:rFonts w:ascii="仿宋" w:hAnsi="仿宋" w:eastAsia="仿宋" w:cs="仿宋"/>
          <w:sz w:val="24"/>
          <w:highlight w:val="none"/>
        </w:rPr>
      </w:pPr>
      <w:r>
        <w:rPr>
          <w:highlight w:val="none"/>
        </w:rPr>
        <w:fldChar w:fldCharType="begin"/>
      </w:r>
      <w:r>
        <w:rPr>
          <w:highlight w:val="none"/>
        </w:rPr>
        <w:instrText xml:space="preserve"> HYPERLINK \l "_Toc3277" </w:instrText>
      </w:r>
      <w:r>
        <w:rPr>
          <w:highlight w:val="none"/>
        </w:rPr>
        <w:fldChar w:fldCharType="separate"/>
      </w:r>
      <w:r>
        <w:rPr>
          <w:rFonts w:hint="eastAsia" w:ascii="仿宋" w:hAnsi="仿宋" w:eastAsia="仿宋" w:cs="仿宋"/>
          <w:sz w:val="24"/>
          <w:highlight w:val="none"/>
        </w:rPr>
        <w:t>第五章 合同条款（仅供参考）</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_Toc3277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97</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16"/>
        <w:tabs>
          <w:tab w:val="right" w:leader="dot" w:pos="9071"/>
        </w:tabs>
        <w:spacing w:line="480" w:lineRule="auto"/>
        <w:rPr>
          <w:rFonts w:ascii="仿宋" w:hAnsi="仿宋" w:eastAsia="仿宋" w:cs="仿宋"/>
          <w:sz w:val="24"/>
          <w:highlight w:val="none"/>
        </w:rPr>
      </w:pPr>
      <w:r>
        <w:rPr>
          <w:highlight w:val="none"/>
        </w:rPr>
        <w:fldChar w:fldCharType="begin"/>
      </w:r>
      <w:r>
        <w:rPr>
          <w:highlight w:val="none"/>
        </w:rPr>
        <w:instrText xml:space="preserve"> HYPERLINK \l "_Toc21361" </w:instrText>
      </w:r>
      <w:r>
        <w:rPr>
          <w:highlight w:val="none"/>
        </w:rPr>
        <w:fldChar w:fldCharType="separate"/>
      </w:r>
      <w:r>
        <w:rPr>
          <w:rFonts w:hint="eastAsia" w:ascii="仿宋" w:hAnsi="仿宋" w:eastAsia="仿宋" w:cs="仿宋"/>
          <w:sz w:val="24"/>
          <w:highlight w:val="none"/>
        </w:rPr>
        <w:t>第六章 投标文件格式</w:t>
      </w:r>
      <w:r>
        <w:rPr>
          <w:rFonts w:hint="eastAsia" w:ascii="仿宋" w:hAnsi="仿宋" w:eastAsia="仿宋" w:cs="仿宋"/>
          <w:sz w:val="24"/>
          <w:highlight w:val="none"/>
        </w:rPr>
        <w:tab/>
      </w:r>
      <w:r>
        <w:rPr>
          <w:rFonts w:hint="eastAsia" w:ascii="仿宋" w:hAnsi="仿宋" w:eastAsia="仿宋" w:cs="仿宋"/>
          <w:sz w:val="24"/>
          <w:highlight w:val="none"/>
        </w:rPr>
        <w:fldChar w:fldCharType="begin"/>
      </w:r>
      <w:r>
        <w:rPr>
          <w:rFonts w:hint="eastAsia" w:ascii="仿宋" w:hAnsi="仿宋" w:eastAsia="仿宋" w:cs="仿宋"/>
          <w:sz w:val="24"/>
          <w:highlight w:val="none"/>
        </w:rPr>
        <w:instrText xml:space="preserve"> PAGEREF _Toc21361 \h </w:instrText>
      </w:r>
      <w:r>
        <w:rPr>
          <w:rFonts w:hint="eastAsia" w:ascii="仿宋" w:hAnsi="仿宋" w:eastAsia="仿宋" w:cs="仿宋"/>
          <w:sz w:val="24"/>
          <w:highlight w:val="none"/>
        </w:rPr>
        <w:fldChar w:fldCharType="separate"/>
      </w:r>
      <w:r>
        <w:rPr>
          <w:rFonts w:hint="eastAsia" w:ascii="仿宋" w:hAnsi="仿宋" w:eastAsia="仿宋" w:cs="仿宋"/>
          <w:sz w:val="24"/>
          <w:highlight w:val="none"/>
        </w:rPr>
        <w:t>109</w:t>
      </w:r>
      <w:r>
        <w:rPr>
          <w:rFonts w:hint="eastAsia" w:ascii="仿宋" w:hAnsi="仿宋" w:eastAsia="仿宋" w:cs="仿宋"/>
          <w:sz w:val="24"/>
          <w:highlight w:val="none"/>
        </w:rPr>
        <w:fldChar w:fldCharType="end"/>
      </w:r>
      <w:r>
        <w:rPr>
          <w:rFonts w:hint="eastAsia" w:ascii="仿宋" w:hAnsi="仿宋" w:eastAsia="仿宋" w:cs="仿宋"/>
          <w:sz w:val="24"/>
          <w:highlight w:val="none"/>
        </w:rPr>
        <w:fldChar w:fldCharType="end"/>
      </w:r>
    </w:p>
    <w:p>
      <w:pPr>
        <w:pStyle w:val="3"/>
        <w:numPr>
          <w:ilvl w:val="0"/>
          <w:numId w:val="2"/>
        </w:numPr>
        <w:spacing w:line="480" w:lineRule="auto"/>
        <w:jc w:val="center"/>
        <w:rPr>
          <w:rFonts w:ascii="仿宋" w:hAnsi="仿宋" w:eastAsia="仿宋" w:cs="仿宋"/>
          <w:highlight w:val="none"/>
        </w:rPr>
      </w:pPr>
      <w:r>
        <w:rPr>
          <w:rFonts w:hint="eastAsia" w:ascii="仿宋" w:hAnsi="仿宋" w:eastAsia="仿宋" w:cs="仿宋"/>
          <w:sz w:val="24"/>
          <w:szCs w:val="24"/>
          <w:highlight w:val="none"/>
        </w:rPr>
        <w:fldChar w:fldCharType="end"/>
      </w:r>
      <w:bookmarkStart w:id="0" w:name="_Toc30185"/>
      <w:bookmarkStart w:id="1" w:name="_Toc8848"/>
      <w:bookmarkStart w:id="2" w:name="_Toc19866"/>
      <w:bookmarkStart w:id="3" w:name="_Toc458617729"/>
      <w:bookmarkStart w:id="4" w:name="_Toc458617452"/>
      <w:r>
        <w:rPr>
          <w:rFonts w:hint="eastAsia" w:ascii="仿宋" w:hAnsi="仿宋" w:eastAsia="仿宋" w:cs="仿宋"/>
          <w:highlight w:val="none"/>
        </w:rPr>
        <w:t xml:space="preserve"> 招标公告</w:t>
      </w:r>
      <w:bookmarkEnd w:id="0"/>
      <w:bookmarkEnd w:id="1"/>
      <w:bookmarkEnd w:id="2"/>
      <w:bookmarkEnd w:id="3"/>
      <w:bookmarkEnd w:id="4"/>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rFonts w:hint="eastAsia" w:ascii="仿宋" w:hAnsi="仿宋" w:eastAsia="仿宋" w:cs="仿宋"/>
          <w:b w:val="0"/>
          <w:bCs w:val="0"/>
          <w:color w:val="auto"/>
          <w:sz w:val="24"/>
          <w:szCs w:val="24"/>
          <w:highlight w:val="none"/>
        </w:rPr>
      </w:pPr>
      <w:r>
        <w:rPr>
          <w:rStyle w:val="26"/>
          <w:rFonts w:hint="eastAsia" w:ascii="仿宋" w:hAnsi="仿宋" w:eastAsia="仿宋" w:cs="仿宋"/>
          <w:b/>
          <w:bCs/>
          <w:i w:val="0"/>
          <w:iCs w:val="0"/>
          <w:caps w:val="0"/>
          <w:color w:val="auto"/>
          <w:spacing w:val="0"/>
          <w:sz w:val="24"/>
          <w:szCs w:val="24"/>
          <w:highlight w:val="none"/>
          <w:shd w:val="clear" w:fill="FFFFFF"/>
        </w:rPr>
        <w:t>项目概况</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高清设备改造招标项目的潜在投标人应在西安市朱雀大街南段1号汇成天玺C座18层1812室获取招标文件，并于 2022年09月30日 10时00分 （北京时间）前递交投标文件。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right="0"/>
        <w:jc w:val="both"/>
        <w:rPr>
          <w:rFonts w:hint="eastAsia" w:ascii="仿宋" w:hAnsi="仿宋" w:eastAsia="仿宋" w:cs="仿宋"/>
          <w:b w:val="0"/>
          <w:bCs w:val="0"/>
          <w:i w:val="0"/>
          <w:iCs w:val="0"/>
          <w:caps w:val="0"/>
          <w:color w:val="auto"/>
          <w:spacing w:val="0"/>
          <w:sz w:val="24"/>
          <w:szCs w:val="24"/>
          <w:highlight w:val="none"/>
        </w:rPr>
      </w:pPr>
      <w:r>
        <w:rPr>
          <w:rStyle w:val="26"/>
          <w:rFonts w:hint="eastAsia" w:ascii="仿宋" w:hAnsi="仿宋" w:eastAsia="仿宋" w:cs="仿宋"/>
          <w:b/>
          <w:bCs/>
          <w:i w:val="0"/>
          <w:iCs w:val="0"/>
          <w:caps w:val="0"/>
          <w:color w:val="auto"/>
          <w:spacing w:val="0"/>
          <w:sz w:val="24"/>
          <w:szCs w:val="24"/>
          <w:highlight w:val="none"/>
          <w:shd w:val="clear" w:fill="FFFFFF"/>
        </w:rPr>
        <w:t>一、项目基本情况</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项目编号：HZGH-2022-086</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项目名称：高清设备改造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采购方式：公开招标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预算金额：4,547,800.00元</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采购需求：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合同包1(高清设备改造项目):</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合同包预算金额：4,547,800.00元</w:t>
      </w:r>
    </w:p>
    <w:tbl>
      <w:tblPr>
        <w:tblStyle w:val="23"/>
        <w:tblW w:w="1019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3"/>
        <w:gridCol w:w="2676"/>
        <w:gridCol w:w="1982"/>
        <w:gridCol w:w="818"/>
        <w:gridCol w:w="1503"/>
        <w:gridCol w:w="1680"/>
        <w:gridCol w:w="9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2" w:hRule="atLeast"/>
          <w:tblHeader/>
          <w:jc w:val="center"/>
        </w:trPr>
        <w:tc>
          <w:tcPr>
            <w:tcW w:w="64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24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232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8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157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4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96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91"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其他广播、电视、电影设备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高清设备改造</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4,547,800.00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w:t>
            </w:r>
          </w:p>
        </w:tc>
      </w:tr>
    </w:tbl>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本合同包不接受联合体投标</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合同履行期限：无</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 w:hAnsi="仿宋" w:eastAsia="仿宋" w:cs="仿宋"/>
          <w:b w:val="0"/>
          <w:bCs w:val="0"/>
          <w:i w:val="0"/>
          <w:iCs w:val="0"/>
          <w:caps w:val="0"/>
          <w:color w:val="auto"/>
          <w:spacing w:val="0"/>
          <w:sz w:val="24"/>
          <w:szCs w:val="24"/>
          <w:highlight w:val="none"/>
        </w:rPr>
      </w:pPr>
      <w:r>
        <w:rPr>
          <w:rStyle w:val="26"/>
          <w:rFonts w:hint="eastAsia" w:ascii="仿宋" w:hAnsi="仿宋" w:eastAsia="仿宋" w:cs="仿宋"/>
          <w:b/>
          <w:bCs/>
          <w:i w:val="0"/>
          <w:iCs w:val="0"/>
          <w:caps w:val="0"/>
          <w:color w:val="auto"/>
          <w:spacing w:val="0"/>
          <w:sz w:val="24"/>
          <w:szCs w:val="24"/>
          <w:highlight w:val="none"/>
          <w:shd w:val="clear" w:fill="FFFFFF"/>
        </w:rPr>
        <w:t>二、申请人的资格要求：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1.满足《中华人民共和国政府采购法》第二十二条规定;</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2.落实政府采购政策需满足的资格要求：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合同包1(高清设备改造项目)落实政府采购政策需满足的资格要求如下:</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（1）、《政府采购促进中小企业发展管理办法》的通知--财库[2020]46号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（2）、陕西省财政厅关于印发《陕西省中小企业政府采购信用融资办法》--(陕财办采[2018]23号)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（3）、《陕西省财政厅关于加快推进我省中小企业政府采购信用融资工作的通知》（陕财办采〔2020〕15号）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（4）、财政部司法部关于政府采购支持监狱企业发展有关问题的通知--财库〔2014〕68号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（5）、《国务院办公厅关于建立政府强制采购节能产品制度的通知》--国办发〔2007〕51号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（6）、《节能产品政府采购实施意见》（财库[2004]185号）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（7）、《环境标志产品政府采购实施的意见》（财库[2006]90号）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（8）、《财政部发展改革委生态环境部市场监督总局关于调整优化节能产品、环境标志产品政府采购执行机制的通知》--（财库[2019]9号） </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（9）、《市场监督总局关于发布参与实施政府采购节能产品、环境标志产品认证机构名录的公告》--2019年第16号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（10）、《财政部民政部中国残疾人联合会关于促进残疾人就业政府采购政策的通知》--（财库〔2017〕141号）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（11）、《财政部国务院扶贫办关于运用政府采购政策支持脱贫攻坚的通知》（财库〔2019〕27号）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（12）、《关于进一步加强政府绿色采购有关问题的通知》（陕财办采〔2021〕29号）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（13）、其他需要落实的政府采购政策。</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480" w:firstLineChars="200"/>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3.本项目的特定资格要求：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合同包1(高清设备改造项目)特定资格要求如下:</w:t>
      </w:r>
    </w:p>
    <w:p>
      <w:pPr>
        <w:pStyle w:val="19"/>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leftChars="200" w:right="0" w:firstLine="0" w:firstLineChars="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基本资格条件：符合《中华人民共和国政府采购法》第二十二条的规定：</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1、具有独立承担民事责任能力的法人、其他组织或自然人，并出具合法有效的营业执照或事业单位法人证书等国家规定的相关证明，自然人参与的提供其身份证明。  </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2、财务状况报告：提供具有财务审计资质单位出具的2020年度或2021年度财务报告（成立时间至开标时间不足一年的可提供成立后任意时段的资产负债表）或开标前六个月内其基本账户银行出具的资信证明（附开户许可证或基本账户证明）或政府采购信用担保机构出具的投标担保函。 </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3、税收缴纳证明：提供2022年1月1日至今任意一个月的缴费凭据；（依法免税的投标人应提供相关文件证明）。</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4、社会保障资金缴纳证明：提供2022年1月1日至今任意一个月的社保缴费凭据或社保机构开具的社会保险参保缴费情况证明；（依法不需要缴纳社会保障资金的投标人应提供相关证明）。 </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5、提供具有履行本合同所必需的设备和专业技术能力的说明及承诺；（格式自拟，加盖投标人公章）</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6、提供参加政府采购活动前三年内在经营活动中没有重大违法记录的书面声明。（格式自拟，加盖投标人公章）</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（2）、特定资格条件：</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1、法定代表人或负责人参与投标时需提供法定代表人或负责人资格证明书（附法定代表人或负责人身份证复印件）；（法定代表人或负责人须提供身份证原件，身份证原件可由本人持有）</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2、被授权人参与投标时需提供法定代表人或负责人授权委托书（附法定代表人或负责人及被授权人身份证复印件）；（被授权人须提供身份证原件，身份证原件可由本人持有）</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 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4、单位负责人为同一人或者存在直接控股、管理关系的不同投标人，不得参加同一合同项下的政府采购活动；（提供书面承诺函，格式自拟加盖投标人公章）</w:t>
      </w:r>
    </w:p>
    <w:p>
      <w:pPr>
        <w:pStyle w:val="1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480" w:firstLineChars="200"/>
        <w:jc w:val="both"/>
        <w:rPr>
          <w:rFonts w:hint="eastAsia" w:ascii="仿宋" w:hAnsi="仿宋" w:eastAsia="仿宋" w:cs="仿宋"/>
          <w:b w:val="0"/>
          <w:bCs w:val="0"/>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5、本项目不接受联合体投标。</w:t>
      </w:r>
      <w:r>
        <w:rPr>
          <w:rFonts w:hint="eastAsia" w:ascii="仿宋" w:hAnsi="仿宋" w:eastAsia="仿宋" w:cs="仿宋"/>
          <w:i w:val="0"/>
          <w:iCs w:val="0"/>
          <w:caps w:val="0"/>
          <w:color w:val="auto"/>
          <w:spacing w:val="0"/>
          <w:sz w:val="24"/>
          <w:szCs w:val="24"/>
          <w:highlight w:val="none"/>
          <w:shd w:val="clear" w:fill="FFFFFF"/>
        </w:rPr>
        <w:br w:type="textWrapping"/>
      </w:r>
      <w:r>
        <w:rPr>
          <w:rStyle w:val="26"/>
          <w:rFonts w:hint="eastAsia" w:ascii="仿宋" w:hAnsi="仿宋" w:eastAsia="仿宋" w:cs="仿宋"/>
          <w:b/>
          <w:bCs/>
          <w:i w:val="0"/>
          <w:iCs w:val="0"/>
          <w:caps w:val="0"/>
          <w:color w:val="auto"/>
          <w:spacing w:val="0"/>
          <w:sz w:val="24"/>
          <w:szCs w:val="24"/>
          <w:highlight w:val="none"/>
          <w:shd w:val="clear" w:fill="FFFFFF"/>
        </w:rPr>
        <w:t>三、获取招标文件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时间： 2022年09月09日 至 2022年09月19日 ，每天上午 09:00:00 至 12:00:00 ，下午 14:00:00 至 17:00:00 （北京时间,法定节假日除外）</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地点：西安市朱雀大街南段1号汇成天玺C座18层1812室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方式：现场获取</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售价： 免费获取</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i w:val="0"/>
          <w:iCs w:val="0"/>
          <w:caps w:val="0"/>
          <w:color w:val="auto"/>
          <w:spacing w:val="0"/>
          <w:sz w:val="24"/>
          <w:szCs w:val="24"/>
          <w:highlight w:val="none"/>
        </w:rPr>
      </w:pPr>
      <w:r>
        <w:rPr>
          <w:rStyle w:val="26"/>
          <w:rFonts w:hint="eastAsia" w:ascii="仿宋" w:hAnsi="仿宋" w:eastAsia="仿宋" w:cs="仿宋"/>
          <w:b/>
          <w:bCs/>
          <w:i w:val="0"/>
          <w:iCs w:val="0"/>
          <w:caps w:val="0"/>
          <w:color w:val="auto"/>
          <w:spacing w:val="0"/>
          <w:sz w:val="24"/>
          <w:szCs w:val="24"/>
          <w:highlight w:val="none"/>
          <w:shd w:val="clear" w:fill="FFFFFF"/>
        </w:rPr>
        <w:t>四、提交投标文件截止时间、开标时间和地点</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时间： 2022年09月30日 10时00分00秒 （北京时间）</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提交投标文件地点：西安市朱雀大街南段1号汇成天玺C座18层1818室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开标地点：西安市朱雀大街南段1号汇成天玺C座18层1818室</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i w:val="0"/>
          <w:iCs w:val="0"/>
          <w:caps w:val="0"/>
          <w:color w:val="auto"/>
          <w:spacing w:val="0"/>
          <w:sz w:val="24"/>
          <w:szCs w:val="24"/>
          <w:highlight w:val="none"/>
        </w:rPr>
      </w:pPr>
      <w:r>
        <w:rPr>
          <w:rStyle w:val="26"/>
          <w:rFonts w:hint="eastAsia" w:ascii="仿宋" w:hAnsi="仿宋" w:eastAsia="仿宋" w:cs="仿宋"/>
          <w:b/>
          <w:bCs/>
          <w:i w:val="0"/>
          <w:iCs w:val="0"/>
          <w:caps w:val="0"/>
          <w:color w:val="auto"/>
          <w:spacing w:val="0"/>
          <w:sz w:val="24"/>
          <w:szCs w:val="24"/>
          <w:highlight w:val="none"/>
          <w:shd w:val="clear" w:fill="FFFFFF"/>
        </w:rPr>
        <w:t>五、公告期限</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自本公告发布之日起5个工作日。</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i w:val="0"/>
          <w:iCs w:val="0"/>
          <w:caps w:val="0"/>
          <w:color w:val="auto"/>
          <w:spacing w:val="0"/>
          <w:sz w:val="24"/>
          <w:szCs w:val="24"/>
          <w:highlight w:val="none"/>
        </w:rPr>
      </w:pPr>
      <w:r>
        <w:rPr>
          <w:rStyle w:val="26"/>
          <w:rFonts w:hint="eastAsia" w:ascii="仿宋" w:hAnsi="仿宋" w:eastAsia="仿宋" w:cs="仿宋"/>
          <w:b/>
          <w:bCs/>
          <w:i w:val="0"/>
          <w:iCs w:val="0"/>
          <w:caps w:val="0"/>
          <w:color w:val="auto"/>
          <w:spacing w:val="0"/>
          <w:sz w:val="24"/>
          <w:szCs w:val="24"/>
          <w:highlight w:val="none"/>
          <w:shd w:val="clear" w:fill="FFFFFF"/>
        </w:rPr>
        <w:t>六、其他补充事宜</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eastAsia" w:ascii="仿宋" w:hAnsi="仿宋" w:eastAsia="仿宋" w:cs="仿宋"/>
          <w:i w:val="0"/>
          <w:iCs w:val="0"/>
          <w:caps w:val="0"/>
          <w:color w:val="auto"/>
          <w:spacing w:val="0"/>
          <w:kern w:val="0"/>
          <w:sz w:val="24"/>
          <w:szCs w:val="24"/>
          <w:highlight w:val="none"/>
          <w:shd w:val="clear" w:fill="FFFFFF"/>
          <w:lang w:val="en-US" w:eastAsia="zh-CN" w:bidi="ar"/>
        </w:rPr>
        <w:t>注：获取招标文件时（9：00-12：00，14：00-17：00（节假日除外）），请携带有效的单位介绍信及被介绍人身份证复印件，加盖投标人公章（鲜章），可自带U盘拷贝电子文件（本项目仅支持现场报名获取，谢绝邮寄），售后不退。</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left"/>
        <w:rPr>
          <w:rFonts w:hint="eastAsia" w:ascii="仿宋" w:hAnsi="仿宋" w:eastAsia="仿宋" w:cs="仿宋"/>
          <w:b/>
          <w:bCs/>
          <w:i w:val="0"/>
          <w:iCs w:val="0"/>
          <w:caps w:val="0"/>
          <w:color w:val="auto"/>
          <w:spacing w:val="0"/>
          <w:kern w:val="0"/>
          <w:sz w:val="24"/>
          <w:szCs w:val="24"/>
          <w:highlight w:val="none"/>
          <w:shd w:val="clear"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fill="FFFFFF"/>
          <w:lang w:val="en-US" w:eastAsia="zh-CN" w:bidi="ar"/>
        </w:rPr>
        <w:t>七、对本次招标提出询问，请按以下方式联系。</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eastAsia" w:ascii="仿宋" w:hAnsi="仿宋" w:eastAsia="仿宋" w:cs="仿宋"/>
          <w:i w:val="0"/>
          <w:iCs w:val="0"/>
          <w:caps w:val="0"/>
          <w:color w:val="auto"/>
          <w:spacing w:val="0"/>
          <w:kern w:val="0"/>
          <w:sz w:val="24"/>
          <w:szCs w:val="24"/>
          <w:highlight w:val="none"/>
          <w:shd w:val="clear" w:fill="FFFFFF"/>
          <w:lang w:val="en-US" w:eastAsia="zh-CN" w:bidi="ar"/>
        </w:rPr>
        <w:t>1.采购人信息</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eastAsia" w:ascii="仿宋" w:hAnsi="仿宋" w:eastAsia="仿宋" w:cs="仿宋"/>
          <w:i w:val="0"/>
          <w:iCs w:val="0"/>
          <w:caps w:val="0"/>
          <w:color w:val="auto"/>
          <w:spacing w:val="0"/>
          <w:kern w:val="0"/>
          <w:sz w:val="24"/>
          <w:szCs w:val="24"/>
          <w:highlight w:val="none"/>
          <w:shd w:val="clear" w:fill="FFFFFF"/>
          <w:lang w:val="en-US" w:eastAsia="zh-CN" w:bidi="ar"/>
        </w:rPr>
        <w:t>名称：西安市高陵区融媒体中心（区广播电视台）</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eastAsia" w:ascii="仿宋" w:hAnsi="仿宋" w:eastAsia="仿宋" w:cs="仿宋"/>
          <w:i w:val="0"/>
          <w:iCs w:val="0"/>
          <w:caps w:val="0"/>
          <w:color w:val="auto"/>
          <w:spacing w:val="0"/>
          <w:kern w:val="0"/>
          <w:sz w:val="24"/>
          <w:szCs w:val="24"/>
          <w:highlight w:val="none"/>
          <w:shd w:val="clear" w:fill="FFFFFF"/>
          <w:lang w:val="en-US" w:eastAsia="zh-CN" w:bidi="ar"/>
        </w:rPr>
        <w:t>地址：西安市高陵区东二环路333号</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eastAsia" w:ascii="仿宋" w:hAnsi="仿宋" w:eastAsia="仿宋" w:cs="仿宋"/>
          <w:i w:val="0"/>
          <w:iCs w:val="0"/>
          <w:caps w:val="0"/>
          <w:color w:val="auto"/>
          <w:spacing w:val="0"/>
          <w:kern w:val="0"/>
          <w:sz w:val="24"/>
          <w:szCs w:val="24"/>
          <w:highlight w:val="none"/>
          <w:shd w:val="clear" w:fill="FFFFFF"/>
          <w:lang w:val="en-US" w:eastAsia="zh-CN" w:bidi="ar"/>
        </w:rPr>
        <w:t>联系方式：029-86917916</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eastAsia" w:ascii="仿宋" w:hAnsi="仿宋" w:eastAsia="仿宋" w:cs="仿宋"/>
          <w:i w:val="0"/>
          <w:iCs w:val="0"/>
          <w:caps w:val="0"/>
          <w:color w:val="auto"/>
          <w:spacing w:val="0"/>
          <w:kern w:val="0"/>
          <w:sz w:val="24"/>
          <w:szCs w:val="24"/>
          <w:highlight w:val="none"/>
          <w:shd w:val="clear" w:fill="FFFFFF"/>
          <w:lang w:val="en-US" w:eastAsia="zh-CN" w:bidi="ar"/>
        </w:rPr>
        <w:t>2.采购代理机构信息</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eastAsia" w:ascii="仿宋" w:hAnsi="仿宋" w:eastAsia="仿宋" w:cs="仿宋"/>
          <w:i w:val="0"/>
          <w:iCs w:val="0"/>
          <w:caps w:val="0"/>
          <w:color w:val="auto"/>
          <w:spacing w:val="0"/>
          <w:kern w:val="0"/>
          <w:sz w:val="24"/>
          <w:szCs w:val="24"/>
          <w:highlight w:val="none"/>
          <w:shd w:val="clear" w:fill="FFFFFF"/>
          <w:lang w:val="en-US" w:eastAsia="zh-CN" w:bidi="ar"/>
        </w:rPr>
        <w:t>名称：华招广和项目管理有限公司</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eastAsia" w:ascii="仿宋" w:hAnsi="仿宋" w:eastAsia="仿宋" w:cs="仿宋"/>
          <w:i w:val="0"/>
          <w:iCs w:val="0"/>
          <w:caps w:val="0"/>
          <w:color w:val="auto"/>
          <w:spacing w:val="0"/>
          <w:kern w:val="0"/>
          <w:sz w:val="24"/>
          <w:szCs w:val="24"/>
          <w:highlight w:val="none"/>
          <w:shd w:val="clear" w:fill="FFFFFF"/>
          <w:lang w:val="en-US" w:eastAsia="zh-CN" w:bidi="ar"/>
        </w:rPr>
        <w:t>地址：西安市朱雀大街南段1号汇成天玺C座18层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eastAsia" w:ascii="仿宋" w:hAnsi="仿宋" w:eastAsia="仿宋" w:cs="仿宋"/>
          <w:i w:val="0"/>
          <w:iCs w:val="0"/>
          <w:caps w:val="0"/>
          <w:color w:val="auto"/>
          <w:spacing w:val="0"/>
          <w:kern w:val="0"/>
          <w:sz w:val="24"/>
          <w:szCs w:val="24"/>
          <w:highlight w:val="none"/>
          <w:shd w:val="clear" w:fill="FFFFFF"/>
          <w:lang w:val="en-US" w:eastAsia="zh-CN" w:bidi="ar"/>
        </w:rPr>
        <w:t>联系方式：029-87592321</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eastAsia" w:ascii="仿宋" w:hAnsi="仿宋" w:eastAsia="仿宋" w:cs="仿宋"/>
          <w:i w:val="0"/>
          <w:iCs w:val="0"/>
          <w:caps w:val="0"/>
          <w:color w:val="auto"/>
          <w:spacing w:val="0"/>
          <w:kern w:val="0"/>
          <w:sz w:val="24"/>
          <w:szCs w:val="24"/>
          <w:highlight w:val="none"/>
          <w:shd w:val="clear" w:fill="FFFFFF"/>
          <w:lang w:val="en-US" w:eastAsia="zh-CN" w:bidi="ar"/>
        </w:rPr>
        <w:t>3.项目联系方式</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eastAsia" w:ascii="仿宋" w:hAnsi="仿宋" w:eastAsia="仿宋" w:cs="仿宋"/>
          <w:i w:val="0"/>
          <w:iCs w:val="0"/>
          <w:caps w:val="0"/>
          <w:color w:val="auto"/>
          <w:spacing w:val="0"/>
          <w:kern w:val="0"/>
          <w:sz w:val="24"/>
          <w:szCs w:val="24"/>
          <w:highlight w:val="none"/>
          <w:shd w:val="clear" w:fill="FFFFFF"/>
          <w:lang w:val="en-US" w:eastAsia="zh-CN" w:bidi="ar"/>
        </w:rPr>
        <w:t>项目联系人：成工</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仿宋" w:hAnsi="仿宋" w:eastAsia="仿宋" w:cs="仿宋"/>
          <w:i w:val="0"/>
          <w:iCs w:val="0"/>
          <w:caps w:val="0"/>
          <w:color w:val="auto"/>
          <w:spacing w:val="0"/>
          <w:kern w:val="0"/>
          <w:sz w:val="24"/>
          <w:szCs w:val="24"/>
          <w:highlight w:val="none"/>
          <w:shd w:val="clear" w:fill="FFFFFF"/>
          <w:lang w:val="en-US" w:eastAsia="zh-CN" w:bidi="ar"/>
        </w:rPr>
      </w:pPr>
      <w:r>
        <w:rPr>
          <w:rFonts w:hint="eastAsia" w:ascii="仿宋" w:hAnsi="仿宋" w:eastAsia="仿宋" w:cs="仿宋"/>
          <w:i w:val="0"/>
          <w:iCs w:val="0"/>
          <w:caps w:val="0"/>
          <w:color w:val="auto"/>
          <w:spacing w:val="0"/>
          <w:kern w:val="0"/>
          <w:sz w:val="24"/>
          <w:szCs w:val="24"/>
          <w:highlight w:val="none"/>
          <w:shd w:val="clear" w:fill="FFFFFF"/>
          <w:lang w:val="en-US" w:eastAsia="zh-CN" w:bidi="ar"/>
        </w:rPr>
        <w:t>电话：029-87592321</w:t>
      </w:r>
    </w:p>
    <w:p>
      <w:pPr>
        <w:rPr>
          <w:highlight w:val="none"/>
        </w:rPr>
      </w:pPr>
      <w:r>
        <w:rPr>
          <w:rFonts w:ascii="仿宋" w:hAnsi="仿宋" w:eastAsia="仿宋" w:cs="仿宋"/>
          <w:b/>
          <w:highlight w:val="none"/>
        </w:rPr>
        <w:pict>
          <v:shape id="Text Box 2" o:spid="_x0000_s1026" o:spt="202" type="#_x0000_t202" style="position:absolute;left:0pt;margin-left:7.5pt;margin-top:19.9pt;height:69.8pt;width:462.95pt;mso-wrap-distance-bottom:0pt;mso-wrap-distance-left:9pt;mso-wrap-distance-right:9pt;mso-wrap-distance-top:0pt;z-index:251660288;mso-width-relative:page;mso-height-relative:page;" coordsize="21600,21600" o:gfxdata="UEsDBAoAAAAAAIdO4kAAAAAAAAAAAAAAAAAEAAAAZHJzL1BLAwQUAAAACACHTuJAniQsT9kAAAAK&#10;AQAADwAAAGRycy9kb3ducmV2LnhtbE2Py07DMBBF90j8gzVIbFBrt6F5EacLJBDsSkHt1o3dJCIe&#10;B9tNy98zrGA5mqN7z63WFzuwyfjQO5SwmAtgBhune2wlfLw/zXJgISrUanBoJHybAOv6+qpSpXZn&#10;fDPTNraMQjCUSkIX41hyHprOWBXmbjRIv6PzVkU6fcu1V2cKtwNfCpFyq3qkhk6N5rEzzef2ZCXk&#10;9y/TPrwmm12THoci3mXT85eX8vZmIR6ARXOJfzD86pM61OR0cCfUgQ0SZsusIFRCktMEAoqVSIEd&#10;iFxlCfC64v8n1D9QSwMEFAAAAAgAh07iQJdzfR30AQAADwQAAA4AAABkcnMvZTJvRG9jLnhtbK1T&#10;247TMBB9R+IfLL/TpGG7y0ZNV0ApLwiQdvcDpr4klnzDdpv07xm73XYXeECIPDjjmeMzM2fs5d1k&#10;NNmLEJWzHZ3PakqEZY4r23f08WHz5h0lMYHloJ0VHT2ISO9Wr18tR9+Kxg1OcxEIktjYjr6jQ0q+&#10;rarIBmEgzpwXFoPSBQMJt6GveIAR2Y2umrq+rkYXuA+OiRjRuz4G6arwSylY+iZlFInojmJtqayh&#10;rNu8VqsltH0APyh2KgP+oQoDymLSM9UaEpBdUL9RGcWCi06mGXOmclIqJkoP2M28/qWb+wG8KL2g&#10;ONGfZYr/j5Z93X8PRPGOXlFiweCIHsSUyAc3kSarM/rYIujeIyxN6MYpP/kjOnPTkwwm/7EdgnHU&#10;+XDWNpMxdF4387dXNwtKGMZuFk22kb66nPYhps/CGZKNjgacXZEU9l9iOkKfIDlZdFrxjdK6bEK/&#10;/agD2QPOeVO+E/sLmLZk7Ojtosl1AF43qSGhaTwKEG1f8r04EZ8T1+X7E3EubA1xOBZQGDIMWqOS&#10;CMUaBPBPlpN08CiyxddAczFGcEq0wMeTrYJMoPTfIFE7bVHCPKLjKLKVpu2ENNncOn7AsY14vbG9&#10;HzsImHPng+oHFHheurXu/S45qYrCl0MnWrx1ZUanF5Kv9fN9QV3e8e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iQsT9kAAAAKAQAADwAAAAAAAAABACAAAAAiAAAAZHJzL2Rvd25yZXYueG1sUEsB&#10;AhQAFAAAAAgAh07iQJdzfR30AQAADwQAAA4AAAAAAAAAAQAgAAAAKAEAAGRycy9lMm9Eb2MueG1s&#10;UEsFBgAAAAAGAAYAWQEAAI4FAAAAAA==&#10;">
            <v:path/>
            <v:fill focussize="0,0"/>
            <v:stroke joinstyle="miter"/>
            <v:imagedata o:title=""/>
            <o:lock v:ext="edit"/>
            <v:textbox>
              <w:txbxContent>
                <w:p>
                  <w:pPr>
                    <w:spacing w:line="560" w:lineRule="exact"/>
                    <w:rPr>
                      <w:rFonts w:ascii="仿宋" w:hAnsi="仿宋" w:eastAsia="仿宋" w:cs="仿宋"/>
                      <w:b/>
                      <w:szCs w:val="24"/>
                    </w:rPr>
                  </w:pPr>
                  <w:r>
                    <w:rPr>
                      <w:rFonts w:hint="eastAsia" w:ascii="仿宋" w:hAnsi="仿宋" w:eastAsia="仿宋" w:cs="仿宋"/>
                      <w:b/>
                      <w:szCs w:val="24"/>
                    </w:rPr>
                    <w:t>温馨提示：购买招标文件后，请仔细阅读，特别注意粗体及划线部分，如有疑问请来电咨询。</w:t>
                  </w:r>
                </w:p>
              </w:txbxContent>
            </v:textbox>
            <w10:wrap type="square"/>
          </v:shape>
        </w:pict>
      </w:r>
    </w:p>
    <w:p>
      <w:pPr>
        <w:rPr>
          <w:rFonts w:ascii="仿宋" w:hAnsi="仿宋" w:eastAsia="仿宋" w:cs="仿宋"/>
          <w:sz w:val="44"/>
          <w:szCs w:val="44"/>
          <w:highlight w:val="none"/>
        </w:rPr>
      </w:pPr>
      <w:bookmarkStart w:id="5" w:name="_Toc458617453"/>
      <w:bookmarkStart w:id="6" w:name="_Toc458617730"/>
    </w:p>
    <w:p>
      <w:pPr>
        <w:pStyle w:val="3"/>
        <w:spacing w:line="360" w:lineRule="auto"/>
        <w:jc w:val="center"/>
        <w:rPr>
          <w:rFonts w:ascii="仿宋" w:hAnsi="仿宋" w:eastAsia="仿宋" w:cs="仿宋"/>
          <w:highlight w:val="none"/>
        </w:rPr>
      </w:pPr>
      <w:bookmarkStart w:id="7" w:name="_Toc5261"/>
      <w:r>
        <w:rPr>
          <w:rFonts w:hint="eastAsia" w:ascii="仿宋" w:hAnsi="仿宋" w:eastAsia="仿宋" w:cs="仿宋"/>
          <w:highlight w:val="none"/>
        </w:rPr>
        <w:t>第二章  投标人须知</w:t>
      </w:r>
      <w:bookmarkEnd w:id="5"/>
      <w:bookmarkEnd w:id="6"/>
      <w:bookmarkEnd w:id="7"/>
    </w:p>
    <w:p>
      <w:pPr>
        <w:pStyle w:val="4"/>
        <w:spacing w:line="360" w:lineRule="auto"/>
        <w:jc w:val="center"/>
        <w:rPr>
          <w:rFonts w:ascii="仿宋" w:hAnsi="仿宋" w:eastAsia="仿宋" w:cs="仿宋"/>
          <w:sz w:val="15"/>
          <w:szCs w:val="15"/>
          <w:highlight w:val="none"/>
        </w:rPr>
      </w:pPr>
      <w:bookmarkStart w:id="8" w:name="_Toc8251"/>
      <w:bookmarkStart w:id="9" w:name="_Toc458617454"/>
      <w:bookmarkStart w:id="10" w:name="_Toc458617731"/>
      <w:r>
        <w:rPr>
          <w:rFonts w:hint="eastAsia" w:ascii="仿宋" w:hAnsi="仿宋" w:eastAsia="仿宋" w:cs="仿宋"/>
          <w:sz w:val="28"/>
          <w:szCs w:val="28"/>
          <w:highlight w:val="none"/>
        </w:rPr>
        <w:t>一、投标人须知前附表</w:t>
      </w:r>
      <w:bookmarkEnd w:id="8"/>
      <w:bookmarkEnd w:id="9"/>
      <w:bookmarkEnd w:id="10"/>
    </w:p>
    <w:tbl>
      <w:tblPr>
        <w:tblStyle w:val="2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1"/>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9"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序号</w:t>
            </w:r>
          </w:p>
        </w:tc>
        <w:tc>
          <w:tcPr>
            <w:tcW w:w="2411"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条款名称</w:t>
            </w:r>
          </w:p>
        </w:tc>
        <w:tc>
          <w:tcPr>
            <w:tcW w:w="6336"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1</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采购人</w:t>
            </w:r>
          </w:p>
        </w:tc>
        <w:tc>
          <w:tcPr>
            <w:tcW w:w="6336" w:type="dxa"/>
          </w:tcPr>
          <w:p>
            <w:pPr>
              <w:spacing w:line="560" w:lineRule="exact"/>
              <w:rPr>
                <w:rFonts w:ascii="仿宋" w:hAnsi="仿宋" w:eastAsia="仿宋" w:cs="仿宋"/>
                <w:szCs w:val="24"/>
                <w:highlight w:val="none"/>
              </w:rPr>
            </w:pPr>
            <w:r>
              <w:rPr>
                <w:rFonts w:hint="eastAsia" w:ascii="仿宋" w:hAnsi="仿宋" w:eastAsia="仿宋" w:cs="仿宋"/>
                <w:szCs w:val="24"/>
                <w:highlight w:val="none"/>
              </w:rPr>
              <w:t>名    称：西安市高陵区融媒体中心（区广播电视台）</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地    址：西安市高陵区东二环路333号</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联系方式：029-86917916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2</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采购代理机构</w:t>
            </w:r>
          </w:p>
        </w:tc>
        <w:tc>
          <w:tcPr>
            <w:tcW w:w="6336" w:type="dxa"/>
          </w:tcPr>
          <w:p>
            <w:pPr>
              <w:spacing w:line="560" w:lineRule="exact"/>
              <w:rPr>
                <w:rFonts w:ascii="仿宋" w:hAnsi="仿宋" w:eastAsia="仿宋" w:cs="仿宋"/>
                <w:szCs w:val="24"/>
                <w:highlight w:val="none"/>
              </w:rPr>
            </w:pPr>
            <w:r>
              <w:rPr>
                <w:rFonts w:hint="eastAsia" w:ascii="仿宋" w:hAnsi="仿宋" w:eastAsia="仿宋" w:cs="仿宋"/>
                <w:szCs w:val="24"/>
                <w:highlight w:val="none"/>
              </w:rPr>
              <w:t>名  称：华招广和项目管理有限公司</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地  址：西安市朱雀大街南段1号汇成天玺C座18层</w:t>
            </w:r>
          </w:p>
          <w:p>
            <w:pPr>
              <w:spacing w:line="560" w:lineRule="exact"/>
              <w:rPr>
                <w:rFonts w:ascii="仿宋" w:hAnsi="仿宋" w:eastAsia="仿宋" w:cs="仿宋"/>
                <w:szCs w:val="24"/>
                <w:highlight w:val="none"/>
                <w:u w:val="wavyHeavy" w:color="FF0000"/>
              </w:rPr>
            </w:pPr>
            <w:r>
              <w:rPr>
                <w:rFonts w:hint="eastAsia" w:ascii="仿宋" w:hAnsi="仿宋" w:eastAsia="仿宋" w:cs="仿宋"/>
                <w:szCs w:val="24"/>
                <w:highlight w:val="none"/>
              </w:rPr>
              <w:t>联系人：成工</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联系方式：029-87592321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3</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监督管理机构</w:t>
            </w:r>
          </w:p>
        </w:tc>
        <w:tc>
          <w:tcPr>
            <w:tcW w:w="6336" w:type="dxa"/>
          </w:tcPr>
          <w:p>
            <w:pPr>
              <w:spacing w:line="560" w:lineRule="exact"/>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西安市高陵区财政局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4</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项目名称</w:t>
            </w:r>
          </w:p>
        </w:tc>
        <w:tc>
          <w:tcPr>
            <w:tcW w:w="6336" w:type="dxa"/>
          </w:tcPr>
          <w:p>
            <w:pPr>
              <w:spacing w:line="560" w:lineRule="exact"/>
              <w:rPr>
                <w:rFonts w:ascii="仿宋" w:hAnsi="仿宋" w:eastAsia="仿宋" w:cs="仿宋"/>
                <w:szCs w:val="24"/>
                <w:highlight w:val="none"/>
              </w:rPr>
            </w:pPr>
            <w:r>
              <w:rPr>
                <w:rFonts w:hint="eastAsia" w:ascii="仿宋" w:hAnsi="仿宋" w:eastAsia="仿宋" w:cs="仿宋"/>
                <w:szCs w:val="24"/>
                <w:highlight w:val="none"/>
              </w:rPr>
              <w:t>高清设备改造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5</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项目编号</w:t>
            </w:r>
          </w:p>
        </w:tc>
        <w:tc>
          <w:tcPr>
            <w:tcW w:w="6336" w:type="dxa"/>
          </w:tcPr>
          <w:p>
            <w:pPr>
              <w:spacing w:line="560" w:lineRule="exact"/>
              <w:rPr>
                <w:rFonts w:ascii="仿宋" w:hAnsi="仿宋" w:eastAsia="仿宋" w:cs="仿宋"/>
                <w:szCs w:val="24"/>
                <w:highlight w:val="none"/>
              </w:rPr>
            </w:pPr>
            <w:r>
              <w:rPr>
                <w:rFonts w:hint="eastAsia" w:ascii="仿宋" w:hAnsi="仿宋" w:eastAsia="仿宋" w:cs="仿宋"/>
                <w:szCs w:val="24"/>
                <w:highlight w:val="none"/>
              </w:rPr>
              <w:t>HZGH-2022-086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6</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资金性质</w:t>
            </w:r>
          </w:p>
        </w:tc>
        <w:tc>
          <w:tcPr>
            <w:tcW w:w="6336" w:type="dxa"/>
          </w:tcPr>
          <w:p>
            <w:pPr>
              <w:spacing w:line="560" w:lineRule="exact"/>
              <w:rPr>
                <w:rFonts w:ascii="仿宋" w:hAnsi="仿宋" w:eastAsia="仿宋" w:cs="仿宋"/>
                <w:szCs w:val="24"/>
                <w:highlight w:val="none"/>
              </w:rPr>
            </w:pPr>
            <w:r>
              <w:rPr>
                <w:rFonts w:hint="eastAsia" w:ascii="仿宋" w:hAnsi="仿宋" w:eastAsia="仿宋" w:cs="仿宋"/>
                <w:szCs w:val="24"/>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7</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项目预算</w:t>
            </w:r>
          </w:p>
        </w:tc>
        <w:tc>
          <w:tcPr>
            <w:tcW w:w="6336" w:type="dxa"/>
          </w:tcPr>
          <w:p>
            <w:pPr>
              <w:spacing w:line="560" w:lineRule="exact"/>
              <w:rPr>
                <w:rFonts w:ascii="仿宋" w:hAnsi="仿宋" w:eastAsia="仿宋" w:cs="仿宋"/>
                <w:szCs w:val="24"/>
                <w:highlight w:val="none"/>
              </w:rPr>
            </w:pPr>
            <w:r>
              <w:rPr>
                <w:rFonts w:hint="eastAsia" w:ascii="仿宋" w:hAnsi="仿宋" w:eastAsia="仿宋" w:cs="仿宋"/>
                <w:szCs w:val="24"/>
                <w:highlight w:val="none"/>
              </w:rPr>
              <w:t>4547800.00元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8</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项目用途</w:t>
            </w:r>
          </w:p>
        </w:tc>
        <w:tc>
          <w:tcPr>
            <w:tcW w:w="6336" w:type="dxa"/>
            <w:vAlign w:val="center"/>
          </w:tcPr>
          <w:p>
            <w:pPr>
              <w:spacing w:line="560" w:lineRule="exact"/>
              <w:rPr>
                <w:rFonts w:ascii="仿宋" w:hAnsi="仿宋" w:eastAsia="仿宋" w:cs="仿宋"/>
                <w:szCs w:val="24"/>
                <w:highlight w:val="none"/>
              </w:rPr>
            </w:pPr>
            <w:r>
              <w:rPr>
                <w:rFonts w:hint="eastAsia" w:ascii="仿宋" w:hAnsi="仿宋" w:eastAsia="仿宋" w:cs="仿宋"/>
                <w:szCs w:val="24"/>
                <w:highlight w:val="none"/>
              </w:rPr>
              <w:t>高清设备改造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9</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采购内容和要求</w:t>
            </w:r>
          </w:p>
        </w:tc>
        <w:tc>
          <w:tcPr>
            <w:tcW w:w="6336" w:type="dxa"/>
            <w:vAlign w:val="center"/>
          </w:tcPr>
          <w:p>
            <w:pPr>
              <w:pStyle w:val="19"/>
              <w:widowControl/>
              <w:spacing w:line="360" w:lineRule="atLeast"/>
              <w:jc w:val="both"/>
              <w:rPr>
                <w:rFonts w:ascii="仿宋" w:hAnsi="仿宋" w:eastAsia="仿宋" w:cs="仿宋"/>
                <w:szCs w:val="24"/>
                <w:highlight w:val="none"/>
              </w:rPr>
            </w:pPr>
            <w:r>
              <w:rPr>
                <w:rFonts w:hint="eastAsia" w:ascii="仿宋" w:hAnsi="仿宋" w:eastAsia="仿宋" w:cs="仿宋"/>
                <w:szCs w:val="24"/>
                <w:highlight w:val="none"/>
              </w:rPr>
              <w:t>高清设备改造（具体要求详见招标文件第三章采购内容及技术要求）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10</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投标人</w:t>
            </w:r>
          </w:p>
        </w:tc>
        <w:tc>
          <w:tcPr>
            <w:tcW w:w="6336" w:type="dxa"/>
          </w:tcPr>
          <w:p>
            <w:pPr>
              <w:spacing w:line="560" w:lineRule="exact"/>
              <w:rPr>
                <w:rFonts w:ascii="仿宋" w:hAnsi="仿宋" w:eastAsia="仿宋" w:cs="仿宋"/>
                <w:szCs w:val="24"/>
                <w:highlight w:val="none"/>
              </w:rPr>
            </w:pPr>
            <w:r>
              <w:rPr>
                <w:rFonts w:hint="eastAsia" w:ascii="仿宋" w:hAnsi="仿宋" w:eastAsia="仿宋" w:cs="仿宋"/>
                <w:szCs w:val="24"/>
                <w:highlight w:val="none"/>
              </w:rPr>
              <w:t>响应</w:t>
            </w:r>
            <w:r>
              <w:rPr>
                <w:highlight w:val="none"/>
              </w:rPr>
              <w:fldChar w:fldCharType="begin"/>
            </w:r>
            <w:r>
              <w:rPr>
                <w:highlight w:val="none"/>
              </w:rPr>
              <w:instrText xml:space="preserve"> HYPERLINK "http://baike.baidu.com/view/8707.htm" \t "_blank" </w:instrText>
            </w:r>
            <w:r>
              <w:rPr>
                <w:highlight w:val="none"/>
              </w:rPr>
              <w:fldChar w:fldCharType="separate"/>
            </w:r>
            <w:r>
              <w:rPr>
                <w:rFonts w:hint="eastAsia" w:ascii="仿宋" w:hAnsi="仿宋" w:eastAsia="仿宋" w:cs="仿宋"/>
                <w:szCs w:val="24"/>
                <w:highlight w:val="none"/>
              </w:rPr>
              <w:t>招标</w:t>
            </w:r>
            <w:r>
              <w:rPr>
                <w:rFonts w:hint="eastAsia" w:ascii="仿宋" w:hAnsi="仿宋" w:eastAsia="仿宋" w:cs="仿宋"/>
                <w:szCs w:val="24"/>
                <w:highlight w:val="none"/>
              </w:rPr>
              <w:fldChar w:fldCharType="end"/>
            </w:r>
            <w:r>
              <w:rPr>
                <w:rFonts w:hint="eastAsia" w:ascii="仿宋" w:hAnsi="仿宋" w:eastAsia="仿宋" w:cs="仿宋"/>
                <w:szCs w:val="24"/>
                <w:highlight w:val="none"/>
              </w:rPr>
              <w:t>并且符合招标文件规定资格条件和参加投标竞争的法人或其他组织。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11</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投标人资格要求</w:t>
            </w:r>
          </w:p>
        </w:tc>
        <w:tc>
          <w:tcPr>
            <w:tcW w:w="6336" w:type="dxa"/>
          </w:tcPr>
          <w:p>
            <w:pPr>
              <w:pStyle w:val="39"/>
              <w:wordWrap w:val="0"/>
              <w:topLinePunct/>
              <w:spacing w:line="52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（1）基本资格条件：符合《中华人民共和国政府采购法》第二十二条的规定：</w:t>
            </w:r>
          </w:p>
          <w:p>
            <w:pPr>
              <w:pStyle w:val="39"/>
              <w:wordWrap w:val="0"/>
              <w:topLinePunct/>
              <w:spacing w:line="52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 xml:space="preserve">1、具有独立承担民事责任能力的法人、其他组织或自然人，并出具合法有效的营业执照或事业单位法人证书等国家规定的相关证明，自然人参与的提供其身份证明。  </w:t>
            </w:r>
          </w:p>
          <w:p>
            <w:pPr>
              <w:pStyle w:val="39"/>
              <w:wordWrap w:val="0"/>
              <w:topLinePunct/>
              <w:spacing w:line="52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 xml:space="preserve">2、财务状况报告：提供具有财务审计资质单位出具的2020年度或2021年度财务报告（成立时间至开标时间不足一年的可提供成立后任意时段的资产负债表）或开标前六个月内其基本账户银行出具的资信证明（附开户许可证或基本账户证明）或政府采购信用担保机构出具的投标担保函。 </w:t>
            </w:r>
          </w:p>
          <w:p>
            <w:pPr>
              <w:pStyle w:val="39"/>
              <w:spacing w:line="560" w:lineRule="exact"/>
              <w:ind w:firstLine="0" w:firstLineChars="0"/>
              <w:rPr>
                <w:rFonts w:ascii="仿宋" w:hAnsi="仿宋" w:eastAsia="仿宋" w:cs="仿宋"/>
                <w:sz w:val="24"/>
                <w:highlight w:val="none"/>
              </w:rPr>
            </w:pPr>
            <w:r>
              <w:rPr>
                <w:rFonts w:hint="eastAsia" w:ascii="仿宋" w:hAnsi="仿宋" w:eastAsia="仿宋" w:cs="仿宋"/>
                <w:sz w:val="24"/>
                <w:highlight w:val="none"/>
              </w:rPr>
              <w:t>3、税收缴纳证明：提供2022年1月1日至今任意一个月的缴费凭据；（依法免税的投标人应提供相关文件证明）。</w:t>
            </w:r>
          </w:p>
          <w:p>
            <w:pPr>
              <w:pStyle w:val="39"/>
              <w:spacing w:line="560" w:lineRule="exact"/>
              <w:ind w:firstLine="0" w:firstLineChars="0"/>
              <w:rPr>
                <w:rFonts w:ascii="仿宋" w:hAnsi="仿宋" w:eastAsia="仿宋" w:cs="仿宋"/>
                <w:sz w:val="24"/>
                <w:highlight w:val="none"/>
              </w:rPr>
            </w:pPr>
            <w:r>
              <w:rPr>
                <w:rFonts w:hint="eastAsia" w:ascii="仿宋" w:hAnsi="仿宋" w:eastAsia="仿宋" w:cs="仿宋"/>
                <w:sz w:val="24"/>
                <w:highlight w:val="none"/>
              </w:rPr>
              <w:t xml:space="preserve">4、社会保障资金缴纳证明：提供2022年1月1日至今任意一个月的社保缴费凭据或社保机构开具的社会保险参保缴费情况证明；（依法不需要缴纳社会保障资金的投标人应提供相关证明）。 </w:t>
            </w:r>
          </w:p>
          <w:p>
            <w:pPr>
              <w:pStyle w:val="39"/>
              <w:wordWrap w:val="0"/>
              <w:topLinePunct/>
              <w:spacing w:line="52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5、提供具有履行本合同所必需的设备和专业技术能力的说明及承诺；（格式自拟，加盖投标人公章）</w:t>
            </w:r>
          </w:p>
          <w:p>
            <w:pPr>
              <w:pStyle w:val="39"/>
              <w:wordWrap w:val="0"/>
              <w:topLinePunct/>
              <w:spacing w:line="52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6、提供参加政府采购活动前三年内在经营活动中没有重大违法记录的书面声明。（格式自拟，加盖投标人公章）</w:t>
            </w:r>
          </w:p>
          <w:p>
            <w:pPr>
              <w:pStyle w:val="39"/>
              <w:wordWrap w:val="0"/>
              <w:topLinePunct/>
              <w:spacing w:line="52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（2）、特定资格条件：</w:t>
            </w:r>
          </w:p>
          <w:p>
            <w:pPr>
              <w:pStyle w:val="39"/>
              <w:wordWrap w:val="0"/>
              <w:topLinePunct/>
              <w:spacing w:line="52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pPr>
              <w:pStyle w:val="39"/>
              <w:wordWrap w:val="0"/>
              <w:topLinePunct/>
              <w:spacing w:line="52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2、被授权人参与投标时需提供法定代表人或负责人授权委托书（附法定代表人或负责人及被授权人身份证复印件）；（被授权人须提供身份证原件，身份证原件可由本人持有） 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39"/>
              <w:wordWrap w:val="0"/>
              <w:topLinePunct/>
              <w:spacing w:line="52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4、单位负责人为同一人或者存在直接控股、管理关系的不同投标人，不得参加同一合同项下的政府采购活动；（提供书面承诺函，格式自拟加盖投标人公章）</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12</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交货期、交货地点</w:t>
            </w:r>
          </w:p>
        </w:tc>
        <w:tc>
          <w:tcPr>
            <w:tcW w:w="6336" w:type="dxa"/>
          </w:tcPr>
          <w:p>
            <w:pPr>
              <w:spacing w:line="560" w:lineRule="exact"/>
              <w:rPr>
                <w:rFonts w:ascii="仿宋" w:hAnsi="仿宋" w:eastAsia="仿宋" w:cs="仿宋"/>
                <w:sz w:val="32"/>
                <w:szCs w:val="32"/>
                <w:highlight w:val="none"/>
              </w:rPr>
            </w:pPr>
            <w:r>
              <w:rPr>
                <w:rFonts w:hint="eastAsia" w:ascii="仿宋" w:hAnsi="仿宋" w:eastAsia="仿宋" w:cs="仿宋"/>
                <w:szCs w:val="24"/>
                <w:highlight w:val="none"/>
              </w:rPr>
              <w:t>交 货 期：自合同签订之日起60个工作日内交付完毕。</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交货地点：西安市高陵区融媒体中心（区广播电视台）指定地点。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13</w:t>
            </w:r>
          </w:p>
        </w:tc>
        <w:tc>
          <w:tcPr>
            <w:tcW w:w="2411" w:type="dxa"/>
            <w:vAlign w:val="center"/>
          </w:tcPr>
          <w:p>
            <w:pPr>
              <w:spacing w:line="560" w:lineRule="exact"/>
              <w:jc w:val="center"/>
              <w:rPr>
                <w:rFonts w:ascii="仿宋" w:hAnsi="仿宋" w:eastAsia="仿宋" w:cs="仿宋"/>
                <w:szCs w:val="24"/>
                <w:highlight w:val="none"/>
                <w:u w:val="wavyHeavy" w:color="5B9BD5" w:themeColor="accent1"/>
              </w:rPr>
            </w:pPr>
            <w:r>
              <w:rPr>
                <w:rFonts w:hint="eastAsia" w:ascii="仿宋" w:hAnsi="仿宋" w:eastAsia="仿宋" w:cs="仿宋"/>
                <w:szCs w:val="24"/>
                <w:highlight w:val="none"/>
              </w:rPr>
              <w:t>招标文件发售</w:t>
            </w:r>
          </w:p>
        </w:tc>
        <w:tc>
          <w:tcPr>
            <w:tcW w:w="6336" w:type="dxa"/>
          </w:tcPr>
          <w:p>
            <w:pPr>
              <w:pStyle w:val="40"/>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发售时间：2022年9月9日至2022年9月19日上午9:00-12:00，下午2:00-5:00时止（节假日除外）。</w:t>
            </w:r>
          </w:p>
          <w:p>
            <w:pPr>
              <w:pStyle w:val="40"/>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发售地点：华招广和项目管理有限公司招标部（西安市朱雀大街南段1号汇成天玺C座18层1812室）。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14</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联合体投标</w:t>
            </w:r>
          </w:p>
        </w:tc>
        <w:tc>
          <w:tcPr>
            <w:tcW w:w="6336" w:type="dxa"/>
          </w:tcPr>
          <w:p>
            <w:pPr>
              <w:spacing w:line="560" w:lineRule="exact"/>
              <w:rPr>
                <w:rFonts w:ascii="仿宋" w:hAnsi="仿宋" w:eastAsia="仿宋" w:cs="仿宋"/>
                <w:szCs w:val="24"/>
                <w:highlight w:val="none"/>
              </w:rPr>
            </w:pPr>
            <w:r>
              <w:rPr>
                <w:rFonts w:hint="eastAsia" w:ascii="仿宋" w:hAnsi="仿宋" w:eastAsia="仿宋" w:cs="仿宋"/>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15</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现场勘查、标前答疑会</w:t>
            </w:r>
          </w:p>
        </w:tc>
        <w:tc>
          <w:tcPr>
            <w:tcW w:w="6336" w:type="dxa"/>
            <w:vAlign w:val="center"/>
          </w:tcPr>
          <w:p>
            <w:pPr>
              <w:spacing w:line="560" w:lineRule="exact"/>
              <w:rPr>
                <w:rFonts w:ascii="仿宋" w:hAnsi="仿宋" w:eastAsia="仿宋" w:cs="仿宋"/>
                <w:szCs w:val="24"/>
                <w:highlight w:val="none"/>
              </w:rPr>
            </w:pPr>
            <w:r>
              <w:rPr>
                <w:rFonts w:hint="eastAsia" w:ascii="仿宋" w:hAnsi="仿宋" w:eastAsia="仿宋" w:cs="仿宋"/>
                <w:szCs w:val="24"/>
                <w:highlight w:val="none"/>
              </w:rPr>
              <w:t>不统一组织。投标人认为有必要可自行勘查，并承担所有费用及风险。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16</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投标人对招标文件提出质疑的时间</w:t>
            </w:r>
          </w:p>
        </w:tc>
        <w:tc>
          <w:tcPr>
            <w:tcW w:w="6336" w:type="dxa"/>
          </w:tcPr>
          <w:p>
            <w:pPr>
              <w:spacing w:line="560" w:lineRule="exact"/>
              <w:rPr>
                <w:rFonts w:ascii="仿宋" w:hAnsi="仿宋" w:eastAsia="仿宋" w:cs="仿宋"/>
                <w:szCs w:val="24"/>
                <w:highlight w:val="none"/>
              </w:rPr>
            </w:pPr>
            <w:r>
              <w:rPr>
                <w:rFonts w:hint="eastAsia" w:ascii="仿宋" w:hAnsi="仿宋" w:eastAsia="仿宋" w:cs="仿宋"/>
                <w:szCs w:val="24"/>
                <w:highlight w:val="none"/>
              </w:rPr>
              <w:t>投标人认为招标文件使自己的权益受到损害的，在收到采购文件之日起七个工作日内以书面形式向采购代理机构提出质疑，逾期提出的无效，因此带来的一切不利后果由投标人自负。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17</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构成招标文件的其他文件</w:t>
            </w:r>
          </w:p>
        </w:tc>
        <w:tc>
          <w:tcPr>
            <w:tcW w:w="6336" w:type="dxa"/>
          </w:tcPr>
          <w:p>
            <w:pPr>
              <w:spacing w:line="560" w:lineRule="exact"/>
              <w:rPr>
                <w:rFonts w:ascii="仿宋" w:hAnsi="仿宋" w:eastAsia="仿宋" w:cs="仿宋"/>
                <w:szCs w:val="24"/>
                <w:highlight w:val="none"/>
              </w:rPr>
            </w:pPr>
            <w:r>
              <w:rPr>
                <w:rFonts w:hint="eastAsia" w:ascii="仿宋" w:hAnsi="仿宋" w:eastAsia="仿宋" w:cs="仿宋"/>
                <w:szCs w:val="24"/>
                <w:highlight w:val="none"/>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18</w:t>
            </w:r>
          </w:p>
        </w:tc>
        <w:tc>
          <w:tcPr>
            <w:tcW w:w="2411" w:type="dxa"/>
            <w:vAlign w:val="center"/>
          </w:tcPr>
          <w:p>
            <w:pPr>
              <w:pStyle w:val="40"/>
              <w:spacing w:line="560" w:lineRule="exact"/>
              <w:rPr>
                <w:rFonts w:ascii="仿宋" w:hAnsi="仿宋" w:eastAsia="仿宋" w:cs="仿宋"/>
                <w:sz w:val="24"/>
                <w:szCs w:val="24"/>
                <w:highlight w:val="none"/>
                <w:u w:val="wavyHeavy" w:color="FF0000"/>
              </w:rPr>
            </w:pPr>
          </w:p>
          <w:p>
            <w:pPr>
              <w:pStyle w:val="40"/>
              <w:spacing w:line="560" w:lineRule="exact"/>
              <w:rPr>
                <w:rFonts w:ascii="仿宋" w:hAnsi="仿宋" w:eastAsia="仿宋" w:cs="仿宋"/>
                <w:szCs w:val="24"/>
                <w:highlight w:val="none"/>
              </w:rPr>
            </w:pPr>
            <w:r>
              <w:rPr>
                <w:rFonts w:hint="eastAsia" w:ascii="仿宋" w:hAnsi="仿宋" w:eastAsia="仿宋" w:cs="仿宋"/>
                <w:sz w:val="24"/>
                <w:szCs w:val="24"/>
                <w:highlight w:val="none"/>
              </w:rPr>
              <w:t>投标文件递交截止时间及开标时间和地点</w:t>
            </w:r>
          </w:p>
        </w:tc>
        <w:tc>
          <w:tcPr>
            <w:tcW w:w="6336" w:type="dxa"/>
          </w:tcPr>
          <w:p>
            <w:pPr>
              <w:pStyle w:val="40"/>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1、投标文件递交截止时间：2022年9月30日10:00</w:t>
            </w:r>
          </w:p>
          <w:p>
            <w:pPr>
              <w:pStyle w:val="40"/>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2、投标地点：华招广和项目管理有限公司会议室（西安市朱雀大街南段1号汇成天玺C座18层1818室）</w:t>
            </w:r>
          </w:p>
          <w:p>
            <w:pPr>
              <w:pStyle w:val="39"/>
              <w:spacing w:line="560" w:lineRule="exact"/>
              <w:ind w:firstLine="0" w:firstLineChars="0"/>
              <w:rPr>
                <w:rFonts w:ascii="仿宋" w:hAnsi="仿宋" w:eastAsia="仿宋" w:cs="仿宋"/>
                <w:b/>
                <w:sz w:val="18"/>
                <w:szCs w:val="18"/>
                <w:highlight w:val="none"/>
              </w:rPr>
            </w:pPr>
            <w:r>
              <w:rPr>
                <w:rFonts w:hint="eastAsia" w:ascii="仿宋" w:hAnsi="仿宋" w:eastAsia="仿宋" w:cs="仿宋"/>
                <w:sz w:val="24"/>
                <w:szCs w:val="24"/>
                <w:highlight w:val="none"/>
              </w:rPr>
              <w:t>3、开标时间：2022年9月30日10:00</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4、开标地点：华招广和项目管理有限公司会议室（西安市朱雀大街南段1号汇成天玺C座18层1818室）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19</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投标有效期</w:t>
            </w:r>
          </w:p>
        </w:tc>
        <w:tc>
          <w:tcPr>
            <w:tcW w:w="6336" w:type="dxa"/>
          </w:tcPr>
          <w:p>
            <w:pPr>
              <w:spacing w:line="560" w:lineRule="exact"/>
              <w:rPr>
                <w:rFonts w:ascii="仿宋" w:hAnsi="仿宋" w:eastAsia="仿宋" w:cs="仿宋"/>
                <w:szCs w:val="24"/>
                <w:highlight w:val="none"/>
              </w:rPr>
            </w:pPr>
            <w:r>
              <w:rPr>
                <w:rFonts w:hint="eastAsia" w:ascii="仿宋" w:hAnsi="仿宋" w:eastAsia="仿宋" w:cs="仿宋"/>
                <w:szCs w:val="24"/>
                <w:highlight w:val="none"/>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20</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汇款账户</w:t>
            </w:r>
          </w:p>
        </w:tc>
        <w:tc>
          <w:tcPr>
            <w:tcW w:w="6336" w:type="dxa"/>
          </w:tcPr>
          <w:p>
            <w:pPr>
              <w:pStyle w:val="39"/>
              <w:spacing w:line="56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中国建设银行：招标服务费（交纳账户）</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名  称：华招广和项目管理有限公司</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开户行：中国建设银行股份有限公司西安金泰假日花城支行</w:t>
            </w:r>
          </w:p>
          <w:p>
            <w:pPr>
              <w:pStyle w:val="39"/>
              <w:spacing w:line="56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帐  号：6105 0186 5800 0000 0059</w:t>
            </w:r>
          </w:p>
          <w:p>
            <w:pPr>
              <w:pStyle w:val="39"/>
              <w:spacing w:line="560" w:lineRule="exact"/>
              <w:ind w:firstLine="0" w:firstLineChars="0"/>
              <w:rPr>
                <w:rFonts w:ascii="仿宋" w:hAnsi="仿宋" w:eastAsia="仿宋" w:cs="仿宋"/>
                <w:sz w:val="24"/>
                <w:szCs w:val="24"/>
                <w:highlight w:val="none"/>
              </w:rPr>
            </w:pPr>
            <w:r>
              <w:rPr>
                <w:rFonts w:hint="eastAsia" w:ascii="仿宋" w:hAnsi="仿宋" w:eastAsia="仿宋" w:cs="仿宋"/>
                <w:b/>
                <w:sz w:val="24"/>
                <w:szCs w:val="24"/>
                <w:highlight w:val="none"/>
              </w:rPr>
              <w:t>注:招标服务费可以采用转账、现金形式交纳。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21</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备选投标方案</w:t>
            </w:r>
          </w:p>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和报价</w:t>
            </w:r>
          </w:p>
        </w:tc>
        <w:tc>
          <w:tcPr>
            <w:tcW w:w="6336" w:type="dxa"/>
            <w:vAlign w:val="center"/>
          </w:tcPr>
          <w:p>
            <w:pPr>
              <w:tabs>
                <w:tab w:val="left" w:pos="7013"/>
              </w:tabs>
              <w:spacing w:line="560" w:lineRule="exact"/>
              <w:rPr>
                <w:rFonts w:ascii="仿宋" w:hAnsi="仿宋" w:eastAsia="仿宋" w:cs="仿宋"/>
                <w:szCs w:val="24"/>
                <w:highlight w:val="none"/>
              </w:rPr>
            </w:pPr>
            <w:r>
              <w:rPr>
                <w:rFonts w:hint="eastAsia" w:ascii="仿宋" w:hAnsi="仿宋" w:eastAsia="仿宋" w:cs="仿宋"/>
                <w:szCs w:val="24"/>
                <w:highlight w:val="none"/>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22</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盖章签字</w:t>
            </w:r>
          </w:p>
        </w:tc>
        <w:tc>
          <w:tcPr>
            <w:tcW w:w="6336" w:type="dxa"/>
            <w:vAlign w:val="center"/>
          </w:tcPr>
          <w:p>
            <w:pPr>
              <w:tabs>
                <w:tab w:val="left" w:pos="7013"/>
              </w:tabs>
              <w:spacing w:line="560" w:lineRule="exact"/>
              <w:rPr>
                <w:rFonts w:ascii="仿宋" w:hAnsi="仿宋" w:eastAsia="仿宋" w:cs="仿宋"/>
                <w:szCs w:val="24"/>
                <w:highlight w:val="none"/>
              </w:rPr>
            </w:pPr>
            <w:r>
              <w:rPr>
                <w:rFonts w:hint="eastAsia" w:ascii="仿宋" w:hAnsi="仿宋" w:eastAsia="仿宋" w:cs="仿宋"/>
                <w:szCs w:val="24"/>
                <w:highlight w:val="none"/>
              </w:rPr>
              <w:t>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23</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投标文件数量、装订</w:t>
            </w:r>
          </w:p>
        </w:tc>
        <w:tc>
          <w:tcPr>
            <w:tcW w:w="6336" w:type="dxa"/>
            <w:vAlign w:val="center"/>
          </w:tcPr>
          <w:p>
            <w:pPr>
              <w:spacing w:line="560" w:lineRule="exact"/>
              <w:rPr>
                <w:rFonts w:ascii="仿宋" w:hAnsi="仿宋" w:eastAsia="仿宋" w:cs="仿宋"/>
                <w:szCs w:val="24"/>
                <w:highlight w:val="none"/>
              </w:rPr>
            </w:pPr>
            <w:r>
              <w:rPr>
                <w:rFonts w:hint="eastAsia" w:ascii="仿宋" w:hAnsi="仿宋" w:eastAsia="仿宋" w:cs="仿宋"/>
                <w:szCs w:val="24"/>
                <w:highlight w:val="none"/>
              </w:rPr>
              <w:t>1、密封要求：投标时，投标人应自行将投标文件密封完好（封袋不得有破损）。标袋上应写明项目名称、项目编号、投标人名称及“正本”、“副本”、“开标一览表”字样，并在密封条接缝处加盖单位公章（鲜章）和法定代表人或被授权人签字(或盖章）；</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2、装订要求：投标文件一律采用书籍（胶装）方式装订，在投标文件书脊处写明项目名称、项目编号及投标人名称。投标文件正本一份，副本四份，电子文件一份（用U盘或移动硬盘拷贝），电子版投标文件提供投标文件正本的word版本及PDF版本（PDF文件为完整签字、盖章的正本扫描件），“开标一览表”一份。纸质投标文件均须A4纸打印（提倡双面打印），分别各自装订成册并编制目录和页码，产品彩页、厂家授权等证明材料原件除外。电子文件放置“开标一览表”标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24</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投标报价</w:t>
            </w:r>
          </w:p>
        </w:tc>
        <w:tc>
          <w:tcPr>
            <w:tcW w:w="6336" w:type="dxa"/>
            <w:vAlign w:val="center"/>
          </w:tcPr>
          <w:p>
            <w:pPr>
              <w:pStyle w:val="40"/>
              <w:spacing w:line="560" w:lineRule="exact"/>
              <w:rPr>
                <w:rFonts w:ascii="仿宋" w:hAnsi="仿宋" w:eastAsia="仿宋" w:cs="仿宋"/>
                <w:sz w:val="24"/>
                <w:szCs w:val="24"/>
                <w:highlight w:val="none"/>
              </w:rPr>
            </w:pPr>
            <w:r>
              <w:rPr>
                <w:rFonts w:hint="eastAsia" w:ascii="仿宋" w:hAnsi="仿宋" w:eastAsia="仿宋" w:cs="仿宋"/>
                <w:kern w:val="2"/>
                <w:sz w:val="24"/>
                <w:szCs w:val="24"/>
                <w:highlight w:val="none"/>
              </w:rPr>
              <w:t>本项目属于交钥匙项目，投标报价=设备价（含税）+运输费+安装费+调试费+培训费+产品辅材费+售后服务费+保险费+相关伴随费用等。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25</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评标办法及标准</w:t>
            </w:r>
          </w:p>
        </w:tc>
        <w:tc>
          <w:tcPr>
            <w:tcW w:w="6336" w:type="dxa"/>
            <w:vAlign w:val="center"/>
          </w:tcPr>
          <w:p>
            <w:pPr>
              <w:pStyle w:val="40"/>
              <w:spacing w:line="560" w:lineRule="exact"/>
              <w:rPr>
                <w:rFonts w:ascii="仿宋" w:hAnsi="仿宋" w:eastAsia="仿宋" w:cs="仿宋"/>
                <w:sz w:val="24"/>
                <w:szCs w:val="24"/>
                <w:highlight w:val="none"/>
              </w:rPr>
            </w:pPr>
            <w:r>
              <w:rPr>
                <w:rFonts w:hint="eastAsia" w:ascii="仿宋" w:hAnsi="仿宋" w:eastAsia="仿宋" w:cs="仿宋"/>
                <w:sz w:val="24"/>
                <w:szCs w:val="24"/>
                <w:highlight w:val="none"/>
              </w:rPr>
              <w:t>详见招标文件第二章。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26</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其它事项</w:t>
            </w:r>
          </w:p>
        </w:tc>
        <w:tc>
          <w:tcPr>
            <w:tcW w:w="6336" w:type="dxa"/>
            <w:vAlign w:val="center"/>
          </w:tcPr>
          <w:p>
            <w:pPr>
              <w:adjustRightInd w:val="0"/>
              <w:snapToGrid w:val="0"/>
              <w:spacing w:line="560" w:lineRule="exact"/>
              <w:rPr>
                <w:rFonts w:ascii="仿宋" w:hAnsi="仿宋" w:eastAsia="仿宋" w:cs="仿宋"/>
                <w:szCs w:val="24"/>
                <w:highlight w:val="none"/>
              </w:rPr>
            </w:pPr>
            <w:r>
              <w:rPr>
                <w:rFonts w:hint="eastAsia" w:ascii="仿宋" w:hAnsi="仿宋" w:eastAsia="仿宋" w:cs="仿宋"/>
                <w:szCs w:val="24"/>
                <w:highlight w:val="none"/>
              </w:rPr>
              <w:t>本次采购、投标报价、评审和合同授予均以项目为单位，投标人必须就一个完整项目进行响应。中标投标人与采购人在中标通知书发出30天内签订合同，不及时签订视为自动放弃。非经采购人同意，本项目不允许中标后另行转包或者分包。</w:t>
            </w:r>
            <w:r>
              <w:rPr>
                <w:rFonts w:hint="eastAsia" w:ascii="仿宋" w:hAnsi="仿宋" w:eastAsia="仿宋" w:cs="仿宋"/>
                <w:kern w:val="0"/>
                <w:szCs w:val="24"/>
                <w:highlight w:val="none"/>
              </w:rPr>
              <w:t>中标人无正当理由不得放弃中标。</w:t>
            </w:r>
            <w:r>
              <w:rPr>
                <w:rFonts w:hint="eastAsia" w:ascii="仿宋" w:hAnsi="仿宋" w:eastAsia="仿宋" w:cs="仿宋"/>
                <w:szCs w:val="24"/>
                <w:highlight w:val="none"/>
              </w:rPr>
              <w:t>因自身原因拒绝签订政府采购合同的或者未按合同约定进行履约的，中标人不得参加对该项目重新开展的招标活动。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highlight w:val="none"/>
              </w:rPr>
              <w:t>27</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highlight w:val="none"/>
              </w:rPr>
              <w:t>本项目是否专门面向中小企业</w:t>
            </w:r>
          </w:p>
        </w:tc>
        <w:tc>
          <w:tcPr>
            <w:tcW w:w="6336" w:type="dxa"/>
            <w:vAlign w:val="center"/>
          </w:tcPr>
          <w:p>
            <w:pPr>
              <w:pStyle w:val="40"/>
              <w:spacing w:line="560" w:lineRule="exact"/>
              <w:rPr>
                <w:rFonts w:ascii="仿宋" w:hAnsi="仿宋" w:eastAsia="仿宋" w:cs="仿宋"/>
                <w:szCs w:val="24"/>
                <w:highlight w:val="none"/>
              </w:rPr>
            </w:pPr>
            <w:r>
              <w:rPr>
                <w:rFonts w:hint="eastAsia" w:ascii="仿宋" w:hAnsi="仿宋" w:eastAsia="仿宋" w:cs="仿宋"/>
                <w:kern w:val="2"/>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28</w:t>
            </w:r>
          </w:p>
        </w:tc>
        <w:tc>
          <w:tcPr>
            <w:tcW w:w="2411"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本项目所属行业</w:t>
            </w:r>
          </w:p>
        </w:tc>
        <w:tc>
          <w:tcPr>
            <w:tcW w:w="6336" w:type="dxa"/>
            <w:vAlign w:val="center"/>
          </w:tcPr>
          <w:p>
            <w:pPr>
              <w:adjustRightInd w:val="0"/>
              <w:snapToGrid w:val="0"/>
              <w:spacing w:line="560" w:lineRule="exact"/>
              <w:rPr>
                <w:rFonts w:ascii="仿宋" w:hAnsi="仿宋" w:eastAsia="仿宋" w:cs="仿宋"/>
                <w:szCs w:val="24"/>
                <w:highlight w:val="none"/>
              </w:rPr>
            </w:pPr>
            <w:r>
              <w:rPr>
                <w:rFonts w:hint="eastAsia" w:ascii="仿宋" w:hAnsi="仿宋" w:eastAsia="仿宋" w:cs="仿宋"/>
                <w:szCs w:val="24"/>
                <w:highlight w:val="none"/>
              </w:rPr>
              <w:t>工业</w:t>
            </w:r>
          </w:p>
        </w:tc>
      </w:tr>
    </w:tbl>
    <w:p>
      <w:pPr>
        <w:pStyle w:val="4"/>
        <w:spacing w:line="560" w:lineRule="exact"/>
        <w:rPr>
          <w:rFonts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pPr>
        <w:pStyle w:val="4"/>
        <w:spacing w:line="560" w:lineRule="exact"/>
        <w:rPr>
          <w:rFonts w:ascii="仿宋" w:hAnsi="仿宋" w:eastAsia="仿宋" w:cs="仿宋"/>
          <w:kern w:val="0"/>
          <w:sz w:val="28"/>
          <w:szCs w:val="28"/>
          <w:highlight w:val="none"/>
        </w:rPr>
      </w:pPr>
      <w:bookmarkStart w:id="11" w:name="_Toc13358"/>
      <w:r>
        <w:rPr>
          <w:rFonts w:hint="eastAsia" w:ascii="仿宋" w:hAnsi="仿宋" w:eastAsia="仿宋" w:cs="仿宋"/>
          <w:kern w:val="0"/>
          <w:sz w:val="28"/>
          <w:szCs w:val="28"/>
          <w:highlight w:val="none"/>
        </w:rPr>
        <w:t>二、项目说明</w:t>
      </w:r>
      <w:bookmarkEnd w:id="11"/>
    </w:p>
    <w:p>
      <w:pPr>
        <w:spacing w:line="560" w:lineRule="exact"/>
        <w:ind w:firstLine="570"/>
        <w:rPr>
          <w:rFonts w:ascii="仿宋" w:hAnsi="仿宋" w:eastAsia="仿宋" w:cs="仿宋"/>
          <w:kern w:val="0"/>
          <w:szCs w:val="24"/>
          <w:highlight w:val="none"/>
        </w:rPr>
      </w:pPr>
      <w:r>
        <w:rPr>
          <w:rFonts w:hint="eastAsia" w:ascii="仿宋" w:hAnsi="仿宋" w:eastAsia="仿宋" w:cs="仿宋"/>
          <w:kern w:val="0"/>
          <w:szCs w:val="24"/>
          <w:highlight w:val="none"/>
        </w:rPr>
        <w:t>1、本项目说明详见投标人须知前附表。</w:t>
      </w:r>
      <w:bookmarkStart w:id="12" w:name="_Toc458617732"/>
      <w:bookmarkStart w:id="13" w:name="_Toc458617455"/>
    </w:p>
    <w:p>
      <w:pPr>
        <w:spacing w:line="560" w:lineRule="exact"/>
        <w:ind w:firstLine="570"/>
        <w:rPr>
          <w:rFonts w:ascii="仿宋" w:hAnsi="仿宋" w:eastAsia="仿宋" w:cs="仿宋"/>
          <w:kern w:val="0"/>
          <w:szCs w:val="24"/>
          <w:highlight w:val="none"/>
        </w:rPr>
      </w:pPr>
      <w:r>
        <w:rPr>
          <w:rFonts w:hint="eastAsia" w:ascii="仿宋" w:hAnsi="仿宋" w:eastAsia="仿宋" w:cs="仿宋"/>
          <w:kern w:val="0"/>
          <w:szCs w:val="24"/>
          <w:highlight w:val="none"/>
        </w:rPr>
        <w:t>2、本项目按照《中华人民共和国政府采购法》等有关法律、行政法规和部门规章，通过公开招标方式择优选定中标人。</w:t>
      </w:r>
    </w:p>
    <w:bookmarkEnd w:id="12"/>
    <w:bookmarkEnd w:id="13"/>
    <w:p>
      <w:pPr>
        <w:pStyle w:val="4"/>
        <w:spacing w:line="560" w:lineRule="exact"/>
        <w:rPr>
          <w:rFonts w:ascii="仿宋" w:hAnsi="仿宋" w:eastAsia="仿宋" w:cs="仿宋"/>
          <w:kern w:val="0"/>
          <w:sz w:val="28"/>
          <w:szCs w:val="28"/>
          <w:highlight w:val="none"/>
        </w:rPr>
      </w:pPr>
      <w:bookmarkStart w:id="14" w:name="_Toc32654"/>
      <w:bookmarkStart w:id="15" w:name="_Toc458617733"/>
      <w:bookmarkStart w:id="16" w:name="_Toc458617456"/>
      <w:r>
        <w:rPr>
          <w:rFonts w:hint="eastAsia" w:ascii="仿宋" w:hAnsi="仿宋" w:eastAsia="仿宋" w:cs="仿宋"/>
          <w:kern w:val="0"/>
          <w:sz w:val="28"/>
          <w:szCs w:val="28"/>
          <w:highlight w:val="none"/>
        </w:rPr>
        <w:t>三、招标文件</w:t>
      </w:r>
      <w:bookmarkEnd w:id="14"/>
      <w:bookmarkEnd w:id="15"/>
      <w:bookmarkEnd w:id="16"/>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1、招标文件购买：投标人须经过正常渠道购买招标文件，且投标人名称与登记领取招标文件的单位名称一致，否则将作为无效投标处理。</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 xml:space="preserve">2、招标文件的组成：包括目录中所列的前五章。 </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3、投标人应认真审阅和充分理解招标文件所有的事项、格式、条款和规范要求等，在投标文件中对招标文件的各方面都做出实质性的响应，按照招标文件的要求提交全部资料。</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4、招标文件的澄清或修改：</w:t>
      </w:r>
    </w:p>
    <w:p>
      <w:pPr>
        <w:spacing w:line="560" w:lineRule="exact"/>
        <w:ind w:firstLine="480" w:firstLineChars="200"/>
        <w:rPr>
          <w:rFonts w:ascii="仿宋" w:hAnsi="仿宋" w:eastAsia="仿宋" w:cs="仿宋"/>
          <w:b/>
          <w:kern w:val="0"/>
          <w:sz w:val="18"/>
          <w:szCs w:val="18"/>
          <w:highlight w:val="none"/>
          <w:u w:color="FF0000"/>
        </w:rPr>
      </w:pPr>
      <w:bookmarkStart w:id="17" w:name="_Toc458617457"/>
      <w:bookmarkStart w:id="18" w:name="_Toc458617734"/>
      <w:r>
        <w:rPr>
          <w:rFonts w:hint="eastAsia" w:ascii="仿宋" w:hAnsi="仿宋" w:eastAsia="仿宋" w:cs="仿宋"/>
          <w:szCs w:val="24"/>
          <w:highlight w:val="none"/>
        </w:rPr>
        <w:t>4-1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通知所有获取招标文件的潜在投标人；不足15日的，采购人或者采购代理机构应当顺延提交投标文件的截止时间。</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5、投标人若对招标文件有任何疑问，可以以书面形式向采购代理机构提出询问。</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6、投标人认为招标文件使自己的权益受到损害的，在收到采购文件之日</w:t>
      </w:r>
      <w:r>
        <w:rPr>
          <w:rFonts w:hint="eastAsia" w:ascii="仿宋" w:hAnsi="仿宋" w:eastAsia="仿宋" w:cs="仿宋"/>
          <w:kern w:val="0"/>
          <w:szCs w:val="24"/>
          <w:highlight w:val="none"/>
        </w:rPr>
        <w:t>起七个工作日内</w:t>
      </w:r>
      <w:r>
        <w:rPr>
          <w:rFonts w:hint="eastAsia" w:ascii="仿宋" w:hAnsi="仿宋" w:eastAsia="仿宋" w:cs="仿宋"/>
          <w:szCs w:val="24"/>
          <w:highlight w:val="none"/>
        </w:rPr>
        <w:t>以书面形式向采购代理机构提出质疑，逾期提出的无效，</w:t>
      </w:r>
      <w:bookmarkStart w:id="19" w:name="OLE_LINK6"/>
      <w:r>
        <w:rPr>
          <w:rFonts w:hint="eastAsia" w:ascii="仿宋" w:hAnsi="仿宋" w:eastAsia="仿宋" w:cs="仿宋"/>
          <w:szCs w:val="24"/>
          <w:highlight w:val="none"/>
        </w:rPr>
        <w:t>因此带来的一切不利后果由投标人自负。</w:t>
      </w:r>
      <w:bookmarkEnd w:id="19"/>
    </w:p>
    <w:p>
      <w:pPr>
        <w:kinsoku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7、在投标截止时间前，根据招标工作进展实际情况，采购人可酌情延长提交投标文件的截止时间，若延长将另行以书面形式通知各投标人并在原信息发布媒体上发布变更公告。</w:t>
      </w:r>
      <w:bookmarkStart w:id="20" w:name="OLE_LINK7"/>
      <w:r>
        <w:rPr>
          <w:rFonts w:hint="eastAsia" w:ascii="仿宋" w:hAnsi="仿宋" w:eastAsia="仿宋" w:cs="仿宋"/>
          <w:szCs w:val="24"/>
          <w:highlight w:val="none"/>
        </w:rPr>
        <w:t>采购代理机构和投标人的权利和义务将受到新的截止期的约束。</w:t>
      </w:r>
    </w:p>
    <w:bookmarkEnd w:id="20"/>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8、投标人必须从采购代理机构购买招标文件，投标人自行转让或复制招标文件视为无效。招标文件售后不退，仅作为本次招标使用。</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9、如发现招标文件内容与现行法律法规不相符的情况，以现行法律法规为准。</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10、现场勘查、标前答疑会：见须知前附表。</w:t>
      </w:r>
    </w:p>
    <w:p>
      <w:pPr>
        <w:pStyle w:val="4"/>
        <w:spacing w:line="560" w:lineRule="exact"/>
        <w:rPr>
          <w:rFonts w:ascii="仿宋" w:hAnsi="仿宋" w:eastAsia="仿宋" w:cs="仿宋"/>
          <w:kern w:val="0"/>
          <w:sz w:val="28"/>
          <w:szCs w:val="28"/>
          <w:highlight w:val="none"/>
        </w:rPr>
      </w:pPr>
      <w:bookmarkStart w:id="21" w:name="_Toc17207"/>
      <w:r>
        <w:rPr>
          <w:rFonts w:hint="eastAsia" w:ascii="仿宋" w:hAnsi="仿宋" w:eastAsia="仿宋" w:cs="仿宋"/>
          <w:kern w:val="0"/>
          <w:sz w:val="28"/>
          <w:szCs w:val="28"/>
          <w:highlight w:val="none"/>
        </w:rPr>
        <w:t>四、投标文件</w:t>
      </w:r>
      <w:bookmarkEnd w:id="17"/>
      <w:bookmarkEnd w:id="18"/>
      <w:bookmarkEnd w:id="21"/>
    </w:p>
    <w:p>
      <w:pPr>
        <w:spacing w:line="560" w:lineRule="exact"/>
        <w:rPr>
          <w:rFonts w:ascii="仿宋" w:hAnsi="仿宋" w:eastAsia="仿宋" w:cs="仿宋"/>
          <w:highlight w:val="none"/>
        </w:rPr>
      </w:pPr>
      <w:r>
        <w:rPr>
          <w:rFonts w:hint="eastAsia" w:ascii="仿宋" w:hAnsi="仿宋" w:eastAsia="仿宋" w:cs="仿宋"/>
          <w:highlight w:val="none"/>
        </w:rPr>
        <w:t>1、投标人资格要求</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（1）基本资格条件：符合《中华人民共和国政府采购法》第二十二条的规定：</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 xml:space="preserve">1-1、具有独立承担民事责任能力的法人、其他组织或自然人，并出具合法有效的营业执照或事业单位法人证书等国家规定的相关证明，自然人参与的提供其身份证明。  </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-2、财务状况报告：提供具有财务审计资质单位出具的2020年度或2021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pPr>
        <w:spacing w:line="560" w:lineRule="exact"/>
        <w:ind w:firstLine="480" w:firstLineChars="200"/>
        <w:rPr>
          <w:rFonts w:ascii="仿宋" w:hAnsi="仿宋" w:eastAsia="仿宋" w:cs="仿宋"/>
          <w:highlight w:val="none"/>
        </w:rPr>
      </w:pPr>
      <w:r>
        <w:rPr>
          <w:rFonts w:hint="eastAsia" w:ascii="仿宋" w:hAnsi="仿宋" w:eastAsia="仿宋" w:cs="仿宋"/>
          <w:highlight w:val="none"/>
        </w:rPr>
        <w:t>1-3、税收缴纳证明：提供2022年1月1日至今任意一个月的缴费凭据；（依法免税的投标人应提供相关文件证明）。</w:t>
      </w:r>
    </w:p>
    <w:p>
      <w:pPr>
        <w:pStyle w:val="39"/>
        <w:spacing w:line="560" w:lineRule="exact"/>
        <w:ind w:firstLine="480"/>
        <w:rPr>
          <w:rFonts w:ascii="仿宋" w:hAnsi="仿宋" w:eastAsia="仿宋" w:cs="仿宋"/>
          <w:sz w:val="24"/>
          <w:highlight w:val="none"/>
        </w:rPr>
      </w:pPr>
      <w:r>
        <w:rPr>
          <w:rFonts w:hint="eastAsia" w:ascii="仿宋" w:hAnsi="仿宋" w:eastAsia="仿宋" w:cs="仿宋"/>
          <w:sz w:val="24"/>
          <w:highlight w:val="none"/>
        </w:rPr>
        <w:t xml:space="preserve">1-4、社会保障资金缴纳证明：提供2022年1月1日至今任意一个月的社保缴费凭据或社保机构开具的社会保险参保缴费情况证明；（依法不需要缴纳社会保障资金的投标人应提供相关证明）。 </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1-5、提供具有履行本合同所必需的设备和专业技术能力的说明及承诺；（格式自拟，加盖投标人公章）</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1-6、提供参加政府采购活动前三年内在经营活动中没有重大违法记录的书面声明。（格式自拟，加盖投标人公章）</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（2）、特定资格条件：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2-1、法定代表人或负责人参与投标时需提供法定代表人或负责人资格证明书（附法定代表人或负责人身份证复印件）；（法定代表人或负责人须提供身份证原件，身份证原件可由本人持有）</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 xml:space="preserve">2-2、被授权人参与投标时需提供法定代表人或负责人授权委托书（附法定代表人或负责人及被授权人身份证复印件）；（被授权人须提供身份证原件，身份证原件可由本人持有）         </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2-4、单位负责人为同一人或者存在直接控股、管理关系的不同投标人，不得参加同一合同项下的政府采购活动；（提供书面承诺函，格式自拟加盖投标人公章）</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2-5、本项目不接受联合体投标。</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2、合格投标人</w:t>
      </w:r>
    </w:p>
    <w:p>
      <w:pPr>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依照《中华人民共和国公司法》合法注册的法人或其他组织、符合《中华人民共和国政府采购法》</w:t>
      </w:r>
      <w:bookmarkStart w:id="22" w:name="OLE_LINK8"/>
      <w:r>
        <w:rPr>
          <w:rFonts w:hint="eastAsia" w:ascii="仿宋" w:hAnsi="仿宋" w:eastAsia="仿宋" w:cs="仿宋"/>
          <w:szCs w:val="24"/>
          <w:highlight w:val="none"/>
        </w:rPr>
        <w:t>及其实施条例等有关法律法规的规定</w:t>
      </w:r>
      <w:bookmarkEnd w:id="22"/>
      <w:r>
        <w:rPr>
          <w:rFonts w:hint="eastAsia" w:ascii="仿宋" w:hAnsi="仿宋" w:eastAsia="仿宋" w:cs="仿宋"/>
          <w:szCs w:val="24"/>
          <w:highlight w:val="none"/>
        </w:rPr>
        <w:t>并满足本项目资格条件。不符合上述规定的投标人，投标无效。</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3、投标人信用信息：</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 xml:space="preserve">3-1、采购人或采购代理机构将于本项目投标截止日在‘信用中国’网站、‘中国政府采购网’网站等渠道对供应商进行信用记录查询，查询的信用记录将进行打印存档，凡被列入失信被执行人、重大税收违法案件当事人名单、政府采购严重违法失信行为记录名单的，视为存在不良信用记录，参与本项目的将被拒绝。 </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3-2、特别说明：</w:t>
      </w:r>
    </w:p>
    <w:p>
      <w:pPr>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（1）投标人如在中标通知书发出前出现违法失信行为，采购人仍有权利提请评标委员会取消其中标资格；</w:t>
      </w:r>
    </w:p>
    <w:p>
      <w:pPr>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（2）投标人在投标文件中已出具的信用查询结果并不能取代采购人或采购代理机构在评标前进行复查。</w:t>
      </w:r>
    </w:p>
    <w:p>
      <w:pPr>
        <w:spacing w:line="560" w:lineRule="exact"/>
        <w:ind w:firstLine="240" w:firstLineChars="100"/>
        <w:rPr>
          <w:rFonts w:ascii="仿宋" w:hAnsi="仿宋" w:eastAsia="仿宋" w:cs="仿宋"/>
          <w:b/>
          <w:bCs/>
          <w:szCs w:val="24"/>
          <w:highlight w:val="none"/>
        </w:rPr>
      </w:pPr>
      <w:r>
        <w:rPr>
          <w:rFonts w:hint="eastAsia" w:ascii="仿宋" w:hAnsi="仿宋" w:eastAsia="仿宋" w:cs="仿宋"/>
          <w:szCs w:val="24"/>
          <w:highlight w:val="none"/>
        </w:rPr>
        <w:t xml:space="preserve">4、投标文件的组成 </w:t>
      </w:r>
    </w:p>
    <w:p>
      <w:pPr>
        <w:spacing w:line="560" w:lineRule="exact"/>
        <w:ind w:firstLine="240" w:firstLineChars="100"/>
        <w:rPr>
          <w:rFonts w:ascii="仿宋" w:hAnsi="仿宋" w:eastAsia="仿宋" w:cs="仿宋"/>
          <w:b/>
          <w:bCs/>
          <w:szCs w:val="24"/>
          <w:highlight w:val="none"/>
        </w:rPr>
      </w:pPr>
      <w:r>
        <w:rPr>
          <w:rFonts w:hint="eastAsia" w:ascii="仿宋" w:hAnsi="仿宋" w:eastAsia="仿宋" w:cs="仿宋"/>
          <w:szCs w:val="24"/>
          <w:highlight w:val="none"/>
        </w:rPr>
        <w:t>4-1、投标函（格式）</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4-2、开标一览表（格式）</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4-3、投标分项报价表（格式）</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4-4、节能环保、环境标志产品明细表（格式，若有）</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4-5、选配件报价表（格式，若有）</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4-6、货物说明一览表（格式）</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4-7、技术响应及偏离表（格式）</w:t>
      </w:r>
    </w:p>
    <w:p>
      <w:pPr>
        <w:spacing w:line="560" w:lineRule="exact"/>
        <w:ind w:firstLine="240" w:firstLineChars="100"/>
        <w:rPr>
          <w:rFonts w:ascii="仿宋" w:hAnsi="仿宋" w:eastAsia="仿宋" w:cs="仿宋"/>
          <w:b/>
          <w:bCs/>
          <w:szCs w:val="24"/>
          <w:highlight w:val="none"/>
        </w:rPr>
      </w:pPr>
      <w:r>
        <w:rPr>
          <w:rFonts w:hint="eastAsia" w:ascii="仿宋" w:hAnsi="仿宋" w:eastAsia="仿宋" w:cs="仿宋"/>
          <w:szCs w:val="24"/>
          <w:highlight w:val="none"/>
        </w:rPr>
        <w:t>4-8、商务响应及偏离表（格式）</w:t>
      </w:r>
    </w:p>
    <w:p>
      <w:pPr>
        <w:spacing w:line="560" w:lineRule="exact"/>
        <w:ind w:firstLine="240" w:firstLineChars="100"/>
        <w:rPr>
          <w:rFonts w:ascii="仿宋" w:hAnsi="仿宋" w:eastAsia="仿宋" w:cs="仿宋"/>
          <w:kern w:val="0"/>
          <w:szCs w:val="24"/>
          <w:highlight w:val="none"/>
        </w:rPr>
      </w:pPr>
      <w:r>
        <w:rPr>
          <w:rFonts w:hint="eastAsia" w:ascii="仿宋" w:hAnsi="仿宋" w:eastAsia="仿宋" w:cs="仿宋"/>
          <w:kern w:val="0"/>
          <w:szCs w:val="24"/>
          <w:highlight w:val="none"/>
        </w:rPr>
        <w:t>4-9、资格证明文件</w:t>
      </w:r>
    </w:p>
    <w:p>
      <w:pPr>
        <w:spacing w:line="560" w:lineRule="exact"/>
        <w:ind w:firstLine="240" w:firstLineChars="100"/>
        <w:rPr>
          <w:rFonts w:ascii="仿宋" w:hAnsi="仿宋" w:eastAsia="仿宋" w:cs="仿宋"/>
          <w:kern w:val="0"/>
          <w:szCs w:val="24"/>
          <w:highlight w:val="none"/>
        </w:rPr>
      </w:pPr>
      <w:r>
        <w:rPr>
          <w:rFonts w:hint="eastAsia" w:ascii="仿宋" w:hAnsi="仿宋" w:eastAsia="仿宋" w:cs="仿宋"/>
          <w:kern w:val="0"/>
          <w:szCs w:val="24"/>
          <w:highlight w:val="none"/>
        </w:rPr>
        <w:t>4-10、业绩证明材料（以合同为准，复印件加盖公章）</w:t>
      </w:r>
    </w:p>
    <w:p>
      <w:pPr>
        <w:spacing w:line="560" w:lineRule="exact"/>
        <w:ind w:firstLine="240" w:firstLineChars="100"/>
        <w:rPr>
          <w:rFonts w:ascii="仿宋" w:hAnsi="仿宋" w:eastAsia="仿宋" w:cs="仿宋"/>
          <w:kern w:val="0"/>
          <w:szCs w:val="24"/>
          <w:highlight w:val="none"/>
        </w:rPr>
      </w:pPr>
      <w:r>
        <w:rPr>
          <w:rFonts w:hint="eastAsia" w:ascii="仿宋" w:hAnsi="仿宋" w:eastAsia="仿宋" w:cs="仿宋"/>
          <w:kern w:val="0"/>
          <w:szCs w:val="24"/>
          <w:highlight w:val="none"/>
        </w:rPr>
        <w:t>4-11、产品的合法渠道证明文件</w:t>
      </w:r>
    </w:p>
    <w:p>
      <w:pPr>
        <w:spacing w:line="560" w:lineRule="exact"/>
        <w:ind w:firstLine="240" w:firstLineChars="100"/>
        <w:rPr>
          <w:rFonts w:ascii="仿宋" w:hAnsi="仿宋" w:eastAsia="仿宋" w:cs="仿宋"/>
          <w:kern w:val="0"/>
          <w:szCs w:val="24"/>
          <w:highlight w:val="none"/>
        </w:rPr>
      </w:pPr>
      <w:r>
        <w:rPr>
          <w:rFonts w:hint="eastAsia" w:ascii="仿宋" w:hAnsi="仿宋" w:eastAsia="仿宋" w:cs="仿宋"/>
          <w:kern w:val="0"/>
          <w:szCs w:val="24"/>
          <w:highlight w:val="none"/>
        </w:rPr>
        <w:t>4-12、项目实施方案</w:t>
      </w:r>
    </w:p>
    <w:p>
      <w:pPr>
        <w:spacing w:line="560" w:lineRule="exact"/>
        <w:ind w:firstLine="240" w:firstLineChars="100"/>
        <w:rPr>
          <w:rFonts w:ascii="仿宋" w:hAnsi="仿宋" w:eastAsia="仿宋" w:cs="仿宋"/>
          <w:kern w:val="0"/>
          <w:szCs w:val="24"/>
          <w:highlight w:val="none"/>
        </w:rPr>
      </w:pPr>
      <w:r>
        <w:rPr>
          <w:rFonts w:hint="eastAsia" w:ascii="仿宋" w:hAnsi="仿宋" w:eastAsia="仿宋" w:cs="仿宋"/>
          <w:kern w:val="0"/>
          <w:szCs w:val="24"/>
          <w:highlight w:val="none"/>
        </w:rPr>
        <w:t>4-13、产品的技术文件</w:t>
      </w:r>
    </w:p>
    <w:p>
      <w:pPr>
        <w:spacing w:line="560" w:lineRule="exact"/>
        <w:ind w:firstLine="240" w:firstLineChars="100"/>
        <w:rPr>
          <w:rFonts w:ascii="仿宋" w:hAnsi="仿宋" w:eastAsia="仿宋" w:cs="仿宋"/>
          <w:kern w:val="0"/>
          <w:szCs w:val="24"/>
          <w:highlight w:val="none"/>
        </w:rPr>
      </w:pPr>
      <w:r>
        <w:rPr>
          <w:rFonts w:hint="eastAsia" w:ascii="仿宋" w:hAnsi="仿宋" w:eastAsia="仿宋" w:cs="仿宋"/>
          <w:kern w:val="0"/>
          <w:szCs w:val="24"/>
          <w:highlight w:val="none"/>
        </w:rPr>
        <w:t>4-14、质量保证</w:t>
      </w:r>
    </w:p>
    <w:p>
      <w:pPr>
        <w:spacing w:line="560" w:lineRule="exact"/>
        <w:ind w:firstLine="240" w:firstLineChars="100"/>
        <w:rPr>
          <w:rFonts w:ascii="仿宋" w:hAnsi="仿宋" w:eastAsia="仿宋" w:cs="仿宋"/>
          <w:kern w:val="0"/>
          <w:szCs w:val="24"/>
          <w:highlight w:val="none"/>
        </w:rPr>
      </w:pPr>
      <w:r>
        <w:rPr>
          <w:rFonts w:hint="eastAsia" w:ascii="仿宋" w:hAnsi="仿宋" w:eastAsia="仿宋" w:cs="仿宋"/>
          <w:kern w:val="0"/>
          <w:szCs w:val="24"/>
          <w:highlight w:val="none"/>
        </w:rPr>
        <w:t>4-15、售后服务及培训计划</w:t>
      </w:r>
    </w:p>
    <w:p>
      <w:pPr>
        <w:spacing w:line="560" w:lineRule="exact"/>
        <w:ind w:firstLine="240" w:firstLineChars="100"/>
        <w:rPr>
          <w:rFonts w:ascii="仿宋" w:hAnsi="仿宋" w:eastAsia="仿宋" w:cs="仿宋"/>
          <w:kern w:val="0"/>
          <w:szCs w:val="24"/>
          <w:highlight w:val="none"/>
        </w:rPr>
      </w:pPr>
      <w:r>
        <w:rPr>
          <w:rFonts w:hint="eastAsia" w:ascii="仿宋" w:hAnsi="仿宋" w:eastAsia="仿宋" w:cs="仿宋"/>
          <w:kern w:val="0"/>
          <w:szCs w:val="24"/>
          <w:highlight w:val="none"/>
        </w:rPr>
        <w:t>4-16、招标文件要求的其他证明资料及投标人认为需要提供的资料。</w:t>
      </w:r>
    </w:p>
    <w:p>
      <w:pPr>
        <w:spacing w:line="560" w:lineRule="exact"/>
        <w:ind w:firstLine="240" w:firstLineChars="100"/>
        <w:rPr>
          <w:rFonts w:ascii="仿宋" w:hAnsi="仿宋" w:eastAsia="仿宋" w:cs="仿宋"/>
          <w:b/>
          <w:bCs/>
          <w:szCs w:val="24"/>
          <w:highlight w:val="none"/>
        </w:rPr>
      </w:pPr>
      <w:r>
        <w:rPr>
          <w:rFonts w:hint="eastAsia" w:ascii="仿宋" w:hAnsi="仿宋" w:eastAsia="仿宋" w:cs="仿宋"/>
          <w:szCs w:val="24"/>
          <w:highlight w:val="none"/>
        </w:rPr>
        <w:t>5、投标文件编写说明</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5-1、投标文件</w:t>
      </w:r>
      <w:r>
        <w:rPr>
          <w:rFonts w:hint="eastAsia" w:ascii="仿宋" w:hAnsi="仿宋" w:eastAsia="仿宋" w:cs="仿宋"/>
          <w:kern w:val="0"/>
          <w:szCs w:val="24"/>
          <w:highlight w:val="none"/>
        </w:rPr>
        <w:t>格式：投标文件应当按照招标文件给定的格式和要求编制，格式之外的可自行编写。</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5-2、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p>
      <w:pPr>
        <w:spacing w:line="560" w:lineRule="exact"/>
        <w:ind w:firstLine="240" w:firstLineChars="100"/>
        <w:rPr>
          <w:rFonts w:ascii="仿宋" w:hAnsi="仿宋" w:eastAsia="仿宋" w:cs="仿宋"/>
          <w:highlight w:val="none"/>
        </w:rPr>
      </w:pPr>
      <w:r>
        <w:rPr>
          <w:rFonts w:hint="eastAsia" w:ascii="仿宋" w:hAnsi="仿宋" w:eastAsia="仿宋" w:cs="仿宋"/>
          <w:szCs w:val="24"/>
          <w:highlight w:val="none"/>
        </w:rPr>
        <w:t>5-3、投标文件正本中的法人授权书须为原件，其它资质证明文件为复印件加盖投标人公章（鲜章）。副本可以是正本的复印件。如果正本与副本不一致，以正本为准。</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5-4、投标文件的正本和副本均需打印或用不褪色、不变质的墨水书写。</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5-5、投标文件因书写潦草、内容表达不清、印章或证明材料内容模糊难辨等导致的不利后果由投标人自行承担。</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5-6、投标文件电子版内容须与投标文件纸质版正本中的内容一致。</w:t>
      </w:r>
    </w:p>
    <w:p>
      <w:pPr>
        <w:spacing w:line="560" w:lineRule="exact"/>
        <w:ind w:firstLine="232" w:firstLineChars="100"/>
        <w:rPr>
          <w:rFonts w:ascii="仿宋" w:hAnsi="仿宋" w:eastAsia="仿宋" w:cs="仿宋"/>
          <w:szCs w:val="24"/>
          <w:highlight w:val="none"/>
        </w:rPr>
      </w:pPr>
      <w:r>
        <w:rPr>
          <w:rFonts w:hint="eastAsia" w:ascii="仿宋" w:hAnsi="仿宋" w:eastAsia="仿宋" w:cs="仿宋"/>
          <w:spacing w:val="-4"/>
          <w:szCs w:val="24"/>
          <w:highlight w:val="none"/>
        </w:rPr>
        <w:t>5-7、“开标一览表”为在开标会议上唱标的内</w:t>
      </w:r>
      <w:r>
        <w:rPr>
          <w:rFonts w:hint="eastAsia" w:ascii="仿宋" w:hAnsi="仿宋" w:eastAsia="仿宋" w:cs="仿宋"/>
          <w:szCs w:val="24"/>
          <w:highlight w:val="none"/>
        </w:rPr>
        <w:t>容，按格式要求填写，并单独密封提交，同时应保证“开标一览表”在投标文件正、副本中仍有且一致。如果不一致，以唱标内容为准。</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5-8、开标一览表必须由法定代表人或被授权人签字并加盖投标人公章，否则将作为无效投标处理。</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6、投标文件的装订及密封</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6-1、密封要求：投标时，投标人应自行将投标文件密封完好（封袋不得有破损）。标袋上应写明项目名称、项目编号、投标人名称及“正本”、“副本”、“开标一览表”字样，并在密封条接缝处加盖单位公章（鲜章）和法定代表人或被授权人签字(或盖章）；</w:t>
      </w:r>
    </w:p>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6-2、装订要求：投标文件一律采用书籍（胶装）方式装订，在投标文件书脊处必须写明项目名称、项目编号及投标人名称。投标文件正本一份，副本四份，电子文件一份（用U盘或移动硬盘拷贝，谢绝光盘），电子版投标文件提供投标文件正本的word版本及PDF版本（PDF文件为完整签字、盖章的正本扫描件），“开标一览表”一份。纸质投标文件均须A4纸打印（提倡双面打印），分别各自装订成册并编制目录和页码，产品彩页、厂家授权等证明材料原件除外。电子版放置“开标一览表”标袋内。</w:t>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7、投标文件的计量单位</w:t>
      </w:r>
    </w:p>
    <w:p>
      <w:pPr>
        <w:spacing w:line="560" w:lineRule="exact"/>
        <w:ind w:firstLine="480" w:firstLineChars="200"/>
        <w:rPr>
          <w:rFonts w:ascii="仿宋" w:hAnsi="仿宋" w:eastAsia="仿宋" w:cs="仿宋"/>
          <w:b/>
          <w:bCs/>
          <w:szCs w:val="24"/>
          <w:highlight w:val="none"/>
        </w:rPr>
      </w:pPr>
      <w:r>
        <w:rPr>
          <w:rFonts w:hint="eastAsia" w:ascii="仿宋" w:hAnsi="仿宋" w:eastAsia="仿宋" w:cs="仿宋"/>
          <w:szCs w:val="24"/>
          <w:highlight w:val="none"/>
        </w:rPr>
        <w:t>投标文件中所使用的计量单位，除有特殊要求外，均采用国家法定计量单位。</w:t>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bCs/>
          <w:szCs w:val="24"/>
          <w:highlight w:val="none"/>
        </w:rPr>
        <w:t>8、投标报价</w:t>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8-1、投标货币：人民币      单位:元（保留小数点后两位）。</w:t>
      </w:r>
    </w:p>
    <w:p>
      <w:pPr>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8-2、投标</w:t>
      </w:r>
      <w:bookmarkStart w:id="23" w:name="OLE_LINK11"/>
      <w:r>
        <w:rPr>
          <w:rFonts w:hint="eastAsia" w:ascii="仿宋" w:hAnsi="仿宋" w:eastAsia="仿宋" w:cs="仿宋"/>
          <w:szCs w:val="24"/>
          <w:highlight w:val="none"/>
        </w:rPr>
        <w:t>报价是指产品到达使用地点，达到正常使用条件下的所有费用，包括产品的报价及所发生的运杂费（含保险）、现场安装调试费及按现行税收政策征收的一切税费等。以招标文件的内容和要求作为投标依据。</w:t>
      </w:r>
    </w:p>
    <w:p>
      <w:pPr>
        <w:spacing w:line="560" w:lineRule="exact"/>
        <w:ind w:firstLine="482" w:firstLineChars="200"/>
        <w:rPr>
          <w:rFonts w:ascii="仿宋" w:hAnsi="仿宋" w:eastAsia="仿宋" w:cs="仿宋"/>
          <w:b/>
          <w:szCs w:val="24"/>
          <w:highlight w:val="none"/>
        </w:rPr>
      </w:pPr>
      <w:r>
        <w:rPr>
          <w:rFonts w:hint="eastAsia" w:ascii="仿宋" w:hAnsi="仿宋" w:eastAsia="仿宋" w:cs="仿宋"/>
          <w:b/>
          <w:szCs w:val="24"/>
          <w:highlight w:val="none"/>
        </w:rPr>
        <w:t>8-3、本项目为交钥匙项目，投标报价=设备价（含税）</w:t>
      </w:r>
      <w:r>
        <w:rPr>
          <w:rFonts w:hint="eastAsia" w:ascii="仿宋" w:hAnsi="仿宋" w:eastAsia="仿宋" w:cs="仿宋"/>
          <w:szCs w:val="24"/>
          <w:highlight w:val="none"/>
        </w:rPr>
        <w:t>+</w:t>
      </w:r>
      <w:r>
        <w:rPr>
          <w:rFonts w:hint="eastAsia" w:ascii="仿宋" w:hAnsi="仿宋" w:eastAsia="仿宋" w:cs="仿宋"/>
          <w:b/>
          <w:szCs w:val="24"/>
          <w:highlight w:val="none"/>
        </w:rPr>
        <w:t>运输费+安装费+调试费+培训费+产品辅材费+售后服务费+保险费+相关伴随费用等。</w:t>
      </w:r>
    </w:p>
    <w:bookmarkEnd w:id="23"/>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8-4、投标人须对《采购内容及技术要求》中任何货物需求和服务要求进行完整报价，采购代理机构拒绝只对部分货物和服务进行报价的投标。投标人应在投标文件中的投标报价表上标明对本次招标拟提供货物和服务的单价及总价。任何有选择的报价将不予接受，每项货物和服务只允许有一个报价，并且在合同履行过程中是固定不变的。</w:t>
      </w:r>
    </w:p>
    <w:p>
      <w:pPr>
        <w:spacing w:line="560" w:lineRule="exact"/>
        <w:ind w:firstLine="588" w:firstLineChars="245"/>
        <w:rPr>
          <w:rFonts w:ascii="仿宋" w:hAnsi="仿宋" w:eastAsia="仿宋" w:cs="仿宋"/>
          <w:szCs w:val="24"/>
          <w:highlight w:val="none"/>
        </w:rPr>
      </w:pPr>
      <w:r>
        <w:rPr>
          <w:rFonts w:hint="eastAsia" w:ascii="仿宋" w:hAnsi="仿宋" w:eastAsia="仿宋" w:cs="仿宋"/>
          <w:szCs w:val="24"/>
          <w:highlight w:val="none"/>
        </w:rPr>
        <w:t>8-5、不接受超过招标文件中规定的预算金额或者最高限价的报价、可变动性报价、赠送及“零”报价，</w:t>
      </w:r>
      <w:r>
        <w:rPr>
          <w:rFonts w:hint="eastAsia" w:ascii="仿宋" w:hAnsi="仿宋" w:eastAsia="仿宋" w:cs="仿宋"/>
          <w:b/>
          <w:bCs/>
          <w:szCs w:val="24"/>
          <w:highlight w:val="none"/>
        </w:rPr>
        <w:t>否则视为无效投标</w:t>
      </w:r>
      <w:r>
        <w:rPr>
          <w:rFonts w:hint="eastAsia" w:ascii="仿宋" w:hAnsi="仿宋" w:eastAsia="仿宋" w:cs="仿宋"/>
          <w:szCs w:val="24"/>
          <w:highlight w:val="none"/>
        </w:rPr>
        <w:t>。</w:t>
      </w:r>
    </w:p>
    <w:p>
      <w:pPr>
        <w:spacing w:line="560" w:lineRule="exact"/>
        <w:ind w:firstLine="588" w:firstLineChars="245"/>
        <w:rPr>
          <w:rFonts w:ascii="仿宋" w:hAnsi="仿宋" w:eastAsia="仿宋" w:cs="仿宋"/>
          <w:b/>
          <w:bCs/>
          <w:szCs w:val="24"/>
          <w:highlight w:val="none"/>
        </w:rPr>
      </w:pPr>
      <w:r>
        <w:rPr>
          <w:rFonts w:hint="eastAsia" w:ascii="仿宋" w:hAnsi="仿宋" w:eastAsia="仿宋" w:cs="仿宋"/>
          <w:szCs w:val="24"/>
          <w:highlight w:val="none"/>
        </w:rPr>
        <w:t>8-6、投标人要按所报产品分项报价表内容填写货物品名、单价及总价、制造厂家等内容，并由法人代表或被授权人签署。投标分项报价表上的价格应按下列要求分项填写：</w:t>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（1）所投货物的设备价</w:t>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（2）备品备件价（根据招标文件要求和货物技术状况列出质量保证期内需要的备品备件清单和价格）</w:t>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（3）专用工具价（如果需要使用）</w:t>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（4）安装调试费用</w:t>
      </w:r>
    </w:p>
    <w:p>
      <w:pPr>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（5）货物运至指定地点的运输（含保险）费用</w:t>
      </w:r>
    </w:p>
    <w:p>
      <w:pPr>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（6）售后服务费</w:t>
      </w:r>
    </w:p>
    <w:p>
      <w:pPr>
        <w:spacing w:line="560" w:lineRule="exact"/>
        <w:ind w:firstLine="470" w:firstLineChars="196"/>
        <w:rPr>
          <w:rFonts w:ascii="仿宋" w:hAnsi="仿宋" w:eastAsia="仿宋" w:cs="仿宋"/>
          <w:highlight w:val="none"/>
        </w:rPr>
      </w:pPr>
      <w:r>
        <w:rPr>
          <w:rFonts w:hint="eastAsia" w:ascii="仿宋" w:hAnsi="仿宋" w:eastAsia="仿宋" w:cs="仿宋"/>
          <w:szCs w:val="24"/>
          <w:highlight w:val="none"/>
        </w:rPr>
        <w:t>（7）培训费</w:t>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（8）招标文件要求的所有伴随服务的费用</w:t>
      </w:r>
      <w:r>
        <w:rPr>
          <w:rFonts w:hint="eastAsia" w:ascii="仿宋" w:hAnsi="仿宋" w:eastAsia="仿宋" w:cs="仿宋"/>
          <w:szCs w:val="24"/>
          <w:highlight w:val="none"/>
        </w:rPr>
        <w:tab/>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（9）所有根据合同或其它原因应由投标人支付的税款和其它应交纳的费用都要包括在投标人提交的投标价格中。</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8-7、投标人所报的投标价在合同执行过程中是固定不变的，不得以任何理由予以变更。任何包含价格调整要求的投标，将被认为是非响应性投标而予以拒绝。</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8-8、选配件是投标产品的附件，仅作为采购人后期选择购买，其报价不包含在本次投标总价内。</w:t>
      </w:r>
    </w:p>
    <w:p>
      <w:pPr>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9、对投标人的其他要求：</w:t>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9-1、投标人不得以他人名义投标和串通投标。</w:t>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9-2、必须根据招标文件要求进行生产、供货等。</w:t>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9-3、非经采购人同意，不得将本项目内容进行分包实施，一经发现，立即取消其中标资格，并承担由此引起的一切经济损失；经采购人同意，中标人可以依法采取分包方式履行合同。分包部分为中标项目的部分非主体、非关键性工作。</w:t>
      </w:r>
    </w:p>
    <w:p>
      <w:pPr>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9-4、接受采购人委托的相关单位对货物内容、质量、进度、实施方案、价款支付与结算审核等的监督和管理。</w:t>
      </w:r>
    </w:p>
    <w:p>
      <w:pPr>
        <w:spacing w:line="560" w:lineRule="exact"/>
        <w:ind w:firstLine="470" w:firstLineChars="196"/>
        <w:rPr>
          <w:rFonts w:ascii="仿宋" w:hAnsi="仿宋" w:eastAsia="仿宋" w:cs="仿宋"/>
          <w:b/>
          <w:bCs/>
          <w:szCs w:val="24"/>
          <w:highlight w:val="none"/>
        </w:rPr>
      </w:pPr>
      <w:r>
        <w:rPr>
          <w:rFonts w:hint="eastAsia" w:ascii="仿宋" w:hAnsi="仿宋" w:eastAsia="仿宋" w:cs="仿宋"/>
          <w:szCs w:val="24"/>
          <w:highlight w:val="none"/>
        </w:rPr>
        <w:t>9-5、投标人应保证在本项目使用的任何产品和服务的任何一部分，不会产生因第三方提出的侵犯其专利权、商标权、著作权或其它知识产权而引起的法律和经济纠纷，由此引起的纠纷，由投标人承担所有相关责任。</w:t>
      </w:r>
    </w:p>
    <w:p>
      <w:pPr>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9-6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pPr>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9-7、投标人不能以“赠送”、“赠予”等任何名义提供货物和服务以规避招标文件的约束。否则，将作为无效投标处理。投标人的行为将作为以不正当手段排挤其他投标人认定。</w:t>
      </w:r>
      <w:bookmarkStart w:id="24" w:name="_Toc458617458"/>
      <w:bookmarkStart w:id="25" w:name="_Toc458617735"/>
    </w:p>
    <w:bookmarkEnd w:id="24"/>
    <w:bookmarkEnd w:id="25"/>
    <w:p>
      <w:pPr>
        <w:pStyle w:val="4"/>
        <w:spacing w:line="560" w:lineRule="exact"/>
        <w:rPr>
          <w:rFonts w:ascii="仿宋" w:hAnsi="仿宋" w:eastAsia="仿宋" w:cs="仿宋"/>
          <w:kern w:val="0"/>
          <w:sz w:val="28"/>
          <w:szCs w:val="28"/>
          <w:highlight w:val="none"/>
        </w:rPr>
      </w:pPr>
      <w:bookmarkStart w:id="26" w:name="_Toc458617459"/>
      <w:bookmarkStart w:id="27" w:name="_Toc25183"/>
      <w:bookmarkStart w:id="28" w:name="_Toc458617736"/>
      <w:r>
        <w:rPr>
          <w:rFonts w:hint="eastAsia" w:ascii="仿宋" w:hAnsi="仿宋" w:eastAsia="仿宋" w:cs="仿宋"/>
          <w:kern w:val="0"/>
          <w:sz w:val="28"/>
          <w:szCs w:val="28"/>
          <w:highlight w:val="none"/>
        </w:rPr>
        <w:t>五、投标</w:t>
      </w:r>
      <w:bookmarkEnd w:id="26"/>
      <w:bookmarkEnd w:id="27"/>
      <w:bookmarkEnd w:id="28"/>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1、投标文件、必备资质文件的提交：</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1-1、投标人应在投标截止时间前将投标文件密封送达投标地点；</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1-2、逾期送达或者未按照招标文件要求密封的投标文件，将被拒收；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1-3、逾期送达的必备资质文件，将被拒收；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1-4、本次招标不接受邮寄的投标文件、必备资质文件。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2、投标文件的补充、修改与撤回：</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-1、投标人在提交投标文件以后到投标截止时间之前,可以书面形式补充、修改或撤回已提交的投标文件，并以书面形式通知采购代理机构。补充、修改的内容应当按招标文件要求密封、签署、盖章，并作为投标文件的组成部分；补充、修改的内容与相应文件不一致的，以补充、修改的内容为准。</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2-2、投标人提出修改要求的，须在投标截止时间前密封送到采购代理机构，并在封面上加注“修改”字样。</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-3、投标人提出撤标要求的，须在投标截止时间前以书面形式（经由法定代表人或被授权人签字）通知采购代理机构。如采取传真形式撤回投标，随后必须补充有法定代表人或被授权人签署的要求撤回投标的正式文件。采购代理机构摄像留存后，将要“撤回”的投标文件（包含纸质及电子版）退还投标人，投标人签字确认领取。</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2-4、投标截止时间之后，投标人不得补充、修改投标文件。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2-5、在投标截止时间至投标有效期满之前，投标人不得撤回其投标文件。提供投标担保的投标人将由专业担保机构先行偿付采购人损失。</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3、投标有效期：</w:t>
      </w:r>
    </w:p>
    <w:p>
      <w:pPr>
        <w:pStyle w:val="39"/>
        <w:spacing w:line="560" w:lineRule="exact"/>
        <w:ind w:firstLine="464"/>
        <w:rPr>
          <w:rFonts w:ascii="仿宋" w:hAnsi="仿宋" w:eastAsia="仿宋" w:cs="仿宋"/>
          <w:kern w:val="2"/>
          <w:sz w:val="24"/>
          <w:szCs w:val="24"/>
          <w:highlight w:val="none"/>
        </w:rPr>
      </w:pPr>
      <w:r>
        <w:rPr>
          <w:rFonts w:hint="eastAsia" w:ascii="仿宋" w:hAnsi="仿宋" w:eastAsia="仿宋" w:cs="仿宋"/>
          <w:spacing w:val="-4"/>
          <w:sz w:val="24"/>
          <w:szCs w:val="24"/>
          <w:highlight w:val="none"/>
        </w:rPr>
        <w:t>3-1、自提交投标文件的截止之日起90个日历日。</w:t>
      </w:r>
      <w:bookmarkStart w:id="29" w:name="OLE_LINK15"/>
      <w:r>
        <w:rPr>
          <w:rFonts w:hint="eastAsia" w:ascii="仿宋" w:hAnsi="仿宋" w:eastAsia="仿宋" w:cs="仿宋"/>
          <w:spacing w:val="-4"/>
          <w:sz w:val="24"/>
          <w:szCs w:val="24"/>
          <w:highlight w:val="none"/>
        </w:rPr>
        <w:t>投标人投标有效期短于招标文件规定</w:t>
      </w:r>
      <w:r>
        <w:rPr>
          <w:rFonts w:hint="eastAsia" w:ascii="仿宋" w:hAnsi="仿宋" w:eastAsia="仿宋" w:cs="仿宋"/>
          <w:kern w:val="2"/>
          <w:sz w:val="24"/>
          <w:szCs w:val="24"/>
          <w:highlight w:val="none"/>
        </w:rPr>
        <w:t>的投标有效期，按无效投标处理。中标单位的投标有效期延长至合同执行完毕。</w:t>
      </w:r>
    </w:p>
    <w:p>
      <w:pPr>
        <w:pStyle w:val="39"/>
        <w:spacing w:line="56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3-2、在原投标有效期结束前，采购代理机构可要求投标人延长投标有效期。拒绝延长投标有效期的投标人不得参与该项目后续采购活动。同意延长投标有效期的投标人不得修改投标文件的实质性内容。</w:t>
      </w:r>
      <w:bookmarkEnd w:id="29"/>
      <w:bookmarkStart w:id="30" w:name="_Toc458617737"/>
      <w:bookmarkStart w:id="31" w:name="_Toc458617460"/>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sz w:val="24"/>
          <w:szCs w:val="24"/>
          <w:highlight w:val="none"/>
        </w:rPr>
        <w:t>4、投标人</w:t>
      </w:r>
      <w:r>
        <w:rPr>
          <w:rFonts w:hint="eastAsia" w:ascii="仿宋" w:hAnsi="仿宋" w:eastAsia="仿宋" w:cs="仿宋"/>
          <w:kern w:val="2"/>
          <w:sz w:val="24"/>
          <w:szCs w:val="24"/>
          <w:highlight w:val="none"/>
        </w:rPr>
        <w:t>有下列情形之一的，属于恶意串通，对其依照《中华人民共和国政府采购法》第七十七条第一款的规定追究法律责任，投标无效：</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4-1、投标人直接或者间接从采购人或采购代理机构处获得其他投标人的相关情况并修改其投标文件；</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4-2、投标人按照采购人或采购代理机构的授意撤换、修改投标文件；</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4-3、投标人之间协商报价、技术方案等投标文件的实质性内容；</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4-4、属于同一集团、协会、商会等组织成员的投标人按照该组织要求协同参加政府采购活动；</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4-5、投标人之间事先约定由某一特定投标人中标；</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4-6、投标人之间商定部分投标人放弃参加政府采购活动或放弃中标；</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4-7、投标人相互之间，为谋求特定投标人中标或排斥其他投标人的其他串通行为。</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5、有下列情形之一的，视为投标人串通投标，其投标无效：</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5-1、不同投标人的投标文件由同一单位或者个人编制；</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5-2、不同投标人委托同一单位或者个人办理投标事宜；</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5-3、不同投标人的投标文件载明的项目管理成员或者联系人为同一人；</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5-4、不同投标人的投标文件异常一致或者投标报价呈现规律性差异；</w:t>
      </w:r>
    </w:p>
    <w:p>
      <w:pPr>
        <w:pStyle w:val="39"/>
        <w:spacing w:line="560" w:lineRule="exact"/>
        <w:ind w:firstLine="480"/>
        <w:rPr>
          <w:rFonts w:ascii="仿宋" w:hAnsi="仿宋" w:eastAsia="仿宋" w:cs="仿宋"/>
          <w:kern w:val="2"/>
          <w:sz w:val="24"/>
          <w:szCs w:val="24"/>
          <w:highlight w:val="none"/>
        </w:rPr>
      </w:pPr>
      <w:r>
        <w:rPr>
          <w:rFonts w:hint="eastAsia" w:ascii="仿宋" w:hAnsi="仿宋" w:eastAsia="仿宋" w:cs="仿宋"/>
          <w:kern w:val="2"/>
          <w:sz w:val="24"/>
          <w:szCs w:val="24"/>
          <w:highlight w:val="none"/>
        </w:rPr>
        <w:t>5-5、不同投标人的投标文件相互混装；</w:t>
      </w:r>
    </w:p>
    <w:p>
      <w:pPr>
        <w:pStyle w:val="4"/>
        <w:spacing w:line="560" w:lineRule="exact"/>
        <w:rPr>
          <w:rFonts w:ascii="仿宋" w:hAnsi="仿宋" w:eastAsia="仿宋" w:cs="仿宋"/>
          <w:kern w:val="0"/>
          <w:sz w:val="28"/>
          <w:szCs w:val="28"/>
          <w:highlight w:val="none"/>
        </w:rPr>
      </w:pPr>
      <w:bookmarkStart w:id="32" w:name="_Toc11905"/>
      <w:r>
        <w:rPr>
          <w:rFonts w:hint="eastAsia" w:ascii="仿宋" w:hAnsi="仿宋" w:eastAsia="仿宋" w:cs="仿宋"/>
          <w:kern w:val="0"/>
          <w:sz w:val="28"/>
          <w:szCs w:val="28"/>
          <w:highlight w:val="none"/>
        </w:rPr>
        <w:t>六、开标、资格审查、评标和定标</w:t>
      </w:r>
      <w:bookmarkEnd w:id="30"/>
      <w:bookmarkEnd w:id="31"/>
      <w:bookmarkEnd w:id="32"/>
    </w:p>
    <w:p>
      <w:pPr>
        <w:spacing w:line="560" w:lineRule="exact"/>
        <w:ind w:firstLine="482" w:firstLineChars="200"/>
        <w:rPr>
          <w:rFonts w:ascii="仿宋" w:hAnsi="仿宋" w:eastAsia="仿宋" w:cs="仿宋"/>
          <w:b/>
          <w:szCs w:val="24"/>
          <w:highlight w:val="none"/>
        </w:rPr>
      </w:pPr>
      <w:r>
        <w:rPr>
          <w:rFonts w:hint="eastAsia" w:ascii="仿宋" w:hAnsi="仿宋" w:eastAsia="仿宋" w:cs="仿宋"/>
          <w:b/>
          <w:bCs/>
          <w:szCs w:val="24"/>
          <w:highlight w:val="none"/>
        </w:rPr>
        <w:t>1、开标</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1-1、采购代理机构按招标文件规定的时间和地点组织开标。</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1-2、所有参会人员应签名报到，以证明其出席。投标人未参加开标的，视同认可开标结果。</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1-3、开标会议由采购代理机构主持。主持人宣读开标会议开始，宣读会场纪律，宣布参加会议的投标人名单。</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1-4、投标人的法定代表人或被授权人与监标人当众检查所有投标文件的密封情况，签字确认并宣读检查结果。</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-5、采购代理机构依照提交的“开标一览表”的摆放顺序当众拆封，宣读投标人名称、投标价格和投标文件的其它主要内容并做记录。投标人确认无误后，由投标人的法定代表人或被授权人及监标人签字确认唱标内容。如投标人对宣读的“开标一览表”上的内容有异议，应在获得主持人同意后当场提出，如属于宣读错误，经现场监督人员核实后，当场予以更正。</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1-6、主持人宣布开标会议结束，所有投标人离场。</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1-7、采购代理机构对开标过程进行全程录音录像，并存档备查。</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-8、采购代理机构对开标过程进行文字记录，由参加开标的各投标人代表和相关工作人员签字确认，并存档备查。投标人代表对开标过程和开标记录有疑义的，以及认为采购人、采购代理机构相关工作人员有需要回避的情形的，应当场提出询问或回避申请。</w:t>
      </w:r>
    </w:p>
    <w:p>
      <w:pPr>
        <w:spacing w:line="560" w:lineRule="exact"/>
        <w:ind w:firstLine="482" w:firstLineChars="200"/>
        <w:rPr>
          <w:rFonts w:ascii="仿宋" w:hAnsi="仿宋" w:eastAsia="仿宋" w:cs="仿宋"/>
          <w:b/>
          <w:szCs w:val="24"/>
          <w:highlight w:val="none"/>
        </w:rPr>
      </w:pPr>
      <w:r>
        <w:rPr>
          <w:rFonts w:hint="eastAsia" w:ascii="仿宋" w:hAnsi="仿宋" w:eastAsia="仿宋" w:cs="仿宋"/>
          <w:b/>
          <w:szCs w:val="24"/>
          <w:highlight w:val="none"/>
        </w:rPr>
        <w:t>2、资格审查</w:t>
      </w:r>
    </w:p>
    <w:p>
      <w:pPr>
        <w:wordWrap w:val="0"/>
        <w:topLinePunct/>
        <w:spacing w:line="560" w:lineRule="exact"/>
        <w:ind w:firstLine="482" w:firstLineChars="200"/>
        <w:rPr>
          <w:rFonts w:ascii="仿宋" w:hAnsi="仿宋" w:eastAsia="仿宋" w:cs="仿宋"/>
          <w:b/>
          <w:szCs w:val="24"/>
          <w:highlight w:val="none"/>
        </w:rPr>
      </w:pPr>
      <w:r>
        <w:rPr>
          <w:rFonts w:hint="eastAsia" w:ascii="仿宋" w:hAnsi="仿宋" w:eastAsia="仿宋" w:cs="仿宋"/>
          <w:b/>
          <w:szCs w:val="24"/>
          <w:highlight w:val="none"/>
        </w:rPr>
        <w:t>开标结束后，由采购人依法对投标人的资格进行审查，审查合格的投标人方可进入评标阶段，缺项或一项不符合要求即不合格，不合格的投标人其投标无效。资格证明文件须装订在每份投标文件中。资格审查以投标文件“正本”为准。</w:t>
      </w:r>
    </w:p>
    <w:p>
      <w:pPr>
        <w:wordWrap w:val="0"/>
        <w:topLinePunct/>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（1）基本资格条件：符合《中华人民共和国政府采购法》第二十二条的规定：</w:t>
      </w:r>
    </w:p>
    <w:p>
      <w:pPr>
        <w:wordWrap w:val="0"/>
        <w:topLinePunct/>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 xml:space="preserve">1、具有独立承担民事责任能力的法人、其他组织或自然人，并出具合法有效的营业执照或事业单位法人证书等国家规定的相关证明，自然人参与的提供其身份证明。 </w:t>
      </w:r>
    </w:p>
    <w:p>
      <w:pPr>
        <w:wordWrap w:val="0"/>
        <w:topLinePunct/>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 xml:space="preserve">2、财务状况报告：提供具有财务审计资质单位出具的2020年度或2021年度财务报告（成立时间至开标时间不足一年的可提供成立后任意时段的资产负债表）或开标前六个月内其基本账户银行出具的资信证明（附开户许可证或基本账户证明）或政府采购信用担保机构出具的投标担保函。 </w:t>
      </w:r>
    </w:p>
    <w:p>
      <w:pPr>
        <w:pStyle w:val="39"/>
        <w:wordWrap w:val="0"/>
        <w:topLinePunct/>
        <w:spacing w:line="560" w:lineRule="exact"/>
        <w:ind w:firstLine="480"/>
        <w:rPr>
          <w:rFonts w:ascii="仿宋" w:hAnsi="仿宋" w:eastAsia="仿宋" w:cs="仿宋"/>
          <w:sz w:val="24"/>
          <w:highlight w:val="none"/>
        </w:rPr>
      </w:pPr>
      <w:r>
        <w:rPr>
          <w:rFonts w:hint="eastAsia" w:ascii="仿宋" w:hAnsi="仿宋" w:eastAsia="仿宋" w:cs="仿宋"/>
          <w:sz w:val="24"/>
          <w:highlight w:val="none"/>
        </w:rPr>
        <w:t>3、税收缴纳证明：提供2022年1月1日至今任意一个月的缴费凭据；（依法免税的投标人应提供相关文件证明）。</w:t>
      </w:r>
    </w:p>
    <w:p>
      <w:pPr>
        <w:pStyle w:val="39"/>
        <w:wordWrap w:val="0"/>
        <w:topLinePunct/>
        <w:spacing w:line="560" w:lineRule="exact"/>
        <w:ind w:firstLine="480"/>
        <w:rPr>
          <w:rFonts w:ascii="仿宋" w:hAnsi="仿宋" w:eastAsia="仿宋" w:cs="仿宋"/>
          <w:bCs/>
          <w:szCs w:val="24"/>
          <w:highlight w:val="none"/>
        </w:rPr>
      </w:pPr>
      <w:r>
        <w:rPr>
          <w:rFonts w:hint="eastAsia" w:ascii="仿宋" w:hAnsi="仿宋" w:eastAsia="仿宋" w:cs="仿宋"/>
          <w:sz w:val="24"/>
          <w:highlight w:val="none"/>
        </w:rPr>
        <w:t xml:space="preserve">4、社会保障资金缴纳证明：提供2022年1月1日至今任意一个月的社保缴费凭据或社保机构开具的社会保险参保缴费情况证明；（依法不需要缴纳社会保障资金的投标人应提供相关证明）。 </w:t>
      </w:r>
    </w:p>
    <w:p>
      <w:pPr>
        <w:wordWrap w:val="0"/>
        <w:topLinePunct/>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5、提供具有履行本合同所必需的设备和专业技术能力的说明及承诺；（格式自拟，加盖投标人公章）</w:t>
      </w:r>
    </w:p>
    <w:p>
      <w:pPr>
        <w:wordWrap w:val="0"/>
        <w:topLinePunct/>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6、提供参加政府采购活动前三年内在经营活动中没有重大违法记录的书面声明。（格式自拟，加盖投标人公章）</w:t>
      </w:r>
    </w:p>
    <w:p>
      <w:pPr>
        <w:wordWrap w:val="0"/>
        <w:topLinePunct/>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（2）、特定资格条件：</w:t>
      </w:r>
    </w:p>
    <w:p>
      <w:pPr>
        <w:wordWrap w:val="0"/>
        <w:topLinePunct/>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pPr>
        <w:wordWrap w:val="0"/>
        <w:topLinePunct/>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 xml:space="preserve">2、被授权人参与投标时需提供法定代表人或负责人授权委托书（附法定代表人或负责人及被授权人身份证复印件）；（被授权人须提供身份证原件，身份证原件可由本人持有）       </w:t>
      </w:r>
    </w:p>
    <w:p>
      <w:pPr>
        <w:wordWrap w:val="0"/>
        <w:topLinePunct/>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wordWrap w:val="0"/>
        <w:topLinePunct/>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4、单位负责人为同一人或者存在直接控股、管理关系的不同投标人，不得参加同一合同项下的政府采购活动；（提供书面承诺函，格式自拟加盖投标人公章）</w:t>
      </w:r>
    </w:p>
    <w:p>
      <w:pPr>
        <w:spacing w:line="560" w:lineRule="exact"/>
        <w:ind w:firstLine="482" w:firstLineChars="200"/>
        <w:rPr>
          <w:rFonts w:ascii="仿宋" w:hAnsi="仿宋" w:eastAsia="仿宋" w:cs="仿宋"/>
          <w:b/>
          <w:szCs w:val="24"/>
          <w:highlight w:val="none"/>
        </w:rPr>
      </w:pPr>
      <w:r>
        <w:rPr>
          <w:rFonts w:hint="eastAsia" w:ascii="仿宋" w:hAnsi="仿宋" w:eastAsia="仿宋" w:cs="仿宋"/>
          <w:b/>
          <w:szCs w:val="24"/>
          <w:highlight w:val="none"/>
        </w:rPr>
        <w:t>3、评标</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3-1、</w:t>
      </w:r>
      <w:r>
        <w:rPr>
          <w:rFonts w:hint="eastAsia" w:ascii="仿宋" w:hAnsi="仿宋" w:eastAsia="仿宋" w:cs="仿宋"/>
          <w:bCs/>
          <w:szCs w:val="24"/>
          <w:highlight w:val="none"/>
        </w:rPr>
        <w:t>评标委员会</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（1）采购代理机构根据《中华人民共和国政府采购法》及其实施条例、《政府采购货物和服务招标投标管理办法》（财政部令第87号）等规定，依法组建评标委员会。</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（2）采购人派代表进入评标委员会时，须向采购代理机构出具授权函。</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（3）评标委员会应推荐一名评审专家担任评审组长，并由评审组长牵头组织该项目评审工作，采购人代表不得担任评审组长。</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（4）评标委员会成员不得参加开标活动。</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（5）评标委员会成员应当遵守并履行下列职责义务：</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a、遵纪守法，客观、公正、认真负责地履行职责，根据招标文件规定的评标程序、评标方法和评标标准审查投标文件；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b、符合性审查、评价投标文件是否符合招标文件的商务、技术等实质性要求；</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c、要求投标人对投标文件有关事项作出澄清或者说明；</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d、对投标文件进行比较和评价；</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e、确定中标候选人名单，以及根据采购人委托直接确定中标人；</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 xml:space="preserve">f、向采购人、采购代理机构或者有关部门报告评标中发现的违法行为； </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g、对评标过程及各投标人的商业机密予以保密；</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h、配合采购人、采购代理机构答复各投标人提出的质疑；</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i、配合各部门的投诉处理和监督检查工作。</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3-2、在政府采购活动中，采购人员及相关人员（包括评标委员会）与投标人有下列利害关系之一的，应当回避：</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（1）参加采购活动前3年内与投标人存在劳动关系；</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（2）参加采购活动前3年内担任投标人的董事、监事；</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（3）参加采购活动前3年内是投标人的控股股东或者实际控制人；</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（4）与投标人的法定代表人或者负责人有夫妻、直系血亲、三代以内旁系血亲或者近姻亲关系；</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（5）与投标人有其他可能影响政府采购活动公平、公正进行的关系。</w:t>
      </w:r>
    </w:p>
    <w:p>
      <w:pPr>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3-3、采购人、采购代理机构应当采取必要的措施，保证评标在严格保密的情况下进行。除采购人代表、评标现场组织人员外，采购人的其他工作人员以及与评标工作无关的人员不得进入评标现场。</w:t>
      </w:r>
    </w:p>
    <w:p>
      <w:pPr>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3-4、有关人员对评标情况以及在评标过程中获悉的国家秘密、商业秘密负有保密责任。</w:t>
      </w:r>
    </w:p>
    <w:p>
      <w:pPr>
        <w:spacing w:line="560" w:lineRule="exact"/>
        <w:ind w:firstLine="480" w:firstLineChars="200"/>
        <w:rPr>
          <w:rFonts w:ascii="仿宋" w:hAnsi="仿宋" w:eastAsia="仿宋" w:cs="仿宋"/>
          <w:bCs/>
          <w:szCs w:val="24"/>
          <w:highlight w:val="none"/>
        </w:rPr>
      </w:pPr>
      <w:r>
        <w:rPr>
          <w:rFonts w:hint="eastAsia" w:ascii="仿宋" w:hAnsi="仿宋" w:eastAsia="仿宋" w:cs="仿宋"/>
          <w:bCs/>
          <w:szCs w:val="24"/>
          <w:highlight w:val="none"/>
        </w:rPr>
        <w:t>3-5、评标原则：</w:t>
      </w:r>
      <w:r>
        <w:rPr>
          <w:rFonts w:hint="eastAsia" w:ascii="仿宋" w:hAnsi="仿宋" w:eastAsia="仿宋" w:cs="仿宋"/>
          <w:szCs w:val="24"/>
          <w:highlight w:val="none"/>
        </w:rPr>
        <w:t>坚持公平、公正、科学、择优原则，禁止不正当竞争。</w:t>
      </w:r>
    </w:p>
    <w:p>
      <w:pPr>
        <w:spacing w:line="560" w:lineRule="exact"/>
        <w:ind w:firstLine="480" w:firstLineChars="200"/>
        <w:rPr>
          <w:rFonts w:ascii="仿宋" w:hAnsi="仿宋" w:eastAsia="仿宋" w:cs="仿宋"/>
          <w:szCs w:val="24"/>
          <w:highlight w:val="none"/>
        </w:rPr>
      </w:pPr>
      <w:r>
        <w:rPr>
          <w:rFonts w:hint="eastAsia" w:ascii="仿宋" w:hAnsi="仿宋" w:eastAsia="仿宋" w:cs="仿宋"/>
          <w:bCs/>
          <w:szCs w:val="24"/>
          <w:highlight w:val="none"/>
        </w:rPr>
        <w:t>3-6、评标办法</w:t>
      </w:r>
      <w:r>
        <w:rPr>
          <w:rFonts w:hint="eastAsia" w:ascii="仿宋" w:hAnsi="仿宋" w:eastAsia="仿宋" w:cs="仿宋"/>
          <w:szCs w:val="24"/>
          <w:highlight w:val="none"/>
        </w:rPr>
        <w:t>：本次招标采用综合评分法（详见本节评分标准）。</w:t>
      </w:r>
    </w:p>
    <w:p>
      <w:pPr>
        <w:spacing w:line="560" w:lineRule="exact"/>
        <w:ind w:firstLine="482" w:firstLineChars="200"/>
        <w:rPr>
          <w:rFonts w:ascii="仿宋" w:hAnsi="仿宋" w:eastAsia="仿宋" w:cs="仿宋"/>
          <w:b/>
          <w:szCs w:val="24"/>
          <w:highlight w:val="none"/>
        </w:rPr>
      </w:pPr>
      <w:r>
        <w:rPr>
          <w:rFonts w:hint="eastAsia" w:ascii="仿宋" w:hAnsi="仿宋" w:eastAsia="仿宋" w:cs="仿宋"/>
          <w:b/>
          <w:szCs w:val="24"/>
          <w:highlight w:val="none"/>
        </w:rPr>
        <w:t>3-7、评标工作程序：</w:t>
      </w:r>
      <w:r>
        <w:rPr>
          <w:rFonts w:hint="eastAsia" w:ascii="仿宋" w:hAnsi="仿宋" w:eastAsia="仿宋" w:cs="仿宋"/>
          <w:szCs w:val="24"/>
          <w:highlight w:val="none"/>
        </w:rPr>
        <w:t>符合性审查、澄清、评价、推荐中标候选人的工作程序进行评标。</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3-7-1、投标文件符合性审查</w:t>
      </w:r>
    </w:p>
    <w:p>
      <w:pPr>
        <w:spacing w:line="560" w:lineRule="exact"/>
        <w:ind w:firstLine="720" w:firstLineChars="300"/>
        <w:rPr>
          <w:rFonts w:ascii="仿宋" w:hAnsi="仿宋" w:eastAsia="仿宋" w:cs="仿宋"/>
          <w:szCs w:val="24"/>
          <w:highlight w:val="none"/>
        </w:rPr>
      </w:pPr>
      <w:r>
        <w:rPr>
          <w:rFonts w:hint="eastAsia" w:ascii="仿宋" w:hAnsi="仿宋" w:eastAsia="仿宋" w:cs="仿宋"/>
          <w:szCs w:val="24"/>
          <w:highlight w:val="none"/>
        </w:rPr>
        <w:t>依据招标文件的规定，对资格合格者投标文件的完整性、有效性和对招标文件的响应程度进行审查，以确定是否对招标文件的实质性内容做出响应，包含但不限于以下内容，未通过审查的按无效投标处理：</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（1）投标人名称与购买招标文件的单位名称不一致；</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（2）投标文件未按照招标文件的要求盖章签字；</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（3）投标文件不符合招标文件要求的数量；</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（4）针对同一项目提交两份或多份内容不同的投标文件，未书面声明哪一份是有效的或出现选择性报价的；</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 xml:space="preserve">（5）投标报价超过采购预算； </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（6）投标有效期不符合招标文件的要求；</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（7）未对招标文件商务要求作出明确且实质性响应。</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szCs w:val="24"/>
          <w:highlight w:val="none"/>
        </w:rPr>
        <w:t xml:space="preserve"> 3-7-2、投标文件的澄清：</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highlight w:val="none"/>
        </w:rPr>
        <w:t>（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szCs w:val="24"/>
          <w:highlight w:val="none"/>
        </w:rPr>
        <w:t>（2）书写错误的评审标准：</w:t>
      </w:r>
    </w:p>
    <w:p>
      <w:pPr>
        <w:overflowPunct w:val="0"/>
        <w:adjustRightInd w:val="0"/>
        <w:snapToGrid w:val="0"/>
        <w:spacing w:line="560" w:lineRule="exact"/>
        <w:ind w:firstLine="720" w:firstLineChars="300"/>
        <w:rPr>
          <w:rFonts w:ascii="仿宋" w:hAnsi="仿宋" w:eastAsia="仿宋" w:cs="仿宋"/>
          <w:highlight w:val="none"/>
        </w:rPr>
      </w:pPr>
      <w:r>
        <w:rPr>
          <w:rFonts w:hint="eastAsia" w:ascii="仿宋" w:hAnsi="仿宋" w:eastAsia="仿宋" w:cs="仿宋"/>
          <w:highlight w:val="none"/>
        </w:rPr>
        <w:t>评标委员会在评标过程中，发现投标文件出现下列情况之一者，按以下原则修正：</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highlight w:val="none"/>
        </w:rPr>
        <w:t>a、</w:t>
      </w:r>
      <w:r>
        <w:rPr>
          <w:rFonts w:hint="eastAsia" w:ascii="仿宋" w:hAnsi="仿宋" w:eastAsia="仿宋" w:cs="仿宋"/>
          <w:szCs w:val="24"/>
          <w:highlight w:val="none"/>
        </w:rPr>
        <w:t>投标文件有关内容与“开标一览表”不一致的，以“开标一览表”为准</w:t>
      </w:r>
      <w:r>
        <w:rPr>
          <w:rFonts w:hint="eastAsia" w:ascii="仿宋" w:hAnsi="仿宋" w:eastAsia="仿宋" w:cs="仿宋"/>
          <w:highlight w:val="none"/>
        </w:rPr>
        <w:t>；</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highlight w:val="none"/>
        </w:rPr>
        <w:t>b、</w:t>
      </w:r>
      <w:r>
        <w:rPr>
          <w:rFonts w:hint="eastAsia" w:ascii="仿宋" w:hAnsi="仿宋" w:eastAsia="仿宋" w:cs="仿宋"/>
          <w:szCs w:val="24"/>
          <w:highlight w:val="none"/>
        </w:rPr>
        <w:t>大写金额与小写金额不一致的，以大写金额为准</w:t>
      </w:r>
      <w:r>
        <w:rPr>
          <w:rFonts w:hint="eastAsia" w:ascii="仿宋" w:hAnsi="仿宋" w:eastAsia="仿宋" w:cs="仿宋"/>
          <w:highlight w:val="none"/>
        </w:rPr>
        <w:t>；</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highlight w:val="none"/>
        </w:rPr>
        <w:t>c、单价金额小数点或者百分比有明显错位的，以“</w:t>
      </w:r>
      <w:r>
        <w:rPr>
          <w:rFonts w:hint="eastAsia" w:ascii="仿宋" w:hAnsi="仿宋" w:eastAsia="仿宋" w:cs="仿宋"/>
          <w:szCs w:val="24"/>
          <w:highlight w:val="none"/>
        </w:rPr>
        <w:t>开标一览表</w:t>
      </w:r>
      <w:r>
        <w:rPr>
          <w:rFonts w:hint="eastAsia" w:ascii="仿宋" w:hAnsi="仿宋" w:eastAsia="仿宋" w:cs="仿宋"/>
          <w:highlight w:val="none"/>
        </w:rPr>
        <w:t>”的总价为准，并修改单价；</w:t>
      </w:r>
    </w:p>
    <w:p>
      <w:pPr>
        <w:overflowPunct w:val="0"/>
        <w:adjustRightInd w:val="0"/>
        <w:snapToGrid w:val="0"/>
        <w:spacing w:line="560" w:lineRule="exact"/>
        <w:ind w:firstLine="480" w:firstLineChars="200"/>
        <w:rPr>
          <w:rFonts w:ascii="仿宋" w:hAnsi="仿宋" w:eastAsia="仿宋" w:cs="仿宋"/>
          <w:szCs w:val="24"/>
          <w:highlight w:val="none"/>
        </w:rPr>
      </w:pPr>
      <w:r>
        <w:rPr>
          <w:rFonts w:hint="eastAsia" w:ascii="仿宋" w:hAnsi="仿宋" w:eastAsia="仿宋" w:cs="仿宋"/>
          <w:highlight w:val="none"/>
        </w:rPr>
        <w:t>d、总价金额与按</w:t>
      </w:r>
      <w:r>
        <w:rPr>
          <w:rFonts w:hint="eastAsia" w:ascii="仿宋" w:hAnsi="仿宋" w:eastAsia="仿宋" w:cs="仿宋"/>
          <w:szCs w:val="24"/>
          <w:highlight w:val="none"/>
        </w:rPr>
        <w:t>单价汇总金额不一致的，以单价乘以数量的计算结果为准</w:t>
      </w:r>
      <w:r>
        <w:rPr>
          <w:rFonts w:hint="eastAsia" w:ascii="仿宋" w:hAnsi="仿宋" w:eastAsia="仿宋" w:cs="仿宋"/>
          <w:highlight w:val="none"/>
        </w:rPr>
        <w:t>；</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highlight w:val="none"/>
        </w:rPr>
        <w:t>e、</w:t>
      </w:r>
      <w:r>
        <w:rPr>
          <w:rFonts w:hint="eastAsia" w:ascii="仿宋" w:hAnsi="仿宋" w:eastAsia="仿宋" w:cs="仿宋"/>
          <w:szCs w:val="24"/>
          <w:highlight w:val="none"/>
        </w:rPr>
        <w:t>投标文件图表与文字不符时，以文字为准</w:t>
      </w:r>
      <w:r>
        <w:rPr>
          <w:rFonts w:hint="eastAsia" w:ascii="仿宋" w:hAnsi="仿宋" w:eastAsia="仿宋" w:cs="仿宋"/>
          <w:highlight w:val="none"/>
        </w:rPr>
        <w:t>；</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szCs w:val="24"/>
          <w:highlight w:val="none"/>
        </w:rPr>
        <w:t>f、投标文件正本与副本不符时，以正本为准；</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highlight w:val="none"/>
        </w:rPr>
        <w:t>g、对不同文字文本投标文件的解释发生异议的，以中文文本为准；</w:t>
      </w:r>
    </w:p>
    <w:p>
      <w:pPr>
        <w:overflowPunct w:val="0"/>
        <w:adjustRightInd w:val="0"/>
        <w:snapToGrid w:val="0"/>
        <w:spacing w:line="560" w:lineRule="exact"/>
        <w:ind w:firstLine="480" w:firstLineChars="200"/>
        <w:rPr>
          <w:rFonts w:ascii="仿宋" w:hAnsi="仿宋" w:eastAsia="仿宋" w:cs="仿宋"/>
          <w:szCs w:val="24"/>
          <w:highlight w:val="none"/>
        </w:rPr>
      </w:pPr>
      <w:r>
        <w:rPr>
          <w:rFonts w:hint="eastAsia" w:ascii="仿宋" w:hAnsi="仿宋" w:eastAsia="仿宋" w:cs="仿宋"/>
          <w:highlight w:val="none"/>
        </w:rPr>
        <w:t>h、</w:t>
      </w:r>
      <w:r>
        <w:rPr>
          <w:rFonts w:hint="eastAsia" w:ascii="仿宋" w:hAnsi="仿宋" w:eastAsia="仿宋" w:cs="仿宋"/>
          <w:szCs w:val="24"/>
          <w:highlight w:val="none"/>
        </w:rPr>
        <w:t>多处内容交叉不符时，以评标委员会评审结果为准。</w:t>
      </w:r>
    </w:p>
    <w:p>
      <w:pPr>
        <w:spacing w:line="560" w:lineRule="exact"/>
        <w:ind w:firstLine="482" w:firstLineChars="200"/>
        <w:rPr>
          <w:rFonts w:ascii="仿宋" w:hAnsi="仿宋" w:eastAsia="仿宋" w:cs="仿宋"/>
          <w:b/>
          <w:szCs w:val="24"/>
          <w:highlight w:val="none"/>
        </w:rPr>
      </w:pPr>
      <w:r>
        <w:rPr>
          <w:rFonts w:hint="eastAsia" w:ascii="仿宋" w:hAnsi="仿宋" w:eastAsia="仿宋" w:cs="仿宋"/>
          <w:b/>
          <w:szCs w:val="24"/>
          <w:highlight w:val="none"/>
        </w:rPr>
        <w:t>注：按上述方法修正的内容（其中，同时出现上述a至d两种以上不一致的，按上述规定的顺序修正），经投标人确认后产生约束力，投标人不确认的，其投标无效。</w:t>
      </w:r>
    </w:p>
    <w:p>
      <w:pPr>
        <w:spacing w:line="560" w:lineRule="exact"/>
        <w:ind w:firstLine="465"/>
        <w:rPr>
          <w:rFonts w:ascii="仿宋" w:hAnsi="仿宋" w:eastAsia="仿宋" w:cs="仿宋"/>
          <w:szCs w:val="24"/>
          <w:highlight w:val="none"/>
        </w:rPr>
      </w:pPr>
      <w:r>
        <w:rPr>
          <w:rFonts w:hint="eastAsia" w:ascii="仿宋" w:hAnsi="仿宋" w:eastAsia="仿宋" w:cs="仿宋"/>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60" w:lineRule="exact"/>
        <w:ind w:firstLine="465"/>
        <w:rPr>
          <w:rFonts w:ascii="仿宋" w:hAnsi="仿宋" w:eastAsia="仿宋" w:cs="仿宋"/>
          <w:szCs w:val="24"/>
          <w:highlight w:val="none"/>
        </w:rPr>
      </w:pPr>
      <w:r>
        <w:rPr>
          <w:rFonts w:hint="eastAsia" w:ascii="仿宋" w:hAnsi="仿宋" w:eastAsia="仿宋" w:cs="仿宋"/>
          <w:szCs w:val="24"/>
          <w:highlight w:val="none"/>
        </w:rPr>
        <w:t>3-7-3、评价：</w:t>
      </w:r>
    </w:p>
    <w:p>
      <w:pPr>
        <w:spacing w:line="560" w:lineRule="exact"/>
        <w:ind w:firstLine="465"/>
        <w:rPr>
          <w:rFonts w:ascii="仿宋" w:hAnsi="仿宋" w:eastAsia="仿宋" w:cs="仿宋"/>
          <w:szCs w:val="24"/>
          <w:highlight w:val="none"/>
        </w:rPr>
      </w:pPr>
      <w:r>
        <w:rPr>
          <w:rFonts w:hint="eastAsia" w:ascii="仿宋" w:hAnsi="仿宋" w:eastAsia="仿宋" w:cs="仿宋"/>
          <w:szCs w:val="24"/>
          <w:highlight w:val="none"/>
        </w:rPr>
        <w:t>（1）评标委员会评审投标文件符合性只根据投标文件本身的内容，而不寻求其他外部证据。</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szCs w:val="24"/>
          <w:highlight w:val="none"/>
        </w:rPr>
        <w:t>（2）</w:t>
      </w:r>
      <w:r>
        <w:rPr>
          <w:rFonts w:hint="eastAsia" w:ascii="仿宋" w:hAnsi="仿宋" w:eastAsia="仿宋" w:cs="仿宋"/>
          <w:highlight w:val="none"/>
        </w:rPr>
        <w:t>评标采取逐项分步评审方式，每一步评审不符合者，不进入下一步评审，全部评审合格的投标人进行最后的综合评审和打分，按最后得分由高向低排序，推荐中标候选人。</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highlight w:val="none"/>
        </w:rPr>
        <w:t>（3）其他需说明的情况：</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highlight w:val="none"/>
        </w:rPr>
        <w:t>a、对于投标文件中不构成实质性偏差的小的不正规、不一致或不规则，采购人可以接受，但这种接受不能损害或影响任何投标人的相对排序；</w:t>
      </w:r>
    </w:p>
    <w:p>
      <w:pPr>
        <w:spacing w:line="560" w:lineRule="exact"/>
        <w:ind w:firstLine="480" w:firstLineChars="200"/>
        <w:rPr>
          <w:rFonts w:ascii="仿宋" w:hAnsi="仿宋" w:eastAsia="仿宋" w:cs="仿宋"/>
          <w:szCs w:val="24"/>
          <w:highlight w:val="none"/>
        </w:rPr>
      </w:pPr>
      <w:r>
        <w:rPr>
          <w:rFonts w:hint="eastAsia" w:ascii="仿宋" w:hAnsi="仿宋" w:eastAsia="仿宋" w:cs="仿宋"/>
          <w:highlight w:val="none"/>
        </w:rPr>
        <w:t>b、最低报价不是中标的唯一条件；</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highlight w:val="none"/>
        </w:rPr>
        <w:t>c、如果投标实质上没有响应招标文件的要求，其投标将被拒绝，投标人不得通过修正或撤消不合要求的偏离或保留从而使其投标成为实质上响应的投标。</w:t>
      </w:r>
    </w:p>
    <w:p>
      <w:pPr>
        <w:overflowPunct w:val="0"/>
        <w:adjustRightInd w:val="0"/>
        <w:snapToGrid w:val="0"/>
        <w:spacing w:line="560" w:lineRule="exact"/>
        <w:ind w:firstLine="480" w:firstLineChars="200"/>
        <w:rPr>
          <w:rFonts w:ascii="仿宋" w:hAnsi="仿宋" w:eastAsia="仿宋" w:cs="仿宋"/>
          <w:highlight w:val="none"/>
        </w:rPr>
      </w:pPr>
      <w:r>
        <w:rPr>
          <w:rFonts w:hint="eastAsia" w:ascii="仿宋" w:hAnsi="仿宋" w:eastAsia="仿宋" w:cs="仿宋"/>
          <w:highlight w:val="none"/>
        </w:rPr>
        <w:t>d、</w:t>
      </w:r>
      <w:r>
        <w:rPr>
          <w:rFonts w:hint="eastAsia" w:ascii="仿宋" w:hAnsi="仿宋" w:eastAsia="仿宋" w:cs="仿宋"/>
          <w:szCs w:val="24"/>
          <w:highlight w:val="none"/>
        </w:rPr>
        <w:t>无论投标的结果如何，投标期间一切费用自理。</w:t>
      </w:r>
    </w:p>
    <w:p>
      <w:pPr>
        <w:spacing w:line="560" w:lineRule="exact"/>
        <w:ind w:firstLine="600" w:firstLineChars="249"/>
        <w:rPr>
          <w:rFonts w:ascii="仿宋" w:hAnsi="仿宋" w:eastAsia="仿宋" w:cs="仿宋"/>
          <w:b/>
          <w:szCs w:val="24"/>
          <w:highlight w:val="none"/>
        </w:rPr>
      </w:pPr>
      <w:r>
        <w:rPr>
          <w:rFonts w:hint="eastAsia" w:ascii="仿宋" w:hAnsi="仿宋" w:eastAsia="仿宋" w:cs="仿宋"/>
          <w:b/>
          <w:szCs w:val="24"/>
          <w:highlight w:val="none"/>
        </w:rPr>
        <w:t>3-8、评分标准：</w:t>
      </w:r>
    </w:p>
    <w:tbl>
      <w:tblPr>
        <w:tblStyle w:val="23"/>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66"/>
        <w:gridCol w:w="8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560" w:lineRule="exact"/>
              <w:ind w:right="-108" w:rightChars="-45"/>
              <w:jc w:val="center"/>
              <w:rPr>
                <w:rFonts w:ascii="仿宋" w:hAnsi="仿宋" w:eastAsia="仿宋" w:cs="仿宋"/>
                <w:szCs w:val="24"/>
                <w:highlight w:val="none"/>
              </w:rPr>
            </w:pPr>
            <w:r>
              <w:rPr>
                <w:rFonts w:hint="eastAsia" w:ascii="仿宋" w:hAnsi="仿宋" w:eastAsia="仿宋" w:cs="仿宋"/>
                <w:szCs w:val="24"/>
                <w:highlight w:val="none"/>
              </w:rPr>
              <w:t>报价</w:t>
            </w:r>
          </w:p>
        </w:tc>
        <w:tc>
          <w:tcPr>
            <w:tcW w:w="766" w:type="dxa"/>
            <w:vAlign w:val="center"/>
          </w:tcPr>
          <w:p>
            <w:pPr>
              <w:spacing w:line="560" w:lineRule="exact"/>
              <w:ind w:left="-134" w:leftChars="-56" w:right="-108" w:rightChars="-45"/>
              <w:jc w:val="center"/>
              <w:rPr>
                <w:rFonts w:ascii="仿宋" w:hAnsi="仿宋" w:eastAsia="仿宋" w:cs="仿宋"/>
                <w:szCs w:val="24"/>
                <w:highlight w:val="none"/>
              </w:rPr>
            </w:pPr>
            <w:r>
              <w:rPr>
                <w:rFonts w:hint="eastAsia" w:ascii="仿宋" w:hAnsi="仿宋" w:eastAsia="仿宋" w:cs="仿宋"/>
                <w:szCs w:val="24"/>
                <w:highlight w:val="none"/>
              </w:rPr>
              <w:t>30分</w:t>
            </w:r>
          </w:p>
        </w:tc>
        <w:tc>
          <w:tcPr>
            <w:tcW w:w="8084" w:type="dxa"/>
            <w:vAlign w:val="center"/>
          </w:tcPr>
          <w:p>
            <w:pPr>
              <w:pStyle w:val="41"/>
              <w:spacing w:line="560" w:lineRule="exact"/>
              <w:ind w:firstLine="480" w:firstLineChars="200"/>
              <w:rPr>
                <w:rFonts w:ascii="仿宋" w:hAnsi="仿宋" w:eastAsia="仿宋" w:cs="仿宋"/>
                <w:kern w:val="2"/>
                <w:sz w:val="24"/>
                <w:szCs w:val="24"/>
                <w:highlight w:val="none"/>
              </w:rPr>
            </w:pPr>
            <w:r>
              <w:rPr>
                <w:rFonts w:hint="eastAsia" w:ascii="仿宋" w:hAnsi="仿宋" w:eastAsia="仿宋" w:cs="仿宋"/>
                <w:sz w:val="24"/>
                <w:szCs w:val="24"/>
                <w:highlight w:val="none"/>
              </w:rPr>
              <w:t>按照财政部《政府采购货物和服务招标投标管理办法》（财政部令第87号）的有关规定：</w:t>
            </w:r>
            <w:r>
              <w:rPr>
                <w:rFonts w:hint="eastAsia" w:ascii="仿宋" w:hAnsi="仿宋" w:eastAsia="仿宋" w:cs="仿宋"/>
                <w:kern w:val="2"/>
                <w:sz w:val="24"/>
                <w:szCs w:val="24"/>
                <w:highlight w:val="none"/>
              </w:rPr>
              <w:t>价格分采用低价优先法计算，即满足招标文件要求且投标价格最低的投标报价为评标基准价，其价格分为满分。其他投标人的价格分统一按照下列公式计算：</w:t>
            </w:r>
          </w:p>
          <w:p>
            <w:pPr>
              <w:widowControl/>
              <w:spacing w:line="560" w:lineRule="exact"/>
              <w:ind w:firstLine="480" w:firstLineChars="200"/>
              <w:jc w:val="left"/>
              <w:rPr>
                <w:rFonts w:ascii="仿宋" w:hAnsi="仿宋" w:eastAsia="仿宋" w:cs="仿宋"/>
                <w:szCs w:val="24"/>
                <w:highlight w:val="none"/>
              </w:rPr>
            </w:pPr>
            <w:r>
              <w:rPr>
                <w:rFonts w:hint="eastAsia" w:ascii="仿宋" w:hAnsi="仿宋" w:eastAsia="仿宋" w:cs="仿宋"/>
                <w:szCs w:val="24"/>
                <w:highlight w:val="none"/>
              </w:rPr>
              <w:t>投标报价得分=（评标基准价/投标报价）×价格权值×100</w:t>
            </w:r>
          </w:p>
          <w:p>
            <w:pPr>
              <w:widowControl/>
              <w:spacing w:line="560" w:lineRule="exact"/>
              <w:ind w:firstLine="240" w:firstLineChars="100"/>
              <w:jc w:val="left"/>
              <w:rPr>
                <w:rFonts w:ascii="仿宋" w:hAnsi="仿宋" w:eastAsia="仿宋" w:cs="仿宋"/>
                <w:szCs w:val="24"/>
                <w:highlight w:val="none"/>
              </w:rPr>
            </w:pPr>
            <w:r>
              <w:rPr>
                <w:rFonts w:hint="eastAsia" w:ascii="仿宋" w:hAnsi="仿宋" w:eastAsia="仿宋" w:cs="仿宋"/>
                <w:szCs w:val="24"/>
                <w:highlight w:val="none"/>
              </w:rPr>
              <w:t>（因落实政府采购政策进行价格调整的，以调整后的价格计算评标基准价和投标报价，详见3-9-1至3-9-3）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560" w:lineRule="exact"/>
              <w:ind w:right="-108" w:rightChars="-45"/>
              <w:jc w:val="center"/>
              <w:rPr>
                <w:rFonts w:ascii="仿宋" w:hAnsi="仿宋" w:eastAsia="仿宋" w:cs="仿宋"/>
                <w:szCs w:val="24"/>
                <w:highlight w:val="none"/>
              </w:rPr>
            </w:pPr>
            <w:r>
              <w:rPr>
                <w:rFonts w:hint="eastAsia" w:ascii="仿宋" w:hAnsi="仿宋" w:eastAsia="仿宋" w:cs="仿宋"/>
                <w:szCs w:val="24"/>
                <w:highlight w:val="none"/>
              </w:rPr>
              <w:t>节能、环保产品</w:t>
            </w:r>
          </w:p>
        </w:tc>
        <w:tc>
          <w:tcPr>
            <w:tcW w:w="766" w:type="dxa"/>
            <w:vAlign w:val="center"/>
          </w:tcPr>
          <w:p>
            <w:pPr>
              <w:spacing w:line="560" w:lineRule="exact"/>
              <w:ind w:left="-134" w:leftChars="-56" w:right="-108" w:rightChars="-45"/>
              <w:jc w:val="center"/>
              <w:rPr>
                <w:rFonts w:ascii="仿宋" w:hAnsi="仿宋" w:eastAsia="仿宋" w:cs="仿宋"/>
                <w:szCs w:val="24"/>
                <w:highlight w:val="none"/>
              </w:rPr>
            </w:pPr>
            <w:r>
              <w:rPr>
                <w:rFonts w:hint="eastAsia" w:ascii="仿宋" w:hAnsi="仿宋" w:eastAsia="仿宋" w:cs="仿宋"/>
                <w:szCs w:val="24"/>
                <w:highlight w:val="none"/>
              </w:rPr>
              <w:t>2分</w:t>
            </w:r>
          </w:p>
        </w:tc>
        <w:tc>
          <w:tcPr>
            <w:tcW w:w="8084" w:type="dxa"/>
            <w:vAlign w:val="center"/>
          </w:tcPr>
          <w:p>
            <w:pPr>
              <w:widowControl/>
              <w:spacing w:line="560" w:lineRule="exact"/>
              <w:jc w:val="left"/>
              <w:rPr>
                <w:rFonts w:ascii="仿宋" w:hAnsi="仿宋" w:eastAsia="仿宋" w:cs="仿宋"/>
                <w:szCs w:val="24"/>
                <w:highlight w:val="none"/>
              </w:rPr>
            </w:pPr>
            <w:r>
              <w:rPr>
                <w:rFonts w:hint="eastAsia" w:ascii="仿宋" w:hAnsi="仿宋" w:eastAsia="仿宋" w:cs="仿宋"/>
                <w:szCs w:val="24"/>
                <w:highlight w:val="none"/>
              </w:rPr>
              <w:t>投标人投标设备中每有一项为节能产品的得0.5分，每有一项为环境标志产品的得0.5分，投标人投标产品中每有一项产品同时为节能产品和环境标志产品的得1分，最多得2分。（提供证明资料，详见3-9-4）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560" w:lineRule="exact"/>
              <w:jc w:val="center"/>
              <w:rPr>
                <w:rFonts w:ascii="仿宋" w:hAnsi="仿宋" w:eastAsia="仿宋" w:cs="仿宋"/>
                <w:kern w:val="0"/>
                <w:szCs w:val="24"/>
                <w:highlight w:val="none"/>
              </w:rPr>
            </w:pPr>
            <w:r>
              <w:rPr>
                <w:rFonts w:hint="eastAsia" w:ascii="仿宋" w:hAnsi="仿宋" w:eastAsia="仿宋" w:cs="仿宋"/>
                <w:kern w:val="0"/>
                <w:szCs w:val="24"/>
                <w:highlight w:val="none"/>
              </w:rPr>
              <w:t>技术</w:t>
            </w:r>
          </w:p>
          <w:p>
            <w:pPr>
              <w:spacing w:line="560" w:lineRule="exact"/>
              <w:jc w:val="center"/>
              <w:rPr>
                <w:rFonts w:ascii="仿宋" w:hAnsi="仿宋" w:eastAsia="仿宋" w:cs="仿宋"/>
                <w:kern w:val="0"/>
                <w:szCs w:val="24"/>
                <w:highlight w:val="none"/>
              </w:rPr>
            </w:pPr>
            <w:r>
              <w:rPr>
                <w:rFonts w:hint="eastAsia" w:ascii="仿宋" w:hAnsi="仿宋" w:eastAsia="仿宋" w:cs="仿宋"/>
                <w:kern w:val="0"/>
                <w:szCs w:val="24"/>
                <w:highlight w:val="none"/>
              </w:rPr>
              <w:t>响应</w:t>
            </w:r>
          </w:p>
        </w:tc>
        <w:tc>
          <w:tcPr>
            <w:tcW w:w="766" w:type="dxa"/>
            <w:vAlign w:val="center"/>
          </w:tcPr>
          <w:p>
            <w:pPr>
              <w:spacing w:line="560" w:lineRule="exact"/>
              <w:jc w:val="center"/>
              <w:rPr>
                <w:rFonts w:ascii="仿宋" w:hAnsi="仿宋" w:eastAsia="仿宋" w:cs="仿宋"/>
                <w:kern w:val="0"/>
                <w:szCs w:val="24"/>
                <w:highlight w:val="none"/>
              </w:rPr>
            </w:pPr>
            <w:r>
              <w:rPr>
                <w:rFonts w:hint="eastAsia" w:ascii="仿宋" w:hAnsi="仿宋" w:eastAsia="仿宋" w:cs="仿宋"/>
                <w:kern w:val="0"/>
                <w:szCs w:val="24"/>
                <w:highlight w:val="none"/>
              </w:rPr>
              <w:t>35分</w:t>
            </w:r>
          </w:p>
        </w:tc>
        <w:tc>
          <w:tcPr>
            <w:tcW w:w="8084" w:type="dxa"/>
          </w:tcPr>
          <w:p>
            <w:pPr>
              <w:widowControl/>
              <w:spacing w:line="560" w:lineRule="exact"/>
              <w:ind w:firstLine="480" w:firstLineChars="200"/>
              <w:jc w:val="left"/>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1、★项为重要参数，投标人所投产品的技术参数完全满足并能提供响应的功能证明材料（提供佐证资料，包括但不限于检测报告、官网截图、软件截图等）得20分，有一项不满足扣2分，扣完为止。</w:t>
            </w:r>
          </w:p>
          <w:p>
            <w:pPr>
              <w:widowControl/>
              <w:spacing w:line="560" w:lineRule="exact"/>
              <w:ind w:firstLine="480" w:firstLineChars="200"/>
              <w:jc w:val="left"/>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2、除★项以外的技术参数和性能要求（10分），完全满足或优于招标文件要求的得8-10分；基本满足得5-8分。部分满足得0-5分</w:t>
            </w:r>
          </w:p>
          <w:p>
            <w:pPr>
              <w:widowControl/>
              <w:spacing w:line="560" w:lineRule="exact"/>
              <w:ind w:firstLine="480" w:firstLineChars="200"/>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szCs w:val="24"/>
                <w:highlight w:val="none"/>
                <w:lang w:val="en-US" w:eastAsia="zh-CN"/>
              </w:rPr>
              <w:t>3、项目实施方案：项目组织实施计划完整可行，资金等保障措施可靠，能够保证按期供货，具有明确的项目组织机构及实施方案，评标委员会从备货、供货进度及保证措施、人员安排及责任制度、产品安装、检测、调试等方面保证措施方面进行比较后赋分，满分5分，</w:t>
            </w:r>
            <w:r>
              <w:rPr>
                <w:rFonts w:hint="eastAsia" w:ascii="仿宋" w:hAnsi="仿宋" w:eastAsia="仿宋" w:cs="仿宋"/>
                <w:sz w:val="24"/>
                <w:szCs w:val="24"/>
                <w:highlight w:val="none"/>
              </w:rPr>
              <w:t>全面</w:t>
            </w:r>
            <w:r>
              <w:rPr>
                <w:rFonts w:hint="eastAsia" w:ascii="仿宋" w:hAnsi="仿宋" w:eastAsia="仿宋" w:cs="仿宋"/>
                <w:szCs w:val="24"/>
                <w:highlight w:val="none"/>
                <w:lang w:val="en-US" w:eastAsia="zh-CN"/>
              </w:rPr>
              <w:t>（4-5]分，</w:t>
            </w:r>
            <w:r>
              <w:rPr>
                <w:rFonts w:hint="eastAsia" w:ascii="仿宋" w:hAnsi="仿宋" w:eastAsia="仿宋" w:cs="仿宋"/>
                <w:sz w:val="24"/>
                <w:szCs w:val="24"/>
                <w:highlight w:val="none"/>
              </w:rPr>
              <w:t>较为全面</w:t>
            </w:r>
            <w:r>
              <w:rPr>
                <w:rFonts w:hint="eastAsia" w:ascii="仿宋" w:hAnsi="仿宋" w:eastAsia="仿宋" w:cs="仿宋"/>
                <w:szCs w:val="24"/>
                <w:highlight w:val="none"/>
                <w:lang w:val="en-US" w:eastAsia="zh-CN"/>
              </w:rPr>
              <w:t>（3-4]分，一般[1-3]分，</w:t>
            </w:r>
            <w:r>
              <w:rPr>
                <w:rFonts w:hint="eastAsia" w:ascii="仿宋" w:hAnsi="仿宋" w:eastAsia="仿宋" w:cs="仿宋"/>
                <w:sz w:val="24"/>
                <w:szCs w:val="24"/>
                <w:highlight w:val="none"/>
              </w:rPr>
              <w:t>未提供不得分</w:t>
            </w:r>
            <w:r>
              <w:rPr>
                <w:rFonts w:hint="eastAsia" w:ascii="仿宋" w:hAnsi="仿宋" w:eastAsia="仿宋" w:cs="仿宋"/>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560" w:lineRule="exact"/>
              <w:ind w:right="-95"/>
              <w:jc w:val="center"/>
              <w:rPr>
                <w:rFonts w:ascii="仿宋" w:hAnsi="仿宋" w:eastAsia="仿宋" w:cs="仿宋"/>
                <w:kern w:val="0"/>
                <w:szCs w:val="24"/>
                <w:highlight w:val="none"/>
              </w:rPr>
            </w:pPr>
            <w:r>
              <w:rPr>
                <w:rFonts w:hint="eastAsia" w:ascii="仿宋" w:hAnsi="仿宋" w:eastAsia="仿宋" w:cs="仿宋"/>
                <w:kern w:val="0"/>
                <w:szCs w:val="24"/>
                <w:highlight w:val="none"/>
              </w:rPr>
              <w:t>质量</w:t>
            </w:r>
          </w:p>
          <w:p>
            <w:pPr>
              <w:spacing w:line="560" w:lineRule="exact"/>
              <w:ind w:right="-95"/>
              <w:jc w:val="center"/>
              <w:rPr>
                <w:rFonts w:ascii="仿宋" w:hAnsi="仿宋" w:eastAsia="仿宋" w:cs="仿宋"/>
                <w:kern w:val="0"/>
                <w:szCs w:val="24"/>
                <w:highlight w:val="none"/>
              </w:rPr>
            </w:pPr>
            <w:r>
              <w:rPr>
                <w:rFonts w:hint="eastAsia" w:ascii="仿宋" w:hAnsi="仿宋" w:eastAsia="仿宋" w:cs="仿宋"/>
                <w:kern w:val="0"/>
                <w:szCs w:val="24"/>
                <w:highlight w:val="none"/>
              </w:rPr>
              <w:t>保证</w:t>
            </w:r>
          </w:p>
        </w:tc>
        <w:tc>
          <w:tcPr>
            <w:tcW w:w="766" w:type="dxa"/>
            <w:vAlign w:val="center"/>
          </w:tcPr>
          <w:p>
            <w:pPr>
              <w:spacing w:line="560" w:lineRule="exact"/>
              <w:ind w:right="-95"/>
              <w:rPr>
                <w:rFonts w:ascii="仿宋" w:hAnsi="仿宋" w:eastAsia="仿宋" w:cs="仿宋"/>
                <w:kern w:val="0"/>
                <w:szCs w:val="24"/>
                <w:highlight w:val="none"/>
              </w:rPr>
            </w:pPr>
            <w:r>
              <w:rPr>
                <w:rFonts w:hint="eastAsia" w:ascii="仿宋" w:hAnsi="仿宋" w:eastAsia="仿宋" w:cs="仿宋"/>
                <w:kern w:val="0"/>
                <w:szCs w:val="24"/>
                <w:highlight w:val="none"/>
              </w:rPr>
              <w:t>8分</w:t>
            </w:r>
          </w:p>
        </w:tc>
        <w:tc>
          <w:tcPr>
            <w:tcW w:w="8084" w:type="dxa"/>
            <w:vAlign w:val="center"/>
          </w:tcPr>
          <w:p>
            <w:pPr>
              <w:pStyle w:val="41"/>
              <w:spacing w:line="560" w:lineRule="exact"/>
              <w:ind w:firstLine="240" w:firstLineChars="100"/>
              <w:jc w:val="left"/>
              <w:rPr>
                <w:rFonts w:ascii="仿宋" w:hAnsi="仿宋" w:eastAsia="仿宋" w:cs="仿宋"/>
                <w:szCs w:val="24"/>
                <w:highlight w:val="none"/>
              </w:rPr>
            </w:pPr>
            <w:r>
              <w:rPr>
                <w:rFonts w:hint="eastAsia" w:ascii="仿宋" w:hAnsi="仿宋" w:eastAsia="仿宋" w:cs="仿宋"/>
                <w:sz w:val="24"/>
                <w:szCs w:val="24"/>
                <w:highlight w:val="none"/>
              </w:rPr>
              <w:t>所投产品制造厂家有可靠、完善的管理制度；有具体可行的质量保证承诺，保证使用单位能熟练操作维护和正常使用，需提供相应的证明文件，全面（5-8]分，较为全面（3-5]分，一般[1-3]分，未提供不得分。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产品</w:t>
            </w:r>
          </w:p>
          <w:p>
            <w:pPr>
              <w:spacing w:line="560" w:lineRule="exact"/>
              <w:jc w:val="center"/>
              <w:rPr>
                <w:rFonts w:ascii="仿宋" w:hAnsi="仿宋" w:eastAsia="仿宋" w:cs="仿宋"/>
                <w:kern w:val="0"/>
                <w:szCs w:val="24"/>
                <w:highlight w:val="none"/>
              </w:rPr>
            </w:pPr>
            <w:r>
              <w:rPr>
                <w:rFonts w:hint="eastAsia" w:ascii="仿宋" w:hAnsi="仿宋" w:eastAsia="仿宋" w:cs="仿宋"/>
                <w:szCs w:val="24"/>
                <w:highlight w:val="none"/>
              </w:rPr>
              <w:t>渠道</w:t>
            </w:r>
          </w:p>
        </w:tc>
        <w:tc>
          <w:tcPr>
            <w:tcW w:w="766" w:type="dxa"/>
            <w:vAlign w:val="center"/>
          </w:tcPr>
          <w:p>
            <w:pPr>
              <w:spacing w:line="560" w:lineRule="exact"/>
              <w:jc w:val="center"/>
              <w:rPr>
                <w:rFonts w:ascii="仿宋" w:hAnsi="仿宋" w:eastAsia="仿宋" w:cs="仿宋"/>
                <w:kern w:val="0"/>
                <w:szCs w:val="24"/>
                <w:highlight w:val="none"/>
              </w:rPr>
            </w:pPr>
            <w:r>
              <w:rPr>
                <w:rFonts w:hint="eastAsia" w:ascii="仿宋" w:hAnsi="仿宋" w:eastAsia="仿宋" w:cs="仿宋"/>
                <w:szCs w:val="24"/>
                <w:highlight w:val="none"/>
              </w:rPr>
              <w:t>3分</w:t>
            </w:r>
          </w:p>
        </w:tc>
        <w:tc>
          <w:tcPr>
            <w:tcW w:w="8084" w:type="dxa"/>
            <w:vAlign w:val="center"/>
          </w:tcPr>
          <w:p>
            <w:pPr>
              <w:spacing w:line="560" w:lineRule="exact"/>
              <w:ind w:firstLine="240" w:firstLineChars="100"/>
              <w:rPr>
                <w:rFonts w:ascii="仿宋" w:hAnsi="仿宋" w:eastAsia="仿宋" w:cs="仿宋"/>
                <w:szCs w:val="24"/>
                <w:highlight w:val="none"/>
              </w:rPr>
            </w:pPr>
            <w:r>
              <w:rPr>
                <w:rFonts w:hint="eastAsia" w:ascii="仿宋" w:hAnsi="仿宋" w:eastAsia="仿宋" w:cs="仿宋"/>
                <w:szCs w:val="24"/>
                <w:highlight w:val="none"/>
              </w:rPr>
              <w:t>能提供所投主要产品（包括虚拟演播室系统、媒体资产管理系统、播控系统）的合法来源渠道证明文件（包括但不限于产品制造商授权、销售协议、代理协议等）的计3分，未提供或提供不全的不得分。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shd w:val="clear" w:color="auto" w:fill="FFFFFF"/>
            <w:vAlign w:val="center"/>
          </w:tcPr>
          <w:p>
            <w:pPr>
              <w:widowControl/>
              <w:spacing w:line="560" w:lineRule="exact"/>
              <w:ind w:right="-95"/>
              <w:jc w:val="center"/>
              <w:rPr>
                <w:rFonts w:ascii="仿宋" w:hAnsi="仿宋" w:eastAsia="仿宋" w:cs="仿宋"/>
                <w:kern w:val="0"/>
                <w:szCs w:val="24"/>
                <w:highlight w:val="none"/>
              </w:rPr>
            </w:pPr>
            <w:r>
              <w:rPr>
                <w:rFonts w:hint="eastAsia" w:ascii="仿宋" w:hAnsi="仿宋" w:eastAsia="仿宋" w:cs="仿宋"/>
                <w:kern w:val="0"/>
                <w:szCs w:val="24"/>
                <w:highlight w:val="none"/>
              </w:rPr>
              <w:t>业绩</w:t>
            </w:r>
          </w:p>
        </w:tc>
        <w:tc>
          <w:tcPr>
            <w:tcW w:w="766" w:type="dxa"/>
            <w:shd w:val="clear" w:color="auto" w:fill="FFFFFF"/>
            <w:vAlign w:val="center"/>
          </w:tcPr>
          <w:p>
            <w:pPr>
              <w:widowControl/>
              <w:spacing w:line="560" w:lineRule="exact"/>
              <w:ind w:right="-95"/>
              <w:jc w:val="center"/>
              <w:rPr>
                <w:rFonts w:ascii="仿宋" w:hAnsi="仿宋" w:eastAsia="仿宋" w:cs="仿宋"/>
                <w:kern w:val="0"/>
                <w:szCs w:val="24"/>
                <w:highlight w:val="none"/>
              </w:rPr>
            </w:pPr>
            <w:r>
              <w:rPr>
                <w:rFonts w:hint="eastAsia" w:ascii="仿宋" w:hAnsi="仿宋" w:eastAsia="仿宋" w:cs="仿宋"/>
                <w:kern w:val="0"/>
                <w:szCs w:val="24"/>
                <w:highlight w:val="none"/>
              </w:rPr>
              <w:t>3分</w:t>
            </w:r>
          </w:p>
        </w:tc>
        <w:tc>
          <w:tcPr>
            <w:tcW w:w="8084" w:type="dxa"/>
            <w:shd w:val="clear" w:color="auto" w:fill="FFFFFF"/>
            <w:vAlign w:val="center"/>
          </w:tcPr>
          <w:p>
            <w:pPr>
              <w:spacing w:line="560" w:lineRule="exact"/>
              <w:ind w:firstLine="240" w:firstLineChars="100"/>
              <w:rPr>
                <w:rFonts w:ascii="仿宋" w:hAnsi="仿宋" w:eastAsia="仿宋" w:cs="仿宋"/>
                <w:kern w:val="0"/>
                <w:szCs w:val="24"/>
                <w:highlight w:val="none"/>
              </w:rPr>
            </w:pPr>
            <w:r>
              <w:rPr>
                <w:rFonts w:hint="eastAsia" w:ascii="仿宋" w:hAnsi="仿宋" w:eastAsia="仿宋" w:cs="仿宋"/>
                <w:kern w:val="0"/>
                <w:szCs w:val="24"/>
                <w:highlight w:val="none"/>
              </w:rPr>
              <w:t>以合同复印件形式提供投标人2019年1月1日至今类似项目业绩，每份计1分，计满3分为止。</w:t>
            </w:r>
          </w:p>
          <w:p>
            <w:pPr>
              <w:spacing w:line="560" w:lineRule="exact"/>
              <w:ind w:firstLine="240" w:firstLineChars="100"/>
              <w:rPr>
                <w:rFonts w:ascii="仿宋" w:hAnsi="仿宋" w:eastAsia="仿宋" w:cs="仿宋"/>
                <w:kern w:val="0"/>
                <w:szCs w:val="24"/>
                <w:highlight w:val="none"/>
              </w:rPr>
            </w:pPr>
            <w:r>
              <w:rPr>
                <w:rFonts w:hint="eastAsia" w:ascii="仿宋" w:hAnsi="仿宋" w:eastAsia="仿宋" w:cs="仿宋"/>
                <w:kern w:val="0"/>
                <w:szCs w:val="24"/>
                <w:highlight w:val="none"/>
              </w:rPr>
              <w:t>注：投标人需提供采购合同（含首页、采购设备品牌型号页、配置清单页、签字盖章页）复印件，否则业绩不予认可。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vAlign w:val="center"/>
          </w:tcPr>
          <w:p>
            <w:pPr>
              <w:spacing w:line="560" w:lineRule="exact"/>
              <w:jc w:val="center"/>
              <w:rPr>
                <w:rFonts w:ascii="仿宋" w:hAnsi="仿宋" w:eastAsia="仿宋" w:cs="仿宋"/>
                <w:kern w:val="0"/>
                <w:szCs w:val="24"/>
                <w:highlight w:val="none"/>
              </w:rPr>
            </w:pPr>
            <w:r>
              <w:rPr>
                <w:rFonts w:hint="eastAsia" w:ascii="仿宋" w:hAnsi="仿宋" w:eastAsia="仿宋" w:cs="仿宋"/>
                <w:kern w:val="0"/>
                <w:szCs w:val="24"/>
                <w:highlight w:val="none"/>
              </w:rPr>
              <w:t>售后</w:t>
            </w:r>
          </w:p>
          <w:p>
            <w:pPr>
              <w:spacing w:line="560" w:lineRule="exact"/>
              <w:jc w:val="center"/>
              <w:rPr>
                <w:rFonts w:ascii="仿宋" w:hAnsi="仿宋" w:eastAsia="仿宋" w:cs="仿宋"/>
                <w:kern w:val="0"/>
                <w:szCs w:val="24"/>
                <w:highlight w:val="none"/>
              </w:rPr>
            </w:pPr>
            <w:r>
              <w:rPr>
                <w:rFonts w:hint="eastAsia" w:ascii="仿宋" w:hAnsi="仿宋" w:eastAsia="仿宋" w:cs="仿宋"/>
                <w:kern w:val="0"/>
                <w:szCs w:val="24"/>
                <w:highlight w:val="none"/>
              </w:rPr>
              <w:t>服务及培训计划</w:t>
            </w:r>
          </w:p>
        </w:tc>
        <w:tc>
          <w:tcPr>
            <w:tcW w:w="766" w:type="dxa"/>
            <w:vAlign w:val="center"/>
          </w:tcPr>
          <w:p>
            <w:pPr>
              <w:spacing w:line="560" w:lineRule="exact"/>
              <w:jc w:val="center"/>
              <w:rPr>
                <w:rFonts w:ascii="仿宋" w:hAnsi="仿宋" w:eastAsia="仿宋" w:cs="仿宋"/>
                <w:kern w:val="0"/>
                <w:szCs w:val="24"/>
                <w:highlight w:val="none"/>
              </w:rPr>
            </w:pPr>
            <w:r>
              <w:rPr>
                <w:rFonts w:hint="eastAsia" w:ascii="仿宋" w:hAnsi="仿宋" w:eastAsia="仿宋" w:cs="仿宋"/>
                <w:kern w:val="0"/>
                <w:szCs w:val="24"/>
                <w:highlight w:val="none"/>
              </w:rPr>
              <w:t>19分</w:t>
            </w:r>
          </w:p>
        </w:tc>
        <w:tc>
          <w:tcPr>
            <w:tcW w:w="8084" w:type="dxa"/>
            <w:vAlign w:val="center"/>
          </w:tcPr>
          <w:p>
            <w:pPr>
              <w:spacing w:line="560" w:lineRule="exact"/>
              <w:rPr>
                <w:rFonts w:ascii="仿宋" w:hAnsi="仿宋" w:eastAsia="仿宋" w:cs="仿宋"/>
                <w:szCs w:val="24"/>
                <w:highlight w:val="none"/>
              </w:rPr>
            </w:pPr>
            <w:r>
              <w:rPr>
                <w:rFonts w:hint="eastAsia" w:ascii="仿宋" w:hAnsi="仿宋" w:eastAsia="仿宋" w:cs="仿宋"/>
                <w:szCs w:val="24"/>
                <w:highlight w:val="none"/>
              </w:rPr>
              <w:t>1、售后服务方案详细、具体、可行（包括投标人售后服务网点的设定、拟投入售后服务人员配置情况、项目交付用户后出现故障响应时间等）。全面（4-7]分，较为全面（2-4]分，一般[1-2]分，未提供不得分；</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2、售后服务承诺及保证措施详细、具体，备品备件及耗材情况明确。全面（4-7]分，较为全面（2-4]分，一般[1-2]分，未提供不得分；</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3、提供详尽的培训方案及培训计划，并列出培训的具体内容及方式，确保使用人员能够独立操作，并进行简单故障排查处理。全面（4-5]分，较为全面（2-4]分，一般[1-2]分，未提供不得分。</w:t>
            </w:r>
          </w:p>
        </w:tc>
      </w:tr>
    </w:tbl>
    <w:p>
      <w:pPr>
        <w:spacing w:line="560" w:lineRule="exact"/>
        <w:rPr>
          <w:rFonts w:hint="eastAsia" w:ascii="仿宋" w:hAnsi="仿宋" w:eastAsia="仿宋" w:cs="仿宋"/>
          <w:szCs w:val="24"/>
          <w:highlight w:val="none"/>
        </w:rPr>
      </w:pPr>
    </w:p>
    <w:p>
      <w:pPr>
        <w:spacing w:line="560" w:lineRule="exact"/>
        <w:rPr>
          <w:rFonts w:ascii="仿宋" w:hAnsi="仿宋" w:eastAsia="仿宋" w:cs="仿宋"/>
          <w:szCs w:val="24"/>
          <w:highlight w:val="none"/>
        </w:rPr>
      </w:pPr>
      <w:r>
        <w:rPr>
          <w:rFonts w:hint="eastAsia" w:ascii="仿宋" w:hAnsi="仿宋" w:eastAsia="仿宋" w:cs="仿宋"/>
          <w:szCs w:val="24"/>
          <w:highlight w:val="none"/>
        </w:rPr>
        <w:t>注：1）评委打分超过得分界限或未按本方法赋分时，该评委的打分按废票处理。</w:t>
      </w:r>
    </w:p>
    <w:p>
      <w:pPr>
        <w:numPr>
          <w:ilvl w:val="0"/>
          <w:numId w:val="4"/>
        </w:num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 xml:space="preserve">各种计算数字均保留两位小数，第三位“四舍五入”。 </w:t>
      </w:r>
    </w:p>
    <w:p>
      <w:pPr>
        <w:spacing w:line="560" w:lineRule="exact"/>
        <w:ind w:firstLine="482" w:firstLineChars="200"/>
        <w:rPr>
          <w:rFonts w:ascii="仿宋" w:hAnsi="仿宋" w:eastAsia="仿宋" w:cs="仿宋"/>
          <w:szCs w:val="24"/>
          <w:highlight w:val="none"/>
        </w:rPr>
      </w:pPr>
      <w:r>
        <w:rPr>
          <w:rFonts w:hint="eastAsia" w:ascii="仿宋" w:hAnsi="仿宋" w:eastAsia="仿宋" w:cs="仿宋"/>
          <w:b/>
          <w:bCs/>
          <w:szCs w:val="24"/>
          <w:highlight w:val="none"/>
        </w:rPr>
        <w:t>3）特殊情况处理</w:t>
      </w:r>
      <w:r>
        <w:rPr>
          <w:rFonts w:hint="eastAsia" w:ascii="仿宋" w:hAnsi="仿宋" w:eastAsia="仿宋" w:cs="仿宋"/>
          <w:szCs w:val="24"/>
          <w:highlight w:val="none"/>
        </w:rPr>
        <w:t>：</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a、当投标人某评分项出现未报、漏报或零报价时，该分项得零分，并不参与投标报价分的计算。</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b、相同品牌产品</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非单一产品采购项目，多家投标人提供的核心产品</w:t>
      </w:r>
      <w:r>
        <w:rPr>
          <w:rFonts w:hint="eastAsia" w:ascii="仿宋" w:hAnsi="仿宋" w:eastAsia="仿宋" w:cs="仿宋"/>
          <w:szCs w:val="24"/>
          <w:highlight w:val="none"/>
          <w:lang w:eastAsia="zh-CN"/>
        </w:rPr>
        <w:t>（1、数据库服务器2、媒资核心服务器3、融媒体虚拟演播系统）</w:t>
      </w:r>
      <w:r>
        <w:rPr>
          <w:rFonts w:hint="eastAsia" w:ascii="仿宋" w:hAnsi="仿宋" w:eastAsia="仿宋" w:cs="仿宋"/>
          <w:szCs w:val="24"/>
          <w:highlight w:val="none"/>
        </w:rPr>
        <w:t>品牌相同的，按照前款规定处理。</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d、评标过程中，若出现本评标方法以外的特殊情况时，将暂停评标，待评委商榷后再进行复会。</w:t>
      </w:r>
    </w:p>
    <w:p>
      <w:pPr>
        <w:spacing w:line="560" w:lineRule="exact"/>
        <w:ind w:firstLine="600" w:firstLineChars="249"/>
        <w:rPr>
          <w:rFonts w:ascii="仿宋" w:hAnsi="仿宋" w:eastAsia="仿宋" w:cs="仿宋"/>
          <w:b/>
          <w:bCs/>
          <w:szCs w:val="24"/>
          <w:highlight w:val="none"/>
        </w:rPr>
      </w:pPr>
      <w:r>
        <w:rPr>
          <w:rFonts w:hint="eastAsia" w:ascii="仿宋" w:hAnsi="仿宋" w:eastAsia="仿宋" w:cs="仿宋"/>
          <w:b/>
          <w:bCs/>
          <w:szCs w:val="24"/>
          <w:highlight w:val="none"/>
        </w:rPr>
        <w:t>3-9、政府采购政策评分标准</w:t>
      </w:r>
    </w:p>
    <w:p>
      <w:pPr>
        <w:spacing w:line="560" w:lineRule="exact"/>
        <w:ind w:firstLine="597" w:firstLineChars="249"/>
        <w:rPr>
          <w:rFonts w:ascii="仿宋" w:hAnsi="仿宋" w:eastAsia="仿宋" w:cs="仿宋"/>
          <w:szCs w:val="24"/>
          <w:highlight w:val="none"/>
        </w:rPr>
      </w:pPr>
      <w:r>
        <w:rPr>
          <w:rFonts w:hint="eastAsia" w:ascii="仿宋" w:hAnsi="仿宋" w:eastAsia="仿宋" w:cs="仿宋"/>
          <w:szCs w:val="24"/>
          <w:highlight w:val="none"/>
        </w:rPr>
        <w:t>3-9-1、小微企业的价格评分标准</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（1）根据《政府采购促进中小企业发展管理办法》（财库【2020】46号）的办法及</w:t>
      </w:r>
      <w:bookmarkStart w:id="33" w:name="_Toc14639"/>
      <w:r>
        <w:rPr>
          <w:rFonts w:hint="eastAsia" w:ascii="仿宋" w:hAnsi="仿宋" w:eastAsia="仿宋" w:cs="仿宋"/>
          <w:szCs w:val="24"/>
          <w:highlight w:val="none"/>
        </w:rPr>
        <w:t>《关于进一步加大政府采购支持中小企业力度的通知》（财库【2022】19号）</w:t>
      </w:r>
      <w:bookmarkEnd w:id="33"/>
      <w:r>
        <w:rPr>
          <w:rFonts w:hint="eastAsia" w:ascii="仿宋" w:hAnsi="仿宋" w:eastAsia="仿宋" w:cs="仿宋"/>
          <w:szCs w:val="24"/>
          <w:highlight w:val="none"/>
        </w:rPr>
        <w:t>的通知，对于非专门面向中小企业的项目，对小型、微型企业产品的价格给予10%的扣除，用扣除后的价格参与评审，其评标价=投标报价*（1-10%）。</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联合体共同参加非专门面向中小企业的政府采购活动，联合协议中约定，小型和微型企业的协议合同金额占到联合体协议合同金额的30%以上的，可给予联合体4%的价格扣除，用扣除后的价格参与评审，其评标价=投标报价*（1-4%）。</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参加本项目的小微企业须提供《中小企业声明函》，未提供的不视为小微企业。本项目提供的货物不包括使用大型企业注册商标的货物，小型、微型企业提供中型企业制造的货物的，视同为中型企业。投标人须做出承诺，保证真实性，如有虚假，将依法承担相应责任。</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小微企业按《政府采购促进中小企业发展管理办法》的通知--财库[2020]46号和《工业和信息化部、国家统计局、国家发展和改革委员会、财政部关于印发&lt;中小企业划型标准规定&gt;的通知》（工信部联企业【2011】300号）文件规定标准确认。</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3-9-2、监狱企业的价格评分标准</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在政府采购活动中，监狱企业视同小型、微型企业，享受预留份额、评审中价格扣除等政府采购促进中小企业发展的政府采购政策。对监狱企业产品的价格给予10%的扣除，用扣除后的价格参与评审，其评标价=投标报价*（1-10%）。</w:t>
      </w:r>
    </w:p>
    <w:p>
      <w:pPr>
        <w:spacing w:line="560" w:lineRule="exact"/>
        <w:ind w:firstLine="480" w:firstLineChars="200"/>
        <w:rPr>
          <w:rFonts w:ascii="仿宋" w:hAnsi="仿宋" w:eastAsia="仿宋" w:cs="仿宋"/>
          <w:kern w:val="0"/>
          <w:szCs w:val="24"/>
          <w:highlight w:val="none"/>
        </w:rPr>
      </w:pPr>
      <w:r>
        <w:rPr>
          <w:rFonts w:hint="eastAsia" w:ascii="仿宋" w:hAnsi="仿宋" w:eastAsia="仿宋" w:cs="仿宋"/>
          <w:szCs w:val="24"/>
          <w:highlight w:val="none"/>
        </w:rPr>
        <w:t>（2）监狱企业</w:t>
      </w:r>
      <w:r>
        <w:rPr>
          <w:rFonts w:hint="eastAsia" w:ascii="仿宋" w:hAnsi="仿宋" w:eastAsia="仿宋" w:cs="仿宋"/>
          <w:kern w:val="0"/>
          <w:szCs w:val="24"/>
          <w:highlight w:val="none"/>
        </w:rPr>
        <w:t xml:space="preserve">属于小型、微型企业的，不重复享受政策。 </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（3）监狱企业参加政府采购活动时，应当提供由省级以上监狱管理局、戒毒管理局（含新疆生产建设兵团）出具的属于监狱企业的证明文件。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（4）监狱企业按《财政部、司法部关于政府采购支持监狱企业发展有关问题的通知》（财库〔2014〕68号）文件规定标准执行。</w:t>
      </w:r>
    </w:p>
    <w:p>
      <w:pPr>
        <w:spacing w:line="560" w:lineRule="exact"/>
        <w:ind w:firstLine="600" w:firstLineChars="250"/>
        <w:rPr>
          <w:rFonts w:ascii="仿宋" w:hAnsi="仿宋" w:eastAsia="仿宋" w:cs="仿宋"/>
          <w:szCs w:val="24"/>
          <w:highlight w:val="none"/>
        </w:rPr>
      </w:pPr>
      <w:r>
        <w:rPr>
          <w:rFonts w:hint="eastAsia" w:ascii="仿宋" w:hAnsi="仿宋" w:eastAsia="仿宋" w:cs="仿宋"/>
          <w:szCs w:val="24"/>
          <w:highlight w:val="none"/>
        </w:rPr>
        <w:t>3-9-3、残疾人福利性单位的价格评分标准</w:t>
      </w:r>
    </w:p>
    <w:p>
      <w:pPr>
        <w:spacing w:line="560" w:lineRule="exact"/>
        <w:ind w:firstLine="600" w:firstLineChars="250"/>
        <w:rPr>
          <w:rFonts w:ascii="仿宋" w:hAnsi="仿宋" w:eastAsia="仿宋" w:cs="仿宋"/>
          <w:szCs w:val="24"/>
          <w:highlight w:val="none"/>
        </w:rPr>
      </w:pPr>
      <w:r>
        <w:rPr>
          <w:rFonts w:hint="eastAsia" w:ascii="仿宋" w:hAnsi="仿宋" w:eastAsia="仿宋" w:cs="仿宋"/>
          <w:szCs w:val="24"/>
          <w:highlight w:val="none"/>
        </w:rPr>
        <w:t>（1）在政府采购活动中，残疾人福利性单位视同小型、微型企业，享受预留份额、评审中价格扣除等政府采购促进中小企业发展的政府采购政策。对残疾人福利性单位产品的价格给予10%的扣除，用扣除后的价格参与评审，其评标价=投标报价*（1-10%）。</w:t>
      </w:r>
    </w:p>
    <w:p>
      <w:pPr>
        <w:spacing w:line="560" w:lineRule="exact"/>
        <w:ind w:firstLine="480" w:firstLineChars="200"/>
        <w:rPr>
          <w:rFonts w:ascii="仿宋" w:hAnsi="仿宋" w:eastAsia="仿宋" w:cs="仿宋"/>
          <w:kern w:val="0"/>
          <w:szCs w:val="24"/>
          <w:highlight w:val="none"/>
        </w:rPr>
      </w:pPr>
      <w:r>
        <w:rPr>
          <w:rFonts w:hint="eastAsia" w:ascii="仿宋" w:hAnsi="仿宋" w:eastAsia="仿宋" w:cs="仿宋"/>
          <w:szCs w:val="24"/>
          <w:highlight w:val="none"/>
        </w:rPr>
        <w:t>（2）</w:t>
      </w:r>
      <w:r>
        <w:rPr>
          <w:rFonts w:hint="eastAsia" w:ascii="仿宋" w:hAnsi="仿宋" w:eastAsia="仿宋" w:cs="仿宋"/>
          <w:kern w:val="0"/>
          <w:szCs w:val="24"/>
          <w:highlight w:val="none"/>
        </w:rPr>
        <w:t>残疾人福利性单位属于小型、微型企业的，不重复享受政策。</w:t>
      </w:r>
    </w:p>
    <w:p>
      <w:pPr>
        <w:spacing w:line="560" w:lineRule="exact"/>
        <w:ind w:firstLine="480" w:firstLineChars="200"/>
        <w:rPr>
          <w:rFonts w:ascii="仿宋" w:hAnsi="仿宋" w:eastAsia="仿宋" w:cs="仿宋"/>
          <w:kern w:val="0"/>
          <w:szCs w:val="24"/>
          <w:highlight w:val="none"/>
        </w:rPr>
      </w:pPr>
      <w:r>
        <w:rPr>
          <w:rFonts w:hint="eastAsia" w:ascii="仿宋" w:hAnsi="仿宋" w:eastAsia="仿宋" w:cs="仿宋"/>
          <w:szCs w:val="24"/>
          <w:highlight w:val="none"/>
        </w:rPr>
        <w:t>（3）</w:t>
      </w:r>
      <w:r>
        <w:rPr>
          <w:rFonts w:hint="eastAsia" w:ascii="仿宋" w:hAnsi="仿宋" w:eastAsia="仿宋" w:cs="仿宋"/>
          <w:kern w:val="0"/>
          <w:szCs w:val="24"/>
          <w:highlight w:val="none"/>
        </w:rPr>
        <w:t>符合条件的残疾人福利性单位在参加政府采购活动时，应当提供本通知规定的《残疾人福利性单位声明函》，并对声明的真实性负责，</w:t>
      </w:r>
      <w:r>
        <w:rPr>
          <w:rFonts w:hint="eastAsia" w:ascii="仿宋" w:hAnsi="仿宋" w:eastAsia="仿宋" w:cs="仿宋"/>
          <w:szCs w:val="24"/>
          <w:highlight w:val="none"/>
        </w:rPr>
        <w:t>未提供的不视为</w:t>
      </w:r>
      <w:r>
        <w:rPr>
          <w:rFonts w:hint="eastAsia" w:ascii="仿宋" w:hAnsi="仿宋" w:eastAsia="仿宋" w:cs="仿宋"/>
          <w:kern w:val="0"/>
          <w:szCs w:val="24"/>
          <w:highlight w:val="none"/>
        </w:rPr>
        <w:t xml:space="preserve">残疾人福利性单位。 </w:t>
      </w:r>
    </w:p>
    <w:p>
      <w:pPr>
        <w:spacing w:line="560" w:lineRule="exact"/>
        <w:ind w:firstLine="597" w:firstLineChars="249"/>
        <w:rPr>
          <w:rFonts w:ascii="仿宋" w:hAnsi="仿宋" w:eastAsia="仿宋" w:cs="仿宋"/>
          <w:szCs w:val="24"/>
          <w:highlight w:val="none"/>
        </w:rPr>
      </w:pPr>
      <w:r>
        <w:rPr>
          <w:rFonts w:hint="eastAsia" w:ascii="仿宋" w:hAnsi="仿宋" w:eastAsia="仿宋" w:cs="仿宋"/>
          <w:szCs w:val="24"/>
          <w:highlight w:val="none"/>
        </w:rPr>
        <w:t>3-9-4、节能产品、环境标志产品政策</w:t>
      </w:r>
    </w:p>
    <w:p>
      <w:pPr>
        <w:autoSpaceDE w:val="0"/>
        <w:autoSpaceDN w:val="0"/>
        <w:adjustRightInd w:val="0"/>
        <w:spacing w:line="560" w:lineRule="exact"/>
        <w:ind w:firstLine="480" w:firstLineChars="200"/>
        <w:rPr>
          <w:rFonts w:ascii="仿宋" w:hAnsi="仿宋" w:eastAsia="仿宋" w:cs="仿宋"/>
          <w:bCs/>
          <w:highlight w:val="none"/>
        </w:rPr>
      </w:pPr>
      <w:r>
        <w:rPr>
          <w:rFonts w:hint="eastAsia" w:ascii="仿宋" w:hAnsi="仿宋" w:eastAsia="仿宋" w:cs="仿宋"/>
          <w:bCs/>
          <w:highlight w:val="none"/>
        </w:rPr>
        <w:t>（1）根据《财政部、国家发展改革委、生态环境部、市场监管总局&lt;关于调整优化节能产品、环境标志产品政府采购执行机制&gt;的通知》的</w:t>
      </w:r>
      <w:r>
        <w:rPr>
          <w:rFonts w:hint="eastAsia" w:ascii="仿宋" w:hAnsi="仿宋" w:eastAsia="仿宋" w:cs="仿宋"/>
          <w:szCs w:val="24"/>
          <w:highlight w:val="none"/>
        </w:rPr>
        <w:t>有关规定</w:t>
      </w:r>
      <w:r>
        <w:rPr>
          <w:rFonts w:hint="eastAsia" w:ascii="仿宋" w:hAnsi="仿宋" w:eastAsia="仿宋" w:cs="仿宋"/>
          <w:bCs/>
          <w:highlight w:val="none"/>
        </w:rPr>
        <w:t>，依据品目清单和认证证书实施政府采购优先采购和强制采购。采购人拟采购</w:t>
      </w:r>
      <w:bookmarkStart w:id="291" w:name="_GoBack"/>
      <w:bookmarkEnd w:id="291"/>
      <w:r>
        <w:rPr>
          <w:rFonts w:hint="eastAsia" w:ascii="仿宋" w:hAnsi="仿宋" w:eastAsia="仿宋" w:cs="仿宋"/>
          <w:bCs/>
          <w:highlight w:val="none"/>
        </w:rPr>
        <w:t>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E w:val="0"/>
        <w:autoSpaceDN w:val="0"/>
        <w:adjustRightInd w:val="0"/>
        <w:spacing w:line="560" w:lineRule="exact"/>
        <w:ind w:firstLine="480" w:firstLineChars="200"/>
        <w:rPr>
          <w:rFonts w:ascii="仿宋" w:hAnsi="仿宋" w:eastAsia="仿宋" w:cs="仿宋"/>
          <w:bCs/>
          <w:highlight w:val="none"/>
        </w:rPr>
      </w:pPr>
      <w:r>
        <w:rPr>
          <w:rFonts w:hint="eastAsia" w:ascii="仿宋" w:hAnsi="仿宋" w:eastAsia="仿宋" w:cs="仿宋"/>
          <w:bCs/>
          <w:highlight w:val="none"/>
        </w:rPr>
        <w:t>（2）投标人在投标文件中对所投标产品为节能、环境标志产品清单中的产品，在投标报价时必须对此类产品单独分项报价，并提供属于清单内产品的证明资料，否则评审时不给予计分。</w:t>
      </w:r>
    </w:p>
    <w:p>
      <w:pPr>
        <w:autoSpaceDE w:val="0"/>
        <w:autoSpaceDN w:val="0"/>
        <w:adjustRightInd w:val="0"/>
        <w:spacing w:line="560" w:lineRule="exact"/>
        <w:ind w:firstLine="480" w:firstLineChars="200"/>
        <w:rPr>
          <w:rFonts w:ascii="仿宋" w:hAnsi="仿宋" w:eastAsia="仿宋" w:cs="仿宋"/>
          <w:bCs/>
          <w:highlight w:val="none"/>
        </w:rPr>
      </w:pPr>
      <w:r>
        <w:rPr>
          <w:rFonts w:hint="eastAsia" w:ascii="仿宋" w:hAnsi="仿宋" w:eastAsia="仿宋" w:cs="仿宋"/>
          <w:bCs/>
          <w:highlight w:val="none"/>
        </w:rPr>
        <w:t>（3）产品同时属于“非强制采购节能产品”、环境标志产品的，评审时可同时享受优先待遇。</w:t>
      </w:r>
    </w:p>
    <w:p>
      <w:pPr>
        <w:autoSpaceDE w:val="0"/>
        <w:autoSpaceDN w:val="0"/>
        <w:adjustRightInd w:val="0"/>
        <w:spacing w:line="560" w:lineRule="exact"/>
        <w:ind w:firstLine="480" w:firstLineChars="200"/>
        <w:rPr>
          <w:rFonts w:ascii="仿宋" w:hAnsi="仿宋" w:eastAsia="仿宋" w:cs="仿宋"/>
          <w:bCs/>
          <w:highlight w:val="none"/>
        </w:rPr>
      </w:pPr>
      <w:r>
        <w:rPr>
          <w:rFonts w:hint="eastAsia" w:ascii="仿宋" w:hAnsi="仿宋" w:eastAsia="仿宋" w:cs="仿宋"/>
          <w:bCs/>
          <w:highlight w:val="none"/>
        </w:rPr>
        <w:t xml:space="preserve">（4）若节能、环境标志品目清单内的产品仅是构成投标产品的部件、组件或零件 </w:t>
      </w:r>
    </w:p>
    <w:p>
      <w:pPr>
        <w:autoSpaceDE w:val="0"/>
        <w:autoSpaceDN w:val="0"/>
        <w:adjustRightInd w:val="0"/>
        <w:spacing w:line="560" w:lineRule="exact"/>
        <w:rPr>
          <w:rFonts w:ascii="仿宋" w:hAnsi="仿宋" w:eastAsia="仿宋" w:cs="仿宋"/>
          <w:bCs/>
          <w:highlight w:val="none"/>
        </w:rPr>
      </w:pPr>
      <w:r>
        <w:rPr>
          <w:rFonts w:hint="eastAsia" w:ascii="仿宋" w:hAnsi="仿宋" w:eastAsia="仿宋" w:cs="仿宋"/>
          <w:bCs/>
          <w:highlight w:val="none"/>
        </w:rPr>
        <w:t xml:space="preserve">的，则该投标产品不享受鼓励优惠政策。 </w:t>
      </w:r>
    </w:p>
    <w:p>
      <w:pPr>
        <w:autoSpaceDE w:val="0"/>
        <w:autoSpaceDN w:val="0"/>
        <w:adjustRightInd w:val="0"/>
        <w:spacing w:line="560" w:lineRule="exact"/>
        <w:ind w:firstLine="480" w:firstLineChars="200"/>
        <w:rPr>
          <w:rFonts w:ascii="仿宋" w:hAnsi="仿宋" w:eastAsia="仿宋" w:cs="仿宋"/>
          <w:bCs/>
          <w:highlight w:val="none"/>
        </w:rPr>
      </w:pPr>
      <w:r>
        <w:rPr>
          <w:rFonts w:hint="eastAsia" w:ascii="仿宋" w:hAnsi="仿宋" w:eastAsia="仿宋" w:cs="仿宋"/>
          <w:bCs/>
          <w:highlight w:val="none"/>
        </w:rPr>
        <w:t xml:space="preserve">（5）节能、环境标志产品部分计分只对属于品目清单内的非强制类产品进行计分， </w:t>
      </w:r>
    </w:p>
    <w:p>
      <w:pPr>
        <w:autoSpaceDE w:val="0"/>
        <w:autoSpaceDN w:val="0"/>
        <w:adjustRightInd w:val="0"/>
        <w:spacing w:line="560" w:lineRule="exact"/>
        <w:rPr>
          <w:rFonts w:ascii="仿宋" w:hAnsi="仿宋" w:eastAsia="仿宋" w:cs="仿宋"/>
          <w:bCs/>
          <w:highlight w:val="none"/>
        </w:rPr>
      </w:pPr>
      <w:r>
        <w:rPr>
          <w:rFonts w:hint="eastAsia" w:ascii="仿宋" w:hAnsi="仿宋" w:eastAsia="仿宋" w:cs="仿宋"/>
          <w:bCs/>
          <w:highlight w:val="none"/>
        </w:rPr>
        <w:t xml:space="preserve">强制类产品不给予计分。 </w:t>
      </w:r>
    </w:p>
    <w:p>
      <w:pPr>
        <w:spacing w:line="560" w:lineRule="exact"/>
        <w:ind w:firstLine="482" w:firstLineChars="200"/>
        <w:rPr>
          <w:rFonts w:ascii="仿宋" w:hAnsi="仿宋" w:eastAsia="仿宋" w:cs="仿宋"/>
          <w:b/>
          <w:highlight w:val="none"/>
        </w:rPr>
      </w:pPr>
      <w:r>
        <w:rPr>
          <w:rFonts w:hint="eastAsia" w:ascii="仿宋" w:hAnsi="仿宋" w:eastAsia="仿宋" w:cs="仿宋"/>
          <w:b/>
          <w:highlight w:val="none"/>
        </w:rPr>
        <w:t>3-10、</w:t>
      </w:r>
      <w:bookmarkStart w:id="34" w:name="_Toc14886425"/>
      <w:bookmarkStart w:id="35" w:name="_Toc22138"/>
      <w:r>
        <w:rPr>
          <w:rFonts w:hint="eastAsia" w:ascii="仿宋" w:hAnsi="仿宋" w:eastAsia="仿宋" w:cs="仿宋"/>
          <w:b/>
          <w:highlight w:val="none"/>
        </w:rPr>
        <w:t>信用担保</w:t>
      </w:r>
      <w:bookmarkEnd w:id="34"/>
      <w:bookmarkEnd w:id="35"/>
      <w:r>
        <w:rPr>
          <w:rFonts w:hint="eastAsia" w:ascii="仿宋" w:hAnsi="仿宋" w:eastAsia="仿宋" w:cs="仿宋"/>
          <w:b/>
          <w:highlight w:val="none"/>
        </w:rPr>
        <w:t>及融资</w:t>
      </w:r>
    </w:p>
    <w:p>
      <w:pPr>
        <w:spacing w:line="560" w:lineRule="exact"/>
        <w:ind w:firstLine="480" w:firstLineChars="200"/>
        <w:rPr>
          <w:rFonts w:ascii="仿宋" w:hAnsi="仿宋" w:eastAsia="仿宋" w:cs="仿宋"/>
          <w:bCs/>
          <w:highlight w:val="none"/>
        </w:rPr>
      </w:pPr>
      <w:r>
        <w:rPr>
          <w:rFonts w:hint="eastAsia" w:ascii="仿宋" w:hAnsi="仿宋" w:eastAsia="仿宋" w:cs="仿宋"/>
          <w:bCs/>
          <w:highlight w:val="none"/>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spacing w:line="560" w:lineRule="exact"/>
        <w:ind w:firstLine="480" w:firstLineChars="200"/>
        <w:rPr>
          <w:rFonts w:ascii="仿宋" w:hAnsi="仿宋" w:eastAsia="仿宋" w:cs="仿宋"/>
          <w:bCs/>
          <w:highlight w:val="none"/>
        </w:rPr>
      </w:pPr>
      <w:r>
        <w:rPr>
          <w:rFonts w:hint="eastAsia" w:ascii="仿宋" w:hAnsi="仿宋" w:eastAsia="仿宋" w:cs="仿宋"/>
          <w:bCs/>
          <w:highlight w:val="none"/>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省政府采购信用融资平台（含各市分平台）自主选择金融机构及其融资产品，凭政府采购中标（成交）通知书或政府采购合同向金融机构提出融资申请。</w:t>
      </w:r>
    </w:p>
    <w:p>
      <w:pPr>
        <w:spacing w:line="560" w:lineRule="exact"/>
        <w:ind w:firstLine="482" w:firstLineChars="200"/>
        <w:rPr>
          <w:rFonts w:ascii="仿宋" w:hAnsi="仿宋" w:eastAsia="仿宋" w:cs="仿宋"/>
          <w:b/>
          <w:szCs w:val="24"/>
          <w:highlight w:val="none"/>
        </w:rPr>
      </w:pPr>
      <w:r>
        <w:rPr>
          <w:rFonts w:hint="eastAsia" w:ascii="仿宋" w:hAnsi="仿宋" w:eastAsia="仿宋" w:cs="仿宋"/>
          <w:b/>
          <w:szCs w:val="24"/>
          <w:highlight w:val="none"/>
        </w:rPr>
        <w:t>4、</w:t>
      </w:r>
      <w:r>
        <w:rPr>
          <w:rFonts w:hint="eastAsia" w:ascii="仿宋" w:hAnsi="仿宋" w:eastAsia="仿宋" w:cs="仿宋"/>
          <w:b/>
          <w:bCs/>
          <w:szCs w:val="24"/>
          <w:highlight w:val="none"/>
        </w:rPr>
        <w:t>定标</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4-1、定标程序</w:t>
      </w:r>
    </w:p>
    <w:p>
      <w:pPr>
        <w:numPr>
          <w:ilvl w:val="0"/>
          <w:numId w:val="5"/>
        </w:numPr>
        <w:spacing w:line="560" w:lineRule="exact"/>
        <w:ind w:firstLine="480" w:firstLineChars="200"/>
        <w:rPr>
          <w:rFonts w:ascii="仿宋" w:hAnsi="仿宋" w:eastAsia="仿宋" w:cs="仿宋"/>
          <w:kern w:val="0"/>
          <w:szCs w:val="24"/>
          <w:highlight w:val="none"/>
        </w:rPr>
      </w:pPr>
      <w:r>
        <w:rPr>
          <w:rFonts w:hint="eastAsia" w:ascii="仿宋" w:hAnsi="仿宋" w:eastAsia="仿宋" w:cs="仿宋"/>
          <w:szCs w:val="24"/>
          <w:highlight w:val="none"/>
        </w:rPr>
        <w:t>评标委员会依据评标办法，经过符合性审查、澄清、比较与评价等程序后，在最大限度满足招标文件实质性要求前提下进行综合评审，以评标总得分最高到低的顺序推荐3名以上中标候选人，并编写</w:t>
      </w:r>
      <w:bookmarkStart w:id="36" w:name="OLE_LINK4"/>
      <w:r>
        <w:rPr>
          <w:rFonts w:hint="eastAsia" w:ascii="仿宋" w:hAnsi="仿宋" w:eastAsia="仿宋" w:cs="仿宋"/>
          <w:szCs w:val="24"/>
          <w:highlight w:val="none"/>
        </w:rPr>
        <w:t>评标</w:t>
      </w:r>
      <w:bookmarkEnd w:id="36"/>
      <w:r>
        <w:rPr>
          <w:rFonts w:hint="eastAsia" w:ascii="仿宋" w:hAnsi="仿宋" w:eastAsia="仿宋" w:cs="仿宋"/>
          <w:szCs w:val="24"/>
          <w:highlight w:val="none"/>
        </w:rPr>
        <w:t>报告。</w:t>
      </w:r>
    </w:p>
    <w:p>
      <w:pPr>
        <w:numPr>
          <w:ilvl w:val="0"/>
          <w:numId w:val="5"/>
        </w:numPr>
        <w:spacing w:line="560" w:lineRule="exact"/>
        <w:ind w:firstLine="480" w:firstLineChars="200"/>
        <w:rPr>
          <w:rFonts w:ascii="仿宋" w:hAnsi="仿宋" w:eastAsia="仿宋" w:cs="仿宋"/>
          <w:szCs w:val="24"/>
          <w:highlight w:val="none"/>
        </w:rPr>
      </w:pPr>
      <w:bookmarkStart w:id="37" w:name="OLE_LINK18"/>
      <w:r>
        <w:rPr>
          <w:rFonts w:hint="eastAsia" w:ascii="仿宋" w:hAnsi="仿宋" w:eastAsia="仿宋" w:cs="仿宋"/>
          <w:szCs w:val="24"/>
          <w:highlight w:val="none"/>
        </w:rPr>
        <w:t>评标委员会成员应当在评标报告上签字，对自己的评审意见承担法律责任。</w:t>
      </w:r>
      <w:r>
        <w:rPr>
          <w:rFonts w:hint="eastAsia" w:ascii="仿宋" w:hAnsi="仿宋" w:eastAsia="仿宋" w:cs="仿宋"/>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37"/>
    <w:p>
      <w:pPr>
        <w:numPr>
          <w:ilvl w:val="0"/>
          <w:numId w:val="5"/>
        </w:numPr>
        <w:adjustRightInd w:val="0"/>
        <w:snapToGri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采购代理机构应当自评审结束之日起1个工作日内将评标报告送交采购人。采购人在收到评审报告4个工作日内，从评审报告推荐的中标候选人中，按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pPr>
        <w:numPr>
          <w:ilvl w:val="0"/>
          <w:numId w:val="5"/>
        </w:numPr>
        <w:adjustRightInd w:val="0"/>
        <w:snapToGri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采购代理机构接到采购人的《定标复函》后，在1个工作日内，将中标结果在陕西省政府采购网上进行公告。公告发布1个工作日，其他投标人若有异议，按《政府采购法》第52条执行。</w:t>
      </w:r>
    </w:p>
    <w:p>
      <w:pPr>
        <w:spacing w:line="560" w:lineRule="exact"/>
        <w:ind w:firstLine="600" w:firstLineChars="250"/>
        <w:rPr>
          <w:rFonts w:ascii="仿宋" w:hAnsi="仿宋" w:eastAsia="仿宋" w:cs="仿宋"/>
          <w:szCs w:val="24"/>
          <w:highlight w:val="none"/>
        </w:rPr>
      </w:pPr>
      <w:r>
        <w:rPr>
          <w:rFonts w:hint="eastAsia" w:ascii="仿宋" w:hAnsi="仿宋" w:eastAsia="仿宋" w:cs="仿宋"/>
          <w:szCs w:val="24"/>
          <w:highlight w:val="none"/>
        </w:rPr>
        <w:t>4-2、中标人确定后，采购人和采购代理机构对未中标原因不作任何解释，投标文件不予退还（含纸质及电子版文件）。</w:t>
      </w:r>
    </w:p>
    <w:p>
      <w:pPr>
        <w:adjustRightInd w:val="0"/>
        <w:snapToGrid w:val="0"/>
        <w:spacing w:line="560" w:lineRule="exact"/>
        <w:ind w:firstLine="482" w:firstLineChars="200"/>
        <w:rPr>
          <w:rFonts w:ascii="仿宋" w:hAnsi="仿宋" w:eastAsia="仿宋" w:cs="仿宋"/>
          <w:szCs w:val="24"/>
          <w:highlight w:val="none"/>
        </w:rPr>
      </w:pPr>
      <w:bookmarkStart w:id="38" w:name="_Toc458617461"/>
      <w:bookmarkStart w:id="39" w:name="_Toc458617738"/>
      <w:r>
        <w:rPr>
          <w:rFonts w:hint="eastAsia" w:ascii="仿宋" w:hAnsi="仿宋" w:eastAsia="仿宋" w:cs="仿宋"/>
          <w:b/>
          <w:szCs w:val="24"/>
          <w:highlight w:val="none"/>
        </w:rPr>
        <w:t>5、投标无效的情形：</w:t>
      </w:r>
    </w:p>
    <w:p>
      <w:pPr>
        <w:adjustRightInd w:val="0"/>
        <w:snapToGri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5-1、投标文件未按招标文件要求签署、盖章的；</w:t>
      </w:r>
    </w:p>
    <w:p>
      <w:pPr>
        <w:adjustRightInd w:val="0"/>
        <w:snapToGri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5-2、不具备招标文件中规定的资格要求的；</w:t>
      </w:r>
    </w:p>
    <w:p>
      <w:pPr>
        <w:adjustRightInd w:val="0"/>
        <w:snapToGri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5-3、报价超过招标文件中规定的预算金额的；</w:t>
      </w:r>
    </w:p>
    <w:p>
      <w:pPr>
        <w:adjustRightInd w:val="0"/>
        <w:snapToGri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5-4、投标文件含有采购人不能接受的附加条件的；</w:t>
      </w:r>
    </w:p>
    <w:p>
      <w:pPr>
        <w:adjustRightInd w:val="0"/>
        <w:snapToGri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szCs w:val="24"/>
          <w:highlight w:val="none"/>
        </w:rPr>
        <w:t>5-5、</w:t>
      </w:r>
      <w:r>
        <w:rPr>
          <w:rFonts w:hint="eastAsia" w:ascii="仿宋" w:hAnsi="仿宋" w:eastAsia="仿宋" w:cs="仿宋"/>
          <w:kern w:val="0"/>
          <w:szCs w:val="24"/>
          <w:highlight w:val="none"/>
        </w:rPr>
        <w:t>提供虚假材料谋取中标的；</w:t>
      </w:r>
    </w:p>
    <w:p>
      <w:pPr>
        <w:adjustRightInd w:val="0"/>
        <w:snapToGri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5-6、采取不正当手段诋毁、排挤其他投标人的；</w:t>
      </w:r>
    </w:p>
    <w:p>
      <w:pPr>
        <w:adjustRightInd w:val="0"/>
        <w:snapToGrid w:val="0"/>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5-7、</w:t>
      </w:r>
      <w:r>
        <w:rPr>
          <w:rFonts w:hint="eastAsia" w:ascii="仿宋" w:hAnsi="仿宋" w:eastAsia="仿宋" w:cs="仿宋"/>
          <w:szCs w:val="24"/>
          <w:highlight w:val="none"/>
        </w:rPr>
        <w:t>法律、法规和招标文件规定的其他无效情形。</w:t>
      </w:r>
    </w:p>
    <w:p>
      <w:pPr>
        <w:spacing w:line="560" w:lineRule="exact"/>
        <w:ind w:firstLine="472" w:firstLineChars="196"/>
        <w:rPr>
          <w:rFonts w:ascii="仿宋" w:hAnsi="仿宋" w:eastAsia="仿宋" w:cs="仿宋"/>
          <w:b/>
          <w:szCs w:val="24"/>
          <w:highlight w:val="none"/>
        </w:rPr>
      </w:pPr>
      <w:r>
        <w:rPr>
          <w:rFonts w:hint="eastAsia" w:ascii="仿宋" w:hAnsi="仿宋" w:eastAsia="仿宋" w:cs="仿宋"/>
          <w:b/>
          <w:szCs w:val="24"/>
          <w:highlight w:val="none"/>
        </w:rPr>
        <w:t>6、中标通知</w:t>
      </w:r>
      <w:bookmarkEnd w:id="38"/>
      <w:bookmarkEnd w:id="39"/>
      <w:r>
        <w:rPr>
          <w:rFonts w:hint="eastAsia" w:ascii="仿宋" w:hAnsi="仿宋" w:eastAsia="仿宋" w:cs="仿宋"/>
          <w:b/>
          <w:szCs w:val="24"/>
          <w:highlight w:val="none"/>
        </w:rPr>
        <w:t>书及未中标通知书</w:t>
      </w:r>
    </w:p>
    <w:p>
      <w:pPr>
        <w:adjustRightInd w:val="0"/>
        <w:snapToGri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6-1、中标通知书及未中标通知书将在中标公告发布的同时由采购代理机构发出。</w:t>
      </w:r>
    </w:p>
    <w:p>
      <w:pPr>
        <w:adjustRightInd w:val="0"/>
        <w:snapToGri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6-2、中标人应在接到采购代理机构通知之日起七日内领取中标通知书。</w:t>
      </w:r>
      <w:bookmarkStart w:id="40" w:name="_Toc458617462"/>
      <w:bookmarkStart w:id="41" w:name="_Toc458617739"/>
      <w:bookmarkStart w:id="42" w:name="_Toc458617790"/>
    </w:p>
    <w:p>
      <w:pPr>
        <w:adjustRightInd w:val="0"/>
        <w:snapToGri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szCs w:val="24"/>
          <w:highlight w:val="none"/>
        </w:rPr>
        <w:t>6-3、</w:t>
      </w:r>
      <w:r>
        <w:rPr>
          <w:rFonts w:hint="eastAsia" w:ascii="仿宋" w:hAnsi="仿宋" w:eastAsia="仿宋" w:cs="仿宋"/>
          <w:kern w:val="0"/>
          <w:szCs w:val="24"/>
          <w:highlight w:val="none"/>
        </w:rPr>
        <w:t>中标通知书发出后，采购人不得违法改变中标结果，中标人无正当理由不得弃中标。</w:t>
      </w:r>
    </w:p>
    <w:p>
      <w:pPr>
        <w:pStyle w:val="4"/>
        <w:spacing w:line="560" w:lineRule="exact"/>
        <w:rPr>
          <w:rFonts w:ascii="仿宋" w:hAnsi="仿宋" w:eastAsia="仿宋" w:cs="仿宋"/>
          <w:kern w:val="0"/>
          <w:sz w:val="28"/>
          <w:szCs w:val="28"/>
          <w:highlight w:val="none"/>
        </w:rPr>
      </w:pPr>
      <w:bookmarkStart w:id="43" w:name="_Toc30729"/>
      <w:r>
        <w:rPr>
          <w:rFonts w:hint="eastAsia" w:ascii="仿宋" w:hAnsi="仿宋" w:eastAsia="仿宋" w:cs="仿宋"/>
          <w:kern w:val="0"/>
          <w:sz w:val="28"/>
          <w:szCs w:val="28"/>
          <w:highlight w:val="none"/>
          <w:lang w:val="en-US" w:eastAsia="zh-CN"/>
        </w:rPr>
        <w:t>七</w:t>
      </w:r>
      <w:r>
        <w:rPr>
          <w:rFonts w:hint="eastAsia" w:ascii="仿宋" w:hAnsi="仿宋" w:eastAsia="仿宋" w:cs="仿宋"/>
          <w:kern w:val="0"/>
          <w:sz w:val="28"/>
          <w:szCs w:val="28"/>
          <w:highlight w:val="none"/>
        </w:rPr>
        <w:t>、合同</w:t>
      </w:r>
      <w:bookmarkEnd w:id="40"/>
      <w:bookmarkEnd w:id="41"/>
      <w:bookmarkEnd w:id="42"/>
      <w:bookmarkEnd w:id="43"/>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1、中标人在收到中标通知书后三十（30）个日历日内，应按招标文件的要求与采购人签订合同。</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2、中标人因自身原因不按规定与采购人签订供货合同或者拒绝与采购人签订合同的，则采购人将废除授标。给采购人造成损失的，应当予以赔偿，并依法承担相应法律责任。</w:t>
      </w:r>
      <w:r>
        <w:rPr>
          <w:rFonts w:hint="eastAsia" w:ascii="仿宋" w:hAnsi="仿宋" w:eastAsia="仿宋" w:cs="仿宋"/>
          <w:highlight w:val="none"/>
        </w:rPr>
        <w:t>同时，采购人可以按照评审报告推荐的中标候选人名单排序，确定下一候选人为中标人，</w:t>
      </w:r>
      <w:r>
        <w:rPr>
          <w:rFonts w:hint="eastAsia" w:ascii="仿宋" w:hAnsi="仿宋" w:eastAsia="仿宋" w:cs="仿宋"/>
          <w:szCs w:val="24"/>
          <w:highlight w:val="none"/>
        </w:rPr>
        <w:t>以此类推，</w:t>
      </w:r>
      <w:r>
        <w:rPr>
          <w:rFonts w:hint="eastAsia" w:ascii="仿宋" w:hAnsi="仿宋" w:eastAsia="仿宋" w:cs="仿宋"/>
          <w:highlight w:val="none"/>
        </w:rPr>
        <w:t>也可以重新开展政府采购活动。</w:t>
      </w:r>
      <w:r>
        <w:rPr>
          <w:rFonts w:hint="eastAsia" w:ascii="仿宋" w:hAnsi="仿宋" w:eastAsia="仿宋" w:cs="仿宋"/>
          <w:szCs w:val="24"/>
          <w:highlight w:val="none"/>
        </w:rPr>
        <w:t>因自身原因拒绝签订政府采购合同的或者未按合同约定进行履约的，中标人不得参加对该项目重新开展的招标活动。</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3、中标通知书将是合同的重要组成部分。招标文件、中标人的投标文件及评议过程中有关的澄清文件均作为合同附件。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中标后，中标人应按照合同约定履行义务，完成招标项目的供货，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政府采购促进中小企业发展管理办法》的通知--财库[2020]46号规定的政策获取政府采购合同后，小型、微型企业不得分包或转包给大型、中型企业，中型企业不得分包或转包给大型企业。</w:t>
      </w:r>
    </w:p>
    <w:p>
      <w:pPr>
        <w:spacing w:line="560" w:lineRule="exact"/>
        <w:ind w:left="480" w:leftChars="200"/>
        <w:rPr>
          <w:rFonts w:ascii="仿宋" w:hAnsi="仿宋" w:eastAsia="仿宋" w:cs="仿宋"/>
          <w:szCs w:val="24"/>
          <w:highlight w:val="none"/>
        </w:rPr>
      </w:pPr>
      <w:r>
        <w:rPr>
          <w:rFonts w:hint="eastAsia" w:ascii="仿宋" w:hAnsi="仿宋" w:eastAsia="仿宋" w:cs="仿宋"/>
          <w:szCs w:val="24"/>
          <w:highlight w:val="none"/>
        </w:rPr>
        <w:t>5、所签订的合同不得对招标文件确定的事项和中标人投标文件作实质性修改。</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6、采购人需追加与合同标的相同的货物、工程或服务的，在不改变合同其他条款的前提下，可以与中标人协商签订补充合同，但所有补充合同的采购金额不得超过原合同采购金额的百分之十。</w:t>
      </w:r>
      <w:bookmarkStart w:id="44" w:name="_Toc458617463"/>
      <w:bookmarkStart w:id="45" w:name="_Toc458617740"/>
    </w:p>
    <w:p>
      <w:pPr>
        <w:pStyle w:val="4"/>
        <w:spacing w:line="560" w:lineRule="exact"/>
        <w:rPr>
          <w:rFonts w:ascii="仿宋" w:hAnsi="仿宋" w:eastAsia="仿宋" w:cs="仿宋"/>
          <w:kern w:val="0"/>
          <w:sz w:val="28"/>
          <w:szCs w:val="28"/>
          <w:highlight w:val="none"/>
        </w:rPr>
      </w:pPr>
      <w:bookmarkStart w:id="46" w:name="_Toc26201"/>
      <w:r>
        <w:rPr>
          <w:rFonts w:hint="eastAsia" w:ascii="仿宋" w:hAnsi="仿宋" w:eastAsia="仿宋" w:cs="仿宋"/>
          <w:kern w:val="0"/>
          <w:sz w:val="28"/>
          <w:szCs w:val="28"/>
          <w:highlight w:val="none"/>
          <w:lang w:val="en-US" w:eastAsia="zh-CN"/>
        </w:rPr>
        <w:t>八</w:t>
      </w:r>
      <w:r>
        <w:rPr>
          <w:rFonts w:hint="eastAsia" w:ascii="仿宋" w:hAnsi="仿宋" w:eastAsia="仿宋" w:cs="仿宋"/>
          <w:kern w:val="0"/>
          <w:sz w:val="28"/>
          <w:szCs w:val="28"/>
          <w:highlight w:val="none"/>
        </w:rPr>
        <w:t>、合同的履约验收</w:t>
      </w:r>
      <w:bookmarkEnd w:id="46"/>
    </w:p>
    <w:p>
      <w:pPr>
        <w:spacing w:line="560" w:lineRule="exact"/>
        <w:rPr>
          <w:rFonts w:ascii="仿宋" w:hAnsi="仿宋" w:eastAsia="仿宋" w:cs="仿宋"/>
          <w:highlight w:val="none"/>
        </w:rPr>
      </w:pPr>
      <w:r>
        <w:rPr>
          <w:rFonts w:hint="eastAsia" w:ascii="仿宋" w:hAnsi="仿宋" w:eastAsia="仿宋" w:cs="仿宋"/>
          <w:highlight w:val="none"/>
        </w:rPr>
        <w:t xml:space="preserve">     采购人应按照政府采购合同约定的技术、服务、安全标准组织对投标人每一项技术、服务、安全标准的履约情况进行验收，并出具验收书。</w:t>
      </w:r>
    </w:p>
    <w:p>
      <w:pPr>
        <w:pStyle w:val="4"/>
        <w:spacing w:line="560" w:lineRule="exact"/>
        <w:rPr>
          <w:rFonts w:ascii="仿宋" w:hAnsi="仿宋" w:eastAsia="仿宋" w:cs="仿宋"/>
          <w:kern w:val="0"/>
          <w:sz w:val="28"/>
          <w:szCs w:val="28"/>
          <w:highlight w:val="none"/>
        </w:rPr>
      </w:pPr>
      <w:bookmarkStart w:id="47" w:name="_Toc31905"/>
      <w:r>
        <w:rPr>
          <w:rFonts w:hint="eastAsia" w:ascii="仿宋" w:hAnsi="仿宋" w:eastAsia="仿宋" w:cs="仿宋"/>
          <w:kern w:val="0"/>
          <w:sz w:val="28"/>
          <w:szCs w:val="28"/>
          <w:highlight w:val="none"/>
          <w:lang w:val="en-US" w:eastAsia="zh-CN"/>
        </w:rPr>
        <w:t>九</w:t>
      </w:r>
      <w:r>
        <w:rPr>
          <w:rFonts w:hint="eastAsia" w:ascii="仿宋" w:hAnsi="仿宋" w:eastAsia="仿宋" w:cs="仿宋"/>
          <w:kern w:val="0"/>
          <w:sz w:val="28"/>
          <w:szCs w:val="28"/>
          <w:highlight w:val="none"/>
        </w:rPr>
        <w:t>、招标服务费</w:t>
      </w:r>
      <w:bookmarkEnd w:id="44"/>
      <w:bookmarkEnd w:id="45"/>
      <w:bookmarkEnd w:id="47"/>
    </w:p>
    <w:p>
      <w:pPr>
        <w:spacing w:line="560" w:lineRule="exact"/>
        <w:ind w:firstLine="480" w:firstLineChars="200"/>
        <w:rPr>
          <w:rFonts w:ascii="仿宋" w:hAnsi="仿宋" w:eastAsia="仿宋" w:cs="仿宋"/>
          <w:szCs w:val="24"/>
          <w:highlight w:val="none"/>
        </w:rPr>
      </w:pPr>
      <w:r>
        <w:rPr>
          <w:rFonts w:hint="eastAsia" w:ascii="仿宋" w:hAnsi="仿宋" w:eastAsia="仿宋" w:cs="仿宋"/>
          <w:bCs/>
          <w:szCs w:val="24"/>
          <w:highlight w:val="none"/>
        </w:rPr>
        <w:t>1、</w:t>
      </w:r>
      <w:r>
        <w:rPr>
          <w:rFonts w:hint="eastAsia" w:ascii="仿宋" w:hAnsi="仿宋" w:eastAsia="仿宋" w:cs="仿宋"/>
          <w:szCs w:val="24"/>
          <w:highlight w:val="none"/>
        </w:rPr>
        <w:t>中标人在领取中标通知书时，</w:t>
      </w:r>
      <w:bookmarkStart w:id="48" w:name="_Toc193187089"/>
      <w:bookmarkStart w:id="49" w:name="_Toc188808820"/>
      <w:bookmarkStart w:id="50" w:name="_Toc194663910"/>
      <w:bookmarkStart w:id="51" w:name="_Toc193126874"/>
      <w:r>
        <w:rPr>
          <w:rFonts w:hint="eastAsia" w:ascii="仿宋" w:hAnsi="仿宋" w:eastAsia="仿宋" w:cs="仿宋"/>
          <w:szCs w:val="24"/>
          <w:highlight w:val="none"/>
        </w:rPr>
        <w:t>依据《国家计委关于印发&lt;招标代理服务收费管理暂行办法&gt;的通知》(计价格〔2002〕1980号)、《国家发展改革委关于降低部分建设项目收费标准规范收费行为等有关问题的通知》(发改价格〔2011〕534号)以及财政部关于印发&lt;政府采购代理机构管理暂行办法&gt;的通知》（财库〔2018〕2号），向华招广和项目管理有限公司交纳招标服务费。</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2、招标服务费应采用转账、现金形式交纳。</w:t>
      </w:r>
    </w:p>
    <w:p>
      <w:pPr>
        <w:pStyle w:val="4"/>
        <w:spacing w:line="560" w:lineRule="exact"/>
        <w:rPr>
          <w:rFonts w:ascii="仿宋" w:hAnsi="仿宋" w:eastAsia="仿宋" w:cs="仿宋"/>
          <w:kern w:val="0"/>
          <w:sz w:val="28"/>
          <w:szCs w:val="28"/>
          <w:highlight w:val="none"/>
        </w:rPr>
      </w:pPr>
      <w:bookmarkStart w:id="52" w:name="_Toc458617741"/>
      <w:bookmarkStart w:id="53" w:name="_Toc458617464"/>
      <w:bookmarkStart w:id="54" w:name="_Toc4176"/>
      <w:r>
        <w:rPr>
          <w:rFonts w:hint="eastAsia" w:ascii="仿宋" w:hAnsi="仿宋" w:eastAsia="仿宋" w:cs="仿宋"/>
          <w:kern w:val="0"/>
          <w:sz w:val="28"/>
          <w:szCs w:val="28"/>
          <w:highlight w:val="none"/>
        </w:rPr>
        <w:t>十、</w:t>
      </w:r>
      <w:bookmarkEnd w:id="48"/>
      <w:bookmarkEnd w:id="49"/>
      <w:bookmarkEnd w:id="50"/>
      <w:bookmarkEnd w:id="51"/>
      <w:bookmarkEnd w:id="52"/>
      <w:bookmarkEnd w:id="53"/>
      <w:r>
        <w:rPr>
          <w:rFonts w:hint="eastAsia" w:ascii="仿宋" w:hAnsi="仿宋" w:eastAsia="仿宋" w:cs="仿宋"/>
          <w:kern w:val="0"/>
          <w:sz w:val="28"/>
          <w:szCs w:val="28"/>
          <w:highlight w:val="none"/>
        </w:rPr>
        <w:t>重新组织采购活动</w:t>
      </w:r>
      <w:bookmarkEnd w:id="54"/>
    </w:p>
    <w:p>
      <w:pPr>
        <w:spacing w:line="560" w:lineRule="exact"/>
        <w:ind w:firstLine="720" w:firstLineChars="300"/>
        <w:rPr>
          <w:rFonts w:ascii="仿宋" w:hAnsi="仿宋" w:eastAsia="仿宋" w:cs="仿宋"/>
          <w:szCs w:val="24"/>
          <w:highlight w:val="none"/>
        </w:rPr>
      </w:pPr>
      <w:r>
        <w:rPr>
          <w:rFonts w:hint="eastAsia" w:ascii="仿宋" w:hAnsi="仿宋" w:eastAsia="仿宋" w:cs="仿宋"/>
          <w:szCs w:val="24"/>
          <w:highlight w:val="none"/>
        </w:rPr>
        <w:t>如果发生下列情况之一，采购人和采购代理机构将按《政府采购法》、《政府采购货物和服务招标投标管理办法》（财政部第87号）等有关规定重新组织采购活动：</w:t>
      </w:r>
    </w:p>
    <w:p>
      <w:pPr>
        <w:spacing w:line="560" w:lineRule="exact"/>
        <w:ind w:firstLine="480"/>
        <w:rPr>
          <w:rFonts w:ascii="仿宋" w:hAnsi="仿宋" w:eastAsia="仿宋" w:cs="仿宋"/>
          <w:kern w:val="96"/>
          <w:szCs w:val="24"/>
          <w:highlight w:val="none"/>
        </w:rPr>
      </w:pPr>
      <w:r>
        <w:rPr>
          <w:rFonts w:hint="eastAsia" w:ascii="仿宋" w:hAnsi="仿宋" w:eastAsia="仿宋" w:cs="仿宋"/>
          <w:kern w:val="96"/>
          <w:szCs w:val="24"/>
          <w:highlight w:val="none"/>
        </w:rPr>
        <w:t>（1）因重大变故，采购任务取消的；</w:t>
      </w:r>
    </w:p>
    <w:p>
      <w:pPr>
        <w:spacing w:line="560" w:lineRule="exact"/>
        <w:ind w:firstLine="480"/>
        <w:rPr>
          <w:rFonts w:ascii="仿宋" w:hAnsi="仿宋" w:eastAsia="仿宋" w:cs="仿宋"/>
          <w:kern w:val="96"/>
          <w:szCs w:val="24"/>
          <w:highlight w:val="none"/>
        </w:rPr>
      </w:pPr>
      <w:r>
        <w:rPr>
          <w:rFonts w:hint="eastAsia" w:ascii="仿宋" w:hAnsi="仿宋" w:eastAsia="仿宋" w:cs="仿宋"/>
          <w:kern w:val="96"/>
          <w:szCs w:val="24"/>
          <w:highlight w:val="none"/>
        </w:rPr>
        <w:t>（2）招标文件存在不合理条款或者招标程序不符合规定的；</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96"/>
          <w:szCs w:val="24"/>
          <w:highlight w:val="none"/>
        </w:rPr>
        <w:t>（3）</w:t>
      </w:r>
      <w:r>
        <w:rPr>
          <w:rFonts w:hint="eastAsia" w:ascii="仿宋" w:hAnsi="仿宋" w:eastAsia="仿宋" w:cs="仿宋"/>
          <w:szCs w:val="24"/>
          <w:highlight w:val="none"/>
        </w:rPr>
        <w:t>出现影响采购公正的违法、违规行为的；</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（4）投标截止后投标人不足3家或者通过资格审查或符合性审查的投标人不足3家的；</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（5）所有投标人的报价均超出采购预算或最高限价，采购人不能支付的。</w:t>
      </w:r>
    </w:p>
    <w:p>
      <w:pPr>
        <w:pStyle w:val="4"/>
        <w:tabs>
          <w:tab w:val="left" w:pos="6899"/>
        </w:tabs>
        <w:spacing w:line="560" w:lineRule="exact"/>
        <w:rPr>
          <w:rFonts w:ascii="仿宋" w:hAnsi="仿宋" w:eastAsia="仿宋" w:cs="仿宋"/>
          <w:kern w:val="0"/>
          <w:sz w:val="28"/>
          <w:szCs w:val="28"/>
          <w:highlight w:val="none"/>
        </w:rPr>
      </w:pPr>
      <w:bookmarkStart w:id="55" w:name="_Toc458617465"/>
      <w:bookmarkStart w:id="56" w:name="_Toc458617742"/>
      <w:bookmarkStart w:id="57" w:name="_Toc8992"/>
      <w:r>
        <w:rPr>
          <w:rFonts w:hint="eastAsia" w:ascii="仿宋" w:hAnsi="仿宋" w:eastAsia="仿宋" w:cs="仿宋"/>
          <w:kern w:val="0"/>
          <w:sz w:val="28"/>
          <w:szCs w:val="28"/>
          <w:highlight w:val="none"/>
        </w:rPr>
        <w:t>十</w:t>
      </w:r>
      <w:r>
        <w:rPr>
          <w:rFonts w:hint="eastAsia" w:ascii="仿宋" w:hAnsi="仿宋" w:eastAsia="仿宋" w:cs="仿宋"/>
          <w:kern w:val="0"/>
          <w:sz w:val="28"/>
          <w:szCs w:val="28"/>
          <w:highlight w:val="none"/>
          <w:lang w:val="en-US" w:eastAsia="zh-CN"/>
        </w:rPr>
        <w:t>一</w:t>
      </w:r>
      <w:r>
        <w:rPr>
          <w:rFonts w:hint="eastAsia" w:ascii="仿宋" w:hAnsi="仿宋" w:eastAsia="仿宋" w:cs="仿宋"/>
          <w:kern w:val="0"/>
          <w:sz w:val="28"/>
          <w:szCs w:val="28"/>
          <w:highlight w:val="none"/>
        </w:rPr>
        <w:t>、</w:t>
      </w:r>
      <w:bookmarkEnd w:id="55"/>
      <w:bookmarkEnd w:id="56"/>
      <w:bookmarkStart w:id="58" w:name="_Toc458617743"/>
      <w:bookmarkStart w:id="59" w:name="_Toc458617466"/>
      <w:r>
        <w:rPr>
          <w:rFonts w:hint="eastAsia" w:ascii="仿宋" w:hAnsi="仿宋" w:eastAsia="仿宋" w:cs="仿宋"/>
          <w:kern w:val="0"/>
          <w:sz w:val="28"/>
          <w:szCs w:val="28"/>
          <w:highlight w:val="none"/>
        </w:rPr>
        <w:t>询问、质疑与投诉</w:t>
      </w:r>
      <w:bookmarkEnd w:id="57"/>
      <w:r>
        <w:rPr>
          <w:rFonts w:hint="eastAsia" w:ascii="仿宋" w:hAnsi="仿宋" w:eastAsia="仿宋" w:cs="仿宋"/>
          <w:kern w:val="0"/>
          <w:sz w:val="28"/>
          <w:szCs w:val="28"/>
          <w:highlight w:val="none"/>
        </w:rPr>
        <w:tab/>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1、询问</w:t>
      </w:r>
    </w:p>
    <w:p>
      <w:pPr>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投标人对政府采购活动事项有疑问的，可以向采购人、采购代理机构提出询问。</w:t>
      </w:r>
    </w:p>
    <w:p>
      <w:pPr>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2、质疑</w:t>
      </w:r>
    </w:p>
    <w:p>
      <w:pPr>
        <w:spacing w:line="560" w:lineRule="exact"/>
        <w:ind w:firstLine="480" w:firstLineChars="200"/>
        <w:rPr>
          <w:rFonts w:ascii="仿宋" w:hAnsi="仿宋" w:eastAsia="仿宋" w:cs="仿宋"/>
          <w:highlight w:val="none"/>
        </w:rPr>
      </w:pPr>
      <w:r>
        <w:rPr>
          <w:rFonts w:hint="eastAsia" w:ascii="仿宋" w:hAnsi="仿宋" w:eastAsia="仿宋" w:cs="仿宋"/>
          <w:highlight w:val="none"/>
        </w:rPr>
        <w:t>2-1、投标人认为招标文件、招标过程和中标结果使自己的权益受到损害的，可以在知道或者应知其权益受到损害之日起七个工作日内，以书面形式向采购人或采购代理机构提出质疑，逾期质疑无效。投标人应知其权益受到损害之日，是指：</w:t>
      </w:r>
    </w:p>
    <w:p>
      <w:pPr>
        <w:spacing w:line="560" w:lineRule="exact"/>
        <w:ind w:firstLine="480" w:firstLineChars="200"/>
        <w:rPr>
          <w:rFonts w:ascii="仿宋" w:hAnsi="仿宋" w:eastAsia="仿宋" w:cs="仿宋"/>
          <w:spacing w:val="-11"/>
          <w:highlight w:val="none"/>
        </w:rPr>
      </w:pPr>
      <w:r>
        <w:rPr>
          <w:rFonts w:hint="eastAsia" w:ascii="仿宋" w:hAnsi="仿宋" w:eastAsia="仿宋" w:cs="仿宋"/>
          <w:highlight w:val="none"/>
        </w:rPr>
        <w:t>（1）</w:t>
      </w:r>
      <w:r>
        <w:rPr>
          <w:rFonts w:hint="eastAsia" w:ascii="仿宋" w:hAnsi="仿宋" w:eastAsia="仿宋" w:cs="仿宋"/>
          <w:spacing w:val="-11"/>
          <w:highlight w:val="none"/>
        </w:rPr>
        <w:t>对采购文件提出质疑的，为收到采购文件之日或者采购文件公告期限届满之日；</w:t>
      </w:r>
    </w:p>
    <w:p>
      <w:pPr>
        <w:spacing w:line="560" w:lineRule="exact"/>
        <w:ind w:firstLine="480" w:firstLineChars="200"/>
        <w:rPr>
          <w:rFonts w:ascii="仿宋" w:hAnsi="仿宋" w:eastAsia="仿宋" w:cs="仿宋"/>
          <w:highlight w:val="none"/>
        </w:rPr>
      </w:pPr>
      <w:r>
        <w:rPr>
          <w:rFonts w:hint="eastAsia" w:ascii="仿宋" w:hAnsi="仿宋" w:eastAsia="仿宋" w:cs="仿宋"/>
          <w:highlight w:val="none"/>
        </w:rPr>
        <w:t>（2）对采购过程提出质疑的，为各采购程序环节结束之日；</w:t>
      </w:r>
    </w:p>
    <w:p>
      <w:pPr>
        <w:spacing w:line="560" w:lineRule="exact"/>
        <w:ind w:firstLine="240" w:firstLineChars="100"/>
        <w:jc w:val="center"/>
        <w:rPr>
          <w:rFonts w:ascii="仿宋" w:hAnsi="仿宋" w:eastAsia="仿宋" w:cs="仿宋"/>
          <w:kern w:val="0"/>
          <w:szCs w:val="24"/>
          <w:highlight w:val="none"/>
        </w:rPr>
      </w:pPr>
      <w:r>
        <w:rPr>
          <w:rFonts w:hint="eastAsia" w:ascii="仿宋" w:hAnsi="仿宋" w:eastAsia="仿宋" w:cs="仿宋"/>
          <w:highlight w:val="none"/>
        </w:rPr>
        <w:t xml:space="preserve">  （3）对中标或者成交结果提出质疑的，为中标或者成交结果公告期限届满之日。</w:t>
      </w:r>
    </w:p>
    <w:p>
      <w:pPr>
        <w:spacing w:line="560" w:lineRule="exact"/>
        <w:ind w:firstLine="480" w:firstLineChars="200"/>
        <w:rPr>
          <w:rFonts w:ascii="仿宋" w:hAnsi="仿宋" w:eastAsia="仿宋" w:cs="仿宋"/>
          <w:szCs w:val="24"/>
          <w:highlight w:val="none"/>
        </w:rPr>
      </w:pPr>
      <w:r>
        <w:rPr>
          <w:rFonts w:hint="eastAsia" w:ascii="仿宋" w:hAnsi="仿宋" w:eastAsia="仿宋" w:cs="仿宋"/>
          <w:highlight w:val="none"/>
        </w:rPr>
        <w:t>2-2、投标人须在法</w:t>
      </w:r>
      <w:r>
        <w:rPr>
          <w:rFonts w:hint="eastAsia" w:ascii="仿宋" w:hAnsi="仿宋" w:eastAsia="仿宋" w:cs="仿宋"/>
          <w:szCs w:val="24"/>
          <w:highlight w:val="none"/>
        </w:rPr>
        <w:t>定质疑期内一次性提出针对同一采购程序环节的质疑。</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2-3、投标人须按照财政部发布的《政府采购供应商质疑函范本》及其制作说明提出质疑，详见“中国政府采购网（www.ccgp.gov.cn）”下载专区。</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-4、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-5、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2-6、投标人应在法定期限内以书面形式提出质疑，联系人： 成工，联系方式：029-87592321，地址：华招广和项目管理有限公司（西安市朱雀大街南段1号汇成天玺C座18层1812室）。</w:t>
      </w:r>
    </w:p>
    <w:p>
      <w:pPr>
        <w:spacing w:line="560" w:lineRule="exact"/>
        <w:ind w:firstLine="480" w:firstLineChars="200"/>
        <w:rPr>
          <w:rFonts w:ascii="仿宋" w:hAnsi="仿宋" w:eastAsia="仿宋" w:cs="仿宋"/>
          <w:highlight w:val="none"/>
        </w:rPr>
      </w:pPr>
      <w:r>
        <w:rPr>
          <w:rFonts w:hint="eastAsia" w:ascii="仿宋" w:hAnsi="仿宋" w:eastAsia="仿宋" w:cs="仿宋"/>
          <w:highlight w:val="none"/>
        </w:rPr>
        <w:t>3、投诉</w:t>
      </w:r>
    </w:p>
    <w:p>
      <w:pPr>
        <w:pStyle w:val="39"/>
        <w:spacing w:line="560" w:lineRule="exact"/>
        <w:ind w:firstLine="480"/>
        <w:rPr>
          <w:rFonts w:ascii="仿宋" w:hAnsi="仿宋" w:eastAsia="仿宋" w:cs="仿宋"/>
          <w:kern w:val="2"/>
          <w:sz w:val="24"/>
          <w:szCs w:val="20"/>
          <w:highlight w:val="none"/>
        </w:rPr>
      </w:pPr>
      <w:r>
        <w:rPr>
          <w:rFonts w:hint="eastAsia" w:ascii="仿宋" w:hAnsi="仿宋" w:eastAsia="仿宋" w:cs="仿宋"/>
          <w:kern w:val="2"/>
          <w:sz w:val="24"/>
          <w:szCs w:val="20"/>
          <w:highlight w:val="none"/>
        </w:rPr>
        <w:t>3-1、质疑投标人对采购人、采购代理机构的答复不满意或者采购人、采购代理机构未在规定的时间内作出答复的，可按《政府采购法》第55条和《政府采购质疑和投诉办法》（财政部令第94号）第17条等有关规定执行。</w:t>
      </w:r>
    </w:p>
    <w:p>
      <w:pPr>
        <w:pStyle w:val="39"/>
        <w:spacing w:line="560" w:lineRule="exact"/>
        <w:ind w:firstLine="480"/>
        <w:rPr>
          <w:rFonts w:ascii="仿宋" w:hAnsi="仿宋" w:eastAsia="仿宋" w:cs="仿宋"/>
          <w:kern w:val="2"/>
          <w:sz w:val="24"/>
          <w:szCs w:val="20"/>
          <w:highlight w:val="none"/>
        </w:rPr>
      </w:pPr>
      <w:r>
        <w:rPr>
          <w:rFonts w:hint="eastAsia" w:ascii="仿宋" w:hAnsi="仿宋" w:eastAsia="仿宋" w:cs="仿宋"/>
          <w:kern w:val="2"/>
          <w:sz w:val="24"/>
          <w:szCs w:val="20"/>
          <w:highlight w:val="none"/>
        </w:rPr>
        <w:t>3-2、本项目质疑投标人对采购人、采购代理机构的答复不满意或者采购人、采购代理机构未在规定时间内作出答复的，可在15个工作日内向</w:t>
      </w:r>
      <w:r>
        <w:rPr>
          <w:rFonts w:hint="eastAsia" w:ascii="仿宋" w:hAnsi="仿宋" w:eastAsia="仿宋" w:cs="仿宋"/>
          <w:kern w:val="2"/>
          <w:sz w:val="24"/>
          <w:szCs w:val="20"/>
          <w:highlight w:val="none"/>
          <w:u w:val="single"/>
          <w:lang w:eastAsia="zh-CN"/>
        </w:rPr>
        <w:t>西安市高陵区财政局</w:t>
      </w:r>
      <w:r>
        <w:rPr>
          <w:rFonts w:hint="eastAsia" w:ascii="仿宋" w:hAnsi="仿宋" w:eastAsia="仿宋" w:cs="仿宋"/>
          <w:kern w:val="2"/>
          <w:sz w:val="24"/>
          <w:szCs w:val="20"/>
          <w:highlight w:val="none"/>
        </w:rPr>
        <w:t>提起投诉。</w:t>
      </w:r>
    </w:p>
    <w:p>
      <w:pPr>
        <w:pStyle w:val="4"/>
        <w:spacing w:line="560" w:lineRule="exact"/>
        <w:rPr>
          <w:rFonts w:ascii="仿宋" w:hAnsi="仿宋" w:eastAsia="仿宋" w:cs="仿宋"/>
          <w:kern w:val="0"/>
          <w:sz w:val="28"/>
          <w:szCs w:val="28"/>
          <w:highlight w:val="none"/>
        </w:rPr>
      </w:pPr>
      <w:bookmarkStart w:id="60" w:name="_Toc19651"/>
      <w:r>
        <w:rPr>
          <w:rFonts w:hint="eastAsia" w:ascii="仿宋" w:hAnsi="仿宋" w:eastAsia="仿宋" w:cs="仿宋"/>
          <w:kern w:val="0"/>
          <w:sz w:val="28"/>
          <w:szCs w:val="28"/>
          <w:highlight w:val="none"/>
        </w:rPr>
        <w:t>十</w:t>
      </w:r>
      <w:r>
        <w:rPr>
          <w:rFonts w:hint="eastAsia" w:ascii="仿宋" w:hAnsi="仿宋" w:eastAsia="仿宋" w:cs="仿宋"/>
          <w:kern w:val="0"/>
          <w:sz w:val="28"/>
          <w:szCs w:val="28"/>
          <w:highlight w:val="none"/>
          <w:lang w:val="en-US" w:eastAsia="zh-CN"/>
        </w:rPr>
        <w:t>二</w:t>
      </w:r>
      <w:r>
        <w:rPr>
          <w:rFonts w:hint="eastAsia" w:ascii="仿宋" w:hAnsi="仿宋" w:eastAsia="仿宋" w:cs="仿宋"/>
          <w:kern w:val="0"/>
          <w:sz w:val="28"/>
          <w:szCs w:val="28"/>
          <w:highlight w:val="none"/>
        </w:rPr>
        <w:t>、拒绝商业贿赂</w:t>
      </w:r>
      <w:bookmarkEnd w:id="58"/>
      <w:bookmarkEnd w:id="59"/>
      <w:bookmarkEnd w:id="60"/>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1、遵照陕西省财政厅的规定，采购人、采购代理机构、投标人和评审专家在招投标活动中，都要签订相应的《拒绝政府采购领域商业贿赂承诺书》，并对违反承诺的行为承担全部责任。</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2、投标人必须填写《拒绝政府采购领域商业贿赂承诺书》并附在投标文件中，同时应保证投标文件正、副本中一致。</w:t>
      </w:r>
    </w:p>
    <w:p>
      <w:pPr>
        <w:pStyle w:val="3"/>
        <w:spacing w:line="560" w:lineRule="exact"/>
        <w:rPr>
          <w:rFonts w:ascii="仿宋" w:hAnsi="仿宋" w:eastAsia="仿宋" w:cs="仿宋"/>
          <w:kern w:val="0"/>
          <w:highlight w:val="none"/>
        </w:rPr>
        <w:sectPr>
          <w:headerReference r:id="rId13" w:type="first"/>
          <w:footerReference r:id="rId15" w:type="first"/>
          <w:headerReference r:id="rId12" w:type="default"/>
          <w:footerReference r:id="rId14" w:type="default"/>
          <w:pgSz w:w="11905" w:h="16840"/>
          <w:pgMar w:top="1417" w:right="1417" w:bottom="1417" w:left="1417" w:header="935" w:footer="771" w:gutter="0"/>
          <w:pgNumType w:start="4"/>
          <w:cols w:space="0" w:num="1"/>
          <w:titlePg/>
          <w:docGrid w:linePitch="312" w:charSpace="0"/>
        </w:sectPr>
      </w:pPr>
      <w:bookmarkStart w:id="61" w:name="_Toc458617744"/>
      <w:bookmarkStart w:id="62" w:name="_Toc458617467"/>
    </w:p>
    <w:p>
      <w:pPr>
        <w:pStyle w:val="3"/>
        <w:numPr>
          <w:ilvl w:val="0"/>
          <w:numId w:val="6"/>
        </w:numPr>
        <w:spacing w:line="480" w:lineRule="auto"/>
        <w:jc w:val="center"/>
        <w:rPr>
          <w:rFonts w:ascii="仿宋" w:hAnsi="仿宋" w:eastAsia="仿宋" w:cs="仿宋"/>
          <w:kern w:val="0"/>
          <w:highlight w:val="none"/>
        </w:rPr>
      </w:pPr>
      <w:bookmarkStart w:id="63" w:name="_Toc1684"/>
      <w:r>
        <w:rPr>
          <w:rFonts w:hint="eastAsia" w:ascii="仿宋" w:hAnsi="仿宋" w:eastAsia="仿宋" w:cs="仿宋"/>
          <w:kern w:val="0"/>
          <w:highlight w:val="none"/>
        </w:rPr>
        <w:t>采购内容及技术要求</w:t>
      </w:r>
      <w:bookmarkEnd w:id="61"/>
      <w:bookmarkEnd w:id="62"/>
      <w:bookmarkEnd w:id="63"/>
      <w:bookmarkStart w:id="64" w:name="_Toc458617745"/>
      <w:bookmarkStart w:id="65" w:name="_Toc458617468"/>
    </w:p>
    <w:bookmarkEnd w:id="64"/>
    <w:bookmarkEnd w:id="65"/>
    <w:p>
      <w:pPr>
        <w:pStyle w:val="6"/>
        <w:spacing w:line="640" w:lineRule="exact"/>
        <w:rPr>
          <w:rFonts w:ascii="仿宋" w:hAnsi="仿宋" w:eastAsia="仿宋" w:cs="仿宋"/>
          <w:bCs/>
          <w:color w:val="000000"/>
          <w:szCs w:val="24"/>
          <w:highlight w:val="none"/>
        </w:rPr>
      </w:pPr>
      <w:r>
        <w:rPr>
          <w:rFonts w:hint="eastAsia" w:ascii="仿宋" w:hAnsi="仿宋" w:eastAsia="仿宋" w:cs="仿宋"/>
          <w:bCs/>
          <w:color w:val="000000"/>
          <w:szCs w:val="24"/>
          <w:highlight w:val="none"/>
        </w:rPr>
        <w:t>一、项目概况</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发展高清电视，是广播电视技术进步的必然趋势，也是广电提高服务水平和服务质量的必然要求。为积极顺应这一形势，进一步强化党的意识形态主阵地建设，改变区融媒体中心设备仍处于标清的落后现状，按照2021年4月22日市文化旅游局安全播出检查组提出的整改意见,以及《西安市文化和旅游局转发〈陕西省广播电视局关于加快推进我省高清电视发展工作的通知〉的通知》（市文旅发〔2020〕104号）中提出“要采取超强措施，加快推进频道的高清化改造工作”要求，</w:t>
      </w:r>
      <w:r>
        <w:rPr>
          <w:rFonts w:hint="eastAsia" w:ascii="仿宋" w:hAnsi="仿宋" w:eastAsia="仿宋" w:cs="仿宋"/>
          <w:highlight w:val="none"/>
        </w:rPr>
        <w:t>西安市高陵区融媒体中心</w:t>
      </w:r>
      <w:r>
        <w:rPr>
          <w:rFonts w:hint="eastAsia" w:ascii="仿宋" w:hAnsi="仿宋" w:eastAsia="仿宋" w:cs="仿宋"/>
          <w:color w:val="000000"/>
          <w:highlight w:val="none"/>
        </w:rPr>
        <w:t>拟对设备系统进行高清化改造。</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整个系统设计主要依据国家广播电影电视总局有关电视台建设标准，技术指标应符合国家及广播电影电视总局颁布的有关标准，符合ITU-R BT.601，SMPTE259M等有关标准，AES/EBU数字演播室音频有关标准的要求。</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本系统视音频指标要符合如下标准：</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CCIR（ITU-R601）601</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CCIR（ITU-R656）656</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GB/T14857-1993《演播室数字电视编码参数》</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GB 3174-1995《PAL-D电视广播技术规范》</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GB/T17953-2000《4：2：2数字分量图像信号的接口》</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GY/T107-92  《电视中心播控系统维护规程》</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GY/T152-2000《电视中心制作系统运行维护规程》</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GY/T158-2000《演播室数字音频信号接口》</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GY/T160-2000《数字分量演播室接口中的附属数据信号格式》</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GY/T161-2000《数字电视附属数据空间内数字音频和辅助数据的传输规范》</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GY/T164-2000《演播室串行数字光纤传输系统》</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GY/T165-2000《电视中心播控系统数字播出通路技术指标和测量方法》</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 xml:space="preserve">GY/T167-2000《数字分量演播室的同步基准信号》。 </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GB/T17953-2000《4:2:2数字分量图像信号的接口》</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GY/T 155-2000《高清晰度电视节目制作及交换用视频参数值》</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GY/T 152-2000《电视中心制作系统运行维护规程》</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GB/T 17544-1998 《信息技术 软件包 质量要求和测试》</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GB/T 16260-1996 《信息技术 软件产品评价 质量特性及其使用指南》</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ANSI/TIA/EIA-568-B.2商业建筑通信布线系统标准 第二部分：平衡双绞线布线系统</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GB/T21671-2008 《基于以太网技术的局域网系统验收测评规范》</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ITU-R  BT.601-2《数字电视编码标准》</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GY/T134-1998数字电视图像质量主观评价方法；</w:t>
      </w:r>
    </w:p>
    <w:p>
      <w:pPr>
        <w:numPr>
          <w:ilvl w:val="0"/>
          <w:numId w:val="7"/>
        </w:numPr>
        <w:spacing w:line="640" w:lineRule="exact"/>
        <w:rPr>
          <w:rFonts w:ascii="仿宋" w:hAnsi="仿宋" w:eastAsia="仿宋" w:cs="仿宋"/>
          <w:color w:val="000000"/>
          <w:szCs w:val="21"/>
          <w:highlight w:val="none"/>
        </w:rPr>
      </w:pPr>
      <w:r>
        <w:rPr>
          <w:rFonts w:hint="eastAsia" w:ascii="仿宋" w:hAnsi="仿宋" w:eastAsia="仿宋" w:cs="仿宋"/>
          <w:color w:val="000000"/>
          <w:szCs w:val="21"/>
          <w:highlight w:val="none"/>
        </w:rPr>
        <w:t>国家广播电影电视总局其他有关数字电视设备系统的标准；</w:t>
      </w:r>
    </w:p>
    <w:p>
      <w:pPr>
        <w:numPr>
          <w:ilvl w:val="0"/>
          <w:numId w:val="7"/>
        </w:numPr>
        <w:spacing w:line="640" w:lineRule="exact"/>
        <w:rPr>
          <w:rFonts w:ascii="仿宋" w:hAnsi="仿宋" w:eastAsia="仿宋" w:cs="仿宋"/>
          <w:color w:val="000000"/>
          <w:highlight w:val="none"/>
        </w:rPr>
      </w:pPr>
      <w:r>
        <w:rPr>
          <w:rFonts w:hint="eastAsia" w:ascii="仿宋" w:hAnsi="仿宋" w:eastAsia="仿宋" w:cs="仿宋"/>
          <w:color w:val="000000"/>
          <w:szCs w:val="21"/>
          <w:highlight w:val="none"/>
        </w:rPr>
        <w:t>国家广播电影电视总局其他有关省级电视台建设的标准；</w:t>
      </w:r>
    </w:p>
    <w:p>
      <w:pPr>
        <w:pStyle w:val="6"/>
        <w:spacing w:line="640" w:lineRule="exact"/>
        <w:rPr>
          <w:rFonts w:ascii="仿宋" w:hAnsi="仿宋" w:eastAsia="仿宋" w:cs="仿宋"/>
          <w:color w:val="000000"/>
          <w:sz w:val="24"/>
          <w:highlight w:val="none"/>
        </w:rPr>
      </w:pPr>
      <w:bookmarkStart w:id="66" w:name="_Toc107383607"/>
      <w:bookmarkStart w:id="67" w:name="_Toc107723589"/>
      <w:bookmarkStart w:id="68" w:name="_Toc131904887"/>
      <w:bookmarkStart w:id="69" w:name="_Toc28489471"/>
      <w:bookmarkStart w:id="70" w:name="_Toc131904886"/>
      <w:bookmarkStart w:id="71" w:name="_Toc123532809"/>
      <w:bookmarkStart w:id="72" w:name="_Toc155011299"/>
      <w:bookmarkStart w:id="73" w:name="_Toc102620120"/>
      <w:bookmarkStart w:id="74" w:name="_Toc138506064"/>
      <w:bookmarkStart w:id="75" w:name="_Toc99959609"/>
      <w:bookmarkStart w:id="76" w:name="_Toc99943760"/>
      <w:bookmarkStart w:id="77" w:name="_Toc163962940"/>
      <w:bookmarkStart w:id="78" w:name="_Toc144103554"/>
      <w:bookmarkStart w:id="79" w:name="_Toc102206237"/>
      <w:bookmarkStart w:id="80" w:name="_Toc99868129"/>
      <w:bookmarkStart w:id="81" w:name="_Toc131922345"/>
      <w:bookmarkStart w:id="82" w:name="_Toc26775996"/>
      <w:bookmarkStart w:id="83" w:name="_Toc138568644"/>
      <w:bookmarkStart w:id="84" w:name="_Toc60236031"/>
      <w:bookmarkStart w:id="85" w:name="_Toc107385277"/>
      <w:bookmarkStart w:id="86" w:name="_Toc67911902"/>
      <w:bookmarkStart w:id="87" w:name="_Toc131922460"/>
      <w:bookmarkStart w:id="88" w:name="_Toc131922344"/>
      <w:bookmarkStart w:id="89" w:name="_Toc109467889"/>
      <w:bookmarkStart w:id="90" w:name="_Toc149044503"/>
      <w:bookmarkStart w:id="91" w:name="_Toc148784643"/>
      <w:bookmarkStart w:id="92" w:name="_Toc66722072"/>
      <w:bookmarkStart w:id="93" w:name="_Toc131922401"/>
      <w:bookmarkStart w:id="94" w:name="_Toc107459970"/>
      <w:bookmarkStart w:id="95" w:name="_Toc131922402"/>
      <w:bookmarkStart w:id="96" w:name="_Toc95304184"/>
      <w:bookmarkStart w:id="97" w:name="_Toc131922461"/>
      <w:r>
        <w:rPr>
          <w:rFonts w:hint="eastAsia" w:ascii="仿宋" w:hAnsi="仿宋" w:eastAsia="仿宋" w:cs="仿宋"/>
          <w:color w:val="000000"/>
          <w:highlight w:val="none"/>
        </w:rPr>
        <w:t>二、设备技术要求</w:t>
      </w:r>
    </w:p>
    <w:p>
      <w:pPr>
        <w:spacing w:line="640" w:lineRule="exact"/>
        <w:rPr>
          <w:rFonts w:ascii="仿宋" w:hAnsi="仿宋" w:eastAsia="仿宋" w:cs="仿宋"/>
          <w:b/>
          <w:color w:val="000000"/>
          <w:kern w:val="0"/>
          <w:highlight w:val="none"/>
        </w:rPr>
      </w:pPr>
      <w:r>
        <w:rPr>
          <w:rFonts w:hint="eastAsia" w:ascii="仿宋" w:hAnsi="仿宋" w:eastAsia="仿宋" w:cs="仿宋"/>
          <w:b/>
          <w:color w:val="000000"/>
          <w:kern w:val="0"/>
          <w:highlight w:val="none"/>
        </w:rPr>
        <w:t>（一）系统总体建设要求：</w:t>
      </w:r>
    </w:p>
    <w:p>
      <w:pPr>
        <w:numPr>
          <w:ilvl w:val="0"/>
          <w:numId w:val="8"/>
        </w:numPr>
        <w:adjustRightInd w:val="0"/>
        <w:spacing w:line="640" w:lineRule="exact"/>
        <w:jc w:val="left"/>
        <w:textAlignment w:val="baseline"/>
        <w:rPr>
          <w:rFonts w:ascii="仿宋" w:hAnsi="仿宋" w:eastAsia="仿宋" w:cs="仿宋"/>
          <w:color w:val="000000"/>
          <w:highlight w:val="none"/>
        </w:rPr>
      </w:pPr>
      <w:r>
        <w:rPr>
          <w:rFonts w:hint="eastAsia" w:ascii="仿宋" w:hAnsi="仿宋" w:eastAsia="仿宋" w:cs="仿宋"/>
          <w:color w:val="000000"/>
          <w:highlight w:val="none"/>
        </w:rPr>
        <w:t>标准性原则：设备须符合国标及广电总局制定的相关行业标准，若国内无相关标准，应符合相关国际广播电视标准。</w:t>
      </w:r>
    </w:p>
    <w:p>
      <w:pPr>
        <w:numPr>
          <w:ilvl w:val="0"/>
          <w:numId w:val="8"/>
        </w:numPr>
        <w:adjustRightInd w:val="0"/>
        <w:spacing w:line="640" w:lineRule="exact"/>
        <w:jc w:val="left"/>
        <w:textAlignment w:val="baseline"/>
        <w:rPr>
          <w:rFonts w:ascii="仿宋" w:hAnsi="仿宋" w:eastAsia="仿宋" w:cs="仿宋"/>
          <w:color w:val="000000"/>
          <w:highlight w:val="none"/>
        </w:rPr>
      </w:pPr>
      <w:r>
        <w:rPr>
          <w:rFonts w:hint="eastAsia" w:ascii="仿宋" w:hAnsi="仿宋" w:eastAsia="仿宋" w:cs="仿宋"/>
          <w:color w:val="000000"/>
          <w:highlight w:val="none"/>
        </w:rPr>
        <w:t>扩展性原则：系统应具有较强的升级扩容能力，要求在网络结构基本不变、现有设备基本无须替换的情况下具有大规模的存储扩充和站点扩展能力。并预留其它业务无缝连接（如收录系统、播出系统、远程传输系统等）的扩容接口。</w:t>
      </w:r>
    </w:p>
    <w:p>
      <w:pPr>
        <w:numPr>
          <w:ilvl w:val="0"/>
          <w:numId w:val="8"/>
        </w:numPr>
        <w:adjustRightInd w:val="0"/>
        <w:spacing w:line="640" w:lineRule="exact"/>
        <w:jc w:val="left"/>
        <w:textAlignment w:val="baseline"/>
        <w:rPr>
          <w:rFonts w:ascii="仿宋" w:hAnsi="仿宋" w:eastAsia="仿宋" w:cs="仿宋"/>
          <w:color w:val="000000"/>
          <w:highlight w:val="none"/>
        </w:rPr>
      </w:pPr>
      <w:r>
        <w:rPr>
          <w:rFonts w:hint="eastAsia" w:ascii="仿宋" w:hAnsi="仿宋" w:eastAsia="仿宋" w:cs="仿宋"/>
          <w:color w:val="000000"/>
          <w:highlight w:val="none"/>
        </w:rPr>
        <w:t>安全性原则：系统必须具备完善的系统管理功能，可以根据用户需求定制网络工作流程，能实现基于个人的用户管理、设备管理、素材管理、日志管理、存储空间管理等功能。通过严格的权限控制，保证系统的使用安全。</w:t>
      </w:r>
    </w:p>
    <w:p>
      <w:pPr>
        <w:numPr>
          <w:ilvl w:val="0"/>
          <w:numId w:val="8"/>
        </w:numPr>
        <w:adjustRightInd w:val="0"/>
        <w:spacing w:line="640" w:lineRule="exact"/>
        <w:jc w:val="left"/>
        <w:textAlignment w:val="baseline"/>
        <w:rPr>
          <w:rFonts w:ascii="仿宋" w:hAnsi="仿宋" w:eastAsia="仿宋" w:cs="仿宋"/>
          <w:color w:val="000000"/>
          <w:highlight w:val="none"/>
        </w:rPr>
      </w:pPr>
      <w:r>
        <w:rPr>
          <w:rFonts w:hint="eastAsia" w:ascii="仿宋" w:hAnsi="仿宋" w:eastAsia="仿宋" w:cs="仿宋"/>
          <w:color w:val="000000"/>
          <w:highlight w:val="none"/>
        </w:rPr>
        <w:t>先进性原则：采用符合国际国内标准的、稳定成熟的先进技术，兼顾广播电视领域新技术的发展方向，适应数字技术发展的要求。</w:t>
      </w:r>
    </w:p>
    <w:p>
      <w:pPr>
        <w:numPr>
          <w:ilvl w:val="0"/>
          <w:numId w:val="8"/>
        </w:numPr>
        <w:adjustRightInd w:val="0"/>
        <w:spacing w:line="640" w:lineRule="exact"/>
        <w:jc w:val="left"/>
        <w:textAlignment w:val="baseline"/>
        <w:rPr>
          <w:rFonts w:ascii="仿宋" w:hAnsi="仿宋" w:eastAsia="仿宋" w:cs="仿宋"/>
          <w:color w:val="000000"/>
          <w:highlight w:val="none"/>
        </w:rPr>
      </w:pPr>
      <w:r>
        <w:rPr>
          <w:rFonts w:hint="eastAsia" w:ascii="仿宋" w:hAnsi="仿宋" w:eastAsia="仿宋" w:cs="仿宋"/>
          <w:color w:val="000000"/>
          <w:highlight w:val="none"/>
        </w:rPr>
        <w:t>实用性原则：系统应根据我单位节目制作的实际要求，使配置合理、功能完善、界面简单，易于操作。所有服务器、工作站点均需采用国际知名品牌全球发售的产品。非线性网络、媒资网络需解决好资源整合、互联互通等问题。</w:t>
      </w:r>
    </w:p>
    <w:p>
      <w:pPr>
        <w:numPr>
          <w:ilvl w:val="0"/>
          <w:numId w:val="8"/>
        </w:numPr>
        <w:adjustRightInd w:val="0"/>
        <w:spacing w:line="640" w:lineRule="exact"/>
        <w:jc w:val="left"/>
        <w:textAlignment w:val="baseline"/>
        <w:rPr>
          <w:rFonts w:ascii="仿宋" w:hAnsi="仿宋" w:eastAsia="仿宋" w:cs="仿宋"/>
          <w:color w:val="000000"/>
          <w:highlight w:val="none"/>
        </w:rPr>
      </w:pPr>
      <w:r>
        <w:rPr>
          <w:rFonts w:hint="eastAsia" w:ascii="仿宋" w:hAnsi="仿宋" w:eastAsia="仿宋" w:cs="仿宋"/>
          <w:color w:val="000000"/>
          <w:highlight w:val="none"/>
        </w:rPr>
        <w:t>灵活性原则：系统包含非编制作、文稿编辑、网络管理、节目审查、媒体资源管理、高清播出等多个模块，要求各模块之间不但能互联互通、实现资源共享，也要能独立运行。</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spacing w:line="640" w:lineRule="exact"/>
        <w:rPr>
          <w:rFonts w:ascii="仿宋" w:hAnsi="仿宋" w:eastAsia="仿宋" w:cs="仿宋"/>
          <w:b/>
          <w:color w:val="000000"/>
          <w:kern w:val="0"/>
          <w:highlight w:val="none"/>
        </w:rPr>
      </w:pPr>
      <w:r>
        <w:rPr>
          <w:rFonts w:hint="eastAsia" w:ascii="仿宋" w:hAnsi="仿宋" w:eastAsia="仿宋" w:cs="仿宋"/>
          <w:b/>
          <w:color w:val="000000"/>
          <w:kern w:val="0"/>
          <w:highlight w:val="none"/>
        </w:rPr>
        <w:t>（二）非线性编辑系统功能要求</w:t>
      </w:r>
    </w:p>
    <w:p>
      <w:pPr>
        <w:numPr>
          <w:ilvl w:val="0"/>
          <w:numId w:val="9"/>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要求支持准高清、标清兼容的编辑环境，未来发展具有更好延展性</w:t>
      </w:r>
    </w:p>
    <w:p>
      <w:pPr>
        <w:tabs>
          <w:tab w:val="left" w:pos="420"/>
        </w:tabs>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要求具有Windows风格的编辑桌面，用来承载各种窗口，自由安排用户界面；</w:t>
      </w:r>
    </w:p>
    <w:p>
      <w:pPr>
        <w:tabs>
          <w:tab w:val="left" w:pos="420"/>
        </w:tabs>
        <w:spacing w:line="640" w:lineRule="exact"/>
        <w:ind w:firstLine="720" w:firstLineChars="300"/>
        <w:rPr>
          <w:rFonts w:ascii="仿宋" w:hAnsi="仿宋" w:eastAsia="仿宋" w:cs="仿宋"/>
          <w:color w:val="000000"/>
          <w:kern w:val="0"/>
          <w:highlight w:val="none"/>
        </w:rPr>
      </w:pPr>
      <w:r>
        <w:rPr>
          <w:rFonts w:hint="eastAsia" w:ascii="仿宋" w:hAnsi="仿宋" w:eastAsia="仿宋" w:cs="仿宋"/>
          <w:color w:val="000000"/>
          <w:kern w:val="0"/>
          <w:highlight w:val="none"/>
        </w:rPr>
        <w:t>要求支持Windows 7 64bit操作系统；</w:t>
      </w:r>
    </w:p>
    <w:p>
      <w:pPr>
        <w:tabs>
          <w:tab w:val="left" w:pos="420"/>
        </w:tabs>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可以在非编系统的资源管理器中像操作windows的资源管理器一样进行复制、拷贝、粘贴、排序、查看、新建、删除、重命名操作；</w:t>
      </w:r>
    </w:p>
    <w:p>
      <w:pPr>
        <w:tabs>
          <w:tab w:val="left" w:pos="420"/>
        </w:tabs>
        <w:spacing w:line="640" w:lineRule="exact"/>
        <w:ind w:firstLine="720" w:firstLineChars="300"/>
        <w:rPr>
          <w:rFonts w:ascii="仿宋" w:hAnsi="仿宋" w:eastAsia="仿宋" w:cs="仿宋"/>
          <w:color w:val="000000"/>
          <w:kern w:val="0"/>
          <w:highlight w:val="none"/>
        </w:rPr>
      </w:pPr>
      <w:r>
        <w:rPr>
          <w:rFonts w:hint="eastAsia" w:ascii="仿宋" w:hAnsi="仿宋" w:eastAsia="仿宋" w:cs="仿宋"/>
          <w:color w:val="000000"/>
          <w:kern w:val="0"/>
          <w:highlight w:val="none"/>
        </w:rPr>
        <w:t>要求支持MPEG2-I、MPEG2-IBP、DVCPRO50（25）、DVCAM、MPEG2编码的TS等多种格式的混编；支持HDV、SD格式在时间线上的混合编辑；</w:t>
      </w:r>
    </w:p>
    <w:p>
      <w:pPr>
        <w:tabs>
          <w:tab w:val="left" w:pos="420"/>
        </w:tabs>
        <w:spacing w:line="640" w:lineRule="exact"/>
        <w:ind w:firstLine="720" w:firstLineChars="300"/>
        <w:rPr>
          <w:rFonts w:ascii="仿宋" w:hAnsi="仿宋" w:eastAsia="仿宋" w:cs="仿宋"/>
          <w:b/>
          <w:color w:val="000000"/>
          <w:highlight w:val="none"/>
        </w:rPr>
      </w:pPr>
      <w:r>
        <w:rPr>
          <w:rFonts w:hint="eastAsia" w:ascii="仿宋" w:hAnsi="仿宋" w:eastAsia="仿宋" w:cs="仿宋"/>
          <w:color w:val="000000"/>
          <w:kern w:val="0"/>
          <w:highlight w:val="none"/>
        </w:rPr>
        <w:t>要求支持高标清实时上下变换；</w:t>
      </w:r>
    </w:p>
    <w:p>
      <w:pPr>
        <w:tabs>
          <w:tab w:val="left" w:pos="420"/>
        </w:tabs>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 xml:space="preserve">要求在同一项目下可以支持HD1920*1080、HDV 1440*1080、PAL 720*576多种制式的时间线； </w:t>
      </w:r>
    </w:p>
    <w:p>
      <w:pPr>
        <w:tabs>
          <w:tab w:val="left" w:pos="420"/>
        </w:tabs>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支持模拟分量、复合以及SDI等接口输入输出，支持1394接口上载HDV；</w:t>
      </w:r>
    </w:p>
    <w:p>
      <w:pPr>
        <w:tabs>
          <w:tab w:val="left" w:pos="420"/>
        </w:tabs>
        <w:spacing w:line="640" w:lineRule="exact"/>
        <w:rPr>
          <w:rFonts w:ascii="仿宋" w:hAnsi="仿宋" w:eastAsia="仿宋" w:cs="仿宋"/>
          <w:color w:val="000000"/>
          <w:highlight w:val="none"/>
        </w:rPr>
      </w:pPr>
      <w:r>
        <w:rPr>
          <w:rFonts w:hint="eastAsia" w:ascii="仿宋" w:hAnsi="仿宋" w:eastAsia="仿宋" w:cs="仿宋"/>
          <w:color w:val="000000"/>
          <w:highlight w:val="none"/>
        </w:rPr>
        <w:t>支持</w:t>
      </w:r>
      <w:r>
        <w:rPr>
          <w:rFonts w:hint="eastAsia" w:ascii="仿宋" w:hAnsi="仿宋" w:eastAsia="仿宋" w:cs="仿宋"/>
          <w:color w:val="000000"/>
          <w:kern w:val="0"/>
          <w:highlight w:val="none"/>
        </w:rPr>
        <w:t>高清节目，标清下载，也支持标清节目实时高清文件生成；</w:t>
      </w:r>
    </w:p>
    <w:p>
      <w:pPr>
        <w:tabs>
          <w:tab w:val="left" w:pos="420"/>
        </w:tabs>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支持CD、DVD采集；</w:t>
      </w:r>
    </w:p>
    <w:p>
      <w:pPr>
        <w:tabs>
          <w:tab w:val="left" w:pos="420"/>
        </w:tabs>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要求在标清情况下可以实现4层及以上标清25M实时编辑和输出；</w:t>
      </w:r>
    </w:p>
    <w:p>
      <w:pPr>
        <w:tabs>
          <w:tab w:val="left" w:pos="420"/>
        </w:tabs>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要求具有无限轨的音频编辑轨道、4路以上实时音频输出；</w:t>
      </w:r>
    </w:p>
    <w:p>
      <w:pPr>
        <w:numPr>
          <w:ilvl w:val="0"/>
          <w:numId w:val="9"/>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要求具有多时间线编辑，多层字幕，视音频内容嵌套的容器功能</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可以将时间线内某一入出点间所有的视频，音频，字幕等素材虚拟压缩为一个容器素材，同时容器素材支持二次特技编辑；</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支持将以前编辑好的时间线作为容器素材，引入至当前时间线进行编辑；</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良好的支持多层容器嵌套，容器可展开为原有形态或者以时间线方式打开进行再次编辑；</w:t>
      </w:r>
    </w:p>
    <w:p>
      <w:pPr>
        <w:numPr>
          <w:ilvl w:val="0"/>
          <w:numId w:val="9"/>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要求具有快速灵活的时间线节目编辑功能</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要求软件界面保持简洁明快的编辑风格，上手简便，灵活快速；</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要求支持时间线填充和替换，时码快速定位技术；</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要求短素材和黑场能进行自动检测；</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要求支持一键式闪入闪出、帧匹配、替换素材等操作；</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可全局自定义功能按钮及快捷键；</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要求支持添加标记点，可快速定位到各个标记点上；</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要求支持插入、覆盖、填充、替换模式上轨，支持三点编辑模式；</w:t>
      </w:r>
    </w:p>
    <w:p>
      <w:pPr>
        <w:tabs>
          <w:tab w:val="left" w:pos="420"/>
        </w:tabs>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提供历史面板，可将所有操作恢复到任意一步；</w:t>
      </w:r>
      <w:r>
        <w:rPr>
          <w:rFonts w:hint="eastAsia" w:ascii="仿宋" w:hAnsi="仿宋" w:eastAsia="仿宋" w:cs="仿宋"/>
          <w:color w:val="000000"/>
          <w:kern w:val="0"/>
          <w:highlight w:val="none"/>
        </w:rPr>
        <w:t>素材和时间线可安全多次恢复，保证素材、节目的安全性；</w:t>
      </w:r>
    </w:p>
    <w:p>
      <w:pPr>
        <w:numPr>
          <w:ilvl w:val="0"/>
          <w:numId w:val="9"/>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要求具有复杂节目编辑制作能力</w:t>
      </w:r>
    </w:p>
    <w:p>
      <w:pPr>
        <w:tabs>
          <w:tab w:val="left" w:pos="1260"/>
        </w:tabs>
        <w:spacing w:line="640" w:lineRule="exact"/>
        <w:ind w:firstLine="720" w:firstLineChars="300"/>
        <w:rPr>
          <w:rFonts w:ascii="仿宋" w:hAnsi="仿宋" w:eastAsia="仿宋" w:cs="仿宋"/>
          <w:b/>
          <w:color w:val="000000"/>
          <w:highlight w:val="none"/>
        </w:rPr>
      </w:pPr>
      <w:r>
        <w:rPr>
          <w:rFonts w:hint="eastAsia" w:ascii="仿宋" w:hAnsi="仿宋" w:eastAsia="仿宋" w:cs="仿宋"/>
          <w:color w:val="000000"/>
          <w:highlight w:val="none"/>
        </w:rPr>
        <w:t>要求具有多时间线、时间线容器、字幕容器和容器嵌套等功能，为复杂节目编辑提供强大工具集；</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要求支持面向结果的可视化特技参数调整，在进行3D特技调整时，可以在时间线结果回放窗中直接对大小、位置、裁切、旋转进行调整；</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要求提供高效的A.R.T引擎驱动技术；</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曲线变速功能，在同一个界面中可对视频同时进行快/慢/静帧特技的调整，快/慢动作特技参数采用渐变alpha曲线方式进行调整；</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实时多点画面动态跟踪（可同时跟踪8个画面以上），跟踪区域可叠加任意特技；</w:t>
      </w:r>
    </w:p>
    <w:p>
      <w:pPr>
        <w:spacing w:line="640" w:lineRule="exact"/>
        <w:rPr>
          <w:rFonts w:ascii="仿宋" w:hAnsi="仿宋" w:eastAsia="仿宋" w:cs="仿宋"/>
          <w:color w:val="000000"/>
          <w:highlight w:val="none"/>
        </w:rPr>
      </w:pPr>
      <w:r>
        <w:rPr>
          <w:rFonts w:hint="eastAsia" w:ascii="仿宋" w:hAnsi="仿宋" w:eastAsia="仿宋" w:cs="仿宋"/>
          <w:color w:val="000000"/>
          <w:highlight w:val="none"/>
        </w:rPr>
        <w:t>提供多种方式的实时颜色处理，如：颜色校正、色彩调节等；</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要求提供强大的调音台功能，具有完整的master、mix、gain三级调音控制，可对每轨音频、每个输入输出通道进行调节；</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要求具有完善的音频编辑功能，音频VU表显示，支持VST音频特技插件，提供常用的混响、均衡、变调等音频特技效果；</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提供节目导入导出功能；</w:t>
      </w:r>
    </w:p>
    <w:p>
      <w:pPr>
        <w:numPr>
          <w:ilvl w:val="0"/>
          <w:numId w:val="9"/>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要求具有强大的CG图文创作能力</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要求具有功能完善、能提供丰富创意能力的高标清图文字幕系统；</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能与视频编辑完全一体化设计，可在统一的预监窗口中进行视频和动态图文的编辑；实现编辑图文字幕时可以实时回放最终效果；</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能提供字幕时间线与视频时间线创建编辑一体化的编辑方式，简便操作；</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支持使用视频特技、字幕时间线编辑、运动轨迹设置、字幕滤镜等先进的图文字幕操作；</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支持可切换的简单字幕和复杂字幕两种工作模式，完美兼顾快捷灵活与炫目效果在操作上的不同要求；</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支持时间轴方式进行滚屏速度与方式的调整，调整过程要求清晰易控；</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支持唱词展开功能，手拍完时序后，可以单独调整每个段落的内容以及时码；</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支持图片序列的导入，支持动画文件的上轨，支持EXCEL图表导入；</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支持字幕模板的操作，系统提供了大量的字幕模板，可将任意类型的字幕素材做为模板保存，可根据文字内容套换不同的模板使用；</w:t>
      </w:r>
    </w:p>
    <w:p>
      <w:pPr>
        <w:numPr>
          <w:ilvl w:val="0"/>
          <w:numId w:val="9"/>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具有视频特技效果库</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支持多层运动字幕、视频和字幕特技共享；</w:t>
      </w:r>
    </w:p>
    <w:p>
      <w:pPr>
        <w:tabs>
          <w:tab w:val="left" w:pos="1260"/>
        </w:tabs>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支持独立总特技轨、独立键轨道、独立整轨特技；</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支持特技嵌套和区域特技技术；</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要求能支持3D立体模板特技，实时真实三维空间视频特技；</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支持火焰字，体积光，文本特效，粒子，等实时特技；</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支持各种2D/3D特技：粒子、光晕、体积光、三维模型特技、超级轨间合成、二级色彩校 正、吸色、自动白平衡、自动色彩匹配等；</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kern w:val="0"/>
          <w:highlight w:val="none"/>
        </w:rPr>
        <w:t>3D特技可视化调整、特技曲线关键帧调整；</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支持三维爆炸，三维转场等全新的GPU实时特技，支持多种实时光晕调节；</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要求字幕能提供全新的玻璃/塑料/珐琅/黑玻璃/白玻璃/材质玻璃/网页玻璃/硬塑料等3D材质，以便可以创建出更绚丽的效果；</w:t>
      </w:r>
    </w:p>
    <w:p>
      <w:pPr>
        <w:spacing w:line="640" w:lineRule="exact"/>
        <w:ind w:firstLine="720" w:firstLineChars="300"/>
        <w:rPr>
          <w:rFonts w:ascii="仿宋" w:hAnsi="仿宋" w:eastAsia="仿宋" w:cs="仿宋"/>
          <w:color w:val="000000"/>
          <w:szCs w:val="21"/>
          <w:highlight w:val="none"/>
        </w:rPr>
      </w:pPr>
      <w:r>
        <w:rPr>
          <w:rFonts w:hint="eastAsia" w:ascii="仿宋" w:hAnsi="仿宋" w:eastAsia="仿宋" w:cs="仿宋"/>
          <w:color w:val="000000"/>
          <w:highlight w:val="none"/>
        </w:rPr>
        <w:t>要求随非编系统提供DVD的素材库。素材库要求包括：动态背景、字幕模版、转场动画、字幕底版、光效动画和字幕遮罩等创作效果。</w:t>
      </w:r>
    </w:p>
    <w:p>
      <w:pPr>
        <w:numPr>
          <w:ilvl w:val="0"/>
          <w:numId w:val="9"/>
        </w:numPr>
        <w:spacing w:line="640" w:lineRule="exact"/>
        <w:ind w:left="709"/>
        <w:rPr>
          <w:rFonts w:ascii="仿宋" w:hAnsi="仿宋" w:eastAsia="仿宋" w:cs="仿宋"/>
          <w:color w:val="000000"/>
          <w:highlight w:val="none"/>
        </w:rPr>
      </w:pPr>
      <w:r>
        <w:rPr>
          <w:rFonts w:hint="eastAsia" w:ascii="仿宋" w:hAnsi="仿宋" w:eastAsia="仿宋" w:cs="仿宋"/>
          <w:highlight w:val="none"/>
        </w:rPr>
        <w:t>具有对索尼XDCAM专业</w:t>
      </w:r>
      <w:r>
        <w:rPr>
          <w:rFonts w:hint="eastAsia" w:ascii="仿宋" w:hAnsi="仿宋" w:eastAsia="仿宋" w:cs="仿宋"/>
          <w:color w:val="000000"/>
          <w:highlight w:val="none"/>
        </w:rPr>
        <w:t>光盘以及松下P2 设备的完美兼容</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非编连接XDCAM专业光盘设备后，可以直接浏览光盘内容，迅速将光盘上素材的图标传输到非编的资源管理器中；</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在FAM接口方式下实现不采集任何素材，仅下载图标就开始编辑的超快速编辑新流程：将需要的素材图标直接拖上时间线，系统自动快速上载低码率素材（1/20上载速率）；进行低码率素材编辑的同时，系统自动进行该段素材的高码率素材上载，上载完成后，可以自动将该段素材替换为高码率素材；编辑工作完成时，上载工作同步完成。</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要求支持P2 设备的数据拷贝传输技术；</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要求支持光盘素材、P2 素材能与非编中其他素材混合编辑与输出；</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要求支持蓝光、P2的卡内编辑，将EDL按需上载，也可以将EDL直接写回卡内，不经上载过程，直接完成编辑</w:t>
      </w:r>
    </w:p>
    <w:p>
      <w:pPr>
        <w:numPr>
          <w:ilvl w:val="0"/>
          <w:numId w:val="9"/>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上下载及编辑格式支持</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高标清全制式编辑</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1080i(50、60、59.94），1080P（25、30、24、23.98）</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720P（25、30、24）</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576i（PAL)，480i(NTSC)</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支持TS、MOV、DNXHD、MXF、WMV、Windows AVI、TGA、BMP、JPEG等多格式文件</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DVCPRO 50/25</w:t>
      </w:r>
    </w:p>
    <w:p>
      <w:pPr>
        <w:spacing w:line="640" w:lineRule="exact"/>
        <w:ind w:firstLine="720" w:firstLineChars="300"/>
        <w:rPr>
          <w:rFonts w:ascii="仿宋" w:hAnsi="仿宋" w:eastAsia="仿宋" w:cs="仿宋"/>
          <w:color w:val="000000"/>
          <w:highlight w:val="none"/>
        </w:rPr>
      </w:pPr>
      <w:r>
        <w:rPr>
          <w:rFonts w:hint="eastAsia" w:ascii="仿宋" w:hAnsi="仿宋" w:eastAsia="仿宋" w:cs="仿宋"/>
          <w:color w:val="000000"/>
          <w:highlight w:val="none"/>
        </w:rPr>
        <w:t>XDCAM HD 35M，XDCAM HD50M，XDCAM EX，XDCAM SD（IMX/DVCAM)</w:t>
      </w:r>
    </w:p>
    <w:p>
      <w:pPr>
        <w:numPr>
          <w:ilvl w:val="0"/>
          <w:numId w:val="10"/>
        </w:numPr>
        <w:spacing w:line="640" w:lineRule="exact"/>
        <w:rPr>
          <w:rFonts w:ascii="仿宋" w:hAnsi="仿宋" w:eastAsia="仿宋" w:cs="仿宋"/>
          <w:b/>
          <w:color w:val="000000"/>
          <w:kern w:val="0"/>
          <w:highlight w:val="none"/>
        </w:rPr>
      </w:pPr>
      <w:r>
        <w:rPr>
          <w:rFonts w:hint="eastAsia" w:ascii="仿宋" w:hAnsi="仿宋" w:eastAsia="仿宋" w:cs="仿宋"/>
          <w:b/>
          <w:color w:val="000000"/>
          <w:kern w:val="0"/>
          <w:highlight w:val="none"/>
        </w:rPr>
        <w:t>文稿系统部分功能要求</w:t>
      </w:r>
    </w:p>
    <w:p>
      <w:pPr>
        <w:spacing w:line="640" w:lineRule="exact"/>
        <w:ind w:left="204" w:leftChars="85" w:right="410" w:rightChars="171" w:firstLine="480" w:firstLineChars="200"/>
        <w:rPr>
          <w:rFonts w:ascii="仿宋" w:hAnsi="仿宋" w:eastAsia="仿宋" w:cs="仿宋"/>
          <w:color w:val="000000"/>
          <w:highlight w:val="none"/>
        </w:rPr>
      </w:pPr>
      <w:r>
        <w:rPr>
          <w:rFonts w:hint="eastAsia" w:ascii="仿宋" w:hAnsi="仿宋" w:eastAsia="仿宋" w:cs="仿宋"/>
          <w:color w:val="000000"/>
          <w:highlight w:val="none"/>
        </w:rPr>
        <w:t>文稿软件的使用能够有效的提高新闻节目制作编辑的效率，同时能够完成对节目制作流程的监控和管理，在文稿系统软件中，要求按照模块化方式进行设计，每个功能模块完成相应的功能。用户可以根据自身实际情况选择使用所需要的模块来完成所需要的任务。</w:t>
      </w:r>
    </w:p>
    <w:p>
      <w:pPr>
        <w:numPr>
          <w:ilvl w:val="0"/>
          <w:numId w:val="11"/>
        </w:numPr>
        <w:tabs>
          <w:tab w:val="left" w:pos="420"/>
          <w:tab w:val="clear" w:pos="660"/>
        </w:tabs>
        <w:spacing w:line="640" w:lineRule="exact"/>
        <w:ind w:left="420"/>
        <w:rPr>
          <w:rFonts w:ascii="仿宋" w:hAnsi="仿宋" w:eastAsia="仿宋" w:cs="仿宋"/>
          <w:b/>
          <w:color w:val="000000"/>
          <w:highlight w:val="none"/>
        </w:rPr>
      </w:pPr>
      <w:r>
        <w:rPr>
          <w:rFonts w:hint="eastAsia" w:ascii="仿宋" w:hAnsi="仿宋" w:eastAsia="仿宋" w:cs="仿宋"/>
          <w:b/>
          <w:color w:val="000000"/>
          <w:highlight w:val="none"/>
        </w:rPr>
        <w:t>选题管理</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选题管理是针对电视台对于新闻采访的必要性而设定的一种管理机制，采访人员根据采访内容提出采访申请，相关领导根据采访内容决定是否进行该新闻的采访和批示采访计划。</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要求在选题管理模块中，采访人员根据采访内容填写相应的事件内容、发生地点、发生时间、所需所有设备和相关协助人员等基本信息后报相关领导审批，相关领导根据该选题所报相关信息决定是否进行采访，只有被相关领导批准的选题，采访人员才能领取相应设备外出进行采访。</w:t>
      </w:r>
    </w:p>
    <w:p>
      <w:pPr>
        <w:numPr>
          <w:ilvl w:val="0"/>
          <w:numId w:val="11"/>
        </w:numPr>
        <w:tabs>
          <w:tab w:val="left" w:pos="420"/>
          <w:tab w:val="clear" w:pos="660"/>
        </w:tabs>
        <w:spacing w:line="640" w:lineRule="exact"/>
        <w:ind w:left="420"/>
        <w:rPr>
          <w:rFonts w:ascii="仿宋" w:hAnsi="仿宋" w:eastAsia="仿宋" w:cs="仿宋"/>
          <w:b/>
          <w:color w:val="000000"/>
          <w:highlight w:val="none"/>
        </w:rPr>
      </w:pPr>
      <w:r>
        <w:rPr>
          <w:rFonts w:hint="eastAsia" w:ascii="仿宋" w:hAnsi="仿宋" w:eastAsia="仿宋" w:cs="仿宋"/>
          <w:b/>
          <w:color w:val="000000"/>
          <w:highlight w:val="none"/>
        </w:rPr>
        <w:t>文稿编辑</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在进行节目编辑前，编辑人员首先需要编辑该节目的文字稿件内容。要求文稿编辑时提供如下编辑内容：</w:t>
      </w:r>
    </w:p>
    <w:p>
      <w:pPr>
        <w:numPr>
          <w:ilvl w:val="0"/>
          <w:numId w:val="12"/>
        </w:numPr>
        <w:spacing w:line="640" w:lineRule="exact"/>
        <w:rPr>
          <w:rFonts w:ascii="仿宋" w:hAnsi="仿宋" w:eastAsia="仿宋" w:cs="仿宋"/>
          <w:color w:val="000000"/>
          <w:highlight w:val="none"/>
        </w:rPr>
      </w:pPr>
      <w:r>
        <w:rPr>
          <w:rFonts w:hint="eastAsia" w:ascii="仿宋" w:hAnsi="仿宋" w:eastAsia="仿宋" w:cs="仿宋"/>
          <w:color w:val="000000"/>
          <w:highlight w:val="none"/>
        </w:rPr>
        <w:t>标题：用于描述该条内容的主题内容。</w:t>
      </w:r>
    </w:p>
    <w:p>
      <w:pPr>
        <w:numPr>
          <w:ilvl w:val="0"/>
          <w:numId w:val="12"/>
        </w:numPr>
        <w:spacing w:line="640" w:lineRule="exact"/>
        <w:rPr>
          <w:rFonts w:ascii="仿宋" w:hAnsi="仿宋" w:eastAsia="仿宋" w:cs="仿宋"/>
          <w:color w:val="000000"/>
          <w:highlight w:val="none"/>
        </w:rPr>
      </w:pPr>
      <w:r>
        <w:rPr>
          <w:rFonts w:hint="eastAsia" w:ascii="仿宋" w:hAnsi="仿宋" w:eastAsia="仿宋" w:cs="仿宋"/>
          <w:color w:val="000000"/>
          <w:highlight w:val="none"/>
        </w:rPr>
        <w:t>稿件来源：用于描述该条新闻的来源。（可在事先设定的类别中选取，如：自拍稿件、通讯员稿件、地方台交流稿件等）</w:t>
      </w:r>
    </w:p>
    <w:p>
      <w:pPr>
        <w:numPr>
          <w:ilvl w:val="0"/>
          <w:numId w:val="12"/>
        </w:numPr>
        <w:spacing w:line="640" w:lineRule="exact"/>
        <w:rPr>
          <w:rFonts w:ascii="仿宋" w:hAnsi="仿宋" w:eastAsia="仿宋" w:cs="仿宋"/>
          <w:color w:val="000000"/>
          <w:highlight w:val="none"/>
        </w:rPr>
      </w:pPr>
      <w:r>
        <w:rPr>
          <w:rFonts w:hint="eastAsia" w:ascii="仿宋" w:hAnsi="仿宋" w:eastAsia="仿宋" w:cs="仿宋"/>
          <w:color w:val="000000"/>
          <w:highlight w:val="none"/>
        </w:rPr>
        <w:t>记者：用于描述该条节目的采访制作人员。</w:t>
      </w:r>
    </w:p>
    <w:p>
      <w:pPr>
        <w:numPr>
          <w:ilvl w:val="0"/>
          <w:numId w:val="12"/>
        </w:numPr>
        <w:spacing w:line="640" w:lineRule="exact"/>
        <w:rPr>
          <w:rFonts w:ascii="仿宋" w:hAnsi="仿宋" w:eastAsia="仿宋" w:cs="仿宋"/>
          <w:color w:val="000000"/>
          <w:highlight w:val="none"/>
        </w:rPr>
      </w:pPr>
      <w:r>
        <w:rPr>
          <w:rFonts w:hint="eastAsia" w:ascii="仿宋" w:hAnsi="仿宋" w:eastAsia="仿宋" w:cs="仿宋"/>
          <w:color w:val="000000"/>
          <w:highlight w:val="none"/>
        </w:rPr>
        <w:t>编稿人：用于描述该条稿件的文字编辑人员。</w:t>
      </w:r>
    </w:p>
    <w:p>
      <w:pPr>
        <w:numPr>
          <w:ilvl w:val="0"/>
          <w:numId w:val="12"/>
        </w:numPr>
        <w:spacing w:line="640" w:lineRule="exact"/>
        <w:rPr>
          <w:rFonts w:ascii="仿宋" w:hAnsi="仿宋" w:eastAsia="仿宋" w:cs="仿宋"/>
          <w:color w:val="000000"/>
          <w:highlight w:val="none"/>
        </w:rPr>
      </w:pPr>
      <w:r>
        <w:rPr>
          <w:rFonts w:hint="eastAsia" w:ascii="仿宋" w:hAnsi="仿宋" w:eastAsia="仿宋" w:cs="仿宋"/>
          <w:color w:val="000000"/>
          <w:highlight w:val="none"/>
        </w:rPr>
        <w:t>栏目：用于描述该条稿件对应的播出栏目。</w:t>
      </w:r>
    </w:p>
    <w:p>
      <w:pPr>
        <w:numPr>
          <w:ilvl w:val="0"/>
          <w:numId w:val="12"/>
        </w:numPr>
        <w:spacing w:line="640" w:lineRule="exact"/>
        <w:rPr>
          <w:rFonts w:ascii="仿宋" w:hAnsi="仿宋" w:eastAsia="仿宋" w:cs="仿宋"/>
          <w:color w:val="000000"/>
          <w:highlight w:val="none"/>
        </w:rPr>
      </w:pPr>
      <w:r>
        <w:rPr>
          <w:rFonts w:hint="eastAsia" w:ascii="仿宋" w:hAnsi="仿宋" w:eastAsia="仿宋" w:cs="仿宋"/>
          <w:color w:val="000000"/>
          <w:highlight w:val="none"/>
        </w:rPr>
        <w:t>报播时间：用于描述该条稿件预计的播出时间。</w:t>
      </w:r>
    </w:p>
    <w:p>
      <w:pPr>
        <w:numPr>
          <w:ilvl w:val="0"/>
          <w:numId w:val="12"/>
        </w:numPr>
        <w:spacing w:line="640" w:lineRule="exact"/>
        <w:rPr>
          <w:rFonts w:ascii="仿宋" w:hAnsi="仿宋" w:eastAsia="仿宋" w:cs="仿宋"/>
          <w:color w:val="000000"/>
          <w:highlight w:val="none"/>
        </w:rPr>
      </w:pPr>
      <w:r>
        <w:rPr>
          <w:rFonts w:hint="eastAsia" w:ascii="仿宋" w:hAnsi="仿宋" w:eastAsia="仿宋" w:cs="仿宋"/>
          <w:color w:val="000000"/>
          <w:highlight w:val="none"/>
        </w:rPr>
        <w:t>稿件内容：按照事先设定的类别分类输入对应内容。（如分类可以有：导语、正文、配音、同期声、字幕等）</w:t>
      </w:r>
    </w:p>
    <w:p>
      <w:pPr>
        <w:numPr>
          <w:ilvl w:val="0"/>
          <w:numId w:val="11"/>
        </w:numPr>
        <w:tabs>
          <w:tab w:val="left" w:pos="420"/>
          <w:tab w:val="clear" w:pos="660"/>
        </w:tabs>
        <w:spacing w:line="640" w:lineRule="exact"/>
        <w:ind w:left="420"/>
        <w:rPr>
          <w:rFonts w:ascii="仿宋" w:hAnsi="仿宋" w:eastAsia="仿宋" w:cs="仿宋"/>
          <w:b/>
          <w:color w:val="000000"/>
          <w:highlight w:val="none"/>
        </w:rPr>
      </w:pPr>
      <w:r>
        <w:rPr>
          <w:rFonts w:hint="eastAsia" w:ascii="仿宋" w:hAnsi="仿宋" w:eastAsia="仿宋" w:cs="仿宋"/>
          <w:b/>
          <w:color w:val="000000"/>
          <w:highlight w:val="none"/>
        </w:rPr>
        <w:t>文稿查询</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要求文稿查询模块提供对所有稿件的快速准确的查询功能。在查询方式上要求提供多种条件的查询方式，并且能够将提供的多种查询方式组合提高查询效率，对于查询到的稿件直接观看稿件内容。</w:t>
      </w:r>
    </w:p>
    <w:p>
      <w:pPr>
        <w:numPr>
          <w:ilvl w:val="0"/>
          <w:numId w:val="11"/>
        </w:numPr>
        <w:tabs>
          <w:tab w:val="left" w:pos="420"/>
          <w:tab w:val="clear" w:pos="660"/>
        </w:tabs>
        <w:spacing w:line="640" w:lineRule="exact"/>
        <w:ind w:left="420"/>
        <w:rPr>
          <w:rFonts w:ascii="仿宋" w:hAnsi="仿宋" w:eastAsia="仿宋" w:cs="仿宋"/>
          <w:b/>
          <w:color w:val="000000"/>
          <w:highlight w:val="none"/>
        </w:rPr>
      </w:pPr>
      <w:r>
        <w:rPr>
          <w:rFonts w:hint="eastAsia" w:ascii="仿宋" w:hAnsi="仿宋" w:eastAsia="仿宋" w:cs="仿宋"/>
          <w:b/>
          <w:color w:val="000000"/>
          <w:highlight w:val="none"/>
        </w:rPr>
        <w:t>文稿审查</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要求按照文稿编辑的工作流程，所有编辑完成的稿件都必须提交相关领导进行稿件内容的审查。负责对稿件审查的相关领导可以对进行审查的稿件内容进行修改，对于稿件的审查结果满意时《通过》审查，对于不满意或不采用的稿件可以采取《弃稿》处理。通过审查的稿件，只有具有更高权限的人员才能进行再次修改，其它人员无权修改。</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要求对于稿件的修改部分，系统提供修改轨迹的查询功能，通过修改轨迹的查询，可以了解和掌握稿件的修改内容和修改人员。</w:t>
      </w:r>
    </w:p>
    <w:p>
      <w:pPr>
        <w:tabs>
          <w:tab w:val="left" w:pos="420"/>
          <w:tab w:val="left" w:pos="720"/>
          <w:tab w:val="left" w:pos="1440"/>
        </w:tabs>
        <w:spacing w:beforeLines="50" w:afterLines="50" w:line="640" w:lineRule="exact"/>
        <w:ind w:left="904" w:hanging="904" w:hangingChars="375"/>
        <w:jc w:val="left"/>
        <w:rPr>
          <w:rFonts w:ascii="仿宋" w:hAnsi="仿宋" w:eastAsia="仿宋" w:cs="仿宋"/>
          <w:b/>
          <w:color w:val="000000"/>
          <w:highlight w:val="none"/>
        </w:rPr>
      </w:pPr>
      <w:r>
        <w:rPr>
          <w:rFonts w:hint="eastAsia" w:ascii="仿宋" w:hAnsi="仿宋" w:eastAsia="仿宋" w:cs="仿宋"/>
          <w:b/>
          <w:color w:val="000000"/>
          <w:kern w:val="0"/>
          <w:highlight w:val="none"/>
        </w:rPr>
        <w:t>（四）网络管理部分功能要求</w:t>
      </w:r>
    </w:p>
    <w:p>
      <w:pPr>
        <w:spacing w:line="640" w:lineRule="exact"/>
        <w:rPr>
          <w:rFonts w:ascii="仿宋" w:hAnsi="仿宋" w:eastAsia="仿宋" w:cs="仿宋"/>
          <w:b/>
          <w:color w:val="000000"/>
          <w:highlight w:val="none"/>
        </w:rPr>
      </w:pPr>
      <w:r>
        <w:rPr>
          <w:rFonts w:hint="eastAsia" w:ascii="仿宋" w:hAnsi="仿宋" w:eastAsia="仿宋" w:cs="仿宋"/>
          <w:b/>
          <w:color w:val="000000"/>
          <w:highlight w:val="none"/>
        </w:rPr>
        <w:t>栏目、帐号管理</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在网络中进行节目的制作编辑时，记者隶属于不同的部门和栏目，要对所有的编辑制作人员进行有效的管理，按照编辑人员所属的部门和栏目进行分类。</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要求对所有参与网络编辑的节目制作人员按照其隶属的部门、栏目、身份进行合理的分类管理。从而提高在管理、查询、检索上的效率。</w:t>
      </w:r>
    </w:p>
    <w:p>
      <w:pPr>
        <w:spacing w:line="640" w:lineRule="exact"/>
        <w:rPr>
          <w:rFonts w:ascii="仿宋" w:hAnsi="仿宋" w:eastAsia="仿宋" w:cs="仿宋"/>
          <w:b/>
          <w:color w:val="000000"/>
          <w:highlight w:val="none"/>
        </w:rPr>
      </w:pPr>
      <w:r>
        <w:rPr>
          <w:rFonts w:hint="eastAsia" w:ascii="仿宋" w:hAnsi="仿宋" w:eastAsia="仿宋" w:cs="仿宋"/>
          <w:b/>
          <w:color w:val="000000"/>
          <w:highlight w:val="none"/>
        </w:rPr>
        <w:t>使用权限管理</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在网络中进行节目编辑制作的记者由于其角色不同，为了保证网络中节目制作的和节目素材的安全，要求对于不同的角色人员分配不同的网络编辑使用权限，通过网络编辑权限的限制，有效的防止在网络编辑中发生以外的事故。</w:t>
      </w:r>
    </w:p>
    <w:p>
      <w:pPr>
        <w:spacing w:line="640" w:lineRule="exact"/>
        <w:rPr>
          <w:rFonts w:ascii="仿宋" w:hAnsi="仿宋" w:eastAsia="仿宋" w:cs="仿宋"/>
          <w:b/>
          <w:color w:val="000000"/>
          <w:highlight w:val="none"/>
        </w:rPr>
      </w:pPr>
      <w:bookmarkStart w:id="98" w:name="_Toc155005637"/>
      <w:r>
        <w:rPr>
          <w:rFonts w:hint="eastAsia" w:ascii="仿宋" w:hAnsi="仿宋" w:eastAsia="仿宋" w:cs="仿宋"/>
          <w:b/>
          <w:color w:val="000000"/>
          <w:highlight w:val="none"/>
        </w:rPr>
        <w:t>多级磁盘空间管理</w:t>
      </w:r>
      <w:bookmarkEnd w:id="98"/>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按照栏目、用户级别进行多级磁盘的空间管理，某级使用磁盘空间的总和受上级分配空间的限制。</w:t>
      </w:r>
    </w:p>
    <w:p>
      <w:pPr>
        <w:spacing w:line="640" w:lineRule="exact"/>
        <w:rPr>
          <w:rFonts w:ascii="仿宋" w:hAnsi="仿宋" w:eastAsia="仿宋" w:cs="仿宋"/>
          <w:b/>
          <w:color w:val="000000"/>
          <w:highlight w:val="none"/>
        </w:rPr>
      </w:pPr>
      <w:r>
        <w:rPr>
          <w:rFonts w:hint="eastAsia" w:ascii="仿宋" w:hAnsi="仿宋" w:eastAsia="仿宋" w:cs="仿宋"/>
          <w:b/>
          <w:color w:val="000000"/>
          <w:highlight w:val="none"/>
        </w:rPr>
        <w:t>在线工作站查询</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通过对编辑人员使用编辑站点和编辑软件在线情况的监控，可以方便的了解和掌握网络使用的繁忙程度和各个编辑站点的运行状况。</w:t>
      </w:r>
    </w:p>
    <w:p>
      <w:pPr>
        <w:spacing w:line="640" w:lineRule="exact"/>
        <w:rPr>
          <w:rFonts w:ascii="仿宋" w:hAnsi="仿宋" w:eastAsia="仿宋" w:cs="仿宋"/>
          <w:b/>
          <w:color w:val="000000"/>
          <w:highlight w:val="none"/>
        </w:rPr>
      </w:pPr>
      <w:r>
        <w:rPr>
          <w:rFonts w:hint="eastAsia" w:ascii="仿宋" w:hAnsi="仿宋" w:eastAsia="仿宋" w:cs="仿宋"/>
          <w:b/>
          <w:color w:val="000000"/>
          <w:highlight w:val="none"/>
        </w:rPr>
        <w:t>集成子系统插件</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网络管理系统除了实现对基础网络数据进行配置、管理外，还集成了各子系统的管理模块，实现对文稿、媒资等各子系统单元的独特参数的集成，从而实现了在一个软件上管理整个网络的各个环节的功能。</w:t>
      </w:r>
    </w:p>
    <w:p>
      <w:pPr>
        <w:numPr>
          <w:ilvl w:val="0"/>
          <w:numId w:val="10"/>
        </w:numPr>
        <w:spacing w:line="640" w:lineRule="exact"/>
        <w:rPr>
          <w:rFonts w:ascii="仿宋" w:hAnsi="仿宋" w:eastAsia="仿宋" w:cs="仿宋"/>
          <w:b/>
          <w:color w:val="000000"/>
          <w:kern w:val="0"/>
          <w:highlight w:val="none"/>
        </w:rPr>
      </w:pPr>
      <w:r>
        <w:rPr>
          <w:rFonts w:hint="eastAsia" w:ascii="仿宋" w:hAnsi="仿宋" w:eastAsia="仿宋" w:cs="仿宋"/>
          <w:b/>
          <w:color w:val="000000"/>
          <w:kern w:val="0"/>
          <w:highlight w:val="none"/>
        </w:rPr>
        <w:t>审片部分功能要求</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要求能够实时通过审片系统完成对成片的审批及管理。</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软件主要功能/特点</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文字或音频审批意见</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审片权限控制</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审核后的节目自动传送</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文稿、视音频同步审片</w:t>
      </w:r>
    </w:p>
    <w:p>
      <w:pPr>
        <w:spacing w:line="640" w:lineRule="exact"/>
        <w:rPr>
          <w:rFonts w:ascii="仿宋" w:hAnsi="仿宋" w:eastAsia="仿宋" w:cs="仿宋"/>
          <w:highlight w:val="none"/>
        </w:rPr>
      </w:pPr>
      <w:r>
        <w:rPr>
          <w:rFonts w:hint="eastAsia" w:ascii="仿宋" w:hAnsi="仿宋" w:eastAsia="仿宋" w:cs="仿宋"/>
          <w:b/>
          <w:color w:val="000000"/>
          <w:kern w:val="0"/>
          <w:highlight w:val="none"/>
        </w:rPr>
        <w:t>（六）播出系统功能要求</w:t>
      </w:r>
    </w:p>
    <w:p>
      <w:pPr>
        <w:numPr>
          <w:ilvl w:val="0"/>
          <w:numId w:val="13"/>
        </w:numPr>
        <w:spacing w:line="640" w:lineRule="exact"/>
        <w:ind w:left="709"/>
        <w:rPr>
          <w:rFonts w:ascii="仿宋" w:hAnsi="仿宋" w:eastAsia="仿宋" w:cs="仿宋"/>
          <w:color w:val="000000"/>
          <w:highlight w:val="none"/>
        </w:rPr>
      </w:pPr>
      <w:bookmarkStart w:id="99" w:name="_Toc462054509"/>
      <w:r>
        <w:rPr>
          <w:rFonts w:hint="eastAsia" w:ascii="仿宋" w:hAnsi="仿宋" w:eastAsia="仿宋" w:cs="仿宋"/>
          <w:color w:val="000000"/>
          <w:highlight w:val="none"/>
        </w:rPr>
        <w:t>素材文件标准要求</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播出素材文件需支持如下标准：</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视频编码：MPEG-1、MPEG-2、H.264 、H.265等主流编码格式</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音频编码：MP2、MP3、AAC、AC3等主流编码格式</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视频幅面：720*576、1280*720、1920*1080、3840*2160等主流图像幅面</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视频帧率：25、29.97</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文件格式：avi+wav、TS、MP4、mpg、MOV、MKV、mxf等主流文件格式</w:t>
      </w:r>
    </w:p>
    <w:p>
      <w:pPr>
        <w:numPr>
          <w:ilvl w:val="0"/>
          <w:numId w:val="13"/>
        </w:numPr>
        <w:spacing w:line="640" w:lineRule="exact"/>
        <w:ind w:left="709"/>
        <w:rPr>
          <w:rFonts w:ascii="仿宋" w:hAnsi="仿宋" w:eastAsia="仿宋" w:cs="仿宋"/>
          <w:color w:val="000000"/>
          <w:highlight w:val="none"/>
        </w:rPr>
      </w:pPr>
      <w:bookmarkStart w:id="100" w:name="_Toc462054511"/>
      <w:r>
        <w:rPr>
          <w:rFonts w:hint="eastAsia" w:ascii="仿宋" w:hAnsi="仿宋" w:eastAsia="仿宋" w:cs="仿宋"/>
          <w:color w:val="000000"/>
          <w:highlight w:val="none"/>
        </w:rPr>
        <w:t>上载/导入</w:t>
      </w:r>
      <w:bookmarkEnd w:id="100"/>
      <w:r>
        <w:rPr>
          <w:rFonts w:hint="eastAsia" w:ascii="仿宋" w:hAnsi="仿宋" w:eastAsia="仿宋" w:cs="仿宋"/>
          <w:color w:val="000000"/>
          <w:highlight w:val="none"/>
        </w:rPr>
        <w:t>要求</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支持对嵌入数字视音频信号的定时、定长、手动三种采集上载模式，采集上载素材信息直接进入播出数据库。</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支持DVD光盘文件上载以及文件转码上载功，导入时可对DVD光盘上的节目进行打点编辑，支持声道选择，字幕选择上载，文件转码及采集上载支持音频均衡混音功能；</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支持N制素材文件导入并支持对上载素材进行打点编辑。</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支持对外部完整素材进行自动导入，并且在入库阶段自动完成节目素材的分类。</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支持对上载后节目素材进行实时、快速播放浏览和再次编辑。</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支持批量手动或者自动批量上载。</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支持在素材上载/导入时添加/修改AFD信息。</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上载工作站实时显示硬盘的剩余容量，方便硬盘空间的合理分配使用。硬盘的空间可以由系统管理员按照频道来划分，限定使用，保证每个频道的正常播出。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支持实时预监上载转码过程图像画面，支持随时停止转码或上载。</w:t>
      </w:r>
    </w:p>
    <w:p>
      <w:pPr>
        <w:numPr>
          <w:ilvl w:val="0"/>
          <w:numId w:val="13"/>
        </w:numPr>
        <w:spacing w:line="640" w:lineRule="exact"/>
        <w:ind w:left="709"/>
        <w:rPr>
          <w:rFonts w:ascii="仿宋" w:hAnsi="仿宋" w:eastAsia="仿宋" w:cs="仿宋"/>
          <w:color w:val="000000"/>
          <w:highlight w:val="none"/>
        </w:rPr>
      </w:pPr>
      <w:bookmarkStart w:id="101" w:name="_Toc462054513"/>
      <w:r>
        <w:rPr>
          <w:rFonts w:hint="eastAsia" w:ascii="仿宋" w:hAnsi="仿宋" w:eastAsia="仿宋" w:cs="仿宋"/>
          <w:color w:val="000000"/>
          <w:highlight w:val="none"/>
        </w:rPr>
        <w:t>自动技审</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上载素材文件完成后，系统支持在任意上载站点完成自动技审功能。</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自动技审功能需要同时对手动上载及自动上载支持。</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自动技审内容至少包括：视频如黑场、彩条、静帧；音频如静音、电平、响度等基本检测检测；</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支持对自动技审未通过的素材文件进行人工复审，同时需提供统一的复审操作界面。</w:t>
      </w:r>
    </w:p>
    <w:p>
      <w:pPr>
        <w:numPr>
          <w:ilvl w:val="0"/>
          <w:numId w:val="13"/>
        </w:numPr>
        <w:spacing w:line="640" w:lineRule="exact"/>
        <w:ind w:left="709"/>
        <w:rPr>
          <w:rFonts w:ascii="仿宋" w:hAnsi="仿宋" w:eastAsia="仿宋" w:cs="仿宋"/>
          <w:color w:val="000000"/>
          <w:highlight w:val="none"/>
        </w:rPr>
      </w:pPr>
      <w:bookmarkStart w:id="102" w:name="_Toc462054512"/>
      <w:r>
        <w:rPr>
          <w:rFonts w:hint="eastAsia" w:ascii="仿宋" w:hAnsi="仿宋" w:eastAsia="仿宋" w:cs="仿宋"/>
          <w:color w:val="000000"/>
          <w:highlight w:val="none"/>
        </w:rPr>
        <w:t>节目单编辑</w:t>
      </w:r>
      <w:bookmarkEnd w:id="102"/>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支持播出节目单模板编辑，通过播出节目单模板修改及替换节目进行快速播出节目单编辑。</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节目单表中需具备节目标题等基本内容，包括节目状态、报警提示、累计时间、信息提示、信号源、插播状态等多种辅助信息。</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支持对节目单时间逻辑检查功能，可对播出单进行时间的逻辑检查，检查是否存在间隙和碰撞，如发生问题，支持快速切换至问题节点。</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支持自动优化时间逻辑不对的节目单，可通过自动重新排列定时节目或者自动拆分节目等多种方式完成自动优化。</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支持离线播出节目单编辑，通过离线节目单编辑模式提前编辑完成各频道播出节目单。</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具备按条目或组方式编单功能， 如广告及电视剧可按组进行编单。</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支持广告独立编单，广告单自动嵌入总节目单。</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支持条目及组内插播节目编单，可在不解散节目组的情况下，在节目组内进行插播。</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支持对节目单中节目进行二次编辑，其编辑结果仅针对本节目单有效。</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支持在线播出节目单修改，对当天在播节目单进行修改，修改后的节目单能够被播控工作站自动刷新。</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支持对节目单中已有素材更改/修改AFD信息。</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支持播出图文编辑，在编单工作站上完成播出台标、角标、时钟、倒计时、游动字幕的编辑，并自动与播出节目关联。</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支持对节目素材进行播放及快速浏览。</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支持对未审核通过节目素材加入播出节目单。</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显示播出节目单中节目素材的审核信息。</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具备节目单自动优化功能。能够自动检查节目单，自动优化播出时间；检查节目审核状态，并有相应的提醒机制。</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支持节目单打印功能。</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支持播出图文与播出节目单绑定编辑</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支持独立图文播出节目单编辑。</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可对播出节目单中的条目及组进行动画台标、动画角标（至少3个）、时钟、倒计时、游动字幕编辑，编辑完成后即与该节目条目或节目组完成配对。</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具备倒计时与节目条目或节目组时长自动关联功能，无需手动设置倒计时的时长。</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支持外部编辑节目单导入，节目编排功能精度必须精确到帧。</w:t>
      </w:r>
    </w:p>
    <w:p>
      <w:pPr>
        <w:numPr>
          <w:ilvl w:val="0"/>
          <w:numId w:val="13"/>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节目/节目单审核</w:t>
      </w:r>
      <w:bookmarkEnd w:id="101"/>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支持三级审片机制。</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支持审核机制可配置。</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支持对审片素材重新进行打点编辑和修改AFD信息。</w:t>
      </w:r>
    </w:p>
    <w:p>
      <w:pPr>
        <w:numPr>
          <w:ilvl w:val="0"/>
          <w:numId w:val="13"/>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节目播出</w:t>
      </w:r>
      <w:bookmarkEnd w:id="99"/>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支持高清数字及标清数字信号同时输出，支持高清、标清、节目素材的混播。</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可灵活定义播出节目是高清或标清，并自动对转播、本地素材播出按AFD要求完成实时上下变换。</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支持对转播节目及本地播出节目音频自动均衡调整。</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支持断电后接续播出。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支持高清及标清信号的转播。</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支持N+1备份方式，备份服务器能够替换任意主服务器提供备份输出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支持动态台标、动态角标、时钟、倒计时、游动字幕的同步叠加播出控制，所有播出图文均可对本地文件播出及转播节目播出进行叠加后播出。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支持在数据库服务器、播控工作站全部宕机后完成当天节目的播出。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自动根据在线播出节目单中节目内容检查在线素材存储，并自动将不在在线存储的节目素材从二级存储迁移池到在线存储池。</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对迁移素材文件进行有效性检查，迁移后不符合播出规范的节目素材自动重新迁移。</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支持图文与节目绑定播出、独立图文播出节目单播出、独立即时播出模式。</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具备角标循环播出功能，可灵活设置角标播出时间、间隔时间、循环次数。</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具备倒计时与节目条目或节目组时长自动关联功能，无需手动设置倒计时的时长。</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支持倒推定时播出及智能定时播出。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播出服务器采用的播出卡支持转播信号断电直通。</w:t>
      </w:r>
    </w:p>
    <w:p>
      <w:pPr>
        <w:numPr>
          <w:ilvl w:val="0"/>
          <w:numId w:val="13"/>
        </w:numPr>
        <w:spacing w:line="640" w:lineRule="exact"/>
        <w:ind w:left="709"/>
        <w:rPr>
          <w:rFonts w:ascii="仿宋" w:hAnsi="仿宋" w:eastAsia="仿宋" w:cs="仿宋"/>
          <w:color w:val="000000"/>
          <w:highlight w:val="none"/>
        </w:rPr>
      </w:pPr>
      <w:bookmarkStart w:id="103" w:name="_Toc462054510"/>
      <w:r>
        <w:rPr>
          <w:rFonts w:hint="eastAsia" w:ascii="仿宋" w:hAnsi="仿宋" w:eastAsia="仿宋" w:cs="仿宋"/>
          <w:color w:val="000000"/>
          <w:highlight w:val="none"/>
        </w:rPr>
        <w:t>播出控制</w:t>
      </w:r>
      <w:bookmarkEnd w:id="103"/>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支持各类切换台、切换矩阵、主/备播出控制机、视频服务器等设备，支持多种控制协议。对各相关设备的控制要求必须达到帧精度。</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主、备播出服务器中各播出控制软件均能独立完成全频道播出的任务，可通过控制信号倒换装置，实现播出相关设备的共享控制。</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自动完成跨天播出节目单调取及播出，无需人工干预。</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应有触发、延时、紧急信号等处理节目播出的应急措施,系统手动控制的优先级应高于自动控制,播出值班员在应急时可手动干预播出，提供保持、手动切换、主从切换、垫片播出等多种手动干预手段。</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完备的日志记录。对用户操作日志、软件运行日志、节目播出日志有详细的记录，并且要求查询方便，可读性强。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对所有的可以控制设备均能提供实时的状态检测和提示。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支持节目单快照功能，能够在每条节目的时间记录当前节目的播出信息及状态。</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具备对在线节目单中未审查通过节目素材进行提示或自动删除。</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自动根据在线播出节目单中节目内容检查在线素材存储，并自动将不在在线存储的节目素材从二级存储迁移池到在线存储池。</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支持在节目内及节目组内节目目进行多次插播。</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支持手动对节目单中任意节目素材进行触发播出，手动触发播出后，后续节目播出时间自动变更。</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可对在线节目单中任意播出节目素材进行播放及快速浏览。</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具备清晰明了的节目播出状态显示，如已播节目、在播节目、待播节目的状态直观显示。</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具备清晰明了的节目素材播出方式显示，如节目素材播出的顺播、插播、定时播、定长播的清晰显示。</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具备当前标准时间、当前已播节目时间、当前节目剩余时间的准确显示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支持对矩阵、播出录像机的联动播出控制。</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支持对播出服务器、矩阵、图文服务状态的监控及报警。</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支持对在线、二级存储池的状态进行监控及报警。</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可锁定播控界面，避免误操作产生的播出事故，解锁锁定界面需输入帐户密码。</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支持播出系统异常后，系统恢复，支持从当前时间点继续播放节目。</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节目单支持定时、顺序、触发等多种节目播出类型。</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支持对打开的播出表要进行合法性检测，对播出列表中的素材进行存在性检测，不存在的素材将提前给出醒目的提示。</w:t>
      </w:r>
    </w:p>
    <w:p>
      <w:pPr>
        <w:numPr>
          <w:ilvl w:val="0"/>
          <w:numId w:val="13"/>
        </w:numPr>
        <w:spacing w:line="640" w:lineRule="exact"/>
        <w:ind w:left="709"/>
        <w:rPr>
          <w:rFonts w:ascii="仿宋" w:hAnsi="仿宋" w:eastAsia="仿宋" w:cs="仿宋"/>
          <w:color w:val="000000"/>
          <w:highlight w:val="none"/>
        </w:rPr>
      </w:pPr>
      <w:bookmarkStart w:id="104" w:name="_Toc462054514"/>
      <w:r>
        <w:rPr>
          <w:rFonts w:hint="eastAsia" w:ascii="仿宋" w:hAnsi="仿宋" w:eastAsia="仿宋" w:cs="仿宋"/>
          <w:color w:val="000000"/>
          <w:highlight w:val="none"/>
        </w:rPr>
        <w:t>素材管理</w:t>
      </w:r>
      <w:bookmarkEnd w:id="104"/>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具备在线存储、二级存储的多级存储管理功能；二级存储支持多个存储</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能通过用户权限设置，向不同级别的用户开放不同的素材管理权限。</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具备多级素材分类管理，可自定义素材多级分类级数和名称。</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具备按素材名、入库时间段快速检索功能。</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具备对不同存储中的所有素材进行快速浏览、编辑。</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具备对播出节目素材生命周期管理，不同的存储上的素材可设置不同的生命周期，系统对达到生命周期的节目素材自动进行删除。</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可灵活设定播出节目素材的自动迁移提前量，在提前量内的素材将提前自动迁移至播出服务器本地存储。</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素材管理器中的素材列表和子素材列表（素材段）均可以根据使用习惯自行定义表格的列项和宽度；</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可内嵌于上载审片软件、节目单编辑软件、自动播出软件等不同系统软件中，具有高兼容性，同时方便不同岗位的操作人员对节目素材的管理。</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素材迁移信息统计：对每条素材迁移信息的统计，包含节目源，迁移的目的地，迁移时间，用时等信息的统计。</w:t>
      </w:r>
    </w:p>
    <w:p>
      <w:pPr>
        <w:numPr>
          <w:ilvl w:val="0"/>
          <w:numId w:val="13"/>
        </w:numPr>
        <w:spacing w:line="640" w:lineRule="exact"/>
        <w:ind w:left="709"/>
        <w:rPr>
          <w:rFonts w:ascii="仿宋" w:hAnsi="仿宋" w:eastAsia="仿宋" w:cs="仿宋"/>
          <w:color w:val="000000"/>
          <w:highlight w:val="none"/>
        </w:rPr>
      </w:pPr>
      <w:bookmarkStart w:id="105" w:name="_Toc462054515"/>
      <w:r>
        <w:rPr>
          <w:rFonts w:hint="eastAsia" w:ascii="仿宋" w:hAnsi="仿宋" w:eastAsia="仿宋" w:cs="仿宋"/>
          <w:color w:val="000000"/>
          <w:highlight w:val="none"/>
        </w:rPr>
        <w:t>统计管理</w:t>
      </w:r>
      <w:bookmarkEnd w:id="105"/>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具备对各类节目素材按时间段进行播出次数、播出时间的查询、统计、打印</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具备对各类图文按时间段进行播出次数、播出时间的查询、打印</w:t>
      </w:r>
    </w:p>
    <w:p>
      <w:pPr>
        <w:numPr>
          <w:ilvl w:val="0"/>
          <w:numId w:val="13"/>
        </w:numPr>
        <w:spacing w:line="640" w:lineRule="exact"/>
        <w:ind w:left="709"/>
        <w:rPr>
          <w:rFonts w:ascii="仿宋" w:hAnsi="仿宋" w:eastAsia="仿宋" w:cs="仿宋"/>
          <w:color w:val="000000"/>
          <w:highlight w:val="none"/>
        </w:rPr>
      </w:pPr>
      <w:bookmarkStart w:id="106" w:name="_Toc462054516"/>
      <w:r>
        <w:rPr>
          <w:rFonts w:hint="eastAsia" w:ascii="仿宋" w:hAnsi="仿宋" w:eastAsia="仿宋" w:cs="仿宋"/>
          <w:color w:val="000000"/>
          <w:highlight w:val="none"/>
        </w:rPr>
        <w:t>系统管理</w:t>
      </w:r>
      <w:bookmarkEnd w:id="106"/>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具备频道管理、用户管理、设备管理、日志（上机日志、操作日志）管理、存储空间管理等功能</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具备用户帐户对存储访问、素材访问、软件模块访问权限分配管理</w:t>
      </w:r>
    </w:p>
    <w:p>
      <w:pPr>
        <w:numPr>
          <w:ilvl w:val="0"/>
          <w:numId w:val="13"/>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语音报警</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支持对系统核心服务状态、控制状态的实时监测，异常时语音报警提示异常状态。</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支持对多画面监测/监看信号出现异常时进行语音报警。</w:t>
      </w:r>
    </w:p>
    <w:p>
      <w:pPr>
        <w:numPr>
          <w:ilvl w:val="0"/>
          <w:numId w:val="13"/>
        </w:numPr>
        <w:spacing w:line="640" w:lineRule="exact"/>
        <w:ind w:left="709"/>
        <w:rPr>
          <w:rFonts w:ascii="仿宋" w:hAnsi="仿宋" w:eastAsia="仿宋" w:cs="仿宋"/>
          <w:color w:val="000000"/>
          <w:highlight w:val="none"/>
        </w:rPr>
      </w:pPr>
      <w:bookmarkStart w:id="107" w:name="_Toc462054517"/>
      <w:r>
        <w:rPr>
          <w:rFonts w:hint="eastAsia" w:ascii="仿宋" w:hAnsi="仿宋" w:eastAsia="仿宋" w:cs="仿宋"/>
          <w:color w:val="000000"/>
          <w:highlight w:val="none"/>
        </w:rPr>
        <w:t>播出周边</w:t>
      </w:r>
      <w:bookmarkEnd w:id="107"/>
    </w:p>
    <w:p>
      <w:pPr>
        <w:numPr>
          <w:ilvl w:val="0"/>
          <w:numId w:val="14"/>
        </w:numPr>
        <w:spacing w:line="640" w:lineRule="exact"/>
        <w:rPr>
          <w:rFonts w:ascii="仿宋" w:hAnsi="仿宋" w:eastAsia="仿宋" w:cs="仿宋"/>
          <w:color w:val="000000"/>
          <w:highlight w:val="none"/>
        </w:rPr>
      </w:pPr>
      <w:r>
        <w:rPr>
          <w:rFonts w:hint="eastAsia" w:ascii="仿宋" w:hAnsi="仿宋" w:eastAsia="仿宋" w:cs="仿宋"/>
          <w:color w:val="000000"/>
          <w:highlight w:val="none"/>
        </w:rPr>
        <w:t>双时基数字高清切换器</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播出控制矩阵需支持高清。</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播出控制矩阵需带同步锁相、带主备232控制输入端口、232遥控面板控制输入端口。</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播出控制矩阵需带线缆均衡、断电直通、实时仲裁切换。</w:t>
      </w:r>
    </w:p>
    <w:p>
      <w:pPr>
        <w:numPr>
          <w:ilvl w:val="0"/>
          <w:numId w:val="14"/>
        </w:numPr>
        <w:spacing w:line="640" w:lineRule="exact"/>
        <w:rPr>
          <w:rFonts w:ascii="仿宋" w:hAnsi="仿宋" w:eastAsia="仿宋" w:cs="仿宋"/>
          <w:color w:val="000000"/>
          <w:highlight w:val="none"/>
        </w:rPr>
      </w:pPr>
      <w:r>
        <w:rPr>
          <w:rFonts w:hint="eastAsia" w:ascii="仿宋" w:hAnsi="仿宋" w:eastAsia="仿宋" w:cs="仿宋"/>
          <w:color w:val="000000"/>
          <w:highlight w:val="none"/>
        </w:rPr>
        <w:t>高清数字自动倒换器</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需具备主备数字输入、应急信号输入（共3路SDI输入），2个数字分配输出，带断电直通。</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播出应急倒换器需支持对播出节目的静帧、静音、EDH自动检测、报警、自动倒换；</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播出应急倒换器支持对播出服务器工作状态进行监控，并根据播出服务器状态达到0帧精度的自动倒换。</w:t>
      </w:r>
    </w:p>
    <w:p>
      <w:pPr>
        <w:numPr>
          <w:ilvl w:val="0"/>
          <w:numId w:val="14"/>
        </w:numPr>
        <w:spacing w:line="640" w:lineRule="exact"/>
        <w:rPr>
          <w:rFonts w:ascii="仿宋" w:hAnsi="仿宋" w:eastAsia="仿宋" w:cs="仿宋"/>
          <w:color w:val="000000"/>
          <w:highlight w:val="none"/>
        </w:rPr>
      </w:pPr>
      <w:r>
        <w:rPr>
          <w:rFonts w:hint="eastAsia" w:ascii="仿宋" w:hAnsi="仿宋" w:eastAsia="仿宋" w:cs="仿宋"/>
          <w:color w:val="000000"/>
          <w:highlight w:val="none"/>
        </w:rPr>
        <w:t>高清数字帧同步卡</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要求1路HD/SD-SDI信号进行帧同步和时钟恢复处理后输出4路HD/SD-SDI信号；同步信号支持模拟复合和三电平同步信号；</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带帧同步功能：要求支持内同步、外同步选择，支持输出视频信号行、场相位调整。</w:t>
      </w:r>
    </w:p>
    <w:p>
      <w:pPr>
        <w:numPr>
          <w:ilvl w:val="0"/>
          <w:numId w:val="14"/>
        </w:numPr>
        <w:spacing w:line="640" w:lineRule="exact"/>
        <w:rPr>
          <w:rFonts w:ascii="仿宋" w:hAnsi="仿宋" w:eastAsia="仿宋" w:cs="仿宋"/>
          <w:color w:val="000000"/>
          <w:highlight w:val="none"/>
        </w:rPr>
      </w:pPr>
      <w:r>
        <w:rPr>
          <w:rFonts w:hint="eastAsia" w:ascii="仿宋" w:hAnsi="仿宋" w:eastAsia="仿宋" w:cs="仿宋"/>
          <w:color w:val="000000"/>
          <w:highlight w:val="none"/>
        </w:rPr>
        <w:t>同步/测试信号发生器</w:t>
      </w:r>
    </w:p>
    <w:p>
      <w:pPr>
        <w:pStyle w:val="36"/>
        <w:widowControl/>
        <w:snapToGrid w:val="0"/>
        <w:spacing w:after="200" w:line="640" w:lineRule="exact"/>
        <w:ind w:left="480" w:firstLine="0" w:firstLineChars="0"/>
        <w:contextualSpacing/>
        <w:jc w:val="left"/>
        <w:rPr>
          <w:rFonts w:ascii="仿宋" w:hAnsi="仿宋" w:eastAsia="仿宋" w:cs="仿宋"/>
          <w:color w:val="000000"/>
          <w:szCs w:val="24"/>
          <w:highlight w:val="none"/>
        </w:rPr>
      </w:pPr>
      <w:r>
        <w:rPr>
          <w:rFonts w:hint="eastAsia" w:ascii="仿宋" w:hAnsi="仿宋" w:eastAsia="仿宋" w:cs="仿宋"/>
          <w:color w:val="000000"/>
          <w:szCs w:val="24"/>
          <w:highlight w:val="none"/>
        </w:rPr>
        <w:t>主机面板上需支持外同步信号输入，内外同步切换功能。</w:t>
      </w:r>
    </w:p>
    <w:p>
      <w:pPr>
        <w:pStyle w:val="36"/>
        <w:widowControl/>
        <w:snapToGrid w:val="0"/>
        <w:spacing w:after="200" w:line="640" w:lineRule="exact"/>
        <w:ind w:left="480" w:firstLine="0" w:firstLineChars="0"/>
        <w:contextualSpacing/>
        <w:jc w:val="left"/>
        <w:rPr>
          <w:rFonts w:ascii="仿宋" w:hAnsi="仿宋" w:eastAsia="仿宋" w:cs="仿宋"/>
          <w:color w:val="000000"/>
          <w:szCs w:val="24"/>
          <w:highlight w:val="none"/>
        </w:rPr>
      </w:pPr>
      <w:r>
        <w:rPr>
          <w:rFonts w:hint="eastAsia" w:ascii="仿宋" w:hAnsi="仿宋" w:eastAsia="仿宋" w:cs="仿宋"/>
          <w:color w:val="000000"/>
          <w:szCs w:val="24"/>
          <w:highlight w:val="none"/>
        </w:rPr>
        <w:t>需具备断电参数保存，一键恢复出厂设置功能。</w:t>
      </w:r>
    </w:p>
    <w:p>
      <w:pPr>
        <w:pStyle w:val="36"/>
        <w:widowControl/>
        <w:snapToGrid w:val="0"/>
        <w:spacing w:after="200" w:line="640" w:lineRule="exact"/>
        <w:ind w:left="480" w:firstLine="0" w:firstLineChars="0"/>
        <w:contextualSpacing/>
        <w:jc w:val="left"/>
        <w:rPr>
          <w:rFonts w:ascii="仿宋" w:hAnsi="仿宋" w:eastAsia="仿宋" w:cs="仿宋"/>
          <w:color w:val="000000"/>
          <w:szCs w:val="24"/>
          <w:highlight w:val="none"/>
        </w:rPr>
      </w:pPr>
      <w:r>
        <w:rPr>
          <w:rFonts w:hint="eastAsia" w:ascii="仿宋" w:hAnsi="仿宋" w:eastAsia="仿宋" w:cs="仿宋"/>
          <w:color w:val="000000"/>
          <w:szCs w:val="24"/>
          <w:highlight w:val="none"/>
        </w:rPr>
        <w:t>主机面板上需具备手动可调行场相位按键。</w:t>
      </w:r>
    </w:p>
    <w:p>
      <w:pPr>
        <w:numPr>
          <w:ilvl w:val="0"/>
          <w:numId w:val="14"/>
        </w:numPr>
        <w:spacing w:line="640" w:lineRule="exact"/>
        <w:rPr>
          <w:rFonts w:ascii="仿宋" w:hAnsi="仿宋" w:eastAsia="仿宋" w:cs="仿宋"/>
          <w:color w:val="000000"/>
          <w:highlight w:val="none"/>
        </w:rPr>
      </w:pPr>
      <w:r>
        <w:rPr>
          <w:rFonts w:hint="eastAsia" w:ascii="仿宋" w:hAnsi="仿宋" w:eastAsia="仿宋" w:cs="仿宋"/>
          <w:color w:val="000000"/>
          <w:highlight w:val="none"/>
        </w:rPr>
        <w:t>多通道高标清流程监测处理器</w:t>
      </w:r>
    </w:p>
    <w:p>
      <w:pPr>
        <w:pStyle w:val="52"/>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机架式服务器</w:t>
      </w:r>
    </w:p>
    <w:p>
      <w:pPr>
        <w:pStyle w:val="52"/>
        <w:spacing w:line="640" w:lineRule="exact"/>
        <w:ind w:left="480" w:firstLine="0" w:firstLineChars="0"/>
        <w:rPr>
          <w:rFonts w:ascii="仿宋" w:hAnsi="仿宋" w:eastAsia="仿宋" w:cs="仿宋"/>
          <w:color w:val="000000"/>
          <w:kern w:val="0"/>
          <w:szCs w:val="24"/>
          <w:highlight w:val="none"/>
        </w:rPr>
      </w:pPr>
      <w:r>
        <w:rPr>
          <w:rFonts w:hint="eastAsia" w:ascii="仿宋" w:hAnsi="仿宋" w:eastAsia="仿宋" w:cs="仿宋"/>
          <w:color w:val="000000"/>
          <w:szCs w:val="24"/>
          <w:highlight w:val="none"/>
        </w:rPr>
        <w:t>输入接口：</w:t>
      </w:r>
      <w:r>
        <w:rPr>
          <w:rFonts w:hint="eastAsia" w:ascii="仿宋" w:hAnsi="仿宋" w:eastAsia="仿宋" w:cs="仿宋"/>
          <w:color w:val="000000"/>
          <w:kern w:val="0"/>
          <w:szCs w:val="24"/>
          <w:highlight w:val="none"/>
        </w:rPr>
        <w:t>≥8 HD-SDI</w:t>
      </w:r>
    </w:p>
    <w:p>
      <w:pPr>
        <w:pStyle w:val="52"/>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输出接口：</w:t>
      </w:r>
      <w:r>
        <w:rPr>
          <w:rFonts w:hint="eastAsia" w:ascii="仿宋" w:hAnsi="仿宋" w:eastAsia="仿宋" w:cs="仿宋"/>
          <w:color w:val="000000"/>
          <w:kern w:val="0"/>
          <w:szCs w:val="24"/>
          <w:highlight w:val="none"/>
        </w:rPr>
        <w:t>≥2 HDMI/DP数字输出 支持双屏同时输出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高标清SDI信号自适应输入，在同一画面同时输出显示。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支持对所有通道进行静音、静帧、黑场、彩条进行监测并报警</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支持对主备播出信号内容对比（精确到1帧）</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报警方式：支持屏幕文字显示报警、语音报警、短信报警</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支持通道独立报警配置，报警方式可根据通道不同自由配置</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短信报警支持将通道信息、异常信息、异常发生时间发送到多个手机，手机号码可按通道独立配置。</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支持自定义显示窗口任意布局，支持通道内容跨屏显示，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通道显示窗口无边框</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显示窗口支持图片、文字、时钟显示</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支持将当前画面布局方式保存为模板</w:t>
      </w:r>
    </w:p>
    <w:p>
      <w:pPr>
        <w:pStyle w:val="36"/>
        <w:snapToGrid w:val="0"/>
        <w:spacing w:line="640" w:lineRule="exact"/>
        <w:ind w:left="480" w:firstLine="0" w:firstLineChars="0"/>
        <w:rPr>
          <w:rFonts w:ascii="仿宋" w:hAnsi="仿宋" w:eastAsia="仿宋" w:cs="仿宋"/>
          <w:color w:val="000000"/>
          <w:szCs w:val="24"/>
          <w:highlight w:val="none"/>
        </w:rPr>
      </w:pPr>
      <w:r>
        <w:rPr>
          <w:rFonts w:hint="eastAsia" w:ascii="仿宋" w:hAnsi="仿宋" w:eastAsia="仿宋" w:cs="仿宋"/>
          <w:color w:val="000000"/>
          <w:szCs w:val="24"/>
          <w:highlight w:val="none"/>
        </w:rPr>
        <w:t>时钟支持数码时钟和表盘时钟，数码时钟支持当前时间、播出时间、倒计时等多种显示方式</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支持对每个通道的UMD文字的字体、颜色、大小、透明度、位置及背景颜色、透明度等参数进行个性化设置</w:t>
      </w:r>
    </w:p>
    <w:p>
      <w:pPr>
        <w:pStyle w:val="36"/>
        <w:snapToGrid w:val="0"/>
        <w:spacing w:line="640" w:lineRule="exact"/>
        <w:ind w:firstLine="480"/>
        <w:rPr>
          <w:rFonts w:ascii="仿宋" w:hAnsi="仿宋" w:eastAsia="仿宋" w:cs="仿宋"/>
          <w:color w:val="000000"/>
          <w:szCs w:val="24"/>
          <w:highlight w:val="none"/>
        </w:rPr>
      </w:pPr>
      <w:r>
        <w:rPr>
          <w:rFonts w:hint="eastAsia" w:ascii="仿宋" w:hAnsi="仿宋" w:eastAsia="仿宋" w:cs="仿宋"/>
          <w:color w:val="000000"/>
          <w:szCs w:val="24"/>
          <w:highlight w:val="none"/>
        </w:rPr>
        <w:t>支持对每个通道显示音频UV音柱大小、间隔、位置、透明度、摆放方式（左、右、左右各一）进行个性化设置</w:t>
      </w:r>
    </w:p>
    <w:p>
      <w:pPr>
        <w:pStyle w:val="36"/>
        <w:snapToGrid w:val="0"/>
        <w:spacing w:line="640" w:lineRule="exact"/>
        <w:ind w:left="480" w:firstLine="0" w:firstLineChars="0"/>
        <w:rPr>
          <w:rFonts w:ascii="仿宋" w:hAnsi="仿宋" w:eastAsia="仿宋" w:cs="仿宋"/>
          <w:highlight w:val="none"/>
        </w:rPr>
      </w:pPr>
      <w:r>
        <w:rPr>
          <w:rFonts w:hint="eastAsia" w:ascii="仿宋" w:hAnsi="仿宋" w:eastAsia="仿宋" w:cs="仿宋"/>
          <w:color w:val="000000"/>
          <w:szCs w:val="24"/>
          <w:highlight w:val="none"/>
        </w:rPr>
        <w:t>支持任意通道一键满屏显示，并输出当前满屏通道声音</w:t>
      </w:r>
    </w:p>
    <w:p>
      <w:pPr>
        <w:spacing w:line="640" w:lineRule="exact"/>
        <w:rPr>
          <w:rFonts w:ascii="仿宋" w:hAnsi="仿宋" w:eastAsia="仿宋" w:cs="仿宋"/>
          <w:b/>
          <w:color w:val="000000"/>
          <w:kern w:val="0"/>
          <w:highlight w:val="none"/>
        </w:rPr>
      </w:pPr>
      <w:bookmarkStart w:id="108" w:name="_Toc9773"/>
      <w:r>
        <w:rPr>
          <w:rFonts w:hint="eastAsia" w:ascii="仿宋" w:hAnsi="仿宋" w:eastAsia="仿宋" w:cs="仿宋"/>
          <w:b/>
          <w:color w:val="000000"/>
          <w:kern w:val="0"/>
          <w:highlight w:val="none"/>
        </w:rPr>
        <w:t>（七）媒资系统要求：</w:t>
      </w:r>
      <w:bookmarkEnd w:id="108"/>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系统软件的核心业务功能要求全部采用B/S结构实现，通过浏览器即可实现常规操作，为素材管理提供内容支撑，实现数字资源导入、编目、管理、检索、导出等操作。</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要求系统中所有的应用及模块集成在一个基于Web的用户界面框架中，支持HTML5格式的浏览器无需安装插件即可直接运行。提供一站式的用户界面，支持多任务窗口，提高台里工作体验和工作效率，降低系统维护难度和成本。</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 xml:space="preserve">为确保核心内容管理平台的安全性，技术架构上要求核心媒体平台采用Linux类操作系统（媒体处理可以采用Windows平台），中心媒资系统具有分布式数据平台架构的能力；分布式系统服务随时处于活跃状态，即随时都是自动负载均衡和自动故障切换，而不是采用HA方式实现备机切换。任意一个系统服务（包括数据库）所处的虚拟服务器宕机时，业务运行无缝接续，业务数据无损续写。为了保障分布式媒体服务平台的性能和升级迭代能力。 </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为便于媒体资源管理中心系统功能的扩展，要求核心媒体平台采用虚拟化技术，且支持将来在不改变核心平台配置功能，不影响核心平台正常运行的情况下可实现新增功能模块的安装部署。</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要求视音频资源的数字化主存储格式为MXF格式，同时也要支持按照资源文件源格式存储的模式，能实现视音频可变码率、多格式混合存储。</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视音频代理码率采用H.264及以上格式，用于在线快速预览和编目。</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支持数字资源自定义资料集管理，资料集不同于一般文件夹，资料集本身具备元数据信息管理。可对媒体文件资料集进行分类管理。</w:t>
      </w:r>
    </w:p>
    <w:p>
      <w:pPr>
        <w:spacing w:line="640" w:lineRule="exact"/>
        <w:ind w:firstLine="480" w:firstLineChars="200"/>
        <w:rPr>
          <w:rFonts w:ascii="仿宋" w:hAnsi="仿宋" w:eastAsia="仿宋" w:cs="仿宋"/>
          <w:color w:val="000000"/>
          <w:highlight w:val="none"/>
        </w:rPr>
      </w:pPr>
      <w:r>
        <w:rPr>
          <w:rFonts w:hint="eastAsia" w:ascii="仿宋" w:hAnsi="仿宋" w:eastAsia="仿宋" w:cs="仿宋"/>
          <w:color w:val="000000"/>
          <w:highlight w:val="none"/>
        </w:rPr>
        <w:t>系统支持数据统计功能，支持入库统计、出库统计、编目统计；支持统计通过不同方式入库到媒资库的素材相关信息，按照类型、来源、部门、用户统计；支持统计从媒资库出库的素材相关信息，按照类型、出库目标、部门、用户统计；支持统计编目和审核相关信息，包括编目用户统计、审核用户统计；支持将统计信息导出为Excel报表针对该功能要求提供支撑材料，包含但不限于第三方检测报告、彩页及官网截图。</w:t>
      </w:r>
    </w:p>
    <w:p>
      <w:pPr>
        <w:numPr>
          <w:ilvl w:val="0"/>
          <w:numId w:val="15"/>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编目功能</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系统中需预置国家广电总局制定的广播电视多层编目规范中所涉及到分类规范、元数据信息规范，对影音资料做出合理的分类。</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 xml:space="preserve">可实时在线对各种视音频文件进行基于时间线操作方式的多级编目操作（包括场景层、片段层、镜头层）。为保证编目工作的灵活性，该操作实现应基于B/S浏览器，不允许采用单独应用程序完成。编目功能支持快速编目和按流程编目的模式定义，允许根据自己的需求更改编目模式。  </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图片资源的编目应尽量继承图片原有EXIF信息，减少编目工作量，并支持同一目录图片的连续快速编目；图片编目的操作也应基于B/S浏览器窗口实现，不应采用独立程序方式实现。</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支持对资源元数据的批量修改，以提升编目效率。</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支持自定义编目字段，可自定义编目对象，满足对不同资源编目自定义的要求。</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支持后台设置中开启或关闭是否先入库后编目，还是先编目后入库功能，开启先编目后入库后，默认上传的资料将自动进入编目任务认领列表。</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支持编目任务管理，不同人员可领取编目任务，可通过后台配置编目角色及编目审核角色。</w:t>
      </w:r>
    </w:p>
    <w:p>
      <w:pPr>
        <w:numPr>
          <w:ilvl w:val="0"/>
          <w:numId w:val="15"/>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检索功能</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检索系统要提供视音频浏览服务，支持全文、分类、关键字、组合查询等多种检索方式。对节目资料的检索提供方便、快捷的检索方式，可以通过各种匹配检索、全文检索查到所需资料。</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对于视音频素材，可按素材入库时间，素材类型，编目分类等条件进行检索，也可以输入素材精确信息或全文模糊查询进行检索。</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支持对图片、视音频、文档、资料集等类型进行快速过滤。</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支持对文档元数据进行全文检索。</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可支持透出到公网的话，并支持通过移动设备端（手机、平板、iPad等）的浏览器对系统进行查询检索，并发起出库申请。</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要求面向视音频、图片、文档提供不同的资源详情浏览页面，在线方便的查看浏览资源内容。</w:t>
      </w:r>
    </w:p>
    <w:p>
      <w:pPr>
        <w:numPr>
          <w:ilvl w:val="0"/>
          <w:numId w:val="15"/>
        </w:numPr>
        <w:spacing w:line="640" w:lineRule="exact"/>
        <w:ind w:left="709"/>
        <w:rPr>
          <w:rFonts w:ascii="仿宋" w:hAnsi="仿宋" w:eastAsia="仿宋" w:cs="仿宋"/>
          <w:color w:val="000000"/>
          <w:highlight w:val="none"/>
        </w:rPr>
      </w:pPr>
      <w:r>
        <w:rPr>
          <w:rFonts w:hint="eastAsia" w:ascii="仿宋" w:hAnsi="仿宋" w:eastAsia="仿宋" w:cs="仿宋"/>
          <w:color w:val="000000"/>
          <w:highlight w:val="none"/>
        </w:rPr>
        <w:t>下载出库功能</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支持将检索查询到的素材进行下载，既可进行单条素材下载也可批量下载。下载无需其他软件支持，只需要通过B/S浏览器自带的下载功能即可将素材下载到本地。</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可支持将检索查询到的素材推送到预先指定的目录或系统内，实现系统内素材传输交换的自动化和流程化。可实现对检索素材的打点标记，只推送标记的部分，无需推送整段素材。推送的素材可指定格式，系统自动实现格式转换。</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 xml:space="preserve">可将检索到的素材导出到各种类型的非编客户端（单机系统、非编系统、FCP系统等）； </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在导出素材到客户端时可设置多种转码格式。</w:t>
      </w:r>
    </w:p>
    <w:p>
      <w:pPr>
        <w:spacing w:line="640" w:lineRule="exact"/>
        <w:rPr>
          <w:rFonts w:ascii="仿宋" w:hAnsi="仿宋" w:eastAsia="仿宋" w:cs="仿宋"/>
          <w:b/>
          <w:color w:val="000000"/>
          <w:kern w:val="0"/>
          <w:highlight w:val="none"/>
        </w:rPr>
      </w:pPr>
      <w:r>
        <w:rPr>
          <w:rFonts w:hint="eastAsia" w:ascii="仿宋" w:hAnsi="仿宋" w:eastAsia="仿宋" w:cs="仿宋"/>
          <w:b/>
          <w:color w:val="000000"/>
          <w:kern w:val="0"/>
          <w:highlight w:val="none"/>
        </w:rPr>
        <w:t>（八）虚拟系统要求：</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虚拟演播系统要求共具备多个讯道，以虚拟演播室为核心，辅以摄像机，调音台、虚拟演播系统、专业非编等其它设备，搭建一套高集成度、全功能、虚拟演播与实景演播相结合、视频信号输出的数字化视频制作系统，要求适用于电视台新闻直播，录播，嘉宾访谈，虚拟教学课程录制，节目后期制作等多场景应用，实现演播室和后期制作双重功能，能够满足电视台日常节目制作。</w:t>
      </w:r>
    </w:p>
    <w:p>
      <w:pPr>
        <w:spacing w:line="640" w:lineRule="exact"/>
        <w:ind w:firstLine="480" w:firstLineChars="200"/>
        <w:rPr>
          <w:rFonts w:ascii="仿宋" w:hAnsi="仿宋" w:eastAsia="仿宋" w:cs="仿宋"/>
          <w:b/>
          <w:highlight w:val="none"/>
        </w:rPr>
      </w:pPr>
      <w:r>
        <w:rPr>
          <w:rFonts w:hint="eastAsia" w:ascii="仿宋" w:hAnsi="仿宋" w:eastAsia="仿宋" w:cs="仿宋"/>
          <w:highlight w:val="none"/>
        </w:rPr>
        <w:t>本系统要求可实现多路高清视频的输入和实时特效切换。</w:t>
      </w:r>
    </w:p>
    <w:p>
      <w:pPr>
        <w:spacing w:line="640" w:lineRule="exact"/>
        <w:ind w:left="480"/>
        <w:rPr>
          <w:rFonts w:ascii="仿宋" w:hAnsi="仿宋" w:eastAsia="仿宋" w:cs="仿宋"/>
          <w:b/>
          <w:sz w:val="28"/>
          <w:szCs w:val="24"/>
          <w:highlight w:val="none"/>
        </w:rPr>
      </w:pPr>
      <w:r>
        <w:rPr>
          <w:rFonts w:hint="eastAsia" w:ascii="仿宋" w:hAnsi="仿宋" w:eastAsia="仿宋" w:cs="仿宋"/>
          <w:b/>
          <w:sz w:val="28"/>
          <w:szCs w:val="24"/>
          <w:highlight w:val="none"/>
        </w:rPr>
        <w:t>三、设备技术参数要求及数量清单(以下参数要求为基本要求，各项参数可相同可优于）</w:t>
      </w:r>
    </w:p>
    <w:p>
      <w:pPr>
        <w:widowControl/>
        <w:jc w:val="left"/>
        <w:rPr>
          <w:highlight w:val="none"/>
        </w:rPr>
      </w:pPr>
    </w:p>
    <w:tbl>
      <w:tblPr>
        <w:tblStyle w:val="23"/>
        <w:tblW w:w="5403"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22"/>
        <w:gridCol w:w="1487"/>
        <w:gridCol w:w="6632"/>
        <w:gridCol w:w="618"/>
        <w:gridCol w:w="77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jc w:val="center"/>
        </w:trPr>
        <w:tc>
          <w:tcPr>
            <w:tcW w:w="5000" w:type="pct"/>
            <w:gridSpan w:val="5"/>
            <w:tcBorders>
              <w:bottom w:val="single" w:color="000000" w:sz="4" w:space="0"/>
            </w:tcBorders>
            <w:shd w:val="clear" w:color="auto" w:fill="auto"/>
            <w:noWrap/>
            <w:vAlign w:val="bottom"/>
          </w:tcPr>
          <w:p>
            <w:pPr>
              <w:widowControl/>
              <w:spacing w:line="480" w:lineRule="exact"/>
              <w:jc w:val="left"/>
              <w:textAlignment w:val="bottom"/>
              <w:rPr>
                <w:rFonts w:ascii="仿宋" w:hAnsi="仿宋" w:eastAsia="仿宋" w:cs="仿宋"/>
                <w:b/>
                <w:bCs/>
                <w:color w:val="000000"/>
                <w:sz w:val="22"/>
                <w:highlight w:val="none"/>
              </w:rPr>
            </w:pPr>
            <w:r>
              <w:rPr>
                <w:rFonts w:hint="eastAsia" w:ascii="仿宋" w:hAnsi="仿宋" w:eastAsia="仿宋" w:cs="仿宋"/>
                <w:b/>
                <w:bCs/>
                <w:color w:val="000000"/>
                <w:kern w:val="0"/>
                <w:sz w:val="22"/>
                <w:highlight w:val="none"/>
              </w:rPr>
              <w:t>一、制作部分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数据库服务器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主机：19寸机架式服务器</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w:t>
            </w:r>
          </w:p>
        </w:tc>
        <w:tc>
          <w:tcPr>
            <w:tcW w:w="385" w:type="pct"/>
            <w:vMerge w:val="restar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CPU：不低于Intel Xeon Bronze 3204 1.9GHz(6核）  × 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内存：不少于32GB内存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系统硬盘：不少于2TB机械硬盘，SATA接口，7200RPM  × 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数据硬盘：不少于2TB机械硬盘，SATA接口，7200RPM  × 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RAID控制器：板载RAID控制器，支持RAID0、1、5、10、50</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其他：集成千兆以太网接口×4、冗余电源</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操作系统：Microsoft Windows Server 2012 R2中文标准版</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轻型综合业务网络系统</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数据库软件：Windows标准版客户端许可</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后台软件：网络管理软件模块：服务端</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系统账户管理软件模块：账户及权限管理</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栏目管理软件模块：素材栏目分类管理</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存储管理软件模块：栏目/账户存储空间管理</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网管软件模块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在网络中进行节目的制作编辑时，记者隶属于不同的部门和栏目，要对所有的编辑制作人员进行有效的管理，按照编辑人员所属的部门和栏目进行分类。</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要求对所有参与网络编辑的节目制作人员按照其隶属的部门、栏目、身份进行合理的分类管理。从而提高在管理、查询、检索上的效率。</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要具有使用权限管理功能：在网络中进行节目编辑制作的记者由于其角色不同，为了保证网络中节目制作的和节目素材的安全，要求对于不同的角色人员分配不同的网络编辑使用权限，通过网络编辑权限的限制，有效的防止在网络编辑中发生以外的事故。</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要求具有多级磁盘空间管理功能：按照栏目、用户级别进行多级磁盘的空间管理，某级使用磁盘空间的总和受上级分配空间的限制。</w:t>
            </w:r>
          </w:p>
          <w:p>
            <w:pPr>
              <w:widowControl/>
              <w:spacing w:line="480" w:lineRule="exact"/>
              <w:jc w:val="left"/>
              <w:textAlignment w:val="bottom"/>
              <w:rPr>
                <w:rFonts w:hint="eastAsia" w:ascii="仿宋" w:hAnsi="仿宋" w:eastAsia="仿宋" w:cs="仿宋"/>
                <w:color w:val="000000"/>
                <w:sz w:val="22"/>
                <w:highlight w:val="none"/>
                <w:lang w:eastAsia="zh-CN"/>
              </w:rPr>
            </w:pPr>
            <w:r>
              <w:rPr>
                <w:rFonts w:hint="eastAsia" w:ascii="仿宋" w:hAnsi="仿宋" w:eastAsia="仿宋" w:cs="仿宋"/>
                <w:color w:val="000000"/>
                <w:kern w:val="0"/>
                <w:sz w:val="22"/>
                <w:highlight w:val="none"/>
              </w:rPr>
              <w:t>★要求支持综艺节目的海量素材中实现快速整理、挑选和编辑功能，并提供相关证明文件予以佐证</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数据库双机热备软件</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Windows数据库双机热备软件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制作高性能NAS存储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双控NAS存储：16盘位，双控制器NAS；Intel4核处理器，标配8个1GbE主机端口及4个10Gbsfp主机端口；标配64GB缓存，最大支持256GB缓存；采用SAS12Gb磁盘通道扩展磁盘，最大支持436颗磁盘；支持协议CIFS，SMB，AFP，NFS，HTTP，HTTPS，FTP，iSCSI，FC；标配BBU+Flash缓存保护模块；冗余530W电源</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vMerge w:val="restar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SAS存储硬盘：6TB高速机械硬盘，SAS接口，7200RPM  × 16</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后台合成工作站</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主机：专业图形工作站</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vMerge w:val="restar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CPU：不低于Intel Xeon W-2123 3.60GHz（4核）</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内存：不少于16GB内存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系统硬盘：不少于1TB机械硬盘，SATA接口，7200RPM</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显卡：高性能图形显卡，不少于4GB显存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其他：集成声卡、千兆网卡、标准键盘、鼠标</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操作系统：Microsoft Windows 10 64位中文专业版</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加密狗：USB+USB延长线</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 xml:space="preserve">轻型综合业务网络系统 </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后台合成软件：智能集中调度软件模块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智能入库软件模块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后台合成软件模块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要求支持 FFMPEG解码器，能够支持更多的网络素材格式</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要求支持OP1A_MXFf封装格式新增AvcIntraDNxHD和MEPE2三种高清编码格式</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要求支持技审部分格式支持文件格式和编码检测</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要求支持黑场检测新增部分黑场检测功能</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要求持AMR音频的解码</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要求支持节目素材生成任务增加音频智能分析功能</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要求具备视音频技审功能， 包括针对素材中存在的黑场，彩条，静帧，彩帧，静音，响度，单色，花功能测试屏，夹帧，色彩丢失， 幅型等检测，可根据需要设置检测值，（提供相关证明材料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5</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高标清上下载/编辑/审片工作站</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主机：专业图形工作站</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vMerge w:val="restar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CPU：不低于Intel Xeon Bronze 3206R 1.9GH（8核)×2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内存：不少于16GB内存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系统硬盘：不少于1TB机械硬盘，SATA接口，7200RPM</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显卡：高性能图形显卡，不少于4GB显存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其他：集成声卡、千兆网卡、标准键盘、鼠标</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加密狗：USB+USB延长线</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显示器：24寸宽屏高清液晶显示器，分辨率1920*1080</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监听耳机：立体声头戴监听耳机</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操作系统：Microsoft Windows 10 64位中文专业版</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网络非线性编辑系统软件</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上下载软件模块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文件介质上下载软件模块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字幕编辑软件模块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实时上下变换软件模块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专业图像特技软件模块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专业字幕特技软件模块</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节目审查软件模块</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6</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高标清编辑/审片工作站</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主机：专业图形工作站</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w:t>
            </w:r>
          </w:p>
        </w:tc>
        <w:tc>
          <w:tcPr>
            <w:tcW w:w="385" w:type="pct"/>
            <w:vMerge w:val="restar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CPU：不低于Intel Xeon W-2123 3.60GHz（4核）</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内存：不少于16GB内存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系统硬盘：不少于1TB机械硬盘，SATA接口，7200RPM</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显卡：高性能图形显卡，不少于4GB显存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其他：集成声卡、千兆网卡、标准键盘、鼠标</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显示器：24寸宽屏高清液晶显示器，分辨率1920*1080</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监听耳机：立体声头戴监听耳机</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加密狗：USB+USB延长线</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操作系统：Microsoft Windows 10 64位中文专业版</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网络非线性编辑系统软件</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上下载软件模块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文件介质上下载软件模块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字幕编辑软件模块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实时上下变换软件模块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专业图像特技软件模块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专业字幕特技软件模块</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节目审查软件模块</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auto" w:sz="4" w:space="0"/>
              <w:bottom w:val="single" w:color="auto"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7</w:t>
            </w:r>
          </w:p>
        </w:tc>
        <w:tc>
          <w:tcPr>
            <w:tcW w:w="741" w:type="pct"/>
            <w:vMerge w:val="restart"/>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非编工作站</w:t>
            </w:r>
          </w:p>
        </w:tc>
        <w:tc>
          <w:tcPr>
            <w:tcW w:w="3304" w:type="pct"/>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非编改造</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主机：硬件利旧，继承原账号、权限、节目时间线、字幕模板、特技模板</w:t>
            </w:r>
          </w:p>
        </w:tc>
        <w:tc>
          <w:tcPr>
            <w:tcW w:w="308"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w:t>
            </w:r>
          </w:p>
        </w:tc>
        <w:tc>
          <w:tcPr>
            <w:tcW w:w="385" w:type="pct"/>
            <w:vMerge w:val="restart"/>
            <w:tcBorders>
              <w:top w:val="single" w:color="000000" w:sz="4" w:space="0"/>
              <w:lef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操作系统：Microsoft Windows 10 64位中文专业版</w:t>
            </w:r>
          </w:p>
        </w:tc>
        <w:tc>
          <w:tcPr>
            <w:tcW w:w="308" w:type="pct"/>
            <w:vMerge w:val="continue"/>
            <w:tcBorders>
              <w:left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lef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auto" w:sz="4" w:space="0"/>
              <w:bottom w:val="single" w:color="auto" w:sz="4" w:space="0"/>
              <w:right w:val="single" w:color="000000" w:sz="4" w:space="0"/>
            </w:tcBorders>
            <w:shd w:val="clear" w:color="auto" w:fill="auto"/>
            <w:noWrap/>
            <w:vAlign w:val="bottom"/>
          </w:tcPr>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网络管理软件模块-客户端</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节目编辑软件模块</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字幕编辑软件模块</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文稿系统软件模块</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节目审查软件模块</w:t>
            </w:r>
          </w:p>
        </w:tc>
        <w:tc>
          <w:tcPr>
            <w:tcW w:w="308" w:type="pct"/>
            <w:vMerge w:val="continue"/>
            <w:tcBorders>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left w:val="single" w:color="000000" w:sz="4" w:space="0"/>
              <w:bottom w:val="single" w:color="auto"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auto" w:sz="4" w:space="0"/>
              <w:left w:val="single" w:color="auto" w:sz="4" w:space="0"/>
              <w:bottom w:val="single" w:color="000000" w:sz="4" w:space="0"/>
              <w:right w:val="single" w:color="000000" w:sz="4" w:space="0"/>
            </w:tcBorders>
            <w:shd w:val="clear" w:color="auto" w:fill="auto"/>
            <w:noWrap/>
            <w:vAlign w:val="bottom"/>
          </w:tcPr>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非编改造</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sz w:val="22"/>
                <w:highlight w:val="none"/>
              </w:rPr>
              <w:t>新增内存：不少于4GB内存</w:t>
            </w:r>
            <w:r>
              <w:rPr>
                <w:rFonts w:hint="eastAsia" w:ascii="仿宋" w:hAnsi="仿宋" w:eastAsia="仿宋" w:cs="仿宋"/>
                <w:color w:val="000000"/>
                <w:sz w:val="22"/>
                <w:highlight w:val="none"/>
              </w:rPr>
              <w:cr/>
            </w:r>
            <w:r>
              <w:rPr>
                <w:rFonts w:hint="eastAsia" w:ascii="仿宋" w:hAnsi="仿宋" w:eastAsia="仿宋" w:cs="仿宋"/>
                <w:color w:val="000000"/>
                <w:sz w:val="22"/>
                <w:highlight w:val="none"/>
              </w:rPr>
              <w:t>新增硬盘：不少于1TB机械硬盘，SATA接口，7200RPM</w:t>
            </w:r>
            <w:r>
              <w:rPr>
                <w:rFonts w:hint="eastAsia" w:ascii="仿宋" w:hAnsi="仿宋" w:eastAsia="仿宋" w:cs="仿宋"/>
                <w:color w:val="000000"/>
                <w:sz w:val="22"/>
                <w:highlight w:val="none"/>
              </w:rPr>
              <w:cr/>
            </w:r>
            <w:r>
              <w:rPr>
                <w:rFonts w:hint="eastAsia" w:ascii="仿宋" w:hAnsi="仿宋" w:eastAsia="仿宋" w:cs="仿宋"/>
                <w:color w:val="000000"/>
                <w:sz w:val="22"/>
                <w:highlight w:val="none"/>
              </w:rPr>
              <w:t>更换显卡：高性能图形显卡，不少于4GB显存</w:t>
            </w:r>
            <w:r>
              <w:rPr>
                <w:rFonts w:hint="eastAsia" w:ascii="仿宋" w:hAnsi="仿宋" w:eastAsia="仿宋" w:cs="仿宋"/>
                <w:color w:val="000000"/>
                <w:sz w:val="22"/>
                <w:highlight w:val="none"/>
              </w:rPr>
              <w:cr/>
            </w:r>
            <w:r>
              <w:rPr>
                <w:rFonts w:hint="eastAsia" w:ascii="仿宋" w:hAnsi="仿宋" w:eastAsia="仿宋" w:cs="仿宋"/>
                <w:color w:val="000000"/>
                <w:sz w:val="22"/>
                <w:highlight w:val="none"/>
              </w:rPr>
              <w:t>显示器：24寸宽屏高清液晶显示器，分辨率1920*1080</w:t>
            </w:r>
            <w:r>
              <w:rPr>
                <w:rFonts w:hint="eastAsia" w:ascii="仿宋" w:hAnsi="仿宋" w:eastAsia="仿宋" w:cs="仿宋"/>
                <w:color w:val="000000"/>
                <w:sz w:val="22"/>
                <w:highlight w:val="none"/>
              </w:rPr>
              <w:cr/>
            </w:r>
            <w:r>
              <w:rPr>
                <w:rFonts w:hint="eastAsia" w:ascii="仿宋" w:hAnsi="仿宋" w:eastAsia="仿宋" w:cs="仿宋"/>
                <w:color w:val="000000"/>
                <w:sz w:val="22"/>
                <w:highlight w:val="none"/>
              </w:rPr>
              <w:t>操作系统：Microsoft Windows 10 64位中文专业版</w:t>
            </w:r>
          </w:p>
        </w:tc>
        <w:tc>
          <w:tcPr>
            <w:tcW w:w="30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sz w:val="22"/>
                <w:highlight w:val="none"/>
              </w:rPr>
              <w:t>1</w:t>
            </w:r>
          </w:p>
        </w:tc>
        <w:tc>
          <w:tcPr>
            <w:tcW w:w="385" w:type="pct"/>
            <w:tcBorders>
              <w:top w:val="single" w:color="auto"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r>
              <w:rPr>
                <w:rFonts w:hint="eastAsia" w:ascii="仿宋" w:hAnsi="仿宋" w:eastAsia="仿宋" w:cs="仿宋"/>
                <w:color w:val="00000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line="480" w:lineRule="exact"/>
              <w:jc w:val="center"/>
              <w:textAlignment w:val="center"/>
              <w:rPr>
                <w:rFonts w:ascii="仿宋" w:hAnsi="仿宋" w:eastAsia="仿宋" w:cs="仿宋"/>
                <w:color w:val="FF0000"/>
                <w:sz w:val="22"/>
                <w:highlight w:val="none"/>
              </w:rPr>
            </w:pPr>
          </w:p>
        </w:tc>
        <w:tc>
          <w:tcPr>
            <w:tcW w:w="3304" w:type="pct"/>
            <w:tcBorders>
              <w:top w:val="single" w:color="000000" w:sz="4" w:space="0"/>
              <w:left w:val="single" w:color="auto"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包装工作站改造：整体利旧，继承原有节目信息、字幕模板、特技模板，并入新系统</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auto" w:sz="4" w:space="0"/>
              <w:bottom w:val="single" w:color="auto"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8</w:t>
            </w:r>
          </w:p>
        </w:tc>
        <w:tc>
          <w:tcPr>
            <w:tcW w:w="741"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配音工作站</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主机：高性能计算机</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vMerge w:val="restar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CPU：不低于Intel Core i7-10700 2.9GHz(8核）</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内存：不少于8GB内存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系统硬盘：不少于1TB机械硬盘，SATA接口，7200RPM</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显卡：高性能图形显卡，不少于4GB显存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专业声卡：外置专业声卡，USB2.0接口, 不少于18路输入, 8路输出, 4路Mic输入及话放</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其他：集成声卡、千兆网卡、DVD-ROM、标准键盘、鼠标</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显示器：24寸宽屏高清液晶显示器，分辨率1920*1080</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有源音箱：多媒体音箱，两分频木质箱体，信噪比不少于85dB</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加密狗：USB+USB延长线</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操作系统：Microsoft Windows 10 64位中文专业版</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auto"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专业配音系统</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专业配音软件模块</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字幕编辑软件模块</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auto"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9</w:t>
            </w:r>
          </w:p>
        </w:tc>
        <w:tc>
          <w:tcPr>
            <w:tcW w:w="7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制作交换机</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以太网交换机L2以太网交换机主机，交换容量336Gbps/3.36Tbps，包转发率126Mpps</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24个10/100/1000Base-T电口（其中8个是combo口），4个1G/10G BASE-X SFP+端口</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冗余交流电源</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5000" w:type="pct"/>
            <w:gridSpan w:val="5"/>
            <w:tcBorders>
              <w:top w:val="single" w:color="000000" w:sz="4" w:space="0"/>
              <w:bottom w:val="single" w:color="000000" w:sz="4" w:space="0"/>
            </w:tcBorders>
            <w:shd w:val="clear" w:color="auto" w:fill="auto"/>
            <w:noWrap/>
            <w:vAlign w:val="bottom"/>
          </w:tcPr>
          <w:p>
            <w:pPr>
              <w:widowControl/>
              <w:spacing w:line="480" w:lineRule="exact"/>
              <w:jc w:val="left"/>
              <w:textAlignment w:val="bottom"/>
              <w:rPr>
                <w:rFonts w:ascii="仿宋" w:hAnsi="仿宋" w:eastAsia="仿宋" w:cs="仿宋"/>
                <w:b/>
                <w:bCs/>
                <w:color w:val="000000"/>
                <w:sz w:val="22"/>
                <w:highlight w:val="none"/>
              </w:rPr>
            </w:pPr>
            <w:r>
              <w:rPr>
                <w:rFonts w:hint="eastAsia" w:ascii="仿宋" w:hAnsi="仿宋" w:eastAsia="仿宋" w:cs="仿宋"/>
                <w:b/>
                <w:bCs/>
                <w:color w:val="000000"/>
                <w:kern w:val="0"/>
                <w:sz w:val="22"/>
                <w:highlight w:val="none"/>
              </w:rPr>
              <w:t>二、播出部分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auto"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10</w:t>
            </w:r>
          </w:p>
        </w:tc>
        <w:tc>
          <w:tcPr>
            <w:tcW w:w="741" w:type="pct"/>
            <w:vMerge w:val="restart"/>
            <w:tcBorders>
              <w:top w:val="single" w:color="auto" w:sz="4" w:space="0"/>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高清双通道播出服务器</w:t>
            </w:r>
          </w:p>
        </w:tc>
        <w:tc>
          <w:tcPr>
            <w:tcW w:w="3304" w:type="pct"/>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配置不低于：</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19英寸机架式品牌服务器。</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2.双通道高清节目播出。</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19寸机架式服务器，板载24个内存插槽，支持 DDR4-2933MT/s或者/2667MT/s REcc内存；8个3.5/2.5寸英寸热插拔SATA/SAS/SSD硬盘；2个PCIE 3.0 x16，3个PCIE 3.0x8；2个高性能万兆以太网控制器；集成系统管理芯片，支持IPMI2.0、KVM over IP、虚拟媒体等管理功能；1300W 1+1冗余电源；外置USB光驱1个；便捷安装导轨*1付；</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CPU：英特尔® 至强® 银牌4210（10核），2.2GHz</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内存：16GB DDR4 RECC缓存</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系统盘：900GB SAS 10000转企业级硬盘×2</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数据盘：8TB SATA ×2</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RAID控制器：12G SAS扩展卡，2GB缓存，支持RAID0,15,610,50,60</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操作系统：Microsoft Windows Server 2012 R2中文标准版广播级双通道高清播出卡</w:t>
            </w:r>
          </w:p>
        </w:tc>
        <w:tc>
          <w:tcPr>
            <w:tcW w:w="308" w:type="pct"/>
            <w:vMerge w:val="restart"/>
            <w:tcBorders>
              <w:top w:val="single" w:color="000000" w:sz="4" w:space="0"/>
              <w:left w:val="single" w:color="auto"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w:t>
            </w:r>
          </w:p>
        </w:tc>
        <w:tc>
          <w:tcPr>
            <w:tcW w:w="385" w:type="pct"/>
            <w:vMerge w:val="restart"/>
            <w:tcBorders>
              <w:top w:val="single" w:color="000000" w:sz="4" w:space="0"/>
              <w:lef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bottom w:val="single" w:color="auto"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bottom w:val="single" w:color="auto"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双通道播控数据库软件</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支持高标清转播信号输入、并进行上下变换和叠加台标/字幕后播出；</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支持多格式、多码率、高标清素材混播，支持实时上下变换，支持输出音频混音及自动增益控制，支持叠加静/动台标，支持叠加字幕</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双通道解码播出模块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双通道实时上下变换转模块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双通道图文播出模块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双通道台标/角标模块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双通道音频混音模块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双通道音频自动均衡模块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转码软件</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 支持几乎所有的素材格式，包括AVI+WAV、M2V+WAV、M2V+MPA、MPG、DVD、VCD等素材格式，压缩格式除了支持MPEG1/2外，还支持MotionJpeg、DV、MPEG4等格式的转码。</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2. 采用了独创的“解码前编码”技术，从而实现了真正意义上的帧精确入出点。系统提供可测试手段。</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3. 无需额外硬件支持，自动调节素材音量。即：不同音量的素材播出时的音量无需人工干预，将自动调节到一致的水平。</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4. 支持素材入库时的音轨语言选择和字幕语言选择。当素材包含多路语言的音轨和字幕轨时，用户可以指定要入库的声音轨和字幕轨。</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5.系统严格地把住素材入库的第一关，一旦发现素材问题，会尽其可能修复素材的错误，在实在无法修复错误的情况下将拒绝素材入库播出。</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6. 系统则具有电视台信息管理、用户管理、频道管理、设备管理、栏目管理、素材管理、节目单管理、广告管理系统挂接、播后查询统计、用户上机操作痕迹管理等完备的一揽子方案</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7.解码播出模块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8.实时上下变换转模块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9.图文播出模块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10.台标/角标模块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11.音频混音模块</w:t>
            </w:r>
          </w:p>
          <w:p>
            <w:pPr>
              <w:widowControl/>
              <w:spacing w:line="480" w:lineRule="exact"/>
              <w:jc w:val="left"/>
              <w:rPr>
                <w:rFonts w:ascii="仿宋" w:hAnsi="仿宋" w:eastAsia="仿宋" w:cs="仿宋"/>
                <w:b/>
                <w:bCs/>
                <w:kern w:val="0"/>
                <w:sz w:val="22"/>
                <w:highlight w:val="none"/>
              </w:rPr>
            </w:pPr>
            <w:r>
              <w:rPr>
                <w:rFonts w:hint="eastAsia" w:ascii="仿宋" w:hAnsi="仿宋" w:eastAsia="仿宋" w:cs="仿宋"/>
                <w:kern w:val="0"/>
                <w:sz w:val="22"/>
                <w:highlight w:val="none"/>
              </w:rPr>
              <w:t>12.音频自动均衡模块</w:t>
            </w:r>
          </w:p>
        </w:tc>
        <w:tc>
          <w:tcPr>
            <w:tcW w:w="308" w:type="pct"/>
            <w:vMerge w:val="continue"/>
            <w:tcBorders>
              <w:left w:val="single" w:color="auto"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85" w:type="pct"/>
            <w:vMerge w:val="continue"/>
            <w:tcBorders>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auto"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11</w:t>
            </w:r>
          </w:p>
        </w:tc>
        <w:tc>
          <w:tcPr>
            <w:tcW w:w="74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高清垫片播出卡</w:t>
            </w:r>
          </w:p>
        </w:tc>
        <w:tc>
          <w:tcPr>
            <w:tcW w:w="3304" w:type="pct"/>
            <w:tcBorders>
              <w:top w:val="single" w:color="auto"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带帧同步固态垫片播放器，2路HD-SDI输出、一路BB输入</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支持导入多个视频文件（MP4）作为垫片播出，自动循环播放</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32GB内部存储容量</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支持配置为高清输出或标清输出。</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播出数据库服务器（带二级存储）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配置不低于：</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19寸机架式服务器，板载24个内存插槽，支持 DDR4-2933MT/s或者/2667MT/s REcc内存；支持intel内存。8个3.5/2.5寸英寸热插拔SATA/SAS/SSD硬盘；2个PCIE 3.0 x16，3个PCIE 3.0x8；2个高性能万兆以太网控制器；集成系统管理芯片，支持IPMI2.0、KVM over IP、虚拟媒体等管理功能；1300W 1+1冗余电源；外置USB光驱1个；便捷安装导轨*1付；</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CPU：英特尔®  银牌4210（10核），2.2GHz</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内存：8GB DDR4 RECC缓存</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系统盘：960GB SSD SATA接口</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存储硬盘：SATA 4T*6</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操作系统：Microsoft Windows Server 2012 R2中文标准版</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对播出系统中的使用人员进行权限管理，播出中心存储、播出服务器本地存储进行空间管理，播出节目素材迁移/校验/生命周期管理，播出控制配置管理。</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对播出运行状况、节目素材使用状况日志记录及查询/导出</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kern w:val="0"/>
                <w:sz w:val="22"/>
                <w:highlight w:val="none"/>
              </w:rPr>
              <w:t>系统管理模块/素材管理模块/ 素材入库接口模块</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双通道数字播控工作站</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高性能计算机配置不低于：</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CPU：Intel 酷睿 i7十代</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内存：16 GB内存</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硬盘：1T SATA硬盘</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其它：集成显卡、集成声卡、集成千兆网卡、DVD-ROM</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标准键盘、鼠标，双口232控制卡</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Microsoft Windows 10 Pro（正版）</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显示器：24英寸</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双通道播出控制模块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素材预览模块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素材编辑模块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播出节目单编辑模块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播出图文编辑模块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自动调取播出节目单、并按节目单内容自动完成播出控制，支持对在线节目单中的节目条目进行预览，支持对在线节目单进行编辑修改</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14</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文件上载/转码/编单/审片工作站</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主机：硬件利旧</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新增硬件配置不低于：</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内存：16 GB内存</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硬盘：1T SATA硬盘</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Microsoft Windows 10 Pro（正版）</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文件导入模块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DVD抓轨导入模块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转码模块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素材管理模块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素材预览模块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素材编辑模块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播出节目单编辑模块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播出图文编辑模块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素材审片模块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节目单审核模块</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15</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采集上载/转码编单/审片工作站</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高性能计算机配置不低于：</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CPU：Intel 酷睿 i7十代</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内存：16 GB内存</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硬盘：1T SATA硬盘</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其它：集成显卡、集成声卡、集成千兆网卡、DVD-ROM</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标准键盘、鼠标</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显示器：24英寸</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Microsoft Windows 10 Pro（正版）</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采集上载模块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文件导入模块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DVD抓轨导入模块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转码模块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素材管理模块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素材预览模块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素材编辑模块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播出节目单编辑模块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播出图文编辑模块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素材审片模块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节目单审核模块</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支持对数字SDI信号、模拟视音频信号采集上载，支持视音频文件预览、打点编辑，支持视音频文件直接导入/转码导入，</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16</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数字高清切换器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仿宋" w:hAnsi="仿宋" w:eastAsia="仿宋" w:cs="仿宋"/>
                <w:kern w:val="0"/>
                <w:sz w:val="22"/>
                <w:highlight w:val="none"/>
              </w:rPr>
            </w:pPr>
            <w:r>
              <w:rPr>
                <w:rFonts w:hint="eastAsia" w:ascii="仿宋" w:hAnsi="仿宋" w:eastAsia="仿宋" w:cs="仿宋"/>
                <w:kern w:val="0"/>
                <w:sz w:val="22"/>
                <w:highlight w:val="none"/>
              </w:rPr>
              <w:t>1.8×2（3时基）矩阵切换器：</w:t>
            </w:r>
          </w:p>
          <w:p>
            <w:pPr>
              <w:spacing w:line="480" w:lineRule="exact"/>
              <w:rPr>
                <w:rFonts w:ascii="仿宋" w:hAnsi="仿宋" w:eastAsia="仿宋" w:cs="仿宋"/>
                <w:sz w:val="22"/>
                <w:highlight w:val="none"/>
              </w:rPr>
            </w:pPr>
            <w:r>
              <w:rPr>
                <w:rFonts w:hint="eastAsia" w:ascii="仿宋" w:hAnsi="仿宋" w:eastAsia="仿宋" w:cs="仿宋"/>
                <w:kern w:val="0"/>
                <w:sz w:val="22"/>
                <w:highlight w:val="none"/>
              </w:rPr>
              <w:t>2.８路ＳＤＩ输入、２路ＳＤＩ无抖动输出。每路输出都具有２分配ＳＤＩ输出。</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3.本系列产品是矩阵式切换器，输出可以随意选择切换输入。</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4.切换记忆功能：重新通电后自动切换到上一次关机前的工作状态，适合无人值守。</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sz w:val="22"/>
                <w:highlight w:val="none"/>
              </w:rPr>
            </w:pPr>
            <w:r>
              <w:rPr>
                <w:rFonts w:hint="eastAsia" w:ascii="仿宋" w:hAnsi="仿宋" w:eastAsia="仿宋" w:cs="仿宋"/>
                <w:kern w:val="0"/>
                <w:sz w:val="22"/>
                <w:highlight w:val="none"/>
              </w:rPr>
              <w:t>17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切换器控制软件</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配套控制软件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sz w:val="22"/>
                <w:highlight w:val="none"/>
              </w:rPr>
              <w:t>18</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D/A转换解嵌卡</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D/A转换+音频解嵌，1路SD-SDI输入，4路CVBS输出或1路YUV输出+1路CVBS输出；2x2路模拟音频输出，一路SD-SDI环出。</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sz w:val="22"/>
                <w:highlight w:val="none"/>
              </w:rPr>
              <w:t>19</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转换器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1路HDMI输入，2路HD-SDI输出，支持时钟重锁相。</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支持线缆均衡、时钟恢复，对不稳定、不标准的HDMI信号的纠错能力强，转换效果稳定LH。</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支持720P、1080i、1080P信号无损转换，转换时不会改变原始信号格式，转换质量高。</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高清数字帧同步</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1路HD/SD-SDI信号进行帧同步和时钟恢复处理后输出4路HD/SD-SDI信号；同步信号支持模拟复合和三电平同步信号；</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带帧同步功能：支持内同步、外同步选择，支持输出视频信号行、场相位调整</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3</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3X1高清自动倒换器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双电源；</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3路高标清SDI输入，2路高标清SDI分配输出，第3路断电直通；</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支持静音、静帧、黑场、CRC/EDHLH检测、视频丢失、嵌入音频丢失，声光报警及自动倒换；</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 xml:space="preserve">支持对SDI视音频监测参数进行配置和修改； </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 xml:space="preserve">3路SDI输入支持线缆均衡，时钟恢复，时钟再生； </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自带控制面板，信号异常时按键灯闪烁及声音报警，1个RS232遥控端口。</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倒换器遥控面板</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3X1自动倒换器遥控面板</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支持手动/自动工作模式选择，支持手动倒换控制，支持按键锁定，避免误操作。</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信号异常时按键灯闪烁及声音报警</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数字信号下变换处理器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数字信号下变换处理器，1路HD-SDI数字信号输入，2路下变换SD-SDI信号输出，1路同步信号输入，带帧同步功能。</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支持多种下变换方式选择，下变换图像质量参数可调整。</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支持板卡及web方式选择配置下变换方式</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24</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高清字符叠加器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双电源；</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1路高清背景SDI信号输入，带线缆均衡；</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内置台标发生器，支持静止/动画主标、副标、数字时钟同时叠加，</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支持使用GPS校时、网络校时二种校时模式，</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web配置，支持网络LH下载台标</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支持外同步锁相，行/场相位调整</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2路合成PST和PGM SDI信号输出（断电直通）；</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2个RS232/422串口控制，1个网口，可通过串口或网络接收外部控制信号控制键入和键出</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支持SNMP协议；</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25</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四通道</w:t>
            </w:r>
          </w:p>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高标清编码器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四路SDI高清编码器支持4路SDI高清信号输入，通过H.264视频和MPEG-1音频编码形成TS复用流或形成4路独立的IP(4XSPTS)，输出接口为ASI和IP（TS over UDP）。主要应用于数字电视前端直播系统的高清信号转播和IPTV直播系统的编码实现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26</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单路高标清</w:t>
            </w:r>
          </w:p>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数字/ASI</w:t>
            </w:r>
          </w:p>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光端机</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双电源；</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支持3G/HD/SD -SDI/ASI高标清数字信号；SDI/ASI全兼容，适应面广</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1路SDI或者ASI自适应输入，1路SDI或者ASI环出</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2路SDI或者ASI输出；</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传输波长1310nm，单模光纤，传输距离40千米；</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支持远程网络管理；</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支持线缆均衡，时钟恢复，时钟再生；</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自带本地面板状态显示；</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双路高清分配卡</w:t>
            </w:r>
          </w:p>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（掉电直通）</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HD-SDI视分，2路1分4或1路1分8，带线缆均衡。支持掉电直通</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7</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28</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机箱</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10块插板的标准2RU机箱（不含电源）。</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sz w:val="22"/>
                <w:highlight w:val="none"/>
              </w:rPr>
              <w:t>29</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电源</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机箱配套电源</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4</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网络控制卡</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机箱配套网络控制卡</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支持标准SNMP，RS232，支持6800N模块的MIB，支持MIB升级及固件升级</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主备16路同步信号/测试信号发生器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双电源；</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内含主备同步信号同步发生器、主备自动倒换器自动倒换输出；</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16路模拟视频信号输出，支持PAL制NTSC制；</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 xml:space="preserve">可选择同步信号、彩条信号或测试国际标准测试信号（共16种），可用于系统整体联调时各项参数的精确调整使用 </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支持外同步和内同步二种工作模式，外同步模式下，可对输出信号进行，行/场/色载波相位调整，使其与外同步信号各项参数完全一致；</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 xml:space="preserve">具有掉电保存参数设置和恢复出厂设置。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模拟视分卡</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模拟视分，1分8，带电缆均衡和箝位；补偿线缆损耗，输出视频幅度可调。</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卫星校时接收器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双电源；内置高稳时钟；可同步其它时钟系统</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集成NTP时钟同步服务，计算机类设备使用操作系统自带时钟同步功能、无需使用其它时钟同步软件即可实现自动时钟同步</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集成高稳时钟，无需借助外部高稳时钟发生器，即可实现在无法接收GPS信号时主机也能保证时钟的高精度</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同时支持GPS 和北斗卫星，可同时跟踪12颗卫星，定时精度：1μs</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校时输出端口：8个RS232，２个RS485，１个RS422，1个1PPS，1个 EBU，1个SZ ，1个网口</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 xml:space="preserve">WEB界面参数配置，前面板液晶屏按键控制  </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 xml:space="preserve">50米蘑菇头天线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34</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单联时钟</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单联5寸壁挂子钟，断电后自动保存时间</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8" w:hRule="atLeast"/>
          <w:jc w:val="center"/>
        </w:trPr>
        <w:tc>
          <w:tcPr>
            <w:tcW w:w="260" w:type="pct"/>
            <w:vMerge w:val="restar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35</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8通道高标清</w:t>
            </w:r>
          </w:p>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流程监测处理器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标准19" 机架式主机，全硬件架构，双电源，通过广电总局检测</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 xml:space="preserve"> 8路高标清SDI信号自适应输入，其中4路支持模拟视音频信号输入</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支持PAL、720P、1080i 等高标清视频制式，LH支持2路 HDMI 同时输出</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提供按信号流程方式显示各个节点的信号图像，支持网络时钟校时</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支持对信号进行监测，信号丢失时进行报警</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支持对图像内容进行监测，对图像中出现的静帧、黑场、彩条进行报警</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支持对音频内容进行监测，对音频中出现的静音、爆音进行报警，同时可设置爆音监测电平阈值</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支持文字、语音、短信报警方式可选</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3</w:t>
            </w:r>
          </w:p>
        </w:tc>
        <w:tc>
          <w:tcPr>
            <w:tcW w:w="385" w:type="pct"/>
            <w:vMerge w:val="restar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e-Voice 语音报警软件：需安装在独立的计算机上使用。</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kern w:val="0"/>
                <w:sz w:val="22"/>
                <w:highlight w:val="none"/>
              </w:rPr>
              <w:t>软件启动后自动接收系统中所有LH系列监测处理器监测报警信息，并转化为语音播报，同时可查看已经播报过的内容。同时可设定语音播报时间段，只在设定时间段内才进行语音播报报警。</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36</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转换器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1路SDI输入，1路HDMI输出。</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支持线缆均衡、时钟恢复，适合于长距离线缆传输SDI信号转为HDMI信号，转换效果稳定</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延长器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1个HDMI发送端，1个HDMI接收端。</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支持线缆均衡、时钟恢复，对不稳定、不标准的HDMI信号的纠错能力强，传输距离可达100米</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支持720P、1080i、1080P信号无损传输，传输输出信号与输入信号保持一致，传输质量高。</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6</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38</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大屏幕液晶电视</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hint="eastAsia" w:ascii="仿宋" w:hAnsi="仿宋" w:eastAsia="仿宋" w:cs="仿宋"/>
                <w:kern w:val="0"/>
                <w:sz w:val="22"/>
                <w:highlight w:val="none"/>
              </w:rPr>
            </w:pPr>
            <w:r>
              <w:rPr>
                <w:rFonts w:hint="eastAsia" w:ascii="仿宋" w:hAnsi="仿宋" w:eastAsia="仿宋" w:cs="仿宋"/>
                <w:kern w:val="0"/>
                <w:sz w:val="22"/>
                <w:highlight w:val="none"/>
              </w:rPr>
              <w:t>55寸全高清液晶电视</w:t>
            </w:r>
          </w:p>
          <w:p>
            <w:pPr>
              <w:widowControl/>
              <w:spacing w:line="480" w:lineRule="exact"/>
              <w:jc w:val="left"/>
              <w:rPr>
                <w:highlight w:val="none"/>
              </w:rPr>
            </w:pPr>
            <w:r>
              <w:rPr>
                <w:rFonts w:hint="eastAsia" w:ascii="仿宋" w:hAnsi="仿宋" w:eastAsia="仿宋" w:cs="仿宋"/>
                <w:kern w:val="0"/>
                <w:sz w:val="22"/>
                <w:highlight w:val="none"/>
              </w:rPr>
              <w:t>55英寸4K + HDR</w:t>
            </w:r>
            <w:r>
              <w:rPr>
                <w:rFonts w:hint="eastAsia" w:ascii="仿宋" w:hAnsi="仿宋" w:eastAsia="仿宋" w:cs="仿宋"/>
                <w:kern w:val="0"/>
                <w:sz w:val="22"/>
                <w:highlight w:val="none"/>
              </w:rPr>
              <w:br w:type="textWrapping"/>
            </w:r>
            <w:r>
              <w:rPr>
                <w:rFonts w:hint="eastAsia" w:ascii="仿宋" w:hAnsi="仿宋" w:eastAsia="仿宋" w:cs="仿宋"/>
                <w:kern w:val="0"/>
                <w:sz w:val="22"/>
                <w:highlight w:val="none"/>
              </w:rPr>
              <w:t>64 位四核处理器</w:t>
            </w:r>
            <w:r>
              <w:rPr>
                <w:rFonts w:hint="eastAsia" w:ascii="仿宋" w:hAnsi="仿宋" w:eastAsia="仿宋" w:cs="仿宋"/>
                <w:kern w:val="0"/>
                <w:sz w:val="22"/>
                <w:highlight w:val="none"/>
              </w:rPr>
              <w:br w:type="textWrapping"/>
            </w:r>
            <w:r>
              <w:rPr>
                <w:rFonts w:hint="eastAsia" w:ascii="仿宋" w:hAnsi="仿宋" w:eastAsia="仿宋" w:cs="仿宋"/>
                <w:kern w:val="0"/>
                <w:sz w:val="22"/>
                <w:highlight w:val="none"/>
              </w:rPr>
              <w:t>2GB + 8GB 大内存</w:t>
            </w:r>
            <w:r>
              <w:rPr>
                <w:rFonts w:hint="eastAsia" w:ascii="仿宋" w:hAnsi="仿宋" w:eastAsia="仿宋" w:cs="仿宋"/>
                <w:kern w:val="0"/>
                <w:sz w:val="22"/>
                <w:highlight w:val="none"/>
              </w:rPr>
              <w:br w:type="textWrapping"/>
            </w:r>
            <w:r>
              <w:rPr>
                <w:rFonts w:hint="eastAsia" w:ascii="仿宋" w:hAnsi="仿宋" w:eastAsia="仿宋" w:cs="仿宋"/>
                <w:kern w:val="0"/>
                <w:sz w:val="22"/>
                <w:highlight w:val="none"/>
              </w:rPr>
              <w:t>人工智能语音系统</w:t>
            </w:r>
            <w:r>
              <w:rPr>
                <w:rFonts w:hint="eastAsia" w:ascii="仿宋" w:hAnsi="仿宋" w:eastAsia="仿宋" w:cs="仿宋"/>
                <w:kern w:val="0"/>
                <w:sz w:val="22"/>
                <w:highlight w:val="none"/>
              </w:rPr>
              <w:br w:type="textWrapping"/>
            </w:r>
            <w:r>
              <w:rPr>
                <w:rFonts w:hint="eastAsia" w:ascii="仿宋" w:hAnsi="仿宋" w:eastAsia="仿宋" w:cs="仿宋"/>
                <w:kern w:val="0"/>
                <w:sz w:val="22"/>
                <w:highlight w:val="none"/>
              </w:rPr>
              <w:t>海量影视内容</w:t>
            </w:r>
            <w:r>
              <w:rPr>
                <w:rFonts w:hint="eastAsia" w:ascii="仿宋" w:hAnsi="仿宋" w:eastAsia="仿宋" w:cs="仿宋"/>
                <w:kern w:val="0"/>
                <w:sz w:val="22"/>
                <w:highlight w:val="none"/>
              </w:rPr>
              <w:br w:type="textWrapping"/>
            </w:r>
            <w:r>
              <w:rPr>
                <w:rFonts w:hint="eastAsia" w:ascii="仿宋" w:hAnsi="仿宋" w:eastAsia="仿宋" w:cs="仿宋"/>
                <w:kern w:val="0"/>
                <w:sz w:val="22"/>
                <w:highlight w:val="none"/>
              </w:rPr>
              <w:t>杜比+ DTS双解码</w:t>
            </w:r>
            <w:r>
              <w:rPr>
                <w:rFonts w:hint="eastAsia" w:ascii="仿宋" w:hAnsi="仿宋" w:eastAsia="仿宋" w:cs="仿宋"/>
                <w:kern w:val="0"/>
                <w:sz w:val="22"/>
                <w:highlight w:val="none"/>
              </w:rPr>
              <w:br w:type="textWrapping"/>
            </w:r>
            <w:r>
              <w:rPr>
                <w:rFonts w:hint="eastAsia" w:ascii="仿宋" w:hAnsi="仿宋" w:eastAsia="仿宋" w:cs="仿宋"/>
                <w:kern w:val="0"/>
                <w:sz w:val="22"/>
                <w:highlight w:val="none"/>
              </w:rPr>
              <w:t>全金属机身</w:t>
            </w:r>
            <w:r>
              <w:rPr>
                <w:rFonts w:hint="eastAsia" w:ascii="仿宋" w:hAnsi="仿宋" w:eastAsia="仿宋" w:cs="仿宋"/>
                <w:kern w:val="0"/>
                <w:sz w:val="22"/>
                <w:highlight w:val="none"/>
              </w:rPr>
              <w:br w:type="textWrapping"/>
            </w:r>
            <w:r>
              <w:rPr>
                <w:rFonts w:hint="eastAsia" w:ascii="仿宋" w:hAnsi="仿宋" w:eastAsia="仿宋" w:cs="仿宋"/>
                <w:kern w:val="0"/>
                <w:sz w:val="22"/>
                <w:highlight w:val="none"/>
              </w:rPr>
              <w:t>分辨率：3840×2160</w:t>
            </w:r>
            <w:r>
              <w:rPr>
                <w:rFonts w:hint="eastAsia" w:ascii="仿宋" w:hAnsi="仿宋" w:eastAsia="仿宋" w:cs="仿宋"/>
                <w:kern w:val="0"/>
                <w:sz w:val="22"/>
                <w:highlight w:val="none"/>
              </w:rPr>
              <w:br w:type="textWrapping"/>
            </w:r>
            <w:r>
              <w:rPr>
                <w:rFonts w:hint="eastAsia" w:ascii="仿宋" w:hAnsi="仿宋" w:eastAsia="仿宋" w:cs="仿宋"/>
                <w:kern w:val="0"/>
                <w:sz w:val="22"/>
                <w:highlight w:val="none"/>
              </w:rPr>
              <w:t>背光：侧入式</w:t>
            </w:r>
            <w:r>
              <w:rPr>
                <w:rFonts w:hint="eastAsia" w:ascii="仿宋" w:hAnsi="仿宋" w:eastAsia="仿宋" w:cs="仿宋"/>
                <w:kern w:val="0"/>
                <w:sz w:val="22"/>
                <w:highlight w:val="none"/>
              </w:rPr>
              <w:br w:type="textWrapping"/>
            </w:r>
            <w:r>
              <w:rPr>
                <w:rFonts w:hint="eastAsia" w:ascii="仿宋" w:hAnsi="仿宋" w:eastAsia="仿宋" w:cs="仿宋"/>
                <w:kern w:val="0"/>
                <w:sz w:val="22"/>
                <w:highlight w:val="none"/>
              </w:rPr>
              <w:t>刷新率：60Hz</w:t>
            </w:r>
            <w:r>
              <w:rPr>
                <w:rFonts w:hint="eastAsia" w:ascii="仿宋" w:hAnsi="仿宋" w:eastAsia="仿宋" w:cs="仿宋"/>
                <w:kern w:val="0"/>
                <w:sz w:val="22"/>
                <w:highlight w:val="none"/>
              </w:rPr>
              <w:br w:type="textWrapping"/>
            </w:r>
            <w:r>
              <w:rPr>
                <w:rFonts w:hint="eastAsia" w:ascii="仿宋" w:hAnsi="仿宋" w:eastAsia="仿宋" w:cs="仿宋"/>
                <w:kern w:val="0"/>
                <w:sz w:val="22"/>
                <w:highlight w:val="none"/>
              </w:rPr>
              <w:t>可视角度：178°</w:t>
            </w:r>
            <w:r>
              <w:rPr>
                <w:rFonts w:hint="eastAsia" w:ascii="仿宋" w:hAnsi="仿宋" w:eastAsia="仿宋" w:cs="仿宋"/>
                <w:kern w:val="0"/>
                <w:sz w:val="22"/>
                <w:highlight w:val="none"/>
              </w:rPr>
              <w:br w:type="textWrapping"/>
            </w:r>
            <w:r>
              <w:rPr>
                <w:rFonts w:hint="eastAsia" w:ascii="仿宋" w:hAnsi="仿宋" w:eastAsia="仿宋" w:cs="仿宋"/>
                <w:kern w:val="0"/>
                <w:sz w:val="22"/>
                <w:highlight w:val="none"/>
              </w:rPr>
              <w:t>配套壁挂架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6</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39</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平板电视墙</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color w:val="FF0000"/>
                <w:kern w:val="0"/>
                <w:sz w:val="22"/>
                <w:highlight w:val="none"/>
              </w:rPr>
            </w:pPr>
            <w:r>
              <w:rPr>
                <w:rFonts w:hint="eastAsia" w:ascii="仿宋" w:hAnsi="仿宋" w:eastAsia="仿宋" w:cs="仿宋"/>
                <w:kern w:val="0"/>
                <w:sz w:val="22"/>
                <w:highlight w:val="none"/>
              </w:rPr>
              <w:t>播出电视墙，1个电视墙可以上下各挂1个55寸液晶，不能左右并配放置，按55寸6个电视机三组尺寸进行定制电视墙</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3</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组</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双联控制台</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钢木结构不少于1200mm×950mm×750mm定制,供货前提供款式图片及颜色供甲方选择。</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2</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交换机</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以太网交换机5130S-28S-HI：L2以太网交换机主机，交换容量336Gbps/3.36Tbps，包转发率126Mpps</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24个10/100/1000Base-T电口（其中8个是combo口），4个1G/10G BASE-X SFP+端口</w:t>
            </w:r>
          </w:p>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冗余交流电源</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摆渡网关</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left"/>
              <w:rPr>
                <w:rFonts w:ascii="仿宋" w:hAnsi="仿宋" w:eastAsia="仿宋" w:cs="仿宋"/>
                <w:kern w:val="0"/>
                <w:sz w:val="22"/>
                <w:highlight w:val="none"/>
              </w:rPr>
            </w:pPr>
            <w:r>
              <w:rPr>
                <w:rFonts w:hint="eastAsia" w:ascii="仿宋" w:hAnsi="仿宋" w:eastAsia="仿宋" w:cs="仿宋"/>
                <w:kern w:val="0"/>
                <w:sz w:val="22"/>
                <w:highlight w:val="none"/>
              </w:rPr>
              <w:t>机架式千兆网络隔离网关，集成深度文件病毒查杀、文件甄别、文件筛选、文件格式过滤、格式检测、安全传输、文件共享功能一体的软硬件平台。基本配置包括4个1000M以太网接口，采用Intel X86架构高速硬件平台,128G固态硬盘,最大数据传输速率210Mbps、最大并发会话数300,000。支持对文件交换系统安全防护、双机热备、多线路负载均衡及线路叠加数据传输。</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rPr>
                <w:rFonts w:ascii="仿宋" w:hAnsi="仿宋" w:eastAsia="仿宋" w:cs="仿宋"/>
                <w:kern w:val="0"/>
                <w:sz w:val="22"/>
                <w:highlight w:val="none"/>
              </w:rPr>
            </w:pPr>
            <w:r>
              <w:rPr>
                <w:rFonts w:hint="eastAsia" w:ascii="仿宋" w:hAnsi="仿宋" w:eastAsia="仿宋" w:cs="仿宋"/>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5000" w:type="pct"/>
            <w:gridSpan w:val="5"/>
            <w:tcBorders>
              <w:top w:val="single" w:color="000000" w:sz="4" w:space="0"/>
              <w:bottom w:val="single" w:color="000000" w:sz="4" w:space="0"/>
            </w:tcBorders>
            <w:shd w:val="clear" w:color="auto" w:fill="auto"/>
            <w:noWrap/>
            <w:vAlign w:val="bottom"/>
          </w:tcPr>
          <w:p>
            <w:pPr>
              <w:widowControl/>
              <w:spacing w:line="480" w:lineRule="exact"/>
              <w:jc w:val="left"/>
              <w:textAlignment w:val="bottom"/>
              <w:rPr>
                <w:rFonts w:ascii="仿宋" w:hAnsi="仿宋" w:eastAsia="仿宋" w:cs="仿宋"/>
                <w:b/>
                <w:bCs/>
                <w:color w:val="000000"/>
                <w:sz w:val="22"/>
                <w:highlight w:val="none"/>
              </w:rPr>
            </w:pPr>
            <w:r>
              <w:rPr>
                <w:rFonts w:hint="eastAsia" w:ascii="仿宋" w:hAnsi="仿宋" w:eastAsia="仿宋" w:cs="仿宋"/>
                <w:b/>
                <w:bCs/>
                <w:color w:val="000000"/>
                <w:kern w:val="0"/>
                <w:sz w:val="22"/>
                <w:highlight w:val="none"/>
              </w:rPr>
              <w:t>三、卫星接收部分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卫星锅</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2.4米C波段天线</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44</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高频头</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C波段高频头8515，含抗5G干扰滤波器</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45</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AVS+高清卫星接收机</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19" 机架式机箱，独立的液晶显示屏</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广播级AVS+高清接收机，不少于输入1路ASI/IP码流信号或RF信号，不少于输出二路SDI，不少于二路ASI信号和一路IP信号，以及一路CVBS信号。支持解码格式：AVS+/MPEG-2/H.264，支持解扰；视频信号接口：BNC75欧姆，网络接口：RJ45，网管接口：RJ45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46</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大小卡</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中数传媒大小卡</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5000" w:type="pct"/>
            <w:gridSpan w:val="5"/>
            <w:tcBorders>
              <w:top w:val="single" w:color="000000" w:sz="4" w:space="0"/>
              <w:bottom w:val="single" w:color="000000" w:sz="4" w:space="0"/>
            </w:tcBorders>
            <w:shd w:val="clear" w:color="auto" w:fill="auto"/>
            <w:noWrap/>
            <w:vAlign w:val="bottom"/>
          </w:tcPr>
          <w:p>
            <w:pPr>
              <w:widowControl/>
              <w:spacing w:line="480" w:lineRule="exact"/>
              <w:jc w:val="left"/>
              <w:textAlignment w:val="bottom"/>
              <w:rPr>
                <w:rFonts w:ascii="仿宋" w:hAnsi="仿宋" w:eastAsia="仿宋" w:cs="仿宋"/>
                <w:b/>
                <w:bCs/>
                <w:color w:val="000000"/>
                <w:sz w:val="22"/>
                <w:highlight w:val="none"/>
              </w:rPr>
            </w:pPr>
            <w:r>
              <w:rPr>
                <w:rFonts w:hint="eastAsia" w:ascii="仿宋" w:hAnsi="仿宋" w:eastAsia="仿宋" w:cs="仿宋"/>
                <w:b/>
                <w:bCs/>
                <w:color w:val="000000"/>
                <w:kern w:val="0"/>
                <w:sz w:val="22"/>
                <w:highlight w:val="none"/>
              </w:rPr>
              <w:t>四、媒资部分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47</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媒资核心服务器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主机：19寸机架式服务器</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vMerge w:val="restar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CPU：不低于Intel Xeon Silver 4208 2.1GHz(8核）  × 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内存：不少于64GB内存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系统硬盘：不少于480GB固态硬盘，SATA接口  × 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RAID控制器：板载RAID控制器，支持RAID0、1</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其他：集成千兆以太网接口×4、冗余电源</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操作系统：企业版的完全开放版本，支持虚拟化</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媒体资源管理中心软件</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媒体资源管理中心软件核心软件包，实现对各种媒资数据的组织管理。包括：检索服务、编目服务，数据结构，空间管理等</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媒体资源管理中心软件平台数据服务软件包。提供数据存储和引擎服务，根据业务数据特征设计适当的存储方案并建立数据间的联系，多维度数据属性记录，是实现数据关联分析的基础等。包括：关系型数据库，非关系型数据库，高吞吐分布式内存数据库，高吞吐量发布订阅消息服务</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媒体资源管理中心软件媒体服务软件包。提供各种计算任务的服务，包括：检索引擎、数据处理组件、工作流引擎、业务组件执行器、媒体分析组件</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媒体资源管理中心软件业务引擎服务软件包。用于资源管理和业务接口，包括业务数据的逻辑封装和整个平台通用数据的访问引擎。</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媒体资源管理中心软件数据接口服务软件包。提供各种数据、业务访问的API接口，包含业务API、业务数据访问API以及通用数据访问API。</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媒体资源管理中心软件系统数据接口服务软件包。提供各种数据、业务访问的API接口，包含业务API、业务数据访问API以及通用数据访问API</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媒体资源管理中心软件系统服务软件包。提供平台支撑，配置以及服务状态统一管理，实现对整个平台的管理。包括：系统框架、订阅消息服务、系统配置和管理、业务系统配置和管理组成，用户管理、系统接入管理。</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媒体资源管理中心软件监控服务软件包，提供平台程序、业务、硬件资源运行维护监控。包括：日志捕获引擎、高吞吐日志存储引擎、插件式平台监控服务、监控和配置应用</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媒体资源管理中心软件媒体处理软件包：支持广播级、互联网主流视音频格式的识别和转换，包括：高清主流视频格式的转码和在线浏览，支持MP3、WMA、WAV、DFF、APE、M4A、FLAC、OGG、S48等互联网和专业音频格式的浏览收听，支持Bmp、jpg、gif、tif、tiff、png、tga等常用图片格式的识别和在线浏览，支持SONY、佳能、尼康等主流数码相机RAW格式及专业软件图形格式的识别和在线浏览</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要求所投媒体资产管理系统支持界面自定义设置，支持用户自行更换系统背景图片、LOGO、系统名称等，（提供相关证明材料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如果编目配置中启用自动发起编目任务功能，则入库的素材将会自动发起编目任务；对于支持编目的素材，在检索结果中可以选择后发起编目任务；在编目列表中可以打开素材的编目界面，展示素材播放器、素材元数据、编目层、标记点以及历史轨迹；可以设置任一标记点作为该素材的代表帧，展示为素材图标；可记录该素材的整个编目流程中经历的步骤；（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p>
            <w:pPr>
              <w:widowControl/>
              <w:spacing w:line="480" w:lineRule="exact"/>
              <w:jc w:val="left"/>
              <w:textAlignment w:val="bottom"/>
              <w:rPr>
                <w:rFonts w:hint="eastAsia" w:ascii="仿宋" w:hAnsi="仿宋" w:eastAsia="仿宋" w:cs="仿宋"/>
                <w:color w:val="000000"/>
                <w:kern w:val="0"/>
                <w:sz w:val="22"/>
                <w:highlight w:val="none"/>
                <w:lang w:eastAsia="zh-CN"/>
              </w:rPr>
            </w:pPr>
            <w:r>
              <w:rPr>
                <w:rFonts w:hint="eastAsia" w:ascii="仿宋" w:hAnsi="仿宋" w:eastAsia="仿宋" w:cs="仿宋"/>
                <w:color w:val="000000"/>
                <w:kern w:val="0"/>
                <w:sz w:val="22"/>
                <w:highlight w:val="none"/>
              </w:rPr>
              <w:t>具有编目权限、审核权限以及编目管理权限，不同权限的用户可以看到不同的界面，发起编目权限可以在检索界面发起编目任务；编目权限可以打开编目应用并进行编目操作；审核权限可以对编目提交的任务进行审核，审核通过完成编目任务；编目管理权限可以查看整个编目任务的进度、分配编目和审核任务；（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系统支持数据统计功能，支持入库统计、出库统计、编目统计；支持统计通过不同方式入库到媒资库的素材相关信息，按照类型、来源、部门、用户统计；支持统计从媒资库出库的素材相关信息，按照类型、出库目标、部门、用户统计；支持统计编目和审核相关信息，包括编目用户统计、审核用户统计；支持将统计信息导出为Excel报表（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要求所投媒体资产管理系统支持全文检索、二次检索、按字段高级检索、条件过滤等多种检索方式，且不同权限用户在检索结果页面对素材的操作权限不同，支持检索结果不同的排序方式和呈现形式，（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MRC标准客户端许可，10个并发访问，在线支持人数无限制。</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48</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媒资媒体处理服务器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主机：19寸机架式服务器</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vMerge w:val="restar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CPU：不低于Intel Xeon Silver 4208 2.1GHz(8核）  × 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内存：不少于16GB内存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系统硬盘：不少于2TB机械硬盘，SATA接口，7200RPM  × 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RAID控制器：板载RAID控制器，支持RAID0、1</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其他：集成千兆以太网接口×4、冗余电源</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操作系统：Microsoft Windows Server 2012 R2中文标准版</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媒体资源管理中心软件媒体处理软件包，支持广播级、互联网主流视音频格式的识别和转换，包括：高清主流视频格式的转码和在线浏览，支持MP3、WMA、WAV、DFF、APE、M4A、FLAC、OGG、S48等互联网和专业音频格式的浏览收听，支持Bmp、jpg、gif、tif、tiff、png、tga等常用图片格式的识别和在线浏览，支持SONY、佳能、尼康等主流数码相机RAW格式及专业软件图形格式的识别和在线浏览</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49</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媒资在线存储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NAS/SAN/双活统一云存储</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24盘位，Intel 双核心处理器 x 2</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32GB DDR4 高速缓存，最大支持64GB缓存；</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板载4个万兆RJ45端口+2个千兆端口；</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4个12Gb/s SAS宽端口，可扩展至208块硬盘；</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内建256GB M.2 SSD掉电保护模块；</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冗余风扇，80plus白金级双冗余电源。</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vMerge w:val="restar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SAS存储硬盘：6TB高速机械硬盘，SAS接口，7200RPM  × 24</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50</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媒资归档迁移服务器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主机：19寸机架式服务器</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vMerge w:val="restar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CPU：不低于Intel Xeon Bronze 3206R 1.9GH（8核)</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内存：不少于16GB内存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系统硬盘：不少于1TB机械硬盘，SATA接口，7200RPM  × 2</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RAID控制器：板载RAID控制器，支持RAID0、1、5、10、50</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其他：集成千兆以太网接口×4、冗余电源</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HBA光纤通道卡：单口8Gb光纤通道卡，PCI-E接口</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操作系统：Microsoft Windows Server 2012 R2中文标准版</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数据归档系统</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迁移归档管理软件</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迁移调度管理软件</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蓝光库迁移管理软件</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51</w:t>
            </w:r>
          </w:p>
        </w:tc>
        <w:tc>
          <w:tcPr>
            <w:tcW w:w="741"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蓝光库及网络安全</w:t>
            </w:r>
          </w:p>
        </w:tc>
        <w:tc>
          <w:tcPr>
            <w:tcW w:w="3304" w:type="pct"/>
            <w:tcBorders>
              <w:top w:val="single" w:color="000000" w:sz="4" w:space="0"/>
              <w:left w:val="single" w:color="000000" w:sz="4" w:space="0"/>
              <w:bottom w:val="single" w:color="auto" w:sz="4" w:space="0"/>
              <w:right w:val="single" w:color="000000" w:sz="4" w:space="0"/>
            </w:tcBorders>
            <w:shd w:val="clear" w:color="auto" w:fill="auto"/>
            <w:noWrap/>
            <w:vAlign w:val="bottom"/>
          </w:tcPr>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蓝光库：</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蓝光库体：蓝光库基本单元，2个驱动器，300个蓝光盘盒槽位，单电源</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全自动转臂式机械臂，可以实现无人值守，存入取出稳定安全高效。</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50年常温保存期限 双安全控制机制：开门机械臂急停和开门键自动归位</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至少提供300张蓝光光盘。</w:t>
            </w:r>
          </w:p>
        </w:tc>
        <w:tc>
          <w:tcPr>
            <w:tcW w:w="30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auto"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边界防火墙：</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标准机架式下一代应用防火墙系统。基本配置包括6个1000M以太网接口。防火墙三层吞吐率8Gbps、七层吞吐率1Gbps、最大并发会话数150万、最大防火墙策略数15000条。主要功能包括防火墙、IDS/IPS入侵检测防御、漏洞攻击防护；病毒木马、恶意代码、间谍软件、DDOS/DOS攻击防御；对内网应用安全检测防护，如应用扫描、病毒检测防护、服务器防护、Web应用防护、URL过滤、应用特征检测识别、流量带宽限制、黑白名单管理、多线路负载均衡等。</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配置应用防护模块1： AV防病毒+IPS入侵防护功能模块 。</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配置应用防护模块2： Web应用防护＋服务器防护模块 。</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日志审计系统：</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 xml:space="preserve">标准机架式设备，设备日志保存时限达半年以上，标配6个1000M Base-T以太网接口，1个Console口，支持Console口管理；系统支持日志收集、日志分析、日志规范化、日志审计、日志联动分析、多元化告警、内置网络检测工具；事件采集性能22000条/秒；事件处理能力EPS4500条/秒；事件入库性能13000条/秒；部署方式支持集群、级联； </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支持主流安全设备、网络设备、中间件、服务器、数据库、操作系统等不少于26类300种日志对象的日志数据采集；</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支持主动、被动相结合的数据采集方式；支持日志转发。</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 xml:space="preserve">1 </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恶意代码防范系统：</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客户终端：主要是对安装客户端的计算机进行保护与实时监控，防止计算机被病毒攻击，在发现病毒后向控制中心报告。支持内存监控、网页监控、引导区扫描、注册表监控、可有效防止计算机被病毒感染。具有实时检测和清除来自各种途径的各类恶意代码能力。客户端采用安全指纹技术提高病毒查杀速度。具有移动设备接入密码验证、漏洞扫描、系统补丁修复功能，并可以由用户自定义安装补丁。软件木马查杀，病毒查杀，恶意软件查杀。</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一个管理中心，2个服务器端，40个PC终端，三年免费升级</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上网行为管理：</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标准1U机架式流控/上网行为管理安全网关，基本配置包括6个1000M以太网接口，1个管理口，采用Intel X86架构高速硬件平台。适合400M出口带宽，最大吞吐量2Gbps、最大并发会话数1000,000个、最大安全策略数10240条。主要功能包括VPN防火墙、多线路负载均衡、上网行为管理、流量监控、带宽管理、应用识别控制、访问控制、丰富URL数据库、搜索/网页/邮件/关键字/IM聊天审计过滤、P2P/HTTP/多线程/流媒体/WEB视频/网络游戏控制、多用户认证接入、黑白名单管理、统计分析报表等功能。</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支持10多种用户身份识别认证接入，包括本地数据库认证、AD域认证、RADIUS 认证、LDAP 认证、POP3 认证 。</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高达2000万条全球规模最大的中文URL数据库，提供强大的URL过滤、全面的URL记录和URL排名。</w:t>
            </w:r>
          </w:p>
          <w:p>
            <w:pPr>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 xml:space="preserve">全面记录内网用户向公网 BBS、论坛、博客、空间等发表的帖子内容及附件，还提供对帖子的内容进行关键字过滤，同时可对搜索的关键字进行过滤与记录。   </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52</w:t>
            </w:r>
          </w:p>
        </w:tc>
        <w:tc>
          <w:tcPr>
            <w:tcW w:w="74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MRC管理上载工作站</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主机：高性能计算机</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vMerge w:val="restar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CPU：不低于Intel Core i7-10700 2.9GHz(8核）</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内存：不少于8GB内存</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系统硬盘：不少于1TB机械硬盘，SATA接口，7200RPM</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其他：集成声卡、千兆网卡、DVD-ROM、标准键盘、鼠标</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显示器：24寸宽屏高清液晶显示器，分辨率1920*1080</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操作系统：Microsoft Windows 10 64位中文专业版</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top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融合媒体内容管理平台</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内容上载挑选软件</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文件介质上下载软件模块</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要求系统支持导出审核；支持具有导出审核权限的用户根据导出策略配置对出库的素材进行审核操作；审核通过后则继续后续出库步骤，审核拒绝则出库任务失败且在任务中心显示拒绝原因；列表中显示通过审核或拒绝审核的任务记录；（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top w:val="single" w:color="000000" w:sz="4" w:space="0"/>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53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以太网交换机</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千兆交换机：L2以太网交换机主机,支持24个10/100/1000BASE-T电口,支持4个1G/10G BASE-X SFP+端口,支持AC</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54</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42U专用机柜</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19寸42U机柜，以支持光盘库上架。带前后门，配置16孔PDU电源*2。</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5000" w:type="pct"/>
            <w:gridSpan w:val="5"/>
            <w:tcBorders>
              <w:top w:val="single" w:color="000000" w:sz="4" w:space="0"/>
              <w:bottom w:val="single" w:color="000000" w:sz="4" w:space="0"/>
            </w:tcBorders>
            <w:shd w:val="clear" w:color="auto" w:fill="auto"/>
            <w:noWrap/>
            <w:vAlign w:val="bottom"/>
          </w:tcPr>
          <w:p>
            <w:pPr>
              <w:widowControl/>
              <w:spacing w:line="480" w:lineRule="exact"/>
              <w:jc w:val="left"/>
              <w:textAlignment w:val="bottom"/>
              <w:rPr>
                <w:rFonts w:ascii="仿宋" w:hAnsi="仿宋" w:eastAsia="仿宋" w:cs="仿宋"/>
                <w:b/>
                <w:bCs/>
                <w:color w:val="000000"/>
                <w:sz w:val="22"/>
                <w:highlight w:val="none"/>
              </w:rPr>
            </w:pPr>
            <w:r>
              <w:rPr>
                <w:rFonts w:hint="eastAsia" w:ascii="仿宋" w:hAnsi="仿宋" w:eastAsia="仿宋" w:cs="仿宋"/>
                <w:b/>
                <w:bCs/>
                <w:color w:val="000000"/>
                <w:kern w:val="0"/>
                <w:sz w:val="22"/>
                <w:highlight w:val="none"/>
              </w:rPr>
              <w:t>五、直播和虚拟演播部分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5000" w:type="pct"/>
            <w:gridSpan w:val="5"/>
            <w:tcBorders>
              <w:top w:val="single" w:color="000000" w:sz="4" w:space="0"/>
              <w:bottom w:val="single" w:color="000000" w:sz="4" w:space="0"/>
            </w:tcBorders>
            <w:shd w:val="clear" w:color="auto" w:fill="auto"/>
            <w:noWrap/>
            <w:vAlign w:val="bottom"/>
          </w:tcPr>
          <w:p>
            <w:pPr>
              <w:widowControl/>
              <w:spacing w:line="480" w:lineRule="exact"/>
              <w:jc w:val="left"/>
              <w:textAlignment w:val="bottom"/>
              <w:rPr>
                <w:rFonts w:ascii="仿宋" w:hAnsi="仿宋" w:eastAsia="仿宋" w:cs="仿宋"/>
                <w:b/>
                <w:bCs/>
                <w:color w:val="000000"/>
                <w:sz w:val="22"/>
                <w:highlight w:val="none"/>
              </w:rPr>
            </w:pPr>
            <w:r>
              <w:rPr>
                <w:rFonts w:hint="eastAsia" w:ascii="仿宋" w:hAnsi="仿宋" w:eastAsia="仿宋" w:cs="仿宋"/>
                <w:b/>
                <w:bCs/>
                <w:color w:val="000000"/>
                <w:kern w:val="0"/>
                <w:sz w:val="22"/>
                <w:highlight w:val="none"/>
              </w:rPr>
              <w:t>1、新闻演播室系统（支持直播）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55</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多功能视频服务器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CPU：不低于Intel Xeon Silver 4214 2.2GHz  12核×2</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内存：不少于16GB×4</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系统硬盘：不少于1.2TB 3.5" SAS硬盘×2</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数据硬盘：不少于2TB 3.5" SATA硬盘×6（最多到10块）</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RAID：2G缓存</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网卡：千兆网卡（主板集成）×4</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I/O卡：视频板卡含板卡转接线8根）</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电源：800W电源×2</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显卡：高性能图形显卡，不少于4GB</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声卡： 标准声卡</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 xml:space="preserve">操作系统：Microsoft Windows Server 2012 R2 Standard </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高级媒体文件系统</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软件：播出控制软件</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24寸高清液晶显示器×1；鼠标键盘×1；监听耳机×1</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2U机架式服务器，4个独立视频通道，每通道可自定义为收录或播出，高标清兼容，收录/播出为加嵌SDI接口，带同步信号输入，支持Press422、H264、MPEG2 IF 100M、MPEG2 IF 50M、MPEG2 IBP 25M、DNxHD 120M格式的采集，冗余电源。</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支持素材共享、XML方式素材管理、素材预览、素材编辑，提供多种收录模式选择（包括手动收录、定时收录、编单收录、循环收录等），支持主备同步播出及接收串联单播出。</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支持本机操作，支持节目回采及节目自动入库，支持自动获取串联单及相关节目文件，另外还提供打点编辑等功能，实现演播室精彩片段/现场花絮的制作、精彩集锦即时回放、演播室信号回采等现场快速制播等需求。</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采用媒体文件管理系统，集磁盘管理、媒体文件管理、磁盘Cache、数据安全、磁盘任务调度、虚拟素材等多种功能于一体，具有高安全、高带宽、高性能特点</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大容量本地存储。标配6TB有效存储容量，MPEG2 IF100M可存100小时，IF50M可存190小时。服务器所有的硬盘都有热插拔能力。</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支持4路同时采集，采集结果在线整理输出成EDL或单个文件；</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支持两台相同类型产品主备同步播出；</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支持演播室串联单，能够实时接收串联单，作为演播室第三备进行播出；</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支持EDL节目迁入/播出；</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支持边收录、边迁出、边编辑、分段迁出；</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具有一键操作的智能化运维工具包。</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56</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KVM延长器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远距离KVM延长器，采用HDBaseT2.0 技术，通过单一以太网络线缆延长视频、音频、USB 及RS-232信号</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HDBaseT标准模式- 分辨率高达1920 x 1200@100米</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HDBaseT远距模式- 分辨率高达1920 x 1080@150米</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远距模式切换开关 快速切换HDBaseT标准及远距模式</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支持DVI-D接口，EDID缓冲器可确保顺利开机并以最高质量显示，增强位错误侦测与修正，可在高画质视频传输期间防止信号干扰，远距离高视频质量</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整合式USB 2.0连接端口，确保周边设备的高传输速度</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支持双声道PCM数字音频，确保高质量音频传输</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支持通过按钮或快速键执行PC唤醒功能（RS232接口）</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57</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以太网交换机</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千兆交换机：L2以太网交换机主机,支持24个10/100/1000BASE-T电口,支持4个1G/10G BASE-X SFP+端口,支持AC</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5000" w:type="pct"/>
            <w:gridSpan w:val="5"/>
            <w:tcBorders>
              <w:top w:val="single" w:color="000000" w:sz="4" w:space="0"/>
              <w:bottom w:val="single" w:color="000000" w:sz="4" w:space="0"/>
            </w:tcBorders>
            <w:shd w:val="clear" w:color="auto" w:fill="auto"/>
            <w:noWrap/>
            <w:vAlign w:val="center"/>
          </w:tcPr>
          <w:p>
            <w:pPr>
              <w:widowControl/>
              <w:spacing w:line="480" w:lineRule="exact"/>
              <w:jc w:val="left"/>
              <w:textAlignment w:val="center"/>
              <w:rPr>
                <w:rFonts w:ascii="仿宋" w:hAnsi="仿宋" w:eastAsia="仿宋" w:cs="仿宋"/>
                <w:b/>
                <w:bCs/>
                <w:color w:val="000000"/>
                <w:sz w:val="22"/>
                <w:highlight w:val="none"/>
              </w:rPr>
            </w:pPr>
            <w:r>
              <w:rPr>
                <w:rFonts w:hint="eastAsia" w:ascii="仿宋" w:hAnsi="仿宋" w:eastAsia="仿宋" w:cs="仿宋"/>
                <w:b/>
                <w:bCs/>
                <w:color w:val="000000"/>
                <w:kern w:val="0"/>
                <w:sz w:val="22"/>
                <w:highlight w:val="none"/>
              </w:rPr>
              <w:t>2、直播编码器设备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58</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单通道全接口高标清</w:t>
            </w:r>
          </w:p>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多屏流媒体编码器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1、支持HD/SD-SDI，HDMI，CVBS等高标清视频输入；</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2、采用先进的H.264视频压缩技术及AAC音频压缩技术，压缩效率高；</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3、支持高清视频专业传输协议R2TP专业视频传输协议</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4、支持FLV 通过RTMP、TS 通过 UDP和TS 通过 HTTP输出；</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5、支持PC/iPhone/iPad/Andriod等多种接收终端；</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6、集成Hub，便于连接或扩展多个网络设备，快速融合到已有系统中；</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7、可通过浏览器轻松实现编码器的配置和预览，支持iPad/iPhone/Andriod移动终端无线控制；</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8、采用DSP编码芯片，嵌入式Linux操作系统，性能可靠稳定；</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9、可通过浏览器轻松实现编码器的配置和预览，支持iPad/iPhone/Andriod移动终端无线控制；</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10、前面板配置墨水显示屏，显示编码器获取的IP地址及自带设置WIFI无线登陆账号密码，断电后仍可正常显示；</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11、支持多种直播协议，且每种协议下，可同时推送3条直播流；</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12、自带WIFI热点，可通过手机或电脑直接连接管理控制。</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5000" w:type="pct"/>
            <w:gridSpan w:val="5"/>
            <w:tcBorders>
              <w:top w:val="single" w:color="000000" w:sz="4" w:space="0"/>
              <w:bottom w:val="single" w:color="000000" w:sz="4" w:space="0"/>
            </w:tcBorders>
            <w:shd w:val="clear" w:color="auto" w:fill="auto"/>
            <w:noWrap/>
            <w:vAlign w:val="center"/>
          </w:tcPr>
          <w:p>
            <w:pPr>
              <w:widowControl/>
              <w:spacing w:line="480" w:lineRule="exact"/>
              <w:jc w:val="left"/>
              <w:textAlignment w:val="center"/>
              <w:rPr>
                <w:rFonts w:ascii="仿宋" w:hAnsi="仿宋" w:eastAsia="仿宋" w:cs="仿宋"/>
                <w:b/>
                <w:bCs/>
                <w:color w:val="000000"/>
                <w:sz w:val="22"/>
                <w:highlight w:val="none"/>
              </w:rPr>
            </w:pPr>
            <w:r>
              <w:rPr>
                <w:rFonts w:hint="eastAsia" w:ascii="仿宋" w:hAnsi="仿宋" w:eastAsia="仿宋" w:cs="仿宋"/>
                <w:b/>
                <w:bCs/>
                <w:color w:val="000000"/>
                <w:kern w:val="0"/>
                <w:sz w:val="22"/>
                <w:highlight w:val="none"/>
              </w:rPr>
              <w:t>3、虚拟演播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59</w:t>
            </w:r>
          </w:p>
        </w:tc>
        <w:tc>
          <w:tcPr>
            <w:tcW w:w="741"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融媒体虚拟演播系统</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主机配置不低于： Intel Intel i7-11700 CPU；DDR-4 16GB内存；高端显卡：GTX1660 3D加速显卡；500G SSD系统硬盘；2T SATA素材硬盘；机箱：4U专用机箱；采用广播级图像采集卡；支持3个HD-SDI机位，键盘鼠标：罗技光电鼠标、键盘套装。</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软件：Windows10 64位操作系统</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高标清兼容色键合成子系统</w:t>
            </w:r>
          </w:p>
        </w:tc>
        <w:tc>
          <w:tcPr>
            <w:tcW w:w="308"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1</w:t>
            </w:r>
          </w:p>
        </w:tc>
        <w:tc>
          <w:tcPr>
            <w:tcW w:w="385" w:type="pct"/>
            <w:vMerge w:val="restart"/>
            <w:tcBorders>
              <w:top w:val="single" w:color="000000" w:sz="4" w:space="0"/>
              <w:lef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真三维虚拟演播室系统软件</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★1.具有实时渲染功能：电视输出信号须达到广播级图像质量。实时渲染面数高清不小于10亿个三角（提供相关证明材料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★2.64×64像素~16384×16384像素任选（提供相关证明材料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w:t>
            </w:r>
          </w:p>
          <w:p>
            <w:pPr>
              <w:widowControl/>
              <w:spacing w:line="480" w:lineRule="exact"/>
              <w:jc w:val="left"/>
              <w:rPr>
                <w:rFonts w:hint="eastAsia" w:ascii="仿宋" w:hAnsi="仿宋" w:eastAsia="仿宋" w:cs="仿宋"/>
                <w:color w:val="000000"/>
                <w:kern w:val="0"/>
                <w:sz w:val="22"/>
                <w:highlight w:val="none"/>
                <w:lang w:eastAsia="zh-CN"/>
              </w:rPr>
            </w:pPr>
            <w:r>
              <w:rPr>
                <w:rFonts w:hint="eastAsia" w:ascii="仿宋" w:hAnsi="仿宋" w:eastAsia="仿宋" w:cs="仿宋"/>
                <w:color w:val="000000"/>
                <w:kern w:val="0"/>
                <w:sz w:val="22"/>
                <w:highlight w:val="none"/>
              </w:rPr>
              <w:t>★3.贴图纹理量不低于19.5G，保证场景在任意景别镜头下的清晰度自然，不允许出现任何的马赛克或爬行现象。（提供相关证明材料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4.系统具有物理手柄摇臂拍摄功能：使用系统配置的游戏手柄可直接以物理操作方式实现更为直观的摄像机空间移动、升降、平遥、俯仰、变焦等摇臂拍摄效果。也可对直观操作方式的运动轨迹进行预先操作存储，待使用时直接调用。</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5具备场景模型-图文创作功能、虚拟包装功能、虚拟场景播出功能、节目本地采集功能、非线性编辑功能、网络实时发布功能和网络交互功能（提供相关证明材料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6.色键系统：对灯光、蓝箱无苛刻要求。能同时色键出头发丝、阴影、半透明体、亮蓝色、烟雾、柔和自然的轮廓边沿和正确的肤色还原，具有自动遮挡功能，具有平面裁剪动态无限蓝箱功能；</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7.支持第三方工具创建的骨骼蒙皮动画、毛发动画、机械动画、流体动画、泡沫动画、粒子动画、柔体动画、动力学动画的实时渲染（提供相关证明材料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8.支持脚本语言创建各种场景模型-图文模板动画，更改或读入新的脚本数据时，就可使动画按照当前的脚本数据实时更新和播出；</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9.在虚拟演播室气象模块中，支持报文数据自动译码，并根据报文数据实时创建地名、温度、天气、风力、健康指数、穿衣指数等气象符号和数据；</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10.在3max等软件直接完成建模、贴图、动画等图形设计和创作，方便使用3DSmax软件制作的场景和动画；</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11.后期可以增加3轴向7变量全自由度物理跟踪系统可以实现摄像机不管是肩扛、还是架设在具有任意移动、升降和旋转姿态的机械设备上，做变焦、平摇、俯仰、横滚、升降、左右和前后移动等7个全部自由度取景拍摄时的精确跟踪定位。空间升降、左右、前后移动精度误差小于0.1mm，空间俯仰、平摇和横滚精度误差小于1/10800度，变焦精度误差小于1/1000度，旋转、移动和变焦累计误差为零。也可以增加为空间2轴向3变量3自由度物理跟踪系统，实现固定机位的俯仰、平摇和变焦跟踪定位。俯仰、平摇精度误差小于1/10800度，变焦精度误差小于1/1000度，俯仰、平摇和变焦累计误差为零（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★1.在同一监视器屏幕上实时地对色键前的摄像机图像与色键后合成后的摄像机图像进行同屏检查比较，保证摄像机直接输入画面与色键后合成后画面的亮度、对比度、饱和度、清晰度一致（提供相关证明材料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2.支持对外来的视频流和视频文件做抠像处理（提供相关证明材料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3.对军人服装资历章上的各种颜色经过色键处理后，仍能正确还原；</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★4.支持多重色键功能（提供相关证明材料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5.系统色键器对于红、绿、蓝色都可指定作为色键背景</w:t>
            </w:r>
          </w:p>
          <w:p>
            <w:pPr>
              <w:widowControl/>
              <w:spacing w:line="480" w:lineRule="exact"/>
              <w:jc w:val="left"/>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6.动态无限蓝箱：动态无限蓝箱的大小和位置随摄像机的跟踪参数连续实时变化。在摄像机作变焦、俯仰和360度旋转取景时，无限蓝箱以外的灯光和其它物体不进入取景范围、无限蓝箱区域内外的场景色彩和明暗效果完全一致、没有任何过渡痕迹。</w:t>
            </w:r>
          </w:p>
        </w:tc>
        <w:tc>
          <w:tcPr>
            <w:tcW w:w="308" w:type="pct"/>
            <w:vMerge w:val="continue"/>
            <w:tcBorders>
              <w:left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lef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rPr>
                <w:rFonts w:ascii="仿宋" w:hAnsi="仿宋" w:eastAsia="仿宋" w:cs="仿宋"/>
                <w:sz w:val="22"/>
                <w:highlight w:val="none"/>
              </w:rPr>
            </w:pPr>
            <w:r>
              <w:rPr>
                <w:rFonts w:hint="eastAsia" w:ascii="仿宋" w:hAnsi="仿宋" w:eastAsia="仿宋" w:cs="仿宋"/>
                <w:sz w:val="22"/>
                <w:highlight w:val="none"/>
              </w:rPr>
              <w:t>在线包装系统软件</w:t>
            </w:r>
          </w:p>
          <w:p>
            <w:pPr>
              <w:widowControl/>
              <w:spacing w:line="480" w:lineRule="exact"/>
              <w:jc w:val="left"/>
              <w:textAlignment w:val="bottom"/>
              <w:rPr>
                <w:rFonts w:ascii="仿宋" w:hAnsi="仿宋" w:eastAsia="仿宋" w:cs="仿宋"/>
                <w:sz w:val="22"/>
                <w:highlight w:val="none"/>
              </w:rPr>
            </w:pPr>
            <w:r>
              <w:rPr>
                <w:rFonts w:hint="eastAsia" w:ascii="仿宋" w:hAnsi="仿宋" w:eastAsia="仿宋" w:cs="仿宋"/>
                <w:sz w:val="22"/>
                <w:highlight w:val="none"/>
              </w:rPr>
              <w:t>1.与虚拟演播室软件共用一个计算机平台，实现一机多用。</w:t>
            </w:r>
          </w:p>
          <w:p>
            <w:pPr>
              <w:widowControl/>
              <w:spacing w:line="480" w:lineRule="exact"/>
              <w:jc w:val="left"/>
              <w:textAlignment w:val="bottom"/>
              <w:rPr>
                <w:rFonts w:ascii="仿宋" w:hAnsi="仿宋" w:eastAsia="仿宋" w:cs="仿宋"/>
                <w:sz w:val="22"/>
                <w:highlight w:val="none"/>
              </w:rPr>
            </w:pPr>
            <w:r>
              <w:rPr>
                <w:rFonts w:hint="eastAsia" w:ascii="仿宋" w:hAnsi="仿宋" w:eastAsia="仿宋" w:cs="仿宋"/>
                <w:sz w:val="22"/>
                <w:highlight w:val="none"/>
                <w:lang w:val="en-US" w:eastAsia="zh-CN"/>
              </w:rPr>
              <w:t>2</w:t>
            </w:r>
            <w:r>
              <w:rPr>
                <w:rFonts w:hint="eastAsia" w:ascii="仿宋" w:hAnsi="仿宋" w:eastAsia="仿宋" w:cs="仿宋"/>
                <w:sz w:val="22"/>
                <w:highlight w:val="none"/>
              </w:rPr>
              <w:t>.系统具有完全独立的图文包装系统。不依赖于任何第三方软硬件环境，独立进行实虚结合、虚实结合的实时图文在线包装。</w:t>
            </w:r>
          </w:p>
          <w:p>
            <w:pPr>
              <w:widowControl/>
              <w:spacing w:line="480" w:lineRule="exact"/>
              <w:jc w:val="left"/>
              <w:textAlignment w:val="bottom"/>
              <w:rPr>
                <w:rFonts w:ascii="仿宋" w:hAnsi="仿宋" w:eastAsia="仿宋" w:cs="仿宋"/>
                <w:sz w:val="22"/>
                <w:highlight w:val="none"/>
              </w:rPr>
            </w:pPr>
            <w:r>
              <w:rPr>
                <w:rFonts w:hint="eastAsia" w:ascii="仿宋" w:hAnsi="仿宋" w:eastAsia="仿宋" w:cs="仿宋"/>
                <w:sz w:val="22"/>
                <w:highlight w:val="none"/>
                <w:lang w:val="en-US" w:eastAsia="zh-CN"/>
              </w:rPr>
              <w:t>3</w:t>
            </w:r>
            <w:r>
              <w:rPr>
                <w:rFonts w:hint="eastAsia" w:ascii="仿宋" w:hAnsi="仿宋" w:eastAsia="仿宋" w:cs="仿宋"/>
                <w:sz w:val="22"/>
                <w:highlight w:val="none"/>
              </w:rPr>
              <w:t>.包装系统界面：虚拟包装界面由摄像机视图区、播出列表区、编辑修改区、硬件参数设置区、色键参数调整区、虚拟摇臂轨迹调用区、摄像机机位参数区、辅助物体区、脚本语言区、主菜单、模型库、工程库等构成，方便用户使用。</w:t>
            </w:r>
          </w:p>
          <w:p>
            <w:pPr>
              <w:widowControl/>
              <w:spacing w:line="480" w:lineRule="exact"/>
              <w:jc w:val="left"/>
              <w:textAlignment w:val="bottom"/>
              <w:rPr>
                <w:rFonts w:ascii="仿宋" w:hAnsi="仿宋" w:eastAsia="仿宋" w:cs="仿宋"/>
                <w:sz w:val="22"/>
                <w:highlight w:val="none"/>
              </w:rPr>
            </w:pPr>
            <w:r>
              <w:rPr>
                <w:rFonts w:hint="eastAsia" w:ascii="仿宋" w:hAnsi="仿宋" w:eastAsia="仿宋" w:cs="仿宋"/>
                <w:sz w:val="22"/>
                <w:highlight w:val="none"/>
              </w:rPr>
              <w:t>★</w:t>
            </w:r>
            <w:r>
              <w:rPr>
                <w:rFonts w:hint="eastAsia" w:ascii="仿宋" w:hAnsi="仿宋" w:eastAsia="仿宋" w:cs="仿宋"/>
                <w:sz w:val="22"/>
                <w:highlight w:val="none"/>
                <w:lang w:val="en-US" w:eastAsia="zh-CN"/>
              </w:rPr>
              <w:t>4</w:t>
            </w:r>
            <w:r>
              <w:rPr>
                <w:rFonts w:hint="eastAsia" w:ascii="仿宋" w:hAnsi="仿宋" w:eastAsia="仿宋" w:cs="仿宋"/>
                <w:sz w:val="22"/>
                <w:highlight w:val="none"/>
              </w:rPr>
              <w:t>.系统模型文件格式：系统可直接播放由场景模型-图文创作系统生成的真三维场景模型文件 真三维场景模型文件，实现图文包装。</w:t>
            </w:r>
          </w:p>
          <w:p>
            <w:pPr>
              <w:widowControl/>
              <w:spacing w:line="480" w:lineRule="exact"/>
              <w:jc w:val="left"/>
              <w:textAlignment w:val="bottom"/>
              <w:rPr>
                <w:rFonts w:ascii="仿宋" w:hAnsi="仿宋" w:eastAsia="仿宋" w:cs="仿宋"/>
                <w:sz w:val="22"/>
                <w:highlight w:val="none"/>
              </w:rPr>
            </w:pPr>
            <w:r>
              <w:rPr>
                <w:rFonts w:hint="eastAsia" w:ascii="仿宋" w:hAnsi="仿宋" w:eastAsia="仿宋" w:cs="仿宋"/>
                <w:sz w:val="22"/>
                <w:highlight w:val="none"/>
                <w:lang w:val="en-US" w:eastAsia="zh-CN"/>
              </w:rPr>
              <w:t>5</w:t>
            </w:r>
            <w:r>
              <w:rPr>
                <w:rFonts w:hint="eastAsia" w:ascii="仿宋" w:hAnsi="仿宋" w:eastAsia="仿宋" w:cs="仿宋"/>
                <w:sz w:val="22"/>
                <w:highlight w:val="none"/>
              </w:rPr>
              <w:t>.无限蓝箱设置.：在包装界面上可根据每个摄像机的摆放位置、取景角度、拍摄对象的不同，单独设置对应摄像机的无限蓝箱范围，使每台摄像机的平摇、俯仰、变焦都不会受有限蓝箱空间大小的限制。</w:t>
            </w:r>
            <w:r>
              <w:rPr>
                <w:rFonts w:hint="eastAsia" w:ascii="仿宋" w:hAnsi="仿宋" w:eastAsia="仿宋" w:cs="仿宋"/>
                <w:color w:val="000000"/>
                <w:kern w:val="0"/>
                <w:sz w:val="22"/>
                <w:highlight w:val="none"/>
              </w:rPr>
              <w:t>（提供相关证明材料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p>
            <w:pPr>
              <w:widowControl/>
              <w:spacing w:line="480" w:lineRule="exact"/>
              <w:jc w:val="left"/>
              <w:textAlignment w:val="bottom"/>
              <w:rPr>
                <w:rFonts w:ascii="仿宋" w:hAnsi="仿宋" w:eastAsia="仿宋" w:cs="仿宋"/>
                <w:sz w:val="22"/>
                <w:highlight w:val="none"/>
              </w:rPr>
            </w:pPr>
            <w:r>
              <w:rPr>
                <w:rFonts w:hint="eastAsia" w:ascii="仿宋" w:hAnsi="仿宋" w:eastAsia="仿宋" w:cs="仿宋"/>
                <w:sz w:val="22"/>
                <w:highlight w:val="none"/>
                <w:lang w:val="en-US" w:eastAsia="zh-CN"/>
              </w:rPr>
              <w:t>6</w:t>
            </w:r>
            <w:r>
              <w:rPr>
                <w:rFonts w:hint="eastAsia" w:ascii="仿宋" w:hAnsi="仿宋" w:eastAsia="仿宋" w:cs="仿宋"/>
                <w:sz w:val="22"/>
                <w:highlight w:val="none"/>
              </w:rPr>
              <w:t>.机位画幅区域设置：在包装界面上可根据导演的节目创意要求，对每个机位单独指定物理全画幅、虚拟单画幅、虚拟多画幅、纯碎虚拟场景等不同的景别合成输出效果，使用一台物理摄像机实现多台摄像机不同景别、不同景深的实时现场切换效果。</w:t>
            </w:r>
          </w:p>
          <w:p>
            <w:pPr>
              <w:widowControl/>
              <w:spacing w:line="480" w:lineRule="exact"/>
              <w:jc w:val="left"/>
              <w:textAlignment w:val="bottom"/>
              <w:rPr>
                <w:rFonts w:ascii="仿宋" w:hAnsi="仿宋" w:eastAsia="仿宋" w:cs="仿宋"/>
                <w:sz w:val="22"/>
                <w:highlight w:val="none"/>
              </w:rPr>
            </w:pPr>
            <w:r>
              <w:rPr>
                <w:rFonts w:hint="eastAsia" w:ascii="仿宋" w:hAnsi="仿宋" w:eastAsia="仿宋" w:cs="仿宋"/>
                <w:sz w:val="22"/>
                <w:highlight w:val="none"/>
                <w:lang w:val="en-US" w:eastAsia="zh-CN"/>
              </w:rPr>
              <w:t>7</w:t>
            </w:r>
            <w:r>
              <w:rPr>
                <w:rFonts w:hint="eastAsia" w:ascii="仿宋" w:hAnsi="仿宋" w:eastAsia="仿宋" w:cs="仿宋"/>
                <w:sz w:val="22"/>
                <w:highlight w:val="none"/>
              </w:rPr>
              <w:t>.虚拟多机位画质调整：在包装界面上对同一物理摄像机的前景画面，在物理全幅、虚拟单幅、虚拟多幅等不同取景构图中的前景节目主持人的画面亮度、画面角度、倒影、画幅比例大小等进行调整，使一台物理摄像机的多机位镜头切换效果更加理想</w:t>
            </w:r>
          </w:p>
          <w:p>
            <w:pPr>
              <w:widowControl/>
              <w:spacing w:line="480" w:lineRule="exact"/>
              <w:jc w:val="left"/>
              <w:textAlignment w:val="bottom"/>
              <w:rPr>
                <w:rFonts w:ascii="仿宋" w:hAnsi="仿宋" w:eastAsia="仿宋" w:cs="仿宋"/>
                <w:sz w:val="22"/>
                <w:highlight w:val="none"/>
              </w:rPr>
            </w:pPr>
            <w:r>
              <w:rPr>
                <w:rFonts w:hint="eastAsia" w:ascii="仿宋" w:hAnsi="仿宋" w:eastAsia="仿宋" w:cs="仿宋"/>
                <w:sz w:val="22"/>
                <w:highlight w:val="none"/>
                <w:lang w:val="en-US" w:eastAsia="zh-CN"/>
              </w:rPr>
              <w:t>8</w:t>
            </w:r>
            <w:r>
              <w:rPr>
                <w:rFonts w:hint="eastAsia" w:ascii="仿宋" w:hAnsi="仿宋" w:eastAsia="仿宋" w:cs="仿宋"/>
                <w:sz w:val="22"/>
                <w:highlight w:val="none"/>
              </w:rPr>
              <w:t>.色键参数编辑：在包装界面上可直接对色键参数做在线实时编辑、色相位、清除噪蓝、画面对比度、键融合度等参数的在线调整效果实时可见</w:t>
            </w:r>
          </w:p>
          <w:p>
            <w:pPr>
              <w:widowControl/>
              <w:spacing w:line="480" w:lineRule="exact"/>
              <w:jc w:val="left"/>
              <w:textAlignment w:val="bottom"/>
              <w:rPr>
                <w:rFonts w:ascii="仿宋" w:hAnsi="仿宋" w:eastAsia="仿宋" w:cs="仿宋"/>
                <w:sz w:val="22"/>
                <w:highlight w:val="none"/>
              </w:rPr>
            </w:pPr>
            <w:r>
              <w:rPr>
                <w:rFonts w:hint="eastAsia" w:ascii="仿宋" w:hAnsi="仿宋" w:eastAsia="仿宋" w:cs="仿宋"/>
                <w:sz w:val="22"/>
                <w:highlight w:val="none"/>
                <w:lang w:val="en-US" w:eastAsia="zh-CN"/>
              </w:rPr>
              <w:t>9</w:t>
            </w:r>
            <w:r>
              <w:rPr>
                <w:rFonts w:hint="eastAsia" w:ascii="仿宋" w:hAnsi="仿宋" w:eastAsia="仿宋" w:cs="仿宋"/>
                <w:sz w:val="22"/>
                <w:highlight w:val="none"/>
              </w:rPr>
              <w:t>.界面色键合成预监：在包装界面上可直接显示每个摄像机与虚拟场景色键合成后的节目画面，同时可直接显示每个摄像机的前景画面，方便操作人员在同一显示屏幕上监视界面参数调整效果。</w:t>
            </w:r>
          </w:p>
          <w:p>
            <w:pPr>
              <w:widowControl/>
              <w:spacing w:line="480" w:lineRule="exact"/>
              <w:jc w:val="left"/>
              <w:textAlignment w:val="bottom"/>
              <w:rPr>
                <w:rFonts w:ascii="仿宋" w:hAnsi="仿宋" w:eastAsia="仿宋" w:cs="仿宋"/>
                <w:sz w:val="22"/>
                <w:highlight w:val="none"/>
              </w:rPr>
            </w:pPr>
            <w:r>
              <w:rPr>
                <w:rFonts w:hint="eastAsia" w:ascii="仿宋" w:hAnsi="仿宋" w:eastAsia="仿宋" w:cs="仿宋"/>
                <w:sz w:val="22"/>
                <w:highlight w:val="none"/>
                <w:lang w:val="en-US" w:eastAsia="zh-CN"/>
              </w:rPr>
              <w:t>10</w:t>
            </w:r>
            <w:r>
              <w:rPr>
                <w:rFonts w:hint="eastAsia" w:ascii="仿宋" w:hAnsi="仿宋" w:eastAsia="仿宋" w:cs="仿宋"/>
                <w:sz w:val="22"/>
                <w:highlight w:val="none"/>
              </w:rPr>
              <w:t>.空间跟踪曲线加载：在包装界面上可以直接加载一个或多个理想的空间跟踪轨迹曲线，使虚拟跟踪完全按照理想轨迹曲线运动取景</w:t>
            </w:r>
          </w:p>
          <w:p>
            <w:pPr>
              <w:widowControl/>
              <w:spacing w:line="480" w:lineRule="exact"/>
              <w:jc w:val="left"/>
              <w:textAlignment w:val="bottom"/>
              <w:rPr>
                <w:rFonts w:ascii="仿宋" w:hAnsi="仿宋" w:eastAsia="仿宋" w:cs="仿宋"/>
                <w:sz w:val="22"/>
                <w:highlight w:val="none"/>
              </w:rPr>
            </w:pPr>
            <w:r>
              <w:rPr>
                <w:rFonts w:hint="eastAsia" w:ascii="仿宋" w:hAnsi="仿宋" w:eastAsia="仿宋" w:cs="仿宋"/>
                <w:sz w:val="22"/>
                <w:highlight w:val="none"/>
              </w:rPr>
              <w:t>1</w:t>
            </w:r>
            <w:r>
              <w:rPr>
                <w:rFonts w:hint="eastAsia" w:ascii="仿宋" w:hAnsi="仿宋" w:eastAsia="仿宋" w:cs="仿宋"/>
                <w:sz w:val="22"/>
                <w:highlight w:val="none"/>
                <w:lang w:val="en-US" w:eastAsia="zh-CN"/>
              </w:rPr>
              <w:t>1</w:t>
            </w:r>
            <w:r>
              <w:rPr>
                <w:rFonts w:hint="eastAsia" w:ascii="仿宋" w:hAnsi="仿宋" w:eastAsia="仿宋" w:cs="仿宋"/>
                <w:sz w:val="22"/>
                <w:highlight w:val="none"/>
              </w:rPr>
              <w:t>.气象报文编辑：在包装界面上可直接对气象报文进行加载、更新、编辑和存储，实现了日常气象节目制作高效、快捷、方便、实时的要求</w:t>
            </w:r>
          </w:p>
          <w:p>
            <w:pPr>
              <w:widowControl/>
              <w:spacing w:line="480" w:lineRule="exact"/>
              <w:jc w:val="left"/>
              <w:textAlignment w:val="bottom"/>
              <w:rPr>
                <w:rFonts w:ascii="仿宋" w:hAnsi="仿宋" w:eastAsia="仿宋" w:cs="仿宋"/>
                <w:sz w:val="22"/>
                <w:highlight w:val="none"/>
              </w:rPr>
            </w:pPr>
            <w:r>
              <w:rPr>
                <w:rFonts w:hint="eastAsia" w:ascii="仿宋" w:hAnsi="仿宋" w:eastAsia="仿宋" w:cs="仿宋"/>
                <w:sz w:val="22"/>
                <w:highlight w:val="none"/>
              </w:rPr>
              <w:t>1</w:t>
            </w:r>
            <w:r>
              <w:rPr>
                <w:rFonts w:hint="eastAsia" w:ascii="仿宋" w:hAnsi="仿宋" w:eastAsia="仿宋" w:cs="仿宋"/>
                <w:sz w:val="22"/>
                <w:highlight w:val="none"/>
                <w:lang w:val="en-US" w:eastAsia="zh-CN"/>
              </w:rPr>
              <w:t>2</w:t>
            </w:r>
            <w:r>
              <w:rPr>
                <w:rFonts w:hint="eastAsia" w:ascii="仿宋" w:hAnsi="仿宋" w:eastAsia="仿宋" w:cs="仿宋"/>
                <w:sz w:val="22"/>
                <w:highlight w:val="none"/>
              </w:rPr>
              <w:t>.文件-工程编辑功能：在包装界面上可对播出列表中的任意一个播出文件、播出工程的层属性、播出开始时间、播出时长、是否接受物理摄像机的跟踪、在哪个机位显示哪个机位不现示等属性，以及文件、工程的空间构图属性进行编辑修改。</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sz w:val="22"/>
                <w:highlight w:val="none"/>
              </w:rPr>
              <w:t>1</w:t>
            </w:r>
            <w:r>
              <w:rPr>
                <w:rFonts w:hint="eastAsia" w:ascii="仿宋" w:hAnsi="仿宋" w:eastAsia="仿宋" w:cs="仿宋"/>
                <w:sz w:val="22"/>
                <w:highlight w:val="none"/>
                <w:lang w:val="en-US" w:eastAsia="zh-CN"/>
              </w:rPr>
              <w:t>3</w:t>
            </w:r>
            <w:r>
              <w:rPr>
                <w:rFonts w:hint="eastAsia" w:ascii="仿宋" w:hAnsi="仿宋" w:eastAsia="仿宋" w:cs="仿宋"/>
                <w:sz w:val="22"/>
                <w:highlight w:val="none"/>
              </w:rPr>
              <w:t>.编辑与播出互动：对于新创建或加载修改的播出列表，可在包装界面直接对其中的任何一个文件或工程子项目，在编辑工程中进行编辑，编辑结果不经任何操作就可在播出列表中直接使用</w:t>
            </w:r>
          </w:p>
        </w:tc>
        <w:tc>
          <w:tcPr>
            <w:tcW w:w="308" w:type="pct"/>
            <w:vMerge w:val="continue"/>
            <w:tcBorders>
              <w:left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lef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000000" w:sz="4" w:space="0"/>
              <w:left w:val="single" w:color="000000" w:sz="4" w:space="0"/>
              <w:bottom w:val="single" w:color="auto" w:sz="4" w:space="0"/>
              <w:right w:val="single" w:color="000000" w:sz="4" w:space="0"/>
            </w:tcBorders>
            <w:shd w:val="clear" w:color="auto" w:fill="auto"/>
            <w:noWrap/>
            <w:vAlign w:val="bottom"/>
          </w:tcPr>
          <w:p>
            <w:pPr>
              <w:pStyle w:val="56"/>
              <w:spacing w:line="480" w:lineRule="exact"/>
              <w:ind w:left="12" w:right="1"/>
              <w:jc w:val="left"/>
              <w:rPr>
                <w:rFonts w:ascii="仿宋" w:hAnsi="仿宋" w:eastAsia="仿宋" w:cs="仿宋"/>
                <w:highlight w:val="none"/>
              </w:rPr>
            </w:pPr>
            <w:r>
              <w:rPr>
                <w:rFonts w:hint="eastAsia" w:ascii="仿宋" w:hAnsi="仿宋" w:eastAsia="仿宋" w:cs="仿宋"/>
                <w:highlight w:val="none"/>
              </w:rPr>
              <w:t>万向跟踪系统</w:t>
            </w:r>
          </w:p>
          <w:p>
            <w:pPr>
              <w:pStyle w:val="56"/>
              <w:spacing w:line="480" w:lineRule="exact"/>
              <w:ind w:left="12" w:right="1"/>
              <w:jc w:val="left"/>
              <w:rPr>
                <w:rFonts w:ascii="仿宋" w:hAnsi="仿宋" w:eastAsia="仿宋" w:cs="仿宋"/>
                <w:highlight w:val="none"/>
              </w:rPr>
            </w:pPr>
            <w:r>
              <w:rPr>
                <w:rFonts w:hint="eastAsia" w:ascii="仿宋" w:hAnsi="仿宋" w:eastAsia="仿宋" w:cs="仿宋"/>
                <w:highlight w:val="none"/>
              </w:rPr>
              <w:t>1、三维控制键盘：三维摇杆设计；</w:t>
            </w:r>
          </w:p>
          <w:p>
            <w:pPr>
              <w:pStyle w:val="56"/>
              <w:spacing w:line="480" w:lineRule="exact"/>
              <w:ind w:left="12" w:right="1"/>
              <w:jc w:val="left"/>
              <w:rPr>
                <w:rFonts w:ascii="仿宋" w:hAnsi="仿宋" w:eastAsia="仿宋" w:cs="仿宋"/>
                <w:highlight w:val="none"/>
              </w:rPr>
            </w:pPr>
            <w:r>
              <w:rPr>
                <w:rFonts w:hint="eastAsia" w:ascii="仿宋" w:hAnsi="仿宋" w:eastAsia="仿宋" w:cs="仿宋"/>
                <w:highlight w:val="none"/>
              </w:rPr>
              <w:t>2.支持RS232总线与RS485总线控制，兼容多种云台控制协议；</w:t>
            </w:r>
          </w:p>
          <w:p>
            <w:pPr>
              <w:pStyle w:val="56"/>
              <w:spacing w:line="480" w:lineRule="exact"/>
              <w:ind w:left="12" w:right="1"/>
              <w:jc w:val="left"/>
              <w:rPr>
                <w:rFonts w:ascii="仿宋" w:hAnsi="仿宋" w:eastAsia="仿宋" w:cs="仿宋"/>
                <w:highlight w:val="none"/>
              </w:rPr>
            </w:pPr>
            <w:r>
              <w:rPr>
                <w:rFonts w:hint="eastAsia" w:ascii="仿宋" w:hAnsi="仿宋" w:eastAsia="仿宋" w:cs="仿宋"/>
                <w:highlight w:val="none"/>
              </w:rPr>
              <w:t>3.虚拟摇臂跟踪合成前景去爬行抗锯齿RAM 模块要求：为了保证前景信号电子变焦缩小时不爬行、放大时不马赛克，必须对前景信号做实时去爬行和抗锯齿处理。</w:t>
            </w:r>
          </w:p>
          <w:p>
            <w:pPr>
              <w:pStyle w:val="56"/>
              <w:spacing w:before="28" w:line="480" w:lineRule="exact"/>
              <w:ind w:left="12" w:right="1"/>
              <w:jc w:val="left"/>
              <w:rPr>
                <w:rFonts w:ascii="仿宋" w:hAnsi="仿宋" w:eastAsia="仿宋" w:cs="仿宋"/>
                <w:highlight w:val="none"/>
              </w:rPr>
            </w:pPr>
            <w:r>
              <w:rPr>
                <w:rFonts w:hint="eastAsia" w:ascii="仿宋" w:hAnsi="仿宋" w:eastAsia="仿宋" w:cs="仿宋"/>
                <w:highlight w:val="none"/>
              </w:rPr>
              <w:t>★4.物理手柄摇臂功能：使用物理遥控手柄直接以物理操作方式直观地实现摄像机空间移动、升降、平摇、俯仰、变焦等虚拟摇臂拍摄效果。也可对直观操作方式的运动轨迹进行预先操作存储，待使用时直接调用。</w:t>
            </w:r>
            <w:r>
              <w:rPr>
                <w:rFonts w:hint="eastAsia" w:ascii="仿宋" w:hAnsi="仿宋" w:eastAsia="仿宋" w:cs="仿宋"/>
                <w:color w:val="000000"/>
                <w:kern w:val="0"/>
                <w:sz w:val="22"/>
                <w:highlight w:val="none"/>
              </w:rPr>
              <w:t>（提供相关证明材料</w:t>
            </w:r>
            <w:r>
              <w:rPr>
                <w:rFonts w:hint="eastAsia" w:ascii="仿宋" w:hAnsi="仿宋" w:eastAsia="仿宋" w:cs="仿宋"/>
                <w:color w:val="000000"/>
                <w:kern w:val="0"/>
                <w:sz w:val="22"/>
                <w:highlight w:val="none"/>
                <w:lang w:eastAsia="zh-CN"/>
              </w:rPr>
              <w:t>，</w:t>
            </w:r>
            <w:r>
              <w:rPr>
                <w:rFonts w:hint="eastAsia" w:ascii="仿宋" w:hAnsi="仿宋" w:eastAsia="仿宋" w:cs="仿宋"/>
                <w:color w:val="000000"/>
                <w:kern w:val="0"/>
                <w:sz w:val="22"/>
                <w:highlight w:val="none"/>
              </w:rPr>
              <w:t>包括但不限于检测报告、官网截图、软件截图等</w:t>
            </w:r>
            <w:r>
              <w:rPr>
                <w:rFonts w:hint="eastAsia" w:ascii="仿宋" w:hAnsi="仿宋" w:eastAsia="仿宋" w:cs="仿宋"/>
                <w:color w:val="000000"/>
                <w:kern w:val="0"/>
                <w:sz w:val="22"/>
                <w:highlight w:val="none"/>
                <w:lang w:eastAsia="zh-CN"/>
              </w:rPr>
              <w:t>）；</w:t>
            </w:r>
          </w:p>
          <w:p>
            <w:pPr>
              <w:pStyle w:val="56"/>
              <w:spacing w:line="480" w:lineRule="exact"/>
              <w:ind w:left="12" w:right="1"/>
              <w:jc w:val="left"/>
              <w:rPr>
                <w:rFonts w:ascii="仿宋" w:hAnsi="仿宋" w:eastAsia="仿宋" w:cs="仿宋"/>
                <w:highlight w:val="none"/>
              </w:rPr>
            </w:pPr>
            <w:r>
              <w:rPr>
                <w:rFonts w:hint="eastAsia" w:ascii="仿宋" w:hAnsi="仿宋" w:eastAsia="仿宋" w:cs="仿宋"/>
                <w:highlight w:val="none"/>
              </w:rPr>
              <w:t>5.键盘虚拟摇臂取景拍摄：只需在键盘上点快捷键即可实现摄像机运动路径和镜头运动节奏，作较真实摇臂更理想的运动镜头拍摄效果3、理想轨迹摇臂功能：只需调入理想三维轨迹路径就可让摄像机取得比真实摇臂更理想的运动镜头拍摄效果。</w:t>
            </w:r>
          </w:p>
          <w:p>
            <w:pPr>
              <w:pStyle w:val="56"/>
              <w:spacing w:line="480" w:lineRule="exact"/>
              <w:ind w:left="12" w:right="1"/>
              <w:jc w:val="left"/>
              <w:rPr>
                <w:rFonts w:ascii="仿宋" w:hAnsi="仿宋" w:eastAsia="仿宋" w:cs="仿宋"/>
                <w:highlight w:val="none"/>
              </w:rPr>
            </w:pPr>
            <w:r>
              <w:rPr>
                <w:rFonts w:hint="eastAsia" w:ascii="仿宋" w:hAnsi="仿宋" w:eastAsia="仿宋" w:cs="仿宋"/>
                <w:highlight w:val="none"/>
              </w:rPr>
              <w:t>6.多轨迹曲线复合运动摇臂功能：可在播出界面实时调入一系列理想三维轨迹路径文件，并实时编排轨迹顺序，实现摄像机在不同时刻沿不同三维轨迹路径运动的取景拍摄效果</w:t>
            </w:r>
          </w:p>
          <w:p>
            <w:pPr>
              <w:widowControl/>
              <w:spacing w:line="480" w:lineRule="exact"/>
              <w:jc w:val="left"/>
              <w:rPr>
                <w:rFonts w:ascii="仿宋" w:hAnsi="仿宋" w:eastAsia="仿宋" w:cs="仿宋"/>
                <w:kern w:val="0"/>
                <w:sz w:val="22"/>
                <w:highlight w:val="none"/>
                <w:lang w:val="zh-CN" w:bidi="zh-CN"/>
              </w:rPr>
            </w:pPr>
            <w:r>
              <w:rPr>
                <w:rFonts w:hint="eastAsia" w:ascii="仿宋" w:hAnsi="仿宋" w:eastAsia="仿宋" w:cs="仿宋"/>
                <w:kern w:val="0"/>
                <w:sz w:val="22"/>
                <w:highlight w:val="none"/>
                <w:lang w:val="zh-CN" w:bidi="zh-CN"/>
              </w:rPr>
              <w:t>7.多种方式复合运动摇臂功能：可将键盘快捷方式摇臂功能、物理手柄摇臂功能和理想空间曲线功能配合使用。</w:t>
            </w:r>
          </w:p>
        </w:tc>
        <w:tc>
          <w:tcPr>
            <w:tcW w:w="308" w:type="pct"/>
            <w:vMerge w:val="continue"/>
            <w:tcBorders>
              <w:left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lef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741" w:type="pct"/>
            <w:vMerge w:val="continue"/>
            <w:tcBorders>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304" w:type="pct"/>
            <w:tcBorders>
              <w:top w:val="single" w:color="auto" w:sz="4" w:space="0"/>
              <w:left w:val="single" w:color="000000" w:sz="4" w:space="0"/>
              <w:bottom w:val="single" w:color="000000" w:sz="4" w:space="0"/>
              <w:right w:val="single" w:color="000000" w:sz="4" w:space="0"/>
            </w:tcBorders>
            <w:shd w:val="clear" w:color="auto" w:fill="auto"/>
            <w:noWrap/>
            <w:vAlign w:val="bottom"/>
          </w:tcPr>
          <w:p>
            <w:pPr>
              <w:spacing w:line="480" w:lineRule="exact"/>
              <w:jc w:val="left"/>
              <w:rPr>
                <w:rFonts w:ascii="仿宋" w:hAnsi="仿宋" w:eastAsia="仿宋" w:cs="仿宋"/>
                <w:sz w:val="22"/>
                <w:highlight w:val="none"/>
              </w:rPr>
            </w:pPr>
            <w:r>
              <w:rPr>
                <w:rFonts w:hint="eastAsia" w:ascii="仿宋" w:hAnsi="仿宋" w:eastAsia="仿宋" w:cs="仿宋"/>
                <w:kern w:val="0"/>
                <w:sz w:val="22"/>
                <w:highlight w:val="none"/>
              </w:rPr>
              <w:t>为用户量身定制具有本地元素的三维场景三幅</w:t>
            </w:r>
          </w:p>
        </w:tc>
        <w:tc>
          <w:tcPr>
            <w:tcW w:w="308" w:type="pct"/>
            <w:vMerge w:val="continue"/>
            <w:tcBorders>
              <w:left w:val="single" w:color="000000" w:sz="4" w:space="0"/>
              <w:bottom w:val="single" w:color="000000" w:sz="4" w:space="0"/>
              <w:right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c>
          <w:tcPr>
            <w:tcW w:w="385" w:type="pct"/>
            <w:vMerge w:val="continue"/>
            <w:tcBorders>
              <w:left w:val="single" w:color="000000" w:sz="4" w:space="0"/>
              <w:bottom w:val="single" w:color="000000" w:sz="4" w:space="0"/>
            </w:tcBorders>
            <w:shd w:val="clear" w:color="auto" w:fill="auto"/>
            <w:noWrap/>
            <w:vAlign w:val="center"/>
          </w:tcPr>
          <w:p>
            <w:pPr>
              <w:spacing w:line="480" w:lineRule="exact"/>
              <w:jc w:val="center"/>
              <w:rPr>
                <w:rFonts w:ascii="仿宋" w:hAnsi="仿宋" w:eastAsia="仿宋" w:cs="仿宋"/>
                <w:color w:val="000000"/>
                <w:sz w:val="22"/>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5000" w:type="pct"/>
            <w:gridSpan w:val="5"/>
            <w:tcBorders>
              <w:top w:val="single" w:color="000000" w:sz="4" w:space="0"/>
              <w:bottom w:val="single" w:color="000000" w:sz="4" w:space="0"/>
            </w:tcBorders>
            <w:shd w:val="clear" w:color="auto" w:fill="auto"/>
            <w:noWrap/>
            <w:vAlign w:val="bottom"/>
          </w:tcPr>
          <w:p>
            <w:pPr>
              <w:widowControl/>
              <w:spacing w:line="480" w:lineRule="exact"/>
              <w:jc w:val="left"/>
              <w:textAlignment w:val="bottom"/>
              <w:rPr>
                <w:rFonts w:ascii="仿宋" w:hAnsi="仿宋" w:eastAsia="仿宋" w:cs="仿宋"/>
                <w:b/>
                <w:bCs/>
                <w:color w:val="000000"/>
                <w:sz w:val="22"/>
                <w:highlight w:val="none"/>
              </w:rPr>
            </w:pPr>
            <w:r>
              <w:rPr>
                <w:rFonts w:hint="eastAsia" w:ascii="仿宋" w:hAnsi="仿宋" w:eastAsia="仿宋" w:cs="仿宋"/>
                <w:b/>
                <w:bCs/>
                <w:color w:val="000000"/>
                <w:kern w:val="0"/>
                <w:sz w:val="22"/>
                <w:highlight w:val="none"/>
              </w:rPr>
              <w:t>六、系统集成部分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60</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KVM切换器</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不少于8口KVM切换器，1U机架式抽拉设计，整合17寸LCD屏幕与KVM控制端切换器于单一抽拉式机身内，支持配备PS2或USB键盘和鼠标的服务器与控制端</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61</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42U标准机柜</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kern w:val="0"/>
                <w:sz w:val="22"/>
                <w:highlight w:val="none"/>
              </w:rPr>
              <w:t>19寸42U服务器机柜，1000mm深，600mm宽，配置16孔PDU电源*2，线槽，支架16对，绑线杆12个</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strike w:val="0"/>
                <w:dstrike w:val="0"/>
                <w:color w:val="000000"/>
                <w:sz w:val="22"/>
                <w:highlight w:val="none"/>
              </w:rPr>
            </w:pPr>
            <w:r>
              <w:rPr>
                <w:rFonts w:hint="eastAsia" w:ascii="仿宋" w:hAnsi="仿宋" w:eastAsia="仿宋" w:cs="仿宋"/>
                <w:strike w:val="0"/>
                <w:dstrike w:val="0"/>
                <w:color w:val="000000"/>
                <w:kern w:val="0"/>
                <w:sz w:val="22"/>
                <w:highlight w:val="none"/>
              </w:rPr>
              <w:t>62</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strike w:val="0"/>
                <w:dstrike w:val="0"/>
                <w:color w:val="000000"/>
                <w:sz w:val="22"/>
                <w:highlight w:val="none"/>
              </w:rPr>
            </w:pPr>
            <w:r>
              <w:rPr>
                <w:rFonts w:hint="eastAsia" w:ascii="仿宋" w:hAnsi="仿宋" w:eastAsia="仿宋" w:cs="仿宋"/>
                <w:strike w:val="0"/>
                <w:dstrike w:val="0"/>
                <w:color w:val="000000"/>
                <w:kern w:val="0"/>
                <w:sz w:val="22"/>
                <w:highlight w:val="none"/>
              </w:rPr>
              <w:t>施工及材料费</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strike w:val="0"/>
                <w:dstrike w:val="0"/>
                <w:color w:val="000000"/>
                <w:kern w:val="0"/>
                <w:sz w:val="22"/>
                <w:highlight w:val="none"/>
              </w:rPr>
            </w:pPr>
            <w:r>
              <w:rPr>
                <w:rFonts w:hint="eastAsia" w:ascii="仿宋" w:hAnsi="仿宋" w:eastAsia="仿宋" w:cs="仿宋"/>
                <w:strike w:val="0"/>
                <w:dstrike w:val="0"/>
                <w:color w:val="000000"/>
                <w:kern w:val="0"/>
                <w:sz w:val="22"/>
                <w:highlight w:val="none"/>
              </w:rPr>
              <w:t>合同设备之间所需以太网线、跳线的铺设，端接，标识，调试</w:t>
            </w:r>
          </w:p>
          <w:p>
            <w:pPr>
              <w:widowControl/>
              <w:spacing w:line="480" w:lineRule="exact"/>
              <w:jc w:val="left"/>
              <w:textAlignment w:val="bottom"/>
              <w:rPr>
                <w:rFonts w:ascii="仿宋" w:hAnsi="仿宋" w:eastAsia="仿宋" w:cs="仿宋"/>
                <w:strike w:val="0"/>
                <w:dstrike w:val="0"/>
                <w:color w:val="000000"/>
                <w:kern w:val="0"/>
                <w:sz w:val="22"/>
                <w:highlight w:val="none"/>
              </w:rPr>
            </w:pPr>
            <w:r>
              <w:rPr>
                <w:rFonts w:hint="eastAsia" w:ascii="仿宋" w:hAnsi="仿宋" w:eastAsia="仿宋" w:cs="仿宋"/>
                <w:strike w:val="0"/>
                <w:dstrike w:val="0"/>
                <w:color w:val="000000"/>
                <w:kern w:val="0"/>
                <w:sz w:val="22"/>
                <w:highlight w:val="none"/>
              </w:rPr>
              <w:t>合同内集成设备之间所需光纤、光纤跳线的铺设，熔接，标识，调试</w:t>
            </w:r>
          </w:p>
          <w:p>
            <w:pPr>
              <w:widowControl/>
              <w:spacing w:line="480" w:lineRule="exact"/>
              <w:jc w:val="left"/>
              <w:textAlignment w:val="bottom"/>
              <w:rPr>
                <w:rFonts w:ascii="仿宋" w:hAnsi="仿宋" w:eastAsia="仿宋" w:cs="仿宋"/>
                <w:strike w:val="0"/>
                <w:dstrike w:val="0"/>
                <w:color w:val="000000"/>
                <w:sz w:val="22"/>
                <w:highlight w:val="none"/>
              </w:rPr>
            </w:pPr>
            <w:r>
              <w:rPr>
                <w:rFonts w:hint="eastAsia" w:ascii="仿宋" w:hAnsi="仿宋" w:eastAsia="仿宋" w:cs="仿宋"/>
                <w:strike w:val="0"/>
                <w:dstrike w:val="0"/>
                <w:color w:val="000000"/>
                <w:kern w:val="0"/>
                <w:sz w:val="22"/>
                <w:highlight w:val="none"/>
                <w:u w:val="none"/>
              </w:rPr>
              <w:t>设备之间所需线槽、跳线架、理线器、光纤耦合器、扎线等辅助材料</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strike w:val="0"/>
                <w:dstrike w:val="0"/>
                <w:color w:val="000000"/>
                <w:sz w:val="22"/>
                <w:highlight w:val="none"/>
              </w:rPr>
            </w:pPr>
            <w:r>
              <w:rPr>
                <w:rFonts w:hint="eastAsia" w:ascii="仿宋" w:hAnsi="仿宋" w:eastAsia="仿宋" w:cs="仿宋"/>
                <w:strike w:val="0"/>
                <w:dstrike w:val="0"/>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strike w:val="0"/>
                <w:color w:val="000000"/>
                <w:sz w:val="22"/>
                <w:highlight w:val="none"/>
              </w:rPr>
            </w:pPr>
            <w:r>
              <w:rPr>
                <w:rFonts w:hint="eastAsia" w:ascii="仿宋" w:hAnsi="仿宋" w:eastAsia="仿宋" w:cs="仿宋"/>
                <w:strike w:val="0"/>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tcBorders>
              <w:top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strike w:val="0"/>
                <w:dstrike w:val="0"/>
                <w:color w:val="000000"/>
                <w:sz w:val="22"/>
                <w:highlight w:val="none"/>
              </w:rPr>
            </w:pPr>
            <w:r>
              <w:rPr>
                <w:rFonts w:hint="eastAsia" w:ascii="仿宋" w:hAnsi="仿宋" w:eastAsia="仿宋" w:cs="仿宋"/>
                <w:strike w:val="0"/>
                <w:dstrike w:val="0"/>
                <w:color w:val="000000"/>
                <w:kern w:val="0"/>
                <w:sz w:val="22"/>
                <w:highlight w:val="none"/>
              </w:rPr>
              <w:t>63</w:t>
            </w:r>
          </w:p>
        </w:tc>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strike w:val="0"/>
                <w:dstrike w:val="0"/>
                <w:color w:val="000000"/>
                <w:sz w:val="22"/>
                <w:highlight w:val="none"/>
              </w:rPr>
            </w:pPr>
            <w:r>
              <w:rPr>
                <w:rFonts w:hint="eastAsia" w:ascii="仿宋" w:hAnsi="仿宋" w:eastAsia="仿宋" w:cs="仿宋"/>
                <w:strike w:val="0"/>
                <w:dstrike w:val="0"/>
                <w:color w:val="000000"/>
                <w:kern w:val="0"/>
                <w:sz w:val="22"/>
                <w:highlight w:val="none"/>
              </w:rPr>
              <w:t>集成服务</w:t>
            </w:r>
          </w:p>
        </w:tc>
        <w:tc>
          <w:tcPr>
            <w:tcW w:w="330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strike w:val="0"/>
                <w:dstrike w:val="0"/>
                <w:color w:val="000000"/>
                <w:kern w:val="0"/>
                <w:sz w:val="22"/>
                <w:highlight w:val="none"/>
              </w:rPr>
            </w:pPr>
            <w:r>
              <w:rPr>
                <w:rFonts w:hint="eastAsia" w:ascii="仿宋" w:hAnsi="仿宋" w:eastAsia="仿宋" w:cs="仿宋"/>
                <w:strike w:val="0"/>
                <w:dstrike w:val="0"/>
                <w:color w:val="000000"/>
                <w:kern w:val="0"/>
                <w:sz w:val="22"/>
                <w:highlight w:val="none"/>
              </w:rPr>
              <w:t>实施计划交流服务</w:t>
            </w:r>
          </w:p>
          <w:p>
            <w:pPr>
              <w:widowControl/>
              <w:spacing w:line="480" w:lineRule="exact"/>
              <w:jc w:val="left"/>
              <w:textAlignment w:val="bottom"/>
              <w:rPr>
                <w:rFonts w:ascii="仿宋" w:hAnsi="仿宋" w:eastAsia="仿宋" w:cs="仿宋"/>
                <w:strike w:val="0"/>
                <w:dstrike w:val="0"/>
                <w:color w:val="000000"/>
                <w:kern w:val="0"/>
                <w:sz w:val="22"/>
                <w:highlight w:val="none"/>
              </w:rPr>
            </w:pPr>
            <w:r>
              <w:rPr>
                <w:rFonts w:hint="eastAsia" w:ascii="仿宋" w:hAnsi="仿宋" w:eastAsia="仿宋" w:cs="仿宋"/>
                <w:strike w:val="0"/>
                <w:dstrike w:val="0"/>
                <w:color w:val="000000"/>
                <w:kern w:val="0"/>
                <w:sz w:val="22"/>
                <w:highlight w:val="none"/>
              </w:rPr>
              <w:t>进场前准备工作服务</w:t>
            </w:r>
          </w:p>
          <w:p>
            <w:pPr>
              <w:widowControl/>
              <w:spacing w:line="480" w:lineRule="exact"/>
              <w:jc w:val="left"/>
              <w:textAlignment w:val="bottom"/>
              <w:rPr>
                <w:rFonts w:ascii="仿宋" w:hAnsi="仿宋" w:eastAsia="仿宋" w:cs="仿宋"/>
                <w:strike w:val="0"/>
                <w:dstrike w:val="0"/>
                <w:color w:val="000000"/>
                <w:kern w:val="0"/>
                <w:sz w:val="22"/>
                <w:highlight w:val="none"/>
              </w:rPr>
            </w:pPr>
            <w:r>
              <w:rPr>
                <w:rFonts w:hint="eastAsia" w:ascii="仿宋" w:hAnsi="仿宋" w:eastAsia="仿宋" w:cs="仿宋"/>
                <w:strike w:val="0"/>
                <w:dstrike w:val="0"/>
                <w:color w:val="000000"/>
                <w:kern w:val="0"/>
                <w:sz w:val="22"/>
                <w:highlight w:val="none"/>
              </w:rPr>
              <w:t>现场系统搭建服务</w:t>
            </w:r>
          </w:p>
          <w:p>
            <w:pPr>
              <w:widowControl/>
              <w:spacing w:line="480" w:lineRule="exact"/>
              <w:jc w:val="left"/>
              <w:textAlignment w:val="bottom"/>
              <w:rPr>
                <w:rFonts w:ascii="仿宋" w:hAnsi="仿宋" w:eastAsia="仿宋" w:cs="仿宋"/>
                <w:strike w:val="0"/>
                <w:dstrike w:val="0"/>
                <w:color w:val="000000"/>
                <w:kern w:val="0"/>
                <w:sz w:val="22"/>
                <w:highlight w:val="none"/>
              </w:rPr>
            </w:pPr>
            <w:r>
              <w:rPr>
                <w:rFonts w:hint="eastAsia" w:ascii="仿宋" w:hAnsi="仿宋" w:eastAsia="仿宋" w:cs="仿宋"/>
                <w:strike w:val="0"/>
                <w:dstrike w:val="0"/>
                <w:color w:val="000000"/>
                <w:kern w:val="0"/>
                <w:sz w:val="22"/>
                <w:highlight w:val="none"/>
              </w:rPr>
              <w:t>现场软件部署服务</w:t>
            </w:r>
          </w:p>
          <w:p>
            <w:pPr>
              <w:widowControl/>
              <w:spacing w:line="480" w:lineRule="exact"/>
              <w:jc w:val="left"/>
              <w:textAlignment w:val="bottom"/>
              <w:rPr>
                <w:rFonts w:ascii="仿宋" w:hAnsi="仿宋" w:eastAsia="仿宋" w:cs="仿宋"/>
                <w:strike w:val="0"/>
                <w:dstrike w:val="0"/>
                <w:color w:val="000000"/>
                <w:kern w:val="0"/>
                <w:sz w:val="22"/>
                <w:highlight w:val="none"/>
              </w:rPr>
            </w:pPr>
            <w:r>
              <w:rPr>
                <w:rFonts w:hint="eastAsia" w:ascii="仿宋" w:hAnsi="仿宋" w:eastAsia="仿宋" w:cs="仿宋"/>
                <w:strike w:val="0"/>
                <w:dstrike w:val="0"/>
                <w:color w:val="000000"/>
                <w:kern w:val="0"/>
                <w:sz w:val="22"/>
                <w:highlight w:val="none"/>
              </w:rPr>
              <w:t>现场培训服务</w:t>
            </w:r>
          </w:p>
          <w:p>
            <w:pPr>
              <w:widowControl/>
              <w:spacing w:line="480" w:lineRule="exact"/>
              <w:jc w:val="left"/>
              <w:textAlignment w:val="bottom"/>
              <w:rPr>
                <w:rFonts w:ascii="仿宋" w:hAnsi="仿宋" w:eastAsia="仿宋" w:cs="仿宋"/>
                <w:strike w:val="0"/>
                <w:dstrike w:val="0"/>
                <w:color w:val="000000"/>
                <w:sz w:val="22"/>
                <w:highlight w:val="none"/>
              </w:rPr>
            </w:pPr>
            <w:r>
              <w:rPr>
                <w:rFonts w:hint="eastAsia" w:ascii="仿宋" w:hAnsi="仿宋" w:eastAsia="仿宋" w:cs="仿宋"/>
                <w:strike w:val="0"/>
                <w:dstrike w:val="0"/>
                <w:color w:val="000000"/>
                <w:kern w:val="0"/>
                <w:sz w:val="22"/>
                <w:highlight w:val="none"/>
              </w:rPr>
              <w:t>现场验收服务</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strike w:val="0"/>
                <w:dstrike w:val="0"/>
                <w:color w:val="000000"/>
                <w:sz w:val="22"/>
                <w:highlight w:val="none"/>
              </w:rPr>
            </w:pPr>
            <w:r>
              <w:rPr>
                <w:rFonts w:hint="eastAsia" w:ascii="仿宋" w:hAnsi="仿宋" w:eastAsia="仿宋" w:cs="仿宋"/>
                <w:strike w:val="0"/>
                <w:dstrike w:val="0"/>
                <w:color w:val="000000"/>
                <w:kern w:val="0"/>
                <w:sz w:val="22"/>
                <w:highlight w:val="none"/>
              </w:rPr>
              <w:t>1</w:t>
            </w:r>
          </w:p>
        </w:tc>
        <w:tc>
          <w:tcPr>
            <w:tcW w:w="385" w:type="pct"/>
            <w:tcBorders>
              <w:top w:val="single" w:color="000000" w:sz="4" w:space="0"/>
              <w:left w:val="single" w:color="000000" w:sz="4" w:space="0"/>
              <w:bottom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strike w:val="0"/>
                <w:dstrike w:val="0"/>
                <w:color w:val="000000"/>
                <w:sz w:val="22"/>
                <w:highlight w:val="none"/>
              </w:rPr>
            </w:pPr>
            <w:r>
              <w:rPr>
                <w:rFonts w:hint="eastAsia" w:ascii="仿宋" w:hAnsi="仿宋" w:eastAsia="仿宋" w:cs="仿宋"/>
                <w:strike w:val="0"/>
                <w:dstrike w:val="0"/>
                <w:color w:val="000000"/>
                <w:kern w:val="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restart"/>
            <w:tcBorders>
              <w:top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64</w:t>
            </w:r>
          </w:p>
        </w:tc>
        <w:tc>
          <w:tcPr>
            <w:tcW w:w="741"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机房改造</w:t>
            </w:r>
          </w:p>
        </w:tc>
        <w:tc>
          <w:tcPr>
            <w:tcW w:w="3304" w:type="pct"/>
            <w:tcBorders>
              <w:top w:val="single" w:color="000000"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LED影视平板灯</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额定功率：100W</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颜色：黑色</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外壳材质：铝合金</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 xml:space="preserve">灯珠数量：600颗 </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出光角度：120度</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显色指数：Ra≥95</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使用寿命：50000小时</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色温：3200K/5600K ±150K</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额定电压：AC 100-240V    50/60Hz</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通道数量：1个通道</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工作温度：-20℃至50℃</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存放温度：-20℃至60℃</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冷却系统：自然风冷散热</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调光功能：0%至100%无极调节</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链接方式：电源线in/out，信号线in/out</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信  号 线：三芯卡侬头输入，三芯卡侬头输出</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操       作：数码显示管控制地址码和相对照度</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控制协议：DMX512（1990版）调光和主机调光控制两种</w:t>
            </w:r>
          </w:p>
          <w:p>
            <w:pPr>
              <w:widowControl/>
              <w:spacing w:line="480" w:lineRule="exact"/>
              <w:jc w:val="left"/>
              <w:textAlignment w:val="bottom"/>
              <w:rPr>
                <w:rFonts w:ascii="仿宋" w:hAnsi="仿宋" w:eastAsia="仿宋" w:cs="仿宋"/>
                <w:color w:val="000000"/>
                <w:sz w:val="22"/>
                <w:highlight w:val="none"/>
              </w:rPr>
            </w:pPr>
            <w:r>
              <w:rPr>
                <w:rFonts w:hint="eastAsia" w:ascii="仿宋" w:hAnsi="仿宋" w:eastAsia="仿宋" w:cs="仿宋"/>
                <w:color w:val="000000"/>
                <w:sz w:val="22"/>
                <w:highlight w:val="none"/>
              </w:rPr>
              <w:t>照       度：3155LUX/1M、1023LUX/2M、572LUX/3M、349LUX/4M、240LUX/5M、173LUX/6M、61LUX/10M</w:t>
            </w:r>
          </w:p>
        </w:tc>
        <w:tc>
          <w:tcPr>
            <w:tcW w:w="30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30</w:t>
            </w:r>
          </w:p>
        </w:tc>
        <w:tc>
          <w:tcPr>
            <w:tcW w:w="385" w:type="pct"/>
            <w:tcBorders>
              <w:top w:val="single" w:color="000000" w:sz="4" w:space="0"/>
              <w:left w:val="single" w:color="000000" w:sz="4" w:space="0"/>
              <w:bottom w:val="single" w:color="auto" w:sz="4" w:space="0"/>
            </w:tcBorders>
            <w:shd w:val="clear" w:color="auto" w:fill="auto"/>
            <w:noWrap/>
            <w:vAlign w:val="center"/>
          </w:tcPr>
          <w:p>
            <w:pPr>
              <w:widowControl/>
              <w:spacing w:line="480" w:lineRule="exact"/>
              <w:jc w:val="center"/>
              <w:textAlignment w:val="center"/>
              <w:rPr>
                <w:rFonts w:ascii="仿宋" w:hAnsi="仿宋" w:eastAsia="仿宋" w:cs="仿宋"/>
                <w:color w:val="00000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LED聚光灯</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额定功率：100W</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颜  色：黑色</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外壳材质：铝型材</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使用寿命：50000小时</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驱动方式：恒流驱动3500mA</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额定电压：AC100V-240V/50-60HZ</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透镜直径：130mm</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显色指数：Ra≥92</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光束角度：15-60度</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发光效率：≥90Lm/W</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光学系统：聚焦菲涅尔透镜</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光  源：LED集成灯珠 70W/颗</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色  温：3200K/5600K（±150K）两种可选</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通道数量：1个通道</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冷却系统：对流传热</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工作温度：-20℃至50℃</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调光功能：0%至100%无极调节</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链接方式：电源线in，信号线in/out</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信号线：三芯卡侬头输入，三芯卡侬头输出</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操  作：数码显示管控制地址码和相对照度</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控制协议：国际标准DMX512信号，调光旋钮调光</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 xml:space="preserve">照  度：1m(13489Lux),2m(3266Lux),3m(1697Lux),4m(1047Lux),5m(688Lux),6m(497Lux),10m(198Lux)                       </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6</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调光台</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整机绝缘度≥10MΩ</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 xml:space="preserve">调光通道：24/512          </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集控通道：12</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 xml:space="preserve">场景储存：40              </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页面储存：7×80</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场景渐变时间：自动0.1秒到10秒,亦可手动</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 xml:space="preserve">走灯速度：0.1-10S/步       </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输出信号格式：DMX512/1990</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电源及频率：AC220V±10%/50HZ</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 xml:space="preserve">整机功耗：小于25W       </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工作温度：0-50℃</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铰链不小于1.5米</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定制</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6</w:t>
            </w:r>
          </w:p>
        </w:tc>
        <w:tc>
          <w:tcPr>
            <w:tcW w:w="385" w:type="pct"/>
            <w:tcBorders>
              <w:top w:val="single" w:color="auto" w:sz="4" w:space="0"/>
              <w:left w:val="single" w:color="000000" w:sz="4" w:space="0"/>
              <w:bottom w:val="single" w:color="auto" w:sz="4" w:space="0"/>
            </w:tcBorders>
            <w:shd w:val="clear" w:color="auto" w:fill="auto"/>
            <w:noWrap/>
            <w:vAlign w:val="center"/>
          </w:tcPr>
          <w:p>
            <w:pPr>
              <w:widowControl/>
              <w:spacing w:line="480" w:lineRule="exact"/>
              <w:jc w:val="center"/>
              <w:rPr>
                <w:rFonts w:ascii="仿宋" w:hAnsi="仿宋" w:eastAsia="仿宋" w:cs="仿宋"/>
                <w:color w:val="000000"/>
                <w:kern w:val="0"/>
                <w:sz w:val="22"/>
                <w:highlight w:val="none"/>
              </w:rPr>
            </w:pPr>
            <w:r>
              <w:rPr>
                <w:rFonts w:hint="eastAsia" w:ascii="仿宋" w:hAnsi="仿宋" w:eastAsia="仿宋" w:cs="仿宋"/>
                <w:color w:val="000000"/>
                <w:sz w:val="22"/>
                <w:highlight w:val="none"/>
              </w:rPr>
              <w:t>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演播室灯具专用阻燃电缆线</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ZR-RVV3×4 mm2规  格：3*4 mm2,</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材  质：ZR-RVV：阻燃聚氯乙烯绝缘及黑色护套软电线，无氧铜丝，电压等级300/300，阻燃电缆的高聚物材料氧指数均在28～33之间，电缆的阻燃性能符合IEC60332-3标准规定</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300</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演播室灯具专用阻燃信号屏蔽线</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ZR-RVVP2×0.5mm2演播室灯具专用阻燃信号屏蔽线，军工品质，</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规   格：2*0.5 mm2,</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材   质：ZR-RVV：阻燃聚氯乙烯绝缘及黑色护套软电线，无氧铜丝，带屏蔽网，电压等级300/300，阻燃电缆的高聚物材料氧指数均在28～33之间，电缆的阻燃性能符合IEC60332-3标准规定</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300</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灯具滑车</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主要用于固定灯具，可以在铝合金轨道上随意滑动</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36</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电线滑车</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电线滑车、线缆滑车，用于固定电源线和信号线，避免线缆杂乱，同时可以在铝合金轨道上左右滑动。电缆滑车其材质为铸钢材质；滑轮部分使用的是ABS工程塑料</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50</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螺旋线缆保护套</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黑色，保护外径是 50~60mm，每根标准长度为2米，应用领域：24路调光台输出输入电源线保护套</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300</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提词器含笔记本</w:t>
            </w:r>
          </w:p>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 笔记本配置：不低于CPU：i5 内存：16G 固态：512GSSD。</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2 系统要求字色、底色256色任意搭配，男女播音员可分别选择不同的背景色和字色方便男女播音员选择自己的播音词,字体和字的大小任意选择，可选多种角色，以区分男角女角或更多播音角色.</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3 文稿录入、编辑方便，操作简单，自动完成排版,支持txt、rtf、word等格式文本，并支持直接打开图片，word，PPT，视频等文件。</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4 分别采用监视器和高分辨率的彩显，清晰度高，字迹清晰。可台内外联网。可与文稿摄像方式联用，组成二合一型。适用于各电视台演播室的录、直播节目需要。文稿字迹明亮清晰支持自定义不同角色的字号、字体、颜色显示。</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5 段落格式，项目符号，缩进，行间距都可以设置。日期时间随时插入演播稿。</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6 系统自动记录演播稿，当发生异常停电事故后再加电时自动寻找并且打开演播稿，并保证演播稿的完整性。</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7 相对滚动时间、当前时间可同屏显示，任意设置大小、颜色，一目了然，更易把握节奏；重要语句可通过颜色标明.</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8 内容实时更新，更新过程播出不中断、不闪烁，更新速度快。</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9 控制方式，键盘、鼠标、控制手柄均可，字幕速度变化范围可随意调节，前后跳段翻页方便自如；播音稿的行进速度可由播音员自己通过手柄控制，可单、双人控制</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10 采用多层宽带介质分光膜（硬膜）玻璃，厚度仅为2mm，光损失率在3%以下.</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11 彩色液晶平板显示器，清晰度高， 配套19-22寸显示器（与提词器尺寸对应）， 软件解决双屏正像问题，使播音员和技术区操作方便直观。</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12 形式多样化，可将微机和摄像两种方式合二为一，相互切换，以适应应急新闻的播出.</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rPr>
                <w:rFonts w:ascii="仿宋" w:hAnsi="仿宋" w:eastAsia="仿宋" w:cs="仿宋"/>
                <w:color w:val="000000"/>
                <w:sz w:val="22"/>
                <w:highlight w:val="none"/>
              </w:rPr>
            </w:pPr>
            <w:r>
              <w:rPr>
                <w:rFonts w:hint="eastAsia" w:ascii="仿宋" w:hAnsi="仿宋" w:eastAsia="仿宋" w:cs="仿宋"/>
                <w:color w:val="000000"/>
                <w:sz w:val="22"/>
                <w:highlight w:val="none"/>
              </w:rPr>
              <w:t>播音话筒</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频率范围：20—20000 Hz</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声压级：138dB</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阻抗：150Ω</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灵敏度度：-34dB(20mV/Pa)</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工作电压：DC11-52V</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指向性：超心型</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信噪比：≥78dB</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2</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竹炭墙面</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防水，防霉，纳米级防水镀膜，阻燃基材，抑菌防污，耐磨防刮，产品材质，竹木纤维，规格600mm*1200mm板材厚度，5mm/8mm/9mm实心</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390</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平方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玻纤吸音板吊顶</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规格600*600材芯岩棉，吸音</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厚度20mm</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抗压强度13MPa</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使用温度常温</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导热系数0.034</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230</w:t>
            </w:r>
          </w:p>
        </w:tc>
        <w:tc>
          <w:tcPr>
            <w:tcW w:w="385" w:type="pct"/>
            <w:tcBorders>
              <w:top w:val="single" w:color="auto" w:sz="4" w:space="0"/>
              <w:left w:val="single" w:color="000000" w:sz="4" w:space="0"/>
              <w:bottom w:val="single" w:color="auto"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平方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门禁系统及玻璃门</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智能人脸识别系统，活体检测防止代打，动态识别认证，5英寸，IPS高清触摸屏，多点触摸，广角度识别，光学指纹采集器，10万大容量存储，1.6米内识别，支持WIFI通讯，实时生成网络报表。</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5</w:t>
            </w:r>
          </w:p>
        </w:tc>
        <w:tc>
          <w:tcPr>
            <w:tcW w:w="385" w:type="pct"/>
            <w:tcBorders>
              <w:top w:val="single" w:color="auto" w:sz="4" w:space="0"/>
              <w:left w:val="single" w:color="000000" w:sz="4" w:space="0"/>
              <w:bottom w:val="single" w:color="auto" w:sz="4" w:space="0"/>
            </w:tcBorders>
            <w:shd w:val="clear" w:color="auto" w:fill="auto"/>
            <w:noWrap/>
            <w:vAlign w:val="center"/>
          </w:tcPr>
          <w:p>
            <w:pPr>
              <w:widowControl/>
              <w:spacing w:line="480" w:lineRule="exact"/>
              <w:jc w:val="center"/>
              <w:rPr>
                <w:rFonts w:ascii="仿宋" w:hAnsi="仿宋" w:eastAsia="仿宋" w:cs="仿宋"/>
                <w:color w:val="000000"/>
                <w:kern w:val="0"/>
                <w:sz w:val="22"/>
                <w:highlight w:val="none"/>
              </w:rPr>
            </w:pPr>
            <w:r>
              <w:rPr>
                <w:rFonts w:hint="eastAsia" w:ascii="仿宋" w:hAnsi="仿宋" w:eastAsia="仿宋" w:cs="仿宋"/>
                <w:color w:val="00000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弱电控制箱</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加厚优质冷轧钢材质，金属烤漆，支持上下，左/右侧走线，零地线排；加宽加厚20mm*20mm铜排，通过100A电流，温度升高小于，1度，输入输出断路器，输入电源220伏，22个空开位</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2</w:t>
            </w:r>
          </w:p>
        </w:tc>
        <w:tc>
          <w:tcPr>
            <w:tcW w:w="385" w:type="pct"/>
            <w:tcBorders>
              <w:top w:val="single" w:color="auto" w:sz="4" w:space="0"/>
              <w:left w:val="single" w:color="000000" w:sz="4" w:space="0"/>
              <w:bottom w:val="single" w:color="auto" w:sz="4" w:space="0"/>
            </w:tcBorders>
            <w:shd w:val="clear" w:color="auto" w:fill="auto"/>
            <w:noWrap/>
            <w:vAlign w:val="center"/>
          </w:tcPr>
          <w:p>
            <w:pPr>
              <w:widowControl/>
              <w:spacing w:line="480" w:lineRule="exact"/>
              <w:jc w:val="center"/>
              <w:rPr>
                <w:rFonts w:ascii="仿宋" w:hAnsi="仿宋" w:eastAsia="仿宋" w:cs="仿宋"/>
                <w:color w:val="000000"/>
                <w:kern w:val="0"/>
                <w:sz w:val="22"/>
                <w:highlight w:val="none"/>
              </w:rPr>
            </w:pPr>
            <w:r>
              <w:rPr>
                <w:rFonts w:hint="eastAsia" w:ascii="仿宋" w:hAnsi="仿宋" w:eastAsia="仿宋" w:cs="仿宋"/>
                <w:color w:val="000000"/>
                <w:sz w:val="22"/>
                <w:highlight w:val="none"/>
              </w:rPr>
              <w:t>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木地板</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环保多层实木复合15mm木地板，规格长1060mm*127mm厚15mm，</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70</w:t>
            </w:r>
          </w:p>
        </w:tc>
        <w:tc>
          <w:tcPr>
            <w:tcW w:w="385" w:type="pct"/>
            <w:tcBorders>
              <w:top w:val="single" w:color="auto" w:sz="4" w:space="0"/>
              <w:left w:val="single" w:color="000000" w:sz="4" w:space="0"/>
              <w:bottom w:val="single" w:color="auto" w:sz="4" w:space="0"/>
            </w:tcBorders>
            <w:shd w:val="clear" w:color="auto" w:fill="auto"/>
            <w:noWrap/>
            <w:vAlign w:val="center"/>
          </w:tcPr>
          <w:p>
            <w:pPr>
              <w:widowControl/>
              <w:spacing w:line="480" w:lineRule="exact"/>
              <w:jc w:val="center"/>
              <w:rPr>
                <w:rFonts w:ascii="仿宋" w:hAnsi="仿宋" w:eastAsia="仿宋" w:cs="仿宋"/>
                <w:color w:val="000000"/>
                <w:kern w:val="0"/>
                <w:sz w:val="22"/>
                <w:highlight w:val="none"/>
              </w:rPr>
            </w:pPr>
            <w:r>
              <w:rPr>
                <w:rFonts w:hint="eastAsia" w:ascii="仿宋" w:hAnsi="仿宋" w:eastAsia="仿宋" w:cs="仿宋"/>
                <w:color w:val="000000"/>
                <w:sz w:val="22"/>
                <w:highlight w:val="none"/>
              </w:rPr>
              <w:t>平方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bottom w:val="single" w:color="auto"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防静电地板</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规格600*600象牙白  钢板厚度上0.4mm/下0.5mm,有效载荷700千克，支架配比：3.3/平方 螺丝配比：10.4/平方</w:t>
            </w:r>
          </w:p>
        </w:tc>
        <w:tc>
          <w:tcPr>
            <w:tcW w:w="308"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130</w:t>
            </w:r>
          </w:p>
        </w:tc>
        <w:tc>
          <w:tcPr>
            <w:tcW w:w="385" w:type="pct"/>
            <w:tcBorders>
              <w:top w:val="single" w:color="auto" w:sz="4" w:space="0"/>
              <w:left w:val="single" w:color="000000" w:sz="4" w:space="0"/>
              <w:bottom w:val="single" w:color="auto" w:sz="4" w:space="0"/>
            </w:tcBorders>
            <w:shd w:val="clear" w:color="auto" w:fill="auto"/>
            <w:noWrap/>
            <w:vAlign w:val="center"/>
          </w:tcPr>
          <w:p>
            <w:pPr>
              <w:widowControl/>
              <w:spacing w:line="480" w:lineRule="exact"/>
              <w:jc w:val="center"/>
              <w:rPr>
                <w:rFonts w:ascii="仿宋" w:hAnsi="仿宋" w:eastAsia="仿宋" w:cs="仿宋"/>
                <w:color w:val="000000"/>
                <w:kern w:val="0"/>
                <w:sz w:val="22"/>
                <w:highlight w:val="none"/>
              </w:rPr>
            </w:pPr>
            <w:r>
              <w:rPr>
                <w:rFonts w:hint="eastAsia" w:ascii="仿宋" w:hAnsi="仿宋" w:eastAsia="仿宋" w:cs="仿宋"/>
                <w:color w:val="000000"/>
                <w:sz w:val="22"/>
                <w:highlight w:val="none"/>
              </w:rPr>
              <w:t>平方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jc w:val="center"/>
        </w:trPr>
        <w:tc>
          <w:tcPr>
            <w:tcW w:w="260" w:type="pct"/>
            <w:vMerge w:val="continue"/>
            <w:tcBorders>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741" w:type="pct"/>
            <w:vMerge w:val="continue"/>
            <w:tcBorders>
              <w:left w:val="single" w:color="000000" w:sz="4" w:space="0"/>
              <w:right w:val="single" w:color="000000" w:sz="4" w:space="0"/>
            </w:tcBorders>
            <w:shd w:val="clear" w:color="auto" w:fill="auto"/>
            <w:noWrap/>
            <w:vAlign w:val="center"/>
          </w:tcPr>
          <w:p>
            <w:pPr>
              <w:widowControl/>
              <w:spacing w:line="480" w:lineRule="exact"/>
              <w:jc w:val="center"/>
              <w:textAlignment w:val="center"/>
              <w:rPr>
                <w:rFonts w:ascii="仿宋" w:hAnsi="仿宋" w:eastAsia="仿宋" w:cs="仿宋"/>
                <w:color w:val="000000"/>
                <w:kern w:val="0"/>
                <w:sz w:val="22"/>
                <w:highlight w:val="none"/>
              </w:rPr>
            </w:pPr>
          </w:p>
        </w:tc>
        <w:tc>
          <w:tcPr>
            <w:tcW w:w="3304" w:type="pct"/>
            <w:tcBorders>
              <w:top w:val="single" w:color="auto" w:sz="4" w:space="0"/>
              <w:left w:val="single" w:color="000000" w:sz="4" w:space="0"/>
              <w:right w:val="single" w:color="000000" w:sz="4" w:space="0"/>
            </w:tcBorders>
            <w:shd w:val="clear" w:color="auto" w:fill="auto"/>
            <w:noWrap/>
            <w:vAlign w:val="bottom"/>
          </w:tcPr>
          <w:p>
            <w:pPr>
              <w:widowControl/>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演播室墙裙聚酯纤维板</w:t>
            </w:r>
          </w:p>
          <w:p>
            <w:pPr>
              <w:spacing w:line="480" w:lineRule="exact"/>
              <w:jc w:val="left"/>
              <w:textAlignment w:val="bottom"/>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聚酯纤维吸音板，E0级标准，强效吸音，环保材料，耐磨损，抗冲击，B1级阻燃基材，</w:t>
            </w:r>
          </w:p>
        </w:tc>
        <w:tc>
          <w:tcPr>
            <w:tcW w:w="308" w:type="pct"/>
            <w:tcBorders>
              <w:top w:val="single" w:color="auto" w:sz="4" w:space="0"/>
              <w:left w:val="single" w:color="000000" w:sz="4" w:space="0"/>
              <w:right w:val="single" w:color="000000" w:sz="4" w:space="0"/>
            </w:tcBorders>
            <w:shd w:val="clear" w:color="auto" w:fill="auto"/>
            <w:noWrap/>
            <w:vAlign w:val="center"/>
          </w:tcPr>
          <w:p>
            <w:pPr>
              <w:spacing w:line="480" w:lineRule="exact"/>
              <w:jc w:val="center"/>
              <w:textAlignment w:val="center"/>
              <w:rPr>
                <w:rFonts w:ascii="仿宋" w:hAnsi="仿宋" w:eastAsia="仿宋" w:cs="仿宋"/>
                <w:color w:val="000000"/>
                <w:kern w:val="0"/>
                <w:sz w:val="22"/>
                <w:highlight w:val="none"/>
              </w:rPr>
            </w:pPr>
            <w:r>
              <w:rPr>
                <w:rFonts w:hint="eastAsia" w:ascii="仿宋" w:hAnsi="仿宋" w:eastAsia="仿宋" w:cs="仿宋"/>
                <w:color w:val="000000"/>
                <w:kern w:val="0"/>
                <w:sz w:val="22"/>
                <w:highlight w:val="none"/>
              </w:rPr>
              <w:t>35</w:t>
            </w:r>
          </w:p>
        </w:tc>
        <w:tc>
          <w:tcPr>
            <w:tcW w:w="385" w:type="pct"/>
            <w:tcBorders>
              <w:top w:val="single" w:color="auto" w:sz="4" w:space="0"/>
              <w:left w:val="single" w:color="000000" w:sz="4" w:space="0"/>
            </w:tcBorders>
            <w:shd w:val="clear" w:color="auto" w:fill="auto"/>
            <w:noWrap/>
            <w:vAlign w:val="center"/>
          </w:tcPr>
          <w:p>
            <w:pPr>
              <w:widowControl/>
              <w:spacing w:line="480" w:lineRule="exact"/>
              <w:jc w:val="center"/>
              <w:rPr>
                <w:rFonts w:ascii="仿宋" w:hAnsi="仿宋" w:eastAsia="仿宋" w:cs="仿宋"/>
                <w:color w:val="000000"/>
                <w:kern w:val="0"/>
                <w:sz w:val="22"/>
                <w:highlight w:val="none"/>
              </w:rPr>
            </w:pPr>
            <w:r>
              <w:rPr>
                <w:rFonts w:hint="eastAsia" w:ascii="仿宋" w:hAnsi="仿宋" w:eastAsia="仿宋" w:cs="仿宋"/>
                <w:color w:val="000000"/>
                <w:sz w:val="22"/>
                <w:highlight w:val="none"/>
              </w:rPr>
              <w:t>平方</w:t>
            </w:r>
          </w:p>
        </w:tc>
      </w:tr>
    </w:tbl>
    <w:p>
      <w:pPr>
        <w:pStyle w:val="3"/>
        <w:spacing w:line="360" w:lineRule="auto"/>
        <w:rPr>
          <w:rFonts w:ascii="仿宋" w:hAnsi="仿宋" w:eastAsia="仿宋" w:cs="仿宋"/>
          <w:highlight w:val="none"/>
        </w:rPr>
        <w:sectPr>
          <w:footerReference r:id="rId16" w:type="first"/>
          <w:pgSz w:w="11905" w:h="16840"/>
          <w:pgMar w:top="1417" w:right="1417" w:bottom="1417" w:left="1417" w:header="935" w:footer="907" w:gutter="0"/>
          <w:cols w:space="0" w:num="1"/>
          <w:titlePg/>
          <w:docGrid w:linePitch="312" w:charSpace="0"/>
        </w:sectPr>
      </w:pPr>
    </w:p>
    <w:p>
      <w:pPr>
        <w:pStyle w:val="3"/>
        <w:spacing w:line="360" w:lineRule="auto"/>
        <w:jc w:val="center"/>
        <w:rPr>
          <w:rFonts w:ascii="仿宋" w:hAnsi="仿宋" w:eastAsia="仿宋" w:cs="仿宋"/>
          <w:highlight w:val="none"/>
        </w:rPr>
      </w:pPr>
      <w:bookmarkStart w:id="109" w:name="_Toc24102"/>
      <w:r>
        <w:rPr>
          <w:rFonts w:hint="eastAsia" w:ascii="仿宋" w:hAnsi="仿宋" w:eastAsia="仿宋" w:cs="仿宋"/>
          <w:highlight w:val="none"/>
        </w:rPr>
        <w:t>第四章  商务要求</w:t>
      </w:r>
      <w:bookmarkEnd w:id="109"/>
    </w:p>
    <w:p>
      <w:pPr>
        <w:spacing w:line="560" w:lineRule="exact"/>
        <w:rPr>
          <w:rFonts w:ascii="仿宋" w:hAnsi="仿宋" w:eastAsia="仿宋" w:cs="仿宋"/>
          <w:szCs w:val="24"/>
          <w:highlight w:val="none"/>
        </w:rPr>
      </w:pPr>
      <w:r>
        <w:rPr>
          <w:rFonts w:hint="eastAsia" w:ascii="仿宋" w:hAnsi="仿宋" w:eastAsia="仿宋" w:cs="仿宋"/>
          <w:b/>
          <w:szCs w:val="24"/>
          <w:highlight w:val="none"/>
        </w:rPr>
        <w:t>一、交货期及地点：</w:t>
      </w:r>
    </w:p>
    <w:p>
      <w:pPr>
        <w:adjustRightInd w:val="0"/>
        <w:snapToGrid w:val="0"/>
        <w:spacing w:line="560" w:lineRule="exact"/>
        <w:ind w:firstLine="600" w:firstLineChars="250"/>
        <w:rPr>
          <w:rFonts w:ascii="仿宋" w:hAnsi="仿宋" w:eastAsia="仿宋" w:cs="仿宋"/>
          <w:szCs w:val="24"/>
          <w:highlight w:val="none"/>
        </w:rPr>
      </w:pPr>
      <w:bookmarkStart w:id="110" w:name="_Toc167714037"/>
      <w:bookmarkStart w:id="111" w:name="_Toc167712839"/>
      <w:bookmarkStart w:id="112" w:name="_Toc167715234"/>
      <w:r>
        <w:rPr>
          <w:rFonts w:hint="eastAsia" w:ascii="仿宋" w:hAnsi="仿宋" w:eastAsia="仿宋" w:cs="仿宋"/>
          <w:szCs w:val="24"/>
          <w:highlight w:val="none"/>
        </w:rPr>
        <w:t>1、 交货期：</w:t>
      </w:r>
      <w:bookmarkEnd w:id="110"/>
      <w:bookmarkEnd w:id="111"/>
      <w:bookmarkEnd w:id="112"/>
      <w:r>
        <w:rPr>
          <w:rFonts w:hint="eastAsia" w:ascii="仿宋" w:hAnsi="仿宋" w:eastAsia="仿宋" w:cs="仿宋"/>
          <w:szCs w:val="24"/>
          <w:highlight w:val="none"/>
        </w:rPr>
        <w:t>自合同签订之日起60个工作日内交付完毕。</w:t>
      </w:r>
    </w:p>
    <w:p>
      <w:pPr>
        <w:adjustRightInd w:val="0"/>
        <w:snapToGrid w:val="0"/>
        <w:spacing w:line="560" w:lineRule="exact"/>
        <w:ind w:firstLine="600" w:firstLineChars="250"/>
        <w:rPr>
          <w:rFonts w:ascii="仿宋" w:hAnsi="仿宋" w:eastAsia="仿宋" w:cs="仿宋"/>
          <w:szCs w:val="24"/>
          <w:highlight w:val="none"/>
        </w:rPr>
      </w:pPr>
      <w:r>
        <w:rPr>
          <w:rFonts w:hint="eastAsia" w:ascii="仿宋" w:hAnsi="仿宋" w:eastAsia="仿宋" w:cs="仿宋"/>
          <w:szCs w:val="24"/>
          <w:highlight w:val="none"/>
        </w:rPr>
        <w:t>2、 交货地点：西安市高陵区融媒体中心（区广播电视台）指定地点。</w:t>
      </w:r>
    </w:p>
    <w:p>
      <w:pPr>
        <w:spacing w:line="560" w:lineRule="exact"/>
        <w:rPr>
          <w:rFonts w:ascii="仿宋" w:hAnsi="仿宋" w:eastAsia="仿宋" w:cs="仿宋"/>
          <w:b/>
          <w:szCs w:val="24"/>
          <w:highlight w:val="none"/>
        </w:rPr>
      </w:pPr>
      <w:r>
        <w:rPr>
          <w:rFonts w:hint="eastAsia" w:ascii="仿宋" w:hAnsi="仿宋" w:eastAsia="仿宋" w:cs="仿宋"/>
          <w:b/>
          <w:szCs w:val="24"/>
          <w:highlight w:val="none"/>
        </w:rPr>
        <w:t>二、包装、运输、安装、调试及培训要求：</w:t>
      </w:r>
    </w:p>
    <w:p>
      <w:pPr>
        <w:spacing w:line="560" w:lineRule="exact"/>
        <w:ind w:firstLine="600" w:firstLineChars="250"/>
        <w:rPr>
          <w:rFonts w:ascii="仿宋" w:hAnsi="仿宋" w:eastAsia="仿宋" w:cs="仿宋"/>
          <w:szCs w:val="24"/>
          <w:highlight w:val="none"/>
        </w:rPr>
      </w:pPr>
      <w:r>
        <w:rPr>
          <w:rFonts w:hint="eastAsia" w:ascii="仿宋" w:hAnsi="仿宋" w:eastAsia="仿宋" w:cs="仿宋"/>
          <w:szCs w:val="24"/>
          <w:highlight w:val="none"/>
        </w:rPr>
        <w:t>1、包装：应采取防潮、防晒、防腐蚀、防震动及防止其它损坏的必要措施。中标人应承担由于其包装或防护措施不妥而引起的货物锈蚀、损坏和丢失等任何损失造成的责任或费用。</w:t>
      </w:r>
    </w:p>
    <w:p>
      <w:pPr>
        <w:spacing w:line="560" w:lineRule="exact"/>
        <w:ind w:firstLine="600" w:firstLineChars="250"/>
        <w:rPr>
          <w:rFonts w:ascii="仿宋" w:hAnsi="仿宋" w:eastAsia="仿宋" w:cs="仿宋"/>
          <w:kern w:val="0"/>
          <w:szCs w:val="24"/>
          <w:highlight w:val="none"/>
        </w:rPr>
      </w:pPr>
      <w:r>
        <w:rPr>
          <w:rFonts w:hint="eastAsia" w:ascii="仿宋" w:hAnsi="仿宋" w:eastAsia="仿宋" w:cs="仿宋"/>
          <w:szCs w:val="24"/>
          <w:highlight w:val="none"/>
        </w:rPr>
        <w:t>2、运输：</w:t>
      </w:r>
      <w:r>
        <w:rPr>
          <w:rFonts w:hint="eastAsia" w:ascii="仿宋" w:hAnsi="仿宋" w:eastAsia="仿宋" w:cs="仿宋"/>
          <w:kern w:val="0"/>
          <w:szCs w:val="24"/>
          <w:highlight w:val="none"/>
        </w:rPr>
        <w:t>选择运输风险小、运费低、距离短的运输路线。运杂费一次包死在总价内，包括生产厂到施工现场所需的装卸、运输（含保险费）、现场保管费、二次倒运费、吊装费等费用。</w:t>
      </w:r>
    </w:p>
    <w:p>
      <w:pPr>
        <w:spacing w:line="560" w:lineRule="exact"/>
        <w:ind w:firstLine="600" w:firstLineChars="250"/>
        <w:rPr>
          <w:rFonts w:ascii="仿宋" w:hAnsi="仿宋" w:eastAsia="仿宋" w:cs="仿宋"/>
          <w:szCs w:val="24"/>
          <w:highlight w:val="none"/>
        </w:rPr>
      </w:pPr>
      <w:r>
        <w:rPr>
          <w:rFonts w:hint="eastAsia" w:ascii="仿宋" w:hAnsi="仿宋" w:eastAsia="仿宋" w:cs="仿宋"/>
          <w:kern w:val="0"/>
          <w:szCs w:val="24"/>
          <w:highlight w:val="none"/>
        </w:rPr>
        <w:t>3、安装、调试及培训：中标人负责所有设备的安装、调试、培训工作，所有费用一次包死在总价内。</w:t>
      </w:r>
      <w:bookmarkStart w:id="113" w:name="_Toc167715259"/>
      <w:bookmarkStart w:id="114" w:name="_Toc167712864"/>
      <w:bookmarkStart w:id="115" w:name="_Toc167714062"/>
      <w:r>
        <w:rPr>
          <w:rFonts w:hint="eastAsia" w:ascii="仿宋" w:hAnsi="仿宋" w:eastAsia="仿宋" w:cs="仿宋"/>
          <w:szCs w:val="24"/>
          <w:highlight w:val="none"/>
        </w:rPr>
        <w:t>每套设备安装调试完毕后，中标人必须安排技术人员对使用单位的设备管理人员进行操作应用及维护保养方面的技能培训</w:t>
      </w:r>
      <w:bookmarkEnd w:id="113"/>
      <w:bookmarkEnd w:id="114"/>
      <w:bookmarkEnd w:id="115"/>
      <w:r>
        <w:rPr>
          <w:rFonts w:hint="eastAsia" w:ascii="仿宋" w:hAnsi="仿宋" w:eastAsia="仿宋" w:cs="仿宋"/>
          <w:szCs w:val="24"/>
          <w:highlight w:val="none"/>
        </w:rPr>
        <w:t>，使其掌握基本技能。</w:t>
      </w:r>
    </w:p>
    <w:p>
      <w:pPr>
        <w:adjustRightInd w:val="0"/>
        <w:snapToGrid w:val="0"/>
        <w:spacing w:line="560" w:lineRule="exact"/>
        <w:rPr>
          <w:rFonts w:ascii="仿宋" w:hAnsi="仿宋" w:eastAsia="仿宋" w:cs="仿宋"/>
          <w:b/>
          <w:szCs w:val="24"/>
          <w:highlight w:val="none"/>
          <w:u w:val="wavyHeavy" w:color="FF0000"/>
        </w:rPr>
      </w:pPr>
      <w:r>
        <w:rPr>
          <w:rFonts w:hint="eastAsia" w:ascii="仿宋" w:hAnsi="仿宋" w:eastAsia="仿宋" w:cs="仿宋"/>
          <w:b/>
          <w:szCs w:val="24"/>
          <w:highlight w:val="none"/>
        </w:rPr>
        <w:t>三、付款方式：</w:t>
      </w:r>
    </w:p>
    <w:p>
      <w:pPr>
        <w:tabs>
          <w:tab w:val="left" w:pos="3918"/>
        </w:tabs>
        <w:adjustRightInd w:val="0"/>
        <w:snapToGrid w:val="0"/>
        <w:spacing w:line="560" w:lineRule="exact"/>
        <w:ind w:firstLine="480" w:firstLineChars="200"/>
        <w:rPr>
          <w:rFonts w:ascii="仿宋" w:hAnsi="仿宋" w:eastAsia="仿宋" w:cs="仿宋"/>
          <w:szCs w:val="24"/>
          <w:highlight w:val="none"/>
        </w:rPr>
      </w:pPr>
      <w:bookmarkStart w:id="116" w:name="_Toc167715237"/>
      <w:bookmarkStart w:id="117" w:name="_Toc167712842"/>
      <w:bookmarkStart w:id="118" w:name="_Toc167714040"/>
      <w:r>
        <w:rPr>
          <w:rFonts w:hint="eastAsia" w:ascii="仿宋" w:hAnsi="仿宋" w:eastAsia="仿宋" w:cs="仿宋"/>
          <w:szCs w:val="24"/>
          <w:highlight w:val="none"/>
        </w:rPr>
        <w:t>双方自行协商。</w:t>
      </w:r>
    </w:p>
    <w:p>
      <w:pPr>
        <w:adjustRightInd w:val="0"/>
        <w:snapToGrid w:val="0"/>
        <w:spacing w:line="560" w:lineRule="exact"/>
        <w:rPr>
          <w:rFonts w:ascii="仿宋" w:hAnsi="仿宋" w:eastAsia="仿宋" w:cs="仿宋"/>
          <w:b/>
          <w:szCs w:val="24"/>
          <w:highlight w:val="none"/>
        </w:rPr>
      </w:pPr>
      <w:r>
        <w:rPr>
          <w:rFonts w:hint="eastAsia" w:ascii="仿宋" w:hAnsi="仿宋" w:eastAsia="仿宋" w:cs="仿宋"/>
          <w:b/>
          <w:szCs w:val="24"/>
          <w:highlight w:val="none"/>
        </w:rPr>
        <w:t>四、验收</w:t>
      </w:r>
      <w:bookmarkEnd w:id="116"/>
      <w:bookmarkEnd w:id="117"/>
      <w:bookmarkEnd w:id="118"/>
      <w:bookmarkStart w:id="119" w:name="_Toc167712843"/>
      <w:bookmarkStart w:id="120" w:name="_Toc167715238"/>
      <w:bookmarkStart w:id="121" w:name="_Toc167714041"/>
      <w:r>
        <w:rPr>
          <w:rFonts w:hint="eastAsia" w:ascii="仿宋" w:hAnsi="仿宋" w:eastAsia="仿宋" w:cs="仿宋"/>
          <w:b/>
          <w:szCs w:val="24"/>
          <w:highlight w:val="none"/>
        </w:rPr>
        <w:t>:</w:t>
      </w:r>
      <w:r>
        <w:rPr>
          <w:rFonts w:hint="eastAsia" w:ascii="仿宋" w:hAnsi="仿宋" w:eastAsia="仿宋" w:cs="仿宋"/>
          <w:b/>
          <w:szCs w:val="24"/>
          <w:highlight w:val="none"/>
        </w:rPr>
        <w:tab/>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1、项目验收分初验和终验:</w:t>
      </w:r>
      <w:bookmarkEnd w:id="119"/>
      <w:bookmarkEnd w:id="120"/>
      <w:bookmarkEnd w:id="121"/>
      <w:bookmarkStart w:id="122" w:name="_Toc167715239"/>
      <w:bookmarkStart w:id="123" w:name="_Toc167712844"/>
      <w:bookmarkStart w:id="124" w:name="_Toc167714042"/>
    </w:p>
    <w:bookmarkEnd w:id="122"/>
    <w:bookmarkEnd w:id="123"/>
    <w:bookmarkEnd w:id="124"/>
    <w:p>
      <w:pPr>
        <w:spacing w:line="560" w:lineRule="exact"/>
        <w:ind w:firstLine="480" w:firstLineChars="200"/>
        <w:rPr>
          <w:rFonts w:ascii="仿宋" w:hAnsi="仿宋" w:eastAsia="仿宋" w:cs="仿宋"/>
          <w:szCs w:val="24"/>
          <w:highlight w:val="none"/>
        </w:rPr>
      </w:pPr>
      <w:bookmarkStart w:id="125" w:name="_Toc167712846"/>
      <w:bookmarkStart w:id="126" w:name="_Toc167715241"/>
      <w:bookmarkStart w:id="127" w:name="_Toc167714044"/>
      <w:r>
        <w:rPr>
          <w:rFonts w:hint="eastAsia" w:ascii="仿宋" w:hAnsi="仿宋" w:eastAsia="仿宋" w:cs="仿宋"/>
          <w:szCs w:val="24"/>
          <w:highlight w:val="none"/>
        </w:rPr>
        <w:t>初验：货物到达交货地点后，由使用单位根据合同对货物（设备）的名称、品牌、规格、型号、产地、数量进行检查。</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终验：所有货物(设备)安装、调试完毕，正常使用30个日历日后，由采购人进行终验（最终验收），合格后签发《终验合格单》。</w:t>
      </w:r>
      <w:r>
        <w:rPr>
          <w:rFonts w:hint="eastAsia" w:ascii="仿宋" w:hAnsi="仿宋" w:eastAsia="仿宋" w:cs="仿宋"/>
          <w:szCs w:val="24"/>
          <w:highlight w:val="none"/>
        </w:rPr>
        <w:cr/>
      </w:r>
      <w:r>
        <w:rPr>
          <w:rFonts w:hint="eastAsia" w:ascii="仿宋" w:hAnsi="仿宋" w:eastAsia="仿宋" w:cs="仿宋"/>
          <w:szCs w:val="24"/>
          <w:highlight w:val="none"/>
        </w:rPr>
        <w:t xml:space="preserve">    2、验收不合格的中标单位，必须在接到通知后7个日历日内确保货物通过验收。如接到通知后7个日历日内验收仍不合格，采购人可提出索赔或取消其供货合同。采购人可以按照评审报告推荐的中标候选人名单排序，确定下一候选人为中标单位。</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3、验收依据</w:t>
      </w:r>
      <w:bookmarkEnd w:id="125"/>
      <w:bookmarkEnd w:id="126"/>
      <w:bookmarkEnd w:id="127"/>
      <w:bookmarkStart w:id="128" w:name="_Toc167714045"/>
      <w:bookmarkStart w:id="129" w:name="_Toc167715242"/>
      <w:bookmarkStart w:id="130" w:name="_Toc167712847"/>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（1）合同文本及合同补充文件（条款）</w:t>
      </w:r>
      <w:bookmarkEnd w:id="128"/>
      <w:bookmarkEnd w:id="129"/>
      <w:bookmarkEnd w:id="130"/>
      <w:r>
        <w:rPr>
          <w:rFonts w:hint="eastAsia" w:ascii="仿宋" w:hAnsi="仿宋" w:eastAsia="仿宋" w:cs="仿宋"/>
          <w:szCs w:val="24"/>
          <w:highlight w:val="none"/>
        </w:rPr>
        <w:t xml:space="preserve">； </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（2）产品的合法来源渠道证明文件、响应功能证明材料；</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（3）招标文件；</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（4）中标人的投标文件；</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（5）货物清单；</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（6）生产厂家的企业资质、货物的执行标准。</w:t>
      </w:r>
    </w:p>
    <w:p>
      <w:pPr>
        <w:spacing w:line="560" w:lineRule="exact"/>
        <w:ind w:firstLine="482" w:firstLineChars="200"/>
        <w:rPr>
          <w:rFonts w:ascii="仿宋" w:hAnsi="仿宋" w:eastAsia="仿宋" w:cs="仿宋"/>
          <w:b/>
          <w:szCs w:val="24"/>
          <w:highlight w:val="none"/>
        </w:rPr>
      </w:pPr>
      <w:bookmarkStart w:id="131" w:name="_Toc167712849"/>
      <w:bookmarkStart w:id="132" w:name="_Toc167715244"/>
      <w:bookmarkStart w:id="133" w:name="_Toc167714047"/>
      <w:r>
        <w:rPr>
          <w:rFonts w:hint="eastAsia" w:ascii="仿宋" w:hAnsi="仿宋" w:eastAsia="仿宋" w:cs="仿宋"/>
          <w:b/>
          <w:szCs w:val="24"/>
          <w:highlight w:val="none"/>
        </w:rPr>
        <w:t>五、</w:t>
      </w:r>
      <w:bookmarkEnd w:id="131"/>
      <w:bookmarkEnd w:id="132"/>
      <w:bookmarkEnd w:id="133"/>
      <w:bookmarkStart w:id="134" w:name="_Toc167714051"/>
      <w:bookmarkStart w:id="135" w:name="_Toc167715248"/>
      <w:bookmarkStart w:id="136" w:name="_Toc167712853"/>
      <w:r>
        <w:rPr>
          <w:rFonts w:hint="eastAsia" w:ascii="仿宋" w:hAnsi="仿宋" w:eastAsia="仿宋" w:cs="仿宋"/>
          <w:b/>
          <w:szCs w:val="24"/>
          <w:highlight w:val="none"/>
        </w:rPr>
        <w:t>质量保证</w:t>
      </w:r>
      <w:bookmarkEnd w:id="134"/>
      <w:bookmarkEnd w:id="135"/>
      <w:bookmarkEnd w:id="136"/>
    </w:p>
    <w:p>
      <w:pPr>
        <w:spacing w:line="560" w:lineRule="exact"/>
        <w:ind w:firstLine="472" w:firstLineChars="196"/>
        <w:rPr>
          <w:rFonts w:ascii="仿宋" w:hAnsi="仿宋" w:eastAsia="仿宋" w:cs="仿宋"/>
          <w:szCs w:val="24"/>
          <w:highlight w:val="none"/>
        </w:rPr>
      </w:pPr>
      <w:bookmarkStart w:id="137" w:name="_Toc167714055"/>
      <w:bookmarkStart w:id="138" w:name="_Toc167712857"/>
      <w:bookmarkStart w:id="139" w:name="_Toc167715252"/>
      <w:r>
        <w:rPr>
          <w:rFonts w:hint="eastAsia" w:ascii="仿宋" w:hAnsi="仿宋" w:eastAsia="仿宋" w:cs="仿宋"/>
          <w:b/>
          <w:szCs w:val="24"/>
          <w:highlight w:val="none"/>
        </w:rPr>
        <w:t>1、质保期为终验合格后不少于12个月。</w:t>
      </w:r>
      <w:r>
        <w:rPr>
          <w:rFonts w:hint="eastAsia" w:ascii="仿宋" w:hAnsi="仿宋" w:eastAsia="仿宋" w:cs="仿宋"/>
          <w:kern w:val="0"/>
          <w:szCs w:val="24"/>
          <w:highlight w:val="none"/>
        </w:rPr>
        <w:t>中标人承诺的质保时间超过招标文件要求的，按其承诺时间质保。</w:t>
      </w:r>
    </w:p>
    <w:p>
      <w:pPr>
        <w:adjustRightInd w:val="0"/>
        <w:snapToGrid w:val="0"/>
        <w:spacing w:line="560" w:lineRule="exact"/>
        <w:ind w:firstLine="470" w:firstLineChars="196"/>
        <w:rPr>
          <w:rFonts w:ascii="仿宋" w:hAnsi="仿宋" w:eastAsia="仿宋" w:cs="仿宋"/>
          <w:kern w:val="0"/>
          <w:szCs w:val="24"/>
          <w:highlight w:val="none"/>
        </w:rPr>
      </w:pPr>
      <w:r>
        <w:rPr>
          <w:rFonts w:hint="eastAsia" w:ascii="仿宋" w:hAnsi="仿宋" w:eastAsia="仿宋" w:cs="仿宋"/>
          <w:kern w:val="0"/>
          <w:szCs w:val="24"/>
          <w:highlight w:val="none"/>
        </w:rPr>
        <w:t>2、中标人承诺的质保期起始时间为终验合格之日。</w:t>
      </w:r>
      <w:bookmarkStart w:id="140" w:name="_Toc167712855"/>
      <w:bookmarkStart w:id="141" w:name="_Toc167715250"/>
      <w:bookmarkStart w:id="142" w:name="_Toc167714053"/>
    </w:p>
    <w:p>
      <w:pPr>
        <w:adjustRightInd w:val="0"/>
        <w:snapToGrid w:val="0"/>
        <w:spacing w:line="560" w:lineRule="exact"/>
        <w:ind w:firstLine="470" w:firstLineChars="196"/>
        <w:rPr>
          <w:rFonts w:ascii="仿宋" w:hAnsi="仿宋" w:eastAsia="仿宋" w:cs="仿宋"/>
          <w:kern w:val="0"/>
          <w:szCs w:val="24"/>
          <w:highlight w:val="none"/>
        </w:rPr>
      </w:pPr>
      <w:r>
        <w:rPr>
          <w:rFonts w:hint="eastAsia" w:ascii="仿宋" w:hAnsi="仿宋" w:eastAsia="仿宋" w:cs="仿宋"/>
          <w:kern w:val="0"/>
          <w:szCs w:val="24"/>
          <w:highlight w:val="none"/>
        </w:rPr>
        <w:t>3、所有产品质量必须符合国家有关规范和相关政策。所有设备及辅材必须是未使用过的新产品，质量优良、渠道正当，配置合理。</w:t>
      </w:r>
      <w:bookmarkEnd w:id="140"/>
      <w:bookmarkEnd w:id="141"/>
      <w:bookmarkEnd w:id="142"/>
      <w:bookmarkStart w:id="143" w:name="_Toc167712856"/>
      <w:bookmarkStart w:id="144" w:name="_Toc167714054"/>
      <w:bookmarkStart w:id="145" w:name="_Toc167715251"/>
    </w:p>
    <w:p>
      <w:pPr>
        <w:adjustRightInd w:val="0"/>
        <w:snapToGrid w:val="0"/>
        <w:spacing w:line="560" w:lineRule="exact"/>
        <w:ind w:firstLine="470" w:firstLineChars="196"/>
        <w:rPr>
          <w:rFonts w:ascii="仿宋" w:hAnsi="仿宋" w:eastAsia="仿宋" w:cs="仿宋"/>
          <w:kern w:val="0"/>
          <w:szCs w:val="24"/>
          <w:highlight w:val="none"/>
        </w:rPr>
      </w:pPr>
      <w:r>
        <w:rPr>
          <w:rFonts w:hint="eastAsia" w:ascii="仿宋" w:hAnsi="仿宋" w:eastAsia="仿宋" w:cs="仿宋"/>
          <w:kern w:val="0"/>
          <w:szCs w:val="24"/>
          <w:highlight w:val="none"/>
        </w:rPr>
        <w:t>4、质保期出现的质量问题由中标人负责解决并承担所有费用。质保期后如需更换零部件，中标人应以优惠价提供。</w:t>
      </w:r>
      <w:bookmarkEnd w:id="143"/>
      <w:bookmarkEnd w:id="144"/>
      <w:bookmarkEnd w:id="145"/>
    </w:p>
    <w:bookmarkEnd w:id="137"/>
    <w:bookmarkEnd w:id="138"/>
    <w:bookmarkEnd w:id="139"/>
    <w:p>
      <w:pPr>
        <w:adjustRightInd w:val="0"/>
        <w:spacing w:line="560" w:lineRule="exact"/>
        <w:ind w:firstLine="482" w:firstLineChars="200"/>
        <w:rPr>
          <w:rFonts w:ascii="仿宋" w:hAnsi="仿宋" w:eastAsia="仿宋" w:cs="仿宋"/>
          <w:b/>
          <w:szCs w:val="24"/>
          <w:highlight w:val="none"/>
        </w:rPr>
      </w:pPr>
      <w:bookmarkStart w:id="146" w:name="_Toc167712868"/>
      <w:bookmarkStart w:id="147" w:name="_Toc167715263"/>
      <w:bookmarkStart w:id="148" w:name="_Toc167714066"/>
      <w:r>
        <w:rPr>
          <w:rFonts w:hint="eastAsia" w:ascii="仿宋" w:hAnsi="仿宋" w:eastAsia="仿宋" w:cs="仿宋"/>
          <w:b/>
          <w:szCs w:val="24"/>
          <w:highlight w:val="none"/>
        </w:rPr>
        <w:t>六、合同实施：</w:t>
      </w:r>
      <w:bookmarkEnd w:id="146"/>
      <w:bookmarkEnd w:id="147"/>
      <w:bookmarkEnd w:id="148"/>
      <w:bookmarkStart w:id="149" w:name="_Toc167712869"/>
      <w:bookmarkStart w:id="150" w:name="_Toc167715264"/>
      <w:bookmarkStart w:id="151" w:name="_Toc167714067"/>
    </w:p>
    <w:p>
      <w:pPr>
        <w:adjustRightIn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 xml:space="preserve">1 </w:t>
      </w:r>
      <w:bookmarkEnd w:id="149"/>
      <w:bookmarkEnd w:id="150"/>
      <w:bookmarkEnd w:id="151"/>
      <w:r>
        <w:rPr>
          <w:rFonts w:hint="eastAsia" w:ascii="仿宋" w:hAnsi="仿宋" w:eastAsia="仿宋" w:cs="仿宋"/>
          <w:szCs w:val="24"/>
          <w:highlight w:val="none"/>
        </w:rPr>
        <w:t>、中标人应在合同签订后7个日历日内安排人员（项目组成人员简历表所列）与使用单位就送货、安装、调试、培训等工作进行安排、部署。</w:t>
      </w:r>
      <w:bookmarkStart w:id="152" w:name="_Toc167712870"/>
      <w:bookmarkStart w:id="153" w:name="_Toc167715265"/>
      <w:bookmarkStart w:id="154" w:name="_Toc167714068"/>
    </w:p>
    <w:p>
      <w:pPr>
        <w:adjustRightIn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w:t>
      </w:r>
      <w:bookmarkEnd w:id="152"/>
      <w:bookmarkEnd w:id="153"/>
      <w:bookmarkEnd w:id="154"/>
      <w:r>
        <w:rPr>
          <w:rFonts w:hint="eastAsia" w:ascii="仿宋" w:hAnsi="仿宋" w:eastAsia="仿宋" w:cs="仿宋"/>
          <w:szCs w:val="24"/>
          <w:highlight w:val="none"/>
        </w:rPr>
        <w:t xml:space="preserve"> 、若未能在交货期内完成合同规定的义务，由此对采购人造成的延误和一切损失，由中标人承担和赔偿。</w:t>
      </w:r>
    </w:p>
    <w:p>
      <w:pPr>
        <w:adjustRightInd w:val="0"/>
        <w:spacing w:line="560" w:lineRule="exact"/>
        <w:ind w:firstLine="482" w:firstLineChars="200"/>
        <w:rPr>
          <w:rFonts w:ascii="仿宋" w:hAnsi="仿宋" w:eastAsia="仿宋" w:cs="仿宋"/>
          <w:b/>
          <w:szCs w:val="24"/>
          <w:highlight w:val="none"/>
        </w:rPr>
      </w:pPr>
      <w:r>
        <w:rPr>
          <w:rFonts w:hint="eastAsia" w:ascii="仿宋" w:hAnsi="仿宋" w:eastAsia="仿宋" w:cs="仿宋"/>
          <w:b/>
          <w:szCs w:val="24"/>
          <w:highlight w:val="none"/>
        </w:rPr>
        <w:t>七、违约责任：</w:t>
      </w:r>
    </w:p>
    <w:p>
      <w:pPr>
        <w:adjustRightIn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1、按《中华人民共和国民法典》中的相关条款执行。</w:t>
      </w:r>
    </w:p>
    <w:p>
      <w:pPr>
        <w:adjustRightIn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2、未按合同要求提供产品或设备质量不能满足技术要求，采购人有权终止合同，并对供方违约行为进行追究，同时按《政府采购法》的有关规定进行处罚。</w:t>
      </w:r>
    </w:p>
    <w:p>
      <w:pPr>
        <w:spacing w:line="560" w:lineRule="exact"/>
        <w:jc w:val="center"/>
        <w:rPr>
          <w:rFonts w:ascii="仿宋" w:hAnsi="仿宋" w:eastAsia="仿宋" w:cs="仿宋"/>
          <w:b/>
          <w:sz w:val="44"/>
          <w:szCs w:val="44"/>
          <w:highlight w:val="none"/>
        </w:rPr>
      </w:pPr>
      <w:r>
        <w:rPr>
          <w:rFonts w:ascii="仿宋" w:hAnsi="仿宋" w:eastAsia="仿宋" w:cs="仿宋"/>
          <w:b/>
          <w:highlight w:val="none"/>
        </w:rPr>
        <w:pict>
          <v:shape id="_x0000_s1027" o:spid="_x0000_s1027" o:spt="202" type="#_x0000_t202" style="position:absolute;left:0pt;margin-left:3.25pt;margin-top:25.95pt;height:38.85pt;width:432.1pt;mso-wrap-distance-bottom:0pt;mso-wrap-distance-left:9pt;mso-wrap-distance-right:9pt;mso-wrap-distance-top:0pt;z-index:251661312;mso-width-relative:page;mso-height-relative:page;" coordsize="21600,21600" o:gfxdata="UEsDBAoAAAAAAIdO4kAAAAAAAAAAAAAAAAAEAAAAZHJzL1BLAwQUAAAACACHTuJAbmzCkNcAAAAI&#10;AQAADwAAAGRycy9kb3ducmV2LnhtbE2Py07DMBBF90j8gzVIbBC1U2hexOkCCQS7UhBs3XiaRPgR&#10;bDctf8+wguXoHt17plmfrGEzhjh6JyFbCGDoOq9H10t4e324LoHFpJxWxjuU8I0R1u35WaNq7Y/u&#10;Bedt6hmVuFgrCUNKU8157Aa0Ki78hI6yvQ9WJTpDz3VQRyq3hi+FyLlVo6OFQU14P2D3uT1YCeXt&#10;0/wRn282712+N1W6KubHryDl5UUm7oAlPKU/GH71SR1actr5g9ORGQn5ikAJq6wCRnFZiALYjrhl&#10;lQNvG/7/gfYHUEsDBBQAAAAIAIdO4kAxYHBu9gEAABAEAAAOAAAAZHJzL2Uyb0RvYy54bWytU9tu&#10;GjEQfa/Uf7D8XhYIJGHFErWl9KVqKiX9gMGXXUu+1Tbs8vcdGwJJ24cqyj54xzPHxzNnPMu7wWiy&#10;FyEqZxs6GY0pEZY5rmzb0J+Pmw+3lMQEloN2VjT0ICK9W71/t+x9Laauc5qLQJDExrr3De1S8nVV&#10;RdYJA3HkvLAYlC4YSLgNbcUD9MhudDUdj6+r3gXug2MiRvSuj0G6KvxSCpbupYwiEd1QzC2VNZR1&#10;m9dqtYS6DeA7xU5pwCuyMKAsXnqmWkMCsgvqLyqjWHDRyTRizlROSsVEqQGrmYz/qOahAy9KLShO&#10;9GeZ4tvRsu/7H4Eojr2bUWLBYI8exZDIJzeQaZan97FG1INHXBrQjdAnf0RnrnqQweQ/1kMwjkIf&#10;zuJmMobO+ez25voGQwxjs8XV1WKeaarLaR9i+iqcIdloaMDmFU1h/y2mI/QJki+LTiu+UVqXTWi3&#10;n3Uge8BGb8p3Yn8B05b0DV3Mp3PMA/C9SQ0JTeNRgWjbct+LE/E58bh8/yLOia0hdscECkOGQW1U&#10;EqFYnQD+xXKSDh5FtjgONCdjBKdEC5yebBVkAqX/B4naaYsS5hYdW5GtNGwHpMnm1vEDtq3H943l&#10;/dpBwDt3Pqi2Q4EnpVrrPu6Sk6oofDl0osVnV3p0GpH8rp/vC+oyy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zCkNcAAAAIAQAADwAAAAAAAAABACAAAAAiAAAAZHJzL2Rvd25yZXYueG1sUEsB&#10;AhQAFAAAAAgAh07iQDFgcG72AQAAEAQAAA4AAAAAAAAAAQAgAAAAJgEAAGRycy9lMm9Eb2MueG1s&#10;UEsFBgAAAAAGAAYAWQEAAI4FAAAAAA==&#10;">
            <v:path/>
            <v:fill focussize="0,0"/>
            <v:stroke joinstyle="miter"/>
            <v:imagedata o:title=""/>
            <o:lock v:ext="edit"/>
            <v:textbox>
              <w:txbxContent>
                <w:p>
                  <w:pPr>
                    <w:tabs>
                      <w:tab w:val="left" w:pos="3485"/>
                    </w:tabs>
                    <w:spacing w:line="520" w:lineRule="exact"/>
                    <w:jc w:val="center"/>
                    <w:rPr>
                      <w:rFonts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w:r>
    </w:p>
    <w:p>
      <w:pPr>
        <w:spacing w:line="560" w:lineRule="exact"/>
        <w:jc w:val="center"/>
        <w:rPr>
          <w:rFonts w:ascii="仿宋" w:hAnsi="仿宋" w:eastAsia="仿宋" w:cs="仿宋"/>
          <w:b/>
          <w:sz w:val="44"/>
          <w:szCs w:val="44"/>
          <w:highlight w:val="none"/>
        </w:rPr>
      </w:pPr>
    </w:p>
    <w:p>
      <w:pPr>
        <w:spacing w:line="560" w:lineRule="exact"/>
        <w:jc w:val="center"/>
        <w:rPr>
          <w:rFonts w:ascii="仿宋" w:hAnsi="仿宋" w:eastAsia="仿宋" w:cs="仿宋"/>
          <w:b/>
          <w:sz w:val="44"/>
          <w:szCs w:val="44"/>
          <w:highlight w:val="none"/>
        </w:rPr>
      </w:pPr>
    </w:p>
    <w:p>
      <w:pPr>
        <w:spacing w:line="560" w:lineRule="exact"/>
        <w:jc w:val="center"/>
        <w:rPr>
          <w:rFonts w:ascii="仿宋" w:hAnsi="仿宋" w:eastAsia="仿宋" w:cs="仿宋"/>
          <w:b/>
          <w:sz w:val="44"/>
          <w:szCs w:val="44"/>
          <w:highlight w:val="none"/>
        </w:rPr>
      </w:pPr>
    </w:p>
    <w:p>
      <w:pPr>
        <w:spacing w:line="560" w:lineRule="exact"/>
        <w:jc w:val="center"/>
        <w:rPr>
          <w:rFonts w:ascii="仿宋" w:hAnsi="仿宋" w:eastAsia="仿宋" w:cs="仿宋"/>
          <w:b/>
          <w:sz w:val="44"/>
          <w:szCs w:val="44"/>
          <w:highlight w:val="none"/>
        </w:rPr>
      </w:pPr>
    </w:p>
    <w:p>
      <w:pPr>
        <w:spacing w:line="560" w:lineRule="exact"/>
        <w:jc w:val="center"/>
        <w:rPr>
          <w:rFonts w:ascii="仿宋" w:hAnsi="仿宋" w:eastAsia="仿宋" w:cs="仿宋"/>
          <w:b/>
          <w:sz w:val="44"/>
          <w:szCs w:val="44"/>
          <w:highlight w:val="none"/>
        </w:rPr>
      </w:pPr>
    </w:p>
    <w:p>
      <w:pPr>
        <w:spacing w:line="560" w:lineRule="exact"/>
        <w:jc w:val="center"/>
        <w:rPr>
          <w:rFonts w:ascii="仿宋" w:hAnsi="仿宋" w:eastAsia="仿宋" w:cs="仿宋"/>
          <w:b/>
          <w:sz w:val="44"/>
          <w:szCs w:val="44"/>
          <w:highlight w:val="none"/>
        </w:rPr>
      </w:pPr>
    </w:p>
    <w:p>
      <w:pPr>
        <w:rPr>
          <w:rFonts w:ascii="仿宋" w:hAnsi="仿宋" w:eastAsia="仿宋" w:cs="仿宋"/>
          <w:highlight w:val="none"/>
        </w:rPr>
      </w:pPr>
      <w:bookmarkStart w:id="155" w:name="_Toc458617469"/>
      <w:bookmarkStart w:id="156" w:name="_Toc458617746"/>
      <w:r>
        <w:rPr>
          <w:rFonts w:hint="eastAsia" w:ascii="仿宋" w:hAnsi="仿宋" w:eastAsia="仿宋" w:cs="仿宋"/>
          <w:highlight w:val="none"/>
        </w:rPr>
        <w:br w:type="page"/>
      </w:r>
    </w:p>
    <w:p>
      <w:pPr>
        <w:pStyle w:val="3"/>
        <w:spacing w:line="560" w:lineRule="exact"/>
        <w:jc w:val="center"/>
        <w:rPr>
          <w:rFonts w:ascii="仿宋" w:hAnsi="仿宋" w:eastAsia="仿宋" w:cs="仿宋"/>
          <w:szCs w:val="24"/>
          <w:highlight w:val="none"/>
        </w:rPr>
      </w:pPr>
      <w:bookmarkStart w:id="157" w:name="_Toc3277"/>
      <w:r>
        <w:rPr>
          <w:rFonts w:hint="eastAsia" w:ascii="仿宋" w:hAnsi="仿宋" w:eastAsia="仿宋" w:cs="仿宋"/>
          <w:highlight w:val="none"/>
        </w:rPr>
        <w:t>第五章  合同条款</w:t>
      </w:r>
      <w:bookmarkEnd w:id="155"/>
      <w:bookmarkEnd w:id="156"/>
      <w:r>
        <w:rPr>
          <w:rFonts w:hint="eastAsia" w:ascii="仿宋" w:hAnsi="仿宋" w:eastAsia="仿宋" w:cs="仿宋"/>
          <w:sz w:val="36"/>
          <w:szCs w:val="36"/>
          <w:highlight w:val="none"/>
        </w:rPr>
        <w:t>（仅供参考）</w:t>
      </w:r>
      <w:bookmarkEnd w:id="157"/>
    </w:p>
    <w:p>
      <w:pPr>
        <w:spacing w:line="540" w:lineRule="exact"/>
        <w:rPr>
          <w:rFonts w:ascii="仿宋" w:hAnsi="仿宋" w:eastAsia="仿宋" w:cs="仿宋"/>
          <w:b/>
          <w:sz w:val="18"/>
          <w:szCs w:val="18"/>
          <w:highlight w:val="none"/>
          <w:u w:color="FF0000"/>
        </w:rPr>
      </w:pPr>
      <w:r>
        <w:rPr>
          <w:rFonts w:hint="eastAsia" w:ascii="仿宋" w:hAnsi="仿宋" w:eastAsia="仿宋" w:cs="仿宋"/>
          <w:szCs w:val="24"/>
          <w:highlight w:val="none"/>
        </w:rPr>
        <w:t>一、供货合同格式</w:t>
      </w:r>
    </w:p>
    <w:p>
      <w:pPr>
        <w:widowControl/>
        <w:wordWrap w:val="0"/>
        <w:topLinePunct/>
        <w:spacing w:line="540" w:lineRule="exact"/>
        <w:ind w:right="-226" w:rightChars="-94" w:firstLine="480" w:firstLineChars="200"/>
        <w:jc w:val="left"/>
        <w:rPr>
          <w:rFonts w:ascii="仿宋" w:hAnsi="仿宋" w:eastAsia="仿宋" w:cs="仿宋"/>
          <w:kern w:val="0"/>
          <w:szCs w:val="24"/>
          <w:highlight w:val="none"/>
        </w:rPr>
      </w:pPr>
      <w:r>
        <w:rPr>
          <w:rFonts w:hint="eastAsia" w:ascii="仿宋" w:hAnsi="仿宋" w:eastAsia="仿宋" w:cs="仿宋"/>
          <w:szCs w:val="24"/>
          <w:highlight w:val="none"/>
        </w:rPr>
        <w:t>高清设备改造 (文件编号：HZGH-2022-086)，在</w:t>
      </w:r>
      <w:r>
        <w:rPr>
          <w:rFonts w:hint="eastAsia" w:ascii="仿宋" w:hAnsi="仿宋" w:eastAsia="仿宋" w:cs="仿宋"/>
          <w:szCs w:val="24"/>
          <w:highlight w:val="none"/>
          <w:lang w:eastAsia="zh-CN"/>
        </w:rPr>
        <w:t>西安市高陵区财政局</w:t>
      </w:r>
      <w:r>
        <w:rPr>
          <w:rFonts w:hint="eastAsia" w:ascii="仿宋" w:hAnsi="仿宋" w:eastAsia="仿宋" w:cs="仿宋"/>
          <w:szCs w:val="24"/>
          <w:highlight w:val="none"/>
        </w:rPr>
        <w:t>的监督管理</w:t>
      </w:r>
      <w:r>
        <w:rPr>
          <w:rFonts w:hint="eastAsia" w:ascii="仿宋" w:hAnsi="仿宋" w:eastAsia="仿宋" w:cs="仿宋"/>
          <w:kern w:val="0"/>
          <w:szCs w:val="24"/>
          <w:highlight w:val="none"/>
        </w:rPr>
        <w:t>下，由华招广和项目管理有限公司组织公开招标。西安市高陵区融媒体中心（区广播电视台）(以下简称“买方”)确定 (中标单位名称) （以下简称“卖方”）为中标单位。</w:t>
      </w:r>
    </w:p>
    <w:p>
      <w:pPr>
        <w:spacing w:line="540" w:lineRule="exact"/>
        <w:ind w:right="240" w:rightChars="100"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依据《中华人民共和国民法典》、《中华人民共和国政府采购法》《中华人民共和国政府采购法实施条例》，买方通过公开招标采购</w:t>
      </w:r>
      <w:r>
        <w:rPr>
          <w:rFonts w:hint="eastAsia" w:ascii="仿宋" w:hAnsi="仿宋" w:eastAsia="仿宋" w:cs="仿宋"/>
          <w:kern w:val="0"/>
          <w:szCs w:val="24"/>
          <w:highlight w:val="none"/>
          <w:u w:val="single"/>
        </w:rPr>
        <w:t xml:space="preserve">（货物名称） </w:t>
      </w:r>
      <w:r>
        <w:rPr>
          <w:rFonts w:hint="eastAsia" w:ascii="仿宋" w:hAnsi="仿宋" w:eastAsia="仿宋" w:cs="仿宋"/>
          <w:kern w:val="0"/>
          <w:szCs w:val="24"/>
          <w:highlight w:val="none"/>
        </w:rPr>
        <w:t>，并接受了卖方以价格</w:t>
      </w:r>
      <w:r>
        <w:rPr>
          <w:rFonts w:hint="eastAsia" w:ascii="仿宋" w:hAnsi="仿宋" w:eastAsia="仿宋" w:cs="仿宋"/>
          <w:kern w:val="0"/>
          <w:szCs w:val="24"/>
          <w:highlight w:val="none"/>
          <w:u w:val="single"/>
        </w:rPr>
        <w:t>(中标金额大写)</w:t>
      </w:r>
      <w:r>
        <w:rPr>
          <w:rFonts w:hint="eastAsia" w:ascii="仿宋" w:hAnsi="仿宋" w:eastAsia="仿宋" w:cs="仿宋"/>
          <w:kern w:val="0"/>
          <w:szCs w:val="24"/>
          <w:highlight w:val="none"/>
        </w:rPr>
        <w:t>(以下简称“合同价”)提供的产品及服务。</w:t>
      </w:r>
    </w:p>
    <w:p>
      <w:pPr>
        <w:spacing w:line="540" w:lineRule="exact"/>
        <w:ind w:firstLine="480" w:firstLineChars="200"/>
        <w:rPr>
          <w:rFonts w:ascii="仿宋" w:hAnsi="仿宋" w:eastAsia="仿宋" w:cs="仿宋"/>
          <w:szCs w:val="24"/>
          <w:highlight w:val="none"/>
        </w:rPr>
      </w:pPr>
      <w:bookmarkStart w:id="158" w:name="_Toc194663916"/>
      <w:bookmarkStart w:id="159" w:name="_Toc193187095"/>
      <w:bookmarkStart w:id="160" w:name="_Toc193126879"/>
      <w:bookmarkStart w:id="161" w:name="_Toc188808831"/>
      <w:r>
        <w:rPr>
          <w:rFonts w:hint="eastAsia" w:ascii="仿宋" w:hAnsi="仿宋" w:eastAsia="仿宋" w:cs="仿宋"/>
          <w:szCs w:val="24"/>
          <w:highlight w:val="none"/>
        </w:rPr>
        <w:t>本合同在此声明如下：</w:t>
      </w:r>
    </w:p>
    <w:p>
      <w:pPr>
        <w:spacing w:line="54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1、本合同中的词语和术语的含义与合同条款中定义的相同。</w:t>
      </w:r>
    </w:p>
    <w:p>
      <w:pPr>
        <w:spacing w:line="54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2、下述文件是本合同的一部分，并与本合同一起阅读和解释：</w:t>
      </w:r>
    </w:p>
    <w:p>
      <w:pPr>
        <w:spacing w:line="54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1）合同条款</w:t>
      </w:r>
    </w:p>
    <w:p>
      <w:pPr>
        <w:spacing w:line="54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2）合同条款附件</w:t>
      </w:r>
    </w:p>
    <w:p>
      <w:pPr>
        <w:spacing w:line="540" w:lineRule="exact"/>
        <w:ind w:firstLine="840" w:firstLineChars="350"/>
        <w:rPr>
          <w:rFonts w:ascii="仿宋" w:hAnsi="仿宋" w:eastAsia="仿宋" w:cs="仿宋"/>
          <w:szCs w:val="24"/>
          <w:highlight w:val="none"/>
        </w:rPr>
      </w:pPr>
      <w:r>
        <w:rPr>
          <w:rFonts w:hint="eastAsia" w:ascii="仿宋" w:hAnsi="仿宋" w:eastAsia="仿宋" w:cs="仿宋"/>
          <w:szCs w:val="24"/>
          <w:highlight w:val="none"/>
        </w:rPr>
        <w:t>附件1—设备清单</w:t>
      </w:r>
    </w:p>
    <w:p>
      <w:pPr>
        <w:spacing w:line="540" w:lineRule="exact"/>
        <w:ind w:firstLine="840" w:firstLineChars="350"/>
        <w:rPr>
          <w:rFonts w:ascii="仿宋" w:hAnsi="仿宋" w:eastAsia="仿宋" w:cs="仿宋"/>
          <w:szCs w:val="24"/>
          <w:highlight w:val="none"/>
        </w:rPr>
      </w:pPr>
      <w:r>
        <w:rPr>
          <w:rFonts w:hint="eastAsia" w:ascii="仿宋" w:hAnsi="仿宋" w:eastAsia="仿宋" w:cs="仿宋"/>
          <w:szCs w:val="24"/>
          <w:highlight w:val="none"/>
        </w:rPr>
        <w:t>附件2—质量保证承诺</w:t>
      </w:r>
    </w:p>
    <w:p>
      <w:pPr>
        <w:spacing w:line="540" w:lineRule="exact"/>
        <w:ind w:firstLine="840" w:firstLineChars="350"/>
        <w:rPr>
          <w:rFonts w:ascii="仿宋" w:hAnsi="仿宋" w:eastAsia="仿宋" w:cs="仿宋"/>
          <w:szCs w:val="24"/>
          <w:highlight w:val="none"/>
        </w:rPr>
      </w:pPr>
      <w:r>
        <w:rPr>
          <w:rFonts w:hint="eastAsia" w:ascii="仿宋" w:hAnsi="仿宋" w:eastAsia="仿宋" w:cs="仿宋"/>
          <w:szCs w:val="24"/>
          <w:highlight w:val="none"/>
        </w:rPr>
        <w:t>附件3—售后服务方案</w:t>
      </w:r>
    </w:p>
    <w:p>
      <w:pPr>
        <w:spacing w:line="540" w:lineRule="exact"/>
        <w:ind w:firstLine="840" w:firstLineChars="350"/>
        <w:rPr>
          <w:rFonts w:ascii="仿宋" w:hAnsi="仿宋" w:eastAsia="仿宋" w:cs="仿宋"/>
          <w:szCs w:val="24"/>
          <w:highlight w:val="none"/>
        </w:rPr>
      </w:pPr>
      <w:r>
        <w:rPr>
          <w:rFonts w:hint="eastAsia" w:ascii="仿宋" w:hAnsi="仿宋" w:eastAsia="仿宋" w:cs="仿宋"/>
          <w:szCs w:val="24"/>
          <w:highlight w:val="none"/>
        </w:rPr>
        <w:t>附件4—培训计划</w:t>
      </w:r>
    </w:p>
    <w:p>
      <w:pPr>
        <w:spacing w:line="54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3）中标通知书</w:t>
      </w:r>
    </w:p>
    <w:p>
      <w:pPr>
        <w:spacing w:line="54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4）招标文件</w:t>
      </w:r>
    </w:p>
    <w:p>
      <w:pPr>
        <w:spacing w:line="54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5）投标文件</w:t>
      </w:r>
    </w:p>
    <w:p>
      <w:pPr>
        <w:spacing w:line="54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3、考虑到买方将按照本合同向卖方支付货款，卖方在此保证全部按照合同的规定向买方提供货物和服务，并修补缺陷。</w:t>
      </w:r>
    </w:p>
    <w:p>
      <w:pPr>
        <w:spacing w:line="54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4、考虑到卖方提供的货物和服务并修补缺陷，买方在此保证按照合同规定的时间和方式向卖方支付合同价或其他按合同规定应支付的金额。</w:t>
      </w:r>
    </w:p>
    <w:p>
      <w:pPr>
        <w:spacing w:line="54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5、付款方式：</w:t>
      </w:r>
    </w:p>
    <w:p>
      <w:pPr>
        <w:tabs>
          <w:tab w:val="left" w:pos="3918"/>
        </w:tabs>
        <w:adjustRightInd w:val="0"/>
        <w:snapToGrid w:val="0"/>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双方自行协商</w:t>
      </w:r>
    </w:p>
    <w:p>
      <w:pPr>
        <w:adjustRightInd w:val="0"/>
        <w:snapToGrid w:val="0"/>
        <w:spacing w:line="540" w:lineRule="exact"/>
        <w:ind w:firstLine="480" w:firstLineChars="200"/>
        <w:jc w:val="left"/>
        <w:rPr>
          <w:rFonts w:ascii="仿宋" w:hAnsi="仿宋" w:eastAsia="仿宋" w:cs="仿宋"/>
          <w:szCs w:val="24"/>
          <w:highlight w:val="none"/>
        </w:rPr>
      </w:pPr>
      <w:r>
        <w:rPr>
          <w:rFonts w:hint="eastAsia" w:ascii="仿宋" w:hAnsi="仿宋" w:eastAsia="仿宋" w:cs="仿宋"/>
          <w:szCs w:val="24"/>
          <w:highlight w:val="none"/>
        </w:rPr>
        <w:t>6、交 货 期：</w:t>
      </w:r>
      <w:r>
        <w:rPr>
          <w:rFonts w:hint="eastAsia" w:ascii="仿宋" w:hAnsi="仿宋" w:eastAsia="仿宋" w:cs="仿宋"/>
          <w:szCs w:val="24"/>
          <w:highlight w:val="none"/>
          <w:u w:val="single"/>
          <w:lang w:val="en-US" w:eastAsia="zh-CN"/>
        </w:rPr>
        <w:t>自合同签订之日起60个工作日内交付完毕。</w:t>
      </w:r>
    </w:p>
    <w:p>
      <w:pPr>
        <w:adjustRightInd w:val="0"/>
        <w:snapToGrid w:val="0"/>
        <w:spacing w:line="54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 xml:space="preserve">   交货地点：西安市高陵区融媒体中心（区广播电视台）指定地点。                           </w:t>
      </w:r>
    </w:p>
    <w:p>
      <w:pPr>
        <w:adjustRightInd w:val="0"/>
        <w:snapToGrid w:val="0"/>
        <w:spacing w:line="54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7、本合同一式伍份，其中，买方贰份，卖方贰份，采购代理机构备案壹份。</w:t>
      </w:r>
    </w:p>
    <w:p>
      <w:pPr>
        <w:adjustRightInd w:val="0"/>
        <w:snapToGrid w:val="0"/>
        <w:spacing w:line="54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8、本合同由买卖双方共同签字盖章，自买卖双方签字盖章之日起生效。</w:t>
      </w:r>
    </w:p>
    <w:tbl>
      <w:tblPr>
        <w:tblStyle w:val="23"/>
        <w:tblpPr w:leftFromText="180" w:rightFromText="180" w:vertAnchor="text" w:horzAnchor="margin" w:tblpX="406" w:tblpY="58"/>
        <w:tblOverlap w:val="never"/>
        <w:tblW w:w="16233" w:type="dxa"/>
        <w:tblInd w:w="0" w:type="dxa"/>
        <w:tblLayout w:type="fixed"/>
        <w:tblCellMar>
          <w:top w:w="0" w:type="dxa"/>
          <w:left w:w="108" w:type="dxa"/>
          <w:bottom w:w="0" w:type="dxa"/>
          <w:right w:w="108" w:type="dxa"/>
        </w:tblCellMar>
      </w:tblPr>
      <w:tblGrid>
        <w:gridCol w:w="4425"/>
        <w:gridCol w:w="3936"/>
        <w:gridCol w:w="3936"/>
        <w:gridCol w:w="3936"/>
      </w:tblGrid>
      <w:tr>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 xml:space="preserve">买方名称： </w:t>
            </w:r>
          </w:p>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 xml:space="preserve">地    址： </w:t>
            </w:r>
          </w:p>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邮    编：</w:t>
            </w:r>
          </w:p>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电    话：</w:t>
            </w:r>
          </w:p>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传    真：</w:t>
            </w:r>
          </w:p>
          <w:p>
            <w:pPr>
              <w:autoSpaceDE w:val="0"/>
              <w:autoSpaceDN w:val="0"/>
              <w:spacing w:line="540" w:lineRule="exact"/>
              <w:ind w:left="240" w:leftChars="100"/>
              <w:rPr>
                <w:rFonts w:ascii="仿宋" w:hAnsi="仿宋" w:eastAsia="仿宋" w:cs="仿宋"/>
                <w:szCs w:val="24"/>
                <w:highlight w:val="none"/>
              </w:rPr>
            </w:pPr>
          </w:p>
          <w:p>
            <w:pPr>
              <w:autoSpaceDE w:val="0"/>
              <w:autoSpaceDN w:val="0"/>
              <w:spacing w:line="540" w:lineRule="exact"/>
              <w:ind w:left="240" w:leftChars="100"/>
              <w:rPr>
                <w:rFonts w:ascii="仿宋" w:hAnsi="仿宋" w:eastAsia="仿宋" w:cs="仿宋"/>
                <w:szCs w:val="24"/>
                <w:highlight w:val="none"/>
              </w:rPr>
            </w:pPr>
          </w:p>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代表签字：</w:t>
            </w:r>
          </w:p>
          <w:p>
            <w:pPr>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盖章：</w:t>
            </w:r>
          </w:p>
          <w:p>
            <w:pPr>
              <w:autoSpaceDE w:val="0"/>
              <w:autoSpaceDN w:val="0"/>
              <w:spacing w:line="540" w:lineRule="exact"/>
              <w:rPr>
                <w:rFonts w:ascii="仿宋" w:hAnsi="仿宋" w:eastAsia="仿宋" w:cs="仿宋"/>
                <w:szCs w:val="24"/>
                <w:highlight w:val="none"/>
              </w:rPr>
            </w:pPr>
            <w:r>
              <w:rPr>
                <w:rFonts w:hint="eastAsia" w:ascii="仿宋" w:hAnsi="仿宋" w:eastAsia="仿宋" w:cs="仿宋"/>
                <w:szCs w:val="24"/>
                <w:highlight w:val="none"/>
              </w:rPr>
              <w:t xml:space="preserve">                年  月  日     </w:t>
            </w:r>
          </w:p>
        </w:tc>
        <w:tc>
          <w:tcPr>
            <w:tcW w:w="3936" w:type="dxa"/>
            <w:tcMar>
              <w:top w:w="113" w:type="dxa"/>
              <w:left w:w="113" w:type="dxa"/>
              <w:bottom w:w="113" w:type="dxa"/>
              <w:right w:w="113" w:type="dxa"/>
            </w:tcMar>
          </w:tcPr>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卖方名称：</w:t>
            </w:r>
          </w:p>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 xml:space="preserve">地    址： </w:t>
            </w:r>
          </w:p>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 xml:space="preserve">邮    编： </w:t>
            </w:r>
          </w:p>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 xml:space="preserve">电    话： </w:t>
            </w:r>
          </w:p>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 xml:space="preserve">传    真：  </w:t>
            </w:r>
          </w:p>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开户银行：</w:t>
            </w:r>
          </w:p>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帐    号：</w:t>
            </w:r>
          </w:p>
          <w:p>
            <w:pPr>
              <w:autoSpaceDE w:val="0"/>
              <w:autoSpaceDN w:val="0"/>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代表签字</w:t>
            </w:r>
          </w:p>
          <w:p>
            <w:pPr>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盖章：</w:t>
            </w:r>
          </w:p>
          <w:p>
            <w:pPr>
              <w:spacing w:line="540" w:lineRule="exact"/>
              <w:ind w:left="240" w:leftChars="100"/>
              <w:rPr>
                <w:rFonts w:ascii="仿宋" w:hAnsi="仿宋" w:eastAsia="仿宋" w:cs="仿宋"/>
                <w:szCs w:val="24"/>
                <w:highlight w:val="none"/>
              </w:rPr>
            </w:pPr>
            <w:r>
              <w:rPr>
                <w:rFonts w:hint="eastAsia" w:ascii="仿宋" w:hAnsi="仿宋" w:eastAsia="仿宋" w:cs="仿宋"/>
                <w:szCs w:val="24"/>
                <w:highlight w:val="none"/>
              </w:rPr>
              <w:t xml:space="preserve">             年  月  日</w:t>
            </w:r>
          </w:p>
        </w:tc>
        <w:tc>
          <w:tcPr>
            <w:tcW w:w="3936" w:type="dxa"/>
            <w:tcMar>
              <w:top w:w="113" w:type="dxa"/>
              <w:left w:w="113" w:type="dxa"/>
              <w:bottom w:w="113" w:type="dxa"/>
              <w:right w:w="113" w:type="dxa"/>
            </w:tcMar>
          </w:tcPr>
          <w:p>
            <w:pPr>
              <w:spacing w:line="540" w:lineRule="exact"/>
              <w:ind w:left="240" w:leftChars="100"/>
              <w:rPr>
                <w:rFonts w:ascii="仿宋" w:hAnsi="仿宋" w:eastAsia="仿宋" w:cs="仿宋"/>
                <w:szCs w:val="24"/>
                <w:highlight w:val="none"/>
              </w:rPr>
            </w:pPr>
          </w:p>
        </w:tc>
        <w:tc>
          <w:tcPr>
            <w:tcW w:w="3936" w:type="dxa"/>
            <w:tcMar>
              <w:top w:w="113" w:type="dxa"/>
              <w:left w:w="113" w:type="dxa"/>
              <w:bottom w:w="113" w:type="dxa"/>
              <w:right w:w="113" w:type="dxa"/>
            </w:tcMar>
          </w:tcPr>
          <w:p>
            <w:pPr>
              <w:spacing w:line="540" w:lineRule="exact"/>
              <w:ind w:left="240" w:leftChars="100"/>
              <w:rPr>
                <w:rFonts w:ascii="仿宋" w:hAnsi="仿宋" w:eastAsia="仿宋" w:cs="仿宋"/>
                <w:szCs w:val="24"/>
                <w:highlight w:val="none"/>
              </w:rPr>
            </w:pPr>
          </w:p>
        </w:tc>
      </w:tr>
      <w:bookmarkEnd w:id="158"/>
      <w:bookmarkEnd w:id="159"/>
      <w:bookmarkEnd w:id="160"/>
      <w:bookmarkEnd w:id="161"/>
    </w:tbl>
    <w:p>
      <w:pPr>
        <w:spacing w:line="560" w:lineRule="exact"/>
        <w:rPr>
          <w:rFonts w:ascii="仿宋" w:hAnsi="仿宋" w:eastAsia="仿宋" w:cs="仿宋"/>
          <w:szCs w:val="24"/>
          <w:highlight w:val="none"/>
        </w:rPr>
      </w:pPr>
    </w:p>
    <w:p>
      <w:pPr>
        <w:rPr>
          <w:rFonts w:ascii="仿宋" w:hAnsi="仿宋" w:eastAsia="仿宋" w:cs="仿宋"/>
          <w:szCs w:val="24"/>
          <w:highlight w:val="none"/>
        </w:rPr>
      </w:pPr>
      <w:r>
        <w:rPr>
          <w:rFonts w:hint="eastAsia" w:ascii="仿宋" w:hAnsi="仿宋" w:eastAsia="仿宋" w:cs="仿宋"/>
          <w:szCs w:val="24"/>
          <w:highlight w:val="none"/>
        </w:rPr>
        <w:br w:type="page"/>
      </w:r>
    </w:p>
    <w:p>
      <w:pPr>
        <w:spacing w:line="560" w:lineRule="exact"/>
        <w:rPr>
          <w:rFonts w:ascii="仿宋" w:hAnsi="仿宋" w:eastAsia="仿宋" w:cs="仿宋"/>
          <w:szCs w:val="24"/>
          <w:highlight w:val="none"/>
        </w:rPr>
      </w:pPr>
      <w:r>
        <w:rPr>
          <w:rFonts w:hint="eastAsia" w:ascii="仿宋" w:hAnsi="仿宋" w:eastAsia="仿宋" w:cs="仿宋"/>
          <w:szCs w:val="24"/>
          <w:highlight w:val="none"/>
        </w:rPr>
        <w:t>二、合同条款</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1、定义</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本合同下列术语应解释为：</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1-1、“合同”系指买卖双方签署的、合同格式中载明的买卖双方所达成的协议，包括所有的附件、附录和招标文件所提到的构成合同的所有文件。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1-2、“合同价”系指根据本合同规定卖方在正确地完全履行合同义务后买方应支付给卖方的价款。</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1-3、“货物”系指卖方根据本合同规定须向买方提供的一切产品、部件或其它材料。</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1-4、“服务”系指根据本合同规定卖方承担与供货有关的辅助服务如运输、保险以及其它的伴随服务，例如调试、提供技术援助、培训和合同中规定卖方应承担的其它义务。</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1-5、“</w:t>
      </w:r>
      <w:r>
        <w:rPr>
          <w:rFonts w:hint="eastAsia" w:ascii="仿宋" w:hAnsi="仿宋" w:eastAsia="仿宋" w:cs="仿宋"/>
          <w:kern w:val="0"/>
          <w:szCs w:val="24"/>
          <w:highlight w:val="none"/>
        </w:rPr>
        <w:t>项目现场”系指本合同项下货物安装、运行的场地。</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1-6、“合同条款”系指本合同条款。</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1-7、“买方”是指购买货物和服务的单位即西安市高陵区融媒体中心（区广播电视台）。</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1-8、“卖方”是指提供本合同内的货物和服务的公司或其它实体即中标人。</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1-9、“天”指日历天数。</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2、适用性</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本合同条款适用于没有被本项目招标文件规定条款、卖方的投标文件承诺条款所取代的范围。</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3、</w:t>
      </w:r>
      <w:r>
        <w:rPr>
          <w:rFonts w:hint="eastAsia" w:ascii="仿宋" w:hAnsi="仿宋" w:eastAsia="仿宋" w:cs="仿宋"/>
          <w:szCs w:val="24"/>
          <w:highlight w:val="none"/>
        </w:rPr>
        <w:t>使用合同文件和资料</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3-2、没有买方事先书面同意，除了履行本合同之外，卖方不应使用合同条款第3-1条所列举的任何文件和资料。</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3-3、除了合同本身以外，合同条款第3-1条所列举的任何文件是买方的财产。如果买方有要求，卖方在完成合同后应将这些文件及全部复制件还给买方。</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4、专利权</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卖方应保证，买方在使用该产品或产品的任何一部分，免受第三方提出的侵犯（其专利权）、商标权、著作权或其它知识产权的起诉。</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5、技术规格</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本合同下交付的货物必须等同或优于本项目招标文件《技术规格与要求》所述的标准。若卖方在其投标文件中承诺的技术标准优于本项目招标文件《技术规格与要求》所述标准的，按投标文件的承诺执行。</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6、检验和测试</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6-1、买方或其代表应有权检验和测试产品及其部件，以确认所供产品是否符合合同规格的要求，并且不承担额外的费用。买方要求进行的检验和测试，以及在何处进行这些检验和测试，以书面形式通知卖方。</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6-2、检验和测试在买方指定的交货地点进行。</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6-3、如果任何被检验或测试的产品或部件不能满足招标文件及合同的要求，买方可以拒绝接受该产品或部件，卖方应更换被拒绝的产品或部件，或者免费进行必要的修改以满足规格的要求。</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6-5、如果在产品使用寿命期内，根据检验结果，发现产品的质量或规格与合同要求不符，或被证实有缺陷，包含潜在的缺陷或使用不合适的材料，买方应向卖方提出索赔。</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7、包装及运输</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7-1、卖方负责货物到达交货地点前的所有包装、运输、装卸及保险事项，相关费用应包括在合同总价中。</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 xml:space="preserve">7-3、货物的运输方式由卖方自行选择，但包装必须满足货物运输和装卸的要求，保证买方收到的是无任何损伤的货物。否则，因此造成的损失由卖方自行承担。 </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8、伴随服务</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8-1、卖方必须在合同生效后三十 (30)天内向买方提交所供货物的技术文件（中文技术文件），例如：产品说明、图纸、操作手册、使用说明、维护手册和／或服务指南等。</w:t>
      </w:r>
    </w:p>
    <w:p>
      <w:pPr>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8-2、卖方应向买方提供下列所有服务，包括本项目招标文件“商务条款”与“技术规格与要求”中规定的附加服务（如果有的话）：</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（1）实施或监督所供货物的现场组装 和/或试运行；</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（2）提供货物组装 和/或 维修所需的工具；</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（3）为所供货物的每一适当的单台设备提供详细的操作和维护手册；</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 xml:space="preserve">（4）在双方商定的一定期限内对所供货物实施运行或监督或维护或修理，但前提条件是该服务并不能免除卖方在合同保证期内所承担的义务；  </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（5）在卖方或制造厂和/或在项目现场就所供货物的组装、试运行、运行、维护和/或修理、软硬件升级对买方人员进行培训。</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8-3、卖方应提供本项目招标文件“商务条款”和“技术规格与要求”中规定的所有服务。为履行要求的伴随服务的报价或双方商定的费用应包括在合同价中。</w:t>
      </w:r>
    </w:p>
    <w:p>
      <w:pPr>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8-4、如果卖方或制造厂提供的伴随服务的费用未含在货物的合同价中，双方应事先就其达成协议，但其费用单价不应超过卖方向其他人提供类似服务所收取的现行单价。</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9、备品备件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9-1、卖方可能被要求提供下列与备品备件有关的材料、通知和资料：</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（1）买方从卖方选购备品备件，但前提条件是该选择并不能免除卖方在合同保证期内所承担的义务；</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（2）在备品备件停止生产的情况下，卖方应事先将要停止生产的计划通知买方使买方有足够的时间采购所需的备品备件；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（3）在备品备件停止生产后，如果买方要求，卖方应免费向买方提供备品备件的蓝图、图纸和规格。</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9-2、卖方应按照本项目招标文件“商务条款”和“技术规格与要求”中的规定提供所需的备品备件。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10、质量保证</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10-1、质量保证期为终验合格之日起个月。</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10-3、根据检验结果或者在质量保证期内，如果货物的数量、质量或规格与合同不符，或证实货物是有缺陷的，包括潜在的缺陷，买方应尽快以书面形式向卖方提出所发现的缺陷。</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10-4、卖方收到通知后应在招标文件规定的时间内以合理的速度免费维修或更换有缺陷的货物或部件。</w:t>
      </w:r>
    </w:p>
    <w:p>
      <w:pPr>
        <w:spacing w:line="560" w:lineRule="exact"/>
        <w:ind w:firstLine="480" w:firstLineChars="200"/>
        <w:rPr>
          <w:rFonts w:ascii="仿宋" w:hAnsi="仿宋" w:eastAsia="仿宋" w:cs="仿宋"/>
          <w:szCs w:val="24"/>
          <w:highlight w:val="none"/>
        </w:rPr>
      </w:pPr>
      <w:r>
        <w:rPr>
          <w:rFonts w:hint="eastAsia" w:ascii="仿宋" w:hAnsi="仿宋" w:eastAsia="仿宋" w:cs="仿宋"/>
          <w:kern w:val="0"/>
          <w:szCs w:val="24"/>
          <w:highlight w:val="none"/>
        </w:rPr>
        <w:t>10-5、如果卖方收到通知后在招标文件规定的时间内没有及时修补缺陷，买方可提出索赔，并可采取必要的补救措施，但其风险和费用将由卖方承担，买方根据合同规定对卖方行使的其他权力不受影响。</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11、索赔</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11-1、如果卖方对偏差负有责任，而买方在安装、调试、验收和质量保证期内提出了索赔，卖方应按照买方同意的下列一种或几种方式结合起来解决索赔事宜：</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卖方同意退货并用合同规定的货币将货款退还给买方，并承担由此发生的一切损失和费用，包括利息、银行手续费、运费、保险费、检验费、仓储费、装卸费以及为看管和保护退回货物所需的其它必要费用。</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（2）根据货物的偏差情况、损坏程度、以及买方所遭受损失的金额，经买卖双方商定降低货物的价格。</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3）用符合合同规定的规格、质量和性能要求的新零件、部件和/或设备来更换有缺陷的部分和/或修补缺陷部分，卖方应承担一切费用和风险并负担买方蒙受的全部直接损失费用。同时，卖方应按合同条款第10-1条规定，相应延长所更换货物的质量保证期。</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12、变更指令</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12-1、买方可以在任何时候书面向卖方发出指令，在本合同的一般范围内变更下述一项或几项：</w:t>
      </w:r>
    </w:p>
    <w:p>
      <w:pPr>
        <w:autoSpaceDN w:val="0"/>
        <w:adjustRightInd w:val="0"/>
        <w:spacing w:line="560" w:lineRule="exact"/>
        <w:ind w:firstLine="480" w:firstLineChars="200"/>
        <w:rPr>
          <w:rFonts w:ascii="仿宋" w:hAnsi="仿宋" w:eastAsia="仿宋" w:cs="仿宋"/>
          <w:spacing w:val="-4"/>
          <w:kern w:val="0"/>
          <w:szCs w:val="24"/>
          <w:highlight w:val="none"/>
        </w:rPr>
      </w:pPr>
      <w:r>
        <w:rPr>
          <w:rFonts w:hint="eastAsia" w:ascii="仿宋" w:hAnsi="仿宋" w:eastAsia="仿宋" w:cs="仿宋"/>
          <w:kern w:val="0"/>
          <w:szCs w:val="24"/>
          <w:highlight w:val="none"/>
        </w:rPr>
        <w:t>（1）</w:t>
      </w:r>
      <w:r>
        <w:rPr>
          <w:rFonts w:hint="eastAsia" w:ascii="仿宋" w:hAnsi="仿宋" w:eastAsia="仿宋" w:cs="仿宋"/>
          <w:spacing w:val="-4"/>
          <w:kern w:val="0"/>
          <w:szCs w:val="24"/>
          <w:highlight w:val="none"/>
        </w:rPr>
        <w:t>本合同项下提供的货物是专为买方制造时，变更图纸、设计或规格；</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（2）运输或包装的方法；</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（3）交货地点；</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（4）卖方提供的服务。</w:t>
      </w:r>
    </w:p>
    <w:p>
      <w:pPr>
        <w:autoSpaceDN w:val="0"/>
        <w:adjustRightInd w:val="0"/>
        <w:spacing w:line="560" w:lineRule="exact"/>
        <w:ind w:firstLine="464" w:firstLineChars="200"/>
        <w:rPr>
          <w:rFonts w:ascii="仿宋" w:hAnsi="仿宋" w:eastAsia="仿宋" w:cs="仿宋"/>
          <w:kern w:val="0"/>
          <w:szCs w:val="24"/>
          <w:highlight w:val="none"/>
        </w:rPr>
      </w:pPr>
      <w:r>
        <w:rPr>
          <w:rFonts w:hint="eastAsia" w:ascii="仿宋" w:hAnsi="仿宋" w:eastAsia="仿宋" w:cs="仿宋"/>
          <w:spacing w:val="-4"/>
          <w:kern w:val="0"/>
          <w:szCs w:val="24"/>
          <w:highlight w:val="none"/>
        </w:rPr>
        <w:t>12-2、</w:t>
      </w:r>
      <w:r>
        <w:rPr>
          <w:rFonts w:hint="eastAsia" w:ascii="仿宋" w:hAnsi="仿宋" w:eastAsia="仿宋" w:cs="仿宋"/>
          <w:kern w:val="0"/>
          <w:szCs w:val="24"/>
          <w:highlight w:val="none"/>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13、合同修改</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除了合同条款第12条的情况，不应对合同条款进行任何变更或修改，除非双方同意并签订书面的合同修改书。</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14、转让</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未经买方事先书面同意，卖方不得部分转让或全部转让其应履行的合同义务。</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15、卖方履约延误</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15-1、卖方应按照本项目招标文件“商务条款”中规定的交货时间交货和提供服务。</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15-3、除合同条款第20条规定的情况外,除非拖延是根据合同条款第15-2条的规定取得同意而不收取误期赔偿费之外，卖方延误交货，将按合同条款第17条的规定被收取误期赔偿费。</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16、验收</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16-1、项目验收分初验和终验:</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初验：货物到达交货地点后，由使用单位根据合同对货物（设备）的名称、品牌、规格、型号、产地、数量进行检查。</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终验：所有货物(设备)安装、调试完毕，正常使用10个日历日后，由采购人进行终验（最终验收），合格后签发《终验合格单》。</w:t>
      </w:r>
      <w:r>
        <w:rPr>
          <w:rFonts w:hint="eastAsia" w:ascii="仿宋" w:hAnsi="仿宋" w:eastAsia="仿宋" w:cs="仿宋"/>
          <w:szCs w:val="24"/>
          <w:highlight w:val="none"/>
        </w:rPr>
        <w:cr/>
      </w:r>
      <w:r>
        <w:rPr>
          <w:rFonts w:hint="eastAsia" w:ascii="仿宋" w:hAnsi="仿宋" w:eastAsia="仿宋" w:cs="仿宋"/>
          <w:szCs w:val="24"/>
          <w:highlight w:val="none"/>
        </w:rPr>
        <w:t xml:space="preserve">    16-2、验收不合格的中标单位，必须在接到通知后7个日历日内确保货物通过验收。如接到通知后7个日历日内验收仍不合格，采购人可提出索赔或取消其供货合同。采购代理机构将把成交资格授予评审排序下一名的成交单位。</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16-3、验收依据</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 xml:space="preserve">（1）合同文本及合同补充文件（条款）； </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（2）产品的合法来源渠道证明文件、响应功能证明材料；</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（3）招标文件；</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（4）中标人的投标文件；</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（5）货物清单；</w:t>
      </w:r>
    </w:p>
    <w:p>
      <w:pPr>
        <w:adjustRightInd w:val="0"/>
        <w:snapToGrid w:val="0"/>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（6）生产厂家的企业资质、货物的执行标准。</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17、误期赔偿费</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szCs w:val="24"/>
          <w:highlight w:val="none"/>
        </w:rPr>
        <w:t>除合同条款第19条规定的情况外，如果卖方没有按照合同规定的时间交货和提供服务，买方应在不影响</w:t>
      </w:r>
      <w:r>
        <w:rPr>
          <w:rFonts w:hint="eastAsia" w:ascii="仿宋" w:hAnsi="仿宋" w:eastAsia="仿宋" w:cs="仿宋"/>
          <w:kern w:val="0"/>
          <w:szCs w:val="24"/>
          <w:highlight w:val="none"/>
        </w:rPr>
        <w:t>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18、违约终止合同</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18-1、在买方对卖方违约而采取的任何补救措施不受影响的情况下，买方可向卖方发出书面违约通知书，提出终止部分或全部合同：</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（1）如果卖方未能在合同规定的期限内或买方根据合同条款第15-2条的规定同意延长的期限内提供部分或全部货物；或</w:t>
      </w:r>
      <w:r>
        <w:rPr>
          <w:rFonts w:hint="eastAsia" w:ascii="仿宋" w:hAnsi="仿宋" w:eastAsia="仿宋" w:cs="仿宋"/>
          <w:szCs w:val="24"/>
          <w:highlight w:val="none"/>
        </w:rPr>
        <w:t>误期赔偿费达到最高限额。</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（2）如果卖方未能履行合同规定的其它任何义务。</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（3）如果买方认为卖方在本合同的竞争和实施过程中有腐败和欺诈行为。为此目的，定义下述条件：</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“腐败行为”是指提供、给予、接受或索取任何有价值的物品来影响买方在采购过程或合同实施过程中的行为。</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“欺诈行为”是指为了影响采购过程或合同实施过程而谎报或隐瞒事实，损害买方利益的行为。</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18-2、如果买方根据上述第18-1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tabs>
          <w:tab w:val="left" w:pos="5700"/>
        </w:tabs>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19、不可抗力</w:t>
      </w:r>
      <w:r>
        <w:rPr>
          <w:rFonts w:hint="eastAsia" w:ascii="仿宋" w:hAnsi="仿宋" w:eastAsia="仿宋" w:cs="仿宋"/>
          <w:kern w:val="0"/>
          <w:szCs w:val="24"/>
          <w:highlight w:val="none"/>
        </w:rPr>
        <w:tab/>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19-3、因合同一方迟延履行合同后发生不可抗力的，不能免除迟延履行方的相应责任。</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20、因破产而终止合同</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如果卖方破产或无清偿能力，买方可在任何时候以书面形式通知卖方，提出终止合同而不给卖方补偿。该合同的终止将不损害或影响买方已经采取或将要采取的任何行动或补救措施的权力。</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21、因买方的便利而终止合同</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21-1、买方可在任何时候出于自身的便利向卖方发出书面通知全部或部分终止合同，终止通知应明确该终止合同是出于买方的便利，并明确合同终止的程度，以及终止的生效日期。</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21-2、对卖方收到终止通知后三十（30）天内已完成并准备装运的货物，买方应按原合同价格和条款予以接收，对于剩下的货物，买方可：</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（1）仅对部分货物按照原来的合同价格和条款予以接受；</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（2）取消对所剩货物的采购，并按双方商定的金额向卖方支付部分完成的货物和服务以及卖方以前已采购的材料和部件的费用。</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22、争议的解决</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因执行本合同所发生的或与本合同有关的一切争议,双方应通过友好协商解决。如果协商开始后六十（60）天还不能解决，双方可依以下一种方式解决：</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22-1、双方达成仲裁协议，向约定的仲裁委员会申请仲裁。</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22-2、向有管辖权的人民法院起诉。</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23、适用法律</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本合同应按照中华人民共和国的现行法律进行解释。</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24、通知</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24-1、本合同一方给对方的通知应用书面形式送到合同专用条款中规定的对方的地址。传真要经书面确认。</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24-2、通知以送到日期或通知书的生效日期为生效日期，两者中以晚的一个日期为准。</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25、税款</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25-1、按照中华人民共和国税法和有关部门的规定，买方需交纳的与本合同有关的一切税费均应由买方负担。</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25-2、按照中华人民共和国税法和有关部门的规定，卖方需交纳的与本合同有关的一切税费均应由卖方负担。</w:t>
      </w:r>
    </w:p>
    <w:p>
      <w:pPr>
        <w:autoSpaceDN w:val="0"/>
        <w:adjustRightInd w:val="0"/>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26、合同生效</w:t>
      </w:r>
    </w:p>
    <w:p>
      <w:pPr>
        <w:adjustRightInd w:val="0"/>
        <w:snapToGrid w:val="0"/>
        <w:spacing w:line="560" w:lineRule="exact"/>
        <w:ind w:firstLine="480" w:firstLineChars="200"/>
        <w:rPr>
          <w:rFonts w:ascii="仿宋" w:hAnsi="仿宋" w:eastAsia="仿宋" w:cs="仿宋"/>
          <w:b/>
          <w:sz w:val="18"/>
          <w:szCs w:val="18"/>
          <w:highlight w:val="none"/>
          <w:u w:color="FF0000"/>
        </w:rPr>
      </w:pPr>
      <w:r>
        <w:rPr>
          <w:rFonts w:hint="eastAsia" w:ascii="仿宋" w:hAnsi="仿宋" w:eastAsia="仿宋" w:cs="仿宋"/>
          <w:kern w:val="0"/>
          <w:szCs w:val="24"/>
          <w:highlight w:val="none"/>
        </w:rPr>
        <w:t>本合同由买卖双方共同签字盖章，自买卖双方签字盖章之日起生效。</w:t>
      </w:r>
    </w:p>
    <w:p>
      <w:pPr>
        <w:adjustRightInd w:val="0"/>
        <w:snapToGrid w:val="0"/>
        <w:spacing w:line="560" w:lineRule="exact"/>
        <w:ind w:firstLine="361" w:firstLineChars="200"/>
        <w:rPr>
          <w:rFonts w:ascii="仿宋" w:hAnsi="仿宋" w:eastAsia="仿宋" w:cs="仿宋"/>
          <w:b/>
          <w:sz w:val="18"/>
          <w:szCs w:val="18"/>
          <w:highlight w:val="none"/>
          <w:u w:color="FF0000"/>
        </w:rPr>
      </w:pPr>
      <w:r>
        <w:rPr>
          <w:rFonts w:hint="eastAsia" w:ascii="仿宋" w:hAnsi="仿宋" w:eastAsia="仿宋" w:cs="仿宋"/>
          <w:b/>
          <w:sz w:val="18"/>
          <w:szCs w:val="18"/>
          <w:highlight w:val="none"/>
          <w:u w:color="FF0000"/>
        </w:rPr>
        <w:br w:type="page"/>
      </w:r>
    </w:p>
    <w:p>
      <w:pPr>
        <w:pStyle w:val="3"/>
        <w:numPr>
          <w:ilvl w:val="0"/>
          <w:numId w:val="16"/>
        </w:numPr>
        <w:spacing w:line="560" w:lineRule="exact"/>
        <w:jc w:val="center"/>
        <w:rPr>
          <w:rFonts w:ascii="仿宋" w:hAnsi="仿宋" w:eastAsia="仿宋" w:cs="仿宋"/>
          <w:highlight w:val="none"/>
        </w:rPr>
      </w:pPr>
      <w:bookmarkStart w:id="162" w:name="_Toc458617747"/>
      <w:bookmarkStart w:id="163" w:name="_Toc458617470"/>
      <w:bookmarkStart w:id="164" w:name="_Toc21361"/>
      <w:r>
        <w:rPr>
          <w:rFonts w:hint="eastAsia" w:ascii="仿宋" w:hAnsi="仿宋" w:eastAsia="仿宋" w:cs="仿宋"/>
          <w:highlight w:val="none"/>
        </w:rPr>
        <w:t>投标文件格式</w:t>
      </w:r>
      <w:bookmarkEnd w:id="162"/>
      <w:bookmarkEnd w:id="163"/>
      <w:bookmarkEnd w:id="164"/>
    </w:p>
    <w:p>
      <w:pPr>
        <w:spacing w:line="560" w:lineRule="exact"/>
        <w:jc w:val="center"/>
        <w:rPr>
          <w:rFonts w:ascii="仿宋" w:hAnsi="仿宋" w:eastAsia="仿宋" w:cs="仿宋"/>
          <w:szCs w:val="24"/>
          <w:highlight w:val="none"/>
        </w:rPr>
      </w:pPr>
      <w:r>
        <w:rPr>
          <w:rFonts w:hint="eastAsia" w:ascii="仿宋" w:hAnsi="仿宋" w:eastAsia="仿宋" w:cs="仿宋"/>
          <w:szCs w:val="24"/>
          <w:highlight w:val="none"/>
        </w:rPr>
        <w:t>投标文件编制说明</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1、投标文件应当按照招标文件给定的格式和要求编制，格式之外的可自行编写。</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投标人必须按照招标文件的规定和要求在投标文件中指定的页面落款处加盖公章（鲜章）并由法定代表人或被授权人签字（或盖章）。招标文件凡是要求法定代表人签字或盖章之处，非法人单位的负责人均参照执行。</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3、纸质投标文件均须A4纸打印（提倡双面打印），分别各自装订成册并编制目录和页码，产品彩页、厂家授权等证明材料原件除外。</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4、投标文件正本中的法人授权书须为原件，其它资质证明文件为复印件加盖投标人公章（鲜章）。副本可以是正本的复印件。</w:t>
      </w:r>
    </w:p>
    <w:p>
      <w:pPr>
        <w:spacing w:line="560" w:lineRule="exact"/>
        <w:ind w:left="240" w:leftChars="100" w:firstLine="480" w:firstLineChars="200"/>
        <w:rPr>
          <w:rFonts w:ascii="仿宋" w:hAnsi="仿宋" w:eastAsia="仿宋" w:cs="仿宋"/>
          <w:szCs w:val="24"/>
          <w:highlight w:val="none"/>
        </w:rPr>
      </w:pPr>
    </w:p>
    <w:p>
      <w:pPr>
        <w:pStyle w:val="2"/>
        <w:rPr>
          <w:rFonts w:ascii="仿宋" w:hAnsi="仿宋" w:eastAsia="仿宋" w:cs="仿宋"/>
          <w:highlight w:val="none"/>
        </w:rPr>
      </w:pPr>
    </w:p>
    <w:p>
      <w:pPr>
        <w:spacing w:line="560" w:lineRule="exact"/>
        <w:ind w:firstLine="4003" w:firstLineChars="1246"/>
        <w:rPr>
          <w:rFonts w:ascii="仿宋" w:hAnsi="仿宋" w:eastAsia="仿宋" w:cs="仿宋"/>
          <w:b/>
          <w:sz w:val="32"/>
          <w:szCs w:val="32"/>
          <w:highlight w:val="none"/>
        </w:rPr>
      </w:pPr>
    </w:p>
    <w:p>
      <w:pPr>
        <w:spacing w:line="560" w:lineRule="exact"/>
        <w:ind w:firstLine="4003" w:firstLineChars="1246"/>
        <w:rPr>
          <w:rFonts w:ascii="仿宋" w:hAnsi="仿宋" w:eastAsia="仿宋" w:cs="仿宋"/>
          <w:b/>
          <w:sz w:val="32"/>
          <w:szCs w:val="32"/>
          <w:highlight w:val="none"/>
        </w:rPr>
      </w:pPr>
    </w:p>
    <w:p>
      <w:pPr>
        <w:spacing w:line="560" w:lineRule="exact"/>
        <w:ind w:firstLine="4003" w:firstLineChars="1246"/>
        <w:rPr>
          <w:rFonts w:ascii="仿宋" w:hAnsi="仿宋" w:eastAsia="仿宋" w:cs="仿宋"/>
          <w:b/>
          <w:sz w:val="32"/>
          <w:szCs w:val="32"/>
          <w:highlight w:val="none"/>
        </w:rPr>
      </w:pPr>
    </w:p>
    <w:p>
      <w:pPr>
        <w:spacing w:line="560" w:lineRule="exact"/>
        <w:ind w:firstLine="4003" w:firstLineChars="1246"/>
        <w:rPr>
          <w:rFonts w:ascii="仿宋" w:hAnsi="仿宋" w:eastAsia="仿宋" w:cs="仿宋"/>
          <w:b/>
          <w:sz w:val="32"/>
          <w:szCs w:val="32"/>
          <w:highlight w:val="none"/>
        </w:rPr>
      </w:pPr>
    </w:p>
    <w:p>
      <w:pPr>
        <w:spacing w:line="560" w:lineRule="exact"/>
        <w:ind w:firstLine="4003" w:firstLineChars="1246"/>
        <w:rPr>
          <w:rFonts w:ascii="仿宋" w:hAnsi="仿宋" w:eastAsia="仿宋" w:cs="仿宋"/>
          <w:b/>
          <w:sz w:val="32"/>
          <w:szCs w:val="32"/>
          <w:highlight w:val="none"/>
        </w:rPr>
      </w:pPr>
    </w:p>
    <w:p>
      <w:pPr>
        <w:spacing w:line="560" w:lineRule="exact"/>
        <w:ind w:firstLine="4003" w:firstLineChars="1246"/>
        <w:rPr>
          <w:rFonts w:ascii="仿宋" w:hAnsi="仿宋" w:eastAsia="仿宋" w:cs="仿宋"/>
          <w:b/>
          <w:sz w:val="32"/>
          <w:szCs w:val="32"/>
          <w:highlight w:val="none"/>
        </w:rPr>
      </w:pPr>
    </w:p>
    <w:p>
      <w:pPr>
        <w:spacing w:line="560" w:lineRule="exact"/>
        <w:ind w:firstLine="4003" w:firstLineChars="1246"/>
        <w:rPr>
          <w:rFonts w:ascii="仿宋" w:hAnsi="仿宋" w:eastAsia="仿宋" w:cs="仿宋"/>
          <w:b/>
          <w:sz w:val="32"/>
          <w:szCs w:val="32"/>
          <w:highlight w:val="none"/>
        </w:rPr>
      </w:pPr>
    </w:p>
    <w:p>
      <w:pPr>
        <w:spacing w:line="560" w:lineRule="exact"/>
        <w:ind w:firstLine="4003" w:firstLineChars="1246"/>
        <w:rPr>
          <w:rFonts w:ascii="仿宋" w:hAnsi="仿宋" w:eastAsia="仿宋" w:cs="仿宋"/>
          <w:b/>
          <w:sz w:val="32"/>
          <w:szCs w:val="32"/>
          <w:highlight w:val="none"/>
        </w:rPr>
      </w:pPr>
    </w:p>
    <w:p>
      <w:pPr>
        <w:spacing w:line="560" w:lineRule="exact"/>
        <w:ind w:firstLine="4003" w:firstLineChars="1246"/>
        <w:rPr>
          <w:rFonts w:ascii="仿宋" w:hAnsi="仿宋" w:eastAsia="仿宋" w:cs="仿宋"/>
          <w:b/>
          <w:sz w:val="32"/>
          <w:szCs w:val="32"/>
          <w:highlight w:val="none"/>
        </w:rPr>
      </w:pPr>
    </w:p>
    <w:p>
      <w:pPr>
        <w:pStyle w:val="2"/>
        <w:rPr>
          <w:rFonts w:ascii="仿宋" w:hAnsi="仿宋" w:eastAsia="仿宋" w:cs="仿宋"/>
          <w:highlight w:val="none"/>
        </w:rPr>
      </w:pPr>
    </w:p>
    <w:p>
      <w:pPr>
        <w:spacing w:line="640" w:lineRule="exact"/>
        <w:rPr>
          <w:rFonts w:ascii="仿宋" w:hAnsi="仿宋" w:eastAsia="仿宋" w:cs="仿宋"/>
          <w:b/>
          <w:sz w:val="36"/>
          <w:szCs w:val="36"/>
          <w:highlight w:val="none"/>
        </w:rPr>
      </w:pPr>
    </w:p>
    <w:p>
      <w:pPr>
        <w:rPr>
          <w:rFonts w:ascii="仿宋" w:hAnsi="仿宋" w:eastAsia="仿宋" w:cs="仿宋"/>
          <w:b/>
          <w:sz w:val="36"/>
          <w:szCs w:val="36"/>
          <w:highlight w:val="none"/>
        </w:rPr>
      </w:pPr>
      <w:r>
        <w:rPr>
          <w:rFonts w:hint="eastAsia" w:ascii="仿宋" w:hAnsi="仿宋" w:eastAsia="仿宋" w:cs="仿宋"/>
          <w:b/>
          <w:sz w:val="36"/>
          <w:szCs w:val="36"/>
          <w:highlight w:val="none"/>
        </w:rPr>
        <w:br w:type="page"/>
      </w:r>
    </w:p>
    <w:p>
      <w:pPr>
        <w:spacing w:line="640" w:lineRule="exact"/>
        <w:jc w:val="right"/>
        <w:rPr>
          <w:rFonts w:ascii="仿宋" w:hAnsi="仿宋" w:eastAsia="仿宋" w:cs="仿宋"/>
          <w:b/>
          <w:sz w:val="36"/>
          <w:szCs w:val="36"/>
          <w:highlight w:val="none"/>
        </w:rPr>
      </w:pPr>
      <w:r>
        <w:rPr>
          <w:rFonts w:ascii="仿宋" w:hAnsi="仿宋" w:eastAsia="仿宋" w:cs="仿宋"/>
          <w:sz w:val="36"/>
          <w:highlight w:val="none"/>
        </w:rPr>
        <w:pict>
          <v:shape id="_x0000_s1037" o:spid="_x0000_s1037" o:spt="202" type="#_x0000_t202" style="position:absolute;left:0pt;margin-left:326.1pt;margin-top:12pt;height:29.15pt;width:117.7pt;z-index:251671552;mso-width-relative:page;mso-height-relative:page;" coordsize="21600,21600">
            <v:path/>
            <v:fill focussize="0,0"/>
            <v:stroke joinstyle="miter"/>
            <v:imagedata o:title=""/>
            <o:lock v:ext="edit"/>
            <v:textbox>
              <w:txbxContent>
                <w:p>
                  <w:pPr>
                    <w:jc w:val="center"/>
                    <w:rPr>
                      <w:rFonts w:ascii="仿宋" w:hAnsi="仿宋" w:eastAsia="仿宋" w:cs="仿宋"/>
                      <w:sz w:val="32"/>
                      <w:szCs w:val="28"/>
                    </w:rPr>
                  </w:pPr>
                  <w:r>
                    <w:rPr>
                      <w:rFonts w:hint="eastAsia" w:ascii="仿宋" w:hAnsi="仿宋" w:eastAsia="仿宋" w:cs="仿宋"/>
                      <w:b/>
                      <w:bCs/>
                      <w:sz w:val="32"/>
                      <w:szCs w:val="28"/>
                    </w:rPr>
                    <w:t>政府采购项目</w:t>
                  </w:r>
                </w:p>
              </w:txbxContent>
            </v:textbox>
          </v:shape>
        </w:pict>
      </w:r>
    </w:p>
    <w:p>
      <w:pPr>
        <w:spacing w:line="560" w:lineRule="exact"/>
        <w:rPr>
          <w:rFonts w:ascii="仿宋" w:hAnsi="仿宋" w:eastAsia="仿宋" w:cs="仿宋"/>
          <w:b/>
          <w:sz w:val="36"/>
          <w:szCs w:val="36"/>
          <w:highlight w:val="none"/>
        </w:rPr>
      </w:pPr>
    </w:p>
    <w:p>
      <w:pPr>
        <w:spacing w:line="560" w:lineRule="exact"/>
        <w:rPr>
          <w:rFonts w:ascii="仿宋" w:hAnsi="仿宋" w:eastAsia="仿宋" w:cs="仿宋"/>
          <w:b/>
          <w:sz w:val="36"/>
          <w:szCs w:val="36"/>
          <w:highlight w:val="none"/>
        </w:rPr>
      </w:pPr>
    </w:p>
    <w:p>
      <w:pPr>
        <w:spacing w:line="560" w:lineRule="exact"/>
        <w:rPr>
          <w:rFonts w:ascii="仿宋" w:hAnsi="仿宋" w:eastAsia="仿宋" w:cs="仿宋"/>
          <w:b/>
          <w:sz w:val="36"/>
          <w:szCs w:val="36"/>
          <w:highlight w:val="none"/>
        </w:rPr>
      </w:pPr>
      <w:r>
        <w:rPr>
          <w:rFonts w:hint="eastAsia" w:ascii="仿宋" w:hAnsi="仿宋" w:eastAsia="仿宋" w:cs="仿宋"/>
          <w:b/>
          <w:sz w:val="36"/>
          <w:szCs w:val="36"/>
          <w:highlight w:val="none"/>
        </w:rPr>
        <w:t>文件编号: HZGH-2022-086</w:t>
      </w:r>
    </w:p>
    <w:p>
      <w:pPr>
        <w:spacing w:line="560" w:lineRule="exact"/>
        <w:rPr>
          <w:rFonts w:ascii="仿宋" w:hAnsi="仿宋" w:eastAsia="仿宋" w:cs="仿宋"/>
          <w:b/>
          <w:sz w:val="36"/>
          <w:szCs w:val="36"/>
          <w:highlight w:val="none"/>
        </w:rPr>
      </w:pPr>
    </w:p>
    <w:p>
      <w:pPr>
        <w:pStyle w:val="16"/>
        <w:rPr>
          <w:rFonts w:ascii="仿宋" w:hAnsi="仿宋" w:eastAsia="仿宋" w:cs="仿宋"/>
          <w:highlight w:val="none"/>
        </w:rPr>
      </w:pPr>
    </w:p>
    <w:p>
      <w:pPr>
        <w:adjustRightInd w:val="0"/>
        <w:spacing w:beforeLines="50" w:line="360" w:lineRule="auto"/>
        <w:jc w:val="center"/>
        <w:rPr>
          <w:rFonts w:ascii="仿宋" w:hAnsi="仿宋" w:eastAsia="仿宋" w:cs="仿宋"/>
          <w:b/>
          <w:spacing w:val="-22"/>
          <w:sz w:val="56"/>
          <w:szCs w:val="56"/>
          <w:highlight w:val="none"/>
          <w:shd w:val="clear" w:color="auto" w:fill="FFFFFF"/>
        </w:rPr>
      </w:pPr>
    </w:p>
    <w:p>
      <w:pPr>
        <w:adjustRightInd w:val="0"/>
        <w:spacing w:beforeLines="50" w:line="360" w:lineRule="auto"/>
        <w:jc w:val="center"/>
        <w:rPr>
          <w:rFonts w:ascii="仿宋" w:hAnsi="仿宋" w:eastAsia="仿宋" w:cs="仿宋"/>
          <w:b/>
          <w:spacing w:val="-22"/>
          <w:sz w:val="56"/>
          <w:szCs w:val="56"/>
          <w:highlight w:val="none"/>
          <w:shd w:val="clear" w:color="auto" w:fill="FFFFFF"/>
        </w:rPr>
      </w:pPr>
      <w:r>
        <w:rPr>
          <w:rFonts w:hint="eastAsia" w:ascii="仿宋" w:hAnsi="仿宋" w:eastAsia="仿宋" w:cs="仿宋"/>
          <w:b/>
          <w:spacing w:val="-22"/>
          <w:sz w:val="56"/>
          <w:szCs w:val="56"/>
          <w:highlight w:val="none"/>
          <w:shd w:val="clear" w:color="auto" w:fill="FFFFFF"/>
        </w:rPr>
        <w:t>高清设备改造</w:t>
      </w:r>
    </w:p>
    <w:p>
      <w:pPr>
        <w:spacing w:beforeLines="50" w:line="560" w:lineRule="exact"/>
        <w:ind w:right="-998" w:rightChars="-416" w:firstLine="2960" w:firstLineChars="388"/>
        <w:rPr>
          <w:rFonts w:ascii="仿宋" w:hAnsi="仿宋" w:eastAsia="仿宋" w:cs="仿宋"/>
          <w:b/>
          <w:bCs/>
          <w:spacing w:val="20"/>
          <w:kern w:val="0"/>
          <w:sz w:val="72"/>
          <w:szCs w:val="72"/>
          <w:highlight w:val="none"/>
        </w:rPr>
      </w:pPr>
    </w:p>
    <w:p>
      <w:pPr>
        <w:pStyle w:val="36"/>
        <w:ind w:firstLine="480"/>
        <w:rPr>
          <w:rFonts w:ascii="仿宋" w:hAnsi="仿宋" w:eastAsia="仿宋" w:cs="仿宋"/>
          <w:highlight w:val="none"/>
        </w:rPr>
      </w:pPr>
    </w:p>
    <w:p>
      <w:pPr>
        <w:pStyle w:val="36"/>
        <w:ind w:firstLine="480"/>
        <w:rPr>
          <w:rFonts w:ascii="仿宋" w:hAnsi="仿宋" w:eastAsia="仿宋" w:cs="仿宋"/>
          <w:highlight w:val="none"/>
        </w:rPr>
      </w:pPr>
    </w:p>
    <w:p>
      <w:pPr>
        <w:spacing w:beforeLines="50" w:line="560" w:lineRule="exact"/>
        <w:ind w:right="-998" w:rightChars="-416" w:firstLine="2960" w:firstLineChars="388"/>
        <w:rPr>
          <w:rFonts w:ascii="仿宋" w:hAnsi="仿宋" w:eastAsia="仿宋" w:cs="仿宋"/>
          <w:b/>
          <w:bCs/>
          <w:spacing w:val="20"/>
          <w:kern w:val="0"/>
          <w:sz w:val="72"/>
          <w:szCs w:val="72"/>
          <w:highlight w:val="none"/>
        </w:rPr>
      </w:pPr>
      <w:r>
        <w:rPr>
          <w:rFonts w:hint="eastAsia" w:ascii="仿宋" w:hAnsi="仿宋" w:eastAsia="仿宋" w:cs="仿宋"/>
          <w:b/>
          <w:bCs/>
          <w:spacing w:val="20"/>
          <w:kern w:val="0"/>
          <w:sz w:val="72"/>
          <w:szCs w:val="72"/>
          <w:highlight w:val="none"/>
        </w:rPr>
        <w:t>投标文件</w:t>
      </w:r>
    </w:p>
    <w:p>
      <w:pPr>
        <w:spacing w:line="560" w:lineRule="exact"/>
        <w:rPr>
          <w:rFonts w:ascii="仿宋" w:hAnsi="仿宋" w:eastAsia="仿宋" w:cs="仿宋"/>
          <w:sz w:val="32"/>
          <w:highlight w:val="none"/>
        </w:rPr>
      </w:pPr>
    </w:p>
    <w:p>
      <w:pPr>
        <w:spacing w:line="560" w:lineRule="exact"/>
        <w:rPr>
          <w:rFonts w:ascii="仿宋" w:hAnsi="仿宋" w:eastAsia="仿宋" w:cs="仿宋"/>
          <w:sz w:val="32"/>
          <w:highlight w:val="none"/>
        </w:rPr>
      </w:pPr>
    </w:p>
    <w:p>
      <w:pPr>
        <w:pStyle w:val="16"/>
        <w:rPr>
          <w:rFonts w:ascii="仿宋" w:hAnsi="仿宋" w:eastAsia="仿宋" w:cs="仿宋"/>
          <w:sz w:val="32"/>
          <w:highlight w:val="none"/>
        </w:rPr>
      </w:pPr>
    </w:p>
    <w:p>
      <w:pPr>
        <w:rPr>
          <w:rFonts w:ascii="仿宋" w:hAnsi="仿宋" w:eastAsia="仿宋" w:cs="仿宋"/>
          <w:highlight w:val="none"/>
        </w:rPr>
      </w:pPr>
    </w:p>
    <w:p>
      <w:pPr>
        <w:rPr>
          <w:rFonts w:ascii="仿宋" w:hAnsi="仿宋" w:eastAsia="仿宋" w:cs="仿宋"/>
          <w:highlight w:val="none"/>
        </w:rPr>
      </w:pPr>
    </w:p>
    <w:p>
      <w:pPr>
        <w:spacing w:beforeLines="70" w:line="560" w:lineRule="exact"/>
        <w:ind w:firstLine="1634" w:firstLineChars="550"/>
        <w:rPr>
          <w:rFonts w:ascii="仿宋" w:hAnsi="仿宋" w:eastAsia="仿宋" w:cs="仿宋"/>
          <w:b/>
          <w:bCs/>
          <w:spacing w:val="8"/>
          <w:sz w:val="28"/>
          <w:szCs w:val="28"/>
          <w:highlight w:val="none"/>
          <w:u w:val="single"/>
        </w:rPr>
      </w:pPr>
      <w:r>
        <w:rPr>
          <w:rFonts w:hint="eastAsia" w:ascii="仿宋" w:hAnsi="仿宋" w:eastAsia="仿宋" w:cs="仿宋"/>
          <w:b/>
          <w:spacing w:val="8"/>
          <w:sz w:val="28"/>
          <w:szCs w:val="28"/>
          <w:highlight w:val="none"/>
        </w:rPr>
        <w:t>投 标 单 位：</w:t>
      </w:r>
    </w:p>
    <w:p>
      <w:pPr>
        <w:spacing w:beforeLines="70" w:line="560" w:lineRule="exact"/>
        <w:ind w:firstLine="1661" w:firstLineChars="591"/>
        <w:rPr>
          <w:rFonts w:ascii="仿宋" w:hAnsi="仿宋" w:eastAsia="仿宋" w:cs="仿宋"/>
          <w:b/>
          <w:bCs/>
          <w:sz w:val="28"/>
          <w:szCs w:val="28"/>
          <w:highlight w:val="none"/>
          <w:u w:val="single"/>
        </w:rPr>
      </w:pPr>
      <w:r>
        <w:rPr>
          <w:rFonts w:hint="eastAsia" w:ascii="仿宋" w:hAnsi="仿宋" w:eastAsia="仿宋" w:cs="仿宋"/>
          <w:b/>
          <w:sz w:val="28"/>
          <w:szCs w:val="28"/>
          <w:highlight w:val="none"/>
        </w:rPr>
        <w:t>采购代理机构：</w:t>
      </w:r>
    </w:p>
    <w:p>
      <w:pPr>
        <w:spacing w:line="560" w:lineRule="exact"/>
        <w:ind w:firstLine="1661" w:firstLineChars="591"/>
        <w:rPr>
          <w:rFonts w:ascii="仿宋" w:hAnsi="仿宋" w:eastAsia="仿宋" w:cs="仿宋"/>
          <w:b/>
          <w:sz w:val="32"/>
          <w:szCs w:val="32"/>
          <w:highlight w:val="none"/>
        </w:rPr>
      </w:pPr>
      <w:r>
        <w:rPr>
          <w:rFonts w:hint="eastAsia" w:ascii="仿宋" w:hAnsi="仿宋" w:eastAsia="仿宋" w:cs="仿宋"/>
          <w:b/>
          <w:sz w:val="28"/>
          <w:szCs w:val="28"/>
          <w:highlight w:val="none"/>
        </w:rPr>
        <w:t>时        间：</w:t>
      </w:r>
      <w:bookmarkStart w:id="165" w:name="_Toc175032437"/>
      <w:bookmarkStart w:id="166" w:name="_Toc169846873"/>
      <w:bookmarkStart w:id="167" w:name="_Toc169838532"/>
      <w:bookmarkStart w:id="168" w:name="_Toc193126881"/>
      <w:bookmarkStart w:id="169" w:name="_Toc167591144"/>
      <w:bookmarkStart w:id="170" w:name="_Toc167591043"/>
      <w:bookmarkStart w:id="171" w:name="_Toc167590775"/>
      <w:bookmarkStart w:id="172" w:name="_Toc188808833"/>
      <w:bookmarkStart w:id="173" w:name="_Toc154482479"/>
      <w:bookmarkStart w:id="174" w:name="_Toc194663918"/>
      <w:bookmarkStart w:id="175" w:name="_Toc167591330"/>
      <w:bookmarkStart w:id="176" w:name="_Toc167849360"/>
      <w:bookmarkStart w:id="177" w:name="_Toc169846776"/>
      <w:bookmarkStart w:id="178" w:name="_Toc173549978"/>
      <w:bookmarkStart w:id="179" w:name="_Toc175033592"/>
      <w:bookmarkStart w:id="180" w:name="_Toc170980453"/>
      <w:bookmarkStart w:id="181" w:name="_Toc193187097"/>
      <w:bookmarkStart w:id="182" w:name="_Toc167591492"/>
      <w:bookmarkStart w:id="183" w:name="_Toc170980552"/>
    </w:p>
    <w:p>
      <w:pPr>
        <w:spacing w:line="560" w:lineRule="exact"/>
        <w:ind w:left="240" w:leftChars="100" w:firstLine="4003" w:firstLineChars="1246"/>
        <w:rPr>
          <w:rFonts w:ascii="仿宋" w:hAnsi="仿宋" w:eastAsia="仿宋" w:cs="仿宋"/>
          <w:b/>
          <w:sz w:val="32"/>
          <w:szCs w:val="32"/>
          <w:highlight w:val="none"/>
        </w:rPr>
      </w:pPr>
    </w:p>
    <w:p>
      <w:pPr>
        <w:rPr>
          <w:rFonts w:ascii="仿宋" w:hAnsi="仿宋" w:eastAsia="仿宋" w:cs="仿宋"/>
          <w:highlight w:val="none"/>
        </w:rPr>
      </w:pPr>
    </w:p>
    <w:p>
      <w:pPr>
        <w:rPr>
          <w:rFonts w:ascii="仿宋" w:hAnsi="仿宋" w:eastAsia="仿宋" w:cs="仿宋"/>
          <w:b/>
          <w:sz w:val="36"/>
          <w:szCs w:val="36"/>
          <w:highlight w:val="none"/>
        </w:rPr>
      </w:pPr>
      <w:r>
        <w:rPr>
          <w:rFonts w:hint="eastAsia" w:ascii="仿宋" w:hAnsi="仿宋" w:eastAsia="仿宋" w:cs="仿宋"/>
          <w:b/>
          <w:sz w:val="36"/>
          <w:szCs w:val="36"/>
          <w:highlight w:val="none"/>
        </w:rPr>
        <w:br w:type="page"/>
      </w:r>
    </w:p>
    <w:p>
      <w:pPr>
        <w:spacing w:line="560" w:lineRule="exact"/>
        <w:jc w:val="center"/>
        <w:rPr>
          <w:rFonts w:ascii="仿宋" w:hAnsi="仿宋" w:eastAsia="仿宋" w:cs="仿宋"/>
          <w:b/>
          <w:sz w:val="36"/>
          <w:szCs w:val="36"/>
          <w:highlight w:val="none"/>
        </w:rPr>
      </w:pPr>
      <w:r>
        <w:rPr>
          <w:rFonts w:hint="eastAsia" w:ascii="仿宋" w:hAnsi="仿宋" w:eastAsia="仿宋" w:cs="仿宋"/>
          <w:b/>
          <w:sz w:val="36"/>
          <w:szCs w:val="36"/>
          <w:highlight w:val="none"/>
        </w:rPr>
        <w:t>目  录</w:t>
      </w:r>
    </w:p>
    <w:p>
      <w:pPr>
        <w:spacing w:line="500" w:lineRule="exact"/>
        <w:ind w:firstLine="1200" w:firstLineChars="500"/>
        <w:rPr>
          <w:rFonts w:ascii="仿宋" w:hAnsi="仿宋" w:eastAsia="仿宋" w:cs="仿宋"/>
          <w:szCs w:val="24"/>
          <w:highlight w:val="none"/>
        </w:rPr>
      </w:pPr>
      <w:r>
        <w:rPr>
          <w:rFonts w:hint="eastAsia" w:ascii="仿宋" w:hAnsi="仿宋" w:eastAsia="仿宋" w:cs="仿宋"/>
          <w:szCs w:val="24"/>
          <w:highlight w:val="none"/>
        </w:rPr>
        <w:t>1．投标函（格式）</w:t>
      </w:r>
    </w:p>
    <w:p>
      <w:pPr>
        <w:spacing w:line="500" w:lineRule="exact"/>
        <w:ind w:firstLine="1200" w:firstLineChars="500"/>
        <w:rPr>
          <w:rFonts w:ascii="仿宋" w:hAnsi="仿宋" w:eastAsia="仿宋" w:cs="仿宋"/>
          <w:szCs w:val="24"/>
          <w:highlight w:val="none"/>
        </w:rPr>
      </w:pPr>
      <w:r>
        <w:rPr>
          <w:rFonts w:hint="eastAsia" w:ascii="仿宋" w:hAnsi="仿宋" w:eastAsia="仿宋" w:cs="仿宋"/>
          <w:szCs w:val="24"/>
          <w:highlight w:val="none"/>
        </w:rPr>
        <w:t>2．开标一览表（格式）</w:t>
      </w:r>
    </w:p>
    <w:p>
      <w:pPr>
        <w:spacing w:line="500" w:lineRule="exact"/>
        <w:ind w:left="240" w:leftChars="100" w:firstLine="960" w:firstLineChars="400"/>
        <w:rPr>
          <w:rFonts w:ascii="仿宋" w:hAnsi="仿宋" w:eastAsia="仿宋" w:cs="仿宋"/>
          <w:szCs w:val="24"/>
          <w:highlight w:val="none"/>
        </w:rPr>
      </w:pPr>
      <w:r>
        <w:rPr>
          <w:rFonts w:hint="eastAsia" w:ascii="仿宋" w:hAnsi="仿宋" w:eastAsia="仿宋" w:cs="仿宋"/>
          <w:szCs w:val="24"/>
          <w:highlight w:val="none"/>
        </w:rPr>
        <w:t>3．投标分项报价表（格式）</w:t>
      </w:r>
    </w:p>
    <w:p>
      <w:pPr>
        <w:spacing w:line="500" w:lineRule="exact"/>
        <w:ind w:left="240" w:leftChars="100" w:firstLine="960" w:firstLineChars="400"/>
        <w:rPr>
          <w:rFonts w:ascii="仿宋" w:hAnsi="仿宋" w:eastAsia="仿宋" w:cs="仿宋"/>
          <w:szCs w:val="24"/>
          <w:highlight w:val="none"/>
        </w:rPr>
      </w:pPr>
      <w:r>
        <w:rPr>
          <w:rFonts w:hint="eastAsia" w:ascii="仿宋" w:hAnsi="仿宋" w:eastAsia="仿宋" w:cs="仿宋"/>
          <w:szCs w:val="24"/>
          <w:highlight w:val="none"/>
        </w:rPr>
        <w:t>4．节能环保、环境标志产品明细表 （格式，若有）</w:t>
      </w:r>
    </w:p>
    <w:p>
      <w:pPr>
        <w:spacing w:line="500" w:lineRule="exact"/>
        <w:ind w:left="240" w:leftChars="100" w:firstLine="960" w:firstLineChars="400"/>
        <w:rPr>
          <w:rFonts w:ascii="仿宋" w:hAnsi="仿宋" w:eastAsia="仿宋" w:cs="仿宋"/>
          <w:szCs w:val="24"/>
          <w:highlight w:val="none"/>
        </w:rPr>
      </w:pPr>
      <w:r>
        <w:rPr>
          <w:rFonts w:hint="eastAsia" w:ascii="仿宋" w:hAnsi="仿宋" w:eastAsia="仿宋" w:cs="仿宋"/>
          <w:szCs w:val="24"/>
          <w:highlight w:val="none"/>
        </w:rPr>
        <w:t>5. 选配件报价表（格式，若有）</w:t>
      </w:r>
    </w:p>
    <w:p>
      <w:pPr>
        <w:spacing w:line="500" w:lineRule="exact"/>
        <w:ind w:left="240" w:leftChars="100" w:firstLine="960" w:firstLineChars="400"/>
        <w:rPr>
          <w:rFonts w:ascii="仿宋" w:hAnsi="仿宋" w:eastAsia="仿宋" w:cs="仿宋"/>
          <w:szCs w:val="24"/>
          <w:highlight w:val="none"/>
        </w:rPr>
      </w:pPr>
      <w:r>
        <w:rPr>
          <w:rFonts w:hint="eastAsia" w:ascii="仿宋" w:hAnsi="仿宋" w:eastAsia="仿宋" w:cs="仿宋"/>
          <w:szCs w:val="24"/>
          <w:highlight w:val="none"/>
        </w:rPr>
        <w:t>6．货物说明一览表（格式）</w:t>
      </w:r>
    </w:p>
    <w:p>
      <w:pPr>
        <w:spacing w:line="500" w:lineRule="exact"/>
        <w:ind w:left="240" w:leftChars="100" w:firstLine="960" w:firstLineChars="400"/>
        <w:rPr>
          <w:rFonts w:ascii="仿宋" w:hAnsi="仿宋" w:eastAsia="仿宋" w:cs="仿宋"/>
          <w:szCs w:val="24"/>
          <w:highlight w:val="none"/>
        </w:rPr>
      </w:pPr>
      <w:r>
        <w:rPr>
          <w:rFonts w:hint="eastAsia" w:ascii="仿宋" w:hAnsi="仿宋" w:eastAsia="仿宋" w:cs="仿宋"/>
          <w:szCs w:val="24"/>
          <w:highlight w:val="none"/>
        </w:rPr>
        <w:t>7．技术规格响应偏离表（格式）</w:t>
      </w:r>
    </w:p>
    <w:p>
      <w:pPr>
        <w:spacing w:line="500" w:lineRule="exact"/>
        <w:ind w:left="240" w:leftChars="100" w:firstLine="960" w:firstLineChars="400"/>
        <w:rPr>
          <w:rFonts w:ascii="仿宋" w:hAnsi="仿宋" w:eastAsia="仿宋" w:cs="仿宋"/>
          <w:szCs w:val="24"/>
          <w:highlight w:val="none"/>
        </w:rPr>
      </w:pPr>
      <w:r>
        <w:rPr>
          <w:rFonts w:hint="eastAsia" w:ascii="仿宋" w:hAnsi="仿宋" w:eastAsia="仿宋" w:cs="仿宋"/>
          <w:szCs w:val="24"/>
          <w:highlight w:val="none"/>
        </w:rPr>
        <w:t>8．商务条款响应偏离表（格式）</w:t>
      </w:r>
    </w:p>
    <w:p>
      <w:pPr>
        <w:spacing w:line="500" w:lineRule="exact"/>
        <w:ind w:left="240" w:leftChars="100" w:firstLine="960" w:firstLineChars="400"/>
        <w:rPr>
          <w:rFonts w:ascii="仿宋" w:hAnsi="仿宋" w:eastAsia="仿宋" w:cs="仿宋"/>
          <w:szCs w:val="24"/>
          <w:highlight w:val="none"/>
        </w:rPr>
      </w:pPr>
      <w:r>
        <w:rPr>
          <w:rFonts w:hint="eastAsia" w:ascii="仿宋" w:hAnsi="仿宋" w:eastAsia="仿宋" w:cs="仿宋"/>
          <w:szCs w:val="24"/>
          <w:highlight w:val="none"/>
        </w:rPr>
        <w:t>9. 资格证明文件</w:t>
      </w:r>
    </w:p>
    <w:p>
      <w:pPr>
        <w:autoSpaceDE w:val="0"/>
        <w:autoSpaceDN w:val="0"/>
        <w:spacing w:line="500" w:lineRule="exact"/>
        <w:ind w:firstLine="1200" w:firstLineChars="500"/>
        <w:rPr>
          <w:rFonts w:ascii="仿宋" w:hAnsi="仿宋" w:eastAsia="仿宋" w:cs="仿宋"/>
          <w:szCs w:val="24"/>
          <w:highlight w:val="none"/>
        </w:rPr>
      </w:pPr>
      <w:r>
        <w:rPr>
          <w:rFonts w:hint="eastAsia" w:ascii="仿宋" w:hAnsi="仿宋" w:eastAsia="仿宋" w:cs="仿宋"/>
          <w:szCs w:val="24"/>
          <w:highlight w:val="none"/>
        </w:rPr>
        <w:t>10. 业绩证明材料（以合同为准，复印件加盖公章）</w:t>
      </w:r>
    </w:p>
    <w:p>
      <w:pPr>
        <w:spacing w:line="500" w:lineRule="exact"/>
        <w:ind w:firstLine="1200" w:firstLineChars="500"/>
        <w:rPr>
          <w:rFonts w:ascii="仿宋" w:hAnsi="仿宋" w:eastAsia="仿宋" w:cs="仿宋"/>
          <w:szCs w:val="24"/>
          <w:highlight w:val="none"/>
        </w:rPr>
      </w:pPr>
      <w:r>
        <w:rPr>
          <w:rFonts w:hint="eastAsia" w:ascii="仿宋" w:hAnsi="仿宋" w:eastAsia="仿宋" w:cs="仿宋"/>
          <w:szCs w:val="24"/>
          <w:highlight w:val="none"/>
        </w:rPr>
        <w:t>11. 产品的合法渠道证明文件</w:t>
      </w:r>
    </w:p>
    <w:p>
      <w:pPr>
        <w:spacing w:line="500" w:lineRule="exact"/>
        <w:ind w:firstLine="1200" w:firstLineChars="500"/>
        <w:rPr>
          <w:rFonts w:ascii="仿宋" w:hAnsi="仿宋" w:eastAsia="仿宋" w:cs="仿宋"/>
          <w:kern w:val="0"/>
          <w:szCs w:val="24"/>
          <w:highlight w:val="none"/>
        </w:rPr>
      </w:pPr>
      <w:r>
        <w:rPr>
          <w:rFonts w:hint="eastAsia" w:ascii="仿宋" w:hAnsi="仿宋" w:eastAsia="仿宋" w:cs="仿宋"/>
          <w:szCs w:val="24"/>
          <w:highlight w:val="none"/>
        </w:rPr>
        <w:t>12.</w:t>
      </w:r>
      <w:r>
        <w:rPr>
          <w:rFonts w:hint="eastAsia" w:ascii="仿宋" w:hAnsi="仿宋" w:eastAsia="仿宋" w:cs="仿宋"/>
          <w:kern w:val="0"/>
          <w:szCs w:val="24"/>
          <w:highlight w:val="none"/>
        </w:rPr>
        <w:t xml:space="preserve"> 项目实施方案</w:t>
      </w:r>
    </w:p>
    <w:p>
      <w:pPr>
        <w:spacing w:line="500" w:lineRule="exact"/>
        <w:ind w:firstLine="1200" w:firstLineChars="500"/>
        <w:rPr>
          <w:rFonts w:ascii="仿宋" w:hAnsi="仿宋" w:eastAsia="仿宋" w:cs="仿宋"/>
          <w:highlight w:val="none"/>
        </w:rPr>
      </w:pPr>
      <w:r>
        <w:rPr>
          <w:rFonts w:hint="eastAsia" w:ascii="仿宋" w:hAnsi="仿宋" w:eastAsia="仿宋" w:cs="仿宋"/>
          <w:szCs w:val="24"/>
          <w:highlight w:val="none"/>
        </w:rPr>
        <w:t>13.</w:t>
      </w:r>
      <w:r>
        <w:rPr>
          <w:rFonts w:hint="eastAsia" w:ascii="仿宋" w:hAnsi="仿宋" w:eastAsia="仿宋" w:cs="仿宋"/>
          <w:kern w:val="0"/>
          <w:szCs w:val="24"/>
          <w:highlight w:val="none"/>
        </w:rPr>
        <w:t xml:space="preserve"> 产品的技术文件</w:t>
      </w:r>
    </w:p>
    <w:p>
      <w:pPr>
        <w:spacing w:line="500" w:lineRule="exact"/>
        <w:ind w:left="240" w:leftChars="100" w:firstLine="960" w:firstLineChars="400"/>
        <w:rPr>
          <w:rFonts w:ascii="仿宋" w:hAnsi="仿宋" w:eastAsia="仿宋" w:cs="仿宋"/>
          <w:szCs w:val="24"/>
          <w:highlight w:val="none"/>
        </w:rPr>
      </w:pPr>
      <w:r>
        <w:rPr>
          <w:rFonts w:hint="eastAsia" w:ascii="仿宋" w:hAnsi="仿宋" w:eastAsia="仿宋" w:cs="仿宋"/>
          <w:szCs w:val="24"/>
          <w:highlight w:val="none"/>
        </w:rPr>
        <w:t>14. 质量保证</w:t>
      </w:r>
    </w:p>
    <w:p>
      <w:pPr>
        <w:spacing w:line="500" w:lineRule="exact"/>
        <w:ind w:firstLine="1200" w:firstLineChars="500"/>
        <w:rPr>
          <w:rFonts w:ascii="仿宋" w:hAnsi="仿宋" w:eastAsia="仿宋" w:cs="仿宋"/>
          <w:szCs w:val="24"/>
          <w:highlight w:val="none"/>
        </w:rPr>
      </w:pPr>
      <w:r>
        <w:rPr>
          <w:rFonts w:hint="eastAsia" w:ascii="仿宋" w:hAnsi="仿宋" w:eastAsia="仿宋" w:cs="仿宋"/>
          <w:szCs w:val="24"/>
          <w:highlight w:val="none"/>
        </w:rPr>
        <w:t>15. 售后服务及培训计划</w:t>
      </w:r>
    </w:p>
    <w:p>
      <w:pPr>
        <w:autoSpaceDE w:val="0"/>
        <w:autoSpaceDN w:val="0"/>
        <w:spacing w:line="500" w:lineRule="exact"/>
        <w:ind w:left="240" w:leftChars="100" w:firstLine="960" w:firstLineChars="400"/>
        <w:rPr>
          <w:rFonts w:ascii="仿宋" w:hAnsi="仿宋" w:eastAsia="仿宋" w:cs="仿宋"/>
          <w:szCs w:val="24"/>
          <w:highlight w:val="none"/>
        </w:rPr>
      </w:pPr>
      <w:r>
        <w:rPr>
          <w:rFonts w:hint="eastAsia" w:ascii="仿宋" w:hAnsi="仿宋" w:eastAsia="仿宋" w:cs="仿宋"/>
          <w:szCs w:val="24"/>
          <w:highlight w:val="none"/>
        </w:rPr>
        <w:t>16. 投标人认为有必要说明的事宜（若有）</w:t>
      </w:r>
    </w:p>
    <w:p>
      <w:pPr>
        <w:autoSpaceDE w:val="0"/>
        <w:autoSpaceDN w:val="0"/>
        <w:spacing w:line="500" w:lineRule="exact"/>
        <w:ind w:left="240" w:leftChars="100" w:firstLine="960" w:firstLineChars="400"/>
        <w:rPr>
          <w:rFonts w:ascii="仿宋" w:hAnsi="仿宋" w:eastAsia="仿宋" w:cs="仿宋"/>
          <w:szCs w:val="24"/>
          <w:highlight w:val="none"/>
        </w:rPr>
      </w:pPr>
      <w:r>
        <w:rPr>
          <w:rFonts w:hint="eastAsia" w:ascii="仿宋" w:hAnsi="仿宋" w:eastAsia="仿宋" w:cs="仿宋"/>
          <w:szCs w:val="24"/>
          <w:highlight w:val="none"/>
        </w:rPr>
        <w:t>17. 投标人承诺书（格式）</w:t>
      </w:r>
    </w:p>
    <w:p>
      <w:pPr>
        <w:autoSpaceDE w:val="0"/>
        <w:autoSpaceDN w:val="0"/>
        <w:spacing w:line="500" w:lineRule="exact"/>
        <w:ind w:left="240" w:leftChars="100" w:firstLine="960" w:firstLineChars="400"/>
        <w:rPr>
          <w:rFonts w:ascii="仿宋" w:hAnsi="仿宋" w:eastAsia="仿宋" w:cs="仿宋"/>
          <w:szCs w:val="24"/>
          <w:highlight w:val="none"/>
        </w:rPr>
      </w:pPr>
      <w:r>
        <w:rPr>
          <w:rFonts w:hint="eastAsia" w:ascii="仿宋" w:hAnsi="仿宋" w:eastAsia="仿宋" w:cs="仿宋"/>
          <w:szCs w:val="24"/>
          <w:highlight w:val="none"/>
        </w:rPr>
        <w:t>18.《中小企业声明函》（格式，若有）</w:t>
      </w:r>
    </w:p>
    <w:p>
      <w:pPr>
        <w:autoSpaceDE w:val="0"/>
        <w:autoSpaceDN w:val="0"/>
        <w:spacing w:line="500" w:lineRule="exact"/>
        <w:ind w:left="240" w:leftChars="100" w:firstLine="960" w:firstLineChars="400"/>
        <w:rPr>
          <w:rFonts w:ascii="仿宋" w:hAnsi="仿宋" w:eastAsia="仿宋" w:cs="仿宋"/>
          <w:szCs w:val="24"/>
          <w:highlight w:val="none"/>
        </w:rPr>
      </w:pPr>
      <w:r>
        <w:rPr>
          <w:rFonts w:hint="eastAsia" w:ascii="仿宋" w:hAnsi="仿宋" w:eastAsia="仿宋" w:cs="仿宋"/>
          <w:kern w:val="0"/>
          <w:szCs w:val="24"/>
          <w:highlight w:val="none"/>
        </w:rPr>
        <w:t>19.《残疾人福利性单位声明函》</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Start w:id="184" w:name="_Toc1386"/>
      <w:bookmarkStart w:id="185" w:name="_Toc25120"/>
      <w:bookmarkStart w:id="186" w:name="_Toc458617471"/>
      <w:bookmarkStart w:id="187" w:name="_Toc193187098"/>
      <w:bookmarkStart w:id="188" w:name="_Toc194663919"/>
      <w:bookmarkStart w:id="189" w:name="_Toc193126882"/>
      <w:bookmarkStart w:id="190" w:name="_Toc188808834"/>
      <w:r>
        <w:rPr>
          <w:rFonts w:hint="eastAsia" w:ascii="仿宋" w:hAnsi="仿宋" w:eastAsia="仿宋" w:cs="仿宋"/>
          <w:szCs w:val="24"/>
          <w:highlight w:val="none"/>
        </w:rPr>
        <w:t>（格式，若有）</w:t>
      </w:r>
    </w:p>
    <w:p>
      <w:pPr>
        <w:autoSpaceDE w:val="0"/>
        <w:autoSpaceDN w:val="0"/>
        <w:spacing w:line="500" w:lineRule="exact"/>
        <w:ind w:left="240" w:leftChars="100" w:firstLine="960" w:firstLineChars="400"/>
        <w:rPr>
          <w:rFonts w:ascii="仿宋" w:hAnsi="仿宋" w:eastAsia="仿宋" w:cs="仿宋"/>
          <w:kern w:val="0"/>
          <w:szCs w:val="24"/>
          <w:highlight w:val="none"/>
        </w:rPr>
      </w:pPr>
      <w:r>
        <w:rPr>
          <w:rFonts w:hint="eastAsia" w:ascii="仿宋" w:hAnsi="仿宋" w:eastAsia="仿宋" w:cs="仿宋"/>
          <w:kern w:val="0"/>
          <w:szCs w:val="24"/>
          <w:highlight w:val="none"/>
        </w:rPr>
        <w:t>20. 《监狱、戒毒企业声明函》（格式，若有）</w:t>
      </w:r>
    </w:p>
    <w:p>
      <w:pPr>
        <w:pStyle w:val="2"/>
        <w:rPr>
          <w:rFonts w:ascii="仿宋" w:hAnsi="仿宋" w:eastAsia="仿宋" w:cs="仿宋"/>
          <w:highlight w:val="none"/>
        </w:rPr>
      </w:pPr>
    </w:p>
    <w:p>
      <w:pPr>
        <w:rPr>
          <w:rFonts w:ascii="仿宋" w:hAnsi="仿宋" w:eastAsia="仿宋" w:cs="仿宋"/>
          <w:b/>
          <w:highlight w:val="none"/>
        </w:rPr>
      </w:pPr>
      <w:r>
        <w:rPr>
          <w:rFonts w:hint="eastAsia" w:ascii="仿宋" w:hAnsi="仿宋" w:eastAsia="仿宋" w:cs="仿宋"/>
          <w:b/>
          <w:highlight w:val="none"/>
        </w:rPr>
        <w:br w:type="page"/>
      </w:r>
    </w:p>
    <w:p>
      <w:pPr>
        <w:pStyle w:val="39"/>
        <w:spacing w:line="560" w:lineRule="exact"/>
        <w:ind w:firstLine="0" w:firstLineChars="0"/>
        <w:rPr>
          <w:rFonts w:ascii="仿宋" w:hAnsi="仿宋" w:eastAsia="仿宋" w:cs="仿宋"/>
          <w:b/>
          <w:highlight w:val="none"/>
        </w:rPr>
      </w:pPr>
      <w:r>
        <w:rPr>
          <w:rFonts w:hint="eastAsia" w:ascii="仿宋" w:hAnsi="仿宋" w:eastAsia="仿宋" w:cs="仿宋"/>
          <w:b/>
          <w:highlight w:val="none"/>
        </w:rPr>
        <w:t>1.投标函</w:t>
      </w:r>
      <w:bookmarkEnd w:id="184"/>
      <w:bookmarkEnd w:id="185"/>
      <w:bookmarkEnd w:id="186"/>
      <w:r>
        <w:rPr>
          <w:rFonts w:hint="eastAsia" w:ascii="仿宋" w:hAnsi="仿宋" w:eastAsia="仿宋" w:cs="仿宋"/>
          <w:bCs/>
          <w:sz w:val="22"/>
          <w:szCs w:val="20"/>
          <w:highlight w:val="none"/>
        </w:rPr>
        <w:t>（格式）</w:t>
      </w:r>
    </w:p>
    <w:p>
      <w:pPr>
        <w:spacing w:line="560" w:lineRule="exact"/>
        <w:ind w:left="240" w:leftChars="100"/>
        <w:rPr>
          <w:rFonts w:ascii="仿宋" w:hAnsi="仿宋" w:eastAsia="仿宋" w:cs="仿宋"/>
          <w:szCs w:val="21"/>
          <w:highlight w:val="none"/>
        </w:rPr>
      </w:pPr>
    </w:p>
    <w:p>
      <w:pPr>
        <w:spacing w:line="560" w:lineRule="exact"/>
        <w:rPr>
          <w:rFonts w:ascii="仿宋" w:hAnsi="仿宋" w:eastAsia="仿宋" w:cs="仿宋"/>
          <w:b/>
          <w:szCs w:val="24"/>
          <w:highlight w:val="none"/>
        </w:rPr>
      </w:pPr>
      <w:r>
        <w:rPr>
          <w:rFonts w:hint="eastAsia" w:ascii="仿宋" w:hAnsi="仿宋" w:eastAsia="仿宋" w:cs="仿宋"/>
          <w:b/>
          <w:szCs w:val="24"/>
          <w:highlight w:val="none"/>
        </w:rPr>
        <w:t>致：华招广和项目管理有限公司</w:t>
      </w:r>
    </w:p>
    <w:p>
      <w:pPr>
        <w:spacing w:line="560" w:lineRule="exact"/>
        <w:ind w:firstLine="470" w:firstLineChars="196"/>
        <w:rPr>
          <w:rFonts w:ascii="仿宋" w:hAnsi="仿宋" w:eastAsia="仿宋" w:cs="仿宋"/>
          <w:b/>
          <w:szCs w:val="24"/>
          <w:highlight w:val="none"/>
        </w:rPr>
      </w:pPr>
      <w:r>
        <w:rPr>
          <w:rFonts w:hint="eastAsia" w:ascii="仿宋" w:hAnsi="仿宋" w:eastAsia="仿宋" w:cs="仿宋"/>
          <w:szCs w:val="24"/>
          <w:highlight w:val="none"/>
        </w:rPr>
        <w:t>根据贵单位</w:t>
      </w:r>
      <w:r>
        <w:rPr>
          <w:rFonts w:hint="eastAsia" w:ascii="仿宋" w:hAnsi="仿宋" w:eastAsia="仿宋" w:cs="仿宋"/>
          <w:szCs w:val="24"/>
          <w:highlight w:val="none"/>
          <w:u w:val="single"/>
        </w:rPr>
        <w:t xml:space="preserve">         （招标项目名称）    </w:t>
      </w:r>
      <w:r>
        <w:rPr>
          <w:rFonts w:hint="eastAsia" w:ascii="仿宋" w:hAnsi="仿宋" w:eastAsia="仿宋" w:cs="仿宋"/>
          <w:szCs w:val="24"/>
          <w:highlight w:val="none"/>
        </w:rPr>
        <w:t>项目</w:t>
      </w:r>
      <w:r>
        <w:rPr>
          <w:rFonts w:hint="eastAsia" w:ascii="仿宋" w:hAnsi="仿宋" w:eastAsia="仿宋" w:cs="仿宋"/>
          <w:szCs w:val="24"/>
          <w:highlight w:val="none"/>
          <w:u w:val="single"/>
        </w:rPr>
        <w:t>（项目编号）</w:t>
      </w:r>
      <w:r>
        <w:rPr>
          <w:rFonts w:hint="eastAsia" w:ascii="仿宋" w:hAnsi="仿宋" w:eastAsia="仿宋" w:cs="仿宋"/>
          <w:szCs w:val="24"/>
          <w:highlight w:val="none"/>
        </w:rPr>
        <w:t>的招标公告，我方代表</w:t>
      </w:r>
      <w:r>
        <w:rPr>
          <w:rFonts w:hint="eastAsia" w:ascii="仿宋" w:hAnsi="仿宋" w:eastAsia="仿宋" w:cs="仿宋"/>
          <w:szCs w:val="24"/>
          <w:highlight w:val="none"/>
          <w:u w:val="single"/>
        </w:rPr>
        <w:t xml:space="preserve">   （姓名、职务）   </w:t>
      </w:r>
      <w:r>
        <w:rPr>
          <w:rFonts w:hint="eastAsia" w:ascii="仿宋" w:hAnsi="仿宋" w:eastAsia="仿宋" w:cs="仿宋"/>
          <w:szCs w:val="24"/>
          <w:highlight w:val="none"/>
        </w:rPr>
        <w:t>经正式授权并代表</w:t>
      </w:r>
      <w:r>
        <w:rPr>
          <w:rFonts w:hint="eastAsia" w:ascii="仿宋" w:hAnsi="仿宋" w:eastAsia="仿宋" w:cs="仿宋"/>
          <w:szCs w:val="24"/>
          <w:highlight w:val="none"/>
          <w:u w:val="single"/>
        </w:rPr>
        <w:t xml:space="preserve">     （投标人名称）     </w:t>
      </w:r>
      <w:r>
        <w:rPr>
          <w:rFonts w:hint="eastAsia" w:ascii="仿宋" w:hAnsi="仿宋" w:eastAsia="仿宋" w:cs="仿宋"/>
          <w:szCs w:val="24"/>
          <w:highlight w:val="none"/>
        </w:rPr>
        <w:t>就该项目进行投标。</w:t>
      </w:r>
    </w:p>
    <w:p>
      <w:pPr>
        <w:spacing w:line="560" w:lineRule="exact"/>
        <w:ind w:firstLine="472" w:firstLineChars="196"/>
        <w:rPr>
          <w:rFonts w:ascii="仿宋" w:hAnsi="仿宋" w:eastAsia="仿宋" w:cs="仿宋"/>
          <w:b/>
          <w:szCs w:val="24"/>
          <w:highlight w:val="none"/>
        </w:rPr>
      </w:pPr>
      <w:r>
        <w:rPr>
          <w:rFonts w:hint="eastAsia" w:ascii="仿宋" w:hAnsi="仿宋" w:eastAsia="仿宋" w:cs="仿宋"/>
          <w:b/>
          <w:szCs w:val="24"/>
          <w:highlight w:val="none"/>
        </w:rPr>
        <w:t>在此，我方郑重声明以下诸点，并负法律责任：</w:t>
      </w:r>
    </w:p>
    <w:p>
      <w:pPr>
        <w:spacing w:line="560" w:lineRule="exact"/>
        <w:ind w:firstLine="470" w:firstLineChars="196"/>
        <w:rPr>
          <w:rFonts w:ascii="仿宋" w:hAnsi="仿宋" w:eastAsia="仿宋" w:cs="仿宋"/>
          <w:b/>
          <w:szCs w:val="24"/>
          <w:highlight w:val="none"/>
        </w:rPr>
      </w:pPr>
      <w:r>
        <w:rPr>
          <w:rFonts w:hint="eastAsia" w:ascii="仿宋" w:hAnsi="仿宋" w:eastAsia="仿宋" w:cs="仿宋"/>
          <w:szCs w:val="24"/>
          <w:highlight w:val="none"/>
        </w:rPr>
        <w:t>1、我方提交的投标文件正本一份，副本四份，电子文件一份，“开标一览表”一份。</w:t>
      </w:r>
    </w:p>
    <w:p>
      <w:pPr>
        <w:spacing w:line="560" w:lineRule="exact"/>
        <w:ind w:firstLine="470" w:firstLineChars="196"/>
        <w:rPr>
          <w:rFonts w:ascii="仿宋" w:hAnsi="仿宋" w:eastAsia="仿宋" w:cs="仿宋"/>
          <w:szCs w:val="24"/>
          <w:highlight w:val="none"/>
        </w:rPr>
      </w:pPr>
      <w:r>
        <w:rPr>
          <w:rFonts w:hint="eastAsia" w:ascii="仿宋" w:hAnsi="仿宋" w:eastAsia="仿宋" w:cs="仿宋"/>
          <w:szCs w:val="24"/>
          <w:highlight w:val="none"/>
        </w:rPr>
        <w:t>2、我方所附投标报价表中应提交和交付的货物/服务投标总价为人民币：</w:t>
      </w:r>
      <w:r>
        <w:rPr>
          <w:rFonts w:hint="eastAsia" w:ascii="仿宋" w:hAnsi="仿宋" w:eastAsia="仿宋" w:cs="仿宋"/>
          <w:szCs w:val="24"/>
          <w:highlight w:val="none"/>
          <w:u w:val="single"/>
        </w:rPr>
        <w:t>（同时用汉字大写和数字表示的投标总价）</w:t>
      </w:r>
      <w:r>
        <w:rPr>
          <w:rFonts w:hint="eastAsia" w:ascii="仿宋" w:hAnsi="仿宋" w:eastAsia="仿宋" w:cs="仿宋"/>
          <w:szCs w:val="24"/>
          <w:highlight w:val="none"/>
        </w:rPr>
        <w:t>。该报价一次报死，不受市场因素的影响。</w:t>
      </w:r>
    </w:p>
    <w:p>
      <w:pPr>
        <w:spacing w:line="560" w:lineRule="exact"/>
        <w:ind w:firstLine="470" w:firstLineChars="196"/>
        <w:rPr>
          <w:rFonts w:ascii="仿宋" w:hAnsi="仿宋" w:eastAsia="仿宋" w:cs="仿宋"/>
          <w:b/>
          <w:szCs w:val="24"/>
          <w:highlight w:val="none"/>
        </w:rPr>
      </w:pPr>
      <w:r>
        <w:rPr>
          <w:rFonts w:hint="eastAsia" w:ascii="仿宋" w:hAnsi="仿宋" w:eastAsia="仿宋" w:cs="仿宋"/>
          <w:szCs w:val="24"/>
          <w:highlight w:val="none"/>
        </w:rPr>
        <w:t>3、我方已详细审查全部招标文件，完全理解并同意放弃对这方面有不明及误解质疑的权力。</w:t>
      </w:r>
    </w:p>
    <w:p>
      <w:pPr>
        <w:spacing w:line="560" w:lineRule="exact"/>
        <w:ind w:firstLine="470" w:firstLineChars="196"/>
        <w:rPr>
          <w:rFonts w:ascii="仿宋" w:hAnsi="仿宋" w:eastAsia="仿宋" w:cs="仿宋"/>
          <w:b/>
          <w:szCs w:val="24"/>
          <w:highlight w:val="none"/>
        </w:rPr>
      </w:pPr>
      <w:r>
        <w:rPr>
          <w:rFonts w:hint="eastAsia" w:ascii="仿宋" w:hAnsi="仿宋" w:eastAsia="仿宋" w:cs="仿宋"/>
          <w:szCs w:val="24"/>
          <w:highlight w:val="none"/>
        </w:rPr>
        <w:t>4、我方同意按照要求提供投标有关的一切数据或资料。</w:t>
      </w:r>
    </w:p>
    <w:p>
      <w:pPr>
        <w:spacing w:line="560" w:lineRule="exact"/>
        <w:ind w:firstLine="470" w:firstLineChars="196"/>
        <w:rPr>
          <w:rFonts w:ascii="仿宋" w:hAnsi="仿宋" w:eastAsia="仿宋" w:cs="仿宋"/>
          <w:b/>
          <w:szCs w:val="24"/>
          <w:highlight w:val="none"/>
        </w:rPr>
      </w:pPr>
      <w:r>
        <w:rPr>
          <w:rFonts w:hint="eastAsia" w:ascii="仿宋" w:hAnsi="仿宋" w:eastAsia="仿宋" w:cs="仿宋"/>
          <w:szCs w:val="24"/>
          <w:highlight w:val="none"/>
        </w:rPr>
        <w:t>5、我方将按招标文件的规定履行合同责任和义务。</w:t>
      </w:r>
    </w:p>
    <w:p>
      <w:pPr>
        <w:spacing w:line="560" w:lineRule="exact"/>
        <w:ind w:firstLine="470" w:firstLineChars="196"/>
        <w:rPr>
          <w:rFonts w:ascii="仿宋" w:hAnsi="仿宋" w:eastAsia="仿宋" w:cs="仿宋"/>
          <w:b/>
          <w:szCs w:val="24"/>
          <w:highlight w:val="none"/>
        </w:rPr>
      </w:pPr>
      <w:r>
        <w:rPr>
          <w:rFonts w:hint="eastAsia" w:ascii="仿宋" w:hAnsi="仿宋" w:eastAsia="仿宋" w:cs="仿宋"/>
          <w:szCs w:val="24"/>
          <w:highlight w:val="none"/>
        </w:rPr>
        <w:t>6、我方完全理解最低报价不是中标的唯一条件，采购人有权选择质优价廉的货物/服务。</w:t>
      </w:r>
    </w:p>
    <w:p>
      <w:pPr>
        <w:spacing w:line="560" w:lineRule="exact"/>
        <w:ind w:firstLine="470" w:firstLineChars="196"/>
        <w:rPr>
          <w:rFonts w:ascii="仿宋" w:hAnsi="仿宋" w:eastAsia="仿宋" w:cs="仿宋"/>
          <w:b/>
          <w:szCs w:val="24"/>
          <w:highlight w:val="none"/>
        </w:rPr>
      </w:pPr>
      <w:r>
        <w:rPr>
          <w:rFonts w:hint="eastAsia" w:ascii="仿宋" w:hAnsi="仿宋" w:eastAsia="仿宋" w:cs="仿宋"/>
          <w:szCs w:val="24"/>
          <w:highlight w:val="none"/>
        </w:rPr>
        <w:t>7、我方同意按招标文件规定，遵守贵方有关招标的各项规定。</w:t>
      </w:r>
    </w:p>
    <w:p>
      <w:pPr>
        <w:spacing w:line="560" w:lineRule="exact"/>
        <w:ind w:firstLine="470" w:firstLineChars="196"/>
        <w:rPr>
          <w:rFonts w:ascii="仿宋" w:hAnsi="仿宋" w:eastAsia="仿宋" w:cs="仿宋"/>
          <w:b/>
          <w:szCs w:val="24"/>
          <w:highlight w:val="none"/>
        </w:rPr>
      </w:pPr>
      <w:r>
        <w:rPr>
          <w:rFonts w:hint="eastAsia" w:ascii="仿宋" w:hAnsi="仿宋" w:eastAsia="仿宋" w:cs="仿宋"/>
          <w:szCs w:val="24"/>
          <w:highlight w:val="none"/>
        </w:rPr>
        <w:t>8、若我方中标，我方保证按有关规定向贵方支付招标服务费。</w:t>
      </w:r>
    </w:p>
    <w:p>
      <w:pPr>
        <w:spacing w:line="560" w:lineRule="exact"/>
        <w:ind w:firstLine="470" w:firstLineChars="196"/>
        <w:rPr>
          <w:rFonts w:ascii="仿宋" w:hAnsi="仿宋" w:eastAsia="仿宋" w:cs="仿宋"/>
          <w:b/>
          <w:szCs w:val="24"/>
          <w:highlight w:val="none"/>
        </w:rPr>
      </w:pPr>
      <w:r>
        <w:rPr>
          <w:rFonts w:hint="eastAsia" w:ascii="仿宋" w:hAnsi="仿宋" w:eastAsia="仿宋" w:cs="仿宋"/>
          <w:szCs w:val="24"/>
          <w:highlight w:val="none"/>
        </w:rPr>
        <w:t>9、投标有效期为自提交投标文件的截止之日起90个日历日。</w:t>
      </w:r>
    </w:p>
    <w:p>
      <w:pPr>
        <w:spacing w:line="560" w:lineRule="exact"/>
        <w:ind w:firstLine="470" w:firstLineChars="196"/>
        <w:rPr>
          <w:rFonts w:ascii="仿宋" w:hAnsi="仿宋" w:eastAsia="仿宋" w:cs="仿宋"/>
          <w:b/>
          <w:szCs w:val="24"/>
          <w:highlight w:val="none"/>
        </w:rPr>
      </w:pPr>
      <w:r>
        <w:rPr>
          <w:rFonts w:hint="eastAsia" w:ascii="仿宋" w:hAnsi="仿宋" w:eastAsia="仿宋" w:cs="仿宋"/>
          <w:szCs w:val="24"/>
          <w:highlight w:val="none"/>
        </w:rPr>
        <w:t>10、所有关于本项目的函电，请按下列地址联系：</w:t>
      </w:r>
    </w:p>
    <w:p>
      <w:pPr>
        <w:spacing w:line="560" w:lineRule="exact"/>
        <w:ind w:firstLine="480" w:firstLineChars="200"/>
        <w:rPr>
          <w:rFonts w:ascii="仿宋" w:hAnsi="仿宋" w:eastAsia="仿宋" w:cs="仿宋"/>
          <w:szCs w:val="24"/>
          <w:highlight w:val="none"/>
        </w:rPr>
      </w:pPr>
    </w:p>
    <w:p>
      <w:pPr>
        <w:spacing w:line="560" w:lineRule="exact"/>
        <w:ind w:firstLine="480" w:firstLineChars="200"/>
        <w:rPr>
          <w:rFonts w:ascii="仿宋" w:hAnsi="仿宋" w:eastAsia="仿宋" w:cs="仿宋"/>
          <w:szCs w:val="24"/>
          <w:highlight w:val="none"/>
        </w:rPr>
      </w:pPr>
    </w:p>
    <w:p>
      <w:pPr>
        <w:spacing w:line="560" w:lineRule="exact"/>
        <w:rPr>
          <w:rFonts w:ascii="仿宋" w:hAnsi="仿宋" w:eastAsia="仿宋" w:cs="仿宋"/>
          <w:szCs w:val="24"/>
          <w:highlight w:val="none"/>
        </w:rPr>
      </w:pPr>
    </w:p>
    <w:p>
      <w:pPr>
        <w:spacing w:line="560" w:lineRule="exact"/>
        <w:ind w:firstLine="480" w:firstLineChars="200"/>
        <w:rPr>
          <w:rFonts w:ascii="仿宋" w:hAnsi="仿宋" w:eastAsia="仿宋" w:cs="仿宋"/>
          <w:szCs w:val="24"/>
          <w:highlight w:val="none"/>
          <w:u w:val="single"/>
        </w:rPr>
      </w:pPr>
      <w:r>
        <w:rPr>
          <w:rFonts w:hint="eastAsia" w:ascii="仿宋" w:hAnsi="仿宋" w:eastAsia="仿宋" w:cs="仿宋"/>
          <w:szCs w:val="24"/>
          <w:highlight w:val="none"/>
        </w:rPr>
        <w:t>投标人名称（公章）：</w:t>
      </w:r>
    </w:p>
    <w:p>
      <w:pPr>
        <w:spacing w:line="560" w:lineRule="exact"/>
        <w:ind w:firstLine="480" w:firstLineChars="200"/>
        <w:rPr>
          <w:rFonts w:ascii="仿宋" w:hAnsi="仿宋" w:eastAsia="仿宋" w:cs="仿宋"/>
          <w:szCs w:val="24"/>
          <w:highlight w:val="none"/>
          <w:u w:val="single"/>
        </w:rPr>
      </w:pPr>
      <w:r>
        <w:rPr>
          <w:rFonts w:hint="eastAsia" w:ascii="仿宋" w:hAnsi="仿宋" w:eastAsia="仿宋" w:cs="仿宋"/>
          <w:szCs w:val="24"/>
          <w:highlight w:val="none"/>
        </w:rPr>
        <w:t>详 细 地 址：</w:t>
      </w:r>
    </w:p>
    <w:p>
      <w:pPr>
        <w:spacing w:line="560" w:lineRule="exact"/>
        <w:ind w:firstLine="480" w:firstLineChars="200"/>
        <w:rPr>
          <w:rFonts w:ascii="仿宋" w:hAnsi="仿宋" w:eastAsia="仿宋" w:cs="仿宋"/>
          <w:szCs w:val="24"/>
          <w:highlight w:val="none"/>
          <w:u w:val="single"/>
        </w:rPr>
      </w:pPr>
      <w:r>
        <w:rPr>
          <w:rFonts w:hint="eastAsia" w:ascii="仿宋" w:hAnsi="仿宋" w:eastAsia="仿宋" w:cs="仿宋"/>
          <w:szCs w:val="24"/>
          <w:highlight w:val="none"/>
        </w:rPr>
        <w:t>邮 政 编 码：</w:t>
      </w:r>
    </w:p>
    <w:p>
      <w:pPr>
        <w:spacing w:line="560" w:lineRule="exact"/>
        <w:ind w:firstLine="480" w:firstLineChars="200"/>
        <w:rPr>
          <w:rFonts w:ascii="仿宋" w:hAnsi="仿宋" w:eastAsia="仿宋" w:cs="仿宋"/>
          <w:szCs w:val="24"/>
          <w:highlight w:val="none"/>
          <w:u w:val="single"/>
        </w:rPr>
      </w:pPr>
      <w:r>
        <w:rPr>
          <w:rFonts w:hint="eastAsia" w:ascii="仿宋" w:hAnsi="仿宋" w:eastAsia="仿宋" w:cs="仿宋"/>
          <w:szCs w:val="24"/>
          <w:highlight w:val="none"/>
          <w:lang w:val="zh-CN"/>
        </w:rPr>
        <w:t>电       话：</w:t>
      </w:r>
    </w:p>
    <w:p>
      <w:pPr>
        <w:spacing w:line="560" w:lineRule="exact"/>
        <w:ind w:firstLine="480" w:firstLineChars="200"/>
        <w:rPr>
          <w:rFonts w:ascii="仿宋" w:hAnsi="仿宋" w:eastAsia="仿宋" w:cs="仿宋"/>
          <w:szCs w:val="24"/>
          <w:highlight w:val="none"/>
          <w:u w:val="single"/>
        </w:rPr>
      </w:pPr>
      <w:r>
        <w:rPr>
          <w:rFonts w:hint="eastAsia" w:ascii="仿宋" w:hAnsi="仿宋" w:eastAsia="仿宋" w:cs="仿宋"/>
          <w:szCs w:val="24"/>
          <w:highlight w:val="none"/>
          <w:lang w:val="zh-CN"/>
        </w:rPr>
        <w:t>传       真：</w:t>
      </w:r>
    </w:p>
    <w:p>
      <w:pPr>
        <w:spacing w:line="560" w:lineRule="exact"/>
        <w:ind w:firstLine="480" w:firstLineChars="200"/>
        <w:rPr>
          <w:rFonts w:ascii="仿宋" w:hAnsi="仿宋" w:eastAsia="仿宋" w:cs="仿宋"/>
          <w:szCs w:val="24"/>
          <w:highlight w:val="none"/>
          <w:u w:val="single"/>
        </w:rPr>
      </w:pPr>
      <w:r>
        <w:rPr>
          <w:rFonts w:hint="eastAsia" w:ascii="仿宋" w:hAnsi="仿宋" w:eastAsia="仿宋" w:cs="仿宋"/>
          <w:szCs w:val="24"/>
          <w:highlight w:val="none"/>
        </w:rPr>
        <w:t>电 子 邮 件：</w:t>
      </w:r>
    </w:p>
    <w:p>
      <w:pPr>
        <w:spacing w:line="560" w:lineRule="exact"/>
        <w:ind w:firstLine="480" w:firstLineChars="200"/>
        <w:rPr>
          <w:rFonts w:ascii="仿宋" w:hAnsi="仿宋" w:eastAsia="仿宋" w:cs="仿宋"/>
          <w:szCs w:val="24"/>
          <w:highlight w:val="none"/>
          <w:u w:val="single"/>
        </w:rPr>
      </w:pPr>
      <w:r>
        <w:rPr>
          <w:rFonts w:hint="eastAsia" w:ascii="仿宋" w:hAnsi="仿宋" w:eastAsia="仿宋" w:cs="仿宋"/>
          <w:szCs w:val="24"/>
          <w:highlight w:val="none"/>
          <w:lang w:val="zh-CN"/>
        </w:rPr>
        <w:t>开 户 银 行：</w:t>
      </w:r>
    </w:p>
    <w:p>
      <w:pPr>
        <w:spacing w:line="560" w:lineRule="exact"/>
        <w:ind w:firstLine="480" w:firstLineChars="200"/>
        <w:rPr>
          <w:rFonts w:ascii="仿宋" w:hAnsi="仿宋" w:eastAsia="仿宋" w:cs="仿宋"/>
          <w:szCs w:val="24"/>
          <w:highlight w:val="none"/>
          <w:u w:val="single"/>
        </w:rPr>
      </w:pPr>
      <w:r>
        <w:rPr>
          <w:rFonts w:hint="eastAsia" w:ascii="仿宋" w:hAnsi="仿宋" w:eastAsia="仿宋" w:cs="仿宋"/>
          <w:szCs w:val="24"/>
          <w:highlight w:val="none"/>
          <w:lang w:val="zh-CN"/>
        </w:rPr>
        <w:t>帐       号：</w:t>
      </w:r>
    </w:p>
    <w:p>
      <w:pPr>
        <w:autoSpaceDE w:val="0"/>
        <w:autoSpaceDN w:val="0"/>
        <w:adjustRightInd w:val="0"/>
        <w:spacing w:line="560" w:lineRule="exact"/>
        <w:ind w:left="840" w:leftChars="100" w:hanging="600"/>
        <w:rPr>
          <w:rFonts w:ascii="仿宋" w:hAnsi="仿宋" w:eastAsia="仿宋" w:cs="仿宋"/>
          <w:szCs w:val="24"/>
          <w:highlight w:val="none"/>
          <w:lang w:val="zh-CN"/>
        </w:rPr>
      </w:pPr>
    </w:p>
    <w:p>
      <w:pPr>
        <w:autoSpaceDE w:val="0"/>
        <w:autoSpaceDN w:val="0"/>
        <w:adjustRightInd w:val="0"/>
        <w:spacing w:line="560" w:lineRule="exact"/>
        <w:ind w:left="840" w:leftChars="100" w:hanging="600"/>
        <w:rPr>
          <w:rFonts w:ascii="仿宋" w:hAnsi="仿宋" w:eastAsia="仿宋" w:cs="仿宋"/>
          <w:szCs w:val="24"/>
          <w:highlight w:val="none"/>
          <w:lang w:val="zh-CN"/>
        </w:rPr>
      </w:pPr>
    </w:p>
    <w:p>
      <w:pPr>
        <w:autoSpaceDE w:val="0"/>
        <w:autoSpaceDN w:val="0"/>
        <w:adjustRightInd w:val="0"/>
        <w:spacing w:line="560" w:lineRule="exact"/>
        <w:ind w:left="840" w:leftChars="100" w:hanging="600"/>
        <w:rPr>
          <w:rFonts w:ascii="仿宋" w:hAnsi="仿宋" w:eastAsia="仿宋" w:cs="仿宋"/>
          <w:szCs w:val="24"/>
          <w:highlight w:val="none"/>
          <w:lang w:val="zh-CN"/>
        </w:rPr>
      </w:pPr>
    </w:p>
    <w:p>
      <w:pPr>
        <w:autoSpaceDE w:val="0"/>
        <w:autoSpaceDN w:val="0"/>
        <w:adjustRightInd w:val="0"/>
        <w:spacing w:line="560" w:lineRule="exact"/>
        <w:ind w:left="840" w:leftChars="100" w:hanging="600"/>
        <w:rPr>
          <w:rFonts w:ascii="仿宋" w:hAnsi="仿宋" w:eastAsia="仿宋" w:cs="仿宋"/>
          <w:szCs w:val="24"/>
          <w:highlight w:val="none"/>
          <w:lang w:val="zh-CN"/>
        </w:rPr>
      </w:pPr>
    </w:p>
    <w:p>
      <w:pPr>
        <w:autoSpaceDE w:val="0"/>
        <w:autoSpaceDN w:val="0"/>
        <w:adjustRightInd w:val="0"/>
        <w:spacing w:line="560" w:lineRule="exact"/>
        <w:rPr>
          <w:rFonts w:ascii="仿宋" w:hAnsi="仿宋" w:eastAsia="仿宋" w:cs="仿宋"/>
          <w:szCs w:val="24"/>
          <w:highlight w:val="none"/>
          <w:lang w:val="zh-CN"/>
        </w:rPr>
      </w:pPr>
    </w:p>
    <w:p>
      <w:pPr>
        <w:autoSpaceDE w:val="0"/>
        <w:autoSpaceDN w:val="0"/>
        <w:adjustRightInd w:val="0"/>
        <w:spacing w:line="560" w:lineRule="exact"/>
        <w:ind w:left="840" w:leftChars="100" w:hanging="600"/>
        <w:rPr>
          <w:rFonts w:ascii="仿宋" w:hAnsi="仿宋" w:eastAsia="仿宋" w:cs="仿宋"/>
          <w:szCs w:val="24"/>
          <w:highlight w:val="none"/>
          <w:lang w:val="zh-CN"/>
        </w:rPr>
      </w:pPr>
    </w:p>
    <w:p>
      <w:pPr>
        <w:autoSpaceDE w:val="0"/>
        <w:autoSpaceDN w:val="0"/>
        <w:adjustRightInd w:val="0"/>
        <w:spacing w:line="560" w:lineRule="exact"/>
        <w:ind w:left="840" w:leftChars="100" w:hanging="600"/>
        <w:rPr>
          <w:rFonts w:ascii="仿宋" w:hAnsi="仿宋" w:eastAsia="仿宋" w:cs="仿宋"/>
          <w:szCs w:val="24"/>
          <w:highlight w:val="none"/>
          <w:lang w:val="zh-CN"/>
        </w:rPr>
      </w:pPr>
    </w:p>
    <w:p>
      <w:pPr>
        <w:autoSpaceDE w:val="0"/>
        <w:autoSpaceDN w:val="0"/>
        <w:adjustRightInd w:val="0"/>
        <w:spacing w:line="560" w:lineRule="exact"/>
        <w:ind w:left="840" w:leftChars="100" w:hanging="600"/>
        <w:rPr>
          <w:rFonts w:ascii="仿宋" w:hAnsi="仿宋" w:eastAsia="仿宋" w:cs="仿宋"/>
          <w:szCs w:val="24"/>
          <w:highlight w:val="none"/>
          <w:lang w:val="zh-CN"/>
        </w:rPr>
      </w:pPr>
    </w:p>
    <w:p>
      <w:pPr>
        <w:autoSpaceDE w:val="0"/>
        <w:autoSpaceDN w:val="0"/>
        <w:adjustRightInd w:val="0"/>
        <w:spacing w:line="560" w:lineRule="exact"/>
        <w:ind w:left="840" w:leftChars="100" w:hanging="600"/>
        <w:rPr>
          <w:rFonts w:ascii="仿宋" w:hAnsi="仿宋" w:eastAsia="仿宋" w:cs="仿宋"/>
          <w:szCs w:val="24"/>
          <w:highlight w:val="none"/>
          <w:lang w:val="zh-CN"/>
        </w:rPr>
      </w:pPr>
    </w:p>
    <w:p>
      <w:pPr>
        <w:autoSpaceDE w:val="0"/>
        <w:autoSpaceDN w:val="0"/>
        <w:adjustRightInd w:val="0"/>
        <w:spacing w:line="560" w:lineRule="exact"/>
        <w:rPr>
          <w:rFonts w:ascii="仿宋" w:hAnsi="仿宋" w:eastAsia="仿宋" w:cs="仿宋"/>
          <w:szCs w:val="24"/>
          <w:highlight w:val="none"/>
        </w:rPr>
      </w:pPr>
      <w:r>
        <w:rPr>
          <w:rFonts w:hint="eastAsia" w:ascii="仿宋" w:hAnsi="仿宋" w:eastAsia="仿宋" w:cs="仿宋"/>
          <w:szCs w:val="24"/>
          <w:highlight w:val="none"/>
          <w:lang w:val="zh-CN"/>
        </w:rPr>
        <w:t>法定代表人或被授权人（签字或盖章）：</w:t>
      </w:r>
    </w:p>
    <w:p>
      <w:pPr>
        <w:autoSpaceDE w:val="0"/>
        <w:autoSpaceDN w:val="0"/>
        <w:adjustRightInd w:val="0"/>
        <w:spacing w:line="560" w:lineRule="exact"/>
        <w:ind w:left="240" w:leftChars="100" w:firstLine="3960" w:firstLineChars="1650"/>
        <w:rPr>
          <w:rFonts w:ascii="仿宋" w:hAnsi="仿宋" w:eastAsia="仿宋" w:cs="仿宋"/>
          <w:szCs w:val="24"/>
          <w:highlight w:val="none"/>
          <w:u w:val="single"/>
          <w:lang w:val="zh-CN"/>
        </w:rPr>
      </w:pPr>
      <w:r>
        <w:rPr>
          <w:rFonts w:hint="eastAsia" w:ascii="仿宋" w:hAnsi="仿宋" w:eastAsia="仿宋" w:cs="仿宋"/>
          <w:szCs w:val="24"/>
          <w:highlight w:val="none"/>
          <w:lang w:val="zh-CN"/>
        </w:rPr>
        <w:t>联系电话/手机：</w:t>
      </w:r>
    </w:p>
    <w:p>
      <w:pPr>
        <w:spacing w:line="560" w:lineRule="exact"/>
        <w:ind w:left="240" w:leftChars="100"/>
        <w:jc w:val="center"/>
        <w:rPr>
          <w:rFonts w:ascii="仿宋" w:hAnsi="仿宋" w:eastAsia="仿宋" w:cs="仿宋"/>
          <w:szCs w:val="24"/>
          <w:highlight w:val="none"/>
        </w:rPr>
        <w:sectPr>
          <w:pgSz w:w="11905" w:h="16840"/>
          <w:pgMar w:top="1417" w:right="1417" w:bottom="1417" w:left="1417" w:header="935" w:footer="907" w:gutter="0"/>
          <w:cols w:space="0" w:num="1"/>
          <w:titlePg/>
          <w:docGrid w:linePitch="312" w:charSpace="0"/>
        </w:sectPr>
      </w:pPr>
      <w:r>
        <w:rPr>
          <w:rFonts w:hint="eastAsia" w:ascii="仿宋" w:hAnsi="仿宋" w:eastAsia="仿宋" w:cs="仿宋"/>
          <w:szCs w:val="24"/>
          <w:highlight w:val="none"/>
        </w:rPr>
        <w:t>年月日</w:t>
      </w:r>
    </w:p>
    <w:bookmarkEnd w:id="187"/>
    <w:bookmarkEnd w:id="188"/>
    <w:bookmarkEnd w:id="189"/>
    <w:bookmarkEnd w:id="190"/>
    <w:p>
      <w:pPr>
        <w:pStyle w:val="39"/>
        <w:spacing w:line="560" w:lineRule="exact"/>
        <w:ind w:firstLine="0" w:firstLineChars="0"/>
        <w:rPr>
          <w:rFonts w:ascii="仿宋" w:hAnsi="仿宋" w:eastAsia="仿宋" w:cs="仿宋"/>
          <w:bCs/>
          <w:sz w:val="24"/>
          <w:szCs w:val="21"/>
          <w:highlight w:val="none"/>
        </w:rPr>
      </w:pPr>
      <w:bookmarkStart w:id="191" w:name="_Toc6986"/>
      <w:bookmarkStart w:id="192" w:name="_Toc458617472"/>
      <w:bookmarkStart w:id="193" w:name="_Toc5497"/>
      <w:bookmarkStart w:id="194" w:name="_Toc193126889"/>
      <w:bookmarkStart w:id="195" w:name="_Toc193187105"/>
      <w:bookmarkStart w:id="196" w:name="_Toc188808840"/>
      <w:bookmarkStart w:id="197" w:name="_Toc194663926"/>
      <w:r>
        <w:rPr>
          <w:rFonts w:hint="eastAsia" w:ascii="仿宋" w:hAnsi="仿宋" w:eastAsia="仿宋" w:cs="仿宋"/>
          <w:b/>
          <w:highlight w:val="none"/>
        </w:rPr>
        <w:t>2.开标一览表</w:t>
      </w:r>
      <w:bookmarkEnd w:id="191"/>
      <w:bookmarkEnd w:id="192"/>
      <w:bookmarkEnd w:id="193"/>
      <w:r>
        <w:rPr>
          <w:rFonts w:hint="eastAsia" w:ascii="仿宋" w:hAnsi="仿宋" w:eastAsia="仿宋" w:cs="仿宋"/>
          <w:bCs/>
          <w:sz w:val="24"/>
          <w:szCs w:val="21"/>
          <w:highlight w:val="none"/>
        </w:rPr>
        <w:t>（格式）</w:t>
      </w:r>
    </w:p>
    <w:p>
      <w:pPr>
        <w:spacing w:line="560" w:lineRule="exact"/>
        <w:ind w:left="240" w:leftChars="100"/>
        <w:jc w:val="center"/>
        <w:rPr>
          <w:rFonts w:ascii="仿宋" w:hAnsi="仿宋" w:eastAsia="仿宋" w:cs="仿宋"/>
          <w:b/>
          <w:bCs/>
          <w:sz w:val="36"/>
          <w:szCs w:val="21"/>
          <w:highlight w:val="none"/>
        </w:rPr>
      </w:pPr>
    </w:p>
    <w:p>
      <w:pPr>
        <w:spacing w:line="560" w:lineRule="exact"/>
        <w:rPr>
          <w:rFonts w:ascii="仿宋" w:hAnsi="仿宋" w:eastAsia="仿宋" w:cs="仿宋"/>
          <w:b/>
          <w:bCs/>
          <w:sz w:val="36"/>
          <w:szCs w:val="21"/>
          <w:highlight w:val="none"/>
        </w:rPr>
      </w:pPr>
    </w:p>
    <w:p>
      <w:pPr>
        <w:spacing w:line="560" w:lineRule="exact"/>
        <w:ind w:firstLine="120" w:firstLineChars="50"/>
        <w:rPr>
          <w:rFonts w:ascii="仿宋" w:hAnsi="仿宋" w:eastAsia="仿宋" w:cs="仿宋"/>
          <w:bCs/>
          <w:kern w:val="0"/>
          <w:szCs w:val="24"/>
          <w:highlight w:val="none"/>
          <w:u w:val="single"/>
        </w:rPr>
      </w:pPr>
      <w:r>
        <w:rPr>
          <w:rFonts w:hint="eastAsia" w:ascii="仿宋" w:hAnsi="仿宋" w:eastAsia="仿宋" w:cs="仿宋"/>
          <w:bCs/>
          <w:kern w:val="0"/>
          <w:szCs w:val="24"/>
          <w:highlight w:val="none"/>
        </w:rPr>
        <w:t>投标人名称：</w:t>
      </w:r>
    </w:p>
    <w:tbl>
      <w:tblPr>
        <w:tblStyle w:val="23"/>
        <w:tblW w:w="143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7"/>
        <w:gridCol w:w="4489"/>
        <w:gridCol w:w="3969"/>
        <w:gridCol w:w="34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97" w:type="dxa"/>
            <w:vAlign w:val="center"/>
          </w:tcPr>
          <w:p>
            <w:pPr>
              <w:spacing w:line="560" w:lineRule="exact"/>
              <w:ind w:right="163" w:rightChars="68" w:firstLine="118" w:firstLineChars="49"/>
              <w:jc w:val="center"/>
              <w:rPr>
                <w:rFonts w:ascii="仿宋" w:hAnsi="仿宋" w:eastAsia="仿宋" w:cs="仿宋"/>
                <w:b/>
                <w:szCs w:val="24"/>
                <w:highlight w:val="none"/>
              </w:rPr>
            </w:pPr>
            <w:r>
              <w:rPr>
                <w:rFonts w:hint="eastAsia" w:ascii="仿宋" w:hAnsi="仿宋" w:eastAsia="仿宋" w:cs="仿宋"/>
                <w:b/>
                <w:szCs w:val="24"/>
                <w:highlight w:val="none"/>
              </w:rPr>
              <w:t>项目编号</w:t>
            </w:r>
          </w:p>
        </w:tc>
        <w:tc>
          <w:tcPr>
            <w:tcW w:w="4489" w:type="dxa"/>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投标总价</w:t>
            </w:r>
          </w:p>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（人民币:元）</w:t>
            </w:r>
          </w:p>
        </w:tc>
        <w:tc>
          <w:tcPr>
            <w:tcW w:w="3969" w:type="dxa"/>
            <w:tcMar>
              <w:top w:w="57" w:type="dxa"/>
              <w:left w:w="28" w:type="dxa"/>
              <w:bottom w:w="57" w:type="dxa"/>
              <w:right w:w="28" w:type="dxa"/>
            </w:tcMar>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交货期</w:t>
            </w:r>
          </w:p>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w:t>
            </w:r>
            <w:r>
              <w:rPr>
                <w:rFonts w:hint="eastAsia" w:ascii="仿宋" w:hAnsi="仿宋" w:eastAsia="仿宋" w:cs="仿宋"/>
                <w:b/>
                <w:szCs w:val="24"/>
                <w:highlight w:val="none"/>
                <w:lang w:val="en-US" w:eastAsia="zh-CN"/>
              </w:rPr>
              <w:t>工作日</w:t>
            </w:r>
            <w:r>
              <w:rPr>
                <w:rFonts w:hint="eastAsia" w:ascii="仿宋" w:hAnsi="仿宋" w:eastAsia="仿宋" w:cs="仿宋"/>
                <w:b/>
                <w:szCs w:val="24"/>
                <w:highlight w:val="none"/>
              </w:rPr>
              <w:t>）</w:t>
            </w:r>
          </w:p>
        </w:tc>
        <w:tc>
          <w:tcPr>
            <w:tcW w:w="3412" w:type="dxa"/>
            <w:tcMar>
              <w:top w:w="57" w:type="dxa"/>
              <w:left w:w="28" w:type="dxa"/>
              <w:bottom w:w="57" w:type="dxa"/>
              <w:right w:w="28" w:type="dxa"/>
            </w:tcMar>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质保期</w:t>
            </w:r>
          </w:p>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97" w:type="dxa"/>
            <w:vMerge w:val="restart"/>
            <w:vAlign w:val="center"/>
          </w:tcPr>
          <w:p>
            <w:pPr>
              <w:spacing w:line="560" w:lineRule="exact"/>
              <w:ind w:left="240" w:leftChars="100"/>
              <w:jc w:val="center"/>
              <w:rPr>
                <w:rFonts w:ascii="仿宋" w:hAnsi="仿宋" w:eastAsia="仿宋" w:cs="仿宋"/>
                <w:szCs w:val="24"/>
                <w:highlight w:val="none"/>
              </w:rPr>
            </w:pPr>
          </w:p>
        </w:tc>
        <w:tc>
          <w:tcPr>
            <w:tcW w:w="4489" w:type="dxa"/>
            <w:vAlign w:val="center"/>
          </w:tcPr>
          <w:p>
            <w:pPr>
              <w:spacing w:line="560" w:lineRule="exact"/>
              <w:ind w:left="240" w:leftChars="100"/>
              <w:jc w:val="center"/>
              <w:rPr>
                <w:rFonts w:ascii="仿宋" w:hAnsi="仿宋" w:eastAsia="仿宋" w:cs="仿宋"/>
                <w:szCs w:val="24"/>
                <w:highlight w:val="none"/>
              </w:rPr>
            </w:pPr>
          </w:p>
        </w:tc>
        <w:tc>
          <w:tcPr>
            <w:tcW w:w="3969" w:type="dxa"/>
            <w:tcMar>
              <w:top w:w="57" w:type="dxa"/>
              <w:left w:w="28" w:type="dxa"/>
              <w:bottom w:w="57" w:type="dxa"/>
              <w:right w:w="28" w:type="dxa"/>
            </w:tcMar>
            <w:vAlign w:val="center"/>
          </w:tcPr>
          <w:p>
            <w:pPr>
              <w:spacing w:line="560" w:lineRule="exact"/>
              <w:ind w:left="240" w:leftChars="100"/>
              <w:jc w:val="center"/>
              <w:rPr>
                <w:rFonts w:ascii="仿宋" w:hAnsi="仿宋" w:eastAsia="仿宋" w:cs="仿宋"/>
                <w:szCs w:val="24"/>
                <w:highlight w:val="none"/>
              </w:rPr>
            </w:pPr>
          </w:p>
        </w:tc>
        <w:tc>
          <w:tcPr>
            <w:tcW w:w="3412" w:type="dxa"/>
            <w:tcMar>
              <w:top w:w="57" w:type="dxa"/>
              <w:left w:w="28" w:type="dxa"/>
              <w:bottom w:w="57" w:type="dxa"/>
              <w:right w:w="28" w:type="dxa"/>
            </w:tcMar>
            <w:vAlign w:val="center"/>
          </w:tcPr>
          <w:p>
            <w:pPr>
              <w:spacing w:line="560" w:lineRule="exact"/>
              <w:ind w:left="240" w:leftChars="100"/>
              <w:jc w:val="center"/>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497" w:type="dxa"/>
            <w:vMerge w:val="continue"/>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870" w:type="dxa"/>
            <w:gridSpan w:val="3"/>
            <w:tcBorders>
              <w:top w:val="single" w:color="auto" w:sz="4" w:space="0"/>
            </w:tcBorders>
            <w:vAlign w:val="center"/>
          </w:tcPr>
          <w:p>
            <w:pPr>
              <w:spacing w:line="560" w:lineRule="exact"/>
              <w:ind w:left="240" w:leftChars="100"/>
              <w:rPr>
                <w:rFonts w:ascii="仿宋" w:hAnsi="仿宋" w:eastAsia="仿宋" w:cs="仿宋"/>
                <w:b/>
                <w:szCs w:val="24"/>
                <w:highlight w:val="none"/>
              </w:rPr>
            </w:pPr>
            <w:r>
              <w:rPr>
                <w:rFonts w:hint="eastAsia" w:ascii="仿宋" w:hAnsi="仿宋" w:eastAsia="仿宋" w:cs="仿宋"/>
                <w:b/>
                <w:szCs w:val="24"/>
                <w:highlight w:val="none"/>
              </w:rPr>
              <w:t xml:space="preserve">（大写）                                </w:t>
            </w:r>
          </w:p>
        </w:tc>
      </w:tr>
    </w:tbl>
    <w:p>
      <w:pPr>
        <w:spacing w:line="560" w:lineRule="exact"/>
        <w:ind w:left="240" w:leftChars="100" w:firstLine="480" w:firstLineChars="200"/>
        <w:rPr>
          <w:rFonts w:ascii="仿宋" w:hAnsi="仿宋" w:eastAsia="仿宋" w:cs="仿宋"/>
          <w:szCs w:val="24"/>
          <w:highlight w:val="none"/>
        </w:rPr>
      </w:pPr>
    </w:p>
    <w:p>
      <w:pPr>
        <w:spacing w:line="560" w:lineRule="exact"/>
        <w:rPr>
          <w:rFonts w:ascii="仿宋" w:hAnsi="仿宋" w:eastAsia="仿宋" w:cs="仿宋"/>
          <w:szCs w:val="24"/>
          <w:highlight w:val="none"/>
        </w:rPr>
      </w:pPr>
    </w:p>
    <w:p>
      <w:pPr>
        <w:spacing w:line="560" w:lineRule="exact"/>
        <w:rPr>
          <w:rFonts w:ascii="仿宋" w:hAnsi="仿宋" w:eastAsia="仿宋" w:cs="仿宋"/>
          <w:szCs w:val="24"/>
          <w:highlight w:val="none"/>
          <w:u w:val="single"/>
        </w:rPr>
      </w:pPr>
      <w:r>
        <w:rPr>
          <w:rFonts w:hint="eastAsia" w:ascii="仿宋" w:hAnsi="仿宋" w:eastAsia="仿宋" w:cs="仿宋"/>
          <w:szCs w:val="24"/>
          <w:highlight w:val="none"/>
          <w:lang w:val="zh-CN"/>
        </w:rPr>
        <w:t>法定代表人或被授权人（签字或盖章）</w:t>
      </w:r>
      <w:r>
        <w:rPr>
          <w:rFonts w:hint="eastAsia" w:ascii="仿宋" w:hAnsi="仿宋" w:eastAsia="仿宋" w:cs="仿宋"/>
          <w:szCs w:val="24"/>
          <w:highlight w:val="none"/>
        </w:rPr>
        <w:t>：（投标人单位公章）                       日 期：</w:t>
      </w:r>
    </w:p>
    <w:p>
      <w:pPr>
        <w:rPr>
          <w:rFonts w:ascii="仿宋" w:hAnsi="仿宋" w:eastAsia="仿宋" w:cs="仿宋"/>
          <w:b/>
          <w:highlight w:val="none"/>
        </w:rPr>
      </w:pPr>
      <w:bookmarkStart w:id="198" w:name="_Toc9029"/>
      <w:bookmarkStart w:id="199" w:name="_Toc10249"/>
      <w:bookmarkStart w:id="200" w:name="_Toc458617473"/>
      <w:bookmarkStart w:id="201" w:name="_Toc193126885"/>
      <w:bookmarkStart w:id="202" w:name="_Toc188808836"/>
      <w:bookmarkStart w:id="203" w:name="_Toc170980457"/>
      <w:bookmarkStart w:id="204" w:name="_Toc167849364"/>
      <w:bookmarkStart w:id="205" w:name="_Toc175033596"/>
      <w:bookmarkStart w:id="206" w:name="_Toc167591496"/>
      <w:bookmarkStart w:id="207" w:name="_Toc194663922"/>
      <w:bookmarkStart w:id="208" w:name="_Toc169838536"/>
      <w:bookmarkStart w:id="209" w:name="_Toc167591334"/>
      <w:bookmarkStart w:id="210" w:name="_Toc173549982"/>
      <w:bookmarkStart w:id="211" w:name="_Toc170980556"/>
      <w:bookmarkStart w:id="212" w:name="_Toc175032441"/>
      <w:bookmarkStart w:id="213" w:name="_Toc169846877"/>
      <w:bookmarkStart w:id="214" w:name="_Toc193187101"/>
      <w:bookmarkStart w:id="215" w:name="_Toc154482483"/>
      <w:bookmarkStart w:id="216" w:name="_Toc167591047"/>
      <w:bookmarkStart w:id="217" w:name="_Toc169846780"/>
      <w:bookmarkStart w:id="218" w:name="_Toc167591148"/>
      <w:bookmarkStart w:id="219" w:name="_Toc167590779"/>
      <w:r>
        <w:rPr>
          <w:rFonts w:hint="eastAsia" w:ascii="仿宋" w:hAnsi="仿宋" w:eastAsia="仿宋" w:cs="仿宋"/>
          <w:b/>
          <w:highlight w:val="none"/>
        </w:rPr>
        <w:br w:type="page"/>
      </w:r>
    </w:p>
    <w:p>
      <w:pPr>
        <w:pStyle w:val="39"/>
        <w:spacing w:line="560" w:lineRule="exact"/>
        <w:ind w:firstLine="0" w:firstLineChars="0"/>
        <w:rPr>
          <w:rFonts w:ascii="仿宋" w:hAnsi="仿宋" w:eastAsia="仿宋" w:cs="仿宋"/>
          <w:bCs/>
          <w:sz w:val="24"/>
          <w:szCs w:val="21"/>
          <w:highlight w:val="none"/>
        </w:rPr>
      </w:pPr>
      <w:r>
        <w:rPr>
          <w:rFonts w:hint="eastAsia" w:ascii="仿宋" w:hAnsi="仿宋" w:eastAsia="仿宋" w:cs="仿宋"/>
          <w:b/>
          <w:highlight w:val="none"/>
        </w:rPr>
        <w:t>3.投标分项报价表</w:t>
      </w:r>
      <w:bookmarkEnd w:id="198"/>
      <w:bookmarkEnd w:id="199"/>
      <w:bookmarkEnd w:id="200"/>
      <w:r>
        <w:rPr>
          <w:rFonts w:hint="eastAsia" w:ascii="仿宋" w:hAnsi="仿宋" w:eastAsia="仿宋" w:cs="仿宋"/>
          <w:bCs/>
          <w:sz w:val="24"/>
          <w:szCs w:val="21"/>
          <w:highlight w:val="none"/>
        </w:rPr>
        <w:t>（格式）</w:t>
      </w:r>
    </w:p>
    <w:p>
      <w:pPr>
        <w:spacing w:line="560" w:lineRule="exact"/>
        <w:rPr>
          <w:rFonts w:ascii="仿宋" w:hAnsi="仿宋" w:eastAsia="仿宋" w:cs="仿宋"/>
          <w:szCs w:val="24"/>
          <w:highlight w:val="none"/>
          <w:u w:val="single"/>
        </w:rPr>
      </w:pPr>
      <w:r>
        <w:rPr>
          <w:rFonts w:hint="eastAsia" w:ascii="仿宋" w:hAnsi="仿宋" w:eastAsia="仿宋" w:cs="仿宋"/>
          <w:szCs w:val="24"/>
          <w:highlight w:val="none"/>
        </w:rPr>
        <w:t>投标人名称：</w:t>
      </w:r>
      <w:r>
        <w:rPr>
          <w:rFonts w:hint="eastAsia" w:ascii="仿宋" w:hAnsi="仿宋" w:eastAsia="仿宋" w:cs="仿宋"/>
          <w:bCs/>
          <w:kern w:val="0"/>
          <w:szCs w:val="24"/>
          <w:highlight w:val="none"/>
        </w:rPr>
        <w:t>项目编号</w:t>
      </w:r>
      <w:r>
        <w:rPr>
          <w:rFonts w:hint="eastAsia" w:ascii="仿宋" w:hAnsi="仿宋" w:eastAsia="仿宋" w:cs="仿宋"/>
          <w:szCs w:val="24"/>
          <w:highlight w:val="none"/>
        </w:rPr>
        <w:t>：</w:t>
      </w:r>
    </w:p>
    <w:tbl>
      <w:tblPr>
        <w:tblStyle w:val="23"/>
        <w:tblW w:w="146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9"/>
        <w:gridCol w:w="1713"/>
        <w:gridCol w:w="1385"/>
        <w:gridCol w:w="1719"/>
        <w:gridCol w:w="943"/>
        <w:gridCol w:w="851"/>
        <w:gridCol w:w="1720"/>
        <w:gridCol w:w="1750"/>
        <w:gridCol w:w="15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71" w:type="dxa"/>
            <w:vAlign w:val="center"/>
          </w:tcPr>
          <w:p>
            <w:pPr>
              <w:spacing w:line="560" w:lineRule="exact"/>
              <w:rPr>
                <w:rFonts w:ascii="仿宋" w:hAnsi="仿宋" w:eastAsia="仿宋" w:cs="仿宋"/>
                <w:b/>
                <w:szCs w:val="24"/>
                <w:highlight w:val="none"/>
              </w:rPr>
            </w:pPr>
            <w:r>
              <w:rPr>
                <w:rFonts w:hint="eastAsia" w:ascii="仿宋" w:hAnsi="仿宋" w:eastAsia="仿宋" w:cs="仿宋"/>
                <w:b/>
                <w:szCs w:val="24"/>
                <w:highlight w:val="none"/>
              </w:rPr>
              <w:t>序号</w:t>
            </w:r>
          </w:p>
        </w:tc>
        <w:tc>
          <w:tcPr>
            <w:tcW w:w="2319" w:type="dxa"/>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名    称</w:t>
            </w:r>
          </w:p>
        </w:tc>
        <w:tc>
          <w:tcPr>
            <w:tcW w:w="1713" w:type="dxa"/>
            <w:vAlign w:val="center"/>
          </w:tcPr>
          <w:p>
            <w:pPr>
              <w:spacing w:line="560" w:lineRule="exact"/>
              <w:ind w:firstLine="116" w:firstLineChars="48"/>
              <w:rPr>
                <w:rFonts w:ascii="仿宋" w:hAnsi="仿宋" w:eastAsia="仿宋" w:cs="仿宋"/>
                <w:b/>
                <w:szCs w:val="24"/>
                <w:highlight w:val="none"/>
              </w:rPr>
            </w:pPr>
            <w:r>
              <w:rPr>
                <w:rFonts w:hint="eastAsia" w:ascii="仿宋" w:hAnsi="仿宋" w:eastAsia="仿宋" w:cs="仿宋"/>
                <w:b/>
                <w:szCs w:val="24"/>
                <w:highlight w:val="none"/>
              </w:rPr>
              <w:t>品牌/型号</w:t>
            </w:r>
          </w:p>
        </w:tc>
        <w:tc>
          <w:tcPr>
            <w:tcW w:w="1385"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制造厂家</w:t>
            </w:r>
          </w:p>
        </w:tc>
        <w:tc>
          <w:tcPr>
            <w:tcW w:w="1719" w:type="dxa"/>
            <w:vAlign w:val="center"/>
          </w:tcPr>
          <w:p>
            <w:pPr>
              <w:spacing w:line="560" w:lineRule="exact"/>
              <w:rPr>
                <w:rFonts w:ascii="仿宋" w:hAnsi="仿宋" w:eastAsia="仿宋" w:cs="仿宋"/>
                <w:b/>
                <w:szCs w:val="24"/>
                <w:highlight w:val="none"/>
              </w:rPr>
            </w:pPr>
            <w:r>
              <w:rPr>
                <w:rFonts w:hint="eastAsia" w:ascii="仿宋" w:hAnsi="仿宋" w:eastAsia="仿宋" w:cs="仿宋"/>
                <w:b/>
                <w:szCs w:val="24"/>
                <w:highlight w:val="none"/>
              </w:rPr>
              <w:t>规格和说明</w:t>
            </w:r>
          </w:p>
        </w:tc>
        <w:tc>
          <w:tcPr>
            <w:tcW w:w="943" w:type="dxa"/>
            <w:tcBorders>
              <w:top w:val="single" w:color="auto" w:sz="4" w:space="0"/>
            </w:tcBorders>
            <w:vAlign w:val="center"/>
          </w:tcPr>
          <w:p>
            <w:pPr>
              <w:spacing w:line="560" w:lineRule="exact"/>
              <w:ind w:left="14" w:leftChars="6"/>
              <w:jc w:val="center"/>
              <w:rPr>
                <w:rFonts w:ascii="仿宋" w:hAnsi="仿宋" w:eastAsia="仿宋" w:cs="仿宋"/>
                <w:b/>
                <w:szCs w:val="24"/>
                <w:highlight w:val="none"/>
              </w:rPr>
            </w:pPr>
            <w:r>
              <w:rPr>
                <w:rFonts w:hint="eastAsia" w:ascii="仿宋" w:hAnsi="仿宋" w:eastAsia="仿宋" w:cs="仿宋"/>
                <w:b/>
                <w:szCs w:val="24"/>
                <w:highlight w:val="none"/>
              </w:rPr>
              <w:t>单位</w:t>
            </w:r>
          </w:p>
        </w:tc>
        <w:tc>
          <w:tcPr>
            <w:tcW w:w="851" w:type="dxa"/>
            <w:tcBorders>
              <w:top w:val="single" w:color="auto" w:sz="4" w:space="0"/>
            </w:tcBorders>
            <w:vAlign w:val="center"/>
          </w:tcPr>
          <w:p>
            <w:pPr>
              <w:spacing w:line="560" w:lineRule="exact"/>
              <w:ind w:left="14" w:leftChars="6"/>
              <w:jc w:val="center"/>
              <w:rPr>
                <w:rFonts w:ascii="仿宋" w:hAnsi="仿宋" w:eastAsia="仿宋" w:cs="仿宋"/>
                <w:b/>
                <w:szCs w:val="24"/>
                <w:highlight w:val="none"/>
              </w:rPr>
            </w:pPr>
            <w:r>
              <w:rPr>
                <w:rFonts w:hint="eastAsia" w:ascii="仿宋" w:hAnsi="仿宋" w:eastAsia="仿宋" w:cs="仿宋"/>
                <w:b/>
                <w:szCs w:val="24"/>
                <w:highlight w:val="none"/>
              </w:rPr>
              <w:t>数量</w:t>
            </w:r>
          </w:p>
        </w:tc>
        <w:tc>
          <w:tcPr>
            <w:tcW w:w="1720" w:type="dxa"/>
            <w:tcMar>
              <w:top w:w="28" w:type="dxa"/>
              <w:left w:w="57" w:type="dxa"/>
              <w:bottom w:w="28" w:type="dxa"/>
              <w:right w:w="57" w:type="dxa"/>
            </w:tcMar>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单价</w:t>
            </w:r>
          </w:p>
          <w:p>
            <w:pPr>
              <w:spacing w:line="560" w:lineRule="exact"/>
              <w:ind w:left="53" w:leftChars="22"/>
              <w:jc w:val="center"/>
              <w:rPr>
                <w:rFonts w:ascii="仿宋" w:hAnsi="仿宋" w:eastAsia="仿宋" w:cs="仿宋"/>
                <w:b/>
                <w:szCs w:val="24"/>
                <w:highlight w:val="none"/>
              </w:rPr>
            </w:pPr>
            <w:r>
              <w:rPr>
                <w:rFonts w:hint="eastAsia" w:ascii="仿宋" w:hAnsi="仿宋" w:eastAsia="仿宋" w:cs="仿宋"/>
                <w:b/>
                <w:szCs w:val="24"/>
                <w:highlight w:val="none"/>
              </w:rPr>
              <w:t>（人民币元）</w:t>
            </w:r>
          </w:p>
        </w:tc>
        <w:tc>
          <w:tcPr>
            <w:tcW w:w="1750" w:type="dxa"/>
            <w:tcMar>
              <w:top w:w="28" w:type="dxa"/>
              <w:left w:w="57" w:type="dxa"/>
              <w:bottom w:w="28" w:type="dxa"/>
              <w:right w:w="57" w:type="dxa"/>
            </w:tcMar>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总价</w:t>
            </w:r>
          </w:p>
          <w:p>
            <w:pPr>
              <w:spacing w:line="560" w:lineRule="exact"/>
              <w:rPr>
                <w:rFonts w:ascii="仿宋" w:hAnsi="仿宋" w:eastAsia="仿宋" w:cs="仿宋"/>
                <w:b/>
                <w:szCs w:val="24"/>
                <w:highlight w:val="none"/>
              </w:rPr>
            </w:pPr>
            <w:r>
              <w:rPr>
                <w:rFonts w:hint="eastAsia" w:ascii="仿宋" w:hAnsi="仿宋" w:eastAsia="仿宋" w:cs="仿宋"/>
                <w:b/>
                <w:szCs w:val="24"/>
                <w:highlight w:val="none"/>
              </w:rPr>
              <w:t>（人民币元）</w:t>
            </w:r>
          </w:p>
        </w:tc>
        <w:tc>
          <w:tcPr>
            <w:tcW w:w="1522" w:type="dxa"/>
            <w:tcMar>
              <w:top w:w="28" w:type="dxa"/>
              <w:left w:w="57" w:type="dxa"/>
              <w:bottom w:w="28" w:type="dxa"/>
              <w:right w:w="57" w:type="dxa"/>
            </w:tcMar>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71"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2319" w:type="dxa"/>
            <w:tcBorders>
              <w:bottom w:val="single" w:color="auto" w:sz="4" w:space="0"/>
            </w:tcBorders>
            <w:tcMar>
              <w:left w:w="57" w:type="dxa"/>
              <w:right w:w="57" w:type="dxa"/>
            </w:tcMar>
            <w:vAlign w:val="center"/>
          </w:tcPr>
          <w:p>
            <w:pPr>
              <w:spacing w:line="560" w:lineRule="exact"/>
              <w:ind w:left="240" w:leftChars="100"/>
              <w:rPr>
                <w:rFonts w:ascii="仿宋" w:hAnsi="仿宋" w:eastAsia="仿宋" w:cs="仿宋"/>
                <w:szCs w:val="24"/>
                <w:highlight w:val="none"/>
              </w:rPr>
            </w:pPr>
          </w:p>
        </w:tc>
        <w:tc>
          <w:tcPr>
            <w:tcW w:w="1713"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385"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9"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943"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851"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20" w:type="dxa"/>
            <w:tcBorders>
              <w:bottom w:val="single" w:color="auto" w:sz="4" w:space="0"/>
            </w:tcBorders>
            <w:tcMar>
              <w:left w:w="57" w:type="dxa"/>
              <w:right w:w="57" w:type="dxa"/>
            </w:tcMar>
          </w:tcPr>
          <w:p>
            <w:pPr>
              <w:spacing w:line="560" w:lineRule="exact"/>
              <w:ind w:left="240" w:leftChars="100"/>
              <w:jc w:val="center"/>
              <w:rPr>
                <w:rFonts w:ascii="仿宋" w:hAnsi="仿宋" w:eastAsia="仿宋" w:cs="仿宋"/>
                <w:szCs w:val="24"/>
                <w:highlight w:val="none"/>
              </w:rPr>
            </w:pPr>
          </w:p>
        </w:tc>
        <w:tc>
          <w:tcPr>
            <w:tcW w:w="1750"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522" w:type="dxa"/>
            <w:tcBorders>
              <w:bottom w:val="single" w:color="auto" w:sz="4" w:space="0"/>
            </w:tcBorders>
            <w:tcMar>
              <w:left w:w="57" w:type="dxa"/>
              <w:right w:w="57"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71"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2319" w:type="dxa"/>
            <w:tcBorders>
              <w:bottom w:val="single" w:color="auto" w:sz="4" w:space="0"/>
            </w:tcBorders>
            <w:tcMar>
              <w:left w:w="57" w:type="dxa"/>
              <w:right w:w="57" w:type="dxa"/>
            </w:tcMar>
            <w:vAlign w:val="center"/>
          </w:tcPr>
          <w:p>
            <w:pPr>
              <w:spacing w:line="560" w:lineRule="exact"/>
              <w:ind w:left="240" w:leftChars="100"/>
              <w:rPr>
                <w:rFonts w:ascii="仿宋" w:hAnsi="仿宋" w:eastAsia="仿宋" w:cs="仿宋"/>
                <w:szCs w:val="24"/>
                <w:highlight w:val="none"/>
              </w:rPr>
            </w:pPr>
          </w:p>
        </w:tc>
        <w:tc>
          <w:tcPr>
            <w:tcW w:w="1713"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385"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9"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943"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851"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20" w:type="dxa"/>
            <w:tcBorders>
              <w:bottom w:val="single" w:color="auto" w:sz="4" w:space="0"/>
            </w:tcBorders>
            <w:tcMar>
              <w:left w:w="57" w:type="dxa"/>
              <w:right w:w="57" w:type="dxa"/>
            </w:tcMar>
          </w:tcPr>
          <w:p>
            <w:pPr>
              <w:spacing w:line="560" w:lineRule="exact"/>
              <w:ind w:left="240" w:leftChars="100"/>
              <w:jc w:val="center"/>
              <w:rPr>
                <w:rFonts w:ascii="仿宋" w:hAnsi="仿宋" w:eastAsia="仿宋" w:cs="仿宋"/>
                <w:szCs w:val="24"/>
                <w:highlight w:val="none"/>
              </w:rPr>
            </w:pPr>
          </w:p>
        </w:tc>
        <w:tc>
          <w:tcPr>
            <w:tcW w:w="1750" w:type="dxa"/>
            <w:tcBorders>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522" w:type="dxa"/>
            <w:tcBorders>
              <w:bottom w:val="single" w:color="auto" w:sz="4" w:space="0"/>
            </w:tcBorders>
            <w:tcMar>
              <w:left w:w="57" w:type="dxa"/>
              <w:right w:w="57"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2319"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3"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385"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9"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943"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851" w:type="dxa"/>
            <w:tcBorders>
              <w:top w:val="single" w:color="auto" w:sz="4" w:space="0"/>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20" w:type="dxa"/>
            <w:tcMar>
              <w:left w:w="57" w:type="dxa"/>
              <w:right w:w="57" w:type="dxa"/>
            </w:tcMar>
          </w:tcPr>
          <w:p>
            <w:pPr>
              <w:spacing w:line="560" w:lineRule="exact"/>
              <w:ind w:left="240" w:leftChars="100"/>
              <w:jc w:val="center"/>
              <w:rPr>
                <w:rFonts w:ascii="仿宋" w:hAnsi="仿宋" w:eastAsia="仿宋" w:cs="仿宋"/>
                <w:szCs w:val="24"/>
                <w:highlight w:val="none"/>
              </w:rPr>
            </w:pPr>
          </w:p>
        </w:tc>
        <w:tc>
          <w:tcPr>
            <w:tcW w:w="1750"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522" w:type="dxa"/>
            <w:tcMar>
              <w:left w:w="57" w:type="dxa"/>
              <w:right w:w="57"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2319"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3"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385"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9"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943"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851" w:type="dxa"/>
            <w:tcBorders>
              <w:top w:val="single" w:color="auto" w:sz="4" w:space="0"/>
              <w:bottom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20" w:type="dxa"/>
            <w:tcMar>
              <w:left w:w="57" w:type="dxa"/>
              <w:right w:w="57" w:type="dxa"/>
            </w:tcMar>
          </w:tcPr>
          <w:p>
            <w:pPr>
              <w:spacing w:line="560" w:lineRule="exact"/>
              <w:ind w:left="240" w:leftChars="100"/>
              <w:jc w:val="center"/>
              <w:rPr>
                <w:rFonts w:ascii="仿宋" w:hAnsi="仿宋" w:eastAsia="仿宋" w:cs="仿宋"/>
                <w:szCs w:val="24"/>
                <w:highlight w:val="none"/>
              </w:rPr>
            </w:pPr>
          </w:p>
        </w:tc>
        <w:tc>
          <w:tcPr>
            <w:tcW w:w="1750"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522" w:type="dxa"/>
            <w:tcMar>
              <w:left w:w="57" w:type="dxa"/>
              <w:right w:w="57"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2319"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3"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385"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9"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943"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851" w:type="dxa"/>
            <w:tcBorders>
              <w:top w:val="single" w:color="auto" w:sz="4" w:space="0"/>
            </w:tcBorders>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20" w:type="dxa"/>
            <w:tcMar>
              <w:left w:w="57" w:type="dxa"/>
              <w:right w:w="57" w:type="dxa"/>
            </w:tcMar>
          </w:tcPr>
          <w:p>
            <w:pPr>
              <w:spacing w:line="560" w:lineRule="exact"/>
              <w:ind w:left="240" w:leftChars="100"/>
              <w:jc w:val="center"/>
              <w:rPr>
                <w:rFonts w:ascii="仿宋" w:hAnsi="仿宋" w:eastAsia="仿宋" w:cs="仿宋"/>
                <w:szCs w:val="24"/>
                <w:highlight w:val="none"/>
              </w:rPr>
            </w:pPr>
          </w:p>
        </w:tc>
        <w:tc>
          <w:tcPr>
            <w:tcW w:w="1750"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522" w:type="dxa"/>
            <w:tcMar>
              <w:left w:w="57" w:type="dxa"/>
              <w:right w:w="57"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2319"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3"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385"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9"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943"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851"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20" w:type="dxa"/>
            <w:tcMar>
              <w:left w:w="57" w:type="dxa"/>
              <w:right w:w="57" w:type="dxa"/>
            </w:tcMar>
          </w:tcPr>
          <w:p>
            <w:pPr>
              <w:spacing w:line="560" w:lineRule="exact"/>
              <w:ind w:left="240" w:leftChars="100"/>
              <w:jc w:val="center"/>
              <w:rPr>
                <w:rFonts w:ascii="仿宋" w:hAnsi="仿宋" w:eastAsia="仿宋" w:cs="仿宋"/>
                <w:szCs w:val="24"/>
                <w:highlight w:val="none"/>
              </w:rPr>
            </w:pPr>
          </w:p>
        </w:tc>
        <w:tc>
          <w:tcPr>
            <w:tcW w:w="1750"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522" w:type="dxa"/>
            <w:tcMar>
              <w:left w:w="57" w:type="dxa"/>
              <w:right w:w="57"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2319"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3"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385"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9"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943"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851"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20" w:type="dxa"/>
            <w:tcMar>
              <w:left w:w="57" w:type="dxa"/>
              <w:right w:w="57" w:type="dxa"/>
            </w:tcMar>
          </w:tcPr>
          <w:p>
            <w:pPr>
              <w:spacing w:line="560" w:lineRule="exact"/>
              <w:ind w:left="240" w:leftChars="100"/>
              <w:jc w:val="center"/>
              <w:rPr>
                <w:rFonts w:ascii="仿宋" w:hAnsi="仿宋" w:eastAsia="仿宋" w:cs="仿宋"/>
                <w:szCs w:val="24"/>
                <w:highlight w:val="none"/>
              </w:rPr>
            </w:pPr>
          </w:p>
        </w:tc>
        <w:tc>
          <w:tcPr>
            <w:tcW w:w="1750"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522" w:type="dxa"/>
            <w:tcMar>
              <w:left w:w="57" w:type="dxa"/>
              <w:right w:w="57"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1"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2319"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3"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385"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19"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943"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851"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720" w:type="dxa"/>
            <w:tcMar>
              <w:left w:w="57" w:type="dxa"/>
              <w:right w:w="57" w:type="dxa"/>
            </w:tcMar>
          </w:tcPr>
          <w:p>
            <w:pPr>
              <w:spacing w:line="560" w:lineRule="exact"/>
              <w:ind w:left="240" w:leftChars="100"/>
              <w:jc w:val="center"/>
              <w:rPr>
                <w:rFonts w:ascii="仿宋" w:hAnsi="仿宋" w:eastAsia="仿宋" w:cs="仿宋"/>
                <w:szCs w:val="24"/>
                <w:highlight w:val="none"/>
              </w:rPr>
            </w:pPr>
          </w:p>
        </w:tc>
        <w:tc>
          <w:tcPr>
            <w:tcW w:w="1750" w:type="dxa"/>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522" w:type="dxa"/>
            <w:tcMar>
              <w:left w:w="57" w:type="dxa"/>
              <w:right w:w="57"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90" w:type="dxa"/>
            <w:gridSpan w:val="2"/>
            <w:tcMar>
              <w:left w:w="57" w:type="dxa"/>
              <w:right w:w="57" w:type="dxa"/>
            </w:tcMar>
            <w:vAlign w:val="center"/>
          </w:tcPr>
          <w:p>
            <w:pPr>
              <w:spacing w:line="560" w:lineRule="exact"/>
              <w:ind w:left="240" w:leftChars="100"/>
              <w:jc w:val="center"/>
              <w:rPr>
                <w:rFonts w:ascii="仿宋" w:hAnsi="仿宋" w:eastAsia="仿宋" w:cs="仿宋"/>
                <w:szCs w:val="24"/>
                <w:highlight w:val="none"/>
              </w:rPr>
            </w:pPr>
            <w:r>
              <w:rPr>
                <w:rFonts w:hint="eastAsia" w:ascii="仿宋" w:hAnsi="仿宋" w:eastAsia="仿宋" w:cs="仿宋"/>
                <w:szCs w:val="24"/>
                <w:highlight w:val="none"/>
              </w:rPr>
              <w:t>总 计（人民币元）</w:t>
            </w:r>
          </w:p>
        </w:tc>
        <w:tc>
          <w:tcPr>
            <w:tcW w:w="10081" w:type="dxa"/>
            <w:gridSpan w:val="7"/>
            <w:tcMar>
              <w:left w:w="57" w:type="dxa"/>
              <w:right w:w="57" w:type="dxa"/>
            </w:tcMar>
            <w:vAlign w:val="center"/>
          </w:tcPr>
          <w:p>
            <w:pPr>
              <w:spacing w:line="560" w:lineRule="exact"/>
              <w:ind w:left="240" w:leftChars="100"/>
              <w:jc w:val="center"/>
              <w:rPr>
                <w:rFonts w:ascii="仿宋" w:hAnsi="仿宋" w:eastAsia="仿宋" w:cs="仿宋"/>
                <w:szCs w:val="24"/>
                <w:highlight w:val="none"/>
              </w:rPr>
            </w:pPr>
          </w:p>
        </w:tc>
        <w:tc>
          <w:tcPr>
            <w:tcW w:w="1522" w:type="dxa"/>
            <w:tcMar>
              <w:left w:w="57" w:type="dxa"/>
              <w:right w:w="57" w:type="dxa"/>
            </w:tcMar>
            <w:vAlign w:val="center"/>
          </w:tcPr>
          <w:p>
            <w:pPr>
              <w:spacing w:line="560" w:lineRule="exact"/>
              <w:ind w:left="240" w:leftChars="100"/>
              <w:rPr>
                <w:rFonts w:ascii="仿宋" w:hAnsi="仿宋" w:eastAsia="仿宋" w:cs="仿宋"/>
                <w:szCs w:val="24"/>
                <w:highlight w:val="none"/>
              </w:rPr>
            </w:pPr>
            <w:r>
              <w:rPr>
                <w:rFonts w:hint="eastAsia" w:ascii="仿宋" w:hAnsi="仿宋" w:eastAsia="仿宋" w:cs="仿宋"/>
                <w:szCs w:val="24"/>
                <w:highlight w:val="none"/>
              </w:rPr>
              <w:t>￥：</w:t>
            </w:r>
          </w:p>
        </w:tc>
      </w:tr>
    </w:tbl>
    <w:p>
      <w:pPr>
        <w:pStyle w:val="39"/>
        <w:spacing w:line="560" w:lineRule="exact"/>
        <w:ind w:firstLine="0" w:firstLineChars="0"/>
        <w:rPr>
          <w:rFonts w:ascii="仿宋" w:hAnsi="仿宋" w:eastAsia="仿宋" w:cs="仿宋"/>
          <w:szCs w:val="24"/>
          <w:highlight w:val="none"/>
          <w:u w:val="single"/>
        </w:rPr>
      </w:pPr>
      <w:r>
        <w:rPr>
          <w:rFonts w:hint="eastAsia" w:ascii="仿宋" w:hAnsi="仿宋" w:eastAsia="仿宋" w:cs="仿宋"/>
          <w:sz w:val="24"/>
          <w:szCs w:val="24"/>
          <w:highlight w:val="none"/>
          <w:lang w:val="zh-CN"/>
        </w:rPr>
        <w:t>法定代表人或被授权人（签字或盖章）</w:t>
      </w:r>
      <w:r>
        <w:rPr>
          <w:rFonts w:hint="eastAsia" w:ascii="仿宋" w:hAnsi="仿宋" w:eastAsia="仿宋" w:cs="仿宋"/>
          <w:sz w:val="24"/>
          <w:szCs w:val="24"/>
          <w:highlight w:val="none"/>
        </w:rPr>
        <w:t>：（投标人单位公章）                     日 期：</w:t>
      </w:r>
    </w:p>
    <w:p>
      <w:pPr>
        <w:rPr>
          <w:rFonts w:ascii="仿宋" w:hAnsi="仿宋" w:eastAsia="仿宋" w:cs="仿宋"/>
          <w:szCs w:val="24"/>
          <w:highlight w:val="none"/>
          <w:u w:val="single"/>
        </w:rPr>
      </w:pPr>
      <w:r>
        <w:rPr>
          <w:rFonts w:hint="eastAsia" w:ascii="仿宋" w:hAnsi="仿宋" w:eastAsia="仿宋" w:cs="仿宋"/>
          <w:szCs w:val="24"/>
          <w:highlight w:val="none"/>
          <w:u w:val="single"/>
        </w:rPr>
        <w:br w:type="page"/>
      </w:r>
    </w:p>
    <w:p>
      <w:pPr>
        <w:pStyle w:val="39"/>
        <w:spacing w:line="560" w:lineRule="exact"/>
        <w:ind w:firstLine="0" w:firstLineChars="0"/>
        <w:rPr>
          <w:rFonts w:ascii="仿宋" w:hAnsi="仿宋" w:eastAsia="仿宋" w:cs="仿宋"/>
          <w:b/>
          <w:highlight w:val="none"/>
        </w:rPr>
      </w:pPr>
      <w:r>
        <w:rPr>
          <w:rFonts w:hint="eastAsia" w:ascii="仿宋" w:hAnsi="仿宋" w:eastAsia="仿宋" w:cs="仿宋"/>
          <w:b/>
          <w:highlight w:val="none"/>
        </w:rPr>
        <w:t xml:space="preserve">4、节能环保、环境标志产品明细表 </w:t>
      </w:r>
      <w:r>
        <w:rPr>
          <w:rFonts w:hint="eastAsia" w:ascii="仿宋" w:hAnsi="仿宋" w:eastAsia="仿宋" w:cs="仿宋"/>
          <w:bCs/>
          <w:sz w:val="24"/>
          <w:szCs w:val="24"/>
          <w:highlight w:val="none"/>
        </w:rPr>
        <w:t>（格式，若有）</w:t>
      </w:r>
    </w:p>
    <w:p>
      <w:pPr>
        <w:pStyle w:val="39"/>
        <w:spacing w:line="520" w:lineRule="exact"/>
        <w:ind w:firstLine="170" w:firstLineChars="71"/>
        <w:rPr>
          <w:rFonts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bCs/>
          <w:sz w:val="24"/>
          <w:szCs w:val="24"/>
          <w:highlight w:val="none"/>
        </w:rPr>
        <w:t>项目编号</w:t>
      </w:r>
      <w:r>
        <w:rPr>
          <w:rFonts w:hint="eastAsia" w:ascii="仿宋" w:hAnsi="仿宋" w:eastAsia="仿宋" w:cs="仿宋"/>
          <w:sz w:val="24"/>
          <w:szCs w:val="24"/>
          <w:highlight w:val="none"/>
        </w:rPr>
        <w:t>：</w:t>
      </w:r>
    </w:p>
    <w:tbl>
      <w:tblPr>
        <w:tblStyle w:val="23"/>
        <w:tblW w:w="14251" w:type="dxa"/>
        <w:jc w:val="center"/>
        <w:tblLayout w:type="fixed"/>
        <w:tblCellMar>
          <w:top w:w="0" w:type="dxa"/>
          <w:left w:w="108" w:type="dxa"/>
          <w:bottom w:w="0" w:type="dxa"/>
          <w:right w:w="108" w:type="dxa"/>
        </w:tblCellMar>
      </w:tblPr>
      <w:tblGrid>
        <w:gridCol w:w="832"/>
        <w:gridCol w:w="2268"/>
        <w:gridCol w:w="1984"/>
        <w:gridCol w:w="1844"/>
        <w:gridCol w:w="1418"/>
        <w:gridCol w:w="1843"/>
        <w:gridCol w:w="850"/>
        <w:gridCol w:w="1559"/>
        <w:gridCol w:w="1653"/>
      </w:tblGrid>
      <w:tr>
        <w:tblPrEx>
          <w:tblCellMar>
            <w:top w:w="0" w:type="dxa"/>
            <w:left w:w="108" w:type="dxa"/>
            <w:bottom w:w="0" w:type="dxa"/>
            <w:right w:w="108" w:type="dxa"/>
          </w:tblCellMar>
        </w:tblPrEx>
        <w:trPr>
          <w:trHeight w:val="241" w:hRule="atLeast"/>
          <w:jc w:val="center"/>
        </w:trPr>
        <w:tc>
          <w:tcPr>
            <w:tcW w:w="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520" w:lineRule="exact"/>
              <w:jc w:val="center"/>
              <w:rPr>
                <w:rFonts w:ascii="仿宋" w:hAnsi="仿宋" w:eastAsia="仿宋" w:cs="仿宋"/>
                <w:b/>
                <w:szCs w:val="24"/>
                <w:highlight w:val="none"/>
              </w:rPr>
            </w:pPr>
            <w:r>
              <w:rPr>
                <w:rFonts w:hint="eastAsia" w:ascii="仿宋" w:hAnsi="仿宋" w:eastAsia="仿宋" w:cs="仿宋"/>
                <w:b/>
                <w:szCs w:val="24"/>
                <w:highlight w:val="none"/>
              </w:rPr>
              <w:t>序号</w:t>
            </w: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520" w:lineRule="exact"/>
              <w:jc w:val="center"/>
              <w:rPr>
                <w:rFonts w:ascii="仿宋" w:hAnsi="仿宋" w:eastAsia="仿宋" w:cs="仿宋"/>
                <w:b/>
                <w:szCs w:val="24"/>
                <w:highlight w:val="none"/>
              </w:rPr>
            </w:pPr>
            <w:r>
              <w:rPr>
                <w:rFonts w:hint="eastAsia" w:ascii="仿宋" w:hAnsi="仿宋" w:eastAsia="仿宋" w:cs="仿宋"/>
                <w:b/>
                <w:szCs w:val="24"/>
                <w:highlight w:val="none"/>
              </w:rPr>
              <w:t>产品名称</w:t>
            </w:r>
          </w:p>
        </w:tc>
        <w:tc>
          <w:tcPr>
            <w:tcW w:w="1984"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spacing w:line="520" w:lineRule="exact"/>
              <w:jc w:val="center"/>
              <w:rPr>
                <w:rFonts w:ascii="仿宋" w:hAnsi="仿宋" w:eastAsia="仿宋" w:cs="仿宋"/>
                <w:b/>
                <w:szCs w:val="24"/>
                <w:highlight w:val="none"/>
              </w:rPr>
            </w:pPr>
            <w:r>
              <w:rPr>
                <w:rFonts w:hint="eastAsia" w:ascii="仿宋" w:hAnsi="仿宋" w:eastAsia="仿宋" w:cs="仿宋"/>
                <w:b/>
                <w:szCs w:val="24"/>
                <w:highlight w:val="none"/>
              </w:rPr>
              <w:t>制造厂家</w:t>
            </w:r>
          </w:p>
        </w:tc>
        <w:tc>
          <w:tcPr>
            <w:tcW w:w="1844"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spacing w:line="520" w:lineRule="exact"/>
              <w:jc w:val="center"/>
              <w:rPr>
                <w:rFonts w:ascii="仿宋" w:hAnsi="仿宋" w:eastAsia="仿宋" w:cs="仿宋"/>
                <w:b/>
                <w:szCs w:val="24"/>
                <w:highlight w:val="none"/>
              </w:rPr>
            </w:pPr>
            <w:r>
              <w:rPr>
                <w:rFonts w:hint="eastAsia" w:ascii="仿宋" w:hAnsi="仿宋" w:eastAsia="仿宋" w:cs="仿宋"/>
                <w:b/>
                <w:szCs w:val="24"/>
                <w:highlight w:val="none"/>
              </w:rPr>
              <w:t>规格型号</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520" w:lineRule="exact"/>
              <w:jc w:val="center"/>
              <w:rPr>
                <w:rFonts w:ascii="仿宋" w:hAnsi="仿宋" w:eastAsia="仿宋" w:cs="仿宋"/>
                <w:b/>
                <w:szCs w:val="24"/>
                <w:highlight w:val="none"/>
              </w:rPr>
            </w:pPr>
            <w:r>
              <w:rPr>
                <w:rFonts w:hint="eastAsia" w:ascii="仿宋" w:hAnsi="仿宋" w:eastAsia="仿宋" w:cs="仿宋"/>
                <w:b/>
                <w:szCs w:val="24"/>
                <w:highlight w:val="none"/>
              </w:rPr>
              <w:t>类别</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520" w:lineRule="exact"/>
              <w:jc w:val="center"/>
              <w:rPr>
                <w:rFonts w:ascii="仿宋" w:hAnsi="仿宋" w:eastAsia="仿宋" w:cs="仿宋"/>
                <w:b/>
                <w:szCs w:val="24"/>
                <w:highlight w:val="none"/>
              </w:rPr>
            </w:pPr>
            <w:r>
              <w:rPr>
                <w:rFonts w:hint="eastAsia" w:ascii="仿宋" w:hAnsi="仿宋" w:eastAsia="仿宋" w:cs="仿宋"/>
                <w:b/>
                <w:szCs w:val="24"/>
                <w:highlight w:val="none"/>
              </w:rPr>
              <w:t>认证证书编号</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520" w:lineRule="exact"/>
              <w:jc w:val="center"/>
              <w:rPr>
                <w:rFonts w:ascii="仿宋" w:hAnsi="仿宋" w:eastAsia="仿宋" w:cs="仿宋"/>
                <w:b/>
                <w:szCs w:val="24"/>
                <w:highlight w:val="none"/>
              </w:rPr>
            </w:pPr>
            <w:r>
              <w:rPr>
                <w:rFonts w:hint="eastAsia" w:ascii="仿宋" w:hAnsi="仿宋" w:eastAsia="仿宋" w:cs="仿宋"/>
                <w:b/>
                <w:szCs w:val="24"/>
                <w:highlight w:val="none"/>
              </w:rPr>
              <w:t>数量</w:t>
            </w:r>
          </w:p>
        </w:tc>
        <w:tc>
          <w:tcPr>
            <w:tcW w:w="15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520" w:lineRule="exact"/>
              <w:jc w:val="center"/>
              <w:rPr>
                <w:rFonts w:ascii="仿宋" w:hAnsi="仿宋" w:eastAsia="仿宋" w:cs="仿宋"/>
                <w:b/>
                <w:szCs w:val="24"/>
                <w:highlight w:val="none"/>
              </w:rPr>
            </w:pPr>
            <w:r>
              <w:rPr>
                <w:rFonts w:hint="eastAsia" w:ascii="仿宋" w:hAnsi="仿宋" w:eastAsia="仿宋" w:cs="仿宋"/>
                <w:b/>
                <w:szCs w:val="24"/>
                <w:highlight w:val="none"/>
              </w:rPr>
              <w:t>单价</w:t>
            </w:r>
          </w:p>
          <w:p>
            <w:pPr>
              <w:autoSpaceDE w:val="0"/>
              <w:autoSpaceDN w:val="0"/>
              <w:adjustRightInd w:val="0"/>
              <w:snapToGrid w:val="0"/>
              <w:spacing w:line="520" w:lineRule="exact"/>
              <w:jc w:val="center"/>
              <w:rPr>
                <w:rFonts w:ascii="仿宋" w:hAnsi="仿宋" w:eastAsia="仿宋" w:cs="仿宋"/>
                <w:b/>
                <w:szCs w:val="24"/>
                <w:highlight w:val="none"/>
              </w:rPr>
            </w:pPr>
            <w:r>
              <w:rPr>
                <w:rFonts w:hint="eastAsia" w:ascii="仿宋" w:hAnsi="仿宋" w:eastAsia="仿宋" w:cs="仿宋"/>
                <w:b/>
                <w:szCs w:val="24"/>
                <w:highlight w:val="none"/>
              </w:rPr>
              <w:t>（人民币元）</w:t>
            </w:r>
          </w:p>
        </w:tc>
        <w:tc>
          <w:tcPr>
            <w:tcW w:w="165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spacing w:line="520" w:lineRule="exact"/>
              <w:jc w:val="center"/>
              <w:rPr>
                <w:rFonts w:ascii="仿宋" w:hAnsi="仿宋" w:eastAsia="仿宋" w:cs="仿宋"/>
                <w:b/>
                <w:szCs w:val="24"/>
                <w:highlight w:val="none"/>
              </w:rPr>
            </w:pPr>
            <w:r>
              <w:rPr>
                <w:rFonts w:hint="eastAsia" w:ascii="仿宋" w:hAnsi="仿宋" w:eastAsia="仿宋" w:cs="仿宋"/>
                <w:b/>
                <w:szCs w:val="24"/>
                <w:highlight w:val="none"/>
              </w:rPr>
              <w:t>总价</w:t>
            </w:r>
          </w:p>
          <w:p>
            <w:pPr>
              <w:autoSpaceDE w:val="0"/>
              <w:autoSpaceDN w:val="0"/>
              <w:adjustRightInd w:val="0"/>
              <w:snapToGrid w:val="0"/>
              <w:spacing w:line="520" w:lineRule="exact"/>
              <w:jc w:val="center"/>
              <w:rPr>
                <w:rFonts w:ascii="仿宋" w:hAnsi="仿宋" w:eastAsia="仿宋" w:cs="仿宋"/>
                <w:b/>
                <w:szCs w:val="24"/>
                <w:highlight w:val="none"/>
              </w:rPr>
            </w:pPr>
            <w:r>
              <w:rPr>
                <w:rFonts w:hint="eastAsia" w:ascii="仿宋" w:hAnsi="仿宋" w:eastAsia="仿宋" w:cs="仿宋"/>
                <w:b/>
                <w:szCs w:val="24"/>
                <w:highlight w:val="none"/>
              </w:rPr>
              <w:t>（人民币元）</w:t>
            </w: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984"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520" w:lineRule="exact"/>
              <w:rPr>
                <w:rFonts w:ascii="仿宋" w:hAnsi="仿宋" w:eastAsia="仿宋" w:cs="仿宋"/>
                <w:highlight w:val="none"/>
              </w:rPr>
            </w:pPr>
          </w:p>
        </w:tc>
        <w:tc>
          <w:tcPr>
            <w:tcW w:w="1844"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6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984"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520" w:lineRule="exact"/>
              <w:rPr>
                <w:rFonts w:ascii="仿宋" w:hAnsi="仿宋" w:eastAsia="仿宋" w:cs="仿宋"/>
                <w:highlight w:val="none"/>
              </w:rPr>
            </w:pPr>
          </w:p>
        </w:tc>
        <w:tc>
          <w:tcPr>
            <w:tcW w:w="1844"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6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984"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520" w:lineRule="exact"/>
              <w:rPr>
                <w:rFonts w:ascii="仿宋" w:hAnsi="仿宋" w:eastAsia="仿宋" w:cs="仿宋"/>
                <w:highlight w:val="none"/>
              </w:rPr>
            </w:pPr>
          </w:p>
        </w:tc>
        <w:tc>
          <w:tcPr>
            <w:tcW w:w="1844"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6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984"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520" w:lineRule="exact"/>
              <w:rPr>
                <w:rFonts w:ascii="仿宋" w:hAnsi="仿宋" w:eastAsia="仿宋" w:cs="仿宋"/>
                <w:highlight w:val="none"/>
              </w:rPr>
            </w:pPr>
          </w:p>
        </w:tc>
        <w:tc>
          <w:tcPr>
            <w:tcW w:w="1844"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6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984"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520" w:lineRule="exact"/>
              <w:rPr>
                <w:rFonts w:ascii="仿宋" w:hAnsi="仿宋" w:eastAsia="仿宋" w:cs="仿宋"/>
                <w:highlight w:val="none"/>
              </w:rPr>
            </w:pPr>
          </w:p>
        </w:tc>
        <w:tc>
          <w:tcPr>
            <w:tcW w:w="1844"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6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984"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520" w:lineRule="exact"/>
              <w:rPr>
                <w:rFonts w:ascii="仿宋" w:hAnsi="仿宋" w:eastAsia="仿宋" w:cs="仿宋"/>
                <w:highlight w:val="none"/>
              </w:rPr>
            </w:pPr>
          </w:p>
        </w:tc>
        <w:tc>
          <w:tcPr>
            <w:tcW w:w="1844"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6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984"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520" w:lineRule="exact"/>
              <w:rPr>
                <w:rFonts w:ascii="仿宋" w:hAnsi="仿宋" w:eastAsia="仿宋" w:cs="仿宋"/>
                <w:highlight w:val="none"/>
              </w:rPr>
            </w:pPr>
          </w:p>
        </w:tc>
        <w:tc>
          <w:tcPr>
            <w:tcW w:w="1844"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6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r>
      <w:tr>
        <w:tblPrEx>
          <w:tblCellMar>
            <w:top w:w="0" w:type="dxa"/>
            <w:left w:w="108" w:type="dxa"/>
            <w:bottom w:w="0" w:type="dxa"/>
            <w:right w:w="108" w:type="dxa"/>
          </w:tblCellMar>
        </w:tblPrEx>
        <w:trPr>
          <w:trHeight w:val="379" w:hRule="atLeast"/>
          <w:jc w:val="center"/>
        </w:trPr>
        <w:tc>
          <w:tcPr>
            <w:tcW w:w="832"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226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984" w:type="dxa"/>
            <w:tcBorders>
              <w:top w:val="single" w:color="auto" w:sz="6" w:space="0"/>
              <w:left w:val="single" w:color="auto" w:sz="6" w:space="0"/>
              <w:bottom w:val="single" w:color="auto" w:sz="6" w:space="0"/>
              <w:right w:val="single" w:color="auto" w:sz="4" w:space="0"/>
            </w:tcBorders>
          </w:tcPr>
          <w:p>
            <w:pPr>
              <w:autoSpaceDE w:val="0"/>
              <w:autoSpaceDN w:val="0"/>
              <w:adjustRightInd w:val="0"/>
              <w:snapToGrid w:val="0"/>
              <w:spacing w:line="520" w:lineRule="exact"/>
              <w:rPr>
                <w:rFonts w:ascii="仿宋" w:hAnsi="仿宋" w:eastAsia="仿宋" w:cs="仿宋"/>
                <w:highlight w:val="none"/>
              </w:rPr>
            </w:pPr>
          </w:p>
        </w:tc>
        <w:tc>
          <w:tcPr>
            <w:tcW w:w="1844" w:type="dxa"/>
            <w:tcBorders>
              <w:top w:val="single" w:color="auto" w:sz="6" w:space="0"/>
              <w:left w:val="single" w:color="auto" w:sz="4"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84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850"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c>
          <w:tcPr>
            <w:tcW w:w="1653" w:type="dxa"/>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rPr>
                <w:rFonts w:ascii="仿宋" w:hAnsi="仿宋" w:eastAsia="仿宋" w:cs="仿宋"/>
                <w:highlight w:val="none"/>
              </w:rPr>
            </w:pPr>
          </w:p>
        </w:tc>
      </w:tr>
      <w:tr>
        <w:tblPrEx>
          <w:tblCellMar>
            <w:top w:w="0" w:type="dxa"/>
            <w:left w:w="108" w:type="dxa"/>
            <w:bottom w:w="0" w:type="dxa"/>
            <w:right w:w="108" w:type="dxa"/>
          </w:tblCellMar>
        </w:tblPrEx>
        <w:trPr>
          <w:trHeight w:val="379" w:hRule="atLeast"/>
          <w:jc w:val="center"/>
        </w:trPr>
        <w:tc>
          <w:tcPr>
            <w:tcW w:w="8346" w:type="dxa"/>
            <w:gridSpan w:val="5"/>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jc w:val="center"/>
              <w:rPr>
                <w:rFonts w:ascii="仿宋" w:hAnsi="仿宋" w:eastAsia="仿宋" w:cs="仿宋"/>
                <w:highlight w:val="none"/>
              </w:rPr>
            </w:pPr>
            <w:r>
              <w:rPr>
                <w:rFonts w:hint="eastAsia" w:ascii="仿宋" w:hAnsi="仿宋" w:eastAsia="仿宋" w:cs="仿宋"/>
                <w:highlight w:val="none"/>
              </w:rPr>
              <w:t>合计（人民币</w:t>
            </w:r>
            <w:r>
              <w:rPr>
                <w:rFonts w:hint="eastAsia" w:ascii="仿宋" w:hAnsi="仿宋" w:eastAsia="仿宋" w:cs="仿宋"/>
                <w:szCs w:val="24"/>
                <w:highlight w:val="none"/>
              </w:rPr>
              <w:t>元</w:t>
            </w:r>
            <w:r>
              <w:rPr>
                <w:rFonts w:hint="eastAsia" w:ascii="仿宋" w:hAnsi="仿宋" w:eastAsia="仿宋" w:cs="仿宋"/>
                <w:highlight w:val="none"/>
              </w:rPr>
              <w:t>）</w:t>
            </w:r>
          </w:p>
        </w:tc>
        <w:tc>
          <w:tcPr>
            <w:tcW w:w="5905" w:type="dxa"/>
            <w:gridSpan w:val="4"/>
            <w:tcBorders>
              <w:top w:val="single" w:color="auto" w:sz="6" w:space="0"/>
              <w:left w:val="single" w:color="auto" w:sz="6" w:space="0"/>
              <w:bottom w:val="single" w:color="auto" w:sz="6" w:space="0"/>
              <w:right w:val="single" w:color="auto" w:sz="6" w:space="0"/>
            </w:tcBorders>
          </w:tcPr>
          <w:p>
            <w:pPr>
              <w:autoSpaceDE w:val="0"/>
              <w:autoSpaceDN w:val="0"/>
              <w:adjustRightInd w:val="0"/>
              <w:snapToGrid w:val="0"/>
              <w:spacing w:line="520" w:lineRule="exact"/>
              <w:jc w:val="center"/>
              <w:rPr>
                <w:rFonts w:ascii="仿宋" w:hAnsi="仿宋" w:eastAsia="仿宋" w:cs="仿宋"/>
                <w:highlight w:val="none"/>
              </w:rPr>
            </w:pPr>
          </w:p>
        </w:tc>
      </w:tr>
    </w:tbl>
    <w:p>
      <w:pPr>
        <w:autoSpaceDE w:val="0"/>
        <w:autoSpaceDN w:val="0"/>
        <w:adjustRightInd w:val="0"/>
        <w:snapToGrid w:val="0"/>
        <w:spacing w:line="520" w:lineRule="exact"/>
        <w:rPr>
          <w:rFonts w:ascii="仿宋" w:hAnsi="仿宋" w:eastAsia="仿宋" w:cs="仿宋"/>
          <w:szCs w:val="21"/>
          <w:highlight w:val="none"/>
          <w:lang w:val="zh-CN"/>
        </w:rPr>
      </w:pPr>
      <w:r>
        <w:rPr>
          <w:rFonts w:hint="eastAsia" w:ascii="仿宋" w:hAnsi="仿宋" w:eastAsia="仿宋" w:cs="仿宋"/>
          <w:szCs w:val="21"/>
          <w:highlight w:val="none"/>
          <w:lang w:val="zh-CN"/>
        </w:rPr>
        <w:t>注：如投标产品为节能环保、环境标志产品，须按格式逐项填写，并附相关证明，否则评审时不予计分，没有请填“无”。</w:t>
      </w:r>
    </w:p>
    <w:p>
      <w:pPr>
        <w:autoSpaceDE w:val="0"/>
        <w:autoSpaceDN w:val="0"/>
        <w:adjustRightInd w:val="0"/>
        <w:snapToGrid w:val="0"/>
        <w:spacing w:line="520" w:lineRule="exact"/>
        <w:rPr>
          <w:rFonts w:ascii="仿宋" w:hAnsi="仿宋" w:eastAsia="仿宋" w:cs="仿宋"/>
          <w:szCs w:val="21"/>
          <w:highlight w:val="none"/>
          <w:lang w:val="zh-CN"/>
        </w:rPr>
      </w:pPr>
      <w:r>
        <w:rPr>
          <w:rFonts w:hint="eastAsia" w:ascii="仿宋" w:hAnsi="仿宋" w:eastAsia="仿宋" w:cs="仿宋"/>
          <w:szCs w:val="24"/>
          <w:highlight w:val="none"/>
          <w:lang w:val="zh-CN"/>
        </w:rPr>
        <w:t>法定代表人或被授权人（签字或盖章）</w:t>
      </w:r>
      <w:r>
        <w:rPr>
          <w:rFonts w:hint="eastAsia" w:ascii="仿宋" w:hAnsi="仿宋" w:eastAsia="仿宋" w:cs="仿宋"/>
          <w:szCs w:val="24"/>
          <w:highlight w:val="none"/>
        </w:rPr>
        <w:t>：（投标人单位公章）                     日 期：</w:t>
      </w:r>
    </w:p>
    <w:p>
      <w:pPr>
        <w:rPr>
          <w:rFonts w:ascii="仿宋" w:hAnsi="仿宋" w:eastAsia="仿宋" w:cs="仿宋"/>
          <w:b/>
          <w:highlight w:val="none"/>
        </w:rPr>
      </w:pPr>
      <w:bookmarkStart w:id="220" w:name="_Toc458617474"/>
      <w:bookmarkStart w:id="221" w:name="_Toc17354"/>
      <w:bookmarkStart w:id="222" w:name="_Toc194663921"/>
      <w:bookmarkStart w:id="223" w:name="_Toc4842"/>
      <w:bookmarkStart w:id="224" w:name="_Toc193187100"/>
      <w:bookmarkStart w:id="225" w:name="_Toc193126884"/>
      <w:r>
        <w:rPr>
          <w:rFonts w:hint="eastAsia" w:ascii="仿宋" w:hAnsi="仿宋" w:eastAsia="仿宋" w:cs="仿宋"/>
          <w:b/>
          <w:highlight w:val="none"/>
        </w:rPr>
        <w:br w:type="page"/>
      </w:r>
    </w:p>
    <w:p>
      <w:pPr>
        <w:pStyle w:val="39"/>
        <w:spacing w:line="560" w:lineRule="exact"/>
        <w:ind w:firstLineChars="71"/>
        <w:rPr>
          <w:rFonts w:ascii="仿宋" w:hAnsi="仿宋" w:eastAsia="仿宋" w:cs="仿宋"/>
          <w:sz w:val="24"/>
          <w:szCs w:val="24"/>
          <w:highlight w:val="none"/>
        </w:rPr>
      </w:pPr>
      <w:r>
        <w:rPr>
          <w:rFonts w:hint="eastAsia" w:ascii="仿宋" w:hAnsi="仿宋" w:eastAsia="仿宋" w:cs="仿宋"/>
          <w:b/>
          <w:highlight w:val="none"/>
        </w:rPr>
        <w:t>5.选配件报价表</w:t>
      </w:r>
      <w:bookmarkEnd w:id="220"/>
      <w:bookmarkEnd w:id="221"/>
      <w:bookmarkEnd w:id="222"/>
      <w:bookmarkEnd w:id="223"/>
      <w:bookmarkEnd w:id="224"/>
      <w:bookmarkEnd w:id="225"/>
      <w:r>
        <w:rPr>
          <w:rFonts w:hint="eastAsia" w:ascii="仿宋" w:hAnsi="仿宋" w:eastAsia="仿宋" w:cs="仿宋"/>
          <w:bCs/>
          <w:sz w:val="24"/>
          <w:szCs w:val="24"/>
          <w:highlight w:val="none"/>
        </w:rPr>
        <w:t>（格式，若有）</w:t>
      </w:r>
    </w:p>
    <w:p>
      <w:pPr>
        <w:spacing w:line="560" w:lineRule="exact"/>
        <w:ind w:left="240" w:leftChars="100"/>
        <w:rPr>
          <w:rFonts w:ascii="仿宋" w:hAnsi="仿宋" w:eastAsia="仿宋" w:cs="仿宋"/>
          <w:szCs w:val="24"/>
          <w:highlight w:val="none"/>
          <w:u w:val="single"/>
        </w:rPr>
      </w:pPr>
      <w:r>
        <w:rPr>
          <w:rFonts w:hint="eastAsia" w:ascii="仿宋" w:hAnsi="仿宋" w:eastAsia="仿宋" w:cs="仿宋"/>
          <w:szCs w:val="24"/>
          <w:highlight w:val="none"/>
        </w:rPr>
        <w:t>投标人名称：                                  项目编号：</w:t>
      </w:r>
    </w:p>
    <w:tbl>
      <w:tblPr>
        <w:tblStyle w:val="23"/>
        <w:tblW w:w="146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701"/>
        <w:gridCol w:w="1417"/>
        <w:gridCol w:w="1843"/>
        <w:gridCol w:w="992"/>
        <w:gridCol w:w="1134"/>
        <w:gridCol w:w="1701"/>
        <w:gridCol w:w="1701"/>
        <w:gridCol w:w="14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序号</w:t>
            </w:r>
          </w:p>
        </w:tc>
        <w:tc>
          <w:tcPr>
            <w:tcW w:w="1843" w:type="dxa"/>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名   称</w:t>
            </w:r>
          </w:p>
        </w:tc>
        <w:tc>
          <w:tcPr>
            <w:tcW w:w="1701"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品牌/型号</w:t>
            </w:r>
          </w:p>
        </w:tc>
        <w:tc>
          <w:tcPr>
            <w:tcW w:w="1417"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制造厂家</w:t>
            </w:r>
          </w:p>
        </w:tc>
        <w:tc>
          <w:tcPr>
            <w:tcW w:w="1843"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规格和说明</w:t>
            </w:r>
          </w:p>
        </w:tc>
        <w:tc>
          <w:tcPr>
            <w:tcW w:w="992"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单位</w:t>
            </w:r>
          </w:p>
        </w:tc>
        <w:tc>
          <w:tcPr>
            <w:tcW w:w="1134"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数量</w:t>
            </w:r>
          </w:p>
        </w:tc>
        <w:tc>
          <w:tcPr>
            <w:tcW w:w="1701" w:type="dxa"/>
            <w:vAlign w:val="center"/>
          </w:tcPr>
          <w:p>
            <w:pPr>
              <w:spacing w:line="560" w:lineRule="exact"/>
              <w:ind w:firstLine="472" w:firstLineChars="196"/>
              <w:rPr>
                <w:rFonts w:ascii="仿宋" w:hAnsi="仿宋" w:eastAsia="仿宋" w:cs="仿宋"/>
                <w:b/>
                <w:szCs w:val="24"/>
                <w:highlight w:val="none"/>
              </w:rPr>
            </w:pPr>
            <w:r>
              <w:rPr>
                <w:rFonts w:hint="eastAsia" w:ascii="仿宋" w:hAnsi="仿宋" w:eastAsia="仿宋" w:cs="仿宋"/>
                <w:b/>
                <w:szCs w:val="24"/>
                <w:highlight w:val="none"/>
              </w:rPr>
              <w:t>单价</w:t>
            </w:r>
          </w:p>
          <w:p>
            <w:pPr>
              <w:spacing w:line="560" w:lineRule="exact"/>
              <w:rPr>
                <w:rFonts w:ascii="仿宋" w:hAnsi="仿宋" w:eastAsia="仿宋" w:cs="仿宋"/>
                <w:b/>
                <w:szCs w:val="24"/>
                <w:highlight w:val="none"/>
              </w:rPr>
            </w:pPr>
            <w:r>
              <w:rPr>
                <w:rFonts w:hint="eastAsia" w:ascii="仿宋" w:hAnsi="仿宋" w:eastAsia="仿宋" w:cs="仿宋"/>
                <w:b/>
                <w:szCs w:val="24"/>
                <w:highlight w:val="none"/>
              </w:rPr>
              <w:t>（人民币元）</w:t>
            </w:r>
          </w:p>
        </w:tc>
        <w:tc>
          <w:tcPr>
            <w:tcW w:w="1701" w:type="dxa"/>
            <w:vAlign w:val="center"/>
          </w:tcPr>
          <w:p>
            <w:pPr>
              <w:spacing w:line="560" w:lineRule="exact"/>
              <w:ind w:firstLine="472" w:firstLineChars="196"/>
              <w:rPr>
                <w:rFonts w:ascii="仿宋" w:hAnsi="仿宋" w:eastAsia="仿宋" w:cs="仿宋"/>
                <w:b/>
                <w:szCs w:val="24"/>
                <w:highlight w:val="none"/>
              </w:rPr>
            </w:pPr>
            <w:r>
              <w:rPr>
                <w:rFonts w:hint="eastAsia" w:ascii="仿宋" w:hAnsi="仿宋" w:eastAsia="仿宋" w:cs="仿宋"/>
                <w:b/>
                <w:szCs w:val="24"/>
                <w:highlight w:val="none"/>
              </w:rPr>
              <w:t>总价</w:t>
            </w:r>
          </w:p>
          <w:p>
            <w:pPr>
              <w:spacing w:line="560" w:lineRule="exact"/>
              <w:rPr>
                <w:rFonts w:ascii="仿宋" w:hAnsi="仿宋" w:eastAsia="仿宋" w:cs="仿宋"/>
                <w:b/>
                <w:szCs w:val="24"/>
                <w:highlight w:val="none"/>
              </w:rPr>
            </w:pPr>
            <w:r>
              <w:rPr>
                <w:rFonts w:hint="eastAsia" w:ascii="仿宋" w:hAnsi="仿宋" w:eastAsia="仿宋" w:cs="仿宋"/>
                <w:b/>
                <w:szCs w:val="24"/>
                <w:highlight w:val="none"/>
              </w:rPr>
              <w:t>（人民币元）</w:t>
            </w:r>
          </w:p>
        </w:tc>
        <w:tc>
          <w:tcPr>
            <w:tcW w:w="1428" w:type="dxa"/>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17" w:type="dxa"/>
            <w:vAlign w:val="center"/>
          </w:tcPr>
          <w:p>
            <w:pPr>
              <w:spacing w:line="560" w:lineRule="exact"/>
              <w:ind w:left="240" w:leftChars="100"/>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992" w:type="dxa"/>
            <w:vAlign w:val="center"/>
          </w:tcPr>
          <w:p>
            <w:pPr>
              <w:spacing w:line="560" w:lineRule="exact"/>
              <w:ind w:left="240" w:leftChars="100"/>
              <w:rPr>
                <w:rFonts w:ascii="仿宋" w:hAnsi="仿宋" w:eastAsia="仿宋" w:cs="仿宋"/>
                <w:szCs w:val="24"/>
                <w:highlight w:val="none"/>
              </w:rPr>
            </w:pPr>
          </w:p>
        </w:tc>
        <w:tc>
          <w:tcPr>
            <w:tcW w:w="1134"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jc w:val="center"/>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28" w:type="dxa"/>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17" w:type="dxa"/>
            <w:vAlign w:val="center"/>
          </w:tcPr>
          <w:p>
            <w:pPr>
              <w:spacing w:line="560" w:lineRule="exact"/>
              <w:ind w:left="240" w:leftChars="100"/>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992" w:type="dxa"/>
            <w:vAlign w:val="center"/>
          </w:tcPr>
          <w:p>
            <w:pPr>
              <w:spacing w:line="560" w:lineRule="exact"/>
              <w:ind w:left="240" w:leftChars="100"/>
              <w:rPr>
                <w:rFonts w:ascii="仿宋" w:hAnsi="仿宋" w:eastAsia="仿宋" w:cs="仿宋"/>
                <w:szCs w:val="24"/>
                <w:highlight w:val="none"/>
              </w:rPr>
            </w:pPr>
          </w:p>
        </w:tc>
        <w:tc>
          <w:tcPr>
            <w:tcW w:w="1134"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jc w:val="center"/>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28" w:type="dxa"/>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17" w:type="dxa"/>
            <w:vAlign w:val="center"/>
          </w:tcPr>
          <w:p>
            <w:pPr>
              <w:spacing w:line="560" w:lineRule="exact"/>
              <w:ind w:left="240" w:leftChars="100"/>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992" w:type="dxa"/>
            <w:vAlign w:val="center"/>
          </w:tcPr>
          <w:p>
            <w:pPr>
              <w:spacing w:line="560" w:lineRule="exact"/>
              <w:ind w:left="240" w:leftChars="100"/>
              <w:rPr>
                <w:rFonts w:ascii="仿宋" w:hAnsi="仿宋" w:eastAsia="仿宋" w:cs="仿宋"/>
                <w:szCs w:val="24"/>
                <w:highlight w:val="none"/>
              </w:rPr>
            </w:pPr>
          </w:p>
        </w:tc>
        <w:tc>
          <w:tcPr>
            <w:tcW w:w="1134"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jc w:val="center"/>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28" w:type="dxa"/>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tcBorders>
              <w:bottom w:val="single" w:color="auto" w:sz="4" w:space="0"/>
            </w:tcBorders>
            <w:vAlign w:val="center"/>
          </w:tcPr>
          <w:p>
            <w:pPr>
              <w:spacing w:line="560" w:lineRule="exact"/>
              <w:ind w:left="240" w:leftChars="100"/>
              <w:jc w:val="center"/>
              <w:rPr>
                <w:rFonts w:ascii="仿宋" w:hAnsi="仿宋" w:eastAsia="仿宋" w:cs="仿宋"/>
                <w:szCs w:val="24"/>
                <w:highlight w:val="none"/>
              </w:rPr>
            </w:pPr>
          </w:p>
        </w:tc>
        <w:tc>
          <w:tcPr>
            <w:tcW w:w="1843" w:type="dxa"/>
            <w:tcBorders>
              <w:bottom w:val="single" w:color="auto" w:sz="4" w:space="0"/>
            </w:tcBorders>
            <w:vAlign w:val="center"/>
          </w:tcPr>
          <w:p>
            <w:pPr>
              <w:spacing w:line="560" w:lineRule="exact"/>
              <w:ind w:left="240" w:leftChars="100"/>
              <w:rPr>
                <w:rFonts w:ascii="仿宋" w:hAnsi="仿宋" w:eastAsia="仿宋" w:cs="仿宋"/>
                <w:szCs w:val="24"/>
                <w:highlight w:val="none"/>
              </w:rPr>
            </w:pPr>
          </w:p>
        </w:tc>
        <w:tc>
          <w:tcPr>
            <w:tcW w:w="1701" w:type="dxa"/>
            <w:tcBorders>
              <w:bottom w:val="single" w:color="auto" w:sz="4" w:space="0"/>
            </w:tcBorders>
            <w:vAlign w:val="center"/>
          </w:tcPr>
          <w:p>
            <w:pPr>
              <w:spacing w:line="560" w:lineRule="exact"/>
              <w:ind w:left="240" w:leftChars="100"/>
              <w:rPr>
                <w:rFonts w:ascii="仿宋" w:hAnsi="仿宋" w:eastAsia="仿宋" w:cs="仿宋"/>
                <w:szCs w:val="24"/>
                <w:highlight w:val="none"/>
              </w:rPr>
            </w:pPr>
          </w:p>
        </w:tc>
        <w:tc>
          <w:tcPr>
            <w:tcW w:w="1417" w:type="dxa"/>
            <w:tcBorders>
              <w:bottom w:val="single" w:color="auto" w:sz="4" w:space="0"/>
            </w:tcBorders>
            <w:vAlign w:val="center"/>
          </w:tcPr>
          <w:p>
            <w:pPr>
              <w:spacing w:line="560" w:lineRule="exact"/>
              <w:ind w:left="240" w:leftChars="100"/>
              <w:rPr>
                <w:rFonts w:ascii="仿宋" w:hAnsi="仿宋" w:eastAsia="仿宋" w:cs="仿宋"/>
                <w:szCs w:val="24"/>
                <w:highlight w:val="none"/>
              </w:rPr>
            </w:pPr>
          </w:p>
        </w:tc>
        <w:tc>
          <w:tcPr>
            <w:tcW w:w="1843" w:type="dxa"/>
            <w:tcBorders>
              <w:bottom w:val="single" w:color="auto" w:sz="4" w:space="0"/>
            </w:tcBorders>
            <w:vAlign w:val="center"/>
          </w:tcPr>
          <w:p>
            <w:pPr>
              <w:spacing w:line="560" w:lineRule="exact"/>
              <w:ind w:left="240" w:leftChars="100"/>
              <w:rPr>
                <w:rFonts w:ascii="仿宋" w:hAnsi="仿宋" w:eastAsia="仿宋" w:cs="仿宋"/>
                <w:szCs w:val="24"/>
                <w:highlight w:val="none"/>
              </w:rPr>
            </w:pPr>
          </w:p>
        </w:tc>
        <w:tc>
          <w:tcPr>
            <w:tcW w:w="992" w:type="dxa"/>
            <w:tcBorders>
              <w:bottom w:val="single" w:color="auto" w:sz="4" w:space="0"/>
            </w:tcBorders>
            <w:vAlign w:val="center"/>
          </w:tcPr>
          <w:p>
            <w:pPr>
              <w:spacing w:line="560" w:lineRule="exact"/>
              <w:ind w:left="240" w:leftChars="100"/>
              <w:rPr>
                <w:rFonts w:ascii="仿宋" w:hAnsi="仿宋" w:eastAsia="仿宋" w:cs="仿宋"/>
                <w:szCs w:val="24"/>
                <w:highlight w:val="none"/>
              </w:rPr>
            </w:pPr>
          </w:p>
        </w:tc>
        <w:tc>
          <w:tcPr>
            <w:tcW w:w="1134" w:type="dxa"/>
            <w:tcBorders>
              <w:bottom w:val="single" w:color="auto" w:sz="4" w:space="0"/>
            </w:tcBorders>
            <w:vAlign w:val="center"/>
          </w:tcPr>
          <w:p>
            <w:pPr>
              <w:spacing w:line="560" w:lineRule="exact"/>
              <w:ind w:left="240" w:leftChars="100"/>
              <w:rPr>
                <w:rFonts w:ascii="仿宋" w:hAnsi="仿宋" w:eastAsia="仿宋" w:cs="仿宋"/>
                <w:szCs w:val="24"/>
                <w:highlight w:val="none"/>
              </w:rPr>
            </w:pPr>
          </w:p>
        </w:tc>
        <w:tc>
          <w:tcPr>
            <w:tcW w:w="1701" w:type="dxa"/>
            <w:tcBorders>
              <w:bottom w:val="single" w:color="auto" w:sz="4" w:space="0"/>
            </w:tcBorders>
            <w:vAlign w:val="center"/>
          </w:tcPr>
          <w:p>
            <w:pPr>
              <w:spacing w:line="560" w:lineRule="exact"/>
              <w:ind w:left="240" w:leftChars="100"/>
              <w:jc w:val="center"/>
              <w:rPr>
                <w:rFonts w:ascii="仿宋" w:hAnsi="仿宋" w:eastAsia="仿宋" w:cs="仿宋"/>
                <w:szCs w:val="24"/>
                <w:highlight w:val="none"/>
              </w:rPr>
            </w:pPr>
          </w:p>
        </w:tc>
        <w:tc>
          <w:tcPr>
            <w:tcW w:w="1701" w:type="dxa"/>
            <w:tcBorders>
              <w:bottom w:val="single" w:color="auto" w:sz="4" w:space="0"/>
            </w:tcBorders>
            <w:vAlign w:val="center"/>
          </w:tcPr>
          <w:p>
            <w:pPr>
              <w:spacing w:line="560" w:lineRule="exact"/>
              <w:ind w:left="240" w:leftChars="100"/>
              <w:rPr>
                <w:rFonts w:ascii="仿宋" w:hAnsi="仿宋" w:eastAsia="仿宋" w:cs="仿宋"/>
                <w:szCs w:val="24"/>
                <w:highlight w:val="none"/>
              </w:rPr>
            </w:pPr>
          </w:p>
        </w:tc>
        <w:tc>
          <w:tcPr>
            <w:tcW w:w="1428" w:type="dxa"/>
            <w:tcBorders>
              <w:bottom w:val="single" w:color="auto" w:sz="4" w:space="0"/>
            </w:tcBorders>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17" w:type="dxa"/>
            <w:vAlign w:val="center"/>
          </w:tcPr>
          <w:p>
            <w:pPr>
              <w:spacing w:line="560" w:lineRule="exact"/>
              <w:ind w:left="240" w:leftChars="100"/>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992" w:type="dxa"/>
            <w:vAlign w:val="center"/>
          </w:tcPr>
          <w:p>
            <w:pPr>
              <w:spacing w:line="560" w:lineRule="exact"/>
              <w:ind w:left="240" w:leftChars="100"/>
              <w:rPr>
                <w:rFonts w:ascii="仿宋" w:hAnsi="仿宋" w:eastAsia="仿宋" w:cs="仿宋"/>
                <w:szCs w:val="24"/>
                <w:highlight w:val="none"/>
              </w:rPr>
            </w:pPr>
          </w:p>
        </w:tc>
        <w:tc>
          <w:tcPr>
            <w:tcW w:w="1134"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jc w:val="center"/>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28" w:type="dxa"/>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17" w:type="dxa"/>
            <w:vAlign w:val="center"/>
          </w:tcPr>
          <w:p>
            <w:pPr>
              <w:spacing w:line="560" w:lineRule="exact"/>
              <w:ind w:left="240" w:leftChars="100"/>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992" w:type="dxa"/>
            <w:vAlign w:val="center"/>
          </w:tcPr>
          <w:p>
            <w:pPr>
              <w:spacing w:line="560" w:lineRule="exact"/>
              <w:ind w:left="240" w:leftChars="100"/>
              <w:rPr>
                <w:rFonts w:ascii="仿宋" w:hAnsi="仿宋" w:eastAsia="仿宋" w:cs="仿宋"/>
                <w:szCs w:val="24"/>
                <w:highlight w:val="none"/>
              </w:rPr>
            </w:pPr>
          </w:p>
        </w:tc>
        <w:tc>
          <w:tcPr>
            <w:tcW w:w="1134"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jc w:val="center"/>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28" w:type="dxa"/>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17" w:type="dxa"/>
            <w:vAlign w:val="center"/>
          </w:tcPr>
          <w:p>
            <w:pPr>
              <w:spacing w:line="560" w:lineRule="exact"/>
              <w:ind w:left="240" w:leftChars="100"/>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992" w:type="dxa"/>
            <w:vAlign w:val="center"/>
          </w:tcPr>
          <w:p>
            <w:pPr>
              <w:spacing w:line="560" w:lineRule="exact"/>
              <w:ind w:left="240" w:leftChars="100"/>
              <w:rPr>
                <w:rFonts w:ascii="仿宋" w:hAnsi="仿宋" w:eastAsia="仿宋" w:cs="仿宋"/>
                <w:szCs w:val="24"/>
                <w:highlight w:val="none"/>
              </w:rPr>
            </w:pPr>
          </w:p>
        </w:tc>
        <w:tc>
          <w:tcPr>
            <w:tcW w:w="1134"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jc w:val="center"/>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28" w:type="dxa"/>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17" w:type="dxa"/>
            <w:vAlign w:val="center"/>
          </w:tcPr>
          <w:p>
            <w:pPr>
              <w:spacing w:line="560" w:lineRule="exact"/>
              <w:ind w:left="240" w:leftChars="100"/>
              <w:rPr>
                <w:rFonts w:ascii="仿宋" w:hAnsi="仿宋" w:eastAsia="仿宋" w:cs="仿宋"/>
                <w:szCs w:val="24"/>
                <w:highlight w:val="none"/>
              </w:rPr>
            </w:pPr>
          </w:p>
        </w:tc>
        <w:tc>
          <w:tcPr>
            <w:tcW w:w="1843" w:type="dxa"/>
            <w:vAlign w:val="center"/>
          </w:tcPr>
          <w:p>
            <w:pPr>
              <w:spacing w:line="560" w:lineRule="exact"/>
              <w:ind w:left="240" w:leftChars="100"/>
              <w:rPr>
                <w:rFonts w:ascii="仿宋" w:hAnsi="仿宋" w:eastAsia="仿宋" w:cs="仿宋"/>
                <w:szCs w:val="24"/>
                <w:highlight w:val="none"/>
              </w:rPr>
            </w:pPr>
          </w:p>
        </w:tc>
        <w:tc>
          <w:tcPr>
            <w:tcW w:w="992" w:type="dxa"/>
            <w:vAlign w:val="center"/>
          </w:tcPr>
          <w:p>
            <w:pPr>
              <w:spacing w:line="560" w:lineRule="exact"/>
              <w:ind w:left="240" w:leftChars="100"/>
              <w:rPr>
                <w:rFonts w:ascii="仿宋" w:hAnsi="仿宋" w:eastAsia="仿宋" w:cs="仿宋"/>
                <w:szCs w:val="24"/>
                <w:highlight w:val="none"/>
              </w:rPr>
            </w:pPr>
          </w:p>
        </w:tc>
        <w:tc>
          <w:tcPr>
            <w:tcW w:w="1134" w:type="dxa"/>
            <w:vAlign w:val="center"/>
          </w:tcPr>
          <w:p>
            <w:pPr>
              <w:spacing w:line="560" w:lineRule="exact"/>
              <w:ind w:left="240" w:leftChars="100"/>
              <w:rPr>
                <w:rFonts w:ascii="仿宋" w:hAnsi="仿宋" w:eastAsia="仿宋" w:cs="仿宋"/>
                <w:szCs w:val="24"/>
                <w:highlight w:val="none"/>
              </w:rPr>
            </w:pPr>
          </w:p>
        </w:tc>
        <w:tc>
          <w:tcPr>
            <w:tcW w:w="1701" w:type="dxa"/>
            <w:vAlign w:val="center"/>
          </w:tcPr>
          <w:p>
            <w:pPr>
              <w:spacing w:line="560" w:lineRule="exact"/>
              <w:ind w:left="240" w:leftChars="100"/>
              <w:jc w:val="center"/>
              <w:rPr>
                <w:rFonts w:ascii="仿宋" w:hAnsi="仿宋" w:eastAsia="仿宋" w:cs="仿宋"/>
                <w:szCs w:val="24"/>
                <w:highlight w:val="none"/>
              </w:rPr>
            </w:pPr>
          </w:p>
        </w:tc>
        <w:tc>
          <w:tcPr>
            <w:tcW w:w="1701" w:type="dxa"/>
            <w:vAlign w:val="center"/>
          </w:tcPr>
          <w:p>
            <w:pPr>
              <w:spacing w:line="560" w:lineRule="exact"/>
              <w:ind w:left="240" w:leftChars="100"/>
              <w:rPr>
                <w:rFonts w:ascii="仿宋" w:hAnsi="仿宋" w:eastAsia="仿宋" w:cs="仿宋"/>
                <w:szCs w:val="24"/>
                <w:highlight w:val="none"/>
              </w:rPr>
            </w:pPr>
          </w:p>
        </w:tc>
        <w:tc>
          <w:tcPr>
            <w:tcW w:w="1428" w:type="dxa"/>
            <w:vAlign w:val="center"/>
          </w:tcPr>
          <w:p>
            <w:pPr>
              <w:spacing w:line="560" w:lineRule="exact"/>
              <w:ind w:left="240" w:leftChars="100"/>
              <w:rPr>
                <w:rFonts w:ascii="仿宋" w:hAnsi="仿宋" w:eastAsia="仿宋" w:cs="仿宋"/>
                <w:szCs w:val="24"/>
                <w:highlight w:val="none"/>
              </w:rPr>
            </w:pPr>
          </w:p>
        </w:tc>
      </w:tr>
    </w:tbl>
    <w:p>
      <w:pPr>
        <w:spacing w:line="560" w:lineRule="exact"/>
        <w:ind w:left="240" w:leftChars="100"/>
        <w:rPr>
          <w:rFonts w:ascii="仿宋" w:hAnsi="仿宋" w:eastAsia="仿宋" w:cs="仿宋"/>
          <w:szCs w:val="24"/>
          <w:highlight w:val="none"/>
          <w:u w:val="single"/>
        </w:rPr>
      </w:pPr>
      <w:r>
        <w:rPr>
          <w:rFonts w:hint="eastAsia" w:ascii="仿宋" w:hAnsi="仿宋" w:eastAsia="仿宋" w:cs="仿宋"/>
          <w:szCs w:val="24"/>
          <w:highlight w:val="none"/>
          <w:lang w:val="zh-CN"/>
        </w:rPr>
        <w:t>法定代表人或被授权人（签字或盖章）</w:t>
      </w:r>
      <w:r>
        <w:rPr>
          <w:rFonts w:hint="eastAsia" w:ascii="仿宋" w:hAnsi="仿宋" w:eastAsia="仿宋" w:cs="仿宋"/>
          <w:szCs w:val="24"/>
          <w:highlight w:val="none"/>
        </w:rPr>
        <w:t>：（投标人单位公章）             日 期：</w:t>
      </w:r>
    </w:p>
    <w:p>
      <w:pPr>
        <w:pStyle w:val="39"/>
        <w:spacing w:line="560" w:lineRule="exact"/>
        <w:ind w:firstLine="170" w:firstLineChars="71"/>
        <w:rPr>
          <w:rFonts w:ascii="仿宋" w:hAnsi="仿宋" w:eastAsia="仿宋" w:cs="仿宋"/>
          <w:bCs/>
          <w:sz w:val="24"/>
          <w:szCs w:val="24"/>
          <w:highlight w:val="none"/>
        </w:rPr>
      </w:pPr>
      <w:r>
        <w:rPr>
          <w:rFonts w:hint="eastAsia" w:ascii="仿宋" w:hAnsi="仿宋" w:eastAsia="仿宋" w:cs="仿宋"/>
          <w:sz w:val="24"/>
          <w:szCs w:val="24"/>
          <w:highlight w:val="none"/>
          <w:u w:val="single"/>
        </w:rPr>
        <w:br w:type="page"/>
      </w:r>
      <w:bookmarkStart w:id="226" w:name="_Toc458617475"/>
      <w:bookmarkStart w:id="227" w:name="_Toc16402"/>
      <w:bookmarkStart w:id="228" w:name="_Toc10875"/>
      <w:r>
        <w:rPr>
          <w:rFonts w:hint="eastAsia" w:ascii="仿宋" w:hAnsi="仿宋" w:eastAsia="仿宋" w:cs="仿宋"/>
          <w:b/>
          <w:highlight w:val="none"/>
        </w:rPr>
        <w:t>6.货物说明一览表</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6"/>
      <w:bookmarkEnd w:id="227"/>
      <w:bookmarkEnd w:id="228"/>
      <w:r>
        <w:rPr>
          <w:rFonts w:hint="eastAsia" w:ascii="仿宋" w:hAnsi="仿宋" w:eastAsia="仿宋" w:cs="仿宋"/>
          <w:bCs/>
          <w:sz w:val="24"/>
          <w:szCs w:val="21"/>
          <w:highlight w:val="none"/>
        </w:rPr>
        <w:t>（格式）</w:t>
      </w:r>
    </w:p>
    <w:p>
      <w:pPr>
        <w:spacing w:line="560" w:lineRule="exact"/>
        <w:ind w:left="240" w:leftChars="100"/>
        <w:rPr>
          <w:rFonts w:ascii="仿宋" w:hAnsi="仿宋" w:eastAsia="仿宋" w:cs="仿宋"/>
          <w:szCs w:val="24"/>
          <w:highlight w:val="none"/>
          <w:u w:val="single"/>
        </w:rPr>
      </w:pPr>
      <w:r>
        <w:rPr>
          <w:rFonts w:hint="eastAsia" w:ascii="仿宋" w:hAnsi="仿宋" w:eastAsia="仿宋" w:cs="仿宋"/>
          <w:szCs w:val="24"/>
          <w:highlight w:val="none"/>
        </w:rPr>
        <w:t>投标人名称：</w:t>
      </w:r>
      <w:r>
        <w:rPr>
          <w:rFonts w:hint="eastAsia" w:ascii="仿宋" w:hAnsi="仿宋" w:eastAsia="仿宋" w:cs="仿宋"/>
          <w:bCs/>
          <w:kern w:val="0"/>
          <w:szCs w:val="24"/>
          <w:highlight w:val="none"/>
        </w:rPr>
        <w:t>项目编号</w:t>
      </w:r>
      <w:r>
        <w:rPr>
          <w:rFonts w:hint="eastAsia" w:ascii="仿宋" w:hAnsi="仿宋" w:eastAsia="仿宋" w:cs="仿宋"/>
          <w:szCs w:val="24"/>
          <w:highlight w:val="none"/>
        </w:rPr>
        <w:t>：</w:t>
      </w:r>
    </w:p>
    <w:tbl>
      <w:tblPr>
        <w:tblStyle w:val="23"/>
        <w:tblW w:w="139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60"/>
        <w:gridCol w:w="1620"/>
        <w:gridCol w:w="5040"/>
        <w:gridCol w:w="1800"/>
        <w:gridCol w:w="1080"/>
        <w:gridCol w:w="12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9"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序号</w:t>
            </w:r>
          </w:p>
        </w:tc>
        <w:tc>
          <w:tcPr>
            <w:tcW w:w="2160" w:type="dxa"/>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名    称</w:t>
            </w:r>
          </w:p>
        </w:tc>
        <w:tc>
          <w:tcPr>
            <w:tcW w:w="1620"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品牌/型号</w:t>
            </w:r>
          </w:p>
        </w:tc>
        <w:tc>
          <w:tcPr>
            <w:tcW w:w="5040" w:type="dxa"/>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配置、规格及主要技术参数</w:t>
            </w:r>
          </w:p>
        </w:tc>
        <w:tc>
          <w:tcPr>
            <w:tcW w:w="1800" w:type="dxa"/>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制造厂家</w:t>
            </w:r>
          </w:p>
        </w:tc>
        <w:tc>
          <w:tcPr>
            <w:tcW w:w="1080" w:type="dxa"/>
            <w:tcMar>
              <w:top w:w="28" w:type="dxa"/>
              <w:left w:w="57" w:type="dxa"/>
              <w:bottom w:w="28" w:type="dxa"/>
              <w:right w:w="57" w:type="dxa"/>
            </w:tcMar>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数量</w:t>
            </w:r>
          </w:p>
        </w:tc>
        <w:tc>
          <w:tcPr>
            <w:tcW w:w="1234" w:type="dxa"/>
            <w:tcMar>
              <w:top w:w="28" w:type="dxa"/>
              <w:left w:w="57" w:type="dxa"/>
              <w:bottom w:w="28" w:type="dxa"/>
              <w:right w:w="57" w:type="dxa"/>
            </w:tcMar>
            <w:vAlign w:val="center"/>
          </w:tcPr>
          <w:p>
            <w:pPr>
              <w:spacing w:line="560" w:lineRule="exact"/>
              <w:ind w:left="-24" w:leftChars="-10"/>
              <w:jc w:val="center"/>
              <w:rPr>
                <w:rFonts w:ascii="仿宋" w:hAnsi="仿宋" w:eastAsia="仿宋" w:cs="仿宋"/>
                <w:b/>
                <w:szCs w:val="24"/>
                <w:highlight w:val="none"/>
              </w:rPr>
            </w:pPr>
            <w:r>
              <w:rPr>
                <w:rFonts w:hint="eastAsia" w:ascii="仿宋" w:hAnsi="仿宋" w:eastAsia="仿宋" w:cs="仿宋"/>
                <w:b/>
                <w:szCs w:val="24"/>
                <w:highlight w:val="none"/>
              </w:rPr>
              <w:t>交货期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pPr>
              <w:spacing w:line="560" w:lineRule="exact"/>
              <w:ind w:left="240" w:leftChars="100"/>
              <w:jc w:val="center"/>
              <w:rPr>
                <w:rFonts w:ascii="仿宋" w:hAnsi="仿宋" w:eastAsia="仿宋" w:cs="仿宋"/>
                <w:szCs w:val="24"/>
                <w:highlight w:val="none"/>
              </w:rPr>
            </w:pPr>
          </w:p>
        </w:tc>
        <w:tc>
          <w:tcPr>
            <w:tcW w:w="2160" w:type="dxa"/>
          </w:tcPr>
          <w:p>
            <w:pPr>
              <w:spacing w:line="560" w:lineRule="exact"/>
              <w:ind w:left="240" w:leftChars="100"/>
              <w:rPr>
                <w:rFonts w:ascii="仿宋" w:hAnsi="仿宋" w:eastAsia="仿宋" w:cs="仿宋"/>
                <w:szCs w:val="24"/>
                <w:highlight w:val="none"/>
              </w:rPr>
            </w:pPr>
          </w:p>
        </w:tc>
        <w:tc>
          <w:tcPr>
            <w:tcW w:w="1620" w:type="dxa"/>
          </w:tcPr>
          <w:p>
            <w:pPr>
              <w:spacing w:line="560" w:lineRule="exact"/>
              <w:ind w:left="240" w:leftChars="100"/>
              <w:rPr>
                <w:rFonts w:ascii="仿宋" w:hAnsi="仿宋" w:eastAsia="仿宋" w:cs="仿宋"/>
                <w:szCs w:val="24"/>
                <w:highlight w:val="none"/>
                <w:u w:val="single"/>
              </w:rPr>
            </w:pPr>
          </w:p>
        </w:tc>
        <w:tc>
          <w:tcPr>
            <w:tcW w:w="5040" w:type="dxa"/>
          </w:tcPr>
          <w:p>
            <w:pPr>
              <w:spacing w:line="560" w:lineRule="exact"/>
              <w:ind w:left="240" w:leftChars="100"/>
              <w:rPr>
                <w:rFonts w:ascii="仿宋" w:hAnsi="仿宋" w:eastAsia="仿宋" w:cs="仿宋"/>
                <w:szCs w:val="24"/>
                <w:highlight w:val="none"/>
                <w:u w:val="single"/>
              </w:rPr>
            </w:pPr>
          </w:p>
        </w:tc>
        <w:tc>
          <w:tcPr>
            <w:tcW w:w="1800" w:type="dxa"/>
          </w:tcPr>
          <w:p>
            <w:pPr>
              <w:spacing w:line="560" w:lineRule="exact"/>
              <w:ind w:left="240" w:leftChars="100"/>
              <w:rPr>
                <w:rFonts w:ascii="仿宋" w:hAnsi="仿宋" w:eastAsia="仿宋" w:cs="仿宋"/>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ascii="仿宋" w:hAnsi="仿宋" w:eastAsia="仿宋" w:cs="仿宋"/>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ascii="仿宋" w:hAnsi="仿宋" w:eastAsia="仿宋" w:cs="仿宋"/>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pPr>
              <w:spacing w:line="560" w:lineRule="exact"/>
              <w:ind w:left="240" w:leftChars="100"/>
              <w:jc w:val="center"/>
              <w:rPr>
                <w:rFonts w:ascii="仿宋" w:hAnsi="仿宋" w:eastAsia="仿宋" w:cs="仿宋"/>
                <w:szCs w:val="24"/>
                <w:highlight w:val="none"/>
              </w:rPr>
            </w:pPr>
          </w:p>
        </w:tc>
        <w:tc>
          <w:tcPr>
            <w:tcW w:w="2160" w:type="dxa"/>
          </w:tcPr>
          <w:p>
            <w:pPr>
              <w:spacing w:line="560" w:lineRule="exact"/>
              <w:ind w:left="240" w:leftChars="100"/>
              <w:rPr>
                <w:rFonts w:ascii="仿宋" w:hAnsi="仿宋" w:eastAsia="仿宋" w:cs="仿宋"/>
                <w:szCs w:val="24"/>
                <w:highlight w:val="none"/>
              </w:rPr>
            </w:pPr>
          </w:p>
        </w:tc>
        <w:tc>
          <w:tcPr>
            <w:tcW w:w="1620" w:type="dxa"/>
          </w:tcPr>
          <w:p>
            <w:pPr>
              <w:spacing w:line="560" w:lineRule="exact"/>
              <w:ind w:left="240" w:leftChars="100"/>
              <w:rPr>
                <w:rFonts w:ascii="仿宋" w:hAnsi="仿宋" w:eastAsia="仿宋" w:cs="仿宋"/>
                <w:szCs w:val="24"/>
                <w:highlight w:val="none"/>
                <w:u w:val="single"/>
              </w:rPr>
            </w:pPr>
          </w:p>
        </w:tc>
        <w:tc>
          <w:tcPr>
            <w:tcW w:w="5040" w:type="dxa"/>
          </w:tcPr>
          <w:p>
            <w:pPr>
              <w:spacing w:line="560" w:lineRule="exact"/>
              <w:ind w:left="240" w:leftChars="100"/>
              <w:rPr>
                <w:rFonts w:ascii="仿宋" w:hAnsi="仿宋" w:eastAsia="仿宋" w:cs="仿宋"/>
                <w:szCs w:val="24"/>
                <w:highlight w:val="none"/>
                <w:u w:val="single"/>
              </w:rPr>
            </w:pPr>
          </w:p>
        </w:tc>
        <w:tc>
          <w:tcPr>
            <w:tcW w:w="1800" w:type="dxa"/>
          </w:tcPr>
          <w:p>
            <w:pPr>
              <w:spacing w:line="560" w:lineRule="exact"/>
              <w:ind w:left="240" w:leftChars="100"/>
              <w:rPr>
                <w:rFonts w:ascii="仿宋" w:hAnsi="仿宋" w:eastAsia="仿宋" w:cs="仿宋"/>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ascii="仿宋" w:hAnsi="仿宋" w:eastAsia="仿宋" w:cs="仿宋"/>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ascii="仿宋" w:hAnsi="仿宋" w:eastAsia="仿宋" w:cs="仿宋"/>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ascii="仿宋" w:hAnsi="仿宋" w:eastAsia="仿宋" w:cs="仿宋"/>
                <w:szCs w:val="24"/>
                <w:highlight w:val="none"/>
              </w:rPr>
            </w:pPr>
          </w:p>
        </w:tc>
        <w:tc>
          <w:tcPr>
            <w:tcW w:w="2160" w:type="dxa"/>
          </w:tcPr>
          <w:p>
            <w:pPr>
              <w:spacing w:line="560" w:lineRule="exact"/>
              <w:ind w:left="240" w:leftChars="100"/>
              <w:rPr>
                <w:rFonts w:ascii="仿宋" w:hAnsi="仿宋" w:eastAsia="仿宋" w:cs="仿宋"/>
                <w:szCs w:val="24"/>
                <w:highlight w:val="none"/>
              </w:rPr>
            </w:pPr>
          </w:p>
        </w:tc>
        <w:tc>
          <w:tcPr>
            <w:tcW w:w="1620" w:type="dxa"/>
          </w:tcPr>
          <w:p>
            <w:pPr>
              <w:spacing w:line="560" w:lineRule="exact"/>
              <w:ind w:left="240" w:leftChars="100"/>
              <w:rPr>
                <w:rFonts w:ascii="仿宋" w:hAnsi="仿宋" w:eastAsia="仿宋" w:cs="仿宋"/>
                <w:szCs w:val="24"/>
                <w:highlight w:val="none"/>
                <w:u w:val="single"/>
              </w:rPr>
            </w:pPr>
          </w:p>
        </w:tc>
        <w:tc>
          <w:tcPr>
            <w:tcW w:w="5040" w:type="dxa"/>
          </w:tcPr>
          <w:p>
            <w:pPr>
              <w:spacing w:line="560" w:lineRule="exact"/>
              <w:ind w:left="240" w:leftChars="100"/>
              <w:rPr>
                <w:rFonts w:ascii="仿宋" w:hAnsi="仿宋" w:eastAsia="仿宋" w:cs="仿宋"/>
                <w:szCs w:val="24"/>
                <w:highlight w:val="none"/>
                <w:u w:val="single"/>
              </w:rPr>
            </w:pPr>
          </w:p>
        </w:tc>
        <w:tc>
          <w:tcPr>
            <w:tcW w:w="1800" w:type="dxa"/>
          </w:tcPr>
          <w:p>
            <w:pPr>
              <w:spacing w:line="560" w:lineRule="exact"/>
              <w:ind w:left="240" w:leftChars="100"/>
              <w:rPr>
                <w:rFonts w:ascii="仿宋" w:hAnsi="仿宋" w:eastAsia="仿宋" w:cs="仿宋"/>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ascii="仿宋" w:hAnsi="仿宋" w:eastAsia="仿宋" w:cs="仿宋"/>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ascii="仿宋" w:hAnsi="仿宋" w:eastAsia="仿宋" w:cs="仿宋"/>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ascii="仿宋" w:hAnsi="仿宋" w:eastAsia="仿宋" w:cs="仿宋"/>
                <w:szCs w:val="24"/>
                <w:highlight w:val="none"/>
              </w:rPr>
            </w:pPr>
          </w:p>
        </w:tc>
        <w:tc>
          <w:tcPr>
            <w:tcW w:w="2160" w:type="dxa"/>
          </w:tcPr>
          <w:p>
            <w:pPr>
              <w:spacing w:line="560" w:lineRule="exact"/>
              <w:ind w:left="240" w:leftChars="100"/>
              <w:rPr>
                <w:rFonts w:ascii="仿宋" w:hAnsi="仿宋" w:eastAsia="仿宋" w:cs="仿宋"/>
                <w:szCs w:val="24"/>
                <w:highlight w:val="none"/>
              </w:rPr>
            </w:pPr>
          </w:p>
        </w:tc>
        <w:tc>
          <w:tcPr>
            <w:tcW w:w="1620" w:type="dxa"/>
          </w:tcPr>
          <w:p>
            <w:pPr>
              <w:spacing w:line="560" w:lineRule="exact"/>
              <w:ind w:left="240" w:leftChars="100"/>
              <w:rPr>
                <w:rFonts w:ascii="仿宋" w:hAnsi="仿宋" w:eastAsia="仿宋" w:cs="仿宋"/>
                <w:szCs w:val="24"/>
                <w:highlight w:val="none"/>
                <w:u w:val="single"/>
              </w:rPr>
            </w:pPr>
          </w:p>
        </w:tc>
        <w:tc>
          <w:tcPr>
            <w:tcW w:w="5040" w:type="dxa"/>
          </w:tcPr>
          <w:p>
            <w:pPr>
              <w:spacing w:line="560" w:lineRule="exact"/>
              <w:ind w:left="240" w:leftChars="100"/>
              <w:rPr>
                <w:rFonts w:ascii="仿宋" w:hAnsi="仿宋" w:eastAsia="仿宋" w:cs="仿宋"/>
                <w:szCs w:val="24"/>
                <w:highlight w:val="none"/>
                <w:u w:val="single"/>
              </w:rPr>
            </w:pPr>
          </w:p>
        </w:tc>
        <w:tc>
          <w:tcPr>
            <w:tcW w:w="1800" w:type="dxa"/>
          </w:tcPr>
          <w:p>
            <w:pPr>
              <w:spacing w:line="560" w:lineRule="exact"/>
              <w:ind w:left="240" w:leftChars="100"/>
              <w:rPr>
                <w:rFonts w:ascii="仿宋" w:hAnsi="仿宋" w:eastAsia="仿宋" w:cs="仿宋"/>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ascii="仿宋" w:hAnsi="仿宋" w:eastAsia="仿宋" w:cs="仿宋"/>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ascii="仿宋" w:hAnsi="仿宋" w:eastAsia="仿宋" w:cs="仿宋"/>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ascii="仿宋" w:hAnsi="仿宋" w:eastAsia="仿宋" w:cs="仿宋"/>
                <w:szCs w:val="24"/>
                <w:highlight w:val="none"/>
              </w:rPr>
            </w:pPr>
          </w:p>
        </w:tc>
        <w:tc>
          <w:tcPr>
            <w:tcW w:w="2160" w:type="dxa"/>
          </w:tcPr>
          <w:p>
            <w:pPr>
              <w:spacing w:line="560" w:lineRule="exact"/>
              <w:ind w:left="240" w:leftChars="100"/>
              <w:rPr>
                <w:rFonts w:ascii="仿宋" w:hAnsi="仿宋" w:eastAsia="仿宋" w:cs="仿宋"/>
                <w:szCs w:val="24"/>
                <w:highlight w:val="none"/>
              </w:rPr>
            </w:pPr>
          </w:p>
        </w:tc>
        <w:tc>
          <w:tcPr>
            <w:tcW w:w="1620" w:type="dxa"/>
          </w:tcPr>
          <w:p>
            <w:pPr>
              <w:spacing w:line="560" w:lineRule="exact"/>
              <w:ind w:left="240" w:leftChars="100"/>
              <w:rPr>
                <w:rFonts w:ascii="仿宋" w:hAnsi="仿宋" w:eastAsia="仿宋" w:cs="仿宋"/>
                <w:szCs w:val="24"/>
                <w:highlight w:val="none"/>
                <w:u w:val="single"/>
              </w:rPr>
            </w:pPr>
          </w:p>
        </w:tc>
        <w:tc>
          <w:tcPr>
            <w:tcW w:w="5040" w:type="dxa"/>
          </w:tcPr>
          <w:p>
            <w:pPr>
              <w:spacing w:line="560" w:lineRule="exact"/>
              <w:ind w:left="240" w:leftChars="100"/>
              <w:rPr>
                <w:rFonts w:ascii="仿宋" w:hAnsi="仿宋" w:eastAsia="仿宋" w:cs="仿宋"/>
                <w:szCs w:val="24"/>
                <w:highlight w:val="none"/>
                <w:u w:val="single"/>
              </w:rPr>
            </w:pPr>
          </w:p>
        </w:tc>
        <w:tc>
          <w:tcPr>
            <w:tcW w:w="1800" w:type="dxa"/>
          </w:tcPr>
          <w:p>
            <w:pPr>
              <w:spacing w:line="560" w:lineRule="exact"/>
              <w:ind w:left="240" w:leftChars="100"/>
              <w:rPr>
                <w:rFonts w:ascii="仿宋" w:hAnsi="仿宋" w:eastAsia="仿宋" w:cs="仿宋"/>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ascii="仿宋" w:hAnsi="仿宋" w:eastAsia="仿宋" w:cs="仿宋"/>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ascii="仿宋" w:hAnsi="仿宋" w:eastAsia="仿宋" w:cs="仿宋"/>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ascii="仿宋" w:hAnsi="仿宋" w:eastAsia="仿宋" w:cs="仿宋"/>
                <w:szCs w:val="24"/>
                <w:highlight w:val="none"/>
              </w:rPr>
            </w:pPr>
          </w:p>
        </w:tc>
        <w:tc>
          <w:tcPr>
            <w:tcW w:w="2160" w:type="dxa"/>
            <w:vAlign w:val="center"/>
          </w:tcPr>
          <w:p>
            <w:pPr>
              <w:spacing w:line="560" w:lineRule="exact"/>
              <w:ind w:left="240" w:leftChars="100"/>
              <w:rPr>
                <w:rFonts w:ascii="仿宋" w:hAnsi="仿宋" w:eastAsia="仿宋" w:cs="仿宋"/>
                <w:szCs w:val="24"/>
                <w:highlight w:val="none"/>
              </w:rPr>
            </w:pPr>
          </w:p>
        </w:tc>
        <w:tc>
          <w:tcPr>
            <w:tcW w:w="1620" w:type="dxa"/>
          </w:tcPr>
          <w:p>
            <w:pPr>
              <w:spacing w:line="560" w:lineRule="exact"/>
              <w:ind w:left="240" w:leftChars="100"/>
              <w:rPr>
                <w:rFonts w:ascii="仿宋" w:hAnsi="仿宋" w:eastAsia="仿宋" w:cs="仿宋"/>
                <w:szCs w:val="24"/>
                <w:highlight w:val="none"/>
                <w:u w:val="single"/>
              </w:rPr>
            </w:pPr>
          </w:p>
        </w:tc>
        <w:tc>
          <w:tcPr>
            <w:tcW w:w="5040" w:type="dxa"/>
          </w:tcPr>
          <w:p>
            <w:pPr>
              <w:spacing w:line="560" w:lineRule="exact"/>
              <w:ind w:left="240" w:leftChars="100"/>
              <w:rPr>
                <w:rFonts w:ascii="仿宋" w:hAnsi="仿宋" w:eastAsia="仿宋" w:cs="仿宋"/>
                <w:szCs w:val="24"/>
                <w:highlight w:val="none"/>
                <w:u w:val="single"/>
              </w:rPr>
            </w:pPr>
          </w:p>
        </w:tc>
        <w:tc>
          <w:tcPr>
            <w:tcW w:w="1800" w:type="dxa"/>
          </w:tcPr>
          <w:p>
            <w:pPr>
              <w:spacing w:line="560" w:lineRule="exact"/>
              <w:ind w:left="240" w:leftChars="100"/>
              <w:rPr>
                <w:rFonts w:ascii="仿宋" w:hAnsi="仿宋" w:eastAsia="仿宋" w:cs="仿宋"/>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ascii="仿宋" w:hAnsi="仿宋" w:eastAsia="仿宋" w:cs="仿宋"/>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ascii="仿宋" w:hAnsi="仿宋" w:eastAsia="仿宋" w:cs="仿宋"/>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ascii="仿宋" w:hAnsi="仿宋" w:eastAsia="仿宋" w:cs="仿宋"/>
                <w:szCs w:val="24"/>
                <w:highlight w:val="none"/>
              </w:rPr>
            </w:pPr>
          </w:p>
        </w:tc>
        <w:tc>
          <w:tcPr>
            <w:tcW w:w="2160" w:type="dxa"/>
            <w:vAlign w:val="center"/>
          </w:tcPr>
          <w:p>
            <w:pPr>
              <w:spacing w:line="560" w:lineRule="exact"/>
              <w:ind w:left="240" w:leftChars="100"/>
              <w:rPr>
                <w:rFonts w:ascii="仿宋" w:hAnsi="仿宋" w:eastAsia="仿宋" w:cs="仿宋"/>
                <w:szCs w:val="24"/>
                <w:highlight w:val="none"/>
              </w:rPr>
            </w:pPr>
          </w:p>
        </w:tc>
        <w:tc>
          <w:tcPr>
            <w:tcW w:w="1620" w:type="dxa"/>
          </w:tcPr>
          <w:p>
            <w:pPr>
              <w:spacing w:line="560" w:lineRule="exact"/>
              <w:ind w:left="240" w:leftChars="100"/>
              <w:rPr>
                <w:rFonts w:ascii="仿宋" w:hAnsi="仿宋" w:eastAsia="仿宋" w:cs="仿宋"/>
                <w:szCs w:val="24"/>
                <w:highlight w:val="none"/>
                <w:u w:val="single"/>
              </w:rPr>
            </w:pPr>
          </w:p>
        </w:tc>
        <w:tc>
          <w:tcPr>
            <w:tcW w:w="5040" w:type="dxa"/>
          </w:tcPr>
          <w:p>
            <w:pPr>
              <w:spacing w:line="560" w:lineRule="exact"/>
              <w:ind w:left="240" w:leftChars="100"/>
              <w:rPr>
                <w:rFonts w:ascii="仿宋" w:hAnsi="仿宋" w:eastAsia="仿宋" w:cs="仿宋"/>
                <w:szCs w:val="24"/>
                <w:highlight w:val="none"/>
                <w:u w:val="single"/>
              </w:rPr>
            </w:pPr>
          </w:p>
        </w:tc>
        <w:tc>
          <w:tcPr>
            <w:tcW w:w="1800" w:type="dxa"/>
          </w:tcPr>
          <w:p>
            <w:pPr>
              <w:spacing w:line="560" w:lineRule="exact"/>
              <w:ind w:left="240" w:leftChars="100"/>
              <w:rPr>
                <w:rFonts w:ascii="仿宋" w:hAnsi="仿宋" w:eastAsia="仿宋" w:cs="仿宋"/>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ascii="仿宋" w:hAnsi="仿宋" w:eastAsia="仿宋" w:cs="仿宋"/>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ascii="仿宋" w:hAnsi="仿宋" w:eastAsia="仿宋" w:cs="仿宋"/>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ascii="仿宋" w:hAnsi="仿宋" w:eastAsia="仿宋" w:cs="仿宋"/>
                <w:szCs w:val="24"/>
                <w:highlight w:val="none"/>
              </w:rPr>
            </w:pPr>
          </w:p>
        </w:tc>
        <w:tc>
          <w:tcPr>
            <w:tcW w:w="2160" w:type="dxa"/>
            <w:vAlign w:val="center"/>
          </w:tcPr>
          <w:p>
            <w:pPr>
              <w:spacing w:line="560" w:lineRule="exact"/>
              <w:ind w:left="240" w:leftChars="100"/>
              <w:rPr>
                <w:rFonts w:ascii="仿宋" w:hAnsi="仿宋" w:eastAsia="仿宋" w:cs="仿宋"/>
                <w:szCs w:val="24"/>
                <w:highlight w:val="none"/>
              </w:rPr>
            </w:pPr>
          </w:p>
        </w:tc>
        <w:tc>
          <w:tcPr>
            <w:tcW w:w="1620" w:type="dxa"/>
          </w:tcPr>
          <w:p>
            <w:pPr>
              <w:spacing w:line="560" w:lineRule="exact"/>
              <w:ind w:left="240" w:leftChars="100"/>
              <w:rPr>
                <w:rFonts w:ascii="仿宋" w:hAnsi="仿宋" w:eastAsia="仿宋" w:cs="仿宋"/>
                <w:szCs w:val="24"/>
                <w:highlight w:val="none"/>
                <w:u w:val="single"/>
              </w:rPr>
            </w:pPr>
          </w:p>
        </w:tc>
        <w:tc>
          <w:tcPr>
            <w:tcW w:w="5040" w:type="dxa"/>
          </w:tcPr>
          <w:p>
            <w:pPr>
              <w:spacing w:line="560" w:lineRule="exact"/>
              <w:ind w:left="240" w:leftChars="100"/>
              <w:rPr>
                <w:rFonts w:ascii="仿宋" w:hAnsi="仿宋" w:eastAsia="仿宋" w:cs="仿宋"/>
                <w:szCs w:val="24"/>
                <w:highlight w:val="none"/>
                <w:u w:val="single"/>
              </w:rPr>
            </w:pPr>
          </w:p>
        </w:tc>
        <w:tc>
          <w:tcPr>
            <w:tcW w:w="1800" w:type="dxa"/>
          </w:tcPr>
          <w:p>
            <w:pPr>
              <w:spacing w:line="560" w:lineRule="exact"/>
              <w:ind w:left="240" w:leftChars="100"/>
              <w:rPr>
                <w:rFonts w:ascii="仿宋" w:hAnsi="仿宋" w:eastAsia="仿宋" w:cs="仿宋"/>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ascii="仿宋" w:hAnsi="仿宋" w:eastAsia="仿宋" w:cs="仿宋"/>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ascii="仿宋" w:hAnsi="仿宋" w:eastAsia="仿宋" w:cs="仿宋"/>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ascii="仿宋" w:hAnsi="仿宋" w:eastAsia="仿宋" w:cs="仿宋"/>
                <w:szCs w:val="24"/>
                <w:highlight w:val="none"/>
              </w:rPr>
            </w:pPr>
          </w:p>
        </w:tc>
        <w:tc>
          <w:tcPr>
            <w:tcW w:w="2160" w:type="dxa"/>
            <w:vAlign w:val="center"/>
          </w:tcPr>
          <w:p>
            <w:pPr>
              <w:spacing w:line="560" w:lineRule="exact"/>
              <w:ind w:left="240" w:leftChars="100"/>
              <w:rPr>
                <w:rFonts w:ascii="仿宋" w:hAnsi="仿宋" w:eastAsia="仿宋" w:cs="仿宋"/>
                <w:szCs w:val="24"/>
                <w:highlight w:val="none"/>
              </w:rPr>
            </w:pPr>
          </w:p>
        </w:tc>
        <w:tc>
          <w:tcPr>
            <w:tcW w:w="1620" w:type="dxa"/>
          </w:tcPr>
          <w:p>
            <w:pPr>
              <w:spacing w:line="560" w:lineRule="exact"/>
              <w:ind w:left="240" w:leftChars="100"/>
              <w:rPr>
                <w:rFonts w:ascii="仿宋" w:hAnsi="仿宋" w:eastAsia="仿宋" w:cs="仿宋"/>
                <w:szCs w:val="24"/>
                <w:highlight w:val="none"/>
                <w:u w:val="single"/>
              </w:rPr>
            </w:pPr>
          </w:p>
        </w:tc>
        <w:tc>
          <w:tcPr>
            <w:tcW w:w="5040" w:type="dxa"/>
          </w:tcPr>
          <w:p>
            <w:pPr>
              <w:spacing w:line="560" w:lineRule="exact"/>
              <w:ind w:left="240" w:leftChars="100"/>
              <w:rPr>
                <w:rFonts w:ascii="仿宋" w:hAnsi="仿宋" w:eastAsia="仿宋" w:cs="仿宋"/>
                <w:szCs w:val="24"/>
                <w:highlight w:val="none"/>
                <w:u w:val="single"/>
              </w:rPr>
            </w:pPr>
          </w:p>
        </w:tc>
        <w:tc>
          <w:tcPr>
            <w:tcW w:w="1800" w:type="dxa"/>
          </w:tcPr>
          <w:p>
            <w:pPr>
              <w:spacing w:line="560" w:lineRule="exact"/>
              <w:ind w:left="240" w:leftChars="100"/>
              <w:rPr>
                <w:rFonts w:ascii="仿宋" w:hAnsi="仿宋" w:eastAsia="仿宋" w:cs="仿宋"/>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ascii="仿宋" w:hAnsi="仿宋" w:eastAsia="仿宋" w:cs="仿宋"/>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ascii="仿宋" w:hAnsi="仿宋" w:eastAsia="仿宋" w:cs="仿宋"/>
                <w:szCs w:val="24"/>
                <w:highlight w:val="none"/>
                <w:u w:val="single"/>
              </w:rPr>
            </w:pPr>
          </w:p>
        </w:tc>
      </w:tr>
    </w:tbl>
    <w:p>
      <w:pPr>
        <w:spacing w:line="560" w:lineRule="exact"/>
        <w:ind w:left="240" w:leftChars="100" w:firstLine="480" w:firstLineChars="200"/>
        <w:rPr>
          <w:rFonts w:ascii="仿宋" w:hAnsi="仿宋" w:eastAsia="仿宋" w:cs="仿宋"/>
          <w:highlight w:val="none"/>
          <w:u w:val="single"/>
        </w:rPr>
        <w:sectPr>
          <w:headerReference r:id="rId18" w:type="first"/>
          <w:footerReference r:id="rId20" w:type="first"/>
          <w:headerReference r:id="rId17" w:type="default"/>
          <w:footerReference r:id="rId19" w:type="default"/>
          <w:pgSz w:w="16840" w:h="11905" w:orient="landscape"/>
          <w:pgMar w:top="1417" w:right="1417" w:bottom="1417" w:left="1417" w:header="935" w:footer="907" w:gutter="0"/>
          <w:cols w:space="0" w:num="1"/>
          <w:titlePg/>
          <w:docGrid w:linePitch="312" w:charSpace="0"/>
        </w:sectPr>
      </w:pPr>
      <w:r>
        <w:rPr>
          <w:rFonts w:hint="eastAsia" w:ascii="仿宋" w:hAnsi="仿宋" w:eastAsia="仿宋" w:cs="仿宋"/>
          <w:szCs w:val="24"/>
          <w:highlight w:val="none"/>
          <w:lang w:val="zh-CN"/>
        </w:rPr>
        <w:t>法定代表人或被授权人（签字或盖章）</w:t>
      </w:r>
      <w:r>
        <w:rPr>
          <w:rFonts w:hint="eastAsia" w:ascii="仿宋" w:hAnsi="仿宋" w:eastAsia="仿宋" w:cs="仿宋"/>
          <w:szCs w:val="24"/>
          <w:highlight w:val="none"/>
        </w:rPr>
        <w:t>：（投标人单位公章）          日  期：</w:t>
      </w:r>
      <w:bookmarkStart w:id="229" w:name="_Toc193126886"/>
      <w:bookmarkStart w:id="230" w:name="_Toc193187102"/>
      <w:bookmarkStart w:id="231" w:name="_Toc188808837"/>
      <w:bookmarkStart w:id="232" w:name="_Toc194663923"/>
    </w:p>
    <w:bookmarkEnd w:id="229"/>
    <w:bookmarkEnd w:id="230"/>
    <w:bookmarkEnd w:id="231"/>
    <w:bookmarkEnd w:id="232"/>
    <w:p>
      <w:pPr>
        <w:pStyle w:val="39"/>
        <w:spacing w:line="560" w:lineRule="exact"/>
        <w:ind w:firstLine="0" w:firstLineChars="0"/>
        <w:rPr>
          <w:rFonts w:ascii="仿宋" w:hAnsi="仿宋" w:eastAsia="仿宋" w:cs="仿宋"/>
          <w:bCs/>
          <w:sz w:val="24"/>
          <w:szCs w:val="21"/>
          <w:highlight w:val="none"/>
        </w:rPr>
      </w:pPr>
      <w:r>
        <w:rPr>
          <w:rFonts w:hint="eastAsia" w:ascii="仿宋" w:hAnsi="仿宋" w:eastAsia="仿宋" w:cs="仿宋"/>
          <w:b/>
          <w:highlight w:val="none"/>
        </w:rPr>
        <w:t>7.技术规格响应偏离表</w:t>
      </w:r>
      <w:r>
        <w:rPr>
          <w:rFonts w:hint="eastAsia" w:ascii="仿宋" w:hAnsi="仿宋" w:eastAsia="仿宋" w:cs="仿宋"/>
          <w:bCs/>
          <w:sz w:val="24"/>
          <w:szCs w:val="21"/>
          <w:highlight w:val="none"/>
        </w:rPr>
        <w:t>（格式）</w:t>
      </w:r>
    </w:p>
    <w:p>
      <w:pPr>
        <w:spacing w:line="560" w:lineRule="exact"/>
        <w:jc w:val="left"/>
        <w:rPr>
          <w:rFonts w:ascii="仿宋" w:hAnsi="仿宋" w:eastAsia="仿宋" w:cs="仿宋"/>
          <w:szCs w:val="24"/>
          <w:highlight w:val="none"/>
          <w:u w:val="single"/>
        </w:rPr>
      </w:pPr>
      <w:r>
        <w:rPr>
          <w:rFonts w:hint="eastAsia" w:ascii="仿宋" w:hAnsi="仿宋" w:eastAsia="仿宋" w:cs="仿宋"/>
          <w:szCs w:val="24"/>
          <w:highlight w:val="none"/>
        </w:rPr>
        <w:t>投标人名称：            项目编号：</w:t>
      </w:r>
    </w:p>
    <w:tbl>
      <w:tblPr>
        <w:tblStyle w:val="23"/>
        <w:tblpPr w:leftFromText="180" w:rightFromText="180" w:vertAnchor="text" w:horzAnchor="margin" w:tblpY="162"/>
        <w:tblOverlap w:val="never"/>
        <w:tblW w:w="89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93"/>
        <w:gridCol w:w="2319"/>
        <w:gridCol w:w="2018"/>
        <w:gridCol w:w="1582"/>
        <w:gridCol w:w="11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46" w:leftChars="19"/>
              <w:jc w:val="center"/>
              <w:rPr>
                <w:rFonts w:ascii="仿宋" w:hAnsi="仿宋" w:eastAsia="仿宋" w:cs="仿宋"/>
                <w:b/>
                <w:szCs w:val="24"/>
                <w:highlight w:val="none"/>
              </w:rPr>
            </w:pPr>
            <w:r>
              <w:rPr>
                <w:rFonts w:hint="eastAsia" w:ascii="仿宋" w:hAnsi="仿宋" w:eastAsia="仿宋" w:cs="仿宋"/>
                <w:b/>
                <w:szCs w:val="24"/>
                <w:highlight w:val="none"/>
              </w:rPr>
              <w:t>序号</w:t>
            </w:r>
          </w:p>
        </w:tc>
        <w:tc>
          <w:tcPr>
            <w:tcW w:w="1193" w:type="dxa"/>
            <w:tcMar>
              <w:top w:w="57" w:type="dxa"/>
              <w:left w:w="28" w:type="dxa"/>
              <w:bottom w:w="57" w:type="dxa"/>
              <w:right w:w="28" w:type="dxa"/>
            </w:tcMar>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名称</w:t>
            </w:r>
          </w:p>
        </w:tc>
        <w:tc>
          <w:tcPr>
            <w:tcW w:w="2319" w:type="dxa"/>
            <w:tcMar>
              <w:top w:w="57" w:type="dxa"/>
              <w:left w:w="28" w:type="dxa"/>
              <w:bottom w:w="57" w:type="dxa"/>
              <w:right w:w="28" w:type="dxa"/>
            </w:tcMar>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招标文件技术需求</w:t>
            </w:r>
          </w:p>
        </w:tc>
        <w:tc>
          <w:tcPr>
            <w:tcW w:w="2018" w:type="dxa"/>
            <w:tcMar>
              <w:top w:w="57" w:type="dxa"/>
              <w:left w:w="28" w:type="dxa"/>
              <w:bottom w:w="57" w:type="dxa"/>
              <w:right w:w="28" w:type="dxa"/>
            </w:tcMar>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投标文件技术响应</w:t>
            </w:r>
          </w:p>
        </w:tc>
        <w:tc>
          <w:tcPr>
            <w:tcW w:w="1582" w:type="dxa"/>
            <w:tcMar>
              <w:top w:w="57" w:type="dxa"/>
              <w:left w:w="28" w:type="dxa"/>
              <w:bottom w:w="57" w:type="dxa"/>
              <w:right w:w="28" w:type="dxa"/>
            </w:tcMar>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偏离情况</w:t>
            </w:r>
          </w:p>
        </w:tc>
        <w:tc>
          <w:tcPr>
            <w:tcW w:w="1119" w:type="dxa"/>
            <w:tcMar>
              <w:top w:w="57" w:type="dxa"/>
              <w:left w:w="28" w:type="dxa"/>
              <w:bottom w:w="57" w:type="dxa"/>
              <w:right w:w="28" w:type="dxa"/>
            </w:tcMar>
            <w:vAlign w:val="center"/>
          </w:tcPr>
          <w:p>
            <w:pPr>
              <w:spacing w:line="560" w:lineRule="exact"/>
              <w:jc w:val="center"/>
              <w:rPr>
                <w:rFonts w:ascii="仿宋" w:hAnsi="仿宋" w:eastAsia="仿宋" w:cs="仿宋"/>
                <w:b/>
                <w:szCs w:val="24"/>
                <w:highlight w:val="none"/>
              </w:rPr>
            </w:pPr>
            <w:r>
              <w:rPr>
                <w:rFonts w:hint="eastAsia" w:ascii="仿宋" w:hAnsi="仿宋" w:eastAsia="仿宋" w:cs="仿宋"/>
                <w:b/>
                <w:szCs w:val="24"/>
                <w:highlight w:val="none"/>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2"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Borders>
              <w:bottom w:val="single" w:color="auto" w:sz="4" w:space="0"/>
            </w:tcBorders>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Borders>
              <w:bottom w:val="single" w:color="auto" w:sz="4" w:space="0"/>
            </w:tcBorders>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22"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Borders>
              <w:bottom w:val="single" w:color="auto" w:sz="4" w:space="0"/>
            </w:tcBorders>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Borders>
              <w:bottom w:val="single" w:color="auto" w:sz="4" w:space="0"/>
            </w:tcBorders>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2"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Borders>
              <w:bottom w:val="single" w:color="auto" w:sz="4" w:space="0"/>
            </w:tcBorders>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Borders>
              <w:bottom w:val="single" w:color="auto" w:sz="4" w:space="0"/>
            </w:tcBorders>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582"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c>
          <w:tcPr>
            <w:tcW w:w="1119" w:type="dxa"/>
            <w:tcMar>
              <w:top w:w="57" w:type="dxa"/>
              <w:left w:w="28" w:type="dxa"/>
              <w:bottom w:w="57" w:type="dxa"/>
              <w:right w:w="28" w:type="dxa"/>
            </w:tcMar>
            <w:vAlign w:val="center"/>
          </w:tcPr>
          <w:p>
            <w:pPr>
              <w:spacing w:line="560" w:lineRule="exact"/>
              <w:rPr>
                <w:rFonts w:ascii="仿宋" w:hAnsi="仿宋" w:eastAsia="仿宋" w:cs="仿宋"/>
                <w:szCs w:val="24"/>
                <w:highlight w:val="none"/>
              </w:rPr>
            </w:pPr>
          </w:p>
        </w:tc>
      </w:tr>
    </w:tbl>
    <w:p>
      <w:pPr>
        <w:spacing w:line="440" w:lineRule="exact"/>
        <w:ind w:left="240" w:leftChars="100"/>
        <w:rPr>
          <w:rFonts w:ascii="仿宋" w:hAnsi="仿宋" w:eastAsia="仿宋" w:cs="仿宋"/>
          <w:b/>
          <w:bCs/>
          <w:sz w:val="18"/>
          <w:szCs w:val="18"/>
          <w:highlight w:val="none"/>
        </w:rPr>
      </w:pPr>
      <w:r>
        <w:rPr>
          <w:rFonts w:hint="eastAsia" w:ascii="仿宋" w:hAnsi="仿宋" w:eastAsia="仿宋" w:cs="仿宋"/>
          <w:b/>
          <w:bCs/>
          <w:sz w:val="18"/>
          <w:szCs w:val="18"/>
          <w:highlight w:val="none"/>
        </w:rPr>
        <w:t>注：本表请按项目的实际技术参数，逐条对应招标文件第三章《采购内容及技术要求》认真填写，偏离情况填写：优于、等于或低于，偏离说明对偏离情况做出详细说明。</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lang w:val="zh-CN"/>
        </w:rPr>
        <w:t>法定代表人或被授权人（签字或盖章）</w:t>
      </w:r>
      <w:r>
        <w:rPr>
          <w:rFonts w:hint="eastAsia" w:ascii="仿宋" w:hAnsi="仿宋" w:eastAsia="仿宋" w:cs="仿宋"/>
          <w:szCs w:val="24"/>
          <w:highlight w:val="none"/>
        </w:rPr>
        <w:t>：（投标人单位公章）</w:t>
      </w:r>
    </w:p>
    <w:p>
      <w:pPr>
        <w:spacing w:line="560" w:lineRule="exact"/>
        <w:ind w:firstLine="360" w:firstLineChars="150"/>
        <w:rPr>
          <w:rFonts w:ascii="仿宋" w:hAnsi="仿宋" w:eastAsia="仿宋" w:cs="仿宋"/>
          <w:szCs w:val="24"/>
          <w:highlight w:val="none"/>
          <w:u w:val="single"/>
        </w:rPr>
      </w:pPr>
      <w:r>
        <w:rPr>
          <w:rFonts w:hint="eastAsia" w:ascii="仿宋" w:hAnsi="仿宋" w:eastAsia="仿宋" w:cs="仿宋"/>
          <w:szCs w:val="24"/>
          <w:highlight w:val="none"/>
        </w:rPr>
        <w:t xml:space="preserve"> 日 期：</w:t>
      </w:r>
      <w:bookmarkStart w:id="233" w:name="_Toc194663924"/>
      <w:bookmarkStart w:id="234" w:name="_Toc193126887"/>
      <w:bookmarkStart w:id="235" w:name="_Toc188808838"/>
      <w:bookmarkStart w:id="236" w:name="_Toc193187103"/>
    </w:p>
    <w:p>
      <w:pPr>
        <w:pStyle w:val="39"/>
        <w:spacing w:line="560" w:lineRule="exact"/>
        <w:ind w:firstLineChars="71"/>
        <w:rPr>
          <w:rFonts w:ascii="仿宋" w:hAnsi="仿宋" w:eastAsia="仿宋" w:cs="仿宋"/>
          <w:b/>
          <w:highlight w:val="none"/>
        </w:rPr>
      </w:pPr>
      <w:bookmarkStart w:id="237" w:name="_Toc458617476"/>
      <w:bookmarkStart w:id="238" w:name="_Toc11969"/>
      <w:bookmarkStart w:id="239" w:name="_Toc2240"/>
    </w:p>
    <w:p>
      <w:pPr>
        <w:pStyle w:val="39"/>
        <w:spacing w:line="560" w:lineRule="exact"/>
        <w:ind w:firstLineChars="71"/>
        <w:rPr>
          <w:rFonts w:ascii="仿宋" w:hAnsi="仿宋" w:eastAsia="仿宋" w:cs="仿宋"/>
          <w:bCs/>
          <w:sz w:val="24"/>
          <w:szCs w:val="21"/>
          <w:highlight w:val="none"/>
        </w:rPr>
      </w:pPr>
      <w:r>
        <w:rPr>
          <w:rFonts w:hint="eastAsia" w:ascii="仿宋" w:hAnsi="仿宋" w:eastAsia="仿宋" w:cs="仿宋"/>
          <w:b/>
          <w:highlight w:val="none"/>
        </w:rPr>
        <w:t>8.商务条款响应偏离表</w:t>
      </w:r>
      <w:bookmarkEnd w:id="233"/>
      <w:bookmarkEnd w:id="234"/>
      <w:bookmarkEnd w:id="235"/>
      <w:bookmarkEnd w:id="236"/>
      <w:bookmarkEnd w:id="237"/>
      <w:bookmarkEnd w:id="238"/>
      <w:bookmarkEnd w:id="239"/>
      <w:r>
        <w:rPr>
          <w:rFonts w:hint="eastAsia" w:ascii="仿宋" w:hAnsi="仿宋" w:eastAsia="仿宋" w:cs="仿宋"/>
          <w:bCs/>
          <w:sz w:val="24"/>
          <w:szCs w:val="21"/>
          <w:highlight w:val="none"/>
        </w:rPr>
        <w:t>（格式）</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投标人名称：               项目编号：</w:t>
      </w:r>
    </w:p>
    <w:tbl>
      <w:tblPr>
        <w:tblStyle w:val="23"/>
        <w:tblW w:w="90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858"/>
        <w:gridCol w:w="2506"/>
        <w:gridCol w:w="1454"/>
        <w:gridCol w:w="14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110" w:leftChars="-46"/>
              <w:jc w:val="center"/>
              <w:rPr>
                <w:rFonts w:ascii="仿宋" w:hAnsi="仿宋" w:eastAsia="仿宋" w:cs="仿宋"/>
                <w:b/>
                <w:szCs w:val="24"/>
                <w:highlight w:val="none"/>
              </w:rPr>
            </w:pPr>
            <w:r>
              <w:rPr>
                <w:rFonts w:hint="eastAsia" w:ascii="仿宋" w:hAnsi="仿宋" w:eastAsia="仿宋" w:cs="仿宋"/>
                <w:b/>
                <w:szCs w:val="24"/>
                <w:highlight w:val="none"/>
              </w:rPr>
              <w:t xml:space="preserve"> 序号</w:t>
            </w:r>
          </w:p>
        </w:tc>
        <w:tc>
          <w:tcPr>
            <w:tcW w:w="2858" w:type="dxa"/>
            <w:tcMar>
              <w:top w:w="57" w:type="dxa"/>
              <w:left w:w="28" w:type="dxa"/>
              <w:bottom w:w="57" w:type="dxa"/>
              <w:right w:w="28" w:type="dxa"/>
            </w:tcMar>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招标文件商务要求</w:t>
            </w:r>
          </w:p>
        </w:tc>
        <w:tc>
          <w:tcPr>
            <w:tcW w:w="2506" w:type="dxa"/>
            <w:tcMar>
              <w:top w:w="57" w:type="dxa"/>
              <w:left w:w="28" w:type="dxa"/>
              <w:bottom w:w="57" w:type="dxa"/>
              <w:right w:w="28" w:type="dxa"/>
            </w:tcMar>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投标文件商务响应</w:t>
            </w:r>
          </w:p>
        </w:tc>
        <w:tc>
          <w:tcPr>
            <w:tcW w:w="1454" w:type="dxa"/>
            <w:tcMar>
              <w:top w:w="57" w:type="dxa"/>
              <w:left w:w="28" w:type="dxa"/>
              <w:bottom w:w="57" w:type="dxa"/>
              <w:right w:w="28" w:type="dxa"/>
            </w:tcMar>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偏离情况</w:t>
            </w:r>
          </w:p>
        </w:tc>
        <w:tc>
          <w:tcPr>
            <w:tcW w:w="1454" w:type="dxa"/>
            <w:tcMar>
              <w:top w:w="57" w:type="dxa"/>
              <w:left w:w="28" w:type="dxa"/>
              <w:bottom w:w="57" w:type="dxa"/>
              <w:right w:w="28" w:type="dxa"/>
            </w:tcMar>
            <w:vAlign w:val="center"/>
          </w:tcPr>
          <w:p>
            <w:pPr>
              <w:spacing w:line="560" w:lineRule="exact"/>
              <w:ind w:left="240" w:leftChars="100"/>
              <w:jc w:val="center"/>
              <w:rPr>
                <w:rFonts w:ascii="仿宋" w:hAnsi="仿宋" w:eastAsia="仿宋" w:cs="仿宋"/>
                <w:b/>
                <w:szCs w:val="24"/>
                <w:highlight w:val="none"/>
              </w:rPr>
            </w:pPr>
            <w:r>
              <w:rPr>
                <w:rFonts w:hint="eastAsia" w:ascii="仿宋" w:hAnsi="仿宋" w:eastAsia="仿宋" w:cs="仿宋"/>
                <w:b/>
                <w:szCs w:val="24"/>
                <w:highlight w:val="none"/>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5"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858"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506"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5"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858"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506"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Borders>
              <w:bottom w:val="single" w:color="auto" w:sz="4" w:space="0"/>
            </w:tcBorders>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ascii="仿宋" w:hAnsi="仿宋" w:eastAsia="仿宋" w:cs="仿宋"/>
                <w:szCs w:val="24"/>
                <w:highlight w:val="none"/>
              </w:rPr>
            </w:pPr>
          </w:p>
        </w:tc>
      </w:tr>
    </w:tbl>
    <w:p>
      <w:pPr>
        <w:spacing w:line="560" w:lineRule="exact"/>
        <w:ind w:left="240" w:leftChars="100"/>
        <w:rPr>
          <w:rFonts w:ascii="仿宋" w:hAnsi="仿宋" w:eastAsia="仿宋" w:cs="仿宋"/>
          <w:b/>
          <w:bCs/>
          <w:sz w:val="20"/>
          <w:szCs w:val="20"/>
          <w:highlight w:val="none"/>
        </w:rPr>
      </w:pPr>
      <w:r>
        <w:rPr>
          <w:rFonts w:hint="eastAsia" w:ascii="仿宋" w:hAnsi="仿宋" w:eastAsia="仿宋" w:cs="仿宋"/>
          <w:b/>
          <w:bCs/>
          <w:sz w:val="20"/>
          <w:szCs w:val="20"/>
          <w:highlight w:val="none"/>
        </w:rPr>
        <w:t>注：本表按照招标文件第四章《商务要求》逐条响应，否则按无效投标处理。偏离情况填写：优于、等于或低于，偏离说明对偏离情况做出详细说明。</w:t>
      </w:r>
    </w:p>
    <w:p>
      <w:pPr>
        <w:spacing w:line="560" w:lineRule="exact"/>
        <w:ind w:left="240" w:leftChars="100"/>
        <w:rPr>
          <w:rFonts w:ascii="仿宋" w:hAnsi="仿宋" w:eastAsia="仿宋" w:cs="仿宋"/>
          <w:szCs w:val="24"/>
          <w:highlight w:val="none"/>
        </w:rPr>
      </w:pPr>
      <w:r>
        <w:rPr>
          <w:rFonts w:hint="eastAsia" w:ascii="仿宋" w:hAnsi="仿宋" w:eastAsia="仿宋" w:cs="仿宋"/>
          <w:szCs w:val="24"/>
          <w:highlight w:val="none"/>
          <w:lang w:val="zh-CN"/>
        </w:rPr>
        <w:t>法定代表人或被授权人（签字或盖章）</w:t>
      </w:r>
      <w:r>
        <w:rPr>
          <w:rFonts w:hint="eastAsia" w:ascii="仿宋" w:hAnsi="仿宋" w:eastAsia="仿宋" w:cs="仿宋"/>
          <w:szCs w:val="24"/>
          <w:highlight w:val="none"/>
        </w:rPr>
        <w:t xml:space="preserve">：（投标人单位公章）  </w:t>
      </w:r>
    </w:p>
    <w:p>
      <w:pPr>
        <w:spacing w:line="560" w:lineRule="exact"/>
        <w:ind w:left="240" w:leftChars="100" w:firstLine="120" w:firstLineChars="50"/>
        <w:rPr>
          <w:rFonts w:ascii="仿宋" w:hAnsi="仿宋" w:eastAsia="仿宋" w:cs="仿宋"/>
          <w:highlight w:val="none"/>
          <w:u w:val="single"/>
        </w:rPr>
      </w:pPr>
      <w:r>
        <w:rPr>
          <w:rFonts w:hint="eastAsia" w:ascii="仿宋" w:hAnsi="仿宋" w:eastAsia="仿宋" w:cs="仿宋"/>
          <w:szCs w:val="24"/>
          <w:highlight w:val="none"/>
        </w:rPr>
        <w:t>日 期：</w:t>
      </w:r>
    </w:p>
    <w:p>
      <w:pPr>
        <w:spacing w:line="560" w:lineRule="exact"/>
        <w:rPr>
          <w:rFonts w:ascii="仿宋" w:hAnsi="仿宋" w:eastAsia="仿宋" w:cs="仿宋"/>
          <w:b/>
          <w:kern w:val="0"/>
          <w:sz w:val="28"/>
          <w:highlight w:val="none"/>
        </w:rPr>
      </w:pPr>
      <w:r>
        <w:rPr>
          <w:rFonts w:hint="eastAsia" w:ascii="仿宋" w:hAnsi="仿宋" w:eastAsia="仿宋" w:cs="仿宋"/>
          <w:szCs w:val="21"/>
          <w:highlight w:val="none"/>
          <w:u w:val="single"/>
        </w:rPr>
        <w:br w:type="page"/>
      </w:r>
    </w:p>
    <w:p>
      <w:pPr>
        <w:pStyle w:val="39"/>
        <w:spacing w:line="560" w:lineRule="exact"/>
        <w:ind w:firstLineChars="71"/>
        <w:rPr>
          <w:rFonts w:ascii="仿宋" w:hAnsi="仿宋" w:eastAsia="仿宋" w:cs="仿宋"/>
          <w:b/>
          <w:highlight w:val="none"/>
          <w:u w:val="wavyHeavy" w:color="FF0000"/>
        </w:rPr>
      </w:pPr>
      <w:bookmarkStart w:id="240" w:name="_Toc5659"/>
      <w:bookmarkStart w:id="241" w:name="_Toc458617478"/>
      <w:bookmarkStart w:id="242" w:name="_Toc28085"/>
      <w:r>
        <w:rPr>
          <w:rFonts w:hint="eastAsia" w:ascii="仿宋" w:hAnsi="仿宋" w:eastAsia="仿宋" w:cs="仿宋"/>
          <w:b/>
          <w:highlight w:val="none"/>
        </w:rPr>
        <w:t>9.资格证明文件</w:t>
      </w:r>
      <w:bookmarkEnd w:id="194"/>
      <w:bookmarkEnd w:id="195"/>
      <w:bookmarkEnd w:id="196"/>
      <w:bookmarkEnd w:id="197"/>
      <w:bookmarkEnd w:id="240"/>
      <w:bookmarkEnd w:id="241"/>
      <w:bookmarkEnd w:id="242"/>
    </w:p>
    <w:p>
      <w:pPr>
        <w:pStyle w:val="39"/>
        <w:spacing w:line="520" w:lineRule="exact"/>
        <w:ind w:firstLine="480"/>
        <w:rPr>
          <w:rFonts w:ascii="仿宋" w:hAnsi="仿宋" w:eastAsia="仿宋" w:cs="仿宋"/>
          <w:sz w:val="24"/>
          <w:highlight w:val="none"/>
        </w:rPr>
      </w:pPr>
      <w:r>
        <w:rPr>
          <w:rFonts w:hint="eastAsia" w:ascii="仿宋" w:hAnsi="仿宋" w:eastAsia="仿宋" w:cs="仿宋"/>
          <w:sz w:val="24"/>
          <w:highlight w:val="none"/>
        </w:rPr>
        <w:t>（1）基本资格条件：符合《中华人民共和国政府采购法》第二十二条的规定：</w:t>
      </w:r>
    </w:p>
    <w:p>
      <w:pPr>
        <w:pStyle w:val="39"/>
        <w:spacing w:line="520" w:lineRule="exact"/>
        <w:ind w:firstLine="480"/>
        <w:rPr>
          <w:rFonts w:ascii="仿宋" w:hAnsi="仿宋" w:eastAsia="仿宋" w:cs="仿宋"/>
          <w:sz w:val="24"/>
          <w:highlight w:val="none"/>
        </w:rPr>
      </w:pPr>
      <w:r>
        <w:rPr>
          <w:rFonts w:hint="eastAsia" w:ascii="仿宋" w:hAnsi="仿宋" w:eastAsia="仿宋" w:cs="仿宋"/>
          <w:sz w:val="24"/>
          <w:highlight w:val="none"/>
        </w:rPr>
        <w:t xml:space="preserve">1、具有独立承担民事责任能力的法人、其他组织或自然人，并出具合法有效的营业执照或事业单位法人证书等国家规定的相关证明，自然人参与的提供其身份证明。  </w:t>
      </w:r>
    </w:p>
    <w:p>
      <w:pPr>
        <w:pStyle w:val="39"/>
        <w:spacing w:line="520" w:lineRule="exact"/>
        <w:ind w:firstLine="480"/>
        <w:rPr>
          <w:rFonts w:ascii="仿宋" w:hAnsi="仿宋" w:eastAsia="仿宋" w:cs="仿宋"/>
          <w:sz w:val="24"/>
          <w:highlight w:val="none"/>
        </w:rPr>
      </w:pPr>
      <w:r>
        <w:rPr>
          <w:rFonts w:hint="eastAsia" w:ascii="仿宋" w:hAnsi="仿宋" w:eastAsia="仿宋" w:cs="仿宋"/>
          <w:sz w:val="24"/>
          <w:highlight w:val="none"/>
        </w:rPr>
        <w:t xml:space="preserve">2、财务状况报告：提供具有财务审计资质单位出具的2020年度或2021年度财务报告（成立时间至开标时间不足一年的可提供成立后任意时段的资产负债表）或开标前六个月内其基本账户银行出具的资信证明（附开户许可证或基本账户证明）或政府采购信用担保机构出具的投标担保函。 </w:t>
      </w:r>
    </w:p>
    <w:p>
      <w:pPr>
        <w:pStyle w:val="39"/>
        <w:spacing w:line="520" w:lineRule="exact"/>
        <w:ind w:firstLine="480"/>
        <w:rPr>
          <w:rFonts w:ascii="仿宋" w:hAnsi="仿宋" w:eastAsia="仿宋" w:cs="仿宋"/>
          <w:sz w:val="24"/>
          <w:highlight w:val="none"/>
        </w:rPr>
      </w:pPr>
      <w:r>
        <w:rPr>
          <w:rFonts w:hint="eastAsia" w:ascii="仿宋" w:hAnsi="仿宋" w:eastAsia="仿宋" w:cs="仿宋"/>
          <w:sz w:val="24"/>
          <w:highlight w:val="none"/>
        </w:rPr>
        <w:t>3、税收缴纳证明：提供2022年1月1日至今任意一个月的缴费凭据；（依法免税的投标人应提供相关文件证明）</w:t>
      </w:r>
    </w:p>
    <w:p>
      <w:pPr>
        <w:pStyle w:val="39"/>
        <w:spacing w:line="520" w:lineRule="exact"/>
        <w:ind w:firstLine="480"/>
        <w:rPr>
          <w:rFonts w:ascii="仿宋" w:hAnsi="仿宋" w:eastAsia="仿宋" w:cs="仿宋"/>
          <w:sz w:val="24"/>
          <w:highlight w:val="none"/>
        </w:rPr>
      </w:pPr>
      <w:r>
        <w:rPr>
          <w:rFonts w:hint="eastAsia" w:ascii="仿宋" w:hAnsi="仿宋" w:eastAsia="仿宋" w:cs="仿宋"/>
          <w:sz w:val="24"/>
          <w:highlight w:val="none"/>
        </w:rPr>
        <w:t>4、社会保障资金缴纳证明：提供2022年1月1日至今任意一个月的社保缴费凭据或社保机构开具的社会保险参保缴费情况证明；（依法不需要缴纳社会保障资金的投标人应提供相关证明）。</w:t>
      </w:r>
    </w:p>
    <w:p>
      <w:pPr>
        <w:pStyle w:val="39"/>
        <w:spacing w:line="520" w:lineRule="exact"/>
        <w:ind w:firstLine="480"/>
        <w:rPr>
          <w:rFonts w:ascii="仿宋" w:hAnsi="仿宋" w:eastAsia="仿宋" w:cs="仿宋"/>
          <w:sz w:val="24"/>
          <w:highlight w:val="none"/>
        </w:rPr>
      </w:pPr>
      <w:r>
        <w:rPr>
          <w:rFonts w:hint="eastAsia" w:ascii="仿宋" w:hAnsi="仿宋" w:eastAsia="仿宋" w:cs="仿宋"/>
          <w:sz w:val="24"/>
          <w:highlight w:val="none"/>
        </w:rPr>
        <w:t>5、提供具有履行本合同所必需的设备和专业技术能力的说明及承诺；（格式自拟，加盖投标人公章）</w:t>
      </w:r>
    </w:p>
    <w:p>
      <w:pPr>
        <w:pStyle w:val="39"/>
        <w:spacing w:line="520" w:lineRule="exact"/>
        <w:ind w:firstLine="480"/>
        <w:rPr>
          <w:rFonts w:ascii="仿宋" w:hAnsi="仿宋" w:eastAsia="仿宋" w:cs="仿宋"/>
          <w:sz w:val="24"/>
          <w:highlight w:val="none"/>
        </w:rPr>
      </w:pPr>
      <w:r>
        <w:rPr>
          <w:rFonts w:hint="eastAsia" w:ascii="仿宋" w:hAnsi="仿宋" w:eastAsia="仿宋" w:cs="仿宋"/>
          <w:sz w:val="24"/>
          <w:highlight w:val="none"/>
        </w:rPr>
        <w:t>6、提供参加政府采购活动前三年内在经营活动中没有重大违法记录的书面声明。（格式自拟，加盖投标人公章）</w:t>
      </w:r>
    </w:p>
    <w:p>
      <w:pPr>
        <w:spacing w:line="520" w:lineRule="exact"/>
        <w:ind w:firstLine="480" w:firstLineChars="200"/>
        <w:rPr>
          <w:rFonts w:ascii="仿宋" w:hAnsi="仿宋" w:eastAsia="仿宋" w:cs="仿宋"/>
          <w:highlight w:val="none"/>
        </w:rPr>
      </w:pPr>
      <w:r>
        <w:rPr>
          <w:rFonts w:hint="eastAsia" w:ascii="仿宋" w:hAnsi="仿宋" w:eastAsia="仿宋" w:cs="仿宋"/>
          <w:highlight w:val="none"/>
        </w:rPr>
        <w:t>（2）、特定资格条件：</w:t>
      </w:r>
    </w:p>
    <w:p>
      <w:pPr>
        <w:pStyle w:val="39"/>
        <w:spacing w:line="520" w:lineRule="exact"/>
        <w:ind w:firstLine="480"/>
        <w:rPr>
          <w:rFonts w:ascii="仿宋" w:hAnsi="仿宋" w:eastAsia="仿宋" w:cs="仿宋"/>
          <w:sz w:val="24"/>
          <w:highlight w:val="none"/>
        </w:rPr>
      </w:pPr>
      <w:r>
        <w:rPr>
          <w:rFonts w:hint="eastAsia" w:ascii="仿宋" w:hAnsi="仿宋" w:eastAsia="仿宋" w:cs="仿宋"/>
          <w:sz w:val="24"/>
          <w:highlight w:val="none"/>
        </w:rPr>
        <w:t>1、法定代表人或负责人参与投标时需提供法定代表人或负责人资格证明书（附法定代表人或负责人身份证复印件）；（法定代表人或负责人须提供身份证原件，身份证原件可由本人持有）</w:t>
      </w:r>
      <w:r>
        <w:rPr>
          <w:rFonts w:hint="eastAsia" w:ascii="仿宋" w:hAnsi="仿宋" w:eastAsia="仿宋" w:cs="仿宋"/>
          <w:b/>
          <w:bCs/>
          <w:sz w:val="24"/>
          <w:highlight w:val="none"/>
        </w:rPr>
        <w:t>(格式后附）</w:t>
      </w:r>
    </w:p>
    <w:p>
      <w:pPr>
        <w:pStyle w:val="39"/>
        <w:spacing w:line="520" w:lineRule="exact"/>
        <w:ind w:firstLine="480"/>
        <w:rPr>
          <w:rFonts w:ascii="仿宋" w:hAnsi="仿宋" w:eastAsia="仿宋" w:cs="仿宋"/>
          <w:sz w:val="24"/>
          <w:highlight w:val="none"/>
        </w:rPr>
      </w:pPr>
      <w:r>
        <w:rPr>
          <w:rFonts w:hint="eastAsia" w:ascii="仿宋" w:hAnsi="仿宋" w:eastAsia="仿宋" w:cs="仿宋"/>
          <w:sz w:val="24"/>
          <w:highlight w:val="none"/>
        </w:rPr>
        <w:t>2、被授权人参与投标时需提供法定代表人或负责人授权委托书（附法定代表人或负责人及被授权人身份证复印件）；（被授权人须提供身份证原件，身份证原件可由本人持有）</w:t>
      </w:r>
      <w:r>
        <w:rPr>
          <w:rFonts w:hint="eastAsia" w:ascii="仿宋" w:hAnsi="仿宋" w:eastAsia="仿宋" w:cs="仿宋"/>
          <w:b/>
          <w:bCs/>
          <w:sz w:val="24"/>
          <w:highlight w:val="none"/>
        </w:rPr>
        <w:t>(格式后附）</w:t>
      </w:r>
    </w:p>
    <w:p>
      <w:pPr>
        <w:pStyle w:val="39"/>
        <w:spacing w:line="520" w:lineRule="exact"/>
        <w:ind w:firstLine="480"/>
        <w:rPr>
          <w:rFonts w:ascii="仿宋" w:hAnsi="仿宋" w:eastAsia="仿宋" w:cs="仿宋"/>
          <w:sz w:val="24"/>
          <w:highlight w:val="none"/>
        </w:rPr>
      </w:pPr>
    </w:p>
    <w:p>
      <w:pPr>
        <w:pStyle w:val="39"/>
        <w:spacing w:line="520" w:lineRule="exact"/>
        <w:ind w:firstLine="480"/>
        <w:rPr>
          <w:rFonts w:ascii="仿宋" w:hAnsi="仿宋" w:eastAsia="仿宋" w:cs="仿宋"/>
          <w:sz w:val="24"/>
          <w:highlight w:val="none"/>
        </w:rPr>
      </w:pPr>
      <w:r>
        <w:rPr>
          <w:rFonts w:hint="eastAsia" w:ascii="仿宋" w:hAnsi="仿宋" w:eastAsia="仿宋" w:cs="仿宋"/>
          <w:sz w:val="24"/>
          <w:highlight w:val="none"/>
        </w:rPr>
        <w:t>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39"/>
        <w:spacing w:line="520" w:lineRule="exact"/>
        <w:ind w:firstLine="480"/>
        <w:rPr>
          <w:rFonts w:ascii="仿宋" w:hAnsi="仿宋" w:eastAsia="仿宋" w:cs="仿宋"/>
          <w:sz w:val="24"/>
          <w:highlight w:val="none"/>
        </w:rPr>
      </w:pPr>
      <w:r>
        <w:rPr>
          <w:rFonts w:hint="eastAsia" w:ascii="仿宋" w:hAnsi="仿宋" w:eastAsia="仿宋" w:cs="仿宋"/>
          <w:sz w:val="24"/>
          <w:highlight w:val="none"/>
        </w:rPr>
        <w:t>4、单位负责人为同一人或者存在直接控股、管理关系的不同投标人，不得参加同一合同项下的政府采购活动；（提供书面承诺函，格式自拟加盖投标人公章）</w:t>
      </w:r>
    </w:p>
    <w:p>
      <w:pPr>
        <w:pStyle w:val="39"/>
        <w:spacing w:line="520" w:lineRule="exact"/>
        <w:ind w:firstLine="480"/>
        <w:rPr>
          <w:rFonts w:ascii="仿宋" w:hAnsi="仿宋" w:eastAsia="仿宋" w:cs="仿宋"/>
          <w:sz w:val="24"/>
          <w:highlight w:val="none"/>
        </w:rPr>
      </w:pPr>
    </w:p>
    <w:p>
      <w:pPr>
        <w:pStyle w:val="2"/>
        <w:spacing w:line="560" w:lineRule="exact"/>
        <w:rPr>
          <w:rFonts w:ascii="仿宋" w:hAnsi="仿宋" w:eastAsia="仿宋" w:cs="仿宋"/>
          <w:szCs w:val="24"/>
          <w:highlight w:val="none"/>
        </w:rPr>
      </w:pPr>
    </w:p>
    <w:p>
      <w:pPr>
        <w:rPr>
          <w:rFonts w:ascii="仿宋" w:hAnsi="仿宋" w:eastAsia="仿宋" w:cs="仿宋"/>
          <w:szCs w:val="24"/>
          <w:highlight w:val="none"/>
        </w:rPr>
      </w:pPr>
    </w:p>
    <w:p>
      <w:pPr>
        <w:pStyle w:val="2"/>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b/>
          <w:highlight w:val="none"/>
        </w:rPr>
      </w:pPr>
      <w:r>
        <w:rPr>
          <w:rFonts w:hint="eastAsia" w:ascii="仿宋" w:hAnsi="仿宋" w:eastAsia="仿宋" w:cs="仿宋"/>
          <w:b/>
          <w:highlight w:val="none"/>
        </w:rPr>
        <w:br w:type="page"/>
      </w:r>
    </w:p>
    <w:p>
      <w:pPr>
        <w:spacing w:line="560" w:lineRule="exact"/>
        <w:ind w:left="240" w:leftChars="100"/>
        <w:jc w:val="center"/>
        <w:rPr>
          <w:rFonts w:ascii="仿宋" w:hAnsi="仿宋" w:eastAsia="仿宋" w:cs="仿宋"/>
          <w:b/>
          <w:bCs/>
          <w:sz w:val="28"/>
          <w:szCs w:val="28"/>
          <w:highlight w:val="none"/>
        </w:rPr>
      </w:pPr>
      <w:bookmarkStart w:id="243" w:name="_Toc49019498"/>
      <w:bookmarkStart w:id="244" w:name="_Toc47418256"/>
      <w:bookmarkStart w:id="245" w:name="_Toc48791236"/>
      <w:bookmarkStart w:id="246" w:name="_Toc47262070"/>
      <w:bookmarkStart w:id="247" w:name="_Toc47418732"/>
      <w:bookmarkStart w:id="248" w:name="_Toc47261691"/>
      <w:bookmarkStart w:id="249" w:name="_Toc48995852"/>
      <w:bookmarkStart w:id="250" w:name="_Toc47418939"/>
      <w:bookmarkStart w:id="251" w:name="_Toc47261886"/>
      <w:bookmarkStart w:id="252" w:name="_Toc49019237"/>
      <w:r>
        <w:rPr>
          <w:rFonts w:hint="eastAsia" w:ascii="仿宋" w:hAnsi="仿宋" w:eastAsia="仿宋" w:cs="仿宋"/>
          <w:b/>
          <w:bCs/>
          <w:sz w:val="28"/>
          <w:szCs w:val="28"/>
          <w:highlight w:val="none"/>
        </w:rPr>
        <w:t>法定代表人资格证明书</w:t>
      </w:r>
    </w:p>
    <w:tbl>
      <w:tblPr>
        <w:tblStyle w:val="2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042" w:type="dxa"/>
            <w:gridSpan w:val="5"/>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致：华招广和项目管理有限公司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项目名称</w:t>
            </w:r>
          </w:p>
        </w:tc>
        <w:tc>
          <w:tcPr>
            <w:tcW w:w="8421" w:type="dxa"/>
            <w:gridSpan w:val="4"/>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文件编号</w:t>
            </w:r>
          </w:p>
        </w:tc>
        <w:tc>
          <w:tcPr>
            <w:tcW w:w="8421" w:type="dxa"/>
            <w:gridSpan w:val="4"/>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权   限</w:t>
            </w:r>
          </w:p>
        </w:tc>
        <w:tc>
          <w:tcPr>
            <w:tcW w:w="8421" w:type="dxa"/>
            <w:gridSpan w:val="4"/>
            <w:vAlign w:val="center"/>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有效期</w:t>
            </w:r>
          </w:p>
        </w:tc>
        <w:tc>
          <w:tcPr>
            <w:tcW w:w="8421" w:type="dxa"/>
            <w:gridSpan w:val="4"/>
            <w:vAlign w:val="center"/>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szCs w:val="24"/>
                <w:highlight w:val="none"/>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tabs>
                <w:tab w:val="right" w:leader="dot" w:pos="9022"/>
              </w:tabs>
              <w:autoSpaceDE w:val="0"/>
              <w:autoSpaceDN w:val="0"/>
              <w:adjustRightInd w:val="0"/>
              <w:spacing w:line="560" w:lineRule="exact"/>
              <w:ind w:firstLine="240" w:firstLineChars="100"/>
              <w:rPr>
                <w:rFonts w:ascii="仿宋" w:hAnsi="仿宋" w:eastAsia="仿宋" w:cs="仿宋"/>
                <w:bCs/>
                <w:caps/>
                <w:szCs w:val="24"/>
                <w:highlight w:val="none"/>
              </w:rPr>
            </w:pPr>
            <w:r>
              <w:rPr>
                <w:rFonts w:hint="eastAsia" w:ascii="仿宋" w:hAnsi="仿宋" w:eastAsia="仿宋" w:cs="仿宋"/>
                <w:bCs/>
                <w:caps/>
                <w:szCs w:val="24"/>
                <w:highlight w:val="none"/>
              </w:rPr>
              <w:t>企业</w:t>
            </w:r>
          </w:p>
          <w:p>
            <w:pPr>
              <w:tabs>
                <w:tab w:val="right" w:leader="dot" w:pos="9022"/>
              </w:tabs>
              <w:autoSpaceDE w:val="0"/>
              <w:autoSpaceDN w:val="0"/>
              <w:adjustRightInd w:val="0"/>
              <w:spacing w:line="560" w:lineRule="exact"/>
              <w:ind w:firstLine="240" w:firstLineChars="100"/>
              <w:rPr>
                <w:rFonts w:ascii="仿宋" w:hAnsi="仿宋" w:eastAsia="仿宋" w:cs="仿宋"/>
                <w:bCs/>
                <w:caps/>
                <w:szCs w:val="24"/>
                <w:highlight w:val="none"/>
              </w:rPr>
            </w:pPr>
            <w:r>
              <w:rPr>
                <w:rFonts w:hint="eastAsia" w:ascii="仿宋" w:hAnsi="仿宋" w:eastAsia="仿宋" w:cs="仿宋"/>
                <w:bCs/>
                <w:caps/>
                <w:szCs w:val="24"/>
                <w:highlight w:val="none"/>
              </w:rPr>
              <w:t>信息</w:t>
            </w:r>
          </w:p>
        </w:tc>
        <w:tc>
          <w:tcPr>
            <w:tcW w:w="2470"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 xml:space="preserve">企 业 名 称 </w:t>
            </w:r>
          </w:p>
        </w:tc>
        <w:tc>
          <w:tcPr>
            <w:tcW w:w="5951" w:type="dxa"/>
            <w:gridSpan w:val="3"/>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c>
          <w:tcPr>
            <w:tcW w:w="2470"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法 定 地 址</w:t>
            </w:r>
          </w:p>
        </w:tc>
        <w:tc>
          <w:tcPr>
            <w:tcW w:w="5951" w:type="dxa"/>
            <w:gridSpan w:val="3"/>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c>
          <w:tcPr>
            <w:tcW w:w="2470"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营业执照注册证号</w:t>
            </w:r>
          </w:p>
        </w:tc>
        <w:tc>
          <w:tcPr>
            <w:tcW w:w="5951" w:type="dxa"/>
            <w:gridSpan w:val="3"/>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c>
          <w:tcPr>
            <w:tcW w:w="2470" w:type="dxa"/>
          </w:tcPr>
          <w:p>
            <w:pPr>
              <w:tabs>
                <w:tab w:val="right" w:leader="dot" w:pos="9022"/>
              </w:tabs>
              <w:spacing w:line="560" w:lineRule="exact"/>
              <w:rPr>
                <w:rFonts w:ascii="仿宋" w:hAnsi="仿宋" w:eastAsia="仿宋" w:cs="仿宋"/>
                <w:bCs/>
                <w:caps/>
                <w:szCs w:val="24"/>
                <w:highlight w:val="none"/>
              </w:rPr>
            </w:pPr>
            <w:r>
              <w:rPr>
                <w:rFonts w:hint="eastAsia" w:ascii="仿宋" w:hAnsi="仿宋" w:eastAsia="仿宋" w:cs="仿宋"/>
                <w:bCs/>
                <w:caps/>
                <w:szCs w:val="24"/>
                <w:highlight w:val="none"/>
              </w:rPr>
              <w:t>工商登记机关</w:t>
            </w:r>
          </w:p>
        </w:tc>
        <w:tc>
          <w:tcPr>
            <w:tcW w:w="5951" w:type="dxa"/>
            <w:gridSpan w:val="3"/>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c>
          <w:tcPr>
            <w:tcW w:w="2470" w:type="dxa"/>
          </w:tcPr>
          <w:p>
            <w:pPr>
              <w:tabs>
                <w:tab w:val="right" w:leader="dot" w:pos="9022"/>
              </w:tabs>
              <w:spacing w:line="560" w:lineRule="exact"/>
              <w:rPr>
                <w:rFonts w:ascii="仿宋" w:hAnsi="仿宋" w:eastAsia="仿宋" w:cs="仿宋"/>
                <w:bCs/>
                <w:caps/>
                <w:szCs w:val="24"/>
                <w:highlight w:val="none"/>
              </w:rPr>
            </w:pPr>
            <w:r>
              <w:rPr>
                <w:rFonts w:hint="eastAsia" w:ascii="仿宋" w:hAnsi="仿宋" w:eastAsia="仿宋" w:cs="仿宋"/>
                <w:bCs/>
                <w:caps/>
                <w:szCs w:val="24"/>
                <w:highlight w:val="none"/>
              </w:rPr>
              <w:t>网        址</w:t>
            </w:r>
          </w:p>
        </w:tc>
        <w:tc>
          <w:tcPr>
            <w:tcW w:w="5951" w:type="dxa"/>
            <w:gridSpan w:val="3"/>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法定代</w:t>
            </w:r>
          </w:p>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表人</w:t>
            </w:r>
          </w:p>
        </w:tc>
        <w:tc>
          <w:tcPr>
            <w:tcW w:w="2470" w:type="dxa"/>
          </w:tcPr>
          <w:p>
            <w:pPr>
              <w:tabs>
                <w:tab w:val="right" w:leader="dot" w:pos="9022"/>
              </w:tabs>
              <w:autoSpaceDE w:val="0"/>
              <w:autoSpaceDN w:val="0"/>
              <w:adjustRightInd w:val="0"/>
              <w:spacing w:line="560" w:lineRule="exact"/>
              <w:ind w:firstLine="240" w:firstLineChars="100"/>
              <w:jc w:val="left"/>
              <w:rPr>
                <w:rFonts w:ascii="仿宋" w:hAnsi="仿宋" w:eastAsia="仿宋" w:cs="仿宋"/>
                <w:bCs/>
                <w:caps/>
                <w:szCs w:val="24"/>
                <w:highlight w:val="none"/>
              </w:rPr>
            </w:pPr>
            <w:r>
              <w:rPr>
                <w:rFonts w:hint="eastAsia" w:ascii="仿宋" w:hAnsi="仿宋" w:eastAsia="仿宋" w:cs="仿宋"/>
                <w:bCs/>
                <w:caps/>
                <w:szCs w:val="24"/>
                <w:highlight w:val="none"/>
              </w:rPr>
              <w:t>姓    名</w:t>
            </w:r>
          </w:p>
        </w:tc>
        <w:tc>
          <w:tcPr>
            <w:tcW w:w="1965"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c>
          <w:tcPr>
            <w:tcW w:w="1336"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性    别</w:t>
            </w:r>
          </w:p>
        </w:tc>
        <w:tc>
          <w:tcPr>
            <w:tcW w:w="2650"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c>
          <w:tcPr>
            <w:tcW w:w="2470" w:type="dxa"/>
          </w:tcPr>
          <w:p>
            <w:pPr>
              <w:tabs>
                <w:tab w:val="right" w:leader="dot" w:pos="9022"/>
              </w:tabs>
              <w:autoSpaceDE w:val="0"/>
              <w:autoSpaceDN w:val="0"/>
              <w:adjustRightInd w:val="0"/>
              <w:spacing w:line="560" w:lineRule="exact"/>
              <w:ind w:firstLine="240" w:firstLineChars="100"/>
              <w:jc w:val="left"/>
              <w:rPr>
                <w:rFonts w:ascii="仿宋" w:hAnsi="仿宋" w:eastAsia="仿宋" w:cs="仿宋"/>
                <w:bCs/>
                <w:caps/>
                <w:szCs w:val="24"/>
                <w:highlight w:val="none"/>
              </w:rPr>
            </w:pPr>
            <w:r>
              <w:rPr>
                <w:rFonts w:hint="eastAsia" w:ascii="仿宋" w:hAnsi="仿宋" w:eastAsia="仿宋" w:cs="仿宋"/>
                <w:bCs/>
                <w:caps/>
                <w:szCs w:val="24"/>
                <w:highlight w:val="none"/>
              </w:rPr>
              <w:t>职    务</w:t>
            </w:r>
          </w:p>
        </w:tc>
        <w:tc>
          <w:tcPr>
            <w:tcW w:w="1965"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c>
          <w:tcPr>
            <w:tcW w:w="1336"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联系电话</w:t>
            </w:r>
          </w:p>
        </w:tc>
        <w:tc>
          <w:tcPr>
            <w:tcW w:w="2650"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c>
          <w:tcPr>
            <w:tcW w:w="2470" w:type="dxa"/>
          </w:tcPr>
          <w:p>
            <w:pPr>
              <w:tabs>
                <w:tab w:val="right" w:leader="dot" w:pos="9022"/>
              </w:tabs>
              <w:autoSpaceDE w:val="0"/>
              <w:autoSpaceDN w:val="0"/>
              <w:adjustRightInd w:val="0"/>
              <w:spacing w:line="560" w:lineRule="exact"/>
              <w:ind w:firstLine="240" w:firstLineChars="100"/>
              <w:jc w:val="left"/>
              <w:rPr>
                <w:rFonts w:ascii="仿宋" w:hAnsi="仿宋" w:eastAsia="仿宋" w:cs="仿宋"/>
                <w:bCs/>
                <w:caps/>
                <w:szCs w:val="24"/>
                <w:highlight w:val="none"/>
              </w:rPr>
            </w:pPr>
            <w:r>
              <w:rPr>
                <w:rFonts w:hint="eastAsia" w:ascii="仿宋" w:hAnsi="仿宋" w:eastAsia="仿宋" w:cs="仿宋"/>
                <w:bCs/>
                <w:caps/>
                <w:szCs w:val="24"/>
                <w:highlight w:val="none"/>
              </w:rPr>
              <w:t>传    真</w:t>
            </w:r>
          </w:p>
        </w:tc>
        <w:tc>
          <w:tcPr>
            <w:tcW w:w="5951" w:type="dxa"/>
            <w:gridSpan w:val="3"/>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c>
          <w:tcPr>
            <w:tcW w:w="2470" w:type="dxa"/>
          </w:tcPr>
          <w:p>
            <w:pPr>
              <w:tabs>
                <w:tab w:val="right" w:leader="dot" w:pos="9022"/>
              </w:tabs>
              <w:autoSpaceDE w:val="0"/>
              <w:autoSpaceDN w:val="0"/>
              <w:adjustRightInd w:val="0"/>
              <w:spacing w:line="560" w:lineRule="exact"/>
              <w:ind w:firstLine="240" w:firstLineChars="100"/>
              <w:jc w:val="left"/>
              <w:rPr>
                <w:rFonts w:ascii="仿宋" w:hAnsi="仿宋" w:eastAsia="仿宋" w:cs="仿宋"/>
                <w:bCs/>
                <w:caps/>
                <w:szCs w:val="24"/>
                <w:highlight w:val="none"/>
              </w:rPr>
            </w:pPr>
            <w:r>
              <w:rPr>
                <w:rFonts w:hint="eastAsia" w:ascii="仿宋" w:hAnsi="仿宋" w:eastAsia="仿宋" w:cs="仿宋"/>
                <w:bCs/>
                <w:caps/>
                <w:szCs w:val="24"/>
                <w:highlight w:val="none"/>
              </w:rPr>
              <w:t>通讯地址</w:t>
            </w:r>
          </w:p>
        </w:tc>
        <w:tc>
          <w:tcPr>
            <w:tcW w:w="5951" w:type="dxa"/>
            <w:gridSpan w:val="3"/>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10042" w:type="dxa"/>
            <w:gridSpan w:val="5"/>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法定代表人身份证复印件</w:t>
            </w:r>
          </w:p>
          <w:p>
            <w:pPr>
              <w:tabs>
                <w:tab w:val="right" w:leader="dot" w:pos="9022"/>
              </w:tabs>
              <w:autoSpaceDE w:val="0"/>
              <w:autoSpaceDN w:val="0"/>
              <w:adjustRightInd w:val="0"/>
              <w:spacing w:line="560" w:lineRule="exact"/>
              <w:jc w:val="center"/>
              <w:rPr>
                <w:rFonts w:ascii="仿宋" w:hAnsi="仿宋" w:eastAsia="仿宋" w:cs="仿宋"/>
                <w:spacing w:val="-4"/>
                <w:szCs w:val="24"/>
                <w:highlight w:val="none"/>
              </w:rPr>
            </w:pPr>
          </w:p>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spacing w:val="-4"/>
                <w:szCs w:val="24"/>
                <w:highlight w:val="none"/>
              </w:rPr>
              <w:t>二代身份证正、反两面都需复印</w:t>
            </w:r>
          </w:p>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pPr>
              <w:spacing w:line="560" w:lineRule="exact"/>
              <w:rPr>
                <w:rFonts w:ascii="仿宋" w:hAnsi="仿宋" w:eastAsia="仿宋" w:cs="仿宋"/>
                <w:bCs/>
                <w:caps/>
                <w:szCs w:val="24"/>
                <w:highlight w:val="none"/>
              </w:rPr>
            </w:pPr>
            <w:r>
              <w:rPr>
                <w:rFonts w:hint="eastAsia" w:ascii="仿宋" w:hAnsi="仿宋" w:eastAsia="仿宋" w:cs="仿宋"/>
                <w:szCs w:val="24"/>
                <w:highlight w:val="none"/>
              </w:rPr>
              <w:t>投标人名称：（投标人单位公章）      日 期：</w:t>
            </w:r>
          </w:p>
        </w:tc>
      </w:tr>
    </w:tbl>
    <w:p>
      <w:pPr>
        <w:spacing w:line="560" w:lineRule="exact"/>
        <w:ind w:left="240" w:leftChars="100"/>
        <w:jc w:val="center"/>
        <w:rPr>
          <w:rFonts w:ascii="仿宋" w:hAnsi="仿宋" w:eastAsia="仿宋" w:cs="仿宋"/>
          <w:b/>
          <w:bCs/>
          <w:szCs w:val="24"/>
          <w:highlight w:val="none"/>
        </w:rPr>
      </w:pPr>
      <w:r>
        <w:rPr>
          <w:rFonts w:hint="eastAsia" w:ascii="仿宋" w:hAnsi="仿宋" w:eastAsia="仿宋" w:cs="仿宋"/>
          <w:kern w:val="0"/>
          <w:highlight w:val="none"/>
        </w:rPr>
        <w:t>（法定代表人直接投标，只须提供法定代表人证明书及身份证原件）</w:t>
      </w:r>
      <w:r>
        <w:rPr>
          <w:rFonts w:hint="eastAsia" w:ascii="仿宋" w:hAnsi="仿宋" w:eastAsia="仿宋" w:cs="仿宋"/>
          <w:b/>
          <w:bCs/>
          <w:szCs w:val="24"/>
          <w:highlight w:val="none"/>
        </w:rPr>
        <w:br w:type="page"/>
      </w:r>
    </w:p>
    <w:p>
      <w:pPr>
        <w:spacing w:line="560" w:lineRule="exact"/>
        <w:ind w:left="240" w:leftChars="100"/>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法定代表人授权委托书</w:t>
      </w:r>
    </w:p>
    <w:tbl>
      <w:tblPr>
        <w:tblStyle w:val="2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致：华招广和项目管理有限公司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被授</w:t>
            </w:r>
          </w:p>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权项</w:t>
            </w:r>
          </w:p>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目与</w:t>
            </w:r>
          </w:p>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内容</w:t>
            </w:r>
          </w:p>
        </w:tc>
        <w:tc>
          <w:tcPr>
            <w:tcW w:w="1355"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项目名称</w:t>
            </w:r>
          </w:p>
        </w:tc>
        <w:tc>
          <w:tcPr>
            <w:tcW w:w="7138" w:type="dxa"/>
            <w:gridSpan w:val="5"/>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c>
          <w:tcPr>
            <w:tcW w:w="1355"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文件编号</w:t>
            </w:r>
          </w:p>
        </w:tc>
        <w:tc>
          <w:tcPr>
            <w:tcW w:w="7138" w:type="dxa"/>
            <w:gridSpan w:val="5"/>
          </w:tcPr>
          <w:p>
            <w:pPr>
              <w:tabs>
                <w:tab w:val="right" w:leader="dot" w:pos="9022"/>
              </w:tabs>
              <w:autoSpaceDE w:val="0"/>
              <w:autoSpaceDN w:val="0"/>
              <w:adjustRightInd w:val="0"/>
              <w:spacing w:line="560" w:lineRule="exact"/>
              <w:ind w:firstLine="1200" w:firstLineChars="500"/>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c>
          <w:tcPr>
            <w:tcW w:w="1355"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授权范围</w:t>
            </w:r>
          </w:p>
        </w:tc>
        <w:tc>
          <w:tcPr>
            <w:tcW w:w="7138" w:type="dxa"/>
            <w:gridSpan w:val="5"/>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全权办理本次招标采购项目的投标、联系、洽谈、签约、执行等具体事务，签署全部有关文件、文书、协议及合同。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c>
          <w:tcPr>
            <w:tcW w:w="1355"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法律责任</w:t>
            </w:r>
          </w:p>
        </w:tc>
        <w:tc>
          <w:tcPr>
            <w:tcW w:w="7138" w:type="dxa"/>
            <w:gridSpan w:val="5"/>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c>
          <w:tcPr>
            <w:tcW w:w="1355" w:type="dxa"/>
            <w:vAlign w:val="center"/>
          </w:tcPr>
          <w:p>
            <w:pPr>
              <w:tabs>
                <w:tab w:val="right" w:leader="dot" w:pos="9022"/>
              </w:tabs>
              <w:autoSpaceDE w:val="0"/>
              <w:autoSpaceDN w:val="0"/>
              <w:adjustRightInd w:val="0"/>
              <w:spacing w:line="560" w:lineRule="exact"/>
              <w:rPr>
                <w:rFonts w:ascii="仿宋" w:hAnsi="仿宋" w:eastAsia="仿宋" w:cs="仿宋"/>
                <w:bCs/>
                <w:caps/>
                <w:szCs w:val="24"/>
                <w:highlight w:val="none"/>
              </w:rPr>
            </w:pPr>
            <w:r>
              <w:rPr>
                <w:rFonts w:hint="eastAsia" w:ascii="仿宋" w:hAnsi="仿宋" w:eastAsia="仿宋" w:cs="仿宋"/>
                <w:bCs/>
                <w:caps/>
                <w:szCs w:val="24"/>
                <w:highlight w:val="none"/>
              </w:rPr>
              <w:t>授权期限</w:t>
            </w:r>
          </w:p>
        </w:tc>
        <w:tc>
          <w:tcPr>
            <w:tcW w:w="7138" w:type="dxa"/>
            <w:gridSpan w:val="5"/>
            <w:vAlign w:val="center"/>
          </w:tcPr>
          <w:p>
            <w:pPr>
              <w:tabs>
                <w:tab w:val="right" w:leader="dot" w:pos="9022"/>
              </w:tabs>
              <w:autoSpaceDE w:val="0"/>
              <w:autoSpaceDN w:val="0"/>
              <w:adjustRightInd w:val="0"/>
              <w:spacing w:line="560" w:lineRule="exact"/>
              <w:rPr>
                <w:rFonts w:ascii="仿宋" w:hAnsi="仿宋" w:eastAsia="仿宋" w:cs="仿宋"/>
                <w:bCs/>
                <w:caps/>
                <w:szCs w:val="24"/>
                <w:highlight w:val="none"/>
              </w:rPr>
            </w:pPr>
            <w:r>
              <w:rPr>
                <w:rFonts w:hint="eastAsia" w:ascii="仿宋" w:hAnsi="仿宋" w:eastAsia="仿宋" w:cs="仿宋"/>
                <w:bCs/>
                <w:caps/>
                <w:szCs w:val="24"/>
                <w:highlight w:val="none"/>
              </w:rPr>
              <w:t>本授权书</w:t>
            </w:r>
            <w:r>
              <w:rPr>
                <w:rFonts w:hint="eastAsia" w:ascii="仿宋" w:hAnsi="仿宋" w:eastAsia="仿宋" w:cs="仿宋"/>
                <w:szCs w:val="24"/>
                <w:highlight w:val="none"/>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企业信息</w:t>
            </w:r>
          </w:p>
        </w:tc>
        <w:tc>
          <w:tcPr>
            <w:tcW w:w="2489" w:type="dxa"/>
            <w:gridSpan w:val="2"/>
          </w:tcPr>
          <w:p>
            <w:pPr>
              <w:tabs>
                <w:tab w:val="right" w:leader="dot" w:pos="9022"/>
              </w:tabs>
              <w:autoSpaceDE w:val="0"/>
              <w:autoSpaceDN w:val="0"/>
              <w:adjustRightInd w:val="0"/>
              <w:spacing w:line="560" w:lineRule="exact"/>
              <w:rPr>
                <w:rFonts w:ascii="仿宋" w:hAnsi="仿宋" w:eastAsia="仿宋" w:cs="仿宋"/>
                <w:bCs/>
                <w:caps/>
                <w:szCs w:val="24"/>
                <w:highlight w:val="none"/>
              </w:rPr>
            </w:pPr>
            <w:r>
              <w:rPr>
                <w:rFonts w:hint="eastAsia" w:ascii="仿宋" w:hAnsi="仿宋" w:eastAsia="仿宋" w:cs="仿宋"/>
                <w:bCs/>
                <w:caps/>
                <w:szCs w:val="24"/>
                <w:highlight w:val="none"/>
              </w:rPr>
              <w:t xml:space="preserve">企 业 名 称 </w:t>
            </w:r>
          </w:p>
        </w:tc>
        <w:tc>
          <w:tcPr>
            <w:tcW w:w="6004" w:type="dxa"/>
            <w:gridSpan w:val="4"/>
            <w:vAlign w:val="center"/>
          </w:tcPr>
          <w:p>
            <w:pPr>
              <w:tabs>
                <w:tab w:val="right" w:leader="dot" w:pos="9022"/>
              </w:tabs>
              <w:autoSpaceDE w:val="0"/>
              <w:autoSpaceDN w:val="0"/>
              <w:adjustRightInd w:val="0"/>
              <w:spacing w:line="560" w:lineRule="exac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c>
          <w:tcPr>
            <w:tcW w:w="2489" w:type="dxa"/>
            <w:gridSpan w:val="2"/>
          </w:tcPr>
          <w:p>
            <w:pPr>
              <w:tabs>
                <w:tab w:val="right" w:leader="dot" w:pos="9022"/>
              </w:tabs>
              <w:autoSpaceDE w:val="0"/>
              <w:autoSpaceDN w:val="0"/>
              <w:adjustRightInd w:val="0"/>
              <w:spacing w:line="560" w:lineRule="exact"/>
              <w:rPr>
                <w:rFonts w:ascii="仿宋" w:hAnsi="仿宋" w:eastAsia="仿宋" w:cs="仿宋"/>
                <w:bCs/>
                <w:caps/>
                <w:szCs w:val="24"/>
                <w:highlight w:val="none"/>
              </w:rPr>
            </w:pPr>
            <w:r>
              <w:rPr>
                <w:rFonts w:hint="eastAsia" w:ascii="仿宋" w:hAnsi="仿宋" w:eastAsia="仿宋" w:cs="仿宋"/>
                <w:bCs/>
                <w:caps/>
                <w:szCs w:val="24"/>
                <w:highlight w:val="none"/>
              </w:rPr>
              <w:t>法 定 地 址</w:t>
            </w:r>
          </w:p>
        </w:tc>
        <w:tc>
          <w:tcPr>
            <w:tcW w:w="6004" w:type="dxa"/>
            <w:gridSpan w:val="4"/>
            <w:vAlign w:val="center"/>
          </w:tcPr>
          <w:p>
            <w:pPr>
              <w:tabs>
                <w:tab w:val="right" w:leader="dot" w:pos="9022"/>
              </w:tabs>
              <w:autoSpaceDE w:val="0"/>
              <w:autoSpaceDN w:val="0"/>
              <w:adjustRightInd w:val="0"/>
              <w:spacing w:line="560" w:lineRule="exac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c>
          <w:tcPr>
            <w:tcW w:w="2489" w:type="dxa"/>
            <w:gridSpan w:val="2"/>
          </w:tcPr>
          <w:p>
            <w:pPr>
              <w:tabs>
                <w:tab w:val="right" w:leader="dot" w:pos="9022"/>
              </w:tabs>
              <w:autoSpaceDE w:val="0"/>
              <w:autoSpaceDN w:val="0"/>
              <w:adjustRightInd w:val="0"/>
              <w:spacing w:line="560" w:lineRule="exact"/>
              <w:rPr>
                <w:rFonts w:ascii="仿宋" w:hAnsi="仿宋" w:eastAsia="仿宋" w:cs="仿宋"/>
                <w:bCs/>
                <w:caps/>
                <w:szCs w:val="24"/>
                <w:highlight w:val="none"/>
              </w:rPr>
            </w:pPr>
            <w:r>
              <w:rPr>
                <w:rFonts w:hint="eastAsia" w:ascii="仿宋" w:hAnsi="仿宋" w:eastAsia="仿宋" w:cs="仿宋"/>
                <w:bCs/>
                <w:caps/>
                <w:szCs w:val="24"/>
                <w:highlight w:val="none"/>
              </w:rPr>
              <w:t>营业执照注册证号</w:t>
            </w:r>
          </w:p>
        </w:tc>
        <w:tc>
          <w:tcPr>
            <w:tcW w:w="6004" w:type="dxa"/>
            <w:gridSpan w:val="4"/>
            <w:vAlign w:val="center"/>
          </w:tcPr>
          <w:p>
            <w:pPr>
              <w:tabs>
                <w:tab w:val="right" w:leader="dot" w:pos="9022"/>
              </w:tabs>
              <w:autoSpaceDE w:val="0"/>
              <w:autoSpaceDN w:val="0"/>
              <w:adjustRightInd w:val="0"/>
              <w:spacing w:line="560" w:lineRule="exac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rPr>
                <w:rFonts w:ascii="仿宋" w:hAnsi="仿宋" w:eastAsia="仿宋" w:cs="仿宋"/>
                <w:bCs/>
                <w:caps/>
                <w:szCs w:val="24"/>
                <w:highlight w:val="none"/>
              </w:rPr>
            </w:pPr>
            <w:r>
              <w:rPr>
                <w:rFonts w:hint="eastAsia" w:ascii="仿宋" w:hAnsi="仿宋" w:eastAsia="仿宋" w:cs="仿宋"/>
                <w:bCs/>
                <w:caps/>
                <w:szCs w:val="24"/>
                <w:highlight w:val="none"/>
              </w:rPr>
              <w:t>法定代表人</w:t>
            </w:r>
          </w:p>
        </w:tc>
        <w:tc>
          <w:tcPr>
            <w:tcW w:w="1355"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姓名</w:t>
            </w:r>
          </w:p>
        </w:tc>
        <w:tc>
          <w:tcPr>
            <w:tcW w:w="2693" w:type="dxa"/>
            <w:gridSpan w:val="3"/>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c>
          <w:tcPr>
            <w:tcW w:w="1559"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性    别</w:t>
            </w:r>
          </w:p>
        </w:tc>
        <w:tc>
          <w:tcPr>
            <w:tcW w:w="2886"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c>
          <w:tcPr>
            <w:tcW w:w="1355"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职务</w:t>
            </w:r>
          </w:p>
        </w:tc>
        <w:tc>
          <w:tcPr>
            <w:tcW w:w="2693" w:type="dxa"/>
            <w:gridSpan w:val="3"/>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c>
          <w:tcPr>
            <w:tcW w:w="1559"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手机号码</w:t>
            </w:r>
          </w:p>
        </w:tc>
        <w:tc>
          <w:tcPr>
            <w:tcW w:w="2886" w:type="dxa"/>
            <w:vAlign w:val="center"/>
          </w:tcPr>
          <w:p>
            <w:pPr>
              <w:tabs>
                <w:tab w:val="right" w:leader="dot" w:pos="9022"/>
              </w:tabs>
              <w:autoSpaceDE w:val="0"/>
              <w:autoSpaceDN w:val="0"/>
              <w:adjustRightInd w:val="0"/>
              <w:spacing w:line="560" w:lineRule="exac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被授权人</w:t>
            </w:r>
          </w:p>
        </w:tc>
        <w:tc>
          <w:tcPr>
            <w:tcW w:w="1355"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姓名</w:t>
            </w:r>
          </w:p>
        </w:tc>
        <w:tc>
          <w:tcPr>
            <w:tcW w:w="2693" w:type="dxa"/>
            <w:gridSpan w:val="3"/>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c>
          <w:tcPr>
            <w:tcW w:w="1559"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性    别</w:t>
            </w:r>
          </w:p>
        </w:tc>
        <w:tc>
          <w:tcPr>
            <w:tcW w:w="2886"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c>
          <w:tcPr>
            <w:tcW w:w="1355"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职务</w:t>
            </w:r>
          </w:p>
        </w:tc>
        <w:tc>
          <w:tcPr>
            <w:tcW w:w="2693" w:type="dxa"/>
            <w:gridSpan w:val="3"/>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p>
        </w:tc>
        <w:tc>
          <w:tcPr>
            <w:tcW w:w="1559" w:type="dxa"/>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手机号码</w:t>
            </w:r>
          </w:p>
        </w:tc>
        <w:tc>
          <w:tcPr>
            <w:tcW w:w="2886" w:type="dxa"/>
          </w:tcPr>
          <w:p>
            <w:pPr>
              <w:tabs>
                <w:tab w:val="right" w:leader="dot" w:pos="9022"/>
              </w:tabs>
              <w:autoSpaceDE w:val="0"/>
              <w:autoSpaceDN w:val="0"/>
              <w:adjustRightInd w:val="0"/>
              <w:spacing w:line="560" w:lineRule="exac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通讯地址</w:t>
            </w:r>
          </w:p>
        </w:tc>
        <w:tc>
          <w:tcPr>
            <w:tcW w:w="8493" w:type="dxa"/>
            <w:gridSpan w:val="6"/>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899" w:type="dxa"/>
            <w:gridSpan w:val="4"/>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法定代表人身份证复印件</w:t>
            </w:r>
          </w:p>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二代身份证正、反两面都需复印</w:t>
            </w:r>
          </w:p>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（粘贴处）</w:t>
            </w:r>
          </w:p>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c>
          <w:tcPr>
            <w:tcW w:w="5296" w:type="dxa"/>
            <w:gridSpan w:val="3"/>
            <w:vAlign w:val="center"/>
          </w:tcPr>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被授权人身份证复印件</w:t>
            </w:r>
          </w:p>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二代身份证正、反两面都需复印</w:t>
            </w:r>
          </w:p>
          <w:p>
            <w:pPr>
              <w:tabs>
                <w:tab w:val="right" w:leader="dot" w:pos="9022"/>
              </w:tabs>
              <w:autoSpaceDE w:val="0"/>
              <w:autoSpaceDN w:val="0"/>
              <w:adjustRightInd w:val="0"/>
              <w:spacing w:line="560" w:lineRule="exact"/>
              <w:jc w:val="center"/>
              <w:rPr>
                <w:rFonts w:ascii="仿宋" w:hAnsi="仿宋" w:eastAsia="仿宋" w:cs="仿宋"/>
                <w:bCs/>
                <w:caps/>
                <w:szCs w:val="24"/>
                <w:highlight w:val="none"/>
              </w:rPr>
            </w:pPr>
            <w:r>
              <w:rPr>
                <w:rFonts w:hint="eastAsia" w:ascii="仿宋" w:hAnsi="仿宋" w:eastAsia="仿宋" w:cs="仿宋"/>
                <w:bCs/>
                <w:caps/>
                <w:szCs w:val="24"/>
                <w:highlight w:val="none"/>
              </w:rPr>
              <w:t>（粘贴处）</w:t>
            </w:r>
          </w:p>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vAlign w:val="center"/>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法定代表人签字或盖章：</w:t>
            </w:r>
          </w:p>
        </w:tc>
        <w:tc>
          <w:tcPr>
            <w:tcW w:w="5296" w:type="dxa"/>
            <w:gridSpan w:val="3"/>
            <w:vAlign w:val="center"/>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被授权人签字或盖章：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pPr>
              <w:tabs>
                <w:tab w:val="right" w:leader="dot" w:pos="9022"/>
              </w:tabs>
              <w:autoSpaceDE w:val="0"/>
              <w:autoSpaceDN w:val="0"/>
              <w:adjustRightInd w:val="0"/>
              <w:spacing w:line="560" w:lineRule="exact"/>
              <w:jc w:val="left"/>
              <w:rPr>
                <w:rFonts w:ascii="仿宋" w:hAnsi="仿宋" w:eastAsia="仿宋" w:cs="仿宋"/>
                <w:bCs/>
                <w:caps/>
                <w:szCs w:val="24"/>
                <w:highlight w:val="none"/>
              </w:rPr>
            </w:pPr>
            <w:r>
              <w:rPr>
                <w:rFonts w:hint="eastAsia" w:ascii="仿宋" w:hAnsi="仿宋" w:eastAsia="仿宋" w:cs="仿宋"/>
                <w:bCs/>
                <w:caps/>
                <w:szCs w:val="24"/>
                <w:highlight w:val="none"/>
              </w:rPr>
              <w:t>投标人名称：（投标人单位公章）     日 期：</w:t>
            </w:r>
          </w:p>
        </w:tc>
      </w:tr>
      <w:bookmarkEnd w:id="243"/>
      <w:bookmarkEnd w:id="244"/>
      <w:bookmarkEnd w:id="245"/>
      <w:bookmarkEnd w:id="246"/>
      <w:bookmarkEnd w:id="247"/>
      <w:bookmarkEnd w:id="248"/>
      <w:bookmarkEnd w:id="249"/>
      <w:bookmarkEnd w:id="250"/>
      <w:bookmarkEnd w:id="251"/>
      <w:bookmarkEnd w:id="252"/>
    </w:tbl>
    <w:p>
      <w:pPr>
        <w:pStyle w:val="39"/>
        <w:spacing w:line="560" w:lineRule="exact"/>
        <w:ind w:firstLine="0" w:firstLineChars="0"/>
        <w:jc w:val="center"/>
        <w:rPr>
          <w:rFonts w:ascii="仿宋" w:hAnsi="仿宋" w:eastAsia="仿宋" w:cs="仿宋"/>
          <w:b/>
          <w:highlight w:val="none"/>
        </w:rPr>
      </w:pPr>
      <w:r>
        <w:rPr>
          <w:rFonts w:hint="eastAsia" w:ascii="仿宋" w:hAnsi="仿宋" w:eastAsia="仿宋" w:cs="仿宋"/>
          <w:sz w:val="24"/>
          <w:highlight w:val="none"/>
        </w:rPr>
        <w:t>（被授权人投标时，须提供法定代表人授权委托书及被授权人身份证原件）</w:t>
      </w:r>
    </w:p>
    <w:p>
      <w:pPr>
        <w:pStyle w:val="39"/>
        <w:spacing w:line="560" w:lineRule="exact"/>
        <w:ind w:firstLine="0" w:firstLineChars="0"/>
        <w:rPr>
          <w:rFonts w:ascii="仿宋" w:hAnsi="仿宋" w:eastAsia="仿宋" w:cs="仿宋"/>
          <w:b/>
          <w:sz w:val="20"/>
          <w:szCs w:val="16"/>
          <w:highlight w:val="none"/>
        </w:rPr>
      </w:pPr>
      <w:r>
        <w:rPr>
          <w:rFonts w:hint="eastAsia" w:ascii="仿宋" w:hAnsi="仿宋" w:eastAsia="仿宋" w:cs="仿宋"/>
          <w:b/>
          <w:highlight w:val="none"/>
        </w:rPr>
        <w:t>10.</w:t>
      </w:r>
      <w:bookmarkStart w:id="253" w:name="_Toc188808842"/>
      <w:bookmarkStart w:id="254" w:name="_Toc193126891"/>
      <w:r>
        <w:rPr>
          <w:rFonts w:hint="eastAsia" w:ascii="仿宋" w:hAnsi="仿宋" w:eastAsia="仿宋" w:cs="仿宋"/>
          <w:b/>
          <w:highlight w:val="none"/>
        </w:rPr>
        <w:t>业绩证明材料（以合同为准，复印件加盖公章）</w:t>
      </w:r>
    </w:p>
    <w:p>
      <w:pPr>
        <w:pStyle w:val="39"/>
        <w:spacing w:line="560" w:lineRule="exact"/>
        <w:ind w:firstLine="0" w:firstLineChars="0"/>
        <w:rPr>
          <w:rFonts w:ascii="仿宋" w:hAnsi="仿宋" w:eastAsia="仿宋" w:cs="仿宋"/>
          <w:b/>
          <w:szCs w:val="28"/>
          <w:highlight w:val="none"/>
        </w:rPr>
      </w:pPr>
      <w:bookmarkStart w:id="255" w:name="_Toc458617479"/>
      <w:bookmarkStart w:id="256" w:name="_Toc14386"/>
      <w:bookmarkStart w:id="257" w:name="_Toc937"/>
    </w:p>
    <w:p>
      <w:pPr>
        <w:pStyle w:val="39"/>
        <w:spacing w:line="560" w:lineRule="exact"/>
        <w:ind w:firstLine="0" w:firstLineChars="0"/>
        <w:rPr>
          <w:rFonts w:ascii="仿宋" w:hAnsi="仿宋" w:eastAsia="仿宋" w:cs="仿宋"/>
          <w:b/>
          <w:szCs w:val="28"/>
          <w:highlight w:val="none"/>
        </w:rPr>
      </w:pPr>
    </w:p>
    <w:p>
      <w:pPr>
        <w:pStyle w:val="39"/>
        <w:spacing w:line="560" w:lineRule="exact"/>
        <w:ind w:firstLine="0" w:firstLineChars="0"/>
        <w:rPr>
          <w:rFonts w:ascii="仿宋" w:hAnsi="仿宋" w:eastAsia="仿宋" w:cs="仿宋"/>
          <w:b/>
          <w:bCs/>
          <w:szCs w:val="28"/>
          <w:highlight w:val="none"/>
        </w:rPr>
      </w:pPr>
      <w:r>
        <w:rPr>
          <w:rFonts w:hint="eastAsia" w:ascii="仿宋" w:hAnsi="仿宋" w:eastAsia="仿宋" w:cs="仿宋"/>
          <w:b/>
          <w:highlight w:val="none"/>
        </w:rPr>
        <w:t>11.产品的合法渠道证明文件</w:t>
      </w:r>
      <w:bookmarkEnd w:id="255"/>
      <w:bookmarkEnd w:id="256"/>
      <w:bookmarkEnd w:id="257"/>
      <w:bookmarkStart w:id="258" w:name="_Toc193187107"/>
      <w:bookmarkStart w:id="259" w:name="_Toc193126901"/>
      <w:bookmarkStart w:id="260" w:name="_Toc194663938"/>
      <w:bookmarkStart w:id="261" w:name="_Toc23126"/>
      <w:bookmarkStart w:id="262" w:name="_Toc23774"/>
      <w:bookmarkStart w:id="263" w:name="_Toc458617480"/>
    </w:p>
    <w:p>
      <w:pPr>
        <w:pStyle w:val="2"/>
        <w:rPr>
          <w:rFonts w:ascii="仿宋" w:hAnsi="仿宋" w:eastAsia="仿宋" w:cs="仿宋"/>
          <w:highlight w:val="none"/>
        </w:rPr>
      </w:pPr>
    </w:p>
    <w:p>
      <w:pPr>
        <w:pStyle w:val="39"/>
        <w:spacing w:line="560" w:lineRule="exact"/>
        <w:ind w:firstLineChars="71"/>
        <w:rPr>
          <w:rFonts w:ascii="仿宋" w:hAnsi="仿宋" w:eastAsia="仿宋" w:cs="仿宋"/>
          <w:b/>
          <w:highlight w:val="none"/>
        </w:rPr>
      </w:pPr>
    </w:p>
    <w:p>
      <w:pPr>
        <w:pStyle w:val="39"/>
        <w:spacing w:line="560" w:lineRule="exact"/>
        <w:ind w:firstLine="0" w:firstLineChars="0"/>
        <w:rPr>
          <w:rFonts w:ascii="仿宋" w:hAnsi="仿宋" w:eastAsia="仿宋" w:cs="仿宋"/>
          <w:b/>
          <w:highlight w:val="none"/>
        </w:rPr>
      </w:pPr>
      <w:r>
        <w:rPr>
          <w:rFonts w:hint="eastAsia" w:ascii="仿宋" w:hAnsi="仿宋" w:eastAsia="仿宋" w:cs="仿宋"/>
          <w:b/>
          <w:highlight w:val="none"/>
        </w:rPr>
        <w:t>12.</w:t>
      </w:r>
      <w:bookmarkEnd w:id="258"/>
      <w:bookmarkEnd w:id="259"/>
      <w:bookmarkEnd w:id="260"/>
      <w:r>
        <w:rPr>
          <w:rFonts w:hint="eastAsia" w:ascii="仿宋" w:hAnsi="仿宋" w:eastAsia="仿宋" w:cs="仿宋"/>
          <w:b/>
          <w:highlight w:val="none"/>
        </w:rPr>
        <w:t>项目实施方案</w:t>
      </w:r>
    </w:p>
    <w:bookmarkEnd w:id="261"/>
    <w:bookmarkEnd w:id="262"/>
    <w:bookmarkEnd w:id="263"/>
    <w:p>
      <w:pPr>
        <w:pStyle w:val="39"/>
        <w:spacing w:line="560" w:lineRule="exact"/>
        <w:ind w:firstLine="0" w:firstLineChars="0"/>
        <w:rPr>
          <w:rFonts w:ascii="仿宋" w:hAnsi="仿宋" w:eastAsia="仿宋" w:cs="仿宋"/>
          <w:b/>
          <w:szCs w:val="28"/>
          <w:highlight w:val="none"/>
        </w:rPr>
      </w:pPr>
      <w:bookmarkStart w:id="264" w:name="_Toc194663939"/>
      <w:bookmarkStart w:id="265" w:name="_Toc193187108"/>
      <w:bookmarkStart w:id="266" w:name="_Toc193126902"/>
      <w:bookmarkStart w:id="267" w:name="_Toc188808852"/>
    </w:p>
    <w:p>
      <w:pPr>
        <w:pStyle w:val="39"/>
        <w:spacing w:line="560" w:lineRule="exact"/>
        <w:ind w:firstLine="0" w:firstLineChars="0"/>
        <w:rPr>
          <w:rFonts w:ascii="仿宋" w:hAnsi="仿宋" w:eastAsia="仿宋" w:cs="仿宋"/>
          <w:b/>
          <w:szCs w:val="28"/>
          <w:highlight w:val="none"/>
        </w:rPr>
      </w:pPr>
    </w:p>
    <w:p>
      <w:pPr>
        <w:pStyle w:val="39"/>
        <w:spacing w:line="560" w:lineRule="exact"/>
        <w:ind w:firstLine="0" w:firstLineChars="0"/>
        <w:rPr>
          <w:rFonts w:ascii="仿宋" w:hAnsi="仿宋" w:eastAsia="仿宋" w:cs="仿宋"/>
          <w:b/>
          <w:szCs w:val="28"/>
          <w:highlight w:val="none"/>
        </w:rPr>
      </w:pPr>
      <w:r>
        <w:rPr>
          <w:rFonts w:hint="eastAsia" w:ascii="仿宋" w:hAnsi="仿宋" w:eastAsia="仿宋" w:cs="仿宋"/>
          <w:b/>
          <w:szCs w:val="28"/>
          <w:highlight w:val="none"/>
        </w:rPr>
        <w:t>13.</w:t>
      </w:r>
      <w:r>
        <w:rPr>
          <w:rFonts w:hint="eastAsia" w:ascii="仿宋" w:hAnsi="仿宋" w:eastAsia="仿宋" w:cs="仿宋"/>
          <w:b/>
          <w:highlight w:val="none"/>
        </w:rPr>
        <w:t>产品的技术文件</w:t>
      </w:r>
    </w:p>
    <w:p>
      <w:pPr>
        <w:pStyle w:val="39"/>
        <w:spacing w:line="560" w:lineRule="exact"/>
        <w:ind w:firstLine="0" w:firstLineChars="0"/>
        <w:rPr>
          <w:rFonts w:ascii="仿宋" w:hAnsi="仿宋" w:eastAsia="仿宋" w:cs="仿宋"/>
          <w:b/>
          <w:highlight w:val="none"/>
        </w:rPr>
      </w:pPr>
      <w:bookmarkStart w:id="268" w:name="_Toc458617481"/>
      <w:bookmarkStart w:id="269" w:name="_Toc17505"/>
      <w:bookmarkStart w:id="270" w:name="_Toc8306"/>
    </w:p>
    <w:p>
      <w:pPr>
        <w:pStyle w:val="39"/>
        <w:spacing w:line="560" w:lineRule="exact"/>
        <w:ind w:firstLineChars="71"/>
        <w:rPr>
          <w:rFonts w:ascii="仿宋" w:hAnsi="仿宋" w:eastAsia="仿宋" w:cs="仿宋"/>
          <w:b/>
          <w:highlight w:val="none"/>
        </w:rPr>
      </w:pPr>
    </w:p>
    <w:p>
      <w:pPr>
        <w:pStyle w:val="39"/>
        <w:spacing w:line="560" w:lineRule="exact"/>
        <w:ind w:firstLine="0" w:firstLineChars="0"/>
        <w:rPr>
          <w:rFonts w:ascii="仿宋" w:hAnsi="仿宋" w:eastAsia="仿宋" w:cs="仿宋"/>
          <w:b/>
          <w:highlight w:val="none"/>
        </w:rPr>
      </w:pPr>
      <w:r>
        <w:rPr>
          <w:rFonts w:hint="eastAsia" w:ascii="仿宋" w:hAnsi="仿宋" w:eastAsia="仿宋" w:cs="仿宋"/>
          <w:b/>
          <w:highlight w:val="none"/>
        </w:rPr>
        <w:t>14.质量保证</w:t>
      </w:r>
      <w:bookmarkEnd w:id="264"/>
      <w:bookmarkEnd w:id="265"/>
      <w:bookmarkEnd w:id="266"/>
      <w:bookmarkEnd w:id="267"/>
      <w:bookmarkEnd w:id="268"/>
      <w:bookmarkEnd w:id="269"/>
      <w:bookmarkEnd w:id="270"/>
      <w:bookmarkStart w:id="271" w:name="_Toc194663941"/>
      <w:bookmarkStart w:id="272" w:name="_Toc188808854"/>
      <w:bookmarkStart w:id="273" w:name="_Toc193126904"/>
      <w:bookmarkStart w:id="274" w:name="_Toc193187110"/>
      <w:r>
        <w:rPr>
          <w:rFonts w:hint="eastAsia" w:ascii="仿宋" w:hAnsi="仿宋" w:eastAsia="仿宋" w:cs="仿宋"/>
          <w:b/>
          <w:highlight w:val="none"/>
        </w:rPr>
        <w:t xml:space="preserve">承诺 </w:t>
      </w:r>
    </w:p>
    <w:p>
      <w:pPr>
        <w:spacing w:line="560" w:lineRule="exact"/>
        <w:outlineLvl w:val="1"/>
        <w:rPr>
          <w:rFonts w:ascii="仿宋" w:hAnsi="仿宋" w:eastAsia="仿宋" w:cs="仿宋"/>
          <w:b/>
          <w:sz w:val="28"/>
          <w:szCs w:val="28"/>
          <w:highlight w:val="none"/>
        </w:rPr>
      </w:pPr>
    </w:p>
    <w:p>
      <w:pPr>
        <w:pStyle w:val="14"/>
        <w:rPr>
          <w:rFonts w:ascii="仿宋" w:hAnsi="仿宋" w:eastAsia="仿宋" w:cs="仿宋"/>
          <w:highlight w:val="none"/>
        </w:rPr>
      </w:pPr>
    </w:p>
    <w:p>
      <w:pPr>
        <w:pStyle w:val="14"/>
        <w:rPr>
          <w:rFonts w:ascii="仿宋" w:hAnsi="仿宋" w:eastAsia="仿宋" w:cs="仿宋"/>
          <w:highlight w:val="none"/>
        </w:rPr>
      </w:pPr>
    </w:p>
    <w:p>
      <w:pPr>
        <w:rPr>
          <w:rFonts w:ascii="仿宋" w:hAnsi="仿宋" w:eastAsia="仿宋" w:cs="仿宋"/>
          <w:highlight w:val="none"/>
        </w:rPr>
      </w:pPr>
    </w:p>
    <w:p>
      <w:pPr>
        <w:pStyle w:val="39"/>
        <w:spacing w:line="560" w:lineRule="exact"/>
        <w:ind w:firstLine="0" w:firstLineChars="0"/>
        <w:rPr>
          <w:rFonts w:ascii="仿宋" w:hAnsi="仿宋" w:eastAsia="仿宋" w:cs="仿宋"/>
          <w:b/>
          <w:highlight w:val="none"/>
        </w:rPr>
      </w:pPr>
      <w:bookmarkStart w:id="275" w:name="_Toc2456"/>
      <w:bookmarkStart w:id="276" w:name="_Toc458617482"/>
      <w:bookmarkStart w:id="277" w:name="_Toc21757"/>
      <w:r>
        <w:rPr>
          <w:rFonts w:hint="eastAsia" w:ascii="仿宋" w:hAnsi="仿宋" w:eastAsia="仿宋" w:cs="仿宋"/>
          <w:b/>
          <w:highlight w:val="none"/>
        </w:rPr>
        <w:t>15.售后服务</w:t>
      </w:r>
      <w:bookmarkEnd w:id="271"/>
      <w:bookmarkEnd w:id="272"/>
      <w:bookmarkEnd w:id="273"/>
      <w:bookmarkEnd w:id="274"/>
      <w:bookmarkEnd w:id="275"/>
      <w:bookmarkEnd w:id="276"/>
      <w:bookmarkEnd w:id="277"/>
      <w:bookmarkStart w:id="278" w:name="_Toc458617483"/>
      <w:bookmarkStart w:id="279" w:name="_Toc11302"/>
      <w:bookmarkStart w:id="280" w:name="_Toc6260"/>
      <w:bookmarkStart w:id="281" w:name="_Toc188808855"/>
      <w:bookmarkStart w:id="282" w:name="_Toc193187111"/>
      <w:bookmarkStart w:id="283" w:name="_Toc193126905"/>
      <w:bookmarkStart w:id="284" w:name="_Toc194663942"/>
      <w:r>
        <w:rPr>
          <w:rFonts w:hint="eastAsia" w:ascii="仿宋" w:hAnsi="仿宋" w:eastAsia="仿宋" w:cs="仿宋"/>
          <w:b/>
          <w:highlight w:val="none"/>
        </w:rPr>
        <w:t>及培训计划</w:t>
      </w:r>
      <w:bookmarkEnd w:id="278"/>
      <w:bookmarkEnd w:id="279"/>
      <w:bookmarkEnd w:id="280"/>
    </w:p>
    <w:p>
      <w:pPr>
        <w:pStyle w:val="39"/>
        <w:spacing w:line="560" w:lineRule="exact"/>
        <w:ind w:firstLine="0" w:firstLineChars="0"/>
        <w:rPr>
          <w:rFonts w:ascii="仿宋" w:hAnsi="仿宋" w:eastAsia="仿宋" w:cs="仿宋"/>
          <w:b/>
          <w:highlight w:val="none"/>
        </w:rPr>
      </w:pPr>
      <w:bookmarkStart w:id="285" w:name="_Toc458617484"/>
      <w:bookmarkStart w:id="286" w:name="_Toc6949"/>
      <w:bookmarkStart w:id="287" w:name="_Toc27682"/>
    </w:p>
    <w:p>
      <w:pPr>
        <w:pStyle w:val="39"/>
        <w:spacing w:line="560" w:lineRule="exact"/>
        <w:ind w:firstLine="0" w:firstLineChars="0"/>
        <w:rPr>
          <w:rFonts w:ascii="仿宋" w:hAnsi="仿宋" w:eastAsia="仿宋" w:cs="仿宋"/>
          <w:b/>
          <w:highlight w:val="none"/>
        </w:rPr>
      </w:pPr>
    </w:p>
    <w:p>
      <w:pPr>
        <w:pStyle w:val="39"/>
        <w:spacing w:line="560" w:lineRule="exact"/>
        <w:ind w:firstLine="0" w:firstLineChars="0"/>
        <w:rPr>
          <w:rFonts w:ascii="仿宋" w:hAnsi="仿宋" w:eastAsia="仿宋" w:cs="仿宋"/>
          <w:bCs/>
          <w:sz w:val="24"/>
          <w:szCs w:val="21"/>
          <w:highlight w:val="none"/>
        </w:rPr>
      </w:pPr>
      <w:r>
        <w:rPr>
          <w:rFonts w:hint="eastAsia" w:ascii="仿宋" w:hAnsi="仿宋" w:eastAsia="仿宋" w:cs="仿宋"/>
          <w:b/>
          <w:highlight w:val="none"/>
        </w:rPr>
        <w:t>16.投标人认为有必要补充说明的事宜</w:t>
      </w:r>
      <w:bookmarkEnd w:id="285"/>
      <w:bookmarkEnd w:id="286"/>
      <w:bookmarkEnd w:id="287"/>
      <w:r>
        <w:rPr>
          <w:rFonts w:hint="eastAsia" w:ascii="仿宋" w:hAnsi="仿宋" w:eastAsia="仿宋" w:cs="仿宋"/>
          <w:bCs/>
          <w:sz w:val="24"/>
          <w:szCs w:val="21"/>
          <w:highlight w:val="none"/>
        </w:rPr>
        <w:t>（若有）</w:t>
      </w:r>
    </w:p>
    <w:p>
      <w:pPr>
        <w:rPr>
          <w:rFonts w:ascii="仿宋" w:hAnsi="仿宋" w:eastAsia="仿宋" w:cs="仿宋"/>
          <w:b/>
          <w:bCs/>
          <w:szCs w:val="28"/>
          <w:highlight w:val="none"/>
        </w:rPr>
      </w:pPr>
      <w:r>
        <w:rPr>
          <w:rFonts w:hint="eastAsia" w:ascii="仿宋" w:hAnsi="仿宋" w:eastAsia="仿宋" w:cs="仿宋"/>
          <w:b/>
          <w:bCs/>
          <w:szCs w:val="28"/>
          <w:highlight w:val="none"/>
        </w:rPr>
        <w:br w:type="page"/>
      </w:r>
    </w:p>
    <w:p>
      <w:pPr>
        <w:pStyle w:val="39"/>
        <w:spacing w:line="560" w:lineRule="exact"/>
        <w:ind w:firstLine="0" w:firstLineChars="0"/>
        <w:rPr>
          <w:rFonts w:ascii="仿宋" w:hAnsi="仿宋" w:eastAsia="仿宋" w:cs="仿宋"/>
          <w:b/>
          <w:highlight w:val="none"/>
        </w:rPr>
      </w:pPr>
      <w:r>
        <w:rPr>
          <w:rFonts w:hint="eastAsia" w:ascii="仿宋" w:hAnsi="仿宋" w:eastAsia="仿宋" w:cs="仿宋"/>
          <w:b/>
          <w:bCs/>
          <w:szCs w:val="28"/>
          <w:highlight w:val="none"/>
        </w:rPr>
        <w:t>17.</w:t>
      </w:r>
      <w:bookmarkEnd w:id="281"/>
      <w:bookmarkEnd w:id="282"/>
      <w:bookmarkEnd w:id="283"/>
      <w:bookmarkEnd w:id="284"/>
      <w:r>
        <w:rPr>
          <w:rFonts w:hint="eastAsia" w:ascii="仿宋" w:hAnsi="仿宋" w:eastAsia="仿宋" w:cs="仿宋"/>
          <w:b/>
          <w:bCs/>
          <w:szCs w:val="28"/>
          <w:highlight w:val="none"/>
        </w:rPr>
        <w:t>投标人承诺书</w:t>
      </w:r>
    </w:p>
    <w:p>
      <w:pPr>
        <w:widowControl/>
        <w:spacing w:line="560" w:lineRule="exact"/>
        <w:rPr>
          <w:rFonts w:ascii="仿宋" w:hAnsi="仿宋" w:eastAsia="仿宋" w:cs="仿宋"/>
          <w:b/>
          <w:bCs/>
          <w:kern w:val="0"/>
          <w:sz w:val="32"/>
          <w:szCs w:val="32"/>
          <w:highlight w:val="none"/>
        </w:rPr>
      </w:pPr>
    </w:p>
    <w:p>
      <w:pPr>
        <w:widowControl/>
        <w:spacing w:line="560" w:lineRule="exact"/>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陕西省政府采购投标人</w:t>
      </w:r>
    </w:p>
    <w:p>
      <w:pPr>
        <w:widowControl/>
        <w:spacing w:line="560" w:lineRule="exact"/>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拒绝政府采购领域商业贿赂承诺书Ⅰ</w:t>
      </w:r>
    </w:p>
    <w:p>
      <w:pPr>
        <w:widowControl/>
        <w:spacing w:line="560" w:lineRule="exact"/>
        <w:ind w:firstLine="480" w:firstLineChars="200"/>
        <w:jc w:val="left"/>
        <w:rPr>
          <w:rFonts w:ascii="仿宋" w:hAnsi="仿宋" w:eastAsia="仿宋" w:cs="仿宋"/>
          <w:kern w:val="0"/>
          <w:highlight w:val="none"/>
        </w:rPr>
      </w:pPr>
    </w:p>
    <w:p>
      <w:pPr>
        <w:widowControl/>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为响应党中央、国务院关于治理政府采购领域商业贿赂行为的号召，</w:t>
      </w:r>
      <w:r>
        <w:rPr>
          <w:rFonts w:hint="eastAsia" w:ascii="仿宋" w:hAnsi="仿宋" w:eastAsia="仿宋" w:cs="仿宋"/>
          <w:kern w:val="0"/>
          <w:highlight w:val="none"/>
        </w:rPr>
        <w:t xml:space="preserve">我单位作为     </w:t>
      </w:r>
      <w:r>
        <w:rPr>
          <w:rFonts w:hint="eastAsia" w:ascii="仿宋" w:hAnsi="仿宋" w:eastAsia="仿宋" w:cs="仿宋"/>
          <w:kern w:val="0"/>
          <w:highlight w:val="none"/>
          <w:u w:val="single"/>
        </w:rPr>
        <w:t xml:space="preserve">（项目名称）         </w:t>
      </w:r>
      <w:r>
        <w:rPr>
          <w:rFonts w:hint="eastAsia" w:ascii="仿宋" w:hAnsi="仿宋" w:eastAsia="仿宋" w:cs="仿宋"/>
          <w:kern w:val="0"/>
          <w:highlight w:val="none"/>
        </w:rPr>
        <w:t xml:space="preserve"> 的投标人，</w:t>
      </w:r>
      <w:r>
        <w:rPr>
          <w:rFonts w:hint="eastAsia" w:ascii="仿宋" w:hAnsi="仿宋" w:eastAsia="仿宋" w:cs="仿宋"/>
          <w:kern w:val="0"/>
          <w:szCs w:val="24"/>
          <w:highlight w:val="none"/>
        </w:rPr>
        <w:t xml:space="preserve">在此庄严承诺： </w:t>
      </w:r>
    </w:p>
    <w:p>
      <w:pPr>
        <w:widowControl/>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 xml:space="preserve">  1、在参与政府采购活动中遵纪守法、诚信经营、公平竞标。 </w:t>
      </w:r>
    </w:p>
    <w:p>
      <w:pPr>
        <w:widowControl/>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 xml:space="preserve">  2、不向采购人、采购代理机构和政府采购评审专家进行任何形式的商业贿赂以谋取交易机会。 </w:t>
      </w:r>
    </w:p>
    <w:p>
      <w:pPr>
        <w:widowControl/>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 xml:space="preserve">  3、不向政府采购采购代理机构和采购人提供虚假资质文件或采用虚假应标方式参与政府采购市场竞争并谋取中标、成交。 </w:t>
      </w:r>
    </w:p>
    <w:p>
      <w:pPr>
        <w:widowControl/>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 xml:space="preserve">  4、不采取“围标、陪标”等商业欺诈手段获得政府采购定单。 </w:t>
      </w:r>
    </w:p>
    <w:p>
      <w:pPr>
        <w:widowControl/>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 xml:space="preserve">  5、不采取不正当手段低毁、排挤其他投标人。 </w:t>
      </w:r>
    </w:p>
    <w:p>
      <w:pPr>
        <w:widowControl/>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 xml:space="preserve">  6、不在提供商品和服务时“偷梁换柱、以次充好”损害采购人的合法权益。 </w:t>
      </w:r>
    </w:p>
    <w:p>
      <w:pPr>
        <w:widowControl/>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 xml:space="preserve">  7、不与采购人、采购代理机构政府采购评审专家或其它投标人恶意串通，进行质疑和投诉，维护政府采购市场秩序。 </w:t>
      </w:r>
    </w:p>
    <w:p>
      <w:pPr>
        <w:widowControl/>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 xml:space="preserve">  8、尊重和接受政府采购监督管理部门的监督和政府采购代理机构招标要求，承担因违约行为给采购人造成的损失。 </w:t>
      </w:r>
    </w:p>
    <w:p>
      <w:pPr>
        <w:widowControl/>
        <w:spacing w:line="560" w:lineRule="exact"/>
        <w:ind w:firstLine="480" w:firstLineChars="200"/>
        <w:rPr>
          <w:rFonts w:ascii="仿宋" w:hAnsi="仿宋" w:eastAsia="仿宋" w:cs="仿宋"/>
          <w:kern w:val="0"/>
          <w:szCs w:val="24"/>
          <w:highlight w:val="none"/>
        </w:rPr>
      </w:pPr>
      <w:r>
        <w:rPr>
          <w:rFonts w:hint="eastAsia" w:ascii="仿宋" w:hAnsi="仿宋" w:eastAsia="仿宋" w:cs="仿宋"/>
          <w:kern w:val="0"/>
          <w:szCs w:val="24"/>
          <w:highlight w:val="none"/>
        </w:rPr>
        <w:t xml:space="preserve">  9、不发生其他有悖于政府采购公开、公平、公正和诚信原则的行为。 </w:t>
      </w:r>
    </w:p>
    <w:p>
      <w:pPr>
        <w:pStyle w:val="16"/>
        <w:rPr>
          <w:rFonts w:ascii="仿宋" w:hAnsi="仿宋" w:eastAsia="仿宋" w:cs="仿宋"/>
          <w:highlight w:val="none"/>
        </w:rPr>
      </w:pPr>
    </w:p>
    <w:p>
      <w:pPr>
        <w:widowControl/>
        <w:spacing w:line="560" w:lineRule="exact"/>
        <w:ind w:firstLine="480" w:firstLineChars="200"/>
        <w:rPr>
          <w:rFonts w:ascii="仿宋" w:hAnsi="仿宋" w:eastAsia="仿宋" w:cs="仿宋"/>
          <w:kern w:val="0"/>
          <w:szCs w:val="24"/>
          <w:highlight w:val="none"/>
        </w:rPr>
      </w:pPr>
    </w:p>
    <w:p>
      <w:pPr>
        <w:rPr>
          <w:rFonts w:ascii="仿宋" w:hAnsi="仿宋" w:eastAsia="仿宋" w:cs="仿宋"/>
          <w:kern w:val="0"/>
          <w:szCs w:val="24"/>
          <w:highlight w:val="none"/>
        </w:rPr>
      </w:pPr>
      <w:r>
        <w:rPr>
          <w:rFonts w:hint="eastAsia" w:ascii="仿宋" w:hAnsi="仿宋" w:eastAsia="仿宋" w:cs="仿宋"/>
          <w:kern w:val="0"/>
          <w:szCs w:val="24"/>
          <w:highlight w:val="none"/>
        </w:rPr>
        <w:br w:type="page"/>
      </w:r>
    </w:p>
    <w:p>
      <w:pPr>
        <w:widowControl/>
        <w:spacing w:line="560" w:lineRule="exact"/>
        <w:ind w:firstLine="240" w:firstLineChars="100"/>
        <w:rPr>
          <w:rFonts w:ascii="仿宋" w:hAnsi="仿宋" w:eastAsia="仿宋" w:cs="仿宋"/>
          <w:kern w:val="0"/>
          <w:szCs w:val="24"/>
          <w:highlight w:val="none"/>
        </w:rPr>
      </w:pPr>
      <w:r>
        <w:rPr>
          <w:rFonts w:hint="eastAsia" w:ascii="仿宋" w:hAnsi="仿宋" w:eastAsia="仿宋" w:cs="仿宋"/>
          <w:kern w:val="0"/>
          <w:szCs w:val="24"/>
          <w:highlight w:val="none"/>
        </w:rPr>
        <w:t>承诺单位：</w:t>
      </w:r>
      <w:r>
        <w:rPr>
          <w:rFonts w:hint="eastAsia" w:ascii="仿宋" w:hAnsi="仿宋" w:eastAsia="仿宋" w:cs="仿宋"/>
          <w:kern w:val="0"/>
          <w:szCs w:val="24"/>
          <w:highlight w:val="none"/>
          <w:u w:val="single"/>
        </w:rPr>
        <w:t>　　                 　</w:t>
      </w:r>
      <w:r>
        <w:rPr>
          <w:rFonts w:hint="eastAsia" w:ascii="仿宋" w:hAnsi="仿宋" w:eastAsia="仿宋" w:cs="仿宋"/>
          <w:kern w:val="0"/>
          <w:szCs w:val="24"/>
          <w:highlight w:val="none"/>
        </w:rPr>
        <w:t xml:space="preserve">（盖章） </w:t>
      </w:r>
    </w:p>
    <w:p>
      <w:pPr>
        <w:widowControl/>
        <w:spacing w:line="560" w:lineRule="exact"/>
        <w:ind w:firstLine="240" w:firstLineChars="100"/>
        <w:rPr>
          <w:rFonts w:ascii="仿宋" w:hAnsi="仿宋" w:eastAsia="仿宋" w:cs="仿宋"/>
          <w:kern w:val="0"/>
          <w:szCs w:val="24"/>
          <w:highlight w:val="none"/>
        </w:rPr>
      </w:pPr>
      <w:r>
        <w:rPr>
          <w:rFonts w:hint="eastAsia" w:ascii="仿宋" w:hAnsi="仿宋" w:eastAsia="仿宋" w:cs="仿宋"/>
          <w:kern w:val="0"/>
          <w:szCs w:val="24"/>
          <w:highlight w:val="none"/>
        </w:rPr>
        <w:t>全权代表：</w:t>
      </w:r>
      <w:r>
        <w:rPr>
          <w:rFonts w:hint="eastAsia" w:ascii="仿宋" w:hAnsi="仿宋" w:eastAsia="仿宋" w:cs="仿宋"/>
          <w:kern w:val="0"/>
          <w:szCs w:val="24"/>
          <w:highlight w:val="none"/>
          <w:u w:val="single"/>
        </w:rPr>
        <w:t>　　　　　     　　　　</w:t>
      </w:r>
      <w:r>
        <w:rPr>
          <w:rFonts w:hint="eastAsia" w:ascii="仿宋" w:hAnsi="仿宋" w:eastAsia="仿宋" w:cs="仿宋"/>
          <w:kern w:val="0"/>
          <w:szCs w:val="24"/>
          <w:highlight w:val="none"/>
        </w:rPr>
        <w:t xml:space="preserve">（签字） </w:t>
      </w:r>
    </w:p>
    <w:p>
      <w:pPr>
        <w:widowControl/>
        <w:spacing w:line="560" w:lineRule="exact"/>
        <w:ind w:firstLine="240" w:firstLineChars="100"/>
        <w:rPr>
          <w:rFonts w:ascii="仿宋" w:hAnsi="仿宋" w:eastAsia="仿宋" w:cs="仿宋"/>
          <w:kern w:val="0"/>
          <w:szCs w:val="24"/>
          <w:highlight w:val="none"/>
          <w:u w:val="single"/>
        </w:rPr>
      </w:pPr>
      <w:r>
        <w:rPr>
          <w:rFonts w:hint="eastAsia" w:ascii="仿宋" w:hAnsi="仿宋" w:eastAsia="仿宋" w:cs="仿宋"/>
          <w:kern w:val="0"/>
          <w:szCs w:val="24"/>
          <w:highlight w:val="none"/>
        </w:rPr>
        <w:t>地　　址：</w:t>
      </w:r>
    </w:p>
    <w:p>
      <w:pPr>
        <w:widowControl/>
        <w:spacing w:line="560" w:lineRule="exact"/>
        <w:ind w:left="240" w:leftChars="100"/>
        <w:rPr>
          <w:rFonts w:ascii="仿宋" w:hAnsi="仿宋" w:eastAsia="仿宋" w:cs="仿宋"/>
          <w:kern w:val="0"/>
          <w:szCs w:val="24"/>
          <w:highlight w:val="none"/>
          <w:u w:val="single"/>
        </w:rPr>
      </w:pPr>
      <w:r>
        <w:rPr>
          <w:rFonts w:hint="eastAsia" w:ascii="仿宋" w:hAnsi="仿宋" w:eastAsia="仿宋" w:cs="仿宋"/>
          <w:kern w:val="0"/>
          <w:szCs w:val="24"/>
          <w:highlight w:val="none"/>
        </w:rPr>
        <w:t>邮    编：</w:t>
      </w:r>
      <w:r>
        <w:rPr>
          <w:rFonts w:hint="eastAsia" w:ascii="仿宋" w:hAnsi="仿宋" w:eastAsia="仿宋" w:cs="仿宋"/>
          <w:kern w:val="0"/>
          <w:szCs w:val="24"/>
          <w:highlight w:val="none"/>
          <w:u w:val="single"/>
        </w:rPr>
        <w:t xml:space="preserve">　　                     　　 </w:t>
      </w:r>
    </w:p>
    <w:p>
      <w:pPr>
        <w:widowControl/>
        <w:spacing w:line="560" w:lineRule="exact"/>
        <w:ind w:left="240" w:leftChars="100"/>
        <w:rPr>
          <w:rFonts w:ascii="仿宋" w:hAnsi="仿宋" w:eastAsia="仿宋" w:cs="仿宋"/>
          <w:kern w:val="0"/>
          <w:szCs w:val="24"/>
          <w:highlight w:val="none"/>
        </w:rPr>
      </w:pPr>
      <w:r>
        <w:rPr>
          <w:rFonts w:hint="eastAsia" w:ascii="仿宋" w:hAnsi="仿宋" w:eastAsia="仿宋" w:cs="仿宋"/>
          <w:kern w:val="0"/>
          <w:szCs w:val="24"/>
          <w:highlight w:val="none"/>
        </w:rPr>
        <w:t>电　　话：</w:t>
      </w:r>
      <w:r>
        <w:rPr>
          <w:rFonts w:hint="eastAsia" w:ascii="仿宋" w:hAnsi="仿宋" w:eastAsia="仿宋" w:cs="仿宋"/>
          <w:kern w:val="0"/>
          <w:szCs w:val="24"/>
          <w:highlight w:val="none"/>
          <w:u w:val="single"/>
        </w:rPr>
        <w:t>　　　                　　　　</w:t>
      </w:r>
      <w:r>
        <w:rPr>
          <w:rFonts w:hint="eastAsia" w:ascii="仿宋" w:hAnsi="仿宋" w:eastAsia="仿宋" w:cs="仿宋"/>
          <w:kern w:val="0"/>
          <w:szCs w:val="24"/>
          <w:highlight w:val="none"/>
        </w:rPr>
        <w:t xml:space="preserve">　　 </w:t>
      </w:r>
    </w:p>
    <w:p>
      <w:pPr>
        <w:widowControl/>
        <w:spacing w:line="560" w:lineRule="exact"/>
        <w:ind w:firstLine="480" w:firstLineChars="200"/>
        <w:rPr>
          <w:rFonts w:ascii="仿宋" w:hAnsi="仿宋" w:eastAsia="仿宋" w:cs="仿宋"/>
          <w:kern w:val="0"/>
          <w:szCs w:val="24"/>
          <w:highlight w:val="none"/>
        </w:rPr>
      </w:pPr>
    </w:p>
    <w:p>
      <w:pPr>
        <w:spacing w:line="560" w:lineRule="exact"/>
        <w:ind w:firstLine="4920" w:firstLineChars="2050"/>
        <w:rPr>
          <w:rFonts w:ascii="仿宋" w:hAnsi="仿宋" w:eastAsia="仿宋" w:cs="仿宋"/>
          <w:kern w:val="0"/>
          <w:szCs w:val="24"/>
          <w:highlight w:val="none"/>
        </w:rPr>
        <w:sectPr>
          <w:headerReference r:id="rId22" w:type="first"/>
          <w:footerReference r:id="rId24" w:type="first"/>
          <w:headerReference r:id="rId21" w:type="default"/>
          <w:footerReference r:id="rId23" w:type="default"/>
          <w:pgSz w:w="11905" w:h="16840"/>
          <w:pgMar w:top="1417" w:right="1417" w:bottom="1417" w:left="1417" w:header="935" w:footer="907" w:gutter="0"/>
          <w:cols w:space="0" w:num="1"/>
          <w:titlePg/>
          <w:docGrid w:linePitch="312" w:charSpace="0"/>
        </w:sectPr>
      </w:pPr>
      <w:r>
        <w:rPr>
          <w:rFonts w:hint="eastAsia" w:ascii="仿宋" w:hAnsi="仿宋" w:eastAsia="仿宋" w:cs="仿宋"/>
          <w:kern w:val="0"/>
          <w:szCs w:val="24"/>
          <w:highlight w:val="none"/>
        </w:rPr>
        <w:t>年　　月　　日</w:t>
      </w:r>
    </w:p>
    <w:bookmarkEnd w:id="253"/>
    <w:bookmarkEnd w:id="254"/>
    <w:p>
      <w:pPr>
        <w:spacing w:line="360" w:lineRule="atLeast"/>
        <w:jc w:val="center"/>
        <w:rPr>
          <w:rFonts w:ascii="仿宋" w:hAnsi="仿宋" w:eastAsia="仿宋" w:cs="仿宋"/>
          <w:b/>
          <w:sz w:val="32"/>
          <w:szCs w:val="32"/>
          <w:highlight w:val="none"/>
        </w:rPr>
      </w:pPr>
      <w:bookmarkStart w:id="288" w:name="_Toc458617748"/>
      <w:r>
        <w:rPr>
          <w:rFonts w:hint="eastAsia" w:ascii="仿宋" w:hAnsi="仿宋" w:eastAsia="仿宋" w:cs="仿宋"/>
          <w:b/>
          <w:sz w:val="32"/>
          <w:szCs w:val="32"/>
          <w:highlight w:val="none"/>
        </w:rPr>
        <w:t>承诺书Ⅱ</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640" w:lineRule="exact"/>
              <w:rPr>
                <w:rFonts w:ascii="仿宋" w:hAnsi="仿宋" w:eastAsia="仿宋" w:cs="仿宋"/>
                <w:highlight w:val="none"/>
              </w:rPr>
            </w:pPr>
            <w:r>
              <w:rPr>
                <w:rFonts w:hint="eastAsia" w:ascii="仿宋" w:hAnsi="仿宋" w:eastAsia="仿宋" w:cs="仿宋"/>
                <w:highlight w:val="none"/>
              </w:rPr>
              <w:t>致：华招广和项目管理有限公司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作为参加贵公司组织的招标采购项目的投标人，本公司承诺：在参加本项目招标之前不存在被依法禁止经营行为、财产被接管或冻结的情况，如有隐瞒实情，愿承担一切责任及后果。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640" w:lineRule="exact"/>
              <w:jc w:val="center"/>
              <w:rPr>
                <w:rFonts w:ascii="仿宋" w:hAnsi="仿宋" w:eastAsia="仿宋" w:cs="仿宋"/>
                <w:highlight w:val="none"/>
              </w:rPr>
            </w:pPr>
            <w:r>
              <w:rPr>
                <w:rFonts w:hint="eastAsia" w:ascii="仿宋" w:hAnsi="仿宋" w:eastAsia="仿宋" w:cs="仿宋"/>
                <w:highlight w:val="none"/>
              </w:rPr>
              <w:t>投标人</w:t>
            </w:r>
          </w:p>
        </w:tc>
        <w:tc>
          <w:tcPr>
            <w:tcW w:w="3420" w:type="dxa"/>
            <w:vAlign w:val="center"/>
          </w:tcPr>
          <w:p>
            <w:pPr>
              <w:spacing w:line="640" w:lineRule="exact"/>
              <w:jc w:val="center"/>
              <w:rPr>
                <w:rFonts w:ascii="仿宋" w:hAnsi="仿宋" w:eastAsia="仿宋" w:cs="仿宋"/>
                <w:highlight w:val="none"/>
              </w:rPr>
            </w:pPr>
            <w:r>
              <w:rPr>
                <w:rFonts w:hint="eastAsia" w:ascii="仿宋" w:hAnsi="仿宋" w:eastAsia="仿宋" w:cs="仿宋"/>
                <w:highlight w:val="none"/>
              </w:rPr>
              <w:t>法定代表人</w:t>
            </w:r>
          </w:p>
        </w:tc>
        <w:tc>
          <w:tcPr>
            <w:tcW w:w="2340" w:type="dxa"/>
            <w:vAlign w:val="center"/>
          </w:tcPr>
          <w:p>
            <w:pPr>
              <w:spacing w:line="640" w:lineRule="exact"/>
              <w:jc w:val="center"/>
              <w:rPr>
                <w:rFonts w:ascii="仿宋" w:hAnsi="仿宋" w:eastAsia="仿宋" w:cs="仿宋"/>
                <w:highlight w:val="none"/>
              </w:rPr>
            </w:pPr>
            <w:r>
              <w:rPr>
                <w:rFonts w:hint="eastAsia" w:ascii="仿宋" w:hAnsi="仿宋" w:eastAsia="仿宋" w:cs="仿宋"/>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640" w:lineRule="exact"/>
              <w:jc w:val="center"/>
              <w:rPr>
                <w:rFonts w:ascii="仿宋" w:hAnsi="仿宋" w:eastAsia="仿宋" w:cs="仿宋"/>
                <w:highlight w:val="none"/>
              </w:rPr>
            </w:pPr>
            <w:r>
              <w:rPr>
                <w:rFonts w:hint="eastAsia" w:ascii="仿宋" w:hAnsi="仿宋" w:eastAsia="仿宋" w:cs="仿宋"/>
                <w:highlight w:val="none"/>
              </w:rPr>
              <w:t>（公章）</w:t>
            </w:r>
          </w:p>
        </w:tc>
        <w:tc>
          <w:tcPr>
            <w:tcW w:w="3420" w:type="dxa"/>
            <w:vAlign w:val="center"/>
          </w:tcPr>
          <w:p>
            <w:pPr>
              <w:spacing w:line="640" w:lineRule="exact"/>
              <w:jc w:val="center"/>
              <w:rPr>
                <w:rFonts w:ascii="仿宋" w:hAnsi="仿宋" w:eastAsia="仿宋" w:cs="仿宋"/>
                <w:highlight w:val="none"/>
              </w:rPr>
            </w:pPr>
            <w:r>
              <w:rPr>
                <w:rFonts w:hint="eastAsia" w:ascii="仿宋" w:hAnsi="仿宋" w:eastAsia="仿宋" w:cs="仿宋"/>
                <w:highlight w:val="none"/>
              </w:rPr>
              <w:t>（签字或盖章）</w:t>
            </w:r>
          </w:p>
        </w:tc>
        <w:tc>
          <w:tcPr>
            <w:tcW w:w="2340" w:type="dxa"/>
            <w:vAlign w:val="center"/>
          </w:tcPr>
          <w:p>
            <w:pPr>
              <w:spacing w:line="640" w:lineRule="exact"/>
              <w:ind w:firstLine="240" w:firstLineChars="100"/>
              <w:jc w:val="center"/>
              <w:rPr>
                <w:rFonts w:ascii="仿宋" w:hAnsi="仿宋" w:eastAsia="仿宋" w:cs="仿宋"/>
                <w:highlight w:val="none"/>
              </w:rPr>
            </w:pPr>
            <w:r>
              <w:rPr>
                <w:rFonts w:hint="eastAsia" w:ascii="仿宋" w:hAnsi="仿宋" w:eastAsia="仿宋" w:cs="仿宋"/>
                <w:highlight w:val="none"/>
              </w:rPr>
              <w:t>年  月  日</w:t>
            </w:r>
          </w:p>
        </w:tc>
      </w:tr>
    </w:tbl>
    <w:p>
      <w:pPr>
        <w:spacing w:line="360" w:lineRule="atLeast"/>
        <w:jc w:val="center"/>
        <w:rPr>
          <w:rFonts w:ascii="仿宋" w:hAnsi="仿宋" w:eastAsia="仿宋" w:cs="仿宋"/>
          <w:b/>
          <w:sz w:val="32"/>
          <w:szCs w:val="32"/>
          <w:highlight w:val="none"/>
        </w:rPr>
      </w:pPr>
    </w:p>
    <w:p>
      <w:pPr>
        <w:spacing w:line="360" w:lineRule="atLeast"/>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承诺书Ⅲ</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仿宋" w:hAnsi="仿宋" w:eastAsia="仿宋" w:cs="仿宋"/>
                <w:highlight w:val="none"/>
              </w:rPr>
            </w:pPr>
            <w:r>
              <w:rPr>
                <w:rFonts w:hint="eastAsia" w:ascii="仿宋" w:hAnsi="仿宋" w:eastAsia="仿宋" w:cs="仿宋"/>
                <w:highlight w:val="none"/>
              </w:rPr>
              <w:t>致：华招广和项目管理有限公司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作为参加贵公司组织的招标采购项目的投标人，本公司郑重申告并承诺：近三年受到有关行政主管部门的行政处理、不良行为记录为次（没有填零），如有隐瞒实情，愿承担一切责任及后果。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投标人</w:t>
            </w:r>
          </w:p>
        </w:tc>
        <w:tc>
          <w:tcPr>
            <w:tcW w:w="342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法定代表人</w:t>
            </w:r>
          </w:p>
        </w:tc>
        <w:tc>
          <w:tcPr>
            <w:tcW w:w="234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（公章）</w:t>
            </w:r>
          </w:p>
        </w:tc>
        <w:tc>
          <w:tcPr>
            <w:tcW w:w="342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（签字或盖章）</w:t>
            </w:r>
          </w:p>
        </w:tc>
        <w:tc>
          <w:tcPr>
            <w:tcW w:w="2340" w:type="dxa"/>
            <w:vAlign w:val="center"/>
          </w:tcPr>
          <w:p>
            <w:pPr>
              <w:spacing w:line="360" w:lineRule="atLeast"/>
              <w:ind w:firstLine="240" w:firstLineChars="100"/>
              <w:jc w:val="center"/>
              <w:rPr>
                <w:rFonts w:ascii="仿宋" w:hAnsi="仿宋" w:eastAsia="仿宋" w:cs="仿宋"/>
                <w:highlight w:val="none"/>
              </w:rPr>
            </w:pPr>
            <w:r>
              <w:rPr>
                <w:rFonts w:hint="eastAsia" w:ascii="仿宋" w:hAnsi="仿宋" w:eastAsia="仿宋" w:cs="仿宋"/>
                <w:highlight w:val="none"/>
              </w:rPr>
              <w:t>年  月  日</w:t>
            </w:r>
          </w:p>
        </w:tc>
      </w:tr>
    </w:tbl>
    <w:p>
      <w:pPr>
        <w:spacing w:line="360" w:lineRule="atLeast"/>
        <w:jc w:val="center"/>
        <w:rPr>
          <w:rFonts w:ascii="仿宋" w:hAnsi="仿宋" w:eastAsia="仿宋" w:cs="仿宋"/>
          <w:b/>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承诺书Ⅳ</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仿宋" w:hAnsi="仿宋" w:eastAsia="仿宋" w:cs="仿宋"/>
                <w:highlight w:val="none"/>
              </w:rPr>
            </w:pPr>
            <w:r>
              <w:rPr>
                <w:rFonts w:hint="eastAsia" w:ascii="仿宋" w:hAnsi="仿宋" w:eastAsia="仿宋" w:cs="仿宋"/>
                <w:highlight w:val="none"/>
              </w:rPr>
              <w:t>致：华招广和项目管理有限公司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作为参加贵公司组织的招标采购项目的投标人，本公司郑重申告：近三年因产品供货问题（水货、替代品、次品、翻新品等）的不法行为记录为次（没有填零），如有隐瞒实情，愿承担一切责任及后果。</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投标人</w:t>
            </w:r>
          </w:p>
        </w:tc>
        <w:tc>
          <w:tcPr>
            <w:tcW w:w="342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法定代表人</w:t>
            </w:r>
          </w:p>
        </w:tc>
        <w:tc>
          <w:tcPr>
            <w:tcW w:w="234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（公章）</w:t>
            </w:r>
          </w:p>
        </w:tc>
        <w:tc>
          <w:tcPr>
            <w:tcW w:w="342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（签字或盖章）</w:t>
            </w:r>
          </w:p>
        </w:tc>
        <w:tc>
          <w:tcPr>
            <w:tcW w:w="2340" w:type="dxa"/>
            <w:vAlign w:val="center"/>
          </w:tcPr>
          <w:p>
            <w:pPr>
              <w:spacing w:line="360" w:lineRule="atLeast"/>
              <w:ind w:firstLine="240" w:firstLineChars="100"/>
              <w:jc w:val="center"/>
              <w:rPr>
                <w:rFonts w:ascii="仿宋" w:hAnsi="仿宋" w:eastAsia="仿宋" w:cs="仿宋"/>
                <w:highlight w:val="none"/>
              </w:rPr>
            </w:pPr>
            <w:r>
              <w:rPr>
                <w:rFonts w:hint="eastAsia" w:ascii="仿宋" w:hAnsi="仿宋" w:eastAsia="仿宋" w:cs="仿宋"/>
                <w:highlight w:val="none"/>
              </w:rPr>
              <w:t>年  月  日</w:t>
            </w:r>
          </w:p>
        </w:tc>
      </w:tr>
    </w:tbl>
    <w:p>
      <w:pPr>
        <w:spacing w:line="360" w:lineRule="auto"/>
        <w:ind w:right="480"/>
        <w:rPr>
          <w:rFonts w:ascii="仿宋" w:hAnsi="仿宋" w:eastAsia="仿宋" w:cs="仿宋"/>
          <w:szCs w:val="28"/>
          <w:highlight w:val="none"/>
        </w:rPr>
      </w:pPr>
    </w:p>
    <w:p>
      <w:pPr>
        <w:spacing w:line="360" w:lineRule="atLeast"/>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承诺书</w:t>
      </w:r>
      <w:r>
        <w:rPr>
          <w:rFonts w:hint="eastAsia" w:ascii="仿宋" w:hAnsi="仿宋" w:eastAsia="仿宋" w:cs="仿宋"/>
          <w:b/>
          <w:sz w:val="36"/>
          <w:szCs w:val="36"/>
          <w:highlight w:val="none"/>
        </w:rPr>
        <w:fldChar w:fldCharType="begin"/>
      </w:r>
      <w:r>
        <w:rPr>
          <w:rFonts w:hint="eastAsia" w:ascii="仿宋" w:hAnsi="仿宋" w:eastAsia="仿宋" w:cs="仿宋"/>
          <w:b/>
          <w:sz w:val="36"/>
          <w:szCs w:val="36"/>
          <w:highlight w:val="none"/>
        </w:rPr>
        <w:instrText xml:space="preserve"> = 5 \* ROMAN </w:instrText>
      </w:r>
      <w:r>
        <w:rPr>
          <w:rFonts w:hint="eastAsia" w:ascii="仿宋" w:hAnsi="仿宋" w:eastAsia="仿宋" w:cs="仿宋"/>
          <w:b/>
          <w:sz w:val="36"/>
          <w:szCs w:val="36"/>
          <w:highlight w:val="none"/>
        </w:rPr>
        <w:fldChar w:fldCharType="separate"/>
      </w:r>
      <w:r>
        <w:rPr>
          <w:rFonts w:hint="eastAsia" w:ascii="仿宋" w:hAnsi="仿宋" w:eastAsia="仿宋" w:cs="仿宋"/>
          <w:b/>
          <w:sz w:val="36"/>
          <w:szCs w:val="36"/>
          <w:highlight w:val="none"/>
        </w:rPr>
        <w:t>V</w:t>
      </w:r>
      <w:r>
        <w:rPr>
          <w:rFonts w:hint="eastAsia" w:ascii="仿宋" w:hAnsi="仿宋" w:eastAsia="仿宋" w:cs="仿宋"/>
          <w:b/>
          <w:sz w:val="36"/>
          <w:szCs w:val="36"/>
          <w:highlight w:val="none"/>
        </w:rPr>
        <w:fldChar w:fldCharType="end"/>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3"/>
            <w:vAlign w:val="center"/>
          </w:tcPr>
          <w:p>
            <w:pPr>
              <w:spacing w:line="360" w:lineRule="atLeast"/>
              <w:rPr>
                <w:rFonts w:ascii="仿宋" w:hAnsi="仿宋" w:eastAsia="仿宋" w:cs="仿宋"/>
                <w:highlight w:val="none"/>
              </w:rPr>
            </w:pPr>
            <w:r>
              <w:rPr>
                <w:rFonts w:hint="eastAsia" w:ascii="仿宋" w:hAnsi="仿宋" w:eastAsia="仿宋" w:cs="仿宋"/>
                <w:highlight w:val="none"/>
              </w:rPr>
              <w:t>致：华招广和项目管理有限公司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gridSpan w:val="3"/>
            <w:vAlign w:val="center"/>
          </w:tcPr>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作为参加贵公司组织的招标采购项目的投标人，本公司承诺：参加本次投标提交的所有资格条件证明文件、业绩证明文件及其他证明文件是真实的、有效的，如有隐瞒实情，愿承担一切责任及后果。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投标人</w:t>
            </w:r>
          </w:p>
        </w:tc>
        <w:tc>
          <w:tcPr>
            <w:tcW w:w="342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法定代表人</w:t>
            </w:r>
          </w:p>
        </w:tc>
        <w:tc>
          <w:tcPr>
            <w:tcW w:w="234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324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（公章）</w:t>
            </w:r>
          </w:p>
        </w:tc>
        <w:tc>
          <w:tcPr>
            <w:tcW w:w="342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（签字或盖章）</w:t>
            </w:r>
          </w:p>
        </w:tc>
        <w:tc>
          <w:tcPr>
            <w:tcW w:w="2340" w:type="dxa"/>
            <w:vAlign w:val="center"/>
          </w:tcPr>
          <w:p>
            <w:pPr>
              <w:spacing w:line="360" w:lineRule="atLeast"/>
              <w:ind w:firstLine="240" w:firstLineChars="100"/>
              <w:jc w:val="center"/>
              <w:rPr>
                <w:rFonts w:ascii="仿宋" w:hAnsi="仿宋" w:eastAsia="仿宋" w:cs="仿宋"/>
                <w:highlight w:val="none"/>
              </w:rPr>
            </w:pPr>
            <w:r>
              <w:rPr>
                <w:rFonts w:hint="eastAsia" w:ascii="仿宋" w:hAnsi="仿宋" w:eastAsia="仿宋" w:cs="仿宋"/>
                <w:highlight w:val="none"/>
              </w:rPr>
              <w:t>年  月  日</w:t>
            </w:r>
          </w:p>
        </w:tc>
      </w:tr>
    </w:tbl>
    <w:p>
      <w:pPr>
        <w:spacing w:line="360" w:lineRule="atLeast"/>
        <w:jc w:val="center"/>
        <w:rPr>
          <w:rFonts w:ascii="仿宋" w:hAnsi="仿宋" w:eastAsia="仿宋" w:cs="仿宋"/>
          <w:b/>
          <w:sz w:val="32"/>
          <w:szCs w:val="32"/>
          <w:highlight w:val="none"/>
        </w:rPr>
      </w:pPr>
    </w:p>
    <w:p>
      <w:pPr>
        <w:rPr>
          <w:rFonts w:ascii="仿宋" w:hAnsi="仿宋" w:eastAsia="仿宋" w:cs="仿宋"/>
          <w:b/>
          <w:sz w:val="32"/>
          <w:szCs w:val="32"/>
          <w:highlight w:val="none"/>
        </w:rPr>
      </w:pPr>
      <w:r>
        <w:rPr>
          <w:rFonts w:hint="eastAsia" w:ascii="仿宋" w:hAnsi="仿宋" w:eastAsia="仿宋" w:cs="仿宋"/>
          <w:b/>
          <w:sz w:val="32"/>
          <w:szCs w:val="32"/>
          <w:highlight w:val="none"/>
        </w:rPr>
        <w:br w:type="page"/>
      </w:r>
    </w:p>
    <w:p>
      <w:pPr>
        <w:spacing w:line="360" w:lineRule="atLeast"/>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承诺书Ⅵ</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ascii="仿宋" w:hAnsi="仿宋" w:eastAsia="仿宋" w:cs="仿宋"/>
                <w:highlight w:val="none"/>
              </w:rPr>
            </w:pPr>
            <w:r>
              <w:rPr>
                <w:rFonts w:hint="eastAsia" w:ascii="仿宋" w:hAnsi="仿宋" w:eastAsia="仿宋" w:cs="仿宋"/>
                <w:highlight w:val="none"/>
              </w:rPr>
              <w:t>致：华招广和项目管理有限公司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作为参加贵公司组织的招标采购项目的投标人，本公司承诺：我单位法人代表及主要负责人所在的公司在近三年内没有违法违规行为，如有，我单位自愿放弃本次项目的投标。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投标人</w:t>
            </w:r>
          </w:p>
        </w:tc>
        <w:tc>
          <w:tcPr>
            <w:tcW w:w="342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法定代表人</w:t>
            </w:r>
          </w:p>
        </w:tc>
        <w:tc>
          <w:tcPr>
            <w:tcW w:w="234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（公章）</w:t>
            </w:r>
          </w:p>
        </w:tc>
        <w:tc>
          <w:tcPr>
            <w:tcW w:w="3420" w:type="dxa"/>
            <w:vAlign w:val="center"/>
          </w:tcPr>
          <w:p>
            <w:pPr>
              <w:spacing w:line="360" w:lineRule="atLeast"/>
              <w:jc w:val="center"/>
              <w:rPr>
                <w:rFonts w:ascii="仿宋" w:hAnsi="仿宋" w:eastAsia="仿宋" w:cs="仿宋"/>
                <w:highlight w:val="none"/>
              </w:rPr>
            </w:pPr>
            <w:r>
              <w:rPr>
                <w:rFonts w:hint="eastAsia" w:ascii="仿宋" w:hAnsi="仿宋" w:eastAsia="仿宋" w:cs="仿宋"/>
                <w:highlight w:val="none"/>
              </w:rPr>
              <w:t>（签字或盖章）</w:t>
            </w:r>
          </w:p>
        </w:tc>
        <w:tc>
          <w:tcPr>
            <w:tcW w:w="2340" w:type="dxa"/>
            <w:vAlign w:val="center"/>
          </w:tcPr>
          <w:p>
            <w:pPr>
              <w:spacing w:line="360" w:lineRule="atLeast"/>
              <w:ind w:firstLine="240" w:firstLineChars="100"/>
              <w:jc w:val="center"/>
              <w:rPr>
                <w:rFonts w:ascii="仿宋" w:hAnsi="仿宋" w:eastAsia="仿宋" w:cs="仿宋"/>
                <w:highlight w:val="none"/>
              </w:rPr>
            </w:pPr>
            <w:r>
              <w:rPr>
                <w:rFonts w:hint="eastAsia" w:ascii="仿宋" w:hAnsi="仿宋" w:eastAsia="仿宋" w:cs="仿宋"/>
                <w:highlight w:val="none"/>
              </w:rPr>
              <w:t>年  月  日</w:t>
            </w:r>
          </w:p>
        </w:tc>
      </w:tr>
    </w:tbl>
    <w:p>
      <w:pPr>
        <w:rPr>
          <w:rFonts w:ascii="仿宋" w:hAnsi="仿宋" w:eastAsia="仿宋" w:cs="仿宋"/>
          <w:b/>
          <w:bCs/>
          <w:szCs w:val="28"/>
          <w:highlight w:val="none"/>
        </w:rPr>
      </w:pPr>
    </w:p>
    <w:p>
      <w:pPr>
        <w:rPr>
          <w:rFonts w:ascii="仿宋" w:hAnsi="仿宋" w:eastAsia="仿宋" w:cs="仿宋"/>
          <w:b/>
          <w:bCs/>
          <w:szCs w:val="28"/>
          <w:highlight w:val="none"/>
        </w:rPr>
      </w:pPr>
      <w:r>
        <w:rPr>
          <w:rFonts w:hint="eastAsia" w:ascii="仿宋" w:hAnsi="仿宋" w:eastAsia="仿宋" w:cs="仿宋"/>
          <w:b/>
          <w:bCs/>
          <w:szCs w:val="28"/>
          <w:highlight w:val="none"/>
        </w:rPr>
        <w:br w:type="page"/>
      </w:r>
    </w:p>
    <w:p>
      <w:pPr>
        <w:pStyle w:val="39"/>
        <w:spacing w:line="560" w:lineRule="exact"/>
        <w:ind w:firstLine="174" w:firstLineChars="62"/>
        <w:rPr>
          <w:rFonts w:ascii="仿宋" w:hAnsi="仿宋" w:eastAsia="仿宋" w:cs="仿宋"/>
          <w:sz w:val="24"/>
          <w:szCs w:val="24"/>
          <w:highlight w:val="none"/>
        </w:rPr>
      </w:pPr>
      <w:r>
        <w:rPr>
          <w:rFonts w:hint="eastAsia" w:ascii="仿宋" w:hAnsi="仿宋" w:eastAsia="仿宋" w:cs="仿宋"/>
          <w:b/>
          <w:bCs/>
          <w:szCs w:val="28"/>
          <w:highlight w:val="none"/>
        </w:rPr>
        <w:t>18.《中小企业声明函》</w:t>
      </w:r>
      <w:bookmarkEnd w:id="288"/>
      <w:bookmarkStart w:id="289" w:name="OLE_LINK19"/>
      <w:r>
        <w:rPr>
          <w:rFonts w:hint="eastAsia" w:ascii="仿宋" w:hAnsi="仿宋" w:eastAsia="仿宋" w:cs="仿宋"/>
          <w:sz w:val="24"/>
          <w:szCs w:val="24"/>
          <w:highlight w:val="none"/>
        </w:rPr>
        <w:t>（格式，若有）</w:t>
      </w:r>
    </w:p>
    <w:bookmarkEnd w:id="289"/>
    <w:p>
      <w:pPr>
        <w:spacing w:line="640" w:lineRule="exact"/>
        <w:jc w:val="center"/>
        <w:rPr>
          <w:rFonts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中小企业声明函(货物）</w:t>
      </w:r>
      <w:r>
        <w:rPr>
          <w:rFonts w:hint="eastAsia" w:ascii="仿宋" w:hAnsi="仿宋" w:eastAsia="仿宋" w:cs="仿宋"/>
          <w:b/>
          <w:bCs/>
          <w:kern w:val="0"/>
          <w:sz w:val="20"/>
          <w:szCs w:val="20"/>
          <w:highlight w:val="none"/>
        </w:rPr>
        <w:t>(非中小企业不填写)</w:t>
      </w:r>
    </w:p>
    <w:p>
      <w:pPr>
        <w:spacing w:line="560" w:lineRule="exact"/>
        <w:rPr>
          <w:rFonts w:ascii="仿宋" w:hAnsi="仿宋" w:eastAsia="仿宋" w:cs="仿宋"/>
          <w:szCs w:val="24"/>
          <w:highlight w:val="none"/>
        </w:rPr>
      </w:pPr>
      <w:r>
        <w:rPr>
          <w:rFonts w:hint="eastAsia" w:ascii="仿宋" w:hAnsi="仿宋" w:eastAsia="仿宋" w:cs="仿宋"/>
          <w:szCs w:val="24"/>
          <w:highlight w:val="none"/>
        </w:rPr>
        <w:t>致：华招广和项目管理有限公司</w:t>
      </w:r>
    </w:p>
    <w:p>
      <w:pPr>
        <w:spacing w:line="560" w:lineRule="exact"/>
        <w:ind w:firstLine="435"/>
        <w:rPr>
          <w:rFonts w:ascii="仿宋" w:hAnsi="仿宋" w:eastAsia="仿宋" w:cs="仿宋"/>
          <w:szCs w:val="24"/>
          <w:highlight w:val="none"/>
        </w:rPr>
      </w:pPr>
      <w:r>
        <w:rPr>
          <w:rFonts w:hint="eastAsia" w:ascii="仿宋" w:hAnsi="仿宋" w:eastAsia="仿宋" w:cs="仿宋"/>
          <w:szCs w:val="24"/>
          <w:highlight w:val="none"/>
        </w:rPr>
        <w:t>本公司郑重声明，根据《政府采购促进中小企业发展管理办法》（财库【2020】46号）的规定，本公司参加</w:t>
      </w:r>
      <w:r>
        <w:rPr>
          <w:rFonts w:hint="eastAsia" w:ascii="仿宋" w:hAnsi="仿宋" w:eastAsia="仿宋" w:cs="仿宋"/>
          <w:szCs w:val="24"/>
          <w:highlight w:val="none"/>
          <w:u w:val="single"/>
        </w:rPr>
        <w:t xml:space="preserve"> （单位名称）</w:t>
      </w:r>
      <w:r>
        <w:rPr>
          <w:rFonts w:hint="eastAsia" w:ascii="仿宋" w:hAnsi="仿宋" w:eastAsia="仿宋" w:cs="仿宋"/>
          <w:szCs w:val="24"/>
          <w:highlight w:val="none"/>
        </w:rPr>
        <w:t xml:space="preserve"> 的</w:t>
      </w:r>
      <w:r>
        <w:rPr>
          <w:rFonts w:hint="eastAsia" w:ascii="仿宋" w:hAnsi="仿宋" w:eastAsia="仿宋" w:cs="仿宋"/>
          <w:szCs w:val="24"/>
          <w:highlight w:val="none"/>
          <w:u w:val="single"/>
        </w:rPr>
        <w:t>（项目名称）</w:t>
      </w:r>
      <w:r>
        <w:rPr>
          <w:rFonts w:hint="eastAsia" w:ascii="仿宋" w:hAnsi="仿宋" w:eastAsia="仿宋" w:cs="仿宋"/>
          <w:szCs w:val="24"/>
          <w:highlight w:val="none"/>
        </w:rPr>
        <w:t>采购活动，提供的货物全部由符合政策要求的中小企业制造。相关企业的具体情况如下：</w:t>
      </w:r>
    </w:p>
    <w:p>
      <w:pPr>
        <w:spacing w:line="560" w:lineRule="exact"/>
        <w:ind w:firstLine="720" w:firstLineChars="300"/>
        <w:rPr>
          <w:rFonts w:ascii="仿宋" w:hAnsi="仿宋" w:eastAsia="仿宋" w:cs="仿宋"/>
          <w:szCs w:val="24"/>
          <w:highlight w:val="none"/>
        </w:rPr>
      </w:pPr>
      <w:r>
        <w:rPr>
          <w:rFonts w:hint="eastAsia" w:ascii="仿宋" w:hAnsi="仿宋" w:eastAsia="仿宋" w:cs="仿宋"/>
          <w:szCs w:val="24"/>
          <w:highlight w:val="none"/>
        </w:rPr>
        <w:t>1.</w:t>
      </w:r>
      <w:r>
        <w:rPr>
          <w:rFonts w:hint="eastAsia" w:ascii="仿宋" w:hAnsi="仿宋" w:eastAsia="仿宋" w:cs="仿宋"/>
          <w:szCs w:val="24"/>
          <w:highlight w:val="none"/>
          <w:u w:val="single"/>
        </w:rPr>
        <w:t xml:space="preserve">（标的名称） </w:t>
      </w:r>
      <w:r>
        <w:rPr>
          <w:rFonts w:hint="eastAsia" w:ascii="仿宋" w:hAnsi="仿宋" w:eastAsia="仿宋" w:cs="仿宋"/>
          <w:szCs w:val="24"/>
          <w:highlight w:val="none"/>
        </w:rPr>
        <w:t>，属于</w:t>
      </w:r>
      <w:r>
        <w:rPr>
          <w:rFonts w:hint="eastAsia" w:ascii="仿宋" w:hAnsi="仿宋" w:eastAsia="仿宋" w:cs="仿宋"/>
          <w:szCs w:val="24"/>
          <w:highlight w:val="none"/>
          <w:u w:val="single"/>
        </w:rPr>
        <w:t xml:space="preserve"> （采购文件中明确的所属行业） </w:t>
      </w:r>
      <w:r>
        <w:rPr>
          <w:rFonts w:hint="eastAsia" w:ascii="仿宋" w:hAnsi="仿宋" w:eastAsia="仿宋" w:cs="仿宋"/>
          <w:szCs w:val="24"/>
          <w:highlight w:val="none"/>
        </w:rPr>
        <w:t>行业；制造商为</w:t>
      </w:r>
      <w:r>
        <w:rPr>
          <w:rFonts w:hint="eastAsia" w:ascii="仿宋" w:hAnsi="仿宋" w:eastAsia="仿宋" w:cs="仿宋"/>
          <w:szCs w:val="24"/>
          <w:highlight w:val="none"/>
          <w:u w:val="single"/>
        </w:rPr>
        <w:t>（企业名称）</w:t>
      </w:r>
      <w:r>
        <w:rPr>
          <w:rFonts w:hint="eastAsia" w:ascii="仿宋" w:hAnsi="仿宋" w:eastAsia="仿宋" w:cs="仿宋"/>
          <w:szCs w:val="24"/>
          <w:highlight w:val="none"/>
        </w:rPr>
        <w:t>，从业人员人，营业收入为万元，资产总额为万元</w:t>
      </w:r>
      <w:r>
        <w:rPr>
          <w:rFonts w:hint="eastAsia" w:ascii="仿宋" w:hAnsi="仿宋" w:eastAsia="仿宋" w:cs="仿宋"/>
          <w:szCs w:val="24"/>
          <w:highlight w:val="none"/>
          <w:vertAlign w:val="superscript"/>
        </w:rPr>
        <w:t>1</w:t>
      </w:r>
      <w:r>
        <w:rPr>
          <w:rFonts w:hint="eastAsia" w:ascii="仿宋" w:hAnsi="仿宋" w:eastAsia="仿宋" w:cs="仿宋"/>
          <w:szCs w:val="24"/>
          <w:highlight w:val="none"/>
        </w:rPr>
        <w:t>，属于</w:t>
      </w:r>
      <w:r>
        <w:rPr>
          <w:rFonts w:hint="eastAsia" w:ascii="仿宋" w:hAnsi="仿宋" w:eastAsia="仿宋" w:cs="仿宋"/>
          <w:szCs w:val="24"/>
          <w:highlight w:val="none"/>
          <w:u w:val="single"/>
        </w:rPr>
        <w:t>（中型企业、小型企业、微型企业）</w:t>
      </w:r>
      <w:r>
        <w:rPr>
          <w:rFonts w:hint="eastAsia" w:ascii="仿宋" w:hAnsi="仿宋" w:eastAsia="仿宋" w:cs="仿宋"/>
          <w:szCs w:val="24"/>
          <w:highlight w:val="none"/>
        </w:rPr>
        <w:t xml:space="preserve">； </w:t>
      </w:r>
    </w:p>
    <w:p>
      <w:pPr>
        <w:spacing w:line="560" w:lineRule="exact"/>
        <w:ind w:firstLine="720" w:firstLineChars="300"/>
        <w:rPr>
          <w:rFonts w:ascii="仿宋" w:hAnsi="仿宋" w:eastAsia="仿宋" w:cs="仿宋"/>
          <w:highlight w:val="none"/>
        </w:rPr>
      </w:pPr>
      <w:r>
        <w:rPr>
          <w:rFonts w:hint="eastAsia" w:ascii="仿宋" w:hAnsi="仿宋" w:eastAsia="仿宋" w:cs="仿宋"/>
          <w:szCs w:val="24"/>
          <w:highlight w:val="none"/>
        </w:rPr>
        <w:t>2.</w:t>
      </w:r>
      <w:r>
        <w:rPr>
          <w:rFonts w:hint="eastAsia" w:ascii="仿宋" w:hAnsi="仿宋" w:eastAsia="仿宋" w:cs="仿宋"/>
          <w:szCs w:val="24"/>
          <w:highlight w:val="none"/>
          <w:u w:val="single"/>
        </w:rPr>
        <w:t xml:space="preserve"> （标的名称）</w:t>
      </w:r>
      <w:r>
        <w:rPr>
          <w:rFonts w:hint="eastAsia" w:ascii="仿宋" w:hAnsi="仿宋" w:eastAsia="仿宋" w:cs="仿宋"/>
          <w:szCs w:val="24"/>
          <w:highlight w:val="none"/>
        </w:rPr>
        <w:t xml:space="preserve"> ，属于</w:t>
      </w:r>
      <w:r>
        <w:rPr>
          <w:rFonts w:hint="eastAsia" w:ascii="仿宋" w:hAnsi="仿宋" w:eastAsia="仿宋" w:cs="仿宋"/>
          <w:szCs w:val="24"/>
          <w:highlight w:val="none"/>
          <w:u w:val="single"/>
        </w:rPr>
        <w:t xml:space="preserve"> （采购文件中明确的所属行业） </w:t>
      </w:r>
      <w:r>
        <w:rPr>
          <w:rFonts w:hint="eastAsia" w:ascii="仿宋" w:hAnsi="仿宋" w:eastAsia="仿宋" w:cs="仿宋"/>
          <w:szCs w:val="24"/>
          <w:highlight w:val="none"/>
        </w:rPr>
        <w:t>行业；制造商为</w:t>
      </w:r>
      <w:r>
        <w:rPr>
          <w:rFonts w:hint="eastAsia" w:ascii="仿宋" w:hAnsi="仿宋" w:eastAsia="仿宋" w:cs="仿宋"/>
          <w:szCs w:val="24"/>
          <w:highlight w:val="none"/>
          <w:u w:val="single"/>
        </w:rPr>
        <w:t>（企业名称）</w:t>
      </w:r>
      <w:r>
        <w:rPr>
          <w:rFonts w:hint="eastAsia" w:ascii="仿宋" w:hAnsi="仿宋" w:eastAsia="仿宋" w:cs="仿宋"/>
          <w:szCs w:val="24"/>
          <w:highlight w:val="none"/>
        </w:rPr>
        <w:t>，从业人员人，营业收入为万元，资产总额为万元，属于</w:t>
      </w:r>
      <w:r>
        <w:rPr>
          <w:rFonts w:hint="eastAsia" w:ascii="仿宋" w:hAnsi="仿宋" w:eastAsia="仿宋" w:cs="仿宋"/>
          <w:szCs w:val="24"/>
          <w:highlight w:val="none"/>
          <w:u w:val="single"/>
        </w:rPr>
        <w:t>（中型企业、小型企业、微型企业）</w:t>
      </w:r>
      <w:r>
        <w:rPr>
          <w:rFonts w:hint="eastAsia" w:ascii="仿宋" w:hAnsi="仿宋" w:eastAsia="仿宋" w:cs="仿宋"/>
          <w:szCs w:val="24"/>
          <w:highlight w:val="none"/>
        </w:rPr>
        <w:t xml:space="preserve">； </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w:t>
      </w:r>
    </w:p>
    <w:p>
      <w:pPr>
        <w:pStyle w:val="2"/>
        <w:spacing w:before="105" w:line="560" w:lineRule="exact"/>
        <w:ind w:right="417" w:firstLine="645"/>
        <w:rPr>
          <w:rFonts w:ascii="仿宋" w:hAnsi="仿宋" w:eastAsia="仿宋" w:cs="仿宋"/>
          <w:szCs w:val="24"/>
          <w:highlight w:val="none"/>
        </w:rPr>
      </w:pPr>
      <w:r>
        <w:rPr>
          <w:rFonts w:hint="eastAsia" w:ascii="仿宋" w:hAnsi="仿宋" w:eastAsia="仿宋" w:cs="仿宋"/>
          <w:szCs w:val="24"/>
          <w:highlight w:val="none"/>
        </w:rPr>
        <w:t>以上企业，不属于大企业的分支机构，不存在控股股东为大企业的情形，也不存在与大企业的负责人为同一人的情形。</w:t>
      </w:r>
    </w:p>
    <w:p>
      <w:pPr>
        <w:pStyle w:val="2"/>
        <w:spacing w:line="560" w:lineRule="exact"/>
        <w:ind w:right="372" w:firstLine="645"/>
        <w:rPr>
          <w:rFonts w:ascii="仿宋" w:hAnsi="仿宋" w:eastAsia="仿宋" w:cs="仿宋"/>
          <w:szCs w:val="24"/>
          <w:highlight w:val="none"/>
        </w:rPr>
      </w:pPr>
      <w:r>
        <w:rPr>
          <w:rFonts w:hint="eastAsia" w:ascii="仿宋" w:hAnsi="仿宋" w:eastAsia="仿宋" w:cs="仿宋"/>
          <w:szCs w:val="24"/>
          <w:highlight w:val="none"/>
        </w:rPr>
        <w:t>本企业对上述声明内容的真实性负责。如有虚假，将依法承担相应责任。</w:t>
      </w:r>
    </w:p>
    <w:p>
      <w:pPr>
        <w:pStyle w:val="2"/>
        <w:spacing w:before="35" w:line="560" w:lineRule="exact"/>
        <w:ind w:left="4060" w:right="2166" w:firstLine="240" w:firstLineChars="100"/>
        <w:rPr>
          <w:rFonts w:ascii="仿宋" w:hAnsi="仿宋" w:eastAsia="仿宋" w:cs="仿宋"/>
          <w:szCs w:val="24"/>
          <w:highlight w:val="none"/>
        </w:rPr>
      </w:pPr>
      <w:r>
        <w:rPr>
          <w:rFonts w:hint="eastAsia" w:ascii="仿宋" w:hAnsi="仿宋" w:eastAsia="仿宋" w:cs="仿宋"/>
          <w:szCs w:val="24"/>
          <w:highlight w:val="none"/>
        </w:rPr>
        <w:t>企业名称（盖章）：</w:t>
      </w:r>
    </w:p>
    <w:p>
      <w:pPr>
        <w:pStyle w:val="2"/>
        <w:spacing w:before="35" w:line="560" w:lineRule="exact"/>
        <w:ind w:left="4060" w:right="2166" w:firstLine="240" w:firstLineChars="100"/>
        <w:rPr>
          <w:rFonts w:ascii="仿宋" w:hAnsi="仿宋" w:eastAsia="仿宋" w:cs="仿宋"/>
          <w:szCs w:val="24"/>
          <w:highlight w:val="none"/>
        </w:rPr>
      </w:pPr>
      <w:r>
        <w:rPr>
          <w:rFonts w:hint="eastAsia" w:ascii="仿宋" w:hAnsi="仿宋" w:eastAsia="仿宋" w:cs="仿宋"/>
          <w:szCs w:val="24"/>
          <w:highlight w:val="none"/>
        </w:rPr>
        <w:t>日期：</w:t>
      </w:r>
    </w:p>
    <w:p>
      <w:pPr>
        <w:rPr>
          <w:rFonts w:ascii="仿宋" w:hAnsi="仿宋" w:eastAsia="仿宋" w:cs="仿宋"/>
          <w:highlight w:val="none"/>
        </w:rPr>
      </w:pPr>
      <w:r>
        <w:rPr>
          <w:rFonts w:ascii="仿宋" w:hAnsi="仿宋" w:eastAsia="仿宋" w:cs="仿宋"/>
          <w:highlight w:val="none"/>
        </w:rPr>
        <w:pict>
          <v:shape id="_x0000_s1035" o:spid="_x0000_s1035" o:spt="202" type="#_x0000_t202" style="position:absolute;left:0pt;margin-left:94.55pt;margin-top:688.15pt;height:28.85pt;width:3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5"/>
                    <w:ind w:left="20"/>
                    <w:jc w:val="left"/>
                    <w:rPr>
                      <w:rFonts w:ascii="宋体" w:eastAsia="宋体"/>
                      <w:sz w:val="18"/>
                    </w:rPr>
                  </w:pPr>
                  <w:r>
                    <w:rPr>
                      <w:rFonts w:hint="eastAsia" w:ascii="楷体" w:hAnsi="楷体" w:eastAsia="楷体" w:cs="楷体"/>
                      <w:position w:val="6"/>
                      <w:sz w:val="11"/>
                    </w:rPr>
                    <w:t>1</w:t>
                  </w:r>
                  <w:r>
                    <w:rPr>
                      <w:rFonts w:hint="eastAsia" w:ascii="楷体" w:hAnsi="楷体" w:eastAsia="楷体" w:cs="楷体"/>
                      <w:sz w:val="18"/>
                    </w:rPr>
                    <w:t>从业人员、营业收入、资产总额填报上一年度数据，无上一年度数据的新成立企业可不填报。</w:t>
                  </w:r>
                </w:p>
                <w:p>
                  <w:pPr>
                    <w:spacing w:before="8"/>
                    <w:ind w:left="866"/>
                    <w:jc w:val="center"/>
                    <w:rPr>
                      <w:rFonts w:ascii="Calibri"/>
                      <w:sz w:val="18"/>
                    </w:rPr>
                  </w:pPr>
                </w:p>
              </w:txbxContent>
            </v:textbox>
          </v:shape>
        </w:pict>
      </w:r>
    </w:p>
    <w:p>
      <w:pPr>
        <w:rPr>
          <w:rFonts w:ascii="仿宋" w:hAnsi="仿宋" w:eastAsia="仿宋" w:cs="仿宋"/>
          <w:szCs w:val="24"/>
          <w:highlight w:val="none"/>
        </w:rPr>
      </w:pPr>
    </w:p>
    <w:p>
      <w:pPr>
        <w:spacing w:line="480" w:lineRule="exact"/>
        <w:ind w:firstLine="241" w:firstLineChars="100"/>
        <w:rPr>
          <w:rFonts w:ascii="仿宋" w:hAnsi="仿宋" w:eastAsia="仿宋" w:cs="仿宋"/>
          <w:b/>
          <w:highlight w:val="none"/>
        </w:rPr>
      </w:pPr>
    </w:p>
    <w:p>
      <w:pPr>
        <w:pStyle w:val="2"/>
        <w:rPr>
          <w:rFonts w:ascii="仿宋" w:hAnsi="仿宋" w:eastAsia="仿宋" w:cs="仿宋"/>
          <w:highlight w:val="none"/>
        </w:rPr>
        <w:sectPr>
          <w:footerReference r:id="rId25" w:type="default"/>
          <w:pgSz w:w="11905" w:h="16840"/>
          <w:pgMar w:top="1417" w:right="1417" w:bottom="1417" w:left="1417" w:header="935" w:footer="907" w:gutter="0"/>
          <w:cols w:space="0" w:num="1"/>
          <w:titlePg/>
        </w:sectPr>
      </w:pPr>
    </w:p>
    <w:p>
      <w:pPr>
        <w:pStyle w:val="39"/>
        <w:spacing w:line="560" w:lineRule="exact"/>
        <w:ind w:firstLine="174" w:firstLineChars="62"/>
        <w:rPr>
          <w:rFonts w:ascii="仿宋" w:hAnsi="仿宋" w:eastAsia="仿宋" w:cs="仿宋"/>
          <w:b/>
          <w:bCs/>
          <w:szCs w:val="28"/>
          <w:highlight w:val="none"/>
        </w:rPr>
      </w:pPr>
      <w:r>
        <w:rPr>
          <w:rFonts w:hint="eastAsia" w:ascii="仿宋" w:hAnsi="仿宋" w:eastAsia="仿宋" w:cs="仿宋"/>
          <w:b/>
          <w:bCs/>
          <w:szCs w:val="28"/>
          <w:highlight w:val="none"/>
        </w:rPr>
        <w:t>19.《残疾人福利性单位声明函》</w:t>
      </w:r>
      <w:r>
        <w:rPr>
          <w:rFonts w:hint="eastAsia" w:ascii="仿宋" w:hAnsi="仿宋" w:eastAsia="仿宋" w:cs="仿宋"/>
          <w:sz w:val="24"/>
          <w:szCs w:val="24"/>
          <w:highlight w:val="none"/>
        </w:rPr>
        <w:t>（格式，若有）</w:t>
      </w:r>
    </w:p>
    <w:p>
      <w:pPr>
        <w:spacing w:line="560" w:lineRule="exact"/>
        <w:jc w:val="center"/>
        <w:rPr>
          <w:rFonts w:ascii="仿宋" w:hAnsi="仿宋" w:eastAsia="仿宋" w:cs="仿宋"/>
          <w:b/>
          <w:spacing w:val="6"/>
          <w:szCs w:val="24"/>
          <w:highlight w:val="none"/>
        </w:rPr>
      </w:pPr>
      <w:bookmarkStart w:id="290" w:name="OLE_LINK14"/>
    </w:p>
    <w:p>
      <w:pPr>
        <w:spacing w:line="560" w:lineRule="exact"/>
        <w:jc w:val="center"/>
        <w:rPr>
          <w:rFonts w:ascii="仿宋" w:hAnsi="仿宋" w:eastAsia="仿宋" w:cs="仿宋"/>
          <w:b/>
          <w:spacing w:val="6"/>
          <w:szCs w:val="24"/>
          <w:highlight w:val="none"/>
        </w:rPr>
      </w:pPr>
      <w:r>
        <w:rPr>
          <w:rFonts w:hint="eastAsia" w:ascii="仿宋" w:hAnsi="仿宋" w:eastAsia="仿宋" w:cs="仿宋"/>
          <w:b/>
          <w:spacing w:val="6"/>
          <w:szCs w:val="24"/>
          <w:highlight w:val="none"/>
        </w:rPr>
        <w:t>残疾人福利性单位声明函</w:t>
      </w:r>
      <w:r>
        <w:rPr>
          <w:rFonts w:hint="eastAsia" w:ascii="仿宋" w:hAnsi="仿宋" w:eastAsia="仿宋" w:cs="仿宋"/>
          <w:b/>
          <w:spacing w:val="6"/>
          <w:sz w:val="22"/>
          <w:highlight w:val="none"/>
          <w:lang w:val="zh-CN"/>
        </w:rPr>
        <w:t>（非</w:t>
      </w:r>
      <w:r>
        <w:rPr>
          <w:rFonts w:hint="eastAsia" w:ascii="仿宋" w:hAnsi="仿宋" w:eastAsia="仿宋" w:cs="仿宋"/>
          <w:b/>
          <w:spacing w:val="6"/>
          <w:sz w:val="22"/>
          <w:highlight w:val="none"/>
        </w:rPr>
        <w:t>残疾人福利企业</w:t>
      </w:r>
      <w:r>
        <w:rPr>
          <w:rFonts w:hint="eastAsia" w:ascii="仿宋" w:hAnsi="仿宋" w:eastAsia="仿宋" w:cs="仿宋"/>
          <w:b/>
          <w:spacing w:val="6"/>
          <w:sz w:val="22"/>
          <w:highlight w:val="none"/>
          <w:lang w:val="zh-CN"/>
        </w:rPr>
        <w:t>不</w:t>
      </w:r>
      <w:r>
        <w:rPr>
          <w:rFonts w:hint="eastAsia" w:ascii="仿宋" w:hAnsi="仿宋" w:eastAsia="仿宋" w:cs="仿宋"/>
          <w:b/>
          <w:spacing w:val="6"/>
          <w:sz w:val="22"/>
          <w:highlight w:val="none"/>
        </w:rPr>
        <w:t>填写</w:t>
      </w:r>
      <w:r>
        <w:rPr>
          <w:rFonts w:hint="eastAsia" w:ascii="仿宋" w:hAnsi="仿宋" w:eastAsia="仿宋" w:cs="仿宋"/>
          <w:b/>
          <w:spacing w:val="6"/>
          <w:sz w:val="22"/>
          <w:highlight w:val="none"/>
          <w:lang w:val="zh-CN"/>
        </w:rPr>
        <w:t>）</w:t>
      </w:r>
    </w:p>
    <w:bookmarkEnd w:id="290"/>
    <w:p>
      <w:pPr>
        <w:spacing w:line="560" w:lineRule="exact"/>
        <w:rPr>
          <w:rFonts w:ascii="仿宋" w:hAnsi="仿宋" w:eastAsia="仿宋" w:cs="仿宋"/>
          <w:b/>
          <w:spacing w:val="6"/>
          <w:szCs w:val="24"/>
          <w:highlight w:val="none"/>
        </w:rPr>
      </w:pPr>
    </w:p>
    <w:p>
      <w:pPr>
        <w:spacing w:line="560" w:lineRule="exact"/>
        <w:ind w:firstLine="504" w:firstLineChars="200"/>
        <w:rPr>
          <w:rFonts w:ascii="仿宋" w:hAnsi="仿宋" w:eastAsia="仿宋" w:cs="仿宋"/>
          <w:spacing w:val="6"/>
          <w:szCs w:val="24"/>
          <w:highlight w:val="none"/>
        </w:rPr>
      </w:pPr>
      <w:r>
        <w:rPr>
          <w:rFonts w:hint="eastAsia" w:ascii="仿宋" w:hAnsi="仿宋" w:eastAsia="仿宋" w:cs="仿宋"/>
          <w:spacing w:val="6"/>
          <w:szCs w:val="24"/>
          <w:highlight w:val="none"/>
        </w:rPr>
        <w:t>本单位郑重声明，根据《财政部 民政部 中国残疾人联合会关于促进残疾人就业政府采购政策的通知》（财库</w:t>
      </w:r>
      <w:r>
        <w:rPr>
          <w:rFonts w:hint="eastAsia" w:ascii="仿宋" w:hAnsi="仿宋" w:eastAsia="仿宋" w:cs="仿宋"/>
          <w:szCs w:val="24"/>
          <w:highlight w:val="none"/>
        </w:rPr>
        <w:t>〔2017〕 141</w:t>
      </w:r>
      <w:r>
        <w:rPr>
          <w:rFonts w:hint="eastAsia" w:ascii="仿宋" w:hAnsi="仿宋" w:eastAsia="仿宋" w:cs="仿宋"/>
          <w:spacing w:val="6"/>
          <w:szCs w:val="24"/>
          <w:highlight w:val="none"/>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60" w:lineRule="exact"/>
        <w:ind w:firstLine="504" w:firstLineChars="200"/>
        <w:rPr>
          <w:rFonts w:ascii="仿宋" w:hAnsi="仿宋" w:eastAsia="仿宋" w:cs="仿宋"/>
          <w:spacing w:val="6"/>
          <w:szCs w:val="24"/>
          <w:highlight w:val="none"/>
        </w:rPr>
      </w:pPr>
      <w:r>
        <w:rPr>
          <w:rFonts w:hint="eastAsia" w:ascii="仿宋" w:hAnsi="仿宋" w:eastAsia="仿宋" w:cs="仿宋"/>
          <w:spacing w:val="6"/>
          <w:szCs w:val="24"/>
          <w:highlight w:val="none"/>
        </w:rPr>
        <w:t>本单位对上述声明的真实性负责。如有虚假，将依法承担相应责任。</w:t>
      </w:r>
    </w:p>
    <w:p>
      <w:pPr>
        <w:spacing w:line="560" w:lineRule="exact"/>
        <w:ind w:firstLine="504" w:firstLineChars="200"/>
        <w:rPr>
          <w:rFonts w:ascii="仿宋" w:hAnsi="仿宋" w:eastAsia="仿宋" w:cs="仿宋"/>
          <w:spacing w:val="6"/>
          <w:szCs w:val="24"/>
          <w:highlight w:val="none"/>
        </w:rPr>
      </w:pPr>
    </w:p>
    <w:p>
      <w:pPr>
        <w:spacing w:line="560" w:lineRule="exact"/>
        <w:ind w:firstLine="504" w:firstLineChars="200"/>
        <w:rPr>
          <w:rFonts w:ascii="仿宋" w:hAnsi="仿宋" w:eastAsia="仿宋" w:cs="仿宋"/>
          <w:spacing w:val="6"/>
          <w:szCs w:val="24"/>
          <w:highlight w:val="none"/>
        </w:rPr>
      </w:pPr>
    </w:p>
    <w:p>
      <w:pPr>
        <w:tabs>
          <w:tab w:val="left" w:pos="4860"/>
        </w:tabs>
        <w:spacing w:line="560" w:lineRule="exact"/>
        <w:ind w:right="1560" w:firstLine="504" w:firstLineChars="200"/>
        <w:jc w:val="center"/>
        <w:rPr>
          <w:rFonts w:ascii="仿宋" w:hAnsi="仿宋" w:eastAsia="仿宋" w:cs="仿宋"/>
          <w:spacing w:val="6"/>
          <w:szCs w:val="24"/>
          <w:highlight w:val="none"/>
          <w:u w:val="single"/>
        </w:rPr>
      </w:pPr>
      <w:r>
        <w:rPr>
          <w:rFonts w:hint="eastAsia" w:ascii="仿宋" w:hAnsi="仿宋" w:eastAsia="仿宋" w:cs="仿宋"/>
          <w:spacing w:val="6"/>
          <w:szCs w:val="24"/>
          <w:highlight w:val="none"/>
        </w:rPr>
        <w:t xml:space="preserve">              单位名称（盖章）：</w:t>
      </w:r>
    </w:p>
    <w:p>
      <w:pPr>
        <w:tabs>
          <w:tab w:val="left" w:pos="4860"/>
        </w:tabs>
        <w:spacing w:line="560" w:lineRule="exact"/>
        <w:ind w:right="1560" w:firstLine="504" w:firstLineChars="200"/>
        <w:jc w:val="center"/>
        <w:rPr>
          <w:rFonts w:ascii="仿宋" w:hAnsi="仿宋" w:eastAsia="仿宋" w:cs="仿宋"/>
          <w:spacing w:val="6"/>
          <w:szCs w:val="24"/>
          <w:highlight w:val="none"/>
        </w:rPr>
      </w:pPr>
      <w:r>
        <w:rPr>
          <w:rFonts w:hint="eastAsia" w:ascii="仿宋" w:hAnsi="仿宋" w:eastAsia="仿宋" w:cs="仿宋"/>
          <w:spacing w:val="6"/>
          <w:szCs w:val="24"/>
          <w:highlight w:val="none"/>
        </w:rPr>
        <w:t xml:space="preserve">                        日  期：</w:t>
      </w:r>
    </w:p>
    <w:p>
      <w:pPr>
        <w:spacing w:line="480" w:lineRule="exact"/>
        <w:rPr>
          <w:rFonts w:ascii="仿宋" w:hAnsi="仿宋" w:eastAsia="仿宋" w:cs="仿宋"/>
          <w:b/>
          <w:highlight w:val="none"/>
        </w:rPr>
      </w:pPr>
    </w:p>
    <w:p>
      <w:pPr>
        <w:spacing w:line="480" w:lineRule="exact"/>
        <w:rPr>
          <w:rFonts w:ascii="仿宋" w:hAnsi="仿宋" w:eastAsia="仿宋" w:cs="仿宋"/>
          <w:b/>
          <w:highlight w:val="none"/>
        </w:rPr>
      </w:pPr>
    </w:p>
    <w:p>
      <w:pPr>
        <w:spacing w:line="480" w:lineRule="exact"/>
        <w:rPr>
          <w:rFonts w:ascii="仿宋" w:hAnsi="仿宋" w:eastAsia="仿宋" w:cs="仿宋"/>
          <w:b/>
          <w:highlight w:val="none"/>
        </w:rPr>
      </w:pPr>
    </w:p>
    <w:p>
      <w:pPr>
        <w:spacing w:line="360" w:lineRule="auto"/>
        <w:ind w:firstLine="422" w:firstLineChars="200"/>
        <w:rPr>
          <w:rFonts w:ascii="仿宋" w:hAnsi="仿宋" w:eastAsia="仿宋" w:cs="仿宋"/>
          <w:b/>
          <w:kern w:val="0"/>
          <w:sz w:val="21"/>
          <w:szCs w:val="20"/>
          <w:highlight w:val="none"/>
          <w:lang w:val="zh-CN"/>
        </w:rPr>
      </w:pPr>
      <w:r>
        <w:rPr>
          <w:rFonts w:hint="eastAsia" w:ascii="仿宋" w:hAnsi="仿宋" w:eastAsia="仿宋" w:cs="仿宋"/>
          <w:b/>
          <w:kern w:val="0"/>
          <w:sz w:val="21"/>
          <w:szCs w:val="20"/>
          <w:highlight w:val="none"/>
          <w:lang w:val="zh-CN"/>
        </w:rPr>
        <w:t>备注：投标人提供的《残疾人福利性单位声明函》必须真实有效，如果被举报经查实出具虚假声明函的，将被取消投标资格，并按有关规定予以处理。</w:t>
      </w:r>
    </w:p>
    <w:p>
      <w:pPr>
        <w:tabs>
          <w:tab w:val="left" w:pos="4860"/>
        </w:tabs>
        <w:spacing w:line="560" w:lineRule="exact"/>
        <w:ind w:right="1560" w:firstLine="504" w:firstLineChars="200"/>
        <w:jc w:val="center"/>
        <w:rPr>
          <w:rFonts w:ascii="仿宋" w:hAnsi="仿宋" w:eastAsia="仿宋" w:cs="仿宋"/>
          <w:spacing w:val="6"/>
          <w:szCs w:val="24"/>
          <w:highlight w:val="none"/>
        </w:rPr>
      </w:pPr>
      <w:r>
        <w:rPr>
          <w:rFonts w:hint="eastAsia" w:ascii="仿宋" w:hAnsi="仿宋" w:eastAsia="仿宋" w:cs="仿宋"/>
          <w:spacing w:val="6"/>
          <w:szCs w:val="24"/>
          <w:highlight w:val="none"/>
        </w:rPr>
        <w:br w:type="page"/>
      </w:r>
    </w:p>
    <w:p>
      <w:pPr>
        <w:pStyle w:val="39"/>
        <w:spacing w:line="560" w:lineRule="exact"/>
        <w:ind w:firstLine="0" w:firstLineChars="0"/>
        <w:rPr>
          <w:rFonts w:ascii="仿宋" w:hAnsi="仿宋" w:eastAsia="仿宋" w:cs="仿宋"/>
          <w:sz w:val="24"/>
          <w:szCs w:val="24"/>
          <w:highlight w:val="none"/>
        </w:rPr>
      </w:pPr>
      <w:r>
        <w:rPr>
          <w:rFonts w:hint="eastAsia" w:ascii="仿宋" w:hAnsi="仿宋" w:eastAsia="仿宋" w:cs="仿宋"/>
          <w:b/>
          <w:bCs/>
          <w:szCs w:val="28"/>
          <w:highlight w:val="none"/>
        </w:rPr>
        <w:t>20.《监狱、戒毒企业声明函》</w:t>
      </w:r>
      <w:r>
        <w:rPr>
          <w:rFonts w:hint="eastAsia" w:ascii="仿宋" w:hAnsi="仿宋" w:eastAsia="仿宋" w:cs="仿宋"/>
          <w:sz w:val="24"/>
          <w:szCs w:val="24"/>
          <w:highlight w:val="none"/>
        </w:rPr>
        <w:t>（格式，若有）</w:t>
      </w:r>
    </w:p>
    <w:p>
      <w:pPr>
        <w:snapToGrid w:val="0"/>
        <w:spacing w:line="640" w:lineRule="exact"/>
        <w:ind w:firstLine="1512" w:firstLineChars="600"/>
        <w:rPr>
          <w:rFonts w:ascii="仿宋" w:hAnsi="仿宋" w:eastAsia="仿宋" w:cs="仿宋"/>
          <w:spacing w:val="6"/>
          <w:szCs w:val="24"/>
          <w:highlight w:val="none"/>
        </w:rPr>
      </w:pPr>
    </w:p>
    <w:p>
      <w:pPr>
        <w:snapToGrid w:val="0"/>
        <w:spacing w:line="640" w:lineRule="exact"/>
        <w:ind w:firstLine="1687" w:firstLineChars="600"/>
        <w:rPr>
          <w:rFonts w:ascii="仿宋" w:hAnsi="仿宋" w:eastAsia="仿宋" w:cs="仿宋"/>
          <w:b/>
          <w:spacing w:val="6"/>
          <w:sz w:val="21"/>
          <w:szCs w:val="21"/>
          <w:highlight w:val="none"/>
          <w:u w:val="double"/>
          <w:lang w:val="zh-CN"/>
        </w:rPr>
      </w:pPr>
      <w:r>
        <w:rPr>
          <w:rFonts w:hint="eastAsia" w:ascii="仿宋" w:hAnsi="仿宋" w:eastAsia="仿宋" w:cs="仿宋"/>
          <w:b/>
          <w:kern w:val="0"/>
          <w:sz w:val="28"/>
          <w:szCs w:val="28"/>
          <w:highlight w:val="none"/>
          <w:lang w:val="zh-CN"/>
        </w:rPr>
        <w:t>监狱、戒毒企业声明函</w:t>
      </w:r>
      <w:r>
        <w:rPr>
          <w:rFonts w:hint="eastAsia" w:ascii="仿宋" w:hAnsi="仿宋" w:eastAsia="仿宋" w:cs="仿宋"/>
          <w:b/>
          <w:spacing w:val="6"/>
          <w:sz w:val="21"/>
          <w:szCs w:val="21"/>
          <w:highlight w:val="none"/>
          <w:lang w:val="zh-CN"/>
        </w:rPr>
        <w:t>（非监狱、戒毒企业不填写）</w:t>
      </w:r>
    </w:p>
    <w:p>
      <w:pPr>
        <w:spacing w:line="640" w:lineRule="exact"/>
        <w:ind w:firstLine="504" w:firstLineChars="200"/>
        <w:rPr>
          <w:rFonts w:ascii="仿宋" w:hAnsi="仿宋" w:eastAsia="仿宋" w:cs="仿宋"/>
          <w:spacing w:val="6"/>
          <w:szCs w:val="24"/>
          <w:highlight w:val="none"/>
        </w:rPr>
      </w:pP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本单位郑重声明，根据《</w:t>
      </w:r>
      <w:r>
        <w:rPr>
          <w:rFonts w:hint="eastAsia" w:ascii="仿宋" w:hAnsi="仿宋" w:eastAsia="仿宋" w:cs="仿宋"/>
          <w:spacing w:val="-4"/>
          <w:kern w:val="0"/>
          <w:highlight w:val="none"/>
        </w:rPr>
        <w:t>财政部 司法部 关于政府采购支持监狱企业发展有关问题的通知</w:t>
      </w:r>
      <w:r>
        <w:rPr>
          <w:rFonts w:hint="eastAsia" w:ascii="仿宋" w:hAnsi="仿宋" w:eastAsia="仿宋" w:cs="仿宋"/>
          <w:highlight w:val="none"/>
        </w:rPr>
        <w:t>》（财库〔2014〕68号）的规定，本单位为符合条件的监狱、戒毒企业，且本单位参加的项目采购活动提供本单位制造的货物（由本单位承担工程/提供服务），或者提供其他监狱、戒毒企业制造的货物（不包括使用非监狱、戒毒企业注册商标的货物）。</w:t>
      </w:r>
    </w:p>
    <w:p>
      <w:pPr>
        <w:spacing w:line="640" w:lineRule="exact"/>
        <w:ind w:firstLine="480" w:firstLineChars="200"/>
        <w:rPr>
          <w:rFonts w:ascii="仿宋" w:hAnsi="仿宋" w:eastAsia="仿宋" w:cs="仿宋"/>
          <w:highlight w:val="none"/>
        </w:rPr>
      </w:pPr>
      <w:r>
        <w:rPr>
          <w:rFonts w:hint="eastAsia" w:ascii="仿宋" w:hAnsi="仿宋" w:eastAsia="仿宋" w:cs="仿宋"/>
          <w:highlight w:val="none"/>
        </w:rPr>
        <w:t>本单位对上述声明的真实性负责。如有虚假，将依法承担相应责任。</w:t>
      </w:r>
    </w:p>
    <w:p>
      <w:pPr>
        <w:spacing w:line="640" w:lineRule="exact"/>
        <w:ind w:firstLine="480" w:firstLineChars="200"/>
        <w:rPr>
          <w:rFonts w:ascii="仿宋" w:hAnsi="仿宋" w:eastAsia="仿宋" w:cs="仿宋"/>
          <w:highlight w:val="none"/>
        </w:rPr>
      </w:pPr>
    </w:p>
    <w:p>
      <w:pPr>
        <w:spacing w:line="640" w:lineRule="exact"/>
        <w:ind w:firstLine="480" w:firstLineChars="200"/>
        <w:rPr>
          <w:rFonts w:ascii="仿宋" w:hAnsi="仿宋" w:eastAsia="仿宋" w:cs="仿宋"/>
          <w:highlight w:val="none"/>
        </w:rPr>
      </w:pPr>
    </w:p>
    <w:p>
      <w:pPr>
        <w:tabs>
          <w:tab w:val="left" w:pos="4860"/>
          <w:tab w:val="left" w:pos="8040"/>
          <w:tab w:val="left" w:pos="8160"/>
        </w:tabs>
        <w:spacing w:line="640" w:lineRule="exact"/>
        <w:ind w:right="862" w:firstLine="480" w:firstLineChars="200"/>
        <w:jc w:val="center"/>
        <w:rPr>
          <w:rFonts w:ascii="仿宋" w:hAnsi="仿宋" w:eastAsia="仿宋" w:cs="仿宋"/>
          <w:highlight w:val="none"/>
          <w:u w:val="single"/>
        </w:rPr>
      </w:pPr>
      <w:r>
        <w:rPr>
          <w:rFonts w:hint="eastAsia" w:ascii="仿宋" w:hAnsi="仿宋" w:eastAsia="仿宋" w:cs="仿宋"/>
          <w:highlight w:val="none"/>
        </w:rPr>
        <w:t xml:space="preserve">            投标人全称（公章）：</w:t>
      </w:r>
    </w:p>
    <w:p>
      <w:pPr>
        <w:tabs>
          <w:tab w:val="left" w:pos="4860"/>
        </w:tabs>
        <w:spacing w:line="640" w:lineRule="exact"/>
        <w:ind w:right="1560" w:firstLine="480" w:firstLineChars="200"/>
        <w:jc w:val="center"/>
        <w:rPr>
          <w:rFonts w:ascii="仿宋" w:hAnsi="仿宋" w:eastAsia="仿宋" w:cs="仿宋"/>
          <w:highlight w:val="none"/>
        </w:rPr>
      </w:pPr>
      <w:r>
        <w:rPr>
          <w:rFonts w:hint="eastAsia" w:ascii="仿宋" w:hAnsi="仿宋" w:eastAsia="仿宋" w:cs="仿宋"/>
          <w:highlight w:val="none"/>
        </w:rPr>
        <w:t xml:space="preserve">                             日  期：年月日</w:t>
      </w:r>
    </w:p>
    <w:p>
      <w:pPr>
        <w:spacing w:line="360" w:lineRule="auto"/>
        <w:ind w:firstLine="504" w:firstLineChars="200"/>
        <w:rPr>
          <w:rFonts w:ascii="仿宋" w:hAnsi="仿宋" w:eastAsia="仿宋" w:cs="仿宋"/>
          <w:bCs/>
          <w:spacing w:val="6"/>
          <w:highlight w:val="none"/>
          <w:shd w:val="pct10" w:color="auto" w:fill="FFFFFF"/>
        </w:rPr>
      </w:pPr>
    </w:p>
    <w:p>
      <w:pPr>
        <w:spacing w:line="360" w:lineRule="auto"/>
        <w:ind w:firstLine="444" w:firstLineChars="200"/>
        <w:rPr>
          <w:rFonts w:ascii="仿宋" w:hAnsi="仿宋" w:eastAsia="仿宋" w:cs="仿宋"/>
          <w:bCs/>
          <w:spacing w:val="6"/>
          <w:sz w:val="21"/>
          <w:szCs w:val="20"/>
          <w:highlight w:val="none"/>
          <w:shd w:val="pct10" w:color="auto" w:fill="FFFFFF"/>
        </w:rPr>
      </w:pPr>
    </w:p>
    <w:p>
      <w:pPr>
        <w:pStyle w:val="2"/>
        <w:rPr>
          <w:rFonts w:ascii="仿宋" w:hAnsi="仿宋" w:eastAsia="仿宋" w:cs="仿宋"/>
          <w:bCs/>
          <w:spacing w:val="6"/>
          <w:sz w:val="21"/>
          <w:szCs w:val="20"/>
          <w:highlight w:val="none"/>
          <w:shd w:val="pct10" w:color="auto" w:fill="FFFFFF"/>
        </w:rPr>
      </w:pPr>
    </w:p>
    <w:p>
      <w:pPr>
        <w:rPr>
          <w:rFonts w:ascii="仿宋" w:hAnsi="仿宋" w:eastAsia="仿宋" w:cs="仿宋"/>
          <w:highlight w:val="none"/>
        </w:rPr>
      </w:pPr>
    </w:p>
    <w:p>
      <w:pPr>
        <w:rPr>
          <w:rFonts w:ascii="仿宋" w:hAnsi="仿宋" w:eastAsia="仿宋" w:cs="仿宋"/>
          <w:sz w:val="28"/>
          <w:szCs w:val="28"/>
          <w:highlight w:val="none"/>
        </w:rPr>
        <w:sectPr>
          <w:headerReference r:id="rId26" w:type="first"/>
          <w:footerReference r:id="rId27" w:type="first"/>
          <w:pgSz w:w="11905" w:h="16840"/>
          <w:pgMar w:top="1417" w:right="1417" w:bottom="1417" w:left="1417" w:header="935" w:footer="907" w:gutter="0"/>
          <w:cols w:space="0" w:num="1"/>
          <w:titlePg/>
          <w:docGrid w:linePitch="312" w:charSpace="0"/>
        </w:sectPr>
      </w:pPr>
      <w:r>
        <w:rPr>
          <w:rFonts w:hint="eastAsia" w:ascii="仿宋" w:hAnsi="仿宋" w:eastAsia="仿宋" w:cs="仿宋"/>
          <w:b/>
          <w:kern w:val="0"/>
          <w:sz w:val="21"/>
          <w:szCs w:val="20"/>
          <w:highlight w:val="none"/>
          <w:lang w:val="zh-CN"/>
        </w:rPr>
        <w:t>备注：投标人提供的《</w:t>
      </w:r>
      <w:r>
        <w:rPr>
          <w:rFonts w:hint="eastAsia" w:ascii="仿宋" w:hAnsi="仿宋" w:eastAsia="仿宋" w:cs="仿宋"/>
          <w:b/>
          <w:sz w:val="21"/>
          <w:szCs w:val="20"/>
          <w:highlight w:val="none"/>
        </w:rPr>
        <w:t>监狱、戒毒企业</w:t>
      </w:r>
      <w:r>
        <w:rPr>
          <w:rFonts w:hint="eastAsia" w:ascii="仿宋" w:hAnsi="仿宋" w:eastAsia="仿宋" w:cs="仿宋"/>
          <w:b/>
          <w:kern w:val="0"/>
          <w:sz w:val="21"/>
          <w:szCs w:val="20"/>
          <w:highlight w:val="none"/>
          <w:lang w:val="zh-CN"/>
        </w:rPr>
        <w:t>声明函》必须真实有效，</w:t>
      </w:r>
      <w:r>
        <w:rPr>
          <w:rFonts w:hint="eastAsia" w:ascii="仿宋" w:hAnsi="仿宋" w:eastAsia="仿宋" w:cs="仿宋"/>
          <w:b/>
          <w:sz w:val="21"/>
          <w:szCs w:val="20"/>
          <w:highlight w:val="none"/>
        </w:rPr>
        <w:t>投标人应当提供由省级以上监狱管理局、戒毒管理局(含新疆生产建设兵团)出具的属于监狱企业的证明文件。</w:t>
      </w:r>
    </w:p>
    <w:p>
      <w:pPr>
        <w:pStyle w:val="39"/>
        <w:spacing w:line="560" w:lineRule="exact"/>
        <w:ind w:firstLine="0" w:firstLineChars="0"/>
        <w:rPr>
          <w:rFonts w:ascii="仿宋" w:hAnsi="仿宋" w:eastAsia="仿宋" w:cs="仿宋"/>
          <w:b/>
          <w:bCs/>
          <w:szCs w:val="28"/>
          <w:highlight w:val="none"/>
        </w:rPr>
      </w:pPr>
      <w:r>
        <w:rPr>
          <w:rFonts w:hint="eastAsia" w:ascii="仿宋" w:hAnsi="仿宋" w:eastAsia="仿宋" w:cs="仿宋"/>
          <w:b/>
          <w:bCs/>
          <w:szCs w:val="28"/>
          <w:highlight w:val="none"/>
        </w:rPr>
        <w:t>封袋正面标识式样</w:t>
      </w:r>
    </w:p>
    <w:p>
      <w:pPr>
        <w:rPr>
          <w:rFonts w:ascii="仿宋" w:hAnsi="仿宋" w:eastAsia="仿宋" w:cs="仿宋"/>
          <w:highlight w:val="none"/>
        </w:rPr>
      </w:pPr>
    </w:p>
    <w:p>
      <w:pPr>
        <w:spacing w:line="460" w:lineRule="exact"/>
        <w:rPr>
          <w:rFonts w:ascii="仿宋" w:hAnsi="仿宋" w:eastAsia="仿宋" w:cs="仿宋"/>
          <w:b/>
          <w:highlight w:val="none"/>
        </w:rPr>
      </w:pPr>
      <w:r>
        <w:rPr>
          <w:rFonts w:hint="eastAsia" w:ascii="仿宋" w:hAnsi="仿宋" w:eastAsia="仿宋" w:cs="仿宋"/>
          <w:b/>
          <w:highlight w:val="none"/>
        </w:rPr>
        <w:t>投标文件封袋正面标识式样</w:t>
      </w:r>
    </w:p>
    <w:p>
      <w:pPr>
        <w:rPr>
          <w:rFonts w:ascii="仿宋" w:hAnsi="仿宋" w:eastAsia="仿宋" w:cs="仿宋"/>
          <w:highlight w:val="none"/>
        </w:rPr>
      </w:pPr>
      <w:r>
        <w:rPr>
          <w:rFonts w:ascii="仿宋" w:hAnsi="仿宋" w:eastAsia="仿宋" w:cs="仿宋"/>
          <w:b/>
          <w:highlight w:val="none"/>
        </w:rPr>
        <w:pict>
          <v:shape id="_x0000_s1038" o:spid="_x0000_s1038" o:spt="202" type="#_x0000_t202" style="position:absolute;left:0pt;margin-left:-16.15pt;margin-top:13.25pt;height:606.8pt;width:447.15pt;z-index:251672576;mso-width-relative:page;mso-height-relative:page;" coordsize="21600,21600">
            <v:path/>
            <v:fill focussize="0,0"/>
            <v:stroke joinstyle="miter"/>
            <v:imagedata o:title=""/>
            <o:lock v:ext="edit"/>
            <v:textbox>
              <w:txbxContent>
                <w:p>
                  <w:pPr>
                    <w:rPr>
                      <w:rFonts w:ascii="仿宋" w:hAnsi="仿宋" w:eastAsia="仿宋" w:cs="仿宋"/>
                      <w:color w:val="00B0F0"/>
                      <w:sz w:val="28"/>
                      <w:szCs w:val="28"/>
                    </w:rPr>
                  </w:pPr>
                </w:p>
                <w:p>
                  <w:pPr>
                    <w:spacing w:line="640" w:lineRule="exact"/>
                    <w:rPr>
                      <w:rFonts w:ascii="仿宋" w:hAnsi="仿宋" w:eastAsia="仿宋" w:cs="仿宋"/>
                      <w:sz w:val="28"/>
                      <w:szCs w:val="28"/>
                    </w:rPr>
                  </w:pPr>
                  <w:r>
                    <w:rPr>
                      <w:rFonts w:hint="eastAsia" w:ascii="仿宋" w:hAnsi="仿宋" w:eastAsia="仿宋" w:cs="仿宋"/>
                      <w:sz w:val="28"/>
                      <w:szCs w:val="28"/>
                    </w:rPr>
                    <w:t>致：华招广和项目管理有限公司</w:t>
                  </w:r>
                </w:p>
                <w:p>
                  <w:pPr>
                    <w:spacing w:line="640" w:lineRule="exact"/>
                    <w:rPr>
                      <w:rFonts w:ascii="仿宋" w:hAnsi="仿宋" w:eastAsia="仿宋" w:cs="仿宋"/>
                      <w:sz w:val="28"/>
                      <w:szCs w:val="28"/>
                    </w:rPr>
                  </w:pPr>
                  <w:r>
                    <w:rPr>
                      <w:rFonts w:hint="eastAsia" w:ascii="仿宋" w:hAnsi="仿宋" w:eastAsia="仿宋" w:cs="仿宋"/>
                      <w:sz w:val="28"/>
                      <w:szCs w:val="28"/>
                    </w:rPr>
                    <w:t xml:space="preserve">项目编号：                                        </w:t>
                  </w:r>
                </w:p>
                <w:p>
                  <w:pPr>
                    <w:spacing w:line="640" w:lineRule="exact"/>
                    <w:rPr>
                      <w:rFonts w:ascii="仿宋" w:hAnsi="仿宋" w:eastAsia="仿宋" w:cs="仿宋"/>
                      <w:sz w:val="28"/>
                      <w:szCs w:val="28"/>
                    </w:rPr>
                  </w:pPr>
                  <w:r>
                    <w:rPr>
                      <w:rFonts w:hint="eastAsia" w:ascii="仿宋" w:hAnsi="仿宋" w:eastAsia="仿宋" w:cs="仿宋"/>
                      <w:sz w:val="28"/>
                      <w:szCs w:val="28"/>
                    </w:rPr>
                    <w:t xml:space="preserve">项目名称：                             </w:t>
                  </w: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r>
                    <w:rPr>
                      <w:rFonts w:hint="eastAsia" w:ascii="仿宋" w:hAnsi="仿宋" w:eastAsia="仿宋" w:cs="仿宋"/>
                      <w:b/>
                      <w:sz w:val="44"/>
                      <w:szCs w:val="44"/>
                    </w:rPr>
                    <w:t>投标文件（正本或副本）</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spacing w:line="640" w:lineRule="exact"/>
                    <w:ind w:firstLine="1540" w:firstLineChars="550"/>
                    <w:rPr>
                      <w:rFonts w:ascii="仿宋" w:hAnsi="仿宋" w:eastAsia="仿宋" w:cs="仿宋"/>
                      <w:sz w:val="28"/>
                      <w:szCs w:val="28"/>
                    </w:rPr>
                  </w:pPr>
                  <w:r>
                    <w:rPr>
                      <w:rFonts w:hint="eastAsia" w:ascii="仿宋" w:hAnsi="仿宋" w:eastAsia="仿宋" w:cs="仿宋"/>
                      <w:sz w:val="28"/>
                      <w:szCs w:val="28"/>
                    </w:rPr>
                    <w:t>投标人全称（公章）：</w:t>
                  </w:r>
                </w:p>
                <w:p>
                  <w:pPr>
                    <w:spacing w:line="640" w:lineRule="exact"/>
                    <w:ind w:firstLine="1540" w:firstLineChars="550"/>
                    <w:rPr>
                      <w:rFonts w:ascii="仿宋" w:hAnsi="仿宋" w:eastAsia="仿宋" w:cs="仿宋"/>
                      <w:sz w:val="28"/>
                      <w:szCs w:val="28"/>
                    </w:rPr>
                  </w:pPr>
                  <w:r>
                    <w:rPr>
                      <w:rFonts w:hint="eastAsia" w:ascii="仿宋" w:hAnsi="仿宋" w:eastAsia="仿宋" w:cs="仿宋"/>
                      <w:sz w:val="28"/>
                      <w:szCs w:val="28"/>
                    </w:rPr>
                    <w:t>日             期：</w:t>
                  </w: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p>
                <w:p>
                  <w:pPr>
                    <w:pStyle w:val="2"/>
                    <w:jc w:val="center"/>
                    <w:rPr>
                      <w:rFonts w:ascii="仿宋" w:hAnsi="仿宋" w:eastAsia="仿宋" w:cs="仿宋"/>
                    </w:rPr>
                  </w:pPr>
                  <w:r>
                    <w:rPr>
                      <w:rFonts w:hint="eastAsia" w:ascii="仿宋" w:hAnsi="仿宋" w:eastAsia="仿宋" w:cs="仿宋"/>
                    </w:rPr>
                    <w:t>在****年*月*日*时*分之前不得启封</w:t>
                  </w:r>
                </w:p>
                <w:p>
                  <w:pPr>
                    <w:pStyle w:val="2"/>
                    <w:rPr>
                      <w:rFonts w:ascii="仿宋" w:hAnsi="仿宋" w:eastAsia="仿宋" w:cs="仿宋"/>
                      <w:color w:val="00B0F0"/>
                    </w:rPr>
                  </w:pPr>
                </w:p>
                <w:p>
                  <w:pPr>
                    <w:rPr>
                      <w:rFonts w:ascii="仿宋" w:hAnsi="仿宋" w:eastAsia="仿宋" w:cs="仿宋"/>
                      <w:color w:val="00B0F0"/>
                      <w:sz w:val="28"/>
                      <w:szCs w:val="28"/>
                    </w:rPr>
                  </w:pPr>
                </w:p>
              </w:txbxContent>
            </v:textbox>
          </v:shape>
        </w:pict>
      </w:r>
    </w:p>
    <w:p>
      <w:pPr>
        <w:snapToGrid w:val="0"/>
        <w:spacing w:line="560" w:lineRule="exact"/>
        <w:rPr>
          <w:rFonts w:ascii="仿宋" w:hAnsi="仿宋" w:eastAsia="仿宋" w:cs="仿宋"/>
          <w:b/>
          <w:bCs/>
          <w:kern w:val="0"/>
          <w:sz w:val="28"/>
          <w:szCs w:val="28"/>
          <w:highlight w:val="none"/>
        </w:rPr>
      </w:pPr>
    </w:p>
    <w:p>
      <w:pPr>
        <w:widowControl/>
        <w:spacing w:line="560" w:lineRule="exact"/>
        <w:ind w:left="480" w:leftChars="200"/>
        <w:rPr>
          <w:rFonts w:ascii="仿宋" w:hAnsi="仿宋" w:eastAsia="仿宋" w:cs="仿宋"/>
          <w:szCs w:val="24"/>
          <w:highlight w:val="none"/>
        </w:rPr>
      </w:pPr>
    </w:p>
    <w:p>
      <w:pPr>
        <w:widowControl/>
        <w:spacing w:line="560" w:lineRule="exact"/>
        <w:ind w:left="480" w:leftChars="200"/>
        <w:rPr>
          <w:rFonts w:ascii="仿宋" w:hAnsi="仿宋" w:eastAsia="仿宋" w:cs="仿宋"/>
          <w:szCs w:val="24"/>
          <w:highlight w:val="none"/>
        </w:rPr>
      </w:pPr>
    </w:p>
    <w:p>
      <w:pPr>
        <w:pStyle w:val="2"/>
        <w:rPr>
          <w:rFonts w:ascii="仿宋" w:hAnsi="仿宋" w:eastAsia="仿宋" w:cs="仿宋"/>
          <w:highlight w:val="none"/>
        </w:rPr>
      </w:pPr>
    </w:p>
    <w:p>
      <w:pPr>
        <w:rPr>
          <w:rFonts w:ascii="仿宋" w:hAnsi="仿宋" w:eastAsia="仿宋" w:cs="仿宋"/>
          <w:highlight w:val="none"/>
        </w:rPr>
      </w:pPr>
    </w:p>
    <w:p>
      <w:pPr>
        <w:spacing w:line="560" w:lineRule="exact"/>
        <w:rPr>
          <w:rFonts w:ascii="仿宋" w:hAnsi="仿宋" w:eastAsia="仿宋" w:cs="仿宋"/>
          <w:b/>
          <w:sz w:val="44"/>
          <w:szCs w:val="44"/>
          <w:highlight w:val="none"/>
        </w:rPr>
      </w:pPr>
    </w:p>
    <w:p>
      <w:pPr>
        <w:pStyle w:val="2"/>
        <w:rPr>
          <w:rFonts w:ascii="仿宋" w:hAnsi="仿宋" w:eastAsia="仿宋" w:cs="仿宋"/>
          <w:highlight w:val="none"/>
        </w:rPr>
      </w:pPr>
    </w:p>
    <w:p>
      <w:pPr>
        <w:rPr>
          <w:rFonts w:ascii="仿宋" w:hAnsi="仿宋" w:eastAsia="仿宋" w:cs="仿宋"/>
          <w:b/>
          <w:sz w:val="44"/>
          <w:szCs w:val="44"/>
          <w:highlight w:val="none"/>
        </w:rPr>
      </w:pPr>
      <w:r>
        <w:rPr>
          <w:rFonts w:hint="eastAsia" w:ascii="仿宋" w:hAnsi="仿宋" w:eastAsia="仿宋" w:cs="仿宋"/>
          <w:b/>
          <w:sz w:val="44"/>
          <w:szCs w:val="44"/>
          <w:highlight w:val="none"/>
        </w:rPr>
        <w:br w:type="page"/>
      </w:r>
    </w:p>
    <w:p>
      <w:pPr>
        <w:rPr>
          <w:rFonts w:ascii="仿宋" w:hAnsi="仿宋" w:eastAsia="仿宋" w:cs="仿宋"/>
          <w:b/>
          <w:highlight w:val="none"/>
        </w:rPr>
      </w:pPr>
      <w:r>
        <w:rPr>
          <w:rFonts w:hint="eastAsia" w:ascii="仿宋" w:hAnsi="仿宋" w:eastAsia="仿宋" w:cs="仿宋"/>
          <w:b/>
          <w:highlight w:val="none"/>
        </w:rPr>
        <w:t>资质证明材料正面标识式样</w:t>
      </w:r>
    </w:p>
    <w:p>
      <w:pPr>
        <w:rPr>
          <w:rFonts w:ascii="仿宋" w:hAnsi="仿宋" w:eastAsia="仿宋" w:cs="仿宋"/>
          <w:b/>
          <w:highlight w:val="none"/>
        </w:rPr>
      </w:pPr>
    </w:p>
    <w:p>
      <w:pPr>
        <w:rPr>
          <w:rFonts w:ascii="仿宋" w:hAnsi="仿宋" w:eastAsia="仿宋" w:cs="仿宋"/>
          <w:b/>
          <w:highlight w:val="none"/>
        </w:rPr>
      </w:pPr>
      <w:r>
        <w:rPr>
          <w:rFonts w:ascii="仿宋" w:hAnsi="仿宋" w:eastAsia="仿宋" w:cs="仿宋"/>
          <w:highlight w:val="none"/>
        </w:rPr>
        <w:pict>
          <v:shape id="_x0000_s1039" o:spid="_x0000_s1039" o:spt="202" type="#_x0000_t202" style="position:absolute;left:0pt;margin-left:-10.9pt;margin-top:-0.9pt;height:641.25pt;width:440.6pt;z-index:251674624;mso-width-relative:page;mso-height-relative:page;" coordsize="21600,21600">
            <v:path/>
            <v:fill focussize="0,0"/>
            <v:stroke joinstyle="miter"/>
            <v:imagedata o:title=""/>
            <o:lock v:ext="edit"/>
            <v:textbox>
              <w:txbxContent>
                <w:p>
                  <w:pPr>
                    <w:rPr>
                      <w:sz w:val="28"/>
                      <w:szCs w:val="28"/>
                    </w:rPr>
                  </w:pPr>
                </w:p>
                <w:p>
                  <w:pPr>
                    <w:rPr>
                      <w:sz w:val="28"/>
                      <w:szCs w:val="28"/>
                    </w:rPr>
                  </w:pPr>
                </w:p>
                <w:p>
                  <w:pPr>
                    <w:spacing w:line="640" w:lineRule="atLeast"/>
                    <w:rPr>
                      <w:rFonts w:ascii="仿宋" w:hAnsi="仿宋" w:eastAsia="仿宋" w:cs="仿宋"/>
                      <w:sz w:val="28"/>
                      <w:szCs w:val="28"/>
                    </w:rPr>
                  </w:pPr>
                  <w:r>
                    <w:rPr>
                      <w:rFonts w:hint="eastAsia" w:ascii="仿宋" w:hAnsi="仿宋" w:eastAsia="仿宋" w:cs="仿宋"/>
                      <w:sz w:val="28"/>
                      <w:szCs w:val="28"/>
                    </w:rPr>
                    <w:t>致：华招广和项目管理有限公司</w:t>
                  </w:r>
                </w:p>
                <w:p>
                  <w:pPr>
                    <w:spacing w:line="640" w:lineRule="atLeast"/>
                    <w:rPr>
                      <w:rFonts w:ascii="仿宋" w:hAnsi="仿宋" w:eastAsia="仿宋" w:cs="仿宋"/>
                      <w:sz w:val="28"/>
                      <w:szCs w:val="28"/>
                    </w:rPr>
                  </w:pPr>
                  <w:r>
                    <w:rPr>
                      <w:rFonts w:hint="eastAsia" w:ascii="仿宋" w:hAnsi="仿宋" w:eastAsia="仿宋" w:cs="仿宋"/>
                      <w:sz w:val="28"/>
                      <w:szCs w:val="28"/>
                    </w:rPr>
                    <w:t xml:space="preserve">项目编号：                                        </w:t>
                  </w:r>
                </w:p>
                <w:p>
                  <w:pPr>
                    <w:spacing w:line="640" w:lineRule="atLeast"/>
                    <w:rPr>
                      <w:rFonts w:ascii="仿宋" w:hAnsi="仿宋" w:eastAsia="仿宋" w:cs="仿宋"/>
                      <w:sz w:val="28"/>
                      <w:szCs w:val="28"/>
                    </w:rPr>
                  </w:pPr>
                  <w:r>
                    <w:rPr>
                      <w:rFonts w:hint="eastAsia" w:ascii="仿宋" w:hAnsi="仿宋" w:eastAsia="仿宋" w:cs="仿宋"/>
                      <w:sz w:val="28"/>
                      <w:szCs w:val="28"/>
                    </w:rPr>
                    <w:t xml:space="preserve">项目名称：                               </w:t>
                  </w: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sz w:val="28"/>
                      <w:szCs w:val="28"/>
                    </w:rPr>
                  </w:pPr>
                  <w:r>
                    <w:rPr>
                      <w:rFonts w:hint="eastAsia" w:ascii="仿宋" w:hAnsi="仿宋" w:eastAsia="仿宋" w:cs="仿宋"/>
                      <w:b/>
                      <w:sz w:val="44"/>
                      <w:szCs w:val="44"/>
                    </w:rPr>
                    <w:t>资质证明材料</w:t>
                  </w: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spacing w:line="640" w:lineRule="exact"/>
                    <w:ind w:firstLine="1400" w:firstLineChars="500"/>
                    <w:rPr>
                      <w:rFonts w:ascii="仿宋" w:hAnsi="仿宋" w:eastAsia="仿宋" w:cs="仿宋"/>
                      <w:sz w:val="28"/>
                      <w:szCs w:val="28"/>
                    </w:rPr>
                  </w:pPr>
                  <w:r>
                    <w:rPr>
                      <w:rFonts w:hint="eastAsia" w:ascii="仿宋" w:hAnsi="仿宋" w:eastAsia="仿宋" w:cs="仿宋"/>
                      <w:sz w:val="28"/>
                      <w:szCs w:val="28"/>
                    </w:rPr>
                    <w:t>投标人全称（公章）：</w:t>
                  </w:r>
                </w:p>
                <w:p>
                  <w:pPr>
                    <w:pStyle w:val="2"/>
                    <w:spacing w:line="640" w:lineRule="exact"/>
                    <w:ind w:firstLine="1400" w:firstLineChars="500"/>
                    <w:rPr>
                      <w:rFonts w:ascii="仿宋" w:hAnsi="仿宋" w:eastAsia="仿宋" w:cs="仿宋"/>
                      <w:sz w:val="28"/>
                      <w:szCs w:val="28"/>
                      <w:u w:val="single"/>
                    </w:rPr>
                  </w:pPr>
                  <w:r>
                    <w:rPr>
                      <w:rFonts w:hint="eastAsia" w:ascii="仿宋" w:hAnsi="仿宋" w:eastAsia="仿宋" w:cs="仿宋"/>
                      <w:sz w:val="28"/>
                      <w:szCs w:val="28"/>
                    </w:rPr>
                    <w:t>日             期：</w:t>
                  </w:r>
                </w:p>
                <w:p>
                  <w:pPr>
                    <w:rPr>
                      <w:rFonts w:ascii="仿宋" w:hAnsi="仿宋" w:eastAsia="仿宋" w:cs="仿宋"/>
                      <w:sz w:val="28"/>
                      <w:szCs w:val="28"/>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jc w:val="center"/>
                    <w:rPr>
                      <w:rFonts w:ascii="仿宋" w:hAnsi="仿宋" w:eastAsia="仿宋" w:cs="仿宋"/>
                    </w:rPr>
                  </w:pPr>
                  <w:r>
                    <w:rPr>
                      <w:rFonts w:hint="eastAsia" w:ascii="仿宋" w:hAnsi="仿宋" w:eastAsia="仿宋" w:cs="仿宋"/>
                    </w:rPr>
                    <w:t>在****年*月*日*时*分之前不得启封</w:t>
                  </w:r>
                </w:p>
              </w:txbxContent>
            </v:textbox>
          </v:shape>
        </w:pict>
      </w:r>
      <w:r>
        <w:rPr>
          <w:rFonts w:hint="eastAsia" w:ascii="仿宋" w:hAnsi="仿宋" w:eastAsia="仿宋" w:cs="仿宋"/>
          <w:b/>
          <w:highlight w:val="none"/>
        </w:rPr>
        <w:br w:type="page"/>
      </w:r>
    </w:p>
    <w:p>
      <w:pPr>
        <w:rPr>
          <w:rFonts w:ascii="仿宋" w:hAnsi="仿宋" w:eastAsia="仿宋" w:cs="仿宋"/>
          <w:b/>
          <w:highlight w:val="none"/>
        </w:rPr>
      </w:pPr>
      <w:r>
        <w:rPr>
          <w:rFonts w:hint="eastAsia" w:ascii="仿宋" w:hAnsi="仿宋" w:eastAsia="仿宋" w:cs="仿宋"/>
          <w:b/>
          <w:highlight w:val="none"/>
        </w:rPr>
        <w:t>开标一览表正面标识式样</w:t>
      </w:r>
    </w:p>
    <w:p>
      <w:pPr>
        <w:rPr>
          <w:rFonts w:ascii="仿宋" w:hAnsi="仿宋" w:eastAsia="仿宋" w:cs="仿宋"/>
          <w:b/>
          <w:sz w:val="44"/>
          <w:szCs w:val="44"/>
          <w:highlight w:val="none"/>
        </w:rPr>
      </w:pPr>
      <w:r>
        <w:rPr>
          <w:rFonts w:ascii="仿宋" w:hAnsi="仿宋" w:eastAsia="仿宋" w:cs="仿宋"/>
          <w:highlight w:val="none"/>
        </w:rPr>
        <w:pict>
          <v:shape id="_x0000_s1040" o:spid="_x0000_s1040" o:spt="202" type="#_x0000_t202" style="position:absolute;left:0pt;margin-left:-10.9pt;margin-top:14.65pt;height:641.25pt;width:440.6pt;z-index:251673600;mso-width-relative:page;mso-height-relative:page;" coordsize="21600,21600">
            <v:path/>
            <v:fill focussize="0,0"/>
            <v:stroke joinstyle="miter"/>
            <v:imagedata o:title=""/>
            <o:lock v:ext="edit"/>
            <v:textbox>
              <w:txbxContent>
                <w:p>
                  <w:pPr>
                    <w:rPr>
                      <w:sz w:val="28"/>
                      <w:szCs w:val="28"/>
                    </w:rPr>
                  </w:pPr>
                </w:p>
                <w:p>
                  <w:pPr>
                    <w:rPr>
                      <w:sz w:val="28"/>
                      <w:szCs w:val="28"/>
                    </w:rPr>
                  </w:pPr>
                </w:p>
                <w:p>
                  <w:pPr>
                    <w:spacing w:line="640" w:lineRule="atLeast"/>
                    <w:rPr>
                      <w:rFonts w:ascii="仿宋" w:hAnsi="仿宋" w:eastAsia="仿宋" w:cs="仿宋"/>
                      <w:sz w:val="28"/>
                      <w:szCs w:val="28"/>
                    </w:rPr>
                  </w:pPr>
                  <w:r>
                    <w:rPr>
                      <w:rFonts w:hint="eastAsia" w:ascii="仿宋" w:hAnsi="仿宋" w:eastAsia="仿宋" w:cs="仿宋"/>
                      <w:sz w:val="28"/>
                      <w:szCs w:val="28"/>
                    </w:rPr>
                    <w:t>致：华招广和项目管理有限公司</w:t>
                  </w:r>
                </w:p>
                <w:p>
                  <w:pPr>
                    <w:spacing w:line="640" w:lineRule="atLeast"/>
                    <w:rPr>
                      <w:rFonts w:ascii="仿宋" w:hAnsi="仿宋" w:eastAsia="仿宋" w:cs="仿宋"/>
                      <w:sz w:val="28"/>
                      <w:szCs w:val="28"/>
                    </w:rPr>
                  </w:pPr>
                  <w:r>
                    <w:rPr>
                      <w:rFonts w:hint="eastAsia" w:ascii="仿宋" w:hAnsi="仿宋" w:eastAsia="仿宋" w:cs="仿宋"/>
                      <w:sz w:val="28"/>
                      <w:szCs w:val="28"/>
                    </w:rPr>
                    <w:t xml:space="preserve">项目编号：                                        </w:t>
                  </w:r>
                </w:p>
                <w:p>
                  <w:pPr>
                    <w:spacing w:line="640" w:lineRule="atLeast"/>
                    <w:rPr>
                      <w:rFonts w:ascii="仿宋" w:hAnsi="仿宋" w:eastAsia="仿宋" w:cs="仿宋"/>
                      <w:sz w:val="28"/>
                      <w:szCs w:val="28"/>
                    </w:rPr>
                  </w:pPr>
                  <w:r>
                    <w:rPr>
                      <w:rFonts w:hint="eastAsia" w:ascii="仿宋" w:hAnsi="仿宋" w:eastAsia="仿宋" w:cs="仿宋"/>
                      <w:sz w:val="28"/>
                      <w:szCs w:val="28"/>
                    </w:rPr>
                    <w:t xml:space="preserve">项目名称：                               </w:t>
                  </w: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b/>
                      <w:sz w:val="44"/>
                      <w:szCs w:val="44"/>
                    </w:rPr>
                  </w:pPr>
                </w:p>
                <w:p>
                  <w:pPr>
                    <w:jc w:val="center"/>
                    <w:rPr>
                      <w:rFonts w:ascii="仿宋" w:hAnsi="仿宋" w:eastAsia="仿宋" w:cs="仿宋"/>
                      <w:sz w:val="28"/>
                      <w:szCs w:val="28"/>
                    </w:rPr>
                  </w:pPr>
                  <w:r>
                    <w:rPr>
                      <w:rFonts w:hint="eastAsia" w:ascii="仿宋" w:hAnsi="仿宋" w:eastAsia="仿宋" w:cs="仿宋"/>
                      <w:b/>
                      <w:sz w:val="44"/>
                      <w:szCs w:val="44"/>
                    </w:rPr>
                    <w:t>开标一览表</w:t>
                  </w: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spacing w:line="640" w:lineRule="exact"/>
                    <w:ind w:firstLine="1400" w:firstLineChars="500"/>
                    <w:rPr>
                      <w:rFonts w:ascii="仿宋" w:hAnsi="仿宋" w:eastAsia="仿宋" w:cs="仿宋"/>
                      <w:sz w:val="28"/>
                      <w:szCs w:val="28"/>
                    </w:rPr>
                  </w:pPr>
                  <w:r>
                    <w:rPr>
                      <w:rFonts w:hint="eastAsia" w:ascii="仿宋" w:hAnsi="仿宋" w:eastAsia="仿宋" w:cs="仿宋"/>
                      <w:sz w:val="28"/>
                      <w:szCs w:val="28"/>
                    </w:rPr>
                    <w:t>投标人全称（公章）：</w:t>
                  </w:r>
                </w:p>
                <w:p>
                  <w:pPr>
                    <w:pStyle w:val="2"/>
                    <w:spacing w:line="640" w:lineRule="exact"/>
                    <w:ind w:firstLine="1400" w:firstLineChars="500"/>
                    <w:rPr>
                      <w:rFonts w:ascii="仿宋" w:hAnsi="仿宋" w:eastAsia="仿宋" w:cs="仿宋"/>
                      <w:sz w:val="28"/>
                      <w:szCs w:val="28"/>
                      <w:u w:val="single"/>
                    </w:rPr>
                  </w:pPr>
                  <w:r>
                    <w:rPr>
                      <w:rFonts w:hint="eastAsia" w:ascii="仿宋" w:hAnsi="仿宋" w:eastAsia="仿宋" w:cs="仿宋"/>
                      <w:sz w:val="28"/>
                      <w:szCs w:val="28"/>
                    </w:rPr>
                    <w:t>日             期：</w:t>
                  </w:r>
                </w:p>
                <w:p>
                  <w:pPr>
                    <w:rPr>
                      <w:rFonts w:ascii="仿宋" w:hAnsi="仿宋" w:eastAsia="仿宋" w:cs="仿宋"/>
                      <w:sz w:val="28"/>
                      <w:szCs w:val="28"/>
                    </w:rPr>
                  </w:pPr>
                </w:p>
                <w:p>
                  <w:pPr>
                    <w:pStyle w:val="2"/>
                    <w:rPr>
                      <w:rFonts w:ascii="仿宋" w:hAnsi="仿宋" w:eastAsia="仿宋" w:cs="仿宋"/>
                    </w:rPr>
                  </w:pPr>
                </w:p>
                <w:p>
                  <w:pPr>
                    <w:rPr>
                      <w:rFonts w:ascii="仿宋" w:hAnsi="仿宋" w:eastAsia="仿宋" w:cs="仿宋"/>
                    </w:rPr>
                  </w:pPr>
                </w:p>
                <w:p>
                  <w:pPr>
                    <w:pStyle w:val="2"/>
                    <w:rPr>
                      <w:rFonts w:ascii="仿宋" w:hAnsi="仿宋" w:eastAsia="仿宋" w:cs="仿宋"/>
                    </w:rPr>
                  </w:pPr>
                </w:p>
                <w:p>
                  <w:pPr>
                    <w:jc w:val="center"/>
                    <w:rPr>
                      <w:rFonts w:ascii="仿宋" w:hAnsi="仿宋" w:eastAsia="仿宋" w:cs="仿宋"/>
                    </w:rPr>
                  </w:pPr>
                  <w:r>
                    <w:rPr>
                      <w:rFonts w:hint="eastAsia" w:ascii="仿宋" w:hAnsi="仿宋" w:eastAsia="仿宋" w:cs="仿宋"/>
                    </w:rPr>
                    <w:t>在****年*月*日*时*分之前不得启封</w:t>
                  </w:r>
                </w:p>
              </w:txbxContent>
            </v:textbox>
          </v:shape>
        </w:pict>
      </w:r>
      <w:r>
        <w:rPr>
          <w:rFonts w:hint="eastAsia" w:ascii="仿宋" w:hAnsi="仿宋" w:eastAsia="仿宋" w:cs="仿宋"/>
          <w:b/>
          <w:sz w:val="44"/>
          <w:szCs w:val="44"/>
          <w:highlight w:val="none"/>
        </w:rPr>
        <w:br w:type="page"/>
      </w:r>
    </w:p>
    <w:p>
      <w:pPr>
        <w:jc w:val="left"/>
        <w:rPr>
          <w:rFonts w:ascii="仿宋" w:hAnsi="仿宋" w:eastAsia="仿宋" w:cs="仿宋"/>
          <w:highlight w:val="none"/>
        </w:rPr>
      </w:pPr>
    </w:p>
    <w:p>
      <w:pPr>
        <w:spacing w:line="560" w:lineRule="exact"/>
        <w:jc w:val="center"/>
        <w:rPr>
          <w:rFonts w:ascii="仿宋" w:hAnsi="仿宋" w:eastAsia="仿宋" w:cs="仿宋"/>
          <w:b/>
          <w:sz w:val="44"/>
          <w:szCs w:val="44"/>
          <w:highlight w:val="none"/>
        </w:rPr>
      </w:pPr>
    </w:p>
    <w:p>
      <w:pPr>
        <w:pStyle w:val="7"/>
        <w:rPr>
          <w:rFonts w:hint="default" w:ascii="仿宋" w:hAnsi="仿宋" w:eastAsia="仿宋" w:cs="仿宋"/>
          <w:highlight w:val="none"/>
          <w:lang w:val="zh-CN"/>
        </w:rPr>
      </w:pPr>
    </w:p>
    <w:p>
      <w:pPr>
        <w:pStyle w:val="7"/>
        <w:rPr>
          <w:rFonts w:hint="default" w:ascii="仿宋" w:hAnsi="仿宋" w:eastAsia="仿宋" w:cs="仿宋"/>
          <w:highlight w:val="none"/>
          <w:lang w:val="zh-CN"/>
        </w:rPr>
      </w:pPr>
    </w:p>
    <w:p>
      <w:pPr>
        <w:rPr>
          <w:rFonts w:ascii="仿宋" w:hAnsi="仿宋" w:eastAsia="仿宋" w:cs="仿宋"/>
          <w:highlight w:val="none"/>
          <w:lang w:val="zh-CN"/>
        </w:rPr>
      </w:pPr>
    </w:p>
    <w:p>
      <w:pPr>
        <w:pStyle w:val="7"/>
        <w:rPr>
          <w:rFonts w:hint="default" w:ascii="仿宋" w:hAnsi="仿宋" w:eastAsia="仿宋" w:cs="仿宋"/>
          <w:highlight w:val="none"/>
          <w:lang w:val="zh-CN"/>
        </w:rPr>
      </w:pPr>
    </w:p>
    <w:p>
      <w:pPr>
        <w:rPr>
          <w:rFonts w:ascii="仿宋" w:hAnsi="仿宋" w:eastAsia="仿宋" w:cs="仿宋"/>
          <w:highlight w:val="none"/>
          <w:lang w:val="zh-CN"/>
        </w:rPr>
      </w:pPr>
    </w:p>
    <w:p>
      <w:pPr>
        <w:pStyle w:val="7"/>
        <w:rPr>
          <w:rFonts w:hint="default" w:ascii="仿宋" w:hAnsi="仿宋" w:eastAsia="仿宋" w:cs="仿宋"/>
          <w:highlight w:val="none"/>
          <w:lang w:val="zh-CN"/>
        </w:rPr>
      </w:pPr>
    </w:p>
    <w:p>
      <w:pPr>
        <w:rPr>
          <w:rFonts w:ascii="仿宋" w:hAnsi="仿宋" w:eastAsia="仿宋" w:cs="仿宋"/>
          <w:highlight w:val="none"/>
          <w:lang w:val="zh-CN"/>
        </w:rPr>
      </w:pPr>
    </w:p>
    <w:p>
      <w:pPr>
        <w:pStyle w:val="7"/>
        <w:rPr>
          <w:rFonts w:hint="default" w:ascii="仿宋" w:hAnsi="仿宋" w:eastAsia="仿宋" w:cs="仿宋"/>
          <w:highlight w:val="none"/>
          <w:lang w:val="zh-CN"/>
        </w:rPr>
      </w:pPr>
    </w:p>
    <w:p>
      <w:pPr>
        <w:rPr>
          <w:rFonts w:ascii="仿宋" w:hAnsi="仿宋" w:eastAsia="仿宋" w:cs="仿宋"/>
          <w:highlight w:val="none"/>
          <w:lang w:val="zh-CN"/>
        </w:rPr>
      </w:pPr>
    </w:p>
    <w:p>
      <w:pPr>
        <w:rPr>
          <w:rFonts w:ascii="仿宋" w:hAnsi="仿宋" w:eastAsia="仿宋" w:cs="仿宋"/>
          <w:highlight w:val="none"/>
          <w:lang w:val="zh-CN"/>
        </w:rPr>
      </w:pPr>
    </w:p>
    <w:p>
      <w:pPr>
        <w:jc w:val="center"/>
        <w:rPr>
          <w:rFonts w:ascii="仿宋" w:hAnsi="仿宋" w:eastAsia="仿宋" w:cs="仿宋"/>
          <w:b/>
          <w:bCs/>
          <w:sz w:val="48"/>
          <w:szCs w:val="48"/>
          <w:highlight w:val="none"/>
          <w:lang w:val="zh-CN"/>
        </w:rPr>
      </w:pPr>
    </w:p>
    <w:p>
      <w:pPr>
        <w:jc w:val="center"/>
        <w:rPr>
          <w:rFonts w:ascii="仿宋" w:hAnsi="仿宋" w:eastAsia="仿宋" w:cs="仿宋"/>
          <w:b/>
          <w:bCs/>
          <w:i/>
          <w:iCs/>
          <w:sz w:val="48"/>
          <w:szCs w:val="48"/>
          <w:highlight w:val="none"/>
        </w:rPr>
      </w:pPr>
      <w:r>
        <w:rPr>
          <w:rFonts w:hint="eastAsia" w:ascii="仿宋" w:hAnsi="仿宋" w:eastAsia="仿宋" w:cs="仿宋"/>
          <w:b/>
          <w:bCs/>
          <w:i/>
          <w:iCs/>
          <w:sz w:val="48"/>
          <w:szCs w:val="48"/>
          <w:highlight w:val="none"/>
          <w:lang w:val="zh-CN"/>
        </w:rPr>
        <w:t>为政府采购</w:t>
      </w:r>
      <w:r>
        <w:rPr>
          <w:rFonts w:hint="eastAsia" w:ascii="仿宋" w:hAnsi="仿宋" w:eastAsia="仿宋" w:cs="仿宋"/>
          <w:b/>
          <w:bCs/>
          <w:i/>
          <w:iCs/>
          <w:sz w:val="48"/>
          <w:szCs w:val="48"/>
          <w:highlight w:val="none"/>
        </w:rPr>
        <w:t xml:space="preserve">  我们更专心</w:t>
      </w:r>
    </w:p>
    <w:p>
      <w:pPr>
        <w:pStyle w:val="7"/>
        <w:rPr>
          <w:rFonts w:hint="default" w:ascii="仿宋" w:hAnsi="仿宋" w:eastAsia="仿宋" w:cs="仿宋"/>
          <w:i/>
          <w:iCs/>
          <w:sz w:val="28"/>
          <w:highlight w:val="none"/>
        </w:rPr>
      </w:pPr>
    </w:p>
    <w:p>
      <w:pPr>
        <w:pStyle w:val="7"/>
        <w:jc w:val="center"/>
        <w:rPr>
          <w:rFonts w:hint="default" w:ascii="仿宋" w:hAnsi="仿宋" w:eastAsia="仿宋" w:cs="仿宋"/>
          <w:bCs/>
          <w:i/>
          <w:iCs/>
          <w:sz w:val="48"/>
          <w:szCs w:val="48"/>
          <w:highlight w:val="none"/>
        </w:rPr>
      </w:pPr>
      <w:r>
        <w:rPr>
          <w:rFonts w:ascii="仿宋" w:hAnsi="仿宋" w:eastAsia="仿宋" w:cs="仿宋"/>
          <w:bCs/>
          <w:i/>
          <w:iCs/>
          <w:sz w:val="48"/>
          <w:szCs w:val="48"/>
          <w:highlight w:val="none"/>
        </w:rPr>
        <w:t>做政府采购  我们更用心</w:t>
      </w:r>
    </w:p>
    <w:p>
      <w:pPr>
        <w:pStyle w:val="7"/>
        <w:rPr>
          <w:rFonts w:hint="default" w:ascii="仿宋" w:hAnsi="仿宋" w:eastAsia="仿宋" w:cs="仿宋"/>
          <w:highlight w:val="none"/>
          <w:lang w:val="zh-CN"/>
        </w:rPr>
      </w:pPr>
    </w:p>
    <w:p>
      <w:pPr>
        <w:rPr>
          <w:rFonts w:ascii="仿宋" w:hAnsi="仿宋" w:eastAsia="仿宋" w:cs="仿宋"/>
          <w:highlight w:val="none"/>
          <w:lang w:val="zh-CN"/>
        </w:rPr>
      </w:pPr>
    </w:p>
    <w:p>
      <w:pPr>
        <w:pStyle w:val="7"/>
        <w:rPr>
          <w:rFonts w:hint="default" w:ascii="仿宋" w:hAnsi="仿宋" w:eastAsia="仿宋" w:cs="仿宋"/>
          <w:highlight w:val="none"/>
          <w:lang w:val="zh-CN"/>
        </w:rPr>
      </w:pPr>
    </w:p>
    <w:p>
      <w:pPr>
        <w:rPr>
          <w:rFonts w:ascii="仿宋" w:hAnsi="仿宋" w:eastAsia="仿宋" w:cs="仿宋"/>
          <w:highlight w:val="none"/>
          <w:lang w:val="zh-CN"/>
        </w:rPr>
      </w:pPr>
    </w:p>
    <w:p>
      <w:pPr>
        <w:rPr>
          <w:rFonts w:ascii="仿宋" w:hAnsi="仿宋" w:eastAsia="仿宋" w:cs="仿宋"/>
          <w:highlight w:val="none"/>
          <w:lang w:val="zh-CN"/>
        </w:rPr>
      </w:pPr>
    </w:p>
    <w:p>
      <w:pPr>
        <w:pStyle w:val="7"/>
        <w:rPr>
          <w:rFonts w:hint="default" w:ascii="仿宋" w:hAnsi="仿宋" w:eastAsia="仿宋" w:cs="仿宋"/>
          <w:highlight w:val="none"/>
          <w:lang w:val="zh-CN"/>
        </w:rPr>
      </w:pPr>
    </w:p>
    <w:p>
      <w:pPr>
        <w:rPr>
          <w:rFonts w:ascii="仿宋" w:hAnsi="仿宋" w:eastAsia="仿宋" w:cs="仿宋"/>
          <w:highlight w:val="none"/>
          <w:u w:val="single"/>
          <w:lang w:val="zh-CN"/>
        </w:rPr>
      </w:pPr>
    </w:p>
    <w:p>
      <w:pPr>
        <w:pStyle w:val="7"/>
        <w:rPr>
          <w:rFonts w:hint="default" w:ascii="仿宋" w:hAnsi="仿宋" w:eastAsia="仿宋" w:cs="仿宋"/>
          <w:highlight w:val="none"/>
          <w:lang w:val="zh-CN"/>
        </w:rPr>
      </w:pPr>
    </w:p>
    <w:p>
      <w:pPr>
        <w:rPr>
          <w:rFonts w:ascii="仿宋" w:hAnsi="仿宋" w:eastAsia="仿宋" w:cs="仿宋"/>
          <w:sz w:val="40"/>
          <w:szCs w:val="40"/>
          <w:highlight w:val="none"/>
          <w:lang w:val="zh-CN"/>
        </w:rPr>
      </w:pPr>
      <w:r>
        <w:rPr>
          <w:rFonts w:hint="eastAsia" w:ascii="仿宋" w:hAnsi="仿宋" w:eastAsia="仿宋" w:cs="仿宋"/>
          <w:sz w:val="40"/>
          <w:szCs w:val="40"/>
          <w:highlight w:val="none"/>
          <w:lang w:val="zh-CN"/>
        </w:rPr>
        <w:t>华招广和项目管理有限公司</w:t>
      </w:r>
    </w:p>
    <w:p>
      <w:pPr>
        <w:pStyle w:val="7"/>
        <w:rPr>
          <w:rFonts w:hint="default" w:ascii="仿宋" w:hAnsi="仿宋" w:eastAsia="仿宋" w:cs="仿宋"/>
          <w:highlight w:val="none"/>
          <w:u w:val="single"/>
        </w:rPr>
      </w:pPr>
    </w:p>
    <w:p>
      <w:pPr>
        <w:pStyle w:val="7"/>
        <w:autoSpaceDE w:val="0"/>
        <w:autoSpaceDN w:val="0"/>
        <w:spacing w:line="560" w:lineRule="exact"/>
        <w:rPr>
          <w:rFonts w:hint="default" w:ascii="仿宋" w:hAnsi="仿宋" w:eastAsia="仿宋" w:cs="仿宋"/>
          <w:b w:val="0"/>
          <w:bCs/>
          <w:sz w:val="24"/>
          <w:szCs w:val="24"/>
          <w:highlight w:val="none"/>
        </w:rPr>
      </w:pPr>
      <w:r>
        <w:rPr>
          <w:rFonts w:ascii="仿宋" w:hAnsi="仿宋" w:eastAsia="仿宋" w:cs="仿宋"/>
          <w:b w:val="0"/>
          <w:bCs/>
          <w:sz w:val="24"/>
          <w:szCs w:val="24"/>
          <w:highlight w:val="none"/>
          <w:lang w:val="zh-CN"/>
        </w:rPr>
        <w:t>地址：</w:t>
      </w:r>
      <w:r>
        <w:rPr>
          <w:rFonts w:ascii="仿宋" w:hAnsi="仿宋" w:eastAsia="仿宋" w:cs="仿宋"/>
          <w:b w:val="0"/>
          <w:bCs/>
          <w:sz w:val="24"/>
          <w:szCs w:val="24"/>
          <w:highlight w:val="none"/>
        </w:rPr>
        <w:t>西安市朱雀大街南段1号汇成天玺C座18层</w:t>
      </w:r>
    </w:p>
    <w:p>
      <w:pPr>
        <w:autoSpaceDE w:val="0"/>
        <w:autoSpaceDN w:val="0"/>
        <w:spacing w:line="560" w:lineRule="exact"/>
        <w:rPr>
          <w:rFonts w:ascii="仿宋" w:hAnsi="仿宋" w:eastAsia="仿宋" w:cs="仿宋"/>
          <w:szCs w:val="24"/>
          <w:highlight w:val="none"/>
        </w:rPr>
      </w:pPr>
      <w:r>
        <w:rPr>
          <w:rFonts w:hint="eastAsia" w:ascii="仿宋" w:hAnsi="仿宋" w:eastAsia="仿宋" w:cs="仿宋"/>
          <w:szCs w:val="24"/>
          <w:highlight w:val="none"/>
        </w:rPr>
        <w:t>邮编：710000</w:t>
      </w:r>
    </w:p>
    <w:p>
      <w:pPr>
        <w:pStyle w:val="7"/>
        <w:autoSpaceDE w:val="0"/>
        <w:autoSpaceDN w:val="0"/>
        <w:spacing w:line="560" w:lineRule="exact"/>
        <w:rPr>
          <w:rFonts w:hint="default" w:ascii="仿宋" w:hAnsi="仿宋" w:eastAsia="仿宋" w:cs="仿宋"/>
          <w:b w:val="0"/>
          <w:bCs/>
          <w:sz w:val="24"/>
          <w:szCs w:val="24"/>
          <w:highlight w:val="none"/>
        </w:rPr>
      </w:pPr>
      <w:r>
        <w:rPr>
          <w:rFonts w:ascii="仿宋" w:hAnsi="仿宋" w:eastAsia="仿宋" w:cs="仿宋"/>
          <w:b w:val="0"/>
          <w:bCs/>
          <w:sz w:val="24"/>
          <w:szCs w:val="24"/>
          <w:highlight w:val="none"/>
        </w:rPr>
        <w:t>电话：029-87592321</w:t>
      </w:r>
    </w:p>
    <w:p>
      <w:pPr>
        <w:autoSpaceDE w:val="0"/>
        <w:autoSpaceDN w:val="0"/>
        <w:spacing w:line="560" w:lineRule="exact"/>
        <w:rPr>
          <w:rFonts w:ascii="仿宋" w:hAnsi="仿宋" w:eastAsia="仿宋" w:cs="仿宋"/>
          <w:szCs w:val="24"/>
          <w:highlight w:val="none"/>
        </w:rPr>
      </w:pPr>
      <w:r>
        <w:rPr>
          <w:rFonts w:hint="eastAsia" w:ascii="仿宋" w:hAnsi="仿宋" w:eastAsia="仿宋" w:cs="仿宋"/>
          <w:szCs w:val="24"/>
          <w:highlight w:val="none"/>
        </w:rPr>
        <w:t>电子邮箱：hzghxmglyxgs@163.com</w:t>
      </w:r>
    </w:p>
    <w:p>
      <w:pPr>
        <w:pStyle w:val="7"/>
        <w:jc w:val="both"/>
        <w:rPr>
          <w:rFonts w:hint="default" w:ascii="仿宋" w:hAnsi="仿宋" w:eastAsia="仿宋" w:cs="仿宋"/>
          <w:highlight w:val="none"/>
        </w:rPr>
      </w:pPr>
    </w:p>
    <w:p>
      <w:pPr>
        <w:pStyle w:val="7"/>
        <w:jc w:val="both"/>
        <w:rPr>
          <w:rFonts w:hint="default" w:ascii="仿宋" w:hAnsi="仿宋" w:eastAsia="仿宋" w:cs="仿宋"/>
          <w:highlight w:val="none"/>
        </w:rPr>
      </w:pPr>
    </w:p>
    <w:sectPr>
      <w:headerReference r:id="rId29" w:type="first"/>
      <w:footerReference r:id="rId31" w:type="first"/>
      <w:headerReference r:id="rId28" w:type="default"/>
      <w:footerReference r:id="rId30" w:type="default"/>
      <w:pgSz w:w="11905" w:h="16840"/>
      <w:pgMar w:top="1417" w:right="1417" w:bottom="1417" w:left="1417" w:header="935" w:footer="1020"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SourceHanSansCN-Regular">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楷体" w:hAnsi="楷体" w:eastAsia="楷体" w:cs="楷体"/>
        <w:b/>
        <w:sz w:val="18"/>
        <w:szCs w:val="18"/>
        <w:u w:val="single"/>
      </w:rPr>
    </w:pPr>
  </w:p>
  <w:p>
    <w:pPr>
      <w:spacing w:line="280" w:lineRule="exact"/>
      <w:rPr>
        <w:rFonts w:ascii="楷体" w:hAnsi="楷体" w:eastAsia="楷体" w:cs="楷体"/>
        <w:b/>
        <w:sz w:val="18"/>
        <w:szCs w:val="18"/>
        <w:u w:val="single"/>
      </w:rPr>
    </w:pPr>
  </w:p>
  <w:p>
    <w:pPr>
      <w:spacing w:line="280" w:lineRule="exact"/>
      <w:rPr>
        <w:rFonts w:ascii="宋体" w:hAnsi="宋体"/>
        <w:b/>
        <w:sz w:val="21"/>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楷体" w:hAnsi="楷体" w:eastAsia="楷体" w:cs="楷体"/>
        <w:b/>
      </w:rPr>
    </w:pPr>
  </w:p>
  <w:p>
    <w:pPr>
      <w:spacing w:line="280" w:lineRule="exact"/>
      <w:jc w:val="center"/>
      <w:rPr>
        <w:rFonts w:ascii="仿宋" w:hAnsi="仿宋" w:eastAsia="仿宋" w:cs="仿宋"/>
        <w:b/>
        <w:sz w:val="18"/>
        <w:szCs w:val="18"/>
        <w:u w:val="single"/>
      </w:rPr>
    </w:pPr>
    <w:r>
      <w:rPr>
        <w:rFonts w:hint="eastAsia" w:ascii="仿宋" w:hAnsi="仿宋" w:eastAsia="仿宋" w:cs="仿宋"/>
        <w:b/>
        <w:sz w:val="18"/>
        <w:szCs w:val="18"/>
        <w:u w:val="single"/>
      </w:rPr>
      <w:t>华招广和项目管理有限公司地 址：西安市朱雀大街南段1号汇成天玺C座18层    电 话：029-85566819</w:t>
    </w:r>
  </w:p>
  <w:p>
    <w:pPr>
      <w:spacing w:line="280" w:lineRule="exact"/>
      <w:jc w:val="center"/>
      <w:rPr>
        <w:rFonts w:ascii="仿宋" w:hAnsi="仿宋" w:eastAsia="仿宋" w:cs="仿宋"/>
        <w:b/>
        <w:sz w:val="18"/>
        <w:szCs w:val="18"/>
        <w:u w:val="single"/>
      </w:rPr>
    </w:pPr>
    <w:r>
      <w:rPr>
        <w:rFonts w:ascii="仿宋" w:hAnsi="仿宋" w:eastAsia="仿宋" w:cs="仿宋"/>
        <w:sz w:val="18"/>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pPr>
                  <w:pStyle w:val="14"/>
                  <w:rPr>
                    <w:rFonts w:ascii="楷体" w:hAnsi="楷体" w:eastAsia="楷体" w:cs="楷体"/>
                  </w:rPr>
                </w:pPr>
                <w:r>
                  <w:rPr>
                    <w:rFonts w:ascii="楷体" w:hAnsi="楷体" w:eastAsia="楷体" w:cs="楷体"/>
                  </w:rPr>
                  <w:t xml:space="preserve">第 </w:t>
                </w:r>
                <w:r>
                  <w:rPr>
                    <w:rFonts w:ascii="楷体" w:hAnsi="楷体" w:eastAsia="楷体" w:cs="楷体"/>
                  </w:rPr>
                  <w:fldChar w:fldCharType="begin"/>
                </w:r>
                <w:r>
                  <w:rPr>
                    <w:rFonts w:ascii="楷体" w:hAnsi="楷体" w:eastAsia="楷体" w:cs="楷体"/>
                  </w:rPr>
                  <w:instrText xml:space="preserve"> PAGE  \* MERGEFORMAT </w:instrText>
                </w:r>
                <w:r>
                  <w:rPr>
                    <w:rFonts w:ascii="楷体" w:hAnsi="楷体" w:eastAsia="楷体" w:cs="楷体"/>
                  </w:rPr>
                  <w:fldChar w:fldCharType="separate"/>
                </w:r>
                <w:r>
                  <w:rPr>
                    <w:rFonts w:ascii="楷体" w:hAnsi="楷体" w:eastAsia="楷体" w:cs="楷体"/>
                  </w:rPr>
                  <w:t>114</w:t>
                </w:r>
                <w:r>
                  <w:rPr>
                    <w:rFonts w:ascii="楷体" w:hAnsi="楷体" w:eastAsia="楷体" w:cs="楷体"/>
                  </w:rPr>
                  <w:fldChar w:fldCharType="end"/>
                </w:r>
                <w:r>
                  <w:rPr>
                    <w:rFonts w:ascii="楷体" w:hAnsi="楷体" w:eastAsia="楷体" w:cs="楷体"/>
                  </w:rPr>
                  <w:t xml:space="preserve"> 页 共 </w:t>
                </w:r>
                <w:r>
                  <w:fldChar w:fldCharType="begin"/>
                </w:r>
                <w:r>
                  <w:instrText xml:space="preserve"> NUMPAGES  \* MERGEFORMAT </w:instrText>
                </w:r>
                <w:r>
                  <w:fldChar w:fldCharType="separate"/>
                </w:r>
                <w:r>
                  <w:rPr>
                    <w:rFonts w:ascii="楷体" w:hAnsi="楷体" w:eastAsia="楷体" w:cs="楷体"/>
                  </w:rPr>
                  <w:t>147</w:t>
                </w:r>
                <w:r>
                  <w:rPr>
                    <w:rFonts w:ascii="楷体" w:hAnsi="楷体" w:eastAsia="楷体" w:cs="楷体"/>
                  </w:rPr>
                  <w:fldChar w:fldCharType="end"/>
                </w:r>
                <w:r>
                  <w:rPr>
                    <w:rFonts w:ascii="楷体" w:hAnsi="楷体" w:eastAsia="楷体" w:cs="楷体"/>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359"/>
        <w:tab w:val="clear" w:pos="4153"/>
      </w:tabs>
      <w:spacing w:line="360" w:lineRule="auto"/>
      <w:rPr>
        <w:rFonts w:ascii="楷体" w:hAnsi="楷体" w:eastAsia="楷体" w:cs="楷体"/>
        <w:b/>
        <w:u w:val="single"/>
      </w:rPr>
    </w:pPr>
    <w:r>
      <w:rPr>
        <w:rFonts w:ascii="仿宋" w:hAnsi="仿宋" w:eastAsia="仿宋" w:cs="仿宋"/>
      </w:rPr>
      <w:pict>
        <v:shape id="_x0000_s2054" o:spid="_x0000_s2054" o:spt="202" type="#_x0000_t202" style="position:absolute;left:0pt;margin-left:191.85pt;margin-top:12.2pt;height:18.2pt;width:81pt;mso-position-horizontal-relative:margin;z-index:251664384;mso-width-relative:page;mso-height-relative:page;" filled="f" stroked="f" coordsize="21600,21600">
          <v:path/>
          <v:fill on="f" focussize="0,0"/>
          <v:stroke on="f" weight="0.5pt" joinstyle="miter"/>
          <v:imagedata o:title=""/>
          <o:lock v:ext="edit"/>
          <v:textbox inset="0mm,0mm,0mm,0mm">
            <w:txbxContent>
              <w:p>
                <w:pPr>
                  <w:pStyle w:val="14"/>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127</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147</w:t>
                </w:r>
                <w:r>
                  <w:rPr>
                    <w:rFonts w:ascii="仿宋" w:hAnsi="仿宋" w:eastAsia="仿宋" w:cs="仿宋"/>
                  </w:rPr>
                  <w:fldChar w:fldCharType="end"/>
                </w:r>
                <w:r>
                  <w:rPr>
                    <w:rFonts w:hint="eastAsia" w:ascii="仿宋" w:hAnsi="仿宋" w:eastAsia="仿宋" w:cs="仿宋"/>
                  </w:rPr>
                  <w:t xml:space="preserve"> 页</w:t>
                </w:r>
              </w:p>
            </w:txbxContent>
          </v:textbox>
        </v:shape>
      </w:pict>
    </w:r>
    <w:r>
      <w:rPr>
        <w:rFonts w:hint="eastAsia" w:ascii="仿宋" w:hAnsi="仿宋" w:eastAsia="仿宋" w:cs="仿宋"/>
        <w:b/>
        <w:u w:val="single"/>
      </w:rPr>
      <w:t>华招广和项目管理有限公司      地 址：西安市朱雀大街南段1号汇成天玺C座18层     电 话：029-85566819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b/>
      </w:rPr>
    </w:pPr>
  </w:p>
  <w:p>
    <w:pPr>
      <w:spacing w:line="280" w:lineRule="exact"/>
      <w:rPr>
        <w:rFonts w:ascii="仿宋" w:hAnsi="仿宋" w:eastAsia="仿宋" w:cs="仿宋"/>
        <w:b/>
        <w:sz w:val="18"/>
        <w:szCs w:val="18"/>
        <w:u w:val="single"/>
      </w:rPr>
    </w:pPr>
    <w:r>
      <w:rPr>
        <w:rFonts w:hint="eastAsia" w:ascii="仿宋" w:hAnsi="仿宋" w:eastAsia="仿宋" w:cs="仿宋"/>
        <w:b/>
        <w:sz w:val="18"/>
        <w:szCs w:val="18"/>
        <w:u w:val="single"/>
      </w:rPr>
      <w:t>华招广和项目管理有限公司       地 址：西安市朱雀大街南段1号汇成天玺C座18层   电 话：029-85566819</w:t>
    </w:r>
  </w:p>
  <w:p>
    <w:pPr>
      <w:spacing w:line="280" w:lineRule="exact"/>
      <w:rPr>
        <w:rFonts w:ascii="仿宋" w:hAnsi="仿宋" w:eastAsia="仿宋" w:cs="仿宋"/>
        <w:bCs/>
        <w:sz w:val="18"/>
        <w:szCs w:val="18"/>
        <w:u w:val="single"/>
      </w:rPr>
    </w:pPr>
    <w:r>
      <w:rPr>
        <w:rFonts w:ascii="仿宋" w:hAnsi="仿宋" w:eastAsia="仿宋" w:cs="仿宋"/>
        <w:bCs/>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joinstyle="miter"/>
          <v:imagedata o:title=""/>
          <o:lock v:ext="edit"/>
          <v:textbox inset="0mm,0mm,0mm,0mm" style="mso-fit-shape-to-text:t;">
            <w:txbxContent>
              <w:p>
                <w:pPr>
                  <w:pStyle w:val="14"/>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128</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147</w:t>
                </w:r>
                <w:r>
                  <w:rPr>
                    <w:rFonts w:ascii="仿宋" w:hAnsi="仿宋" w:eastAsia="仿宋" w:cs="仿宋"/>
                  </w:rPr>
                  <w:fldChar w:fldCharType="end"/>
                </w:r>
                <w:r>
                  <w:rPr>
                    <w:rFonts w:hint="eastAsia" w:ascii="仿宋" w:hAnsi="仿宋" w:eastAsia="仿宋" w:cs="仿宋"/>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b/>
        <w:bCs/>
        <w:sz w:val="18"/>
        <w:szCs w:val="18"/>
      </w:rPr>
    </w:pPr>
    <w:r>
      <w:rPr>
        <w:rFonts w:ascii="仿宋" w:hAnsi="仿宋" w:eastAsia="仿宋" w:cs="仿宋"/>
        <w:b/>
        <w:bCs/>
        <w:sz w:val="18"/>
        <w:szCs w:val="18"/>
      </w:rPr>
      <w:pict>
        <v:shape id="_x0000_s2055" o:spid="_x0000_s2055" o:spt="202" type="#_x0000_t202" style="position:absolute;left:0pt;margin-left:187.1pt;margin-top:16.85pt;height:144pt;width:144pt;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pPr>
                  <w:pStyle w:val="14"/>
                </w:pPr>
                <w:r>
                  <w:t xml:space="preserve">第 </w:t>
                </w:r>
                <w:r>
                  <w:fldChar w:fldCharType="begin"/>
                </w:r>
                <w:r>
                  <w:instrText xml:space="preserve"> PAGE  \* MERGEFORMAT </w:instrText>
                </w:r>
                <w:r>
                  <w:fldChar w:fldCharType="separate"/>
                </w:r>
                <w:r>
                  <w:t>133</w:t>
                </w:r>
                <w:r>
                  <w:fldChar w:fldCharType="end"/>
                </w:r>
                <w:r>
                  <w:t xml:space="preserve"> 页 共 </w:t>
                </w:r>
                <w:r>
                  <w:fldChar w:fldCharType="begin"/>
                </w:r>
                <w:r>
                  <w:instrText xml:space="preserve"> NUMPAGES  \* MERGEFORMAT </w:instrText>
                </w:r>
                <w:r>
                  <w:fldChar w:fldCharType="separate"/>
                </w:r>
                <w:r>
                  <w:t>147</w:t>
                </w:r>
                <w:r>
                  <w:fldChar w:fldCharType="end"/>
                </w:r>
                <w:r>
                  <w:t xml:space="preserve"> 页</w:t>
                </w:r>
              </w:p>
            </w:txbxContent>
          </v:textbox>
        </v:shape>
      </w:pict>
    </w:r>
    <w:r>
      <w:rPr>
        <w:rFonts w:hint="eastAsia" w:ascii="仿宋" w:hAnsi="仿宋" w:eastAsia="仿宋" w:cs="仿宋"/>
        <w:b/>
        <w:bCs/>
        <w:sz w:val="18"/>
        <w:szCs w:val="18"/>
        <w:u w:val="single"/>
      </w:rPr>
      <w:t>华招广和项目管理有限公司      地 址：西安市朱雀大街南段1号汇成天玺C座18层     电 话：029-85566819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280" w:lineRule="exact"/>
      <w:ind w:left="360" w:hanging="360" w:hangingChars="200"/>
      <w:jc w:val="center"/>
    </w:pPr>
    <w:r>
      <w:rPr>
        <w:sz w:val="18"/>
      </w:rPr>
      <w:pict>
        <v:shape id="_x0000_s2066" o:spid="_x0000_s2066" o:spt="202" type="#_x0000_t202" style="position:absolute;left:0pt;margin-left:186.15pt;margin-top:18.75pt;height:144pt;width:144pt;mso-position-horizontal-relative:margin;mso-wrap-style:none;z-index:251676672;mso-width-relative:page;mso-height-relative:page;" filled="f" stroked="f" coordsize="21600,21600">
          <v:path/>
          <v:fill on="f" focussize="0,0"/>
          <v:stroke on="f" joinstyle="miter"/>
          <v:imagedata o:title=""/>
          <o:lock v:ext="edit"/>
          <v:textbox inset="0mm,0mm,0mm,0mm" style="mso-fit-shape-to-text:t;">
            <w:txbxContent>
              <w:p>
                <w:pPr>
                  <w:pStyle w:val="14"/>
                </w:pPr>
                <w:r>
                  <w:t xml:space="preserve">第 </w:t>
                </w:r>
                <w:r>
                  <w:fldChar w:fldCharType="begin"/>
                </w:r>
                <w:r>
                  <w:instrText xml:space="preserve"> PAGE  \* MERGEFORMAT </w:instrText>
                </w:r>
                <w:r>
                  <w:fldChar w:fldCharType="separate"/>
                </w:r>
                <w:r>
                  <w:t>132</w:t>
                </w:r>
                <w:r>
                  <w:fldChar w:fldCharType="end"/>
                </w:r>
                <w:r>
                  <w:t xml:space="preserve"> 页 共 </w:t>
                </w:r>
                <w:r>
                  <w:fldChar w:fldCharType="begin"/>
                </w:r>
                <w:r>
                  <w:instrText xml:space="preserve"> NUMPAGES  \* MERGEFORMAT </w:instrText>
                </w:r>
                <w:r>
                  <w:fldChar w:fldCharType="separate"/>
                </w:r>
                <w:r>
                  <w:t>147</w:t>
                </w:r>
                <w:r>
                  <w:fldChar w:fldCharType="end"/>
                </w:r>
                <w:r>
                  <w:t xml:space="preserve"> 页</w:t>
                </w:r>
              </w:p>
            </w:txbxContent>
          </v:textbox>
        </v:shape>
      </w:pict>
    </w:r>
    <w:r>
      <w:rPr>
        <w:rFonts w:hint="eastAsia" w:ascii="仿宋" w:hAnsi="仿宋" w:eastAsia="仿宋" w:cs="仿宋"/>
        <w:b/>
        <w:sz w:val="18"/>
        <w:szCs w:val="18"/>
        <w:u w:val="single"/>
      </w:rPr>
      <w:t>华招广和项目管理有限公司  地 址：西安市朱雀大街南段1号汇成天玺C座18层   电 话029-85566819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280" w:lineRule="exact"/>
      <w:ind w:left="360" w:hanging="360" w:hangingChars="200"/>
      <w:jc w:val="center"/>
    </w:pPr>
    <w:r>
      <w:rPr>
        <w:sz w:val="18"/>
      </w:rPr>
      <w:pict>
        <v:shape id="_x0000_s2067" o:spid="_x0000_s2067" o:spt="202" type="#_x0000_t202" style="position:absolute;left:0pt;margin-left:182.4pt;margin-top:20.6pt;height:144pt;width:144pt;mso-position-horizontal-relative:margin;mso-wrap-style:none;z-index:251677696;mso-width-relative:page;mso-height-relative:page;" filled="f" stroked="f" coordsize="21600,21600">
          <v:path/>
          <v:fill on="f" focussize="0,0"/>
          <v:stroke on="f" joinstyle="miter"/>
          <v:imagedata o:title=""/>
          <o:lock v:ext="edit"/>
          <v:textbox inset="0mm,0mm,0mm,0mm" style="mso-fit-shape-to-text:t;">
            <w:txbxContent>
              <w:p>
                <w:pPr>
                  <w:pStyle w:val="14"/>
                </w:pPr>
                <w:r>
                  <w:t xml:space="preserve">第 </w:t>
                </w:r>
                <w:r>
                  <w:fldChar w:fldCharType="begin"/>
                </w:r>
                <w:r>
                  <w:instrText xml:space="preserve"> PAGE  \* MERGEFORMAT </w:instrText>
                </w:r>
                <w:r>
                  <w:fldChar w:fldCharType="separate"/>
                </w:r>
                <w:r>
                  <w:t>137</w:t>
                </w:r>
                <w:r>
                  <w:fldChar w:fldCharType="end"/>
                </w:r>
                <w:r>
                  <w:t xml:space="preserve"> 页 共 </w:t>
                </w:r>
                <w:r>
                  <w:fldChar w:fldCharType="begin"/>
                </w:r>
                <w:r>
                  <w:instrText xml:space="preserve"> NUMPAGES  \* MERGEFORMAT </w:instrText>
                </w:r>
                <w:r>
                  <w:fldChar w:fldCharType="separate"/>
                </w:r>
                <w:r>
                  <w:t>147</w:t>
                </w:r>
                <w:r>
                  <w:fldChar w:fldCharType="end"/>
                </w:r>
                <w:r>
                  <w:t xml:space="preserve"> 页</w:t>
                </w:r>
              </w:p>
            </w:txbxContent>
          </v:textbox>
        </v:shape>
      </w:pict>
    </w:r>
    <w:r>
      <w:rPr>
        <w:rFonts w:hint="eastAsia" w:ascii="仿宋" w:hAnsi="仿宋" w:eastAsia="仿宋" w:cs="仿宋"/>
        <w:b/>
        <w:sz w:val="18"/>
        <w:szCs w:val="18"/>
        <w:u w:val="single"/>
      </w:rPr>
      <w:t>华招广和项目管理有限公司  地 址：西安市朱雀大街南段1号汇成天玺C座18层   电 话029-85566819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280" w:lineRule="exact"/>
      <w:ind w:left="361" w:hanging="361" w:hangingChars="200"/>
      <w:jc w:val="center"/>
      <w:rPr>
        <w:rFonts w:ascii="仿宋" w:hAnsi="仿宋" w:eastAsia="仿宋" w:cs="仿宋"/>
        <w:b/>
        <w:sz w:val="18"/>
        <w:szCs w:val="18"/>
        <w:u w:val="single"/>
      </w:rPr>
    </w:pPr>
    <w:r>
      <w:rPr>
        <w:rFonts w:hint="eastAsia" w:ascii="仿宋" w:hAnsi="仿宋" w:eastAsia="仿宋" w:cs="仿宋"/>
        <w:b/>
        <w:sz w:val="18"/>
        <w:szCs w:val="18"/>
        <w:u w:val="single"/>
      </w:rPr>
      <w:t>华招广和项目管理有限公司  地 址：西安市朱雀大街南段1号汇成天玺C座18层   电 话029-85566819</w:t>
    </w:r>
  </w:p>
  <w:p>
    <w:pPr>
      <w:spacing w:line="280" w:lineRule="exact"/>
      <w:jc w:val="center"/>
      <w:rPr>
        <w:rFonts w:ascii="楷体" w:hAnsi="楷体" w:eastAsia="楷体" w:cs="楷体"/>
        <w:b/>
        <w:sz w:val="18"/>
        <w:szCs w:val="18"/>
      </w:rPr>
    </w:pPr>
    <w:r>
      <w:rPr>
        <w:sz w:val="18"/>
      </w:rPr>
      <w:pict>
        <v:shape id="_x0000_s2058" o:spid="_x0000_s205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pPr>
                  <w:pStyle w:val="14"/>
                </w:pPr>
                <w:r>
                  <w:t xml:space="preserve">第 </w:t>
                </w:r>
                <w:r>
                  <w:fldChar w:fldCharType="begin"/>
                </w:r>
                <w:r>
                  <w:instrText xml:space="preserve"> PAGE  \* MERGEFORMAT </w:instrText>
                </w:r>
                <w:r>
                  <w:fldChar w:fldCharType="separate"/>
                </w:r>
                <w:r>
                  <w:t>134</w:t>
                </w:r>
                <w:r>
                  <w:fldChar w:fldCharType="end"/>
                </w:r>
                <w:r>
                  <w:t xml:space="preserve"> 页 共 </w:t>
                </w:r>
                <w:r>
                  <w:fldChar w:fldCharType="begin"/>
                </w:r>
                <w:r>
                  <w:instrText xml:space="preserve"> NUMPAGES  \* MERGEFORMAT </w:instrText>
                </w:r>
                <w:r>
                  <w:fldChar w:fldCharType="separate"/>
                </w:r>
                <w:r>
                  <w:t>147</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楷体" w:hAnsi="楷体" w:eastAsia="楷体" w:cs="楷体"/>
        <w:b/>
        <w:sz w:val="18"/>
        <w:szCs w:val="18"/>
        <w:u w:val="single"/>
      </w:rPr>
    </w:pPr>
  </w:p>
  <w:p>
    <w:pPr>
      <w:spacing w:line="280" w:lineRule="exact"/>
      <w:rPr>
        <w:rFonts w:ascii="楷体" w:hAnsi="楷体" w:eastAsia="楷体" w:cs="楷体"/>
        <w:b/>
        <w:sz w:val="18"/>
        <w:szCs w:val="18"/>
        <w:u w:val="single"/>
      </w:rPr>
    </w:pPr>
  </w:p>
  <w:p>
    <w:pPr>
      <w:spacing w:line="280" w:lineRule="exact"/>
      <w:rPr>
        <w:rFonts w:ascii="宋体" w:hAnsi="宋体"/>
        <w:b/>
        <w:sz w:val="21"/>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280" w:lineRule="exact"/>
      <w:ind w:left="361" w:hanging="361" w:hangingChars="200"/>
      <w:jc w:val="center"/>
      <w:rPr>
        <w:rFonts w:ascii="仿宋" w:hAnsi="仿宋" w:eastAsia="仿宋" w:cs="仿宋"/>
        <w:b/>
        <w:sz w:val="18"/>
        <w:szCs w:val="18"/>
        <w:u w:val="single"/>
      </w:rPr>
    </w:pPr>
    <w:r>
      <w:rPr>
        <w:rFonts w:hint="eastAsia" w:ascii="仿宋" w:hAnsi="仿宋" w:eastAsia="仿宋" w:cs="仿宋"/>
        <w:b/>
        <w:sz w:val="18"/>
        <w:szCs w:val="18"/>
        <w:u w:val="single"/>
      </w:rPr>
      <w:t>华招广和项目管理有限公司  地 址：西安市朱雀大街南段1号汇成天玺C座18层   电 话029-85566819</w:t>
    </w:r>
  </w:p>
  <w:p>
    <w:pPr>
      <w:spacing w:line="280" w:lineRule="exact"/>
      <w:rPr>
        <w:rFonts w:ascii="宋体" w:hAnsi="宋体"/>
        <w:b/>
        <w:sz w:val="21"/>
        <w:szCs w:val="16"/>
      </w:rPr>
    </w:pPr>
    <w:r>
      <w:rPr>
        <w:sz w:val="18"/>
      </w:rPr>
      <w:pict>
        <v:shape id="_x0000_s2050" o:spid="_x0000_s205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joinstyle="miter"/>
          <v:imagedata o:title=""/>
          <o:lock v:ext="edit"/>
          <v:textbox inset="0mm,0mm,0mm,0mm" style="mso-fit-shape-to-text:t;">
            <w:txbxContent>
              <w:p>
                <w:pPr>
                  <w:pStyle w:val="14"/>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68</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136</w:t>
                </w:r>
                <w:r>
                  <w:rPr>
                    <w:rFonts w:ascii="仿宋" w:hAnsi="仿宋" w:eastAsia="仿宋" w:cs="仿宋"/>
                  </w:rPr>
                  <w:fldChar w:fldCharType="end"/>
                </w:r>
                <w:r>
                  <w:rPr>
                    <w:rFonts w:hint="eastAsia" w:ascii="仿宋" w:hAnsi="仿宋" w:eastAsia="仿宋" w:cs="仿宋"/>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b/>
        <w:sz w:val="18"/>
        <w:szCs w:val="18"/>
      </w:rPr>
    </w:pPr>
  </w:p>
  <w:p>
    <w:pPr>
      <w:spacing w:line="280" w:lineRule="exact"/>
      <w:ind w:left="360" w:hanging="360" w:hangingChars="200"/>
      <w:rPr>
        <w:rFonts w:ascii="楷体" w:hAnsi="楷体" w:eastAsia="楷体" w:cs="楷体"/>
        <w:b/>
        <w:sz w:val="18"/>
        <w:szCs w:val="18"/>
        <w:u w:val="single"/>
      </w:rPr>
    </w:pPr>
    <w:r>
      <w:rPr>
        <w:rFonts w:hint="eastAsia" w:ascii="仿宋" w:hAnsi="仿宋" w:eastAsia="仿宋" w:cs="仿宋"/>
        <w:bCs/>
        <w:sz w:val="18"/>
        <w:szCs w:val="18"/>
        <w:u w:val="single"/>
      </w:rPr>
      <w:t>华招广和项目管理有限公司    地 址：西安市朱雀大街南段1号汇成天玺C座18层     电 话：029-85566819</w:t>
    </w:r>
  </w:p>
  <w:p>
    <w:pPr>
      <w:spacing w:line="280" w:lineRule="exact"/>
      <w:ind w:left="360" w:hanging="360" w:hangingChars="200"/>
      <w:rPr>
        <w:rFonts w:ascii="楷体" w:hAnsi="楷体" w:eastAsia="楷体" w:cs="楷体"/>
        <w:b/>
        <w:sz w:val="18"/>
        <w:szCs w:val="18"/>
        <w:u w:val="single"/>
      </w:rPr>
    </w:pPr>
    <w:r>
      <w:rPr>
        <w:sz w:val="18"/>
      </w:rPr>
      <w:pict>
        <v:shape id="_x0000_s2049" o:spid="_x0000_s204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0.5pt" joinstyle="miter"/>
          <v:imagedata o:title=""/>
          <o:lock v:ext="edit"/>
          <v:textbox inset="0mm,0mm,0mm,0mm" style="mso-fit-shape-to-text:t;">
            <w:txbxContent>
              <w:p>
                <w:pPr>
                  <w:pStyle w:val="14"/>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4</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82</w:t>
                </w:r>
                <w:r>
                  <w:rPr>
                    <w:rFonts w:ascii="仿宋" w:hAnsi="仿宋" w:eastAsia="仿宋" w:cs="仿宋"/>
                  </w:rPr>
                  <w:fldChar w:fldCharType="end"/>
                </w:r>
                <w:r>
                  <w:rPr>
                    <w:rFonts w:hint="eastAsia" w:ascii="仿宋" w:hAnsi="仿宋" w:eastAsia="仿宋" w:cs="仿宋"/>
                  </w:rPr>
                  <w:t xml:space="preserve"> 页</w:t>
                </w:r>
              </w:p>
            </w:txbxContent>
          </v:textbox>
        </v:shape>
      </w:pict>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b/>
        <w:sz w:val="18"/>
        <w:szCs w:val="18"/>
      </w:rPr>
    </w:pPr>
  </w:p>
  <w:p>
    <w:pPr>
      <w:spacing w:line="280" w:lineRule="exact"/>
      <w:ind w:left="400" w:hanging="400" w:hangingChars="200"/>
      <w:jc w:val="center"/>
      <w:rPr>
        <w:rFonts w:ascii="楷体" w:hAnsi="楷体" w:eastAsia="楷体" w:cs="楷体"/>
        <w:b/>
        <w:sz w:val="20"/>
        <w:szCs w:val="20"/>
        <w:u w:val="single"/>
      </w:rPr>
    </w:pPr>
    <w:r>
      <w:rPr>
        <w:rFonts w:hint="eastAsia" w:ascii="仿宋" w:hAnsi="仿宋" w:eastAsia="仿宋" w:cs="仿宋"/>
        <w:bCs/>
        <w:sz w:val="20"/>
        <w:szCs w:val="20"/>
        <w:u w:val="single"/>
      </w:rPr>
      <w:t>华招广和项目管理有限公司 地 址：西安市朱雀大街南段1号汇成天玺C座18层电 话：029-85566819</w:t>
    </w:r>
  </w:p>
  <w:p>
    <w:pPr>
      <w:spacing w:line="280" w:lineRule="exact"/>
      <w:ind w:left="360" w:hanging="360" w:hangingChars="200"/>
      <w:rPr>
        <w:rFonts w:ascii="楷体" w:hAnsi="楷体" w:eastAsia="楷体" w:cs="楷体"/>
        <w:b/>
        <w:sz w:val="18"/>
        <w:szCs w:val="18"/>
        <w:u w:val="single"/>
      </w:rPr>
    </w:pPr>
    <w:r>
      <w:rPr>
        <w:sz w:val="18"/>
      </w:rPr>
      <w:pict>
        <v:shape id="_x0000_s2059" o:spid="_x0000_s2059"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weight="0.5pt" joinstyle="miter"/>
          <v:imagedata o:title=""/>
          <o:lock v:ext="edit"/>
          <v:textbox inset="0mm,0mm,0mm,0mm" style="mso-fit-shape-to-text:t;">
            <w:txbxContent>
              <w:p>
                <w:pPr>
                  <w:pStyle w:val="14"/>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94</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147</w:t>
                </w:r>
                <w:r>
                  <w:rPr>
                    <w:rFonts w:ascii="仿宋" w:hAnsi="仿宋" w:eastAsia="仿宋" w:cs="仿宋"/>
                  </w:rPr>
                  <w:fldChar w:fldCharType="end"/>
                </w:r>
                <w:r>
                  <w:rPr>
                    <w:rFonts w:hint="eastAsia" w:ascii="仿宋" w:hAnsi="仿宋" w:eastAsia="仿宋" w:cs="仿宋"/>
                  </w:rPr>
                  <w:t xml:space="preserve"> 页</w:t>
                </w:r>
              </w:p>
            </w:txbxContent>
          </v:textbox>
        </v:shape>
      </w:pict>
    </w:r>
  </w:p>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b/>
      </w:rPr>
    </w:pPr>
  </w:p>
  <w:p>
    <w:pPr>
      <w:tabs>
        <w:tab w:val="center" w:pos="7063"/>
        <w:tab w:val="left" w:pos="13313"/>
      </w:tabs>
      <w:spacing w:line="280" w:lineRule="exact"/>
      <w:jc w:val="left"/>
      <w:rPr>
        <w:rFonts w:ascii="楷体" w:hAnsi="楷体" w:eastAsia="仿宋" w:cs="楷体"/>
        <w:b/>
        <w:sz w:val="18"/>
        <w:szCs w:val="18"/>
        <w:u w:val="single"/>
      </w:rPr>
    </w:pPr>
    <w:r>
      <w:rPr>
        <w:rFonts w:hint="eastAsia" w:ascii="仿宋" w:hAnsi="仿宋" w:eastAsia="仿宋" w:cs="仿宋"/>
        <w:bCs/>
        <w:sz w:val="18"/>
        <w:szCs w:val="18"/>
        <w:u w:val="single"/>
      </w:rPr>
      <w:tab/>
    </w:r>
    <w:r>
      <w:rPr>
        <w:rFonts w:hint="eastAsia" w:ascii="仿宋" w:hAnsi="仿宋" w:eastAsia="仿宋" w:cs="仿宋"/>
        <w:bCs/>
        <w:sz w:val="18"/>
        <w:szCs w:val="18"/>
        <w:u w:val="single"/>
      </w:rPr>
      <w:t>华招广和项目管理有限公司  地 址：西安市朱雀大街南段1号汇成天玺C座18层        电 话：029-85566819</w:t>
    </w:r>
    <w:r>
      <w:rPr>
        <w:rFonts w:hint="eastAsia" w:ascii="仿宋" w:hAnsi="仿宋" w:eastAsia="仿宋" w:cs="仿宋"/>
        <w:bCs/>
        <w:sz w:val="18"/>
        <w:szCs w:val="18"/>
        <w:u w:val="single"/>
      </w:rPr>
      <w:tab/>
    </w:r>
  </w:p>
  <w:p>
    <w:pPr>
      <w:spacing w:line="280" w:lineRule="exact"/>
      <w:jc w:val="center"/>
      <w:rPr>
        <w:rFonts w:ascii="楷体" w:hAnsi="楷体" w:eastAsia="楷体" w:cs="楷体"/>
        <w:b/>
        <w:sz w:val="18"/>
        <w:szCs w:val="18"/>
        <w:u w:val="single"/>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14"/>
                  <w:rPr>
                    <w:rFonts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118</w:t>
                </w:r>
                <w:r>
                  <w:rPr>
                    <w:rFonts w:hint="eastAsia" w:ascii="仿宋" w:hAnsi="仿宋" w:eastAsia="仿宋" w:cs="仿宋"/>
                  </w:rPr>
                  <w:fldChar w:fldCharType="end"/>
                </w:r>
                <w:r>
                  <w:rPr>
                    <w:rFonts w:hint="eastAsia" w:ascii="仿宋" w:hAnsi="仿宋" w:eastAsia="仿宋" w:cs="仿宋"/>
                  </w:rPr>
                  <w:t xml:space="preserve"> 页 共 </w:t>
                </w:r>
                <w:r>
                  <w:fldChar w:fldCharType="begin"/>
                </w:r>
                <w:r>
                  <w:instrText xml:space="preserve"> NUMPAGES  \* MERGEFORMAT </w:instrText>
                </w:r>
                <w:r>
                  <w:fldChar w:fldCharType="separate"/>
                </w:r>
                <w:r>
                  <w:rPr>
                    <w:rFonts w:ascii="仿宋" w:hAnsi="仿宋" w:eastAsia="仿宋" w:cs="仿宋"/>
                  </w:rPr>
                  <w:t>147</w:t>
                </w:r>
                <w:r>
                  <w:rPr>
                    <w:rFonts w:ascii="仿宋" w:hAnsi="仿宋" w:eastAsia="仿宋" w:cs="仿宋"/>
                  </w:rPr>
                  <w:fldChar w:fldCharType="end"/>
                </w:r>
                <w:r>
                  <w:rPr>
                    <w:rFonts w:hint="eastAsia" w:ascii="仿宋" w:hAnsi="仿宋" w:eastAsia="仿宋" w:cs="仿宋"/>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440" w:lineRule="exact"/>
      <w:jc w:val="left"/>
      <w:rPr>
        <w:rFonts w:ascii="楷体" w:hAnsi="楷体" w:eastAsia="楷体" w:cs="楷体"/>
      </w:rPr>
    </w:pPr>
    <w:r>
      <w:rPr>
        <w:rFonts w:hint="eastAsia" w:ascii="仿宋" w:hAnsi="仿宋" w:eastAsia="仿宋" w:cs="仿宋"/>
        <w:bCs/>
        <w:u w:val="single"/>
      </w:rPr>
      <w:t xml:space="preserve">高清设备改造项目                                公开招标文件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ascii="仿宋" w:hAnsi="仿宋" w:eastAsia="仿宋" w:cs="仿宋"/>
        <w:b/>
      </w:rPr>
      <w:t xml:space="preserve">高清设备改造                        </w:t>
    </w:r>
    <w:r>
      <w:rPr>
        <w:rFonts w:hint="eastAsia" w:ascii="仿宋" w:hAnsi="仿宋" w:eastAsia="仿宋" w:cs="仿宋"/>
        <w:b/>
        <w:lang w:val="en-US" w:eastAsia="zh-CN"/>
      </w:rPr>
      <w:t xml:space="preserve">                                                  </w:t>
    </w:r>
    <w:r>
      <w:rPr>
        <w:rFonts w:hint="eastAsia" w:ascii="仿宋" w:hAnsi="仿宋" w:eastAsia="仿宋" w:cs="仿宋"/>
        <w:b/>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b/>
      </w:rPr>
    </w:pPr>
    <w:r>
      <w:rPr>
        <w:rFonts w:hint="eastAsia" w:ascii="仿宋" w:hAnsi="仿宋" w:eastAsia="仿宋" w:cs="仿宋"/>
        <w:b/>
      </w:rPr>
      <w:t xml:space="preserve">高清设备改造项目                        公开招标文件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sz w:val="16"/>
        <w:szCs w:val="16"/>
      </w:rPr>
    </w:pPr>
    <w:r>
      <w:rPr>
        <w:rFonts w:hint="eastAsia" w:ascii="仿宋" w:hAnsi="仿宋" w:eastAsia="仿宋" w:cs="仿宋"/>
        <w:b/>
        <w:sz w:val="18"/>
        <w:szCs w:val="18"/>
      </w:rPr>
      <w:t xml:space="preserve">高清设备改造                   </w:t>
    </w:r>
    <w:r>
      <w:rPr>
        <w:rFonts w:hint="eastAsia" w:ascii="仿宋" w:hAnsi="仿宋" w:eastAsia="仿宋" w:cs="仿宋"/>
        <w:b/>
        <w:sz w:val="18"/>
        <w:szCs w:val="18"/>
        <w:lang w:val="en-US" w:eastAsia="zh-CN"/>
      </w:rPr>
      <w:t xml:space="preserve">                                                        </w:t>
    </w:r>
    <w:r>
      <w:rPr>
        <w:rFonts w:hint="eastAsia" w:ascii="仿宋" w:hAnsi="仿宋" w:eastAsia="仿宋" w:cs="仿宋"/>
        <w:b/>
        <w:sz w:val="18"/>
        <w:szCs w:val="18"/>
      </w:rPr>
      <w:t xml:space="preserve">公开招标文件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480" w:lineRule="exact"/>
      <w:jc w:val="both"/>
      <w:rPr>
        <w:b/>
        <w:bCs w:val="0"/>
      </w:rPr>
    </w:pPr>
    <w:r>
      <w:rPr>
        <w:rFonts w:hint="eastAsia" w:ascii="仿宋" w:hAnsi="仿宋" w:eastAsia="仿宋" w:cs="仿宋"/>
        <w:b/>
        <w:bCs w:val="0"/>
        <w:u w:val="single"/>
      </w:rPr>
      <w:t>高清设备改造</w:t>
    </w:r>
    <w:r>
      <w:rPr>
        <w:rFonts w:hint="eastAsia" w:ascii="仿宋" w:hAnsi="仿宋" w:eastAsia="仿宋" w:cs="仿宋"/>
        <w:b/>
        <w:bCs w:val="0"/>
        <w:u w:val="single"/>
        <w:lang w:val="en-US" w:eastAsia="zh-CN"/>
      </w:rPr>
      <w:t xml:space="preserve">                                                               </w:t>
    </w:r>
    <w:r>
      <w:rPr>
        <w:rFonts w:hint="eastAsia" w:ascii="仿宋" w:hAnsi="仿宋" w:eastAsia="仿宋" w:cs="仿宋"/>
        <w:b/>
        <w:bCs w:val="0"/>
        <w:u w:val="single"/>
      </w:rPr>
      <w:t xml:space="preserve">   </w:t>
    </w:r>
    <w:r>
      <w:rPr>
        <w:rFonts w:hint="eastAsia" w:ascii="仿宋" w:hAnsi="仿宋" w:eastAsia="仿宋" w:cs="仿宋"/>
        <w:b/>
        <w:bCs w:val="0"/>
        <w:u w:val="single"/>
        <w:lang w:val="en-US" w:eastAsia="zh-CN"/>
      </w:rPr>
      <w:t xml:space="preserve">         </w:t>
    </w:r>
    <w:r>
      <w:rPr>
        <w:rFonts w:hint="eastAsia" w:ascii="仿宋" w:hAnsi="仿宋" w:eastAsia="仿宋" w:cs="仿宋"/>
        <w:b/>
        <w:bCs w:val="0"/>
        <w:u w:val="single"/>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440" w:lineRule="exact"/>
      <w:jc w:val="both"/>
      <w:rPr>
        <w:rFonts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440" w:lineRule="exact"/>
      <w:jc w:val="both"/>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440" w:lineRule="exact"/>
      <w:jc w:val="left"/>
      <w:rPr>
        <w:rFonts w:ascii="楷体" w:hAnsi="楷体" w:eastAsia="楷体" w:cs="楷体"/>
        <w:b/>
        <w:sz w:val="20"/>
        <w:szCs w:val="20"/>
      </w:rPr>
    </w:pPr>
    <w:r>
      <w:rPr>
        <w:rFonts w:hint="eastAsia" w:ascii="仿宋" w:hAnsi="仿宋" w:eastAsia="仿宋" w:cs="仿宋"/>
        <w:b/>
        <w:sz w:val="18"/>
        <w:szCs w:val="18"/>
        <w:u w:val="single"/>
      </w:rPr>
      <w:t xml:space="preserve">高清设备改造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公开招标文件 </w:t>
    </w:r>
    <w:r>
      <w:rPr>
        <w:rFonts w:hint="eastAsia" w:ascii="仿宋" w:hAnsi="仿宋" w:eastAsia="仿宋" w:cs="仿宋"/>
        <w:b/>
        <w:sz w:val="20"/>
        <w:szCs w:val="20"/>
        <w:u w:val="single"/>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440" w:lineRule="exact"/>
      <w:jc w:val="left"/>
      <w:rPr>
        <w:rFonts w:ascii="宋体" w:hAnsi="宋体" w:eastAsia="楷体"/>
        <w:b/>
        <w:u w:val="single"/>
      </w:rPr>
    </w:pPr>
    <w:r>
      <w:rPr>
        <w:rFonts w:hint="eastAsia" w:ascii="仿宋" w:hAnsi="仿宋" w:eastAsia="仿宋" w:cs="仿宋"/>
        <w:b/>
        <w:u w:val="single"/>
      </w:rPr>
      <w:t xml:space="preserve">高清设备改造项目                                                     公开招标文件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480" w:lineRule="exact"/>
      <w:jc w:val="both"/>
      <w:rPr>
        <w:rFonts w:ascii="楷体" w:hAnsi="楷体" w:eastAsia="楷体" w:cs="楷体"/>
      </w:rPr>
    </w:pPr>
    <w:r>
      <w:rPr>
        <w:rFonts w:hint="eastAsia" w:ascii="仿宋" w:hAnsi="仿宋" w:eastAsia="仿宋" w:cs="仿宋"/>
        <w:b/>
      </w:rPr>
      <w:t>高清设备改造项目公开招标文件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ascii="仿宋" w:hAnsi="仿宋" w:eastAsia="仿宋" w:cs="仿宋"/>
        <w:b/>
      </w:rPr>
      <w:t xml:space="preserve">高清设备改造项目                                                                    公开招标文件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ascii="仿宋" w:hAnsi="仿宋" w:eastAsia="仿宋" w:cs="仿宋"/>
        <w:b/>
        <w:sz w:val="20"/>
        <w:szCs w:val="20"/>
      </w:rPr>
      <w:t xml:space="preserve">高清设备改造项目                  </w:t>
    </w:r>
    <w:r>
      <w:rPr>
        <w:rFonts w:hint="eastAsia" w:ascii="仿宋" w:hAnsi="仿宋" w:eastAsia="仿宋" w:cs="仿宋"/>
        <w:b/>
        <w:sz w:val="20"/>
        <w:szCs w:val="20"/>
        <w:lang w:val="en-US" w:eastAsia="zh-CN"/>
      </w:rPr>
      <w:t xml:space="preserve">                                         </w:t>
    </w:r>
    <w:r>
      <w:rPr>
        <w:rFonts w:hint="eastAsia" w:ascii="仿宋" w:hAnsi="仿宋" w:eastAsia="仿宋" w:cs="仿宋"/>
        <w:b/>
        <w:sz w:val="20"/>
        <w:szCs w:val="20"/>
      </w:rPr>
      <w:t xml:space="preserve"> 公开招标文件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3313B"/>
    <w:multiLevelType w:val="singleLevel"/>
    <w:tmpl w:val="8E53313B"/>
    <w:lvl w:ilvl="0" w:tentative="0">
      <w:start w:val="1"/>
      <w:numFmt w:val="decimal"/>
      <w:lvlText w:val="(%1)"/>
      <w:lvlJc w:val="left"/>
      <w:pPr>
        <w:ind w:left="425" w:hanging="425"/>
      </w:pPr>
      <w:rPr>
        <w:rFonts w:hint="default"/>
      </w:rPr>
    </w:lvl>
  </w:abstractNum>
  <w:abstractNum w:abstractNumId="1">
    <w:nsid w:val="B43C1E05"/>
    <w:multiLevelType w:val="singleLevel"/>
    <w:tmpl w:val="B43C1E05"/>
    <w:lvl w:ilvl="0" w:tentative="0">
      <w:start w:val="1"/>
      <w:numFmt w:val="decimal"/>
      <w:suff w:val="nothing"/>
      <w:lvlText w:val="（%1）"/>
      <w:lvlJc w:val="left"/>
    </w:lvl>
  </w:abstractNum>
  <w:abstractNum w:abstractNumId="2">
    <w:nsid w:val="F8DC9CD1"/>
    <w:multiLevelType w:val="singleLevel"/>
    <w:tmpl w:val="F8DC9CD1"/>
    <w:lvl w:ilvl="0" w:tentative="0">
      <w:start w:val="6"/>
      <w:numFmt w:val="chineseCounting"/>
      <w:suff w:val="space"/>
      <w:lvlText w:val="第%1章"/>
      <w:lvlJc w:val="left"/>
      <w:rPr>
        <w:rFonts w:hint="eastAsia"/>
      </w:rPr>
    </w:lvl>
  </w:abstractNum>
  <w:abstractNum w:abstractNumId="3">
    <w:nsid w:val="00000008"/>
    <w:multiLevelType w:val="singleLevel"/>
    <w:tmpl w:val="00000008"/>
    <w:lvl w:ilvl="0" w:tentative="0">
      <w:start w:val="3"/>
      <w:numFmt w:val="chineseCounting"/>
      <w:suff w:val="nothing"/>
      <w:lvlText w:val="（%1）"/>
      <w:lvlJc w:val="left"/>
    </w:lvl>
  </w:abstractNum>
  <w:abstractNum w:abstractNumId="4">
    <w:nsid w:val="0000000B"/>
    <w:multiLevelType w:val="multilevel"/>
    <w:tmpl w:val="0000000B"/>
    <w:lvl w:ilvl="0" w:tentative="0">
      <w:start w:val="1"/>
      <w:numFmt w:val="decimal"/>
      <w:lvlText w:val="%1)"/>
      <w:lvlJc w:val="left"/>
      <w:pPr>
        <w:tabs>
          <w:tab w:val="left" w:pos="660"/>
        </w:tabs>
        <w:ind w:left="660" w:hanging="420"/>
      </w:pPr>
    </w:lvl>
    <w:lvl w:ilvl="1" w:tentative="0">
      <w:start w:val="1"/>
      <w:numFmt w:val="decimal"/>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5">
    <w:nsid w:val="0000000E"/>
    <w:multiLevelType w:val="singleLevel"/>
    <w:tmpl w:val="0000000E"/>
    <w:lvl w:ilvl="0" w:tentative="0">
      <w:start w:val="2"/>
      <w:numFmt w:val="decimal"/>
      <w:suff w:val="nothing"/>
      <w:lvlText w:val="%1）"/>
      <w:lvlJc w:val="left"/>
    </w:lvl>
  </w:abstractNum>
  <w:abstractNum w:abstractNumId="6">
    <w:nsid w:val="00000014"/>
    <w:multiLevelType w:val="multilevel"/>
    <w:tmpl w:val="00000014"/>
    <w:lvl w:ilvl="0" w:tentative="0">
      <w:start w:val="1"/>
      <w:numFmt w:val="decimal"/>
      <w:lvlText w:val="%1."/>
      <w:lvlJc w:val="left"/>
      <w:pPr>
        <w:tabs>
          <w:tab w:val="left" w:pos="900"/>
        </w:tabs>
        <w:ind w:left="900" w:hanging="420"/>
      </w:pPr>
      <w:rPr>
        <w:rFonts w:hint="default"/>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7">
    <w:nsid w:val="01041D89"/>
    <w:multiLevelType w:val="singleLevel"/>
    <w:tmpl w:val="01041D89"/>
    <w:lvl w:ilvl="0" w:tentative="0">
      <w:start w:val="1"/>
      <w:numFmt w:val="chineseCounting"/>
      <w:suff w:val="space"/>
      <w:lvlText w:val="第%1章"/>
      <w:lvlJc w:val="left"/>
      <w:rPr>
        <w:rFonts w:hint="eastAsia"/>
      </w:rPr>
    </w:lvl>
  </w:abstractNum>
  <w:abstractNum w:abstractNumId="8">
    <w:nsid w:val="10F82CD6"/>
    <w:multiLevelType w:val="multilevel"/>
    <w:tmpl w:val="10F82CD6"/>
    <w:lvl w:ilvl="0" w:tentative="0">
      <w:start w:val="1"/>
      <w:numFmt w:val="decimal"/>
      <w:lvlText w:val="%1."/>
      <w:lvlJc w:val="left"/>
      <w:pPr>
        <w:ind w:left="840" w:hanging="420"/>
      </w:pPr>
    </w:lvl>
    <w:lvl w:ilvl="1" w:tentative="0">
      <w:start w:val="1"/>
      <w:numFmt w:val="bullet"/>
      <w:lvlText w:val=""/>
      <w:lvlJc w:val="left"/>
      <w:pPr>
        <w:ind w:left="1260" w:hanging="420"/>
      </w:pPr>
      <w:rPr>
        <w:rFonts w:hint="default" w:ascii="Wingdings" w:hAnsi="Wingding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45C3C4D"/>
    <w:multiLevelType w:val="multilevel"/>
    <w:tmpl w:val="145C3C4D"/>
    <w:lvl w:ilvl="0" w:tentative="0">
      <w:start w:val="1"/>
      <w:numFmt w:val="decimal"/>
      <w:lvlText w:val="%1)"/>
      <w:lvlJc w:val="left"/>
      <w:pPr>
        <w:tabs>
          <w:tab w:val="left" w:pos="817"/>
        </w:tabs>
        <w:ind w:left="817" w:hanging="420"/>
      </w:pPr>
      <w:rPr>
        <w:rFonts w:hint="default"/>
        <w:b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43493CE"/>
    <w:multiLevelType w:val="multilevel"/>
    <w:tmpl w:val="343493CE"/>
    <w:lvl w:ilvl="0" w:tentative="0">
      <w:start w:val="1"/>
      <w:numFmt w:val="decimal"/>
      <w:lvlText w:val="%1."/>
      <w:lvlJc w:val="left"/>
      <w:pPr>
        <w:ind w:left="840" w:hanging="420"/>
      </w:pPr>
    </w:lvl>
    <w:lvl w:ilvl="1" w:tentative="0">
      <w:start w:val="1"/>
      <w:numFmt w:val="bullet"/>
      <w:lvlText w:val=""/>
      <w:lvlJc w:val="left"/>
      <w:pPr>
        <w:ind w:left="1260" w:hanging="420"/>
      </w:pPr>
      <w:rPr>
        <w:rFonts w:hint="default" w:ascii="Wingdings" w:hAnsi="Wingding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9B0B1A9"/>
    <w:multiLevelType w:val="multilevel"/>
    <w:tmpl w:val="49B0B1A9"/>
    <w:lvl w:ilvl="0" w:tentative="0">
      <w:start w:val="1"/>
      <w:numFmt w:val="decimal"/>
      <w:lvlText w:val="%1."/>
      <w:lvlJc w:val="left"/>
      <w:pPr>
        <w:ind w:left="840" w:hanging="420"/>
      </w:pPr>
    </w:lvl>
    <w:lvl w:ilvl="1" w:tentative="0">
      <w:start w:val="1"/>
      <w:numFmt w:val="bullet"/>
      <w:lvlText w:val=""/>
      <w:lvlJc w:val="left"/>
      <w:pPr>
        <w:ind w:left="1260" w:hanging="420"/>
      </w:pPr>
      <w:rPr>
        <w:rFonts w:hint="default" w:ascii="Wingdings" w:hAnsi="Wingdings"/>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4E4E4A3D"/>
    <w:multiLevelType w:val="multilevel"/>
    <w:tmpl w:val="4E4E4A3D"/>
    <w:lvl w:ilvl="0" w:tentative="0">
      <w:start w:val="1"/>
      <w:numFmt w:val="decimal"/>
      <w:lvlText w:val="%1."/>
      <w:lvlJc w:val="left"/>
      <w:pPr>
        <w:tabs>
          <w:tab w:val="left" w:pos="420"/>
        </w:tabs>
        <w:ind w:left="420" w:hanging="420"/>
      </w:pPr>
    </w:lvl>
    <w:lvl w:ilvl="1" w:tentative="0">
      <w:start w:val="2"/>
      <w:numFmt w:val="decimal"/>
      <w:lvlText w:val="%2、"/>
      <w:lvlJc w:val="left"/>
      <w:pPr>
        <w:tabs>
          <w:tab w:val="left" w:pos="1140"/>
        </w:tabs>
        <w:ind w:left="1140" w:hanging="720"/>
      </w:pPr>
      <w:rPr>
        <w:rFonts w:hint="default"/>
      </w:rPr>
    </w:lvl>
    <w:lvl w:ilvl="2" w:tentative="0">
      <w:start w:val="2"/>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76A36EB"/>
    <w:multiLevelType w:val="singleLevel"/>
    <w:tmpl w:val="576A36EB"/>
    <w:lvl w:ilvl="0" w:tentative="0">
      <w:start w:val="1"/>
      <w:numFmt w:val="decimal"/>
      <w:suff w:val="nothing"/>
      <w:lvlText w:val="（%1）"/>
      <w:lvlJc w:val="left"/>
    </w:lvl>
  </w:abstractNum>
  <w:abstractNum w:abstractNumId="14">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6131D8C7"/>
    <w:multiLevelType w:val="singleLevel"/>
    <w:tmpl w:val="6131D8C7"/>
    <w:lvl w:ilvl="0" w:tentative="0">
      <w:start w:val="3"/>
      <w:numFmt w:val="chineseCounting"/>
      <w:suff w:val="space"/>
      <w:lvlText w:val="第%1章"/>
      <w:lvlJc w:val="left"/>
    </w:lvl>
  </w:abstractNum>
  <w:num w:numId="1">
    <w:abstractNumId w:val="14"/>
  </w:num>
  <w:num w:numId="2">
    <w:abstractNumId w:val="7"/>
  </w:num>
  <w:num w:numId="3">
    <w:abstractNumId w:val="1"/>
  </w:num>
  <w:num w:numId="4">
    <w:abstractNumId w:val="5"/>
  </w:num>
  <w:num w:numId="5">
    <w:abstractNumId w:val="13"/>
  </w:num>
  <w:num w:numId="6">
    <w:abstractNumId w:val="15"/>
  </w:num>
  <w:num w:numId="7">
    <w:abstractNumId w:val="9"/>
  </w:num>
  <w:num w:numId="8">
    <w:abstractNumId w:val="12"/>
  </w:num>
  <w:num w:numId="9">
    <w:abstractNumId w:val="8"/>
  </w:num>
  <w:num w:numId="10">
    <w:abstractNumId w:val="3"/>
  </w:num>
  <w:num w:numId="11">
    <w:abstractNumId w:val="4"/>
  </w:num>
  <w:num w:numId="12">
    <w:abstractNumId w:val="6"/>
  </w:num>
  <w:num w:numId="13">
    <w:abstractNumId w:val="10"/>
  </w:num>
  <w:num w:numId="14">
    <w:abstractNumId w:val="0"/>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ZjNjk4NGYwZjllZWRiMzQxZWYxZjlmYTY0MTI0YTkifQ=="/>
  </w:docVars>
  <w:rsids>
    <w:rsidRoot w:val="00172A27"/>
    <w:rsid w:val="000D1E4A"/>
    <w:rsid w:val="001332BF"/>
    <w:rsid w:val="00172A27"/>
    <w:rsid w:val="00212B6B"/>
    <w:rsid w:val="002B2614"/>
    <w:rsid w:val="002D1185"/>
    <w:rsid w:val="00326A93"/>
    <w:rsid w:val="003F04EF"/>
    <w:rsid w:val="00415775"/>
    <w:rsid w:val="00415DA5"/>
    <w:rsid w:val="004276D9"/>
    <w:rsid w:val="00437251"/>
    <w:rsid w:val="004D4113"/>
    <w:rsid w:val="004F223F"/>
    <w:rsid w:val="0054681D"/>
    <w:rsid w:val="00587AFA"/>
    <w:rsid w:val="00622852"/>
    <w:rsid w:val="006512A4"/>
    <w:rsid w:val="006E4C02"/>
    <w:rsid w:val="007B1225"/>
    <w:rsid w:val="007B30B1"/>
    <w:rsid w:val="008563F8"/>
    <w:rsid w:val="009140CB"/>
    <w:rsid w:val="00A86B23"/>
    <w:rsid w:val="00B24411"/>
    <w:rsid w:val="00B507E4"/>
    <w:rsid w:val="00C66EE4"/>
    <w:rsid w:val="00CA45D3"/>
    <w:rsid w:val="00D04A1F"/>
    <w:rsid w:val="00E84244"/>
    <w:rsid w:val="00F11854"/>
    <w:rsid w:val="00F35AEF"/>
    <w:rsid w:val="01055DED"/>
    <w:rsid w:val="012357C5"/>
    <w:rsid w:val="0124044D"/>
    <w:rsid w:val="012F172C"/>
    <w:rsid w:val="012F2A87"/>
    <w:rsid w:val="01377E18"/>
    <w:rsid w:val="013B4745"/>
    <w:rsid w:val="013F27E7"/>
    <w:rsid w:val="014C0D5E"/>
    <w:rsid w:val="01523E16"/>
    <w:rsid w:val="015509EB"/>
    <w:rsid w:val="016D5D6E"/>
    <w:rsid w:val="01770D23"/>
    <w:rsid w:val="01792237"/>
    <w:rsid w:val="017C0051"/>
    <w:rsid w:val="017D4B6D"/>
    <w:rsid w:val="018B4AD5"/>
    <w:rsid w:val="01A9549C"/>
    <w:rsid w:val="01B444B0"/>
    <w:rsid w:val="01B93012"/>
    <w:rsid w:val="01CA3F1A"/>
    <w:rsid w:val="01D17056"/>
    <w:rsid w:val="01DC0309"/>
    <w:rsid w:val="01E07E04"/>
    <w:rsid w:val="01E72F16"/>
    <w:rsid w:val="01F6245E"/>
    <w:rsid w:val="020B2B51"/>
    <w:rsid w:val="022C51CF"/>
    <w:rsid w:val="023D0CA8"/>
    <w:rsid w:val="0272187E"/>
    <w:rsid w:val="0273481D"/>
    <w:rsid w:val="027B5DA6"/>
    <w:rsid w:val="028E56AC"/>
    <w:rsid w:val="029C5C96"/>
    <w:rsid w:val="029D4595"/>
    <w:rsid w:val="029E1D87"/>
    <w:rsid w:val="02C11121"/>
    <w:rsid w:val="02CA10BB"/>
    <w:rsid w:val="02E00A2B"/>
    <w:rsid w:val="02E24518"/>
    <w:rsid w:val="02EA5B34"/>
    <w:rsid w:val="02F219E1"/>
    <w:rsid w:val="02FE10CF"/>
    <w:rsid w:val="03092897"/>
    <w:rsid w:val="03114ED8"/>
    <w:rsid w:val="031C45A2"/>
    <w:rsid w:val="03226876"/>
    <w:rsid w:val="032822E5"/>
    <w:rsid w:val="032F672A"/>
    <w:rsid w:val="033E3C8D"/>
    <w:rsid w:val="0363799C"/>
    <w:rsid w:val="03666CBA"/>
    <w:rsid w:val="037759DB"/>
    <w:rsid w:val="03804B01"/>
    <w:rsid w:val="03927018"/>
    <w:rsid w:val="03F25C0E"/>
    <w:rsid w:val="0402140E"/>
    <w:rsid w:val="040E606A"/>
    <w:rsid w:val="0413485F"/>
    <w:rsid w:val="042302C3"/>
    <w:rsid w:val="04286C44"/>
    <w:rsid w:val="04681381"/>
    <w:rsid w:val="047000DE"/>
    <w:rsid w:val="048076C9"/>
    <w:rsid w:val="04892B3B"/>
    <w:rsid w:val="04A35E84"/>
    <w:rsid w:val="04EF0188"/>
    <w:rsid w:val="050359C4"/>
    <w:rsid w:val="05145A42"/>
    <w:rsid w:val="05243AD3"/>
    <w:rsid w:val="05244660"/>
    <w:rsid w:val="0544323B"/>
    <w:rsid w:val="055B54AB"/>
    <w:rsid w:val="055F0593"/>
    <w:rsid w:val="057C07ED"/>
    <w:rsid w:val="0582059A"/>
    <w:rsid w:val="05881D5D"/>
    <w:rsid w:val="059A78A9"/>
    <w:rsid w:val="059F6C93"/>
    <w:rsid w:val="05C32147"/>
    <w:rsid w:val="05CC27DB"/>
    <w:rsid w:val="05E12F78"/>
    <w:rsid w:val="05E338DE"/>
    <w:rsid w:val="05E85EDC"/>
    <w:rsid w:val="05EC66C9"/>
    <w:rsid w:val="05EF4934"/>
    <w:rsid w:val="05FB470C"/>
    <w:rsid w:val="06075EFA"/>
    <w:rsid w:val="063B2138"/>
    <w:rsid w:val="06424AAD"/>
    <w:rsid w:val="066702F8"/>
    <w:rsid w:val="06671B17"/>
    <w:rsid w:val="067261DB"/>
    <w:rsid w:val="06730A9B"/>
    <w:rsid w:val="06842B31"/>
    <w:rsid w:val="068968D6"/>
    <w:rsid w:val="068C0996"/>
    <w:rsid w:val="06942BE2"/>
    <w:rsid w:val="069A21EB"/>
    <w:rsid w:val="06AD6D7A"/>
    <w:rsid w:val="06B1749B"/>
    <w:rsid w:val="06B90E07"/>
    <w:rsid w:val="06DB69A0"/>
    <w:rsid w:val="06E174F0"/>
    <w:rsid w:val="073B1519"/>
    <w:rsid w:val="074309B5"/>
    <w:rsid w:val="074D45F0"/>
    <w:rsid w:val="075238C8"/>
    <w:rsid w:val="075409F1"/>
    <w:rsid w:val="07634D60"/>
    <w:rsid w:val="077716F8"/>
    <w:rsid w:val="0784427C"/>
    <w:rsid w:val="079C558D"/>
    <w:rsid w:val="07A86BC0"/>
    <w:rsid w:val="07B06814"/>
    <w:rsid w:val="07B1292F"/>
    <w:rsid w:val="07B83524"/>
    <w:rsid w:val="07ED6184"/>
    <w:rsid w:val="07FF518E"/>
    <w:rsid w:val="081E722F"/>
    <w:rsid w:val="08263A7B"/>
    <w:rsid w:val="08343F08"/>
    <w:rsid w:val="08390C7A"/>
    <w:rsid w:val="084F5E63"/>
    <w:rsid w:val="08591B53"/>
    <w:rsid w:val="087361B7"/>
    <w:rsid w:val="08865858"/>
    <w:rsid w:val="08C40321"/>
    <w:rsid w:val="08C916A1"/>
    <w:rsid w:val="08D93C4A"/>
    <w:rsid w:val="08DF02AB"/>
    <w:rsid w:val="08F62F8E"/>
    <w:rsid w:val="09132E62"/>
    <w:rsid w:val="091A2465"/>
    <w:rsid w:val="092959CA"/>
    <w:rsid w:val="092F3308"/>
    <w:rsid w:val="0952618D"/>
    <w:rsid w:val="096F0401"/>
    <w:rsid w:val="09875E86"/>
    <w:rsid w:val="09917F6C"/>
    <w:rsid w:val="09AF7900"/>
    <w:rsid w:val="09B84246"/>
    <w:rsid w:val="09EE72C6"/>
    <w:rsid w:val="0A0018ED"/>
    <w:rsid w:val="0A0C6A2E"/>
    <w:rsid w:val="0A2817E2"/>
    <w:rsid w:val="0A405FB1"/>
    <w:rsid w:val="0A4B6101"/>
    <w:rsid w:val="0A530AAC"/>
    <w:rsid w:val="0A5663A8"/>
    <w:rsid w:val="0A5D6092"/>
    <w:rsid w:val="0A783EE1"/>
    <w:rsid w:val="0A8660B1"/>
    <w:rsid w:val="0A9E5956"/>
    <w:rsid w:val="0AC05AD3"/>
    <w:rsid w:val="0AD66945"/>
    <w:rsid w:val="0ADE612F"/>
    <w:rsid w:val="0AEE0C79"/>
    <w:rsid w:val="0AF812C0"/>
    <w:rsid w:val="0AFC0079"/>
    <w:rsid w:val="0AFD2C46"/>
    <w:rsid w:val="0B1434B9"/>
    <w:rsid w:val="0B1801AC"/>
    <w:rsid w:val="0B295D9A"/>
    <w:rsid w:val="0B297899"/>
    <w:rsid w:val="0B394155"/>
    <w:rsid w:val="0B3B7FFF"/>
    <w:rsid w:val="0B8D1D0D"/>
    <w:rsid w:val="0BC065FD"/>
    <w:rsid w:val="0BC742BD"/>
    <w:rsid w:val="0BD42F9A"/>
    <w:rsid w:val="0BF7122A"/>
    <w:rsid w:val="0BF76B33"/>
    <w:rsid w:val="0C1B324A"/>
    <w:rsid w:val="0C2A4A9B"/>
    <w:rsid w:val="0C2C5130"/>
    <w:rsid w:val="0C394E6F"/>
    <w:rsid w:val="0C7C3AF1"/>
    <w:rsid w:val="0C7F7B3F"/>
    <w:rsid w:val="0C8D0FFD"/>
    <w:rsid w:val="0C942762"/>
    <w:rsid w:val="0C9F35C5"/>
    <w:rsid w:val="0CA34C15"/>
    <w:rsid w:val="0CB02C73"/>
    <w:rsid w:val="0CB4444F"/>
    <w:rsid w:val="0CB76658"/>
    <w:rsid w:val="0CCA7874"/>
    <w:rsid w:val="0CCE1649"/>
    <w:rsid w:val="0CD143AE"/>
    <w:rsid w:val="0CD35D61"/>
    <w:rsid w:val="0CDD25B5"/>
    <w:rsid w:val="0CFD5D54"/>
    <w:rsid w:val="0D0509C0"/>
    <w:rsid w:val="0D0A04D3"/>
    <w:rsid w:val="0D141443"/>
    <w:rsid w:val="0D2A3412"/>
    <w:rsid w:val="0D3C343A"/>
    <w:rsid w:val="0D68320E"/>
    <w:rsid w:val="0D6F3E84"/>
    <w:rsid w:val="0D7414F9"/>
    <w:rsid w:val="0D7504FF"/>
    <w:rsid w:val="0D7541CB"/>
    <w:rsid w:val="0D771362"/>
    <w:rsid w:val="0D7B584C"/>
    <w:rsid w:val="0D971B21"/>
    <w:rsid w:val="0DC066B8"/>
    <w:rsid w:val="0DDC6F83"/>
    <w:rsid w:val="0DF37BA7"/>
    <w:rsid w:val="0E035AFD"/>
    <w:rsid w:val="0E0368CC"/>
    <w:rsid w:val="0E0C77C9"/>
    <w:rsid w:val="0E1C5299"/>
    <w:rsid w:val="0E492B32"/>
    <w:rsid w:val="0E50645E"/>
    <w:rsid w:val="0E516D66"/>
    <w:rsid w:val="0E56494C"/>
    <w:rsid w:val="0E613CA6"/>
    <w:rsid w:val="0E687109"/>
    <w:rsid w:val="0EAE1199"/>
    <w:rsid w:val="0EC45296"/>
    <w:rsid w:val="0ECD1414"/>
    <w:rsid w:val="0ED717DB"/>
    <w:rsid w:val="0ED767A3"/>
    <w:rsid w:val="0EDC0DEC"/>
    <w:rsid w:val="0F032FD0"/>
    <w:rsid w:val="0F1C53D9"/>
    <w:rsid w:val="0F22324D"/>
    <w:rsid w:val="0F3B7A08"/>
    <w:rsid w:val="0F473211"/>
    <w:rsid w:val="0F517930"/>
    <w:rsid w:val="0F6E0F54"/>
    <w:rsid w:val="0F730FDF"/>
    <w:rsid w:val="0F851B60"/>
    <w:rsid w:val="0FAB058B"/>
    <w:rsid w:val="0FDD068A"/>
    <w:rsid w:val="0FE42502"/>
    <w:rsid w:val="0FEB3F6C"/>
    <w:rsid w:val="0FF2353C"/>
    <w:rsid w:val="10366258"/>
    <w:rsid w:val="10533972"/>
    <w:rsid w:val="106C4BBB"/>
    <w:rsid w:val="107408FA"/>
    <w:rsid w:val="10871698"/>
    <w:rsid w:val="108D5328"/>
    <w:rsid w:val="10A34A02"/>
    <w:rsid w:val="10BC3591"/>
    <w:rsid w:val="10BE4AFC"/>
    <w:rsid w:val="10BF4AC4"/>
    <w:rsid w:val="10C71E23"/>
    <w:rsid w:val="10E50A2A"/>
    <w:rsid w:val="10E60340"/>
    <w:rsid w:val="10F62C44"/>
    <w:rsid w:val="10F70157"/>
    <w:rsid w:val="11026414"/>
    <w:rsid w:val="11040411"/>
    <w:rsid w:val="11097885"/>
    <w:rsid w:val="11196266"/>
    <w:rsid w:val="112C3F71"/>
    <w:rsid w:val="113863E8"/>
    <w:rsid w:val="11423D95"/>
    <w:rsid w:val="11440F71"/>
    <w:rsid w:val="11625C09"/>
    <w:rsid w:val="11686CB0"/>
    <w:rsid w:val="1194672F"/>
    <w:rsid w:val="11AE5A5C"/>
    <w:rsid w:val="11B22024"/>
    <w:rsid w:val="11E2074A"/>
    <w:rsid w:val="11E410CE"/>
    <w:rsid w:val="11EB0E21"/>
    <w:rsid w:val="12194051"/>
    <w:rsid w:val="12441018"/>
    <w:rsid w:val="12636497"/>
    <w:rsid w:val="12802962"/>
    <w:rsid w:val="12837C26"/>
    <w:rsid w:val="1288628B"/>
    <w:rsid w:val="128F4B3E"/>
    <w:rsid w:val="12931771"/>
    <w:rsid w:val="1297299C"/>
    <w:rsid w:val="129C1085"/>
    <w:rsid w:val="12A24466"/>
    <w:rsid w:val="12AB57C6"/>
    <w:rsid w:val="12B916D9"/>
    <w:rsid w:val="12C62D16"/>
    <w:rsid w:val="12C66E1B"/>
    <w:rsid w:val="12E0108A"/>
    <w:rsid w:val="12E5382D"/>
    <w:rsid w:val="12F72695"/>
    <w:rsid w:val="130C1DB4"/>
    <w:rsid w:val="132E72DF"/>
    <w:rsid w:val="13435AC3"/>
    <w:rsid w:val="13456171"/>
    <w:rsid w:val="137D3F12"/>
    <w:rsid w:val="1381103D"/>
    <w:rsid w:val="13813A05"/>
    <w:rsid w:val="13974ECE"/>
    <w:rsid w:val="13A0181A"/>
    <w:rsid w:val="13A5784A"/>
    <w:rsid w:val="13BA1D03"/>
    <w:rsid w:val="13C52B29"/>
    <w:rsid w:val="13DF4459"/>
    <w:rsid w:val="13FE4229"/>
    <w:rsid w:val="140439B4"/>
    <w:rsid w:val="14090F70"/>
    <w:rsid w:val="140A6FFA"/>
    <w:rsid w:val="14192869"/>
    <w:rsid w:val="142E6F39"/>
    <w:rsid w:val="143A24B3"/>
    <w:rsid w:val="14404038"/>
    <w:rsid w:val="14442427"/>
    <w:rsid w:val="1450503A"/>
    <w:rsid w:val="146107D5"/>
    <w:rsid w:val="146D0D6E"/>
    <w:rsid w:val="148467C3"/>
    <w:rsid w:val="14B46A8F"/>
    <w:rsid w:val="14C00317"/>
    <w:rsid w:val="14D07C41"/>
    <w:rsid w:val="14D110EB"/>
    <w:rsid w:val="14E94C0C"/>
    <w:rsid w:val="14EA7F1C"/>
    <w:rsid w:val="14ED2ACB"/>
    <w:rsid w:val="14F345D7"/>
    <w:rsid w:val="14F372D7"/>
    <w:rsid w:val="1506296A"/>
    <w:rsid w:val="151B3FA6"/>
    <w:rsid w:val="15206496"/>
    <w:rsid w:val="152278DB"/>
    <w:rsid w:val="1529097F"/>
    <w:rsid w:val="15293666"/>
    <w:rsid w:val="154E568E"/>
    <w:rsid w:val="15612E6D"/>
    <w:rsid w:val="157647B4"/>
    <w:rsid w:val="15816A00"/>
    <w:rsid w:val="15883310"/>
    <w:rsid w:val="158F0C46"/>
    <w:rsid w:val="15BB209F"/>
    <w:rsid w:val="15BD216B"/>
    <w:rsid w:val="15DB0CA8"/>
    <w:rsid w:val="15E17FEB"/>
    <w:rsid w:val="15FA64EA"/>
    <w:rsid w:val="161E1E16"/>
    <w:rsid w:val="16357A0B"/>
    <w:rsid w:val="163F4A7E"/>
    <w:rsid w:val="16446C59"/>
    <w:rsid w:val="164C117E"/>
    <w:rsid w:val="16605739"/>
    <w:rsid w:val="167E5D20"/>
    <w:rsid w:val="1688735E"/>
    <w:rsid w:val="1697633D"/>
    <w:rsid w:val="16A9014A"/>
    <w:rsid w:val="16B85F78"/>
    <w:rsid w:val="16C53D60"/>
    <w:rsid w:val="16CB2E16"/>
    <w:rsid w:val="16EE2F79"/>
    <w:rsid w:val="16F4105E"/>
    <w:rsid w:val="16FB5F57"/>
    <w:rsid w:val="17090F66"/>
    <w:rsid w:val="17102234"/>
    <w:rsid w:val="171505C0"/>
    <w:rsid w:val="17162CA4"/>
    <w:rsid w:val="171921EC"/>
    <w:rsid w:val="173338BA"/>
    <w:rsid w:val="173510B8"/>
    <w:rsid w:val="1750478E"/>
    <w:rsid w:val="175301E9"/>
    <w:rsid w:val="17625B4B"/>
    <w:rsid w:val="17646E49"/>
    <w:rsid w:val="176C1469"/>
    <w:rsid w:val="176E561B"/>
    <w:rsid w:val="17AE1FA3"/>
    <w:rsid w:val="17BC0CF5"/>
    <w:rsid w:val="17BE36CE"/>
    <w:rsid w:val="17DE12E7"/>
    <w:rsid w:val="17F20DEB"/>
    <w:rsid w:val="17F6732D"/>
    <w:rsid w:val="18116E71"/>
    <w:rsid w:val="181C111E"/>
    <w:rsid w:val="18275A8E"/>
    <w:rsid w:val="183B5375"/>
    <w:rsid w:val="18513CDE"/>
    <w:rsid w:val="18527BFC"/>
    <w:rsid w:val="185F4462"/>
    <w:rsid w:val="18825D67"/>
    <w:rsid w:val="18826EA4"/>
    <w:rsid w:val="18836302"/>
    <w:rsid w:val="18865395"/>
    <w:rsid w:val="18874B24"/>
    <w:rsid w:val="188A78FE"/>
    <w:rsid w:val="18900317"/>
    <w:rsid w:val="18BA0CCF"/>
    <w:rsid w:val="18CB7939"/>
    <w:rsid w:val="18CE7630"/>
    <w:rsid w:val="18E35026"/>
    <w:rsid w:val="18E51E11"/>
    <w:rsid w:val="18FA4C52"/>
    <w:rsid w:val="190F021E"/>
    <w:rsid w:val="191275CB"/>
    <w:rsid w:val="19177932"/>
    <w:rsid w:val="191D31E8"/>
    <w:rsid w:val="192D1987"/>
    <w:rsid w:val="192D2635"/>
    <w:rsid w:val="19383276"/>
    <w:rsid w:val="1943640C"/>
    <w:rsid w:val="194C6169"/>
    <w:rsid w:val="195C14A3"/>
    <w:rsid w:val="196977F2"/>
    <w:rsid w:val="196C4F56"/>
    <w:rsid w:val="197B498D"/>
    <w:rsid w:val="199C65D8"/>
    <w:rsid w:val="19A93FB3"/>
    <w:rsid w:val="19AD6C6F"/>
    <w:rsid w:val="19B6156E"/>
    <w:rsid w:val="19C169F0"/>
    <w:rsid w:val="19C77D2E"/>
    <w:rsid w:val="19E1220D"/>
    <w:rsid w:val="19E768A4"/>
    <w:rsid w:val="1A053724"/>
    <w:rsid w:val="1A0A2802"/>
    <w:rsid w:val="1A20007A"/>
    <w:rsid w:val="1A2127C9"/>
    <w:rsid w:val="1A3441CE"/>
    <w:rsid w:val="1A3A0D62"/>
    <w:rsid w:val="1A422589"/>
    <w:rsid w:val="1A435612"/>
    <w:rsid w:val="1A4F2F04"/>
    <w:rsid w:val="1A5C3EFC"/>
    <w:rsid w:val="1A655C5C"/>
    <w:rsid w:val="1A74734D"/>
    <w:rsid w:val="1A80467A"/>
    <w:rsid w:val="1A8E2FFB"/>
    <w:rsid w:val="1A9A6CA4"/>
    <w:rsid w:val="1AA014F2"/>
    <w:rsid w:val="1AAE69FD"/>
    <w:rsid w:val="1AE72B08"/>
    <w:rsid w:val="1AFF2903"/>
    <w:rsid w:val="1B060011"/>
    <w:rsid w:val="1B1A6039"/>
    <w:rsid w:val="1B1B4F5A"/>
    <w:rsid w:val="1B503750"/>
    <w:rsid w:val="1B50707D"/>
    <w:rsid w:val="1B525722"/>
    <w:rsid w:val="1B730FBA"/>
    <w:rsid w:val="1B781C93"/>
    <w:rsid w:val="1B87230D"/>
    <w:rsid w:val="1BA33337"/>
    <w:rsid w:val="1BBB35A3"/>
    <w:rsid w:val="1BBD281B"/>
    <w:rsid w:val="1BE0539F"/>
    <w:rsid w:val="1BEA36C9"/>
    <w:rsid w:val="1C152E24"/>
    <w:rsid w:val="1C1B7095"/>
    <w:rsid w:val="1C2D5F08"/>
    <w:rsid w:val="1C316C17"/>
    <w:rsid w:val="1C331FB5"/>
    <w:rsid w:val="1C372579"/>
    <w:rsid w:val="1C383C46"/>
    <w:rsid w:val="1C4673D1"/>
    <w:rsid w:val="1C632A91"/>
    <w:rsid w:val="1C745FAB"/>
    <w:rsid w:val="1C817A29"/>
    <w:rsid w:val="1C865987"/>
    <w:rsid w:val="1CBD25FA"/>
    <w:rsid w:val="1CBD2F9B"/>
    <w:rsid w:val="1CBF3D37"/>
    <w:rsid w:val="1CC50AA2"/>
    <w:rsid w:val="1CC542FF"/>
    <w:rsid w:val="1CCD1B66"/>
    <w:rsid w:val="1CDC25B0"/>
    <w:rsid w:val="1CF562EB"/>
    <w:rsid w:val="1CF9709D"/>
    <w:rsid w:val="1D0F6716"/>
    <w:rsid w:val="1D172126"/>
    <w:rsid w:val="1D337C17"/>
    <w:rsid w:val="1D3A4269"/>
    <w:rsid w:val="1D58544F"/>
    <w:rsid w:val="1D61602F"/>
    <w:rsid w:val="1D7157E9"/>
    <w:rsid w:val="1D9474D1"/>
    <w:rsid w:val="1DA60DBD"/>
    <w:rsid w:val="1DA975B6"/>
    <w:rsid w:val="1DB45E8F"/>
    <w:rsid w:val="1DD161C7"/>
    <w:rsid w:val="1DDF4275"/>
    <w:rsid w:val="1DFC4345"/>
    <w:rsid w:val="1E290DC9"/>
    <w:rsid w:val="1E2C5F17"/>
    <w:rsid w:val="1E4A0464"/>
    <w:rsid w:val="1E4F6E0B"/>
    <w:rsid w:val="1E5A2FDA"/>
    <w:rsid w:val="1E5C4B51"/>
    <w:rsid w:val="1E6964CA"/>
    <w:rsid w:val="1E6C435F"/>
    <w:rsid w:val="1E7237CC"/>
    <w:rsid w:val="1E80551E"/>
    <w:rsid w:val="1E867E3E"/>
    <w:rsid w:val="1EA74D18"/>
    <w:rsid w:val="1EAA4AFF"/>
    <w:rsid w:val="1EAF2557"/>
    <w:rsid w:val="1EB06311"/>
    <w:rsid w:val="1EC60C39"/>
    <w:rsid w:val="1ED01E7C"/>
    <w:rsid w:val="1ED11AC5"/>
    <w:rsid w:val="1ED3701A"/>
    <w:rsid w:val="1ED400B8"/>
    <w:rsid w:val="1ED40BEC"/>
    <w:rsid w:val="1EE12E22"/>
    <w:rsid w:val="1EF601FB"/>
    <w:rsid w:val="1F0266B7"/>
    <w:rsid w:val="1F097C64"/>
    <w:rsid w:val="1F1B7BE1"/>
    <w:rsid w:val="1F554D19"/>
    <w:rsid w:val="1F6223AD"/>
    <w:rsid w:val="1FA37E2C"/>
    <w:rsid w:val="1FD3721C"/>
    <w:rsid w:val="1FDA5EC4"/>
    <w:rsid w:val="1FEA44CB"/>
    <w:rsid w:val="1FF752B6"/>
    <w:rsid w:val="1FFB7F79"/>
    <w:rsid w:val="1FFD1DA0"/>
    <w:rsid w:val="201D7676"/>
    <w:rsid w:val="202B1E56"/>
    <w:rsid w:val="203B5D40"/>
    <w:rsid w:val="20520BA1"/>
    <w:rsid w:val="20525340"/>
    <w:rsid w:val="20731008"/>
    <w:rsid w:val="20A7794A"/>
    <w:rsid w:val="20CC5161"/>
    <w:rsid w:val="20DD65CC"/>
    <w:rsid w:val="20DF14B0"/>
    <w:rsid w:val="20EC3370"/>
    <w:rsid w:val="20F81C87"/>
    <w:rsid w:val="2107732F"/>
    <w:rsid w:val="212479FC"/>
    <w:rsid w:val="2125239E"/>
    <w:rsid w:val="213071C1"/>
    <w:rsid w:val="213345E1"/>
    <w:rsid w:val="217E72AA"/>
    <w:rsid w:val="21A470C7"/>
    <w:rsid w:val="21A5220F"/>
    <w:rsid w:val="21A76E86"/>
    <w:rsid w:val="21A9409D"/>
    <w:rsid w:val="21C90368"/>
    <w:rsid w:val="21C93E43"/>
    <w:rsid w:val="21D9248D"/>
    <w:rsid w:val="21ED33E6"/>
    <w:rsid w:val="21FB7029"/>
    <w:rsid w:val="220C2809"/>
    <w:rsid w:val="22151983"/>
    <w:rsid w:val="221F065E"/>
    <w:rsid w:val="2238284E"/>
    <w:rsid w:val="224D5266"/>
    <w:rsid w:val="22631FB1"/>
    <w:rsid w:val="226B006C"/>
    <w:rsid w:val="227C2CCE"/>
    <w:rsid w:val="228C7A05"/>
    <w:rsid w:val="22972603"/>
    <w:rsid w:val="22A420D9"/>
    <w:rsid w:val="22AB2F38"/>
    <w:rsid w:val="22AE02AF"/>
    <w:rsid w:val="22BB79DA"/>
    <w:rsid w:val="22C30BD7"/>
    <w:rsid w:val="22CA31C9"/>
    <w:rsid w:val="22D06515"/>
    <w:rsid w:val="22D5669C"/>
    <w:rsid w:val="22DD7278"/>
    <w:rsid w:val="22EB2228"/>
    <w:rsid w:val="23371C43"/>
    <w:rsid w:val="233D6F48"/>
    <w:rsid w:val="234D186E"/>
    <w:rsid w:val="235360D7"/>
    <w:rsid w:val="235D306F"/>
    <w:rsid w:val="2362550E"/>
    <w:rsid w:val="2374115A"/>
    <w:rsid w:val="23865F50"/>
    <w:rsid w:val="238E2AF8"/>
    <w:rsid w:val="23B221C1"/>
    <w:rsid w:val="23B501F5"/>
    <w:rsid w:val="23B77F19"/>
    <w:rsid w:val="23B94AAA"/>
    <w:rsid w:val="23CB1C0B"/>
    <w:rsid w:val="23E87193"/>
    <w:rsid w:val="240406AE"/>
    <w:rsid w:val="24060E09"/>
    <w:rsid w:val="240E33FD"/>
    <w:rsid w:val="24173B5E"/>
    <w:rsid w:val="242D1523"/>
    <w:rsid w:val="24350B84"/>
    <w:rsid w:val="243F3724"/>
    <w:rsid w:val="24416D82"/>
    <w:rsid w:val="245840A6"/>
    <w:rsid w:val="24831C33"/>
    <w:rsid w:val="248C32DF"/>
    <w:rsid w:val="248D64FB"/>
    <w:rsid w:val="249C21F4"/>
    <w:rsid w:val="24C061DB"/>
    <w:rsid w:val="24C063A4"/>
    <w:rsid w:val="24C40077"/>
    <w:rsid w:val="24C46C7F"/>
    <w:rsid w:val="24F03545"/>
    <w:rsid w:val="25064086"/>
    <w:rsid w:val="2508510A"/>
    <w:rsid w:val="250F557F"/>
    <w:rsid w:val="252D413F"/>
    <w:rsid w:val="252E255C"/>
    <w:rsid w:val="2536380C"/>
    <w:rsid w:val="25430663"/>
    <w:rsid w:val="256154CC"/>
    <w:rsid w:val="25693605"/>
    <w:rsid w:val="256B38EE"/>
    <w:rsid w:val="256C2323"/>
    <w:rsid w:val="257F78F7"/>
    <w:rsid w:val="259454BD"/>
    <w:rsid w:val="25A02751"/>
    <w:rsid w:val="25A51CCF"/>
    <w:rsid w:val="25B52913"/>
    <w:rsid w:val="25C3506D"/>
    <w:rsid w:val="25DD6823"/>
    <w:rsid w:val="25E505BC"/>
    <w:rsid w:val="25E649CE"/>
    <w:rsid w:val="25F57456"/>
    <w:rsid w:val="25F609E6"/>
    <w:rsid w:val="260A4725"/>
    <w:rsid w:val="260B64D3"/>
    <w:rsid w:val="26380130"/>
    <w:rsid w:val="26452162"/>
    <w:rsid w:val="265570F7"/>
    <w:rsid w:val="265F7849"/>
    <w:rsid w:val="2664440E"/>
    <w:rsid w:val="26792478"/>
    <w:rsid w:val="26AA3247"/>
    <w:rsid w:val="26AD7B8E"/>
    <w:rsid w:val="26BF7B51"/>
    <w:rsid w:val="26C6302D"/>
    <w:rsid w:val="26CE14DA"/>
    <w:rsid w:val="26EB5B51"/>
    <w:rsid w:val="26EE5A36"/>
    <w:rsid w:val="26EF4DE2"/>
    <w:rsid w:val="26F50BDB"/>
    <w:rsid w:val="26FE4E7F"/>
    <w:rsid w:val="272A5FBD"/>
    <w:rsid w:val="272C4EF1"/>
    <w:rsid w:val="272E10E9"/>
    <w:rsid w:val="27513170"/>
    <w:rsid w:val="2759523E"/>
    <w:rsid w:val="275B0BB9"/>
    <w:rsid w:val="27775B13"/>
    <w:rsid w:val="27870A9C"/>
    <w:rsid w:val="278C6260"/>
    <w:rsid w:val="278D0C17"/>
    <w:rsid w:val="27925D43"/>
    <w:rsid w:val="27AF2CA0"/>
    <w:rsid w:val="27B76F7E"/>
    <w:rsid w:val="27C90A53"/>
    <w:rsid w:val="2801667A"/>
    <w:rsid w:val="280E56A9"/>
    <w:rsid w:val="281178FD"/>
    <w:rsid w:val="28172BDD"/>
    <w:rsid w:val="285B02BE"/>
    <w:rsid w:val="28811AC2"/>
    <w:rsid w:val="28941480"/>
    <w:rsid w:val="289C575D"/>
    <w:rsid w:val="28A21EE1"/>
    <w:rsid w:val="28A4544E"/>
    <w:rsid w:val="28A50596"/>
    <w:rsid w:val="28A86B5F"/>
    <w:rsid w:val="28CB4833"/>
    <w:rsid w:val="28E42265"/>
    <w:rsid w:val="28E97F29"/>
    <w:rsid w:val="2919115F"/>
    <w:rsid w:val="29253FFF"/>
    <w:rsid w:val="292672E2"/>
    <w:rsid w:val="292809E6"/>
    <w:rsid w:val="2938145D"/>
    <w:rsid w:val="294301B4"/>
    <w:rsid w:val="29481585"/>
    <w:rsid w:val="294A6AD1"/>
    <w:rsid w:val="294F363A"/>
    <w:rsid w:val="29843C2C"/>
    <w:rsid w:val="299B3C02"/>
    <w:rsid w:val="29AA0B85"/>
    <w:rsid w:val="29B01376"/>
    <w:rsid w:val="29B05C8A"/>
    <w:rsid w:val="29CB6F7F"/>
    <w:rsid w:val="29CC694D"/>
    <w:rsid w:val="29D33A58"/>
    <w:rsid w:val="29E90A73"/>
    <w:rsid w:val="29EF290B"/>
    <w:rsid w:val="2A2361E0"/>
    <w:rsid w:val="2A377938"/>
    <w:rsid w:val="2A39304D"/>
    <w:rsid w:val="2A3A1778"/>
    <w:rsid w:val="2A5A1271"/>
    <w:rsid w:val="2A5B5A23"/>
    <w:rsid w:val="2A7B5F86"/>
    <w:rsid w:val="2AA00955"/>
    <w:rsid w:val="2ACD779E"/>
    <w:rsid w:val="2AD61463"/>
    <w:rsid w:val="2ADE6251"/>
    <w:rsid w:val="2B01663B"/>
    <w:rsid w:val="2B0330EB"/>
    <w:rsid w:val="2B0D2B5D"/>
    <w:rsid w:val="2B3F0DEA"/>
    <w:rsid w:val="2B5330CD"/>
    <w:rsid w:val="2B716D0A"/>
    <w:rsid w:val="2B8E79ED"/>
    <w:rsid w:val="2B9745EB"/>
    <w:rsid w:val="2B9F34D7"/>
    <w:rsid w:val="2BF84B95"/>
    <w:rsid w:val="2BFA3C7B"/>
    <w:rsid w:val="2C2B420A"/>
    <w:rsid w:val="2C5177DB"/>
    <w:rsid w:val="2C5746C9"/>
    <w:rsid w:val="2C6A4DE8"/>
    <w:rsid w:val="2C786E76"/>
    <w:rsid w:val="2C87159A"/>
    <w:rsid w:val="2C987202"/>
    <w:rsid w:val="2C9A5B1B"/>
    <w:rsid w:val="2C9B7A2E"/>
    <w:rsid w:val="2C9F6F49"/>
    <w:rsid w:val="2CA510FE"/>
    <w:rsid w:val="2CBA6142"/>
    <w:rsid w:val="2CC01447"/>
    <w:rsid w:val="2CC44802"/>
    <w:rsid w:val="2CD836F5"/>
    <w:rsid w:val="2CD94046"/>
    <w:rsid w:val="2CDE08B9"/>
    <w:rsid w:val="2CF76A56"/>
    <w:rsid w:val="2CFD1BFC"/>
    <w:rsid w:val="2D031F0A"/>
    <w:rsid w:val="2D0D31CA"/>
    <w:rsid w:val="2D1813B0"/>
    <w:rsid w:val="2D2D7366"/>
    <w:rsid w:val="2D5D7B79"/>
    <w:rsid w:val="2D637222"/>
    <w:rsid w:val="2D7B4BF1"/>
    <w:rsid w:val="2DBC364F"/>
    <w:rsid w:val="2DBE4625"/>
    <w:rsid w:val="2DC055B8"/>
    <w:rsid w:val="2DC113FE"/>
    <w:rsid w:val="2DD15DA4"/>
    <w:rsid w:val="2E2D1F06"/>
    <w:rsid w:val="2E407B36"/>
    <w:rsid w:val="2E487979"/>
    <w:rsid w:val="2E506092"/>
    <w:rsid w:val="2E626225"/>
    <w:rsid w:val="2E631B17"/>
    <w:rsid w:val="2E6C4E49"/>
    <w:rsid w:val="2E757732"/>
    <w:rsid w:val="2E7B0F51"/>
    <w:rsid w:val="2E7E6BE3"/>
    <w:rsid w:val="2E8F5A76"/>
    <w:rsid w:val="2E9E012E"/>
    <w:rsid w:val="2EB251DE"/>
    <w:rsid w:val="2ED32D30"/>
    <w:rsid w:val="2EF61388"/>
    <w:rsid w:val="2F01235C"/>
    <w:rsid w:val="2F385590"/>
    <w:rsid w:val="2F385D91"/>
    <w:rsid w:val="2F3B117B"/>
    <w:rsid w:val="2F442969"/>
    <w:rsid w:val="2F5F4D24"/>
    <w:rsid w:val="2F726093"/>
    <w:rsid w:val="2F783A2A"/>
    <w:rsid w:val="2F7E052C"/>
    <w:rsid w:val="2F7E20B0"/>
    <w:rsid w:val="2F8F7D10"/>
    <w:rsid w:val="2F906FF8"/>
    <w:rsid w:val="2FF729FF"/>
    <w:rsid w:val="300512D8"/>
    <w:rsid w:val="301069EF"/>
    <w:rsid w:val="3012492F"/>
    <w:rsid w:val="301B091F"/>
    <w:rsid w:val="30292A80"/>
    <w:rsid w:val="303C0946"/>
    <w:rsid w:val="30546F10"/>
    <w:rsid w:val="307125A3"/>
    <w:rsid w:val="30804691"/>
    <w:rsid w:val="30A16DC3"/>
    <w:rsid w:val="30B43F6C"/>
    <w:rsid w:val="30CC528D"/>
    <w:rsid w:val="30CD4E6D"/>
    <w:rsid w:val="30DC11B0"/>
    <w:rsid w:val="30E66B9A"/>
    <w:rsid w:val="30E82D1B"/>
    <w:rsid w:val="30E952C1"/>
    <w:rsid w:val="30EE5C9D"/>
    <w:rsid w:val="30F300DB"/>
    <w:rsid w:val="310C74DD"/>
    <w:rsid w:val="3133496E"/>
    <w:rsid w:val="313703B3"/>
    <w:rsid w:val="31377547"/>
    <w:rsid w:val="313C4765"/>
    <w:rsid w:val="313E0380"/>
    <w:rsid w:val="31536540"/>
    <w:rsid w:val="31554CFE"/>
    <w:rsid w:val="3157169C"/>
    <w:rsid w:val="3163741B"/>
    <w:rsid w:val="31660CB9"/>
    <w:rsid w:val="316F12FA"/>
    <w:rsid w:val="317F1F84"/>
    <w:rsid w:val="317F52E7"/>
    <w:rsid w:val="319E21A8"/>
    <w:rsid w:val="31B448F8"/>
    <w:rsid w:val="31C4112D"/>
    <w:rsid w:val="31C613CE"/>
    <w:rsid w:val="31CF19CB"/>
    <w:rsid w:val="3210318C"/>
    <w:rsid w:val="32121212"/>
    <w:rsid w:val="3218445A"/>
    <w:rsid w:val="32246337"/>
    <w:rsid w:val="3228271D"/>
    <w:rsid w:val="323D6705"/>
    <w:rsid w:val="32756B2E"/>
    <w:rsid w:val="32B93E22"/>
    <w:rsid w:val="332330F3"/>
    <w:rsid w:val="332E0AFE"/>
    <w:rsid w:val="33346E7E"/>
    <w:rsid w:val="334233B5"/>
    <w:rsid w:val="334E2B10"/>
    <w:rsid w:val="338D5193"/>
    <w:rsid w:val="33944C88"/>
    <w:rsid w:val="339A6860"/>
    <w:rsid w:val="33A3621B"/>
    <w:rsid w:val="33CB3569"/>
    <w:rsid w:val="33D23C1C"/>
    <w:rsid w:val="33D9318C"/>
    <w:rsid w:val="33E47652"/>
    <w:rsid w:val="33F84719"/>
    <w:rsid w:val="3403693D"/>
    <w:rsid w:val="340907AC"/>
    <w:rsid w:val="343D19BC"/>
    <w:rsid w:val="34511E57"/>
    <w:rsid w:val="345B07DB"/>
    <w:rsid w:val="34602BF4"/>
    <w:rsid w:val="3461567F"/>
    <w:rsid w:val="346B13B4"/>
    <w:rsid w:val="34784159"/>
    <w:rsid w:val="34834764"/>
    <w:rsid w:val="34864294"/>
    <w:rsid w:val="348A089D"/>
    <w:rsid w:val="349419A1"/>
    <w:rsid w:val="34954270"/>
    <w:rsid w:val="34AF7F0F"/>
    <w:rsid w:val="34BF3CD1"/>
    <w:rsid w:val="34ED489E"/>
    <w:rsid w:val="34F75FCE"/>
    <w:rsid w:val="34FB56A9"/>
    <w:rsid w:val="34FF0821"/>
    <w:rsid w:val="350E66D5"/>
    <w:rsid w:val="35125D28"/>
    <w:rsid w:val="35135DE5"/>
    <w:rsid w:val="352552E3"/>
    <w:rsid w:val="35292E4E"/>
    <w:rsid w:val="352A6222"/>
    <w:rsid w:val="3552741C"/>
    <w:rsid w:val="35543CEB"/>
    <w:rsid w:val="3575320F"/>
    <w:rsid w:val="35880003"/>
    <w:rsid w:val="358B37A9"/>
    <w:rsid w:val="35C672EF"/>
    <w:rsid w:val="35D37514"/>
    <w:rsid w:val="36031236"/>
    <w:rsid w:val="360432C6"/>
    <w:rsid w:val="361643BC"/>
    <w:rsid w:val="3635517E"/>
    <w:rsid w:val="364E1DBD"/>
    <w:rsid w:val="365D70AD"/>
    <w:rsid w:val="368708DF"/>
    <w:rsid w:val="368E4B68"/>
    <w:rsid w:val="36BB53A8"/>
    <w:rsid w:val="36BE5E23"/>
    <w:rsid w:val="36BF5033"/>
    <w:rsid w:val="36C71921"/>
    <w:rsid w:val="36E30215"/>
    <w:rsid w:val="36FF448C"/>
    <w:rsid w:val="37046530"/>
    <w:rsid w:val="372C5176"/>
    <w:rsid w:val="37371245"/>
    <w:rsid w:val="374F1BF5"/>
    <w:rsid w:val="375607F8"/>
    <w:rsid w:val="375C07E0"/>
    <w:rsid w:val="37896CF9"/>
    <w:rsid w:val="379301A5"/>
    <w:rsid w:val="37D5200F"/>
    <w:rsid w:val="37DB6D52"/>
    <w:rsid w:val="37E6048F"/>
    <w:rsid w:val="37EC3B69"/>
    <w:rsid w:val="37EF0D21"/>
    <w:rsid w:val="37F0245C"/>
    <w:rsid w:val="380C7A67"/>
    <w:rsid w:val="38351594"/>
    <w:rsid w:val="383B7389"/>
    <w:rsid w:val="383C1711"/>
    <w:rsid w:val="38413AE0"/>
    <w:rsid w:val="386E6D96"/>
    <w:rsid w:val="387434A8"/>
    <w:rsid w:val="38A87967"/>
    <w:rsid w:val="38B14AD4"/>
    <w:rsid w:val="38BE4D8A"/>
    <w:rsid w:val="38D73CFB"/>
    <w:rsid w:val="38DC3260"/>
    <w:rsid w:val="390E1E02"/>
    <w:rsid w:val="3915015C"/>
    <w:rsid w:val="392628AE"/>
    <w:rsid w:val="39406108"/>
    <w:rsid w:val="39497683"/>
    <w:rsid w:val="39695EA8"/>
    <w:rsid w:val="397A53E5"/>
    <w:rsid w:val="398B6386"/>
    <w:rsid w:val="39A668D6"/>
    <w:rsid w:val="39BE3330"/>
    <w:rsid w:val="39C35DCF"/>
    <w:rsid w:val="39C728BC"/>
    <w:rsid w:val="39D57530"/>
    <w:rsid w:val="3A28763D"/>
    <w:rsid w:val="3A40613F"/>
    <w:rsid w:val="3A475A72"/>
    <w:rsid w:val="3A4A0105"/>
    <w:rsid w:val="3A5272F0"/>
    <w:rsid w:val="3A5D320E"/>
    <w:rsid w:val="3A6E4CBE"/>
    <w:rsid w:val="3A734C3F"/>
    <w:rsid w:val="3A880C34"/>
    <w:rsid w:val="3A8B11DE"/>
    <w:rsid w:val="3AAC7568"/>
    <w:rsid w:val="3AB12744"/>
    <w:rsid w:val="3AF15D15"/>
    <w:rsid w:val="3AF71F37"/>
    <w:rsid w:val="3AFB7764"/>
    <w:rsid w:val="3AFE2B26"/>
    <w:rsid w:val="3AFF1AE7"/>
    <w:rsid w:val="3B0566D6"/>
    <w:rsid w:val="3B0D7B4F"/>
    <w:rsid w:val="3B1E39AD"/>
    <w:rsid w:val="3B1F1BAD"/>
    <w:rsid w:val="3B314084"/>
    <w:rsid w:val="3B400C2A"/>
    <w:rsid w:val="3B4902C5"/>
    <w:rsid w:val="3B491FFF"/>
    <w:rsid w:val="3B55403C"/>
    <w:rsid w:val="3B576456"/>
    <w:rsid w:val="3B5A5BE4"/>
    <w:rsid w:val="3B676B03"/>
    <w:rsid w:val="3B705648"/>
    <w:rsid w:val="3B7364AD"/>
    <w:rsid w:val="3B853139"/>
    <w:rsid w:val="3B8B3101"/>
    <w:rsid w:val="3B99017C"/>
    <w:rsid w:val="3B9D0916"/>
    <w:rsid w:val="3B9E48BA"/>
    <w:rsid w:val="3BC34FD9"/>
    <w:rsid w:val="3BC56483"/>
    <w:rsid w:val="3BCF25C4"/>
    <w:rsid w:val="3BDB41B0"/>
    <w:rsid w:val="3BE12916"/>
    <w:rsid w:val="3BEC5070"/>
    <w:rsid w:val="3BF61A45"/>
    <w:rsid w:val="3BFC0ABB"/>
    <w:rsid w:val="3BFE1F4A"/>
    <w:rsid w:val="3BFE4566"/>
    <w:rsid w:val="3C207D13"/>
    <w:rsid w:val="3C3976F6"/>
    <w:rsid w:val="3C3B203F"/>
    <w:rsid w:val="3C3C316B"/>
    <w:rsid w:val="3C514A37"/>
    <w:rsid w:val="3C5C3D07"/>
    <w:rsid w:val="3C5E7F90"/>
    <w:rsid w:val="3C756E3E"/>
    <w:rsid w:val="3C7C153C"/>
    <w:rsid w:val="3C802B2B"/>
    <w:rsid w:val="3C8214A5"/>
    <w:rsid w:val="3CA06481"/>
    <w:rsid w:val="3CA52204"/>
    <w:rsid w:val="3CAE6D48"/>
    <w:rsid w:val="3CE547C2"/>
    <w:rsid w:val="3CF9519B"/>
    <w:rsid w:val="3D0A7808"/>
    <w:rsid w:val="3D0E3359"/>
    <w:rsid w:val="3D1B69F5"/>
    <w:rsid w:val="3D265052"/>
    <w:rsid w:val="3D3B6738"/>
    <w:rsid w:val="3D42011F"/>
    <w:rsid w:val="3D6407A3"/>
    <w:rsid w:val="3D6E3256"/>
    <w:rsid w:val="3D80309E"/>
    <w:rsid w:val="3D9C3270"/>
    <w:rsid w:val="3DCC4131"/>
    <w:rsid w:val="3DD07E50"/>
    <w:rsid w:val="3E013C65"/>
    <w:rsid w:val="3E0878BC"/>
    <w:rsid w:val="3E0C4F21"/>
    <w:rsid w:val="3E122E4D"/>
    <w:rsid w:val="3E136A36"/>
    <w:rsid w:val="3E160C8A"/>
    <w:rsid w:val="3E2312D7"/>
    <w:rsid w:val="3E387F22"/>
    <w:rsid w:val="3E3D66EE"/>
    <w:rsid w:val="3E40319B"/>
    <w:rsid w:val="3E4D56DB"/>
    <w:rsid w:val="3E570181"/>
    <w:rsid w:val="3E812F4E"/>
    <w:rsid w:val="3E836939"/>
    <w:rsid w:val="3E8454A0"/>
    <w:rsid w:val="3E9901B3"/>
    <w:rsid w:val="3E9A677D"/>
    <w:rsid w:val="3EC0465A"/>
    <w:rsid w:val="3EC771AC"/>
    <w:rsid w:val="3ECB2DBD"/>
    <w:rsid w:val="3EDC3C7D"/>
    <w:rsid w:val="3EE4627D"/>
    <w:rsid w:val="3EFD11FA"/>
    <w:rsid w:val="3F0C53C6"/>
    <w:rsid w:val="3F1E6A7C"/>
    <w:rsid w:val="3F2102B1"/>
    <w:rsid w:val="3F210EC9"/>
    <w:rsid w:val="3F27793E"/>
    <w:rsid w:val="3F2B7A13"/>
    <w:rsid w:val="3F335F63"/>
    <w:rsid w:val="3F475E4A"/>
    <w:rsid w:val="3F483382"/>
    <w:rsid w:val="3F571E72"/>
    <w:rsid w:val="3F596CF5"/>
    <w:rsid w:val="3F650911"/>
    <w:rsid w:val="3FA60E7C"/>
    <w:rsid w:val="3FC43688"/>
    <w:rsid w:val="3FC5258F"/>
    <w:rsid w:val="3FCE1901"/>
    <w:rsid w:val="3FF33B69"/>
    <w:rsid w:val="3FFA115C"/>
    <w:rsid w:val="3FFC3900"/>
    <w:rsid w:val="4009429C"/>
    <w:rsid w:val="402970A9"/>
    <w:rsid w:val="404F6E14"/>
    <w:rsid w:val="405B2791"/>
    <w:rsid w:val="40606C2F"/>
    <w:rsid w:val="407B1A4D"/>
    <w:rsid w:val="408049E1"/>
    <w:rsid w:val="408137B6"/>
    <w:rsid w:val="408A2B7E"/>
    <w:rsid w:val="409D3C6E"/>
    <w:rsid w:val="40A31C8C"/>
    <w:rsid w:val="40AB1595"/>
    <w:rsid w:val="40AF007F"/>
    <w:rsid w:val="40BF627F"/>
    <w:rsid w:val="40CE0ED0"/>
    <w:rsid w:val="40E10A8C"/>
    <w:rsid w:val="410D6A4B"/>
    <w:rsid w:val="410F6A02"/>
    <w:rsid w:val="411141F8"/>
    <w:rsid w:val="4121618D"/>
    <w:rsid w:val="41291E14"/>
    <w:rsid w:val="414413B8"/>
    <w:rsid w:val="41465FC8"/>
    <w:rsid w:val="4156445A"/>
    <w:rsid w:val="416A10A3"/>
    <w:rsid w:val="417A5FF0"/>
    <w:rsid w:val="41826AE7"/>
    <w:rsid w:val="418402D9"/>
    <w:rsid w:val="419B175C"/>
    <w:rsid w:val="41B67136"/>
    <w:rsid w:val="41D72072"/>
    <w:rsid w:val="41F528B8"/>
    <w:rsid w:val="41FA48BA"/>
    <w:rsid w:val="4228529E"/>
    <w:rsid w:val="422D25F9"/>
    <w:rsid w:val="42307F0D"/>
    <w:rsid w:val="423546AB"/>
    <w:rsid w:val="424D7A5D"/>
    <w:rsid w:val="42516D59"/>
    <w:rsid w:val="42625183"/>
    <w:rsid w:val="426B045B"/>
    <w:rsid w:val="42760EAB"/>
    <w:rsid w:val="42807E2C"/>
    <w:rsid w:val="42846E8E"/>
    <w:rsid w:val="42874D2A"/>
    <w:rsid w:val="428A21A6"/>
    <w:rsid w:val="428B390F"/>
    <w:rsid w:val="42966D5D"/>
    <w:rsid w:val="429D0D37"/>
    <w:rsid w:val="42AB1075"/>
    <w:rsid w:val="42B03B3D"/>
    <w:rsid w:val="42D17CD5"/>
    <w:rsid w:val="42DB2D12"/>
    <w:rsid w:val="42DD389C"/>
    <w:rsid w:val="42DE2AAC"/>
    <w:rsid w:val="43086A11"/>
    <w:rsid w:val="43087C4A"/>
    <w:rsid w:val="431471CA"/>
    <w:rsid w:val="432C0C29"/>
    <w:rsid w:val="433520F6"/>
    <w:rsid w:val="433C731A"/>
    <w:rsid w:val="436D590E"/>
    <w:rsid w:val="43816903"/>
    <w:rsid w:val="43941D03"/>
    <w:rsid w:val="43A8691C"/>
    <w:rsid w:val="43B31BF9"/>
    <w:rsid w:val="43C50F67"/>
    <w:rsid w:val="43D33898"/>
    <w:rsid w:val="43D94BB8"/>
    <w:rsid w:val="43EA0F1F"/>
    <w:rsid w:val="43EE116D"/>
    <w:rsid w:val="43F65F5C"/>
    <w:rsid w:val="43FF315E"/>
    <w:rsid w:val="440B77FD"/>
    <w:rsid w:val="440D7164"/>
    <w:rsid w:val="441D50EC"/>
    <w:rsid w:val="4426056C"/>
    <w:rsid w:val="44330DA2"/>
    <w:rsid w:val="4436153A"/>
    <w:rsid w:val="44363141"/>
    <w:rsid w:val="443F4C85"/>
    <w:rsid w:val="44472BCC"/>
    <w:rsid w:val="44515DC7"/>
    <w:rsid w:val="4454229E"/>
    <w:rsid w:val="445E05A4"/>
    <w:rsid w:val="4462484A"/>
    <w:rsid w:val="44626645"/>
    <w:rsid w:val="44690EA9"/>
    <w:rsid w:val="449648D0"/>
    <w:rsid w:val="44986654"/>
    <w:rsid w:val="449B7DBF"/>
    <w:rsid w:val="44DC29EB"/>
    <w:rsid w:val="44DD1A31"/>
    <w:rsid w:val="44F73CE5"/>
    <w:rsid w:val="44F84650"/>
    <w:rsid w:val="44FD4940"/>
    <w:rsid w:val="452615A5"/>
    <w:rsid w:val="452911C3"/>
    <w:rsid w:val="453110FA"/>
    <w:rsid w:val="45380EAE"/>
    <w:rsid w:val="45431D84"/>
    <w:rsid w:val="454C6201"/>
    <w:rsid w:val="454E0A80"/>
    <w:rsid w:val="45607318"/>
    <w:rsid w:val="456848E6"/>
    <w:rsid w:val="456B0E9A"/>
    <w:rsid w:val="457356E1"/>
    <w:rsid w:val="457A56BB"/>
    <w:rsid w:val="457F0835"/>
    <w:rsid w:val="45901F42"/>
    <w:rsid w:val="45BD1FBC"/>
    <w:rsid w:val="45CD3F04"/>
    <w:rsid w:val="45D4449A"/>
    <w:rsid w:val="45D75901"/>
    <w:rsid w:val="45DC4C85"/>
    <w:rsid w:val="45DD1704"/>
    <w:rsid w:val="45DE6F05"/>
    <w:rsid w:val="45ED2C31"/>
    <w:rsid w:val="45F858B5"/>
    <w:rsid w:val="460652C7"/>
    <w:rsid w:val="46091005"/>
    <w:rsid w:val="46383D12"/>
    <w:rsid w:val="464F5D68"/>
    <w:rsid w:val="466573DB"/>
    <w:rsid w:val="466B6068"/>
    <w:rsid w:val="4670684F"/>
    <w:rsid w:val="467F6055"/>
    <w:rsid w:val="46992809"/>
    <w:rsid w:val="46B74038"/>
    <w:rsid w:val="46DD5893"/>
    <w:rsid w:val="46E121E3"/>
    <w:rsid w:val="46E804A0"/>
    <w:rsid w:val="46F705B5"/>
    <w:rsid w:val="47182C2B"/>
    <w:rsid w:val="471C2E4A"/>
    <w:rsid w:val="471E4A10"/>
    <w:rsid w:val="47283607"/>
    <w:rsid w:val="47365880"/>
    <w:rsid w:val="47470C00"/>
    <w:rsid w:val="47617BC5"/>
    <w:rsid w:val="47726B9D"/>
    <w:rsid w:val="47754A35"/>
    <w:rsid w:val="477570E2"/>
    <w:rsid w:val="477804F9"/>
    <w:rsid w:val="47A54B82"/>
    <w:rsid w:val="47B34FC5"/>
    <w:rsid w:val="47B55A11"/>
    <w:rsid w:val="47C1116A"/>
    <w:rsid w:val="47DB0AEF"/>
    <w:rsid w:val="47E32C0C"/>
    <w:rsid w:val="47ED3E2A"/>
    <w:rsid w:val="482468EA"/>
    <w:rsid w:val="48256827"/>
    <w:rsid w:val="48426317"/>
    <w:rsid w:val="48427ACE"/>
    <w:rsid w:val="4848607E"/>
    <w:rsid w:val="48504E40"/>
    <w:rsid w:val="486D3064"/>
    <w:rsid w:val="486E2084"/>
    <w:rsid w:val="489D1D0E"/>
    <w:rsid w:val="48A10C08"/>
    <w:rsid w:val="48AE76E2"/>
    <w:rsid w:val="48B7515A"/>
    <w:rsid w:val="48BB4EC6"/>
    <w:rsid w:val="48C267D2"/>
    <w:rsid w:val="48CD6A98"/>
    <w:rsid w:val="48DB2CE5"/>
    <w:rsid w:val="48DD1AEA"/>
    <w:rsid w:val="48ED73F7"/>
    <w:rsid w:val="494D34B4"/>
    <w:rsid w:val="49531DF8"/>
    <w:rsid w:val="496421BE"/>
    <w:rsid w:val="497854A4"/>
    <w:rsid w:val="499B4C71"/>
    <w:rsid w:val="499E5BE3"/>
    <w:rsid w:val="49B8210F"/>
    <w:rsid w:val="49BB234A"/>
    <w:rsid w:val="49C63487"/>
    <w:rsid w:val="49DD4B67"/>
    <w:rsid w:val="49E60E0F"/>
    <w:rsid w:val="49E65861"/>
    <w:rsid w:val="4A01680F"/>
    <w:rsid w:val="4A0270C9"/>
    <w:rsid w:val="4A047EDF"/>
    <w:rsid w:val="4A176B9D"/>
    <w:rsid w:val="4A3E42B1"/>
    <w:rsid w:val="4A531EA6"/>
    <w:rsid w:val="4A540A2C"/>
    <w:rsid w:val="4A583F0B"/>
    <w:rsid w:val="4A5D08DF"/>
    <w:rsid w:val="4A7A41D7"/>
    <w:rsid w:val="4A807380"/>
    <w:rsid w:val="4A840EEF"/>
    <w:rsid w:val="4A8B1860"/>
    <w:rsid w:val="4A946414"/>
    <w:rsid w:val="4A955A6C"/>
    <w:rsid w:val="4A982852"/>
    <w:rsid w:val="4A992F22"/>
    <w:rsid w:val="4AAE2BCA"/>
    <w:rsid w:val="4ABD4214"/>
    <w:rsid w:val="4AFA208B"/>
    <w:rsid w:val="4B0A3310"/>
    <w:rsid w:val="4B20492F"/>
    <w:rsid w:val="4B3576CB"/>
    <w:rsid w:val="4B3D1E78"/>
    <w:rsid w:val="4B444FB2"/>
    <w:rsid w:val="4B595064"/>
    <w:rsid w:val="4B601D2A"/>
    <w:rsid w:val="4B670046"/>
    <w:rsid w:val="4B672180"/>
    <w:rsid w:val="4B6E1D26"/>
    <w:rsid w:val="4B807E8F"/>
    <w:rsid w:val="4B870ABA"/>
    <w:rsid w:val="4B920889"/>
    <w:rsid w:val="4B996870"/>
    <w:rsid w:val="4BA46E08"/>
    <w:rsid w:val="4BC73B78"/>
    <w:rsid w:val="4BC77460"/>
    <w:rsid w:val="4BCF201E"/>
    <w:rsid w:val="4C2524E7"/>
    <w:rsid w:val="4C4C4528"/>
    <w:rsid w:val="4C510A38"/>
    <w:rsid w:val="4C573346"/>
    <w:rsid w:val="4C6435A9"/>
    <w:rsid w:val="4C6F418B"/>
    <w:rsid w:val="4C82601B"/>
    <w:rsid w:val="4C8330E1"/>
    <w:rsid w:val="4C885559"/>
    <w:rsid w:val="4C8E77FD"/>
    <w:rsid w:val="4CA14226"/>
    <w:rsid w:val="4CAD6AA6"/>
    <w:rsid w:val="4CAF216E"/>
    <w:rsid w:val="4CB058CB"/>
    <w:rsid w:val="4CB620E8"/>
    <w:rsid w:val="4CB90C56"/>
    <w:rsid w:val="4CC65395"/>
    <w:rsid w:val="4CD5793B"/>
    <w:rsid w:val="4CD80E01"/>
    <w:rsid w:val="4CDE02B9"/>
    <w:rsid w:val="4CFB5C1C"/>
    <w:rsid w:val="4D0F78F1"/>
    <w:rsid w:val="4D3F2693"/>
    <w:rsid w:val="4D4D0E1D"/>
    <w:rsid w:val="4D4D4426"/>
    <w:rsid w:val="4D4E796F"/>
    <w:rsid w:val="4D4F6EEF"/>
    <w:rsid w:val="4D5D085A"/>
    <w:rsid w:val="4D807194"/>
    <w:rsid w:val="4D9438AB"/>
    <w:rsid w:val="4D995F1E"/>
    <w:rsid w:val="4DC75FAC"/>
    <w:rsid w:val="4DCD3B45"/>
    <w:rsid w:val="4DD32B18"/>
    <w:rsid w:val="4DD521DA"/>
    <w:rsid w:val="4DE407A5"/>
    <w:rsid w:val="4DEC558E"/>
    <w:rsid w:val="4DF22D5D"/>
    <w:rsid w:val="4E0E54C5"/>
    <w:rsid w:val="4E1227F0"/>
    <w:rsid w:val="4E2D7430"/>
    <w:rsid w:val="4E332B5E"/>
    <w:rsid w:val="4E487814"/>
    <w:rsid w:val="4E4F6905"/>
    <w:rsid w:val="4E8A7219"/>
    <w:rsid w:val="4E997E3B"/>
    <w:rsid w:val="4ECE0CD5"/>
    <w:rsid w:val="4ED22A57"/>
    <w:rsid w:val="4ED92E23"/>
    <w:rsid w:val="4EE964BF"/>
    <w:rsid w:val="4F0B12EB"/>
    <w:rsid w:val="4F277882"/>
    <w:rsid w:val="4F306048"/>
    <w:rsid w:val="4F313C6F"/>
    <w:rsid w:val="4F416BC0"/>
    <w:rsid w:val="4F6476F0"/>
    <w:rsid w:val="4F6A2B78"/>
    <w:rsid w:val="4F762AE3"/>
    <w:rsid w:val="4F7D2F66"/>
    <w:rsid w:val="4F8C33D2"/>
    <w:rsid w:val="4F9F3258"/>
    <w:rsid w:val="4F9F3566"/>
    <w:rsid w:val="4FAF0352"/>
    <w:rsid w:val="4FB3614F"/>
    <w:rsid w:val="4FBC4B75"/>
    <w:rsid w:val="50292472"/>
    <w:rsid w:val="502B58CD"/>
    <w:rsid w:val="503324EC"/>
    <w:rsid w:val="503E4E84"/>
    <w:rsid w:val="50432740"/>
    <w:rsid w:val="504D48EB"/>
    <w:rsid w:val="506177CB"/>
    <w:rsid w:val="506D1CE6"/>
    <w:rsid w:val="50756606"/>
    <w:rsid w:val="50781C7F"/>
    <w:rsid w:val="507C3FF5"/>
    <w:rsid w:val="50950193"/>
    <w:rsid w:val="50B535BC"/>
    <w:rsid w:val="50C3182D"/>
    <w:rsid w:val="50C32A0E"/>
    <w:rsid w:val="50D05E44"/>
    <w:rsid w:val="50D530A4"/>
    <w:rsid w:val="50D7600E"/>
    <w:rsid w:val="50E5416E"/>
    <w:rsid w:val="511E7282"/>
    <w:rsid w:val="516548A9"/>
    <w:rsid w:val="51772D88"/>
    <w:rsid w:val="517C6CD3"/>
    <w:rsid w:val="5180691B"/>
    <w:rsid w:val="518220A6"/>
    <w:rsid w:val="519679D9"/>
    <w:rsid w:val="51995C67"/>
    <w:rsid w:val="51D53DE8"/>
    <w:rsid w:val="51E23E78"/>
    <w:rsid w:val="51E64A93"/>
    <w:rsid w:val="51E963CB"/>
    <w:rsid w:val="520170F5"/>
    <w:rsid w:val="52123177"/>
    <w:rsid w:val="521557EF"/>
    <w:rsid w:val="521F4AC1"/>
    <w:rsid w:val="522B490F"/>
    <w:rsid w:val="522C4379"/>
    <w:rsid w:val="52315D30"/>
    <w:rsid w:val="524E2361"/>
    <w:rsid w:val="52985353"/>
    <w:rsid w:val="529F24A2"/>
    <w:rsid w:val="52AA7CFA"/>
    <w:rsid w:val="52B171E6"/>
    <w:rsid w:val="52DB122A"/>
    <w:rsid w:val="52E13D67"/>
    <w:rsid w:val="52E27A56"/>
    <w:rsid w:val="52E80195"/>
    <w:rsid w:val="52E82C9B"/>
    <w:rsid w:val="52E846A6"/>
    <w:rsid w:val="52F64BDB"/>
    <w:rsid w:val="531536B7"/>
    <w:rsid w:val="532129F8"/>
    <w:rsid w:val="533233B6"/>
    <w:rsid w:val="5333575C"/>
    <w:rsid w:val="53431BBB"/>
    <w:rsid w:val="5345258D"/>
    <w:rsid w:val="534E32E5"/>
    <w:rsid w:val="53501C8A"/>
    <w:rsid w:val="537C2D95"/>
    <w:rsid w:val="538709E1"/>
    <w:rsid w:val="53921F79"/>
    <w:rsid w:val="53942A5B"/>
    <w:rsid w:val="539A0A2E"/>
    <w:rsid w:val="539B0D65"/>
    <w:rsid w:val="539C7BB1"/>
    <w:rsid w:val="53A254EF"/>
    <w:rsid w:val="53AE179F"/>
    <w:rsid w:val="53B74C02"/>
    <w:rsid w:val="53B80357"/>
    <w:rsid w:val="53C63F53"/>
    <w:rsid w:val="53CA60F3"/>
    <w:rsid w:val="53DA3115"/>
    <w:rsid w:val="53E37A46"/>
    <w:rsid w:val="53E60B87"/>
    <w:rsid w:val="53E813CD"/>
    <w:rsid w:val="54147818"/>
    <w:rsid w:val="54284D48"/>
    <w:rsid w:val="542C0D25"/>
    <w:rsid w:val="543036B4"/>
    <w:rsid w:val="544607AB"/>
    <w:rsid w:val="544F6C7E"/>
    <w:rsid w:val="54507C6E"/>
    <w:rsid w:val="54523FAB"/>
    <w:rsid w:val="54606D4B"/>
    <w:rsid w:val="546F563B"/>
    <w:rsid w:val="54715AD1"/>
    <w:rsid w:val="54737B83"/>
    <w:rsid w:val="54767A69"/>
    <w:rsid w:val="54771DDB"/>
    <w:rsid w:val="54800851"/>
    <w:rsid w:val="548D1DAF"/>
    <w:rsid w:val="549E6667"/>
    <w:rsid w:val="54A33DD4"/>
    <w:rsid w:val="54B83081"/>
    <w:rsid w:val="54CD7213"/>
    <w:rsid w:val="54D27679"/>
    <w:rsid w:val="54FA20B3"/>
    <w:rsid w:val="552D41F8"/>
    <w:rsid w:val="5530235E"/>
    <w:rsid w:val="553A11F2"/>
    <w:rsid w:val="554A1014"/>
    <w:rsid w:val="554D547D"/>
    <w:rsid w:val="555812FC"/>
    <w:rsid w:val="558504DB"/>
    <w:rsid w:val="5599207C"/>
    <w:rsid w:val="55BA23F6"/>
    <w:rsid w:val="55C17A4A"/>
    <w:rsid w:val="55C776A4"/>
    <w:rsid w:val="55C86FE2"/>
    <w:rsid w:val="55D93944"/>
    <w:rsid w:val="55E0012B"/>
    <w:rsid w:val="55E22738"/>
    <w:rsid w:val="55E53654"/>
    <w:rsid w:val="55F16398"/>
    <w:rsid w:val="55FA5978"/>
    <w:rsid w:val="560471D1"/>
    <w:rsid w:val="5620288D"/>
    <w:rsid w:val="56262D0A"/>
    <w:rsid w:val="562F094C"/>
    <w:rsid w:val="56303DF0"/>
    <w:rsid w:val="563C241F"/>
    <w:rsid w:val="5645459C"/>
    <w:rsid w:val="564845D6"/>
    <w:rsid w:val="56497A16"/>
    <w:rsid w:val="564B1CD3"/>
    <w:rsid w:val="56523972"/>
    <w:rsid w:val="56526786"/>
    <w:rsid w:val="568D4159"/>
    <w:rsid w:val="56900687"/>
    <w:rsid w:val="569017FC"/>
    <w:rsid w:val="56AA326E"/>
    <w:rsid w:val="56B557FE"/>
    <w:rsid w:val="56B86A4A"/>
    <w:rsid w:val="56C90586"/>
    <w:rsid w:val="56D20E62"/>
    <w:rsid w:val="56E53FAA"/>
    <w:rsid w:val="56F15FB4"/>
    <w:rsid w:val="57032FAA"/>
    <w:rsid w:val="57083A80"/>
    <w:rsid w:val="570A1F63"/>
    <w:rsid w:val="570F4518"/>
    <w:rsid w:val="57101FBF"/>
    <w:rsid w:val="57192727"/>
    <w:rsid w:val="572C1D0F"/>
    <w:rsid w:val="572E2ABD"/>
    <w:rsid w:val="57393751"/>
    <w:rsid w:val="57511B9A"/>
    <w:rsid w:val="57537352"/>
    <w:rsid w:val="575B1004"/>
    <w:rsid w:val="5771718C"/>
    <w:rsid w:val="577D318D"/>
    <w:rsid w:val="5791578D"/>
    <w:rsid w:val="57986AAA"/>
    <w:rsid w:val="57A273D9"/>
    <w:rsid w:val="57A66822"/>
    <w:rsid w:val="57AF5A40"/>
    <w:rsid w:val="57C97408"/>
    <w:rsid w:val="57E82929"/>
    <w:rsid w:val="57EC1C9C"/>
    <w:rsid w:val="58022941"/>
    <w:rsid w:val="580632C8"/>
    <w:rsid w:val="580C02FC"/>
    <w:rsid w:val="58277B25"/>
    <w:rsid w:val="5830410B"/>
    <w:rsid w:val="58310F67"/>
    <w:rsid w:val="583A1FAC"/>
    <w:rsid w:val="583E68FD"/>
    <w:rsid w:val="5846711A"/>
    <w:rsid w:val="58553838"/>
    <w:rsid w:val="585A1073"/>
    <w:rsid w:val="585D5C86"/>
    <w:rsid w:val="587E5B83"/>
    <w:rsid w:val="588C01E0"/>
    <w:rsid w:val="589A6EED"/>
    <w:rsid w:val="589D01E1"/>
    <w:rsid w:val="58A54D70"/>
    <w:rsid w:val="58BE78AD"/>
    <w:rsid w:val="58CA70BC"/>
    <w:rsid w:val="58CF664E"/>
    <w:rsid w:val="58D161EE"/>
    <w:rsid w:val="58DC20DE"/>
    <w:rsid w:val="58E56323"/>
    <w:rsid w:val="58EC223F"/>
    <w:rsid w:val="58ED1D81"/>
    <w:rsid w:val="58ED6689"/>
    <w:rsid w:val="59031290"/>
    <w:rsid w:val="590F1BC4"/>
    <w:rsid w:val="5919022D"/>
    <w:rsid w:val="591D661A"/>
    <w:rsid w:val="592A6680"/>
    <w:rsid w:val="59402032"/>
    <w:rsid w:val="59464947"/>
    <w:rsid w:val="594A6B94"/>
    <w:rsid w:val="594D270F"/>
    <w:rsid w:val="595405FB"/>
    <w:rsid w:val="59797E10"/>
    <w:rsid w:val="598007BD"/>
    <w:rsid w:val="59821BF3"/>
    <w:rsid w:val="59831117"/>
    <w:rsid w:val="599D1711"/>
    <w:rsid w:val="59A32903"/>
    <w:rsid w:val="59B25B64"/>
    <w:rsid w:val="59B65B0A"/>
    <w:rsid w:val="59C71F63"/>
    <w:rsid w:val="59DD38F5"/>
    <w:rsid w:val="59E72771"/>
    <w:rsid w:val="59FB19D7"/>
    <w:rsid w:val="59FC1DF4"/>
    <w:rsid w:val="5A0170D0"/>
    <w:rsid w:val="5A207B2C"/>
    <w:rsid w:val="5A273430"/>
    <w:rsid w:val="5A2D57D7"/>
    <w:rsid w:val="5A3C0B29"/>
    <w:rsid w:val="5A4D5D2C"/>
    <w:rsid w:val="5A5D1EE9"/>
    <w:rsid w:val="5A646519"/>
    <w:rsid w:val="5A6E4321"/>
    <w:rsid w:val="5A6F07AD"/>
    <w:rsid w:val="5A743B23"/>
    <w:rsid w:val="5A786D03"/>
    <w:rsid w:val="5A8810C1"/>
    <w:rsid w:val="5A953CA8"/>
    <w:rsid w:val="5AA20354"/>
    <w:rsid w:val="5AA4013C"/>
    <w:rsid w:val="5AAA217B"/>
    <w:rsid w:val="5ADD173D"/>
    <w:rsid w:val="5AFF1EAD"/>
    <w:rsid w:val="5B1D4B5D"/>
    <w:rsid w:val="5B245381"/>
    <w:rsid w:val="5B266B67"/>
    <w:rsid w:val="5BA004B1"/>
    <w:rsid w:val="5BA64A59"/>
    <w:rsid w:val="5BB42013"/>
    <w:rsid w:val="5BC71BFF"/>
    <w:rsid w:val="5BCE3661"/>
    <w:rsid w:val="5BDE4B2E"/>
    <w:rsid w:val="5BE6497C"/>
    <w:rsid w:val="5BF53D6D"/>
    <w:rsid w:val="5BF66452"/>
    <w:rsid w:val="5BFE2754"/>
    <w:rsid w:val="5C00251E"/>
    <w:rsid w:val="5C0C5517"/>
    <w:rsid w:val="5C243A94"/>
    <w:rsid w:val="5C362DC6"/>
    <w:rsid w:val="5C513933"/>
    <w:rsid w:val="5C684A5F"/>
    <w:rsid w:val="5C7C22C9"/>
    <w:rsid w:val="5CBF559E"/>
    <w:rsid w:val="5CCB049C"/>
    <w:rsid w:val="5CD246B1"/>
    <w:rsid w:val="5D104C52"/>
    <w:rsid w:val="5D1610E5"/>
    <w:rsid w:val="5D1F134D"/>
    <w:rsid w:val="5D225E96"/>
    <w:rsid w:val="5D536746"/>
    <w:rsid w:val="5D5479DF"/>
    <w:rsid w:val="5D8B235F"/>
    <w:rsid w:val="5D935CC9"/>
    <w:rsid w:val="5D9929C5"/>
    <w:rsid w:val="5DA1690A"/>
    <w:rsid w:val="5DA344BD"/>
    <w:rsid w:val="5DAB1604"/>
    <w:rsid w:val="5DAC7F7B"/>
    <w:rsid w:val="5DC00E21"/>
    <w:rsid w:val="5DEF4991"/>
    <w:rsid w:val="5E004546"/>
    <w:rsid w:val="5E223849"/>
    <w:rsid w:val="5E31684C"/>
    <w:rsid w:val="5E52320C"/>
    <w:rsid w:val="5E64188D"/>
    <w:rsid w:val="5E6B6BD9"/>
    <w:rsid w:val="5E9D2BEC"/>
    <w:rsid w:val="5EB805C9"/>
    <w:rsid w:val="5EEC5CE5"/>
    <w:rsid w:val="5EF731E5"/>
    <w:rsid w:val="5F004E6E"/>
    <w:rsid w:val="5F010358"/>
    <w:rsid w:val="5F095904"/>
    <w:rsid w:val="5F232B8A"/>
    <w:rsid w:val="5F285753"/>
    <w:rsid w:val="5F3B01E3"/>
    <w:rsid w:val="5F3D041A"/>
    <w:rsid w:val="5F416DD5"/>
    <w:rsid w:val="5F4327F6"/>
    <w:rsid w:val="5F454D59"/>
    <w:rsid w:val="5F4F0951"/>
    <w:rsid w:val="5F660454"/>
    <w:rsid w:val="5F89663A"/>
    <w:rsid w:val="5FA25FD2"/>
    <w:rsid w:val="5FAF21EE"/>
    <w:rsid w:val="5FAF3AE3"/>
    <w:rsid w:val="5FD84CCD"/>
    <w:rsid w:val="5FD95DF5"/>
    <w:rsid w:val="5FE17C6A"/>
    <w:rsid w:val="60153E06"/>
    <w:rsid w:val="601B7860"/>
    <w:rsid w:val="603A6C4E"/>
    <w:rsid w:val="603E2C7E"/>
    <w:rsid w:val="606E74AB"/>
    <w:rsid w:val="607F4815"/>
    <w:rsid w:val="60C66FF8"/>
    <w:rsid w:val="60C715F3"/>
    <w:rsid w:val="60C831F4"/>
    <w:rsid w:val="60CA46DE"/>
    <w:rsid w:val="60D962FE"/>
    <w:rsid w:val="60DA1FB7"/>
    <w:rsid w:val="60F03797"/>
    <w:rsid w:val="61045E17"/>
    <w:rsid w:val="61097C32"/>
    <w:rsid w:val="610C045C"/>
    <w:rsid w:val="612C2C0F"/>
    <w:rsid w:val="61360CD6"/>
    <w:rsid w:val="6139596E"/>
    <w:rsid w:val="6143048E"/>
    <w:rsid w:val="61541D0C"/>
    <w:rsid w:val="616113F3"/>
    <w:rsid w:val="616926CF"/>
    <w:rsid w:val="616E4608"/>
    <w:rsid w:val="618E5BFD"/>
    <w:rsid w:val="61955C9E"/>
    <w:rsid w:val="61964B23"/>
    <w:rsid w:val="61AC2EA4"/>
    <w:rsid w:val="61BF0A39"/>
    <w:rsid w:val="61D23AE4"/>
    <w:rsid w:val="61D74436"/>
    <w:rsid w:val="61DF72E6"/>
    <w:rsid w:val="61FC40A6"/>
    <w:rsid w:val="62095690"/>
    <w:rsid w:val="620A7850"/>
    <w:rsid w:val="62150569"/>
    <w:rsid w:val="621D6280"/>
    <w:rsid w:val="62232E5A"/>
    <w:rsid w:val="62845FB8"/>
    <w:rsid w:val="62913539"/>
    <w:rsid w:val="62925A24"/>
    <w:rsid w:val="62947959"/>
    <w:rsid w:val="629F4600"/>
    <w:rsid w:val="62B27BC4"/>
    <w:rsid w:val="62B3264F"/>
    <w:rsid w:val="62B87B19"/>
    <w:rsid w:val="62C15A67"/>
    <w:rsid w:val="62CC63A3"/>
    <w:rsid w:val="62D13DAB"/>
    <w:rsid w:val="62D5208D"/>
    <w:rsid w:val="62D949A4"/>
    <w:rsid w:val="6308497A"/>
    <w:rsid w:val="630A00B2"/>
    <w:rsid w:val="63117187"/>
    <w:rsid w:val="633D44AA"/>
    <w:rsid w:val="63687677"/>
    <w:rsid w:val="638130A6"/>
    <w:rsid w:val="638F1AF4"/>
    <w:rsid w:val="63AA5BC2"/>
    <w:rsid w:val="63B4356F"/>
    <w:rsid w:val="63CF48F8"/>
    <w:rsid w:val="63F840D4"/>
    <w:rsid w:val="640F41A2"/>
    <w:rsid w:val="641D14C4"/>
    <w:rsid w:val="642719FF"/>
    <w:rsid w:val="644B3147"/>
    <w:rsid w:val="6465549E"/>
    <w:rsid w:val="646C3009"/>
    <w:rsid w:val="64721148"/>
    <w:rsid w:val="64735320"/>
    <w:rsid w:val="64B30238"/>
    <w:rsid w:val="64D01B87"/>
    <w:rsid w:val="64D178B9"/>
    <w:rsid w:val="64D77A7E"/>
    <w:rsid w:val="64E73DF1"/>
    <w:rsid w:val="64F0414B"/>
    <w:rsid w:val="64FF1C3C"/>
    <w:rsid w:val="65012D42"/>
    <w:rsid w:val="65143021"/>
    <w:rsid w:val="652A63DB"/>
    <w:rsid w:val="652F58D3"/>
    <w:rsid w:val="653E1ABB"/>
    <w:rsid w:val="655B7102"/>
    <w:rsid w:val="656575F4"/>
    <w:rsid w:val="656738B8"/>
    <w:rsid w:val="657021F5"/>
    <w:rsid w:val="65713C4C"/>
    <w:rsid w:val="65722B1B"/>
    <w:rsid w:val="65A23327"/>
    <w:rsid w:val="65B826BD"/>
    <w:rsid w:val="65C26555"/>
    <w:rsid w:val="65DC7921"/>
    <w:rsid w:val="65E317A8"/>
    <w:rsid w:val="65ED6C11"/>
    <w:rsid w:val="65FC7C13"/>
    <w:rsid w:val="6613537E"/>
    <w:rsid w:val="66152556"/>
    <w:rsid w:val="66300342"/>
    <w:rsid w:val="66334C1F"/>
    <w:rsid w:val="663A3856"/>
    <w:rsid w:val="663B51C1"/>
    <w:rsid w:val="665611EB"/>
    <w:rsid w:val="665A29E1"/>
    <w:rsid w:val="666329BA"/>
    <w:rsid w:val="66680388"/>
    <w:rsid w:val="667416AB"/>
    <w:rsid w:val="667C4915"/>
    <w:rsid w:val="668019A3"/>
    <w:rsid w:val="668F7D8F"/>
    <w:rsid w:val="66A546B3"/>
    <w:rsid w:val="66A912E3"/>
    <w:rsid w:val="66AB6843"/>
    <w:rsid w:val="66B42F90"/>
    <w:rsid w:val="66FC5136"/>
    <w:rsid w:val="66FD4E0B"/>
    <w:rsid w:val="670901AC"/>
    <w:rsid w:val="672A302E"/>
    <w:rsid w:val="67491773"/>
    <w:rsid w:val="675121D1"/>
    <w:rsid w:val="67650EA7"/>
    <w:rsid w:val="6767500B"/>
    <w:rsid w:val="676F41FA"/>
    <w:rsid w:val="67841E7B"/>
    <w:rsid w:val="67945E5C"/>
    <w:rsid w:val="67C63136"/>
    <w:rsid w:val="67D172DA"/>
    <w:rsid w:val="67F22E4A"/>
    <w:rsid w:val="67F24D27"/>
    <w:rsid w:val="67F42206"/>
    <w:rsid w:val="683D0B85"/>
    <w:rsid w:val="6859024B"/>
    <w:rsid w:val="68636054"/>
    <w:rsid w:val="6889707C"/>
    <w:rsid w:val="688D3FD7"/>
    <w:rsid w:val="68914153"/>
    <w:rsid w:val="68920C43"/>
    <w:rsid w:val="68A0408F"/>
    <w:rsid w:val="68AB04A4"/>
    <w:rsid w:val="68BC6927"/>
    <w:rsid w:val="68C06D09"/>
    <w:rsid w:val="68D15127"/>
    <w:rsid w:val="68E1674A"/>
    <w:rsid w:val="68EF2603"/>
    <w:rsid w:val="69025AEA"/>
    <w:rsid w:val="69072D46"/>
    <w:rsid w:val="692C4039"/>
    <w:rsid w:val="692D5F29"/>
    <w:rsid w:val="692E2855"/>
    <w:rsid w:val="695D40C5"/>
    <w:rsid w:val="69731484"/>
    <w:rsid w:val="69757FA5"/>
    <w:rsid w:val="69835459"/>
    <w:rsid w:val="6994351D"/>
    <w:rsid w:val="699B55F7"/>
    <w:rsid w:val="69CA04A8"/>
    <w:rsid w:val="69D9013F"/>
    <w:rsid w:val="69F741A2"/>
    <w:rsid w:val="69FE6E97"/>
    <w:rsid w:val="6A185E40"/>
    <w:rsid w:val="6A1C73EF"/>
    <w:rsid w:val="6A1D5127"/>
    <w:rsid w:val="6A3949FB"/>
    <w:rsid w:val="6A457C16"/>
    <w:rsid w:val="6A550048"/>
    <w:rsid w:val="6A6857B4"/>
    <w:rsid w:val="6A6B5D71"/>
    <w:rsid w:val="6A8E0CFE"/>
    <w:rsid w:val="6AA81A91"/>
    <w:rsid w:val="6AC41808"/>
    <w:rsid w:val="6AE0238F"/>
    <w:rsid w:val="6AF46091"/>
    <w:rsid w:val="6B195886"/>
    <w:rsid w:val="6B447524"/>
    <w:rsid w:val="6B854DB8"/>
    <w:rsid w:val="6BA05817"/>
    <w:rsid w:val="6BEE1234"/>
    <w:rsid w:val="6C0C10C6"/>
    <w:rsid w:val="6C1A02D9"/>
    <w:rsid w:val="6C1F4FB5"/>
    <w:rsid w:val="6C385E5A"/>
    <w:rsid w:val="6C4E481F"/>
    <w:rsid w:val="6C5C7602"/>
    <w:rsid w:val="6C5E67E5"/>
    <w:rsid w:val="6C70509E"/>
    <w:rsid w:val="6C867BD8"/>
    <w:rsid w:val="6C897CC8"/>
    <w:rsid w:val="6C8D7504"/>
    <w:rsid w:val="6C8E7FF3"/>
    <w:rsid w:val="6CA32D3B"/>
    <w:rsid w:val="6CB055BD"/>
    <w:rsid w:val="6CB56456"/>
    <w:rsid w:val="6CB95002"/>
    <w:rsid w:val="6CC137A3"/>
    <w:rsid w:val="6CCC3A0B"/>
    <w:rsid w:val="6CCF41D4"/>
    <w:rsid w:val="6CE5509D"/>
    <w:rsid w:val="6CEA61B3"/>
    <w:rsid w:val="6D1022EC"/>
    <w:rsid w:val="6D113871"/>
    <w:rsid w:val="6D1B703E"/>
    <w:rsid w:val="6D2546CA"/>
    <w:rsid w:val="6D2C4E96"/>
    <w:rsid w:val="6D2F429A"/>
    <w:rsid w:val="6D445346"/>
    <w:rsid w:val="6D4C40EA"/>
    <w:rsid w:val="6D535020"/>
    <w:rsid w:val="6D6479C3"/>
    <w:rsid w:val="6D857BC4"/>
    <w:rsid w:val="6D954F12"/>
    <w:rsid w:val="6DAC0736"/>
    <w:rsid w:val="6DB93DFC"/>
    <w:rsid w:val="6DCD71EF"/>
    <w:rsid w:val="6DCF0384"/>
    <w:rsid w:val="6DD742F7"/>
    <w:rsid w:val="6DDA142E"/>
    <w:rsid w:val="6DE27BA2"/>
    <w:rsid w:val="6DF712F5"/>
    <w:rsid w:val="6E47267B"/>
    <w:rsid w:val="6E540736"/>
    <w:rsid w:val="6E601F9E"/>
    <w:rsid w:val="6E6925E9"/>
    <w:rsid w:val="6E916B4D"/>
    <w:rsid w:val="6EBD2E31"/>
    <w:rsid w:val="6EC707CC"/>
    <w:rsid w:val="6EE710C0"/>
    <w:rsid w:val="6EED4691"/>
    <w:rsid w:val="6F037511"/>
    <w:rsid w:val="6F087CC4"/>
    <w:rsid w:val="6F1268A1"/>
    <w:rsid w:val="6F151728"/>
    <w:rsid w:val="6F23376B"/>
    <w:rsid w:val="6F3D79B6"/>
    <w:rsid w:val="6F664487"/>
    <w:rsid w:val="6F6E474D"/>
    <w:rsid w:val="6F6F3E14"/>
    <w:rsid w:val="6F830F20"/>
    <w:rsid w:val="6F8664ED"/>
    <w:rsid w:val="6FC337BC"/>
    <w:rsid w:val="6FC47F24"/>
    <w:rsid w:val="6FC667B7"/>
    <w:rsid w:val="6FD04AE8"/>
    <w:rsid w:val="6FD33091"/>
    <w:rsid w:val="6FDC162A"/>
    <w:rsid w:val="6FDC44E0"/>
    <w:rsid w:val="6FDD6525"/>
    <w:rsid w:val="6FE30F1E"/>
    <w:rsid w:val="6FF9505C"/>
    <w:rsid w:val="703A3132"/>
    <w:rsid w:val="703A3AFA"/>
    <w:rsid w:val="703A4681"/>
    <w:rsid w:val="70457B12"/>
    <w:rsid w:val="704F4E9C"/>
    <w:rsid w:val="707E05D0"/>
    <w:rsid w:val="70811B26"/>
    <w:rsid w:val="7098054A"/>
    <w:rsid w:val="70A10F09"/>
    <w:rsid w:val="70A91B7D"/>
    <w:rsid w:val="70BE59BC"/>
    <w:rsid w:val="70C20CEE"/>
    <w:rsid w:val="70C7327A"/>
    <w:rsid w:val="70DD3E23"/>
    <w:rsid w:val="70F34FCA"/>
    <w:rsid w:val="70F5772C"/>
    <w:rsid w:val="70FE77FA"/>
    <w:rsid w:val="710B4AA8"/>
    <w:rsid w:val="71243530"/>
    <w:rsid w:val="71362CEA"/>
    <w:rsid w:val="713A2991"/>
    <w:rsid w:val="714609F9"/>
    <w:rsid w:val="715765A8"/>
    <w:rsid w:val="717552D6"/>
    <w:rsid w:val="7181116E"/>
    <w:rsid w:val="71A06F30"/>
    <w:rsid w:val="71C85D97"/>
    <w:rsid w:val="71DF1321"/>
    <w:rsid w:val="72190478"/>
    <w:rsid w:val="721D327C"/>
    <w:rsid w:val="722C7603"/>
    <w:rsid w:val="72352E2A"/>
    <w:rsid w:val="723751A3"/>
    <w:rsid w:val="725B3487"/>
    <w:rsid w:val="726308E2"/>
    <w:rsid w:val="726B400C"/>
    <w:rsid w:val="726E6079"/>
    <w:rsid w:val="72744F0E"/>
    <w:rsid w:val="72785D98"/>
    <w:rsid w:val="728B2099"/>
    <w:rsid w:val="729B5B36"/>
    <w:rsid w:val="72B35287"/>
    <w:rsid w:val="72C30A05"/>
    <w:rsid w:val="72C31732"/>
    <w:rsid w:val="72E57670"/>
    <w:rsid w:val="72E849C4"/>
    <w:rsid w:val="72FF46E8"/>
    <w:rsid w:val="7309711B"/>
    <w:rsid w:val="7318135E"/>
    <w:rsid w:val="732348BD"/>
    <w:rsid w:val="73470B82"/>
    <w:rsid w:val="73556C95"/>
    <w:rsid w:val="735D56FE"/>
    <w:rsid w:val="736639D2"/>
    <w:rsid w:val="736C5E03"/>
    <w:rsid w:val="73A6170B"/>
    <w:rsid w:val="73D42779"/>
    <w:rsid w:val="73DD51A0"/>
    <w:rsid w:val="73E5115F"/>
    <w:rsid w:val="73F05C68"/>
    <w:rsid w:val="73FB6E93"/>
    <w:rsid w:val="73FF497F"/>
    <w:rsid w:val="7410293E"/>
    <w:rsid w:val="74176E58"/>
    <w:rsid w:val="74267DF1"/>
    <w:rsid w:val="742817A0"/>
    <w:rsid w:val="74355268"/>
    <w:rsid w:val="745A3FA1"/>
    <w:rsid w:val="745A54CE"/>
    <w:rsid w:val="747353EF"/>
    <w:rsid w:val="747B608F"/>
    <w:rsid w:val="74974E4F"/>
    <w:rsid w:val="749A6BDF"/>
    <w:rsid w:val="74A521A7"/>
    <w:rsid w:val="74AF0D4A"/>
    <w:rsid w:val="74BE2458"/>
    <w:rsid w:val="74C10DD9"/>
    <w:rsid w:val="74C33E4E"/>
    <w:rsid w:val="74C45CA6"/>
    <w:rsid w:val="74CB4254"/>
    <w:rsid w:val="74D359E3"/>
    <w:rsid w:val="74DB0660"/>
    <w:rsid w:val="74F75D5F"/>
    <w:rsid w:val="75080509"/>
    <w:rsid w:val="751520A8"/>
    <w:rsid w:val="7532425C"/>
    <w:rsid w:val="7543351B"/>
    <w:rsid w:val="755620AE"/>
    <w:rsid w:val="756056DD"/>
    <w:rsid w:val="75844AE0"/>
    <w:rsid w:val="758516A6"/>
    <w:rsid w:val="759762C9"/>
    <w:rsid w:val="7598328E"/>
    <w:rsid w:val="75986D1A"/>
    <w:rsid w:val="759D618A"/>
    <w:rsid w:val="75A97067"/>
    <w:rsid w:val="75AE319A"/>
    <w:rsid w:val="75B11ED2"/>
    <w:rsid w:val="75B24EF7"/>
    <w:rsid w:val="75BF1E0A"/>
    <w:rsid w:val="75CC0C58"/>
    <w:rsid w:val="75D51F38"/>
    <w:rsid w:val="75DF7A1C"/>
    <w:rsid w:val="762A110B"/>
    <w:rsid w:val="762F41B1"/>
    <w:rsid w:val="76355800"/>
    <w:rsid w:val="763F7CD2"/>
    <w:rsid w:val="7646502B"/>
    <w:rsid w:val="76520811"/>
    <w:rsid w:val="7653028C"/>
    <w:rsid w:val="766742B8"/>
    <w:rsid w:val="76802AA6"/>
    <w:rsid w:val="7698687A"/>
    <w:rsid w:val="769B6DFE"/>
    <w:rsid w:val="76AC0DE3"/>
    <w:rsid w:val="76AC2FAB"/>
    <w:rsid w:val="76C555D2"/>
    <w:rsid w:val="77115B9B"/>
    <w:rsid w:val="7721368A"/>
    <w:rsid w:val="773027D1"/>
    <w:rsid w:val="773B1476"/>
    <w:rsid w:val="77401D44"/>
    <w:rsid w:val="77422BFC"/>
    <w:rsid w:val="775C13BB"/>
    <w:rsid w:val="775E6259"/>
    <w:rsid w:val="77606B82"/>
    <w:rsid w:val="7784439D"/>
    <w:rsid w:val="7790268A"/>
    <w:rsid w:val="7796561D"/>
    <w:rsid w:val="77BF11BB"/>
    <w:rsid w:val="77C807D0"/>
    <w:rsid w:val="77D914A6"/>
    <w:rsid w:val="77F33EA5"/>
    <w:rsid w:val="77F57B49"/>
    <w:rsid w:val="77FC726A"/>
    <w:rsid w:val="78015423"/>
    <w:rsid w:val="78065E21"/>
    <w:rsid w:val="78092026"/>
    <w:rsid w:val="7825083A"/>
    <w:rsid w:val="78337982"/>
    <w:rsid w:val="78443A4F"/>
    <w:rsid w:val="785B5E7F"/>
    <w:rsid w:val="786F030A"/>
    <w:rsid w:val="78974E9C"/>
    <w:rsid w:val="78AD3A04"/>
    <w:rsid w:val="78AE50CC"/>
    <w:rsid w:val="78C2184C"/>
    <w:rsid w:val="79070BEF"/>
    <w:rsid w:val="79084E2A"/>
    <w:rsid w:val="790C6BE5"/>
    <w:rsid w:val="79304A13"/>
    <w:rsid w:val="79423DE2"/>
    <w:rsid w:val="795466FB"/>
    <w:rsid w:val="796171A5"/>
    <w:rsid w:val="797352EE"/>
    <w:rsid w:val="797C46A7"/>
    <w:rsid w:val="797F058B"/>
    <w:rsid w:val="79983DBB"/>
    <w:rsid w:val="799E3886"/>
    <w:rsid w:val="79AB3CFB"/>
    <w:rsid w:val="79AC51A9"/>
    <w:rsid w:val="79AC5821"/>
    <w:rsid w:val="79B4774B"/>
    <w:rsid w:val="79B93659"/>
    <w:rsid w:val="79D66388"/>
    <w:rsid w:val="79ED09E8"/>
    <w:rsid w:val="79FA3CE1"/>
    <w:rsid w:val="7A200DCD"/>
    <w:rsid w:val="7A2A3475"/>
    <w:rsid w:val="7A51609D"/>
    <w:rsid w:val="7A7A449B"/>
    <w:rsid w:val="7A8A3D33"/>
    <w:rsid w:val="7A9D1AF2"/>
    <w:rsid w:val="7AA049F7"/>
    <w:rsid w:val="7AAB1305"/>
    <w:rsid w:val="7AB33BBE"/>
    <w:rsid w:val="7AC5733B"/>
    <w:rsid w:val="7ACD5297"/>
    <w:rsid w:val="7AD73021"/>
    <w:rsid w:val="7ADC47C3"/>
    <w:rsid w:val="7AE658A6"/>
    <w:rsid w:val="7AE75F94"/>
    <w:rsid w:val="7AF028DE"/>
    <w:rsid w:val="7AFD2567"/>
    <w:rsid w:val="7B330527"/>
    <w:rsid w:val="7B3D7962"/>
    <w:rsid w:val="7B3E5193"/>
    <w:rsid w:val="7B681689"/>
    <w:rsid w:val="7B76061B"/>
    <w:rsid w:val="7BAD023F"/>
    <w:rsid w:val="7BB65DD0"/>
    <w:rsid w:val="7BBB055C"/>
    <w:rsid w:val="7BBD4F47"/>
    <w:rsid w:val="7BC1580A"/>
    <w:rsid w:val="7BDB07B3"/>
    <w:rsid w:val="7C0844BB"/>
    <w:rsid w:val="7C3519A7"/>
    <w:rsid w:val="7C467E54"/>
    <w:rsid w:val="7C504E5F"/>
    <w:rsid w:val="7C636D7B"/>
    <w:rsid w:val="7C66727A"/>
    <w:rsid w:val="7C6D6003"/>
    <w:rsid w:val="7C87012C"/>
    <w:rsid w:val="7C8A5BC2"/>
    <w:rsid w:val="7CC448B2"/>
    <w:rsid w:val="7CC959C7"/>
    <w:rsid w:val="7CEF347D"/>
    <w:rsid w:val="7CF6186E"/>
    <w:rsid w:val="7CFE2AF1"/>
    <w:rsid w:val="7D047736"/>
    <w:rsid w:val="7D0A382D"/>
    <w:rsid w:val="7D11179C"/>
    <w:rsid w:val="7D2F4329"/>
    <w:rsid w:val="7D3704C0"/>
    <w:rsid w:val="7D414A16"/>
    <w:rsid w:val="7D4457F6"/>
    <w:rsid w:val="7D4E5163"/>
    <w:rsid w:val="7D512740"/>
    <w:rsid w:val="7D7E6ECE"/>
    <w:rsid w:val="7D9C4976"/>
    <w:rsid w:val="7DAF3DF1"/>
    <w:rsid w:val="7DBD1A7E"/>
    <w:rsid w:val="7DC7520F"/>
    <w:rsid w:val="7DDA3896"/>
    <w:rsid w:val="7DE13763"/>
    <w:rsid w:val="7DEC7CA4"/>
    <w:rsid w:val="7DF56D2F"/>
    <w:rsid w:val="7DFA2799"/>
    <w:rsid w:val="7E0B2A9C"/>
    <w:rsid w:val="7E0E6C77"/>
    <w:rsid w:val="7E1C414C"/>
    <w:rsid w:val="7E3048C1"/>
    <w:rsid w:val="7E515808"/>
    <w:rsid w:val="7E5704FB"/>
    <w:rsid w:val="7E5C3572"/>
    <w:rsid w:val="7E5E3D70"/>
    <w:rsid w:val="7E742EE1"/>
    <w:rsid w:val="7E830CAF"/>
    <w:rsid w:val="7E8B0B81"/>
    <w:rsid w:val="7E8F2D75"/>
    <w:rsid w:val="7EA454A5"/>
    <w:rsid w:val="7ED405DD"/>
    <w:rsid w:val="7EE1772D"/>
    <w:rsid w:val="7EF805C1"/>
    <w:rsid w:val="7F007CB5"/>
    <w:rsid w:val="7F162CCF"/>
    <w:rsid w:val="7F1718AA"/>
    <w:rsid w:val="7F3535AD"/>
    <w:rsid w:val="7F4B382D"/>
    <w:rsid w:val="7F51576B"/>
    <w:rsid w:val="7F5760BD"/>
    <w:rsid w:val="7F676991"/>
    <w:rsid w:val="7F6A322B"/>
    <w:rsid w:val="7F7A726C"/>
    <w:rsid w:val="7F892996"/>
    <w:rsid w:val="7F8F2E0F"/>
    <w:rsid w:val="7F9978A1"/>
    <w:rsid w:val="7F9C2283"/>
    <w:rsid w:val="7F9F5B66"/>
    <w:rsid w:val="7FA51862"/>
    <w:rsid w:val="7FB47F73"/>
    <w:rsid w:val="7FB61109"/>
    <w:rsid w:val="7FD75502"/>
    <w:rsid w:val="7FDC6271"/>
    <w:rsid w:val="7FF22503"/>
    <w:rsid w:val="7FF81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qFormat/>
    <w:uiPriority w:val="0"/>
    <w:pPr>
      <w:keepNext/>
      <w:keepLines/>
      <w:spacing w:line="576" w:lineRule="auto"/>
      <w:outlineLvl w:val="0"/>
    </w:pPr>
    <w:rPr>
      <w:rFonts w:eastAsia="宋体"/>
      <w:b/>
      <w:bCs/>
      <w:kern w:val="44"/>
      <w:sz w:val="44"/>
      <w:szCs w:val="44"/>
    </w:rPr>
  </w:style>
  <w:style w:type="paragraph" w:styleId="4">
    <w:name w:val="heading 2"/>
    <w:basedOn w:val="1"/>
    <w:next w:val="5"/>
    <w:unhideWhenUsed/>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413" w:lineRule="auto"/>
      <w:outlineLvl w:val="2"/>
    </w:pPr>
    <w:rPr>
      <w:b/>
      <w:sz w:val="28"/>
    </w:rPr>
  </w:style>
  <w:style w:type="paragraph" w:styleId="7">
    <w:name w:val="heading 4"/>
    <w:basedOn w:val="1"/>
    <w:next w:val="1"/>
    <w:qFormat/>
    <w:uiPriority w:val="0"/>
    <w:pPr>
      <w:keepNext/>
      <w:keepLines/>
      <w:jc w:val="left"/>
      <w:outlineLvl w:val="3"/>
    </w:pPr>
    <w:rPr>
      <w:rFonts w:hint="eastAsia" w:ascii="Arial" w:hAnsi="Arial" w:eastAsia="宋体" w:cs="Times New Roman"/>
      <w:b/>
      <w:sz w:val="32"/>
    </w:rPr>
  </w:style>
  <w:style w:type="paragraph" w:styleId="8">
    <w:name w:val="heading 6"/>
    <w:basedOn w:val="1"/>
    <w:next w:val="1"/>
    <w:semiHidden/>
    <w:unhideWhenUsed/>
    <w:qFormat/>
    <w:uiPriority w:val="0"/>
    <w:pPr>
      <w:spacing w:line="17" w:lineRule="atLeast"/>
      <w:jc w:val="left"/>
      <w:outlineLvl w:val="5"/>
    </w:pPr>
    <w:rPr>
      <w:rFonts w:hint="eastAsia" w:ascii="宋体" w:hAnsi="宋体" w:eastAsia="宋体" w:cs="Times New Roman"/>
      <w:b/>
      <w:kern w:val="0"/>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hAnsi="Times New Roman"/>
    </w:rPr>
  </w:style>
  <w:style w:type="paragraph" w:styleId="5">
    <w:name w:val="Normal Indent"/>
    <w:basedOn w:val="1"/>
    <w:qFormat/>
    <w:uiPriority w:val="0"/>
    <w:pPr>
      <w:ind w:firstLine="420"/>
    </w:pPr>
    <w:rPr>
      <w:rFonts w:ascii="Times New Roman" w:hAnsi="Times New Roman"/>
      <w:sz w:val="21"/>
    </w:rPr>
  </w:style>
  <w:style w:type="paragraph" w:styleId="9">
    <w:name w:val="annotation text"/>
    <w:basedOn w:val="1"/>
    <w:qFormat/>
    <w:uiPriority w:val="0"/>
    <w:pPr>
      <w:jc w:val="left"/>
    </w:pPr>
  </w:style>
  <w:style w:type="paragraph" w:styleId="10">
    <w:name w:val="Body Text Indent"/>
    <w:basedOn w:val="1"/>
    <w:qFormat/>
    <w:uiPriority w:val="0"/>
    <w:pPr>
      <w:ind w:left="420" w:leftChars="200"/>
    </w:pPr>
  </w:style>
  <w:style w:type="paragraph" w:styleId="11">
    <w:name w:val="Block Text"/>
    <w:basedOn w:val="1"/>
    <w:qFormat/>
    <w:uiPriority w:val="0"/>
    <w:pPr>
      <w:ind w:left="1440" w:leftChars="700" w:right="700" w:rightChars="700"/>
    </w:pPr>
    <w:rPr>
      <w:rFonts w:ascii="Times New Roman" w:hAnsi="Times New Roman" w:eastAsia="宋体" w:cs="Times New Roman"/>
    </w:rPr>
  </w:style>
  <w:style w:type="paragraph" w:styleId="12">
    <w:name w:val="Plain Text"/>
    <w:basedOn w:val="1"/>
    <w:qFormat/>
    <w:uiPriority w:val="0"/>
    <w:rPr>
      <w:rFonts w:ascii="宋体" w:hAnsi="Courier New" w:eastAsia="宋体"/>
      <w:sz w:val="21"/>
    </w:rPr>
  </w:style>
  <w:style w:type="paragraph" w:styleId="13">
    <w:name w:val="Date"/>
    <w:basedOn w:val="1"/>
    <w:next w:val="1"/>
    <w:qFormat/>
    <w:uiPriority w:val="0"/>
    <w:rPr>
      <w:szCs w:val="20"/>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link w:val="16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 w:val="21"/>
      <w:szCs w:val="24"/>
    </w:rPr>
  </w:style>
  <w:style w:type="paragraph" w:styleId="17">
    <w:name w:val="toc 2"/>
    <w:basedOn w:val="1"/>
    <w:next w:val="1"/>
    <w:qFormat/>
    <w:uiPriority w:val="0"/>
    <w:pPr>
      <w:ind w:left="420" w:leftChars="200"/>
    </w:pPr>
    <w:rPr>
      <w:sz w:val="21"/>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styleId="19">
    <w:name w:val="Normal (Web)"/>
    <w:basedOn w:val="1"/>
    <w:next w:val="1"/>
    <w:qFormat/>
    <w:uiPriority w:val="0"/>
    <w:pPr>
      <w:jc w:val="left"/>
    </w:pPr>
    <w:rPr>
      <w:rFonts w:cs="Times New Roman"/>
      <w:kern w:val="0"/>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styleId="21">
    <w:name w:val="Body Text First Indent"/>
    <w:basedOn w:val="2"/>
    <w:unhideWhenUsed/>
    <w:qFormat/>
    <w:uiPriority w:val="99"/>
    <w:pPr>
      <w:ind w:firstLine="420" w:firstLineChars="100"/>
    </w:pPr>
  </w:style>
  <w:style w:type="paragraph" w:styleId="22">
    <w:name w:val="Body Text First Indent 2"/>
    <w:basedOn w:val="10"/>
    <w:qFormat/>
    <w:uiPriority w:val="0"/>
    <w:pPr>
      <w:tabs>
        <w:tab w:val="left" w:pos="4900"/>
      </w:tabs>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Emphasis"/>
    <w:basedOn w:val="25"/>
    <w:qFormat/>
    <w:uiPriority w:val="0"/>
  </w:style>
  <w:style w:type="character" w:styleId="30">
    <w:name w:val="HTML Definition"/>
    <w:basedOn w:val="25"/>
    <w:qFormat/>
    <w:uiPriority w:val="0"/>
    <w:rPr>
      <w:i/>
      <w:iCs/>
    </w:rPr>
  </w:style>
  <w:style w:type="character" w:styleId="31">
    <w:name w:val="Hyperlink"/>
    <w:basedOn w:val="25"/>
    <w:qFormat/>
    <w:uiPriority w:val="0"/>
    <w:rPr>
      <w:rFonts w:ascii="宋体" w:hAnsi="宋体" w:eastAsia="宋体"/>
      <w:b/>
      <w:color w:val="0000FF"/>
      <w:kern w:val="2"/>
      <w:sz w:val="24"/>
      <w:szCs w:val="24"/>
      <w:u w:val="single"/>
      <w:lang w:val="en-US" w:eastAsia="zh-CN" w:bidi="ar-SA"/>
    </w:rPr>
  </w:style>
  <w:style w:type="character" w:styleId="32">
    <w:name w:val="HTML Code"/>
    <w:basedOn w:val="25"/>
    <w:qFormat/>
    <w:uiPriority w:val="0"/>
    <w:rPr>
      <w:rFonts w:hint="default" w:ascii="Menlo" w:hAnsi="Menlo" w:eastAsia="Menlo" w:cs="Menlo"/>
      <w:color w:val="C7254E"/>
      <w:sz w:val="21"/>
      <w:szCs w:val="21"/>
      <w:shd w:val="clear" w:color="auto" w:fill="F9F2F4"/>
    </w:rPr>
  </w:style>
  <w:style w:type="character" w:styleId="33">
    <w:name w:val="HTML Keyboard"/>
    <w:basedOn w:val="25"/>
    <w:qFormat/>
    <w:uiPriority w:val="0"/>
    <w:rPr>
      <w:rFonts w:ascii="Menlo" w:hAnsi="Menlo" w:eastAsia="Menlo" w:cs="Menlo"/>
      <w:color w:val="FFFFFF"/>
      <w:sz w:val="21"/>
      <w:szCs w:val="21"/>
      <w:shd w:val="clear" w:color="auto" w:fill="333333"/>
    </w:rPr>
  </w:style>
  <w:style w:type="character" w:styleId="34">
    <w:name w:val="HTML Sample"/>
    <w:basedOn w:val="25"/>
    <w:qFormat/>
    <w:uiPriority w:val="0"/>
    <w:rPr>
      <w:rFonts w:hint="default" w:ascii="Menlo" w:hAnsi="Menlo" w:eastAsia="Menlo" w:cs="Menlo"/>
      <w:sz w:val="21"/>
      <w:szCs w:val="21"/>
    </w:rPr>
  </w:style>
  <w:style w:type="paragraph" w:customStyle="1" w:styleId="35">
    <w:name w:val="段"/>
    <w:next w:val="1"/>
    <w:qFormat/>
    <w:uiPriority w:val="99"/>
    <w:pPr>
      <w:tabs>
        <w:tab w:val="center" w:pos="4201"/>
        <w:tab w:val="right" w:leader="dot" w:pos="9298"/>
      </w:tabs>
      <w:autoSpaceDE w:val="0"/>
      <w:autoSpaceDN w:val="0"/>
      <w:spacing w:line="360" w:lineRule="auto"/>
      <w:ind w:firstLine="420" w:firstLineChars="200"/>
      <w:jc w:val="both"/>
    </w:pPr>
    <w:rPr>
      <w:rFonts w:ascii="宋体" w:hAnsi="宋体" w:eastAsia="仿宋" w:cs="Times New Roman"/>
      <w:sz w:val="28"/>
      <w:lang w:val="en-US" w:eastAsia="zh-CN" w:bidi="ar-SA"/>
    </w:rPr>
  </w:style>
  <w:style w:type="paragraph" w:customStyle="1" w:styleId="36">
    <w:name w:val="列出段落1"/>
    <w:basedOn w:val="1"/>
    <w:qFormat/>
    <w:uiPriority w:val="0"/>
    <w:pPr>
      <w:ind w:firstLine="420" w:firstLineChars="200"/>
    </w:pPr>
    <w:rPr>
      <w:rFonts w:ascii="Calibri" w:hAnsi="Calibri" w:cs="黑体"/>
    </w:rPr>
  </w:style>
  <w:style w:type="paragraph" w:customStyle="1" w:styleId="37">
    <w:name w:val="正文缩进1"/>
    <w:basedOn w:val="1"/>
    <w:qFormat/>
    <w:uiPriority w:val="0"/>
    <w:pPr>
      <w:ind w:firstLine="420" w:firstLineChars="200"/>
    </w:pPr>
  </w:style>
  <w:style w:type="paragraph" w:customStyle="1" w:styleId="38">
    <w:name w:val="_Style 5"/>
    <w:basedOn w:val="3"/>
    <w:next w:val="1"/>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39">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40">
    <w:name w:val="p15"/>
    <w:basedOn w:val="1"/>
    <w:qFormat/>
    <w:uiPriority w:val="99"/>
    <w:pPr>
      <w:widowControl/>
    </w:pPr>
    <w:rPr>
      <w:kern w:val="0"/>
      <w:sz w:val="21"/>
      <w:szCs w:val="21"/>
    </w:rPr>
  </w:style>
  <w:style w:type="paragraph" w:customStyle="1" w:styleId="41">
    <w:name w:val="正文 New"/>
    <w:qFormat/>
    <w:uiPriority w:val="99"/>
    <w:pPr>
      <w:widowControl w:val="0"/>
      <w:jc w:val="both"/>
    </w:pPr>
    <w:rPr>
      <w:rFonts w:ascii="Calibri" w:hAnsi="Calibri" w:eastAsiaTheme="minorEastAsia" w:cstheme="minorBidi"/>
      <w:sz w:val="21"/>
      <w:szCs w:val="22"/>
      <w:lang w:val="en-US" w:eastAsia="zh-CN" w:bidi="ar-SA"/>
    </w:rPr>
  </w:style>
  <w:style w:type="character" w:customStyle="1" w:styleId="42">
    <w:name w:val="old"/>
    <w:basedOn w:val="25"/>
    <w:qFormat/>
    <w:uiPriority w:val="0"/>
    <w:rPr>
      <w:color w:val="999999"/>
    </w:rPr>
  </w:style>
  <w:style w:type="character" w:customStyle="1" w:styleId="43">
    <w:name w:val="hover3"/>
    <w:basedOn w:val="25"/>
    <w:qFormat/>
    <w:uiPriority w:val="0"/>
    <w:rPr>
      <w:shd w:val="clear" w:color="auto" w:fill="EEEEEE"/>
    </w:rPr>
  </w:style>
  <w:style w:type="character" w:customStyle="1" w:styleId="44">
    <w:name w:val="glyphicon4"/>
    <w:basedOn w:val="25"/>
    <w:qFormat/>
    <w:uiPriority w:val="0"/>
  </w:style>
  <w:style w:type="character" w:customStyle="1" w:styleId="45">
    <w:name w:val="hour_am"/>
    <w:basedOn w:val="25"/>
    <w:qFormat/>
    <w:uiPriority w:val="0"/>
  </w:style>
  <w:style w:type="character" w:customStyle="1" w:styleId="46">
    <w:name w:val="hour_pm"/>
    <w:basedOn w:val="25"/>
    <w:qFormat/>
    <w:uiPriority w:val="0"/>
  </w:style>
  <w:style w:type="character" w:customStyle="1" w:styleId="47">
    <w:name w:val="button"/>
    <w:basedOn w:val="25"/>
    <w:qFormat/>
    <w:uiPriority w:val="0"/>
  </w:style>
  <w:style w:type="character" w:customStyle="1" w:styleId="48">
    <w:name w:val="tmpztreemove_arrow"/>
    <w:basedOn w:val="25"/>
    <w:qFormat/>
    <w:uiPriority w:val="0"/>
    <w:rPr>
      <w:shd w:val="clear" w:color="auto" w:fill="FFFFFF"/>
    </w:rPr>
  </w:style>
  <w:style w:type="character" w:customStyle="1" w:styleId="49">
    <w:name w:val="indent"/>
    <w:basedOn w:val="25"/>
    <w:qFormat/>
    <w:uiPriority w:val="0"/>
  </w:style>
  <w:style w:type="paragraph" w:customStyle="1" w:styleId="50">
    <w:name w:val="title1"/>
    <w:basedOn w:val="1"/>
    <w:qFormat/>
    <w:uiPriority w:val="0"/>
    <w:pPr>
      <w:spacing w:before="150" w:line="450" w:lineRule="atLeast"/>
      <w:jc w:val="left"/>
    </w:pPr>
    <w:rPr>
      <w:rFonts w:cs="Times New Roman"/>
      <w:b/>
      <w:kern w:val="0"/>
      <w:szCs w:val="24"/>
    </w:rPr>
  </w:style>
  <w:style w:type="paragraph" w:customStyle="1" w:styleId="5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列出段落2"/>
    <w:basedOn w:val="1"/>
    <w:qFormat/>
    <w:uiPriority w:val="34"/>
    <w:pPr>
      <w:ind w:firstLine="420" w:firstLineChars="200"/>
    </w:pPr>
  </w:style>
  <w:style w:type="paragraph" w:customStyle="1" w:styleId="53">
    <w:name w:val="List Paragraph_0ebf999d-180a-4a52-88b1-358b0e0eb422"/>
    <w:basedOn w:val="1"/>
    <w:qFormat/>
    <w:uiPriority w:val="0"/>
    <w:pPr>
      <w:ind w:firstLine="420" w:firstLineChars="200"/>
    </w:pPr>
    <w:rPr>
      <w:rFonts w:ascii="Calibri" w:hAnsi="Calibri" w:eastAsia="宋体" w:cs="Times New Roman"/>
      <w:sz w:val="21"/>
      <w:szCs w:val="21"/>
    </w:rPr>
  </w:style>
  <w:style w:type="paragraph" w:customStyle="1" w:styleId="54">
    <w:name w:val="正文 A"/>
    <w:qFormat/>
    <w:uiPriority w:val="0"/>
    <w:pPr>
      <w:framePr w:wrap="around" w:vAnchor="margin" w:hAnchor="text" w:yAlign="top"/>
      <w:widowControl w:val="0"/>
      <w:jc w:val="both"/>
    </w:pPr>
    <w:rPr>
      <w:rFonts w:ascii="Times New Roman" w:hAnsi="Times New Roman" w:eastAsia="Times New Roman" w:cs="Arial Unicode MS"/>
      <w:color w:val="000000"/>
      <w:kern w:val="2"/>
      <w:sz w:val="21"/>
      <w:szCs w:val="21"/>
      <w:u w:color="000000"/>
      <w:lang w:val="en-US" w:eastAsia="zh-CN" w:bidi="ar-SA"/>
    </w:rPr>
  </w:style>
  <w:style w:type="character" w:customStyle="1" w:styleId="55">
    <w:name w:val="NormalCharacter"/>
    <w:qFormat/>
    <w:uiPriority w:val="0"/>
  </w:style>
  <w:style w:type="paragraph" w:customStyle="1" w:styleId="56">
    <w:name w:val="Table Paragraph"/>
    <w:basedOn w:val="1"/>
    <w:qFormat/>
    <w:uiPriority w:val="1"/>
    <w:pPr>
      <w:autoSpaceDE w:val="0"/>
      <w:autoSpaceDN w:val="0"/>
      <w:spacing w:before="137"/>
      <w:ind w:left="108"/>
      <w:jc w:val="center"/>
    </w:pPr>
    <w:rPr>
      <w:rFonts w:ascii="宋体" w:hAnsi="宋体" w:cs="宋体"/>
      <w:kern w:val="0"/>
      <w:sz w:val="22"/>
      <w:lang w:val="zh-CN" w:bidi="zh-CN"/>
    </w:rPr>
  </w:style>
  <w:style w:type="paragraph" w:customStyle="1" w:styleId="57">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8">
    <w:name w:val="彩色列表 - 强调文字颜色 11"/>
    <w:basedOn w:val="1"/>
    <w:qFormat/>
    <w:uiPriority w:val="34"/>
    <w:pPr>
      <w:ind w:firstLine="420" w:firstLineChars="200"/>
    </w:pPr>
    <w:rPr>
      <w:rFonts w:ascii="Calibri" w:hAnsi="Calibri"/>
    </w:rPr>
  </w:style>
  <w:style w:type="character" w:customStyle="1" w:styleId="59">
    <w:name w:val="font01"/>
    <w:basedOn w:val="25"/>
    <w:qFormat/>
    <w:uiPriority w:val="0"/>
    <w:rPr>
      <w:rFonts w:hint="default" w:ascii="Arial" w:hAnsi="Arial" w:cs="Arial"/>
      <w:color w:val="000000"/>
      <w:sz w:val="22"/>
      <w:szCs w:val="22"/>
      <w:u w:val="none"/>
    </w:rPr>
  </w:style>
  <w:style w:type="character" w:customStyle="1" w:styleId="60">
    <w:name w:val="font41"/>
    <w:basedOn w:val="25"/>
    <w:qFormat/>
    <w:uiPriority w:val="0"/>
    <w:rPr>
      <w:rFonts w:hint="default" w:ascii="Arial" w:hAnsi="Arial" w:cs="Arial"/>
      <w:color w:val="000000"/>
      <w:sz w:val="22"/>
      <w:szCs w:val="22"/>
      <w:u w:val="none"/>
    </w:rPr>
  </w:style>
  <w:style w:type="character" w:customStyle="1" w:styleId="61">
    <w:name w:val="font101"/>
    <w:basedOn w:val="25"/>
    <w:qFormat/>
    <w:uiPriority w:val="0"/>
    <w:rPr>
      <w:rFonts w:ascii="Arial" w:hAnsi="Arial" w:cs="Arial"/>
      <w:color w:val="000000"/>
      <w:sz w:val="20"/>
      <w:szCs w:val="20"/>
      <w:u w:val="none"/>
    </w:rPr>
  </w:style>
  <w:style w:type="character" w:customStyle="1" w:styleId="62">
    <w:name w:val="font61"/>
    <w:basedOn w:val="25"/>
    <w:qFormat/>
    <w:uiPriority w:val="0"/>
    <w:rPr>
      <w:rFonts w:hint="eastAsia" w:ascii="仿宋" w:hAnsi="仿宋" w:eastAsia="仿宋" w:cs="仿宋"/>
      <w:color w:val="000000"/>
      <w:sz w:val="20"/>
      <w:szCs w:val="20"/>
      <w:u w:val="none"/>
    </w:rPr>
  </w:style>
  <w:style w:type="paragraph" w:customStyle="1" w:styleId="6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4">
    <w:name w:val="标题 5（有编号）（绿盟科技）"/>
    <w:basedOn w:val="1"/>
    <w:next w:val="65"/>
    <w:qFormat/>
    <w:uiPriority w:val="0"/>
    <w:pPr>
      <w:keepNext/>
      <w:keepLines/>
      <w:numPr>
        <w:ilvl w:val="4"/>
        <w:numId w:val="1"/>
      </w:numPr>
      <w:spacing w:before="280" w:after="156" w:line="377" w:lineRule="auto"/>
      <w:outlineLvl w:val="4"/>
    </w:pPr>
    <w:rPr>
      <w:rFonts w:eastAsia="黑体"/>
      <w:b/>
      <w:szCs w:val="28"/>
    </w:rPr>
  </w:style>
  <w:style w:type="paragraph" w:customStyle="1" w:styleId="65">
    <w:name w:val="正文（绿盟科技）"/>
    <w:qFormat/>
    <w:uiPriority w:val="0"/>
    <w:pPr>
      <w:spacing w:line="300" w:lineRule="auto"/>
    </w:pPr>
    <w:rPr>
      <w:rFonts w:ascii="Times New Roman" w:hAnsi="Times New Roman" w:eastAsia="宋体" w:cs="黑体"/>
      <w:sz w:val="21"/>
      <w:szCs w:val="21"/>
      <w:lang w:val="en-US" w:eastAsia="zh-CN" w:bidi="ar-SA"/>
    </w:rPr>
  </w:style>
  <w:style w:type="character" w:customStyle="1" w:styleId="66">
    <w:name w:val="font11"/>
    <w:basedOn w:val="25"/>
    <w:qFormat/>
    <w:uiPriority w:val="0"/>
    <w:rPr>
      <w:rFonts w:hint="eastAsia" w:ascii="宋体" w:hAnsi="宋体" w:eastAsia="宋体" w:cs="宋体"/>
      <w:color w:val="000000"/>
      <w:sz w:val="22"/>
      <w:szCs w:val="22"/>
      <w:u w:val="none"/>
    </w:rPr>
  </w:style>
  <w:style w:type="character" w:customStyle="1" w:styleId="67">
    <w:name w:val="nth-of-type(1)"/>
    <w:basedOn w:val="25"/>
    <w:qFormat/>
    <w:uiPriority w:val="0"/>
  </w:style>
  <w:style w:type="character" w:customStyle="1" w:styleId="68">
    <w:name w:val="nth-of-type(1)1"/>
    <w:basedOn w:val="25"/>
    <w:qFormat/>
    <w:uiPriority w:val="0"/>
  </w:style>
  <w:style w:type="character" w:customStyle="1" w:styleId="69">
    <w:name w:val="nth-of-type(1)2"/>
    <w:basedOn w:val="25"/>
    <w:qFormat/>
    <w:uiPriority w:val="0"/>
  </w:style>
  <w:style w:type="character" w:customStyle="1" w:styleId="70">
    <w:name w:val="nth-of-type(1)3"/>
    <w:basedOn w:val="25"/>
    <w:qFormat/>
    <w:uiPriority w:val="0"/>
  </w:style>
  <w:style w:type="character" w:customStyle="1" w:styleId="71">
    <w:name w:val="nth-of-type(1)4"/>
    <w:basedOn w:val="25"/>
    <w:qFormat/>
    <w:uiPriority w:val="0"/>
  </w:style>
  <w:style w:type="character" w:customStyle="1" w:styleId="72">
    <w:name w:val="nth-of-type(1)5"/>
    <w:basedOn w:val="25"/>
    <w:qFormat/>
    <w:uiPriority w:val="0"/>
  </w:style>
  <w:style w:type="character" w:customStyle="1" w:styleId="73">
    <w:name w:val="nth-of-type(1)6"/>
    <w:basedOn w:val="25"/>
    <w:qFormat/>
    <w:uiPriority w:val="0"/>
    <w:rPr>
      <w:rFonts w:ascii="SourceHanSansCN-Regular" w:hAnsi="SourceHanSansCN-Regular" w:eastAsia="SourceHanSansCN-Regular" w:cs="SourceHanSansCN-Regular"/>
      <w:color w:val="FB560A"/>
      <w:sz w:val="21"/>
      <w:szCs w:val="21"/>
    </w:rPr>
  </w:style>
  <w:style w:type="character" w:customStyle="1" w:styleId="74">
    <w:name w:val="nth-of-type(1)7"/>
    <w:basedOn w:val="25"/>
    <w:qFormat/>
    <w:uiPriority w:val="0"/>
  </w:style>
  <w:style w:type="character" w:customStyle="1" w:styleId="75">
    <w:name w:val="nth-of-type(1)8"/>
    <w:basedOn w:val="25"/>
    <w:qFormat/>
    <w:uiPriority w:val="0"/>
  </w:style>
  <w:style w:type="character" w:customStyle="1" w:styleId="76">
    <w:name w:val="nth-of-type(1)9"/>
    <w:basedOn w:val="25"/>
    <w:qFormat/>
    <w:uiPriority w:val="0"/>
  </w:style>
  <w:style w:type="character" w:customStyle="1" w:styleId="77">
    <w:name w:val="nth-of-type(1)10"/>
    <w:basedOn w:val="25"/>
    <w:qFormat/>
    <w:uiPriority w:val="0"/>
  </w:style>
  <w:style w:type="character" w:customStyle="1" w:styleId="78">
    <w:name w:val="nth-of-type(1)11"/>
    <w:basedOn w:val="25"/>
    <w:qFormat/>
    <w:uiPriority w:val="0"/>
  </w:style>
  <w:style w:type="character" w:customStyle="1" w:styleId="79">
    <w:name w:val="nth-of-type(1)12"/>
    <w:basedOn w:val="25"/>
    <w:qFormat/>
    <w:uiPriority w:val="0"/>
  </w:style>
  <w:style w:type="character" w:customStyle="1" w:styleId="80">
    <w:name w:val="nth-of-type(1)13"/>
    <w:basedOn w:val="25"/>
    <w:qFormat/>
    <w:uiPriority w:val="0"/>
    <w:rPr>
      <w:sz w:val="21"/>
      <w:szCs w:val="21"/>
    </w:rPr>
  </w:style>
  <w:style w:type="character" w:customStyle="1" w:styleId="81">
    <w:name w:val="nth-of-type(1)14"/>
    <w:basedOn w:val="25"/>
    <w:qFormat/>
    <w:uiPriority w:val="0"/>
  </w:style>
  <w:style w:type="character" w:customStyle="1" w:styleId="82">
    <w:name w:val="nth-of-type(1)15"/>
    <w:basedOn w:val="25"/>
    <w:qFormat/>
    <w:uiPriority w:val="0"/>
  </w:style>
  <w:style w:type="character" w:customStyle="1" w:styleId="83">
    <w:name w:val="nth-of-type(1)16"/>
    <w:basedOn w:val="25"/>
    <w:qFormat/>
    <w:uiPriority w:val="0"/>
  </w:style>
  <w:style w:type="character" w:customStyle="1" w:styleId="84">
    <w:name w:val="nth-of-type(1)17"/>
    <w:basedOn w:val="25"/>
    <w:qFormat/>
    <w:uiPriority w:val="0"/>
  </w:style>
  <w:style w:type="character" w:customStyle="1" w:styleId="85">
    <w:name w:val="nth-of-type(1)18"/>
    <w:basedOn w:val="25"/>
    <w:qFormat/>
    <w:uiPriority w:val="0"/>
  </w:style>
  <w:style w:type="character" w:customStyle="1" w:styleId="86">
    <w:name w:val="hover25"/>
    <w:basedOn w:val="25"/>
    <w:qFormat/>
    <w:uiPriority w:val="0"/>
    <w:rPr>
      <w:color w:val="167AE0"/>
    </w:rPr>
  </w:style>
  <w:style w:type="character" w:customStyle="1" w:styleId="87">
    <w:name w:val="layui-this"/>
    <w:basedOn w:val="25"/>
    <w:qFormat/>
    <w:uiPriority w:val="0"/>
    <w:rPr>
      <w:bdr w:val="single" w:color="EEEEEE" w:sz="6" w:space="0"/>
      <w:shd w:val="clear" w:color="auto" w:fill="FFFFFF"/>
    </w:rPr>
  </w:style>
  <w:style w:type="character" w:customStyle="1" w:styleId="88">
    <w:name w:val="nth-of-type(5)"/>
    <w:basedOn w:val="25"/>
    <w:qFormat/>
    <w:uiPriority w:val="0"/>
  </w:style>
  <w:style w:type="character" w:customStyle="1" w:styleId="89">
    <w:name w:val="nth-of-type(5)1"/>
    <w:basedOn w:val="25"/>
    <w:qFormat/>
    <w:uiPriority w:val="0"/>
  </w:style>
  <w:style w:type="character" w:customStyle="1" w:styleId="90">
    <w:name w:val="nth-of-type(5)2"/>
    <w:basedOn w:val="25"/>
    <w:qFormat/>
    <w:uiPriority w:val="0"/>
  </w:style>
  <w:style w:type="character" w:customStyle="1" w:styleId="91">
    <w:name w:val="nth-of-type(5)3"/>
    <w:basedOn w:val="25"/>
    <w:qFormat/>
    <w:uiPriority w:val="0"/>
  </w:style>
  <w:style w:type="character" w:customStyle="1" w:styleId="92">
    <w:name w:val="nth-of-type(5)4"/>
    <w:basedOn w:val="25"/>
    <w:qFormat/>
    <w:uiPriority w:val="0"/>
    <w:rPr>
      <w:sz w:val="21"/>
      <w:szCs w:val="21"/>
    </w:rPr>
  </w:style>
  <w:style w:type="character" w:customStyle="1" w:styleId="93">
    <w:name w:val="nth-of-type(5)5"/>
    <w:basedOn w:val="25"/>
    <w:qFormat/>
    <w:uiPriority w:val="0"/>
  </w:style>
  <w:style w:type="character" w:customStyle="1" w:styleId="94">
    <w:name w:val="nth-of-type(5)6"/>
    <w:basedOn w:val="25"/>
    <w:qFormat/>
    <w:uiPriority w:val="0"/>
  </w:style>
  <w:style w:type="character" w:customStyle="1" w:styleId="95">
    <w:name w:val="nth-of-type(2)"/>
    <w:basedOn w:val="25"/>
    <w:qFormat/>
    <w:uiPriority w:val="0"/>
  </w:style>
  <w:style w:type="character" w:customStyle="1" w:styleId="96">
    <w:name w:val="nth-of-type(2)1"/>
    <w:basedOn w:val="25"/>
    <w:qFormat/>
    <w:uiPriority w:val="0"/>
  </w:style>
  <w:style w:type="character" w:customStyle="1" w:styleId="97">
    <w:name w:val="nth-of-type(2)2"/>
    <w:basedOn w:val="25"/>
    <w:qFormat/>
    <w:uiPriority w:val="0"/>
  </w:style>
  <w:style w:type="character" w:customStyle="1" w:styleId="98">
    <w:name w:val="nth-of-type(2)3"/>
    <w:basedOn w:val="25"/>
    <w:qFormat/>
    <w:uiPriority w:val="0"/>
  </w:style>
  <w:style w:type="character" w:customStyle="1" w:styleId="99">
    <w:name w:val="nth-of-type(2)4"/>
    <w:basedOn w:val="25"/>
    <w:qFormat/>
    <w:uiPriority w:val="0"/>
  </w:style>
  <w:style w:type="character" w:customStyle="1" w:styleId="100">
    <w:name w:val="nth-of-type(2)5"/>
    <w:basedOn w:val="25"/>
    <w:qFormat/>
    <w:uiPriority w:val="0"/>
  </w:style>
  <w:style w:type="character" w:customStyle="1" w:styleId="101">
    <w:name w:val="nth-of-type(2)6"/>
    <w:basedOn w:val="25"/>
    <w:qFormat/>
    <w:uiPriority w:val="0"/>
  </w:style>
  <w:style w:type="character" w:customStyle="1" w:styleId="102">
    <w:name w:val="nth-of-type(2)7"/>
    <w:basedOn w:val="25"/>
    <w:qFormat/>
    <w:uiPriority w:val="0"/>
  </w:style>
  <w:style w:type="character" w:customStyle="1" w:styleId="103">
    <w:name w:val="nth-of-type(2)8"/>
    <w:basedOn w:val="25"/>
    <w:qFormat/>
    <w:uiPriority w:val="0"/>
  </w:style>
  <w:style w:type="character" w:customStyle="1" w:styleId="104">
    <w:name w:val="nth-of-type(2)9"/>
    <w:basedOn w:val="25"/>
    <w:qFormat/>
    <w:uiPriority w:val="0"/>
  </w:style>
  <w:style w:type="character" w:customStyle="1" w:styleId="105">
    <w:name w:val="nth-of-type(2)10"/>
    <w:basedOn w:val="25"/>
    <w:qFormat/>
    <w:uiPriority w:val="0"/>
    <w:rPr>
      <w:sz w:val="21"/>
      <w:szCs w:val="21"/>
    </w:rPr>
  </w:style>
  <w:style w:type="character" w:customStyle="1" w:styleId="106">
    <w:name w:val="nth-of-type(2)11"/>
    <w:basedOn w:val="25"/>
    <w:qFormat/>
    <w:uiPriority w:val="0"/>
  </w:style>
  <w:style w:type="character" w:customStyle="1" w:styleId="107">
    <w:name w:val="nth-of-type(2)12"/>
    <w:basedOn w:val="25"/>
    <w:qFormat/>
    <w:uiPriority w:val="0"/>
  </w:style>
  <w:style w:type="character" w:customStyle="1" w:styleId="108">
    <w:name w:val="nth-of-type(2)13"/>
    <w:basedOn w:val="25"/>
    <w:qFormat/>
    <w:uiPriority w:val="0"/>
  </w:style>
  <w:style w:type="character" w:customStyle="1" w:styleId="109">
    <w:name w:val="nth-of-type(2)14"/>
    <w:basedOn w:val="25"/>
    <w:qFormat/>
    <w:uiPriority w:val="0"/>
  </w:style>
  <w:style w:type="character" w:customStyle="1" w:styleId="110">
    <w:name w:val="before2"/>
    <w:basedOn w:val="25"/>
    <w:qFormat/>
    <w:uiPriority w:val="0"/>
    <w:rPr>
      <w:shd w:val="clear" w:color="auto" w:fill="C20E0C"/>
    </w:rPr>
  </w:style>
  <w:style w:type="character" w:customStyle="1" w:styleId="111">
    <w:name w:val="nth-of-type(4)"/>
    <w:basedOn w:val="25"/>
    <w:qFormat/>
    <w:uiPriority w:val="0"/>
  </w:style>
  <w:style w:type="character" w:customStyle="1" w:styleId="112">
    <w:name w:val="nth-of-type(4)1"/>
    <w:basedOn w:val="25"/>
    <w:qFormat/>
    <w:uiPriority w:val="0"/>
  </w:style>
  <w:style w:type="character" w:customStyle="1" w:styleId="113">
    <w:name w:val="nth-of-type(4)2"/>
    <w:basedOn w:val="25"/>
    <w:qFormat/>
    <w:uiPriority w:val="0"/>
  </w:style>
  <w:style w:type="character" w:customStyle="1" w:styleId="114">
    <w:name w:val="nth-of-type(4)3"/>
    <w:basedOn w:val="25"/>
    <w:qFormat/>
    <w:uiPriority w:val="0"/>
  </w:style>
  <w:style w:type="character" w:customStyle="1" w:styleId="115">
    <w:name w:val="nth-of-type(4)4"/>
    <w:basedOn w:val="25"/>
    <w:qFormat/>
    <w:uiPriority w:val="0"/>
    <w:rPr>
      <w:sz w:val="21"/>
      <w:szCs w:val="21"/>
    </w:rPr>
  </w:style>
  <w:style w:type="character" w:customStyle="1" w:styleId="116">
    <w:name w:val="nth-of-type(4)5"/>
    <w:basedOn w:val="25"/>
    <w:qFormat/>
    <w:uiPriority w:val="0"/>
  </w:style>
  <w:style w:type="character" w:customStyle="1" w:styleId="117">
    <w:name w:val="nth-of-type(4)6"/>
    <w:basedOn w:val="25"/>
    <w:qFormat/>
    <w:uiPriority w:val="0"/>
  </w:style>
  <w:style w:type="character" w:customStyle="1" w:styleId="118">
    <w:name w:val="nth-of-type(4)7"/>
    <w:basedOn w:val="25"/>
    <w:qFormat/>
    <w:uiPriority w:val="0"/>
  </w:style>
  <w:style w:type="character" w:customStyle="1" w:styleId="119">
    <w:name w:val="nth-of-type(4)8"/>
    <w:basedOn w:val="25"/>
    <w:qFormat/>
    <w:uiPriority w:val="0"/>
  </w:style>
  <w:style w:type="character" w:customStyle="1" w:styleId="120">
    <w:name w:val="nth-of-type(6)"/>
    <w:basedOn w:val="25"/>
    <w:qFormat/>
    <w:uiPriority w:val="0"/>
  </w:style>
  <w:style w:type="character" w:customStyle="1" w:styleId="121">
    <w:name w:val="nth-of-type(6)1"/>
    <w:basedOn w:val="25"/>
    <w:qFormat/>
    <w:uiPriority w:val="0"/>
    <w:rPr>
      <w:color w:val="0082DF"/>
    </w:rPr>
  </w:style>
  <w:style w:type="character" w:customStyle="1" w:styleId="122">
    <w:name w:val="nth-of-type(6)2"/>
    <w:basedOn w:val="25"/>
    <w:qFormat/>
    <w:uiPriority w:val="0"/>
  </w:style>
  <w:style w:type="character" w:customStyle="1" w:styleId="123">
    <w:name w:val="nth-of-type(6)3"/>
    <w:basedOn w:val="25"/>
    <w:qFormat/>
    <w:uiPriority w:val="0"/>
  </w:style>
  <w:style w:type="character" w:customStyle="1" w:styleId="124">
    <w:name w:val="nth-of-type(6)4"/>
    <w:basedOn w:val="25"/>
    <w:qFormat/>
    <w:uiPriority w:val="0"/>
  </w:style>
  <w:style w:type="character" w:customStyle="1" w:styleId="125">
    <w:name w:val="nth-of-type(6)5"/>
    <w:basedOn w:val="25"/>
    <w:qFormat/>
    <w:uiPriority w:val="0"/>
  </w:style>
  <w:style w:type="character" w:customStyle="1" w:styleId="126">
    <w:name w:val="nth-of-type(8)"/>
    <w:basedOn w:val="25"/>
    <w:qFormat/>
    <w:uiPriority w:val="0"/>
  </w:style>
  <w:style w:type="character" w:customStyle="1" w:styleId="127">
    <w:name w:val="lineshow"/>
    <w:basedOn w:val="25"/>
    <w:qFormat/>
    <w:uiPriority w:val="0"/>
  </w:style>
  <w:style w:type="character" w:customStyle="1" w:styleId="128">
    <w:name w:val="lineshow1"/>
    <w:basedOn w:val="25"/>
    <w:qFormat/>
    <w:uiPriority w:val="0"/>
  </w:style>
  <w:style w:type="character" w:customStyle="1" w:styleId="129">
    <w:name w:val="nth-child(3)"/>
    <w:basedOn w:val="25"/>
    <w:qFormat/>
    <w:uiPriority w:val="0"/>
  </w:style>
  <w:style w:type="character" w:customStyle="1" w:styleId="130">
    <w:name w:val="nth-of-type(7)"/>
    <w:basedOn w:val="25"/>
    <w:qFormat/>
    <w:uiPriority w:val="0"/>
  </w:style>
  <w:style w:type="character" w:customStyle="1" w:styleId="131">
    <w:name w:val="nth-of-type(7)1"/>
    <w:basedOn w:val="25"/>
    <w:qFormat/>
    <w:uiPriority w:val="0"/>
  </w:style>
  <w:style w:type="character" w:customStyle="1" w:styleId="132">
    <w:name w:val="nth-of-type(7)2"/>
    <w:basedOn w:val="25"/>
    <w:qFormat/>
    <w:uiPriority w:val="0"/>
  </w:style>
  <w:style w:type="character" w:customStyle="1" w:styleId="133">
    <w:name w:val="nth-of-type(3)"/>
    <w:basedOn w:val="25"/>
    <w:qFormat/>
    <w:uiPriority w:val="0"/>
  </w:style>
  <w:style w:type="character" w:customStyle="1" w:styleId="134">
    <w:name w:val="nth-of-type(3)1"/>
    <w:basedOn w:val="25"/>
    <w:qFormat/>
    <w:uiPriority w:val="0"/>
  </w:style>
  <w:style w:type="character" w:customStyle="1" w:styleId="135">
    <w:name w:val="nth-of-type(3)2"/>
    <w:basedOn w:val="25"/>
    <w:qFormat/>
    <w:uiPriority w:val="0"/>
  </w:style>
  <w:style w:type="character" w:customStyle="1" w:styleId="136">
    <w:name w:val="nth-of-type(3)3"/>
    <w:basedOn w:val="25"/>
    <w:qFormat/>
    <w:uiPriority w:val="0"/>
    <w:rPr>
      <w:sz w:val="21"/>
      <w:szCs w:val="21"/>
    </w:rPr>
  </w:style>
  <w:style w:type="character" w:customStyle="1" w:styleId="137">
    <w:name w:val="nth-of-type(3)4"/>
    <w:basedOn w:val="25"/>
    <w:qFormat/>
    <w:uiPriority w:val="0"/>
  </w:style>
  <w:style w:type="character" w:customStyle="1" w:styleId="138">
    <w:name w:val="nth-of-type(3)5"/>
    <w:basedOn w:val="25"/>
    <w:qFormat/>
    <w:uiPriority w:val="0"/>
  </w:style>
  <w:style w:type="character" w:customStyle="1" w:styleId="139">
    <w:name w:val="nth-of-type(3)6"/>
    <w:basedOn w:val="25"/>
    <w:qFormat/>
    <w:uiPriority w:val="0"/>
  </w:style>
  <w:style w:type="character" w:customStyle="1" w:styleId="140">
    <w:name w:val="nth-of-type(3)7"/>
    <w:basedOn w:val="25"/>
    <w:qFormat/>
    <w:uiPriority w:val="0"/>
  </w:style>
  <w:style w:type="character" w:customStyle="1" w:styleId="141">
    <w:name w:val="nth-of-type(9)"/>
    <w:basedOn w:val="25"/>
    <w:qFormat/>
    <w:uiPriority w:val="0"/>
  </w:style>
  <w:style w:type="character" w:customStyle="1" w:styleId="142">
    <w:name w:val="nth-of-type(10)"/>
    <w:basedOn w:val="25"/>
    <w:qFormat/>
    <w:uiPriority w:val="0"/>
  </w:style>
  <w:style w:type="character" w:customStyle="1" w:styleId="143">
    <w:name w:val="titleshow"/>
    <w:basedOn w:val="25"/>
    <w:qFormat/>
    <w:uiPriority w:val="0"/>
    <w:rPr>
      <w:color w:val="3E464C"/>
    </w:rPr>
  </w:style>
  <w:style w:type="character" w:customStyle="1" w:styleId="144">
    <w:name w:val="nth-child(2)"/>
    <w:basedOn w:val="25"/>
    <w:qFormat/>
    <w:uiPriority w:val="0"/>
  </w:style>
  <w:style w:type="character" w:customStyle="1" w:styleId="145">
    <w:name w:val="last-child1"/>
    <w:basedOn w:val="25"/>
    <w:qFormat/>
    <w:uiPriority w:val="0"/>
    <w:rPr>
      <w:color w:val="FFFFFF"/>
    </w:rPr>
  </w:style>
  <w:style w:type="character" w:customStyle="1" w:styleId="146">
    <w:name w:val="last-child2"/>
    <w:basedOn w:val="25"/>
    <w:qFormat/>
    <w:uiPriority w:val="0"/>
  </w:style>
  <w:style w:type="character" w:customStyle="1" w:styleId="147">
    <w:name w:val="last-child3"/>
    <w:basedOn w:val="25"/>
    <w:qFormat/>
    <w:uiPriority w:val="0"/>
  </w:style>
  <w:style w:type="character" w:customStyle="1" w:styleId="148">
    <w:name w:val="nth-child(1)"/>
    <w:basedOn w:val="25"/>
    <w:qFormat/>
    <w:uiPriority w:val="0"/>
  </w:style>
  <w:style w:type="character" w:customStyle="1" w:styleId="149">
    <w:name w:val="first-child1"/>
    <w:basedOn w:val="25"/>
    <w:qFormat/>
    <w:uiPriority w:val="0"/>
  </w:style>
  <w:style w:type="character" w:customStyle="1" w:styleId="150">
    <w:name w:val="first-child2"/>
    <w:basedOn w:val="25"/>
    <w:qFormat/>
    <w:uiPriority w:val="0"/>
  </w:style>
  <w:style w:type="character" w:customStyle="1" w:styleId="151">
    <w:name w:val="first-child3"/>
    <w:basedOn w:val="25"/>
    <w:qFormat/>
    <w:uiPriority w:val="0"/>
  </w:style>
  <w:style w:type="character" w:customStyle="1" w:styleId="152">
    <w:name w:val="first-child4"/>
    <w:basedOn w:val="25"/>
    <w:qFormat/>
    <w:uiPriority w:val="0"/>
  </w:style>
  <w:style w:type="character" w:customStyle="1" w:styleId="153">
    <w:name w:val="layui-laypage-curr"/>
    <w:basedOn w:val="25"/>
    <w:qFormat/>
    <w:uiPriority w:val="0"/>
  </w:style>
  <w:style w:type="character" w:customStyle="1" w:styleId="154">
    <w:name w:val="before"/>
    <w:basedOn w:val="25"/>
    <w:qFormat/>
    <w:uiPriority w:val="0"/>
    <w:rPr>
      <w:shd w:val="clear" w:color="auto" w:fill="C20E0C"/>
    </w:rPr>
  </w:style>
  <w:style w:type="character" w:customStyle="1" w:styleId="155">
    <w:name w:val="layui-this4"/>
    <w:basedOn w:val="25"/>
    <w:qFormat/>
    <w:uiPriority w:val="0"/>
    <w:rPr>
      <w:bdr w:val="single" w:color="EEEEEE" w:sz="6" w:space="0"/>
      <w:shd w:val="clear" w:color="auto" w:fill="FFFFFF"/>
    </w:rPr>
  </w:style>
  <w:style w:type="character" w:customStyle="1" w:styleId="156">
    <w:name w:val="hover26"/>
    <w:basedOn w:val="25"/>
    <w:qFormat/>
    <w:uiPriority w:val="0"/>
    <w:rPr>
      <w:color w:val="167AE0"/>
    </w:rPr>
  </w:style>
  <w:style w:type="character" w:customStyle="1" w:styleId="157">
    <w:name w:val="hover"/>
    <w:basedOn w:val="25"/>
    <w:qFormat/>
    <w:uiPriority w:val="0"/>
  </w:style>
  <w:style w:type="character" w:customStyle="1" w:styleId="158">
    <w:name w:val="hover1"/>
    <w:basedOn w:val="25"/>
    <w:qFormat/>
    <w:uiPriority w:val="0"/>
    <w:rPr>
      <w:color w:val="167AE0"/>
    </w:rPr>
  </w:style>
  <w:style w:type="character" w:customStyle="1" w:styleId="159">
    <w:name w:val="hover24"/>
    <w:basedOn w:val="25"/>
    <w:qFormat/>
    <w:uiPriority w:val="0"/>
    <w:rPr>
      <w:color w:val="167AE0"/>
    </w:rPr>
  </w:style>
  <w:style w:type="character" w:customStyle="1" w:styleId="160">
    <w:name w:val="first-child"/>
    <w:basedOn w:val="25"/>
    <w:qFormat/>
    <w:uiPriority w:val="0"/>
  </w:style>
  <w:style w:type="character" w:customStyle="1" w:styleId="161">
    <w:name w:val="last-child"/>
    <w:basedOn w:val="25"/>
    <w:qFormat/>
    <w:uiPriority w:val="0"/>
  </w:style>
  <w:style w:type="character" w:customStyle="1" w:styleId="162">
    <w:name w:val="nth-of-type(1)19"/>
    <w:basedOn w:val="25"/>
    <w:qFormat/>
    <w:uiPriority w:val="0"/>
  </w:style>
  <w:style w:type="character" w:customStyle="1" w:styleId="163">
    <w:name w:val="font71"/>
    <w:basedOn w:val="25"/>
    <w:qFormat/>
    <w:uiPriority w:val="0"/>
    <w:rPr>
      <w:rFonts w:ascii="Arial" w:hAnsi="Arial" w:cs="Arial"/>
      <w:color w:val="000000"/>
      <w:sz w:val="20"/>
      <w:szCs w:val="20"/>
      <w:u w:val="none"/>
    </w:rPr>
  </w:style>
  <w:style w:type="character" w:customStyle="1" w:styleId="164">
    <w:name w:val="font51"/>
    <w:basedOn w:val="25"/>
    <w:qFormat/>
    <w:uiPriority w:val="0"/>
    <w:rPr>
      <w:rFonts w:hint="default" w:ascii="Times New Roman" w:hAnsi="Times New Roman" w:cs="Times New Roman"/>
      <w:color w:val="000000"/>
      <w:sz w:val="20"/>
      <w:szCs w:val="20"/>
      <w:u w:val="none"/>
    </w:rPr>
  </w:style>
  <w:style w:type="character" w:customStyle="1" w:styleId="165">
    <w:name w:val="页眉 Char"/>
    <w:basedOn w:val="25"/>
    <w:link w:val="1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Info spid="_x0000_s2059"/>
    <customShpInfo spid="_x0000_s2052"/>
    <customShpInfo spid="_x0000_s2051"/>
    <customShpInfo spid="_x0000_s2054"/>
    <customShpInfo spid="_x0000_s2053"/>
    <customShpInfo spid="_x0000_s2055"/>
    <customShpInfo spid="_x0000_s2066"/>
    <customShpInfo spid="_x0000_s2067"/>
    <customShpInfo spid="_x0000_s2058"/>
    <customShpInfo spid="_x0000_s1036"/>
    <customShpInfo spid="_x0000_s1026"/>
    <customShpInfo spid="_x0000_s1027"/>
    <customShpInfo spid="_x0000_s1037"/>
    <customShpInfo spid="_x0000_s1035"/>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136</Pages>
  <Words>61975</Words>
  <Characters>67691</Characters>
  <Lines>99</Lines>
  <Paragraphs>147</Paragraphs>
  <TotalTime>7</TotalTime>
  <ScaleCrop>false</ScaleCrop>
  <LinksUpToDate>false</LinksUpToDate>
  <CharactersWithSpaces>69074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2018-04-20T03:47:00Z</dcterms:created>
  <dc:creator>Administrator</dc:creator>
  <cp:lastModifiedBy>QinL109</cp:lastModifiedBy>
  <cp:lastPrinted>2021-07-12T06:24:00Z</cp:lastPrinted>
  <dcterms:modified xsi:type="dcterms:W3CDTF">2022-09-14T08:31:01Z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E244BE1521F748C4B7CE0919B350EA60</vt:lpwstr>
  </property>
  <property fmtid="{D5CDD505-2E9C-101B-9397-08002B2CF9AE}" pid="4" name="commondata">
    <vt:lpwstr>eyJoZGlkIjoiZDA1NjllZTBmZjRkODQ4Yzg1ZWZjMzk1NDljZWE0OWQifQ==</vt:lpwstr>
  </property>
</Properties>
</file>