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left"/>
        <w:rPr>
          <w:rFonts w:ascii="宋体" w:hAnsi="宋体" w:cs="宋体"/>
          <w:b/>
          <w:sz w:val="26"/>
          <w:szCs w:val="26"/>
        </w:rPr>
      </w:pPr>
      <w:r>
        <w:rPr>
          <w:sz w:val="28"/>
        </w:rPr>
        <mc:AlternateContent>
          <mc:Choice Requires="wps">
            <w:drawing>
              <wp:anchor distT="0" distB="0" distL="114300" distR="114300" simplePos="0" relativeHeight="251665408" behindDoc="1" locked="0" layoutInCell="1" allowOverlap="1">
                <wp:simplePos x="0" y="0"/>
                <wp:positionH relativeFrom="column">
                  <wp:posOffset>4274185</wp:posOffset>
                </wp:positionH>
                <wp:positionV relativeFrom="paragraph">
                  <wp:posOffset>75565</wp:posOffset>
                </wp:positionV>
                <wp:extent cx="1030605" cy="268605"/>
                <wp:effectExtent l="8255" t="10160" r="8890" b="6985"/>
                <wp:wrapNone/>
                <wp:docPr id="8" name="流程图: 过程 8"/>
                <wp:cNvGraphicFramePr/>
                <a:graphic xmlns:a="http://schemas.openxmlformats.org/drawingml/2006/main">
                  <a:graphicData uri="http://schemas.microsoft.com/office/word/2010/wordprocessingShape">
                    <wps:wsp>
                      <wps:cNvSpPr>
                        <a:spLocks noChangeArrowheads="1"/>
                      </wps:cNvSpPr>
                      <wps:spPr bwMode="auto">
                        <a:xfrm>
                          <a:off x="0" y="0"/>
                          <a:ext cx="1030605" cy="268605"/>
                        </a:xfrm>
                        <a:prstGeom prst="flowChartProcess">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shape id="_x0000_s1026" o:spid="_x0000_s1026" o:spt="109" type="#_x0000_t109" style="position:absolute;left:0pt;margin-left:336.55pt;margin-top:5.95pt;height:21.15pt;width:81.15pt;z-index:-251651072;mso-width-relative:page;mso-height-relative:page;" fillcolor="#FFFFFF" filled="t" stroked="t" coordsize="21600,21600" o:gfxdata="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O56za7ZAAAACQEAAA8AAAAAAAAAAQAg&#10;AAAAIgAAAGRycy9kb3ducmV2LnhtbFBLAQIUABQAAAAIAIdO4kDl//OtRgIAAIYEAAAOAAAAAAAA&#10;AAEAIAAAACgBAABkcnMvZTJvRG9jLnhtbFBLBQYAAAAABgAGAFkBAADgBQAAAAA=&#10;">
                <v:fill on="t" focussize="0,0"/>
                <v:stroke color="#000000" miterlimit="8" joinstyle="miter"/>
                <v:imagedata o:title=""/>
                <o:lock v:ext="edit" aspectratio="f"/>
              </v:shape>
            </w:pict>
          </mc:Fallback>
        </mc:AlternateContent>
      </w:r>
      <w:r>
        <w:rPr>
          <w:rFonts w:hint="eastAsia" w:ascii="宋体" w:hAnsi="宋体" w:cs="宋体"/>
          <w:b/>
          <w:sz w:val="28"/>
          <w:szCs w:val="28"/>
        </w:rPr>
        <w:t xml:space="preserve"> </w:t>
      </w:r>
      <w:bookmarkStart w:id="0" w:name="page4"/>
      <w:bookmarkEnd w:id="0"/>
      <w:r>
        <w:rPr>
          <w:rFonts w:hint="eastAsia" w:ascii="宋体" w:hAnsi="宋体" w:cs="宋体"/>
          <w:b/>
          <w:sz w:val="28"/>
          <w:szCs w:val="28"/>
        </w:rPr>
        <w:t xml:space="preserve">                                               </w:t>
      </w:r>
      <w:r>
        <w:rPr>
          <w:rFonts w:hint="eastAsia" w:ascii="宋体" w:hAnsi="宋体" w:cs="宋体"/>
          <w:b/>
          <w:sz w:val="26"/>
          <w:szCs w:val="26"/>
        </w:rPr>
        <w:t>政府采购项目</w:t>
      </w:r>
    </w:p>
    <w:p>
      <w:pPr>
        <w:jc w:val="center"/>
        <w:rPr>
          <w:rFonts w:hint="eastAsia"/>
          <w:b/>
          <w:bCs/>
          <w:sz w:val="56"/>
          <w:szCs w:val="56"/>
        </w:rPr>
      </w:pPr>
    </w:p>
    <w:p>
      <w:pPr>
        <w:jc w:val="center"/>
        <w:rPr>
          <w:rFonts w:hint="eastAsia" w:eastAsia="宋体"/>
          <w:b/>
          <w:bCs/>
          <w:sz w:val="56"/>
          <w:szCs w:val="56"/>
          <w:lang w:eastAsia="zh-CN"/>
        </w:rPr>
      </w:pPr>
      <w:r>
        <w:rPr>
          <w:rFonts w:hint="eastAsia"/>
          <w:b/>
          <w:bCs/>
          <w:sz w:val="56"/>
          <w:szCs w:val="56"/>
          <w:lang w:eastAsia="zh-CN"/>
        </w:rPr>
        <w:t>高陵区城西小学变压器及电路改造工程</w:t>
      </w:r>
    </w:p>
    <w:p>
      <w:pPr>
        <w:pStyle w:val="2"/>
      </w:pPr>
    </w:p>
    <w:p>
      <w:pPr>
        <w:pStyle w:val="2"/>
      </w:pPr>
    </w:p>
    <w:p>
      <w:pPr>
        <w:pStyle w:val="2"/>
      </w:pPr>
    </w:p>
    <w:p>
      <w:pPr>
        <w:pStyle w:val="2"/>
      </w:pPr>
    </w:p>
    <w:p>
      <w:pPr>
        <w:pStyle w:val="2"/>
      </w:pPr>
    </w:p>
    <w:p>
      <w:pPr>
        <w:pStyle w:val="2"/>
      </w:pPr>
    </w:p>
    <w:p>
      <w:pPr>
        <w:overflowPunct w:val="0"/>
        <w:topLinePunct/>
        <w:spacing w:line="360" w:lineRule="auto"/>
        <w:jc w:val="center"/>
        <w:rPr>
          <w:bCs/>
          <w:sz w:val="56"/>
          <w:szCs w:val="56"/>
        </w:rPr>
      </w:pPr>
      <w:r>
        <w:rPr>
          <w:b/>
          <w:sz w:val="56"/>
          <w:szCs w:val="56"/>
        </w:rPr>
        <w:t>竞争性磋商文件</w:t>
      </w:r>
    </w:p>
    <w:p>
      <w:pPr>
        <w:jc w:val="center"/>
        <w:rPr>
          <w:rFonts w:hint="eastAsia" w:asciiTheme="minorEastAsia" w:hAnsiTheme="minorEastAsia" w:eastAsiaTheme="minorEastAsia" w:cstheme="minorEastAsia"/>
          <w:b/>
          <w:bCs/>
          <w:color w:val="FF0000"/>
          <w:sz w:val="32"/>
          <w:szCs w:val="32"/>
          <w:highlight w:val="red"/>
          <w:lang w:eastAsia="zh-CN"/>
        </w:rPr>
      </w:pPr>
      <w:r>
        <w:rPr>
          <w:rFonts w:hint="eastAsia" w:asciiTheme="minorEastAsia" w:hAnsiTheme="minorEastAsia" w:eastAsiaTheme="minorEastAsia" w:cstheme="minorEastAsia"/>
          <w:b/>
          <w:bCs/>
          <w:sz w:val="32"/>
          <w:szCs w:val="32"/>
        </w:rPr>
        <w:t>项目编号：</w:t>
      </w:r>
      <w:r>
        <w:rPr>
          <w:rFonts w:hint="eastAsia" w:asciiTheme="minorEastAsia" w:hAnsiTheme="minorEastAsia" w:eastAsiaTheme="minorEastAsia" w:cstheme="minorEastAsia"/>
          <w:b/>
          <w:bCs/>
          <w:sz w:val="32"/>
          <w:szCs w:val="32"/>
          <w:highlight w:val="none"/>
          <w:lang w:eastAsia="zh-CN"/>
        </w:rPr>
        <w:t>TZZB-2022103C</w:t>
      </w:r>
    </w:p>
    <w:p>
      <w:pPr>
        <w:jc w:val="center"/>
        <w:rPr>
          <w:b/>
          <w:bCs/>
          <w:sz w:val="24"/>
        </w:rPr>
      </w:pPr>
    </w:p>
    <w:p>
      <w:pPr>
        <w:ind w:right="-307" w:rightChars="-146"/>
        <w:rPr>
          <w:b/>
          <w:bCs/>
          <w:sz w:val="24"/>
        </w:rPr>
      </w:pPr>
    </w:p>
    <w:p>
      <w:pPr>
        <w:ind w:left="-199" w:leftChars="-95" w:right="-307" w:rightChars="-146"/>
        <w:rPr>
          <w:b/>
          <w:bCs/>
          <w:sz w:val="24"/>
        </w:rPr>
      </w:pPr>
    </w:p>
    <w:p>
      <w:pPr>
        <w:ind w:left="-199" w:leftChars="-95" w:right="-307" w:rightChars="-146"/>
        <w:rPr>
          <w:b/>
          <w:bCs/>
          <w:sz w:val="24"/>
        </w:rPr>
      </w:pPr>
    </w:p>
    <w:p>
      <w:pPr>
        <w:pStyle w:val="17"/>
      </w:pPr>
    </w:p>
    <w:p>
      <w:pPr>
        <w:rPr>
          <w:b/>
          <w:bCs/>
          <w:sz w:val="24"/>
        </w:rPr>
      </w:pPr>
    </w:p>
    <w:p>
      <w:pPr>
        <w:snapToGrid w:val="0"/>
        <w:spacing w:line="540" w:lineRule="atLeast"/>
        <w:rPr>
          <w:sz w:val="30"/>
          <w:szCs w:val="30"/>
        </w:rPr>
      </w:pPr>
    </w:p>
    <w:p>
      <w:pPr>
        <w:pStyle w:val="2"/>
      </w:pPr>
    </w:p>
    <w:p>
      <w:pPr>
        <w:pStyle w:val="2"/>
        <w:ind w:firstLine="0" w:firstLineChars="0"/>
        <w:rPr>
          <w:sz w:val="30"/>
          <w:szCs w:val="30"/>
        </w:rPr>
      </w:pPr>
    </w:p>
    <w:p>
      <w:pPr>
        <w:snapToGrid w:val="0"/>
        <w:spacing w:line="480" w:lineRule="auto"/>
        <w:ind w:firstLine="1807" w:firstLineChars="600"/>
        <w:rPr>
          <w:rFonts w:asciiTheme="majorEastAsia" w:hAnsiTheme="majorEastAsia" w:cstheme="majorEastAsia"/>
          <w:b/>
          <w:color w:val="000000" w:themeColor="text1"/>
          <w:sz w:val="30"/>
          <w:szCs w:val="30"/>
          <w:u w:val="single"/>
          <w14:textFill>
            <w14:solidFill>
              <w14:schemeClr w14:val="tx1"/>
            </w14:solidFill>
          </w14:textFill>
        </w:rPr>
      </w:pPr>
      <w:r>
        <w:rPr>
          <w:b/>
          <w:sz w:val="30"/>
          <w:szCs w:val="30"/>
        </w:rPr>
        <w:t>采</w:t>
      </w:r>
      <w:r>
        <w:rPr>
          <w:rFonts w:hint="eastAsia"/>
          <w:b/>
          <w:sz w:val="30"/>
          <w:szCs w:val="30"/>
        </w:rPr>
        <w:t xml:space="preserve">   </w:t>
      </w:r>
      <w:r>
        <w:rPr>
          <w:b/>
          <w:sz w:val="30"/>
          <w:szCs w:val="30"/>
        </w:rPr>
        <w:t>购</w:t>
      </w:r>
      <w:r>
        <w:rPr>
          <w:rFonts w:hint="eastAsia"/>
          <w:b/>
          <w:sz w:val="30"/>
          <w:szCs w:val="30"/>
        </w:rPr>
        <w:t xml:space="preserve">   </w:t>
      </w:r>
      <w:r>
        <w:rPr>
          <w:b/>
          <w:sz w:val="30"/>
          <w:szCs w:val="30"/>
        </w:rPr>
        <w:t>人：</w:t>
      </w:r>
      <w:r>
        <w:rPr>
          <w:rFonts w:hint="eastAsia" w:asciiTheme="majorEastAsia" w:hAnsiTheme="majorEastAsia" w:eastAsiaTheme="majorEastAsia" w:cstheme="majorEastAsia"/>
          <w:b/>
          <w:color w:val="000000" w:themeColor="text1"/>
          <w:sz w:val="30"/>
          <w:szCs w:val="30"/>
          <w:u w:val="single"/>
          <w14:textFill>
            <w14:solidFill>
              <w14:schemeClr w14:val="tx1"/>
            </w14:solidFill>
          </w14:textFill>
        </w:rPr>
        <w:t>西安市高陵区教育局</w:t>
      </w:r>
    </w:p>
    <w:p>
      <w:pPr>
        <w:snapToGrid w:val="0"/>
        <w:spacing w:line="480" w:lineRule="auto"/>
        <w:ind w:firstLine="1807" w:firstLineChars="600"/>
        <w:rPr>
          <w:b/>
          <w:sz w:val="30"/>
          <w:szCs w:val="30"/>
        </w:rPr>
      </w:pPr>
      <w:r>
        <w:rPr>
          <w:b/>
          <w:sz w:val="30"/>
          <w:szCs w:val="30"/>
        </w:rPr>
        <w:t>采购代理机构：</w:t>
      </w:r>
      <w:r>
        <w:rPr>
          <w:rFonts w:hint="eastAsia" w:asciiTheme="majorEastAsia" w:hAnsiTheme="majorEastAsia" w:eastAsiaTheme="majorEastAsia" w:cstheme="majorEastAsia"/>
          <w:b/>
          <w:color w:val="000000" w:themeColor="text1"/>
          <w:sz w:val="30"/>
          <w:szCs w:val="30"/>
          <w:u w:val="single"/>
          <w14:textFill>
            <w14:solidFill>
              <w14:schemeClr w14:val="tx1"/>
            </w14:solidFill>
          </w14:textFill>
        </w:rPr>
        <w:t>同正项目管理有限公司</w:t>
      </w:r>
    </w:p>
    <w:p>
      <w:pPr>
        <w:snapToGrid w:val="0"/>
        <w:spacing w:line="480" w:lineRule="auto"/>
        <w:ind w:firstLine="1807" w:firstLineChars="600"/>
        <w:rPr>
          <w:b/>
          <w:sz w:val="30"/>
          <w:szCs w:val="30"/>
          <w:highlight w:val="none"/>
        </w:rPr>
      </w:pPr>
      <w:r>
        <w:rPr>
          <w:b/>
          <w:sz w:val="30"/>
          <w:szCs w:val="30"/>
        </w:rPr>
        <w:t xml:space="preserve">日   </w:t>
      </w:r>
      <w:r>
        <w:rPr>
          <w:rFonts w:hint="eastAsia"/>
          <w:b/>
          <w:sz w:val="30"/>
          <w:szCs w:val="30"/>
        </w:rPr>
        <w:t xml:space="preserve">     </w:t>
      </w:r>
      <w:r>
        <w:rPr>
          <w:b/>
          <w:sz w:val="30"/>
          <w:szCs w:val="30"/>
        </w:rPr>
        <w:t>期：</w:t>
      </w:r>
      <w:r>
        <w:rPr>
          <w:b/>
          <w:sz w:val="30"/>
          <w:szCs w:val="30"/>
          <w:highlight w:val="none"/>
        </w:rPr>
        <w:t>二〇二</w:t>
      </w:r>
      <w:r>
        <w:rPr>
          <w:rFonts w:hint="eastAsia"/>
          <w:b/>
          <w:sz w:val="30"/>
          <w:szCs w:val="30"/>
          <w:highlight w:val="none"/>
          <w:lang w:val="en-US" w:eastAsia="zh-CN"/>
        </w:rPr>
        <w:t>二</w:t>
      </w:r>
      <w:r>
        <w:rPr>
          <w:b/>
          <w:sz w:val="30"/>
          <w:szCs w:val="30"/>
          <w:highlight w:val="none"/>
        </w:rPr>
        <w:t>年</w:t>
      </w:r>
      <w:r>
        <w:rPr>
          <w:rFonts w:hint="eastAsia"/>
          <w:b/>
          <w:sz w:val="30"/>
          <w:szCs w:val="30"/>
          <w:highlight w:val="none"/>
          <w:lang w:val="en-US" w:eastAsia="zh-CN"/>
        </w:rPr>
        <w:t>五</w:t>
      </w:r>
      <w:r>
        <w:rPr>
          <w:b/>
          <w:sz w:val="30"/>
          <w:szCs w:val="30"/>
          <w:highlight w:val="none"/>
        </w:rPr>
        <w:t>月</w:t>
      </w:r>
    </w:p>
    <w:p>
      <w:pPr>
        <w:rPr>
          <w:b/>
          <w:sz w:val="30"/>
          <w:szCs w:val="30"/>
          <w:highlight w:val="none"/>
        </w:rPr>
      </w:pPr>
      <w:r>
        <w:rPr>
          <w:b/>
          <w:sz w:val="30"/>
          <w:szCs w:val="30"/>
          <w:highlight w:val="none"/>
        </w:rPr>
        <w:br w:type="page"/>
      </w:r>
    </w:p>
    <w:p>
      <w:pPr>
        <w:jc w:val="center"/>
        <w:rPr>
          <w:rFonts w:hint="eastAsia"/>
          <w:b/>
          <w:bCs/>
          <w:sz w:val="40"/>
          <w:szCs w:val="48"/>
          <w:lang w:eastAsia="zh-CN"/>
        </w:rPr>
      </w:pPr>
      <w:r>
        <w:rPr>
          <w:rFonts w:hint="eastAsia"/>
          <w:b/>
          <w:bCs/>
          <w:sz w:val="40"/>
          <w:szCs w:val="48"/>
          <w:lang w:eastAsia="zh-CN"/>
        </w:rPr>
        <w:t>温馨提示</w:t>
      </w:r>
    </w:p>
    <w:p>
      <w:pPr>
        <w:pStyle w:val="2"/>
        <w:rPr>
          <w:rFonts w:hint="eastAsia"/>
          <w:sz w:val="28"/>
          <w:szCs w:val="36"/>
          <w:lang w:eastAsia="zh-CN"/>
        </w:rPr>
      </w:pPr>
    </w:p>
    <w:p>
      <w:pPr>
        <w:pStyle w:val="2"/>
        <w:rPr>
          <w:rFonts w:hint="eastAsia"/>
          <w:sz w:val="28"/>
          <w:szCs w:val="36"/>
          <w:lang w:eastAsia="zh-CN"/>
        </w:rPr>
      </w:pPr>
      <w:r>
        <w:rPr>
          <w:rFonts w:hint="eastAsia"/>
          <w:sz w:val="28"/>
          <w:szCs w:val="36"/>
          <w:lang w:eastAsia="zh-CN"/>
        </w:rPr>
        <w:t>潜在供应商在获取采购文件后，请认真仔细阅读所有条款，如需问题，请及时来电咨询，电话：029-</w:t>
      </w:r>
      <w:r>
        <w:rPr>
          <w:rFonts w:hint="eastAsia"/>
          <w:sz w:val="28"/>
          <w:szCs w:val="36"/>
          <w:lang w:val="en-US" w:eastAsia="zh-CN"/>
        </w:rPr>
        <w:t>86522030</w:t>
      </w:r>
      <w:r>
        <w:rPr>
          <w:rFonts w:hint="eastAsia"/>
          <w:sz w:val="28"/>
          <w:szCs w:val="36"/>
          <w:lang w:eastAsia="zh-CN"/>
        </w:rPr>
        <w:t>。</w:t>
      </w:r>
    </w:p>
    <w:p>
      <w:pPr>
        <w:pStyle w:val="2"/>
        <w:rPr>
          <w:rFonts w:hint="eastAsia"/>
          <w:sz w:val="28"/>
          <w:szCs w:val="36"/>
          <w:lang w:eastAsia="zh-CN"/>
        </w:rPr>
      </w:pPr>
      <w:r>
        <w:rPr>
          <w:rFonts w:hint="eastAsia"/>
          <w:sz w:val="28"/>
          <w:szCs w:val="36"/>
          <w:lang w:eastAsia="zh-CN"/>
        </w:rPr>
        <w:t>属于西安市（含区县）政府采购项目的，获取采购文件的潜在供应商，如决定不参加磋商，应当在磋商截止日前1日以书面形式通知采购代理机构；否则，采购代理机构将向监管部门反映，在全市范围内累计达到3次以上的，将被财政部门列入失信名单。</w:t>
      </w:r>
    </w:p>
    <w:p>
      <w:pPr>
        <w:pStyle w:val="2"/>
        <w:jc w:val="center"/>
        <w:rPr>
          <w:b/>
          <w:bCs/>
          <w:sz w:val="40"/>
          <w:szCs w:val="48"/>
        </w:rPr>
        <w:sectPr>
          <w:footerReference r:id="rId5" w:type="first"/>
          <w:headerReference r:id="rId3" w:type="default"/>
          <w:footerReference r:id="rId4" w:type="even"/>
          <w:pgSz w:w="11906" w:h="16838"/>
          <w:pgMar w:top="1440" w:right="1457" w:bottom="1440" w:left="1463" w:header="851" w:footer="992" w:gutter="0"/>
          <w:pgNumType w:start="1"/>
          <w:cols w:space="0" w:num="1"/>
          <w:titlePg/>
          <w:docGrid w:type="lines" w:linePitch="312" w:charSpace="0"/>
        </w:sectPr>
      </w:pPr>
    </w:p>
    <w:sdt>
      <w:sdtPr>
        <w:rPr>
          <w:rFonts w:ascii="宋体" w:hAnsi="宋体"/>
          <w:sz w:val="32"/>
          <w:szCs w:val="32"/>
        </w:rPr>
        <w:id w:val="147475742"/>
        <w:docPartObj>
          <w:docPartGallery w:val="Table of Contents"/>
          <w:docPartUnique/>
        </w:docPartObj>
      </w:sdtPr>
      <w:sdtEndPr>
        <w:rPr>
          <w:rFonts w:ascii="Times New Roman" w:hAnsi="Times New Roman"/>
          <w:sz w:val="21"/>
          <w:szCs w:val="28"/>
        </w:rPr>
      </w:sdtEndPr>
      <w:sdtContent>
        <w:p>
          <w:pPr>
            <w:jc w:val="center"/>
            <w:rPr>
              <w:rFonts w:ascii="宋体" w:hAnsi="宋体"/>
              <w:sz w:val="32"/>
              <w:szCs w:val="32"/>
            </w:rPr>
          </w:pPr>
          <w:r>
            <w:rPr>
              <w:rFonts w:ascii="宋体" w:hAnsi="宋体"/>
              <w:b/>
              <w:bCs/>
              <w:sz w:val="48"/>
              <w:szCs w:val="48"/>
            </w:rPr>
            <w:t>目</w:t>
          </w:r>
          <w:r>
            <w:rPr>
              <w:rFonts w:hint="eastAsia" w:ascii="宋体" w:hAnsi="宋体"/>
              <w:b/>
              <w:bCs/>
              <w:sz w:val="48"/>
              <w:szCs w:val="48"/>
            </w:rPr>
            <w:t xml:space="preserve">    </w:t>
          </w:r>
          <w:r>
            <w:rPr>
              <w:rFonts w:ascii="宋体" w:hAnsi="宋体"/>
              <w:b/>
              <w:bCs/>
              <w:sz w:val="48"/>
              <w:szCs w:val="48"/>
            </w:rPr>
            <w:t>录</w:t>
          </w:r>
        </w:p>
        <w:p>
          <w:pPr>
            <w:pStyle w:val="17"/>
            <w:rPr>
              <w:sz w:val="24"/>
              <w:szCs w:val="24"/>
            </w:rPr>
          </w:pPr>
        </w:p>
        <w:p>
          <w:pPr>
            <w:rPr>
              <w:rFonts w:ascii="宋体" w:hAnsi="宋体"/>
              <w:sz w:val="24"/>
            </w:rPr>
          </w:pPr>
        </w:p>
        <w:p>
          <w:pPr>
            <w:pStyle w:val="17"/>
            <w:rPr>
              <w:sz w:val="24"/>
              <w:szCs w:val="24"/>
            </w:rPr>
          </w:pPr>
        </w:p>
        <w:p/>
        <w:p>
          <w:pPr>
            <w:pStyle w:val="67"/>
            <w:tabs>
              <w:tab w:val="right" w:leader="dot" w:pos="8986"/>
            </w:tabs>
            <w:spacing w:line="360" w:lineRule="auto"/>
            <w:rPr>
              <w:rFonts w:ascii="宋体" w:hAnsi="宋体" w:cs="宋体"/>
              <w:sz w:val="32"/>
              <w:szCs w:val="32"/>
            </w:rPr>
          </w:pPr>
          <w:r>
            <w:rPr>
              <w:sz w:val="28"/>
              <w:szCs w:val="28"/>
            </w:rPr>
            <w:fldChar w:fldCharType="begin"/>
          </w:r>
          <w:r>
            <w:rPr>
              <w:sz w:val="28"/>
              <w:szCs w:val="28"/>
            </w:rPr>
            <w:instrText xml:space="preserve">TOC \o "1-1" \h \u </w:instrText>
          </w:r>
          <w:r>
            <w:rPr>
              <w:sz w:val="28"/>
              <w:szCs w:val="28"/>
            </w:rPr>
            <w:fldChar w:fldCharType="separate"/>
          </w:r>
          <w:r>
            <w:fldChar w:fldCharType="begin"/>
          </w:r>
          <w:r>
            <w:instrText xml:space="preserve"> HYPERLINK \l "_Toc12126" </w:instrText>
          </w:r>
          <w:r>
            <w:fldChar w:fldCharType="separate"/>
          </w:r>
          <w:r>
            <w:rPr>
              <w:rFonts w:hint="eastAsia" w:ascii="宋体" w:hAnsi="宋体" w:cs="宋体"/>
              <w:bCs/>
              <w:sz w:val="32"/>
              <w:szCs w:val="32"/>
            </w:rPr>
            <w:t>第一章　磋商公告</w:t>
          </w:r>
          <w:r>
            <w:rPr>
              <w:rFonts w:hint="eastAsia" w:ascii="宋体" w:hAnsi="宋体" w:cs="宋体"/>
              <w:sz w:val="32"/>
              <w:szCs w:val="32"/>
            </w:rPr>
            <w:tab/>
          </w:r>
          <w:r>
            <w:rPr>
              <w:rFonts w:hint="eastAsia" w:ascii="宋体" w:hAnsi="宋体" w:cs="宋体"/>
              <w:sz w:val="32"/>
              <w:szCs w:val="32"/>
            </w:rPr>
            <w:fldChar w:fldCharType="begin"/>
          </w:r>
          <w:r>
            <w:rPr>
              <w:rFonts w:hint="eastAsia" w:ascii="宋体" w:hAnsi="宋体" w:cs="宋体"/>
              <w:sz w:val="32"/>
              <w:szCs w:val="32"/>
            </w:rPr>
            <w:instrText xml:space="preserve"> PAGEREF _Toc12126 </w:instrText>
          </w:r>
          <w:r>
            <w:rPr>
              <w:rFonts w:hint="eastAsia" w:ascii="宋体" w:hAnsi="宋体" w:cs="宋体"/>
              <w:sz w:val="32"/>
              <w:szCs w:val="32"/>
            </w:rPr>
            <w:fldChar w:fldCharType="separate"/>
          </w:r>
          <w:r>
            <w:rPr>
              <w:rFonts w:ascii="宋体" w:hAnsi="宋体" w:cs="宋体"/>
              <w:sz w:val="32"/>
              <w:szCs w:val="32"/>
            </w:rPr>
            <w:t>1</w:t>
          </w:r>
          <w:r>
            <w:rPr>
              <w:rFonts w:hint="eastAsia" w:ascii="宋体" w:hAnsi="宋体" w:cs="宋体"/>
              <w:sz w:val="32"/>
              <w:szCs w:val="32"/>
            </w:rPr>
            <w:fldChar w:fldCharType="end"/>
          </w:r>
          <w:r>
            <w:rPr>
              <w:rFonts w:hint="eastAsia" w:ascii="宋体" w:hAnsi="宋体" w:cs="宋体"/>
              <w:sz w:val="32"/>
              <w:szCs w:val="32"/>
            </w:rPr>
            <w:fldChar w:fldCharType="end"/>
          </w:r>
        </w:p>
        <w:p>
          <w:pPr>
            <w:pStyle w:val="67"/>
            <w:tabs>
              <w:tab w:val="right" w:leader="dot" w:pos="8986"/>
            </w:tabs>
            <w:spacing w:line="360" w:lineRule="auto"/>
            <w:rPr>
              <w:rFonts w:ascii="宋体" w:hAnsi="宋体" w:cs="宋体"/>
              <w:sz w:val="32"/>
              <w:szCs w:val="32"/>
            </w:rPr>
          </w:pPr>
          <w:r>
            <w:fldChar w:fldCharType="begin"/>
          </w:r>
          <w:r>
            <w:instrText xml:space="preserve"> HYPERLINK \l "_Toc27252" </w:instrText>
          </w:r>
          <w:r>
            <w:fldChar w:fldCharType="separate"/>
          </w:r>
          <w:r>
            <w:rPr>
              <w:rFonts w:hint="eastAsia" w:ascii="宋体" w:hAnsi="宋体" w:cs="宋体"/>
              <w:bCs/>
              <w:sz w:val="32"/>
              <w:szCs w:val="32"/>
            </w:rPr>
            <w:t>第二章　磋商须知</w:t>
          </w:r>
          <w:r>
            <w:rPr>
              <w:rFonts w:hint="eastAsia" w:ascii="宋体" w:hAnsi="宋体" w:cs="宋体"/>
              <w:sz w:val="32"/>
              <w:szCs w:val="32"/>
            </w:rPr>
            <w:tab/>
          </w:r>
          <w:r>
            <w:rPr>
              <w:rFonts w:hint="eastAsia" w:ascii="宋体" w:hAnsi="宋体" w:cs="宋体"/>
              <w:sz w:val="32"/>
              <w:szCs w:val="32"/>
            </w:rPr>
            <w:fldChar w:fldCharType="begin"/>
          </w:r>
          <w:r>
            <w:rPr>
              <w:rFonts w:hint="eastAsia" w:ascii="宋体" w:hAnsi="宋体" w:cs="宋体"/>
              <w:sz w:val="32"/>
              <w:szCs w:val="32"/>
            </w:rPr>
            <w:instrText xml:space="preserve"> PAGEREF _Toc27252 </w:instrText>
          </w:r>
          <w:r>
            <w:rPr>
              <w:rFonts w:hint="eastAsia" w:ascii="宋体" w:hAnsi="宋体" w:cs="宋体"/>
              <w:sz w:val="32"/>
              <w:szCs w:val="32"/>
            </w:rPr>
            <w:fldChar w:fldCharType="separate"/>
          </w:r>
          <w:r>
            <w:rPr>
              <w:rFonts w:ascii="宋体" w:hAnsi="宋体" w:cs="宋体"/>
              <w:sz w:val="32"/>
              <w:szCs w:val="32"/>
            </w:rPr>
            <w:t>4</w:t>
          </w:r>
          <w:r>
            <w:rPr>
              <w:rFonts w:hint="eastAsia" w:ascii="宋体" w:hAnsi="宋体" w:cs="宋体"/>
              <w:sz w:val="32"/>
              <w:szCs w:val="32"/>
            </w:rPr>
            <w:fldChar w:fldCharType="end"/>
          </w:r>
          <w:r>
            <w:rPr>
              <w:rFonts w:hint="eastAsia" w:ascii="宋体" w:hAnsi="宋体" w:cs="宋体"/>
              <w:sz w:val="32"/>
              <w:szCs w:val="32"/>
            </w:rPr>
            <w:fldChar w:fldCharType="end"/>
          </w:r>
        </w:p>
        <w:p>
          <w:pPr>
            <w:pStyle w:val="67"/>
            <w:tabs>
              <w:tab w:val="right" w:leader="dot" w:pos="8986"/>
            </w:tabs>
            <w:spacing w:line="360" w:lineRule="auto"/>
            <w:rPr>
              <w:rFonts w:ascii="宋体" w:hAnsi="宋体" w:cs="宋体"/>
              <w:sz w:val="32"/>
              <w:szCs w:val="32"/>
            </w:rPr>
          </w:pPr>
          <w:r>
            <w:fldChar w:fldCharType="begin"/>
          </w:r>
          <w:r>
            <w:instrText xml:space="preserve"> HYPERLINK \l "_Toc22384" </w:instrText>
          </w:r>
          <w:r>
            <w:fldChar w:fldCharType="separate"/>
          </w:r>
          <w:r>
            <w:rPr>
              <w:rFonts w:hint="eastAsia" w:ascii="宋体" w:hAnsi="宋体" w:cs="宋体"/>
              <w:bCs/>
              <w:kern w:val="2"/>
              <w:sz w:val="32"/>
              <w:szCs w:val="32"/>
            </w:rPr>
            <w:t>第三章　磋商响应单位资格证明文件</w:t>
          </w:r>
          <w:r>
            <w:rPr>
              <w:rFonts w:hint="eastAsia" w:ascii="宋体" w:hAnsi="宋体" w:cs="宋体"/>
              <w:sz w:val="32"/>
              <w:szCs w:val="32"/>
            </w:rPr>
            <w:tab/>
          </w:r>
          <w:r>
            <w:rPr>
              <w:rFonts w:hint="eastAsia" w:ascii="宋体" w:hAnsi="宋体" w:cs="宋体"/>
              <w:sz w:val="32"/>
              <w:szCs w:val="32"/>
            </w:rPr>
            <w:fldChar w:fldCharType="begin"/>
          </w:r>
          <w:r>
            <w:rPr>
              <w:rFonts w:hint="eastAsia" w:ascii="宋体" w:hAnsi="宋体" w:cs="宋体"/>
              <w:sz w:val="32"/>
              <w:szCs w:val="32"/>
            </w:rPr>
            <w:instrText xml:space="preserve"> PAGEREF _Toc22384 </w:instrText>
          </w:r>
          <w:r>
            <w:rPr>
              <w:rFonts w:hint="eastAsia" w:ascii="宋体" w:hAnsi="宋体" w:cs="宋体"/>
              <w:sz w:val="32"/>
              <w:szCs w:val="32"/>
            </w:rPr>
            <w:fldChar w:fldCharType="separate"/>
          </w:r>
          <w:r>
            <w:rPr>
              <w:rFonts w:ascii="宋体" w:hAnsi="宋体" w:cs="宋体"/>
              <w:sz w:val="32"/>
              <w:szCs w:val="32"/>
            </w:rPr>
            <w:t>19</w:t>
          </w:r>
          <w:r>
            <w:rPr>
              <w:rFonts w:hint="eastAsia" w:ascii="宋体" w:hAnsi="宋体" w:cs="宋体"/>
              <w:sz w:val="32"/>
              <w:szCs w:val="32"/>
            </w:rPr>
            <w:fldChar w:fldCharType="end"/>
          </w:r>
          <w:r>
            <w:rPr>
              <w:rFonts w:hint="eastAsia" w:ascii="宋体" w:hAnsi="宋体" w:cs="宋体"/>
              <w:sz w:val="32"/>
              <w:szCs w:val="32"/>
            </w:rPr>
            <w:fldChar w:fldCharType="end"/>
          </w:r>
        </w:p>
        <w:p>
          <w:pPr>
            <w:pStyle w:val="67"/>
            <w:tabs>
              <w:tab w:val="right" w:leader="dot" w:pos="8986"/>
            </w:tabs>
            <w:spacing w:line="360" w:lineRule="auto"/>
            <w:rPr>
              <w:rFonts w:ascii="宋体" w:hAnsi="宋体" w:cs="宋体"/>
              <w:sz w:val="32"/>
              <w:szCs w:val="32"/>
            </w:rPr>
          </w:pPr>
          <w:r>
            <w:fldChar w:fldCharType="begin"/>
          </w:r>
          <w:r>
            <w:instrText xml:space="preserve"> HYPERLINK \l "_Toc23091" </w:instrText>
          </w:r>
          <w:r>
            <w:fldChar w:fldCharType="separate"/>
          </w:r>
          <w:r>
            <w:rPr>
              <w:rFonts w:hint="eastAsia" w:ascii="宋体" w:hAnsi="宋体" w:cs="宋体"/>
              <w:bCs/>
              <w:sz w:val="32"/>
              <w:szCs w:val="32"/>
            </w:rPr>
            <w:t>第四章　磋商及评审办法</w:t>
          </w:r>
          <w:r>
            <w:rPr>
              <w:rFonts w:hint="eastAsia" w:ascii="宋体" w:hAnsi="宋体" w:cs="宋体"/>
              <w:sz w:val="32"/>
              <w:szCs w:val="32"/>
            </w:rPr>
            <w:tab/>
          </w:r>
          <w:r>
            <w:rPr>
              <w:rFonts w:hint="eastAsia" w:ascii="宋体" w:hAnsi="宋体" w:cs="宋体"/>
              <w:sz w:val="32"/>
              <w:szCs w:val="32"/>
            </w:rPr>
            <w:fldChar w:fldCharType="begin"/>
          </w:r>
          <w:r>
            <w:rPr>
              <w:rFonts w:hint="eastAsia" w:ascii="宋体" w:hAnsi="宋体" w:cs="宋体"/>
              <w:sz w:val="32"/>
              <w:szCs w:val="32"/>
            </w:rPr>
            <w:instrText xml:space="preserve"> PAGEREF _Toc23091 </w:instrText>
          </w:r>
          <w:r>
            <w:rPr>
              <w:rFonts w:hint="eastAsia" w:ascii="宋体" w:hAnsi="宋体" w:cs="宋体"/>
              <w:sz w:val="32"/>
              <w:szCs w:val="32"/>
            </w:rPr>
            <w:fldChar w:fldCharType="separate"/>
          </w:r>
          <w:r>
            <w:rPr>
              <w:rFonts w:ascii="宋体" w:hAnsi="宋体" w:cs="宋体"/>
              <w:sz w:val="32"/>
              <w:szCs w:val="32"/>
            </w:rPr>
            <w:t>20</w:t>
          </w:r>
          <w:r>
            <w:rPr>
              <w:rFonts w:hint="eastAsia" w:ascii="宋体" w:hAnsi="宋体" w:cs="宋体"/>
              <w:sz w:val="32"/>
              <w:szCs w:val="32"/>
            </w:rPr>
            <w:fldChar w:fldCharType="end"/>
          </w:r>
          <w:r>
            <w:rPr>
              <w:rFonts w:hint="eastAsia" w:ascii="宋体" w:hAnsi="宋体" w:cs="宋体"/>
              <w:sz w:val="32"/>
              <w:szCs w:val="32"/>
            </w:rPr>
            <w:fldChar w:fldCharType="end"/>
          </w:r>
        </w:p>
        <w:p>
          <w:pPr>
            <w:pStyle w:val="67"/>
            <w:tabs>
              <w:tab w:val="right" w:leader="dot" w:pos="8986"/>
            </w:tabs>
            <w:spacing w:line="360" w:lineRule="auto"/>
            <w:rPr>
              <w:rFonts w:ascii="宋体" w:hAnsi="宋体" w:cs="宋体"/>
              <w:sz w:val="32"/>
              <w:szCs w:val="32"/>
            </w:rPr>
          </w:pPr>
          <w:r>
            <w:fldChar w:fldCharType="begin"/>
          </w:r>
          <w:r>
            <w:instrText xml:space="preserve"> HYPERLINK \l "_Toc18298" </w:instrText>
          </w:r>
          <w:r>
            <w:fldChar w:fldCharType="separate"/>
          </w:r>
          <w:r>
            <w:rPr>
              <w:rFonts w:hint="eastAsia" w:ascii="宋体" w:hAnsi="宋体" w:cs="宋体"/>
              <w:bCs/>
              <w:kern w:val="2"/>
              <w:sz w:val="32"/>
              <w:szCs w:val="32"/>
              <w:lang w:val="zh-CN"/>
            </w:rPr>
            <w:t>第五章</w:t>
          </w:r>
          <w:r>
            <w:rPr>
              <w:rFonts w:hint="eastAsia" w:ascii="宋体" w:hAnsi="宋体" w:cs="宋体"/>
              <w:sz w:val="32"/>
              <w:szCs w:val="32"/>
              <w:lang w:val="zh-CN"/>
            </w:rPr>
            <w:t>　</w:t>
          </w:r>
          <w:r>
            <w:rPr>
              <w:rFonts w:hint="eastAsia" w:ascii="宋体" w:hAnsi="宋体" w:cs="宋体"/>
              <w:bCs/>
              <w:kern w:val="2"/>
              <w:sz w:val="32"/>
              <w:szCs w:val="32"/>
            </w:rPr>
            <w:t>采购内容及要求</w:t>
          </w:r>
          <w:r>
            <w:rPr>
              <w:rFonts w:hint="eastAsia" w:ascii="宋体" w:hAnsi="宋体" w:cs="宋体"/>
              <w:sz w:val="32"/>
              <w:szCs w:val="32"/>
            </w:rPr>
            <w:tab/>
          </w:r>
          <w:r>
            <w:rPr>
              <w:rFonts w:hint="eastAsia" w:ascii="宋体" w:hAnsi="宋体" w:cs="宋体"/>
              <w:sz w:val="32"/>
              <w:szCs w:val="32"/>
            </w:rPr>
            <w:fldChar w:fldCharType="begin"/>
          </w:r>
          <w:r>
            <w:rPr>
              <w:rFonts w:hint="eastAsia" w:ascii="宋体" w:hAnsi="宋体" w:cs="宋体"/>
              <w:sz w:val="32"/>
              <w:szCs w:val="32"/>
            </w:rPr>
            <w:instrText xml:space="preserve"> PAGEREF _Toc18298 </w:instrText>
          </w:r>
          <w:r>
            <w:rPr>
              <w:rFonts w:hint="eastAsia" w:ascii="宋体" w:hAnsi="宋体" w:cs="宋体"/>
              <w:sz w:val="32"/>
              <w:szCs w:val="32"/>
            </w:rPr>
            <w:fldChar w:fldCharType="separate"/>
          </w:r>
          <w:r>
            <w:rPr>
              <w:rFonts w:ascii="宋体" w:hAnsi="宋体" w:cs="宋体"/>
              <w:sz w:val="32"/>
              <w:szCs w:val="32"/>
            </w:rPr>
            <w:t>27</w:t>
          </w:r>
          <w:r>
            <w:rPr>
              <w:rFonts w:hint="eastAsia" w:ascii="宋体" w:hAnsi="宋体" w:cs="宋体"/>
              <w:sz w:val="32"/>
              <w:szCs w:val="32"/>
            </w:rPr>
            <w:fldChar w:fldCharType="end"/>
          </w:r>
          <w:r>
            <w:rPr>
              <w:rFonts w:hint="eastAsia" w:ascii="宋体" w:hAnsi="宋体" w:cs="宋体"/>
              <w:sz w:val="32"/>
              <w:szCs w:val="32"/>
            </w:rPr>
            <w:fldChar w:fldCharType="end"/>
          </w:r>
        </w:p>
        <w:p>
          <w:pPr>
            <w:pStyle w:val="67"/>
            <w:tabs>
              <w:tab w:val="right" w:leader="dot" w:pos="8986"/>
            </w:tabs>
            <w:spacing w:line="360" w:lineRule="auto"/>
            <w:rPr>
              <w:rFonts w:ascii="宋体" w:hAnsi="宋体" w:cs="宋体"/>
              <w:sz w:val="32"/>
              <w:szCs w:val="32"/>
            </w:rPr>
          </w:pPr>
          <w:r>
            <w:fldChar w:fldCharType="begin"/>
          </w:r>
          <w:r>
            <w:instrText xml:space="preserve"> HYPERLINK \l "_Toc26337" </w:instrText>
          </w:r>
          <w:r>
            <w:fldChar w:fldCharType="separate"/>
          </w:r>
          <w:r>
            <w:rPr>
              <w:rFonts w:hint="eastAsia" w:ascii="宋体" w:hAnsi="宋体" w:cs="宋体"/>
              <w:bCs/>
              <w:sz w:val="32"/>
              <w:szCs w:val="32"/>
            </w:rPr>
            <w:t>第六章　合同草案条款</w:t>
          </w:r>
          <w:r>
            <w:rPr>
              <w:rFonts w:hint="eastAsia" w:ascii="宋体" w:hAnsi="宋体" w:cs="宋体"/>
              <w:sz w:val="32"/>
              <w:szCs w:val="32"/>
            </w:rPr>
            <w:tab/>
          </w:r>
          <w:r>
            <w:rPr>
              <w:rFonts w:hint="eastAsia" w:ascii="宋体" w:hAnsi="宋体" w:cs="宋体"/>
              <w:sz w:val="32"/>
              <w:szCs w:val="32"/>
            </w:rPr>
            <w:fldChar w:fldCharType="begin"/>
          </w:r>
          <w:r>
            <w:rPr>
              <w:rFonts w:hint="eastAsia" w:ascii="宋体" w:hAnsi="宋体" w:cs="宋体"/>
              <w:sz w:val="32"/>
              <w:szCs w:val="32"/>
            </w:rPr>
            <w:instrText xml:space="preserve"> PAGEREF _Toc26337 </w:instrText>
          </w:r>
          <w:r>
            <w:rPr>
              <w:rFonts w:hint="eastAsia" w:ascii="宋体" w:hAnsi="宋体" w:cs="宋体"/>
              <w:sz w:val="32"/>
              <w:szCs w:val="32"/>
            </w:rPr>
            <w:fldChar w:fldCharType="separate"/>
          </w:r>
          <w:r>
            <w:rPr>
              <w:rFonts w:ascii="宋体" w:hAnsi="宋体" w:cs="宋体"/>
              <w:sz w:val="32"/>
              <w:szCs w:val="32"/>
            </w:rPr>
            <w:t>28</w:t>
          </w:r>
          <w:r>
            <w:rPr>
              <w:rFonts w:hint="eastAsia" w:ascii="宋体" w:hAnsi="宋体" w:cs="宋体"/>
              <w:sz w:val="32"/>
              <w:szCs w:val="32"/>
            </w:rPr>
            <w:fldChar w:fldCharType="end"/>
          </w:r>
          <w:r>
            <w:rPr>
              <w:rFonts w:hint="eastAsia" w:ascii="宋体" w:hAnsi="宋体" w:cs="宋体"/>
              <w:sz w:val="32"/>
              <w:szCs w:val="32"/>
            </w:rPr>
            <w:fldChar w:fldCharType="end"/>
          </w:r>
        </w:p>
        <w:p>
          <w:pPr>
            <w:pStyle w:val="67"/>
            <w:tabs>
              <w:tab w:val="right" w:leader="dot" w:pos="8986"/>
            </w:tabs>
            <w:spacing w:line="360" w:lineRule="auto"/>
            <w:rPr>
              <w:rFonts w:ascii="宋体" w:hAnsi="宋体" w:cs="宋体"/>
              <w:sz w:val="32"/>
              <w:szCs w:val="32"/>
            </w:rPr>
          </w:pPr>
          <w:r>
            <w:fldChar w:fldCharType="begin"/>
          </w:r>
          <w:r>
            <w:instrText xml:space="preserve"> HYPERLINK \l "_Toc17185" </w:instrText>
          </w:r>
          <w:r>
            <w:fldChar w:fldCharType="separate"/>
          </w:r>
          <w:r>
            <w:rPr>
              <w:rFonts w:hint="eastAsia" w:ascii="宋体" w:hAnsi="宋体" w:cs="宋体"/>
              <w:bCs/>
              <w:sz w:val="32"/>
              <w:szCs w:val="32"/>
              <w:lang w:val="zh-CN"/>
            </w:rPr>
            <w:t>第七章　响应文件格式</w:t>
          </w:r>
          <w:r>
            <w:rPr>
              <w:rFonts w:hint="eastAsia" w:ascii="宋体" w:hAnsi="宋体" w:cs="宋体"/>
              <w:sz w:val="32"/>
              <w:szCs w:val="32"/>
            </w:rPr>
            <w:tab/>
          </w:r>
          <w:r>
            <w:rPr>
              <w:rFonts w:hint="eastAsia" w:ascii="宋体" w:hAnsi="宋体" w:cs="宋体"/>
              <w:sz w:val="32"/>
              <w:szCs w:val="32"/>
            </w:rPr>
            <w:fldChar w:fldCharType="begin"/>
          </w:r>
          <w:r>
            <w:rPr>
              <w:rFonts w:hint="eastAsia" w:ascii="宋体" w:hAnsi="宋体" w:cs="宋体"/>
              <w:sz w:val="32"/>
              <w:szCs w:val="32"/>
            </w:rPr>
            <w:instrText xml:space="preserve"> PAGEREF _Toc17185 </w:instrText>
          </w:r>
          <w:r>
            <w:rPr>
              <w:rFonts w:hint="eastAsia" w:ascii="宋体" w:hAnsi="宋体" w:cs="宋体"/>
              <w:sz w:val="32"/>
              <w:szCs w:val="32"/>
            </w:rPr>
            <w:fldChar w:fldCharType="separate"/>
          </w:r>
          <w:r>
            <w:rPr>
              <w:rFonts w:ascii="宋体" w:hAnsi="宋体" w:cs="宋体"/>
              <w:sz w:val="32"/>
              <w:szCs w:val="32"/>
            </w:rPr>
            <w:t>71</w:t>
          </w:r>
          <w:r>
            <w:rPr>
              <w:rFonts w:hint="eastAsia" w:ascii="宋体" w:hAnsi="宋体" w:cs="宋体"/>
              <w:sz w:val="32"/>
              <w:szCs w:val="32"/>
            </w:rPr>
            <w:fldChar w:fldCharType="end"/>
          </w:r>
          <w:r>
            <w:rPr>
              <w:rFonts w:hint="eastAsia" w:ascii="宋体" w:hAnsi="宋体" w:cs="宋体"/>
              <w:sz w:val="32"/>
              <w:szCs w:val="32"/>
            </w:rPr>
            <w:fldChar w:fldCharType="end"/>
          </w:r>
        </w:p>
        <w:p>
          <w:pPr>
            <w:pStyle w:val="67"/>
            <w:tabs>
              <w:tab w:val="right" w:leader="dot" w:pos="8986"/>
            </w:tabs>
          </w:pPr>
        </w:p>
        <w:p>
          <w:pPr>
            <w:jc w:val="left"/>
            <w:rPr>
              <w:sz w:val="28"/>
              <w:szCs w:val="28"/>
            </w:rPr>
          </w:pPr>
          <w:r>
            <w:rPr>
              <w:szCs w:val="28"/>
            </w:rPr>
            <w:fldChar w:fldCharType="end"/>
          </w:r>
        </w:p>
      </w:sdtContent>
    </w:sdt>
    <w:p>
      <w:pPr>
        <w:jc w:val="left"/>
        <w:rPr>
          <w:sz w:val="28"/>
          <w:szCs w:val="28"/>
        </w:rPr>
      </w:pPr>
    </w:p>
    <w:p>
      <w:pPr>
        <w:pStyle w:val="3"/>
        <w:numPr>
          <w:ilvl w:val="0"/>
          <w:numId w:val="0"/>
        </w:numPr>
        <w:adjustRightInd w:val="0"/>
        <w:snapToGrid w:val="0"/>
        <w:spacing w:after="156" w:afterLines="50" w:line="360" w:lineRule="auto"/>
        <w:rPr>
          <w:rFonts w:ascii="Times New Roman" w:eastAsia="宋体"/>
          <w:b/>
          <w:bCs/>
          <w:sz w:val="32"/>
          <w:szCs w:val="32"/>
        </w:rPr>
        <w:sectPr>
          <w:headerReference r:id="rId7" w:type="first"/>
          <w:footerReference r:id="rId9" w:type="first"/>
          <w:headerReference r:id="rId6" w:type="default"/>
          <w:footerReference r:id="rId8" w:type="default"/>
          <w:pgSz w:w="11906" w:h="16838"/>
          <w:pgMar w:top="1440" w:right="1457" w:bottom="1440" w:left="1463" w:header="851" w:footer="992" w:gutter="0"/>
          <w:pgNumType w:start="1"/>
          <w:cols w:space="0" w:num="1"/>
          <w:titlePg/>
          <w:docGrid w:type="lines" w:linePitch="312" w:charSpace="0"/>
        </w:sectPr>
      </w:pPr>
    </w:p>
    <w:p>
      <w:pPr>
        <w:pStyle w:val="3"/>
        <w:numPr>
          <w:ilvl w:val="0"/>
          <w:numId w:val="0"/>
        </w:numPr>
        <w:adjustRightInd w:val="0"/>
        <w:snapToGrid w:val="0"/>
        <w:spacing w:after="156" w:afterLines="50" w:line="360" w:lineRule="auto"/>
        <w:rPr>
          <w:rFonts w:asciiTheme="majorEastAsia" w:hAnsiTheme="majorEastAsia" w:eastAsiaTheme="majorEastAsia" w:cstheme="majorEastAsia"/>
          <w:b/>
          <w:bCs/>
          <w:sz w:val="32"/>
          <w:szCs w:val="32"/>
        </w:rPr>
      </w:pPr>
      <w:bookmarkStart w:id="1" w:name="_Toc12126"/>
      <w:r>
        <w:rPr>
          <w:rFonts w:hint="eastAsia" w:asciiTheme="majorEastAsia" w:hAnsiTheme="majorEastAsia" w:eastAsiaTheme="majorEastAsia" w:cstheme="majorEastAsia"/>
          <w:b/>
          <w:bCs/>
          <w:sz w:val="32"/>
          <w:szCs w:val="32"/>
        </w:rPr>
        <w:t>第一章　竞争性磋商公告</w:t>
      </w:r>
      <w:bookmarkEnd w:id="1"/>
    </w:p>
    <w:p>
      <w:pPr>
        <w:pStyle w:val="42"/>
        <w:spacing w:beforeAutospacing="0" w:afterAutospacing="0" w:line="360" w:lineRule="auto"/>
        <w:jc w:val="both"/>
        <w:rPr>
          <w:rFonts w:hint="eastAsia"/>
          <w:b/>
          <w:bCs w:val="0"/>
          <w:lang w:eastAsia="zh-CN"/>
        </w:rPr>
      </w:pPr>
      <w:r>
        <w:rPr>
          <w:rFonts w:hint="eastAsia"/>
          <w:b/>
          <w:bCs w:val="0"/>
          <w:lang w:eastAsia="zh-CN"/>
        </w:rPr>
        <w:t>项目概况</w:t>
      </w:r>
    </w:p>
    <w:p>
      <w:pPr>
        <w:pStyle w:val="42"/>
        <w:spacing w:beforeAutospacing="0" w:afterAutospacing="0" w:line="360" w:lineRule="auto"/>
        <w:ind w:firstLine="480" w:firstLineChars="200"/>
        <w:jc w:val="both"/>
        <w:rPr>
          <w:b/>
        </w:rPr>
      </w:pPr>
      <w:r>
        <w:rPr>
          <w:rFonts w:hint="eastAsia"/>
          <w:bCs/>
          <w:lang w:eastAsia="zh-CN"/>
        </w:rPr>
        <w:t>高陵区城西小学变压器及电路改造工程</w:t>
      </w:r>
      <w:r>
        <w:rPr>
          <w:rFonts w:hint="eastAsia"/>
          <w:bCs/>
        </w:rPr>
        <w:t>采购项目的潜在供应商应在</w:t>
      </w:r>
      <w:r>
        <w:rPr>
          <w:rFonts w:hint="eastAsia"/>
          <w:bCs/>
          <w:lang w:eastAsia="zh-CN"/>
        </w:rPr>
        <w:t>同正项目管理有限公司（西安市未央区凤城八路与明光路十字长和国际F座22层）</w:t>
      </w:r>
      <w:r>
        <w:rPr>
          <w:rFonts w:hint="eastAsia"/>
          <w:bCs/>
        </w:rPr>
        <w:t>获取采购文件，并于</w:t>
      </w:r>
      <w:r>
        <w:rPr>
          <w:rFonts w:hint="eastAsia"/>
          <w:bCs/>
          <w:highlight w:val="none"/>
        </w:rPr>
        <w:t xml:space="preserve"> 2022年</w:t>
      </w:r>
      <w:r>
        <w:rPr>
          <w:rFonts w:hint="eastAsia"/>
          <w:bCs/>
          <w:highlight w:val="none"/>
          <w:lang w:val="en-US" w:eastAsia="zh-CN"/>
        </w:rPr>
        <w:t>06</w:t>
      </w:r>
      <w:r>
        <w:rPr>
          <w:rFonts w:hint="eastAsia"/>
          <w:bCs/>
          <w:highlight w:val="none"/>
        </w:rPr>
        <w:t>月</w:t>
      </w:r>
      <w:r>
        <w:rPr>
          <w:rFonts w:hint="eastAsia"/>
          <w:bCs/>
          <w:highlight w:val="none"/>
          <w:lang w:val="en-US" w:eastAsia="zh-CN"/>
        </w:rPr>
        <w:t>09</w:t>
      </w:r>
      <w:r>
        <w:rPr>
          <w:rFonts w:hint="eastAsia"/>
          <w:bCs/>
          <w:highlight w:val="none"/>
        </w:rPr>
        <w:t xml:space="preserve">日 </w:t>
      </w:r>
      <w:r>
        <w:rPr>
          <w:rFonts w:hint="eastAsia"/>
          <w:bCs/>
          <w:highlight w:val="none"/>
          <w:lang w:val="en-US" w:eastAsia="zh-CN"/>
        </w:rPr>
        <w:t>14</w:t>
      </w:r>
      <w:r>
        <w:rPr>
          <w:rFonts w:hint="eastAsia"/>
          <w:bCs/>
          <w:highlight w:val="none"/>
        </w:rPr>
        <w:t>时30分 （北京时间）前提交响应文件。</w:t>
      </w:r>
    </w:p>
    <w:p>
      <w:pPr>
        <w:pStyle w:val="42"/>
        <w:numPr>
          <w:ilvl w:val="0"/>
          <w:numId w:val="2"/>
        </w:numPr>
        <w:spacing w:beforeAutospacing="0" w:afterAutospacing="0" w:line="360" w:lineRule="auto"/>
        <w:rPr>
          <w:sz w:val="28"/>
          <w:szCs w:val="28"/>
        </w:rPr>
      </w:pPr>
      <w:r>
        <w:rPr>
          <w:rFonts w:hint="eastAsia"/>
          <w:b/>
          <w:sz w:val="28"/>
          <w:szCs w:val="28"/>
        </w:rPr>
        <w:t>项目基本情况：</w:t>
      </w:r>
    </w:p>
    <w:p>
      <w:pPr>
        <w:pStyle w:val="42"/>
        <w:spacing w:beforeAutospacing="0" w:afterAutospacing="0" w:line="360" w:lineRule="auto"/>
        <w:ind w:firstLine="420"/>
        <w:rPr>
          <w:rFonts w:hint="eastAsia" w:eastAsia="宋体"/>
          <w:lang w:eastAsia="zh-CN"/>
        </w:rPr>
      </w:pPr>
      <w:r>
        <w:rPr>
          <w:rFonts w:hint="eastAsia"/>
        </w:rPr>
        <w:t>1、项目编号：</w:t>
      </w:r>
      <w:r>
        <w:rPr>
          <w:rFonts w:hint="eastAsia"/>
          <w:lang w:eastAsia="zh-CN"/>
        </w:rPr>
        <w:t>TZZB-2022103C</w:t>
      </w:r>
    </w:p>
    <w:p>
      <w:pPr>
        <w:pStyle w:val="42"/>
        <w:spacing w:beforeAutospacing="0" w:afterAutospacing="0" w:line="360" w:lineRule="auto"/>
        <w:ind w:firstLine="420"/>
        <w:rPr>
          <w:rFonts w:hint="eastAsia" w:eastAsia="宋体"/>
          <w:lang w:eastAsia="zh-CN"/>
        </w:rPr>
      </w:pPr>
      <w:r>
        <w:rPr>
          <w:rFonts w:hint="eastAsia"/>
        </w:rPr>
        <w:t>2、项目名称：</w:t>
      </w:r>
      <w:r>
        <w:rPr>
          <w:rFonts w:hint="eastAsia"/>
          <w:lang w:eastAsia="zh-CN"/>
        </w:rPr>
        <w:t>高陵区城西小学变压器及电路改造工程</w:t>
      </w:r>
    </w:p>
    <w:p>
      <w:pPr>
        <w:pStyle w:val="42"/>
        <w:spacing w:beforeAutospacing="0" w:afterAutospacing="0" w:line="360" w:lineRule="auto"/>
        <w:ind w:firstLine="420"/>
        <w:rPr>
          <w:rFonts w:hint="eastAsia" w:eastAsia="宋体"/>
          <w:lang w:eastAsia="zh-CN"/>
        </w:rPr>
      </w:pPr>
      <w:r>
        <w:rPr>
          <w:rFonts w:hint="eastAsia"/>
        </w:rPr>
        <w:t>3、</w:t>
      </w:r>
      <w:r>
        <w:rPr>
          <w:rFonts w:hint="eastAsia"/>
          <w:lang w:eastAsia="zh-CN"/>
        </w:rPr>
        <w:t>采购方式：竞争性磋商</w:t>
      </w:r>
    </w:p>
    <w:p>
      <w:pPr>
        <w:pStyle w:val="42"/>
        <w:spacing w:beforeAutospacing="0" w:afterAutospacing="0" w:line="360" w:lineRule="auto"/>
        <w:ind w:firstLine="420"/>
      </w:pPr>
      <w:r>
        <w:rPr>
          <w:rFonts w:hint="eastAsia"/>
        </w:rPr>
        <w:t>4、预算金额：</w:t>
      </w:r>
      <w:r>
        <w:rPr>
          <w:rFonts w:hint="eastAsia"/>
          <w:lang w:val="en-US" w:eastAsia="zh-CN"/>
        </w:rPr>
        <w:t>300</w:t>
      </w:r>
      <w:r>
        <w:rPr>
          <w:rFonts w:hint="eastAsia"/>
          <w:lang w:eastAsia="zh-CN"/>
        </w:rPr>
        <w:t>0000.00</w:t>
      </w:r>
      <w:r>
        <w:rPr>
          <w:rFonts w:hint="eastAsia"/>
        </w:rPr>
        <w:t>元</w:t>
      </w:r>
    </w:p>
    <w:p>
      <w:pPr>
        <w:pStyle w:val="42"/>
        <w:spacing w:beforeAutospacing="0" w:afterAutospacing="0" w:line="360" w:lineRule="auto"/>
        <w:ind w:firstLine="420"/>
        <w:rPr>
          <w:rFonts w:hint="eastAsia"/>
        </w:rPr>
      </w:pPr>
      <w:r>
        <w:rPr>
          <w:rFonts w:hint="eastAsia"/>
        </w:rPr>
        <w:t>5、采购需求：</w:t>
      </w:r>
    </w:p>
    <w:p>
      <w:pPr>
        <w:pStyle w:val="42"/>
        <w:spacing w:beforeAutospacing="0" w:afterAutospacing="0" w:line="360" w:lineRule="auto"/>
        <w:ind w:firstLine="420"/>
        <w:rPr>
          <w:highlight w:val="none"/>
        </w:rPr>
      </w:pPr>
      <w:r>
        <w:rPr>
          <w:rFonts w:hint="eastAsia"/>
          <w:lang w:eastAsia="zh-CN"/>
        </w:rPr>
        <w:t>高陵区城西小学变压器及电路改造工程</w:t>
      </w:r>
      <w:r>
        <w:rPr>
          <w:rFonts w:hint="eastAsia"/>
        </w:rPr>
        <w:t>，1项，采购预算：</w:t>
      </w:r>
      <w:r>
        <w:rPr>
          <w:rFonts w:hint="eastAsia"/>
          <w:lang w:val="en-US" w:eastAsia="zh-CN"/>
        </w:rPr>
        <w:t>300</w:t>
      </w:r>
      <w:r>
        <w:rPr>
          <w:rFonts w:hint="eastAsia"/>
          <w:lang w:eastAsia="zh-CN"/>
        </w:rPr>
        <w:t>0000.00</w:t>
      </w:r>
      <w:r>
        <w:rPr>
          <w:rFonts w:hint="eastAsia"/>
        </w:rPr>
        <w:t>元</w:t>
      </w:r>
      <w:r>
        <w:rPr>
          <w:rFonts w:hint="eastAsia"/>
          <w:lang w:eastAsia="zh-CN"/>
        </w:rPr>
        <w:t>，最高限价：</w:t>
      </w:r>
      <w:r>
        <w:rPr>
          <w:rFonts w:hint="eastAsia"/>
          <w:highlight w:val="none"/>
          <w:lang w:val="en-US" w:eastAsia="zh-CN"/>
        </w:rPr>
        <w:t>2999442.79元</w:t>
      </w:r>
      <w:r>
        <w:rPr>
          <w:rFonts w:hint="eastAsia"/>
          <w:lang w:val="en-US" w:eastAsia="zh-CN"/>
        </w:rPr>
        <w:t>。</w:t>
      </w:r>
      <w:r>
        <w:rPr>
          <w:rFonts w:hint="eastAsia"/>
        </w:rPr>
        <w:t>项目概况：包括高压外线、箱变、环网柜及低压柜系统。</w:t>
      </w:r>
      <w:r>
        <w:rPr>
          <w:rFonts w:hint="eastAsia"/>
          <w:highlight w:val="none"/>
        </w:rPr>
        <w:t>简要技术要求、用途：自用。</w:t>
      </w:r>
    </w:p>
    <w:p>
      <w:pPr>
        <w:pStyle w:val="42"/>
        <w:numPr>
          <w:ilvl w:val="0"/>
          <w:numId w:val="2"/>
        </w:numPr>
        <w:spacing w:beforeAutospacing="0" w:afterAutospacing="0" w:line="360" w:lineRule="auto"/>
        <w:rPr>
          <w:sz w:val="28"/>
          <w:szCs w:val="28"/>
        </w:rPr>
      </w:pPr>
      <w:r>
        <w:rPr>
          <w:rFonts w:hint="eastAsia"/>
          <w:b/>
          <w:sz w:val="28"/>
          <w:szCs w:val="28"/>
        </w:rPr>
        <w:t xml:space="preserve">响应供应商的资格要求 </w:t>
      </w:r>
    </w:p>
    <w:p>
      <w:pPr>
        <w:pStyle w:val="42"/>
        <w:spacing w:beforeAutospacing="0" w:afterAutospacing="0" w:line="360" w:lineRule="auto"/>
        <w:rPr>
          <w:rFonts w:hint="eastAsia" w:eastAsia="宋体"/>
          <w:lang w:eastAsia="zh-CN"/>
        </w:rPr>
      </w:pPr>
      <w:r>
        <w:rPr>
          <w:rFonts w:hint="eastAsia"/>
        </w:rPr>
        <w:t>1、满足《中华人民共和国政府采购法》第二十二条规定</w:t>
      </w:r>
      <w:r>
        <w:rPr>
          <w:rFonts w:hint="eastAsia"/>
          <w:lang w:eastAsia="zh-CN"/>
        </w:rPr>
        <w:t>；</w:t>
      </w:r>
    </w:p>
    <w:p>
      <w:pPr>
        <w:pStyle w:val="42"/>
        <w:spacing w:beforeAutospacing="0" w:afterAutospacing="0" w:line="360" w:lineRule="auto"/>
        <w:rPr>
          <w:rFonts w:hint="eastAsia"/>
        </w:rPr>
      </w:pPr>
      <w:r>
        <w:rPr>
          <w:rFonts w:hint="eastAsia"/>
        </w:rPr>
        <w:t>2、落实政府采购政策需满足的资格要求：</w:t>
      </w:r>
    </w:p>
    <w:p>
      <w:pPr>
        <w:pStyle w:val="42"/>
        <w:spacing w:beforeAutospacing="0" w:afterAutospacing="0" w:line="360" w:lineRule="auto"/>
        <w:ind w:firstLine="420"/>
        <w:rPr>
          <w:rFonts w:hint="eastAsia"/>
        </w:rPr>
      </w:pPr>
      <w:r>
        <w:rPr>
          <w:rFonts w:hint="eastAsia"/>
        </w:rPr>
        <w:t>合同包1(</w:t>
      </w:r>
      <w:r>
        <w:rPr>
          <w:rFonts w:hint="eastAsia"/>
          <w:lang w:eastAsia="zh-CN"/>
        </w:rPr>
        <w:t>高陵区城西小学变压器及电路改造工程</w:t>
      </w:r>
      <w:r>
        <w:rPr>
          <w:rFonts w:hint="eastAsia"/>
        </w:rPr>
        <w:t>)落实政府采购政策需满足的资格要求如下:</w:t>
      </w:r>
    </w:p>
    <w:p>
      <w:pPr>
        <w:pStyle w:val="42"/>
        <w:spacing w:beforeAutospacing="0" w:afterAutospacing="0" w:line="360" w:lineRule="auto"/>
      </w:pPr>
      <w:r>
        <w:rPr>
          <w:rFonts w:hint="eastAsia"/>
        </w:rPr>
        <w:t>1、《政府采购促进中小企业发展管理办法》（财库〔2020〕46号）； 2、《财政部、司法部关于政府采购支持监狱企业发展有关问题的通知》（财库〔2014〕68号）；3、《民政部、财政部、中国残疾人联合会关于促进残疾人就业政府采购政策的通知》（财库〔2017〕141号）；4、《国务院办公厅关于建立政府强制采购节能产品制度的通知》（国办发〔2007〕51号）；5、《财政部、国家环保总局关于环境标志产品政府采购实施的意见》（财库[2006]90号）；6、《财政部办公厅关于政府采购进口产品管理有关问题的通知》（财办库[2008]248号）；7、其他需要落实的政府采购政策。</w:t>
      </w:r>
    </w:p>
    <w:p>
      <w:pPr>
        <w:autoSpaceDE w:val="0"/>
        <w:autoSpaceDN w:val="0"/>
        <w:spacing w:line="360" w:lineRule="auto"/>
        <w:jc w:val="left"/>
        <w:rPr>
          <w:rFonts w:hint="eastAsia" w:ascii="宋体" w:hAnsi="宋体" w:cs="宋体"/>
          <w:kern w:val="0"/>
          <w:sz w:val="24"/>
          <w:szCs w:val="22"/>
        </w:rPr>
      </w:pPr>
      <w:r>
        <w:rPr>
          <w:rFonts w:hint="eastAsia" w:ascii="宋体" w:hAnsi="宋体" w:cs="宋体"/>
          <w:kern w:val="0"/>
          <w:sz w:val="24"/>
          <w:szCs w:val="22"/>
        </w:rPr>
        <w:t>3、本项目的特定资格要求：</w:t>
      </w:r>
    </w:p>
    <w:p>
      <w:pPr>
        <w:autoSpaceDE w:val="0"/>
        <w:autoSpaceDN w:val="0"/>
        <w:spacing w:line="360" w:lineRule="auto"/>
        <w:ind w:firstLine="480" w:firstLineChars="200"/>
        <w:jc w:val="left"/>
        <w:rPr>
          <w:rFonts w:hint="eastAsia" w:ascii="宋体" w:hAnsi="宋体" w:cs="宋体"/>
          <w:kern w:val="0"/>
          <w:sz w:val="24"/>
          <w:szCs w:val="22"/>
        </w:rPr>
      </w:pPr>
      <w:r>
        <w:rPr>
          <w:rFonts w:hint="eastAsia" w:ascii="宋体" w:hAnsi="宋体" w:cs="宋体"/>
          <w:kern w:val="0"/>
          <w:sz w:val="24"/>
          <w:szCs w:val="22"/>
        </w:rPr>
        <w:t>合同包1(高陵区城西小学变压器及电路改造工程)特定资格要求如下:</w:t>
      </w:r>
    </w:p>
    <w:p>
      <w:pPr>
        <w:autoSpaceDE w:val="0"/>
        <w:autoSpaceDN w:val="0"/>
        <w:spacing w:line="360" w:lineRule="auto"/>
        <w:jc w:val="left"/>
        <w:rPr>
          <w:rFonts w:hint="eastAsia" w:ascii="宋体" w:hAnsi="宋体" w:eastAsia="宋体" w:cs="宋体"/>
          <w:kern w:val="0"/>
          <w:sz w:val="24"/>
          <w:szCs w:val="24"/>
          <w:highlight w:val="none"/>
          <w:lang w:eastAsia="zh-CN"/>
        </w:rPr>
      </w:pPr>
      <w:r>
        <w:rPr>
          <w:rFonts w:hint="eastAsia" w:ascii="宋体" w:hAnsi="宋体" w:cs="宋体"/>
          <w:sz w:val="24"/>
        </w:rPr>
        <w:t>1、具有合格有效的企业法人营业执照、税务登记证、组织机构代码证（或三证合一营业执照）；2、磋商响应单位应授权合法的人员参加磋商全过程，其中法定代表人直接参加磋商的，须出具法人身份证，并与营业执照上信息一致。法定代表人授权代表参加磋商的，须出具法定代表人授权书及授权代表身份证；3、</w:t>
      </w:r>
      <w:r>
        <w:rPr>
          <w:rFonts w:hint="eastAsia" w:ascii="宋体" w:hAnsi="宋体" w:cs="宋体"/>
          <w:sz w:val="24"/>
          <w:highlight w:val="none"/>
          <w:lang w:eastAsia="zh-CN"/>
        </w:rPr>
        <w:t>具备建设部门颁发的电力工程施工总承包三级（含）及以上资质或输变电工程专业承包三级（含）及以上资质，具有有效的安全生产许可证，且具备承装、承修、承试五级及以上承装（修、试）电力设施许可证</w:t>
      </w:r>
      <w:r>
        <w:rPr>
          <w:rFonts w:hint="eastAsia" w:ascii="宋体" w:hAnsi="宋体" w:cs="宋体"/>
          <w:sz w:val="24"/>
          <w:highlight w:val="none"/>
        </w:rPr>
        <w:t>；</w:t>
      </w:r>
      <w:r>
        <w:rPr>
          <w:rFonts w:hint="eastAsia" w:ascii="宋体" w:hAnsi="宋体" w:cs="宋体"/>
          <w:sz w:val="24"/>
        </w:rPr>
        <w:t>4、</w:t>
      </w:r>
      <w:r>
        <w:rPr>
          <w:rFonts w:hint="eastAsia" w:ascii="宋体" w:hAnsi="宋体" w:cs="宋体"/>
          <w:sz w:val="24"/>
          <w:highlight w:val="none"/>
          <w:lang w:eastAsia="zh-CN"/>
        </w:rPr>
        <w:t>拟委派项目经理须具有机电工程专业二级及以上注册建造师资质并具有安全生产考核合格证，在本单位注册且无在建工程</w:t>
      </w:r>
      <w:r>
        <w:rPr>
          <w:rFonts w:hint="eastAsia" w:ascii="宋体" w:hAnsi="宋体" w:cs="宋体"/>
          <w:sz w:val="24"/>
        </w:rPr>
        <w:t>；5、</w:t>
      </w:r>
      <w:r>
        <w:rPr>
          <w:rFonts w:hint="eastAsia" w:ascii="宋体" w:hAnsi="宋体" w:cs="宋体"/>
          <w:sz w:val="24"/>
          <w:highlight w:val="none"/>
        </w:rPr>
        <w:t>供应商不得为“信用中国”网站（www.creditchina.gov.cn）</w:t>
      </w:r>
      <w:r>
        <w:rPr>
          <w:rFonts w:hint="eastAsia" w:ascii="宋体" w:hAnsi="宋体" w:cs="宋体"/>
          <w:kern w:val="0"/>
          <w:sz w:val="24"/>
          <w:highlight w:val="none"/>
          <w:lang w:eastAsia="zh-CN"/>
        </w:rPr>
        <w:t>（</w:t>
      </w:r>
      <w:r>
        <w:rPr>
          <w:rFonts w:hint="eastAsia" w:ascii="宋体" w:hAnsi="宋体" w:cs="宋体"/>
          <w:kern w:val="0"/>
          <w:sz w:val="24"/>
          <w:highlight w:val="none"/>
          <w:lang w:val="en-US" w:eastAsia="zh-CN"/>
        </w:rPr>
        <w:t>中国执行信息公开网</w:t>
      </w:r>
      <w:r>
        <w:rPr>
          <w:rFonts w:hint="eastAsia" w:ascii="宋体" w:hAnsi="宋体" w:cs="宋体"/>
          <w:kern w:val="0"/>
          <w:sz w:val="24"/>
          <w:highlight w:val="none"/>
          <w:lang w:eastAsia="zh-CN"/>
        </w:rPr>
        <w:t>）</w:t>
      </w:r>
      <w:r>
        <w:rPr>
          <w:rFonts w:hint="eastAsia" w:ascii="宋体" w:hAnsi="宋体" w:cs="宋体"/>
          <w:sz w:val="24"/>
          <w:highlight w:val="none"/>
        </w:rPr>
        <w:t>中列入失信被执行人和</w:t>
      </w:r>
      <w:r>
        <w:rPr>
          <w:rFonts w:hint="eastAsia" w:ascii="宋体" w:hAnsi="宋体" w:cs="宋体"/>
          <w:sz w:val="24"/>
          <w:highlight w:val="none"/>
          <w:lang w:eastAsia="zh-CN"/>
        </w:rPr>
        <w:t>税收违法黑名单</w:t>
      </w:r>
      <w:r>
        <w:rPr>
          <w:rFonts w:hint="eastAsia" w:ascii="宋体" w:hAnsi="宋体" w:cs="宋体"/>
          <w:sz w:val="24"/>
          <w:highlight w:val="none"/>
        </w:rPr>
        <w:t>的供应商，不得为中国政府采购网（www.ccgp.gov.cn）政府采购严重违法失信行为记录名单中被财政部门禁止参加政府采购活动的供应商</w:t>
      </w:r>
      <w:r>
        <w:rPr>
          <w:rFonts w:hint="eastAsia" w:ascii="宋体" w:hAnsi="宋体" w:cs="宋体"/>
          <w:sz w:val="24"/>
        </w:rPr>
        <w:t>；6、税收缴纳证明：提供2021年</w:t>
      </w:r>
      <w:r>
        <w:rPr>
          <w:rFonts w:hint="eastAsia" w:ascii="宋体" w:hAnsi="宋体" w:cs="宋体"/>
          <w:sz w:val="24"/>
          <w:lang w:val="en-US" w:eastAsia="zh-CN"/>
        </w:rPr>
        <w:t>6</w:t>
      </w:r>
      <w:r>
        <w:rPr>
          <w:rFonts w:hint="eastAsia" w:ascii="宋体" w:hAnsi="宋体" w:cs="宋体"/>
          <w:sz w:val="24"/>
        </w:rPr>
        <w:t>月至今已缴纳的至少一个月的纳税证明或完税证明（任意税种），依法免税的单位应提供相关证明材料；7、社会保障资金缴纳证明：提供2021年</w:t>
      </w:r>
      <w:r>
        <w:rPr>
          <w:rFonts w:hint="eastAsia" w:ascii="宋体" w:hAnsi="宋体" w:cs="宋体"/>
          <w:sz w:val="24"/>
          <w:lang w:val="en-US" w:eastAsia="zh-CN"/>
        </w:rPr>
        <w:t>6</w:t>
      </w:r>
      <w:r>
        <w:rPr>
          <w:rFonts w:hint="eastAsia" w:ascii="宋体" w:hAnsi="宋体" w:cs="宋体"/>
          <w:sz w:val="24"/>
        </w:rPr>
        <w:t>月至今已缴存的至少一个月的社会保障资金缴存单据或社保机构开具的社会保险参保缴费情况证明，依法不需要缴纳社会保障资金的单位应提供相关证明材料；8、财务状况报告：</w:t>
      </w:r>
      <w:r>
        <w:rPr>
          <w:rFonts w:hint="eastAsia" w:ascii="宋体" w:hAnsi="宋体" w:cs="宋体"/>
          <w:sz w:val="24"/>
          <w:lang w:eastAsia="zh-CN"/>
        </w:rPr>
        <w:t>提供供应商2020年度经审计的财务报告或磋商前三个月内开户银行开具的资信证明</w:t>
      </w:r>
      <w:r>
        <w:rPr>
          <w:rFonts w:hint="eastAsia" w:ascii="宋体" w:hAnsi="宋体" w:cs="宋体"/>
          <w:sz w:val="24"/>
        </w:rPr>
        <w:t>；9、参加政府采购活动前三年内，在经营活动中没有重大违法记录的书面声明；10、磋商响应单位负责人不得为同一人或者存在控股、管理关系。</w:t>
      </w:r>
      <w:r>
        <w:rPr>
          <w:rFonts w:hint="eastAsia" w:ascii="宋体" w:hAnsi="宋体" w:cs="宋体"/>
          <w:sz w:val="24"/>
          <w:lang w:val="en-US" w:eastAsia="zh-CN"/>
        </w:rPr>
        <w:t>11、</w:t>
      </w:r>
      <w:r>
        <w:rPr>
          <w:rFonts w:hint="eastAsia" w:ascii="宋体" w:hAnsi="宋体" w:eastAsia="宋体" w:cs="宋体"/>
          <w:kern w:val="0"/>
          <w:sz w:val="24"/>
          <w:szCs w:val="24"/>
          <w:highlight w:val="none"/>
          <w:lang w:val="en-US" w:eastAsia="zh-CN"/>
        </w:rPr>
        <w:t>具</w:t>
      </w:r>
      <w:r>
        <w:rPr>
          <w:rFonts w:hint="eastAsia" w:ascii="宋体" w:hAnsi="宋体" w:eastAsia="宋体" w:cs="宋体"/>
          <w:kern w:val="0"/>
          <w:sz w:val="24"/>
          <w:szCs w:val="24"/>
          <w:highlight w:val="none"/>
        </w:rPr>
        <w:t>有履行本合同所必需的设备和专业技术能力</w:t>
      </w:r>
      <w:r>
        <w:rPr>
          <w:rFonts w:hint="eastAsia" w:ascii="宋体" w:hAnsi="宋体" w:eastAsia="宋体" w:cs="宋体"/>
          <w:kern w:val="0"/>
          <w:sz w:val="24"/>
          <w:szCs w:val="24"/>
          <w:highlight w:val="none"/>
          <w:lang w:eastAsia="zh-CN"/>
        </w:rPr>
        <w:t>；</w:t>
      </w:r>
    </w:p>
    <w:p>
      <w:pPr>
        <w:pStyle w:val="42"/>
        <w:spacing w:beforeAutospacing="0" w:afterAutospacing="0" w:line="360" w:lineRule="auto"/>
        <w:ind w:firstLine="420"/>
        <w:rPr>
          <w:rFonts w:hint="eastAsia"/>
        </w:rPr>
      </w:pPr>
      <w:r>
        <w:rPr>
          <w:rFonts w:hint="eastAsia" w:cs="宋体"/>
          <w:kern w:val="0"/>
          <w:sz w:val="24"/>
          <w:szCs w:val="24"/>
          <w:highlight w:val="none"/>
          <w:lang w:eastAsia="zh-CN"/>
        </w:rPr>
        <w:t>注：</w:t>
      </w:r>
      <w:r>
        <w:rPr>
          <w:rFonts w:hint="eastAsia"/>
        </w:rPr>
        <w:t>本项目</w:t>
      </w:r>
      <w:r>
        <w:rPr>
          <w:rFonts w:hint="eastAsia"/>
          <w:lang w:eastAsia="zh-CN"/>
        </w:rPr>
        <w:t>不</w:t>
      </w:r>
      <w:r>
        <w:rPr>
          <w:rFonts w:hint="eastAsia"/>
        </w:rPr>
        <w:t>接受联合体磋商</w:t>
      </w:r>
    </w:p>
    <w:p>
      <w:pPr>
        <w:pStyle w:val="42"/>
        <w:numPr>
          <w:ilvl w:val="0"/>
          <w:numId w:val="2"/>
        </w:numPr>
        <w:spacing w:beforeAutospacing="0" w:afterAutospacing="0" w:line="360" w:lineRule="auto"/>
        <w:rPr>
          <w:sz w:val="28"/>
          <w:szCs w:val="28"/>
          <w:highlight w:val="none"/>
        </w:rPr>
      </w:pPr>
      <w:r>
        <w:rPr>
          <w:rFonts w:hint="eastAsia"/>
          <w:b/>
          <w:sz w:val="28"/>
          <w:szCs w:val="28"/>
        </w:rPr>
        <w:t>获取</w:t>
      </w:r>
      <w:r>
        <w:rPr>
          <w:rFonts w:hint="eastAsia"/>
          <w:b/>
          <w:sz w:val="28"/>
          <w:szCs w:val="28"/>
          <w:highlight w:val="none"/>
        </w:rPr>
        <w:t>采购文件</w:t>
      </w:r>
    </w:p>
    <w:p>
      <w:pPr>
        <w:pStyle w:val="42"/>
        <w:spacing w:beforeAutospacing="0" w:afterAutospacing="0" w:line="360" w:lineRule="auto"/>
        <w:ind w:firstLine="420"/>
        <w:rPr>
          <w:rFonts w:hint="eastAsia"/>
        </w:rPr>
      </w:pPr>
      <w:r>
        <w:rPr>
          <w:rFonts w:hint="eastAsia"/>
          <w:highlight w:val="none"/>
        </w:rPr>
        <w:t>时间：2022年</w:t>
      </w:r>
      <w:r>
        <w:rPr>
          <w:rFonts w:hint="eastAsia"/>
          <w:highlight w:val="none"/>
          <w:lang w:val="en-US" w:eastAsia="zh-CN"/>
        </w:rPr>
        <w:t>05</w:t>
      </w:r>
      <w:r>
        <w:rPr>
          <w:rFonts w:hint="eastAsia"/>
          <w:highlight w:val="none"/>
        </w:rPr>
        <w:t>月</w:t>
      </w:r>
      <w:r>
        <w:rPr>
          <w:rFonts w:hint="eastAsia"/>
          <w:highlight w:val="none"/>
          <w:lang w:val="en-US" w:eastAsia="zh-CN"/>
        </w:rPr>
        <w:t>20</w:t>
      </w:r>
      <w:r>
        <w:rPr>
          <w:rFonts w:hint="eastAsia"/>
          <w:highlight w:val="none"/>
        </w:rPr>
        <w:t>日 至 2022年</w:t>
      </w:r>
      <w:r>
        <w:rPr>
          <w:rFonts w:hint="eastAsia"/>
          <w:highlight w:val="none"/>
          <w:lang w:val="en-US" w:eastAsia="zh-CN"/>
        </w:rPr>
        <w:t>05</w:t>
      </w:r>
      <w:r>
        <w:rPr>
          <w:rFonts w:hint="eastAsia"/>
          <w:highlight w:val="none"/>
        </w:rPr>
        <w:t>月</w:t>
      </w:r>
      <w:r>
        <w:rPr>
          <w:rFonts w:hint="eastAsia"/>
          <w:highlight w:val="none"/>
          <w:lang w:val="en-US" w:eastAsia="zh-CN"/>
        </w:rPr>
        <w:t>26</w:t>
      </w:r>
      <w:r>
        <w:rPr>
          <w:rFonts w:hint="eastAsia"/>
          <w:highlight w:val="none"/>
        </w:rPr>
        <w:t xml:space="preserve">日 </w:t>
      </w:r>
      <w:r>
        <w:rPr>
          <w:rFonts w:hint="eastAsia"/>
        </w:rPr>
        <w:t>，每天上午 09:00:00 至 12:00:00 ，下午 14:00:00 至 17:00:00 （北京时间,法定节假日除外）</w:t>
      </w:r>
    </w:p>
    <w:p>
      <w:pPr>
        <w:pStyle w:val="42"/>
        <w:spacing w:beforeAutospacing="0" w:afterAutospacing="0" w:line="360" w:lineRule="auto"/>
        <w:ind w:firstLine="420"/>
        <w:rPr>
          <w:rFonts w:hint="eastAsia" w:eastAsia="宋体"/>
          <w:lang w:eastAsia="zh-CN"/>
        </w:rPr>
      </w:pPr>
      <w:r>
        <w:rPr>
          <w:rFonts w:hint="eastAsia"/>
        </w:rPr>
        <w:t>地点：</w:t>
      </w:r>
      <w:r>
        <w:rPr>
          <w:rFonts w:hint="eastAsia"/>
          <w:lang w:eastAsia="zh-CN"/>
        </w:rPr>
        <w:t>同正项目管理有限公司（西安市未央区凤城八路与明光路十字长和国际F座22层）</w:t>
      </w:r>
    </w:p>
    <w:p>
      <w:pPr>
        <w:pStyle w:val="42"/>
        <w:spacing w:beforeAutospacing="0" w:afterAutospacing="0" w:line="360" w:lineRule="auto"/>
        <w:ind w:firstLine="420"/>
      </w:pPr>
      <w:r>
        <w:rPr>
          <w:rFonts w:hint="eastAsia"/>
        </w:rPr>
        <w:t>方式：现场购买</w:t>
      </w:r>
    </w:p>
    <w:p>
      <w:pPr>
        <w:pStyle w:val="42"/>
        <w:spacing w:beforeAutospacing="0" w:afterAutospacing="0" w:line="360" w:lineRule="auto"/>
        <w:ind w:firstLine="420"/>
      </w:pPr>
      <w:r>
        <w:rPr>
          <w:rFonts w:hint="eastAsia"/>
        </w:rPr>
        <w:t>售价：免费</w:t>
      </w:r>
      <w:r>
        <w:rPr>
          <w:rFonts w:hint="eastAsia"/>
          <w:lang w:eastAsia="zh-CN"/>
        </w:rPr>
        <w:t>获取</w:t>
      </w:r>
      <w:r>
        <w:rPr>
          <w:rFonts w:hint="eastAsia"/>
        </w:rPr>
        <w:t xml:space="preserve"> </w:t>
      </w:r>
    </w:p>
    <w:p>
      <w:pPr>
        <w:pStyle w:val="42"/>
        <w:spacing w:beforeAutospacing="0" w:afterAutospacing="0" w:line="360" w:lineRule="auto"/>
        <w:rPr>
          <w:b/>
          <w:sz w:val="28"/>
          <w:szCs w:val="28"/>
        </w:rPr>
      </w:pPr>
      <w:r>
        <w:rPr>
          <w:rFonts w:hint="eastAsia"/>
          <w:b/>
          <w:sz w:val="28"/>
          <w:szCs w:val="28"/>
        </w:rPr>
        <w:t>四、响应文件</w:t>
      </w:r>
      <w:r>
        <w:rPr>
          <w:rFonts w:hint="eastAsia"/>
          <w:b/>
          <w:sz w:val="28"/>
          <w:szCs w:val="28"/>
          <w:lang w:eastAsia="zh-CN"/>
        </w:rPr>
        <w:t>提交</w:t>
      </w:r>
      <w:r>
        <w:rPr>
          <w:rFonts w:hint="eastAsia"/>
          <w:b/>
          <w:sz w:val="28"/>
          <w:szCs w:val="28"/>
        </w:rPr>
        <w:t xml:space="preserve"> </w:t>
      </w:r>
    </w:p>
    <w:p>
      <w:pPr>
        <w:pStyle w:val="42"/>
        <w:spacing w:beforeAutospacing="0" w:afterAutospacing="0" w:line="360" w:lineRule="auto"/>
        <w:ind w:firstLine="420"/>
        <w:rPr>
          <w:rFonts w:hint="eastAsia"/>
        </w:rPr>
      </w:pPr>
      <w:r>
        <w:rPr>
          <w:rFonts w:hint="eastAsia"/>
        </w:rPr>
        <w:t>截止时间：</w:t>
      </w:r>
      <w:r>
        <w:rPr>
          <w:rFonts w:hint="eastAsia"/>
          <w:highlight w:val="none"/>
        </w:rPr>
        <w:t xml:space="preserve"> 2022年</w:t>
      </w:r>
      <w:r>
        <w:rPr>
          <w:rFonts w:hint="eastAsia"/>
          <w:highlight w:val="none"/>
          <w:lang w:val="en-US" w:eastAsia="zh-CN"/>
        </w:rPr>
        <w:t>06</w:t>
      </w:r>
      <w:r>
        <w:rPr>
          <w:rFonts w:hint="eastAsia"/>
          <w:highlight w:val="none"/>
        </w:rPr>
        <w:t>月</w:t>
      </w:r>
      <w:r>
        <w:rPr>
          <w:rFonts w:hint="eastAsia"/>
          <w:highlight w:val="none"/>
          <w:lang w:val="en-US" w:eastAsia="zh-CN"/>
        </w:rPr>
        <w:t>09</w:t>
      </w:r>
      <w:r>
        <w:rPr>
          <w:rFonts w:hint="eastAsia"/>
          <w:highlight w:val="none"/>
        </w:rPr>
        <w:t xml:space="preserve">日 </w:t>
      </w:r>
      <w:r>
        <w:rPr>
          <w:rFonts w:hint="eastAsia"/>
          <w:highlight w:val="none"/>
          <w:lang w:val="en-US" w:eastAsia="zh-CN"/>
        </w:rPr>
        <w:t>14</w:t>
      </w:r>
      <w:r>
        <w:rPr>
          <w:rFonts w:hint="eastAsia"/>
          <w:highlight w:val="none"/>
        </w:rPr>
        <w:t>时30分00秒 （北京时间）</w:t>
      </w:r>
    </w:p>
    <w:p>
      <w:pPr>
        <w:pStyle w:val="42"/>
        <w:spacing w:beforeAutospacing="0" w:afterAutospacing="0" w:line="360" w:lineRule="auto"/>
        <w:ind w:firstLine="420"/>
        <w:rPr>
          <w:rFonts w:hint="eastAsia" w:eastAsia="宋体"/>
          <w:lang w:eastAsia="zh-CN"/>
        </w:rPr>
      </w:pPr>
      <w:r>
        <w:rPr>
          <w:rFonts w:hint="eastAsia"/>
        </w:rPr>
        <w:t>地点：</w:t>
      </w:r>
      <w:r>
        <w:rPr>
          <w:rFonts w:hint="eastAsia"/>
          <w:lang w:eastAsia="zh-CN"/>
        </w:rPr>
        <w:t>同正项目管理有限公司（西安市未央区凤城八路与明光路十字长和国际F座22层）</w:t>
      </w:r>
    </w:p>
    <w:p>
      <w:pPr>
        <w:pStyle w:val="29"/>
        <w:keepNext w:val="0"/>
        <w:keepLines w:val="0"/>
        <w:pageBreakBefore w:val="0"/>
        <w:kinsoku/>
        <w:wordWrap/>
        <w:overflowPunct/>
        <w:topLinePunct w:val="0"/>
        <w:autoSpaceDE/>
        <w:autoSpaceDN/>
        <w:bidi w:val="0"/>
        <w:adjustRightInd/>
        <w:spacing w:line="360" w:lineRule="auto"/>
        <w:textAlignment w:val="auto"/>
        <w:rPr>
          <w:rFonts w:hint="eastAsia" w:ascii="宋体" w:hAnsi="宋体" w:eastAsia="宋体" w:cs="宋体"/>
          <w:b/>
          <w:kern w:val="0"/>
          <w:sz w:val="28"/>
          <w:szCs w:val="28"/>
          <w:lang w:val="en-US" w:eastAsia="zh-CN" w:bidi="ar-SA"/>
        </w:rPr>
      </w:pPr>
      <w:r>
        <w:rPr>
          <w:rFonts w:hint="eastAsia" w:ascii="宋体" w:hAnsi="宋体" w:eastAsia="宋体" w:cs="宋体"/>
          <w:b/>
          <w:kern w:val="0"/>
          <w:sz w:val="28"/>
          <w:szCs w:val="28"/>
          <w:lang w:val="en-US" w:eastAsia="zh-CN" w:bidi="ar-SA"/>
        </w:rPr>
        <w:t>五、开启</w:t>
      </w:r>
    </w:p>
    <w:p>
      <w:pPr>
        <w:pStyle w:val="29"/>
        <w:keepNext w:val="0"/>
        <w:keepLines w:val="0"/>
        <w:pageBreakBefore w:val="0"/>
        <w:kinsoku/>
        <w:wordWrap/>
        <w:overflowPunct/>
        <w:topLinePunct w:val="0"/>
        <w:autoSpaceDE/>
        <w:autoSpaceDN/>
        <w:bidi w:val="0"/>
        <w:adjustRightInd/>
        <w:spacing w:line="360" w:lineRule="auto"/>
        <w:textAlignment w:val="auto"/>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时间：</w:t>
      </w:r>
      <w:r>
        <w:rPr>
          <w:rFonts w:hint="eastAsia" w:ascii="宋体" w:hAnsi="宋体" w:eastAsia="宋体" w:cs="宋体"/>
          <w:kern w:val="0"/>
          <w:sz w:val="24"/>
          <w:szCs w:val="24"/>
          <w:highlight w:val="none"/>
          <w:lang w:val="en-US" w:eastAsia="zh-CN" w:bidi="ar-SA"/>
        </w:rPr>
        <w:t xml:space="preserve"> 2022年</w:t>
      </w:r>
      <w:r>
        <w:rPr>
          <w:rFonts w:hint="eastAsia" w:ascii="宋体" w:hAnsi="宋体" w:cs="宋体"/>
          <w:kern w:val="0"/>
          <w:sz w:val="24"/>
          <w:szCs w:val="24"/>
          <w:highlight w:val="none"/>
          <w:lang w:val="en-US" w:eastAsia="zh-CN" w:bidi="ar-SA"/>
        </w:rPr>
        <w:t>06</w:t>
      </w:r>
      <w:r>
        <w:rPr>
          <w:rFonts w:hint="eastAsia" w:ascii="宋体" w:hAnsi="宋体" w:eastAsia="宋体" w:cs="宋体"/>
          <w:kern w:val="0"/>
          <w:sz w:val="24"/>
          <w:szCs w:val="24"/>
          <w:highlight w:val="none"/>
          <w:lang w:val="en-US" w:eastAsia="zh-CN" w:bidi="ar-SA"/>
        </w:rPr>
        <w:t>月</w:t>
      </w:r>
      <w:r>
        <w:rPr>
          <w:rFonts w:hint="eastAsia" w:ascii="宋体" w:hAnsi="宋体" w:cs="宋体"/>
          <w:kern w:val="0"/>
          <w:sz w:val="24"/>
          <w:szCs w:val="24"/>
          <w:highlight w:val="none"/>
          <w:lang w:val="en-US" w:eastAsia="zh-CN" w:bidi="ar-SA"/>
        </w:rPr>
        <w:t>09</w:t>
      </w:r>
      <w:r>
        <w:rPr>
          <w:rFonts w:hint="eastAsia" w:ascii="宋体" w:hAnsi="宋体" w:eastAsia="宋体" w:cs="宋体"/>
          <w:kern w:val="0"/>
          <w:sz w:val="24"/>
          <w:szCs w:val="24"/>
          <w:highlight w:val="none"/>
          <w:lang w:val="en-US" w:eastAsia="zh-CN" w:bidi="ar-SA"/>
        </w:rPr>
        <w:t xml:space="preserve">日 </w:t>
      </w:r>
      <w:r>
        <w:rPr>
          <w:rFonts w:hint="eastAsia" w:ascii="宋体" w:hAnsi="宋体" w:cs="宋体"/>
          <w:kern w:val="0"/>
          <w:sz w:val="24"/>
          <w:szCs w:val="24"/>
          <w:highlight w:val="none"/>
          <w:lang w:val="en-US" w:eastAsia="zh-CN" w:bidi="ar-SA"/>
        </w:rPr>
        <w:t>14</w:t>
      </w:r>
      <w:r>
        <w:rPr>
          <w:rFonts w:hint="eastAsia" w:ascii="宋体" w:hAnsi="宋体" w:eastAsia="宋体" w:cs="宋体"/>
          <w:kern w:val="0"/>
          <w:sz w:val="24"/>
          <w:szCs w:val="24"/>
          <w:highlight w:val="none"/>
          <w:lang w:val="en-US" w:eastAsia="zh-CN" w:bidi="ar-SA"/>
        </w:rPr>
        <w:t>时30分00秒 （</w:t>
      </w:r>
      <w:r>
        <w:rPr>
          <w:rFonts w:hint="eastAsia" w:ascii="宋体" w:hAnsi="宋体" w:eastAsia="宋体" w:cs="宋体"/>
          <w:kern w:val="0"/>
          <w:sz w:val="24"/>
          <w:szCs w:val="24"/>
          <w:lang w:val="en-US" w:eastAsia="zh-CN" w:bidi="ar-SA"/>
        </w:rPr>
        <w:t>北京时间）</w:t>
      </w:r>
    </w:p>
    <w:p>
      <w:pPr>
        <w:pStyle w:val="29"/>
        <w:keepNext w:val="0"/>
        <w:keepLines w:val="0"/>
        <w:pageBreakBefore w:val="0"/>
        <w:kinsoku/>
        <w:wordWrap/>
        <w:overflowPunct/>
        <w:topLinePunct w:val="0"/>
        <w:autoSpaceDE/>
        <w:autoSpaceDN/>
        <w:bidi w:val="0"/>
        <w:adjustRightInd/>
        <w:spacing w:line="360" w:lineRule="auto"/>
        <w:textAlignment w:val="auto"/>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地点：</w:t>
      </w:r>
      <w:r>
        <w:rPr>
          <w:rFonts w:hint="eastAsia" w:ascii="宋体" w:hAnsi="宋体" w:cs="宋体"/>
          <w:kern w:val="0"/>
          <w:sz w:val="24"/>
          <w:szCs w:val="24"/>
          <w:lang w:val="en-US" w:eastAsia="zh-CN" w:bidi="ar-SA"/>
        </w:rPr>
        <w:t>同正项目管理有限公司（西安市未央区凤城八路与明光路十字长和国际F座22层）</w:t>
      </w:r>
    </w:p>
    <w:p>
      <w:pPr>
        <w:pStyle w:val="42"/>
        <w:keepNext w:val="0"/>
        <w:keepLines w:val="0"/>
        <w:pageBreakBefore w:val="0"/>
        <w:kinsoku/>
        <w:wordWrap/>
        <w:overflowPunct/>
        <w:topLinePunct w:val="0"/>
        <w:autoSpaceDE/>
        <w:autoSpaceDN/>
        <w:bidi w:val="0"/>
        <w:adjustRightInd/>
        <w:spacing w:beforeAutospacing="0" w:afterAutospacing="0" w:line="360" w:lineRule="auto"/>
        <w:textAlignment w:val="auto"/>
        <w:rPr>
          <w:b/>
          <w:sz w:val="28"/>
          <w:szCs w:val="28"/>
        </w:rPr>
      </w:pPr>
      <w:r>
        <w:rPr>
          <w:rFonts w:hint="eastAsia"/>
          <w:b/>
          <w:sz w:val="28"/>
          <w:szCs w:val="28"/>
          <w:lang w:eastAsia="zh-CN"/>
        </w:rPr>
        <w:t>六、</w:t>
      </w:r>
      <w:r>
        <w:rPr>
          <w:rFonts w:hint="eastAsia"/>
          <w:b/>
          <w:sz w:val="28"/>
          <w:szCs w:val="28"/>
        </w:rPr>
        <w:t>公告期限</w:t>
      </w:r>
    </w:p>
    <w:p>
      <w:pPr>
        <w:pStyle w:val="42"/>
        <w:spacing w:beforeAutospacing="0" w:afterAutospacing="0" w:line="360" w:lineRule="auto"/>
        <w:ind w:firstLine="420"/>
      </w:pPr>
      <w:r>
        <w:rPr>
          <w:rFonts w:hint="eastAsia"/>
        </w:rPr>
        <w:t>自本公告发布之日起3个工作日。</w:t>
      </w:r>
    </w:p>
    <w:p>
      <w:pPr>
        <w:pStyle w:val="42"/>
        <w:numPr>
          <w:ilvl w:val="0"/>
          <w:numId w:val="0"/>
        </w:numPr>
        <w:spacing w:beforeAutospacing="0" w:afterAutospacing="0" w:line="360" w:lineRule="auto"/>
        <w:rPr>
          <w:b/>
          <w:sz w:val="28"/>
          <w:szCs w:val="28"/>
        </w:rPr>
      </w:pPr>
      <w:r>
        <w:rPr>
          <w:rFonts w:hint="eastAsia"/>
          <w:b/>
          <w:sz w:val="28"/>
          <w:szCs w:val="28"/>
          <w:lang w:eastAsia="zh-CN"/>
        </w:rPr>
        <w:t>七、</w:t>
      </w:r>
      <w:r>
        <w:rPr>
          <w:rFonts w:hint="eastAsia"/>
          <w:b/>
          <w:sz w:val="28"/>
          <w:szCs w:val="28"/>
        </w:rPr>
        <w:t>其他补充事宜</w:t>
      </w:r>
    </w:p>
    <w:p>
      <w:pPr>
        <w:pStyle w:val="42"/>
        <w:spacing w:beforeAutospacing="0" w:afterAutospacing="0" w:line="360" w:lineRule="auto"/>
        <w:ind w:firstLine="420"/>
      </w:pPr>
      <w:r>
        <w:rPr>
          <w:rStyle w:val="51"/>
          <w:rFonts w:hint="eastAsia"/>
          <w:b w:val="0"/>
        </w:rPr>
        <w:t>注：获取采购文件时请携带单位介绍信和经办人身份证原件及加盖鲜章的复印件。</w:t>
      </w:r>
    </w:p>
    <w:p>
      <w:pPr>
        <w:pStyle w:val="42"/>
        <w:spacing w:beforeAutospacing="0" w:afterAutospacing="0" w:line="360" w:lineRule="auto"/>
        <w:rPr>
          <w:b/>
          <w:sz w:val="28"/>
          <w:szCs w:val="28"/>
        </w:rPr>
      </w:pPr>
      <w:r>
        <w:rPr>
          <w:rFonts w:hint="eastAsia"/>
          <w:b/>
          <w:sz w:val="28"/>
          <w:szCs w:val="28"/>
          <w:lang w:eastAsia="zh-CN"/>
        </w:rPr>
        <w:t>八、凡</w:t>
      </w:r>
      <w:r>
        <w:rPr>
          <w:rFonts w:hint="eastAsia"/>
          <w:b/>
          <w:sz w:val="28"/>
          <w:szCs w:val="28"/>
        </w:rPr>
        <w:t>对本次采购提出询问，请按以下方式联系</w:t>
      </w:r>
    </w:p>
    <w:p>
      <w:pPr>
        <w:pStyle w:val="42"/>
        <w:spacing w:beforeAutospacing="0" w:afterAutospacing="0" w:line="360" w:lineRule="auto"/>
      </w:pPr>
      <w:r>
        <w:rPr>
          <w:rFonts w:hint="eastAsia"/>
        </w:rPr>
        <w:t>1、采购人信息</w:t>
      </w:r>
    </w:p>
    <w:p>
      <w:pPr>
        <w:pStyle w:val="42"/>
        <w:spacing w:beforeAutospacing="0" w:afterAutospacing="0" w:line="360" w:lineRule="auto"/>
        <w:ind w:firstLine="720" w:firstLineChars="300"/>
        <w:rPr>
          <w:rFonts w:hint="eastAsia"/>
        </w:rPr>
      </w:pPr>
      <w:r>
        <w:rPr>
          <w:rFonts w:hint="eastAsia"/>
        </w:rPr>
        <w:t>名称：西安市高陵区教育局</w:t>
      </w:r>
    </w:p>
    <w:p>
      <w:pPr>
        <w:pStyle w:val="42"/>
        <w:spacing w:beforeAutospacing="0" w:afterAutospacing="0" w:line="360" w:lineRule="auto"/>
        <w:ind w:firstLine="720" w:firstLineChars="300"/>
        <w:rPr>
          <w:rFonts w:hint="eastAsia"/>
        </w:rPr>
      </w:pPr>
      <w:r>
        <w:rPr>
          <w:rFonts w:hint="eastAsia"/>
        </w:rPr>
        <w:t>地址：高陵区文卫路290号</w:t>
      </w:r>
    </w:p>
    <w:p>
      <w:pPr>
        <w:pStyle w:val="42"/>
        <w:spacing w:beforeAutospacing="0" w:afterAutospacing="0" w:line="360" w:lineRule="auto"/>
        <w:ind w:firstLine="720" w:firstLineChars="300"/>
        <w:rPr>
          <w:highlight w:val="none"/>
        </w:rPr>
      </w:pPr>
      <w:r>
        <w:rPr>
          <w:rFonts w:hint="eastAsia"/>
          <w:highlight w:val="none"/>
        </w:rPr>
        <w:t>联系方式：029-86921342</w:t>
      </w:r>
    </w:p>
    <w:p>
      <w:pPr>
        <w:pStyle w:val="42"/>
        <w:spacing w:beforeAutospacing="0" w:afterAutospacing="0" w:line="360" w:lineRule="auto"/>
        <w:rPr>
          <w:rFonts w:hint="eastAsia"/>
          <w:lang w:val="en-US" w:eastAsia="zh-CN"/>
        </w:rPr>
      </w:pPr>
      <w:r>
        <w:rPr>
          <w:rFonts w:hint="eastAsia"/>
          <w:lang w:val="en-US" w:eastAsia="zh-CN"/>
        </w:rPr>
        <w:t>2、釆购代理机构信息</w:t>
      </w:r>
    </w:p>
    <w:p>
      <w:pPr>
        <w:pStyle w:val="42"/>
        <w:spacing w:beforeAutospacing="0" w:afterAutospacing="0" w:line="360" w:lineRule="auto"/>
        <w:ind w:firstLine="720" w:firstLineChars="300"/>
        <w:rPr>
          <w:rFonts w:hint="eastAsia"/>
          <w:lang w:val="en-US" w:eastAsia="zh-CN"/>
        </w:rPr>
      </w:pPr>
      <w:r>
        <w:rPr>
          <w:rFonts w:hint="eastAsia"/>
          <w:lang w:val="en-US" w:eastAsia="zh-CN"/>
        </w:rPr>
        <w:t>名称：同正项目管理有限公司</w:t>
      </w:r>
    </w:p>
    <w:p>
      <w:pPr>
        <w:pStyle w:val="42"/>
        <w:spacing w:beforeAutospacing="0" w:afterAutospacing="0" w:line="360" w:lineRule="auto"/>
        <w:ind w:firstLine="720" w:firstLineChars="300"/>
        <w:rPr>
          <w:rFonts w:hint="eastAsia"/>
          <w:lang w:val="en-US" w:eastAsia="zh-CN"/>
        </w:rPr>
      </w:pPr>
      <w:r>
        <w:rPr>
          <w:rFonts w:hint="eastAsia"/>
          <w:lang w:val="en-US" w:eastAsia="zh-CN"/>
        </w:rPr>
        <w:t>地址：西安市未央区凤城八路与明光路十字长和国际F座22层</w:t>
      </w:r>
    </w:p>
    <w:p>
      <w:pPr>
        <w:pStyle w:val="42"/>
        <w:spacing w:beforeAutospacing="0" w:afterAutospacing="0" w:line="360" w:lineRule="auto"/>
        <w:ind w:firstLine="720" w:firstLineChars="300"/>
        <w:rPr>
          <w:rFonts w:hint="eastAsia"/>
          <w:lang w:val="en-US" w:eastAsia="zh-CN"/>
        </w:rPr>
      </w:pPr>
      <w:r>
        <w:rPr>
          <w:rFonts w:hint="eastAsia"/>
          <w:lang w:val="en-US" w:eastAsia="zh-CN"/>
        </w:rPr>
        <w:t>联系方式：029-86522030转806</w:t>
      </w:r>
    </w:p>
    <w:p>
      <w:pPr>
        <w:pStyle w:val="42"/>
        <w:spacing w:beforeAutospacing="0" w:afterAutospacing="0" w:line="360" w:lineRule="auto"/>
      </w:pPr>
      <w:r>
        <w:rPr>
          <w:rFonts w:hint="eastAsia"/>
        </w:rPr>
        <w:t>3、项目联系方式</w:t>
      </w:r>
    </w:p>
    <w:p>
      <w:pPr>
        <w:pStyle w:val="42"/>
        <w:spacing w:beforeAutospacing="0" w:afterAutospacing="0" w:line="360" w:lineRule="auto"/>
        <w:ind w:firstLine="720" w:firstLineChars="300"/>
        <w:rPr>
          <w:rFonts w:hint="eastAsia" w:eastAsia="宋体"/>
          <w:lang w:eastAsia="zh-CN"/>
        </w:rPr>
      </w:pPr>
      <w:r>
        <w:rPr>
          <w:rFonts w:hint="eastAsia"/>
        </w:rPr>
        <w:t>项目联系人：</w:t>
      </w:r>
      <w:r>
        <w:rPr>
          <w:rFonts w:hint="eastAsia"/>
          <w:lang w:val="en-US" w:eastAsia="zh-CN"/>
        </w:rPr>
        <w:t>程方园</w:t>
      </w:r>
    </w:p>
    <w:p>
      <w:pPr>
        <w:pStyle w:val="42"/>
        <w:spacing w:beforeAutospacing="0" w:afterAutospacing="0" w:line="360" w:lineRule="auto"/>
        <w:ind w:firstLine="720" w:firstLineChars="300"/>
      </w:pPr>
      <w:r>
        <w:rPr>
          <w:rFonts w:hint="eastAsia"/>
        </w:rPr>
        <w:t>电话：029-86522030转806</w:t>
      </w:r>
    </w:p>
    <w:p/>
    <w:p>
      <w:pPr>
        <w:pStyle w:val="47"/>
        <w:ind w:left="0" w:leftChars="0" w:firstLine="0" w:firstLineChars="0"/>
        <w:rPr>
          <w:rFonts w:ascii="宋体" w:hAnsi="宋体" w:cs="宋体"/>
          <w:kern w:val="0"/>
          <w:sz w:val="24"/>
        </w:rPr>
      </w:pPr>
    </w:p>
    <w:p>
      <w:pPr>
        <w:pStyle w:val="47"/>
        <w:ind w:firstLine="480"/>
        <w:jc w:val="right"/>
        <w:rPr>
          <w:rFonts w:hint="eastAsia" w:ascii="宋体" w:hAnsi="宋体" w:cs="宋体"/>
          <w:kern w:val="0"/>
          <w:sz w:val="24"/>
          <w:highlight w:val="none"/>
        </w:rPr>
      </w:pPr>
      <w:r>
        <w:rPr>
          <w:rFonts w:hint="eastAsia" w:ascii="宋体" w:hAnsi="宋体" w:cs="宋体"/>
          <w:kern w:val="0"/>
          <w:sz w:val="24"/>
          <w:highlight w:val="none"/>
        </w:rPr>
        <w:t>同正项目管理有限公司</w:t>
      </w:r>
    </w:p>
    <w:p>
      <w:pPr>
        <w:pStyle w:val="47"/>
        <w:ind w:firstLine="480"/>
        <w:jc w:val="right"/>
        <w:rPr>
          <w:rFonts w:ascii="宋体" w:hAnsi="宋体" w:cs="宋体"/>
          <w:kern w:val="0"/>
          <w:sz w:val="24"/>
          <w:highlight w:val="none"/>
        </w:rPr>
        <w:sectPr>
          <w:footerReference r:id="rId11" w:type="first"/>
          <w:footerReference r:id="rId10" w:type="default"/>
          <w:pgSz w:w="11906" w:h="16838"/>
          <w:pgMar w:top="1440" w:right="1403" w:bottom="1440" w:left="1463" w:header="851" w:footer="992" w:gutter="0"/>
          <w:pgNumType w:start="1"/>
          <w:cols w:space="0" w:num="1"/>
          <w:docGrid w:type="lines" w:linePitch="312" w:charSpace="0"/>
        </w:sectPr>
      </w:pPr>
      <w:r>
        <w:rPr>
          <w:rFonts w:hint="eastAsia" w:ascii="宋体" w:hAnsi="宋体" w:cs="宋体"/>
          <w:kern w:val="0"/>
          <w:sz w:val="24"/>
          <w:highlight w:val="none"/>
        </w:rPr>
        <w:t>202</w:t>
      </w:r>
      <w:r>
        <w:rPr>
          <w:rFonts w:hint="eastAsia" w:ascii="宋体" w:hAnsi="宋体" w:cs="宋体"/>
          <w:kern w:val="0"/>
          <w:sz w:val="24"/>
          <w:highlight w:val="none"/>
          <w:lang w:val="en-US" w:eastAsia="zh-CN"/>
        </w:rPr>
        <w:t>2</w:t>
      </w:r>
      <w:r>
        <w:rPr>
          <w:rFonts w:hint="eastAsia" w:ascii="宋体" w:hAnsi="宋体" w:cs="宋体"/>
          <w:kern w:val="0"/>
          <w:sz w:val="24"/>
          <w:highlight w:val="none"/>
        </w:rPr>
        <w:t>年</w:t>
      </w:r>
      <w:r>
        <w:rPr>
          <w:rFonts w:hint="eastAsia" w:ascii="宋体" w:hAnsi="宋体" w:cs="宋体"/>
          <w:kern w:val="0"/>
          <w:sz w:val="24"/>
          <w:highlight w:val="none"/>
          <w:lang w:val="en-US" w:eastAsia="zh-CN"/>
        </w:rPr>
        <w:t>5</w:t>
      </w:r>
      <w:r>
        <w:rPr>
          <w:rFonts w:hint="eastAsia" w:ascii="宋体" w:hAnsi="宋体" w:cs="宋体"/>
          <w:kern w:val="0"/>
          <w:sz w:val="24"/>
          <w:highlight w:val="none"/>
        </w:rPr>
        <w:t>月</w:t>
      </w:r>
      <w:r>
        <w:rPr>
          <w:rFonts w:hint="eastAsia" w:ascii="宋体" w:hAnsi="宋体" w:cs="宋体"/>
          <w:kern w:val="0"/>
          <w:sz w:val="24"/>
          <w:highlight w:val="none"/>
          <w:lang w:val="en-US" w:eastAsia="zh-CN"/>
        </w:rPr>
        <w:t>19</w:t>
      </w:r>
      <w:r>
        <w:rPr>
          <w:rFonts w:hint="eastAsia" w:ascii="宋体" w:hAnsi="宋体" w:cs="宋体"/>
          <w:kern w:val="0"/>
          <w:sz w:val="24"/>
          <w:highlight w:val="none"/>
        </w:rPr>
        <w:t>日</w:t>
      </w:r>
    </w:p>
    <w:p>
      <w:pPr>
        <w:spacing w:line="360" w:lineRule="auto"/>
        <w:jc w:val="center"/>
        <w:outlineLvl w:val="0"/>
        <w:rPr>
          <w:rFonts w:asciiTheme="majorEastAsia" w:hAnsiTheme="majorEastAsia" w:eastAsiaTheme="majorEastAsia" w:cstheme="majorEastAsia"/>
          <w:sz w:val="32"/>
          <w:szCs w:val="32"/>
        </w:rPr>
      </w:pPr>
      <w:bookmarkStart w:id="2" w:name="_Toc27252"/>
      <w:r>
        <w:rPr>
          <w:rFonts w:hint="eastAsia" w:asciiTheme="majorEastAsia" w:hAnsiTheme="majorEastAsia" w:eastAsiaTheme="majorEastAsia" w:cstheme="majorEastAsia"/>
          <w:b/>
          <w:bCs/>
          <w:sz w:val="32"/>
          <w:szCs w:val="32"/>
        </w:rPr>
        <w:t>第二章　磋商须知</w:t>
      </w:r>
      <w:bookmarkEnd w:id="2"/>
    </w:p>
    <w:p>
      <w:pPr>
        <w:spacing w:line="360" w:lineRule="auto"/>
        <w:jc w:val="center"/>
        <w:rPr>
          <w:sz w:val="28"/>
          <w:szCs w:val="28"/>
        </w:rPr>
      </w:pPr>
      <w:bookmarkStart w:id="3" w:name="_Toc220257383"/>
      <w:r>
        <w:rPr>
          <w:sz w:val="28"/>
          <w:szCs w:val="28"/>
        </w:rPr>
        <w:t>磋商须知前附表</w:t>
      </w:r>
      <w:bookmarkEnd w:id="3"/>
    </w:p>
    <w:tbl>
      <w:tblPr>
        <w:tblStyle w:val="48"/>
        <w:tblW w:w="9042"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
      <w:tblGrid>
        <w:gridCol w:w="564"/>
        <w:gridCol w:w="2235"/>
        <w:gridCol w:w="624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533" w:hRule="atLeast"/>
          <w:jc w:val="center"/>
        </w:trPr>
        <w:tc>
          <w:tcPr>
            <w:tcW w:w="564" w:type="dxa"/>
            <w:shd w:val="clear" w:color="auto" w:fill="auto"/>
            <w:tcMar>
              <w:left w:w="108" w:type="dxa"/>
              <w:right w:w="108" w:type="dxa"/>
            </w:tcMar>
            <w:vAlign w:val="center"/>
          </w:tcPr>
          <w:p>
            <w:pPr>
              <w:widowControl/>
              <w:spacing w:line="360" w:lineRule="auto"/>
              <w:jc w:val="center"/>
              <w:rPr>
                <w:sz w:val="24"/>
              </w:rPr>
            </w:pPr>
            <w:r>
              <w:rPr>
                <w:kern w:val="0"/>
                <w:sz w:val="24"/>
              </w:rPr>
              <w:t>序号</w:t>
            </w:r>
          </w:p>
        </w:tc>
        <w:tc>
          <w:tcPr>
            <w:tcW w:w="2235" w:type="dxa"/>
            <w:shd w:val="clear" w:color="auto" w:fill="auto"/>
            <w:tcMar>
              <w:left w:w="108" w:type="dxa"/>
              <w:right w:w="108" w:type="dxa"/>
            </w:tcMar>
            <w:vAlign w:val="center"/>
          </w:tcPr>
          <w:p>
            <w:pPr>
              <w:widowControl/>
              <w:spacing w:line="360" w:lineRule="auto"/>
              <w:jc w:val="center"/>
              <w:rPr>
                <w:sz w:val="24"/>
              </w:rPr>
            </w:pPr>
            <w:r>
              <w:rPr>
                <w:kern w:val="0"/>
                <w:sz w:val="24"/>
              </w:rPr>
              <w:t>条款名称</w:t>
            </w:r>
          </w:p>
        </w:tc>
        <w:tc>
          <w:tcPr>
            <w:tcW w:w="6243" w:type="dxa"/>
            <w:shd w:val="clear" w:color="auto" w:fill="auto"/>
            <w:tcMar>
              <w:left w:w="108" w:type="dxa"/>
              <w:right w:w="108" w:type="dxa"/>
            </w:tcMar>
            <w:vAlign w:val="center"/>
          </w:tcPr>
          <w:p>
            <w:pPr>
              <w:widowControl/>
              <w:spacing w:line="360" w:lineRule="auto"/>
              <w:jc w:val="center"/>
              <w:rPr>
                <w:sz w:val="24"/>
              </w:rPr>
            </w:pPr>
            <w:r>
              <w:rPr>
                <w:kern w:val="0"/>
                <w:sz w:val="24"/>
              </w:rPr>
              <w:t>内    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1149" w:hRule="atLeast"/>
          <w:jc w:val="center"/>
        </w:trPr>
        <w:tc>
          <w:tcPr>
            <w:tcW w:w="564" w:type="dxa"/>
            <w:shd w:val="clear" w:color="auto" w:fill="auto"/>
            <w:tcMar>
              <w:left w:w="108" w:type="dxa"/>
              <w:right w:w="108" w:type="dxa"/>
            </w:tcMar>
            <w:vAlign w:val="center"/>
          </w:tcPr>
          <w:p>
            <w:pPr>
              <w:widowControl/>
              <w:spacing w:line="360" w:lineRule="auto"/>
              <w:jc w:val="center"/>
              <w:rPr>
                <w:sz w:val="24"/>
              </w:rPr>
            </w:pPr>
            <w:r>
              <w:rPr>
                <w:kern w:val="0"/>
                <w:sz w:val="24"/>
              </w:rPr>
              <w:t>1</w:t>
            </w:r>
          </w:p>
        </w:tc>
        <w:tc>
          <w:tcPr>
            <w:tcW w:w="2235" w:type="dxa"/>
            <w:shd w:val="clear" w:color="auto" w:fill="auto"/>
            <w:tcMar>
              <w:left w:w="108" w:type="dxa"/>
              <w:right w:w="108" w:type="dxa"/>
            </w:tcMar>
            <w:vAlign w:val="center"/>
          </w:tcPr>
          <w:p>
            <w:pPr>
              <w:widowControl/>
              <w:spacing w:line="360" w:lineRule="auto"/>
              <w:jc w:val="center"/>
              <w:rPr>
                <w:kern w:val="0"/>
                <w:sz w:val="24"/>
              </w:rPr>
            </w:pPr>
            <w:r>
              <w:rPr>
                <w:kern w:val="0"/>
                <w:sz w:val="24"/>
              </w:rPr>
              <w:t>采购人</w:t>
            </w:r>
          </w:p>
        </w:tc>
        <w:tc>
          <w:tcPr>
            <w:tcW w:w="6243" w:type="dxa"/>
            <w:shd w:val="clear" w:color="auto" w:fill="auto"/>
            <w:tcMar>
              <w:left w:w="108" w:type="dxa"/>
              <w:right w:w="108" w:type="dxa"/>
            </w:tcMar>
            <w:vAlign w:val="center"/>
          </w:tcPr>
          <w:p>
            <w:pPr>
              <w:pStyle w:val="304"/>
              <w:spacing w:line="360" w:lineRule="auto"/>
              <w:rPr>
                <w:kern w:val="2"/>
                <w:lang w:val="zh-CN"/>
              </w:rPr>
            </w:pPr>
            <w:r>
              <w:rPr>
                <w:rFonts w:hint="eastAsia"/>
                <w:kern w:val="2"/>
                <w:lang w:val="zh-CN"/>
              </w:rPr>
              <w:t>采购人名称：</w:t>
            </w:r>
            <w:r>
              <w:rPr>
                <w:rFonts w:hint="eastAsia"/>
                <w:kern w:val="2"/>
              </w:rPr>
              <w:t>西安市高陵区教育局</w:t>
            </w:r>
          </w:p>
          <w:p>
            <w:pPr>
              <w:pStyle w:val="304"/>
              <w:spacing w:line="360" w:lineRule="auto"/>
              <w:rPr>
                <w:kern w:val="2"/>
              </w:rPr>
            </w:pPr>
            <w:r>
              <w:rPr>
                <w:rFonts w:hint="eastAsia"/>
                <w:kern w:val="2"/>
              </w:rPr>
              <w:t>地址：高陵区文卫路290号</w:t>
            </w:r>
          </w:p>
          <w:p>
            <w:pPr>
              <w:adjustRightInd w:val="0"/>
              <w:snapToGrid w:val="0"/>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联系人：秦老师</w:t>
            </w:r>
          </w:p>
          <w:p>
            <w:pPr>
              <w:adjustRightInd w:val="0"/>
              <w:snapToGrid w:val="0"/>
              <w:spacing w:line="360" w:lineRule="auto"/>
              <w:rPr>
                <w:sz w:val="24"/>
              </w:rPr>
            </w:pPr>
            <w:r>
              <w:rPr>
                <w:rFonts w:hint="eastAsia" w:ascii="宋体" w:hAnsi="宋体" w:cs="宋体"/>
                <w:color w:val="000000" w:themeColor="text1"/>
                <w:sz w:val="24"/>
                <w14:textFill>
                  <w14:solidFill>
                    <w14:schemeClr w14:val="tx1"/>
                  </w14:solidFill>
                </w14:textFill>
              </w:rPr>
              <w:t>电话：029-86921342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1600" w:hRule="atLeast"/>
          <w:jc w:val="center"/>
        </w:trPr>
        <w:tc>
          <w:tcPr>
            <w:tcW w:w="564" w:type="dxa"/>
            <w:shd w:val="clear" w:color="auto" w:fill="auto"/>
            <w:tcMar>
              <w:left w:w="108" w:type="dxa"/>
              <w:right w:w="108" w:type="dxa"/>
            </w:tcMar>
            <w:vAlign w:val="center"/>
          </w:tcPr>
          <w:p>
            <w:pPr>
              <w:widowControl/>
              <w:spacing w:line="360" w:lineRule="auto"/>
              <w:jc w:val="center"/>
              <w:rPr>
                <w:sz w:val="24"/>
              </w:rPr>
            </w:pPr>
            <w:r>
              <w:rPr>
                <w:kern w:val="0"/>
                <w:sz w:val="24"/>
              </w:rPr>
              <w:t>2</w:t>
            </w:r>
          </w:p>
        </w:tc>
        <w:tc>
          <w:tcPr>
            <w:tcW w:w="2235" w:type="dxa"/>
            <w:shd w:val="clear" w:color="auto" w:fill="auto"/>
            <w:tcMar>
              <w:left w:w="108" w:type="dxa"/>
              <w:right w:w="108" w:type="dxa"/>
            </w:tcMar>
            <w:vAlign w:val="center"/>
          </w:tcPr>
          <w:p>
            <w:pPr>
              <w:widowControl/>
              <w:spacing w:line="360" w:lineRule="auto"/>
              <w:jc w:val="center"/>
              <w:rPr>
                <w:kern w:val="0"/>
                <w:sz w:val="24"/>
              </w:rPr>
            </w:pPr>
            <w:r>
              <w:rPr>
                <w:kern w:val="0"/>
                <w:sz w:val="24"/>
              </w:rPr>
              <w:t>采购代理机构</w:t>
            </w:r>
          </w:p>
        </w:tc>
        <w:tc>
          <w:tcPr>
            <w:tcW w:w="6243" w:type="dxa"/>
            <w:shd w:val="clear" w:color="auto" w:fill="auto"/>
            <w:tcMar>
              <w:left w:w="108" w:type="dxa"/>
              <w:right w:w="108" w:type="dxa"/>
            </w:tcMar>
            <w:vAlign w:val="center"/>
          </w:tcPr>
          <w:p>
            <w:pPr>
              <w:pStyle w:val="304"/>
              <w:spacing w:line="360" w:lineRule="auto"/>
              <w:rPr>
                <w:rFonts w:cs="Times New Roman"/>
                <w:kern w:val="2"/>
                <w:lang w:val="zh-CN"/>
              </w:rPr>
            </w:pPr>
            <w:r>
              <w:rPr>
                <w:rFonts w:hint="eastAsia" w:cs="Times New Roman"/>
                <w:kern w:val="2"/>
                <w:lang w:val="zh-CN"/>
              </w:rPr>
              <w:t>名  称: 同正项目管理有限公司</w:t>
            </w:r>
          </w:p>
          <w:p>
            <w:pPr>
              <w:pStyle w:val="304"/>
              <w:spacing w:line="360" w:lineRule="auto"/>
              <w:rPr>
                <w:rFonts w:cs="Times New Roman"/>
                <w:kern w:val="2"/>
              </w:rPr>
            </w:pPr>
            <w:r>
              <w:rPr>
                <w:rFonts w:hint="eastAsia" w:cs="Times New Roman"/>
                <w:kern w:val="2"/>
                <w:lang w:val="zh-CN"/>
              </w:rPr>
              <w:t>地  址:</w:t>
            </w:r>
            <w:r>
              <w:rPr>
                <w:rFonts w:hint="eastAsia" w:cs="Times New Roman"/>
                <w:kern w:val="2"/>
              </w:rPr>
              <w:t xml:space="preserve"> 西安市未央区凤城八路与明光路十字长和国际F座22层</w:t>
            </w:r>
          </w:p>
          <w:p>
            <w:pPr>
              <w:pStyle w:val="304"/>
              <w:spacing w:line="360" w:lineRule="auto"/>
              <w:rPr>
                <w:rFonts w:hint="eastAsia" w:eastAsia="宋体" w:cs="Times New Roman"/>
                <w:kern w:val="2"/>
                <w:lang w:val="en-US" w:eastAsia="zh-CN"/>
              </w:rPr>
            </w:pPr>
            <w:r>
              <w:rPr>
                <w:rFonts w:hint="eastAsia" w:cs="Times New Roman"/>
                <w:kern w:val="2"/>
                <w:lang w:val="zh-CN"/>
              </w:rPr>
              <w:t>联系人:</w:t>
            </w:r>
            <w:r>
              <w:rPr>
                <w:rFonts w:hint="eastAsia" w:cs="Times New Roman"/>
                <w:kern w:val="2"/>
              </w:rPr>
              <w:t xml:space="preserve"> </w:t>
            </w:r>
            <w:r>
              <w:rPr>
                <w:rFonts w:hint="eastAsia" w:cs="Times New Roman"/>
                <w:kern w:val="2"/>
                <w:lang w:val="en-US" w:eastAsia="zh-CN"/>
              </w:rPr>
              <w:t>程方园</w:t>
            </w:r>
          </w:p>
          <w:p>
            <w:pPr>
              <w:overflowPunct w:val="0"/>
              <w:topLinePunct/>
              <w:spacing w:line="400" w:lineRule="exact"/>
              <w:rPr>
                <w:rFonts w:hint="default" w:eastAsia="宋体"/>
                <w:sz w:val="24"/>
                <w:lang w:val="en-US" w:eastAsia="zh-CN"/>
              </w:rPr>
            </w:pPr>
            <w:r>
              <w:rPr>
                <w:rFonts w:hint="eastAsia" w:ascii="宋体" w:hAnsi="宋体"/>
                <w:sz w:val="24"/>
                <w:lang w:val="zh-CN"/>
              </w:rPr>
              <w:t>联系方式：</w:t>
            </w:r>
            <w:r>
              <w:rPr>
                <w:rFonts w:hint="eastAsia" w:ascii="宋体" w:hAnsi="宋体"/>
                <w:sz w:val="24"/>
              </w:rPr>
              <w:t>029-86522030</w:t>
            </w:r>
            <w:r>
              <w:rPr>
                <w:rFonts w:hint="eastAsia" w:ascii="宋体" w:hAnsi="宋体"/>
                <w:sz w:val="24"/>
                <w:lang w:val="en-US" w:eastAsia="zh-CN"/>
              </w:rPr>
              <w:t>转806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581" w:hRule="atLeast"/>
          <w:jc w:val="center"/>
        </w:trPr>
        <w:tc>
          <w:tcPr>
            <w:tcW w:w="564" w:type="dxa"/>
            <w:shd w:val="clear" w:color="auto" w:fill="auto"/>
            <w:tcMar>
              <w:left w:w="108" w:type="dxa"/>
              <w:right w:w="108" w:type="dxa"/>
            </w:tcMar>
            <w:vAlign w:val="center"/>
          </w:tcPr>
          <w:p>
            <w:pPr>
              <w:widowControl/>
              <w:spacing w:line="360" w:lineRule="auto"/>
              <w:jc w:val="center"/>
              <w:rPr>
                <w:sz w:val="24"/>
              </w:rPr>
            </w:pPr>
            <w:r>
              <w:rPr>
                <w:kern w:val="0"/>
                <w:sz w:val="24"/>
              </w:rPr>
              <w:t>3</w:t>
            </w:r>
          </w:p>
        </w:tc>
        <w:tc>
          <w:tcPr>
            <w:tcW w:w="2235" w:type="dxa"/>
            <w:shd w:val="clear" w:color="auto" w:fill="auto"/>
            <w:tcMar>
              <w:left w:w="108" w:type="dxa"/>
              <w:right w:w="108" w:type="dxa"/>
            </w:tcMar>
            <w:vAlign w:val="center"/>
          </w:tcPr>
          <w:p>
            <w:pPr>
              <w:widowControl/>
              <w:spacing w:line="360" w:lineRule="auto"/>
              <w:jc w:val="center"/>
              <w:rPr>
                <w:kern w:val="0"/>
                <w:sz w:val="24"/>
              </w:rPr>
            </w:pPr>
            <w:r>
              <w:rPr>
                <w:kern w:val="0"/>
                <w:sz w:val="24"/>
              </w:rPr>
              <w:t>项目名称</w:t>
            </w:r>
          </w:p>
        </w:tc>
        <w:tc>
          <w:tcPr>
            <w:tcW w:w="6243" w:type="dxa"/>
            <w:shd w:val="clear" w:color="auto" w:fill="auto"/>
            <w:tcMar>
              <w:left w:w="108" w:type="dxa"/>
              <w:right w:w="108" w:type="dxa"/>
            </w:tcMar>
            <w:vAlign w:val="center"/>
          </w:tcPr>
          <w:p>
            <w:pPr>
              <w:widowControl/>
              <w:spacing w:line="400" w:lineRule="exact"/>
              <w:jc w:val="left"/>
              <w:rPr>
                <w:rFonts w:hint="eastAsia" w:eastAsia="宋体"/>
                <w:sz w:val="24"/>
                <w:lang w:eastAsia="zh-CN"/>
              </w:rPr>
            </w:pPr>
            <w:r>
              <w:rPr>
                <w:rFonts w:hint="eastAsia"/>
                <w:sz w:val="24"/>
                <w:lang w:eastAsia="zh-CN"/>
              </w:rPr>
              <w:t>高陵区城西小学变压器及电路改造工程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520" w:hRule="atLeast"/>
          <w:jc w:val="center"/>
        </w:trPr>
        <w:tc>
          <w:tcPr>
            <w:tcW w:w="564" w:type="dxa"/>
            <w:shd w:val="clear" w:color="auto" w:fill="auto"/>
            <w:tcMar>
              <w:left w:w="108" w:type="dxa"/>
              <w:right w:w="108" w:type="dxa"/>
            </w:tcMar>
            <w:vAlign w:val="center"/>
          </w:tcPr>
          <w:p>
            <w:pPr>
              <w:widowControl/>
              <w:spacing w:line="360" w:lineRule="auto"/>
              <w:jc w:val="center"/>
              <w:rPr>
                <w:kern w:val="0"/>
                <w:sz w:val="24"/>
              </w:rPr>
            </w:pPr>
            <w:r>
              <w:rPr>
                <w:kern w:val="0"/>
                <w:sz w:val="24"/>
              </w:rPr>
              <w:t>4</w:t>
            </w:r>
          </w:p>
        </w:tc>
        <w:tc>
          <w:tcPr>
            <w:tcW w:w="2235" w:type="dxa"/>
            <w:shd w:val="clear" w:color="auto" w:fill="auto"/>
            <w:tcMar>
              <w:left w:w="108" w:type="dxa"/>
              <w:right w:w="108" w:type="dxa"/>
            </w:tcMar>
            <w:vAlign w:val="center"/>
          </w:tcPr>
          <w:p>
            <w:pPr>
              <w:widowControl/>
              <w:spacing w:line="360" w:lineRule="auto"/>
              <w:jc w:val="center"/>
              <w:rPr>
                <w:color w:val="000000" w:themeColor="text1"/>
                <w:kern w:val="0"/>
                <w:sz w:val="24"/>
                <w14:textFill>
                  <w14:solidFill>
                    <w14:schemeClr w14:val="tx1"/>
                  </w14:solidFill>
                </w14:textFill>
              </w:rPr>
            </w:pPr>
            <w:r>
              <w:rPr>
                <w:color w:val="000000" w:themeColor="text1"/>
                <w:sz w:val="24"/>
                <w14:textFill>
                  <w14:solidFill>
                    <w14:schemeClr w14:val="tx1"/>
                  </w14:solidFill>
                </w14:textFill>
              </w:rPr>
              <w:t>资金来源</w:t>
            </w:r>
          </w:p>
        </w:tc>
        <w:tc>
          <w:tcPr>
            <w:tcW w:w="6243" w:type="dxa"/>
            <w:shd w:val="clear" w:color="auto" w:fill="auto"/>
            <w:tcMar>
              <w:left w:w="108" w:type="dxa"/>
              <w:right w:w="108" w:type="dxa"/>
            </w:tcMar>
            <w:vAlign w:val="center"/>
          </w:tcPr>
          <w:p>
            <w:pPr>
              <w:widowControl/>
              <w:spacing w:line="400" w:lineRule="exact"/>
              <w:rPr>
                <w:color w:val="000000" w:themeColor="text1"/>
                <w:sz w:val="24"/>
                <w14:textFill>
                  <w14:solidFill>
                    <w14:schemeClr w14:val="tx1"/>
                  </w14:solidFill>
                </w14:textFill>
              </w:rPr>
            </w:pPr>
            <w:r>
              <w:rPr>
                <w:rFonts w:hint="eastAsia" w:asciiTheme="minorEastAsia" w:hAnsiTheme="minorEastAsia" w:eastAsiaTheme="minorEastAsia"/>
                <w:color w:val="000000" w:themeColor="text1"/>
                <w:sz w:val="24"/>
                <w14:textFill>
                  <w14:solidFill>
                    <w14:schemeClr w14:val="tx1"/>
                  </w14:solidFill>
                </w14:textFill>
              </w:rPr>
              <w:t>财政资金</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521" w:hRule="atLeast"/>
          <w:jc w:val="center"/>
        </w:trPr>
        <w:tc>
          <w:tcPr>
            <w:tcW w:w="564" w:type="dxa"/>
            <w:shd w:val="clear" w:color="auto" w:fill="auto"/>
            <w:tcMar>
              <w:left w:w="108" w:type="dxa"/>
              <w:right w:w="108" w:type="dxa"/>
            </w:tcMar>
            <w:vAlign w:val="center"/>
          </w:tcPr>
          <w:p>
            <w:pPr>
              <w:widowControl/>
              <w:spacing w:line="360" w:lineRule="auto"/>
              <w:jc w:val="center"/>
              <w:rPr>
                <w:kern w:val="0"/>
                <w:sz w:val="24"/>
              </w:rPr>
            </w:pPr>
            <w:r>
              <w:rPr>
                <w:kern w:val="0"/>
                <w:sz w:val="24"/>
              </w:rPr>
              <w:t>5</w:t>
            </w:r>
          </w:p>
        </w:tc>
        <w:tc>
          <w:tcPr>
            <w:tcW w:w="2235" w:type="dxa"/>
            <w:shd w:val="clear" w:color="auto" w:fill="auto"/>
            <w:tcMar>
              <w:left w:w="108" w:type="dxa"/>
              <w:right w:w="108" w:type="dxa"/>
            </w:tcMar>
            <w:vAlign w:val="center"/>
          </w:tcPr>
          <w:p>
            <w:pPr>
              <w:widowControl/>
              <w:spacing w:line="360" w:lineRule="auto"/>
              <w:jc w:val="center"/>
              <w:rPr>
                <w:kern w:val="0"/>
                <w:sz w:val="24"/>
                <w:highlight w:val="none"/>
              </w:rPr>
            </w:pPr>
            <w:r>
              <w:rPr>
                <w:color w:val="000000" w:themeColor="text1"/>
                <w:sz w:val="24"/>
                <w:highlight w:val="none"/>
                <w14:textFill>
                  <w14:solidFill>
                    <w14:schemeClr w14:val="tx1"/>
                  </w14:solidFill>
                </w14:textFill>
              </w:rPr>
              <w:t>项目概算</w:t>
            </w:r>
          </w:p>
        </w:tc>
        <w:tc>
          <w:tcPr>
            <w:tcW w:w="6243" w:type="dxa"/>
            <w:shd w:val="clear" w:color="auto" w:fill="auto"/>
            <w:tcMar>
              <w:left w:w="108" w:type="dxa"/>
              <w:right w:w="108" w:type="dxa"/>
            </w:tcMar>
            <w:vAlign w:val="center"/>
          </w:tcPr>
          <w:p>
            <w:pPr>
              <w:widowControl/>
              <w:jc w:val="left"/>
              <w:rPr>
                <w:rFonts w:eastAsiaTheme="minorEastAsia"/>
                <w:sz w:val="24"/>
                <w:highlight w:val="none"/>
              </w:rPr>
            </w:pPr>
            <w:r>
              <w:rPr>
                <w:rFonts w:hint="eastAsia" w:asciiTheme="minorEastAsia" w:hAnsiTheme="minorEastAsia" w:eastAsiaTheme="minorEastAsia"/>
                <w:color w:val="000000" w:themeColor="text1"/>
                <w:sz w:val="24"/>
                <w:highlight w:val="none"/>
                <w14:textFill>
                  <w14:solidFill>
                    <w14:schemeClr w14:val="tx1"/>
                  </w14:solidFill>
                </w14:textFill>
              </w:rPr>
              <w:t>3000000.00元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513" w:hRule="atLeast"/>
          <w:jc w:val="center"/>
        </w:trPr>
        <w:tc>
          <w:tcPr>
            <w:tcW w:w="564" w:type="dxa"/>
            <w:shd w:val="clear" w:color="auto" w:fill="auto"/>
            <w:tcMar>
              <w:left w:w="108" w:type="dxa"/>
              <w:right w:w="108" w:type="dxa"/>
            </w:tcMar>
            <w:vAlign w:val="center"/>
          </w:tcPr>
          <w:p>
            <w:pPr>
              <w:widowControl/>
              <w:spacing w:line="360" w:lineRule="auto"/>
              <w:jc w:val="center"/>
              <w:rPr>
                <w:kern w:val="0"/>
                <w:sz w:val="24"/>
              </w:rPr>
            </w:pPr>
            <w:r>
              <w:rPr>
                <w:kern w:val="0"/>
                <w:sz w:val="24"/>
              </w:rPr>
              <w:t>6</w:t>
            </w:r>
          </w:p>
        </w:tc>
        <w:tc>
          <w:tcPr>
            <w:tcW w:w="2235" w:type="dxa"/>
            <w:shd w:val="clear" w:color="auto" w:fill="auto"/>
            <w:tcMar>
              <w:left w:w="108" w:type="dxa"/>
              <w:right w:w="108" w:type="dxa"/>
            </w:tcMar>
            <w:vAlign w:val="center"/>
          </w:tcPr>
          <w:p>
            <w:pPr>
              <w:widowControl/>
              <w:spacing w:line="360" w:lineRule="auto"/>
              <w:jc w:val="center"/>
              <w:rPr>
                <w:sz w:val="24"/>
              </w:rPr>
            </w:pPr>
            <w:r>
              <w:rPr>
                <w:sz w:val="24"/>
              </w:rPr>
              <w:t>采购方式</w:t>
            </w:r>
          </w:p>
        </w:tc>
        <w:tc>
          <w:tcPr>
            <w:tcW w:w="6243" w:type="dxa"/>
            <w:shd w:val="clear" w:color="auto" w:fill="auto"/>
            <w:tcMar>
              <w:left w:w="108" w:type="dxa"/>
              <w:right w:w="108" w:type="dxa"/>
            </w:tcMar>
            <w:vAlign w:val="center"/>
          </w:tcPr>
          <w:p>
            <w:pPr>
              <w:widowControl/>
              <w:spacing w:line="400" w:lineRule="exact"/>
              <w:rPr>
                <w:rFonts w:ascii="宋体" w:hAnsi="宋体" w:cs="宋体"/>
                <w:sz w:val="24"/>
              </w:rPr>
            </w:pPr>
            <w:r>
              <w:rPr>
                <w:rFonts w:hint="eastAsia" w:ascii="宋体" w:hAnsi="宋体" w:cs="宋体"/>
                <w:sz w:val="24"/>
              </w:rPr>
              <w:t>竞争性磋商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90" w:hRule="atLeast"/>
          <w:jc w:val="center"/>
        </w:trPr>
        <w:tc>
          <w:tcPr>
            <w:tcW w:w="564" w:type="dxa"/>
            <w:shd w:val="clear" w:color="auto" w:fill="auto"/>
            <w:tcMar>
              <w:left w:w="108" w:type="dxa"/>
              <w:right w:w="108" w:type="dxa"/>
            </w:tcMar>
            <w:vAlign w:val="center"/>
          </w:tcPr>
          <w:p>
            <w:pPr>
              <w:widowControl/>
              <w:spacing w:line="360" w:lineRule="auto"/>
              <w:jc w:val="center"/>
              <w:rPr>
                <w:kern w:val="0"/>
                <w:sz w:val="24"/>
              </w:rPr>
            </w:pPr>
            <w:r>
              <w:rPr>
                <w:kern w:val="0"/>
                <w:sz w:val="24"/>
              </w:rPr>
              <w:t>7</w:t>
            </w:r>
          </w:p>
        </w:tc>
        <w:tc>
          <w:tcPr>
            <w:tcW w:w="2235" w:type="dxa"/>
            <w:shd w:val="clear" w:color="auto" w:fill="auto"/>
            <w:tcMar>
              <w:left w:w="108" w:type="dxa"/>
              <w:right w:w="108" w:type="dxa"/>
            </w:tcMar>
            <w:vAlign w:val="center"/>
          </w:tcPr>
          <w:p>
            <w:pPr>
              <w:widowControl/>
              <w:spacing w:line="360" w:lineRule="auto"/>
              <w:jc w:val="center"/>
              <w:rPr>
                <w:bCs/>
                <w:sz w:val="24"/>
                <w:highlight w:val="none"/>
              </w:rPr>
            </w:pPr>
            <w:r>
              <w:rPr>
                <w:bCs/>
                <w:sz w:val="24"/>
                <w:highlight w:val="none"/>
              </w:rPr>
              <w:t>采购内容</w:t>
            </w:r>
          </w:p>
        </w:tc>
        <w:tc>
          <w:tcPr>
            <w:tcW w:w="6243" w:type="dxa"/>
            <w:shd w:val="clear" w:color="auto" w:fill="auto"/>
            <w:tcMar>
              <w:left w:w="108" w:type="dxa"/>
              <w:right w:w="108" w:type="dxa"/>
            </w:tcMar>
            <w:vAlign w:val="center"/>
          </w:tcPr>
          <w:p>
            <w:pPr>
              <w:widowControl/>
              <w:spacing w:line="360" w:lineRule="auto"/>
              <w:jc w:val="left"/>
              <w:rPr>
                <w:sz w:val="24"/>
                <w:highlight w:val="none"/>
              </w:rPr>
            </w:pPr>
            <w:r>
              <w:rPr>
                <w:rFonts w:hint="eastAsia"/>
                <w:sz w:val="24"/>
                <w:highlight w:val="none"/>
                <w:lang w:eastAsia="zh-CN"/>
              </w:rPr>
              <w:t>高陵区城西小学变压器及电路改造工程</w:t>
            </w:r>
            <w:r>
              <w:rPr>
                <w:rFonts w:hint="eastAsia"/>
                <w:sz w:val="24"/>
                <w:highlight w:val="none"/>
              </w:rPr>
              <w:t>，包括高压外线、箱变、环网柜及低压柜系统。具体详见工程量清单。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462" w:hRule="atLeast"/>
          <w:jc w:val="center"/>
        </w:trPr>
        <w:tc>
          <w:tcPr>
            <w:tcW w:w="564" w:type="dxa"/>
            <w:shd w:val="clear" w:color="auto" w:fill="auto"/>
            <w:tcMar>
              <w:left w:w="108" w:type="dxa"/>
              <w:right w:w="108" w:type="dxa"/>
            </w:tcMar>
            <w:vAlign w:val="center"/>
          </w:tcPr>
          <w:p>
            <w:pPr>
              <w:widowControl/>
              <w:spacing w:line="360" w:lineRule="auto"/>
              <w:jc w:val="center"/>
              <w:rPr>
                <w:kern w:val="0"/>
                <w:sz w:val="24"/>
              </w:rPr>
            </w:pPr>
            <w:r>
              <w:rPr>
                <w:kern w:val="0"/>
                <w:sz w:val="24"/>
              </w:rPr>
              <w:t>8</w:t>
            </w:r>
          </w:p>
        </w:tc>
        <w:tc>
          <w:tcPr>
            <w:tcW w:w="2235" w:type="dxa"/>
            <w:shd w:val="clear" w:color="auto" w:fill="auto"/>
            <w:tcMar>
              <w:left w:w="108" w:type="dxa"/>
              <w:right w:w="108" w:type="dxa"/>
            </w:tcMar>
            <w:vAlign w:val="center"/>
          </w:tcPr>
          <w:p>
            <w:pPr>
              <w:widowControl/>
              <w:spacing w:line="360" w:lineRule="auto"/>
              <w:jc w:val="center"/>
              <w:rPr>
                <w:kern w:val="0"/>
                <w:sz w:val="24"/>
              </w:rPr>
            </w:pPr>
            <w:r>
              <w:rPr>
                <w:kern w:val="0"/>
                <w:sz w:val="24"/>
              </w:rPr>
              <w:t>磋商有效期</w:t>
            </w:r>
          </w:p>
        </w:tc>
        <w:tc>
          <w:tcPr>
            <w:tcW w:w="6243" w:type="dxa"/>
            <w:shd w:val="clear" w:color="auto" w:fill="auto"/>
            <w:tcMar>
              <w:left w:w="108" w:type="dxa"/>
              <w:right w:w="108" w:type="dxa"/>
            </w:tcMar>
            <w:vAlign w:val="center"/>
          </w:tcPr>
          <w:p>
            <w:pPr>
              <w:widowControl/>
              <w:spacing w:line="400" w:lineRule="exact"/>
              <w:jc w:val="left"/>
              <w:rPr>
                <w:rFonts w:ascii="宋体" w:hAnsi="宋体" w:cs="宋体"/>
                <w:kern w:val="0"/>
                <w:sz w:val="24"/>
              </w:rPr>
            </w:pPr>
            <w:r>
              <w:rPr>
                <w:rFonts w:hint="eastAsia" w:ascii="宋体" w:hAnsi="宋体" w:cs="宋体"/>
                <w:kern w:val="0"/>
                <w:sz w:val="24"/>
              </w:rPr>
              <w:t>自磋商响应文件递交之日起</w:t>
            </w:r>
            <w:r>
              <w:rPr>
                <w:rFonts w:hint="eastAsia" w:ascii="宋体" w:hAnsi="宋体" w:cs="宋体"/>
                <w:kern w:val="0"/>
                <w:sz w:val="24"/>
                <w:u w:val="single"/>
              </w:rPr>
              <w:t>90</w:t>
            </w:r>
            <w:r>
              <w:rPr>
                <w:rFonts w:hint="eastAsia" w:ascii="宋体" w:hAnsi="宋体" w:cs="宋体"/>
                <w:kern w:val="0"/>
                <w:sz w:val="24"/>
              </w:rPr>
              <w:t>日历天</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442" w:hRule="atLeast"/>
          <w:jc w:val="center"/>
        </w:trPr>
        <w:tc>
          <w:tcPr>
            <w:tcW w:w="564" w:type="dxa"/>
            <w:shd w:val="clear" w:color="auto" w:fill="auto"/>
            <w:tcMar>
              <w:left w:w="108" w:type="dxa"/>
              <w:right w:w="108" w:type="dxa"/>
            </w:tcMar>
            <w:vAlign w:val="center"/>
          </w:tcPr>
          <w:p>
            <w:pPr>
              <w:widowControl/>
              <w:spacing w:line="360" w:lineRule="auto"/>
              <w:jc w:val="center"/>
              <w:rPr>
                <w:kern w:val="0"/>
                <w:sz w:val="24"/>
              </w:rPr>
            </w:pPr>
            <w:r>
              <w:rPr>
                <w:kern w:val="0"/>
                <w:sz w:val="24"/>
              </w:rPr>
              <w:t>9</w:t>
            </w:r>
          </w:p>
        </w:tc>
        <w:tc>
          <w:tcPr>
            <w:tcW w:w="2235" w:type="dxa"/>
            <w:shd w:val="clear" w:color="auto" w:fill="auto"/>
            <w:tcMar>
              <w:left w:w="108" w:type="dxa"/>
              <w:right w:w="108" w:type="dxa"/>
            </w:tcMar>
            <w:vAlign w:val="center"/>
          </w:tcPr>
          <w:p>
            <w:pPr>
              <w:adjustRightInd w:val="0"/>
              <w:snapToGrid w:val="0"/>
              <w:spacing w:line="400" w:lineRule="exact"/>
              <w:jc w:val="center"/>
              <w:rPr>
                <w:rFonts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工期</w:t>
            </w:r>
          </w:p>
        </w:tc>
        <w:tc>
          <w:tcPr>
            <w:tcW w:w="6243" w:type="dxa"/>
            <w:shd w:val="clear" w:color="auto" w:fill="auto"/>
            <w:tcMar>
              <w:left w:w="108" w:type="dxa"/>
              <w:right w:w="108" w:type="dxa"/>
            </w:tcMar>
            <w:vAlign w:val="center"/>
          </w:tcPr>
          <w:p>
            <w:pPr>
              <w:adjustRightInd w:val="0"/>
              <w:snapToGrid w:val="0"/>
              <w:spacing w:line="400" w:lineRule="exact"/>
              <w:rPr>
                <w:rFonts w:ascii="宋体" w:hAnsi="宋体" w:cs="宋体"/>
                <w:sz w:val="24"/>
                <w:highlight w:val="none"/>
              </w:rPr>
            </w:pPr>
            <w:r>
              <w:rPr>
                <w:rFonts w:hint="eastAsia" w:ascii="宋体" w:hAnsi="宋体" w:cs="宋体"/>
                <w:sz w:val="24"/>
                <w:highlight w:val="none"/>
                <w:lang w:val="en-US" w:eastAsia="zh-CN"/>
              </w:rPr>
              <w:t>90</w:t>
            </w:r>
            <w:r>
              <w:rPr>
                <w:rFonts w:hint="eastAsia" w:ascii="宋体" w:hAnsi="宋体" w:cs="宋体"/>
                <w:sz w:val="24"/>
                <w:highlight w:val="none"/>
              </w:rPr>
              <w:t>日历天</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483" w:hRule="atLeast"/>
          <w:jc w:val="center"/>
        </w:trPr>
        <w:tc>
          <w:tcPr>
            <w:tcW w:w="564" w:type="dxa"/>
            <w:shd w:val="clear" w:color="auto" w:fill="auto"/>
            <w:tcMar>
              <w:left w:w="108" w:type="dxa"/>
              <w:right w:w="108" w:type="dxa"/>
            </w:tcMar>
            <w:vAlign w:val="center"/>
          </w:tcPr>
          <w:p>
            <w:pPr>
              <w:widowControl/>
              <w:spacing w:line="360" w:lineRule="auto"/>
              <w:jc w:val="center"/>
              <w:rPr>
                <w:kern w:val="0"/>
                <w:sz w:val="24"/>
              </w:rPr>
            </w:pPr>
            <w:r>
              <w:rPr>
                <w:kern w:val="0"/>
                <w:sz w:val="24"/>
              </w:rPr>
              <w:t>10</w:t>
            </w:r>
          </w:p>
        </w:tc>
        <w:tc>
          <w:tcPr>
            <w:tcW w:w="2235" w:type="dxa"/>
            <w:shd w:val="clear" w:color="auto" w:fill="auto"/>
            <w:tcMar>
              <w:left w:w="108" w:type="dxa"/>
              <w:right w:w="108" w:type="dxa"/>
            </w:tcMar>
            <w:vAlign w:val="center"/>
          </w:tcPr>
          <w:p>
            <w:pPr>
              <w:widowControl/>
              <w:spacing w:line="360" w:lineRule="auto"/>
              <w:jc w:val="center"/>
              <w:rPr>
                <w:kern w:val="0"/>
                <w:sz w:val="24"/>
              </w:rPr>
            </w:pPr>
            <w:r>
              <w:rPr>
                <w:kern w:val="0"/>
                <w:sz w:val="24"/>
              </w:rPr>
              <w:t>质量</w:t>
            </w:r>
            <w:r>
              <w:rPr>
                <w:rFonts w:hint="eastAsia"/>
                <w:kern w:val="0"/>
                <w:sz w:val="24"/>
              </w:rPr>
              <w:t>标准</w:t>
            </w:r>
          </w:p>
        </w:tc>
        <w:tc>
          <w:tcPr>
            <w:tcW w:w="6243" w:type="dxa"/>
            <w:shd w:val="clear" w:color="auto" w:fill="auto"/>
            <w:tcMar>
              <w:left w:w="108" w:type="dxa"/>
              <w:right w:w="108" w:type="dxa"/>
            </w:tcMar>
            <w:vAlign w:val="center"/>
          </w:tcPr>
          <w:p>
            <w:pPr>
              <w:adjustRightInd w:val="0"/>
              <w:snapToGrid w:val="0"/>
              <w:spacing w:line="400" w:lineRule="exact"/>
              <w:rPr>
                <w:szCs w:val="21"/>
              </w:rPr>
            </w:pPr>
            <w:r>
              <w:rPr>
                <w:kern w:val="0"/>
                <w:sz w:val="24"/>
              </w:rPr>
              <w:t>达到国家相关质量合格标准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411" w:hRule="atLeast"/>
          <w:jc w:val="center"/>
        </w:trPr>
        <w:tc>
          <w:tcPr>
            <w:tcW w:w="564" w:type="dxa"/>
            <w:shd w:val="clear" w:color="auto" w:fill="auto"/>
            <w:tcMar>
              <w:left w:w="108" w:type="dxa"/>
              <w:right w:w="108" w:type="dxa"/>
            </w:tcMar>
            <w:vAlign w:val="center"/>
          </w:tcPr>
          <w:p>
            <w:pPr>
              <w:widowControl/>
              <w:spacing w:line="360" w:lineRule="auto"/>
              <w:jc w:val="center"/>
              <w:rPr>
                <w:kern w:val="0"/>
                <w:sz w:val="24"/>
              </w:rPr>
            </w:pPr>
            <w:r>
              <w:rPr>
                <w:kern w:val="0"/>
                <w:sz w:val="24"/>
              </w:rPr>
              <w:t>1</w:t>
            </w:r>
            <w:r>
              <w:rPr>
                <w:rFonts w:hint="eastAsia"/>
                <w:kern w:val="0"/>
                <w:sz w:val="24"/>
              </w:rPr>
              <w:t>1</w:t>
            </w:r>
          </w:p>
        </w:tc>
        <w:tc>
          <w:tcPr>
            <w:tcW w:w="2235" w:type="dxa"/>
            <w:shd w:val="clear" w:color="auto" w:fill="auto"/>
            <w:tcMar>
              <w:left w:w="108" w:type="dxa"/>
              <w:right w:w="108" w:type="dxa"/>
            </w:tcMar>
            <w:vAlign w:val="center"/>
          </w:tcPr>
          <w:p>
            <w:pPr>
              <w:widowControl/>
              <w:spacing w:line="360" w:lineRule="auto"/>
              <w:jc w:val="center"/>
              <w:rPr>
                <w:kern w:val="0"/>
                <w:sz w:val="24"/>
              </w:rPr>
            </w:pPr>
            <w:r>
              <w:rPr>
                <w:rFonts w:hint="eastAsia" w:asciiTheme="minorEastAsia" w:hAnsiTheme="minorEastAsia" w:eastAsiaTheme="minorEastAsia" w:cstheme="minorEastAsia"/>
                <w:sz w:val="24"/>
              </w:rPr>
              <w:t>磋商响应单位资格条件、能力</w:t>
            </w:r>
          </w:p>
        </w:tc>
        <w:tc>
          <w:tcPr>
            <w:tcW w:w="6243" w:type="dxa"/>
            <w:shd w:val="clear" w:color="auto" w:fill="auto"/>
            <w:tcMar>
              <w:left w:w="108" w:type="dxa"/>
              <w:right w:w="108" w:type="dxa"/>
            </w:tcMar>
            <w:vAlign w:val="center"/>
          </w:tcPr>
          <w:p>
            <w:pPr>
              <w:adjustRightInd w:val="0"/>
              <w:snapToGrid w:val="0"/>
              <w:spacing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磋商响应单位除应具备《中华人民共和国政府采购法》第二十二条规定的条件外还需：</w:t>
            </w:r>
          </w:p>
          <w:p>
            <w:pPr>
              <w:numPr>
                <w:ilvl w:val="0"/>
                <w:numId w:val="3"/>
              </w:numPr>
              <w:overflowPunct w:val="0"/>
              <w:topLinePunct/>
              <w:spacing w:line="360" w:lineRule="auto"/>
              <w:rPr>
                <w:rFonts w:hint="eastAsia" w:ascii="宋体" w:hAnsi="宋体" w:cs="宋体"/>
                <w:sz w:val="24"/>
              </w:rPr>
            </w:pPr>
            <w:r>
              <w:rPr>
                <w:rFonts w:hint="eastAsia" w:ascii="宋体" w:hAnsi="宋体" w:cs="宋体"/>
                <w:sz w:val="24"/>
              </w:rPr>
              <w:t>具有合格有效的企业法人营业执照、税务登记证、组织机构代码证（或三证合一营业执照）；</w:t>
            </w:r>
          </w:p>
          <w:p>
            <w:pPr>
              <w:numPr>
                <w:ilvl w:val="0"/>
                <w:numId w:val="3"/>
              </w:numPr>
              <w:overflowPunct w:val="0"/>
              <w:topLinePunct/>
              <w:spacing w:line="360" w:lineRule="auto"/>
              <w:ind w:left="0" w:leftChars="0" w:firstLine="0" w:firstLineChars="0"/>
              <w:rPr>
                <w:rFonts w:hint="eastAsia" w:ascii="宋体" w:hAnsi="宋体" w:cs="宋体"/>
                <w:sz w:val="24"/>
              </w:rPr>
            </w:pPr>
            <w:r>
              <w:rPr>
                <w:rFonts w:hint="eastAsia" w:ascii="宋体" w:hAnsi="宋体" w:cs="宋体"/>
                <w:sz w:val="24"/>
              </w:rPr>
              <w:t>磋商响应单位应授权合法的人员参加磋商全过程，其中法定代表人直接参加磋商的，须出具法人身份证，并与营业执照上信息一致。法定代表人授权代表参加磋商的，须出具法定代表人授权书及授权代表身份证；</w:t>
            </w:r>
          </w:p>
          <w:p>
            <w:pPr>
              <w:numPr>
                <w:ilvl w:val="0"/>
                <w:numId w:val="3"/>
              </w:numPr>
              <w:overflowPunct w:val="0"/>
              <w:topLinePunct/>
              <w:spacing w:line="360" w:lineRule="auto"/>
              <w:ind w:left="0" w:leftChars="0" w:firstLine="0" w:firstLineChars="0"/>
              <w:rPr>
                <w:rFonts w:hint="eastAsia" w:ascii="宋体" w:hAnsi="宋体" w:cs="宋体"/>
                <w:sz w:val="24"/>
              </w:rPr>
            </w:pPr>
            <w:r>
              <w:rPr>
                <w:rFonts w:hint="eastAsia" w:ascii="宋体" w:hAnsi="宋体" w:cs="宋体"/>
                <w:sz w:val="24"/>
                <w:highlight w:val="none"/>
                <w:lang w:eastAsia="zh-CN"/>
              </w:rPr>
              <w:t>具备建设部门颁发的电力工程施工总承包三级（含）及以上资质或输变电工程专业承包三级（含）及以上资质，具有有效的安全生产许可证，且具备承装、承修、承试五级及以上承装（修、试）电力设施许可证</w:t>
            </w:r>
            <w:r>
              <w:rPr>
                <w:rFonts w:hint="eastAsia" w:ascii="宋体" w:hAnsi="宋体" w:cs="宋体"/>
                <w:sz w:val="24"/>
              </w:rPr>
              <w:t>；</w:t>
            </w:r>
          </w:p>
          <w:p>
            <w:pPr>
              <w:numPr>
                <w:ilvl w:val="0"/>
                <w:numId w:val="3"/>
              </w:numPr>
              <w:overflowPunct w:val="0"/>
              <w:topLinePunct/>
              <w:spacing w:line="360" w:lineRule="auto"/>
              <w:ind w:left="0" w:leftChars="0" w:firstLine="0" w:firstLineChars="0"/>
              <w:rPr>
                <w:rFonts w:hint="eastAsia" w:ascii="宋体" w:hAnsi="宋体" w:cs="宋体"/>
                <w:sz w:val="24"/>
              </w:rPr>
            </w:pPr>
            <w:r>
              <w:rPr>
                <w:rFonts w:hint="eastAsia" w:ascii="宋体" w:hAnsi="宋体" w:cs="宋体"/>
                <w:sz w:val="24"/>
                <w:highlight w:val="none"/>
                <w:lang w:eastAsia="zh-CN"/>
              </w:rPr>
              <w:t>拟委派项目经理须具有机电工程专业二级及以上注册建造师资质并具有安全生产考核合格证，在本单位注册且无在建工程</w:t>
            </w:r>
            <w:r>
              <w:rPr>
                <w:rFonts w:hint="eastAsia" w:ascii="宋体" w:hAnsi="宋体" w:cs="宋体"/>
                <w:sz w:val="24"/>
              </w:rPr>
              <w:t>；</w:t>
            </w:r>
          </w:p>
          <w:p>
            <w:pPr>
              <w:numPr>
                <w:ilvl w:val="0"/>
                <w:numId w:val="3"/>
              </w:numPr>
              <w:overflowPunct w:val="0"/>
              <w:topLinePunct/>
              <w:spacing w:line="360" w:lineRule="auto"/>
              <w:ind w:left="0" w:leftChars="0" w:firstLine="0" w:firstLineChars="0"/>
              <w:rPr>
                <w:rFonts w:hint="eastAsia" w:ascii="宋体" w:hAnsi="宋体" w:cs="宋体"/>
                <w:sz w:val="24"/>
              </w:rPr>
            </w:pPr>
            <w:r>
              <w:rPr>
                <w:rFonts w:hint="eastAsia" w:ascii="宋体" w:hAnsi="宋体" w:cs="宋体"/>
                <w:sz w:val="24"/>
                <w:highlight w:val="none"/>
              </w:rPr>
              <w:t>供应商不得为“信用中国”网站（www.creditchina.gov.cn）</w:t>
            </w:r>
            <w:r>
              <w:rPr>
                <w:rFonts w:hint="eastAsia" w:ascii="宋体" w:hAnsi="宋体" w:cs="宋体"/>
                <w:kern w:val="0"/>
                <w:sz w:val="24"/>
                <w:highlight w:val="none"/>
                <w:lang w:eastAsia="zh-CN"/>
              </w:rPr>
              <w:t>（</w:t>
            </w:r>
            <w:r>
              <w:rPr>
                <w:rFonts w:hint="eastAsia" w:ascii="宋体" w:hAnsi="宋体" w:cs="宋体"/>
                <w:kern w:val="0"/>
                <w:sz w:val="24"/>
                <w:highlight w:val="none"/>
                <w:lang w:val="en-US" w:eastAsia="zh-CN"/>
              </w:rPr>
              <w:t>中国执行信息公开网</w:t>
            </w:r>
            <w:r>
              <w:rPr>
                <w:rFonts w:hint="eastAsia" w:ascii="宋体" w:hAnsi="宋体" w:cs="宋体"/>
                <w:kern w:val="0"/>
                <w:sz w:val="24"/>
                <w:highlight w:val="none"/>
                <w:lang w:eastAsia="zh-CN"/>
              </w:rPr>
              <w:t>）</w:t>
            </w:r>
            <w:r>
              <w:rPr>
                <w:rFonts w:hint="eastAsia" w:ascii="宋体" w:hAnsi="宋体" w:cs="宋体"/>
                <w:sz w:val="24"/>
                <w:highlight w:val="none"/>
              </w:rPr>
              <w:t>中列入失信被执行人和</w:t>
            </w:r>
            <w:r>
              <w:rPr>
                <w:rFonts w:hint="eastAsia" w:ascii="宋体" w:hAnsi="宋体" w:cs="宋体"/>
                <w:sz w:val="24"/>
                <w:highlight w:val="none"/>
                <w:lang w:eastAsia="zh-CN"/>
              </w:rPr>
              <w:t>税收违法黑名单</w:t>
            </w:r>
            <w:r>
              <w:rPr>
                <w:rFonts w:hint="eastAsia" w:ascii="宋体" w:hAnsi="宋体" w:cs="宋体"/>
                <w:sz w:val="24"/>
                <w:highlight w:val="none"/>
              </w:rPr>
              <w:t>的供应商，不得为中国政府采购网（www.ccgp.gov.cn）政府采购严重违法失信行为记录名单中被财政部门禁止参加政府采购活动的供应商</w:t>
            </w:r>
            <w:r>
              <w:rPr>
                <w:rFonts w:hint="eastAsia" w:ascii="宋体" w:hAnsi="宋体" w:cs="宋体"/>
                <w:sz w:val="24"/>
              </w:rPr>
              <w:t>；</w:t>
            </w:r>
          </w:p>
          <w:p>
            <w:pPr>
              <w:numPr>
                <w:ilvl w:val="0"/>
                <w:numId w:val="3"/>
              </w:numPr>
              <w:overflowPunct w:val="0"/>
              <w:topLinePunct/>
              <w:spacing w:line="360" w:lineRule="auto"/>
              <w:ind w:left="0" w:leftChars="0" w:firstLine="0" w:firstLineChars="0"/>
              <w:rPr>
                <w:rFonts w:hint="eastAsia" w:ascii="宋体" w:hAnsi="宋体" w:cs="宋体"/>
                <w:sz w:val="24"/>
              </w:rPr>
            </w:pPr>
            <w:r>
              <w:rPr>
                <w:rFonts w:hint="eastAsia" w:ascii="宋体" w:hAnsi="宋体" w:cs="宋体"/>
                <w:sz w:val="24"/>
              </w:rPr>
              <w:t>税收缴纳证明：提供2021年</w:t>
            </w:r>
            <w:r>
              <w:rPr>
                <w:rFonts w:hint="eastAsia" w:ascii="宋体" w:hAnsi="宋体" w:cs="宋体"/>
                <w:sz w:val="24"/>
                <w:lang w:val="en-US" w:eastAsia="zh-CN"/>
              </w:rPr>
              <w:t>6</w:t>
            </w:r>
            <w:r>
              <w:rPr>
                <w:rFonts w:hint="eastAsia" w:ascii="宋体" w:hAnsi="宋体" w:cs="宋体"/>
                <w:sz w:val="24"/>
              </w:rPr>
              <w:t>月至今已缴纳的至少一个月的纳税证明或完税证明（任意税种），依法免税的单位应提供相关证明材料；</w:t>
            </w:r>
          </w:p>
          <w:p>
            <w:pPr>
              <w:numPr>
                <w:ilvl w:val="0"/>
                <w:numId w:val="3"/>
              </w:numPr>
              <w:overflowPunct w:val="0"/>
              <w:topLinePunct/>
              <w:spacing w:line="360" w:lineRule="auto"/>
              <w:ind w:left="0" w:leftChars="0" w:firstLine="0" w:firstLineChars="0"/>
              <w:rPr>
                <w:rFonts w:hint="eastAsia" w:ascii="宋体" w:hAnsi="宋体" w:cs="宋体"/>
                <w:sz w:val="24"/>
              </w:rPr>
            </w:pPr>
            <w:r>
              <w:rPr>
                <w:rFonts w:hint="eastAsia" w:ascii="宋体" w:hAnsi="宋体" w:cs="宋体"/>
                <w:sz w:val="24"/>
              </w:rPr>
              <w:t>社会保障资金缴纳证明：提供2021年</w:t>
            </w:r>
            <w:r>
              <w:rPr>
                <w:rFonts w:hint="eastAsia" w:ascii="宋体" w:hAnsi="宋体" w:cs="宋体"/>
                <w:sz w:val="24"/>
                <w:lang w:val="en-US" w:eastAsia="zh-CN"/>
              </w:rPr>
              <w:t>6</w:t>
            </w:r>
            <w:r>
              <w:rPr>
                <w:rFonts w:hint="eastAsia" w:ascii="宋体" w:hAnsi="宋体" w:cs="宋体"/>
                <w:sz w:val="24"/>
              </w:rPr>
              <w:t>月至今已缴存的至少一个月的社会保障资金缴存单据或社保机构开具的社会保险参保缴费情况证明，依法不需要缴纳社会保障资金的单位应提供相关证明材料；</w:t>
            </w:r>
          </w:p>
          <w:p>
            <w:pPr>
              <w:numPr>
                <w:ilvl w:val="0"/>
                <w:numId w:val="3"/>
              </w:numPr>
              <w:overflowPunct w:val="0"/>
              <w:topLinePunct/>
              <w:spacing w:line="360" w:lineRule="auto"/>
              <w:ind w:left="0" w:leftChars="0" w:firstLine="0" w:firstLineChars="0"/>
              <w:rPr>
                <w:rFonts w:hint="eastAsia" w:ascii="宋体" w:hAnsi="宋体" w:cs="宋体"/>
                <w:sz w:val="24"/>
              </w:rPr>
            </w:pPr>
            <w:r>
              <w:rPr>
                <w:rFonts w:hint="eastAsia" w:ascii="宋体" w:hAnsi="宋体" w:cs="宋体"/>
                <w:sz w:val="24"/>
              </w:rPr>
              <w:t>财务状况报告：</w:t>
            </w:r>
            <w:r>
              <w:rPr>
                <w:rFonts w:hint="eastAsia" w:ascii="宋体" w:hAnsi="宋体" w:cs="宋体"/>
                <w:sz w:val="24"/>
                <w:lang w:eastAsia="zh-CN"/>
              </w:rPr>
              <w:t>提供供应商2020年度经审计的财务报告或磋商前三个月内开户银行开具的资信证明</w:t>
            </w:r>
            <w:r>
              <w:rPr>
                <w:rFonts w:hint="eastAsia" w:ascii="宋体" w:hAnsi="宋体" w:cs="宋体"/>
                <w:sz w:val="24"/>
              </w:rPr>
              <w:t>；</w:t>
            </w:r>
          </w:p>
          <w:p>
            <w:pPr>
              <w:numPr>
                <w:ilvl w:val="0"/>
                <w:numId w:val="3"/>
              </w:numPr>
              <w:overflowPunct w:val="0"/>
              <w:topLinePunct/>
              <w:spacing w:line="360" w:lineRule="auto"/>
              <w:ind w:left="0" w:leftChars="0" w:firstLine="0" w:firstLineChars="0"/>
              <w:rPr>
                <w:rFonts w:hint="eastAsia" w:ascii="宋体" w:hAnsi="宋体" w:cs="宋体"/>
                <w:sz w:val="24"/>
              </w:rPr>
            </w:pPr>
            <w:r>
              <w:rPr>
                <w:rFonts w:hint="eastAsia" w:ascii="宋体" w:hAnsi="宋体" w:cs="宋体"/>
                <w:sz w:val="24"/>
              </w:rPr>
              <w:t>参加政府采购活动前三年内，在经营活动中没有重大违法记录的书面声明；</w:t>
            </w:r>
          </w:p>
          <w:p>
            <w:pPr>
              <w:numPr>
                <w:ilvl w:val="0"/>
                <w:numId w:val="3"/>
              </w:numPr>
              <w:overflowPunct w:val="0"/>
              <w:topLinePunct/>
              <w:spacing w:line="360" w:lineRule="auto"/>
              <w:ind w:left="0" w:leftChars="0" w:firstLine="0" w:firstLineChars="0"/>
              <w:rPr>
                <w:rFonts w:hint="eastAsia" w:ascii="宋体" w:hAnsi="宋体" w:cs="宋体"/>
                <w:sz w:val="24"/>
              </w:rPr>
            </w:pPr>
            <w:r>
              <w:rPr>
                <w:rFonts w:hint="eastAsia" w:ascii="宋体" w:hAnsi="宋体" w:cs="宋体"/>
                <w:sz w:val="24"/>
              </w:rPr>
              <w:t>磋商响应单位负责人不得为同一人或者存在控股、管理关系。</w:t>
            </w:r>
          </w:p>
          <w:p>
            <w:pPr>
              <w:numPr>
                <w:ilvl w:val="0"/>
                <w:numId w:val="0"/>
              </w:numPr>
              <w:overflowPunct w:val="0"/>
              <w:topLinePunct/>
              <w:spacing w:line="360" w:lineRule="auto"/>
              <w:ind w:leftChars="0"/>
              <w:rPr>
                <w:rFonts w:ascii="宋体" w:hAnsi="宋体" w:cs="宋体"/>
                <w:sz w:val="24"/>
              </w:rPr>
            </w:pPr>
            <w:r>
              <w:rPr>
                <w:rFonts w:hint="eastAsia" w:ascii="宋体" w:hAnsi="宋体" w:cs="宋体"/>
                <w:sz w:val="24"/>
                <w:lang w:val="en-US" w:eastAsia="zh-CN"/>
              </w:rPr>
              <w:t>11、</w:t>
            </w:r>
            <w:r>
              <w:rPr>
                <w:rFonts w:hint="eastAsia" w:ascii="宋体" w:hAnsi="宋体" w:eastAsia="宋体" w:cs="宋体"/>
                <w:kern w:val="0"/>
                <w:sz w:val="24"/>
                <w:szCs w:val="24"/>
                <w:highlight w:val="none"/>
                <w:lang w:val="en-US" w:eastAsia="zh-CN"/>
              </w:rPr>
              <w:t>具</w:t>
            </w:r>
            <w:r>
              <w:rPr>
                <w:rFonts w:hint="eastAsia" w:ascii="宋体" w:hAnsi="宋体" w:eastAsia="宋体" w:cs="宋体"/>
                <w:kern w:val="0"/>
                <w:sz w:val="24"/>
                <w:szCs w:val="24"/>
                <w:highlight w:val="none"/>
              </w:rPr>
              <w:t>有履行本合同所必需的设备和专业技术能力</w:t>
            </w:r>
            <w:r>
              <w:rPr>
                <w:rFonts w:hint="eastAsia" w:ascii="宋体" w:hAnsi="宋体" w:eastAsia="宋体" w:cs="宋体"/>
                <w:kern w:val="0"/>
                <w:sz w:val="24"/>
                <w:szCs w:val="24"/>
                <w:highlight w:val="none"/>
                <w:lang w:eastAsia="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90" w:hRule="atLeast"/>
          <w:jc w:val="center"/>
        </w:trPr>
        <w:tc>
          <w:tcPr>
            <w:tcW w:w="564" w:type="dxa"/>
            <w:shd w:val="clear" w:color="auto" w:fill="auto"/>
            <w:tcMar>
              <w:left w:w="108" w:type="dxa"/>
              <w:right w:w="108" w:type="dxa"/>
            </w:tcMar>
            <w:vAlign w:val="center"/>
          </w:tcPr>
          <w:p>
            <w:pPr>
              <w:widowControl/>
              <w:spacing w:line="360" w:lineRule="auto"/>
              <w:jc w:val="center"/>
              <w:rPr>
                <w:kern w:val="0"/>
                <w:sz w:val="24"/>
              </w:rPr>
            </w:pPr>
            <w:r>
              <w:rPr>
                <w:kern w:val="0"/>
                <w:sz w:val="24"/>
              </w:rPr>
              <w:t>1</w:t>
            </w:r>
            <w:r>
              <w:rPr>
                <w:rFonts w:hint="eastAsia"/>
                <w:kern w:val="0"/>
                <w:sz w:val="24"/>
              </w:rPr>
              <w:t>2</w:t>
            </w:r>
          </w:p>
        </w:tc>
        <w:tc>
          <w:tcPr>
            <w:tcW w:w="2235" w:type="dxa"/>
            <w:shd w:val="clear" w:color="auto" w:fill="auto"/>
            <w:tcMar>
              <w:left w:w="108" w:type="dxa"/>
              <w:right w:w="108" w:type="dxa"/>
            </w:tcMar>
            <w:vAlign w:val="center"/>
          </w:tcPr>
          <w:p>
            <w:pPr>
              <w:widowControl/>
              <w:spacing w:line="360" w:lineRule="auto"/>
              <w:jc w:val="center"/>
              <w:rPr>
                <w:kern w:val="0"/>
                <w:sz w:val="24"/>
                <w:highlight w:val="red"/>
              </w:rPr>
            </w:pPr>
            <w:r>
              <w:rPr>
                <w:sz w:val="24"/>
              </w:rPr>
              <w:t>磋商答疑会</w:t>
            </w:r>
          </w:p>
        </w:tc>
        <w:tc>
          <w:tcPr>
            <w:tcW w:w="6243" w:type="dxa"/>
            <w:shd w:val="clear" w:color="auto" w:fill="auto"/>
            <w:tcMar>
              <w:left w:w="108" w:type="dxa"/>
              <w:right w:w="108" w:type="dxa"/>
            </w:tcMar>
            <w:vAlign w:val="center"/>
          </w:tcPr>
          <w:p>
            <w:pPr>
              <w:widowControl/>
              <w:spacing w:line="400" w:lineRule="exact"/>
              <w:rPr>
                <w:rFonts w:ascii="宋体" w:hAnsi="宋体" w:cs="宋体"/>
                <w:kern w:val="0"/>
                <w:sz w:val="24"/>
                <w:highlight w:val="red"/>
              </w:rPr>
            </w:pPr>
            <w:r>
              <w:rPr>
                <w:rFonts w:hint="eastAsia" w:ascii="宋体" w:hAnsi="宋体" w:cs="宋体"/>
                <w:sz w:val="24"/>
              </w:rPr>
              <w:t>不召开，相关事宜以书面提问和答复方式进行</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466" w:hRule="atLeast"/>
          <w:jc w:val="center"/>
        </w:trPr>
        <w:tc>
          <w:tcPr>
            <w:tcW w:w="564" w:type="dxa"/>
            <w:shd w:val="clear" w:color="auto" w:fill="auto"/>
            <w:tcMar>
              <w:left w:w="108" w:type="dxa"/>
              <w:right w:w="108" w:type="dxa"/>
            </w:tcMar>
            <w:vAlign w:val="center"/>
          </w:tcPr>
          <w:p>
            <w:pPr>
              <w:adjustRightInd w:val="0"/>
              <w:snapToGrid w:val="0"/>
              <w:spacing w:line="360" w:lineRule="auto"/>
              <w:rPr>
                <w:rFonts w:hint="eastAsia" w:asciiTheme="minorEastAsia" w:hAnsiTheme="minorEastAsia" w:eastAsiaTheme="minorEastAsia" w:cstheme="minorEastAsia"/>
                <w:bCs/>
                <w:sz w:val="24"/>
                <w:highlight w:val="none"/>
              </w:rPr>
            </w:pPr>
            <w:r>
              <w:rPr>
                <w:rFonts w:hint="eastAsia" w:asciiTheme="minorEastAsia" w:hAnsiTheme="minorEastAsia" w:eastAsiaTheme="minorEastAsia" w:cstheme="minorEastAsia"/>
                <w:bCs/>
                <w:sz w:val="24"/>
                <w:highlight w:val="none"/>
              </w:rPr>
              <w:t>13</w:t>
            </w:r>
          </w:p>
        </w:tc>
        <w:tc>
          <w:tcPr>
            <w:tcW w:w="2235" w:type="dxa"/>
            <w:shd w:val="clear" w:color="auto" w:fill="auto"/>
            <w:tcMar>
              <w:left w:w="108" w:type="dxa"/>
              <w:right w:w="108" w:type="dxa"/>
            </w:tcMar>
            <w:vAlign w:val="center"/>
          </w:tcPr>
          <w:p>
            <w:pPr>
              <w:adjustRightInd w:val="0"/>
              <w:snapToGrid w:val="0"/>
              <w:spacing w:line="360" w:lineRule="auto"/>
              <w:rPr>
                <w:rFonts w:hint="eastAsia" w:asciiTheme="minorEastAsia" w:hAnsiTheme="minorEastAsia" w:eastAsiaTheme="minorEastAsia" w:cstheme="minorEastAsia"/>
                <w:bCs/>
                <w:sz w:val="24"/>
                <w:highlight w:val="none"/>
              </w:rPr>
            </w:pPr>
            <w:r>
              <w:rPr>
                <w:rFonts w:hint="eastAsia" w:asciiTheme="minorEastAsia" w:hAnsiTheme="minorEastAsia" w:eastAsiaTheme="minorEastAsia" w:cstheme="minorEastAsia"/>
                <w:bCs/>
                <w:sz w:val="24"/>
                <w:highlight w:val="none"/>
                <w:lang w:eastAsia="zh-CN"/>
              </w:rPr>
              <w:t>响应</w:t>
            </w:r>
            <w:r>
              <w:rPr>
                <w:rFonts w:hint="eastAsia" w:asciiTheme="minorEastAsia" w:hAnsiTheme="minorEastAsia" w:eastAsiaTheme="minorEastAsia" w:cstheme="minorEastAsia"/>
                <w:bCs/>
                <w:sz w:val="24"/>
                <w:highlight w:val="none"/>
              </w:rPr>
              <w:t>文件份数</w:t>
            </w:r>
          </w:p>
          <w:p>
            <w:pPr>
              <w:adjustRightInd w:val="0"/>
              <w:snapToGrid w:val="0"/>
              <w:spacing w:line="360" w:lineRule="auto"/>
              <w:rPr>
                <w:rFonts w:hint="eastAsia" w:asciiTheme="minorEastAsia" w:hAnsiTheme="minorEastAsia" w:eastAsiaTheme="minorEastAsia" w:cstheme="minorEastAsia"/>
                <w:bCs/>
                <w:sz w:val="24"/>
                <w:highlight w:val="none"/>
              </w:rPr>
            </w:pPr>
            <w:r>
              <w:rPr>
                <w:rFonts w:hint="eastAsia" w:asciiTheme="minorEastAsia" w:hAnsiTheme="minorEastAsia" w:eastAsiaTheme="minorEastAsia" w:cstheme="minorEastAsia"/>
                <w:bCs/>
                <w:sz w:val="24"/>
                <w:highlight w:val="none"/>
                <w:lang w:val="en-US" w:eastAsia="zh-CN"/>
              </w:rPr>
              <w:t>响应文件的装订、密封和标记</w:t>
            </w:r>
          </w:p>
        </w:tc>
        <w:tc>
          <w:tcPr>
            <w:tcW w:w="6243" w:type="dxa"/>
            <w:shd w:val="clear" w:color="auto" w:fill="auto"/>
            <w:tcMar>
              <w:left w:w="108" w:type="dxa"/>
              <w:right w:w="108" w:type="dxa"/>
            </w:tcMar>
            <w:vAlign w:val="center"/>
          </w:tcPr>
          <w:p>
            <w:pPr>
              <w:adjustRightInd w:val="0"/>
              <w:snapToGrid w:val="0"/>
              <w:spacing w:line="360" w:lineRule="auto"/>
              <w:rPr>
                <w:rFonts w:hint="eastAsia" w:asciiTheme="minorEastAsia" w:hAnsiTheme="minorEastAsia" w:eastAsiaTheme="minorEastAsia" w:cstheme="minorEastAsia"/>
                <w:bCs/>
                <w:sz w:val="24"/>
                <w:highlight w:val="none"/>
              </w:rPr>
            </w:pPr>
            <w:r>
              <w:rPr>
                <w:rFonts w:hint="eastAsia" w:asciiTheme="minorEastAsia" w:hAnsiTheme="minorEastAsia" w:eastAsiaTheme="minorEastAsia" w:cstheme="minorEastAsia"/>
                <w:bCs/>
                <w:sz w:val="24"/>
                <w:highlight w:val="none"/>
              </w:rPr>
              <w:t>正本 1 份、副本 2 份、电子文件（Ｕ盘） 1 份</w:t>
            </w:r>
          </w:p>
          <w:p>
            <w:pPr>
              <w:adjustRightInd w:val="0"/>
              <w:snapToGrid w:val="0"/>
              <w:spacing w:line="360" w:lineRule="auto"/>
              <w:rPr>
                <w:rFonts w:asciiTheme="minorEastAsia" w:hAnsiTheme="minorEastAsia" w:eastAsiaTheme="minorEastAsia" w:cstheme="minorEastAsia"/>
                <w:bCs/>
                <w:sz w:val="24"/>
                <w:highlight w:val="none"/>
              </w:rPr>
            </w:pPr>
            <w:r>
              <w:rPr>
                <w:rFonts w:hint="eastAsia" w:asciiTheme="minorEastAsia" w:hAnsiTheme="minorEastAsia" w:eastAsiaTheme="minorEastAsia" w:cstheme="minorEastAsia"/>
                <w:bCs/>
                <w:sz w:val="24"/>
                <w:highlight w:val="none"/>
              </w:rPr>
              <w:t>1 响应文件正、副本分别装订成册，胶装（不允许用可换页的活页夹装订），装订应牢固，内容较多时可分册装订但应注明册序号。</w:t>
            </w:r>
          </w:p>
          <w:p>
            <w:pPr>
              <w:adjustRightInd w:val="0"/>
              <w:snapToGrid w:val="0"/>
              <w:spacing w:line="360" w:lineRule="auto"/>
              <w:rPr>
                <w:rFonts w:asciiTheme="minorEastAsia" w:hAnsiTheme="minorEastAsia" w:eastAsiaTheme="minorEastAsia" w:cstheme="minorEastAsia"/>
                <w:bCs/>
                <w:sz w:val="24"/>
                <w:highlight w:val="none"/>
              </w:rPr>
            </w:pPr>
            <w:r>
              <w:rPr>
                <w:rFonts w:hint="eastAsia" w:asciiTheme="minorEastAsia" w:hAnsiTheme="minorEastAsia" w:eastAsiaTheme="minorEastAsia" w:cstheme="minorEastAsia"/>
                <w:bCs/>
                <w:sz w:val="24"/>
                <w:highlight w:val="none"/>
              </w:rPr>
              <w:t>2 响应文件的正本，副本，电子版文件（U盘）分别封装在封袋（包）内，共计三个封袋。全部封袋须密封（封袋不得破损），在封袋（包）正面粘贴标识，封袋（包）封口处用封条密封，封线处加盖单位公章。</w:t>
            </w:r>
          </w:p>
          <w:p>
            <w:pPr>
              <w:adjustRightInd w:val="0"/>
              <w:snapToGrid w:val="0"/>
              <w:spacing w:line="360" w:lineRule="auto"/>
            </w:pPr>
            <w:r>
              <w:rPr>
                <w:rFonts w:hint="eastAsia" w:asciiTheme="minorEastAsia" w:hAnsiTheme="minorEastAsia" w:eastAsiaTheme="minorEastAsia" w:cstheme="minorEastAsia"/>
                <w:bCs/>
                <w:sz w:val="24"/>
                <w:highlight w:val="none"/>
              </w:rPr>
              <w:t>3 电子版文件载体上应标明磋商响应单位名称。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90" w:hRule="atLeast"/>
          <w:jc w:val="center"/>
        </w:trPr>
        <w:tc>
          <w:tcPr>
            <w:tcW w:w="564" w:type="dxa"/>
            <w:shd w:val="clear" w:color="auto" w:fill="auto"/>
            <w:tcMar>
              <w:left w:w="108" w:type="dxa"/>
              <w:right w:w="108" w:type="dxa"/>
            </w:tcMar>
            <w:vAlign w:val="center"/>
          </w:tcPr>
          <w:p>
            <w:pPr>
              <w:widowControl/>
              <w:spacing w:line="360" w:lineRule="auto"/>
              <w:jc w:val="center"/>
              <w:rPr>
                <w:kern w:val="0"/>
                <w:sz w:val="24"/>
              </w:rPr>
            </w:pPr>
            <w:r>
              <w:rPr>
                <w:kern w:val="0"/>
                <w:sz w:val="24"/>
              </w:rPr>
              <w:t>1</w:t>
            </w:r>
            <w:r>
              <w:rPr>
                <w:rFonts w:hint="eastAsia"/>
                <w:kern w:val="0"/>
                <w:sz w:val="24"/>
              </w:rPr>
              <w:t>4</w:t>
            </w:r>
          </w:p>
        </w:tc>
        <w:tc>
          <w:tcPr>
            <w:tcW w:w="2235" w:type="dxa"/>
            <w:shd w:val="clear" w:color="auto" w:fill="auto"/>
            <w:tcMar>
              <w:left w:w="108" w:type="dxa"/>
              <w:right w:w="108" w:type="dxa"/>
            </w:tcMar>
            <w:vAlign w:val="center"/>
          </w:tcPr>
          <w:p>
            <w:pPr>
              <w:overflowPunct w:val="0"/>
              <w:topLinePunct/>
              <w:spacing w:line="400" w:lineRule="exact"/>
              <w:jc w:val="center"/>
              <w:rPr>
                <w:rFonts w:asciiTheme="minorEastAsia" w:hAnsiTheme="minorEastAsia" w:cstheme="minorEastAsia"/>
                <w:sz w:val="24"/>
              </w:rPr>
            </w:pPr>
            <w:r>
              <w:rPr>
                <w:rFonts w:hint="eastAsia" w:asciiTheme="minorEastAsia" w:hAnsiTheme="minorEastAsia" w:cstheme="minorEastAsia"/>
                <w:sz w:val="24"/>
              </w:rPr>
              <w:t>首次响应文件</w:t>
            </w:r>
          </w:p>
          <w:p>
            <w:pPr>
              <w:overflowPunct w:val="0"/>
              <w:topLinePunct/>
              <w:spacing w:line="400" w:lineRule="exact"/>
              <w:jc w:val="center"/>
              <w:rPr>
                <w:sz w:val="24"/>
              </w:rPr>
            </w:pPr>
            <w:r>
              <w:rPr>
                <w:rFonts w:hint="eastAsia" w:asciiTheme="minorEastAsia" w:hAnsiTheme="minorEastAsia" w:cstheme="minorEastAsia"/>
                <w:sz w:val="24"/>
              </w:rPr>
              <w:t>递交地点</w:t>
            </w:r>
          </w:p>
        </w:tc>
        <w:tc>
          <w:tcPr>
            <w:tcW w:w="6243" w:type="dxa"/>
            <w:shd w:val="clear" w:color="auto" w:fill="auto"/>
            <w:tcMar>
              <w:left w:w="108" w:type="dxa"/>
              <w:right w:w="108" w:type="dxa"/>
            </w:tcMar>
            <w:vAlign w:val="center"/>
          </w:tcPr>
          <w:p>
            <w:pPr>
              <w:overflowPunct w:val="0"/>
              <w:topLinePunct/>
              <w:spacing w:line="400" w:lineRule="exact"/>
              <w:rPr>
                <w:rFonts w:ascii="宋体" w:hAnsi="宋体" w:cs="宋体"/>
                <w:kern w:val="0"/>
                <w:sz w:val="24"/>
              </w:rPr>
            </w:pPr>
            <w:r>
              <w:rPr>
                <w:rFonts w:hint="eastAsia" w:ascii="宋体" w:hAnsi="宋体" w:cs="宋体"/>
                <w:sz w:val="24"/>
              </w:rPr>
              <w:t>同正项目管理有限公司会议室（西安市未央区凤城八路与明光路十字长和国际F座22层）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90" w:hRule="atLeast"/>
          <w:jc w:val="center"/>
        </w:trPr>
        <w:tc>
          <w:tcPr>
            <w:tcW w:w="564" w:type="dxa"/>
            <w:shd w:val="clear" w:color="auto" w:fill="auto"/>
            <w:tcMar>
              <w:left w:w="108" w:type="dxa"/>
              <w:right w:w="108" w:type="dxa"/>
            </w:tcMar>
            <w:vAlign w:val="center"/>
          </w:tcPr>
          <w:p>
            <w:pPr>
              <w:widowControl/>
              <w:spacing w:line="360" w:lineRule="auto"/>
              <w:jc w:val="center"/>
              <w:rPr>
                <w:rFonts w:hint="default" w:eastAsia="宋体"/>
                <w:kern w:val="0"/>
                <w:sz w:val="24"/>
                <w:lang w:val="en-US" w:eastAsia="zh-CN"/>
              </w:rPr>
            </w:pPr>
            <w:r>
              <w:rPr>
                <w:rFonts w:hint="eastAsia"/>
                <w:kern w:val="0"/>
                <w:sz w:val="24"/>
                <w:lang w:val="en-US" w:eastAsia="zh-CN"/>
              </w:rPr>
              <w:t>15</w:t>
            </w:r>
          </w:p>
        </w:tc>
        <w:tc>
          <w:tcPr>
            <w:tcW w:w="2235" w:type="dxa"/>
            <w:shd w:val="clear" w:color="auto" w:fill="auto"/>
            <w:tcMar>
              <w:left w:w="108" w:type="dxa"/>
              <w:right w:w="108" w:type="dxa"/>
            </w:tcMar>
            <w:vAlign w:val="center"/>
          </w:tcPr>
          <w:p>
            <w:pPr>
              <w:snapToGrid w:val="0"/>
              <w:spacing w:before="0" w:beforeAutospacing="0" w:after="0" w:afterAutospacing="0" w:line="360" w:lineRule="auto"/>
              <w:jc w:val="center"/>
              <w:textAlignment w:val="baseline"/>
              <w:rPr>
                <w:rFonts w:hint="eastAsia" w:asciiTheme="minorEastAsia" w:hAnsiTheme="minorEastAsia" w:cstheme="minorEastAsia"/>
                <w:sz w:val="24"/>
              </w:rPr>
            </w:pPr>
            <w:r>
              <w:rPr>
                <w:rStyle w:val="306"/>
                <w:rFonts w:ascii="宋体" w:hAnsi="宋体" w:eastAsia="宋体"/>
                <w:b w:val="0"/>
                <w:i w:val="0"/>
                <w:caps w:val="0"/>
                <w:spacing w:val="0"/>
                <w:w w:val="100"/>
                <w:kern w:val="2"/>
                <w:sz w:val="24"/>
                <w:szCs w:val="24"/>
                <w:highlight w:val="none"/>
                <w:lang w:val="en-US" w:eastAsia="zh-CN" w:bidi="ar-SA"/>
              </w:rPr>
              <w:t>封套</w:t>
            </w:r>
            <w:r>
              <w:rPr>
                <w:rStyle w:val="306"/>
                <w:rFonts w:hint="eastAsia" w:ascii="宋体" w:hAnsi="宋体"/>
                <w:b w:val="0"/>
                <w:i w:val="0"/>
                <w:caps w:val="0"/>
                <w:spacing w:val="0"/>
                <w:w w:val="100"/>
                <w:kern w:val="2"/>
                <w:sz w:val="24"/>
                <w:szCs w:val="24"/>
                <w:highlight w:val="none"/>
                <w:lang w:val="en-US" w:eastAsia="zh-CN" w:bidi="ar-SA"/>
              </w:rPr>
              <w:t>要求</w:t>
            </w:r>
          </w:p>
        </w:tc>
        <w:tc>
          <w:tcPr>
            <w:tcW w:w="6243" w:type="dxa"/>
            <w:shd w:val="clear" w:color="auto" w:fill="auto"/>
            <w:tcMar>
              <w:left w:w="108" w:type="dxa"/>
              <w:right w:w="108" w:type="dxa"/>
            </w:tcMar>
            <w:vAlign w:val="center"/>
          </w:tcPr>
          <w:p>
            <w:pPr>
              <w:pStyle w:val="307"/>
              <w:widowControl/>
              <w:snapToGrid w:val="0"/>
              <w:spacing w:before="0" w:beforeAutospacing="0" w:after="0" w:afterAutospacing="0" w:line="360" w:lineRule="auto"/>
              <w:jc w:val="both"/>
              <w:textAlignment w:val="baseline"/>
              <w:rPr>
                <w:rStyle w:val="306"/>
                <w:rFonts w:ascii="宋体" w:hAnsi="宋体" w:eastAsia="宋体"/>
                <w:b w:val="0"/>
                <w:i w:val="0"/>
                <w:caps w:val="0"/>
                <w:spacing w:val="0"/>
                <w:w w:val="100"/>
                <w:kern w:val="0"/>
                <w:sz w:val="24"/>
                <w:szCs w:val="24"/>
                <w:highlight w:val="none"/>
                <w:lang w:val="en-US" w:eastAsia="zh-CN" w:bidi="ar-SA"/>
              </w:rPr>
            </w:pPr>
            <w:r>
              <w:rPr>
                <w:rStyle w:val="306"/>
                <w:rFonts w:hint="eastAsia" w:ascii="宋体" w:hAnsi="宋体"/>
                <w:b w:val="0"/>
                <w:i w:val="0"/>
                <w:caps w:val="0"/>
                <w:spacing w:val="0"/>
                <w:w w:val="100"/>
                <w:kern w:val="2"/>
                <w:sz w:val="24"/>
                <w:szCs w:val="24"/>
                <w:highlight w:val="none"/>
                <w:lang w:val="en-US" w:eastAsia="zh-CN" w:bidi="ar-SA"/>
              </w:rPr>
              <w:t>（</w:t>
            </w:r>
            <w:r>
              <w:rPr>
                <w:rStyle w:val="306"/>
                <w:rFonts w:ascii="宋体" w:hAnsi="宋体" w:eastAsia="宋体"/>
                <w:b w:val="0"/>
                <w:i w:val="0"/>
                <w:caps w:val="0"/>
                <w:spacing w:val="0"/>
                <w:w w:val="100"/>
                <w:kern w:val="2"/>
                <w:sz w:val="24"/>
                <w:szCs w:val="24"/>
                <w:highlight w:val="none"/>
                <w:lang w:val="en-US" w:eastAsia="zh-CN" w:bidi="ar-SA"/>
              </w:rPr>
              <w:t>写明</w:t>
            </w:r>
            <w:r>
              <w:rPr>
                <w:rStyle w:val="306"/>
                <w:rFonts w:hint="eastAsia" w:ascii="宋体" w:hAnsi="宋体"/>
                <w:b w:val="0"/>
                <w:i w:val="0"/>
                <w:caps w:val="0"/>
                <w:spacing w:val="0"/>
                <w:w w:val="100"/>
                <w:kern w:val="2"/>
                <w:sz w:val="24"/>
                <w:szCs w:val="24"/>
                <w:highlight w:val="none"/>
                <w:lang w:val="en-US" w:eastAsia="zh-CN" w:bidi="ar-SA"/>
              </w:rPr>
              <w:t>）</w:t>
            </w:r>
            <w:r>
              <w:rPr>
                <w:rStyle w:val="306"/>
                <w:rFonts w:ascii="宋体" w:hAnsi="宋体" w:eastAsia="宋体"/>
                <w:b w:val="0"/>
                <w:i w:val="0"/>
                <w:caps w:val="0"/>
                <w:spacing w:val="0"/>
                <w:w w:val="100"/>
                <w:kern w:val="0"/>
                <w:sz w:val="24"/>
                <w:szCs w:val="24"/>
                <w:highlight w:val="none"/>
                <w:lang w:val="en-US" w:eastAsia="zh-CN" w:bidi="ar-SA"/>
              </w:rPr>
              <w:t>项目名称</w:t>
            </w:r>
            <w:r>
              <w:rPr>
                <w:rStyle w:val="306"/>
                <w:rFonts w:hint="eastAsia" w:ascii="宋体" w:hAnsi="宋体"/>
                <w:b w:val="0"/>
                <w:i w:val="0"/>
                <w:caps w:val="0"/>
                <w:spacing w:val="0"/>
                <w:w w:val="100"/>
                <w:kern w:val="0"/>
                <w:sz w:val="24"/>
                <w:szCs w:val="24"/>
                <w:highlight w:val="none"/>
                <w:lang w:val="en-US" w:eastAsia="zh-CN" w:bidi="ar-SA"/>
              </w:rPr>
              <w:t>：</w:t>
            </w:r>
            <w:r>
              <w:rPr>
                <w:rStyle w:val="306"/>
                <w:rFonts w:ascii="宋体" w:hAnsi="宋体" w:eastAsia="宋体"/>
                <w:b w:val="0"/>
                <w:i w:val="0"/>
                <w:caps w:val="0"/>
                <w:spacing w:val="0"/>
                <w:w w:val="100"/>
                <w:kern w:val="0"/>
                <w:sz w:val="24"/>
                <w:szCs w:val="24"/>
                <w:highlight w:val="none"/>
                <w:lang w:val="en-US" w:eastAsia="zh-CN" w:bidi="ar-SA"/>
              </w:rPr>
              <w:t>项目编号：</w:t>
            </w:r>
            <w:r>
              <w:rPr>
                <w:rStyle w:val="306"/>
                <w:rFonts w:hint="eastAsia" w:ascii="宋体" w:hAnsi="宋体" w:eastAsia="宋体"/>
                <w:b w:val="0"/>
                <w:i w:val="0"/>
                <w:caps w:val="0"/>
                <w:spacing w:val="0"/>
                <w:w w:val="100"/>
                <w:kern w:val="0"/>
                <w:sz w:val="24"/>
                <w:szCs w:val="24"/>
                <w:highlight w:val="none"/>
                <w:lang w:val="en-US" w:eastAsia="zh-CN" w:bidi="ar-SA"/>
              </w:rPr>
              <w:t>磋商响应单位</w:t>
            </w:r>
            <w:r>
              <w:rPr>
                <w:rStyle w:val="306"/>
                <w:rFonts w:ascii="宋体" w:hAnsi="宋体" w:eastAsia="宋体"/>
                <w:b w:val="0"/>
                <w:i w:val="0"/>
                <w:caps w:val="0"/>
                <w:spacing w:val="0"/>
                <w:w w:val="100"/>
                <w:kern w:val="0"/>
                <w:sz w:val="24"/>
                <w:szCs w:val="24"/>
                <w:highlight w:val="none"/>
                <w:lang w:val="en-US" w:eastAsia="zh-CN" w:bidi="ar-SA"/>
              </w:rPr>
              <w:t>名称：</w:t>
            </w:r>
          </w:p>
          <w:p>
            <w:pPr>
              <w:pStyle w:val="307"/>
              <w:widowControl/>
              <w:snapToGrid w:val="0"/>
              <w:spacing w:before="0" w:beforeAutospacing="0" w:after="0" w:afterAutospacing="0" w:line="360" w:lineRule="auto"/>
              <w:jc w:val="both"/>
              <w:textAlignment w:val="baseline"/>
              <w:rPr>
                <w:rFonts w:hint="eastAsia" w:ascii="宋体" w:hAnsi="宋体" w:cs="宋体"/>
                <w:sz w:val="24"/>
              </w:rPr>
            </w:pPr>
            <w:r>
              <w:rPr>
                <w:rStyle w:val="306"/>
                <w:rFonts w:hint="eastAsia" w:ascii="宋体" w:hAnsi="宋体" w:eastAsia="宋体"/>
                <w:b w:val="0"/>
                <w:i w:val="0"/>
                <w:caps w:val="0"/>
                <w:spacing w:val="0"/>
                <w:w w:val="100"/>
                <w:kern w:val="0"/>
                <w:sz w:val="24"/>
                <w:szCs w:val="24"/>
                <w:highlight w:val="none"/>
                <w:lang w:val="en-US" w:eastAsia="zh-CN" w:bidi="ar-SA"/>
              </w:rPr>
              <w:t>磋商响应单位地址：</w:t>
            </w:r>
            <w:r>
              <w:rPr>
                <w:rStyle w:val="306"/>
                <w:rFonts w:ascii="宋体" w:hAnsi="宋体" w:eastAsia="宋体"/>
                <w:b w:val="0"/>
                <w:i w:val="0"/>
                <w:caps w:val="0"/>
                <w:spacing w:val="0"/>
                <w:w w:val="100"/>
                <w:kern w:val="0"/>
                <w:sz w:val="24"/>
                <w:szCs w:val="24"/>
                <w:highlight w:val="none"/>
                <w:lang w:val="en-US" w:eastAsia="zh-CN" w:bidi="ar-SA"/>
              </w:rPr>
              <w:t>磋商响应文件在</w:t>
            </w:r>
            <w:r>
              <w:rPr>
                <w:rStyle w:val="306"/>
                <w:rFonts w:hint="eastAsia" w:ascii="宋体" w:hAnsi="宋体" w:eastAsia="宋体"/>
                <w:b w:val="0"/>
                <w:i w:val="0"/>
                <w:caps w:val="0"/>
                <w:spacing w:val="0"/>
                <w:w w:val="100"/>
                <w:kern w:val="0"/>
                <w:sz w:val="24"/>
                <w:szCs w:val="24"/>
                <w:highlight w:val="none"/>
                <w:lang w:val="en-US" w:eastAsia="zh-CN" w:bidi="ar-SA"/>
              </w:rPr>
              <w:t>（</w:t>
            </w:r>
            <w:r>
              <w:rPr>
                <w:rStyle w:val="306"/>
                <w:rFonts w:hint="eastAsia" w:ascii="宋体" w:hAnsi="宋体" w:eastAsia="宋体"/>
                <w:b w:val="0"/>
                <w:i w:val="0"/>
                <w:caps w:val="0"/>
                <w:spacing w:val="0"/>
                <w:w w:val="100"/>
                <w:kern w:val="0"/>
                <w:sz w:val="24"/>
                <w:szCs w:val="24"/>
                <w:highlight w:val="none"/>
                <w:u w:val="single"/>
                <w:lang w:val="en-US" w:eastAsia="zh-CN" w:bidi="ar-SA"/>
              </w:rPr>
              <w:t xml:space="preserve">     </w:t>
            </w:r>
            <w:r>
              <w:rPr>
                <w:rStyle w:val="306"/>
                <w:rFonts w:ascii="宋体" w:hAnsi="宋体" w:eastAsia="宋体"/>
                <w:b w:val="0"/>
                <w:i w:val="0"/>
                <w:caps w:val="0"/>
                <w:spacing w:val="0"/>
                <w:w w:val="100"/>
                <w:kern w:val="0"/>
                <w:sz w:val="24"/>
                <w:szCs w:val="24"/>
                <w:highlight w:val="none"/>
                <w:lang w:val="en-US" w:eastAsia="zh-CN" w:bidi="ar-SA"/>
              </w:rPr>
              <w:t>年</w:t>
            </w:r>
            <w:r>
              <w:rPr>
                <w:rStyle w:val="306"/>
                <w:rFonts w:ascii="宋体" w:hAnsi="宋体" w:eastAsia="宋体"/>
                <w:b w:val="0"/>
                <w:i w:val="0"/>
                <w:caps w:val="0"/>
                <w:spacing w:val="0"/>
                <w:w w:val="100"/>
                <w:kern w:val="0"/>
                <w:sz w:val="24"/>
                <w:szCs w:val="24"/>
                <w:highlight w:val="none"/>
                <w:u w:val="single" w:color="000000"/>
                <w:lang w:val="en-US" w:eastAsia="zh-CN" w:bidi="ar-SA"/>
              </w:rPr>
              <w:t xml:space="preserve">  </w:t>
            </w:r>
            <w:r>
              <w:rPr>
                <w:rStyle w:val="306"/>
                <w:rFonts w:ascii="宋体" w:hAnsi="宋体" w:eastAsia="宋体"/>
                <w:b w:val="0"/>
                <w:i w:val="0"/>
                <w:caps w:val="0"/>
                <w:spacing w:val="0"/>
                <w:w w:val="100"/>
                <w:kern w:val="0"/>
                <w:sz w:val="24"/>
                <w:szCs w:val="24"/>
                <w:highlight w:val="none"/>
                <w:lang w:val="en-US" w:eastAsia="zh-CN" w:bidi="ar-SA"/>
              </w:rPr>
              <w:t>月</w:t>
            </w:r>
            <w:r>
              <w:rPr>
                <w:rStyle w:val="306"/>
                <w:rFonts w:ascii="宋体" w:hAnsi="宋体" w:eastAsia="宋体"/>
                <w:b w:val="0"/>
                <w:i w:val="0"/>
                <w:caps w:val="0"/>
                <w:spacing w:val="0"/>
                <w:w w:val="100"/>
                <w:kern w:val="0"/>
                <w:sz w:val="24"/>
                <w:szCs w:val="24"/>
                <w:highlight w:val="none"/>
                <w:u w:val="single" w:color="000000"/>
                <w:lang w:val="en-US" w:eastAsia="zh-CN" w:bidi="ar-SA"/>
              </w:rPr>
              <w:t xml:space="preserve">  </w:t>
            </w:r>
            <w:r>
              <w:rPr>
                <w:rStyle w:val="306"/>
                <w:rFonts w:ascii="宋体" w:hAnsi="宋体" w:eastAsia="宋体"/>
                <w:b w:val="0"/>
                <w:i w:val="0"/>
                <w:caps w:val="0"/>
                <w:spacing w:val="0"/>
                <w:w w:val="100"/>
                <w:kern w:val="0"/>
                <w:sz w:val="24"/>
                <w:szCs w:val="24"/>
                <w:highlight w:val="none"/>
                <w:lang w:val="en-US" w:eastAsia="zh-CN" w:bidi="ar-SA"/>
              </w:rPr>
              <w:t>日</w:t>
            </w:r>
            <w:r>
              <w:rPr>
                <w:rStyle w:val="306"/>
                <w:rFonts w:ascii="宋体" w:hAnsi="宋体" w:eastAsia="宋体"/>
                <w:b w:val="0"/>
                <w:i w:val="0"/>
                <w:caps w:val="0"/>
                <w:spacing w:val="0"/>
                <w:w w:val="100"/>
                <w:kern w:val="0"/>
                <w:sz w:val="24"/>
                <w:szCs w:val="24"/>
                <w:highlight w:val="none"/>
                <w:u w:val="single" w:color="000000"/>
                <w:lang w:val="en-US" w:eastAsia="zh-CN" w:bidi="ar-SA"/>
              </w:rPr>
              <w:t xml:space="preserve">  </w:t>
            </w:r>
            <w:r>
              <w:rPr>
                <w:rStyle w:val="306"/>
                <w:rFonts w:ascii="宋体" w:hAnsi="宋体" w:eastAsia="宋体"/>
                <w:b w:val="0"/>
                <w:i w:val="0"/>
                <w:caps w:val="0"/>
                <w:spacing w:val="0"/>
                <w:w w:val="100"/>
                <w:kern w:val="0"/>
                <w:sz w:val="24"/>
                <w:szCs w:val="24"/>
                <w:highlight w:val="none"/>
                <w:lang w:val="en-US" w:eastAsia="zh-CN" w:bidi="ar-SA"/>
              </w:rPr>
              <w:t>时</w:t>
            </w:r>
            <w:r>
              <w:rPr>
                <w:rStyle w:val="306"/>
                <w:rFonts w:ascii="宋体" w:hAnsi="宋体" w:eastAsia="宋体"/>
                <w:b w:val="0"/>
                <w:i w:val="0"/>
                <w:caps w:val="0"/>
                <w:spacing w:val="0"/>
                <w:w w:val="100"/>
                <w:kern w:val="0"/>
                <w:sz w:val="24"/>
                <w:szCs w:val="24"/>
                <w:highlight w:val="none"/>
                <w:u w:val="single" w:color="000000"/>
                <w:lang w:val="en-US" w:eastAsia="zh-CN" w:bidi="ar-SA"/>
              </w:rPr>
              <w:t xml:space="preserve">  </w:t>
            </w:r>
            <w:r>
              <w:rPr>
                <w:rStyle w:val="306"/>
                <w:rFonts w:ascii="宋体" w:hAnsi="宋体" w:eastAsia="宋体"/>
                <w:b w:val="0"/>
                <w:i w:val="0"/>
                <w:caps w:val="0"/>
                <w:spacing w:val="0"/>
                <w:w w:val="100"/>
                <w:kern w:val="0"/>
                <w:sz w:val="24"/>
                <w:szCs w:val="24"/>
                <w:highlight w:val="none"/>
                <w:lang w:val="en-US" w:eastAsia="zh-CN" w:bidi="ar-SA"/>
              </w:rPr>
              <w:t>分前不得开启</w:t>
            </w:r>
            <w:r>
              <w:rPr>
                <w:rStyle w:val="306"/>
                <w:rFonts w:hint="eastAsia" w:ascii="宋体" w:hAnsi="宋体" w:eastAsia="宋体"/>
                <w:b w:val="0"/>
                <w:i w:val="0"/>
                <w:caps w:val="0"/>
                <w:spacing w:val="0"/>
                <w:w w:val="100"/>
                <w:kern w:val="0"/>
                <w:sz w:val="24"/>
                <w:szCs w:val="24"/>
                <w:highlight w:val="none"/>
                <w:lang w:val="en-US" w:eastAsia="zh-CN" w:bidi="ar-SA"/>
              </w:rPr>
              <w:t>）</w:t>
            </w:r>
            <w:r>
              <w:rPr>
                <w:rStyle w:val="306"/>
                <w:rFonts w:hint="eastAsia" w:ascii="宋体" w:hAnsi="宋体"/>
                <w:b w:val="0"/>
                <w:i w:val="0"/>
                <w:caps w:val="0"/>
                <w:spacing w:val="0"/>
                <w:w w:val="100"/>
                <w:kern w:val="0"/>
                <w:sz w:val="24"/>
                <w:szCs w:val="24"/>
                <w:highlight w:val="none"/>
                <w:lang w:val="en-US" w:eastAsia="zh-CN" w:bidi="ar-SA"/>
              </w:rPr>
              <w:t>等</w:t>
            </w:r>
            <w:r>
              <w:rPr>
                <w:rStyle w:val="306"/>
                <w:rFonts w:ascii="宋体" w:hAnsi="宋体" w:eastAsia="宋体"/>
                <w:b w:val="0"/>
                <w:i w:val="0"/>
                <w:caps w:val="0"/>
                <w:spacing w:val="0"/>
                <w:w w:val="100"/>
                <w:kern w:val="0"/>
                <w:sz w:val="24"/>
                <w:szCs w:val="24"/>
                <w:highlight w:val="none"/>
                <w:lang w:val="en-US" w:eastAsia="zh-CN" w:bidi="ar-SA"/>
              </w:rPr>
              <w:t>字样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654" w:hRule="atLeast"/>
          <w:jc w:val="center"/>
        </w:trPr>
        <w:tc>
          <w:tcPr>
            <w:tcW w:w="564" w:type="dxa"/>
            <w:shd w:val="clear" w:color="auto" w:fill="auto"/>
            <w:tcMar>
              <w:left w:w="108" w:type="dxa"/>
              <w:right w:w="108" w:type="dxa"/>
            </w:tcMar>
            <w:vAlign w:val="center"/>
          </w:tcPr>
          <w:p>
            <w:pPr>
              <w:widowControl/>
              <w:spacing w:line="360" w:lineRule="auto"/>
              <w:jc w:val="center"/>
              <w:rPr>
                <w:rFonts w:hint="eastAsia" w:eastAsia="宋体"/>
                <w:kern w:val="0"/>
                <w:sz w:val="24"/>
                <w:lang w:eastAsia="zh-CN"/>
              </w:rPr>
            </w:pPr>
            <w:r>
              <w:rPr>
                <w:kern w:val="0"/>
                <w:sz w:val="24"/>
              </w:rPr>
              <w:t>1</w:t>
            </w:r>
            <w:r>
              <w:rPr>
                <w:rFonts w:hint="eastAsia"/>
                <w:kern w:val="0"/>
                <w:sz w:val="24"/>
                <w:lang w:val="en-US" w:eastAsia="zh-CN"/>
              </w:rPr>
              <w:t>6</w:t>
            </w:r>
          </w:p>
        </w:tc>
        <w:tc>
          <w:tcPr>
            <w:tcW w:w="2235" w:type="dxa"/>
            <w:shd w:val="clear" w:color="auto" w:fill="auto"/>
            <w:tcMar>
              <w:left w:w="108" w:type="dxa"/>
              <w:right w:w="108" w:type="dxa"/>
            </w:tcMar>
            <w:vAlign w:val="center"/>
          </w:tcPr>
          <w:p>
            <w:pPr>
              <w:overflowPunct w:val="0"/>
              <w:topLinePunct/>
              <w:spacing w:line="400" w:lineRule="exact"/>
              <w:jc w:val="center"/>
              <w:rPr>
                <w:rFonts w:asciiTheme="minorEastAsia" w:hAnsiTheme="minorEastAsia" w:cstheme="minorEastAsia"/>
                <w:color w:val="000000" w:themeColor="text1"/>
                <w:sz w:val="24"/>
                <w:highlight w:val="none"/>
                <w14:textFill>
                  <w14:solidFill>
                    <w14:schemeClr w14:val="tx1"/>
                  </w14:solidFill>
                </w14:textFill>
              </w:rPr>
            </w:pPr>
            <w:r>
              <w:rPr>
                <w:rFonts w:hint="eastAsia" w:asciiTheme="minorEastAsia" w:hAnsiTheme="minorEastAsia" w:cstheme="minorEastAsia"/>
                <w:color w:val="000000" w:themeColor="text1"/>
                <w:sz w:val="24"/>
                <w:highlight w:val="none"/>
                <w14:textFill>
                  <w14:solidFill>
                    <w14:schemeClr w14:val="tx1"/>
                  </w14:solidFill>
                </w14:textFill>
              </w:rPr>
              <w:t>首次响应文件</w:t>
            </w:r>
          </w:p>
          <w:p>
            <w:pPr>
              <w:overflowPunct w:val="0"/>
              <w:topLinePunct/>
              <w:spacing w:line="400" w:lineRule="exact"/>
              <w:jc w:val="center"/>
              <w:rPr>
                <w:color w:val="000000" w:themeColor="text1"/>
                <w:kern w:val="0"/>
                <w:sz w:val="24"/>
                <w:highlight w:val="none"/>
                <w14:textFill>
                  <w14:solidFill>
                    <w14:schemeClr w14:val="tx1"/>
                  </w14:solidFill>
                </w14:textFill>
              </w:rPr>
            </w:pPr>
            <w:r>
              <w:rPr>
                <w:rFonts w:hint="eastAsia" w:asciiTheme="minorEastAsia" w:hAnsiTheme="minorEastAsia" w:cstheme="minorEastAsia"/>
                <w:color w:val="000000" w:themeColor="text1"/>
                <w:sz w:val="24"/>
                <w:highlight w:val="none"/>
                <w14:textFill>
                  <w14:solidFill>
                    <w14:schemeClr w14:val="tx1"/>
                  </w14:solidFill>
                </w14:textFill>
              </w:rPr>
              <w:t>递交截止时间</w:t>
            </w:r>
          </w:p>
        </w:tc>
        <w:tc>
          <w:tcPr>
            <w:tcW w:w="6243" w:type="dxa"/>
            <w:shd w:val="clear" w:color="auto" w:fill="auto"/>
            <w:tcMar>
              <w:left w:w="108" w:type="dxa"/>
              <w:right w:w="108" w:type="dxa"/>
            </w:tcMar>
            <w:vAlign w:val="center"/>
          </w:tcPr>
          <w:p>
            <w:pPr>
              <w:adjustRightInd w:val="0"/>
              <w:snapToGrid w:val="0"/>
              <w:spacing w:line="360" w:lineRule="auto"/>
              <w:rPr>
                <w:rFonts w:ascii="宋体" w:hAnsi="宋体" w:cs="宋体"/>
                <w:kern w:val="0"/>
                <w:sz w:val="24"/>
                <w:highlight w:val="none"/>
              </w:rPr>
            </w:pPr>
            <w:r>
              <w:rPr>
                <w:rFonts w:hint="eastAsia" w:ascii="宋体" w:hAnsi="宋体" w:cs="宋体"/>
                <w:kern w:val="0"/>
                <w:sz w:val="24"/>
                <w:highlight w:val="none"/>
              </w:rPr>
              <w:t>202</w:t>
            </w:r>
            <w:r>
              <w:rPr>
                <w:rFonts w:hint="eastAsia" w:ascii="宋体" w:hAnsi="宋体" w:cs="宋体"/>
                <w:kern w:val="0"/>
                <w:sz w:val="24"/>
                <w:highlight w:val="none"/>
                <w:lang w:val="en-US" w:eastAsia="zh-CN"/>
              </w:rPr>
              <w:t>2</w:t>
            </w:r>
            <w:r>
              <w:rPr>
                <w:rFonts w:hint="eastAsia" w:ascii="宋体" w:hAnsi="宋体" w:cs="宋体"/>
                <w:kern w:val="0"/>
                <w:sz w:val="24"/>
                <w:highlight w:val="none"/>
              </w:rPr>
              <w:t>年</w:t>
            </w:r>
            <w:r>
              <w:rPr>
                <w:rFonts w:hint="eastAsia" w:ascii="宋体" w:hAnsi="宋体" w:cs="宋体"/>
                <w:kern w:val="0"/>
                <w:sz w:val="24"/>
                <w:highlight w:val="none"/>
                <w:lang w:val="en-US" w:eastAsia="zh-CN"/>
              </w:rPr>
              <w:t>06</w:t>
            </w:r>
            <w:r>
              <w:rPr>
                <w:rFonts w:hint="eastAsia" w:ascii="宋体" w:hAnsi="宋体" w:cs="宋体"/>
                <w:kern w:val="0"/>
                <w:sz w:val="24"/>
                <w:highlight w:val="none"/>
              </w:rPr>
              <w:t>月</w:t>
            </w:r>
            <w:r>
              <w:rPr>
                <w:rFonts w:hint="eastAsia" w:ascii="宋体" w:hAnsi="宋体" w:cs="宋体"/>
                <w:kern w:val="0"/>
                <w:sz w:val="24"/>
                <w:highlight w:val="none"/>
                <w:lang w:val="en-US" w:eastAsia="zh-CN"/>
              </w:rPr>
              <w:t>09</w:t>
            </w:r>
            <w:r>
              <w:rPr>
                <w:rFonts w:hint="eastAsia" w:ascii="宋体" w:hAnsi="宋体" w:cs="宋体"/>
                <w:kern w:val="0"/>
                <w:sz w:val="24"/>
                <w:highlight w:val="none"/>
              </w:rPr>
              <w:t xml:space="preserve">日 </w:t>
            </w:r>
            <w:r>
              <w:rPr>
                <w:rFonts w:hint="eastAsia" w:ascii="宋体" w:hAnsi="宋体" w:cs="宋体"/>
                <w:kern w:val="0"/>
                <w:sz w:val="24"/>
                <w:highlight w:val="none"/>
                <w:lang w:val="en-US" w:eastAsia="zh-CN"/>
              </w:rPr>
              <w:t>14</w:t>
            </w:r>
            <w:r>
              <w:rPr>
                <w:rFonts w:hint="eastAsia" w:ascii="宋体" w:hAnsi="宋体" w:cs="宋体"/>
                <w:kern w:val="0"/>
                <w:sz w:val="24"/>
                <w:highlight w:val="none"/>
              </w:rPr>
              <w:t>时30分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775" w:hRule="atLeast"/>
          <w:jc w:val="center"/>
        </w:trPr>
        <w:tc>
          <w:tcPr>
            <w:tcW w:w="564" w:type="dxa"/>
            <w:shd w:val="clear" w:color="auto" w:fill="auto"/>
            <w:tcMar>
              <w:left w:w="108" w:type="dxa"/>
              <w:right w:w="108" w:type="dxa"/>
            </w:tcMar>
            <w:vAlign w:val="center"/>
          </w:tcPr>
          <w:p>
            <w:pPr>
              <w:widowControl/>
              <w:spacing w:line="360" w:lineRule="auto"/>
              <w:jc w:val="center"/>
              <w:rPr>
                <w:rFonts w:hint="eastAsia" w:eastAsia="宋体"/>
                <w:kern w:val="0"/>
                <w:sz w:val="24"/>
                <w:lang w:eastAsia="zh-CN"/>
              </w:rPr>
            </w:pPr>
            <w:r>
              <w:rPr>
                <w:kern w:val="0"/>
                <w:sz w:val="24"/>
              </w:rPr>
              <w:t>1</w:t>
            </w:r>
            <w:r>
              <w:rPr>
                <w:rFonts w:hint="eastAsia"/>
                <w:kern w:val="0"/>
                <w:sz w:val="24"/>
                <w:lang w:val="en-US" w:eastAsia="zh-CN"/>
              </w:rPr>
              <w:t>7</w:t>
            </w:r>
          </w:p>
        </w:tc>
        <w:tc>
          <w:tcPr>
            <w:tcW w:w="2235" w:type="dxa"/>
            <w:shd w:val="clear" w:color="auto" w:fill="auto"/>
            <w:tcMar>
              <w:left w:w="108" w:type="dxa"/>
              <w:right w:w="108" w:type="dxa"/>
            </w:tcMar>
            <w:vAlign w:val="center"/>
          </w:tcPr>
          <w:p>
            <w:pPr>
              <w:widowControl/>
              <w:spacing w:line="360" w:lineRule="auto"/>
              <w:jc w:val="center"/>
              <w:rPr>
                <w:kern w:val="0"/>
                <w:sz w:val="24"/>
                <w:highlight w:val="none"/>
              </w:rPr>
            </w:pPr>
            <w:r>
              <w:rPr>
                <w:sz w:val="24"/>
                <w:highlight w:val="none"/>
              </w:rPr>
              <w:t>磋商时间和地点</w:t>
            </w:r>
          </w:p>
        </w:tc>
        <w:tc>
          <w:tcPr>
            <w:tcW w:w="6243" w:type="dxa"/>
            <w:shd w:val="clear" w:color="auto" w:fill="auto"/>
            <w:tcMar>
              <w:left w:w="108" w:type="dxa"/>
              <w:right w:w="108" w:type="dxa"/>
            </w:tcMar>
            <w:vAlign w:val="center"/>
          </w:tcPr>
          <w:p>
            <w:pPr>
              <w:overflowPunct w:val="0"/>
              <w:topLinePunct/>
              <w:spacing w:line="400" w:lineRule="exact"/>
              <w:rPr>
                <w:rFonts w:asciiTheme="minorEastAsia" w:hAnsiTheme="minorEastAsia" w:cstheme="minorEastAsia"/>
                <w:sz w:val="24"/>
                <w:highlight w:val="none"/>
              </w:rPr>
            </w:pPr>
            <w:r>
              <w:rPr>
                <w:rFonts w:hint="eastAsia" w:asciiTheme="minorEastAsia" w:hAnsiTheme="minorEastAsia" w:cstheme="minorEastAsia"/>
                <w:sz w:val="24"/>
                <w:highlight w:val="none"/>
              </w:rPr>
              <w:t>磋商时间：</w:t>
            </w:r>
            <w:r>
              <w:rPr>
                <w:rFonts w:hint="eastAsia" w:ascii="宋体" w:hAnsi="宋体" w:cs="宋体"/>
                <w:kern w:val="0"/>
                <w:sz w:val="24"/>
                <w:highlight w:val="none"/>
              </w:rPr>
              <w:t>202</w:t>
            </w:r>
            <w:r>
              <w:rPr>
                <w:rFonts w:hint="eastAsia" w:ascii="宋体" w:hAnsi="宋体" w:cs="宋体"/>
                <w:kern w:val="0"/>
                <w:sz w:val="24"/>
                <w:highlight w:val="none"/>
                <w:lang w:val="en-US" w:eastAsia="zh-CN"/>
              </w:rPr>
              <w:t>2</w:t>
            </w:r>
            <w:r>
              <w:rPr>
                <w:rFonts w:hint="eastAsia" w:ascii="宋体" w:hAnsi="宋体" w:cs="宋体"/>
                <w:kern w:val="0"/>
                <w:sz w:val="24"/>
                <w:highlight w:val="none"/>
              </w:rPr>
              <w:t>年</w:t>
            </w:r>
            <w:r>
              <w:rPr>
                <w:rFonts w:hint="eastAsia" w:ascii="宋体" w:hAnsi="宋体" w:cs="宋体"/>
                <w:kern w:val="0"/>
                <w:sz w:val="24"/>
                <w:highlight w:val="none"/>
                <w:lang w:val="en-US" w:eastAsia="zh-CN"/>
              </w:rPr>
              <w:t>06</w:t>
            </w:r>
            <w:r>
              <w:rPr>
                <w:rFonts w:hint="eastAsia" w:ascii="宋体" w:hAnsi="宋体" w:cs="宋体"/>
                <w:kern w:val="0"/>
                <w:sz w:val="24"/>
                <w:highlight w:val="none"/>
              </w:rPr>
              <w:t>月</w:t>
            </w:r>
            <w:r>
              <w:rPr>
                <w:rFonts w:hint="eastAsia" w:ascii="宋体" w:hAnsi="宋体" w:cs="宋体"/>
                <w:kern w:val="0"/>
                <w:sz w:val="24"/>
                <w:highlight w:val="none"/>
                <w:lang w:val="en-US" w:eastAsia="zh-CN"/>
              </w:rPr>
              <w:t>09</w:t>
            </w:r>
            <w:r>
              <w:rPr>
                <w:rFonts w:hint="eastAsia" w:ascii="宋体" w:hAnsi="宋体" w:cs="宋体"/>
                <w:kern w:val="0"/>
                <w:sz w:val="24"/>
                <w:highlight w:val="none"/>
              </w:rPr>
              <w:t xml:space="preserve">日 </w:t>
            </w:r>
            <w:r>
              <w:rPr>
                <w:rFonts w:hint="eastAsia" w:ascii="宋体" w:hAnsi="宋体" w:cs="宋体"/>
                <w:kern w:val="0"/>
                <w:sz w:val="24"/>
                <w:highlight w:val="none"/>
                <w:lang w:val="en-US" w:eastAsia="zh-CN"/>
              </w:rPr>
              <w:t>14</w:t>
            </w:r>
            <w:r>
              <w:rPr>
                <w:rFonts w:hint="eastAsia" w:ascii="宋体" w:hAnsi="宋体" w:cs="宋体"/>
                <w:kern w:val="0"/>
                <w:sz w:val="24"/>
                <w:highlight w:val="none"/>
              </w:rPr>
              <w:t>时30分</w:t>
            </w:r>
          </w:p>
          <w:p>
            <w:pPr>
              <w:overflowPunct w:val="0"/>
              <w:topLinePunct/>
              <w:spacing w:line="400" w:lineRule="exact"/>
              <w:rPr>
                <w:sz w:val="24"/>
                <w:highlight w:val="none"/>
              </w:rPr>
            </w:pPr>
            <w:r>
              <w:rPr>
                <w:rFonts w:hint="eastAsia" w:asciiTheme="minorEastAsia" w:hAnsiTheme="minorEastAsia" w:cstheme="minorEastAsia"/>
                <w:sz w:val="24"/>
                <w:highlight w:val="none"/>
              </w:rPr>
              <w:t xml:space="preserve">磋商地点：同递交响应文件地点。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775" w:hRule="atLeast"/>
          <w:jc w:val="center"/>
        </w:trPr>
        <w:tc>
          <w:tcPr>
            <w:tcW w:w="564" w:type="dxa"/>
            <w:shd w:val="clear" w:color="auto" w:fill="auto"/>
            <w:tcMar>
              <w:left w:w="108" w:type="dxa"/>
              <w:right w:w="108" w:type="dxa"/>
            </w:tcMar>
            <w:vAlign w:val="center"/>
          </w:tcPr>
          <w:p>
            <w:pPr>
              <w:widowControl/>
              <w:spacing w:line="360" w:lineRule="auto"/>
              <w:jc w:val="center"/>
              <w:rPr>
                <w:rFonts w:hint="eastAsia" w:eastAsia="宋体"/>
                <w:kern w:val="0"/>
                <w:sz w:val="24"/>
                <w:lang w:eastAsia="zh-CN"/>
              </w:rPr>
            </w:pPr>
            <w:r>
              <w:rPr>
                <w:kern w:val="0"/>
                <w:sz w:val="24"/>
              </w:rPr>
              <w:t>1</w:t>
            </w:r>
            <w:r>
              <w:rPr>
                <w:rFonts w:hint="eastAsia"/>
                <w:kern w:val="0"/>
                <w:sz w:val="24"/>
                <w:lang w:val="en-US" w:eastAsia="zh-CN"/>
              </w:rPr>
              <w:t>8</w:t>
            </w:r>
          </w:p>
        </w:tc>
        <w:tc>
          <w:tcPr>
            <w:tcW w:w="2235" w:type="dxa"/>
            <w:shd w:val="clear" w:color="auto" w:fill="auto"/>
            <w:tcMar>
              <w:left w:w="108" w:type="dxa"/>
              <w:right w:w="108" w:type="dxa"/>
            </w:tcMar>
            <w:vAlign w:val="center"/>
          </w:tcPr>
          <w:p>
            <w:pPr>
              <w:widowControl/>
              <w:spacing w:line="360" w:lineRule="auto"/>
              <w:jc w:val="center"/>
              <w:rPr>
                <w:kern w:val="0"/>
                <w:sz w:val="24"/>
              </w:rPr>
            </w:pPr>
            <w:r>
              <w:rPr>
                <w:sz w:val="24"/>
              </w:rPr>
              <w:t>磋商小组的组建</w:t>
            </w:r>
          </w:p>
        </w:tc>
        <w:tc>
          <w:tcPr>
            <w:tcW w:w="6243" w:type="dxa"/>
            <w:shd w:val="clear" w:color="auto" w:fill="auto"/>
            <w:tcMar>
              <w:left w:w="108" w:type="dxa"/>
              <w:right w:w="108" w:type="dxa"/>
            </w:tcMar>
            <w:vAlign w:val="center"/>
          </w:tcPr>
          <w:p>
            <w:pPr>
              <w:pStyle w:val="304"/>
              <w:spacing w:line="360" w:lineRule="auto"/>
              <w:rPr>
                <w:color w:val="000000" w:themeColor="text1"/>
                <w14:textFill>
                  <w14:solidFill>
                    <w14:schemeClr w14:val="tx1"/>
                  </w14:solidFill>
                </w14:textFill>
              </w:rPr>
            </w:pPr>
            <w:r>
              <w:rPr>
                <w:color w:val="000000" w:themeColor="text1"/>
                <w14:textFill>
                  <w14:solidFill>
                    <w14:schemeClr w14:val="tx1"/>
                  </w14:solidFill>
                </w14:textFill>
              </w:rPr>
              <w:t>磋商小组构成：3人</w:t>
            </w:r>
            <w:r>
              <w:rPr>
                <w:rFonts w:hint="eastAsia"/>
                <w:color w:val="000000" w:themeColor="text1"/>
                <w14:textFill>
                  <w14:solidFill>
                    <w14:schemeClr w14:val="tx1"/>
                  </w14:solidFill>
                </w14:textFill>
              </w:rPr>
              <w:t>，</w:t>
            </w:r>
            <w:r>
              <w:rPr>
                <w:rFonts w:hint="eastAsia"/>
                <w:color w:val="000000" w:themeColor="text1"/>
                <w:lang w:val="zh-CN"/>
                <w14:textFill>
                  <w14:solidFill>
                    <w14:schemeClr w14:val="tx1"/>
                  </w14:solidFill>
                </w14:textFill>
              </w:rPr>
              <w:t>其中采购人代表</w:t>
            </w:r>
            <w:r>
              <w:rPr>
                <w:rFonts w:hint="eastAsia"/>
                <w:color w:val="000000" w:themeColor="text1"/>
                <w:u w:val="single"/>
                <w14:textFill>
                  <w14:solidFill>
                    <w14:schemeClr w14:val="tx1"/>
                  </w14:solidFill>
                </w14:textFill>
              </w:rPr>
              <w:t xml:space="preserve"> 1 </w:t>
            </w:r>
            <w:r>
              <w:rPr>
                <w:rFonts w:hint="eastAsia"/>
                <w:color w:val="000000" w:themeColor="text1"/>
                <w:lang w:val="zh-CN"/>
                <w14:textFill>
                  <w14:solidFill>
                    <w14:schemeClr w14:val="tx1"/>
                  </w14:solidFill>
                </w14:textFill>
              </w:rPr>
              <w:t>人，磋商专家</w:t>
            </w:r>
            <w:r>
              <w:rPr>
                <w:rFonts w:hint="eastAsia"/>
                <w:color w:val="000000" w:themeColor="text1"/>
                <w:u w:val="single"/>
                <w14:textFill>
                  <w14:solidFill>
                    <w14:schemeClr w14:val="tx1"/>
                  </w14:solidFill>
                </w14:textFill>
              </w:rPr>
              <w:t xml:space="preserve"> 2 </w:t>
            </w:r>
            <w:r>
              <w:rPr>
                <w:rFonts w:hint="eastAsia"/>
                <w:color w:val="000000" w:themeColor="text1"/>
                <w:lang w:val="zh-CN"/>
                <w14:textFill>
                  <w14:solidFill>
                    <w14:schemeClr w14:val="tx1"/>
                  </w14:solidFill>
                </w14:textFill>
              </w:rPr>
              <w:t>人。</w:t>
            </w:r>
          </w:p>
          <w:p>
            <w:pPr>
              <w:widowControl/>
              <w:spacing w:line="400" w:lineRule="exact"/>
              <w:rPr>
                <w:sz w:val="24"/>
              </w:rPr>
            </w:pPr>
            <w:r>
              <w:rPr>
                <w:sz w:val="24"/>
              </w:rPr>
              <w:t>磋商专家确定方式：按照相关规定，专家评委在陕西省财政厅《政府采购评审专家库》中随机抽取。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88" w:hRule="atLeast"/>
          <w:jc w:val="center"/>
        </w:trPr>
        <w:tc>
          <w:tcPr>
            <w:tcW w:w="564" w:type="dxa"/>
            <w:shd w:val="clear" w:color="auto" w:fill="auto"/>
            <w:tcMar>
              <w:left w:w="108" w:type="dxa"/>
              <w:right w:w="108" w:type="dxa"/>
            </w:tcMar>
            <w:vAlign w:val="center"/>
          </w:tcPr>
          <w:p>
            <w:pPr>
              <w:widowControl/>
              <w:spacing w:line="360" w:lineRule="auto"/>
              <w:jc w:val="center"/>
              <w:rPr>
                <w:rFonts w:hint="eastAsia" w:eastAsia="宋体"/>
                <w:kern w:val="0"/>
                <w:sz w:val="24"/>
                <w:lang w:eastAsia="zh-CN"/>
              </w:rPr>
            </w:pPr>
            <w:r>
              <w:rPr>
                <w:kern w:val="0"/>
                <w:sz w:val="24"/>
              </w:rPr>
              <w:t>1</w:t>
            </w:r>
            <w:r>
              <w:rPr>
                <w:rFonts w:hint="eastAsia"/>
                <w:kern w:val="0"/>
                <w:sz w:val="24"/>
                <w:lang w:val="en-US" w:eastAsia="zh-CN"/>
              </w:rPr>
              <w:t>9</w:t>
            </w:r>
          </w:p>
        </w:tc>
        <w:tc>
          <w:tcPr>
            <w:tcW w:w="2235" w:type="dxa"/>
            <w:shd w:val="clear" w:color="auto" w:fill="auto"/>
            <w:tcMar>
              <w:left w:w="108" w:type="dxa"/>
              <w:right w:w="108" w:type="dxa"/>
            </w:tcMar>
            <w:vAlign w:val="center"/>
          </w:tcPr>
          <w:p>
            <w:pPr>
              <w:widowControl/>
              <w:spacing w:line="360" w:lineRule="auto"/>
              <w:jc w:val="center"/>
              <w:rPr>
                <w:kern w:val="0"/>
                <w:sz w:val="24"/>
              </w:rPr>
            </w:pPr>
            <w:r>
              <w:rPr>
                <w:sz w:val="24"/>
              </w:rPr>
              <w:t>磋商办法</w:t>
            </w:r>
          </w:p>
        </w:tc>
        <w:tc>
          <w:tcPr>
            <w:tcW w:w="6243" w:type="dxa"/>
            <w:shd w:val="clear" w:color="auto" w:fill="auto"/>
            <w:tcMar>
              <w:left w:w="108" w:type="dxa"/>
              <w:right w:w="108" w:type="dxa"/>
            </w:tcMar>
            <w:vAlign w:val="center"/>
          </w:tcPr>
          <w:p>
            <w:pPr>
              <w:widowControl/>
              <w:spacing w:line="400" w:lineRule="exact"/>
              <w:rPr>
                <w:sz w:val="24"/>
              </w:rPr>
            </w:pPr>
            <w:r>
              <w:rPr>
                <w:sz w:val="24"/>
              </w:rPr>
              <w:t>综合评分法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508" w:hRule="atLeast"/>
          <w:jc w:val="center"/>
        </w:trPr>
        <w:tc>
          <w:tcPr>
            <w:tcW w:w="564" w:type="dxa"/>
            <w:shd w:val="clear" w:color="auto" w:fill="auto"/>
            <w:tcMar>
              <w:left w:w="108" w:type="dxa"/>
              <w:right w:w="108" w:type="dxa"/>
            </w:tcMar>
            <w:vAlign w:val="center"/>
          </w:tcPr>
          <w:p>
            <w:pPr>
              <w:widowControl/>
              <w:spacing w:line="360" w:lineRule="auto"/>
              <w:jc w:val="center"/>
              <w:rPr>
                <w:rFonts w:hint="default" w:eastAsia="宋体"/>
                <w:kern w:val="0"/>
                <w:sz w:val="24"/>
                <w:lang w:val="en-US" w:eastAsia="zh-CN"/>
              </w:rPr>
            </w:pPr>
            <w:r>
              <w:rPr>
                <w:rFonts w:hint="eastAsia"/>
                <w:kern w:val="0"/>
                <w:sz w:val="24"/>
                <w:lang w:val="en-US" w:eastAsia="zh-CN"/>
              </w:rPr>
              <w:t>20</w:t>
            </w:r>
          </w:p>
        </w:tc>
        <w:tc>
          <w:tcPr>
            <w:tcW w:w="2235" w:type="dxa"/>
            <w:shd w:val="clear" w:color="auto" w:fill="auto"/>
            <w:tcMar>
              <w:left w:w="108" w:type="dxa"/>
              <w:right w:w="108" w:type="dxa"/>
            </w:tcMar>
            <w:vAlign w:val="center"/>
          </w:tcPr>
          <w:p>
            <w:pPr>
              <w:snapToGrid w:val="0"/>
              <w:spacing w:line="360" w:lineRule="auto"/>
              <w:jc w:val="center"/>
              <w:rPr>
                <w:kern w:val="0"/>
                <w:sz w:val="24"/>
              </w:rPr>
            </w:pPr>
            <w:r>
              <w:rPr>
                <w:sz w:val="24"/>
              </w:rPr>
              <w:t>复印件或扫描件</w:t>
            </w:r>
          </w:p>
        </w:tc>
        <w:tc>
          <w:tcPr>
            <w:tcW w:w="6243" w:type="dxa"/>
            <w:shd w:val="clear" w:color="auto" w:fill="auto"/>
            <w:tcMar>
              <w:left w:w="108" w:type="dxa"/>
              <w:right w:w="108" w:type="dxa"/>
            </w:tcMar>
            <w:vAlign w:val="center"/>
          </w:tcPr>
          <w:p>
            <w:pPr>
              <w:snapToGrid w:val="0"/>
              <w:spacing w:line="400" w:lineRule="exact"/>
              <w:rPr>
                <w:sz w:val="24"/>
              </w:rPr>
            </w:pPr>
            <w:r>
              <w:rPr>
                <w:b/>
                <w:bCs/>
                <w:sz w:val="24"/>
              </w:rPr>
              <w:t>正本中的复印件（或扫描件）必须加盖</w:t>
            </w:r>
            <w:r>
              <w:rPr>
                <w:rFonts w:hint="eastAsia"/>
                <w:b/>
                <w:bCs/>
                <w:sz w:val="24"/>
              </w:rPr>
              <w:t>磋商响应单位</w:t>
            </w:r>
            <w:r>
              <w:rPr>
                <w:b/>
                <w:bCs/>
                <w:sz w:val="24"/>
              </w:rPr>
              <w:t>的公章（</w:t>
            </w:r>
            <w:r>
              <w:rPr>
                <w:rFonts w:hint="eastAsia"/>
                <w:b/>
                <w:bCs/>
                <w:sz w:val="24"/>
              </w:rPr>
              <w:t>鲜</w:t>
            </w:r>
            <w:r>
              <w:rPr>
                <w:b/>
                <w:bCs/>
                <w:sz w:val="24"/>
              </w:rPr>
              <w:t>章），否则按无效文件处理</w:t>
            </w:r>
            <w:r>
              <w:rPr>
                <w:sz w:val="24"/>
              </w:rPr>
              <w:t>。</w:t>
            </w:r>
          </w:p>
          <w:p>
            <w:pPr>
              <w:snapToGrid w:val="0"/>
              <w:spacing w:line="400" w:lineRule="exact"/>
              <w:rPr>
                <w:kern w:val="0"/>
                <w:sz w:val="24"/>
              </w:rPr>
            </w:pPr>
            <w:r>
              <w:rPr>
                <w:sz w:val="24"/>
              </w:rPr>
              <w:t>所有复印件（或扫描件）（含</w:t>
            </w:r>
            <w:r>
              <w:rPr>
                <w:rFonts w:hint="eastAsia"/>
                <w:sz w:val="24"/>
              </w:rPr>
              <w:t>磋商响应单位</w:t>
            </w:r>
            <w:r>
              <w:rPr>
                <w:sz w:val="24"/>
              </w:rPr>
              <w:t>认为须提交的其他证明材料复印件、扫描件、网页截图等）应是最新、有效、清晰的。因复印件（或扫描件）不清晰而可能导致资料无效，由</w:t>
            </w:r>
            <w:r>
              <w:rPr>
                <w:rFonts w:hint="eastAsia"/>
                <w:sz w:val="24"/>
              </w:rPr>
              <w:t>磋商响应单位</w:t>
            </w:r>
            <w:r>
              <w:rPr>
                <w:sz w:val="24"/>
              </w:rPr>
              <w:t>自行负责。</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676" w:hRule="atLeast"/>
          <w:jc w:val="center"/>
        </w:trPr>
        <w:tc>
          <w:tcPr>
            <w:tcW w:w="564" w:type="dxa"/>
            <w:shd w:val="clear" w:color="auto" w:fill="auto"/>
            <w:tcMar>
              <w:left w:w="108" w:type="dxa"/>
              <w:right w:w="108" w:type="dxa"/>
            </w:tcMar>
            <w:vAlign w:val="center"/>
          </w:tcPr>
          <w:p>
            <w:pPr>
              <w:widowControl/>
              <w:spacing w:line="360" w:lineRule="auto"/>
              <w:jc w:val="center"/>
              <w:rPr>
                <w:kern w:val="0"/>
                <w:sz w:val="24"/>
              </w:rPr>
            </w:pPr>
            <w:r>
              <w:rPr>
                <w:kern w:val="0"/>
                <w:sz w:val="24"/>
              </w:rPr>
              <w:t>2</w:t>
            </w:r>
            <w:r>
              <w:rPr>
                <w:rFonts w:hint="eastAsia"/>
                <w:kern w:val="0"/>
                <w:sz w:val="24"/>
              </w:rPr>
              <w:t>1</w:t>
            </w:r>
          </w:p>
        </w:tc>
        <w:tc>
          <w:tcPr>
            <w:tcW w:w="2235" w:type="dxa"/>
            <w:shd w:val="clear" w:color="auto" w:fill="auto"/>
            <w:tcMar>
              <w:left w:w="108" w:type="dxa"/>
              <w:right w:w="108" w:type="dxa"/>
            </w:tcMar>
            <w:vAlign w:val="center"/>
          </w:tcPr>
          <w:p>
            <w:pPr>
              <w:widowControl/>
              <w:spacing w:line="360" w:lineRule="auto"/>
              <w:jc w:val="center"/>
              <w:rPr>
                <w:kern w:val="0"/>
                <w:sz w:val="24"/>
              </w:rPr>
            </w:pPr>
            <w:r>
              <w:rPr>
                <w:kern w:val="0"/>
                <w:sz w:val="24"/>
              </w:rPr>
              <w:t>解释权</w:t>
            </w:r>
          </w:p>
        </w:tc>
        <w:tc>
          <w:tcPr>
            <w:tcW w:w="6243" w:type="dxa"/>
            <w:shd w:val="clear" w:color="auto" w:fill="auto"/>
            <w:tcMar>
              <w:left w:w="108" w:type="dxa"/>
              <w:right w:w="108" w:type="dxa"/>
            </w:tcMar>
            <w:vAlign w:val="center"/>
          </w:tcPr>
          <w:p>
            <w:pPr>
              <w:widowControl/>
              <w:spacing w:line="400" w:lineRule="exact"/>
              <w:rPr>
                <w:kern w:val="0"/>
                <w:sz w:val="24"/>
              </w:rPr>
            </w:pPr>
            <w:r>
              <w:rPr>
                <w:kern w:val="0"/>
                <w:sz w:val="24"/>
              </w:rPr>
              <w:t>本磋商文件解释权归采购人和采购代理机构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556" w:hRule="atLeast"/>
          <w:jc w:val="center"/>
        </w:trPr>
        <w:tc>
          <w:tcPr>
            <w:tcW w:w="564" w:type="dxa"/>
            <w:shd w:val="clear" w:color="auto" w:fill="auto"/>
            <w:tcMar>
              <w:left w:w="108" w:type="dxa"/>
              <w:right w:w="108" w:type="dxa"/>
            </w:tcMar>
            <w:vAlign w:val="center"/>
          </w:tcPr>
          <w:p>
            <w:pPr>
              <w:widowControl/>
              <w:spacing w:line="360" w:lineRule="auto"/>
              <w:jc w:val="center"/>
              <w:rPr>
                <w:kern w:val="0"/>
                <w:sz w:val="24"/>
              </w:rPr>
            </w:pPr>
            <w:r>
              <w:rPr>
                <w:kern w:val="0"/>
                <w:sz w:val="24"/>
              </w:rPr>
              <w:t>2</w:t>
            </w:r>
            <w:r>
              <w:rPr>
                <w:rFonts w:hint="eastAsia"/>
                <w:kern w:val="0"/>
                <w:sz w:val="24"/>
              </w:rPr>
              <w:t>2</w:t>
            </w:r>
          </w:p>
        </w:tc>
        <w:tc>
          <w:tcPr>
            <w:tcW w:w="2235" w:type="dxa"/>
            <w:shd w:val="clear" w:color="auto" w:fill="auto"/>
            <w:tcMar>
              <w:left w:w="108" w:type="dxa"/>
              <w:right w:w="108" w:type="dxa"/>
            </w:tcMar>
            <w:vAlign w:val="center"/>
          </w:tcPr>
          <w:p>
            <w:pPr>
              <w:widowControl/>
              <w:spacing w:line="360" w:lineRule="auto"/>
              <w:jc w:val="center"/>
              <w:rPr>
                <w:rFonts w:eastAsiaTheme="minorEastAsia"/>
                <w:kern w:val="0"/>
                <w:sz w:val="24"/>
              </w:rPr>
            </w:pPr>
            <w:r>
              <w:rPr>
                <w:rFonts w:hint="eastAsia" w:asciiTheme="minorEastAsia" w:hAnsiTheme="minorEastAsia" w:eastAsiaTheme="minorEastAsia" w:cstheme="minorEastAsia"/>
                <w:sz w:val="24"/>
              </w:rPr>
              <w:t>招标代理服务费及造价咨询费</w:t>
            </w:r>
          </w:p>
        </w:tc>
        <w:tc>
          <w:tcPr>
            <w:tcW w:w="6243" w:type="dxa"/>
            <w:shd w:val="clear" w:color="auto" w:fill="auto"/>
            <w:tcMar>
              <w:left w:w="108" w:type="dxa"/>
              <w:right w:w="108" w:type="dxa"/>
            </w:tcMar>
            <w:vAlign w:val="center"/>
          </w:tcPr>
          <w:p>
            <w:pPr>
              <w:widowControl/>
              <w:spacing w:line="400" w:lineRule="exact"/>
              <w:jc w:val="left"/>
              <w:rPr>
                <w:sz w:val="24"/>
              </w:rPr>
            </w:pPr>
            <w:r>
              <w:rPr>
                <w:rFonts w:hint="eastAsia" w:asciiTheme="minorEastAsia" w:hAnsiTheme="minorEastAsia" w:eastAsiaTheme="minorEastAsia" w:cstheme="minorEastAsia"/>
                <w:sz w:val="24"/>
              </w:rPr>
              <w:t>按国家发展计划委员会文件计价格【2002】1980号、发改价格【2011】534号、发改价格的【2015】299号及陕价行发【2014】88号，招标代理费用及造价咨询费根据实际成交价格据实结算，由成交单位进行支付。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464" w:hRule="atLeast"/>
          <w:jc w:val="center"/>
        </w:trPr>
        <w:tc>
          <w:tcPr>
            <w:tcW w:w="564" w:type="dxa"/>
            <w:shd w:val="clear" w:color="auto" w:fill="auto"/>
            <w:tcMar>
              <w:left w:w="108" w:type="dxa"/>
              <w:right w:w="108" w:type="dxa"/>
            </w:tcMar>
            <w:vAlign w:val="center"/>
          </w:tcPr>
          <w:p>
            <w:pPr>
              <w:widowControl/>
              <w:spacing w:line="360" w:lineRule="auto"/>
              <w:jc w:val="center"/>
              <w:rPr>
                <w:sz w:val="24"/>
              </w:rPr>
            </w:pPr>
            <w:r>
              <w:rPr>
                <w:kern w:val="0"/>
                <w:sz w:val="24"/>
              </w:rPr>
              <w:t>2</w:t>
            </w:r>
            <w:r>
              <w:rPr>
                <w:rFonts w:hint="eastAsia"/>
                <w:kern w:val="0"/>
                <w:sz w:val="24"/>
              </w:rPr>
              <w:t>3</w:t>
            </w:r>
          </w:p>
        </w:tc>
        <w:tc>
          <w:tcPr>
            <w:tcW w:w="2235" w:type="dxa"/>
            <w:shd w:val="clear" w:color="auto" w:fill="auto"/>
            <w:tcMar>
              <w:left w:w="108" w:type="dxa"/>
              <w:right w:w="108" w:type="dxa"/>
            </w:tcMar>
            <w:vAlign w:val="center"/>
          </w:tcPr>
          <w:p>
            <w:pPr>
              <w:widowControl/>
              <w:spacing w:line="360" w:lineRule="auto"/>
              <w:jc w:val="center"/>
              <w:rPr>
                <w:kern w:val="0"/>
                <w:sz w:val="24"/>
              </w:rPr>
            </w:pPr>
            <w:r>
              <w:rPr>
                <w:rFonts w:hint="eastAsia"/>
                <w:kern w:val="0"/>
                <w:sz w:val="24"/>
              </w:rPr>
              <w:t>磋商最高限价</w:t>
            </w:r>
          </w:p>
        </w:tc>
        <w:tc>
          <w:tcPr>
            <w:tcW w:w="6243" w:type="dxa"/>
            <w:shd w:val="clear" w:color="auto" w:fill="auto"/>
            <w:tcMar>
              <w:left w:w="108" w:type="dxa"/>
              <w:right w:w="108" w:type="dxa"/>
            </w:tcMar>
            <w:vAlign w:val="center"/>
          </w:tcPr>
          <w:p>
            <w:pPr>
              <w:widowControl/>
              <w:spacing w:line="360" w:lineRule="auto"/>
              <w:ind w:right="-195" w:rightChars="-93"/>
              <w:jc w:val="left"/>
              <w:rPr>
                <w:kern w:val="0"/>
                <w:sz w:val="24"/>
              </w:rPr>
            </w:pPr>
            <w:r>
              <w:rPr>
                <w:rFonts w:hint="eastAsia" w:ascii="宋体" w:hAnsi="宋体" w:cs="宋体"/>
                <w:color w:val="000000" w:themeColor="text1"/>
                <w:kern w:val="0"/>
                <w:sz w:val="24"/>
                <w14:textFill>
                  <w14:solidFill>
                    <w14:schemeClr w14:val="tx1"/>
                  </w14:solidFill>
                </w14:textFill>
              </w:rPr>
              <w:t>本项目采购预算为人民币</w:t>
            </w:r>
            <w:r>
              <w:rPr>
                <w:rFonts w:hint="eastAsia" w:ascii="宋体" w:hAnsi="宋体" w:cs="宋体"/>
                <w:color w:val="000000" w:themeColor="text1"/>
                <w:kern w:val="0"/>
                <w:sz w:val="24"/>
                <w:lang w:val="en-US" w:eastAsia="zh-CN"/>
                <w14:textFill>
                  <w14:solidFill>
                    <w14:schemeClr w14:val="tx1"/>
                  </w14:solidFill>
                </w14:textFill>
              </w:rPr>
              <w:t>300</w:t>
            </w:r>
            <w:r>
              <w:rPr>
                <w:rFonts w:hint="eastAsia" w:ascii="宋体" w:hAnsi="宋体" w:cs="宋体"/>
                <w:color w:val="000000" w:themeColor="text1"/>
                <w:kern w:val="0"/>
                <w:sz w:val="24"/>
                <w:lang w:eastAsia="zh-CN"/>
                <w14:textFill>
                  <w14:solidFill>
                    <w14:schemeClr w14:val="tx1"/>
                  </w14:solidFill>
                </w14:textFill>
              </w:rPr>
              <w:t>0000.00</w:t>
            </w:r>
            <w:r>
              <w:rPr>
                <w:rFonts w:hint="eastAsia" w:ascii="宋体" w:hAnsi="宋体" w:cs="宋体"/>
                <w:color w:val="000000" w:themeColor="text1"/>
                <w:kern w:val="0"/>
                <w:sz w:val="24"/>
                <w14:textFill>
                  <w14:solidFill>
                    <w14:schemeClr w14:val="tx1"/>
                  </w14:solidFill>
                </w14:textFill>
              </w:rPr>
              <w:t>元，最高限价</w:t>
            </w:r>
            <w:r>
              <w:rPr>
                <w:rFonts w:hint="eastAsia" w:ascii="宋体" w:hAnsi="宋体" w:cs="宋体"/>
                <w:color w:val="000000" w:themeColor="text1"/>
                <w:kern w:val="0"/>
                <w:sz w:val="24"/>
                <w:highlight w:val="none"/>
                <w14:textFill>
                  <w14:solidFill>
                    <w14:schemeClr w14:val="tx1"/>
                  </w14:solidFill>
                </w14:textFill>
              </w:rPr>
              <w:t>:</w:t>
            </w:r>
            <w:r>
              <w:rPr>
                <w:rFonts w:hint="eastAsia" w:ascii="宋体" w:hAnsi="宋体" w:cs="宋体"/>
                <w:color w:val="000000" w:themeColor="text1"/>
                <w:kern w:val="0"/>
                <w:sz w:val="24"/>
                <w:highlight w:val="none"/>
                <w:lang w:eastAsia="zh-CN"/>
                <w14:textFill>
                  <w14:solidFill>
                    <w14:schemeClr w14:val="tx1"/>
                  </w14:solidFill>
                </w14:textFill>
              </w:rPr>
              <w:t>2999442.79</w:t>
            </w:r>
            <w:r>
              <w:rPr>
                <w:rFonts w:hint="eastAsia" w:ascii="宋体" w:hAnsi="宋体" w:cs="宋体"/>
                <w:color w:val="000000" w:themeColor="text1"/>
                <w:kern w:val="0"/>
                <w:sz w:val="24"/>
                <w:highlight w:val="none"/>
                <w14:textFill>
                  <w14:solidFill>
                    <w14:schemeClr w14:val="tx1"/>
                  </w14:solidFill>
                </w14:textFill>
              </w:rPr>
              <w:t>元</w:t>
            </w:r>
            <w:r>
              <w:rPr>
                <w:rFonts w:hint="eastAsia" w:ascii="宋体" w:hAnsi="宋体" w:cs="宋体"/>
                <w:color w:val="000000" w:themeColor="text1"/>
                <w:kern w:val="0"/>
                <w:sz w:val="24"/>
                <w14:textFill>
                  <w14:solidFill>
                    <w14:schemeClr w14:val="tx1"/>
                  </w14:solidFill>
                </w14:textFill>
              </w:rPr>
              <w:t>，首次报价超出最高限价的磋商响应单位不进入下一步磋商程序。</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689" w:hRule="atLeast"/>
          <w:jc w:val="center"/>
        </w:trPr>
        <w:tc>
          <w:tcPr>
            <w:tcW w:w="564" w:type="dxa"/>
            <w:shd w:val="clear" w:color="auto" w:fill="auto"/>
            <w:tcMar>
              <w:left w:w="108" w:type="dxa"/>
              <w:right w:w="108" w:type="dxa"/>
            </w:tcMar>
            <w:vAlign w:val="center"/>
          </w:tcPr>
          <w:p>
            <w:pPr>
              <w:widowControl/>
              <w:spacing w:line="360" w:lineRule="auto"/>
              <w:jc w:val="center"/>
              <w:rPr>
                <w:kern w:val="0"/>
                <w:sz w:val="24"/>
              </w:rPr>
            </w:pPr>
            <w:r>
              <w:rPr>
                <w:rFonts w:hint="eastAsia"/>
                <w:kern w:val="0"/>
                <w:sz w:val="24"/>
              </w:rPr>
              <w:t>24</w:t>
            </w:r>
          </w:p>
        </w:tc>
        <w:tc>
          <w:tcPr>
            <w:tcW w:w="2235" w:type="dxa"/>
            <w:shd w:val="clear" w:color="auto" w:fill="auto"/>
            <w:tcMar>
              <w:left w:w="108" w:type="dxa"/>
              <w:right w:w="108" w:type="dxa"/>
            </w:tcMar>
            <w:vAlign w:val="center"/>
          </w:tcPr>
          <w:p>
            <w:pPr>
              <w:widowControl/>
              <w:spacing w:line="360" w:lineRule="auto"/>
              <w:jc w:val="center"/>
              <w:rPr>
                <w:color w:val="FF0000"/>
                <w:kern w:val="0"/>
                <w:sz w:val="24"/>
                <w:highlight w:val="none"/>
              </w:rPr>
            </w:pPr>
            <w:r>
              <w:rPr>
                <w:rFonts w:hint="eastAsia"/>
                <w:color w:val="000000" w:themeColor="text1"/>
                <w:kern w:val="0"/>
                <w:sz w:val="24"/>
                <w:highlight w:val="none"/>
                <w14:textFill>
                  <w14:solidFill>
                    <w14:schemeClr w14:val="tx1"/>
                  </w14:solidFill>
                </w14:textFill>
              </w:rPr>
              <w:t>工程计价方式</w:t>
            </w:r>
          </w:p>
        </w:tc>
        <w:tc>
          <w:tcPr>
            <w:tcW w:w="6243" w:type="dxa"/>
            <w:shd w:val="clear" w:color="auto" w:fill="auto"/>
            <w:tcMar>
              <w:left w:w="108" w:type="dxa"/>
              <w:right w:w="108" w:type="dxa"/>
            </w:tcMar>
            <w:vAlign w:val="center"/>
          </w:tcPr>
          <w:p>
            <w:pPr>
              <w:spacing w:line="360" w:lineRule="auto"/>
              <w:ind w:firstLine="480" w:firstLineChars="200"/>
              <w:jc w:val="left"/>
              <w:rPr>
                <w:rFonts w:hint="eastAsia" w:ascii="宋体" w:hAnsi="宋体" w:eastAsia="宋体" w:cs="宋体"/>
                <w:color w:val="000000"/>
                <w:sz w:val="24"/>
                <w:szCs w:val="24"/>
              </w:rPr>
            </w:pPr>
            <w:r>
              <w:rPr>
                <w:rFonts w:hint="eastAsia" w:ascii="宋体" w:hAnsi="宋体" w:eastAsia="宋体" w:cs="宋体"/>
                <w:color w:val="000000"/>
                <w:sz w:val="24"/>
                <w:szCs w:val="24"/>
                <w:highlight w:val="none"/>
              </w:rPr>
              <w:t>1.《陕西省建设工程工程量清单计价规则》（2009）和《陕西建筑装饰工程消耗量定额》（2004）及其补充定额、《陕西省安装工程消耗量定额》（2004）及其补充定额、《陕西省建筑装饰工程价目表》（2009）、《陕西省安装工程价目表》（2009）</w:t>
            </w:r>
            <w:r>
              <w:rPr>
                <w:rFonts w:hint="eastAsia" w:ascii="宋体" w:hAnsi="宋体" w:eastAsia="宋体" w:cs="宋体"/>
                <w:color w:val="000000"/>
                <w:sz w:val="24"/>
                <w:szCs w:val="24"/>
              </w:rPr>
              <w:t xml:space="preserve">及其配套的费用文件； </w:t>
            </w:r>
          </w:p>
          <w:p>
            <w:pPr>
              <w:spacing w:line="360" w:lineRule="auto"/>
              <w:ind w:firstLine="480" w:firstLineChars="200"/>
              <w:jc w:val="left"/>
              <w:rPr>
                <w:rFonts w:hint="eastAsia" w:ascii="宋体" w:hAnsi="宋体" w:eastAsia="宋体" w:cs="宋体"/>
                <w:color w:val="000000"/>
                <w:sz w:val="24"/>
                <w:szCs w:val="24"/>
              </w:rPr>
            </w:pPr>
            <w:r>
              <w:rPr>
                <w:rFonts w:hint="eastAsia" w:ascii="宋体" w:hAnsi="宋体" w:eastAsia="宋体" w:cs="宋体"/>
                <w:color w:val="000000"/>
                <w:sz w:val="24"/>
                <w:szCs w:val="24"/>
              </w:rPr>
              <w:t>2.税金按陕建发【2019】45号文件综合系数调整计入，税金</w:t>
            </w:r>
            <w:r>
              <w:rPr>
                <w:rFonts w:hint="eastAsia" w:ascii="宋体" w:hAnsi="宋体" w:eastAsia="宋体" w:cs="宋体"/>
                <w:color w:val="000000"/>
                <w:sz w:val="24"/>
                <w:szCs w:val="24"/>
                <w:lang w:eastAsia="zh-CN"/>
              </w:rPr>
              <w:t>县城、镇</w:t>
            </w:r>
            <w:r>
              <w:rPr>
                <w:rFonts w:hint="eastAsia" w:ascii="宋体" w:hAnsi="宋体" w:eastAsia="宋体" w:cs="宋体"/>
                <w:color w:val="000000"/>
                <w:sz w:val="24"/>
                <w:szCs w:val="24"/>
              </w:rPr>
              <w:t>计入；</w:t>
            </w: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color w:val="000000"/>
                <w:sz w:val="24"/>
                <w:szCs w:val="24"/>
              </w:rPr>
              <w:t>3.</w:t>
            </w:r>
            <w:r>
              <w:rPr>
                <w:rFonts w:hint="eastAsia" w:ascii="宋体" w:hAnsi="宋体" w:eastAsia="宋体" w:cs="宋体"/>
                <w:sz w:val="24"/>
                <w:szCs w:val="24"/>
                <w:highlight w:val="none"/>
              </w:rPr>
              <w:t>主要材料价依据</w:t>
            </w:r>
            <w:r>
              <w:rPr>
                <w:rFonts w:hint="eastAsia" w:ascii="宋体" w:hAnsi="宋体" w:eastAsia="宋体" w:cs="宋体"/>
                <w:color w:val="auto"/>
                <w:sz w:val="24"/>
                <w:szCs w:val="24"/>
                <w:highlight w:val="none"/>
                <w:lang w:val="en-US" w:eastAsia="zh-CN"/>
              </w:rPr>
              <w:t>高陵区</w:t>
            </w:r>
            <w:r>
              <w:rPr>
                <w:rFonts w:hint="eastAsia" w:ascii="宋体" w:hAnsi="宋体" w:eastAsia="宋体" w:cs="宋体"/>
                <w:color w:val="auto"/>
                <w:sz w:val="24"/>
                <w:szCs w:val="24"/>
                <w:highlight w:val="none"/>
              </w:rPr>
              <w:t>202</w:t>
            </w: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lang w:val="en-US" w:eastAsia="zh-CN"/>
              </w:rPr>
              <w:t>第2期</w:t>
            </w:r>
            <w:r>
              <w:rPr>
                <w:rFonts w:hint="eastAsia" w:ascii="宋体" w:hAnsi="宋体" w:eastAsia="宋体" w:cs="宋体"/>
                <w:color w:val="auto"/>
                <w:sz w:val="24"/>
                <w:szCs w:val="24"/>
                <w:highlight w:val="none"/>
              </w:rPr>
              <w:t>信息价并</w:t>
            </w:r>
            <w:r>
              <w:rPr>
                <w:rFonts w:hint="eastAsia" w:ascii="宋体" w:hAnsi="宋体" w:eastAsia="宋体" w:cs="宋体"/>
                <w:sz w:val="24"/>
                <w:szCs w:val="24"/>
                <w:highlight w:val="none"/>
              </w:rPr>
              <w:t>结合近期市场价计入；</w:t>
            </w:r>
            <w:r>
              <w:rPr>
                <w:rFonts w:hint="eastAsia" w:ascii="宋体" w:hAnsi="宋体" w:eastAsia="宋体" w:cs="宋体"/>
                <w:sz w:val="24"/>
                <w:szCs w:val="24"/>
              </w:rPr>
              <w:t xml:space="preserve"> </w:t>
            </w: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4.人工费执行《陕西省住房和城乡建设厅文件》陕建发[2021]1097号；</w:t>
            </w:r>
          </w:p>
          <w:p>
            <w:pPr>
              <w:spacing w:line="360" w:lineRule="auto"/>
              <w:ind w:firstLine="480" w:firstLineChars="200"/>
              <w:jc w:val="left"/>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5.</w:t>
            </w:r>
            <w:r>
              <w:rPr>
                <w:rFonts w:hint="eastAsia" w:ascii="宋体" w:hAnsi="宋体" w:eastAsia="宋体" w:cs="宋体"/>
                <w:color w:val="000000"/>
                <w:sz w:val="24"/>
                <w:szCs w:val="24"/>
              </w:rPr>
              <w:t>采用广联达云计价平台GCCP</w:t>
            </w:r>
            <w:r>
              <w:rPr>
                <w:rFonts w:hint="eastAsia" w:ascii="宋体" w:hAnsi="宋体" w:eastAsia="宋体" w:cs="宋体"/>
                <w:color w:val="000000"/>
                <w:sz w:val="24"/>
                <w:szCs w:val="24"/>
                <w:lang w:val="en-US" w:eastAsia="zh-CN"/>
              </w:rPr>
              <w:t>6</w:t>
            </w:r>
            <w:r>
              <w:rPr>
                <w:rFonts w:hint="eastAsia" w:ascii="宋体" w:hAnsi="宋体" w:eastAsia="宋体" w:cs="宋体"/>
                <w:color w:val="000000"/>
                <w:sz w:val="24"/>
                <w:szCs w:val="24"/>
              </w:rPr>
              <w:t>.0（</w:t>
            </w:r>
            <w:r>
              <w:rPr>
                <w:rFonts w:hint="eastAsia" w:ascii="宋体" w:hAnsi="宋体" w:eastAsia="宋体" w:cs="宋体"/>
                <w:color w:val="000000"/>
                <w:sz w:val="24"/>
                <w:szCs w:val="24"/>
                <w:lang w:val="en-US" w:eastAsia="zh-CN"/>
              </w:rPr>
              <w:t>6.3000.23.110</w:t>
            </w:r>
            <w:r>
              <w:rPr>
                <w:rFonts w:hint="eastAsia" w:ascii="宋体" w:hAnsi="宋体" w:eastAsia="宋体" w:cs="宋体"/>
                <w:color w:val="000000"/>
                <w:sz w:val="24"/>
                <w:szCs w:val="24"/>
              </w:rPr>
              <w:t>）版本；</w:t>
            </w:r>
          </w:p>
          <w:p>
            <w:pPr>
              <w:spacing w:line="360" w:lineRule="auto"/>
              <w:ind w:firstLine="480" w:firstLineChars="200"/>
              <w:jc w:val="left"/>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6.</w:t>
            </w:r>
            <w:r>
              <w:rPr>
                <w:rFonts w:hint="eastAsia" w:ascii="宋体" w:hAnsi="宋体" w:eastAsia="宋体" w:cs="宋体"/>
                <w:color w:val="000000"/>
                <w:sz w:val="24"/>
                <w:szCs w:val="24"/>
              </w:rPr>
              <w:t>本工程混凝土全部采用商品混凝土；</w:t>
            </w:r>
          </w:p>
          <w:p>
            <w:pPr>
              <w:spacing w:line="360" w:lineRule="auto"/>
              <w:ind w:firstLine="480" w:firstLineChars="200"/>
              <w:jc w:val="left"/>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7.</w:t>
            </w:r>
            <w:r>
              <w:rPr>
                <w:rFonts w:hint="eastAsia" w:ascii="宋体" w:hAnsi="宋体" w:eastAsia="宋体" w:cs="宋体"/>
                <w:color w:val="000000"/>
                <w:sz w:val="24"/>
                <w:szCs w:val="24"/>
              </w:rPr>
              <w:t>本工程灰土全部采用袋装熟石灰；</w:t>
            </w:r>
          </w:p>
          <w:p>
            <w:pPr>
              <w:spacing w:line="360" w:lineRule="auto"/>
              <w:ind w:firstLine="480" w:firstLineChars="200"/>
              <w:jc w:val="left"/>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8.</w:t>
            </w:r>
            <w:r>
              <w:rPr>
                <w:rFonts w:hint="eastAsia" w:ascii="宋体" w:hAnsi="宋体" w:eastAsia="宋体" w:cs="宋体"/>
                <w:color w:val="000000"/>
                <w:sz w:val="24"/>
                <w:szCs w:val="24"/>
              </w:rPr>
              <w:t>本工程砂浆全部采用预拌砂浆</w:t>
            </w:r>
            <w:r>
              <w:rPr>
                <w:rFonts w:hint="eastAsia" w:ascii="宋体" w:hAnsi="宋体" w:eastAsia="宋体" w:cs="宋体"/>
                <w:color w:val="000000"/>
                <w:sz w:val="24"/>
                <w:szCs w:val="24"/>
                <w:lang w:eastAsia="zh-CN"/>
              </w:rPr>
              <w:t>。</w:t>
            </w:r>
          </w:p>
          <w:p>
            <w:pPr>
              <w:spacing w:line="360" w:lineRule="auto"/>
              <w:ind w:firstLine="480" w:firstLineChars="200"/>
              <w:jc w:val="left"/>
              <w:rPr>
                <w:rFonts w:eastAsiaTheme="minorEastAsia"/>
                <w:color w:val="FF0000"/>
                <w:kern w:val="0"/>
                <w:sz w:val="24"/>
                <w:highlight w:val="none"/>
              </w:rPr>
            </w:pPr>
            <w:r>
              <w:rPr>
                <w:rFonts w:hint="eastAsia" w:ascii="宋体" w:hAnsi="宋体" w:eastAsia="宋体" w:cs="宋体"/>
                <w:color w:val="000000"/>
                <w:sz w:val="24"/>
                <w:szCs w:val="24"/>
                <w:lang w:val="en-US" w:eastAsia="zh-CN"/>
              </w:rPr>
              <w:t>9.</w:t>
            </w:r>
            <w:r>
              <w:rPr>
                <w:rFonts w:hint="eastAsia" w:ascii="宋体" w:hAnsi="宋体" w:eastAsia="宋体" w:cs="宋体"/>
                <w:color w:val="000000"/>
                <w:sz w:val="24"/>
                <w:szCs w:val="24"/>
                <w:lang w:eastAsia="zh-CN"/>
              </w:rPr>
              <w:t>其</w:t>
            </w:r>
            <w:r>
              <w:rPr>
                <w:rFonts w:hint="eastAsia" w:ascii="宋体" w:hAnsi="宋体" w:eastAsia="宋体" w:cs="宋体"/>
                <w:color w:val="000000"/>
                <w:sz w:val="24"/>
                <w:szCs w:val="24"/>
              </w:rPr>
              <w:t>他未尽事宜详见工程量清单</w:t>
            </w:r>
            <w:r>
              <w:rPr>
                <w:rFonts w:hint="eastAsia" w:ascii="宋体" w:hAnsi="宋体" w:eastAsia="宋体" w:cs="宋体"/>
                <w:color w:val="000000"/>
                <w:sz w:val="24"/>
                <w:szCs w:val="24"/>
                <w:lang w:eastAsia="zh-CN"/>
              </w:rPr>
              <w:t>。</w:t>
            </w:r>
          </w:p>
        </w:tc>
      </w:tr>
    </w:tbl>
    <w:p>
      <w:pPr>
        <w:pStyle w:val="2"/>
        <w:ind w:firstLine="0" w:firstLineChars="0"/>
      </w:pPr>
    </w:p>
    <w:p>
      <w:pPr>
        <w:pStyle w:val="2"/>
        <w:ind w:firstLine="0" w:firstLineChars="0"/>
      </w:pPr>
    </w:p>
    <w:p>
      <w:pPr>
        <w:pStyle w:val="2"/>
        <w:ind w:firstLine="0" w:firstLineChars="0"/>
      </w:pPr>
    </w:p>
    <w:p>
      <w:pPr>
        <w:pStyle w:val="2"/>
        <w:ind w:firstLine="0" w:firstLineChars="0"/>
      </w:pPr>
    </w:p>
    <w:p>
      <w:pPr>
        <w:pStyle w:val="2"/>
        <w:ind w:firstLine="0" w:firstLineChars="0"/>
      </w:pPr>
    </w:p>
    <w:p>
      <w:pPr>
        <w:pStyle w:val="2"/>
        <w:ind w:firstLine="0" w:firstLineChars="0"/>
      </w:pPr>
    </w:p>
    <w:p>
      <w:pPr>
        <w:pStyle w:val="2"/>
        <w:ind w:firstLine="0" w:firstLineChars="0"/>
      </w:pPr>
    </w:p>
    <w:p>
      <w:pPr>
        <w:pStyle w:val="2"/>
        <w:ind w:firstLine="0" w:firstLineChars="0"/>
      </w:pPr>
    </w:p>
    <w:p>
      <w:pPr>
        <w:widowControl/>
        <w:jc w:val="left"/>
        <w:rPr>
          <w:rFonts w:asciiTheme="minorEastAsia" w:hAnsiTheme="minorEastAsia" w:eastAsiaTheme="minorEastAsia" w:cstheme="minorEastAsia"/>
          <w:b/>
          <w:sz w:val="24"/>
        </w:rPr>
      </w:pPr>
      <w:r>
        <w:rPr>
          <w:rFonts w:asciiTheme="minorEastAsia" w:hAnsiTheme="minorEastAsia" w:eastAsiaTheme="minorEastAsia" w:cstheme="minorEastAsia"/>
          <w:b/>
          <w:sz w:val="24"/>
        </w:rPr>
        <w:br w:type="page"/>
      </w:r>
    </w:p>
    <w:p>
      <w:pPr>
        <w:adjustRightInd w:val="0"/>
        <w:snapToGrid w:val="0"/>
        <w:spacing w:after="240" w:line="360" w:lineRule="auto"/>
        <w:jc w:val="center"/>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一、总  则</w:t>
      </w:r>
    </w:p>
    <w:p>
      <w:pPr>
        <w:adjustRightInd w:val="0"/>
        <w:snapToGrid w:val="0"/>
        <w:spacing w:line="360" w:lineRule="auto"/>
        <w:ind w:firstLine="482" w:firstLineChars="200"/>
        <w:rPr>
          <w:rFonts w:asciiTheme="minorEastAsia" w:hAnsiTheme="minorEastAsia" w:eastAsiaTheme="minorEastAsia" w:cstheme="minorEastAsia"/>
          <w:b/>
          <w:bCs/>
          <w:color w:val="000000" w:themeColor="text1"/>
          <w:sz w:val="24"/>
          <w14:textFill>
            <w14:solidFill>
              <w14:schemeClr w14:val="tx1"/>
            </w14:solidFill>
          </w14:textFill>
        </w:rPr>
      </w:pPr>
      <w:r>
        <w:rPr>
          <w:rFonts w:hint="eastAsia" w:asciiTheme="minorEastAsia" w:hAnsiTheme="minorEastAsia" w:eastAsiaTheme="minorEastAsia" w:cstheme="minorEastAsia"/>
          <w:b/>
          <w:bCs/>
          <w:color w:val="000000" w:themeColor="text1"/>
          <w:sz w:val="24"/>
          <w14:textFill>
            <w14:solidFill>
              <w14:schemeClr w14:val="tx1"/>
            </w14:solidFill>
          </w14:textFill>
        </w:rPr>
        <w:t>1、适用范围</w:t>
      </w:r>
    </w:p>
    <w:p>
      <w:pPr>
        <w:adjustRightInd w:val="0"/>
        <w:snapToGrid w:val="0"/>
        <w:spacing w:line="360" w:lineRule="auto"/>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1.1本磋商文件仅适用于本磋商文件中所述项目的采购。</w:t>
      </w:r>
    </w:p>
    <w:p>
      <w:pPr>
        <w:adjustRightInd w:val="0"/>
        <w:snapToGrid w:val="0"/>
        <w:spacing w:line="360" w:lineRule="auto"/>
        <w:ind w:firstLine="482" w:firstLineChars="200"/>
        <w:rPr>
          <w:rFonts w:asciiTheme="minorEastAsia" w:hAnsiTheme="minorEastAsia" w:eastAsiaTheme="minorEastAsia" w:cstheme="minorEastAsia"/>
          <w:b/>
          <w:bCs/>
          <w:color w:val="000000" w:themeColor="text1"/>
          <w:sz w:val="24"/>
          <w14:textFill>
            <w14:solidFill>
              <w14:schemeClr w14:val="tx1"/>
            </w14:solidFill>
          </w14:textFill>
        </w:rPr>
      </w:pPr>
      <w:r>
        <w:rPr>
          <w:rFonts w:hint="eastAsia" w:asciiTheme="minorEastAsia" w:hAnsiTheme="minorEastAsia" w:eastAsiaTheme="minorEastAsia" w:cstheme="minorEastAsia"/>
          <w:b/>
          <w:bCs/>
          <w:color w:val="000000" w:themeColor="text1"/>
          <w:sz w:val="24"/>
          <w14:textFill>
            <w14:solidFill>
              <w14:schemeClr w14:val="tx1"/>
            </w14:solidFill>
          </w14:textFill>
        </w:rPr>
        <w:t>2、有关定义</w:t>
      </w:r>
    </w:p>
    <w:p>
      <w:pPr>
        <w:adjustRightInd w:val="0"/>
        <w:snapToGrid w:val="0"/>
        <w:spacing w:line="360" w:lineRule="auto"/>
        <w:ind w:firstLine="480" w:firstLineChars="200"/>
        <w:rPr>
          <w:rFonts w:asciiTheme="minorEastAsia" w:hAnsiTheme="minorEastAsia" w:eastAsiaTheme="minorEastAsia" w:cstheme="minorEastAsia"/>
          <w:bCs/>
          <w:color w:val="000000" w:themeColor="text1"/>
          <w:sz w:val="24"/>
          <w14:textFill>
            <w14:solidFill>
              <w14:schemeClr w14:val="tx1"/>
            </w14:solidFill>
          </w14:textFill>
        </w:rPr>
      </w:pPr>
      <w:r>
        <w:rPr>
          <w:rFonts w:hint="eastAsia" w:asciiTheme="minorEastAsia" w:hAnsiTheme="minorEastAsia" w:eastAsiaTheme="minorEastAsia" w:cstheme="minorEastAsia"/>
          <w:bCs/>
          <w:color w:val="000000" w:themeColor="text1"/>
          <w:sz w:val="24"/>
          <w14:textFill>
            <w14:solidFill>
              <w14:schemeClr w14:val="tx1"/>
            </w14:solidFill>
          </w14:textFill>
        </w:rPr>
        <w:t>2.1采购人：西安市高陵区教育局</w:t>
      </w:r>
    </w:p>
    <w:p>
      <w:pPr>
        <w:adjustRightInd w:val="0"/>
        <w:snapToGrid w:val="0"/>
        <w:spacing w:line="360" w:lineRule="auto"/>
        <w:ind w:firstLine="480" w:firstLineChars="200"/>
        <w:rPr>
          <w:rFonts w:asciiTheme="minorEastAsia" w:hAnsiTheme="minorEastAsia" w:eastAsiaTheme="minorEastAsia" w:cstheme="minorEastAsia"/>
          <w:bCs/>
          <w:color w:val="000000" w:themeColor="text1"/>
          <w:sz w:val="24"/>
          <w14:textFill>
            <w14:solidFill>
              <w14:schemeClr w14:val="tx1"/>
            </w14:solidFill>
          </w14:textFill>
        </w:rPr>
      </w:pPr>
      <w:r>
        <w:rPr>
          <w:rFonts w:hint="eastAsia" w:asciiTheme="minorEastAsia" w:hAnsiTheme="minorEastAsia" w:eastAsiaTheme="minorEastAsia" w:cstheme="minorEastAsia"/>
          <w:bCs/>
          <w:color w:val="000000" w:themeColor="text1"/>
          <w:sz w:val="24"/>
          <w14:textFill>
            <w14:solidFill>
              <w14:schemeClr w14:val="tx1"/>
            </w14:solidFill>
          </w14:textFill>
        </w:rPr>
        <w:t>2.2监督机构：西安市高陵区财政局</w:t>
      </w:r>
    </w:p>
    <w:p>
      <w:pPr>
        <w:adjustRightInd w:val="0"/>
        <w:snapToGrid w:val="0"/>
        <w:spacing w:line="360" w:lineRule="auto"/>
        <w:ind w:firstLine="480" w:firstLineChars="200"/>
        <w:rPr>
          <w:rFonts w:asciiTheme="minorEastAsia" w:hAnsiTheme="minorEastAsia" w:eastAsiaTheme="minorEastAsia" w:cstheme="minorEastAsia"/>
          <w:bCs/>
          <w:sz w:val="24"/>
          <w:highlight w:val="none"/>
        </w:rPr>
      </w:pPr>
      <w:r>
        <w:rPr>
          <w:rFonts w:hint="eastAsia" w:asciiTheme="minorEastAsia" w:hAnsiTheme="minorEastAsia" w:eastAsiaTheme="minorEastAsia" w:cstheme="minorEastAsia"/>
          <w:bCs/>
          <w:sz w:val="24"/>
          <w:highlight w:val="none"/>
        </w:rPr>
        <w:t>2.3采购代理机构：同正项目管理有限公司</w:t>
      </w:r>
    </w:p>
    <w:p>
      <w:pPr>
        <w:adjustRightInd w:val="0"/>
        <w:snapToGrid w:val="0"/>
        <w:spacing w:line="360" w:lineRule="auto"/>
        <w:ind w:firstLine="480" w:firstLineChars="200"/>
        <w:rPr>
          <w:rFonts w:asciiTheme="minorEastAsia" w:hAnsiTheme="minorEastAsia" w:eastAsiaTheme="minorEastAsia" w:cstheme="minorEastAsia"/>
          <w:bCs/>
          <w:sz w:val="24"/>
          <w:lang w:val="zh-CN"/>
        </w:rPr>
      </w:pPr>
      <w:r>
        <w:rPr>
          <w:rFonts w:hint="eastAsia" w:asciiTheme="minorEastAsia" w:hAnsiTheme="minorEastAsia" w:eastAsiaTheme="minorEastAsia" w:cstheme="minorEastAsia"/>
          <w:bCs/>
          <w:sz w:val="24"/>
        </w:rPr>
        <w:t>2.4</w:t>
      </w:r>
      <w:r>
        <w:rPr>
          <w:rFonts w:hint="eastAsia" w:asciiTheme="minorEastAsia" w:hAnsiTheme="minorEastAsia" w:eastAsiaTheme="minorEastAsia" w:cstheme="minorEastAsia"/>
          <w:bCs/>
          <w:sz w:val="24"/>
          <w:lang w:val="zh-CN"/>
        </w:rPr>
        <w:t>磋商响应单位（也称投标人）：响应磋商并且符合磋商文件规定的资格条件、参加磋商竞争的合法企业。</w:t>
      </w:r>
    </w:p>
    <w:p>
      <w:pPr>
        <w:adjustRightInd w:val="0"/>
        <w:snapToGrid w:val="0"/>
        <w:spacing w:line="360" w:lineRule="auto"/>
        <w:ind w:firstLine="482" w:firstLineChars="200"/>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3、服务</w:t>
      </w:r>
    </w:p>
    <w:p>
      <w:pPr>
        <w:adjustRightInd w:val="0"/>
        <w:snapToGrid w:val="0"/>
        <w:spacing w:line="360" w:lineRule="auto"/>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3.1“服务”系指合同规定磋商响应单位须承担的拟进行工程施工全过程服务。</w:t>
      </w:r>
    </w:p>
    <w:p>
      <w:pPr>
        <w:adjustRightInd w:val="0"/>
        <w:snapToGrid w:val="0"/>
        <w:spacing w:line="360" w:lineRule="auto"/>
        <w:ind w:firstLine="482" w:firstLineChars="200"/>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4、合格的磋商响应单位</w:t>
      </w:r>
    </w:p>
    <w:p>
      <w:pPr>
        <w:adjustRightInd w:val="0"/>
        <w:snapToGrid w:val="0"/>
        <w:spacing w:line="360" w:lineRule="auto"/>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4.1合格磋商响应单位应具备磋商公告中要求磋商响应单位需具备的资格条件和能力。</w:t>
      </w:r>
    </w:p>
    <w:p>
      <w:pPr>
        <w:adjustRightInd w:val="0"/>
        <w:snapToGrid w:val="0"/>
        <w:spacing w:line="360" w:lineRule="auto"/>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4.2合格磋商响应单位是响应磋商公告、已在采购人或采购代理机构处领购磋商文件并参加磋商的法人。任何未在采购人或采购代理机构处领购磋商文件的法人或其他组织均不得参加磋商。</w:t>
      </w:r>
    </w:p>
    <w:p>
      <w:pPr>
        <w:adjustRightInd w:val="0"/>
        <w:snapToGrid w:val="0"/>
        <w:spacing w:line="360" w:lineRule="auto"/>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4.3限制磋商的磋商响应单位</w:t>
      </w:r>
    </w:p>
    <w:p>
      <w:pPr>
        <w:adjustRightInd w:val="0"/>
        <w:snapToGrid w:val="0"/>
        <w:spacing w:line="360" w:lineRule="auto"/>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4.3.1 单位负责人为同一人或者存在直接控股、管理关系的不同磋商响应单位，不得参加同一合同项下的政府采购活动，如出现同时参加同一项目的投标均按无效投标处理。</w:t>
      </w:r>
    </w:p>
    <w:p>
      <w:pPr>
        <w:adjustRightInd w:val="0"/>
        <w:snapToGrid w:val="0"/>
        <w:spacing w:line="360" w:lineRule="auto"/>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4.3.2 本项目不接受联合体磋商。</w:t>
      </w:r>
    </w:p>
    <w:p>
      <w:pPr>
        <w:adjustRightInd w:val="0"/>
        <w:snapToGrid w:val="0"/>
        <w:spacing w:line="360" w:lineRule="auto"/>
        <w:ind w:firstLine="482" w:firstLineChars="200"/>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5. 磋商费用</w:t>
      </w:r>
    </w:p>
    <w:p>
      <w:pPr>
        <w:adjustRightInd w:val="0"/>
        <w:snapToGrid w:val="0"/>
        <w:spacing w:line="360" w:lineRule="auto"/>
        <w:ind w:firstLine="480" w:firstLineChars="200"/>
        <w:rPr>
          <w:rFonts w:asciiTheme="minorEastAsia" w:hAnsiTheme="minorEastAsia" w:eastAsiaTheme="minorEastAsia" w:cstheme="minorEastAsia"/>
          <w:bCs/>
          <w:sz w:val="24"/>
          <w:highlight w:val="none"/>
        </w:rPr>
      </w:pPr>
      <w:r>
        <w:rPr>
          <w:rFonts w:hint="eastAsia" w:asciiTheme="minorEastAsia" w:hAnsiTheme="minorEastAsia" w:eastAsiaTheme="minorEastAsia" w:cstheme="minorEastAsia"/>
          <w:bCs/>
          <w:sz w:val="24"/>
          <w:highlight w:val="none"/>
        </w:rPr>
        <w:t>供应商准备和参加</w:t>
      </w:r>
      <w:r>
        <w:rPr>
          <w:rFonts w:hint="eastAsia" w:asciiTheme="minorEastAsia" w:hAnsiTheme="minorEastAsia" w:eastAsiaTheme="minorEastAsia" w:cstheme="minorEastAsia"/>
          <w:bCs/>
          <w:sz w:val="24"/>
          <w:highlight w:val="none"/>
          <w:lang w:val="en-US" w:eastAsia="zh-CN"/>
        </w:rPr>
        <w:t>磋商</w:t>
      </w:r>
      <w:r>
        <w:rPr>
          <w:rFonts w:hint="eastAsia" w:asciiTheme="minorEastAsia" w:hAnsiTheme="minorEastAsia" w:eastAsiaTheme="minorEastAsia" w:cstheme="minorEastAsia"/>
          <w:bCs/>
          <w:sz w:val="24"/>
          <w:highlight w:val="none"/>
        </w:rPr>
        <w:t>釆购活动所发生的各种费用由供应商自行承担。</w:t>
      </w:r>
    </w:p>
    <w:p>
      <w:pPr>
        <w:adjustRightInd w:val="0"/>
        <w:snapToGrid w:val="0"/>
        <w:spacing w:line="360" w:lineRule="auto"/>
        <w:ind w:firstLine="482" w:firstLineChars="200"/>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6. 语言文字和计量单位</w:t>
      </w:r>
    </w:p>
    <w:p>
      <w:pPr>
        <w:adjustRightInd w:val="0"/>
        <w:snapToGrid w:val="0"/>
        <w:spacing w:line="360" w:lineRule="auto"/>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6.1磋商文件以及磋商响应单位与采购代理机构和采购人就有关磋商的所有来往函电均应使用简体中文书写。专用术语使用外文的，应附有中文注释。</w:t>
      </w:r>
    </w:p>
    <w:p>
      <w:pPr>
        <w:adjustRightInd w:val="0"/>
        <w:snapToGrid w:val="0"/>
        <w:spacing w:line="360" w:lineRule="auto"/>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6.2除磋商文件另有规定外，均使用中华人民共和国法定计量单位。</w:t>
      </w:r>
    </w:p>
    <w:p>
      <w:pPr>
        <w:adjustRightInd w:val="0"/>
        <w:snapToGrid w:val="0"/>
        <w:spacing w:line="360" w:lineRule="auto"/>
        <w:ind w:firstLine="482" w:firstLineChars="200"/>
        <w:rPr>
          <w:rFonts w:asciiTheme="minorEastAsia" w:hAnsiTheme="minorEastAsia" w:eastAsiaTheme="minorEastAsia" w:cstheme="minorEastAsia"/>
          <w:b/>
          <w:bCs/>
          <w:kern w:val="0"/>
          <w:sz w:val="24"/>
        </w:rPr>
      </w:pPr>
      <w:r>
        <w:rPr>
          <w:rFonts w:hint="eastAsia" w:asciiTheme="minorEastAsia" w:hAnsiTheme="minorEastAsia" w:eastAsiaTheme="minorEastAsia" w:cstheme="minorEastAsia"/>
          <w:b/>
          <w:bCs/>
          <w:sz w:val="24"/>
        </w:rPr>
        <w:t>7. 现场踏勘</w:t>
      </w:r>
    </w:p>
    <w:p>
      <w:pPr>
        <w:adjustRightInd w:val="0"/>
        <w:snapToGrid w:val="0"/>
        <w:spacing w:line="360" w:lineRule="auto"/>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 xml:space="preserve">7.1 </w:t>
      </w:r>
      <w:r>
        <w:rPr>
          <w:rFonts w:hint="eastAsia" w:asciiTheme="minorEastAsia" w:hAnsiTheme="minorEastAsia" w:eastAsiaTheme="minorEastAsia" w:cstheme="minorEastAsia"/>
          <w:bCs/>
          <w:color w:val="000000" w:themeColor="text1"/>
          <w:sz w:val="24"/>
          <w14:textFill>
            <w14:solidFill>
              <w14:schemeClr w14:val="tx1"/>
            </w14:solidFill>
          </w14:textFill>
        </w:rPr>
        <w:t>磋商响应单位自行组织踏勘项目现场</w:t>
      </w:r>
      <w:r>
        <w:rPr>
          <w:rFonts w:hint="eastAsia" w:asciiTheme="minorEastAsia" w:hAnsiTheme="minorEastAsia" w:eastAsiaTheme="minorEastAsia" w:cstheme="minorEastAsia"/>
          <w:bCs/>
          <w:sz w:val="24"/>
        </w:rPr>
        <w:t xml:space="preserve">。 </w:t>
      </w:r>
    </w:p>
    <w:p>
      <w:pPr>
        <w:adjustRightInd w:val="0"/>
        <w:snapToGrid w:val="0"/>
        <w:spacing w:line="360" w:lineRule="auto"/>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7.2 磋商响应单位踏勘现场发生的费用自理。磋商响应单位自行负责在踏勘现场中所发生的人员伤亡和财产损失。磋商响应单位也不得因进入现场的踏勘而使采购人承担有关的责任和蒙受损失。</w:t>
      </w:r>
    </w:p>
    <w:p>
      <w:pPr>
        <w:adjustRightInd w:val="0"/>
        <w:snapToGrid w:val="0"/>
        <w:spacing w:line="360" w:lineRule="auto"/>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7.3 在踏勘现场中采购人介绍的项目场地和相关的周边环境情况以及有关现场的数据和资料，是采购人现有的能被磋商响应单位作参考使用的资料，供磋商响应单位在编制磋商响应文件时参考，采购人不对磋商响应单位据此作出的判断、推论、理解和决策负责。</w:t>
      </w:r>
    </w:p>
    <w:p>
      <w:pPr>
        <w:adjustRightInd w:val="0"/>
        <w:snapToGrid w:val="0"/>
        <w:spacing w:line="360" w:lineRule="auto"/>
        <w:ind w:firstLine="480" w:firstLineChars="200"/>
        <w:rPr>
          <w:rFonts w:asciiTheme="minorEastAsia" w:hAnsiTheme="minorEastAsia" w:eastAsiaTheme="minorEastAsia" w:cstheme="minorEastAsia"/>
          <w:bCs/>
          <w:kern w:val="0"/>
          <w:sz w:val="24"/>
        </w:rPr>
      </w:pPr>
      <w:r>
        <w:rPr>
          <w:rFonts w:hint="eastAsia" w:asciiTheme="minorEastAsia" w:hAnsiTheme="minorEastAsia" w:eastAsiaTheme="minorEastAsia" w:cstheme="minorEastAsia"/>
          <w:bCs/>
          <w:sz w:val="24"/>
        </w:rPr>
        <w:t>7.4 磋商响应单位应当根据踏勘的现场实际情况及其影响因素在磋商报价中综合考虑。一旦响应成交，不得再以现场条件复杂、不清楚、报价时未考虑等各种理由要求对报价进行调整。</w:t>
      </w:r>
    </w:p>
    <w:p>
      <w:pPr>
        <w:adjustRightInd w:val="0"/>
        <w:snapToGrid w:val="0"/>
        <w:spacing w:line="360" w:lineRule="auto"/>
        <w:ind w:firstLine="482" w:firstLineChars="200"/>
        <w:rPr>
          <w:rFonts w:asciiTheme="minorEastAsia" w:hAnsiTheme="minorEastAsia" w:eastAsiaTheme="minorEastAsia" w:cstheme="minorEastAsia"/>
          <w:bCs/>
          <w:kern w:val="0"/>
          <w:sz w:val="24"/>
        </w:rPr>
      </w:pPr>
      <w:r>
        <w:rPr>
          <w:rFonts w:hint="eastAsia" w:asciiTheme="minorEastAsia" w:hAnsiTheme="minorEastAsia" w:eastAsiaTheme="minorEastAsia" w:cstheme="minorEastAsia"/>
          <w:b/>
          <w:bCs/>
          <w:sz w:val="24"/>
        </w:rPr>
        <w:t>8. 磋商答疑会</w:t>
      </w:r>
      <w:r>
        <w:rPr>
          <w:rFonts w:hint="eastAsia" w:asciiTheme="minorEastAsia" w:hAnsiTheme="minorEastAsia" w:eastAsiaTheme="minorEastAsia" w:cstheme="minorEastAsia"/>
          <w:bCs/>
          <w:sz w:val="24"/>
        </w:rPr>
        <w:t>：</w:t>
      </w:r>
      <w:r>
        <w:rPr>
          <w:rFonts w:hint="eastAsia" w:asciiTheme="minorEastAsia" w:hAnsiTheme="minorEastAsia" w:eastAsiaTheme="minorEastAsia" w:cstheme="minorEastAsia"/>
          <w:bCs/>
          <w:kern w:val="0"/>
          <w:sz w:val="24"/>
        </w:rPr>
        <w:t>见“磋商须知前附表”。</w:t>
      </w:r>
    </w:p>
    <w:p>
      <w:pPr>
        <w:pStyle w:val="4"/>
        <w:adjustRightInd w:val="0"/>
        <w:snapToGrid w:val="0"/>
        <w:spacing w:before="120" w:after="120" w:line="360" w:lineRule="auto"/>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二、磋商文件</w:t>
      </w:r>
    </w:p>
    <w:p>
      <w:pPr>
        <w:adjustRightInd w:val="0"/>
        <w:snapToGrid w:val="0"/>
        <w:spacing w:line="360" w:lineRule="auto"/>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1、磋商文件的构成</w:t>
      </w:r>
    </w:p>
    <w:p>
      <w:pPr>
        <w:adjustRightInd w:val="0"/>
        <w:snapToGrid w:val="0"/>
        <w:spacing w:line="360" w:lineRule="auto"/>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1.1本磋商文件包括下列内容：</w:t>
      </w:r>
    </w:p>
    <w:p>
      <w:pPr>
        <w:adjustRightInd w:val="0"/>
        <w:snapToGrid w:val="0"/>
        <w:spacing w:line="360" w:lineRule="auto"/>
        <w:ind w:firstLine="960" w:firstLineChars="4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第一章　磋商公告</w:t>
      </w:r>
    </w:p>
    <w:p>
      <w:pPr>
        <w:adjustRightInd w:val="0"/>
        <w:snapToGrid w:val="0"/>
        <w:spacing w:line="360" w:lineRule="auto"/>
        <w:ind w:firstLine="960" w:firstLineChars="4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第二章  磋商须知</w:t>
      </w:r>
    </w:p>
    <w:p>
      <w:pPr>
        <w:adjustRightInd w:val="0"/>
        <w:snapToGrid w:val="0"/>
        <w:spacing w:line="360" w:lineRule="auto"/>
        <w:ind w:firstLine="960" w:firstLineChars="4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第三章  磋商响应单位资格证明文件</w:t>
      </w:r>
    </w:p>
    <w:p>
      <w:pPr>
        <w:adjustRightInd w:val="0"/>
        <w:snapToGrid w:val="0"/>
        <w:spacing w:line="360" w:lineRule="auto"/>
        <w:ind w:firstLine="960" w:firstLineChars="4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第四章  磋商及评标标准</w:t>
      </w:r>
    </w:p>
    <w:p>
      <w:pPr>
        <w:adjustRightInd w:val="0"/>
        <w:snapToGrid w:val="0"/>
        <w:spacing w:line="360" w:lineRule="auto"/>
        <w:ind w:firstLine="960" w:firstLineChars="4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第五章  采购内容及要求</w:t>
      </w:r>
    </w:p>
    <w:p>
      <w:pPr>
        <w:adjustRightInd w:val="0"/>
        <w:snapToGrid w:val="0"/>
        <w:spacing w:line="360" w:lineRule="auto"/>
        <w:ind w:firstLine="960" w:firstLineChars="4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第六章  合同草案条款</w:t>
      </w:r>
    </w:p>
    <w:p>
      <w:pPr>
        <w:adjustRightInd w:val="0"/>
        <w:snapToGrid w:val="0"/>
        <w:spacing w:line="360" w:lineRule="auto"/>
        <w:ind w:firstLine="960" w:firstLineChars="4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第七章  磋商文件格式</w:t>
      </w:r>
    </w:p>
    <w:p>
      <w:pPr>
        <w:adjustRightInd w:val="0"/>
        <w:snapToGrid w:val="0"/>
        <w:spacing w:line="360" w:lineRule="auto"/>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1.2采购代理机构以书面形式发给磋商响应单位的关于对磋商文件的澄清、修改、补充通知等均是本磋商文件的组成部分，对采购人和磋商响应单位起约束作用。</w:t>
      </w:r>
    </w:p>
    <w:p>
      <w:pPr>
        <w:adjustRightInd w:val="0"/>
        <w:snapToGrid w:val="0"/>
        <w:spacing w:line="360" w:lineRule="auto"/>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2、澄清与答疑</w:t>
      </w:r>
    </w:p>
    <w:p>
      <w:pPr>
        <w:adjustRightInd w:val="0"/>
        <w:snapToGrid w:val="0"/>
        <w:spacing w:line="360" w:lineRule="auto"/>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2.1任何要求对磋商文件进行澄清（答疑）的磋商响应单位，应在磋商截止日期3天前以书面形式（加盖磋商响应单位公章并注明单位名称、联系人及电话）送达采购代理机构。采购代理机构将在陕西省政府采购网发布澄清公告，各磋商响应单位应密切关注网站发布的有关澄清公告。</w:t>
      </w:r>
    </w:p>
    <w:p>
      <w:pPr>
        <w:adjustRightInd w:val="0"/>
        <w:snapToGrid w:val="0"/>
        <w:spacing w:line="360" w:lineRule="auto"/>
        <w:ind w:firstLine="420" w:firstLineChars="200"/>
        <w:rPr>
          <w:rFonts w:asciiTheme="minorEastAsia" w:hAnsiTheme="minorEastAsia" w:eastAsiaTheme="minorEastAsia" w:cstheme="minorEastAsia"/>
          <w:bCs/>
          <w:sz w:val="24"/>
        </w:rPr>
      </w:pPr>
      <w:r>
        <w:rPr>
          <w:rFonts w:hint="eastAsia"/>
        </w:rPr>
        <w:t xml:space="preserve"> </w:t>
      </w:r>
      <w:r>
        <w:rPr>
          <w:rFonts w:hint="eastAsia" w:asciiTheme="minorEastAsia" w:hAnsiTheme="minorEastAsia" w:eastAsiaTheme="minorEastAsia" w:cstheme="minorEastAsia"/>
          <w:bCs/>
          <w:sz w:val="24"/>
        </w:rPr>
        <w:t>2.2磋商响应单位在规定的时间内未对磋商文件要求澄清或提出疑问的，采购代理机构将视其为同意。</w:t>
      </w:r>
    </w:p>
    <w:p>
      <w:pPr>
        <w:adjustRightInd w:val="0"/>
        <w:snapToGrid w:val="0"/>
        <w:spacing w:line="360" w:lineRule="auto"/>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 xml:space="preserve"> 3、磋商文件的修改</w:t>
      </w:r>
    </w:p>
    <w:p>
      <w:pPr>
        <w:widowControl/>
        <w:adjustRightInd w:val="0"/>
        <w:snapToGrid w:val="0"/>
        <w:spacing w:line="360" w:lineRule="auto"/>
        <w:rPr>
          <w:rFonts w:asciiTheme="minorEastAsia" w:hAnsiTheme="minorEastAsia" w:eastAsiaTheme="minorEastAsia" w:cstheme="minorEastAsia"/>
          <w:bCs/>
          <w:snapToGrid w:val="0"/>
          <w:kern w:val="0"/>
          <w:sz w:val="24"/>
        </w:rPr>
      </w:pPr>
      <w:r>
        <w:rPr>
          <w:rFonts w:hint="eastAsia" w:asciiTheme="minorEastAsia" w:hAnsiTheme="minorEastAsia" w:eastAsiaTheme="minorEastAsia" w:cstheme="minorEastAsia"/>
          <w:bCs/>
          <w:snapToGrid w:val="0"/>
          <w:kern w:val="0"/>
          <w:sz w:val="24"/>
        </w:rPr>
        <w:t xml:space="preserve">    3.1提交首次响应文件截止之日前，采购人、采购代理机构可以对已发出的磋商文件进行必要的澄清或者修改，澄清或者修改的内容作为磋商文件的组成部分。澄清或者修改的内容可能影响响应文件编制的，采购人、采购代理机构应当在提交首次响应文件截止时间至少5日前，以书面形式通知所有获取磋商文件的磋商响应单位；不足5日的，采购人、采购代理机构应当顺延提交首次响应文件截止时间。</w:t>
      </w:r>
    </w:p>
    <w:p>
      <w:pPr>
        <w:widowControl/>
        <w:adjustRightInd w:val="0"/>
        <w:snapToGrid w:val="0"/>
        <w:spacing w:line="360" w:lineRule="auto"/>
        <w:rPr>
          <w:rFonts w:asciiTheme="minorEastAsia" w:hAnsiTheme="minorEastAsia" w:eastAsiaTheme="minorEastAsia" w:cstheme="minorEastAsia"/>
          <w:bCs/>
          <w:snapToGrid w:val="0"/>
          <w:kern w:val="0"/>
          <w:sz w:val="24"/>
        </w:rPr>
      </w:pPr>
      <w:r>
        <w:rPr>
          <w:rFonts w:hint="eastAsia"/>
        </w:rPr>
        <w:t xml:space="preserve">    </w:t>
      </w:r>
      <w:r>
        <w:rPr>
          <w:rFonts w:hint="eastAsia" w:asciiTheme="minorEastAsia" w:hAnsiTheme="minorEastAsia" w:eastAsiaTheme="minorEastAsia" w:cstheme="minorEastAsia"/>
          <w:bCs/>
          <w:snapToGrid w:val="0"/>
          <w:kern w:val="0"/>
          <w:sz w:val="24"/>
        </w:rPr>
        <w:t>3.2补充（变更）公告将在陕西省政府采购网上公布。磋商响应单位有义务在采购活动期间预览陕西政府采购网，采购代理机构在网上公布的与本次磋商项目有关的信息视为已送达各磋商响应单位。修改后的内容是磋商文件的组成部分。</w:t>
      </w:r>
    </w:p>
    <w:p>
      <w:pPr>
        <w:widowControl/>
        <w:adjustRightInd w:val="0"/>
        <w:snapToGrid w:val="0"/>
        <w:spacing w:line="360" w:lineRule="auto"/>
        <w:rPr>
          <w:rFonts w:asciiTheme="minorEastAsia" w:hAnsiTheme="minorEastAsia" w:eastAsiaTheme="minorEastAsia" w:cstheme="minorEastAsia"/>
          <w:bCs/>
          <w:snapToGrid w:val="0"/>
          <w:kern w:val="0"/>
          <w:sz w:val="24"/>
          <w:lang w:val="zh-CN"/>
        </w:rPr>
      </w:pPr>
      <w:r>
        <w:rPr>
          <w:rFonts w:hint="eastAsia" w:asciiTheme="minorEastAsia" w:hAnsiTheme="minorEastAsia" w:eastAsiaTheme="minorEastAsia" w:cstheme="minorEastAsia"/>
          <w:bCs/>
          <w:snapToGrid w:val="0"/>
          <w:kern w:val="0"/>
          <w:sz w:val="24"/>
        </w:rPr>
        <w:t>　　3.3</w:t>
      </w:r>
      <w:r>
        <w:rPr>
          <w:rFonts w:hint="eastAsia" w:asciiTheme="minorEastAsia" w:hAnsiTheme="minorEastAsia" w:eastAsiaTheme="minorEastAsia" w:cstheme="minorEastAsia"/>
          <w:bCs/>
          <w:snapToGrid w:val="0"/>
          <w:kern w:val="0"/>
          <w:sz w:val="24"/>
          <w:lang w:val="zh-CN"/>
        </w:rPr>
        <w:t>磋商文件的解释权归采购人和采购代理机构。</w:t>
      </w:r>
    </w:p>
    <w:p>
      <w:pPr>
        <w:pStyle w:val="4"/>
        <w:adjustRightInd w:val="0"/>
        <w:snapToGrid w:val="0"/>
        <w:spacing w:before="120" w:after="120" w:line="360" w:lineRule="auto"/>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三、响应文件</w:t>
      </w:r>
    </w:p>
    <w:p>
      <w:pPr>
        <w:adjustRightInd w:val="0"/>
        <w:snapToGrid w:val="0"/>
        <w:spacing w:line="360" w:lineRule="auto"/>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1、响应文件编制</w:t>
      </w:r>
    </w:p>
    <w:p>
      <w:pPr>
        <w:adjustRightInd w:val="0"/>
        <w:snapToGrid w:val="0"/>
        <w:spacing w:line="360" w:lineRule="auto"/>
        <w:ind w:firstLine="480" w:firstLineChars="200"/>
        <w:rPr>
          <w:rFonts w:asciiTheme="minorEastAsia" w:hAnsiTheme="minorEastAsia" w:eastAsiaTheme="minorEastAsia" w:cstheme="minorEastAsia"/>
          <w:bCs/>
          <w:sz w:val="24"/>
          <w:lang w:val="zh-CN"/>
        </w:rPr>
      </w:pPr>
      <w:r>
        <w:rPr>
          <w:rFonts w:hint="eastAsia" w:asciiTheme="minorEastAsia" w:hAnsiTheme="minorEastAsia" w:eastAsiaTheme="minorEastAsia" w:cstheme="minorEastAsia"/>
          <w:bCs/>
          <w:sz w:val="24"/>
        </w:rPr>
        <w:t xml:space="preserve">1.1 </w:t>
      </w:r>
      <w:r>
        <w:rPr>
          <w:rFonts w:hint="eastAsia" w:asciiTheme="minorEastAsia" w:hAnsiTheme="minorEastAsia" w:eastAsiaTheme="minorEastAsia" w:cstheme="minorEastAsia"/>
          <w:bCs/>
          <w:sz w:val="24"/>
          <w:lang w:val="zh-CN"/>
        </w:rPr>
        <w:t>各磋商响应单位应仔细阅读磋商文件中的所有事项、格式、条款和要求，对磋商文件的实质性要求和条件作出响应、提交相应资料。</w:t>
      </w:r>
    </w:p>
    <w:p>
      <w:pPr>
        <w:adjustRightInd w:val="0"/>
        <w:snapToGrid w:val="0"/>
        <w:spacing w:line="360" w:lineRule="auto"/>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1.2 以下内容如有缺失或无效按无效文件处理</w:t>
      </w:r>
    </w:p>
    <w:p>
      <w:pPr>
        <w:adjustRightInd w:val="0"/>
        <w:snapToGrid w:val="0"/>
        <w:spacing w:line="360" w:lineRule="auto"/>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1.2.1 磋商响应单位资格证明文件：</w:t>
      </w:r>
    </w:p>
    <w:p>
      <w:pPr>
        <w:numPr>
          <w:ilvl w:val="0"/>
          <w:numId w:val="0"/>
        </w:numPr>
        <w:overflowPunct w:val="0"/>
        <w:topLinePunct/>
        <w:spacing w:line="360" w:lineRule="auto"/>
        <w:rPr>
          <w:rFonts w:hint="eastAsia" w:ascii="宋体" w:hAnsi="宋体" w:cs="宋体"/>
          <w:sz w:val="24"/>
        </w:rPr>
      </w:pPr>
      <w:r>
        <w:rPr>
          <w:rFonts w:hint="eastAsia" w:ascii="宋体" w:hAnsi="宋体" w:cs="宋体"/>
          <w:sz w:val="24"/>
          <w:lang w:eastAsia="zh-CN"/>
        </w:rPr>
        <w:t>（</w:t>
      </w:r>
      <w:r>
        <w:rPr>
          <w:rFonts w:hint="eastAsia" w:ascii="宋体" w:hAnsi="宋体" w:cs="宋体"/>
          <w:sz w:val="24"/>
          <w:lang w:val="en-US" w:eastAsia="zh-CN"/>
        </w:rPr>
        <w:t>1</w:t>
      </w:r>
      <w:r>
        <w:rPr>
          <w:rFonts w:hint="eastAsia" w:ascii="宋体" w:hAnsi="宋体" w:cs="宋体"/>
          <w:sz w:val="24"/>
          <w:lang w:eastAsia="zh-CN"/>
        </w:rPr>
        <w:t>）</w:t>
      </w:r>
      <w:r>
        <w:rPr>
          <w:rFonts w:hint="eastAsia" w:ascii="宋体" w:hAnsi="宋体" w:cs="宋体"/>
          <w:sz w:val="24"/>
        </w:rPr>
        <w:t>具有合格有效的企业法人营业执照、税务登记证、组织机构代码证（或三证合一营业执照）；</w:t>
      </w:r>
    </w:p>
    <w:p>
      <w:pPr>
        <w:numPr>
          <w:ilvl w:val="0"/>
          <w:numId w:val="0"/>
        </w:numPr>
        <w:overflowPunct w:val="0"/>
        <w:topLinePunct/>
        <w:spacing w:line="360" w:lineRule="auto"/>
        <w:ind w:leftChars="0"/>
        <w:rPr>
          <w:rFonts w:hint="eastAsia" w:ascii="宋体" w:hAnsi="宋体" w:cs="宋体"/>
          <w:sz w:val="24"/>
        </w:rPr>
      </w:pPr>
      <w:r>
        <w:rPr>
          <w:rFonts w:hint="eastAsia" w:ascii="宋体" w:hAnsi="宋体" w:cs="宋体"/>
          <w:sz w:val="24"/>
          <w:lang w:eastAsia="zh-CN"/>
        </w:rPr>
        <w:t>（</w:t>
      </w:r>
      <w:r>
        <w:rPr>
          <w:rFonts w:hint="eastAsia" w:ascii="宋体" w:hAnsi="宋体" w:cs="宋体"/>
          <w:sz w:val="24"/>
          <w:lang w:val="en-US" w:eastAsia="zh-CN"/>
        </w:rPr>
        <w:t>2</w:t>
      </w:r>
      <w:r>
        <w:rPr>
          <w:rFonts w:hint="eastAsia" w:ascii="宋体" w:hAnsi="宋体" w:cs="宋体"/>
          <w:sz w:val="24"/>
          <w:lang w:eastAsia="zh-CN"/>
        </w:rPr>
        <w:t>）</w:t>
      </w:r>
      <w:r>
        <w:rPr>
          <w:rFonts w:hint="eastAsia" w:ascii="宋体" w:hAnsi="宋体" w:cs="宋体"/>
          <w:sz w:val="24"/>
        </w:rPr>
        <w:t>磋商响应单位应授权合法的人员参加磋商全过程，其中法定代表人直接参加磋商的，须出具法人身份证，并与营业执照上信息一致。法定代表人授权代表参加磋商的，须出具法定代表人授权书及授权代表身份证；</w:t>
      </w:r>
    </w:p>
    <w:p>
      <w:pPr>
        <w:numPr>
          <w:ilvl w:val="0"/>
          <w:numId w:val="0"/>
        </w:numPr>
        <w:overflowPunct w:val="0"/>
        <w:topLinePunct/>
        <w:spacing w:line="360" w:lineRule="auto"/>
        <w:ind w:leftChars="0"/>
        <w:rPr>
          <w:rFonts w:hint="eastAsia" w:ascii="宋体" w:hAnsi="宋体" w:cs="宋体"/>
          <w:sz w:val="24"/>
        </w:rPr>
      </w:pPr>
      <w:r>
        <w:rPr>
          <w:rFonts w:hint="eastAsia" w:ascii="宋体" w:hAnsi="宋体" w:cs="宋体"/>
          <w:sz w:val="24"/>
          <w:highlight w:val="none"/>
          <w:lang w:eastAsia="zh-CN"/>
        </w:rPr>
        <w:t>（</w:t>
      </w:r>
      <w:r>
        <w:rPr>
          <w:rFonts w:hint="eastAsia" w:ascii="宋体" w:hAnsi="宋体" w:cs="宋体"/>
          <w:sz w:val="24"/>
          <w:highlight w:val="none"/>
          <w:lang w:val="en-US" w:eastAsia="zh-CN"/>
        </w:rPr>
        <w:t>3</w:t>
      </w:r>
      <w:r>
        <w:rPr>
          <w:rFonts w:hint="eastAsia" w:ascii="宋体" w:hAnsi="宋体" w:cs="宋体"/>
          <w:sz w:val="24"/>
          <w:highlight w:val="none"/>
          <w:lang w:eastAsia="zh-CN"/>
        </w:rPr>
        <w:t>）具备建设部门颁发的电力工程施工总承包三级（含）及以上资质或输变电工程专业承包三级（含）及以上资质，具有有效的安全生产许可证，且具备承装、承修、承试五级及以上承装（修、试）电力设施许可证</w:t>
      </w:r>
      <w:r>
        <w:rPr>
          <w:rFonts w:hint="eastAsia" w:ascii="宋体" w:hAnsi="宋体" w:cs="宋体"/>
          <w:sz w:val="24"/>
        </w:rPr>
        <w:t>；</w:t>
      </w:r>
    </w:p>
    <w:p>
      <w:pPr>
        <w:numPr>
          <w:ilvl w:val="0"/>
          <w:numId w:val="0"/>
        </w:numPr>
        <w:overflowPunct w:val="0"/>
        <w:topLinePunct/>
        <w:spacing w:line="360" w:lineRule="auto"/>
        <w:ind w:leftChars="0"/>
        <w:rPr>
          <w:rFonts w:hint="eastAsia" w:ascii="宋体" w:hAnsi="宋体" w:cs="宋体"/>
          <w:sz w:val="24"/>
        </w:rPr>
      </w:pPr>
      <w:r>
        <w:rPr>
          <w:rFonts w:hint="eastAsia" w:ascii="宋体" w:hAnsi="宋体" w:cs="宋体"/>
          <w:sz w:val="24"/>
          <w:highlight w:val="none"/>
          <w:lang w:eastAsia="zh-CN"/>
        </w:rPr>
        <w:t>（</w:t>
      </w:r>
      <w:r>
        <w:rPr>
          <w:rFonts w:hint="eastAsia" w:ascii="宋体" w:hAnsi="宋体" w:cs="宋体"/>
          <w:sz w:val="24"/>
          <w:highlight w:val="none"/>
          <w:lang w:val="en-US" w:eastAsia="zh-CN"/>
        </w:rPr>
        <w:t>4</w:t>
      </w:r>
      <w:r>
        <w:rPr>
          <w:rFonts w:hint="eastAsia" w:ascii="宋体" w:hAnsi="宋体" w:cs="宋体"/>
          <w:sz w:val="24"/>
          <w:highlight w:val="none"/>
          <w:lang w:eastAsia="zh-CN"/>
        </w:rPr>
        <w:t>）拟委派项目经理须具有机电工程专业二级及以上注册建造师资质并具有安全生产考核合格证，在本单位注册且无在建工程</w:t>
      </w:r>
      <w:r>
        <w:rPr>
          <w:rFonts w:hint="eastAsia" w:ascii="宋体" w:hAnsi="宋体" w:cs="宋体"/>
          <w:sz w:val="24"/>
        </w:rPr>
        <w:t>；</w:t>
      </w:r>
    </w:p>
    <w:p>
      <w:pPr>
        <w:numPr>
          <w:ilvl w:val="0"/>
          <w:numId w:val="0"/>
        </w:numPr>
        <w:overflowPunct w:val="0"/>
        <w:topLinePunct/>
        <w:spacing w:line="360" w:lineRule="auto"/>
        <w:ind w:leftChars="0"/>
        <w:rPr>
          <w:rFonts w:hint="eastAsia" w:ascii="宋体" w:hAnsi="宋体" w:cs="宋体"/>
          <w:sz w:val="24"/>
        </w:rPr>
      </w:pPr>
      <w:r>
        <w:rPr>
          <w:rFonts w:hint="eastAsia" w:ascii="宋体" w:hAnsi="宋体" w:cs="宋体"/>
          <w:sz w:val="24"/>
          <w:highlight w:val="none"/>
          <w:lang w:eastAsia="zh-CN"/>
        </w:rPr>
        <w:t>（</w:t>
      </w:r>
      <w:r>
        <w:rPr>
          <w:rFonts w:hint="eastAsia" w:ascii="宋体" w:hAnsi="宋体" w:cs="宋体"/>
          <w:sz w:val="24"/>
          <w:highlight w:val="none"/>
          <w:lang w:val="en-US" w:eastAsia="zh-CN"/>
        </w:rPr>
        <w:t>5</w:t>
      </w:r>
      <w:r>
        <w:rPr>
          <w:rFonts w:hint="eastAsia" w:ascii="宋体" w:hAnsi="宋体" w:cs="宋体"/>
          <w:sz w:val="24"/>
          <w:highlight w:val="none"/>
          <w:lang w:eastAsia="zh-CN"/>
        </w:rPr>
        <w:t>）</w:t>
      </w:r>
      <w:r>
        <w:rPr>
          <w:rFonts w:hint="eastAsia" w:ascii="宋体" w:hAnsi="宋体" w:cs="宋体"/>
          <w:sz w:val="24"/>
          <w:highlight w:val="none"/>
        </w:rPr>
        <w:t>供应商不得为“信用中国”网站（www.creditchina.gov.cn）</w:t>
      </w:r>
      <w:r>
        <w:rPr>
          <w:rFonts w:hint="eastAsia" w:ascii="宋体" w:hAnsi="宋体" w:cs="宋体"/>
          <w:kern w:val="0"/>
          <w:sz w:val="24"/>
          <w:highlight w:val="none"/>
          <w:lang w:eastAsia="zh-CN"/>
        </w:rPr>
        <w:t>（</w:t>
      </w:r>
      <w:r>
        <w:rPr>
          <w:rFonts w:hint="eastAsia" w:ascii="宋体" w:hAnsi="宋体" w:cs="宋体"/>
          <w:kern w:val="0"/>
          <w:sz w:val="24"/>
          <w:highlight w:val="none"/>
          <w:lang w:val="en-US" w:eastAsia="zh-CN"/>
        </w:rPr>
        <w:t>中国执行信息公开网</w:t>
      </w:r>
      <w:r>
        <w:rPr>
          <w:rFonts w:hint="eastAsia" w:ascii="宋体" w:hAnsi="宋体" w:cs="宋体"/>
          <w:kern w:val="0"/>
          <w:sz w:val="24"/>
          <w:highlight w:val="none"/>
          <w:lang w:eastAsia="zh-CN"/>
        </w:rPr>
        <w:t>）</w:t>
      </w:r>
      <w:r>
        <w:rPr>
          <w:rFonts w:hint="eastAsia" w:ascii="宋体" w:hAnsi="宋体" w:cs="宋体"/>
          <w:sz w:val="24"/>
          <w:highlight w:val="none"/>
        </w:rPr>
        <w:t>中列入失信被执行人和</w:t>
      </w:r>
      <w:r>
        <w:rPr>
          <w:rFonts w:hint="eastAsia" w:ascii="宋体" w:hAnsi="宋体" w:cs="宋体"/>
          <w:sz w:val="24"/>
          <w:highlight w:val="none"/>
          <w:lang w:eastAsia="zh-CN"/>
        </w:rPr>
        <w:t>税收违法黑名单</w:t>
      </w:r>
      <w:r>
        <w:rPr>
          <w:rFonts w:hint="eastAsia" w:ascii="宋体" w:hAnsi="宋体" w:cs="宋体"/>
          <w:sz w:val="24"/>
          <w:highlight w:val="none"/>
        </w:rPr>
        <w:t>的供应商，不得为中国政府采购网（www.ccgp.gov.cn）政府采购严重违法失信行为记录名单中被财政部门禁止参加政府采购活动的供应商</w:t>
      </w:r>
      <w:r>
        <w:rPr>
          <w:rFonts w:hint="eastAsia" w:ascii="宋体" w:hAnsi="宋体" w:cs="宋体"/>
          <w:sz w:val="24"/>
        </w:rPr>
        <w:t>；</w:t>
      </w:r>
    </w:p>
    <w:p>
      <w:pPr>
        <w:numPr>
          <w:ilvl w:val="0"/>
          <w:numId w:val="0"/>
        </w:numPr>
        <w:overflowPunct w:val="0"/>
        <w:topLinePunct/>
        <w:spacing w:line="360" w:lineRule="auto"/>
        <w:ind w:leftChars="0"/>
        <w:rPr>
          <w:rFonts w:hint="eastAsia" w:ascii="宋体" w:hAnsi="宋体" w:cs="宋体"/>
          <w:sz w:val="24"/>
        </w:rPr>
      </w:pPr>
      <w:r>
        <w:rPr>
          <w:rFonts w:hint="eastAsia" w:ascii="宋体" w:hAnsi="宋体" w:cs="宋体"/>
          <w:sz w:val="24"/>
          <w:lang w:eastAsia="zh-CN"/>
        </w:rPr>
        <w:t>（</w:t>
      </w:r>
      <w:r>
        <w:rPr>
          <w:rFonts w:hint="eastAsia" w:ascii="宋体" w:hAnsi="宋体" w:cs="宋体"/>
          <w:sz w:val="24"/>
          <w:lang w:val="en-US" w:eastAsia="zh-CN"/>
        </w:rPr>
        <w:t>6</w:t>
      </w:r>
      <w:r>
        <w:rPr>
          <w:rFonts w:hint="eastAsia" w:ascii="宋体" w:hAnsi="宋体" w:cs="宋体"/>
          <w:sz w:val="24"/>
          <w:lang w:eastAsia="zh-CN"/>
        </w:rPr>
        <w:t>）</w:t>
      </w:r>
      <w:r>
        <w:rPr>
          <w:rFonts w:hint="eastAsia" w:ascii="宋体" w:hAnsi="宋体" w:cs="宋体"/>
          <w:sz w:val="24"/>
        </w:rPr>
        <w:t>税收缴纳证明：提供2021年</w:t>
      </w:r>
      <w:r>
        <w:rPr>
          <w:rFonts w:hint="eastAsia" w:ascii="宋体" w:hAnsi="宋体" w:cs="宋体"/>
          <w:sz w:val="24"/>
          <w:lang w:val="en-US" w:eastAsia="zh-CN"/>
        </w:rPr>
        <w:t>6</w:t>
      </w:r>
      <w:r>
        <w:rPr>
          <w:rFonts w:hint="eastAsia" w:ascii="宋体" w:hAnsi="宋体" w:cs="宋体"/>
          <w:sz w:val="24"/>
        </w:rPr>
        <w:t>月至今已缴纳的至少一个月的纳税证明或完税证明（任意税种），依法免税的单位应提供相关证明材料；</w:t>
      </w:r>
    </w:p>
    <w:p>
      <w:pPr>
        <w:numPr>
          <w:ilvl w:val="0"/>
          <w:numId w:val="0"/>
        </w:numPr>
        <w:overflowPunct w:val="0"/>
        <w:topLinePunct/>
        <w:spacing w:line="360" w:lineRule="auto"/>
        <w:ind w:leftChars="0"/>
        <w:rPr>
          <w:rFonts w:hint="eastAsia" w:ascii="宋体" w:hAnsi="宋体" w:cs="宋体"/>
          <w:sz w:val="24"/>
        </w:rPr>
      </w:pPr>
      <w:r>
        <w:rPr>
          <w:rFonts w:hint="eastAsia" w:ascii="宋体" w:hAnsi="宋体" w:cs="宋体"/>
          <w:sz w:val="24"/>
          <w:lang w:eastAsia="zh-CN"/>
        </w:rPr>
        <w:t>（</w:t>
      </w:r>
      <w:r>
        <w:rPr>
          <w:rFonts w:hint="eastAsia" w:ascii="宋体" w:hAnsi="宋体" w:cs="宋体"/>
          <w:sz w:val="24"/>
          <w:lang w:val="en-US" w:eastAsia="zh-CN"/>
        </w:rPr>
        <w:t>7</w:t>
      </w:r>
      <w:r>
        <w:rPr>
          <w:rFonts w:hint="eastAsia" w:ascii="宋体" w:hAnsi="宋体" w:cs="宋体"/>
          <w:sz w:val="24"/>
          <w:lang w:eastAsia="zh-CN"/>
        </w:rPr>
        <w:t>）</w:t>
      </w:r>
      <w:r>
        <w:rPr>
          <w:rFonts w:hint="eastAsia" w:ascii="宋体" w:hAnsi="宋体" w:cs="宋体"/>
          <w:sz w:val="24"/>
        </w:rPr>
        <w:t>社会保障资金缴纳证明：提供2021年</w:t>
      </w:r>
      <w:r>
        <w:rPr>
          <w:rFonts w:hint="eastAsia" w:ascii="宋体" w:hAnsi="宋体" w:cs="宋体"/>
          <w:sz w:val="24"/>
          <w:lang w:val="en-US" w:eastAsia="zh-CN"/>
        </w:rPr>
        <w:t>6</w:t>
      </w:r>
      <w:r>
        <w:rPr>
          <w:rFonts w:hint="eastAsia" w:ascii="宋体" w:hAnsi="宋体" w:cs="宋体"/>
          <w:sz w:val="24"/>
        </w:rPr>
        <w:t>月至今已缴存的至少一个月的社会保障资金缴存单据或社保机构开具的社会保险参保缴费情况证明，依法不需要缴纳社会保障资金的单位应提供相关证明材料；</w:t>
      </w:r>
    </w:p>
    <w:p>
      <w:pPr>
        <w:numPr>
          <w:ilvl w:val="0"/>
          <w:numId w:val="0"/>
        </w:numPr>
        <w:overflowPunct w:val="0"/>
        <w:topLinePunct/>
        <w:spacing w:line="360" w:lineRule="auto"/>
        <w:ind w:leftChars="0"/>
        <w:rPr>
          <w:rFonts w:hint="eastAsia" w:ascii="宋体" w:hAnsi="宋体" w:cs="宋体"/>
          <w:sz w:val="24"/>
        </w:rPr>
      </w:pPr>
      <w:r>
        <w:rPr>
          <w:rFonts w:hint="eastAsia" w:ascii="宋体" w:hAnsi="宋体" w:cs="宋体"/>
          <w:sz w:val="24"/>
          <w:lang w:eastAsia="zh-CN"/>
        </w:rPr>
        <w:t>（</w:t>
      </w:r>
      <w:r>
        <w:rPr>
          <w:rFonts w:hint="eastAsia" w:ascii="宋体" w:hAnsi="宋体" w:cs="宋体"/>
          <w:sz w:val="24"/>
          <w:lang w:val="en-US" w:eastAsia="zh-CN"/>
        </w:rPr>
        <w:t>8</w:t>
      </w:r>
      <w:r>
        <w:rPr>
          <w:rFonts w:hint="eastAsia" w:ascii="宋体" w:hAnsi="宋体" w:cs="宋体"/>
          <w:sz w:val="24"/>
          <w:lang w:eastAsia="zh-CN"/>
        </w:rPr>
        <w:t>）</w:t>
      </w:r>
      <w:r>
        <w:rPr>
          <w:rFonts w:hint="eastAsia" w:ascii="宋体" w:hAnsi="宋体" w:cs="宋体"/>
          <w:sz w:val="24"/>
        </w:rPr>
        <w:t>财务状况报告：</w:t>
      </w:r>
      <w:r>
        <w:rPr>
          <w:rFonts w:hint="eastAsia" w:ascii="宋体" w:hAnsi="宋体" w:cs="宋体"/>
          <w:sz w:val="24"/>
          <w:lang w:eastAsia="zh-CN"/>
        </w:rPr>
        <w:t>提供供应商2020年度经审计的财务报告或磋商前三个月内开户银行开具的资信证明</w:t>
      </w:r>
      <w:r>
        <w:rPr>
          <w:rFonts w:hint="eastAsia" w:ascii="宋体" w:hAnsi="宋体" w:cs="宋体"/>
          <w:sz w:val="24"/>
        </w:rPr>
        <w:t>；</w:t>
      </w:r>
    </w:p>
    <w:p>
      <w:pPr>
        <w:numPr>
          <w:ilvl w:val="0"/>
          <w:numId w:val="0"/>
        </w:numPr>
        <w:overflowPunct w:val="0"/>
        <w:topLinePunct/>
        <w:spacing w:line="360" w:lineRule="auto"/>
        <w:ind w:leftChars="0"/>
        <w:rPr>
          <w:rFonts w:hint="eastAsia" w:ascii="宋体" w:hAnsi="宋体" w:cs="宋体"/>
          <w:sz w:val="24"/>
        </w:rPr>
      </w:pPr>
      <w:r>
        <w:rPr>
          <w:rFonts w:hint="eastAsia" w:ascii="宋体" w:hAnsi="宋体" w:cs="宋体"/>
          <w:sz w:val="24"/>
          <w:lang w:eastAsia="zh-CN"/>
        </w:rPr>
        <w:t>（</w:t>
      </w:r>
      <w:r>
        <w:rPr>
          <w:rFonts w:hint="eastAsia" w:ascii="宋体" w:hAnsi="宋体" w:cs="宋体"/>
          <w:sz w:val="24"/>
          <w:lang w:val="en-US" w:eastAsia="zh-CN"/>
        </w:rPr>
        <w:t>9</w:t>
      </w:r>
      <w:r>
        <w:rPr>
          <w:rFonts w:hint="eastAsia" w:ascii="宋体" w:hAnsi="宋体" w:cs="宋体"/>
          <w:sz w:val="24"/>
          <w:lang w:eastAsia="zh-CN"/>
        </w:rPr>
        <w:t>）</w:t>
      </w:r>
      <w:r>
        <w:rPr>
          <w:rFonts w:hint="eastAsia" w:ascii="宋体" w:hAnsi="宋体" w:cs="宋体"/>
          <w:sz w:val="24"/>
        </w:rPr>
        <w:t>参加政府采购活动前三年内，在经营活动中没有重大违法记录的书面声明；</w:t>
      </w:r>
    </w:p>
    <w:p>
      <w:pPr>
        <w:numPr>
          <w:ilvl w:val="0"/>
          <w:numId w:val="0"/>
        </w:numPr>
        <w:overflowPunct w:val="0"/>
        <w:topLinePunct/>
        <w:spacing w:line="360" w:lineRule="auto"/>
        <w:ind w:leftChars="0"/>
        <w:rPr>
          <w:rFonts w:hint="eastAsia" w:ascii="宋体" w:hAnsi="宋体" w:cs="宋体"/>
          <w:sz w:val="24"/>
        </w:rPr>
      </w:pPr>
      <w:r>
        <w:rPr>
          <w:rFonts w:hint="eastAsia" w:ascii="宋体" w:hAnsi="宋体" w:cs="宋体"/>
          <w:sz w:val="24"/>
          <w:lang w:eastAsia="zh-CN"/>
        </w:rPr>
        <w:t>（</w:t>
      </w:r>
      <w:r>
        <w:rPr>
          <w:rFonts w:hint="eastAsia" w:ascii="宋体" w:hAnsi="宋体" w:cs="宋体"/>
          <w:sz w:val="24"/>
          <w:lang w:val="en-US" w:eastAsia="zh-CN"/>
        </w:rPr>
        <w:t>10</w:t>
      </w:r>
      <w:r>
        <w:rPr>
          <w:rFonts w:hint="eastAsia" w:ascii="宋体" w:hAnsi="宋体" w:cs="宋体"/>
          <w:sz w:val="24"/>
          <w:lang w:eastAsia="zh-CN"/>
        </w:rPr>
        <w:t>）</w:t>
      </w:r>
      <w:r>
        <w:rPr>
          <w:rFonts w:hint="eastAsia" w:ascii="宋体" w:hAnsi="宋体" w:cs="宋体"/>
          <w:sz w:val="24"/>
        </w:rPr>
        <w:t>磋商响应单位负责人不得为同一人或者存在控股、管理关系。</w:t>
      </w:r>
    </w:p>
    <w:p>
      <w:pPr>
        <w:numPr>
          <w:ilvl w:val="0"/>
          <w:numId w:val="0"/>
        </w:numPr>
        <w:overflowPunct w:val="0"/>
        <w:topLinePunct/>
        <w:spacing w:line="360" w:lineRule="auto"/>
        <w:ind w:leftChars="0"/>
        <w:rPr>
          <w:rFonts w:hint="eastAsia" w:ascii="宋体" w:hAnsi="宋体" w:eastAsia="宋体" w:cs="宋体"/>
          <w:bCs/>
          <w:sz w:val="24"/>
          <w:highlight w:val="none"/>
          <w:lang w:val="en-US" w:eastAsia="zh-CN"/>
        </w:rPr>
      </w:pPr>
      <w:r>
        <w:rPr>
          <w:rFonts w:hint="eastAsia" w:ascii="宋体" w:hAnsi="宋体" w:cs="宋体"/>
          <w:kern w:val="0"/>
          <w:sz w:val="24"/>
          <w:szCs w:val="24"/>
          <w:highlight w:val="none"/>
          <w:lang w:val="en-US" w:eastAsia="zh-CN"/>
        </w:rPr>
        <w:t>（11）</w:t>
      </w:r>
      <w:r>
        <w:rPr>
          <w:rFonts w:hint="eastAsia" w:ascii="宋体" w:hAnsi="宋体" w:eastAsia="宋体" w:cs="宋体"/>
          <w:kern w:val="0"/>
          <w:sz w:val="24"/>
          <w:szCs w:val="24"/>
          <w:highlight w:val="none"/>
          <w:lang w:val="en-US" w:eastAsia="zh-CN"/>
        </w:rPr>
        <w:t>具</w:t>
      </w:r>
      <w:r>
        <w:rPr>
          <w:rFonts w:hint="eastAsia" w:ascii="宋体" w:hAnsi="宋体" w:eastAsia="宋体" w:cs="宋体"/>
          <w:kern w:val="0"/>
          <w:sz w:val="24"/>
          <w:szCs w:val="24"/>
          <w:highlight w:val="none"/>
        </w:rPr>
        <w:t>有履行本合同所必需的设备和专业技术能力</w:t>
      </w:r>
      <w:r>
        <w:rPr>
          <w:rFonts w:hint="eastAsia" w:ascii="宋体" w:hAnsi="宋体" w:cs="宋体"/>
          <w:kern w:val="0"/>
          <w:sz w:val="24"/>
          <w:szCs w:val="24"/>
          <w:highlight w:val="none"/>
          <w:lang w:eastAsia="zh-CN"/>
        </w:rPr>
        <w:t>。</w:t>
      </w:r>
    </w:p>
    <w:p>
      <w:pPr>
        <w:adjustRightInd w:val="0"/>
        <w:snapToGrid w:val="0"/>
        <w:spacing w:line="360" w:lineRule="auto"/>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1.2.2 商务文件</w:t>
      </w:r>
    </w:p>
    <w:p>
      <w:pPr>
        <w:adjustRightInd w:val="0"/>
        <w:snapToGrid w:val="0"/>
        <w:spacing w:line="360" w:lineRule="auto"/>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（1）磋商响应函</w:t>
      </w:r>
    </w:p>
    <w:p>
      <w:pPr>
        <w:adjustRightInd w:val="0"/>
        <w:snapToGrid w:val="0"/>
        <w:spacing w:line="360" w:lineRule="auto"/>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（2）首次报价一览表</w:t>
      </w:r>
    </w:p>
    <w:p>
      <w:pPr>
        <w:adjustRightInd w:val="0"/>
        <w:snapToGrid w:val="0"/>
        <w:spacing w:line="360" w:lineRule="auto"/>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（3）工程量清单报价表</w:t>
      </w:r>
    </w:p>
    <w:p>
      <w:pPr>
        <w:adjustRightInd w:val="0"/>
        <w:snapToGrid w:val="0"/>
        <w:spacing w:line="360" w:lineRule="auto"/>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（4）磋商响应单位一般情况表</w:t>
      </w:r>
    </w:p>
    <w:p>
      <w:pPr>
        <w:adjustRightInd w:val="0"/>
        <w:snapToGrid w:val="0"/>
        <w:spacing w:line="360" w:lineRule="auto"/>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（5）商务条款偏离表</w:t>
      </w:r>
    </w:p>
    <w:p>
      <w:pPr>
        <w:adjustRightInd w:val="0"/>
        <w:snapToGrid w:val="0"/>
        <w:spacing w:line="360" w:lineRule="auto"/>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（6）业绩</w:t>
      </w:r>
    </w:p>
    <w:p>
      <w:pPr>
        <w:adjustRightInd w:val="0"/>
        <w:snapToGrid w:val="0"/>
        <w:spacing w:line="360" w:lineRule="auto"/>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（7）保修期服务承诺</w:t>
      </w:r>
    </w:p>
    <w:p>
      <w:pPr>
        <w:adjustRightInd w:val="0"/>
        <w:snapToGrid w:val="0"/>
        <w:spacing w:line="360" w:lineRule="auto"/>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1.2.3 技术文件</w:t>
      </w:r>
    </w:p>
    <w:p>
      <w:pPr>
        <w:adjustRightInd w:val="0"/>
        <w:snapToGrid w:val="0"/>
        <w:spacing w:line="360" w:lineRule="auto"/>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（1）磋商响应单位根据磋商文件采购内容和评分因素，结合自身实际情况编制响应磋商文件的施工组织设计。</w:t>
      </w:r>
    </w:p>
    <w:p>
      <w:pPr>
        <w:adjustRightInd w:val="0"/>
        <w:snapToGrid w:val="0"/>
        <w:spacing w:line="360" w:lineRule="auto"/>
        <w:ind w:firstLine="480" w:firstLineChars="200"/>
        <w:rPr>
          <w:rFonts w:asciiTheme="minorEastAsia" w:hAnsiTheme="minorEastAsia" w:eastAsiaTheme="minorEastAsia" w:cstheme="minorEastAsia"/>
          <w:bCs/>
          <w:color w:val="000000" w:themeColor="text1"/>
          <w:sz w:val="24"/>
          <w14:textFill>
            <w14:solidFill>
              <w14:schemeClr w14:val="tx1"/>
            </w14:solidFill>
          </w14:textFill>
        </w:rPr>
      </w:pPr>
      <w:r>
        <w:rPr>
          <w:rFonts w:hint="eastAsia" w:asciiTheme="minorEastAsia" w:hAnsiTheme="minorEastAsia" w:eastAsiaTheme="minorEastAsia" w:cstheme="minorEastAsia"/>
          <w:bCs/>
          <w:color w:val="000000" w:themeColor="text1"/>
          <w:sz w:val="24"/>
          <w14:textFill>
            <w14:solidFill>
              <w14:schemeClr w14:val="tx1"/>
            </w14:solidFill>
          </w14:textFill>
        </w:rPr>
        <w:t>（2）服务承诺。</w:t>
      </w:r>
    </w:p>
    <w:p>
      <w:pPr>
        <w:adjustRightInd w:val="0"/>
        <w:snapToGrid w:val="0"/>
        <w:spacing w:line="360" w:lineRule="auto"/>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 xml:space="preserve">1.3 </w:t>
      </w:r>
      <w:r>
        <w:rPr>
          <w:rFonts w:hint="eastAsia" w:asciiTheme="minorEastAsia" w:hAnsiTheme="minorEastAsia" w:eastAsiaTheme="minorEastAsia" w:cstheme="minorEastAsia"/>
          <w:bCs/>
          <w:sz w:val="24"/>
          <w:lang w:val="zh-CN"/>
        </w:rPr>
        <w:t>磋商响应单位应以采购代理机构提供的响应文件格式编制响应文件，</w:t>
      </w:r>
      <w:r>
        <w:rPr>
          <w:rFonts w:hint="eastAsia" w:asciiTheme="minorEastAsia" w:hAnsiTheme="minorEastAsia" w:eastAsiaTheme="minorEastAsia" w:cstheme="minorEastAsia"/>
          <w:bCs/>
          <w:sz w:val="24"/>
        </w:rPr>
        <w:t>响应文件格式中的表格不能满足填写时可按照格式表格扩展。</w:t>
      </w:r>
    </w:p>
    <w:p>
      <w:pPr>
        <w:adjustRightInd w:val="0"/>
        <w:snapToGrid w:val="0"/>
        <w:spacing w:line="360" w:lineRule="auto"/>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1.4磋商响应单位必须保证响应文件所提供的全部信息和资料是真实和有效的，提供虚假信息和资料的，除按无效文件处理外，还将按照政府采购的有关规定进行处罚。</w:t>
      </w:r>
    </w:p>
    <w:p>
      <w:pPr>
        <w:adjustRightInd w:val="0"/>
        <w:snapToGrid w:val="0"/>
        <w:spacing w:line="360" w:lineRule="auto"/>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1.5 磋商响应单位提交的资料将被保密，且不予退还（原件除外）。</w:t>
      </w:r>
    </w:p>
    <w:p>
      <w:pPr>
        <w:adjustRightInd w:val="0"/>
        <w:snapToGrid w:val="0"/>
        <w:spacing w:line="360" w:lineRule="auto"/>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2、响应文件的印制及签署</w:t>
      </w:r>
    </w:p>
    <w:p>
      <w:pPr>
        <w:adjustRightInd w:val="0"/>
        <w:snapToGrid w:val="0"/>
        <w:spacing w:line="360" w:lineRule="auto"/>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2.1 磋商响应文件的正本和所有的副本均需用A4幅面纸张打印（宜双面打印）或用不褪色的蓝（黑）墨水填写，注明“正本”“副本”字样。</w:t>
      </w:r>
    </w:p>
    <w:p>
      <w:pPr>
        <w:adjustRightInd w:val="0"/>
        <w:snapToGrid w:val="0"/>
        <w:spacing w:line="360" w:lineRule="auto"/>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2.2 本次磋商需提交纸质响应文件共三份，其中正本1份，副本2份，电子版文件（U盘）1份。</w:t>
      </w:r>
    </w:p>
    <w:p>
      <w:pPr>
        <w:adjustRightInd w:val="0"/>
        <w:snapToGrid w:val="0"/>
        <w:spacing w:line="360" w:lineRule="auto"/>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2.3 磋商响应单位应在响应文件中指定落款处，按文件要求盖章或签字；</w:t>
      </w:r>
    </w:p>
    <w:p>
      <w:pPr>
        <w:adjustRightInd w:val="0"/>
        <w:snapToGrid w:val="0"/>
        <w:spacing w:line="360" w:lineRule="auto"/>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2.4 磋商响应单位名称应填写全称，否则按无效投标处理（含不填）；</w:t>
      </w:r>
    </w:p>
    <w:p>
      <w:pPr>
        <w:adjustRightInd w:val="0"/>
        <w:snapToGrid w:val="0"/>
        <w:spacing w:line="360" w:lineRule="auto"/>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2.5 响应文件的任何行间插字、涂改和增删，必须由法定代表人或被授权人在改动处签字或盖章方为有效；</w:t>
      </w:r>
    </w:p>
    <w:p>
      <w:pPr>
        <w:adjustRightInd w:val="0"/>
        <w:snapToGrid w:val="0"/>
        <w:spacing w:line="360" w:lineRule="auto"/>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2.6 响应文件因字迹潦草或表达不清所引起的对磋商响应单位不利后果由磋商响应单位自行负责；</w:t>
      </w:r>
    </w:p>
    <w:p>
      <w:pPr>
        <w:adjustRightInd w:val="0"/>
        <w:snapToGrid w:val="0"/>
        <w:spacing w:line="360" w:lineRule="auto"/>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2.6 以电报、电话、传真、电子邮件等形式的响应磋商一概不予接受。</w:t>
      </w:r>
    </w:p>
    <w:p>
      <w:pPr>
        <w:adjustRightInd w:val="0"/>
        <w:snapToGrid w:val="0"/>
        <w:spacing w:line="360" w:lineRule="auto"/>
        <w:ind w:firstLine="480" w:firstLineChars="200"/>
        <w:rPr>
          <w:rFonts w:asciiTheme="minorEastAsia" w:hAnsiTheme="minorEastAsia" w:eastAsiaTheme="minorEastAsia" w:cstheme="minorEastAsia"/>
          <w:bCs/>
          <w:sz w:val="24"/>
          <w:highlight w:val="none"/>
        </w:rPr>
      </w:pPr>
      <w:r>
        <w:rPr>
          <w:rFonts w:hint="eastAsia" w:asciiTheme="minorEastAsia" w:hAnsiTheme="minorEastAsia" w:eastAsiaTheme="minorEastAsia" w:cstheme="minorEastAsia"/>
          <w:bCs/>
          <w:sz w:val="24"/>
          <w:highlight w:val="none"/>
        </w:rPr>
        <w:t>3、响应文件的装订、密封和标记</w:t>
      </w:r>
    </w:p>
    <w:p>
      <w:pPr>
        <w:adjustRightInd w:val="0"/>
        <w:snapToGrid w:val="0"/>
        <w:spacing w:line="360" w:lineRule="auto"/>
        <w:ind w:firstLine="480" w:firstLineChars="200"/>
        <w:rPr>
          <w:rFonts w:asciiTheme="minorEastAsia" w:hAnsiTheme="minorEastAsia" w:eastAsiaTheme="minorEastAsia" w:cstheme="minorEastAsia"/>
          <w:bCs/>
          <w:sz w:val="24"/>
          <w:highlight w:val="none"/>
        </w:rPr>
      </w:pPr>
      <w:r>
        <w:rPr>
          <w:rFonts w:hint="eastAsia" w:asciiTheme="minorEastAsia" w:hAnsiTheme="minorEastAsia" w:eastAsiaTheme="minorEastAsia" w:cstheme="minorEastAsia"/>
          <w:bCs/>
          <w:sz w:val="24"/>
          <w:highlight w:val="none"/>
        </w:rPr>
        <w:t>3.1 响应文件正、副本分别装订成册，胶装（不允许用可换页的活页夹装订），装订应牢固，内容较多时可分册装订但应注明册序号。</w:t>
      </w:r>
    </w:p>
    <w:p>
      <w:pPr>
        <w:adjustRightInd w:val="0"/>
        <w:snapToGrid w:val="0"/>
        <w:spacing w:line="360" w:lineRule="auto"/>
        <w:ind w:firstLine="480" w:firstLineChars="200"/>
        <w:rPr>
          <w:rFonts w:asciiTheme="minorEastAsia" w:hAnsiTheme="minorEastAsia" w:eastAsiaTheme="minorEastAsia" w:cstheme="minorEastAsia"/>
          <w:bCs/>
          <w:sz w:val="24"/>
          <w:highlight w:val="none"/>
        </w:rPr>
      </w:pPr>
      <w:r>
        <w:rPr>
          <w:rFonts w:hint="eastAsia" w:asciiTheme="minorEastAsia" w:hAnsiTheme="minorEastAsia" w:eastAsiaTheme="minorEastAsia" w:cstheme="minorEastAsia"/>
          <w:bCs/>
          <w:sz w:val="24"/>
          <w:highlight w:val="none"/>
        </w:rPr>
        <w:t>3.2 响应文件的正本，副本，电子版文件（U盘）分别封装在封袋（包）内，共计三个封袋。全部封袋须密封（封袋不得破损），在封袋（包）正面粘贴标识，封袋（包）封口处用封条密封，封线处加盖单位公章。</w:t>
      </w:r>
    </w:p>
    <w:p>
      <w:pPr>
        <w:adjustRightInd w:val="0"/>
        <w:snapToGrid w:val="0"/>
        <w:spacing w:line="360" w:lineRule="auto"/>
        <w:ind w:firstLine="480" w:firstLineChars="200"/>
        <w:rPr>
          <w:rFonts w:asciiTheme="minorEastAsia" w:hAnsiTheme="minorEastAsia" w:eastAsiaTheme="minorEastAsia" w:cstheme="minorEastAsia"/>
          <w:bCs/>
          <w:sz w:val="24"/>
          <w:highlight w:val="none"/>
        </w:rPr>
      </w:pPr>
      <w:r>
        <w:rPr>
          <w:rFonts w:hint="eastAsia" w:asciiTheme="minorEastAsia" w:hAnsiTheme="minorEastAsia" w:eastAsiaTheme="minorEastAsia" w:cstheme="minorEastAsia"/>
          <w:bCs/>
          <w:sz w:val="24"/>
          <w:highlight w:val="none"/>
        </w:rPr>
        <w:t>3.3 电子版文件载体上应标明磋商响应单位名称。</w:t>
      </w:r>
    </w:p>
    <w:p>
      <w:pPr>
        <w:adjustRightInd w:val="0"/>
        <w:snapToGrid w:val="0"/>
        <w:spacing w:line="360" w:lineRule="auto"/>
        <w:rPr>
          <w:rFonts w:hint="eastAsia" w:asciiTheme="minorEastAsia" w:hAnsiTheme="minorEastAsia" w:eastAsiaTheme="minorEastAsia" w:cstheme="minorEastAsia"/>
          <w:b/>
          <w:sz w:val="24"/>
        </w:rPr>
      </w:pPr>
      <w:r>
        <w:rPr>
          <w:rFonts w:hint="eastAsia" w:asciiTheme="minorEastAsia" w:hAnsiTheme="minorEastAsia" w:eastAsiaTheme="minorEastAsia" w:cstheme="minorEastAsia"/>
          <w:bCs/>
          <w:sz w:val="24"/>
        </w:rPr>
        <w:t xml:space="preserve">  ★ </w:t>
      </w:r>
      <w:r>
        <w:rPr>
          <w:rFonts w:hint="eastAsia" w:asciiTheme="minorEastAsia" w:hAnsiTheme="minorEastAsia" w:eastAsiaTheme="minorEastAsia" w:cstheme="minorEastAsia"/>
          <w:b/>
          <w:sz w:val="24"/>
        </w:rPr>
        <w:t>3.4如果响应文件未按上述要求装订、密封、签署、标识的，采购代理机构将拒绝接收或按无效文件处理。</w:t>
      </w:r>
    </w:p>
    <w:p>
      <w:pPr>
        <w:adjustRightInd w:val="0"/>
        <w:snapToGrid w:val="0"/>
        <w:spacing w:line="360" w:lineRule="auto"/>
        <w:rPr>
          <w:rFonts w:asciiTheme="minorEastAsia" w:hAnsiTheme="minorEastAsia" w:eastAsiaTheme="minorEastAsia" w:cstheme="minorEastAsia"/>
          <w:bCs/>
          <w:sz w:val="24"/>
        </w:rPr>
      </w:pPr>
      <w:r>
        <w:rPr>
          <w:rFonts w:hint="eastAsia" w:asciiTheme="minorEastAsia" w:hAnsiTheme="minorEastAsia" w:eastAsiaTheme="minorEastAsia" w:cstheme="minorEastAsia"/>
          <w:b/>
          <w:sz w:val="24"/>
        </w:rPr>
        <w:t xml:space="preserve">    </w:t>
      </w:r>
      <w:r>
        <w:rPr>
          <w:rFonts w:hint="eastAsia" w:asciiTheme="minorEastAsia" w:hAnsiTheme="minorEastAsia" w:eastAsiaTheme="minorEastAsia" w:cstheme="minorEastAsia"/>
          <w:bCs/>
          <w:color w:val="000000" w:themeColor="text1"/>
          <w:sz w:val="24"/>
          <w14:textFill>
            <w14:solidFill>
              <w14:schemeClr w14:val="tx1"/>
            </w14:solidFill>
          </w14:textFill>
        </w:rPr>
        <w:t>3.</w:t>
      </w:r>
      <w:r>
        <w:rPr>
          <w:rFonts w:hint="eastAsia" w:asciiTheme="minorEastAsia" w:hAnsiTheme="minorEastAsia" w:eastAsiaTheme="minorEastAsia" w:cstheme="minorEastAsia"/>
          <w:bCs/>
          <w:color w:val="000000" w:themeColor="text1"/>
          <w:sz w:val="24"/>
          <w:lang w:val="en-US" w:eastAsia="zh-CN"/>
          <w14:textFill>
            <w14:solidFill>
              <w14:schemeClr w14:val="tx1"/>
            </w14:solidFill>
          </w14:textFill>
        </w:rPr>
        <w:t>5</w:t>
      </w:r>
      <w:r>
        <w:rPr>
          <w:rFonts w:hint="eastAsia" w:asciiTheme="minorEastAsia" w:hAnsiTheme="minorEastAsia" w:eastAsiaTheme="minorEastAsia" w:cstheme="minorEastAsia"/>
          <w:bCs/>
          <w:color w:val="000000" w:themeColor="text1"/>
          <w:sz w:val="24"/>
          <w14:textFill>
            <w14:solidFill>
              <w14:schemeClr w14:val="tx1"/>
            </w14:solidFill>
          </w14:textFill>
        </w:rPr>
        <w:t xml:space="preserve"> 评标所需的原件资料用文件袋袋装提供不需密封（如需），</w:t>
      </w:r>
      <w:r>
        <w:rPr>
          <w:rFonts w:hint="eastAsia" w:asciiTheme="minorEastAsia" w:hAnsiTheme="minorEastAsia" w:eastAsiaTheme="minorEastAsia" w:cstheme="minorEastAsia"/>
          <w:bCs/>
          <w:sz w:val="24"/>
        </w:rPr>
        <w:t>文件袋上应标明单位名称。</w:t>
      </w:r>
    </w:p>
    <w:p>
      <w:pPr>
        <w:adjustRightInd w:val="0"/>
        <w:snapToGrid w:val="0"/>
        <w:spacing w:line="360" w:lineRule="auto"/>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4、报价</w:t>
      </w:r>
    </w:p>
    <w:p>
      <w:pPr>
        <w:adjustRightInd w:val="0"/>
        <w:snapToGrid w:val="0"/>
        <w:spacing w:line="360" w:lineRule="auto"/>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4.1 磋商响应单位应按照磋商文件规定的服务要求，在责任范围和合同条件下进行报价，在响应文件中的首次报价一览表上按要求标明投标总价等项，任何有选择或可调整的报价将不予接受，并按无效投标处理。</w:t>
      </w:r>
    </w:p>
    <w:p>
      <w:pPr>
        <w:widowControl/>
        <w:adjustRightInd w:val="0"/>
        <w:snapToGrid w:val="0"/>
        <w:spacing w:line="360" w:lineRule="auto"/>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根据</w:t>
      </w:r>
      <w:r>
        <w:rPr>
          <w:rFonts w:hint="eastAsia" w:asciiTheme="minorEastAsia" w:hAnsiTheme="minorEastAsia" w:eastAsiaTheme="minorEastAsia" w:cstheme="minorEastAsia"/>
          <w:color w:val="000000" w:themeColor="text1"/>
          <w:sz w:val="24"/>
          <w14:textFill>
            <w14:solidFill>
              <w14:schemeClr w14:val="tx1"/>
            </w14:solidFill>
          </w14:textFill>
        </w:rPr>
        <w:t>陕西省住房和城乡建设厅陕建发[2009]199号文件规定，本工程的投标报价和竣工结算的计价方式采用工程量清单计价方式，按综合单价法进行计价。投标报价应由投标人按照招标人给定的工程量清单（</w:t>
      </w:r>
      <w:r>
        <w:rPr>
          <w:rFonts w:hint="eastAsia" w:asciiTheme="minorEastAsia" w:hAnsiTheme="minorEastAsia" w:eastAsiaTheme="minorEastAsia" w:cstheme="minorEastAsia"/>
          <w:sz w:val="24"/>
        </w:rPr>
        <w:t>招标人给定清单的工作内容和工程量不允许有任何改变），按照“清单编制说明”，结合施工现场条件、工程特点及拟定的投标施工组织设计或方案以及市场价格信息、企业自身技术力量、设备装备水平、企业管理水平等自主进行报价。</w:t>
      </w:r>
    </w:p>
    <w:p>
      <w:pPr>
        <w:widowControl/>
        <w:spacing w:line="360" w:lineRule="auto"/>
        <w:ind w:firstLine="480" w:firstLineChars="200"/>
        <w:jc w:val="left"/>
        <w:rPr>
          <w:rFonts w:eastAsiaTheme="minorEastAsia"/>
          <w:color w:val="FF0000"/>
          <w:kern w:val="0"/>
          <w:sz w:val="24"/>
        </w:rPr>
      </w:pPr>
      <w:r>
        <w:rPr>
          <w:rFonts w:hint="eastAsia" w:asciiTheme="minorEastAsia" w:hAnsiTheme="minorEastAsia" w:eastAsiaTheme="minorEastAsia" w:cstheme="minorEastAsia"/>
          <w:bCs/>
          <w:sz w:val="24"/>
        </w:rPr>
        <w:t>4.2 磋商</w:t>
      </w:r>
      <w:r>
        <w:rPr>
          <w:rFonts w:hint="eastAsia" w:eastAsiaTheme="minorEastAsia"/>
          <w:color w:val="000000" w:themeColor="text1"/>
          <w:kern w:val="0"/>
          <w:sz w:val="24"/>
          <w14:textFill>
            <w14:solidFill>
              <w14:schemeClr w14:val="tx1"/>
            </w14:solidFill>
          </w14:textFill>
        </w:rPr>
        <w:t>响应单位磋商报价金额不得超过</w:t>
      </w:r>
      <w:r>
        <w:rPr>
          <w:rFonts w:hint="eastAsia" w:eastAsiaTheme="minorEastAsia"/>
          <w:kern w:val="0"/>
          <w:sz w:val="24"/>
        </w:rPr>
        <w:t>采购预算或者最高限价，</w:t>
      </w:r>
      <w:r>
        <w:rPr>
          <w:rFonts w:hint="eastAsia" w:eastAsiaTheme="minorEastAsia"/>
          <w:color w:val="000000" w:themeColor="text1"/>
          <w:kern w:val="0"/>
          <w:sz w:val="24"/>
          <w14:textFill>
            <w14:solidFill>
              <w14:schemeClr w14:val="tx1"/>
            </w14:solidFill>
          </w14:textFill>
        </w:rPr>
        <w:t>首次</w:t>
      </w:r>
      <w:r>
        <w:rPr>
          <w:rFonts w:hint="eastAsia" w:eastAsiaTheme="minorEastAsia"/>
          <w:kern w:val="0"/>
          <w:sz w:val="24"/>
        </w:rPr>
        <w:t>报价超出采购预算或者最高限价的磋商响应单位不进入下一步磋商程序。</w:t>
      </w:r>
    </w:p>
    <w:p>
      <w:pPr>
        <w:adjustRightInd w:val="0"/>
        <w:snapToGrid w:val="0"/>
        <w:spacing w:line="360" w:lineRule="auto"/>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4.3 最低报价不是中标的唯一依据。</w:t>
      </w:r>
    </w:p>
    <w:p>
      <w:pPr>
        <w:adjustRightInd w:val="0"/>
        <w:snapToGrid w:val="0"/>
        <w:spacing w:line="360" w:lineRule="auto"/>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4.4 投标货币：一律用人民币填报。</w:t>
      </w:r>
    </w:p>
    <w:p>
      <w:pPr>
        <w:adjustRightInd w:val="0"/>
        <w:snapToGrid w:val="0"/>
        <w:spacing w:line="360" w:lineRule="auto"/>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4.5 本项目采用两次报价。响应文件中的报价为第一次报价，磋商最终响应函中的报价为第二次报价即最终报价，报价不得超过磋商最高限价，最终报价不得超过第一次报价，评审以最终报价为依据。</w:t>
      </w:r>
    </w:p>
    <w:p>
      <w:pPr>
        <w:pStyle w:val="2"/>
        <w:spacing w:line="360" w:lineRule="auto"/>
        <w:ind w:firstLine="480"/>
        <w:rPr>
          <w:rFonts w:asciiTheme="minorEastAsia" w:hAnsiTheme="minorEastAsia" w:eastAsiaTheme="minorEastAsia" w:cstheme="minorEastAsia"/>
          <w:sz w:val="24"/>
        </w:rPr>
      </w:pPr>
      <w:r>
        <w:rPr>
          <w:rFonts w:hint="eastAsia" w:asciiTheme="minorEastAsia" w:hAnsiTheme="minorEastAsia" w:eastAsiaTheme="minorEastAsia" w:cstheme="minorEastAsia"/>
          <w:bCs/>
          <w:sz w:val="24"/>
        </w:rPr>
        <w:t>4.6 磋商响应单位的最终报价在合同执行过程中固定不变，不得以任何理由予以变更。</w:t>
      </w:r>
    </w:p>
    <w:p>
      <w:pPr>
        <w:pStyle w:val="2"/>
        <w:spacing w:line="360" w:lineRule="auto"/>
        <w:ind w:firstLine="48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5、首次响应文件递交</w:t>
      </w:r>
    </w:p>
    <w:p>
      <w:pPr>
        <w:pStyle w:val="2"/>
        <w:spacing w:line="360" w:lineRule="auto"/>
        <w:ind w:firstLine="48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磋商响应单位法定代表人或其授权代表人应在磋商须知前附表规定的首次响应文件递交截止时间前将响应文件（须密封）和评标所需原件（如有）送达指定地点，在截止时间后送达的响应文件和任何补充资料采购代理机构将拒绝接收。</w:t>
      </w:r>
    </w:p>
    <w:p>
      <w:pPr>
        <w:pStyle w:val="2"/>
        <w:spacing w:line="360" w:lineRule="auto"/>
        <w:ind w:firstLine="48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6、响应文件的补充、修改和撤回</w:t>
      </w:r>
    </w:p>
    <w:p>
      <w:pPr>
        <w:pStyle w:val="2"/>
        <w:spacing w:line="360" w:lineRule="auto"/>
        <w:ind w:firstLine="48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6.1 在首次响应文件递交截止时间前，磋商响应单位可以书面形式提出补充、修改或撤回其递交的响应文件。</w:t>
      </w:r>
    </w:p>
    <w:p>
      <w:pPr>
        <w:pStyle w:val="2"/>
        <w:spacing w:line="360" w:lineRule="auto"/>
        <w:ind w:firstLine="48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6.2 磋商响应单位的补充、修改材料或撤回通知，应按规定进行编制、密封、标记和递交，且在密封袋上标明“磋商响应文件补充”“磋商响应文件修改”或“磋商响应文件撤回通知”字样。</w:t>
      </w:r>
    </w:p>
    <w:p>
      <w:pPr>
        <w:pStyle w:val="2"/>
        <w:spacing w:line="360" w:lineRule="auto"/>
        <w:ind w:firstLine="48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6.3 在首次响应文件递交截止时间至磋商文件规定的磋商有效期终止日之间的这段时间内，磋商响应单位不能撤回响应文件，否则其响应保证金将不予退还（磋商后退出除外）。</w:t>
      </w:r>
    </w:p>
    <w:p>
      <w:pPr>
        <w:pStyle w:val="4"/>
        <w:adjustRightInd w:val="0"/>
        <w:snapToGrid w:val="0"/>
        <w:spacing w:before="120" w:after="120" w:line="360" w:lineRule="auto"/>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四、磋商与评审</w:t>
      </w:r>
    </w:p>
    <w:p>
      <w:pPr>
        <w:pStyle w:val="2"/>
        <w:spacing w:line="360" w:lineRule="auto"/>
        <w:ind w:firstLine="480"/>
        <w:rPr>
          <w:rFonts w:ascii="宋体" w:hAnsi="宋体" w:cs="宋体"/>
          <w:sz w:val="24"/>
        </w:rPr>
      </w:pPr>
      <w:r>
        <w:rPr>
          <w:rFonts w:hint="eastAsia" w:asciiTheme="minorEastAsia" w:hAnsiTheme="minorEastAsia" w:eastAsiaTheme="minorEastAsia" w:cstheme="minorEastAsia"/>
          <w:bCs/>
          <w:sz w:val="24"/>
        </w:rPr>
        <w:t>1</w:t>
      </w:r>
      <w:r>
        <w:rPr>
          <w:rFonts w:hint="eastAsia" w:ascii="宋体" w:hAnsi="宋体" w:cs="宋体"/>
          <w:sz w:val="24"/>
        </w:rPr>
        <w:t>、磋商</w:t>
      </w:r>
    </w:p>
    <w:p>
      <w:pPr>
        <w:pStyle w:val="2"/>
        <w:spacing w:line="360" w:lineRule="auto"/>
        <w:ind w:firstLine="480"/>
        <w:rPr>
          <w:rFonts w:asciiTheme="minorEastAsia" w:hAnsiTheme="minorEastAsia" w:eastAsiaTheme="minorEastAsia" w:cstheme="minorEastAsia"/>
          <w:sz w:val="24"/>
        </w:rPr>
      </w:pPr>
      <w:r>
        <w:rPr>
          <w:rFonts w:asciiTheme="minorEastAsia" w:hAnsiTheme="minorEastAsia" w:eastAsiaTheme="minorEastAsia" w:cstheme="minorEastAsia"/>
          <w:sz w:val="24"/>
        </w:rPr>
        <w:t>1.1采购代理机构将在规定的时间和地点组织召开磋商大会。</w:t>
      </w:r>
      <w:r>
        <w:rPr>
          <w:rFonts w:hint="eastAsia" w:asciiTheme="minorEastAsia" w:hAnsiTheme="minorEastAsia" w:eastAsiaTheme="minorEastAsia" w:cstheme="minorEastAsia"/>
          <w:sz w:val="24"/>
        </w:rPr>
        <w:t>磋商响应单位</w:t>
      </w:r>
      <w:r>
        <w:rPr>
          <w:rFonts w:asciiTheme="minorEastAsia" w:hAnsiTheme="minorEastAsia" w:eastAsiaTheme="minorEastAsia" w:cstheme="minorEastAsia"/>
          <w:sz w:val="24"/>
        </w:rPr>
        <w:t>应派法定代表人或授权代表参加，参加磋商的代表应签名报到以证明其出席。政府采购监督管理部门可以视情况到场监督磋商情况。</w:t>
      </w:r>
    </w:p>
    <w:p>
      <w:pPr>
        <w:pStyle w:val="2"/>
        <w:spacing w:line="360" w:lineRule="auto"/>
        <w:ind w:firstLine="480"/>
        <w:rPr>
          <w:rFonts w:asciiTheme="minorEastAsia" w:hAnsiTheme="minorEastAsia" w:eastAsiaTheme="minorEastAsia" w:cstheme="minorEastAsia"/>
          <w:sz w:val="24"/>
        </w:rPr>
      </w:pPr>
      <w:r>
        <w:rPr>
          <w:rFonts w:asciiTheme="minorEastAsia" w:hAnsiTheme="minorEastAsia" w:eastAsiaTheme="minorEastAsia" w:cstheme="minorEastAsia"/>
          <w:sz w:val="24"/>
        </w:rPr>
        <w:t>1.2磋商大会由采购代理机构主持，会议主要内容：</w:t>
      </w:r>
    </w:p>
    <w:p>
      <w:pPr>
        <w:pStyle w:val="2"/>
        <w:spacing w:line="360" w:lineRule="auto"/>
        <w:ind w:firstLine="480"/>
        <w:rPr>
          <w:rFonts w:asciiTheme="minorEastAsia" w:hAnsiTheme="minorEastAsia" w:eastAsiaTheme="minorEastAsia" w:cstheme="minorEastAsia"/>
          <w:sz w:val="24"/>
        </w:rPr>
      </w:pPr>
      <w:r>
        <w:rPr>
          <w:rFonts w:asciiTheme="minorEastAsia" w:hAnsiTheme="minorEastAsia" w:eastAsiaTheme="minorEastAsia" w:cstheme="minorEastAsia"/>
          <w:sz w:val="24"/>
        </w:rPr>
        <w:t>（1）宣布会场纪律；</w:t>
      </w:r>
    </w:p>
    <w:p>
      <w:pPr>
        <w:pStyle w:val="2"/>
        <w:spacing w:line="360" w:lineRule="auto"/>
        <w:ind w:firstLine="480"/>
        <w:rPr>
          <w:rFonts w:asciiTheme="minorEastAsia" w:hAnsiTheme="minorEastAsia" w:eastAsiaTheme="minorEastAsia" w:cstheme="minorEastAsia"/>
          <w:sz w:val="24"/>
        </w:rPr>
      </w:pPr>
      <w:r>
        <w:rPr>
          <w:rFonts w:asciiTheme="minorEastAsia" w:hAnsiTheme="minorEastAsia" w:eastAsiaTheme="minorEastAsia" w:cstheme="minorEastAsia"/>
          <w:sz w:val="24"/>
        </w:rPr>
        <w:t>（2）介绍参加磋商大会的单位及工作人员；</w:t>
      </w:r>
    </w:p>
    <w:p>
      <w:pPr>
        <w:pStyle w:val="2"/>
        <w:spacing w:line="360" w:lineRule="auto"/>
        <w:ind w:firstLine="480"/>
        <w:rPr>
          <w:rFonts w:asciiTheme="minorEastAsia" w:hAnsiTheme="minorEastAsia" w:eastAsiaTheme="minorEastAsia" w:cstheme="minorEastAsia"/>
          <w:sz w:val="24"/>
        </w:rPr>
      </w:pPr>
      <w:r>
        <w:rPr>
          <w:rFonts w:asciiTheme="minorEastAsia" w:hAnsiTheme="minorEastAsia" w:eastAsiaTheme="minorEastAsia" w:cstheme="minorEastAsia"/>
          <w:sz w:val="24"/>
        </w:rPr>
        <w:t>（</w:t>
      </w:r>
      <w:r>
        <w:rPr>
          <w:rFonts w:hint="eastAsia" w:asciiTheme="minorEastAsia" w:hAnsiTheme="minorEastAsia" w:eastAsiaTheme="minorEastAsia" w:cstheme="minorEastAsia"/>
          <w:sz w:val="24"/>
        </w:rPr>
        <w:t>3</w:t>
      </w:r>
      <w:r>
        <w:rPr>
          <w:rFonts w:asciiTheme="minorEastAsia" w:hAnsiTheme="minorEastAsia" w:eastAsiaTheme="minorEastAsia" w:cstheme="minorEastAsia"/>
          <w:sz w:val="24"/>
        </w:rPr>
        <w:t>）所有</w:t>
      </w:r>
      <w:r>
        <w:rPr>
          <w:rFonts w:hint="eastAsia" w:asciiTheme="minorEastAsia" w:hAnsiTheme="minorEastAsia" w:eastAsiaTheme="minorEastAsia" w:cstheme="minorEastAsia"/>
          <w:sz w:val="24"/>
        </w:rPr>
        <w:t>磋商响应单位</w:t>
      </w:r>
      <w:r>
        <w:rPr>
          <w:rFonts w:asciiTheme="minorEastAsia" w:hAnsiTheme="minorEastAsia" w:eastAsiaTheme="minorEastAsia" w:cstheme="minorEastAsia"/>
          <w:sz w:val="24"/>
        </w:rPr>
        <w:t>共同检查响应文件的密封情况，当众宣布检查结果；</w:t>
      </w:r>
    </w:p>
    <w:p>
      <w:pPr>
        <w:pStyle w:val="2"/>
        <w:spacing w:line="360" w:lineRule="auto"/>
        <w:ind w:firstLine="480"/>
        <w:rPr>
          <w:rFonts w:asciiTheme="minorEastAsia" w:hAnsiTheme="minorEastAsia" w:eastAsiaTheme="minorEastAsia" w:cstheme="minorEastAsia"/>
          <w:sz w:val="24"/>
        </w:rPr>
      </w:pPr>
      <w:r>
        <w:rPr>
          <w:rFonts w:asciiTheme="minorEastAsia" w:hAnsiTheme="minorEastAsia" w:eastAsiaTheme="minorEastAsia" w:cstheme="minorEastAsia"/>
          <w:sz w:val="24"/>
        </w:rPr>
        <w:t>（</w:t>
      </w:r>
      <w:r>
        <w:rPr>
          <w:rFonts w:hint="eastAsia" w:asciiTheme="minorEastAsia" w:hAnsiTheme="minorEastAsia" w:eastAsiaTheme="minorEastAsia" w:cstheme="minorEastAsia"/>
          <w:sz w:val="24"/>
        </w:rPr>
        <w:t>4</w:t>
      </w:r>
      <w:r>
        <w:rPr>
          <w:rFonts w:asciiTheme="minorEastAsia" w:hAnsiTheme="minorEastAsia" w:eastAsiaTheme="minorEastAsia" w:cstheme="minorEastAsia"/>
          <w:sz w:val="24"/>
        </w:rPr>
        <w:t>）现场工作人员按</w:t>
      </w:r>
      <w:r>
        <w:rPr>
          <w:rFonts w:hint="eastAsia" w:asciiTheme="minorEastAsia" w:hAnsiTheme="minorEastAsia" w:eastAsiaTheme="minorEastAsia" w:cstheme="minorEastAsia"/>
          <w:sz w:val="24"/>
        </w:rPr>
        <w:t>签到先后</w:t>
      </w:r>
      <w:r>
        <w:rPr>
          <w:rFonts w:asciiTheme="minorEastAsia" w:hAnsiTheme="minorEastAsia" w:eastAsiaTheme="minorEastAsia" w:cstheme="minorEastAsia"/>
          <w:sz w:val="24"/>
        </w:rPr>
        <w:t>顺序当众开启响应文件；</w:t>
      </w:r>
    </w:p>
    <w:p>
      <w:pPr>
        <w:pStyle w:val="2"/>
        <w:spacing w:line="360" w:lineRule="auto"/>
        <w:ind w:firstLine="480"/>
        <w:rPr>
          <w:rFonts w:asciiTheme="minorEastAsia" w:hAnsiTheme="minorEastAsia" w:eastAsiaTheme="minorEastAsia" w:cstheme="minorEastAsia"/>
          <w:sz w:val="24"/>
        </w:rPr>
      </w:pPr>
      <w:r>
        <w:rPr>
          <w:rFonts w:asciiTheme="minorEastAsia" w:hAnsiTheme="minorEastAsia" w:eastAsiaTheme="minorEastAsia" w:cstheme="minorEastAsia"/>
          <w:sz w:val="24"/>
        </w:rPr>
        <w:t>（</w:t>
      </w:r>
      <w:r>
        <w:rPr>
          <w:rFonts w:hint="eastAsia" w:asciiTheme="minorEastAsia" w:hAnsiTheme="minorEastAsia" w:eastAsiaTheme="minorEastAsia" w:cstheme="minorEastAsia"/>
          <w:sz w:val="24"/>
        </w:rPr>
        <w:t>5</w:t>
      </w:r>
      <w:r>
        <w:rPr>
          <w:rFonts w:asciiTheme="minorEastAsia" w:hAnsiTheme="minorEastAsia" w:eastAsiaTheme="minorEastAsia" w:cstheme="minorEastAsia"/>
          <w:sz w:val="24"/>
        </w:rPr>
        <w:t>）响应文件初审（</w:t>
      </w:r>
      <w:r>
        <w:rPr>
          <w:rFonts w:hint="eastAsia" w:asciiTheme="minorEastAsia" w:hAnsiTheme="minorEastAsia" w:eastAsiaTheme="minorEastAsia" w:cstheme="minorEastAsia"/>
          <w:sz w:val="24"/>
        </w:rPr>
        <w:t>磋商响应单位</w:t>
      </w:r>
      <w:r>
        <w:rPr>
          <w:rFonts w:asciiTheme="minorEastAsia" w:hAnsiTheme="minorEastAsia" w:eastAsiaTheme="minorEastAsia" w:cstheme="minorEastAsia"/>
          <w:sz w:val="24"/>
        </w:rPr>
        <w:t>离场）；</w:t>
      </w:r>
    </w:p>
    <w:p>
      <w:pPr>
        <w:pStyle w:val="2"/>
        <w:spacing w:line="360" w:lineRule="auto"/>
        <w:ind w:firstLine="480"/>
        <w:rPr>
          <w:rFonts w:asciiTheme="minorEastAsia" w:hAnsiTheme="minorEastAsia" w:eastAsiaTheme="minorEastAsia" w:cstheme="minorEastAsia"/>
          <w:sz w:val="24"/>
        </w:rPr>
      </w:pPr>
      <w:r>
        <w:rPr>
          <w:rFonts w:asciiTheme="minorEastAsia" w:hAnsiTheme="minorEastAsia" w:eastAsiaTheme="minorEastAsia" w:cstheme="minorEastAsia"/>
          <w:sz w:val="24"/>
        </w:rPr>
        <w:t>（</w:t>
      </w:r>
      <w:r>
        <w:rPr>
          <w:rFonts w:hint="eastAsia" w:asciiTheme="minorEastAsia" w:hAnsiTheme="minorEastAsia" w:eastAsiaTheme="minorEastAsia" w:cstheme="minorEastAsia"/>
          <w:sz w:val="24"/>
        </w:rPr>
        <w:t>6</w:t>
      </w:r>
      <w:r>
        <w:rPr>
          <w:rFonts w:asciiTheme="minorEastAsia" w:hAnsiTheme="minorEastAsia" w:eastAsiaTheme="minorEastAsia" w:cstheme="minorEastAsia"/>
          <w:sz w:val="24"/>
        </w:rPr>
        <w:t>）根据情况，磋商小组集中与单一</w:t>
      </w:r>
      <w:r>
        <w:rPr>
          <w:rFonts w:hint="eastAsia" w:asciiTheme="minorEastAsia" w:hAnsiTheme="minorEastAsia" w:eastAsiaTheme="minorEastAsia" w:cstheme="minorEastAsia"/>
          <w:sz w:val="24"/>
        </w:rPr>
        <w:t>磋商响应单位</w:t>
      </w:r>
      <w:r>
        <w:rPr>
          <w:rFonts w:asciiTheme="minorEastAsia" w:hAnsiTheme="minorEastAsia" w:eastAsiaTheme="minorEastAsia" w:cstheme="minorEastAsia"/>
          <w:sz w:val="24"/>
        </w:rPr>
        <w:t>一对一磋商；</w:t>
      </w:r>
    </w:p>
    <w:p>
      <w:pPr>
        <w:pStyle w:val="2"/>
        <w:spacing w:line="360" w:lineRule="auto"/>
        <w:ind w:firstLine="480"/>
        <w:rPr>
          <w:rFonts w:asciiTheme="minorEastAsia" w:hAnsiTheme="minorEastAsia" w:eastAsiaTheme="minorEastAsia" w:cstheme="minorEastAsia"/>
          <w:sz w:val="24"/>
        </w:rPr>
      </w:pPr>
      <w:r>
        <w:rPr>
          <w:rFonts w:asciiTheme="minorEastAsia" w:hAnsiTheme="minorEastAsia" w:eastAsiaTheme="minorEastAsia" w:cstheme="minorEastAsia"/>
          <w:sz w:val="24"/>
        </w:rPr>
        <w:t>（</w:t>
      </w:r>
      <w:r>
        <w:rPr>
          <w:rFonts w:hint="eastAsia" w:asciiTheme="minorEastAsia" w:hAnsiTheme="minorEastAsia" w:eastAsiaTheme="minorEastAsia" w:cstheme="minorEastAsia"/>
          <w:sz w:val="24"/>
        </w:rPr>
        <w:t>7</w:t>
      </w:r>
      <w:r>
        <w:rPr>
          <w:rFonts w:asciiTheme="minorEastAsia" w:hAnsiTheme="minorEastAsia" w:eastAsiaTheme="minorEastAsia" w:cstheme="minorEastAsia"/>
          <w:sz w:val="24"/>
        </w:rPr>
        <w:t>）</w:t>
      </w:r>
      <w:r>
        <w:rPr>
          <w:rFonts w:hint="eastAsia" w:asciiTheme="minorEastAsia" w:hAnsiTheme="minorEastAsia" w:eastAsiaTheme="minorEastAsia" w:cstheme="minorEastAsia"/>
          <w:sz w:val="24"/>
        </w:rPr>
        <w:t>磋商响应单位</w:t>
      </w:r>
      <w:r>
        <w:rPr>
          <w:rFonts w:asciiTheme="minorEastAsia" w:hAnsiTheme="minorEastAsia" w:eastAsiaTheme="minorEastAsia" w:cstheme="minorEastAsia"/>
          <w:sz w:val="24"/>
        </w:rPr>
        <w:t>磋商响应及递交最终响应函（含最终报价）；</w:t>
      </w:r>
    </w:p>
    <w:p>
      <w:pPr>
        <w:pStyle w:val="2"/>
        <w:spacing w:line="360" w:lineRule="auto"/>
        <w:ind w:firstLine="480"/>
        <w:rPr>
          <w:rFonts w:asciiTheme="minorEastAsia" w:hAnsiTheme="minorEastAsia" w:eastAsiaTheme="minorEastAsia" w:cstheme="minorEastAsia"/>
          <w:sz w:val="24"/>
        </w:rPr>
      </w:pPr>
      <w:r>
        <w:rPr>
          <w:rFonts w:asciiTheme="minorEastAsia" w:hAnsiTheme="minorEastAsia" w:eastAsiaTheme="minorEastAsia" w:cstheme="minorEastAsia"/>
          <w:sz w:val="24"/>
        </w:rPr>
        <w:t>（</w:t>
      </w:r>
      <w:r>
        <w:rPr>
          <w:rFonts w:hint="eastAsia" w:asciiTheme="minorEastAsia" w:hAnsiTheme="minorEastAsia" w:eastAsiaTheme="minorEastAsia" w:cstheme="minorEastAsia"/>
          <w:sz w:val="24"/>
        </w:rPr>
        <w:t>8</w:t>
      </w:r>
      <w:r>
        <w:rPr>
          <w:rFonts w:asciiTheme="minorEastAsia" w:hAnsiTheme="minorEastAsia" w:eastAsiaTheme="minorEastAsia" w:cstheme="minorEastAsia"/>
          <w:sz w:val="24"/>
        </w:rPr>
        <w:t>）磋商大会结束；</w:t>
      </w:r>
    </w:p>
    <w:p>
      <w:pPr>
        <w:pStyle w:val="2"/>
        <w:spacing w:line="360" w:lineRule="auto"/>
        <w:ind w:firstLine="480"/>
        <w:rPr>
          <w:rFonts w:asciiTheme="minorEastAsia" w:hAnsiTheme="minorEastAsia" w:eastAsiaTheme="minorEastAsia" w:cstheme="minorEastAsia"/>
          <w:sz w:val="24"/>
        </w:rPr>
      </w:pPr>
      <w:r>
        <w:rPr>
          <w:rFonts w:asciiTheme="minorEastAsia" w:hAnsiTheme="minorEastAsia" w:eastAsiaTheme="minorEastAsia" w:cstheme="minorEastAsia"/>
          <w:sz w:val="24"/>
        </w:rPr>
        <w:t>2、响应文件的评</w:t>
      </w:r>
      <w:r>
        <w:rPr>
          <w:rFonts w:hint="eastAsia" w:asciiTheme="minorEastAsia" w:hAnsiTheme="minorEastAsia" w:eastAsiaTheme="minorEastAsia" w:cstheme="minorEastAsia"/>
          <w:sz w:val="24"/>
        </w:rPr>
        <w:t>审</w:t>
      </w:r>
      <w:r>
        <w:rPr>
          <w:rFonts w:asciiTheme="minorEastAsia" w:hAnsiTheme="minorEastAsia" w:eastAsiaTheme="minorEastAsia" w:cstheme="minorEastAsia"/>
          <w:sz w:val="24"/>
        </w:rPr>
        <w:t>和比较</w:t>
      </w:r>
    </w:p>
    <w:p>
      <w:pPr>
        <w:pStyle w:val="2"/>
        <w:spacing w:line="360" w:lineRule="auto"/>
        <w:ind w:firstLine="480"/>
        <w:rPr>
          <w:rFonts w:asciiTheme="minorEastAsia" w:hAnsiTheme="minorEastAsia" w:eastAsiaTheme="minorEastAsia" w:cstheme="minorEastAsia"/>
          <w:sz w:val="24"/>
        </w:rPr>
      </w:pPr>
      <w:r>
        <w:rPr>
          <w:rFonts w:asciiTheme="minorEastAsia" w:hAnsiTheme="minorEastAsia" w:eastAsiaTheme="minorEastAsia" w:cstheme="minorEastAsia"/>
          <w:sz w:val="24"/>
        </w:rPr>
        <w:t>2.1 磋商小组将按照磋商文件规定的评审办法进行评审。</w:t>
      </w:r>
    </w:p>
    <w:p>
      <w:pPr>
        <w:pStyle w:val="2"/>
        <w:spacing w:line="360" w:lineRule="auto"/>
        <w:ind w:firstLine="480"/>
        <w:rPr>
          <w:rFonts w:asciiTheme="minorEastAsia" w:hAnsiTheme="minorEastAsia" w:eastAsiaTheme="minorEastAsia" w:cstheme="minorEastAsia"/>
          <w:sz w:val="24"/>
        </w:rPr>
      </w:pPr>
      <w:r>
        <w:rPr>
          <w:rFonts w:asciiTheme="minorEastAsia" w:hAnsiTheme="minorEastAsia" w:eastAsiaTheme="minorEastAsia" w:cstheme="minorEastAsia"/>
          <w:sz w:val="24"/>
        </w:rPr>
        <w:t>2.2 磋商方法具体见第四章。</w:t>
      </w:r>
    </w:p>
    <w:p>
      <w:pPr>
        <w:pStyle w:val="2"/>
        <w:spacing w:line="360" w:lineRule="auto"/>
        <w:ind w:firstLine="480"/>
        <w:rPr>
          <w:rFonts w:asciiTheme="minorEastAsia" w:hAnsiTheme="minorEastAsia" w:eastAsiaTheme="minorEastAsia" w:cstheme="minorEastAsia"/>
          <w:sz w:val="24"/>
        </w:rPr>
      </w:pPr>
      <w:r>
        <w:rPr>
          <w:rFonts w:asciiTheme="minorEastAsia" w:hAnsiTheme="minorEastAsia" w:eastAsiaTheme="minorEastAsia" w:cstheme="minorEastAsia"/>
          <w:sz w:val="24"/>
        </w:rPr>
        <w:t>3、推荐成交候选人</w:t>
      </w:r>
    </w:p>
    <w:p>
      <w:pPr>
        <w:adjustRightInd w:val="0"/>
        <w:snapToGrid w:val="0"/>
        <w:spacing w:line="360" w:lineRule="auto"/>
        <w:ind w:firstLine="480" w:firstLineChars="200"/>
        <w:rPr>
          <w:bCs/>
          <w:sz w:val="24"/>
        </w:rPr>
      </w:pPr>
      <w:r>
        <w:rPr>
          <w:rFonts w:hint="eastAsia" w:ascii="宋体" w:hAnsi="宋体" w:cs="宋体"/>
          <w:bCs/>
          <w:sz w:val="24"/>
        </w:rPr>
        <w:t xml:space="preserve">3.1 </w:t>
      </w:r>
      <w:r>
        <w:rPr>
          <w:rFonts w:hint="eastAsia" w:ascii="宋体" w:hAnsi="宋体" w:cs="宋体"/>
          <w:bCs/>
          <w:spacing w:val="-4"/>
          <w:sz w:val="24"/>
        </w:rPr>
        <w:t>磋</w:t>
      </w:r>
      <w:r>
        <w:rPr>
          <w:bCs/>
          <w:spacing w:val="-4"/>
          <w:sz w:val="24"/>
        </w:rPr>
        <w:t>商小组将磋商情况及评审结果写成书面报告，按照综合得分由高至低顺序，推荐3名成交候选</w:t>
      </w:r>
      <w:r>
        <w:rPr>
          <w:bCs/>
          <w:sz w:val="24"/>
        </w:rPr>
        <w:t>人。</w:t>
      </w:r>
    </w:p>
    <w:p>
      <w:pPr>
        <w:adjustRightInd w:val="0"/>
        <w:snapToGrid w:val="0"/>
        <w:spacing w:line="360" w:lineRule="auto"/>
        <w:ind w:firstLine="480"/>
        <w:rPr>
          <w:bCs/>
          <w:sz w:val="24"/>
        </w:rPr>
      </w:pPr>
      <w:r>
        <w:rPr>
          <w:rFonts w:hint="eastAsia" w:ascii="宋体" w:hAnsi="宋体" w:cs="宋体"/>
          <w:bCs/>
          <w:sz w:val="24"/>
        </w:rPr>
        <w:t xml:space="preserve">3.2 </w:t>
      </w:r>
      <w:r>
        <w:rPr>
          <w:bCs/>
          <w:sz w:val="24"/>
        </w:rPr>
        <w:t>成交候选人综合得分相同的，按磋商报价由低到高顺序排列。得分且磋商报价相同的，按技术指标优劣顺序排列。</w:t>
      </w:r>
    </w:p>
    <w:p>
      <w:pPr>
        <w:adjustRightInd w:val="0"/>
        <w:snapToGrid w:val="0"/>
        <w:spacing w:line="360" w:lineRule="auto"/>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 xml:space="preserve">    4、磋商过程的保密</w:t>
      </w:r>
    </w:p>
    <w:p>
      <w:pPr>
        <w:adjustRightInd w:val="0"/>
        <w:snapToGrid w:val="0"/>
        <w:spacing w:line="360" w:lineRule="auto"/>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凡属于对响应文件的审查、澄清、评审和比较有关的资料、成交候选人的推荐情况，以及与磋商有关的其它任何情况均严格保密，任何磋商响应单位不得向磋商小组人员或其他有关人员索问磋商过程的情况和材料。采购代理机构不向未成交磋商响应单位解释未成交原因，不退还响应文件。</w:t>
      </w:r>
    </w:p>
    <w:p>
      <w:pPr>
        <w:pStyle w:val="4"/>
        <w:adjustRightInd w:val="0"/>
        <w:snapToGrid w:val="0"/>
        <w:spacing w:before="120" w:after="120" w:line="360" w:lineRule="auto"/>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五、确定磋商响应单位</w:t>
      </w:r>
    </w:p>
    <w:p>
      <w:pPr>
        <w:adjustRightInd w:val="0"/>
        <w:snapToGrid w:val="0"/>
        <w:spacing w:line="360" w:lineRule="auto"/>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1、确定磋商响应单位的原则</w:t>
      </w:r>
    </w:p>
    <w:p>
      <w:pPr>
        <w:pStyle w:val="18"/>
        <w:adjustRightInd w:val="0"/>
        <w:snapToGrid w:val="0"/>
        <w:spacing w:after="0" w:line="360" w:lineRule="auto"/>
        <w:ind w:left="0" w:leftChars="0"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采购人根据磋商小组推荐的成交候选人名单，按排序确定磋商响应单位。</w:t>
      </w:r>
    </w:p>
    <w:p>
      <w:pPr>
        <w:pStyle w:val="18"/>
        <w:adjustRightInd w:val="0"/>
        <w:snapToGrid w:val="0"/>
        <w:spacing w:after="0" w:line="360" w:lineRule="auto"/>
        <w:ind w:left="0" w:leftChars="0"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2、确定磋商响应单位的程序</w:t>
      </w:r>
    </w:p>
    <w:p>
      <w:pPr>
        <w:pStyle w:val="18"/>
        <w:adjustRightInd w:val="0"/>
        <w:snapToGrid w:val="0"/>
        <w:spacing w:after="0" w:line="360" w:lineRule="auto"/>
        <w:ind w:left="0" w:leftChars="0" w:firstLine="480" w:firstLineChars="200"/>
        <w:rPr>
          <w:rFonts w:asciiTheme="minorEastAsia" w:hAnsiTheme="minorEastAsia" w:eastAsiaTheme="minorEastAsia" w:cstheme="minorEastAsia"/>
          <w:bCs/>
          <w:sz w:val="24"/>
          <w:highlight w:val="none"/>
        </w:rPr>
      </w:pPr>
      <w:r>
        <w:rPr>
          <w:rFonts w:hint="eastAsia" w:asciiTheme="minorEastAsia" w:hAnsiTheme="minorEastAsia" w:eastAsiaTheme="minorEastAsia" w:cstheme="minorEastAsia"/>
          <w:bCs/>
          <w:sz w:val="24"/>
          <w:highlight w:val="none"/>
        </w:rPr>
        <w:t>2.1 采购代理机构在磋商结束后</w:t>
      </w:r>
      <w:r>
        <w:rPr>
          <w:rFonts w:hint="eastAsia" w:asciiTheme="minorEastAsia" w:hAnsiTheme="minorEastAsia" w:eastAsiaTheme="minorEastAsia" w:cstheme="minorEastAsia"/>
          <w:bCs/>
          <w:sz w:val="24"/>
          <w:highlight w:val="none"/>
          <w:lang w:val="en-US" w:eastAsia="zh-CN"/>
        </w:rPr>
        <w:t>1</w:t>
      </w:r>
      <w:r>
        <w:rPr>
          <w:rFonts w:hint="eastAsia" w:asciiTheme="minorEastAsia" w:hAnsiTheme="minorEastAsia" w:eastAsiaTheme="minorEastAsia" w:cstheme="minorEastAsia"/>
          <w:bCs/>
          <w:sz w:val="24"/>
          <w:highlight w:val="none"/>
        </w:rPr>
        <w:t>个工作日内将磋商报告送采购人。</w:t>
      </w:r>
    </w:p>
    <w:p>
      <w:pPr>
        <w:pStyle w:val="18"/>
        <w:adjustRightInd w:val="0"/>
        <w:snapToGrid w:val="0"/>
        <w:spacing w:after="0" w:line="360" w:lineRule="auto"/>
        <w:ind w:left="0" w:leftChars="0" w:firstLine="480" w:firstLineChars="200"/>
        <w:rPr>
          <w:rFonts w:asciiTheme="minorEastAsia" w:hAnsiTheme="minorEastAsia" w:eastAsiaTheme="minorEastAsia" w:cstheme="minorEastAsia"/>
          <w:bCs/>
          <w:sz w:val="24"/>
          <w:highlight w:val="none"/>
        </w:rPr>
      </w:pPr>
      <w:r>
        <w:rPr>
          <w:rFonts w:hint="eastAsia" w:asciiTheme="minorEastAsia" w:hAnsiTheme="minorEastAsia" w:eastAsiaTheme="minorEastAsia" w:cstheme="minorEastAsia"/>
          <w:bCs/>
          <w:sz w:val="24"/>
          <w:highlight w:val="none"/>
        </w:rPr>
        <w:t>2.2 采购人在收到磋商报告后</w:t>
      </w:r>
      <w:r>
        <w:rPr>
          <w:rFonts w:hint="eastAsia" w:asciiTheme="minorEastAsia" w:hAnsiTheme="minorEastAsia" w:eastAsiaTheme="minorEastAsia" w:cstheme="minorEastAsia"/>
          <w:bCs/>
          <w:sz w:val="24"/>
          <w:highlight w:val="none"/>
          <w:lang w:val="en-US" w:eastAsia="zh-CN"/>
        </w:rPr>
        <w:t>4</w:t>
      </w:r>
      <w:r>
        <w:rPr>
          <w:rFonts w:hint="eastAsia" w:asciiTheme="minorEastAsia" w:hAnsiTheme="minorEastAsia" w:eastAsiaTheme="minorEastAsia" w:cstheme="minorEastAsia"/>
          <w:bCs/>
          <w:sz w:val="24"/>
          <w:highlight w:val="none"/>
        </w:rPr>
        <w:t>个工作日内，按照磋商报告中推荐的成交候选人顺序确定成交人，同时函复采购代理机构。</w:t>
      </w:r>
    </w:p>
    <w:p>
      <w:pPr>
        <w:pStyle w:val="18"/>
        <w:adjustRightInd w:val="0"/>
        <w:snapToGrid w:val="0"/>
        <w:spacing w:after="0" w:line="360" w:lineRule="auto"/>
        <w:ind w:left="0" w:leftChars="0"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2.3采购代理机构收到采购人定标通知（成交复函）后，在陕西省政府采购网发布公告，公示期满无异议后，以书面形式发出成交通知书。如有特殊原因也可延期发出，但发出时间不超过磋商有效期。</w:t>
      </w:r>
    </w:p>
    <w:p>
      <w:pPr>
        <w:pStyle w:val="18"/>
        <w:adjustRightInd w:val="0"/>
        <w:snapToGrid w:val="0"/>
        <w:spacing w:after="0" w:line="360" w:lineRule="auto"/>
        <w:ind w:left="0" w:leftChars="0"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2.4 成交通知书作为签订合同的法律依据。成交通知书发出后，采购人改变磋商结果，或者成交人无正当理由放弃的，应当承担相应的法律责任。</w:t>
      </w:r>
    </w:p>
    <w:p>
      <w:pPr>
        <w:pStyle w:val="18"/>
        <w:adjustRightInd w:val="0"/>
        <w:snapToGrid w:val="0"/>
        <w:spacing w:after="0" w:line="360" w:lineRule="auto"/>
        <w:ind w:left="0" w:leftChars="0"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3、磋商结果的公示和异议</w:t>
      </w:r>
    </w:p>
    <w:p>
      <w:pPr>
        <w:adjustRightInd w:val="0"/>
        <w:snapToGrid w:val="0"/>
        <w:spacing w:line="360" w:lineRule="auto"/>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3.1 磋商结束后，采购人或采购代理机构自成交磋商响应单位确定之日起1个工作日在陕西省政府采购网公告成交结果，公示期1个工作日。</w:t>
      </w:r>
    </w:p>
    <w:p>
      <w:pPr>
        <w:adjustRightInd w:val="0"/>
        <w:snapToGrid w:val="0"/>
        <w:spacing w:line="360" w:lineRule="auto"/>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3.2 磋商响应单位或者其他利害关系人对磋商结果有异议的，可以在知道或者应知其权益受到损害之日起7个工作日内，以书面形式向采购人或代理机构提出质疑。</w:t>
      </w:r>
    </w:p>
    <w:p>
      <w:pPr>
        <w:pStyle w:val="4"/>
        <w:adjustRightInd w:val="0"/>
        <w:snapToGrid w:val="0"/>
        <w:spacing w:before="120" w:after="120" w:line="360" w:lineRule="auto"/>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六、签订合同</w:t>
      </w:r>
    </w:p>
    <w:p>
      <w:pPr>
        <w:adjustRightInd w:val="0"/>
        <w:snapToGrid w:val="0"/>
        <w:spacing w:line="360" w:lineRule="auto"/>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1、签订合同</w:t>
      </w:r>
    </w:p>
    <w:p>
      <w:pPr>
        <w:pStyle w:val="18"/>
        <w:adjustRightInd w:val="0"/>
        <w:snapToGrid w:val="0"/>
        <w:spacing w:after="0" w:line="360" w:lineRule="auto"/>
        <w:ind w:left="0" w:leftChars="0"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1.1 采购人和成交磋商响应单位应当自成交通知书发出之日起30天内，根据磋商文件和成交磋商响应单位的响应文件订立书面合同。</w:t>
      </w:r>
    </w:p>
    <w:p>
      <w:pPr>
        <w:adjustRightInd w:val="0"/>
        <w:snapToGrid w:val="0"/>
        <w:spacing w:line="360" w:lineRule="auto"/>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1.2 成交通知书、磋商文件、响应文件及其澄清文件等，均为合同的组成部分，与合同具有同等法律效力。</w:t>
      </w:r>
    </w:p>
    <w:p>
      <w:pPr>
        <w:adjustRightInd w:val="0"/>
        <w:snapToGrid w:val="0"/>
        <w:spacing w:line="360" w:lineRule="auto"/>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1.3 发出成交通知书后，因成交磋商响应单位的原因，不与采购人签订合同的，采购人将废除其成交资格。</w:t>
      </w:r>
    </w:p>
    <w:p>
      <w:pPr>
        <w:numPr>
          <w:ilvl w:val="0"/>
          <w:numId w:val="4"/>
        </w:numPr>
        <w:adjustRightInd w:val="0"/>
        <w:snapToGrid w:val="0"/>
        <w:spacing w:line="360" w:lineRule="auto"/>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履约保证金</w:t>
      </w:r>
    </w:p>
    <w:p>
      <w:pPr>
        <w:adjustRightInd w:val="0"/>
        <w:snapToGrid w:val="0"/>
        <w:spacing w:line="360" w:lineRule="auto"/>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 xml:space="preserve">    成交磋商响应单位与采购人签订合同后，成交磋商响应单位应向采购人提交履约保证金，形式见合同要求。</w:t>
      </w:r>
    </w:p>
    <w:p>
      <w:pPr>
        <w:adjustRightInd w:val="0"/>
        <w:snapToGrid w:val="0"/>
        <w:spacing w:line="360" w:lineRule="auto"/>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3、签订合同时变更数量的权力</w:t>
      </w:r>
    </w:p>
    <w:p>
      <w:pPr>
        <w:adjustRightInd w:val="0"/>
        <w:snapToGrid w:val="0"/>
        <w:spacing w:line="360" w:lineRule="auto"/>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采购合同履行过程中，采购人需要追加与合同标的相同的货物或者服务的，在不改变合同其他条款的前提下，可以与成交磋商响应单位协商签订补充合同，但不得超过原合同采购金额的百分之十。</w:t>
      </w:r>
    </w:p>
    <w:p>
      <w:pPr>
        <w:pStyle w:val="4"/>
        <w:adjustRightInd w:val="0"/>
        <w:snapToGrid w:val="0"/>
        <w:spacing w:before="0" w:after="0" w:line="360" w:lineRule="auto"/>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七、</w:t>
      </w:r>
      <w:r>
        <w:rPr>
          <w:rFonts w:hint="eastAsia" w:asciiTheme="minorEastAsia" w:hAnsiTheme="minorEastAsia" w:eastAsiaTheme="minorEastAsia" w:cstheme="minorEastAsia"/>
          <w:sz w:val="24"/>
          <w:szCs w:val="24"/>
          <w:lang w:val="zh-CN"/>
        </w:rPr>
        <w:t>询问与质疑</w:t>
      </w:r>
    </w:p>
    <w:p>
      <w:pPr>
        <w:adjustRightInd w:val="0"/>
        <w:snapToGrid w:val="0"/>
        <w:spacing w:line="360" w:lineRule="auto"/>
        <w:ind w:firstLine="480" w:firstLineChars="200"/>
        <w:rPr>
          <w:rFonts w:asciiTheme="minorEastAsia" w:hAnsiTheme="minorEastAsia" w:eastAsiaTheme="minorEastAsia" w:cstheme="minorEastAsia"/>
          <w:bCs/>
          <w:sz w:val="24"/>
          <w:lang w:val="zh-CN"/>
        </w:rPr>
      </w:pPr>
      <w:r>
        <w:rPr>
          <w:rFonts w:hint="eastAsia" w:asciiTheme="minorEastAsia" w:hAnsiTheme="minorEastAsia" w:eastAsiaTheme="minorEastAsia" w:cstheme="minorEastAsia"/>
          <w:bCs/>
          <w:sz w:val="24"/>
        </w:rPr>
        <w:t>1、</w:t>
      </w:r>
      <w:r>
        <w:rPr>
          <w:rFonts w:hint="eastAsia" w:asciiTheme="minorEastAsia" w:hAnsiTheme="minorEastAsia" w:eastAsiaTheme="minorEastAsia" w:cstheme="minorEastAsia"/>
          <w:bCs/>
          <w:sz w:val="24"/>
          <w:lang w:val="zh-CN"/>
        </w:rPr>
        <w:t>磋商程序受《中华人民共和国政府采购法》和相关法律及行政命令约束，并受到严格的内部监督，以确保授予合同过程的公平公正。</w:t>
      </w:r>
    </w:p>
    <w:p>
      <w:pPr>
        <w:adjustRightInd w:val="0"/>
        <w:snapToGrid w:val="0"/>
        <w:spacing w:line="360" w:lineRule="auto"/>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2、采购代理机构质疑受理：</w:t>
      </w:r>
    </w:p>
    <w:p>
      <w:pPr>
        <w:adjustRightInd w:val="0"/>
        <w:snapToGrid w:val="0"/>
        <w:spacing w:line="360" w:lineRule="auto"/>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联系电话：</w:t>
      </w:r>
      <w:r>
        <w:rPr>
          <w:rFonts w:hint="eastAsia" w:ascii="宋体" w:hAnsi="宋体" w:eastAsiaTheme="minorEastAsia"/>
          <w:color w:val="000000"/>
          <w:kern w:val="0"/>
          <w:sz w:val="24"/>
        </w:rPr>
        <w:t>029-86522030</w:t>
      </w:r>
      <w:r>
        <w:rPr>
          <w:rFonts w:hint="eastAsia" w:ascii="宋体" w:hAnsi="宋体" w:eastAsiaTheme="minorEastAsia"/>
          <w:color w:val="000000"/>
          <w:kern w:val="0"/>
          <w:sz w:val="24"/>
          <w:lang w:val="en-US" w:eastAsia="zh-CN"/>
        </w:rPr>
        <w:t>转806</w:t>
      </w:r>
      <w:r>
        <w:rPr>
          <w:rFonts w:hint="eastAsia" w:asciiTheme="minorEastAsia" w:hAnsiTheme="minorEastAsia" w:eastAsiaTheme="minorEastAsia" w:cstheme="minorEastAsia"/>
          <w:bCs/>
          <w:sz w:val="24"/>
        </w:rPr>
        <w:t>，联系人：</w:t>
      </w:r>
      <w:r>
        <w:rPr>
          <w:rFonts w:hint="eastAsia" w:asciiTheme="minorEastAsia" w:hAnsiTheme="minorEastAsia" w:eastAsiaTheme="minorEastAsia" w:cstheme="minorEastAsia"/>
          <w:bCs/>
          <w:sz w:val="24"/>
          <w:lang w:val="en-US" w:eastAsia="zh-CN"/>
        </w:rPr>
        <w:t>程方园</w:t>
      </w:r>
      <w:r>
        <w:rPr>
          <w:rFonts w:hint="eastAsia" w:asciiTheme="minorEastAsia" w:hAnsiTheme="minorEastAsia" w:eastAsiaTheme="minorEastAsia" w:cstheme="minorEastAsia"/>
          <w:bCs/>
          <w:sz w:val="24"/>
        </w:rPr>
        <w:t>。</w:t>
      </w:r>
    </w:p>
    <w:p>
      <w:pPr>
        <w:adjustRightInd w:val="0"/>
        <w:snapToGrid w:val="0"/>
        <w:spacing w:line="360" w:lineRule="auto"/>
        <w:ind w:firstLine="480" w:firstLineChars="200"/>
        <w:rPr>
          <w:rFonts w:ascii="宋体" w:hAnsi="宋体" w:cs="宋体"/>
          <w:color w:val="000000"/>
          <w:kern w:val="0"/>
          <w:sz w:val="24"/>
          <w:lang w:val="zh-CN"/>
        </w:rPr>
      </w:pPr>
      <w:r>
        <w:rPr>
          <w:rFonts w:hint="eastAsia" w:asciiTheme="minorEastAsia" w:hAnsiTheme="minorEastAsia" w:eastAsiaTheme="minorEastAsia" w:cstheme="minorEastAsia"/>
          <w:bCs/>
          <w:sz w:val="24"/>
        </w:rPr>
        <w:t>3、</w:t>
      </w:r>
      <w:r>
        <w:rPr>
          <w:rFonts w:hint="eastAsia" w:asciiTheme="minorEastAsia" w:hAnsiTheme="minorEastAsia" w:eastAsiaTheme="minorEastAsia" w:cstheme="minorEastAsia"/>
          <w:bCs/>
          <w:sz w:val="24"/>
          <w:lang w:val="zh-CN"/>
        </w:rPr>
        <w:t>磋商响应单位对磋商文件条款或技术、商务参数有异议的，应当在磋商前通过</w:t>
      </w:r>
      <w:r>
        <w:rPr>
          <w:rFonts w:hint="eastAsia" w:ascii="宋体" w:hAnsi="宋体" w:cs="宋体"/>
          <w:color w:val="000000"/>
          <w:kern w:val="0"/>
          <w:sz w:val="24"/>
          <w:lang w:val="zh-CN"/>
        </w:rPr>
        <w:t>澄清或修改程序提出。</w:t>
      </w:r>
    </w:p>
    <w:p>
      <w:pPr>
        <w:spacing w:line="360" w:lineRule="auto"/>
        <w:ind w:firstLine="480" w:firstLineChars="200"/>
        <w:rPr>
          <w:rFonts w:ascii="宋体" w:hAnsi="宋体" w:cs="宋体"/>
          <w:color w:val="000000"/>
          <w:kern w:val="0"/>
          <w:sz w:val="24"/>
          <w:lang w:val="zh-CN"/>
        </w:rPr>
      </w:pPr>
      <w:r>
        <w:rPr>
          <w:rFonts w:hint="eastAsia" w:ascii="宋体" w:hAnsi="宋体" w:cs="宋体"/>
          <w:color w:val="000000"/>
          <w:kern w:val="0"/>
          <w:sz w:val="24"/>
        </w:rPr>
        <w:t>4、</w:t>
      </w:r>
      <w:r>
        <w:rPr>
          <w:rFonts w:hint="eastAsia" w:ascii="宋体" w:hAnsi="宋体" w:cs="宋体"/>
          <w:color w:val="000000"/>
          <w:kern w:val="0"/>
          <w:sz w:val="24"/>
          <w:lang w:val="zh-CN"/>
        </w:rPr>
        <w:t>磋商响应单位对采购事项有疑问的，可以向采购代理机构（或采购人）提出询问。</w:t>
      </w:r>
    </w:p>
    <w:p>
      <w:pPr>
        <w:spacing w:line="360" w:lineRule="auto"/>
        <w:ind w:firstLine="480" w:firstLineChars="200"/>
        <w:rPr>
          <w:rFonts w:ascii="宋体" w:hAnsi="宋体" w:cs="宋体"/>
          <w:color w:val="000000"/>
          <w:kern w:val="0"/>
          <w:sz w:val="24"/>
          <w:lang w:val="zh-CN"/>
        </w:rPr>
      </w:pPr>
      <w:r>
        <w:rPr>
          <w:rFonts w:hint="eastAsia" w:ascii="宋体" w:hAnsi="宋体" w:cs="宋体"/>
          <w:color w:val="000000"/>
          <w:kern w:val="0"/>
          <w:sz w:val="24"/>
        </w:rPr>
        <w:t>5、</w:t>
      </w:r>
      <w:r>
        <w:rPr>
          <w:rFonts w:hint="eastAsia" w:ascii="宋体" w:hAnsi="宋体" w:cs="宋体"/>
          <w:color w:val="000000"/>
          <w:kern w:val="0"/>
          <w:sz w:val="24"/>
          <w:lang w:val="zh-CN"/>
        </w:rPr>
        <w:t>磋商响应单位认为其磋商响应文件未获公平评审或采购过程和磋商结果使自己的合法权益受到损害的，应当在知道或者应知其权益受到损害之日起7个工作日内提出质疑。</w:t>
      </w:r>
    </w:p>
    <w:p>
      <w:pPr>
        <w:spacing w:line="360" w:lineRule="auto"/>
        <w:ind w:firstLine="480" w:firstLineChars="200"/>
        <w:rPr>
          <w:rFonts w:ascii="宋体" w:hAnsi="宋体" w:cs="宋体"/>
          <w:color w:val="000000"/>
          <w:kern w:val="0"/>
          <w:sz w:val="24"/>
          <w:lang w:val="zh-CN"/>
        </w:rPr>
      </w:pPr>
      <w:r>
        <w:rPr>
          <w:rFonts w:hint="eastAsia" w:ascii="宋体" w:hAnsi="宋体" w:cs="宋体"/>
          <w:color w:val="000000"/>
          <w:kern w:val="0"/>
          <w:sz w:val="24"/>
        </w:rPr>
        <w:t>6、</w:t>
      </w:r>
      <w:r>
        <w:rPr>
          <w:rFonts w:hint="eastAsia" w:ascii="宋体" w:hAnsi="宋体" w:cs="宋体"/>
          <w:color w:val="000000"/>
          <w:kern w:val="0"/>
          <w:sz w:val="24"/>
          <w:lang w:val="zh-CN"/>
        </w:rPr>
        <w:t>质疑应当以书面形式向采购代理机构（或采购人）提出，经法定代表人签字并加盖公章。</w:t>
      </w:r>
    </w:p>
    <w:p>
      <w:pPr>
        <w:spacing w:line="360" w:lineRule="auto"/>
        <w:ind w:firstLine="480" w:firstLineChars="200"/>
        <w:rPr>
          <w:rFonts w:ascii="宋体" w:hAnsi="宋体" w:cs="宋体"/>
          <w:color w:val="000000"/>
          <w:kern w:val="0"/>
          <w:sz w:val="24"/>
          <w:lang w:val="zh-CN"/>
        </w:rPr>
      </w:pPr>
      <w:r>
        <w:rPr>
          <w:rFonts w:hint="eastAsia" w:ascii="宋体" w:hAnsi="宋体" w:cs="宋体"/>
          <w:color w:val="000000"/>
          <w:kern w:val="0"/>
          <w:sz w:val="24"/>
        </w:rPr>
        <w:t>7、</w:t>
      </w:r>
      <w:r>
        <w:rPr>
          <w:rFonts w:hint="eastAsia" w:ascii="宋体" w:hAnsi="宋体" w:cs="宋体"/>
          <w:color w:val="000000"/>
          <w:kern w:val="0"/>
          <w:sz w:val="24"/>
          <w:lang w:val="zh-CN"/>
        </w:rPr>
        <w:t>质疑书应当包括以下主要内容：被质疑项目名称、项目编号、磋商公告发布时间、质疑事项、法律依据（具体条款）、质疑人全称、法定代表人签字、盖章、有效联系方式（包括手机、传真号码）。</w:t>
      </w:r>
    </w:p>
    <w:p>
      <w:pPr>
        <w:spacing w:line="360" w:lineRule="auto"/>
        <w:ind w:firstLine="480" w:firstLineChars="200"/>
        <w:rPr>
          <w:rFonts w:ascii="宋体" w:hAnsi="宋体" w:cs="宋体"/>
          <w:color w:val="000000"/>
          <w:kern w:val="0"/>
          <w:sz w:val="24"/>
          <w:lang w:val="zh-CN"/>
        </w:rPr>
      </w:pPr>
      <w:r>
        <w:rPr>
          <w:rFonts w:hint="eastAsia" w:ascii="宋体" w:hAnsi="宋体" w:cs="宋体"/>
          <w:color w:val="000000"/>
          <w:kern w:val="0"/>
          <w:sz w:val="24"/>
        </w:rPr>
        <w:t>8、</w:t>
      </w:r>
      <w:r>
        <w:rPr>
          <w:rFonts w:hint="eastAsia" w:ascii="宋体" w:hAnsi="宋体" w:cs="宋体"/>
          <w:color w:val="000000"/>
          <w:kern w:val="0"/>
          <w:sz w:val="24"/>
          <w:lang w:val="zh-CN"/>
        </w:rPr>
        <w:t>质疑应按照“谁主张、谁举证”的原则，质疑书应当附相关证明材料。质疑材料应为简体中文，一式二份。</w:t>
      </w:r>
    </w:p>
    <w:p>
      <w:pPr>
        <w:spacing w:line="360" w:lineRule="auto"/>
        <w:ind w:firstLine="480" w:firstLineChars="200"/>
        <w:rPr>
          <w:rFonts w:ascii="宋体" w:hAnsi="宋体" w:cs="宋体"/>
          <w:color w:val="000000"/>
          <w:kern w:val="0"/>
          <w:sz w:val="24"/>
          <w:lang w:val="zh-CN"/>
        </w:rPr>
      </w:pPr>
      <w:r>
        <w:rPr>
          <w:rFonts w:hint="eastAsia" w:ascii="宋体" w:hAnsi="宋体" w:cs="宋体"/>
          <w:color w:val="000000"/>
          <w:kern w:val="0"/>
          <w:sz w:val="24"/>
        </w:rPr>
        <w:t>9、</w:t>
      </w:r>
      <w:r>
        <w:rPr>
          <w:rFonts w:hint="eastAsia" w:ascii="宋体" w:hAnsi="宋体" w:cs="宋体"/>
          <w:color w:val="000000"/>
          <w:kern w:val="0"/>
          <w:sz w:val="24"/>
          <w:lang w:val="zh-CN"/>
        </w:rPr>
        <w:t>有下列情形之一的，属于无效质疑，采购代理机构（或采购人）可不予受理：</w:t>
      </w:r>
    </w:p>
    <w:p>
      <w:pPr>
        <w:spacing w:line="360" w:lineRule="auto"/>
        <w:ind w:firstLine="480" w:firstLineChars="200"/>
        <w:rPr>
          <w:rFonts w:ascii="宋体" w:hAnsi="宋体" w:cs="宋体"/>
          <w:color w:val="000000"/>
          <w:kern w:val="0"/>
          <w:sz w:val="24"/>
          <w:lang w:val="zh-CN"/>
        </w:rPr>
      </w:pPr>
      <w:r>
        <w:rPr>
          <w:rFonts w:hint="eastAsia" w:ascii="宋体" w:hAnsi="宋体" w:cs="宋体"/>
          <w:color w:val="000000"/>
          <w:kern w:val="0"/>
          <w:sz w:val="24"/>
          <w:lang w:val="zh-CN"/>
        </w:rPr>
        <w:t>（1）未在有效期限内提出质疑的；</w:t>
      </w:r>
    </w:p>
    <w:p>
      <w:pPr>
        <w:spacing w:line="360" w:lineRule="auto"/>
        <w:ind w:firstLine="480" w:firstLineChars="200"/>
        <w:rPr>
          <w:rFonts w:ascii="宋体" w:hAnsi="宋体" w:cs="宋体"/>
          <w:color w:val="000000"/>
          <w:kern w:val="0"/>
          <w:sz w:val="24"/>
          <w:lang w:val="zh-CN"/>
        </w:rPr>
      </w:pPr>
      <w:r>
        <w:rPr>
          <w:rFonts w:hint="eastAsia" w:ascii="宋体" w:hAnsi="宋体" w:cs="宋体"/>
          <w:color w:val="000000"/>
          <w:kern w:val="0"/>
          <w:sz w:val="24"/>
          <w:lang w:val="zh-CN"/>
        </w:rPr>
        <w:t>（2）质疑未以书面形式提出的；</w:t>
      </w:r>
    </w:p>
    <w:p>
      <w:pPr>
        <w:spacing w:line="360" w:lineRule="auto"/>
        <w:ind w:firstLine="480" w:firstLineChars="200"/>
        <w:rPr>
          <w:rFonts w:ascii="宋体" w:hAnsi="宋体" w:cs="宋体"/>
          <w:color w:val="000000"/>
          <w:kern w:val="0"/>
          <w:sz w:val="24"/>
          <w:lang w:val="zh-CN"/>
        </w:rPr>
      </w:pPr>
      <w:r>
        <w:rPr>
          <w:rFonts w:hint="eastAsia" w:ascii="宋体" w:hAnsi="宋体" w:cs="宋体"/>
          <w:color w:val="000000"/>
          <w:kern w:val="0"/>
          <w:sz w:val="24"/>
          <w:lang w:val="zh-CN"/>
        </w:rPr>
        <w:t>（3）所提交材料未明示属于质疑材料的；</w:t>
      </w:r>
    </w:p>
    <w:p>
      <w:pPr>
        <w:spacing w:line="360" w:lineRule="auto"/>
        <w:ind w:firstLine="480" w:firstLineChars="200"/>
        <w:rPr>
          <w:rFonts w:ascii="宋体" w:hAnsi="宋体" w:cs="宋体"/>
          <w:color w:val="000000"/>
          <w:kern w:val="0"/>
          <w:sz w:val="24"/>
          <w:lang w:val="zh-CN"/>
        </w:rPr>
      </w:pPr>
      <w:r>
        <w:rPr>
          <w:rFonts w:hint="eastAsia" w:ascii="宋体" w:hAnsi="宋体" w:cs="宋体"/>
          <w:color w:val="000000"/>
          <w:kern w:val="0"/>
          <w:sz w:val="24"/>
          <w:lang w:val="zh-CN"/>
        </w:rPr>
        <w:t>（4）质疑书没有法定代表人签署本人姓名或印盖本人姓名章并加盖单位公章的；质疑书由参加采购项目的授权代表签署本人姓名或印盖本人姓名章，但没有法定代表人特别授权的；</w:t>
      </w:r>
    </w:p>
    <w:p>
      <w:pPr>
        <w:spacing w:line="360" w:lineRule="auto"/>
        <w:ind w:firstLine="480" w:firstLineChars="200"/>
        <w:rPr>
          <w:rFonts w:ascii="宋体" w:hAnsi="宋体" w:cs="宋体"/>
          <w:color w:val="000000"/>
          <w:kern w:val="0"/>
          <w:sz w:val="24"/>
          <w:lang w:val="zh-CN"/>
        </w:rPr>
      </w:pPr>
      <w:r>
        <w:rPr>
          <w:rFonts w:hint="eastAsia" w:ascii="宋体" w:hAnsi="宋体" w:cs="宋体"/>
          <w:color w:val="000000"/>
          <w:kern w:val="0"/>
          <w:sz w:val="24"/>
          <w:lang w:val="zh-CN"/>
        </w:rPr>
        <w:t>（5）质疑书未提供有效联系人或联系方式的；</w:t>
      </w:r>
    </w:p>
    <w:p>
      <w:pPr>
        <w:spacing w:line="360" w:lineRule="auto"/>
        <w:ind w:firstLine="480" w:firstLineChars="200"/>
        <w:rPr>
          <w:rFonts w:ascii="宋体" w:hAnsi="宋体" w:cs="宋体"/>
          <w:color w:val="000000"/>
          <w:kern w:val="0"/>
          <w:sz w:val="24"/>
          <w:lang w:val="zh-CN"/>
        </w:rPr>
      </w:pPr>
      <w:r>
        <w:rPr>
          <w:rFonts w:hint="eastAsia" w:ascii="宋体" w:hAnsi="宋体" w:cs="宋体"/>
          <w:color w:val="000000"/>
          <w:kern w:val="0"/>
          <w:sz w:val="24"/>
          <w:lang w:val="zh-CN"/>
        </w:rPr>
        <w:t>（6）质疑事项已经进入投诉或者行政复议或者诉讼程序的；</w:t>
      </w:r>
    </w:p>
    <w:p>
      <w:pPr>
        <w:spacing w:line="360" w:lineRule="auto"/>
        <w:ind w:firstLine="480" w:firstLineChars="200"/>
        <w:rPr>
          <w:rFonts w:ascii="宋体" w:hAnsi="宋体" w:cs="宋体"/>
          <w:color w:val="000000"/>
          <w:kern w:val="0"/>
          <w:sz w:val="24"/>
          <w:lang w:val="zh-CN"/>
        </w:rPr>
      </w:pPr>
      <w:r>
        <w:rPr>
          <w:rFonts w:hint="eastAsia" w:ascii="宋体" w:hAnsi="宋体" w:cs="宋体"/>
          <w:color w:val="000000"/>
          <w:kern w:val="0"/>
          <w:sz w:val="24"/>
          <w:lang w:val="zh-CN"/>
        </w:rPr>
        <w:t>（7）质疑书未附相关证明材料，被视为无有效证据支持的。</w:t>
      </w:r>
    </w:p>
    <w:p>
      <w:pPr>
        <w:spacing w:line="360" w:lineRule="auto"/>
        <w:ind w:firstLine="480" w:firstLineChars="200"/>
        <w:rPr>
          <w:rFonts w:ascii="宋体" w:hAnsi="宋体" w:cs="宋体"/>
          <w:color w:val="000000"/>
          <w:kern w:val="0"/>
          <w:sz w:val="24"/>
          <w:lang w:val="zh-CN"/>
        </w:rPr>
      </w:pPr>
      <w:r>
        <w:rPr>
          <w:rFonts w:hint="eastAsia" w:ascii="宋体" w:hAnsi="宋体" w:cs="宋体"/>
          <w:color w:val="000000"/>
          <w:kern w:val="0"/>
          <w:sz w:val="24"/>
          <w:lang w:val="zh-CN"/>
        </w:rPr>
        <w:t>（8）磋商响应单位对磋商文件条款或技术参数有异议，未在评审前通过澄清或修改程序提出，并且磋商响应单位已经参与磋商，而于评审后对磋商文件提出质疑的；</w:t>
      </w:r>
    </w:p>
    <w:p>
      <w:pPr>
        <w:spacing w:line="360" w:lineRule="auto"/>
        <w:ind w:firstLine="480" w:firstLineChars="200"/>
        <w:rPr>
          <w:rFonts w:ascii="宋体" w:hAnsi="宋体" w:cs="宋体"/>
          <w:color w:val="000000"/>
          <w:kern w:val="0"/>
          <w:sz w:val="24"/>
          <w:lang w:val="zh-CN"/>
        </w:rPr>
      </w:pPr>
      <w:r>
        <w:rPr>
          <w:rFonts w:hint="eastAsia" w:ascii="宋体" w:hAnsi="宋体" w:cs="宋体"/>
          <w:color w:val="000000"/>
          <w:kern w:val="0"/>
          <w:sz w:val="24"/>
          <w:lang w:val="zh-CN"/>
        </w:rPr>
        <w:t>（9）在提出本次质疑前半年内连续三次质疑而无事实依据的；</w:t>
      </w:r>
    </w:p>
    <w:p>
      <w:pPr>
        <w:spacing w:line="360" w:lineRule="auto"/>
        <w:ind w:firstLine="480" w:firstLineChars="200"/>
        <w:rPr>
          <w:rFonts w:ascii="宋体" w:hAnsi="宋体" w:cs="宋体"/>
          <w:color w:val="000000"/>
          <w:kern w:val="0"/>
          <w:sz w:val="24"/>
          <w:lang w:val="zh-CN"/>
        </w:rPr>
      </w:pPr>
      <w:r>
        <w:rPr>
          <w:rFonts w:hint="eastAsia" w:ascii="宋体" w:hAnsi="宋体" w:cs="宋体"/>
          <w:color w:val="000000"/>
          <w:kern w:val="0"/>
          <w:sz w:val="24"/>
          <w:lang w:val="zh-CN"/>
        </w:rPr>
        <w:t>（10）其它不符合受理条件的情形。</w:t>
      </w:r>
    </w:p>
    <w:p>
      <w:pPr>
        <w:spacing w:line="360" w:lineRule="auto"/>
        <w:ind w:firstLine="480" w:firstLineChars="200"/>
        <w:rPr>
          <w:rFonts w:ascii="宋体" w:hAnsi="宋体" w:cs="宋体"/>
          <w:color w:val="000000"/>
          <w:kern w:val="0"/>
          <w:sz w:val="24"/>
          <w:lang w:val="zh-CN"/>
        </w:rPr>
      </w:pPr>
      <w:r>
        <w:rPr>
          <w:rFonts w:hint="eastAsia" w:ascii="宋体" w:hAnsi="宋体" w:cs="宋体"/>
          <w:color w:val="000000"/>
          <w:kern w:val="0"/>
          <w:sz w:val="24"/>
        </w:rPr>
        <w:t>10、</w:t>
      </w:r>
      <w:r>
        <w:rPr>
          <w:rFonts w:hint="eastAsia" w:ascii="宋体" w:hAnsi="宋体" w:cs="宋体"/>
          <w:color w:val="000000"/>
          <w:kern w:val="0"/>
          <w:sz w:val="24"/>
          <w:lang w:val="zh-CN"/>
        </w:rPr>
        <w:t>采购代理机构（或采购人）将在收到书面质疑后7个工作日内审查质疑事项，做出答复或相关处理决定，并以书面形式通知质疑磋商响应单位和其他有关磋商响应单位，但答复的内容不涉及商业秘密。</w:t>
      </w:r>
    </w:p>
    <w:p>
      <w:pPr>
        <w:pStyle w:val="18"/>
        <w:adjustRightInd w:val="0"/>
        <w:snapToGrid w:val="0"/>
        <w:spacing w:after="0" w:line="360" w:lineRule="auto"/>
        <w:ind w:left="0" w:leftChars="0"/>
        <w:rPr>
          <w:rFonts w:asciiTheme="minorEastAsia" w:hAnsiTheme="minorEastAsia" w:eastAsiaTheme="minorEastAsia" w:cstheme="minorEastAsia"/>
          <w:sz w:val="24"/>
        </w:rPr>
      </w:pPr>
      <w:r>
        <w:rPr>
          <w:rFonts w:hint="eastAsia" w:ascii="宋体" w:hAnsi="宋体" w:cs="宋体"/>
          <w:color w:val="000000"/>
          <w:kern w:val="0"/>
          <w:sz w:val="24"/>
        </w:rPr>
        <w:t>　　11、</w:t>
      </w:r>
      <w:r>
        <w:rPr>
          <w:rFonts w:hint="eastAsia" w:ascii="宋体" w:hAnsi="宋体" w:cs="宋体"/>
          <w:color w:val="000000"/>
          <w:kern w:val="0"/>
          <w:sz w:val="24"/>
          <w:lang w:val="zh-CN"/>
        </w:rPr>
        <w:t>质疑磋商响应单位对采购代理机构（或采购人）的答复不满意以及采购代理机构（或采购人）未在规定的时间内做出答复的，可以在答复期满后15个工作日内向政府采购监管部门投诉。</w:t>
      </w:r>
    </w:p>
    <w:p>
      <w:pPr>
        <w:pStyle w:val="4"/>
        <w:adjustRightInd w:val="0"/>
        <w:snapToGrid w:val="0"/>
        <w:spacing w:before="120" w:after="120" w:line="360" w:lineRule="auto"/>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八、其 他</w:t>
      </w:r>
    </w:p>
    <w:p>
      <w:pPr>
        <w:adjustRightInd w:val="0"/>
        <w:snapToGrid w:val="0"/>
        <w:spacing w:line="360" w:lineRule="auto"/>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1、招标代理服务费</w:t>
      </w:r>
      <w:r>
        <w:rPr>
          <w:rFonts w:hint="eastAsia" w:asciiTheme="minorEastAsia" w:hAnsiTheme="minorEastAsia" w:eastAsiaTheme="minorEastAsia" w:cstheme="minorEastAsia"/>
          <w:sz w:val="24"/>
        </w:rPr>
        <w:t>及造价咨询费用</w:t>
      </w:r>
    </w:p>
    <w:p>
      <w:pPr>
        <w:adjustRightInd w:val="0"/>
        <w:snapToGrid w:val="0"/>
        <w:spacing w:line="360" w:lineRule="auto"/>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 xml:space="preserve">1.1 </w:t>
      </w:r>
      <w:r>
        <w:rPr>
          <w:rFonts w:hint="eastAsia" w:asciiTheme="minorEastAsia" w:hAnsiTheme="minorEastAsia" w:eastAsiaTheme="minorEastAsia" w:cstheme="minorEastAsia"/>
          <w:sz w:val="24"/>
        </w:rPr>
        <w:t>按国家发展计划委员会文件计价格【2002】1980号、发改价格【2011】534号、发改价格的【2015】299号及陕价行发【2014】88号，招标代理费用及造价咨询费根据实际成交价格据实结算，由成交单位进行支付。</w:t>
      </w:r>
    </w:p>
    <w:p>
      <w:pPr>
        <w:adjustRightInd w:val="0"/>
        <w:snapToGrid w:val="0"/>
        <w:spacing w:line="360" w:lineRule="auto"/>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sz w:val="24"/>
        </w:rPr>
        <w:t>1.2 成交磋商响应单位应依据以上内容在领取中标通知书前向采购代理机构足额</w:t>
      </w:r>
      <w:r>
        <w:rPr>
          <w:rFonts w:hint="eastAsia" w:asciiTheme="minorEastAsia" w:hAnsiTheme="minorEastAsia" w:eastAsiaTheme="minorEastAsia" w:cstheme="minorEastAsia"/>
          <w:bCs/>
          <w:sz w:val="24"/>
        </w:rPr>
        <w:t>交纳招标代理服务费及造价咨询费。</w:t>
      </w:r>
    </w:p>
    <w:p>
      <w:pPr>
        <w:adjustRightInd w:val="0"/>
        <w:snapToGrid w:val="0"/>
        <w:spacing w:line="360" w:lineRule="auto"/>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1.3 招标代理服务费及造价咨询费以银行转账形式缴纳。</w:t>
      </w:r>
    </w:p>
    <w:p>
      <w:pPr>
        <w:adjustRightInd w:val="0"/>
        <w:snapToGrid w:val="0"/>
        <w:spacing w:line="360" w:lineRule="auto"/>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1.4 成交磋商响应单位服务费交纳信息</w:t>
      </w:r>
    </w:p>
    <w:p>
      <w:pPr>
        <w:adjustRightInd w:val="0"/>
        <w:snapToGrid w:val="0"/>
        <w:spacing w:line="360" w:lineRule="auto"/>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户    名：同正项目管理有限公司</w:t>
      </w:r>
    </w:p>
    <w:p>
      <w:pPr>
        <w:adjustRightInd w:val="0"/>
        <w:snapToGrid w:val="0"/>
        <w:spacing w:line="360" w:lineRule="auto"/>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开户银行：中信银行西安经济技术开发区支行</w:t>
      </w:r>
    </w:p>
    <w:p>
      <w:pPr>
        <w:adjustRightInd w:val="0"/>
        <w:snapToGrid w:val="0"/>
        <w:spacing w:line="360" w:lineRule="auto"/>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账    号：7251210182600131313</w:t>
      </w:r>
    </w:p>
    <w:p>
      <w:pPr>
        <w:adjustRightInd w:val="0"/>
        <w:snapToGrid w:val="0"/>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2、本项目落实的政府采购政策：</w:t>
      </w:r>
    </w:p>
    <w:p>
      <w:pPr>
        <w:adjustRightInd w:val="0"/>
        <w:snapToGrid w:val="0"/>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2.1 投标企业政府采购政策</w:t>
      </w:r>
    </w:p>
    <w:p>
      <w:pPr>
        <w:adjustRightInd w:val="0"/>
        <w:snapToGrid w:val="0"/>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2.1.1中小企业落实政府采购政策</w:t>
      </w:r>
    </w:p>
    <w:p>
      <w:pPr>
        <w:adjustRightInd w:val="0"/>
        <w:snapToGrid w:val="0"/>
        <w:spacing w:line="360" w:lineRule="auto"/>
        <w:rPr>
          <w:rFonts w:asciiTheme="minorEastAsia" w:hAnsiTheme="minorEastAsia" w:eastAsiaTheme="minorEastAsia" w:cstheme="minorEastAsia"/>
          <w:sz w:val="24"/>
          <w:highlight w:val="yellow"/>
        </w:rPr>
      </w:pPr>
      <w:r>
        <w:rPr>
          <w:rFonts w:hint="eastAsia" w:asciiTheme="minorEastAsia" w:hAnsiTheme="minorEastAsia" w:eastAsiaTheme="minorEastAsia" w:cstheme="minorEastAsia"/>
          <w:sz w:val="24"/>
        </w:rPr>
        <w:t>　　（1）中小企业应符合工信部联企业[2011]300号文件规定，采购活动执行《政府采购促进中小企业发展管理办法》的规定。</w:t>
      </w:r>
    </w:p>
    <w:p>
      <w:pPr>
        <w:adjustRightInd w:val="0"/>
        <w:snapToGrid w:val="0"/>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2.1.2 监狱和戒毒企业应符合《财政部司法部关于政府采购支持监狱企业发展有关问题的通知》--财库〔2014〕68号，并提供由省级以上监狱管理局、戒毒管理局(含新疆生产建设兵团)出具的属于监狱企业的证明。</w:t>
      </w:r>
    </w:p>
    <w:p>
      <w:pPr>
        <w:adjustRightInd w:val="0"/>
        <w:snapToGrid w:val="0"/>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2.1.3 磋商响应单位应如实提供以上证明文件，如存在虚假应标，将取消其投标资格。</w:t>
      </w:r>
    </w:p>
    <w:p>
      <w:pPr>
        <w:adjustRightInd w:val="0"/>
        <w:snapToGrid w:val="0"/>
        <w:spacing w:line="360" w:lineRule="auto"/>
        <w:ind w:firstLine="240" w:firstLineChars="100"/>
        <w:rPr>
          <w:rFonts w:asciiTheme="minorEastAsia" w:hAnsiTheme="minorEastAsia" w:eastAsiaTheme="minorEastAsia" w:cstheme="minorEastAsia"/>
          <w:sz w:val="24"/>
          <w:lang w:val="zh-CN"/>
        </w:rPr>
      </w:pPr>
      <w:r>
        <w:rPr>
          <w:rFonts w:hint="eastAsia" w:asciiTheme="minorEastAsia" w:hAnsiTheme="minorEastAsia" w:eastAsiaTheme="minorEastAsia" w:cstheme="minorEastAsia"/>
          <w:sz w:val="24"/>
        </w:rPr>
        <w:t>　3</w:t>
      </w:r>
      <w:r>
        <w:rPr>
          <w:rFonts w:hint="eastAsia" w:asciiTheme="minorEastAsia" w:hAnsiTheme="minorEastAsia" w:eastAsiaTheme="minorEastAsia" w:cstheme="minorEastAsia"/>
          <w:sz w:val="24"/>
          <w:lang w:val="zh-CN"/>
        </w:rPr>
        <w:t>、</w:t>
      </w:r>
      <w:r>
        <w:rPr>
          <w:rFonts w:hint="eastAsia" w:asciiTheme="minorEastAsia" w:hAnsiTheme="minorEastAsia" w:eastAsiaTheme="minorEastAsia" w:cstheme="minorEastAsia"/>
          <w:sz w:val="24"/>
        </w:rPr>
        <w:t>在采购过程中符合要求磋商响应单位或者报价未超出采购预算的磋商响应单位不足</w:t>
      </w:r>
      <w:r>
        <w:rPr>
          <w:rFonts w:hint="eastAsia" w:asciiTheme="minorEastAsia" w:hAnsiTheme="minorEastAsia" w:eastAsiaTheme="minorEastAsia" w:cstheme="minorEastAsia"/>
          <w:sz w:val="24"/>
          <w:lang w:val="zh-CN"/>
        </w:rPr>
        <w:t>3家的，采购代理机构请示监督机构后，终止竞争性磋商活动或继续磋商。</w:t>
      </w:r>
    </w:p>
    <w:p>
      <w:pPr>
        <w:adjustRightInd w:val="0"/>
        <w:snapToGrid w:val="0"/>
        <w:spacing w:line="360" w:lineRule="auto"/>
        <w:ind w:firstLine="240" w:firstLineChars="100"/>
        <w:rPr>
          <w:rFonts w:asciiTheme="minorEastAsia" w:hAnsiTheme="minorEastAsia" w:eastAsiaTheme="minorEastAsia" w:cstheme="minorEastAsia"/>
          <w:sz w:val="24"/>
          <w:lang w:val="zh-CN"/>
        </w:rPr>
      </w:pPr>
      <w:r>
        <w:rPr>
          <w:rFonts w:hint="eastAsia" w:asciiTheme="minorEastAsia" w:hAnsiTheme="minorEastAsia" w:eastAsiaTheme="minorEastAsia" w:cstheme="minorEastAsia"/>
          <w:sz w:val="24"/>
        </w:rPr>
        <w:t>　4</w:t>
      </w:r>
      <w:r>
        <w:rPr>
          <w:rFonts w:hint="eastAsia" w:asciiTheme="minorEastAsia" w:hAnsiTheme="minorEastAsia" w:eastAsiaTheme="minorEastAsia" w:cstheme="minorEastAsia"/>
          <w:sz w:val="24"/>
          <w:lang w:val="zh-CN"/>
        </w:rPr>
        <w:t>、确定成交单位后，成交单位无正当理由拖延或拒签合同，采购人有权取消其成交资格，并报请监督机构予以通报，取消其进入政府采购市场的资格，并按规定予以处罚。</w:t>
      </w:r>
    </w:p>
    <w:p>
      <w:pPr>
        <w:adjustRightInd w:val="0"/>
        <w:snapToGrid w:val="0"/>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5.</w:t>
      </w:r>
      <w:bookmarkStart w:id="4" w:name="_Toc1185"/>
      <w:bookmarkStart w:id="5" w:name="_Toc7524"/>
      <w:r>
        <w:rPr>
          <w:rFonts w:hint="eastAsia" w:asciiTheme="minorEastAsia" w:hAnsiTheme="minorEastAsia" w:eastAsiaTheme="minorEastAsia" w:cstheme="minorEastAsia"/>
          <w:sz w:val="24"/>
        </w:rPr>
        <w:t>信用担保</w:t>
      </w:r>
      <w:bookmarkEnd w:id="4"/>
      <w:r>
        <w:rPr>
          <w:rFonts w:hint="eastAsia" w:asciiTheme="minorEastAsia" w:hAnsiTheme="minorEastAsia" w:eastAsiaTheme="minorEastAsia" w:cstheme="minorEastAsia"/>
          <w:sz w:val="24"/>
        </w:rPr>
        <w:t>及信用融资</w:t>
      </w:r>
      <w:bookmarkEnd w:id="5"/>
    </w:p>
    <w:p>
      <w:pPr>
        <w:adjustRightInd w:val="0"/>
        <w:snapToGrid w:val="0"/>
        <w:spacing w:line="360" w:lineRule="auto"/>
        <w:ind w:firstLine="480" w:firstLineChars="200"/>
        <w:rPr>
          <w:rFonts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5.1陕西省政府采购信用担保及信用融资政策：</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cs="宋体"/>
          <w:b w:val="0"/>
          <w:bCs w:val="0"/>
          <w:sz w:val="24"/>
          <w:szCs w:val="24"/>
          <w:highlight w:val="none"/>
          <w:lang w:val="en-US" w:eastAsia="zh-CN"/>
        </w:rPr>
      </w:pPr>
      <w:r>
        <w:rPr>
          <w:rFonts w:hint="eastAsia" w:ascii="宋体" w:hAnsi="宋体" w:cs="宋体"/>
          <w:b w:val="0"/>
          <w:bCs w:val="0"/>
          <w:sz w:val="24"/>
          <w:szCs w:val="24"/>
          <w:highlight w:val="none"/>
          <w:lang w:val="en-US" w:eastAsia="zh-CN"/>
        </w:rPr>
        <w:t>（1）根据陕西省财政厅关于印发《陕西省中小企业政府采购信用融资办法》（陕财办采〔2018〕23号）和《陕西省财政厅关于加快推进我省中小企业政府采购信用融资工作的通知》（陕财办采〔2020〕15号）文件精神，有融资需求的供应商可根据自身情况，在陕西省政府采购信用融资平台（含各市分平台）自主选择金融机构及其融资产品，凭政府采购中标（成交）通知书或政府采购合同向金融机构提出融资申请。</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highlight w:val="none"/>
          <w:lang w:val="en-US" w:eastAsia="zh-CN"/>
        </w:rPr>
      </w:pPr>
      <w:r>
        <w:rPr>
          <w:rFonts w:hint="eastAsia" w:ascii="宋体" w:hAnsi="宋体" w:cs="宋体"/>
          <w:b w:val="0"/>
          <w:bCs w:val="0"/>
          <w:sz w:val="24"/>
          <w:szCs w:val="24"/>
          <w:highlight w:val="none"/>
          <w:lang w:val="en-US" w:eastAsia="zh-CN"/>
        </w:rPr>
        <w:t>（2）西安市政府采购信用担保及信用融资政策：为发挥政府采购促进中小企业发展的政策功能，西安市财政局制定了《西安市政府采购信用担保及信用融资工作实施方案（试行）》（市财发〔2014〕167），为参与西安市市级政府采购项目的供应商提供政府采购信用担保和融资服务，并按照程序确定了合作的担保机构和商业银行。成交供应商缴纳履约保证金时可自愿选择通过担保机构保函的形式缴纳；成交供应商如果需要融资贷款服务的，可凭成交通知书、政府采购合同等相关资料，按照实施方案规定的程序申请办理。</w:t>
      </w:r>
      <w:r>
        <w:rPr>
          <w:rFonts w:hint="eastAsia"/>
          <w:highlight w:val="none"/>
          <w:lang w:val="en-US" w:eastAsia="zh-CN"/>
        </w:rPr>
        <w:tab/>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宋体" w:hAnsi="宋体" w:cs="宋体"/>
          <w:b w:val="0"/>
          <w:bCs w:val="0"/>
          <w:sz w:val="24"/>
          <w:szCs w:val="24"/>
          <w:highlight w:val="none"/>
          <w:lang w:val="en-US" w:eastAsia="zh-CN"/>
        </w:rPr>
      </w:pPr>
      <w:r>
        <w:rPr>
          <w:rFonts w:hint="eastAsia" w:ascii="宋体" w:hAnsi="宋体" w:cs="宋体"/>
          <w:b w:val="0"/>
          <w:bCs w:val="0"/>
          <w:sz w:val="24"/>
          <w:szCs w:val="24"/>
          <w:highlight w:val="none"/>
          <w:lang w:val="en-US" w:eastAsia="zh-CN"/>
        </w:rPr>
        <w:t>（3）陕西省政府采购支持中小企业信用融资合作银行名单详见（陕西省政府采购网-采购动态-重要通知http://www.ccgp-shaanxi.gov.cn/）。</w:t>
      </w:r>
    </w:p>
    <w:p>
      <w:pPr>
        <w:pStyle w:val="17"/>
        <w:rPr>
          <w:lang w:val="zh-CN"/>
        </w:rPr>
      </w:pPr>
    </w:p>
    <w:p>
      <w:pPr>
        <w:pStyle w:val="17"/>
        <w:rPr>
          <w:lang w:val="zh-CN"/>
        </w:rPr>
      </w:pPr>
      <w:r>
        <w:rPr>
          <w:lang w:val="zh-CN"/>
        </w:rPr>
        <w:br w:type="page"/>
      </w:r>
    </w:p>
    <w:p>
      <w:pPr>
        <w:pStyle w:val="3"/>
        <w:numPr>
          <w:ilvl w:val="0"/>
          <w:numId w:val="0"/>
        </w:numPr>
        <w:adjustRightInd w:val="0"/>
        <w:snapToGrid w:val="0"/>
        <w:spacing w:after="156" w:afterLines="50" w:line="360" w:lineRule="auto"/>
        <w:ind w:firstLine="1606" w:firstLineChars="500"/>
        <w:jc w:val="both"/>
        <w:rPr>
          <w:bCs/>
          <w:sz w:val="24"/>
        </w:rPr>
      </w:pPr>
      <w:bookmarkStart w:id="6" w:name="_Toc22384"/>
      <w:bookmarkStart w:id="7" w:name="_Toc414957201"/>
      <w:bookmarkStart w:id="8" w:name="_Toc414957515"/>
      <w:bookmarkStart w:id="9" w:name="_Toc22540"/>
      <w:r>
        <w:rPr>
          <w:rFonts w:hint="eastAsia" w:asciiTheme="majorEastAsia" w:hAnsiTheme="majorEastAsia" w:eastAsiaTheme="majorEastAsia" w:cstheme="majorEastAsia"/>
          <w:b/>
          <w:bCs/>
          <w:kern w:val="2"/>
          <w:sz w:val="32"/>
          <w:szCs w:val="32"/>
        </w:rPr>
        <w:t>第三章</w:t>
      </w:r>
      <w:bookmarkStart w:id="10" w:name="OLE_LINK11"/>
      <w:r>
        <w:rPr>
          <w:rFonts w:hint="eastAsia" w:asciiTheme="majorEastAsia" w:hAnsiTheme="majorEastAsia" w:eastAsiaTheme="majorEastAsia" w:cstheme="majorEastAsia"/>
          <w:b/>
          <w:bCs/>
          <w:kern w:val="2"/>
          <w:sz w:val="32"/>
          <w:szCs w:val="32"/>
        </w:rPr>
        <w:t>　磋商响应单位资格证明</w:t>
      </w:r>
      <w:bookmarkEnd w:id="10"/>
      <w:r>
        <w:rPr>
          <w:rFonts w:hint="eastAsia" w:asciiTheme="majorEastAsia" w:hAnsiTheme="majorEastAsia" w:eastAsiaTheme="majorEastAsia" w:cstheme="majorEastAsia"/>
          <w:b/>
          <w:bCs/>
          <w:kern w:val="2"/>
          <w:sz w:val="32"/>
          <w:szCs w:val="32"/>
        </w:rPr>
        <w:t>文件</w:t>
      </w:r>
      <w:bookmarkEnd w:id="6"/>
    </w:p>
    <w:p>
      <w:pPr>
        <w:pStyle w:val="18"/>
        <w:kinsoku w:val="0"/>
        <w:autoSpaceDE w:val="0"/>
        <w:autoSpaceDN w:val="0"/>
        <w:adjustRightInd w:val="0"/>
        <w:snapToGrid w:val="0"/>
        <w:spacing w:after="0" w:line="360" w:lineRule="auto"/>
        <w:ind w:left="0" w:leftChars="0"/>
        <w:rPr>
          <w:rFonts w:ascii="宋体" w:hAnsi="宋体" w:cs="宋体"/>
          <w:bCs/>
          <w:sz w:val="24"/>
        </w:rPr>
      </w:pPr>
      <w:r>
        <w:rPr>
          <w:bCs/>
          <w:sz w:val="24"/>
        </w:rPr>
        <w:t xml:space="preserve"> </w:t>
      </w:r>
      <w:r>
        <w:rPr>
          <w:rFonts w:hint="eastAsia" w:ascii="宋体" w:hAnsi="宋体" w:cs="宋体"/>
          <w:bCs/>
          <w:sz w:val="24"/>
        </w:rPr>
        <w:t xml:space="preserve">   1、磋商响应单位参加本次磋商必须提供以下资格证明文件： </w:t>
      </w:r>
    </w:p>
    <w:p>
      <w:pPr>
        <w:adjustRightInd w:val="0"/>
        <w:snapToGrid w:val="0"/>
        <w:spacing w:line="360" w:lineRule="auto"/>
        <w:rPr>
          <w:rFonts w:ascii="宋体" w:hAnsi="宋体" w:cs="宋体"/>
          <w:bCs/>
          <w:sz w:val="24"/>
        </w:rPr>
      </w:pPr>
      <w:r>
        <w:rPr>
          <w:rFonts w:hint="eastAsia" w:ascii="宋体" w:hAnsi="宋体" w:cs="宋体"/>
          <w:bCs/>
          <w:sz w:val="24"/>
        </w:rPr>
        <w:t>磋商响应单位除应具备《中华人民共和国政府采购法》第二十二条规定的条件外还需：</w:t>
      </w:r>
    </w:p>
    <w:p>
      <w:pPr>
        <w:numPr>
          <w:ilvl w:val="0"/>
          <w:numId w:val="0"/>
        </w:numPr>
        <w:overflowPunct w:val="0"/>
        <w:topLinePunct/>
        <w:spacing w:line="360" w:lineRule="auto"/>
        <w:rPr>
          <w:rFonts w:hint="eastAsia" w:ascii="宋体" w:hAnsi="宋体" w:cs="宋体"/>
          <w:sz w:val="24"/>
        </w:rPr>
      </w:pPr>
      <w:r>
        <w:rPr>
          <w:rFonts w:hint="eastAsia" w:ascii="宋体" w:hAnsi="宋体" w:cs="宋体"/>
          <w:sz w:val="24"/>
          <w:lang w:eastAsia="zh-CN"/>
        </w:rPr>
        <w:t>（</w:t>
      </w:r>
      <w:r>
        <w:rPr>
          <w:rFonts w:hint="eastAsia" w:ascii="宋体" w:hAnsi="宋体" w:cs="宋体"/>
          <w:sz w:val="24"/>
          <w:lang w:val="en-US" w:eastAsia="zh-CN"/>
        </w:rPr>
        <w:t>1</w:t>
      </w:r>
      <w:r>
        <w:rPr>
          <w:rFonts w:hint="eastAsia" w:ascii="宋体" w:hAnsi="宋体" w:cs="宋体"/>
          <w:sz w:val="24"/>
          <w:lang w:eastAsia="zh-CN"/>
        </w:rPr>
        <w:t>）</w:t>
      </w:r>
      <w:r>
        <w:rPr>
          <w:rFonts w:hint="eastAsia" w:ascii="宋体" w:hAnsi="宋体" w:cs="宋体"/>
          <w:sz w:val="24"/>
        </w:rPr>
        <w:t>具有合格有效的企业法人营业执照、税务登记证、组织机构代码证（或三证合一营业执照）；</w:t>
      </w:r>
    </w:p>
    <w:p>
      <w:pPr>
        <w:numPr>
          <w:ilvl w:val="0"/>
          <w:numId w:val="0"/>
        </w:numPr>
        <w:overflowPunct w:val="0"/>
        <w:topLinePunct/>
        <w:spacing w:line="360" w:lineRule="auto"/>
        <w:ind w:leftChars="0"/>
        <w:rPr>
          <w:rFonts w:hint="eastAsia" w:ascii="宋体" w:hAnsi="宋体" w:cs="宋体"/>
          <w:sz w:val="24"/>
        </w:rPr>
      </w:pPr>
      <w:r>
        <w:rPr>
          <w:rFonts w:hint="eastAsia" w:ascii="宋体" w:hAnsi="宋体" w:cs="宋体"/>
          <w:sz w:val="24"/>
          <w:lang w:eastAsia="zh-CN"/>
        </w:rPr>
        <w:t>（</w:t>
      </w:r>
      <w:r>
        <w:rPr>
          <w:rFonts w:hint="eastAsia" w:ascii="宋体" w:hAnsi="宋体" w:cs="宋体"/>
          <w:sz w:val="24"/>
          <w:lang w:val="en-US" w:eastAsia="zh-CN"/>
        </w:rPr>
        <w:t>2</w:t>
      </w:r>
      <w:r>
        <w:rPr>
          <w:rFonts w:hint="eastAsia" w:ascii="宋体" w:hAnsi="宋体" w:cs="宋体"/>
          <w:sz w:val="24"/>
          <w:lang w:eastAsia="zh-CN"/>
        </w:rPr>
        <w:t>）</w:t>
      </w:r>
      <w:r>
        <w:rPr>
          <w:rFonts w:hint="eastAsia" w:ascii="宋体" w:hAnsi="宋体" w:cs="宋体"/>
          <w:sz w:val="24"/>
        </w:rPr>
        <w:t>磋商响应单位应授权合法的人员参加磋商全过程，其中法定代表人直接参加磋商的，须出具法人身份证，并与营业执照上信息一致。法定代表人授权代表参加磋商的，须出具法定代表人授权书及授权代表身份证；</w:t>
      </w:r>
    </w:p>
    <w:p>
      <w:pPr>
        <w:numPr>
          <w:ilvl w:val="0"/>
          <w:numId w:val="0"/>
        </w:numPr>
        <w:overflowPunct w:val="0"/>
        <w:topLinePunct/>
        <w:spacing w:line="360" w:lineRule="auto"/>
        <w:ind w:leftChars="0"/>
        <w:rPr>
          <w:rFonts w:hint="eastAsia" w:ascii="宋体" w:hAnsi="宋体" w:cs="宋体"/>
          <w:sz w:val="24"/>
        </w:rPr>
      </w:pPr>
      <w:r>
        <w:rPr>
          <w:rFonts w:hint="eastAsia" w:ascii="宋体" w:hAnsi="宋体" w:cs="宋体"/>
          <w:sz w:val="24"/>
          <w:highlight w:val="none"/>
          <w:lang w:eastAsia="zh-CN"/>
        </w:rPr>
        <w:t>（</w:t>
      </w:r>
      <w:r>
        <w:rPr>
          <w:rFonts w:hint="eastAsia" w:ascii="宋体" w:hAnsi="宋体" w:cs="宋体"/>
          <w:sz w:val="24"/>
          <w:highlight w:val="none"/>
          <w:lang w:val="en-US" w:eastAsia="zh-CN"/>
        </w:rPr>
        <w:t>3</w:t>
      </w:r>
      <w:r>
        <w:rPr>
          <w:rFonts w:hint="eastAsia" w:ascii="宋体" w:hAnsi="宋体" w:cs="宋体"/>
          <w:sz w:val="24"/>
          <w:highlight w:val="none"/>
          <w:lang w:eastAsia="zh-CN"/>
        </w:rPr>
        <w:t>）具备建设部门颁发的电力工程施工总承包三级（含）及以上资质或输变电工程专业承包三级（含）及以上资质，具有有效的安全生产许可证，且具备承装、承修、承试五级及以上承装（修、试）电力设施许可证</w:t>
      </w:r>
      <w:r>
        <w:rPr>
          <w:rFonts w:hint="eastAsia" w:ascii="宋体" w:hAnsi="宋体" w:cs="宋体"/>
          <w:sz w:val="24"/>
        </w:rPr>
        <w:t>；</w:t>
      </w:r>
    </w:p>
    <w:p>
      <w:pPr>
        <w:numPr>
          <w:ilvl w:val="0"/>
          <w:numId w:val="0"/>
        </w:numPr>
        <w:overflowPunct w:val="0"/>
        <w:topLinePunct/>
        <w:spacing w:line="360" w:lineRule="auto"/>
        <w:ind w:leftChars="0"/>
        <w:rPr>
          <w:rFonts w:hint="eastAsia" w:ascii="宋体" w:hAnsi="宋体" w:cs="宋体"/>
          <w:sz w:val="24"/>
        </w:rPr>
      </w:pPr>
      <w:r>
        <w:rPr>
          <w:rFonts w:hint="eastAsia" w:ascii="宋体" w:hAnsi="宋体" w:cs="宋体"/>
          <w:sz w:val="24"/>
          <w:highlight w:val="none"/>
          <w:lang w:eastAsia="zh-CN"/>
        </w:rPr>
        <w:t>（</w:t>
      </w:r>
      <w:r>
        <w:rPr>
          <w:rFonts w:hint="eastAsia" w:ascii="宋体" w:hAnsi="宋体" w:cs="宋体"/>
          <w:sz w:val="24"/>
          <w:highlight w:val="none"/>
          <w:lang w:val="en-US" w:eastAsia="zh-CN"/>
        </w:rPr>
        <w:t>4</w:t>
      </w:r>
      <w:r>
        <w:rPr>
          <w:rFonts w:hint="eastAsia" w:ascii="宋体" w:hAnsi="宋体" w:cs="宋体"/>
          <w:sz w:val="24"/>
          <w:highlight w:val="none"/>
          <w:lang w:eastAsia="zh-CN"/>
        </w:rPr>
        <w:t>）拟委派项目经理须具有机电工程专业二级及以上注册建造师资质并具有安全生产考核合格证，在本单位注册且无在建工程</w:t>
      </w:r>
      <w:r>
        <w:rPr>
          <w:rFonts w:hint="eastAsia" w:ascii="宋体" w:hAnsi="宋体" w:cs="宋体"/>
          <w:sz w:val="24"/>
        </w:rPr>
        <w:t>；</w:t>
      </w:r>
    </w:p>
    <w:p>
      <w:pPr>
        <w:numPr>
          <w:ilvl w:val="0"/>
          <w:numId w:val="0"/>
        </w:numPr>
        <w:overflowPunct w:val="0"/>
        <w:topLinePunct/>
        <w:spacing w:line="360" w:lineRule="auto"/>
        <w:ind w:leftChars="0"/>
        <w:rPr>
          <w:rFonts w:hint="eastAsia" w:ascii="宋体" w:hAnsi="宋体" w:cs="宋体"/>
          <w:sz w:val="24"/>
        </w:rPr>
      </w:pPr>
      <w:r>
        <w:rPr>
          <w:rFonts w:hint="eastAsia" w:ascii="宋体" w:hAnsi="宋体" w:cs="宋体"/>
          <w:sz w:val="24"/>
          <w:highlight w:val="none"/>
          <w:lang w:eastAsia="zh-CN"/>
        </w:rPr>
        <w:t>（</w:t>
      </w:r>
      <w:r>
        <w:rPr>
          <w:rFonts w:hint="eastAsia" w:ascii="宋体" w:hAnsi="宋体" w:cs="宋体"/>
          <w:sz w:val="24"/>
          <w:highlight w:val="none"/>
          <w:lang w:val="en-US" w:eastAsia="zh-CN"/>
        </w:rPr>
        <w:t>5</w:t>
      </w:r>
      <w:r>
        <w:rPr>
          <w:rFonts w:hint="eastAsia" w:ascii="宋体" w:hAnsi="宋体" w:cs="宋体"/>
          <w:sz w:val="24"/>
          <w:highlight w:val="none"/>
          <w:lang w:eastAsia="zh-CN"/>
        </w:rPr>
        <w:t>）</w:t>
      </w:r>
      <w:r>
        <w:rPr>
          <w:rFonts w:hint="eastAsia" w:ascii="宋体" w:hAnsi="宋体" w:cs="宋体"/>
          <w:sz w:val="24"/>
          <w:highlight w:val="none"/>
        </w:rPr>
        <w:t>供应商不得为“信用中国”网站（www.creditchina.gov.cn）</w:t>
      </w:r>
      <w:r>
        <w:rPr>
          <w:rFonts w:hint="eastAsia" w:ascii="宋体" w:hAnsi="宋体" w:cs="宋体"/>
          <w:kern w:val="0"/>
          <w:sz w:val="24"/>
          <w:highlight w:val="none"/>
          <w:lang w:eastAsia="zh-CN"/>
        </w:rPr>
        <w:t>（</w:t>
      </w:r>
      <w:r>
        <w:rPr>
          <w:rFonts w:hint="eastAsia" w:ascii="宋体" w:hAnsi="宋体" w:cs="宋体"/>
          <w:kern w:val="0"/>
          <w:sz w:val="24"/>
          <w:highlight w:val="none"/>
          <w:lang w:val="en-US" w:eastAsia="zh-CN"/>
        </w:rPr>
        <w:t>中国执行信息公开网</w:t>
      </w:r>
      <w:r>
        <w:rPr>
          <w:rFonts w:hint="eastAsia" w:ascii="宋体" w:hAnsi="宋体" w:cs="宋体"/>
          <w:kern w:val="0"/>
          <w:sz w:val="24"/>
          <w:highlight w:val="none"/>
          <w:lang w:eastAsia="zh-CN"/>
        </w:rPr>
        <w:t>）</w:t>
      </w:r>
      <w:r>
        <w:rPr>
          <w:rFonts w:hint="eastAsia" w:ascii="宋体" w:hAnsi="宋体" w:cs="宋体"/>
          <w:sz w:val="24"/>
          <w:highlight w:val="none"/>
        </w:rPr>
        <w:t>中列入失信被执行人和</w:t>
      </w:r>
      <w:r>
        <w:rPr>
          <w:rFonts w:hint="eastAsia" w:ascii="宋体" w:hAnsi="宋体" w:cs="宋体"/>
          <w:sz w:val="24"/>
          <w:highlight w:val="none"/>
          <w:lang w:eastAsia="zh-CN"/>
        </w:rPr>
        <w:t>税收违法黑名单</w:t>
      </w:r>
      <w:r>
        <w:rPr>
          <w:rFonts w:hint="eastAsia" w:ascii="宋体" w:hAnsi="宋体" w:cs="宋体"/>
          <w:sz w:val="24"/>
          <w:highlight w:val="none"/>
        </w:rPr>
        <w:t>的供应商，不得为中国政府采购网（www.ccgp.gov.cn）政府采购严重违法失信行为记录名单中被财政部门禁止参加政府采购活动的供应商</w:t>
      </w:r>
      <w:r>
        <w:rPr>
          <w:rFonts w:hint="eastAsia" w:ascii="宋体" w:hAnsi="宋体" w:cs="宋体"/>
          <w:sz w:val="24"/>
        </w:rPr>
        <w:t>；</w:t>
      </w:r>
    </w:p>
    <w:p>
      <w:pPr>
        <w:numPr>
          <w:ilvl w:val="0"/>
          <w:numId w:val="0"/>
        </w:numPr>
        <w:overflowPunct w:val="0"/>
        <w:topLinePunct/>
        <w:spacing w:line="360" w:lineRule="auto"/>
        <w:ind w:leftChars="0"/>
        <w:rPr>
          <w:rFonts w:hint="eastAsia" w:ascii="宋体" w:hAnsi="宋体" w:cs="宋体"/>
          <w:sz w:val="24"/>
        </w:rPr>
      </w:pPr>
      <w:r>
        <w:rPr>
          <w:rFonts w:hint="eastAsia" w:ascii="宋体" w:hAnsi="宋体" w:cs="宋体"/>
          <w:sz w:val="24"/>
          <w:lang w:eastAsia="zh-CN"/>
        </w:rPr>
        <w:t>（</w:t>
      </w:r>
      <w:r>
        <w:rPr>
          <w:rFonts w:hint="eastAsia" w:ascii="宋体" w:hAnsi="宋体" w:cs="宋体"/>
          <w:sz w:val="24"/>
          <w:lang w:val="en-US" w:eastAsia="zh-CN"/>
        </w:rPr>
        <w:t>6</w:t>
      </w:r>
      <w:r>
        <w:rPr>
          <w:rFonts w:hint="eastAsia" w:ascii="宋体" w:hAnsi="宋体" w:cs="宋体"/>
          <w:sz w:val="24"/>
          <w:lang w:eastAsia="zh-CN"/>
        </w:rPr>
        <w:t>）</w:t>
      </w:r>
      <w:r>
        <w:rPr>
          <w:rFonts w:hint="eastAsia" w:ascii="宋体" w:hAnsi="宋体" w:cs="宋体"/>
          <w:sz w:val="24"/>
        </w:rPr>
        <w:t>税收缴纳证明：提供2021年</w:t>
      </w:r>
      <w:r>
        <w:rPr>
          <w:rFonts w:hint="eastAsia" w:ascii="宋体" w:hAnsi="宋体" w:cs="宋体"/>
          <w:sz w:val="24"/>
          <w:lang w:val="en-US" w:eastAsia="zh-CN"/>
        </w:rPr>
        <w:t>6</w:t>
      </w:r>
      <w:r>
        <w:rPr>
          <w:rFonts w:hint="eastAsia" w:ascii="宋体" w:hAnsi="宋体" w:cs="宋体"/>
          <w:sz w:val="24"/>
        </w:rPr>
        <w:t>月至今已缴纳的至少一个月的纳税证明或完税证明（任意税种），依法免税的单位应提供相关证明材料；</w:t>
      </w:r>
    </w:p>
    <w:p>
      <w:pPr>
        <w:numPr>
          <w:ilvl w:val="0"/>
          <w:numId w:val="0"/>
        </w:numPr>
        <w:overflowPunct w:val="0"/>
        <w:topLinePunct/>
        <w:spacing w:line="360" w:lineRule="auto"/>
        <w:ind w:leftChars="0"/>
        <w:rPr>
          <w:rFonts w:hint="eastAsia" w:ascii="宋体" w:hAnsi="宋体" w:cs="宋体"/>
          <w:sz w:val="24"/>
        </w:rPr>
      </w:pPr>
      <w:r>
        <w:rPr>
          <w:rFonts w:hint="eastAsia" w:ascii="宋体" w:hAnsi="宋体" w:cs="宋体"/>
          <w:sz w:val="24"/>
          <w:lang w:eastAsia="zh-CN"/>
        </w:rPr>
        <w:t>（</w:t>
      </w:r>
      <w:r>
        <w:rPr>
          <w:rFonts w:hint="eastAsia" w:ascii="宋体" w:hAnsi="宋体" w:cs="宋体"/>
          <w:sz w:val="24"/>
          <w:lang w:val="en-US" w:eastAsia="zh-CN"/>
        </w:rPr>
        <w:t>7</w:t>
      </w:r>
      <w:r>
        <w:rPr>
          <w:rFonts w:hint="eastAsia" w:ascii="宋体" w:hAnsi="宋体" w:cs="宋体"/>
          <w:sz w:val="24"/>
          <w:lang w:eastAsia="zh-CN"/>
        </w:rPr>
        <w:t>）</w:t>
      </w:r>
      <w:r>
        <w:rPr>
          <w:rFonts w:hint="eastAsia" w:ascii="宋体" w:hAnsi="宋体" w:cs="宋体"/>
          <w:sz w:val="24"/>
        </w:rPr>
        <w:t>社会保障资金缴纳证明：提供2021年</w:t>
      </w:r>
      <w:r>
        <w:rPr>
          <w:rFonts w:hint="eastAsia" w:ascii="宋体" w:hAnsi="宋体" w:cs="宋体"/>
          <w:sz w:val="24"/>
          <w:lang w:val="en-US" w:eastAsia="zh-CN"/>
        </w:rPr>
        <w:t>6</w:t>
      </w:r>
      <w:r>
        <w:rPr>
          <w:rFonts w:hint="eastAsia" w:ascii="宋体" w:hAnsi="宋体" w:cs="宋体"/>
          <w:sz w:val="24"/>
        </w:rPr>
        <w:t>月至今已缴存的至少一个月的社会保障资金缴存单据或社保机构开具的社会保险参保缴费情况证明，依法不需要缴纳社会保障资金的单位应提供相关证明材料；</w:t>
      </w:r>
    </w:p>
    <w:p>
      <w:pPr>
        <w:numPr>
          <w:ilvl w:val="0"/>
          <w:numId w:val="0"/>
        </w:numPr>
        <w:overflowPunct w:val="0"/>
        <w:topLinePunct/>
        <w:spacing w:line="360" w:lineRule="auto"/>
        <w:ind w:leftChars="0"/>
        <w:rPr>
          <w:rFonts w:hint="eastAsia" w:ascii="宋体" w:hAnsi="宋体" w:cs="宋体"/>
          <w:sz w:val="24"/>
        </w:rPr>
      </w:pPr>
      <w:r>
        <w:rPr>
          <w:rFonts w:hint="eastAsia" w:ascii="宋体" w:hAnsi="宋体" w:cs="宋体"/>
          <w:sz w:val="24"/>
          <w:lang w:eastAsia="zh-CN"/>
        </w:rPr>
        <w:t>（</w:t>
      </w:r>
      <w:r>
        <w:rPr>
          <w:rFonts w:hint="eastAsia" w:ascii="宋体" w:hAnsi="宋体" w:cs="宋体"/>
          <w:sz w:val="24"/>
          <w:lang w:val="en-US" w:eastAsia="zh-CN"/>
        </w:rPr>
        <w:t>8</w:t>
      </w:r>
      <w:r>
        <w:rPr>
          <w:rFonts w:hint="eastAsia" w:ascii="宋体" w:hAnsi="宋体" w:cs="宋体"/>
          <w:sz w:val="24"/>
          <w:lang w:eastAsia="zh-CN"/>
        </w:rPr>
        <w:t>）</w:t>
      </w:r>
      <w:r>
        <w:rPr>
          <w:rFonts w:hint="eastAsia" w:ascii="宋体" w:hAnsi="宋体" w:cs="宋体"/>
          <w:sz w:val="24"/>
        </w:rPr>
        <w:t>财务状况报告：</w:t>
      </w:r>
      <w:r>
        <w:rPr>
          <w:rFonts w:hint="eastAsia" w:ascii="宋体" w:hAnsi="宋体" w:cs="宋体"/>
          <w:sz w:val="24"/>
          <w:lang w:eastAsia="zh-CN"/>
        </w:rPr>
        <w:t>提供供应商2020年度经审计的财务报告或磋商前三个月内开户银行开具的资信证明</w:t>
      </w:r>
      <w:r>
        <w:rPr>
          <w:rFonts w:hint="eastAsia" w:ascii="宋体" w:hAnsi="宋体" w:cs="宋体"/>
          <w:sz w:val="24"/>
        </w:rPr>
        <w:t>；</w:t>
      </w:r>
    </w:p>
    <w:p>
      <w:pPr>
        <w:numPr>
          <w:ilvl w:val="0"/>
          <w:numId w:val="0"/>
        </w:numPr>
        <w:overflowPunct w:val="0"/>
        <w:topLinePunct/>
        <w:spacing w:line="360" w:lineRule="auto"/>
        <w:ind w:leftChars="0"/>
        <w:rPr>
          <w:rFonts w:hint="eastAsia" w:ascii="宋体" w:hAnsi="宋体" w:cs="宋体"/>
          <w:sz w:val="24"/>
        </w:rPr>
      </w:pPr>
      <w:r>
        <w:rPr>
          <w:rFonts w:hint="eastAsia" w:ascii="宋体" w:hAnsi="宋体" w:cs="宋体"/>
          <w:sz w:val="24"/>
          <w:lang w:eastAsia="zh-CN"/>
        </w:rPr>
        <w:t>（</w:t>
      </w:r>
      <w:r>
        <w:rPr>
          <w:rFonts w:hint="eastAsia" w:ascii="宋体" w:hAnsi="宋体" w:cs="宋体"/>
          <w:sz w:val="24"/>
          <w:lang w:val="en-US" w:eastAsia="zh-CN"/>
        </w:rPr>
        <w:t>9</w:t>
      </w:r>
      <w:r>
        <w:rPr>
          <w:rFonts w:hint="eastAsia" w:ascii="宋体" w:hAnsi="宋体" w:cs="宋体"/>
          <w:sz w:val="24"/>
          <w:lang w:eastAsia="zh-CN"/>
        </w:rPr>
        <w:t>）</w:t>
      </w:r>
      <w:r>
        <w:rPr>
          <w:rFonts w:hint="eastAsia" w:ascii="宋体" w:hAnsi="宋体" w:cs="宋体"/>
          <w:sz w:val="24"/>
        </w:rPr>
        <w:t>参加政府采购活动前三年内，在经营活动中没有重大违法记录的书面声明；</w:t>
      </w:r>
    </w:p>
    <w:p>
      <w:pPr>
        <w:numPr>
          <w:ilvl w:val="0"/>
          <w:numId w:val="0"/>
        </w:numPr>
        <w:overflowPunct w:val="0"/>
        <w:topLinePunct/>
        <w:spacing w:line="360" w:lineRule="auto"/>
        <w:ind w:leftChars="0"/>
        <w:rPr>
          <w:rFonts w:hint="eastAsia" w:ascii="宋体" w:hAnsi="宋体" w:cs="宋体"/>
          <w:sz w:val="24"/>
        </w:rPr>
      </w:pPr>
      <w:r>
        <w:rPr>
          <w:rFonts w:hint="eastAsia" w:ascii="宋体" w:hAnsi="宋体" w:cs="宋体"/>
          <w:sz w:val="24"/>
          <w:lang w:eastAsia="zh-CN"/>
        </w:rPr>
        <w:t>（</w:t>
      </w:r>
      <w:r>
        <w:rPr>
          <w:rFonts w:hint="eastAsia" w:ascii="宋体" w:hAnsi="宋体" w:cs="宋体"/>
          <w:sz w:val="24"/>
          <w:lang w:val="en-US" w:eastAsia="zh-CN"/>
        </w:rPr>
        <w:t>10</w:t>
      </w:r>
      <w:r>
        <w:rPr>
          <w:rFonts w:hint="eastAsia" w:ascii="宋体" w:hAnsi="宋体" w:cs="宋体"/>
          <w:sz w:val="24"/>
          <w:lang w:eastAsia="zh-CN"/>
        </w:rPr>
        <w:t>）</w:t>
      </w:r>
      <w:r>
        <w:rPr>
          <w:rFonts w:hint="eastAsia" w:ascii="宋体" w:hAnsi="宋体" w:cs="宋体"/>
          <w:sz w:val="24"/>
        </w:rPr>
        <w:t>磋商响应单位负责人不得为同一人或者存在控股、管理关系。</w:t>
      </w:r>
    </w:p>
    <w:p>
      <w:pPr>
        <w:numPr>
          <w:ilvl w:val="0"/>
          <w:numId w:val="0"/>
        </w:numPr>
        <w:overflowPunct w:val="0"/>
        <w:topLinePunct/>
        <w:spacing w:line="360" w:lineRule="auto"/>
        <w:ind w:leftChars="0"/>
        <w:rPr>
          <w:rFonts w:hint="eastAsia" w:ascii="宋体" w:hAnsi="宋体" w:eastAsia="宋体" w:cs="宋体"/>
          <w:bCs/>
          <w:sz w:val="24"/>
          <w:highlight w:val="none"/>
          <w:lang w:val="en-US" w:eastAsia="zh-CN"/>
        </w:rPr>
      </w:pPr>
      <w:r>
        <w:rPr>
          <w:rFonts w:hint="eastAsia" w:ascii="宋体" w:hAnsi="宋体" w:cs="宋体"/>
          <w:kern w:val="0"/>
          <w:sz w:val="24"/>
          <w:szCs w:val="24"/>
          <w:highlight w:val="none"/>
          <w:lang w:val="en-US" w:eastAsia="zh-CN"/>
        </w:rPr>
        <w:t>（11）</w:t>
      </w:r>
      <w:r>
        <w:rPr>
          <w:rFonts w:hint="eastAsia" w:ascii="宋体" w:hAnsi="宋体" w:eastAsia="宋体" w:cs="宋体"/>
          <w:kern w:val="0"/>
          <w:sz w:val="24"/>
          <w:szCs w:val="24"/>
          <w:highlight w:val="none"/>
          <w:lang w:val="en-US" w:eastAsia="zh-CN"/>
        </w:rPr>
        <w:t>具</w:t>
      </w:r>
      <w:r>
        <w:rPr>
          <w:rFonts w:hint="eastAsia" w:ascii="宋体" w:hAnsi="宋体" w:eastAsia="宋体" w:cs="宋体"/>
          <w:kern w:val="0"/>
          <w:sz w:val="24"/>
          <w:szCs w:val="24"/>
          <w:highlight w:val="none"/>
        </w:rPr>
        <w:t>有履行本合同所必需的设备和专业技术能力</w:t>
      </w:r>
      <w:r>
        <w:rPr>
          <w:rFonts w:hint="eastAsia" w:ascii="宋体" w:hAnsi="宋体" w:cs="宋体"/>
          <w:kern w:val="0"/>
          <w:sz w:val="24"/>
          <w:szCs w:val="24"/>
          <w:highlight w:val="none"/>
          <w:lang w:eastAsia="zh-CN"/>
        </w:rPr>
        <w:t>。</w:t>
      </w:r>
    </w:p>
    <w:p>
      <w:pPr>
        <w:adjustRightInd w:val="0"/>
        <w:snapToGrid w:val="0"/>
        <w:spacing w:line="360" w:lineRule="auto"/>
        <w:rPr>
          <w:rFonts w:ascii="宋体" w:hAnsi="宋体" w:cs="宋体"/>
          <w:bCs/>
          <w:sz w:val="24"/>
        </w:rPr>
      </w:pPr>
      <w:r>
        <w:rPr>
          <w:rFonts w:hint="eastAsia" w:ascii="宋体" w:hAnsi="宋体" w:cs="宋体"/>
          <w:bCs/>
          <w:sz w:val="24"/>
        </w:rPr>
        <w:t xml:space="preserve">    2、说明：</w:t>
      </w:r>
    </w:p>
    <w:p>
      <w:pPr>
        <w:adjustRightInd w:val="0"/>
        <w:snapToGrid w:val="0"/>
        <w:spacing w:line="360" w:lineRule="auto"/>
        <w:rPr>
          <w:rFonts w:ascii="宋体" w:hAnsi="宋体" w:cs="宋体"/>
          <w:sz w:val="24"/>
          <w:highlight w:val="none"/>
        </w:rPr>
      </w:pPr>
      <w:r>
        <w:rPr>
          <w:rFonts w:hint="eastAsia" w:ascii="宋体" w:hAnsi="宋体" w:cs="宋体"/>
          <w:bCs/>
          <w:spacing w:val="-4"/>
          <w:kern w:val="24"/>
          <w:sz w:val="24"/>
          <w:highlight w:val="none"/>
        </w:rPr>
        <w:t>2.1 上述资料项为必备资质，在响应文件中附原件或复印件加盖磋商响应单位公章。由采购人或采购代理机构进行资格审查。</w:t>
      </w:r>
    </w:p>
    <w:p>
      <w:pPr>
        <w:snapToGrid w:val="0"/>
        <w:spacing w:after="120" w:line="360" w:lineRule="auto"/>
        <w:jc w:val="center"/>
        <w:outlineLvl w:val="0"/>
        <w:rPr>
          <w:rFonts w:asciiTheme="majorEastAsia" w:hAnsiTheme="majorEastAsia" w:eastAsiaTheme="majorEastAsia" w:cstheme="majorEastAsia"/>
          <w:b/>
          <w:bCs/>
          <w:sz w:val="30"/>
          <w:szCs w:val="30"/>
        </w:rPr>
      </w:pPr>
      <w:r>
        <w:rPr>
          <w:b/>
          <w:bCs/>
          <w:sz w:val="30"/>
          <w:szCs w:val="30"/>
        </w:rPr>
        <w:br w:type="page"/>
      </w:r>
      <w:bookmarkStart w:id="11" w:name="_Toc23091"/>
      <w:r>
        <w:rPr>
          <w:rFonts w:hint="eastAsia" w:asciiTheme="majorEastAsia" w:hAnsiTheme="majorEastAsia" w:eastAsiaTheme="majorEastAsia" w:cstheme="majorEastAsia"/>
          <w:b/>
          <w:bCs/>
          <w:sz w:val="32"/>
          <w:szCs w:val="32"/>
        </w:rPr>
        <w:t>第四章　磋商及评审</w:t>
      </w:r>
      <w:bookmarkEnd w:id="7"/>
      <w:bookmarkEnd w:id="8"/>
      <w:bookmarkEnd w:id="9"/>
      <w:r>
        <w:rPr>
          <w:rFonts w:hint="eastAsia" w:asciiTheme="majorEastAsia" w:hAnsiTheme="majorEastAsia" w:eastAsiaTheme="majorEastAsia" w:cstheme="majorEastAsia"/>
          <w:b/>
          <w:bCs/>
          <w:sz w:val="32"/>
          <w:szCs w:val="32"/>
        </w:rPr>
        <w:t>办法</w:t>
      </w:r>
      <w:bookmarkEnd w:id="11"/>
    </w:p>
    <w:p>
      <w:pPr>
        <w:adjustRightInd w:val="0"/>
        <w:snapToGrid w:val="0"/>
        <w:spacing w:line="360" w:lineRule="auto"/>
        <w:ind w:firstLine="480" w:firstLineChars="200"/>
        <w:rPr>
          <w:rFonts w:ascii="宋体" w:hAnsi="宋体" w:cs="宋体"/>
          <w:sz w:val="24"/>
        </w:rPr>
      </w:pPr>
      <w:r>
        <w:rPr>
          <w:rFonts w:hint="eastAsia" w:ascii="宋体" w:hAnsi="宋体" w:cs="宋体"/>
          <w:sz w:val="24"/>
        </w:rPr>
        <w:t>1、总则</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根据《政府采购竞争性磋商采购方式管理暂行办法》等法律规章，结合采购项目特点制定本磋商办法。</w:t>
      </w:r>
    </w:p>
    <w:p>
      <w:pPr>
        <w:adjustRightInd w:val="0"/>
        <w:snapToGrid w:val="0"/>
        <w:spacing w:line="360" w:lineRule="auto"/>
        <w:rPr>
          <w:rFonts w:ascii="宋体" w:hAnsi="宋体" w:cs="宋体"/>
          <w:sz w:val="24"/>
        </w:rPr>
      </w:pPr>
      <w:r>
        <w:rPr>
          <w:rFonts w:hint="eastAsia" w:ascii="宋体" w:hAnsi="宋体" w:cs="宋体"/>
          <w:sz w:val="24"/>
        </w:rPr>
        <w:t>　　2.1 磋商小组组成：在磋商开始前，组建磋商小组，磋商小组由采购人代表和有关专业评审专家共3人以上单数组成，其中评审专家人数不得少于磋商小组成员总数的2/3。</w:t>
      </w:r>
    </w:p>
    <w:p>
      <w:pPr>
        <w:adjustRightInd w:val="0"/>
        <w:snapToGrid w:val="0"/>
        <w:spacing w:line="360" w:lineRule="auto"/>
        <w:rPr>
          <w:rFonts w:ascii="宋体" w:hAnsi="宋体" w:cs="宋体"/>
          <w:sz w:val="24"/>
          <w:highlight w:val="none"/>
        </w:rPr>
      </w:pPr>
      <w:r>
        <w:rPr>
          <w:rFonts w:hint="eastAsia" w:ascii="宋体" w:hAnsi="宋体" w:cs="宋体"/>
          <w:sz w:val="24"/>
        </w:rPr>
        <w:t>　</w:t>
      </w:r>
      <w:r>
        <w:rPr>
          <w:rFonts w:hint="eastAsia" w:ascii="宋体" w:hAnsi="宋体" w:cs="宋体"/>
          <w:sz w:val="24"/>
          <w:highlight w:val="none"/>
        </w:rPr>
        <w:t>　2.2 磋商小组按照磋商文件规定的磋商方法和评审标准进行磋商、评审，并独立履行下列职责：</w:t>
      </w:r>
    </w:p>
    <w:p>
      <w:pPr>
        <w:adjustRightInd w:val="0"/>
        <w:snapToGrid w:val="0"/>
        <w:spacing w:line="360" w:lineRule="auto"/>
        <w:rPr>
          <w:rFonts w:ascii="宋体" w:hAnsi="宋体" w:cs="宋体"/>
          <w:sz w:val="24"/>
          <w:highlight w:val="none"/>
        </w:rPr>
      </w:pPr>
      <w:r>
        <w:rPr>
          <w:rFonts w:hint="eastAsia" w:ascii="宋体" w:hAnsi="宋体" w:cs="宋体"/>
          <w:sz w:val="24"/>
          <w:highlight w:val="none"/>
        </w:rPr>
        <w:t xml:space="preserve">   （1）审查磋商响应文件是否符合磋商文件要求，并作出评价；</w:t>
      </w:r>
    </w:p>
    <w:p>
      <w:pPr>
        <w:adjustRightInd w:val="0"/>
        <w:snapToGrid w:val="0"/>
        <w:spacing w:line="360" w:lineRule="auto"/>
        <w:rPr>
          <w:rFonts w:ascii="宋体" w:hAnsi="宋体" w:cs="宋体"/>
          <w:sz w:val="24"/>
          <w:highlight w:val="none"/>
        </w:rPr>
      </w:pPr>
      <w:r>
        <w:rPr>
          <w:rFonts w:hint="eastAsia" w:ascii="宋体" w:hAnsi="宋体" w:cs="宋体"/>
          <w:sz w:val="24"/>
          <w:highlight w:val="none"/>
        </w:rPr>
        <w:t xml:space="preserve">   （2）要求磋商响应单位对其文件有关事项作出解释或者澄清；</w:t>
      </w:r>
    </w:p>
    <w:p>
      <w:pPr>
        <w:adjustRightInd w:val="0"/>
        <w:snapToGrid w:val="0"/>
        <w:spacing w:line="360" w:lineRule="auto"/>
        <w:rPr>
          <w:rFonts w:ascii="宋体" w:hAnsi="宋体" w:cs="宋体"/>
          <w:sz w:val="24"/>
          <w:highlight w:val="none"/>
        </w:rPr>
      </w:pPr>
      <w:r>
        <w:rPr>
          <w:rFonts w:hint="eastAsia" w:ascii="宋体" w:hAnsi="宋体" w:cs="宋体"/>
          <w:sz w:val="24"/>
          <w:highlight w:val="none"/>
        </w:rPr>
        <w:t xml:space="preserve">   （3）推荐成交候选磋商响应单位名单；</w:t>
      </w:r>
    </w:p>
    <w:p>
      <w:pPr>
        <w:adjustRightInd w:val="0"/>
        <w:snapToGrid w:val="0"/>
        <w:spacing w:line="360" w:lineRule="auto"/>
        <w:rPr>
          <w:rFonts w:ascii="宋体" w:hAnsi="宋体" w:cs="宋体"/>
          <w:sz w:val="24"/>
          <w:highlight w:val="none"/>
        </w:rPr>
      </w:pPr>
      <w:r>
        <w:rPr>
          <w:rFonts w:hint="eastAsia" w:ascii="宋体" w:hAnsi="宋体" w:cs="宋体"/>
          <w:sz w:val="24"/>
          <w:highlight w:val="none"/>
        </w:rPr>
        <w:t xml:space="preserve">   （4）向采购单位或者有关部门报告非法干预磋商工作的行为。</w:t>
      </w:r>
    </w:p>
    <w:p>
      <w:pPr>
        <w:adjustRightInd w:val="0"/>
        <w:snapToGrid w:val="0"/>
        <w:spacing w:line="360" w:lineRule="auto"/>
        <w:rPr>
          <w:rFonts w:ascii="宋体" w:hAnsi="宋体" w:cs="宋体"/>
          <w:sz w:val="24"/>
          <w:highlight w:val="none"/>
        </w:rPr>
      </w:pPr>
      <w:r>
        <w:rPr>
          <w:rFonts w:hint="eastAsia" w:ascii="宋体" w:hAnsi="宋体" w:cs="宋体"/>
          <w:sz w:val="24"/>
          <w:highlight w:val="none"/>
        </w:rPr>
        <w:t xml:space="preserve">   （5）解答有关方面对政府采购评审工作中有关问题的询问，配合采购人或者政府采购代理机构答复磋商响应单位质疑，配合财政部门的投诉处理工作等事宜。</w:t>
      </w:r>
    </w:p>
    <w:p>
      <w:pPr>
        <w:adjustRightInd w:val="0"/>
        <w:snapToGrid w:val="0"/>
        <w:spacing w:line="360" w:lineRule="auto"/>
        <w:rPr>
          <w:rFonts w:ascii="宋体" w:hAnsi="宋体" w:cs="宋体"/>
          <w:sz w:val="24"/>
          <w:highlight w:val="none"/>
        </w:rPr>
      </w:pPr>
      <w:r>
        <w:rPr>
          <w:rFonts w:hint="eastAsia" w:ascii="宋体" w:hAnsi="宋体" w:cs="宋体"/>
          <w:sz w:val="24"/>
          <w:highlight w:val="none"/>
        </w:rPr>
        <w:t xml:space="preserve">   （6）法律、法规和规章规定的其他义务。</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3、评标办法</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3.1 采用综合评审法。</w:t>
      </w:r>
    </w:p>
    <w:p>
      <w:pPr>
        <w:autoSpaceDE w:val="0"/>
        <w:autoSpaceDN w:val="0"/>
        <w:adjustRightInd w:val="0"/>
        <w:snapToGrid w:val="0"/>
        <w:spacing w:line="360" w:lineRule="auto"/>
        <w:ind w:firstLine="480" w:firstLineChars="200"/>
        <w:rPr>
          <w:rFonts w:ascii="宋体" w:hAnsi="宋体" w:cs="宋体"/>
          <w:sz w:val="24"/>
        </w:rPr>
      </w:pPr>
      <w:r>
        <w:rPr>
          <w:rFonts w:hint="eastAsia" w:ascii="宋体" w:hAnsi="宋体" w:cs="宋体"/>
          <w:sz w:val="24"/>
        </w:rPr>
        <w:t>3.2 评审程序：初步评审、磋商、详细评审。每一步评审不符合者，不进入下一步评审。</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4、初步评审及无效投标文件评定</w:t>
      </w:r>
    </w:p>
    <w:p>
      <w:pPr>
        <w:pStyle w:val="15"/>
        <w:widowControl/>
        <w:adjustRightInd w:val="0"/>
        <w:snapToGrid w:val="0"/>
        <w:spacing w:line="360" w:lineRule="auto"/>
        <w:ind w:firstLine="480" w:firstLineChars="200"/>
        <w:jc w:val="both"/>
        <w:rPr>
          <w:rFonts w:ascii="宋体" w:hAnsi="宋体" w:cs="宋体"/>
          <w:sz w:val="24"/>
        </w:rPr>
      </w:pPr>
      <w:r>
        <w:rPr>
          <w:rFonts w:hint="eastAsia" w:ascii="宋体" w:hAnsi="宋体" w:cs="宋体"/>
          <w:sz w:val="24"/>
        </w:rPr>
        <w:t>4.1初步评审分为资格性审查和符合性审查。</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4.2无效磋商响应文件评定</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（1）磋商响应单位没有经过正常渠道购买磋商文件或磋商响应单位的名称与登记领取磋商文件单位的名称或与营业执照不符；</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（2）响应文件中未提交法定代表人授权书（法定代表人直接投标未按要求提交其有效身份证）或授权书的合法性或有效性不符合磋商文件规定。</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（4）响应文件未按招标文件的规定进行签署、盖章的；响应文件份数不符合磋商文件规定的；</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（5）不具备磋商文件中规定的资格要求的或证明文件不齐全的；</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（6）报价超过规定的最高限价的；</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（7）响应文件中含有采购人不能接受的附加条件的;</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（8）无磋商有效期或磋商有效期不足的；</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（9）磋商内容出现严重漏项或数量与要求不符的；</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（10）报价明显低于其他通过符合性审查磋商响应单位的报价，且在现场规定的时间内不能提供有效证明材料、经评委认定形成不正当竞争的。</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（11）提供虚假证明，开具虚假资质，出现虚假应答或故意隐瞒行为，除按无效标处理外，还进行相应的处罚。</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（12）不符合法律、法规和磋商文件规定的其他实质性要求的。</w:t>
      </w:r>
    </w:p>
    <w:p>
      <w:pPr>
        <w:pStyle w:val="2"/>
        <w:spacing w:line="360" w:lineRule="auto"/>
        <w:ind w:firstLine="480"/>
        <w:rPr>
          <w:rFonts w:ascii="宋体" w:hAnsi="宋体" w:cs="宋体"/>
          <w:sz w:val="24"/>
        </w:rPr>
      </w:pPr>
      <w:r>
        <w:rPr>
          <w:rFonts w:hint="eastAsia" w:ascii="宋体" w:hAnsi="宋体" w:cs="宋体"/>
          <w:sz w:val="24"/>
        </w:rPr>
        <w:t>（13）被列入失信被执行人、</w:t>
      </w:r>
      <w:r>
        <w:rPr>
          <w:rFonts w:hint="eastAsia" w:ascii="宋体" w:hAnsi="宋体" w:cs="宋体"/>
          <w:sz w:val="24"/>
          <w:lang w:eastAsia="zh-CN"/>
        </w:rPr>
        <w:t>税收违法黑名单</w:t>
      </w:r>
      <w:r>
        <w:rPr>
          <w:rFonts w:hint="eastAsia" w:ascii="宋体" w:hAnsi="宋体" w:cs="宋体"/>
          <w:sz w:val="24"/>
        </w:rPr>
        <w:t>、政府采购严重违法失信行为记录名单的单位。</w:t>
      </w:r>
    </w:p>
    <w:p>
      <w:pPr>
        <w:adjustRightInd w:val="0"/>
        <w:snapToGrid w:val="0"/>
        <w:spacing w:line="360" w:lineRule="auto"/>
        <w:ind w:firstLine="480" w:firstLineChars="200"/>
        <w:rPr>
          <w:sz w:val="24"/>
        </w:rPr>
      </w:pPr>
    </w:p>
    <w:p>
      <w:pPr>
        <w:adjustRightInd w:val="0"/>
        <w:snapToGrid w:val="0"/>
        <w:spacing w:line="324" w:lineRule="auto"/>
        <w:jc w:val="center"/>
        <w:outlineLvl w:val="1"/>
        <w:rPr>
          <w:b/>
          <w:bCs/>
          <w:spacing w:val="-6"/>
          <w:sz w:val="24"/>
        </w:rPr>
      </w:pPr>
    </w:p>
    <w:p>
      <w:pPr>
        <w:adjustRightInd w:val="0"/>
        <w:snapToGrid w:val="0"/>
        <w:spacing w:line="324" w:lineRule="auto"/>
        <w:jc w:val="center"/>
        <w:outlineLvl w:val="1"/>
        <w:rPr>
          <w:b/>
          <w:bCs/>
          <w:spacing w:val="-6"/>
          <w:sz w:val="24"/>
        </w:rPr>
      </w:pPr>
      <w:r>
        <w:rPr>
          <w:b/>
          <w:bCs/>
          <w:spacing w:val="-6"/>
          <w:sz w:val="24"/>
        </w:rPr>
        <w:br w:type="page"/>
      </w:r>
      <w:r>
        <w:rPr>
          <w:b/>
          <w:bCs/>
          <w:spacing w:val="-6"/>
          <w:sz w:val="24"/>
        </w:rPr>
        <w:t>初步审查标准</w:t>
      </w:r>
    </w:p>
    <w:tbl>
      <w:tblPr>
        <w:tblStyle w:val="48"/>
        <w:tblpPr w:leftFromText="180" w:rightFromText="180" w:vertAnchor="text" w:horzAnchor="page" w:tblpX="1607" w:tblpY="426"/>
        <w:tblOverlap w:val="never"/>
        <w:tblW w:w="9220"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557"/>
        <w:gridCol w:w="618"/>
        <w:gridCol w:w="2153"/>
        <w:gridCol w:w="5429"/>
        <w:gridCol w:w="46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08" w:hRule="atLeast"/>
        </w:trPr>
        <w:tc>
          <w:tcPr>
            <w:tcW w:w="1175" w:type="dxa"/>
            <w:gridSpan w:val="2"/>
            <w:vAlign w:val="center"/>
          </w:tcPr>
          <w:p>
            <w:pPr>
              <w:spacing w:line="273" w:lineRule="auto"/>
              <w:jc w:val="center"/>
              <w:rPr>
                <w:b/>
                <w:bCs/>
                <w:sz w:val="24"/>
              </w:rPr>
            </w:pPr>
            <w:r>
              <w:rPr>
                <w:b/>
                <w:bCs/>
                <w:sz w:val="24"/>
              </w:rPr>
              <w:t>条款号</w:t>
            </w:r>
          </w:p>
        </w:tc>
        <w:tc>
          <w:tcPr>
            <w:tcW w:w="2153" w:type="dxa"/>
            <w:vAlign w:val="center"/>
          </w:tcPr>
          <w:p>
            <w:pPr>
              <w:jc w:val="center"/>
              <w:rPr>
                <w:b/>
                <w:bCs/>
                <w:sz w:val="24"/>
              </w:rPr>
            </w:pPr>
            <w:r>
              <w:rPr>
                <w:b/>
                <w:bCs/>
                <w:sz w:val="24"/>
              </w:rPr>
              <w:t>审查因素</w:t>
            </w:r>
          </w:p>
        </w:tc>
        <w:tc>
          <w:tcPr>
            <w:tcW w:w="5429" w:type="dxa"/>
            <w:vAlign w:val="center"/>
          </w:tcPr>
          <w:p>
            <w:pPr>
              <w:jc w:val="center"/>
              <w:rPr>
                <w:b/>
                <w:bCs/>
                <w:sz w:val="24"/>
              </w:rPr>
            </w:pPr>
            <w:r>
              <w:rPr>
                <w:b/>
                <w:bCs/>
                <w:sz w:val="24"/>
              </w:rPr>
              <w:t>审查标准</w:t>
            </w:r>
          </w:p>
        </w:tc>
        <w:tc>
          <w:tcPr>
            <w:tcW w:w="463" w:type="dxa"/>
            <w:vAlign w:val="center"/>
          </w:tcPr>
          <w:p>
            <w:pPr>
              <w:jc w:val="center"/>
              <w:rPr>
                <w:b/>
                <w:bCs/>
                <w:sz w:val="24"/>
              </w:rPr>
            </w:pPr>
            <w:r>
              <w:rPr>
                <w:b/>
                <w:bCs/>
                <w:sz w:val="24"/>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4" w:hRule="atLeast"/>
        </w:trPr>
        <w:tc>
          <w:tcPr>
            <w:tcW w:w="557" w:type="dxa"/>
            <w:vMerge w:val="restart"/>
            <w:vAlign w:val="center"/>
          </w:tcPr>
          <w:p>
            <w:pPr>
              <w:spacing w:line="273" w:lineRule="auto"/>
              <w:jc w:val="center"/>
              <w:rPr>
                <w:b/>
                <w:bCs/>
                <w:sz w:val="24"/>
              </w:rPr>
            </w:pPr>
            <w:r>
              <w:rPr>
                <w:b/>
                <w:bCs/>
                <w:sz w:val="24"/>
              </w:rPr>
              <w:t>3.1</w:t>
            </w:r>
          </w:p>
        </w:tc>
        <w:tc>
          <w:tcPr>
            <w:tcW w:w="618" w:type="dxa"/>
            <w:vMerge w:val="restart"/>
            <w:vAlign w:val="center"/>
          </w:tcPr>
          <w:p>
            <w:pPr>
              <w:jc w:val="center"/>
              <w:rPr>
                <w:sz w:val="24"/>
              </w:rPr>
            </w:pPr>
            <w:r>
              <w:rPr>
                <w:sz w:val="24"/>
              </w:rPr>
              <w:t>资格</w:t>
            </w:r>
          </w:p>
          <w:p>
            <w:pPr>
              <w:jc w:val="center"/>
              <w:rPr>
                <w:sz w:val="24"/>
              </w:rPr>
            </w:pPr>
            <w:r>
              <w:rPr>
                <w:sz w:val="24"/>
              </w:rPr>
              <w:t>审查</w:t>
            </w:r>
          </w:p>
          <w:p>
            <w:pPr>
              <w:jc w:val="center"/>
              <w:rPr>
                <w:b/>
                <w:bCs/>
                <w:sz w:val="24"/>
              </w:rPr>
            </w:pPr>
            <w:r>
              <w:rPr>
                <w:sz w:val="24"/>
              </w:rPr>
              <w:t>标准</w:t>
            </w:r>
          </w:p>
        </w:tc>
        <w:tc>
          <w:tcPr>
            <w:tcW w:w="2153" w:type="dxa"/>
            <w:vAlign w:val="center"/>
          </w:tcPr>
          <w:p>
            <w:pPr>
              <w:spacing w:line="360" w:lineRule="auto"/>
              <w:jc w:val="center"/>
              <w:rPr>
                <w:rFonts w:ascii="宋体" w:hAnsi="宋体" w:cs="宋体"/>
                <w:sz w:val="24"/>
              </w:rPr>
            </w:pPr>
            <w:r>
              <w:rPr>
                <w:rFonts w:hint="eastAsia" w:ascii="宋体" w:hAnsi="宋体" w:cs="宋体"/>
                <w:sz w:val="24"/>
              </w:rPr>
              <w:t>营业执照（副本）</w:t>
            </w:r>
          </w:p>
        </w:tc>
        <w:tc>
          <w:tcPr>
            <w:tcW w:w="5429" w:type="dxa"/>
            <w:vAlign w:val="center"/>
          </w:tcPr>
          <w:p>
            <w:pPr>
              <w:spacing w:line="360" w:lineRule="auto"/>
              <w:rPr>
                <w:rFonts w:ascii="宋体" w:hAnsi="宋体" w:cs="宋体"/>
                <w:sz w:val="24"/>
              </w:rPr>
            </w:pPr>
            <w:r>
              <w:rPr>
                <w:rFonts w:hint="eastAsia" w:ascii="宋体" w:hAnsi="宋体" w:cs="宋体"/>
                <w:sz w:val="24"/>
              </w:rPr>
              <w:t>具有合格有效的企业法人营业执照、税务登记证、组织机构代码证（或三证合一营业执照）；</w:t>
            </w:r>
          </w:p>
        </w:tc>
        <w:tc>
          <w:tcPr>
            <w:tcW w:w="463" w:type="dxa"/>
            <w:vAlign w:val="center"/>
          </w:tcPr>
          <w:p>
            <w:pPr>
              <w:rPr>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11" w:hRule="atLeast"/>
        </w:trPr>
        <w:tc>
          <w:tcPr>
            <w:tcW w:w="557" w:type="dxa"/>
            <w:vMerge w:val="continue"/>
          </w:tcPr>
          <w:p>
            <w:pPr>
              <w:spacing w:line="360" w:lineRule="auto"/>
              <w:rPr>
                <w:b/>
                <w:bCs/>
                <w:sz w:val="24"/>
              </w:rPr>
            </w:pPr>
          </w:p>
        </w:tc>
        <w:tc>
          <w:tcPr>
            <w:tcW w:w="618" w:type="dxa"/>
            <w:vMerge w:val="continue"/>
          </w:tcPr>
          <w:p>
            <w:pPr>
              <w:spacing w:line="360" w:lineRule="auto"/>
              <w:rPr>
                <w:b/>
                <w:bCs/>
                <w:sz w:val="24"/>
              </w:rPr>
            </w:pPr>
          </w:p>
        </w:tc>
        <w:tc>
          <w:tcPr>
            <w:tcW w:w="2153" w:type="dxa"/>
            <w:vAlign w:val="center"/>
          </w:tcPr>
          <w:p>
            <w:pPr>
              <w:spacing w:line="360" w:lineRule="auto"/>
              <w:jc w:val="center"/>
              <w:rPr>
                <w:rFonts w:ascii="宋体" w:hAnsi="宋体" w:cs="宋体"/>
                <w:sz w:val="24"/>
              </w:rPr>
            </w:pPr>
            <w:r>
              <w:rPr>
                <w:rFonts w:hint="eastAsia" w:ascii="宋体" w:hAnsi="宋体" w:cs="宋体"/>
                <w:sz w:val="24"/>
              </w:rPr>
              <w:t>磋商响应单位代表身份</w:t>
            </w:r>
          </w:p>
        </w:tc>
        <w:tc>
          <w:tcPr>
            <w:tcW w:w="5429" w:type="dxa"/>
            <w:vAlign w:val="center"/>
          </w:tcPr>
          <w:p>
            <w:pPr>
              <w:spacing w:line="360" w:lineRule="auto"/>
              <w:rPr>
                <w:rFonts w:ascii="宋体" w:hAnsi="宋体" w:cs="宋体"/>
                <w:sz w:val="24"/>
              </w:rPr>
            </w:pPr>
            <w:r>
              <w:rPr>
                <w:rFonts w:hint="eastAsia" w:ascii="宋体" w:hAnsi="宋体" w:cs="宋体"/>
                <w:sz w:val="24"/>
              </w:rPr>
              <w:t>磋商响应单位应授权合法的人员参加磋商全过程，其中法定代表人直接参加磋商的，须出具法人身份证，并与营业执照上信息一致。法定代表人授权代表参加磋商的，须出具法定代表人授权书及授权代表身份证；</w:t>
            </w:r>
          </w:p>
        </w:tc>
        <w:tc>
          <w:tcPr>
            <w:tcW w:w="463" w:type="dxa"/>
            <w:vAlign w:val="center"/>
          </w:tcPr>
          <w:p>
            <w:pPr>
              <w:rPr>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42" w:hRule="atLeast"/>
        </w:trPr>
        <w:tc>
          <w:tcPr>
            <w:tcW w:w="557" w:type="dxa"/>
            <w:vMerge w:val="continue"/>
          </w:tcPr>
          <w:p>
            <w:pPr>
              <w:spacing w:line="360" w:lineRule="auto"/>
              <w:rPr>
                <w:b/>
                <w:bCs/>
                <w:sz w:val="24"/>
              </w:rPr>
            </w:pPr>
          </w:p>
        </w:tc>
        <w:tc>
          <w:tcPr>
            <w:tcW w:w="618" w:type="dxa"/>
            <w:vMerge w:val="continue"/>
          </w:tcPr>
          <w:p>
            <w:pPr>
              <w:spacing w:line="360" w:lineRule="auto"/>
              <w:rPr>
                <w:b/>
                <w:bCs/>
                <w:sz w:val="24"/>
              </w:rPr>
            </w:pPr>
          </w:p>
        </w:tc>
        <w:tc>
          <w:tcPr>
            <w:tcW w:w="2153" w:type="dxa"/>
            <w:vAlign w:val="center"/>
          </w:tcPr>
          <w:p>
            <w:pPr>
              <w:spacing w:line="360" w:lineRule="auto"/>
              <w:jc w:val="center"/>
              <w:rPr>
                <w:rFonts w:ascii="宋体" w:hAnsi="宋体" w:cs="宋体"/>
                <w:sz w:val="24"/>
              </w:rPr>
            </w:pPr>
            <w:r>
              <w:rPr>
                <w:rFonts w:hint="eastAsia" w:ascii="宋体" w:hAnsi="宋体" w:cs="宋体"/>
                <w:sz w:val="24"/>
              </w:rPr>
              <w:t>企业资质</w:t>
            </w:r>
          </w:p>
        </w:tc>
        <w:tc>
          <w:tcPr>
            <w:tcW w:w="5429" w:type="dxa"/>
            <w:vAlign w:val="center"/>
          </w:tcPr>
          <w:p>
            <w:pPr>
              <w:spacing w:line="360" w:lineRule="auto"/>
              <w:rPr>
                <w:rFonts w:ascii="宋体" w:hAnsi="宋体" w:cs="宋体"/>
                <w:sz w:val="24"/>
              </w:rPr>
            </w:pPr>
            <w:r>
              <w:rPr>
                <w:rFonts w:hint="eastAsia" w:ascii="宋体" w:hAnsi="宋体" w:cs="宋体"/>
                <w:sz w:val="24"/>
                <w:lang w:eastAsia="zh-CN"/>
              </w:rPr>
              <w:t>具备建设部门颁发的电力工程施工总承包三级（含）及以上资质或输变电工程专业承包三级（含）及以上资质，具有有效的安全生产许可证，且具备承装、承修、承试五级及以上承装（修、试）电力设施许可证</w:t>
            </w:r>
            <w:r>
              <w:rPr>
                <w:rFonts w:hint="eastAsia" w:ascii="宋体" w:hAnsi="宋体" w:cs="宋体"/>
                <w:sz w:val="24"/>
              </w:rPr>
              <w:t>；</w:t>
            </w:r>
          </w:p>
        </w:tc>
        <w:tc>
          <w:tcPr>
            <w:tcW w:w="463" w:type="dxa"/>
            <w:vAlign w:val="center"/>
          </w:tcPr>
          <w:p>
            <w:pPr>
              <w:rPr>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4" w:hRule="atLeast"/>
        </w:trPr>
        <w:tc>
          <w:tcPr>
            <w:tcW w:w="557" w:type="dxa"/>
            <w:vMerge w:val="continue"/>
          </w:tcPr>
          <w:p>
            <w:pPr>
              <w:spacing w:line="360" w:lineRule="auto"/>
              <w:rPr>
                <w:b/>
                <w:bCs/>
                <w:sz w:val="24"/>
              </w:rPr>
            </w:pPr>
          </w:p>
        </w:tc>
        <w:tc>
          <w:tcPr>
            <w:tcW w:w="618" w:type="dxa"/>
            <w:vMerge w:val="continue"/>
          </w:tcPr>
          <w:p>
            <w:pPr>
              <w:spacing w:line="360" w:lineRule="auto"/>
              <w:rPr>
                <w:b/>
                <w:bCs/>
                <w:sz w:val="24"/>
              </w:rPr>
            </w:pPr>
          </w:p>
        </w:tc>
        <w:tc>
          <w:tcPr>
            <w:tcW w:w="2153" w:type="dxa"/>
            <w:vAlign w:val="center"/>
          </w:tcPr>
          <w:p>
            <w:pPr>
              <w:spacing w:line="360" w:lineRule="auto"/>
              <w:jc w:val="center"/>
              <w:rPr>
                <w:rFonts w:ascii="宋体" w:hAnsi="宋体" w:cs="宋体"/>
                <w:sz w:val="24"/>
              </w:rPr>
            </w:pPr>
            <w:r>
              <w:rPr>
                <w:rFonts w:hint="eastAsia" w:ascii="宋体" w:hAnsi="宋体" w:cs="宋体"/>
                <w:sz w:val="24"/>
              </w:rPr>
              <w:t>项目经理</w:t>
            </w:r>
          </w:p>
        </w:tc>
        <w:tc>
          <w:tcPr>
            <w:tcW w:w="5429" w:type="dxa"/>
            <w:vAlign w:val="center"/>
          </w:tcPr>
          <w:p>
            <w:pPr>
              <w:spacing w:line="360" w:lineRule="auto"/>
              <w:rPr>
                <w:rFonts w:ascii="宋体" w:hAnsi="宋体" w:cs="宋体"/>
                <w:sz w:val="24"/>
              </w:rPr>
            </w:pPr>
            <w:r>
              <w:rPr>
                <w:rFonts w:hint="eastAsia" w:ascii="宋体" w:hAnsi="宋体" w:cs="宋体"/>
                <w:sz w:val="24"/>
                <w:highlight w:val="none"/>
                <w:lang w:eastAsia="zh-CN"/>
              </w:rPr>
              <w:t>拟委派项目经理须具有机电工程专业二级及以上注册建造师资质并具有安全生产考核合格证，在本单位注册且无在建工程</w:t>
            </w:r>
            <w:r>
              <w:rPr>
                <w:rFonts w:hint="eastAsia" w:ascii="宋体" w:hAnsi="宋体" w:cs="宋体"/>
                <w:sz w:val="24"/>
              </w:rPr>
              <w:t>；</w:t>
            </w:r>
          </w:p>
        </w:tc>
        <w:tc>
          <w:tcPr>
            <w:tcW w:w="463" w:type="dxa"/>
            <w:vAlign w:val="center"/>
          </w:tcPr>
          <w:p>
            <w:pPr>
              <w:rPr>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71" w:hRule="atLeast"/>
        </w:trPr>
        <w:tc>
          <w:tcPr>
            <w:tcW w:w="557" w:type="dxa"/>
            <w:vMerge w:val="continue"/>
          </w:tcPr>
          <w:p>
            <w:pPr>
              <w:spacing w:line="360" w:lineRule="auto"/>
              <w:rPr>
                <w:b/>
                <w:bCs/>
                <w:sz w:val="24"/>
              </w:rPr>
            </w:pPr>
          </w:p>
        </w:tc>
        <w:tc>
          <w:tcPr>
            <w:tcW w:w="618" w:type="dxa"/>
            <w:vMerge w:val="continue"/>
          </w:tcPr>
          <w:p>
            <w:pPr>
              <w:spacing w:line="360" w:lineRule="auto"/>
              <w:rPr>
                <w:b/>
                <w:bCs/>
                <w:sz w:val="24"/>
              </w:rPr>
            </w:pPr>
          </w:p>
        </w:tc>
        <w:tc>
          <w:tcPr>
            <w:tcW w:w="2153" w:type="dxa"/>
            <w:vAlign w:val="center"/>
          </w:tcPr>
          <w:p>
            <w:pPr>
              <w:spacing w:line="360" w:lineRule="auto"/>
              <w:jc w:val="center"/>
              <w:rPr>
                <w:rFonts w:ascii="宋体" w:hAnsi="宋体" w:cs="宋体"/>
                <w:sz w:val="24"/>
              </w:rPr>
            </w:pPr>
            <w:r>
              <w:rPr>
                <w:rFonts w:hint="eastAsia" w:ascii="宋体" w:hAnsi="宋体" w:cs="宋体"/>
                <w:sz w:val="24"/>
              </w:rPr>
              <w:t>供应商</w:t>
            </w:r>
          </w:p>
        </w:tc>
        <w:tc>
          <w:tcPr>
            <w:tcW w:w="5429" w:type="dxa"/>
            <w:vAlign w:val="center"/>
          </w:tcPr>
          <w:p>
            <w:pPr>
              <w:numPr>
                <w:ilvl w:val="0"/>
                <w:numId w:val="0"/>
              </w:numPr>
              <w:overflowPunct w:val="0"/>
              <w:topLinePunct/>
              <w:spacing w:line="360" w:lineRule="auto"/>
              <w:ind w:leftChars="0"/>
              <w:rPr>
                <w:rFonts w:ascii="宋体" w:hAnsi="宋体" w:cs="宋体"/>
                <w:sz w:val="24"/>
              </w:rPr>
            </w:pPr>
            <w:r>
              <w:rPr>
                <w:rFonts w:hint="eastAsia" w:ascii="宋体" w:hAnsi="宋体" w:cs="宋体"/>
                <w:sz w:val="24"/>
                <w:highlight w:val="none"/>
              </w:rPr>
              <w:t>供应商不得为“信用中国”网站（www.creditchina.gov.cn）</w:t>
            </w:r>
            <w:r>
              <w:rPr>
                <w:rFonts w:hint="eastAsia" w:ascii="宋体" w:hAnsi="宋体" w:cs="宋体"/>
                <w:kern w:val="0"/>
                <w:sz w:val="24"/>
                <w:highlight w:val="none"/>
                <w:lang w:eastAsia="zh-CN"/>
              </w:rPr>
              <w:t>（</w:t>
            </w:r>
            <w:r>
              <w:rPr>
                <w:rFonts w:hint="eastAsia" w:ascii="宋体" w:hAnsi="宋体" w:cs="宋体"/>
                <w:kern w:val="0"/>
                <w:sz w:val="24"/>
                <w:highlight w:val="none"/>
                <w:lang w:val="en-US" w:eastAsia="zh-CN"/>
              </w:rPr>
              <w:t>中国执行信息公开网</w:t>
            </w:r>
            <w:r>
              <w:rPr>
                <w:rFonts w:hint="eastAsia" w:ascii="宋体" w:hAnsi="宋体" w:cs="宋体"/>
                <w:kern w:val="0"/>
                <w:sz w:val="24"/>
                <w:highlight w:val="none"/>
                <w:lang w:eastAsia="zh-CN"/>
              </w:rPr>
              <w:t>）</w:t>
            </w:r>
            <w:r>
              <w:rPr>
                <w:rFonts w:hint="eastAsia" w:ascii="宋体" w:hAnsi="宋体" w:cs="宋体"/>
                <w:sz w:val="24"/>
                <w:highlight w:val="none"/>
              </w:rPr>
              <w:t>中列入失信被执行人和</w:t>
            </w:r>
            <w:r>
              <w:rPr>
                <w:rFonts w:hint="eastAsia" w:ascii="宋体" w:hAnsi="宋体" w:cs="宋体"/>
                <w:sz w:val="24"/>
                <w:highlight w:val="none"/>
                <w:lang w:eastAsia="zh-CN"/>
              </w:rPr>
              <w:t>税收违法黑名单</w:t>
            </w:r>
            <w:r>
              <w:rPr>
                <w:rFonts w:hint="eastAsia" w:ascii="宋体" w:hAnsi="宋体" w:cs="宋体"/>
                <w:sz w:val="24"/>
                <w:highlight w:val="none"/>
              </w:rPr>
              <w:t>的供应商，不得为中国政府采购网（www.ccgp.gov.cn）政府采购严重违法失信行为记录名单中被财政部门禁止参加政府采购活动的供应商</w:t>
            </w:r>
            <w:r>
              <w:rPr>
                <w:rFonts w:hint="eastAsia" w:ascii="宋体" w:hAnsi="宋体" w:cs="宋体"/>
                <w:sz w:val="24"/>
              </w:rPr>
              <w:t>；</w:t>
            </w:r>
          </w:p>
        </w:tc>
        <w:tc>
          <w:tcPr>
            <w:tcW w:w="463" w:type="dxa"/>
            <w:vAlign w:val="center"/>
          </w:tcPr>
          <w:p>
            <w:pPr>
              <w:rPr>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53" w:hRule="atLeast"/>
        </w:trPr>
        <w:tc>
          <w:tcPr>
            <w:tcW w:w="557" w:type="dxa"/>
            <w:vMerge w:val="continue"/>
          </w:tcPr>
          <w:p>
            <w:pPr>
              <w:spacing w:line="360" w:lineRule="auto"/>
              <w:rPr>
                <w:b/>
                <w:bCs/>
                <w:sz w:val="24"/>
              </w:rPr>
            </w:pPr>
          </w:p>
        </w:tc>
        <w:tc>
          <w:tcPr>
            <w:tcW w:w="618" w:type="dxa"/>
            <w:vMerge w:val="continue"/>
          </w:tcPr>
          <w:p>
            <w:pPr>
              <w:spacing w:line="360" w:lineRule="auto"/>
              <w:rPr>
                <w:b/>
                <w:bCs/>
                <w:sz w:val="24"/>
              </w:rPr>
            </w:pPr>
          </w:p>
        </w:tc>
        <w:tc>
          <w:tcPr>
            <w:tcW w:w="2153" w:type="dxa"/>
            <w:vAlign w:val="center"/>
          </w:tcPr>
          <w:p>
            <w:pPr>
              <w:spacing w:line="360" w:lineRule="auto"/>
              <w:jc w:val="center"/>
              <w:rPr>
                <w:rFonts w:ascii="宋体" w:hAnsi="宋体" w:cs="宋体"/>
                <w:sz w:val="24"/>
              </w:rPr>
            </w:pPr>
            <w:r>
              <w:rPr>
                <w:rFonts w:hint="eastAsia" w:ascii="宋体" w:hAnsi="宋体" w:cs="宋体"/>
                <w:sz w:val="24"/>
              </w:rPr>
              <w:t>税收缴纳证明</w:t>
            </w:r>
          </w:p>
        </w:tc>
        <w:tc>
          <w:tcPr>
            <w:tcW w:w="5429" w:type="dxa"/>
            <w:vAlign w:val="center"/>
          </w:tcPr>
          <w:p>
            <w:pPr>
              <w:spacing w:line="360" w:lineRule="auto"/>
              <w:jc w:val="left"/>
              <w:rPr>
                <w:rFonts w:ascii="宋体" w:hAnsi="宋体" w:cs="宋体"/>
                <w:sz w:val="24"/>
              </w:rPr>
            </w:pPr>
            <w:r>
              <w:rPr>
                <w:rFonts w:hint="eastAsia" w:ascii="宋体" w:hAnsi="宋体" w:cs="宋体"/>
                <w:sz w:val="24"/>
              </w:rPr>
              <w:t>提供2021年</w:t>
            </w:r>
            <w:r>
              <w:rPr>
                <w:rFonts w:hint="eastAsia" w:ascii="宋体" w:hAnsi="宋体" w:cs="宋体"/>
                <w:sz w:val="24"/>
                <w:lang w:val="en-US" w:eastAsia="zh-CN"/>
              </w:rPr>
              <w:t>6</w:t>
            </w:r>
            <w:r>
              <w:rPr>
                <w:rFonts w:hint="eastAsia" w:ascii="宋体" w:hAnsi="宋体" w:cs="宋体"/>
                <w:sz w:val="24"/>
              </w:rPr>
              <w:t>月至今已缴纳的至少一个月的纳税证明或完税证明（任意税种），依法免税的单位应提供相关证明材料；</w:t>
            </w:r>
          </w:p>
        </w:tc>
        <w:tc>
          <w:tcPr>
            <w:tcW w:w="463" w:type="dxa"/>
            <w:vAlign w:val="center"/>
          </w:tcPr>
          <w:p>
            <w:pPr>
              <w:rPr>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383" w:hRule="atLeast"/>
        </w:trPr>
        <w:tc>
          <w:tcPr>
            <w:tcW w:w="557" w:type="dxa"/>
            <w:vMerge w:val="continue"/>
          </w:tcPr>
          <w:p>
            <w:pPr>
              <w:spacing w:line="360" w:lineRule="auto"/>
              <w:rPr>
                <w:b/>
                <w:bCs/>
                <w:sz w:val="24"/>
              </w:rPr>
            </w:pPr>
          </w:p>
        </w:tc>
        <w:tc>
          <w:tcPr>
            <w:tcW w:w="618" w:type="dxa"/>
            <w:vMerge w:val="continue"/>
          </w:tcPr>
          <w:p>
            <w:pPr>
              <w:spacing w:line="360" w:lineRule="auto"/>
              <w:rPr>
                <w:b/>
                <w:bCs/>
                <w:sz w:val="24"/>
              </w:rPr>
            </w:pPr>
          </w:p>
        </w:tc>
        <w:tc>
          <w:tcPr>
            <w:tcW w:w="2153" w:type="dxa"/>
            <w:vAlign w:val="center"/>
          </w:tcPr>
          <w:p>
            <w:pPr>
              <w:spacing w:line="360" w:lineRule="auto"/>
              <w:jc w:val="center"/>
              <w:rPr>
                <w:rFonts w:ascii="宋体" w:hAnsi="宋体" w:cs="宋体"/>
                <w:sz w:val="24"/>
              </w:rPr>
            </w:pPr>
            <w:r>
              <w:rPr>
                <w:rFonts w:hint="eastAsia" w:ascii="宋体" w:hAnsi="宋体" w:cs="宋体"/>
                <w:sz w:val="24"/>
              </w:rPr>
              <w:t>社会保障资金缴纳证明</w:t>
            </w:r>
          </w:p>
        </w:tc>
        <w:tc>
          <w:tcPr>
            <w:tcW w:w="5429" w:type="dxa"/>
            <w:vAlign w:val="center"/>
          </w:tcPr>
          <w:p>
            <w:pPr>
              <w:spacing w:line="360" w:lineRule="auto"/>
              <w:jc w:val="left"/>
              <w:rPr>
                <w:rFonts w:ascii="宋体" w:hAnsi="宋体" w:cs="宋体"/>
                <w:sz w:val="24"/>
              </w:rPr>
            </w:pPr>
            <w:r>
              <w:rPr>
                <w:rFonts w:hint="eastAsia" w:ascii="宋体" w:hAnsi="宋体" w:cs="宋体"/>
                <w:sz w:val="24"/>
              </w:rPr>
              <w:t>提供2021年</w:t>
            </w:r>
            <w:r>
              <w:rPr>
                <w:rFonts w:hint="eastAsia" w:ascii="宋体" w:hAnsi="宋体" w:cs="宋体"/>
                <w:sz w:val="24"/>
                <w:lang w:val="en-US" w:eastAsia="zh-CN"/>
              </w:rPr>
              <w:t>6</w:t>
            </w:r>
            <w:r>
              <w:rPr>
                <w:rFonts w:hint="eastAsia" w:ascii="宋体" w:hAnsi="宋体" w:cs="宋体"/>
                <w:sz w:val="24"/>
              </w:rPr>
              <w:t>月至今已缴存的至少一个月的社会保障资金缴存单据或社保机构开具的社会保险参保缴费情况证明，依法不需要缴纳社会保障资金的单位应提供相关证明材料；</w:t>
            </w:r>
          </w:p>
        </w:tc>
        <w:tc>
          <w:tcPr>
            <w:tcW w:w="463" w:type="dxa"/>
            <w:vAlign w:val="center"/>
          </w:tcPr>
          <w:p>
            <w:pPr>
              <w:rPr>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83" w:hRule="atLeast"/>
        </w:trPr>
        <w:tc>
          <w:tcPr>
            <w:tcW w:w="557" w:type="dxa"/>
            <w:vMerge w:val="continue"/>
          </w:tcPr>
          <w:p>
            <w:pPr>
              <w:spacing w:line="360" w:lineRule="auto"/>
              <w:rPr>
                <w:b/>
                <w:bCs/>
                <w:sz w:val="24"/>
              </w:rPr>
            </w:pPr>
          </w:p>
        </w:tc>
        <w:tc>
          <w:tcPr>
            <w:tcW w:w="618" w:type="dxa"/>
            <w:vMerge w:val="continue"/>
          </w:tcPr>
          <w:p>
            <w:pPr>
              <w:spacing w:line="360" w:lineRule="auto"/>
              <w:rPr>
                <w:b/>
                <w:bCs/>
                <w:sz w:val="24"/>
              </w:rPr>
            </w:pPr>
          </w:p>
        </w:tc>
        <w:tc>
          <w:tcPr>
            <w:tcW w:w="2153" w:type="dxa"/>
            <w:vAlign w:val="center"/>
          </w:tcPr>
          <w:p>
            <w:pPr>
              <w:spacing w:line="360" w:lineRule="auto"/>
              <w:jc w:val="center"/>
              <w:rPr>
                <w:rFonts w:ascii="宋体" w:hAnsi="宋体" w:cs="宋体"/>
                <w:kern w:val="0"/>
                <w:sz w:val="24"/>
              </w:rPr>
            </w:pPr>
            <w:r>
              <w:rPr>
                <w:rFonts w:hint="eastAsia" w:ascii="宋体" w:hAnsi="宋体" w:cs="宋体"/>
                <w:kern w:val="0"/>
                <w:sz w:val="24"/>
              </w:rPr>
              <w:t>财务状况</w:t>
            </w:r>
          </w:p>
        </w:tc>
        <w:tc>
          <w:tcPr>
            <w:tcW w:w="5429" w:type="dxa"/>
            <w:vAlign w:val="center"/>
          </w:tcPr>
          <w:p>
            <w:pPr>
              <w:numPr>
                <w:ilvl w:val="0"/>
                <w:numId w:val="0"/>
              </w:numPr>
              <w:overflowPunct w:val="0"/>
              <w:topLinePunct/>
              <w:spacing w:line="360" w:lineRule="auto"/>
              <w:ind w:leftChars="0"/>
              <w:rPr>
                <w:rFonts w:ascii="宋体" w:hAnsi="宋体" w:cs="宋体"/>
                <w:bCs/>
                <w:sz w:val="24"/>
              </w:rPr>
            </w:pPr>
            <w:r>
              <w:rPr>
                <w:rFonts w:hint="eastAsia" w:ascii="宋体" w:hAnsi="宋体" w:cs="宋体"/>
                <w:sz w:val="24"/>
                <w:lang w:eastAsia="zh-CN"/>
              </w:rPr>
              <w:t>提供供应商2020年度经审计的财务报告或磋商前三个月内开户银行开具的资信证明</w:t>
            </w:r>
            <w:r>
              <w:rPr>
                <w:rFonts w:hint="eastAsia" w:ascii="宋体" w:hAnsi="宋体" w:cs="宋体"/>
                <w:sz w:val="24"/>
              </w:rPr>
              <w:t>；</w:t>
            </w:r>
          </w:p>
        </w:tc>
        <w:tc>
          <w:tcPr>
            <w:tcW w:w="463" w:type="dxa"/>
            <w:vAlign w:val="center"/>
          </w:tcPr>
          <w:p>
            <w:pPr>
              <w:rPr>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57" w:hRule="atLeast"/>
        </w:trPr>
        <w:tc>
          <w:tcPr>
            <w:tcW w:w="557" w:type="dxa"/>
            <w:vMerge w:val="continue"/>
          </w:tcPr>
          <w:p>
            <w:pPr>
              <w:spacing w:line="360" w:lineRule="auto"/>
              <w:rPr>
                <w:b/>
                <w:bCs/>
                <w:sz w:val="24"/>
              </w:rPr>
            </w:pPr>
          </w:p>
        </w:tc>
        <w:tc>
          <w:tcPr>
            <w:tcW w:w="618" w:type="dxa"/>
            <w:vMerge w:val="continue"/>
          </w:tcPr>
          <w:p>
            <w:pPr>
              <w:spacing w:line="360" w:lineRule="auto"/>
              <w:rPr>
                <w:b/>
                <w:bCs/>
                <w:sz w:val="24"/>
              </w:rPr>
            </w:pPr>
          </w:p>
        </w:tc>
        <w:tc>
          <w:tcPr>
            <w:tcW w:w="2153" w:type="dxa"/>
            <w:vAlign w:val="center"/>
          </w:tcPr>
          <w:p>
            <w:pPr>
              <w:spacing w:line="360" w:lineRule="auto"/>
              <w:jc w:val="center"/>
              <w:rPr>
                <w:rFonts w:ascii="宋体" w:hAnsi="宋体" w:cs="宋体"/>
                <w:kern w:val="0"/>
                <w:sz w:val="24"/>
              </w:rPr>
            </w:pPr>
            <w:r>
              <w:rPr>
                <w:rFonts w:hint="eastAsia" w:ascii="宋体" w:hAnsi="宋体" w:cs="宋体"/>
                <w:kern w:val="0"/>
                <w:sz w:val="24"/>
              </w:rPr>
              <w:t>经营活动</w:t>
            </w:r>
          </w:p>
        </w:tc>
        <w:tc>
          <w:tcPr>
            <w:tcW w:w="5429" w:type="dxa"/>
            <w:vAlign w:val="center"/>
          </w:tcPr>
          <w:p>
            <w:pPr>
              <w:spacing w:line="360" w:lineRule="auto"/>
              <w:rPr>
                <w:rFonts w:ascii="宋体" w:hAnsi="宋体" w:cs="宋体"/>
                <w:kern w:val="0"/>
                <w:sz w:val="24"/>
              </w:rPr>
            </w:pPr>
            <w:r>
              <w:rPr>
                <w:rFonts w:hint="eastAsia" w:ascii="宋体" w:hAnsi="宋体" w:cs="宋体"/>
                <w:sz w:val="24"/>
              </w:rPr>
              <w:t>参加政府采购活动前三年内，在经营活动中没有重大违法记录的书面声明；</w:t>
            </w:r>
          </w:p>
        </w:tc>
        <w:tc>
          <w:tcPr>
            <w:tcW w:w="463" w:type="dxa"/>
            <w:vAlign w:val="center"/>
          </w:tcPr>
          <w:p>
            <w:pPr>
              <w:rPr>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57" w:hRule="atLeast"/>
        </w:trPr>
        <w:tc>
          <w:tcPr>
            <w:tcW w:w="557" w:type="dxa"/>
            <w:vMerge w:val="continue"/>
          </w:tcPr>
          <w:p>
            <w:pPr>
              <w:spacing w:line="360" w:lineRule="auto"/>
              <w:rPr>
                <w:b/>
                <w:bCs/>
                <w:sz w:val="24"/>
              </w:rPr>
            </w:pPr>
          </w:p>
        </w:tc>
        <w:tc>
          <w:tcPr>
            <w:tcW w:w="618" w:type="dxa"/>
            <w:vMerge w:val="continue"/>
          </w:tcPr>
          <w:p>
            <w:pPr>
              <w:spacing w:line="360" w:lineRule="auto"/>
              <w:rPr>
                <w:b/>
                <w:bCs/>
                <w:sz w:val="24"/>
              </w:rPr>
            </w:pPr>
          </w:p>
        </w:tc>
        <w:tc>
          <w:tcPr>
            <w:tcW w:w="2153" w:type="dxa"/>
            <w:vAlign w:val="center"/>
          </w:tcPr>
          <w:p>
            <w:pPr>
              <w:spacing w:line="360" w:lineRule="auto"/>
              <w:jc w:val="center"/>
              <w:rPr>
                <w:rFonts w:ascii="宋体" w:hAnsi="宋体" w:cs="宋体"/>
                <w:kern w:val="0"/>
                <w:sz w:val="24"/>
              </w:rPr>
            </w:pPr>
            <w:r>
              <w:rPr>
                <w:rFonts w:hint="eastAsia" w:ascii="宋体" w:hAnsi="宋体" w:cs="宋体"/>
                <w:kern w:val="0"/>
                <w:sz w:val="24"/>
              </w:rPr>
              <w:t>控股、管理关系</w:t>
            </w:r>
          </w:p>
        </w:tc>
        <w:tc>
          <w:tcPr>
            <w:tcW w:w="5429" w:type="dxa"/>
            <w:vAlign w:val="center"/>
          </w:tcPr>
          <w:p>
            <w:pPr>
              <w:spacing w:line="360" w:lineRule="auto"/>
              <w:rPr>
                <w:rFonts w:ascii="宋体" w:hAnsi="宋体" w:cs="宋体"/>
                <w:bCs/>
                <w:sz w:val="24"/>
              </w:rPr>
            </w:pPr>
            <w:r>
              <w:rPr>
                <w:rFonts w:hint="eastAsia" w:ascii="宋体" w:hAnsi="宋体" w:cs="宋体"/>
                <w:sz w:val="24"/>
              </w:rPr>
              <w:t>磋商响应单位负责人不得为同一人或者存在控股、管理关系。</w:t>
            </w:r>
          </w:p>
        </w:tc>
        <w:tc>
          <w:tcPr>
            <w:tcW w:w="463" w:type="dxa"/>
            <w:vAlign w:val="center"/>
          </w:tcPr>
          <w:p>
            <w:pPr>
              <w:rPr>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6" w:hRule="atLeast"/>
        </w:trPr>
        <w:tc>
          <w:tcPr>
            <w:tcW w:w="557" w:type="dxa"/>
            <w:vMerge w:val="continue"/>
            <w:tcBorders>
              <w:bottom w:val="single" w:color="auto" w:sz="12" w:space="0"/>
            </w:tcBorders>
          </w:tcPr>
          <w:p>
            <w:pPr>
              <w:spacing w:line="360" w:lineRule="auto"/>
              <w:rPr>
                <w:b/>
                <w:bCs/>
                <w:sz w:val="24"/>
              </w:rPr>
            </w:pPr>
          </w:p>
        </w:tc>
        <w:tc>
          <w:tcPr>
            <w:tcW w:w="618" w:type="dxa"/>
            <w:vMerge w:val="continue"/>
            <w:tcBorders>
              <w:bottom w:val="single" w:color="auto" w:sz="12" w:space="0"/>
            </w:tcBorders>
          </w:tcPr>
          <w:p>
            <w:pPr>
              <w:spacing w:line="360" w:lineRule="auto"/>
              <w:rPr>
                <w:b/>
                <w:bCs/>
                <w:sz w:val="24"/>
              </w:rPr>
            </w:pPr>
          </w:p>
        </w:tc>
        <w:tc>
          <w:tcPr>
            <w:tcW w:w="2153" w:type="dxa"/>
            <w:tcBorders>
              <w:bottom w:val="single" w:color="auto" w:sz="12" w:space="0"/>
            </w:tcBorders>
            <w:vAlign w:val="center"/>
          </w:tcPr>
          <w:p>
            <w:pPr>
              <w:spacing w:line="360" w:lineRule="auto"/>
              <w:jc w:val="center"/>
              <w:rPr>
                <w:rFonts w:ascii="宋体" w:hAnsi="宋体" w:cs="宋体"/>
                <w:kern w:val="0"/>
                <w:sz w:val="24"/>
              </w:rPr>
            </w:pPr>
            <w:r>
              <w:rPr>
                <w:rFonts w:hint="eastAsia" w:ascii="宋体" w:hAnsi="宋体" w:eastAsia="宋体" w:cs="宋体"/>
                <w:kern w:val="0"/>
                <w:sz w:val="24"/>
                <w:szCs w:val="24"/>
                <w:highlight w:val="none"/>
              </w:rPr>
              <w:t>所必需的设备和专业技术能力</w:t>
            </w:r>
          </w:p>
        </w:tc>
        <w:tc>
          <w:tcPr>
            <w:tcW w:w="5429" w:type="dxa"/>
            <w:tcBorders>
              <w:bottom w:val="single" w:color="auto" w:sz="12" w:space="0"/>
            </w:tcBorders>
            <w:vAlign w:val="center"/>
          </w:tcPr>
          <w:p>
            <w:pPr>
              <w:spacing w:line="360" w:lineRule="auto"/>
              <w:rPr>
                <w:rFonts w:ascii="宋体" w:hAnsi="宋体" w:cs="宋体"/>
                <w:kern w:val="0"/>
                <w:sz w:val="24"/>
              </w:rPr>
            </w:pPr>
            <w:r>
              <w:rPr>
                <w:rFonts w:hint="eastAsia" w:ascii="宋体" w:hAnsi="宋体" w:eastAsia="宋体" w:cs="宋体"/>
                <w:kern w:val="0"/>
                <w:sz w:val="24"/>
                <w:szCs w:val="24"/>
                <w:highlight w:val="none"/>
                <w:lang w:val="en-US" w:eastAsia="zh-CN"/>
              </w:rPr>
              <w:t>具</w:t>
            </w:r>
            <w:r>
              <w:rPr>
                <w:rFonts w:hint="eastAsia" w:ascii="宋体" w:hAnsi="宋体" w:eastAsia="宋体" w:cs="宋体"/>
                <w:kern w:val="0"/>
                <w:sz w:val="24"/>
                <w:szCs w:val="24"/>
                <w:highlight w:val="none"/>
              </w:rPr>
              <w:t>有履行本合同所必需的设备和专业技术能力</w:t>
            </w:r>
            <w:r>
              <w:rPr>
                <w:rFonts w:hint="eastAsia" w:ascii="宋体" w:hAnsi="宋体" w:eastAsia="宋体" w:cs="宋体"/>
                <w:kern w:val="0"/>
                <w:sz w:val="24"/>
                <w:szCs w:val="24"/>
                <w:highlight w:val="none"/>
                <w:lang w:eastAsia="zh-CN"/>
              </w:rPr>
              <w:t>；</w:t>
            </w:r>
          </w:p>
        </w:tc>
        <w:tc>
          <w:tcPr>
            <w:tcW w:w="463" w:type="dxa"/>
            <w:tcBorders>
              <w:bottom w:val="single" w:color="auto" w:sz="12" w:space="0"/>
            </w:tcBorders>
            <w:vAlign w:val="center"/>
          </w:tcPr>
          <w:p>
            <w:pPr>
              <w:rPr>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6" w:hRule="atLeast"/>
        </w:trPr>
        <w:tc>
          <w:tcPr>
            <w:tcW w:w="557" w:type="dxa"/>
            <w:tcBorders>
              <w:bottom w:val="single" w:color="auto" w:sz="12" w:space="0"/>
            </w:tcBorders>
          </w:tcPr>
          <w:p>
            <w:pPr>
              <w:spacing w:line="360" w:lineRule="auto"/>
              <w:rPr>
                <w:b/>
                <w:bCs/>
                <w:sz w:val="24"/>
              </w:rPr>
            </w:pPr>
          </w:p>
        </w:tc>
        <w:tc>
          <w:tcPr>
            <w:tcW w:w="618" w:type="dxa"/>
            <w:tcBorders>
              <w:bottom w:val="single" w:color="auto" w:sz="12" w:space="0"/>
            </w:tcBorders>
          </w:tcPr>
          <w:p>
            <w:pPr>
              <w:spacing w:line="360" w:lineRule="auto"/>
              <w:rPr>
                <w:b/>
                <w:bCs/>
                <w:sz w:val="24"/>
              </w:rPr>
            </w:pPr>
          </w:p>
        </w:tc>
        <w:tc>
          <w:tcPr>
            <w:tcW w:w="2153" w:type="dxa"/>
            <w:tcBorders>
              <w:bottom w:val="single" w:color="auto" w:sz="12" w:space="0"/>
            </w:tcBorders>
            <w:vAlign w:val="center"/>
          </w:tcPr>
          <w:p>
            <w:pPr>
              <w:spacing w:line="360" w:lineRule="auto"/>
              <w:jc w:val="center"/>
              <w:rPr>
                <w:rFonts w:hint="eastAsia" w:ascii="宋体" w:hAnsi="宋体" w:eastAsia="宋体" w:cs="宋体"/>
                <w:kern w:val="0"/>
                <w:sz w:val="24"/>
                <w:szCs w:val="24"/>
                <w:lang w:val="en-US" w:eastAsia="zh-CN" w:bidi="ar-SA"/>
              </w:rPr>
            </w:pPr>
            <w:r>
              <w:rPr>
                <w:rFonts w:hint="eastAsia" w:ascii="宋体" w:hAnsi="宋体" w:cs="宋体"/>
                <w:kern w:val="0"/>
                <w:sz w:val="24"/>
              </w:rPr>
              <w:t>联合体磋商</w:t>
            </w:r>
          </w:p>
        </w:tc>
        <w:tc>
          <w:tcPr>
            <w:tcW w:w="5429" w:type="dxa"/>
            <w:tcBorders>
              <w:bottom w:val="single" w:color="auto" w:sz="12" w:space="0"/>
            </w:tcBorders>
            <w:vAlign w:val="center"/>
          </w:tcPr>
          <w:p>
            <w:pPr>
              <w:spacing w:line="360" w:lineRule="auto"/>
              <w:rPr>
                <w:rFonts w:hint="eastAsia" w:ascii="宋体" w:hAnsi="宋体" w:eastAsia="宋体" w:cs="宋体"/>
                <w:kern w:val="0"/>
                <w:sz w:val="24"/>
                <w:szCs w:val="24"/>
                <w:lang w:val="en-US" w:eastAsia="zh-CN" w:bidi="ar-SA"/>
              </w:rPr>
            </w:pPr>
            <w:r>
              <w:rPr>
                <w:rFonts w:hint="eastAsia" w:ascii="宋体" w:hAnsi="宋体" w:cs="宋体"/>
                <w:kern w:val="0"/>
                <w:sz w:val="24"/>
              </w:rPr>
              <w:t>不接受</w:t>
            </w:r>
          </w:p>
        </w:tc>
        <w:tc>
          <w:tcPr>
            <w:tcW w:w="463" w:type="dxa"/>
            <w:tcBorders>
              <w:bottom w:val="single" w:color="auto" w:sz="12" w:space="0"/>
            </w:tcBorders>
            <w:vAlign w:val="center"/>
          </w:tcPr>
          <w:p>
            <w:pPr>
              <w:rPr>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4" w:hRule="atLeast"/>
        </w:trPr>
        <w:tc>
          <w:tcPr>
            <w:tcW w:w="557" w:type="dxa"/>
            <w:vMerge w:val="restart"/>
            <w:tcBorders>
              <w:top w:val="single" w:color="auto" w:sz="12" w:space="0"/>
              <w:bottom w:val="single" w:color="auto" w:sz="6" w:space="0"/>
            </w:tcBorders>
            <w:vAlign w:val="center"/>
          </w:tcPr>
          <w:p>
            <w:pPr>
              <w:spacing w:line="273" w:lineRule="auto"/>
              <w:rPr>
                <w:b/>
                <w:bCs/>
                <w:sz w:val="24"/>
              </w:rPr>
            </w:pPr>
            <w:r>
              <w:rPr>
                <w:b/>
                <w:bCs/>
                <w:sz w:val="24"/>
              </w:rPr>
              <w:t>3.2</w:t>
            </w:r>
          </w:p>
        </w:tc>
        <w:tc>
          <w:tcPr>
            <w:tcW w:w="618" w:type="dxa"/>
            <w:vMerge w:val="restart"/>
            <w:tcBorders>
              <w:top w:val="single" w:color="auto" w:sz="12" w:space="0"/>
              <w:bottom w:val="single" w:color="auto" w:sz="6" w:space="0"/>
            </w:tcBorders>
            <w:vAlign w:val="center"/>
          </w:tcPr>
          <w:p>
            <w:pPr>
              <w:spacing w:line="360" w:lineRule="auto"/>
              <w:jc w:val="center"/>
              <w:rPr>
                <w:b/>
                <w:bCs/>
                <w:sz w:val="24"/>
              </w:rPr>
            </w:pPr>
            <w:r>
              <w:rPr>
                <w:sz w:val="24"/>
              </w:rPr>
              <w:t>符合性审查标准</w:t>
            </w:r>
          </w:p>
        </w:tc>
        <w:tc>
          <w:tcPr>
            <w:tcW w:w="2153" w:type="dxa"/>
            <w:tcBorders>
              <w:top w:val="single" w:color="auto" w:sz="12" w:space="0"/>
              <w:bottom w:val="single" w:color="auto" w:sz="6" w:space="0"/>
            </w:tcBorders>
            <w:vAlign w:val="center"/>
          </w:tcPr>
          <w:p>
            <w:pPr>
              <w:spacing w:line="360" w:lineRule="auto"/>
              <w:jc w:val="center"/>
              <w:rPr>
                <w:rFonts w:ascii="宋体" w:hAnsi="宋体" w:cs="宋体"/>
                <w:sz w:val="24"/>
              </w:rPr>
            </w:pPr>
            <w:r>
              <w:rPr>
                <w:rFonts w:hint="eastAsia" w:ascii="宋体" w:hAnsi="宋体" w:cs="宋体"/>
                <w:sz w:val="24"/>
              </w:rPr>
              <w:t>磋商响应单位名称</w:t>
            </w:r>
          </w:p>
        </w:tc>
        <w:tc>
          <w:tcPr>
            <w:tcW w:w="5429" w:type="dxa"/>
            <w:tcBorders>
              <w:top w:val="single" w:color="auto" w:sz="12" w:space="0"/>
              <w:bottom w:val="single" w:color="auto" w:sz="6" w:space="0"/>
            </w:tcBorders>
            <w:vAlign w:val="center"/>
          </w:tcPr>
          <w:p>
            <w:pPr>
              <w:spacing w:line="360" w:lineRule="auto"/>
              <w:rPr>
                <w:rFonts w:ascii="宋体" w:hAnsi="宋体" w:cs="宋体"/>
                <w:sz w:val="24"/>
              </w:rPr>
            </w:pPr>
            <w:r>
              <w:rPr>
                <w:rFonts w:hint="eastAsia" w:ascii="宋体" w:hAnsi="宋体" w:cs="宋体"/>
                <w:sz w:val="24"/>
              </w:rPr>
              <w:t>与营业执照一致</w:t>
            </w:r>
          </w:p>
        </w:tc>
        <w:tc>
          <w:tcPr>
            <w:tcW w:w="463" w:type="dxa"/>
            <w:tcBorders>
              <w:top w:val="single" w:color="auto" w:sz="12" w:space="0"/>
              <w:bottom w:val="single" w:color="auto" w:sz="6" w:space="0"/>
            </w:tcBorders>
            <w:vAlign w:val="center"/>
          </w:tcPr>
          <w:p>
            <w:pPr>
              <w:rPr>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29" w:hRule="atLeast"/>
        </w:trPr>
        <w:tc>
          <w:tcPr>
            <w:tcW w:w="557" w:type="dxa"/>
            <w:vMerge w:val="continue"/>
            <w:tcBorders>
              <w:top w:val="single" w:color="auto" w:sz="6" w:space="0"/>
              <w:bottom w:val="single" w:color="auto" w:sz="6" w:space="0"/>
            </w:tcBorders>
          </w:tcPr>
          <w:p>
            <w:pPr>
              <w:spacing w:line="273" w:lineRule="auto"/>
              <w:rPr>
                <w:b/>
                <w:bCs/>
                <w:sz w:val="24"/>
              </w:rPr>
            </w:pPr>
          </w:p>
        </w:tc>
        <w:tc>
          <w:tcPr>
            <w:tcW w:w="618" w:type="dxa"/>
            <w:vMerge w:val="continue"/>
            <w:tcBorders>
              <w:top w:val="single" w:color="auto" w:sz="6" w:space="0"/>
              <w:bottom w:val="single" w:color="auto" w:sz="6" w:space="0"/>
            </w:tcBorders>
          </w:tcPr>
          <w:p>
            <w:pPr>
              <w:spacing w:line="360" w:lineRule="auto"/>
              <w:rPr>
                <w:sz w:val="24"/>
              </w:rPr>
            </w:pPr>
          </w:p>
        </w:tc>
        <w:tc>
          <w:tcPr>
            <w:tcW w:w="2153" w:type="dxa"/>
            <w:tcBorders>
              <w:top w:val="single" w:color="auto" w:sz="6" w:space="0"/>
              <w:bottom w:val="single" w:color="auto" w:sz="6" w:space="0"/>
            </w:tcBorders>
            <w:vAlign w:val="center"/>
          </w:tcPr>
          <w:p>
            <w:pPr>
              <w:spacing w:line="360" w:lineRule="auto"/>
              <w:jc w:val="center"/>
              <w:rPr>
                <w:rFonts w:ascii="宋体" w:hAnsi="宋体" w:cs="宋体"/>
                <w:sz w:val="24"/>
              </w:rPr>
            </w:pPr>
            <w:r>
              <w:rPr>
                <w:rFonts w:hint="eastAsia" w:ascii="宋体" w:hAnsi="宋体" w:cs="宋体"/>
                <w:sz w:val="24"/>
              </w:rPr>
              <w:t>响应文件签字盖章</w:t>
            </w:r>
          </w:p>
        </w:tc>
        <w:tc>
          <w:tcPr>
            <w:tcW w:w="5429" w:type="dxa"/>
            <w:tcBorders>
              <w:top w:val="single" w:color="auto" w:sz="6" w:space="0"/>
              <w:bottom w:val="single" w:color="auto" w:sz="6" w:space="0"/>
            </w:tcBorders>
            <w:vAlign w:val="center"/>
          </w:tcPr>
          <w:p>
            <w:pPr>
              <w:spacing w:line="360" w:lineRule="auto"/>
              <w:rPr>
                <w:rFonts w:ascii="宋体" w:hAnsi="宋体" w:cs="宋体"/>
                <w:sz w:val="24"/>
              </w:rPr>
            </w:pPr>
            <w:r>
              <w:rPr>
                <w:rFonts w:hint="eastAsia" w:ascii="宋体" w:hAnsi="宋体" w:cs="宋体"/>
                <w:sz w:val="24"/>
              </w:rPr>
              <w:t>在磋商响应文件中指定落款处，按文件要求盖章或签字</w:t>
            </w:r>
          </w:p>
        </w:tc>
        <w:tc>
          <w:tcPr>
            <w:tcW w:w="463" w:type="dxa"/>
            <w:tcBorders>
              <w:top w:val="single" w:color="auto" w:sz="6" w:space="0"/>
              <w:bottom w:val="single" w:color="auto" w:sz="6" w:space="0"/>
            </w:tcBorders>
            <w:vAlign w:val="center"/>
          </w:tcPr>
          <w:p>
            <w:pPr>
              <w:rPr>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28" w:hRule="atLeast"/>
        </w:trPr>
        <w:tc>
          <w:tcPr>
            <w:tcW w:w="557" w:type="dxa"/>
            <w:vMerge w:val="continue"/>
            <w:tcBorders>
              <w:top w:val="single" w:color="auto" w:sz="6" w:space="0"/>
              <w:bottom w:val="single" w:color="auto" w:sz="6" w:space="0"/>
            </w:tcBorders>
          </w:tcPr>
          <w:p>
            <w:pPr>
              <w:spacing w:line="273" w:lineRule="auto"/>
              <w:rPr>
                <w:b/>
                <w:bCs/>
                <w:sz w:val="24"/>
              </w:rPr>
            </w:pPr>
          </w:p>
        </w:tc>
        <w:tc>
          <w:tcPr>
            <w:tcW w:w="618" w:type="dxa"/>
            <w:vMerge w:val="continue"/>
            <w:tcBorders>
              <w:top w:val="single" w:color="auto" w:sz="6" w:space="0"/>
              <w:bottom w:val="single" w:color="auto" w:sz="6" w:space="0"/>
            </w:tcBorders>
          </w:tcPr>
          <w:p>
            <w:pPr>
              <w:spacing w:line="360" w:lineRule="auto"/>
              <w:rPr>
                <w:sz w:val="24"/>
              </w:rPr>
            </w:pPr>
          </w:p>
        </w:tc>
        <w:tc>
          <w:tcPr>
            <w:tcW w:w="2153" w:type="dxa"/>
            <w:tcBorders>
              <w:top w:val="single" w:color="auto" w:sz="6" w:space="0"/>
              <w:bottom w:val="single" w:color="auto" w:sz="6" w:space="0"/>
            </w:tcBorders>
            <w:vAlign w:val="center"/>
          </w:tcPr>
          <w:p>
            <w:pPr>
              <w:spacing w:line="360" w:lineRule="auto"/>
              <w:jc w:val="center"/>
              <w:rPr>
                <w:rFonts w:ascii="宋体" w:hAnsi="宋体" w:cs="宋体"/>
                <w:sz w:val="24"/>
              </w:rPr>
            </w:pPr>
            <w:r>
              <w:rPr>
                <w:rFonts w:hint="eastAsia" w:ascii="宋体" w:hAnsi="宋体" w:cs="宋体"/>
                <w:sz w:val="24"/>
              </w:rPr>
              <w:t>磋商响应文件格式</w:t>
            </w:r>
          </w:p>
        </w:tc>
        <w:tc>
          <w:tcPr>
            <w:tcW w:w="5429" w:type="dxa"/>
            <w:tcBorders>
              <w:top w:val="single" w:color="auto" w:sz="6" w:space="0"/>
              <w:bottom w:val="single" w:color="auto" w:sz="6" w:space="0"/>
            </w:tcBorders>
            <w:vAlign w:val="center"/>
          </w:tcPr>
          <w:p>
            <w:pPr>
              <w:spacing w:line="360" w:lineRule="auto"/>
              <w:rPr>
                <w:rFonts w:ascii="宋体" w:hAnsi="宋体" w:cs="宋体"/>
                <w:sz w:val="24"/>
              </w:rPr>
            </w:pPr>
            <w:r>
              <w:rPr>
                <w:rFonts w:hint="eastAsia" w:ascii="宋体" w:hAnsi="宋体" w:cs="宋体"/>
                <w:sz w:val="24"/>
              </w:rPr>
              <w:t>符合磋商文件的格式要求无重大偏离</w:t>
            </w:r>
          </w:p>
        </w:tc>
        <w:tc>
          <w:tcPr>
            <w:tcW w:w="463" w:type="dxa"/>
            <w:tcBorders>
              <w:top w:val="single" w:color="auto" w:sz="6" w:space="0"/>
              <w:bottom w:val="single" w:color="auto" w:sz="6" w:space="0"/>
            </w:tcBorders>
            <w:vAlign w:val="center"/>
          </w:tcPr>
          <w:p>
            <w:pPr>
              <w:rPr>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18" w:hRule="atLeast"/>
        </w:trPr>
        <w:tc>
          <w:tcPr>
            <w:tcW w:w="557" w:type="dxa"/>
            <w:vMerge w:val="continue"/>
            <w:tcBorders>
              <w:top w:val="single" w:color="auto" w:sz="6" w:space="0"/>
              <w:bottom w:val="single" w:color="auto" w:sz="6" w:space="0"/>
            </w:tcBorders>
          </w:tcPr>
          <w:p>
            <w:pPr>
              <w:spacing w:line="273" w:lineRule="auto"/>
              <w:rPr>
                <w:b/>
                <w:bCs/>
                <w:sz w:val="24"/>
              </w:rPr>
            </w:pPr>
          </w:p>
        </w:tc>
        <w:tc>
          <w:tcPr>
            <w:tcW w:w="618" w:type="dxa"/>
            <w:vMerge w:val="continue"/>
            <w:tcBorders>
              <w:top w:val="single" w:color="auto" w:sz="6" w:space="0"/>
              <w:bottom w:val="single" w:color="auto" w:sz="6" w:space="0"/>
            </w:tcBorders>
          </w:tcPr>
          <w:p>
            <w:pPr>
              <w:spacing w:line="360" w:lineRule="auto"/>
              <w:rPr>
                <w:sz w:val="24"/>
              </w:rPr>
            </w:pPr>
          </w:p>
        </w:tc>
        <w:tc>
          <w:tcPr>
            <w:tcW w:w="2153" w:type="dxa"/>
            <w:tcBorders>
              <w:top w:val="single" w:color="auto" w:sz="6" w:space="0"/>
              <w:bottom w:val="single" w:color="auto" w:sz="6" w:space="0"/>
            </w:tcBorders>
            <w:vAlign w:val="center"/>
          </w:tcPr>
          <w:p>
            <w:pPr>
              <w:spacing w:line="360" w:lineRule="auto"/>
              <w:jc w:val="center"/>
              <w:rPr>
                <w:rFonts w:ascii="宋体" w:hAnsi="宋体" w:cs="宋体"/>
                <w:sz w:val="24"/>
              </w:rPr>
            </w:pPr>
            <w:r>
              <w:rPr>
                <w:rFonts w:hint="eastAsia" w:ascii="宋体" w:hAnsi="宋体" w:cs="宋体"/>
                <w:sz w:val="24"/>
              </w:rPr>
              <w:t>响应文件数量</w:t>
            </w:r>
          </w:p>
        </w:tc>
        <w:tc>
          <w:tcPr>
            <w:tcW w:w="5429" w:type="dxa"/>
            <w:tcBorders>
              <w:top w:val="single" w:color="auto" w:sz="6" w:space="0"/>
              <w:bottom w:val="single" w:color="auto" w:sz="6" w:space="0"/>
            </w:tcBorders>
            <w:vAlign w:val="center"/>
          </w:tcPr>
          <w:p>
            <w:pPr>
              <w:spacing w:line="360" w:lineRule="auto"/>
              <w:rPr>
                <w:rFonts w:ascii="宋体" w:hAnsi="宋体" w:cs="宋体"/>
                <w:sz w:val="24"/>
              </w:rPr>
            </w:pPr>
            <w:r>
              <w:rPr>
                <w:rFonts w:hint="eastAsia" w:ascii="宋体" w:hAnsi="宋体" w:cs="宋体"/>
                <w:sz w:val="24"/>
              </w:rPr>
              <w:t>1正2副，电子版文件1份</w:t>
            </w:r>
          </w:p>
        </w:tc>
        <w:tc>
          <w:tcPr>
            <w:tcW w:w="463" w:type="dxa"/>
            <w:tcBorders>
              <w:top w:val="single" w:color="auto" w:sz="6" w:space="0"/>
              <w:bottom w:val="single" w:color="auto" w:sz="6" w:space="0"/>
            </w:tcBorders>
            <w:vAlign w:val="center"/>
          </w:tcPr>
          <w:p>
            <w:pPr>
              <w:rPr>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2" w:hRule="atLeast"/>
        </w:trPr>
        <w:tc>
          <w:tcPr>
            <w:tcW w:w="557" w:type="dxa"/>
            <w:vMerge w:val="continue"/>
            <w:tcBorders>
              <w:top w:val="single" w:color="auto" w:sz="6" w:space="0"/>
              <w:bottom w:val="single" w:color="auto" w:sz="6" w:space="0"/>
            </w:tcBorders>
          </w:tcPr>
          <w:p>
            <w:pPr>
              <w:spacing w:line="273" w:lineRule="auto"/>
              <w:rPr>
                <w:b/>
                <w:bCs/>
                <w:sz w:val="24"/>
              </w:rPr>
            </w:pPr>
          </w:p>
        </w:tc>
        <w:tc>
          <w:tcPr>
            <w:tcW w:w="618" w:type="dxa"/>
            <w:vMerge w:val="continue"/>
            <w:tcBorders>
              <w:top w:val="single" w:color="auto" w:sz="6" w:space="0"/>
              <w:bottom w:val="single" w:color="auto" w:sz="6" w:space="0"/>
            </w:tcBorders>
          </w:tcPr>
          <w:p>
            <w:pPr>
              <w:spacing w:line="360" w:lineRule="auto"/>
              <w:rPr>
                <w:sz w:val="24"/>
              </w:rPr>
            </w:pPr>
          </w:p>
        </w:tc>
        <w:tc>
          <w:tcPr>
            <w:tcW w:w="2153" w:type="dxa"/>
            <w:tcBorders>
              <w:top w:val="single" w:color="auto" w:sz="6" w:space="0"/>
              <w:bottom w:val="single" w:color="auto" w:sz="6" w:space="0"/>
            </w:tcBorders>
            <w:vAlign w:val="center"/>
          </w:tcPr>
          <w:p>
            <w:pPr>
              <w:spacing w:line="360" w:lineRule="auto"/>
              <w:jc w:val="center"/>
              <w:rPr>
                <w:rFonts w:ascii="宋体" w:hAnsi="宋体" w:cs="宋体"/>
                <w:sz w:val="24"/>
              </w:rPr>
            </w:pPr>
            <w:r>
              <w:rPr>
                <w:rFonts w:hint="eastAsia" w:ascii="宋体" w:hAnsi="宋体" w:cs="宋体"/>
                <w:sz w:val="24"/>
              </w:rPr>
              <w:t>响应（投标）内容</w:t>
            </w:r>
          </w:p>
        </w:tc>
        <w:tc>
          <w:tcPr>
            <w:tcW w:w="5429" w:type="dxa"/>
            <w:tcBorders>
              <w:top w:val="single" w:color="auto" w:sz="6" w:space="0"/>
              <w:bottom w:val="single" w:color="auto" w:sz="6" w:space="0"/>
            </w:tcBorders>
            <w:vAlign w:val="center"/>
          </w:tcPr>
          <w:p>
            <w:pPr>
              <w:spacing w:line="360" w:lineRule="auto"/>
              <w:rPr>
                <w:rFonts w:ascii="宋体" w:hAnsi="宋体" w:cs="宋体"/>
                <w:sz w:val="24"/>
              </w:rPr>
            </w:pPr>
            <w:r>
              <w:rPr>
                <w:rFonts w:hint="eastAsia" w:ascii="宋体" w:hAnsi="宋体" w:cs="宋体"/>
                <w:sz w:val="24"/>
              </w:rPr>
              <w:t>与磋商内容一致，无重大偏离</w:t>
            </w:r>
          </w:p>
        </w:tc>
        <w:tc>
          <w:tcPr>
            <w:tcW w:w="463" w:type="dxa"/>
            <w:tcBorders>
              <w:top w:val="single" w:color="auto" w:sz="6" w:space="0"/>
              <w:bottom w:val="single" w:color="auto" w:sz="6" w:space="0"/>
            </w:tcBorders>
            <w:vAlign w:val="center"/>
          </w:tcPr>
          <w:p>
            <w:pPr>
              <w:rPr>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4" w:hRule="atLeast"/>
        </w:trPr>
        <w:tc>
          <w:tcPr>
            <w:tcW w:w="557" w:type="dxa"/>
            <w:vMerge w:val="continue"/>
            <w:tcBorders>
              <w:top w:val="single" w:color="auto" w:sz="6" w:space="0"/>
              <w:bottom w:val="single" w:color="auto" w:sz="6" w:space="0"/>
            </w:tcBorders>
          </w:tcPr>
          <w:p>
            <w:pPr>
              <w:spacing w:line="273" w:lineRule="auto"/>
              <w:rPr>
                <w:b/>
                <w:bCs/>
                <w:sz w:val="24"/>
              </w:rPr>
            </w:pPr>
          </w:p>
        </w:tc>
        <w:tc>
          <w:tcPr>
            <w:tcW w:w="618" w:type="dxa"/>
            <w:vMerge w:val="continue"/>
            <w:tcBorders>
              <w:top w:val="single" w:color="auto" w:sz="6" w:space="0"/>
              <w:bottom w:val="single" w:color="auto" w:sz="6" w:space="0"/>
            </w:tcBorders>
          </w:tcPr>
          <w:p>
            <w:pPr>
              <w:spacing w:line="360" w:lineRule="auto"/>
              <w:rPr>
                <w:sz w:val="24"/>
              </w:rPr>
            </w:pPr>
          </w:p>
        </w:tc>
        <w:tc>
          <w:tcPr>
            <w:tcW w:w="2153" w:type="dxa"/>
            <w:tcBorders>
              <w:top w:val="single" w:color="auto" w:sz="6" w:space="0"/>
              <w:bottom w:val="single" w:color="auto" w:sz="6" w:space="0"/>
            </w:tcBorders>
            <w:vAlign w:val="center"/>
          </w:tcPr>
          <w:p>
            <w:pPr>
              <w:spacing w:line="360" w:lineRule="auto"/>
              <w:jc w:val="center"/>
              <w:rPr>
                <w:rFonts w:ascii="宋体" w:hAnsi="宋体" w:cs="宋体"/>
                <w:sz w:val="24"/>
              </w:rPr>
            </w:pPr>
            <w:r>
              <w:rPr>
                <w:rFonts w:hint="eastAsia" w:ascii="宋体" w:hAnsi="宋体" w:cs="宋体"/>
                <w:sz w:val="24"/>
              </w:rPr>
              <w:t>磋商有效期</w:t>
            </w:r>
          </w:p>
        </w:tc>
        <w:tc>
          <w:tcPr>
            <w:tcW w:w="5429" w:type="dxa"/>
            <w:tcBorders>
              <w:top w:val="single" w:color="auto" w:sz="6" w:space="0"/>
              <w:bottom w:val="single" w:color="auto" w:sz="6" w:space="0"/>
            </w:tcBorders>
            <w:vAlign w:val="center"/>
          </w:tcPr>
          <w:p>
            <w:pPr>
              <w:spacing w:line="360" w:lineRule="auto"/>
              <w:rPr>
                <w:rFonts w:ascii="宋体" w:hAnsi="宋体" w:cs="宋体"/>
                <w:sz w:val="24"/>
              </w:rPr>
            </w:pPr>
            <w:r>
              <w:rPr>
                <w:rFonts w:hint="eastAsia" w:ascii="宋体" w:hAnsi="宋体" w:cs="宋体"/>
                <w:sz w:val="24"/>
              </w:rPr>
              <w:t>自磋商响应文件递交之日起不少于90个日历天</w:t>
            </w:r>
          </w:p>
        </w:tc>
        <w:tc>
          <w:tcPr>
            <w:tcW w:w="463" w:type="dxa"/>
            <w:tcBorders>
              <w:top w:val="single" w:color="auto" w:sz="6" w:space="0"/>
              <w:bottom w:val="single" w:color="auto" w:sz="6" w:space="0"/>
            </w:tcBorders>
            <w:vAlign w:val="center"/>
          </w:tcPr>
          <w:p>
            <w:pPr>
              <w:rPr>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3" w:hRule="atLeast"/>
        </w:trPr>
        <w:tc>
          <w:tcPr>
            <w:tcW w:w="557" w:type="dxa"/>
            <w:vMerge w:val="continue"/>
            <w:tcBorders>
              <w:top w:val="single" w:color="auto" w:sz="6" w:space="0"/>
              <w:bottom w:val="single" w:color="auto" w:sz="6" w:space="0"/>
            </w:tcBorders>
          </w:tcPr>
          <w:p>
            <w:pPr>
              <w:spacing w:line="273" w:lineRule="auto"/>
              <w:rPr>
                <w:b/>
                <w:bCs/>
                <w:sz w:val="24"/>
              </w:rPr>
            </w:pPr>
          </w:p>
        </w:tc>
        <w:tc>
          <w:tcPr>
            <w:tcW w:w="618" w:type="dxa"/>
            <w:vMerge w:val="continue"/>
            <w:tcBorders>
              <w:top w:val="single" w:color="auto" w:sz="6" w:space="0"/>
              <w:bottom w:val="single" w:color="auto" w:sz="6" w:space="0"/>
            </w:tcBorders>
          </w:tcPr>
          <w:p>
            <w:pPr>
              <w:spacing w:line="360" w:lineRule="auto"/>
              <w:rPr>
                <w:sz w:val="24"/>
              </w:rPr>
            </w:pPr>
          </w:p>
        </w:tc>
        <w:tc>
          <w:tcPr>
            <w:tcW w:w="2153" w:type="dxa"/>
            <w:tcBorders>
              <w:top w:val="single" w:color="auto" w:sz="6" w:space="0"/>
              <w:bottom w:val="single" w:color="auto" w:sz="6" w:space="0"/>
            </w:tcBorders>
            <w:vAlign w:val="center"/>
          </w:tcPr>
          <w:p>
            <w:pPr>
              <w:spacing w:line="360" w:lineRule="auto"/>
              <w:jc w:val="center"/>
              <w:rPr>
                <w:rFonts w:ascii="宋体" w:hAnsi="宋体" w:cs="宋体"/>
                <w:sz w:val="24"/>
              </w:rPr>
            </w:pPr>
            <w:r>
              <w:rPr>
                <w:rFonts w:hint="eastAsia" w:ascii="宋体" w:hAnsi="宋体" w:cs="宋体"/>
                <w:sz w:val="24"/>
              </w:rPr>
              <w:t>首次磋商报价</w:t>
            </w:r>
          </w:p>
        </w:tc>
        <w:tc>
          <w:tcPr>
            <w:tcW w:w="5429" w:type="dxa"/>
            <w:tcBorders>
              <w:top w:val="single" w:color="auto" w:sz="6" w:space="0"/>
              <w:bottom w:val="single" w:color="auto" w:sz="6" w:space="0"/>
            </w:tcBorders>
            <w:vAlign w:val="center"/>
          </w:tcPr>
          <w:p>
            <w:pPr>
              <w:spacing w:line="360" w:lineRule="auto"/>
              <w:rPr>
                <w:rFonts w:ascii="宋体" w:hAnsi="宋体" w:cs="宋体"/>
                <w:sz w:val="24"/>
              </w:rPr>
            </w:pPr>
            <w:r>
              <w:rPr>
                <w:rFonts w:hint="eastAsia" w:ascii="宋体" w:hAnsi="宋体" w:cs="宋体"/>
                <w:sz w:val="24"/>
              </w:rPr>
              <w:t>未超过磋商最高限价</w:t>
            </w:r>
          </w:p>
        </w:tc>
        <w:tc>
          <w:tcPr>
            <w:tcW w:w="463" w:type="dxa"/>
            <w:tcBorders>
              <w:top w:val="single" w:color="auto" w:sz="6" w:space="0"/>
              <w:bottom w:val="single" w:color="auto" w:sz="6" w:space="0"/>
            </w:tcBorders>
            <w:vAlign w:val="center"/>
          </w:tcPr>
          <w:p>
            <w:pPr>
              <w:rPr>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4" w:hRule="atLeast"/>
        </w:trPr>
        <w:tc>
          <w:tcPr>
            <w:tcW w:w="557" w:type="dxa"/>
            <w:vMerge w:val="continue"/>
            <w:tcBorders>
              <w:top w:val="single" w:color="auto" w:sz="6" w:space="0"/>
              <w:bottom w:val="single" w:color="auto" w:sz="6" w:space="0"/>
            </w:tcBorders>
          </w:tcPr>
          <w:p>
            <w:pPr>
              <w:spacing w:line="273" w:lineRule="auto"/>
              <w:rPr>
                <w:b/>
                <w:bCs/>
                <w:sz w:val="24"/>
              </w:rPr>
            </w:pPr>
          </w:p>
        </w:tc>
        <w:tc>
          <w:tcPr>
            <w:tcW w:w="618" w:type="dxa"/>
            <w:vMerge w:val="continue"/>
            <w:tcBorders>
              <w:top w:val="single" w:color="auto" w:sz="6" w:space="0"/>
              <w:bottom w:val="single" w:color="auto" w:sz="6" w:space="0"/>
            </w:tcBorders>
          </w:tcPr>
          <w:p>
            <w:pPr>
              <w:spacing w:line="360" w:lineRule="auto"/>
              <w:rPr>
                <w:sz w:val="24"/>
              </w:rPr>
            </w:pPr>
          </w:p>
        </w:tc>
        <w:tc>
          <w:tcPr>
            <w:tcW w:w="2153" w:type="dxa"/>
            <w:tcBorders>
              <w:top w:val="single" w:color="auto" w:sz="6" w:space="0"/>
              <w:bottom w:val="single" w:color="auto" w:sz="6" w:space="0"/>
            </w:tcBorders>
            <w:vAlign w:val="center"/>
          </w:tcPr>
          <w:p>
            <w:pPr>
              <w:spacing w:line="360" w:lineRule="auto"/>
              <w:jc w:val="center"/>
              <w:rPr>
                <w:rFonts w:ascii="宋体" w:hAnsi="宋体" w:cs="宋体"/>
                <w:sz w:val="24"/>
              </w:rPr>
            </w:pPr>
            <w:r>
              <w:rPr>
                <w:rFonts w:hint="eastAsia" w:ascii="宋体" w:hAnsi="宋体" w:cs="宋体"/>
                <w:sz w:val="24"/>
              </w:rPr>
              <w:t>工期</w:t>
            </w:r>
          </w:p>
        </w:tc>
        <w:tc>
          <w:tcPr>
            <w:tcW w:w="5429" w:type="dxa"/>
            <w:tcBorders>
              <w:top w:val="single" w:color="auto" w:sz="6" w:space="0"/>
              <w:bottom w:val="single" w:color="auto" w:sz="6" w:space="0"/>
            </w:tcBorders>
            <w:vAlign w:val="center"/>
          </w:tcPr>
          <w:p>
            <w:pPr>
              <w:spacing w:line="360" w:lineRule="auto"/>
              <w:rPr>
                <w:rFonts w:ascii="宋体" w:hAnsi="宋体" w:cs="宋体"/>
                <w:sz w:val="24"/>
              </w:rPr>
            </w:pPr>
            <w:r>
              <w:rPr>
                <w:rFonts w:hint="eastAsia" w:ascii="宋体" w:hAnsi="宋体" w:cs="宋体"/>
                <w:sz w:val="24"/>
              </w:rPr>
              <w:t>符合磋商文件要求</w:t>
            </w:r>
          </w:p>
        </w:tc>
        <w:tc>
          <w:tcPr>
            <w:tcW w:w="463" w:type="dxa"/>
            <w:tcBorders>
              <w:top w:val="single" w:color="auto" w:sz="6" w:space="0"/>
              <w:bottom w:val="single" w:color="auto" w:sz="6" w:space="0"/>
            </w:tcBorders>
            <w:vAlign w:val="center"/>
          </w:tcPr>
          <w:p>
            <w:pPr>
              <w:rPr>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91" w:hRule="atLeast"/>
        </w:trPr>
        <w:tc>
          <w:tcPr>
            <w:tcW w:w="557" w:type="dxa"/>
            <w:vMerge w:val="continue"/>
            <w:tcBorders>
              <w:top w:val="single" w:color="auto" w:sz="6" w:space="0"/>
              <w:bottom w:val="single" w:color="auto" w:sz="12" w:space="0"/>
            </w:tcBorders>
          </w:tcPr>
          <w:p>
            <w:pPr>
              <w:spacing w:line="273" w:lineRule="auto"/>
              <w:rPr>
                <w:b/>
                <w:bCs/>
                <w:sz w:val="24"/>
              </w:rPr>
            </w:pPr>
          </w:p>
        </w:tc>
        <w:tc>
          <w:tcPr>
            <w:tcW w:w="618" w:type="dxa"/>
            <w:vMerge w:val="continue"/>
            <w:tcBorders>
              <w:top w:val="single" w:color="auto" w:sz="6" w:space="0"/>
              <w:bottom w:val="single" w:color="auto" w:sz="12" w:space="0"/>
            </w:tcBorders>
          </w:tcPr>
          <w:p>
            <w:pPr>
              <w:spacing w:line="360" w:lineRule="auto"/>
              <w:rPr>
                <w:sz w:val="24"/>
              </w:rPr>
            </w:pPr>
          </w:p>
        </w:tc>
        <w:tc>
          <w:tcPr>
            <w:tcW w:w="2153" w:type="dxa"/>
            <w:tcBorders>
              <w:top w:val="single" w:color="auto" w:sz="6" w:space="0"/>
              <w:bottom w:val="single" w:color="auto" w:sz="12" w:space="0"/>
            </w:tcBorders>
            <w:vAlign w:val="center"/>
          </w:tcPr>
          <w:p>
            <w:pPr>
              <w:spacing w:line="360" w:lineRule="auto"/>
              <w:jc w:val="center"/>
              <w:rPr>
                <w:rFonts w:ascii="宋体" w:hAnsi="宋体" w:cs="宋体"/>
                <w:sz w:val="24"/>
              </w:rPr>
            </w:pPr>
            <w:r>
              <w:rPr>
                <w:rFonts w:hint="eastAsia" w:ascii="宋体" w:hAnsi="宋体" w:cs="宋体"/>
                <w:sz w:val="24"/>
              </w:rPr>
              <w:t>质量标准</w:t>
            </w:r>
          </w:p>
        </w:tc>
        <w:tc>
          <w:tcPr>
            <w:tcW w:w="5429" w:type="dxa"/>
            <w:tcBorders>
              <w:top w:val="single" w:color="auto" w:sz="6" w:space="0"/>
              <w:bottom w:val="single" w:color="auto" w:sz="12" w:space="0"/>
            </w:tcBorders>
            <w:vAlign w:val="center"/>
          </w:tcPr>
          <w:p>
            <w:pPr>
              <w:spacing w:line="360" w:lineRule="auto"/>
              <w:rPr>
                <w:rFonts w:ascii="宋体" w:hAnsi="宋体" w:cs="宋体"/>
                <w:sz w:val="24"/>
              </w:rPr>
            </w:pPr>
            <w:r>
              <w:rPr>
                <w:kern w:val="0"/>
                <w:sz w:val="24"/>
              </w:rPr>
              <w:t>达到国家相关质量合格标准</w:t>
            </w:r>
          </w:p>
        </w:tc>
        <w:tc>
          <w:tcPr>
            <w:tcW w:w="463" w:type="dxa"/>
            <w:tcBorders>
              <w:top w:val="single" w:color="auto" w:sz="6" w:space="0"/>
              <w:bottom w:val="single" w:color="auto" w:sz="12" w:space="0"/>
            </w:tcBorders>
            <w:vAlign w:val="center"/>
          </w:tcPr>
          <w:p>
            <w:pPr>
              <w:rPr>
                <w:sz w:val="24"/>
              </w:rPr>
            </w:pPr>
          </w:p>
        </w:tc>
      </w:tr>
    </w:tbl>
    <w:p>
      <w:pPr>
        <w:adjustRightInd w:val="0"/>
        <w:snapToGrid w:val="0"/>
        <w:spacing w:before="156" w:beforeLines="50" w:line="324" w:lineRule="auto"/>
        <w:rPr>
          <w:rFonts w:ascii="宋体" w:hAnsi="宋体" w:cs="宋体"/>
          <w:sz w:val="24"/>
        </w:rPr>
      </w:pPr>
      <w:r>
        <w:rPr>
          <w:sz w:val="24"/>
        </w:rPr>
        <w:t xml:space="preserve">   </w:t>
      </w:r>
      <w:r>
        <w:rPr>
          <w:rFonts w:hint="eastAsia" w:ascii="宋体" w:hAnsi="宋体" w:cs="宋体"/>
          <w:sz w:val="24"/>
        </w:rPr>
        <w:t xml:space="preserve"> 4.3 磋商小组在对响应文件的有效性、完整性和响应程度进行审查时，可以要求磋商响应单位对响应文件中含义不明确、同类问题表述不一致或者有明显文字和计算错误的内容等作出必要的澄清、说明或者更正。磋商响应单位的澄清、说明或者更正不得超出响应文件的范围或者改变响应文件的实质性内容。</w:t>
      </w:r>
    </w:p>
    <w:p>
      <w:pPr>
        <w:adjustRightInd w:val="0"/>
        <w:snapToGrid w:val="0"/>
        <w:spacing w:line="324" w:lineRule="auto"/>
        <w:ind w:firstLine="480" w:firstLineChars="200"/>
        <w:rPr>
          <w:rFonts w:ascii="宋体" w:hAnsi="宋体" w:cs="宋体"/>
          <w:sz w:val="24"/>
        </w:rPr>
      </w:pPr>
      <w:r>
        <w:rPr>
          <w:rFonts w:hint="eastAsia" w:ascii="宋体" w:hAnsi="宋体" w:cs="宋体"/>
          <w:sz w:val="24"/>
        </w:rPr>
        <w:t>磋商小组要求磋商响应单位澄清、说明或者更正响应文件应当以书面形式作出。磋商响应单位的澄清、说明或者更正应当由法定代表人或其授权代表签字或者加盖公章。由授权代表签字的，应当附法定代表人授权书。磋商响应单位为自然人的，应当由本人签字并附身份证明。</w:t>
      </w:r>
    </w:p>
    <w:p>
      <w:pPr>
        <w:adjustRightInd w:val="0"/>
        <w:snapToGrid w:val="0"/>
        <w:spacing w:line="324" w:lineRule="auto"/>
        <w:ind w:firstLine="480" w:firstLineChars="200"/>
        <w:rPr>
          <w:rFonts w:ascii="宋体" w:hAnsi="宋体" w:cs="宋体"/>
          <w:sz w:val="24"/>
        </w:rPr>
      </w:pPr>
      <w:r>
        <w:rPr>
          <w:rFonts w:hint="eastAsia" w:ascii="宋体" w:hAnsi="宋体" w:cs="宋体"/>
          <w:sz w:val="24"/>
        </w:rPr>
        <w:t>5、磋商</w:t>
      </w:r>
    </w:p>
    <w:p>
      <w:pPr>
        <w:adjustRightInd w:val="0"/>
        <w:snapToGrid w:val="0"/>
        <w:spacing w:line="324" w:lineRule="auto"/>
        <w:ind w:firstLine="480" w:firstLineChars="200"/>
        <w:rPr>
          <w:rFonts w:ascii="宋体" w:hAnsi="宋体" w:cs="宋体"/>
          <w:sz w:val="24"/>
        </w:rPr>
      </w:pPr>
      <w:r>
        <w:rPr>
          <w:rFonts w:hint="eastAsia" w:ascii="宋体" w:hAnsi="宋体" w:cs="宋体"/>
          <w:sz w:val="24"/>
        </w:rPr>
        <w:t>只和通过初审的磋商响应单位进行磋商。</w:t>
      </w:r>
    </w:p>
    <w:p>
      <w:pPr>
        <w:adjustRightInd w:val="0"/>
        <w:snapToGrid w:val="0"/>
        <w:spacing w:line="324" w:lineRule="auto"/>
        <w:ind w:firstLine="480" w:firstLineChars="200"/>
        <w:rPr>
          <w:rFonts w:ascii="宋体" w:hAnsi="宋体" w:cs="宋体"/>
          <w:sz w:val="24"/>
        </w:rPr>
      </w:pPr>
      <w:r>
        <w:rPr>
          <w:rFonts w:hint="eastAsia" w:ascii="宋体" w:hAnsi="宋体" w:cs="宋体"/>
          <w:sz w:val="24"/>
        </w:rPr>
        <w:t>5.1磋商</w:t>
      </w:r>
    </w:p>
    <w:p>
      <w:pPr>
        <w:adjustRightInd w:val="0"/>
        <w:snapToGrid w:val="0"/>
        <w:spacing w:line="324" w:lineRule="auto"/>
        <w:ind w:firstLine="480" w:firstLineChars="200"/>
        <w:rPr>
          <w:rFonts w:ascii="宋体" w:hAnsi="宋体" w:cs="宋体"/>
          <w:sz w:val="24"/>
        </w:rPr>
      </w:pPr>
      <w:r>
        <w:rPr>
          <w:rFonts w:hint="eastAsia" w:ascii="宋体" w:hAnsi="宋体" w:cs="宋体"/>
          <w:sz w:val="24"/>
        </w:rPr>
        <w:t>磋商小组可根据需要，由磋商小组所有成员集中与单一磋商响应单位分别进行磋商。采购代理机构对磋商过程和重要磋商内容进行记录，磋商小组召集人和磋商响应单位在记录上签字确认。</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5.2 在磋商过程中，磋商小组可以根据磋商文件和磋商情况实质性变动采购需求中的技术、服务要求以及合同草案条款，但不得变动磋商文件中的其他内容。实质性变动的内容，须经采购人代表确认，并成为磋商文件有效组成部分。</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5.3 最终响应（第二次报价）</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磋商响应单位根据磋商情况和磋商文件修改书面通知（如有）对原响应文件进行修正，并在现场规定时间内将修正文件（如有）和最终报价由磋商响应单位法定代表人或其授权委托人签字或盖章后送交磋商小组。逾时不交的，视同放弃磋商。修正文件与磋商响应文件同具法律效力。</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5.4 所有磋商响应单位的最终响应未超过政府采购预算不足3家，磋商活动终止。</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5.5 磋商过程由政府采购代理机构指定专人负责记录，并存档备查。</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6、详细评审</w:t>
      </w:r>
    </w:p>
    <w:p>
      <w:pPr>
        <w:adjustRightInd w:val="0"/>
        <w:snapToGrid w:val="0"/>
        <w:spacing w:line="360" w:lineRule="auto"/>
        <w:ind w:firstLine="480" w:firstLineChars="200"/>
        <w:rPr>
          <w:rFonts w:ascii="宋体" w:hAnsi="宋体" w:cs="宋体"/>
          <w:sz w:val="24"/>
        </w:rPr>
      </w:pPr>
      <w:r>
        <w:rPr>
          <w:rFonts w:hint="eastAsia" w:ascii="宋体" w:hAnsi="宋体" w:cs="宋体"/>
          <w:sz w:val="24"/>
          <w:lang w:val="en-US" w:eastAsia="zh-CN"/>
        </w:rPr>
        <w:t>磋商小组</w:t>
      </w:r>
      <w:r>
        <w:rPr>
          <w:rFonts w:hint="eastAsia" w:ascii="宋体" w:hAnsi="宋体" w:cs="宋体"/>
          <w:sz w:val="24"/>
        </w:rPr>
        <w:t>只对磋商最终响应的磋商响应单位进行评审和比较。</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6.1 本次磋商采用综合评分法</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6.2 磋商响应单位的评审总得分满分100分（商务标</w:t>
      </w:r>
      <w:r>
        <w:rPr>
          <w:rFonts w:hint="eastAsia" w:ascii="宋体" w:hAnsi="宋体" w:cs="宋体"/>
          <w:sz w:val="24"/>
          <w:lang w:val="en-US" w:eastAsia="zh-CN"/>
        </w:rPr>
        <w:t>3</w:t>
      </w:r>
      <w:r>
        <w:rPr>
          <w:rFonts w:hint="eastAsia" w:ascii="宋体" w:hAnsi="宋体" w:cs="宋体"/>
          <w:sz w:val="24"/>
        </w:rPr>
        <w:t>5分、技术标</w:t>
      </w:r>
      <w:r>
        <w:rPr>
          <w:rFonts w:hint="eastAsia" w:ascii="宋体" w:hAnsi="宋体" w:cs="宋体"/>
          <w:sz w:val="24"/>
          <w:lang w:val="en-US" w:eastAsia="zh-CN"/>
        </w:rPr>
        <w:t>6</w:t>
      </w:r>
      <w:r>
        <w:rPr>
          <w:rFonts w:hint="eastAsia" w:ascii="宋体" w:hAnsi="宋体" w:cs="宋体"/>
          <w:sz w:val="24"/>
        </w:rPr>
        <w:t>5分）</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评分标准</w:t>
      </w:r>
    </w:p>
    <w:p>
      <w:pPr>
        <w:pStyle w:val="17"/>
      </w:pPr>
      <w:r>
        <w:br w:type="page"/>
      </w:r>
    </w:p>
    <w:tbl>
      <w:tblPr>
        <w:tblStyle w:val="48"/>
        <w:tblW w:w="9074"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20"/>
        <w:gridCol w:w="816"/>
        <w:gridCol w:w="6525"/>
        <w:gridCol w:w="91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73" w:hRule="atLeast"/>
          <w:jc w:val="center"/>
        </w:trPr>
        <w:tc>
          <w:tcPr>
            <w:tcW w:w="820" w:type="dxa"/>
            <w:tcBorders>
              <w:tl2br w:val="nil"/>
              <w:tr2bl w:val="nil"/>
            </w:tcBorders>
            <w:vAlign w:val="center"/>
          </w:tcPr>
          <w:p>
            <w:pPr>
              <w:widowControl/>
              <w:jc w:val="center"/>
              <w:rPr>
                <w:bCs/>
                <w:kern w:val="0"/>
                <w:sz w:val="24"/>
              </w:rPr>
            </w:pPr>
            <w:r>
              <w:rPr>
                <w:bCs/>
                <w:kern w:val="0"/>
                <w:sz w:val="24"/>
              </w:rPr>
              <w:t>项别</w:t>
            </w:r>
          </w:p>
        </w:tc>
        <w:tc>
          <w:tcPr>
            <w:tcW w:w="816" w:type="dxa"/>
            <w:tcBorders>
              <w:tl2br w:val="nil"/>
              <w:tr2bl w:val="nil"/>
            </w:tcBorders>
            <w:vAlign w:val="center"/>
          </w:tcPr>
          <w:p>
            <w:pPr>
              <w:widowControl/>
              <w:jc w:val="center"/>
              <w:rPr>
                <w:bCs/>
                <w:kern w:val="0"/>
                <w:sz w:val="24"/>
              </w:rPr>
            </w:pPr>
            <w:r>
              <w:rPr>
                <w:bCs/>
                <w:kern w:val="0"/>
                <w:sz w:val="24"/>
              </w:rPr>
              <w:t>分值</w:t>
            </w:r>
          </w:p>
        </w:tc>
        <w:tc>
          <w:tcPr>
            <w:tcW w:w="6525" w:type="dxa"/>
            <w:tcBorders>
              <w:tl2br w:val="nil"/>
              <w:tr2bl w:val="nil"/>
            </w:tcBorders>
            <w:vAlign w:val="center"/>
          </w:tcPr>
          <w:p>
            <w:pPr>
              <w:widowControl/>
              <w:jc w:val="center"/>
              <w:rPr>
                <w:bCs/>
                <w:kern w:val="0"/>
                <w:sz w:val="24"/>
              </w:rPr>
            </w:pPr>
            <w:r>
              <w:rPr>
                <w:bCs/>
                <w:kern w:val="0"/>
                <w:sz w:val="24"/>
              </w:rPr>
              <w:t>评标要素</w:t>
            </w:r>
          </w:p>
        </w:tc>
        <w:tc>
          <w:tcPr>
            <w:tcW w:w="913" w:type="dxa"/>
            <w:tcBorders>
              <w:tl2br w:val="nil"/>
              <w:tr2bl w:val="nil"/>
            </w:tcBorders>
            <w:vAlign w:val="center"/>
          </w:tcPr>
          <w:p>
            <w:pPr>
              <w:widowControl/>
              <w:jc w:val="center"/>
              <w:rPr>
                <w:bCs/>
                <w:kern w:val="0"/>
                <w:sz w:val="24"/>
              </w:rPr>
            </w:pPr>
            <w:r>
              <w:rPr>
                <w:bCs/>
                <w:kern w:val="0"/>
                <w:sz w:val="24"/>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44" w:hRule="atLeast"/>
          <w:jc w:val="center"/>
        </w:trPr>
        <w:tc>
          <w:tcPr>
            <w:tcW w:w="9074" w:type="dxa"/>
            <w:gridSpan w:val="4"/>
            <w:tcBorders>
              <w:tl2br w:val="nil"/>
              <w:tr2bl w:val="nil"/>
            </w:tcBorders>
            <w:vAlign w:val="center"/>
          </w:tcPr>
          <w:p>
            <w:pPr>
              <w:widowControl/>
              <w:jc w:val="center"/>
              <w:rPr>
                <w:b/>
                <w:bCs/>
                <w:kern w:val="0"/>
                <w:sz w:val="24"/>
              </w:rPr>
            </w:pPr>
            <w:r>
              <w:rPr>
                <w:rFonts w:hint="eastAsia" w:ascii="宋体" w:hAnsi="宋体" w:cs="宋体"/>
                <w:b/>
                <w:bCs/>
                <w:kern w:val="0"/>
                <w:sz w:val="24"/>
              </w:rPr>
              <w:t>商务标（</w:t>
            </w:r>
            <w:r>
              <w:rPr>
                <w:rFonts w:hint="eastAsia" w:ascii="宋体" w:hAnsi="宋体" w:cs="宋体"/>
                <w:b/>
                <w:bCs/>
                <w:kern w:val="0"/>
                <w:sz w:val="24"/>
                <w:lang w:val="en-US" w:eastAsia="zh-CN"/>
              </w:rPr>
              <w:t>3</w:t>
            </w:r>
            <w:r>
              <w:rPr>
                <w:rFonts w:hint="eastAsia" w:ascii="宋体" w:hAnsi="宋体" w:cs="宋体"/>
                <w:b/>
                <w:bCs/>
                <w:kern w:val="0"/>
                <w:sz w:val="24"/>
              </w:rPr>
              <w:t>5分）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709" w:hRule="atLeast"/>
          <w:jc w:val="center"/>
        </w:trPr>
        <w:tc>
          <w:tcPr>
            <w:tcW w:w="820" w:type="dxa"/>
            <w:tcBorders>
              <w:tl2br w:val="nil"/>
              <w:tr2bl w:val="nil"/>
            </w:tcBorders>
            <w:vAlign w:val="center"/>
          </w:tcPr>
          <w:p>
            <w:pPr>
              <w:widowControl/>
              <w:jc w:val="center"/>
              <w:rPr>
                <w:bCs/>
                <w:kern w:val="0"/>
                <w:sz w:val="24"/>
                <w:highlight w:val="none"/>
              </w:rPr>
            </w:pPr>
            <w:r>
              <w:rPr>
                <w:bCs/>
                <w:kern w:val="0"/>
                <w:sz w:val="24"/>
                <w:highlight w:val="none"/>
              </w:rPr>
              <w:t>价格</w:t>
            </w:r>
          </w:p>
        </w:tc>
        <w:tc>
          <w:tcPr>
            <w:tcW w:w="816" w:type="dxa"/>
            <w:tcBorders>
              <w:tl2br w:val="nil"/>
              <w:tr2bl w:val="nil"/>
            </w:tcBorders>
            <w:vAlign w:val="center"/>
          </w:tcPr>
          <w:p>
            <w:pPr>
              <w:widowControl/>
              <w:jc w:val="center"/>
              <w:rPr>
                <w:sz w:val="24"/>
                <w:highlight w:val="red"/>
              </w:rPr>
            </w:pPr>
            <w:r>
              <w:rPr>
                <w:rFonts w:hint="eastAsia" w:ascii="宋体" w:hAnsi="宋体" w:cs="宋体"/>
                <w:sz w:val="24"/>
                <w:highlight w:val="none"/>
              </w:rPr>
              <w:t>0-</w:t>
            </w:r>
            <w:r>
              <w:rPr>
                <w:rFonts w:hint="eastAsia" w:ascii="宋体" w:hAnsi="宋体" w:cs="宋体"/>
                <w:sz w:val="24"/>
                <w:highlight w:val="none"/>
                <w:lang w:val="en-US" w:eastAsia="zh-CN"/>
              </w:rPr>
              <w:t>3</w:t>
            </w:r>
            <w:r>
              <w:rPr>
                <w:rFonts w:hint="eastAsia" w:ascii="宋体" w:hAnsi="宋体" w:cs="宋体"/>
                <w:sz w:val="24"/>
                <w:highlight w:val="none"/>
              </w:rPr>
              <w:t>0</w:t>
            </w:r>
          </w:p>
        </w:tc>
        <w:tc>
          <w:tcPr>
            <w:tcW w:w="6525" w:type="dxa"/>
            <w:tcBorders>
              <w:tl2br w:val="nil"/>
              <w:tr2bl w:val="nil"/>
            </w:tcBorders>
            <w:vAlign w:val="center"/>
          </w:tcPr>
          <w:p>
            <w:pPr>
              <w:tabs>
                <w:tab w:val="left" w:pos="540"/>
              </w:tabs>
              <w:adjustRightInd w:val="0"/>
              <w:spacing w:line="360" w:lineRule="auto"/>
              <w:ind w:right="105" w:rightChars="50"/>
              <w:rPr>
                <w:rFonts w:ascii="宋体" w:hAnsi="宋体" w:cs="宋体"/>
                <w:sz w:val="24"/>
                <w:highlight w:val="none"/>
              </w:rPr>
            </w:pPr>
            <w:r>
              <w:rPr>
                <w:rFonts w:hint="eastAsia" w:ascii="宋体" w:hAnsi="宋体" w:cs="宋体"/>
                <w:sz w:val="24"/>
                <w:highlight w:val="none"/>
              </w:rPr>
              <w:t>磋商报价分应当采用最低价优先法计算，即满足磋商文件要求且投标价格最低的磋商报价为磋商基准价，其价格分为满分。</w:t>
            </w:r>
          </w:p>
          <w:p>
            <w:pPr>
              <w:tabs>
                <w:tab w:val="left" w:pos="540"/>
              </w:tabs>
              <w:adjustRightInd w:val="0"/>
              <w:spacing w:line="360" w:lineRule="auto"/>
              <w:ind w:right="105" w:rightChars="50"/>
              <w:rPr>
                <w:rFonts w:ascii="宋体" w:hAnsi="宋体" w:cs="宋体"/>
                <w:sz w:val="24"/>
                <w:highlight w:val="none"/>
              </w:rPr>
            </w:pPr>
            <w:r>
              <w:rPr>
                <w:rFonts w:hint="eastAsia" w:ascii="宋体" w:hAnsi="宋体" w:cs="宋体"/>
                <w:sz w:val="24"/>
                <w:highlight w:val="none"/>
              </w:rPr>
              <w:t>磋商基准价=评审报价的最低值，评审报价等于磋商基准价的得满分</w:t>
            </w:r>
            <w:r>
              <w:rPr>
                <w:rFonts w:hint="eastAsia" w:ascii="宋体" w:hAnsi="宋体" w:cs="宋体"/>
                <w:sz w:val="24"/>
                <w:highlight w:val="none"/>
                <w:lang w:val="en-US" w:eastAsia="zh-CN"/>
              </w:rPr>
              <w:t>3</w:t>
            </w:r>
            <w:r>
              <w:rPr>
                <w:rFonts w:hint="eastAsia" w:ascii="宋体" w:hAnsi="宋体" w:cs="宋体"/>
                <w:sz w:val="24"/>
                <w:highlight w:val="none"/>
              </w:rPr>
              <w:t>0分。</w:t>
            </w:r>
          </w:p>
          <w:p>
            <w:pPr>
              <w:tabs>
                <w:tab w:val="left" w:pos="540"/>
              </w:tabs>
              <w:adjustRightInd w:val="0"/>
              <w:spacing w:line="360" w:lineRule="auto"/>
              <w:ind w:right="105" w:rightChars="50"/>
              <w:rPr>
                <w:rFonts w:ascii="宋体" w:hAnsi="宋体" w:cs="宋体"/>
                <w:sz w:val="24"/>
                <w:highlight w:val="none"/>
              </w:rPr>
            </w:pPr>
            <w:r>
              <w:rPr>
                <w:rFonts w:hint="eastAsia" w:ascii="宋体" w:hAnsi="宋体" w:cs="宋体"/>
                <w:sz w:val="24"/>
                <w:highlight w:val="none"/>
              </w:rPr>
              <w:t xml:space="preserve">磋商报价得分=（磋商基准价/评审报价）× </w:t>
            </w:r>
            <w:r>
              <w:rPr>
                <w:rFonts w:hint="eastAsia" w:ascii="宋体" w:hAnsi="宋体" w:cs="宋体"/>
                <w:sz w:val="24"/>
                <w:highlight w:val="none"/>
                <w:lang w:val="en-US" w:eastAsia="zh-CN"/>
              </w:rPr>
              <w:t>3</w:t>
            </w:r>
            <w:r>
              <w:rPr>
                <w:rFonts w:hint="eastAsia" w:ascii="宋体" w:hAnsi="宋体" w:cs="宋体"/>
                <w:sz w:val="24"/>
                <w:highlight w:val="none"/>
              </w:rPr>
              <w:t>0。</w:t>
            </w:r>
          </w:p>
          <w:p>
            <w:pPr>
              <w:widowControl/>
              <w:spacing w:line="360" w:lineRule="auto"/>
              <w:jc w:val="left"/>
              <w:rPr>
                <w:rFonts w:ascii="宋体" w:hAnsi="宋体" w:cs="宋体"/>
                <w:sz w:val="24"/>
                <w:highlight w:val="none"/>
              </w:rPr>
            </w:pPr>
            <w:r>
              <w:rPr>
                <w:rFonts w:hint="eastAsia" w:ascii="宋体" w:hAnsi="宋体" w:cs="宋体"/>
                <w:sz w:val="24"/>
                <w:highlight w:val="none"/>
              </w:rPr>
              <w:t>若磋商响应单位的报价明显低于成本价，或报价明显无法达到服务要求，</w:t>
            </w:r>
            <w:r>
              <w:rPr>
                <w:rFonts w:hint="eastAsia" w:ascii="宋体" w:hAnsi="宋体" w:cs="宋体"/>
                <w:sz w:val="24"/>
                <w:highlight w:val="none"/>
                <w:lang w:val="en-US" w:eastAsia="zh-CN"/>
              </w:rPr>
              <w:t>磋商小组</w:t>
            </w:r>
            <w:r>
              <w:rPr>
                <w:rFonts w:hint="eastAsia" w:ascii="宋体" w:hAnsi="宋体" w:cs="宋体"/>
                <w:sz w:val="24"/>
                <w:highlight w:val="none"/>
              </w:rPr>
              <w:t>有权要求磋商响应单位做出报价澄清并提供相关证明，若在限定时间内无法澄清或无法出具合理的证明，经</w:t>
            </w:r>
            <w:r>
              <w:rPr>
                <w:rFonts w:hint="eastAsia" w:ascii="宋体" w:hAnsi="宋体" w:cs="宋体"/>
                <w:sz w:val="24"/>
                <w:highlight w:val="none"/>
                <w:lang w:val="en-US" w:eastAsia="zh-CN"/>
              </w:rPr>
              <w:t>磋商小组</w:t>
            </w:r>
            <w:r>
              <w:rPr>
                <w:rFonts w:hint="eastAsia" w:ascii="宋体" w:hAnsi="宋体" w:cs="宋体"/>
                <w:sz w:val="24"/>
                <w:highlight w:val="none"/>
              </w:rPr>
              <w:t>二分之一以上成员认定，该报价为无效报价。</w:t>
            </w:r>
          </w:p>
          <w:p>
            <w:pPr>
              <w:widowControl/>
              <w:spacing w:line="360" w:lineRule="auto"/>
              <w:jc w:val="left"/>
              <w:rPr>
                <w:sz w:val="24"/>
                <w:highlight w:val="red"/>
              </w:rPr>
            </w:pPr>
            <w:r>
              <w:rPr>
                <w:rFonts w:hint="eastAsia" w:ascii="宋体" w:hAnsi="宋体" w:cs="宋体"/>
                <w:sz w:val="24"/>
                <w:highlight w:val="none"/>
              </w:rPr>
              <w:t>符合磋商文件规定的小微企业、监狱、福利企业企业优惠条件的磋商响应单位，价格给予3%的扣除，用扣除后的价格参与评审</w:t>
            </w:r>
            <w:r>
              <w:rPr>
                <w:sz w:val="24"/>
                <w:highlight w:val="none"/>
              </w:rPr>
              <w:t>。</w:t>
            </w:r>
          </w:p>
        </w:tc>
        <w:tc>
          <w:tcPr>
            <w:tcW w:w="913" w:type="dxa"/>
            <w:tcBorders>
              <w:tl2br w:val="nil"/>
              <w:tr2bl w:val="nil"/>
            </w:tcBorders>
            <w:vAlign w:val="center"/>
          </w:tcPr>
          <w:p>
            <w:pPr>
              <w:spacing w:line="300" w:lineRule="exact"/>
              <w:rPr>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364" w:hRule="atLeast"/>
          <w:jc w:val="center"/>
        </w:trPr>
        <w:tc>
          <w:tcPr>
            <w:tcW w:w="820" w:type="dxa"/>
            <w:tcBorders>
              <w:tl2br w:val="nil"/>
              <w:tr2bl w:val="nil"/>
            </w:tcBorders>
            <w:vAlign w:val="center"/>
          </w:tcPr>
          <w:p>
            <w:pPr>
              <w:widowControl/>
              <w:spacing w:line="360" w:lineRule="auto"/>
              <w:jc w:val="center"/>
              <w:rPr>
                <w:rFonts w:ascii="宋体" w:hAnsi="宋体" w:cs="宋体"/>
                <w:bCs/>
                <w:kern w:val="0"/>
                <w:sz w:val="24"/>
              </w:rPr>
            </w:pPr>
            <w:r>
              <w:rPr>
                <w:rFonts w:hint="eastAsia" w:ascii="宋体" w:hAnsi="宋体" w:cs="宋体"/>
                <w:bCs/>
                <w:kern w:val="0"/>
                <w:sz w:val="24"/>
              </w:rPr>
              <w:t>类似项目业绩</w:t>
            </w:r>
          </w:p>
        </w:tc>
        <w:tc>
          <w:tcPr>
            <w:tcW w:w="816" w:type="dxa"/>
            <w:tcBorders>
              <w:tl2br w:val="nil"/>
              <w:tr2bl w:val="nil"/>
            </w:tcBorders>
            <w:vAlign w:val="center"/>
          </w:tcPr>
          <w:p>
            <w:pPr>
              <w:widowControl/>
              <w:spacing w:line="360" w:lineRule="auto"/>
              <w:jc w:val="center"/>
              <w:rPr>
                <w:rFonts w:ascii="宋体" w:hAnsi="宋体" w:cs="宋体"/>
                <w:sz w:val="24"/>
              </w:rPr>
            </w:pPr>
            <w:r>
              <w:rPr>
                <w:rFonts w:hint="eastAsia" w:ascii="宋体" w:hAnsi="宋体" w:cs="宋体"/>
                <w:sz w:val="24"/>
              </w:rPr>
              <w:t>0-5</w:t>
            </w:r>
          </w:p>
        </w:tc>
        <w:tc>
          <w:tcPr>
            <w:tcW w:w="6525" w:type="dxa"/>
            <w:tcBorders>
              <w:tl2br w:val="nil"/>
              <w:tr2bl w:val="nil"/>
            </w:tcBorders>
            <w:vAlign w:val="center"/>
          </w:tcPr>
          <w:p>
            <w:pPr>
              <w:widowControl/>
              <w:spacing w:line="360" w:lineRule="auto"/>
              <w:jc w:val="left"/>
              <w:rPr>
                <w:rFonts w:ascii="宋体" w:hAnsi="宋体" w:cs="宋体"/>
                <w:sz w:val="24"/>
              </w:rPr>
            </w:pPr>
            <w:r>
              <w:rPr>
                <w:rFonts w:hint="eastAsia" w:ascii="宋体" w:hAnsi="宋体" w:cs="宋体"/>
                <w:sz w:val="24"/>
                <w:highlight w:val="none"/>
              </w:rPr>
              <w:t>201</w:t>
            </w:r>
            <w:r>
              <w:rPr>
                <w:rFonts w:hint="eastAsia" w:ascii="宋体" w:hAnsi="宋体" w:cs="宋体"/>
                <w:sz w:val="24"/>
                <w:highlight w:val="none"/>
                <w:lang w:val="en-US" w:eastAsia="zh-CN"/>
              </w:rPr>
              <w:t>9</w:t>
            </w:r>
            <w:r>
              <w:rPr>
                <w:rFonts w:hint="eastAsia" w:ascii="宋体" w:hAnsi="宋体" w:cs="宋体"/>
                <w:sz w:val="24"/>
                <w:highlight w:val="none"/>
              </w:rPr>
              <w:t>年至</w:t>
            </w:r>
            <w:r>
              <w:rPr>
                <w:rFonts w:hint="eastAsia" w:ascii="宋体" w:hAnsi="宋体" w:cs="宋体"/>
                <w:sz w:val="24"/>
              </w:rPr>
              <w:t>今完成类似项目业绩，有1项得1分；每增加1项，加1分，最高得5分（以合同协议书</w:t>
            </w:r>
            <w:r>
              <w:rPr>
                <w:rFonts w:hint="eastAsia" w:ascii="宋体" w:hAnsi="宋体" w:cs="宋体"/>
                <w:sz w:val="24"/>
                <w:highlight w:val="none"/>
                <w:lang w:eastAsia="zh-CN"/>
              </w:rPr>
              <w:t>或</w:t>
            </w:r>
            <w:r>
              <w:rPr>
                <w:rFonts w:hint="eastAsia" w:ascii="宋体" w:hAnsi="宋体" w:cs="宋体"/>
                <w:sz w:val="24"/>
              </w:rPr>
              <w:t>中标通知书为准）</w:t>
            </w:r>
          </w:p>
        </w:tc>
        <w:tc>
          <w:tcPr>
            <w:tcW w:w="913" w:type="dxa"/>
            <w:tcBorders>
              <w:tl2br w:val="nil"/>
              <w:tr2bl w:val="nil"/>
            </w:tcBorders>
            <w:vAlign w:val="center"/>
          </w:tcPr>
          <w:p>
            <w:pPr>
              <w:spacing w:line="360" w:lineRule="auto"/>
              <w:rPr>
                <w:rFonts w:ascii="宋体" w:hAnsi="宋体" w:cs="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9074" w:type="dxa"/>
            <w:gridSpan w:val="4"/>
            <w:tcBorders>
              <w:tl2br w:val="nil"/>
              <w:tr2bl w:val="nil"/>
            </w:tcBorders>
            <w:vAlign w:val="center"/>
          </w:tcPr>
          <w:p>
            <w:pPr>
              <w:spacing w:line="360" w:lineRule="auto"/>
              <w:jc w:val="center"/>
              <w:rPr>
                <w:rFonts w:ascii="宋体" w:hAnsi="宋体" w:cs="宋体"/>
                <w:b/>
                <w:sz w:val="24"/>
              </w:rPr>
            </w:pPr>
            <w:r>
              <w:rPr>
                <w:rFonts w:hint="eastAsia" w:ascii="宋体" w:hAnsi="宋体" w:cs="宋体"/>
                <w:b/>
                <w:sz w:val="24"/>
              </w:rPr>
              <w:t>技术标（</w:t>
            </w:r>
            <w:r>
              <w:rPr>
                <w:rFonts w:hint="eastAsia" w:ascii="宋体" w:hAnsi="宋体" w:cs="宋体"/>
                <w:b/>
                <w:sz w:val="24"/>
                <w:lang w:val="en-US" w:eastAsia="zh-CN"/>
              </w:rPr>
              <w:t>6</w:t>
            </w:r>
            <w:r>
              <w:rPr>
                <w:rFonts w:hint="eastAsia" w:ascii="宋体" w:hAnsi="宋体" w:cs="宋体"/>
                <w:b/>
                <w:sz w:val="24"/>
              </w:rPr>
              <w:t>5分）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48" w:hRule="atLeast"/>
          <w:jc w:val="center"/>
        </w:trPr>
        <w:tc>
          <w:tcPr>
            <w:tcW w:w="820" w:type="dxa"/>
            <w:vMerge w:val="restart"/>
            <w:tcBorders>
              <w:tl2br w:val="nil"/>
              <w:tr2bl w:val="nil"/>
            </w:tcBorders>
            <w:vAlign w:val="center"/>
          </w:tcPr>
          <w:p>
            <w:pPr>
              <w:tabs>
                <w:tab w:val="left" w:pos="540"/>
              </w:tabs>
              <w:spacing w:line="360" w:lineRule="auto"/>
              <w:ind w:right="105" w:rightChars="50"/>
              <w:jc w:val="center"/>
              <w:rPr>
                <w:rFonts w:ascii="宋体" w:hAnsi="宋体" w:cs="宋体"/>
                <w:sz w:val="24"/>
                <w:highlight w:val="none"/>
              </w:rPr>
            </w:pPr>
            <w:r>
              <w:rPr>
                <w:rFonts w:hint="eastAsia" w:ascii="宋体" w:hAnsi="宋体" w:cs="宋体"/>
                <w:bCs/>
                <w:kern w:val="0"/>
                <w:sz w:val="24"/>
                <w:highlight w:val="none"/>
              </w:rPr>
              <w:t>施工组织设计</w:t>
            </w:r>
            <w:r>
              <w:rPr>
                <w:rFonts w:hint="eastAsia" w:ascii="宋体" w:hAnsi="宋体" w:cs="宋体"/>
                <w:bCs/>
                <w:kern w:val="0"/>
                <w:sz w:val="24"/>
                <w:highlight w:val="none"/>
                <w:lang w:val="en-US" w:eastAsia="zh-CN"/>
              </w:rPr>
              <w:t>5</w:t>
            </w:r>
            <w:r>
              <w:rPr>
                <w:rFonts w:hint="eastAsia" w:ascii="宋体" w:hAnsi="宋体" w:cs="宋体"/>
                <w:bCs/>
                <w:kern w:val="0"/>
                <w:sz w:val="24"/>
                <w:highlight w:val="none"/>
              </w:rPr>
              <w:t>5分</w:t>
            </w:r>
          </w:p>
        </w:tc>
        <w:tc>
          <w:tcPr>
            <w:tcW w:w="816" w:type="dxa"/>
            <w:tcBorders>
              <w:tl2br w:val="nil"/>
              <w:tr2bl w:val="nil"/>
            </w:tcBorders>
            <w:vAlign w:val="center"/>
          </w:tcPr>
          <w:p>
            <w:pPr>
              <w:widowControl/>
              <w:spacing w:line="360" w:lineRule="auto"/>
              <w:jc w:val="center"/>
              <w:rPr>
                <w:rFonts w:ascii="宋体" w:hAnsi="宋体" w:cs="宋体"/>
                <w:sz w:val="24"/>
                <w:highlight w:val="none"/>
              </w:rPr>
            </w:pPr>
            <w:r>
              <w:rPr>
                <w:rFonts w:hint="eastAsia" w:ascii="宋体" w:hAnsi="宋体" w:cs="宋体"/>
                <w:sz w:val="24"/>
                <w:highlight w:val="none"/>
              </w:rPr>
              <w:t>0-5</w:t>
            </w:r>
          </w:p>
        </w:tc>
        <w:tc>
          <w:tcPr>
            <w:tcW w:w="6525" w:type="dxa"/>
            <w:tcBorders>
              <w:tl2br w:val="nil"/>
              <w:tr2bl w:val="nil"/>
            </w:tcBorders>
            <w:vAlign w:val="center"/>
          </w:tcPr>
          <w:p>
            <w:pPr>
              <w:tabs>
                <w:tab w:val="left" w:pos="540"/>
              </w:tabs>
              <w:spacing w:line="360" w:lineRule="auto"/>
              <w:ind w:right="105" w:rightChars="50"/>
              <w:rPr>
                <w:rFonts w:ascii="宋体" w:hAnsi="宋体" w:cs="宋体"/>
                <w:sz w:val="24"/>
                <w:highlight w:val="none"/>
              </w:rPr>
            </w:pPr>
            <w:r>
              <w:rPr>
                <w:rFonts w:hint="eastAsia" w:ascii="宋体" w:hAnsi="宋体" w:cs="宋体"/>
                <w:sz w:val="24"/>
                <w:highlight w:val="none"/>
              </w:rPr>
              <w:t>项目管理机构及项目经理部组成</w:t>
            </w:r>
          </w:p>
        </w:tc>
        <w:tc>
          <w:tcPr>
            <w:tcW w:w="913" w:type="dxa"/>
            <w:vMerge w:val="restart"/>
            <w:tcBorders>
              <w:tl2br w:val="nil"/>
              <w:tr2bl w:val="nil"/>
            </w:tcBorders>
            <w:vAlign w:val="center"/>
          </w:tcPr>
          <w:p>
            <w:pPr>
              <w:tabs>
                <w:tab w:val="left" w:pos="540"/>
              </w:tabs>
              <w:spacing w:line="360" w:lineRule="auto"/>
              <w:ind w:right="105" w:rightChars="50"/>
              <w:rPr>
                <w:rFonts w:ascii="宋体" w:hAnsi="宋体" w:cs="宋体"/>
                <w:sz w:val="24"/>
              </w:rPr>
            </w:pPr>
            <w:r>
              <w:rPr>
                <w:rFonts w:hint="eastAsia" w:ascii="宋体" w:hAnsi="宋体" w:cs="宋体"/>
                <w:sz w:val="24"/>
              </w:rPr>
              <w:t>有严重错误或</w:t>
            </w:r>
          </w:p>
          <w:p>
            <w:pPr>
              <w:tabs>
                <w:tab w:val="left" w:pos="540"/>
              </w:tabs>
              <w:spacing w:line="360" w:lineRule="auto"/>
              <w:ind w:right="105" w:rightChars="50"/>
              <w:jc w:val="center"/>
              <w:rPr>
                <w:rFonts w:ascii="宋体" w:hAnsi="宋体" w:cs="宋体"/>
                <w:sz w:val="24"/>
              </w:rPr>
            </w:pPr>
            <w:r>
              <w:rPr>
                <w:rFonts w:hint="eastAsia" w:ascii="宋体" w:hAnsi="宋体" w:cs="宋体"/>
                <w:sz w:val="24"/>
              </w:rPr>
              <w:t>漏项，该分项得0分</w:t>
            </w:r>
          </w:p>
          <w:p>
            <w:pPr>
              <w:widowControl/>
              <w:spacing w:line="360" w:lineRule="auto"/>
              <w:jc w:val="left"/>
              <w:rPr>
                <w:rFonts w:ascii="宋体" w:hAnsi="宋体" w:cs="宋体"/>
                <w:bCs/>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14" w:hRule="atLeast"/>
          <w:jc w:val="center"/>
        </w:trPr>
        <w:tc>
          <w:tcPr>
            <w:tcW w:w="820" w:type="dxa"/>
            <w:vMerge w:val="continue"/>
            <w:tcBorders>
              <w:tl2br w:val="nil"/>
              <w:tr2bl w:val="nil"/>
            </w:tcBorders>
            <w:vAlign w:val="center"/>
          </w:tcPr>
          <w:p>
            <w:pPr>
              <w:tabs>
                <w:tab w:val="left" w:pos="540"/>
              </w:tabs>
              <w:spacing w:line="360" w:lineRule="auto"/>
              <w:ind w:right="105" w:rightChars="50"/>
              <w:jc w:val="center"/>
              <w:rPr>
                <w:rFonts w:ascii="宋体" w:hAnsi="宋体" w:cs="宋体"/>
                <w:bCs/>
                <w:kern w:val="0"/>
                <w:sz w:val="24"/>
                <w:highlight w:val="none"/>
              </w:rPr>
            </w:pPr>
          </w:p>
        </w:tc>
        <w:tc>
          <w:tcPr>
            <w:tcW w:w="816" w:type="dxa"/>
            <w:tcBorders>
              <w:tl2br w:val="nil"/>
              <w:tr2bl w:val="nil"/>
            </w:tcBorders>
            <w:vAlign w:val="center"/>
          </w:tcPr>
          <w:p>
            <w:pPr>
              <w:widowControl/>
              <w:spacing w:line="360" w:lineRule="auto"/>
              <w:jc w:val="center"/>
              <w:rPr>
                <w:rFonts w:ascii="宋体" w:hAnsi="宋体" w:cs="宋体"/>
                <w:sz w:val="24"/>
                <w:highlight w:val="none"/>
              </w:rPr>
            </w:pPr>
            <w:r>
              <w:rPr>
                <w:rFonts w:hint="eastAsia" w:ascii="宋体" w:hAnsi="宋体" w:cs="宋体"/>
                <w:sz w:val="24"/>
                <w:highlight w:val="none"/>
              </w:rPr>
              <w:t>0-5</w:t>
            </w:r>
          </w:p>
        </w:tc>
        <w:tc>
          <w:tcPr>
            <w:tcW w:w="6525" w:type="dxa"/>
            <w:tcBorders>
              <w:tl2br w:val="nil"/>
              <w:tr2bl w:val="nil"/>
            </w:tcBorders>
            <w:vAlign w:val="center"/>
          </w:tcPr>
          <w:p>
            <w:pPr>
              <w:tabs>
                <w:tab w:val="left" w:pos="540"/>
              </w:tabs>
              <w:spacing w:line="360" w:lineRule="auto"/>
              <w:ind w:right="105" w:rightChars="50"/>
              <w:rPr>
                <w:rFonts w:ascii="宋体" w:hAnsi="宋体" w:cs="宋体"/>
                <w:sz w:val="24"/>
                <w:highlight w:val="none"/>
              </w:rPr>
            </w:pPr>
            <w:r>
              <w:rPr>
                <w:rFonts w:hint="eastAsia" w:ascii="宋体" w:hAnsi="宋体" w:cs="宋体"/>
                <w:sz w:val="24"/>
                <w:highlight w:val="none"/>
              </w:rPr>
              <w:t>施工方案</w:t>
            </w:r>
          </w:p>
        </w:tc>
        <w:tc>
          <w:tcPr>
            <w:tcW w:w="913" w:type="dxa"/>
            <w:vMerge w:val="continue"/>
            <w:tcBorders>
              <w:tl2br w:val="nil"/>
              <w:tr2bl w:val="nil"/>
            </w:tcBorders>
            <w:vAlign w:val="center"/>
          </w:tcPr>
          <w:p>
            <w:pPr>
              <w:widowControl/>
              <w:spacing w:line="360" w:lineRule="auto"/>
              <w:jc w:val="left"/>
              <w:rPr>
                <w:rFonts w:ascii="宋体" w:hAnsi="宋体" w:cs="宋体"/>
                <w:bCs/>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94" w:hRule="atLeast"/>
          <w:jc w:val="center"/>
        </w:trPr>
        <w:tc>
          <w:tcPr>
            <w:tcW w:w="820" w:type="dxa"/>
            <w:vMerge w:val="continue"/>
            <w:tcBorders>
              <w:tl2br w:val="nil"/>
              <w:tr2bl w:val="nil"/>
            </w:tcBorders>
            <w:vAlign w:val="center"/>
          </w:tcPr>
          <w:p>
            <w:pPr>
              <w:tabs>
                <w:tab w:val="left" w:pos="540"/>
              </w:tabs>
              <w:spacing w:line="360" w:lineRule="auto"/>
              <w:ind w:right="105" w:rightChars="50"/>
              <w:rPr>
                <w:rFonts w:ascii="宋体" w:hAnsi="宋体" w:cs="宋体"/>
                <w:sz w:val="24"/>
                <w:highlight w:val="none"/>
              </w:rPr>
            </w:pPr>
          </w:p>
        </w:tc>
        <w:tc>
          <w:tcPr>
            <w:tcW w:w="816" w:type="dxa"/>
            <w:tcBorders>
              <w:tl2br w:val="nil"/>
              <w:tr2bl w:val="nil"/>
            </w:tcBorders>
            <w:vAlign w:val="center"/>
          </w:tcPr>
          <w:p>
            <w:pPr>
              <w:widowControl/>
              <w:spacing w:line="360" w:lineRule="auto"/>
              <w:jc w:val="center"/>
              <w:rPr>
                <w:rFonts w:ascii="宋体" w:hAnsi="宋体" w:cs="宋体"/>
                <w:sz w:val="24"/>
                <w:highlight w:val="none"/>
              </w:rPr>
            </w:pPr>
            <w:r>
              <w:rPr>
                <w:rFonts w:hint="eastAsia" w:ascii="宋体" w:hAnsi="宋体" w:cs="宋体"/>
                <w:sz w:val="24"/>
                <w:highlight w:val="none"/>
              </w:rPr>
              <w:t>0-5</w:t>
            </w:r>
          </w:p>
        </w:tc>
        <w:tc>
          <w:tcPr>
            <w:tcW w:w="6525" w:type="dxa"/>
            <w:tcBorders>
              <w:tl2br w:val="nil"/>
              <w:tr2bl w:val="nil"/>
            </w:tcBorders>
            <w:vAlign w:val="center"/>
          </w:tcPr>
          <w:p>
            <w:pPr>
              <w:widowControl/>
              <w:spacing w:line="360" w:lineRule="auto"/>
              <w:rPr>
                <w:rFonts w:ascii="宋体" w:hAnsi="宋体" w:cs="宋体"/>
                <w:sz w:val="24"/>
                <w:highlight w:val="none"/>
              </w:rPr>
            </w:pPr>
            <w:r>
              <w:rPr>
                <w:rFonts w:hint="eastAsia" w:ascii="宋体" w:hAnsi="宋体" w:cs="宋体"/>
                <w:sz w:val="24"/>
                <w:highlight w:val="none"/>
              </w:rPr>
              <w:t>确保安全生产的技术组织措施</w:t>
            </w:r>
          </w:p>
        </w:tc>
        <w:tc>
          <w:tcPr>
            <w:tcW w:w="913" w:type="dxa"/>
            <w:vMerge w:val="continue"/>
            <w:tcBorders>
              <w:tl2br w:val="nil"/>
              <w:tr2bl w:val="nil"/>
            </w:tcBorders>
            <w:vAlign w:val="center"/>
          </w:tcPr>
          <w:p>
            <w:pPr>
              <w:tabs>
                <w:tab w:val="left" w:pos="540"/>
              </w:tabs>
              <w:spacing w:line="360" w:lineRule="auto"/>
              <w:ind w:right="105" w:rightChars="50"/>
              <w:rPr>
                <w:rFonts w:ascii="宋体" w:hAnsi="宋体" w:cs="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94" w:hRule="atLeast"/>
          <w:jc w:val="center"/>
        </w:trPr>
        <w:tc>
          <w:tcPr>
            <w:tcW w:w="820" w:type="dxa"/>
            <w:vMerge w:val="continue"/>
            <w:tcBorders>
              <w:tl2br w:val="nil"/>
              <w:tr2bl w:val="nil"/>
            </w:tcBorders>
            <w:vAlign w:val="center"/>
          </w:tcPr>
          <w:p>
            <w:pPr>
              <w:tabs>
                <w:tab w:val="left" w:pos="540"/>
              </w:tabs>
              <w:spacing w:line="360" w:lineRule="auto"/>
              <w:ind w:right="105" w:rightChars="50"/>
              <w:rPr>
                <w:rFonts w:ascii="宋体" w:hAnsi="宋体" w:cs="宋体"/>
                <w:sz w:val="24"/>
                <w:highlight w:val="none"/>
              </w:rPr>
            </w:pPr>
          </w:p>
        </w:tc>
        <w:tc>
          <w:tcPr>
            <w:tcW w:w="816" w:type="dxa"/>
            <w:tcBorders>
              <w:tl2br w:val="nil"/>
              <w:tr2bl w:val="nil"/>
            </w:tcBorders>
            <w:vAlign w:val="center"/>
          </w:tcPr>
          <w:p>
            <w:pPr>
              <w:widowControl/>
              <w:spacing w:line="360" w:lineRule="auto"/>
              <w:jc w:val="center"/>
              <w:rPr>
                <w:rFonts w:ascii="宋体" w:hAnsi="宋体" w:cs="宋体"/>
                <w:sz w:val="24"/>
                <w:highlight w:val="none"/>
              </w:rPr>
            </w:pPr>
            <w:r>
              <w:rPr>
                <w:rFonts w:hint="eastAsia" w:ascii="宋体" w:hAnsi="宋体" w:cs="宋体"/>
                <w:sz w:val="24"/>
                <w:highlight w:val="none"/>
              </w:rPr>
              <w:t>0-5</w:t>
            </w:r>
          </w:p>
        </w:tc>
        <w:tc>
          <w:tcPr>
            <w:tcW w:w="6525" w:type="dxa"/>
            <w:tcBorders>
              <w:tl2br w:val="nil"/>
              <w:tr2bl w:val="nil"/>
            </w:tcBorders>
            <w:vAlign w:val="center"/>
          </w:tcPr>
          <w:p>
            <w:pPr>
              <w:widowControl/>
              <w:spacing w:line="360" w:lineRule="auto"/>
              <w:rPr>
                <w:rFonts w:ascii="宋体" w:hAnsi="宋体" w:cs="宋体"/>
                <w:sz w:val="24"/>
                <w:highlight w:val="none"/>
              </w:rPr>
            </w:pPr>
            <w:r>
              <w:rPr>
                <w:rFonts w:hint="eastAsia" w:ascii="宋体" w:hAnsi="宋体" w:cs="宋体"/>
                <w:sz w:val="24"/>
                <w:highlight w:val="none"/>
              </w:rPr>
              <w:t>确保文明工地的技术组织措施及环境保护</w:t>
            </w:r>
          </w:p>
        </w:tc>
        <w:tc>
          <w:tcPr>
            <w:tcW w:w="913" w:type="dxa"/>
            <w:vMerge w:val="continue"/>
            <w:tcBorders>
              <w:tl2br w:val="nil"/>
              <w:tr2bl w:val="nil"/>
            </w:tcBorders>
            <w:vAlign w:val="center"/>
          </w:tcPr>
          <w:p>
            <w:pPr>
              <w:tabs>
                <w:tab w:val="left" w:pos="540"/>
              </w:tabs>
              <w:spacing w:line="360" w:lineRule="auto"/>
              <w:ind w:right="105" w:rightChars="50"/>
              <w:rPr>
                <w:rFonts w:ascii="宋体" w:hAnsi="宋体" w:cs="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74" w:hRule="atLeast"/>
          <w:jc w:val="center"/>
        </w:trPr>
        <w:tc>
          <w:tcPr>
            <w:tcW w:w="820" w:type="dxa"/>
            <w:vMerge w:val="continue"/>
            <w:tcBorders>
              <w:tl2br w:val="nil"/>
              <w:tr2bl w:val="nil"/>
            </w:tcBorders>
            <w:vAlign w:val="center"/>
          </w:tcPr>
          <w:p>
            <w:pPr>
              <w:tabs>
                <w:tab w:val="left" w:pos="540"/>
              </w:tabs>
              <w:spacing w:line="360" w:lineRule="auto"/>
              <w:ind w:right="105" w:rightChars="50"/>
              <w:rPr>
                <w:rFonts w:ascii="宋体" w:hAnsi="宋体" w:cs="宋体"/>
                <w:sz w:val="24"/>
                <w:highlight w:val="none"/>
              </w:rPr>
            </w:pPr>
          </w:p>
        </w:tc>
        <w:tc>
          <w:tcPr>
            <w:tcW w:w="816" w:type="dxa"/>
            <w:tcBorders>
              <w:tl2br w:val="nil"/>
              <w:tr2bl w:val="nil"/>
            </w:tcBorders>
            <w:vAlign w:val="center"/>
          </w:tcPr>
          <w:p>
            <w:pPr>
              <w:widowControl/>
              <w:spacing w:line="360" w:lineRule="auto"/>
              <w:jc w:val="center"/>
              <w:rPr>
                <w:rFonts w:ascii="宋体" w:hAnsi="宋体" w:cs="宋体"/>
                <w:sz w:val="24"/>
                <w:highlight w:val="none"/>
              </w:rPr>
            </w:pPr>
            <w:r>
              <w:rPr>
                <w:rFonts w:hint="eastAsia" w:ascii="宋体" w:hAnsi="宋体" w:cs="宋体"/>
                <w:sz w:val="24"/>
                <w:highlight w:val="none"/>
              </w:rPr>
              <w:t>0-5</w:t>
            </w:r>
          </w:p>
        </w:tc>
        <w:tc>
          <w:tcPr>
            <w:tcW w:w="6525" w:type="dxa"/>
            <w:tcBorders>
              <w:tl2br w:val="nil"/>
              <w:tr2bl w:val="nil"/>
            </w:tcBorders>
            <w:vAlign w:val="center"/>
          </w:tcPr>
          <w:p>
            <w:pPr>
              <w:widowControl/>
              <w:spacing w:line="360" w:lineRule="auto"/>
              <w:rPr>
                <w:rFonts w:ascii="宋体" w:hAnsi="宋体" w:cs="宋体"/>
                <w:sz w:val="24"/>
                <w:highlight w:val="none"/>
              </w:rPr>
            </w:pPr>
            <w:r>
              <w:rPr>
                <w:rFonts w:hint="eastAsia" w:ascii="宋体" w:hAnsi="宋体" w:cs="宋体"/>
                <w:sz w:val="24"/>
                <w:highlight w:val="none"/>
              </w:rPr>
              <w:t>劳动力计划及主要材料供应计划</w:t>
            </w:r>
          </w:p>
        </w:tc>
        <w:tc>
          <w:tcPr>
            <w:tcW w:w="913" w:type="dxa"/>
            <w:vMerge w:val="continue"/>
            <w:tcBorders>
              <w:tl2br w:val="nil"/>
              <w:tr2bl w:val="nil"/>
            </w:tcBorders>
            <w:vAlign w:val="center"/>
          </w:tcPr>
          <w:p>
            <w:pPr>
              <w:tabs>
                <w:tab w:val="left" w:pos="540"/>
              </w:tabs>
              <w:spacing w:line="360" w:lineRule="auto"/>
              <w:ind w:right="105" w:rightChars="50"/>
              <w:rPr>
                <w:rFonts w:ascii="宋体" w:hAnsi="宋体" w:cs="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94" w:hRule="atLeast"/>
          <w:jc w:val="center"/>
        </w:trPr>
        <w:tc>
          <w:tcPr>
            <w:tcW w:w="820" w:type="dxa"/>
            <w:vMerge w:val="continue"/>
            <w:tcBorders>
              <w:tl2br w:val="nil"/>
              <w:tr2bl w:val="nil"/>
            </w:tcBorders>
            <w:vAlign w:val="center"/>
          </w:tcPr>
          <w:p>
            <w:pPr>
              <w:tabs>
                <w:tab w:val="left" w:pos="540"/>
              </w:tabs>
              <w:spacing w:line="360" w:lineRule="auto"/>
              <w:ind w:right="105" w:rightChars="50"/>
              <w:rPr>
                <w:rFonts w:ascii="宋体" w:hAnsi="宋体" w:cs="宋体"/>
                <w:sz w:val="24"/>
                <w:highlight w:val="none"/>
              </w:rPr>
            </w:pPr>
          </w:p>
        </w:tc>
        <w:tc>
          <w:tcPr>
            <w:tcW w:w="816" w:type="dxa"/>
            <w:tcBorders>
              <w:tl2br w:val="nil"/>
              <w:tr2bl w:val="nil"/>
            </w:tcBorders>
            <w:vAlign w:val="center"/>
          </w:tcPr>
          <w:p>
            <w:pPr>
              <w:widowControl/>
              <w:spacing w:line="360" w:lineRule="auto"/>
              <w:jc w:val="center"/>
              <w:rPr>
                <w:rFonts w:ascii="宋体" w:hAnsi="宋体" w:cs="宋体"/>
                <w:sz w:val="24"/>
                <w:highlight w:val="none"/>
              </w:rPr>
            </w:pPr>
            <w:r>
              <w:rPr>
                <w:rFonts w:hint="eastAsia" w:ascii="宋体" w:hAnsi="宋体" w:cs="宋体"/>
                <w:sz w:val="24"/>
                <w:highlight w:val="none"/>
              </w:rPr>
              <w:t>0-5</w:t>
            </w:r>
          </w:p>
        </w:tc>
        <w:tc>
          <w:tcPr>
            <w:tcW w:w="6525" w:type="dxa"/>
            <w:tcBorders>
              <w:tl2br w:val="nil"/>
              <w:tr2bl w:val="nil"/>
            </w:tcBorders>
            <w:vAlign w:val="center"/>
          </w:tcPr>
          <w:p>
            <w:pPr>
              <w:widowControl/>
              <w:spacing w:line="360" w:lineRule="auto"/>
              <w:rPr>
                <w:rFonts w:ascii="宋体" w:hAnsi="宋体" w:cs="宋体"/>
                <w:sz w:val="24"/>
                <w:highlight w:val="none"/>
              </w:rPr>
            </w:pPr>
            <w:r>
              <w:rPr>
                <w:rFonts w:hint="eastAsia" w:ascii="宋体" w:hAnsi="宋体" w:cs="宋体"/>
                <w:sz w:val="24"/>
                <w:highlight w:val="none"/>
              </w:rPr>
              <w:t>施工机械设备供应计划表</w:t>
            </w:r>
          </w:p>
        </w:tc>
        <w:tc>
          <w:tcPr>
            <w:tcW w:w="913" w:type="dxa"/>
            <w:vMerge w:val="continue"/>
            <w:tcBorders>
              <w:tl2br w:val="nil"/>
              <w:tr2bl w:val="nil"/>
            </w:tcBorders>
            <w:vAlign w:val="center"/>
          </w:tcPr>
          <w:p>
            <w:pPr>
              <w:tabs>
                <w:tab w:val="left" w:pos="540"/>
              </w:tabs>
              <w:spacing w:line="360" w:lineRule="auto"/>
              <w:ind w:right="105" w:rightChars="50"/>
              <w:rPr>
                <w:rFonts w:ascii="宋体" w:hAnsi="宋体" w:cs="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94" w:hRule="atLeast"/>
          <w:jc w:val="center"/>
        </w:trPr>
        <w:tc>
          <w:tcPr>
            <w:tcW w:w="820" w:type="dxa"/>
            <w:vMerge w:val="continue"/>
            <w:tcBorders>
              <w:tl2br w:val="nil"/>
              <w:tr2bl w:val="nil"/>
            </w:tcBorders>
            <w:vAlign w:val="center"/>
          </w:tcPr>
          <w:p>
            <w:pPr>
              <w:tabs>
                <w:tab w:val="left" w:pos="540"/>
              </w:tabs>
              <w:spacing w:line="360" w:lineRule="auto"/>
              <w:ind w:right="105" w:rightChars="50"/>
              <w:rPr>
                <w:rFonts w:ascii="宋体" w:hAnsi="宋体" w:cs="宋体"/>
                <w:sz w:val="24"/>
                <w:highlight w:val="none"/>
              </w:rPr>
            </w:pPr>
          </w:p>
        </w:tc>
        <w:tc>
          <w:tcPr>
            <w:tcW w:w="816" w:type="dxa"/>
            <w:tcBorders>
              <w:tl2br w:val="nil"/>
              <w:tr2bl w:val="nil"/>
            </w:tcBorders>
            <w:vAlign w:val="center"/>
          </w:tcPr>
          <w:p>
            <w:pPr>
              <w:widowControl/>
              <w:spacing w:line="360" w:lineRule="auto"/>
              <w:jc w:val="center"/>
              <w:rPr>
                <w:rFonts w:ascii="宋体" w:hAnsi="宋体" w:cs="宋体"/>
                <w:sz w:val="24"/>
                <w:highlight w:val="none"/>
              </w:rPr>
            </w:pPr>
            <w:r>
              <w:rPr>
                <w:rFonts w:hint="eastAsia" w:ascii="宋体" w:hAnsi="宋体" w:cs="宋体"/>
                <w:sz w:val="24"/>
                <w:highlight w:val="none"/>
              </w:rPr>
              <w:t>0-5</w:t>
            </w:r>
          </w:p>
        </w:tc>
        <w:tc>
          <w:tcPr>
            <w:tcW w:w="6525" w:type="dxa"/>
            <w:tcBorders>
              <w:tl2br w:val="nil"/>
              <w:tr2bl w:val="nil"/>
            </w:tcBorders>
            <w:vAlign w:val="center"/>
          </w:tcPr>
          <w:p>
            <w:pPr>
              <w:widowControl/>
              <w:spacing w:line="360" w:lineRule="auto"/>
              <w:rPr>
                <w:rFonts w:ascii="宋体" w:hAnsi="宋体" w:cs="宋体"/>
                <w:sz w:val="24"/>
                <w:highlight w:val="none"/>
              </w:rPr>
            </w:pPr>
            <w:r>
              <w:rPr>
                <w:rFonts w:hint="eastAsia" w:ascii="宋体" w:hAnsi="宋体" w:cs="宋体"/>
                <w:sz w:val="24"/>
                <w:highlight w:val="none"/>
              </w:rPr>
              <w:t>确保工程质量保证措施</w:t>
            </w:r>
          </w:p>
        </w:tc>
        <w:tc>
          <w:tcPr>
            <w:tcW w:w="913" w:type="dxa"/>
            <w:vMerge w:val="continue"/>
            <w:tcBorders>
              <w:tl2br w:val="nil"/>
              <w:tr2bl w:val="nil"/>
            </w:tcBorders>
            <w:vAlign w:val="center"/>
          </w:tcPr>
          <w:p>
            <w:pPr>
              <w:tabs>
                <w:tab w:val="left" w:pos="540"/>
              </w:tabs>
              <w:spacing w:line="360" w:lineRule="auto"/>
              <w:ind w:right="105" w:rightChars="50"/>
              <w:rPr>
                <w:rFonts w:ascii="宋体" w:hAnsi="宋体" w:cs="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94" w:hRule="atLeast"/>
          <w:jc w:val="center"/>
        </w:trPr>
        <w:tc>
          <w:tcPr>
            <w:tcW w:w="820" w:type="dxa"/>
            <w:vMerge w:val="continue"/>
            <w:tcBorders>
              <w:tl2br w:val="nil"/>
              <w:tr2bl w:val="nil"/>
            </w:tcBorders>
            <w:vAlign w:val="center"/>
          </w:tcPr>
          <w:p>
            <w:pPr>
              <w:tabs>
                <w:tab w:val="left" w:pos="540"/>
              </w:tabs>
              <w:spacing w:line="360" w:lineRule="auto"/>
              <w:ind w:right="105" w:rightChars="50"/>
              <w:rPr>
                <w:rFonts w:ascii="宋体" w:hAnsi="宋体" w:cs="宋体"/>
                <w:sz w:val="24"/>
                <w:highlight w:val="none"/>
              </w:rPr>
            </w:pPr>
          </w:p>
        </w:tc>
        <w:tc>
          <w:tcPr>
            <w:tcW w:w="816" w:type="dxa"/>
            <w:tcBorders>
              <w:tl2br w:val="nil"/>
              <w:tr2bl w:val="nil"/>
            </w:tcBorders>
            <w:vAlign w:val="center"/>
          </w:tcPr>
          <w:p>
            <w:pPr>
              <w:widowControl/>
              <w:spacing w:line="360" w:lineRule="auto"/>
              <w:jc w:val="center"/>
              <w:rPr>
                <w:rFonts w:hint="eastAsia" w:ascii="宋体" w:hAnsi="宋体" w:eastAsia="宋体" w:cs="宋体"/>
                <w:sz w:val="24"/>
                <w:highlight w:val="none"/>
                <w:lang w:eastAsia="zh-CN"/>
              </w:rPr>
            </w:pPr>
            <w:r>
              <w:rPr>
                <w:rFonts w:hint="eastAsia" w:ascii="宋体" w:hAnsi="宋体" w:cs="宋体"/>
                <w:sz w:val="24"/>
                <w:highlight w:val="none"/>
              </w:rPr>
              <w:t>0-</w:t>
            </w:r>
            <w:r>
              <w:rPr>
                <w:rFonts w:hint="eastAsia" w:ascii="宋体" w:hAnsi="宋体" w:cs="宋体"/>
                <w:sz w:val="24"/>
                <w:highlight w:val="none"/>
                <w:lang w:val="en-US" w:eastAsia="zh-CN"/>
              </w:rPr>
              <w:t>5</w:t>
            </w:r>
          </w:p>
        </w:tc>
        <w:tc>
          <w:tcPr>
            <w:tcW w:w="6525" w:type="dxa"/>
            <w:tcBorders>
              <w:tl2br w:val="nil"/>
              <w:tr2bl w:val="nil"/>
            </w:tcBorders>
            <w:vAlign w:val="center"/>
          </w:tcPr>
          <w:p>
            <w:pPr>
              <w:widowControl/>
              <w:spacing w:line="360" w:lineRule="auto"/>
              <w:jc w:val="left"/>
              <w:rPr>
                <w:rFonts w:ascii="宋体" w:hAnsi="宋体" w:cs="宋体"/>
                <w:sz w:val="24"/>
                <w:highlight w:val="none"/>
              </w:rPr>
            </w:pPr>
            <w:r>
              <w:rPr>
                <w:rFonts w:hint="eastAsia" w:ascii="宋体" w:hAnsi="宋体" w:cs="宋体"/>
                <w:sz w:val="24"/>
                <w:highlight w:val="none"/>
              </w:rPr>
              <w:t>施工进度计划及确保工期的技术措施</w:t>
            </w:r>
          </w:p>
        </w:tc>
        <w:tc>
          <w:tcPr>
            <w:tcW w:w="913" w:type="dxa"/>
            <w:vMerge w:val="continue"/>
            <w:tcBorders>
              <w:tl2br w:val="nil"/>
              <w:tr2bl w:val="nil"/>
            </w:tcBorders>
            <w:vAlign w:val="center"/>
          </w:tcPr>
          <w:p>
            <w:pPr>
              <w:tabs>
                <w:tab w:val="left" w:pos="540"/>
              </w:tabs>
              <w:spacing w:line="360" w:lineRule="auto"/>
              <w:ind w:right="105" w:rightChars="50"/>
              <w:rPr>
                <w:rFonts w:ascii="宋体" w:hAnsi="宋体" w:cs="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69" w:hRule="atLeast"/>
          <w:jc w:val="center"/>
        </w:trPr>
        <w:tc>
          <w:tcPr>
            <w:tcW w:w="820" w:type="dxa"/>
            <w:vMerge w:val="continue"/>
            <w:tcBorders>
              <w:tl2br w:val="nil"/>
              <w:tr2bl w:val="nil"/>
            </w:tcBorders>
            <w:vAlign w:val="center"/>
          </w:tcPr>
          <w:p>
            <w:pPr>
              <w:tabs>
                <w:tab w:val="left" w:pos="540"/>
              </w:tabs>
              <w:spacing w:line="360" w:lineRule="auto"/>
              <w:ind w:right="105" w:rightChars="50"/>
              <w:rPr>
                <w:rFonts w:ascii="宋体" w:hAnsi="宋体" w:cs="宋体"/>
                <w:sz w:val="24"/>
                <w:highlight w:val="none"/>
              </w:rPr>
            </w:pPr>
          </w:p>
        </w:tc>
        <w:tc>
          <w:tcPr>
            <w:tcW w:w="816" w:type="dxa"/>
            <w:tcBorders>
              <w:tl2br w:val="nil"/>
              <w:tr2bl w:val="nil"/>
            </w:tcBorders>
            <w:vAlign w:val="center"/>
          </w:tcPr>
          <w:p>
            <w:pPr>
              <w:widowControl/>
              <w:spacing w:line="360" w:lineRule="auto"/>
              <w:jc w:val="center"/>
              <w:rPr>
                <w:rFonts w:hint="eastAsia" w:ascii="宋体" w:hAnsi="宋体" w:eastAsia="宋体" w:cs="宋体"/>
                <w:sz w:val="24"/>
                <w:highlight w:val="none"/>
                <w:lang w:eastAsia="zh-CN"/>
              </w:rPr>
            </w:pPr>
            <w:r>
              <w:rPr>
                <w:rFonts w:hint="eastAsia" w:ascii="宋体" w:hAnsi="宋体" w:cs="宋体"/>
                <w:sz w:val="24"/>
                <w:highlight w:val="none"/>
              </w:rPr>
              <w:t>0-</w:t>
            </w:r>
            <w:r>
              <w:rPr>
                <w:rFonts w:hint="eastAsia" w:ascii="宋体" w:hAnsi="宋体" w:cs="宋体"/>
                <w:sz w:val="24"/>
                <w:highlight w:val="none"/>
                <w:lang w:val="en-US" w:eastAsia="zh-CN"/>
              </w:rPr>
              <w:t>5</w:t>
            </w:r>
          </w:p>
        </w:tc>
        <w:tc>
          <w:tcPr>
            <w:tcW w:w="6525" w:type="dxa"/>
            <w:tcBorders>
              <w:tl2br w:val="nil"/>
              <w:tr2bl w:val="nil"/>
            </w:tcBorders>
            <w:vAlign w:val="center"/>
          </w:tcPr>
          <w:p>
            <w:pPr>
              <w:widowControl/>
              <w:spacing w:line="360" w:lineRule="auto"/>
              <w:jc w:val="left"/>
              <w:rPr>
                <w:rFonts w:ascii="宋体" w:hAnsi="宋体" w:cs="宋体"/>
                <w:sz w:val="24"/>
                <w:highlight w:val="none"/>
              </w:rPr>
            </w:pPr>
            <w:r>
              <w:rPr>
                <w:rFonts w:hint="eastAsia" w:ascii="宋体" w:hAnsi="宋体" w:cs="宋体"/>
                <w:sz w:val="24"/>
                <w:highlight w:val="none"/>
              </w:rPr>
              <w:t>雨季施工管理防范措施</w:t>
            </w:r>
          </w:p>
        </w:tc>
        <w:tc>
          <w:tcPr>
            <w:tcW w:w="913" w:type="dxa"/>
            <w:vMerge w:val="continue"/>
            <w:tcBorders>
              <w:tl2br w:val="nil"/>
              <w:tr2bl w:val="nil"/>
            </w:tcBorders>
            <w:vAlign w:val="center"/>
          </w:tcPr>
          <w:p>
            <w:pPr>
              <w:tabs>
                <w:tab w:val="left" w:pos="540"/>
              </w:tabs>
              <w:spacing w:line="360" w:lineRule="auto"/>
              <w:ind w:right="105" w:rightChars="50"/>
              <w:rPr>
                <w:rFonts w:ascii="宋体" w:hAnsi="宋体" w:cs="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94" w:hRule="atLeast"/>
          <w:jc w:val="center"/>
        </w:trPr>
        <w:tc>
          <w:tcPr>
            <w:tcW w:w="820" w:type="dxa"/>
            <w:vMerge w:val="continue"/>
            <w:tcBorders>
              <w:tl2br w:val="nil"/>
              <w:tr2bl w:val="nil"/>
            </w:tcBorders>
            <w:vAlign w:val="center"/>
          </w:tcPr>
          <w:p>
            <w:pPr>
              <w:tabs>
                <w:tab w:val="left" w:pos="540"/>
              </w:tabs>
              <w:spacing w:line="360" w:lineRule="auto"/>
              <w:ind w:right="105" w:rightChars="50"/>
              <w:rPr>
                <w:rFonts w:ascii="宋体" w:hAnsi="宋体" w:cs="宋体"/>
                <w:sz w:val="24"/>
                <w:highlight w:val="none"/>
              </w:rPr>
            </w:pPr>
          </w:p>
        </w:tc>
        <w:tc>
          <w:tcPr>
            <w:tcW w:w="816" w:type="dxa"/>
            <w:tcBorders>
              <w:tl2br w:val="nil"/>
              <w:tr2bl w:val="nil"/>
            </w:tcBorders>
            <w:vAlign w:val="center"/>
          </w:tcPr>
          <w:p>
            <w:pPr>
              <w:widowControl/>
              <w:spacing w:line="360" w:lineRule="auto"/>
              <w:jc w:val="center"/>
              <w:rPr>
                <w:rFonts w:hint="eastAsia" w:ascii="宋体" w:hAnsi="宋体" w:eastAsia="宋体" w:cs="宋体"/>
                <w:sz w:val="24"/>
                <w:highlight w:val="none"/>
                <w:lang w:eastAsia="zh-CN"/>
              </w:rPr>
            </w:pPr>
            <w:r>
              <w:rPr>
                <w:rFonts w:hint="eastAsia" w:ascii="宋体" w:hAnsi="宋体" w:cs="宋体"/>
                <w:sz w:val="24"/>
                <w:highlight w:val="none"/>
              </w:rPr>
              <w:t>0-</w:t>
            </w:r>
            <w:r>
              <w:rPr>
                <w:rFonts w:hint="eastAsia" w:ascii="宋体" w:hAnsi="宋体" w:cs="宋体"/>
                <w:sz w:val="24"/>
                <w:highlight w:val="none"/>
                <w:lang w:val="en-US" w:eastAsia="zh-CN"/>
              </w:rPr>
              <w:t>5</w:t>
            </w:r>
          </w:p>
        </w:tc>
        <w:tc>
          <w:tcPr>
            <w:tcW w:w="6525" w:type="dxa"/>
            <w:tcBorders>
              <w:tl2br w:val="nil"/>
              <w:tr2bl w:val="nil"/>
            </w:tcBorders>
            <w:vAlign w:val="center"/>
          </w:tcPr>
          <w:p>
            <w:pPr>
              <w:widowControl/>
              <w:spacing w:line="360" w:lineRule="auto"/>
              <w:jc w:val="left"/>
              <w:rPr>
                <w:rFonts w:ascii="宋体" w:hAnsi="宋体" w:cs="宋体"/>
                <w:sz w:val="24"/>
                <w:highlight w:val="none"/>
              </w:rPr>
            </w:pPr>
            <w:r>
              <w:rPr>
                <w:rFonts w:hint="eastAsia" w:ascii="宋体" w:hAnsi="宋体" w:cs="宋体"/>
                <w:sz w:val="24"/>
                <w:highlight w:val="none"/>
              </w:rPr>
              <w:t>垃圾清运的计划</w:t>
            </w:r>
          </w:p>
        </w:tc>
        <w:tc>
          <w:tcPr>
            <w:tcW w:w="913" w:type="dxa"/>
            <w:vMerge w:val="continue"/>
            <w:tcBorders>
              <w:tl2br w:val="nil"/>
              <w:tr2bl w:val="nil"/>
            </w:tcBorders>
            <w:vAlign w:val="center"/>
          </w:tcPr>
          <w:p>
            <w:pPr>
              <w:tabs>
                <w:tab w:val="left" w:pos="540"/>
              </w:tabs>
              <w:spacing w:line="360" w:lineRule="auto"/>
              <w:ind w:right="105" w:rightChars="50"/>
              <w:rPr>
                <w:rFonts w:ascii="宋体" w:hAnsi="宋体" w:cs="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849" w:hRule="atLeast"/>
          <w:jc w:val="center"/>
        </w:trPr>
        <w:tc>
          <w:tcPr>
            <w:tcW w:w="820" w:type="dxa"/>
            <w:vMerge w:val="continue"/>
            <w:tcBorders>
              <w:tl2br w:val="nil"/>
              <w:tr2bl w:val="nil"/>
            </w:tcBorders>
            <w:vAlign w:val="center"/>
          </w:tcPr>
          <w:p>
            <w:pPr>
              <w:widowControl/>
              <w:spacing w:line="360" w:lineRule="auto"/>
              <w:jc w:val="center"/>
              <w:rPr>
                <w:rFonts w:ascii="宋体" w:hAnsi="宋体" w:cs="宋体"/>
                <w:bCs/>
                <w:kern w:val="0"/>
                <w:sz w:val="24"/>
                <w:highlight w:val="none"/>
              </w:rPr>
            </w:pPr>
          </w:p>
        </w:tc>
        <w:tc>
          <w:tcPr>
            <w:tcW w:w="816" w:type="dxa"/>
            <w:tcBorders>
              <w:tl2br w:val="nil"/>
              <w:tr2bl w:val="nil"/>
            </w:tcBorders>
            <w:vAlign w:val="center"/>
          </w:tcPr>
          <w:p>
            <w:pPr>
              <w:widowControl/>
              <w:spacing w:line="360" w:lineRule="auto"/>
              <w:jc w:val="center"/>
              <w:rPr>
                <w:rFonts w:hint="eastAsia" w:ascii="宋体" w:hAnsi="宋体" w:eastAsia="宋体" w:cs="宋体"/>
                <w:sz w:val="24"/>
                <w:highlight w:val="none"/>
                <w:lang w:eastAsia="zh-CN"/>
              </w:rPr>
            </w:pPr>
            <w:r>
              <w:rPr>
                <w:rFonts w:hint="eastAsia" w:ascii="宋体" w:hAnsi="宋体" w:cs="宋体"/>
                <w:sz w:val="24"/>
                <w:highlight w:val="none"/>
              </w:rPr>
              <w:t>0-</w:t>
            </w:r>
            <w:r>
              <w:rPr>
                <w:rFonts w:hint="eastAsia" w:ascii="宋体" w:hAnsi="宋体" w:cs="宋体"/>
                <w:sz w:val="24"/>
                <w:highlight w:val="none"/>
                <w:lang w:val="en-US" w:eastAsia="zh-CN"/>
              </w:rPr>
              <w:t>5</w:t>
            </w:r>
          </w:p>
        </w:tc>
        <w:tc>
          <w:tcPr>
            <w:tcW w:w="6525" w:type="dxa"/>
            <w:tcBorders>
              <w:tl2br w:val="nil"/>
              <w:tr2bl w:val="nil"/>
            </w:tcBorders>
            <w:vAlign w:val="center"/>
          </w:tcPr>
          <w:p>
            <w:pPr>
              <w:widowControl/>
              <w:spacing w:line="360" w:lineRule="auto"/>
              <w:jc w:val="left"/>
              <w:rPr>
                <w:rFonts w:ascii="宋体" w:hAnsi="宋体" w:cs="宋体"/>
                <w:bCs/>
                <w:kern w:val="0"/>
                <w:sz w:val="24"/>
                <w:highlight w:val="none"/>
              </w:rPr>
            </w:pPr>
            <w:r>
              <w:rPr>
                <w:rFonts w:hint="eastAsia" w:ascii="宋体" w:hAnsi="宋体" w:cs="宋体"/>
                <w:sz w:val="24"/>
                <w:highlight w:val="none"/>
              </w:rPr>
              <w:t>对项目经理及主要人员竣工前不得更换做出实质性承诺，不拖欠农民工工资承诺，确保工程进度不拖延工期承诺，评委自主赋分</w:t>
            </w:r>
          </w:p>
        </w:tc>
        <w:tc>
          <w:tcPr>
            <w:tcW w:w="913" w:type="dxa"/>
            <w:vMerge w:val="continue"/>
            <w:tcBorders>
              <w:tl2br w:val="nil"/>
              <w:tr2bl w:val="nil"/>
            </w:tcBorders>
            <w:vAlign w:val="center"/>
          </w:tcPr>
          <w:p>
            <w:pPr>
              <w:widowControl/>
              <w:spacing w:line="360" w:lineRule="auto"/>
              <w:jc w:val="left"/>
              <w:rPr>
                <w:rFonts w:ascii="宋体" w:hAnsi="宋体" w:cs="宋体"/>
                <w:bCs/>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099" w:hRule="atLeast"/>
          <w:jc w:val="center"/>
        </w:trPr>
        <w:tc>
          <w:tcPr>
            <w:tcW w:w="820" w:type="dxa"/>
            <w:tcBorders>
              <w:tl2br w:val="nil"/>
              <w:tr2bl w:val="nil"/>
            </w:tcBorders>
            <w:vAlign w:val="center"/>
          </w:tcPr>
          <w:p>
            <w:pPr>
              <w:widowControl/>
              <w:spacing w:line="360" w:lineRule="auto"/>
              <w:jc w:val="center"/>
              <w:rPr>
                <w:rFonts w:ascii="宋体" w:hAnsi="宋体" w:cs="宋体"/>
                <w:bCs/>
                <w:kern w:val="0"/>
                <w:sz w:val="24"/>
                <w:highlight w:val="none"/>
              </w:rPr>
            </w:pPr>
            <w:r>
              <w:rPr>
                <w:rFonts w:hint="eastAsia" w:ascii="宋体" w:hAnsi="宋体" w:cs="宋体"/>
                <w:bCs/>
                <w:kern w:val="0"/>
                <w:sz w:val="24"/>
                <w:highlight w:val="none"/>
              </w:rPr>
              <w:t>工程质量承诺</w:t>
            </w:r>
          </w:p>
        </w:tc>
        <w:tc>
          <w:tcPr>
            <w:tcW w:w="816" w:type="dxa"/>
            <w:tcBorders>
              <w:tl2br w:val="nil"/>
              <w:tr2bl w:val="nil"/>
            </w:tcBorders>
            <w:vAlign w:val="center"/>
          </w:tcPr>
          <w:p>
            <w:pPr>
              <w:widowControl/>
              <w:spacing w:line="360" w:lineRule="auto"/>
              <w:jc w:val="center"/>
              <w:rPr>
                <w:rFonts w:ascii="宋体" w:hAnsi="宋体" w:cs="宋体"/>
                <w:sz w:val="24"/>
                <w:highlight w:val="none"/>
              </w:rPr>
            </w:pPr>
            <w:r>
              <w:rPr>
                <w:rFonts w:hint="eastAsia" w:ascii="宋体" w:hAnsi="宋体" w:cs="宋体"/>
                <w:sz w:val="24"/>
                <w:highlight w:val="none"/>
              </w:rPr>
              <w:t>0-5</w:t>
            </w:r>
          </w:p>
        </w:tc>
        <w:tc>
          <w:tcPr>
            <w:tcW w:w="6525" w:type="dxa"/>
            <w:tcBorders>
              <w:tl2br w:val="nil"/>
              <w:tr2bl w:val="nil"/>
            </w:tcBorders>
            <w:vAlign w:val="center"/>
          </w:tcPr>
          <w:p>
            <w:pPr>
              <w:widowControl/>
              <w:spacing w:line="360" w:lineRule="auto"/>
              <w:jc w:val="left"/>
              <w:rPr>
                <w:rFonts w:ascii="宋体" w:hAnsi="宋体" w:cs="宋体"/>
                <w:sz w:val="24"/>
                <w:highlight w:val="none"/>
              </w:rPr>
            </w:pPr>
            <w:r>
              <w:rPr>
                <w:rFonts w:hint="eastAsia" w:ascii="宋体" w:hAnsi="宋体" w:cs="宋体"/>
                <w:sz w:val="24"/>
                <w:highlight w:val="none"/>
              </w:rPr>
              <w:t>完全承诺招标文件和合同条款，并针对本项目实际需求提供实质性承诺或合理化建议</w:t>
            </w:r>
          </w:p>
        </w:tc>
        <w:tc>
          <w:tcPr>
            <w:tcW w:w="913" w:type="dxa"/>
            <w:tcBorders>
              <w:tl2br w:val="nil"/>
              <w:tr2bl w:val="nil"/>
            </w:tcBorders>
            <w:vAlign w:val="center"/>
          </w:tcPr>
          <w:p>
            <w:pPr>
              <w:widowControl/>
              <w:spacing w:line="360" w:lineRule="auto"/>
              <w:jc w:val="center"/>
              <w:rPr>
                <w:rFonts w:ascii="宋体" w:hAnsi="宋体" w:cs="宋体"/>
                <w:bCs/>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099" w:hRule="atLeast"/>
          <w:jc w:val="center"/>
        </w:trPr>
        <w:tc>
          <w:tcPr>
            <w:tcW w:w="820" w:type="dxa"/>
            <w:tcBorders>
              <w:tl2br w:val="nil"/>
              <w:tr2bl w:val="nil"/>
            </w:tcBorders>
            <w:vAlign w:val="center"/>
          </w:tcPr>
          <w:p>
            <w:pPr>
              <w:widowControl/>
              <w:spacing w:line="360" w:lineRule="auto"/>
              <w:jc w:val="center"/>
              <w:rPr>
                <w:rFonts w:ascii="宋体" w:hAnsi="宋体" w:cs="宋体"/>
                <w:bCs/>
                <w:kern w:val="0"/>
                <w:sz w:val="24"/>
                <w:highlight w:val="none"/>
              </w:rPr>
            </w:pPr>
            <w:r>
              <w:rPr>
                <w:rFonts w:hint="eastAsia" w:ascii="宋体" w:hAnsi="宋体" w:cs="宋体"/>
                <w:bCs/>
                <w:kern w:val="0"/>
                <w:sz w:val="24"/>
                <w:highlight w:val="none"/>
              </w:rPr>
              <w:t>后续服务</w:t>
            </w:r>
          </w:p>
        </w:tc>
        <w:tc>
          <w:tcPr>
            <w:tcW w:w="816" w:type="dxa"/>
            <w:tcBorders>
              <w:tl2br w:val="nil"/>
              <w:tr2bl w:val="nil"/>
            </w:tcBorders>
            <w:vAlign w:val="center"/>
          </w:tcPr>
          <w:p>
            <w:pPr>
              <w:widowControl/>
              <w:spacing w:line="360" w:lineRule="auto"/>
              <w:jc w:val="center"/>
              <w:rPr>
                <w:rFonts w:ascii="宋体" w:hAnsi="宋体" w:cs="宋体"/>
                <w:sz w:val="24"/>
                <w:highlight w:val="none"/>
              </w:rPr>
            </w:pPr>
            <w:r>
              <w:rPr>
                <w:rFonts w:hint="eastAsia" w:ascii="宋体" w:hAnsi="宋体" w:cs="宋体"/>
                <w:sz w:val="24"/>
                <w:highlight w:val="none"/>
              </w:rPr>
              <w:t>0-5</w:t>
            </w:r>
          </w:p>
        </w:tc>
        <w:tc>
          <w:tcPr>
            <w:tcW w:w="6525" w:type="dxa"/>
            <w:tcBorders>
              <w:tl2br w:val="nil"/>
              <w:tr2bl w:val="nil"/>
            </w:tcBorders>
            <w:vAlign w:val="center"/>
          </w:tcPr>
          <w:p>
            <w:pPr>
              <w:widowControl/>
              <w:spacing w:line="360" w:lineRule="auto"/>
              <w:jc w:val="left"/>
              <w:rPr>
                <w:rFonts w:ascii="宋体" w:hAnsi="宋体" w:cs="宋体"/>
                <w:sz w:val="24"/>
                <w:highlight w:val="none"/>
              </w:rPr>
            </w:pPr>
            <w:r>
              <w:rPr>
                <w:rFonts w:hint="eastAsia" w:ascii="宋体" w:hAnsi="宋体" w:cs="宋体"/>
                <w:sz w:val="24"/>
                <w:highlight w:val="none"/>
              </w:rPr>
              <w:t>后续服务条款具体、可行；并有详细的后续服务措施承诺且具体、可行</w:t>
            </w:r>
          </w:p>
        </w:tc>
        <w:tc>
          <w:tcPr>
            <w:tcW w:w="913" w:type="dxa"/>
            <w:tcBorders>
              <w:tl2br w:val="nil"/>
              <w:tr2bl w:val="nil"/>
            </w:tcBorders>
            <w:vAlign w:val="center"/>
          </w:tcPr>
          <w:p>
            <w:pPr>
              <w:widowControl/>
              <w:spacing w:line="360" w:lineRule="auto"/>
              <w:jc w:val="center"/>
              <w:rPr>
                <w:rFonts w:ascii="宋体" w:hAnsi="宋体" w:cs="宋体"/>
                <w:bCs/>
                <w:kern w:val="0"/>
                <w:sz w:val="24"/>
              </w:rPr>
            </w:pPr>
          </w:p>
        </w:tc>
      </w:tr>
    </w:tbl>
    <w:p>
      <w:pPr>
        <w:widowControl/>
        <w:adjustRightInd w:val="0"/>
        <w:snapToGrid w:val="0"/>
        <w:spacing w:before="156" w:beforeLines="50" w:line="360" w:lineRule="auto"/>
        <w:rPr>
          <w:rFonts w:ascii="宋体" w:hAnsi="宋体" w:cs="宋体"/>
          <w:sz w:val="24"/>
        </w:rPr>
      </w:pPr>
      <w:r>
        <w:rPr>
          <w:rFonts w:hint="eastAsia" w:ascii="宋体" w:hAnsi="宋体" w:cs="宋体"/>
          <w:sz w:val="24"/>
        </w:rPr>
        <w:t>注：各种计算数字“四舍五入”保留两位小数。</w:t>
      </w:r>
    </w:p>
    <w:p>
      <w:pPr>
        <w:widowControl/>
        <w:adjustRightInd w:val="0"/>
        <w:snapToGrid w:val="0"/>
        <w:spacing w:before="156" w:beforeLines="50" w:line="360" w:lineRule="auto"/>
        <w:rPr>
          <w:rFonts w:ascii="宋体" w:hAnsi="宋体" w:cs="宋体"/>
          <w:sz w:val="24"/>
        </w:rPr>
      </w:pPr>
      <w:r>
        <w:rPr>
          <w:rFonts w:hint="eastAsia"/>
        </w:rPr>
        <w:t xml:space="preserve">   </w:t>
      </w:r>
      <w:r>
        <w:rPr>
          <w:rFonts w:hint="eastAsia" w:ascii="宋体" w:hAnsi="宋体" w:cs="宋体"/>
          <w:sz w:val="24"/>
        </w:rPr>
        <w:t xml:space="preserve"> 7、在竞争性磋商中，出现下列情形之一的，应予废标：</w:t>
      </w:r>
    </w:p>
    <w:p>
      <w:pPr>
        <w:widowControl/>
        <w:adjustRightInd w:val="0"/>
        <w:snapToGrid w:val="0"/>
        <w:spacing w:before="156" w:beforeLines="50" w:line="360" w:lineRule="auto"/>
        <w:rPr>
          <w:rFonts w:ascii="宋体" w:hAnsi="宋体" w:cs="宋体"/>
          <w:sz w:val="24"/>
        </w:rPr>
      </w:pPr>
      <w:r>
        <w:rPr>
          <w:rFonts w:hint="eastAsia" w:ascii="宋体" w:hAnsi="宋体" w:cs="宋体"/>
          <w:sz w:val="24"/>
        </w:rPr>
        <w:t xml:space="preserve">    7.1最终磋商响应单位或对响应文件实质性响应不足3家的；</w:t>
      </w:r>
    </w:p>
    <w:p>
      <w:pPr>
        <w:widowControl/>
        <w:adjustRightInd w:val="0"/>
        <w:snapToGrid w:val="0"/>
        <w:spacing w:before="156" w:beforeLines="50" w:line="360" w:lineRule="auto"/>
        <w:rPr>
          <w:rFonts w:ascii="宋体" w:hAnsi="宋体" w:cs="宋体"/>
          <w:sz w:val="24"/>
        </w:rPr>
      </w:pPr>
      <w:r>
        <w:rPr>
          <w:rFonts w:hint="eastAsia" w:ascii="宋体" w:hAnsi="宋体" w:cs="宋体"/>
          <w:sz w:val="24"/>
        </w:rPr>
        <w:t xml:space="preserve">    7.2出现影响采购公正的违法、违规行为的；</w:t>
      </w:r>
    </w:p>
    <w:p>
      <w:pPr>
        <w:widowControl/>
        <w:adjustRightInd w:val="0"/>
        <w:snapToGrid w:val="0"/>
        <w:spacing w:before="156" w:beforeLines="50" w:line="360" w:lineRule="auto"/>
        <w:rPr>
          <w:rFonts w:ascii="宋体" w:hAnsi="宋体" w:cs="宋体"/>
          <w:sz w:val="24"/>
        </w:rPr>
      </w:pPr>
      <w:r>
        <w:rPr>
          <w:rFonts w:hint="eastAsia" w:ascii="宋体" w:hAnsi="宋体" w:cs="宋体"/>
          <w:sz w:val="24"/>
        </w:rPr>
        <w:t xml:space="preserve">    7.3磋商响应单位的最终磋商报价超过采购预算或最高限价，采购人不能支付的；</w:t>
      </w:r>
    </w:p>
    <w:p>
      <w:pPr>
        <w:widowControl/>
        <w:adjustRightInd w:val="0"/>
        <w:snapToGrid w:val="0"/>
        <w:spacing w:before="156" w:beforeLines="50" w:line="360" w:lineRule="auto"/>
        <w:rPr>
          <w:rFonts w:ascii="宋体" w:hAnsi="宋体" w:cs="宋体"/>
          <w:sz w:val="24"/>
        </w:rPr>
      </w:pPr>
      <w:r>
        <w:rPr>
          <w:sz w:val="24"/>
        </w:rPr>
        <w:t xml:space="preserve">   </w:t>
      </w:r>
      <w:r>
        <w:rPr>
          <w:rFonts w:hint="eastAsia" w:ascii="宋体" w:hAnsi="宋体" w:cs="宋体"/>
          <w:sz w:val="24"/>
        </w:rPr>
        <w:t xml:space="preserve"> 7.4因重大变故，采购任务取消的；</w:t>
      </w:r>
    </w:p>
    <w:p>
      <w:pPr>
        <w:widowControl/>
        <w:adjustRightInd w:val="0"/>
        <w:snapToGrid w:val="0"/>
        <w:spacing w:before="156" w:beforeLines="50" w:line="360" w:lineRule="auto"/>
        <w:rPr>
          <w:rFonts w:ascii="宋体" w:hAnsi="宋体" w:cs="宋体"/>
          <w:sz w:val="24"/>
        </w:rPr>
      </w:pPr>
      <w:r>
        <w:rPr>
          <w:rFonts w:hint="eastAsia" w:ascii="宋体" w:hAnsi="宋体" w:cs="宋体"/>
          <w:sz w:val="24"/>
        </w:rPr>
        <w:t xml:space="preserve">    7.5法律、法规规定其他满足废标情况的。</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8、推荐成交候选人</w:t>
      </w:r>
    </w:p>
    <w:p>
      <w:pPr>
        <w:adjustRightInd w:val="0"/>
        <w:snapToGrid w:val="0"/>
        <w:spacing w:line="360" w:lineRule="auto"/>
        <w:rPr>
          <w:rFonts w:ascii="宋体" w:hAnsi="宋体" w:cs="宋体"/>
          <w:sz w:val="24"/>
        </w:rPr>
      </w:pPr>
      <w:r>
        <w:rPr>
          <w:rFonts w:hint="eastAsia" w:ascii="宋体" w:hAnsi="宋体" w:cs="宋体"/>
          <w:sz w:val="24"/>
        </w:rPr>
        <w:t xml:space="preserve">    按评审后得分由高到低顺序排列。得分相同的，按磋商报价由低到高顺序排列。</w:t>
      </w:r>
      <w:bookmarkStart w:id="71" w:name="_GoBack"/>
      <w:bookmarkEnd w:id="71"/>
      <w:r>
        <w:rPr>
          <w:rFonts w:hint="eastAsia" w:ascii="宋体" w:hAnsi="宋体" w:cs="宋体"/>
          <w:sz w:val="24"/>
        </w:rPr>
        <w:t>得分且磋商报价相同的，按技术指标优劣顺序排列。</w:t>
      </w:r>
    </w:p>
    <w:p>
      <w:pPr>
        <w:adjustRightInd w:val="0"/>
        <w:snapToGrid w:val="0"/>
        <w:spacing w:line="360" w:lineRule="auto"/>
        <w:rPr>
          <w:rFonts w:ascii="宋体" w:hAnsi="宋体" w:cs="宋体"/>
          <w:sz w:val="24"/>
        </w:rPr>
      </w:pPr>
      <w:r>
        <w:rPr>
          <w:rFonts w:hint="eastAsia" w:ascii="宋体" w:hAnsi="宋体" w:cs="宋体"/>
          <w:b/>
          <w:bCs/>
          <w:sz w:val="24"/>
        </w:rPr>
        <w:t xml:space="preserve">    </w:t>
      </w:r>
      <w:r>
        <w:rPr>
          <w:rFonts w:hint="eastAsia" w:ascii="宋体" w:hAnsi="宋体" w:cs="宋体"/>
          <w:sz w:val="24"/>
        </w:rPr>
        <w:t>9、评标报告</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磋商小组完成评标后，应当向招标人提交书面评标报告。评标报告应由全体磋商小组成员签字。</w:t>
      </w:r>
    </w:p>
    <w:p>
      <w:pPr>
        <w:pStyle w:val="3"/>
        <w:numPr>
          <w:ilvl w:val="0"/>
          <w:numId w:val="0"/>
        </w:numPr>
        <w:spacing w:line="360" w:lineRule="auto"/>
        <w:rPr>
          <w:rFonts w:asciiTheme="majorEastAsia" w:hAnsiTheme="majorEastAsia" w:eastAsiaTheme="majorEastAsia" w:cstheme="majorEastAsia"/>
          <w:b/>
          <w:bCs/>
          <w:kern w:val="2"/>
          <w:sz w:val="32"/>
          <w:szCs w:val="32"/>
        </w:rPr>
      </w:pPr>
      <w:bookmarkStart w:id="12" w:name="_Toc444269702"/>
      <w:r>
        <w:rPr>
          <w:rFonts w:ascii="Times New Roman" w:eastAsia="宋体"/>
          <w:sz w:val="24"/>
          <w:szCs w:val="24"/>
          <w:lang w:val="zh-CN"/>
        </w:rPr>
        <w:br w:type="page"/>
      </w:r>
      <w:bookmarkStart w:id="13" w:name="_Toc18298"/>
      <w:r>
        <w:rPr>
          <w:rFonts w:hint="eastAsia" w:asciiTheme="majorEastAsia" w:hAnsiTheme="majorEastAsia" w:eastAsiaTheme="majorEastAsia" w:cstheme="majorEastAsia"/>
          <w:b/>
          <w:bCs/>
          <w:kern w:val="2"/>
          <w:sz w:val="32"/>
          <w:szCs w:val="32"/>
          <w:highlight w:val="none"/>
          <w:lang w:val="zh-CN"/>
        </w:rPr>
        <w:t>第五章</w:t>
      </w:r>
      <w:r>
        <w:rPr>
          <w:rFonts w:hint="eastAsia" w:asciiTheme="majorEastAsia" w:hAnsiTheme="majorEastAsia" w:eastAsiaTheme="majorEastAsia" w:cstheme="majorEastAsia"/>
          <w:sz w:val="32"/>
          <w:szCs w:val="32"/>
          <w:highlight w:val="none"/>
          <w:lang w:val="zh-CN"/>
        </w:rPr>
        <w:t>　</w:t>
      </w:r>
      <w:r>
        <w:rPr>
          <w:rFonts w:hint="eastAsia" w:asciiTheme="majorEastAsia" w:hAnsiTheme="majorEastAsia" w:eastAsiaTheme="majorEastAsia" w:cstheme="majorEastAsia"/>
          <w:b/>
          <w:bCs/>
          <w:kern w:val="2"/>
          <w:sz w:val="32"/>
          <w:szCs w:val="32"/>
          <w:highlight w:val="none"/>
        </w:rPr>
        <w:t>采购内容及要求</w:t>
      </w:r>
      <w:bookmarkEnd w:id="13"/>
    </w:p>
    <w:p/>
    <w:p>
      <w:pPr>
        <w:numPr>
          <w:ilvl w:val="0"/>
          <w:numId w:val="5"/>
        </w:numPr>
        <w:jc w:val="left"/>
        <w:rPr>
          <w:rFonts w:ascii="宋体" w:hAnsi="宋体" w:cs="宋体"/>
          <w:b/>
          <w:sz w:val="28"/>
          <w:szCs w:val="28"/>
        </w:rPr>
      </w:pPr>
      <w:r>
        <w:rPr>
          <w:rFonts w:hint="eastAsia" w:ascii="宋体" w:hAnsi="宋体" w:cs="宋体"/>
          <w:b/>
          <w:sz w:val="28"/>
          <w:szCs w:val="28"/>
        </w:rPr>
        <w:t xml:space="preserve">工程概况： </w:t>
      </w:r>
    </w:p>
    <w:p>
      <w:pPr>
        <w:numPr>
          <w:ilvl w:val="0"/>
          <w:numId w:val="0"/>
        </w:numPr>
        <w:ind w:leftChars="0" w:firstLine="560" w:firstLineChars="200"/>
        <w:jc w:val="left"/>
        <w:rPr>
          <w:rFonts w:hint="eastAsia" w:ascii="宋体" w:hAnsi="宋体" w:cs="仿宋"/>
          <w:color w:val="auto"/>
          <w:kern w:val="2"/>
          <w:sz w:val="28"/>
          <w:szCs w:val="28"/>
          <w:highlight w:val="none"/>
        </w:rPr>
      </w:pPr>
      <w:r>
        <w:rPr>
          <w:rFonts w:hint="eastAsia" w:ascii="宋体" w:hAnsi="宋体" w:cs="仿宋"/>
          <w:color w:val="auto"/>
          <w:kern w:val="2"/>
          <w:sz w:val="28"/>
          <w:szCs w:val="28"/>
          <w:highlight w:val="none"/>
          <w:lang w:eastAsia="zh-CN"/>
        </w:rPr>
        <w:t>高陵区城西小学变压器及电路改造工程</w:t>
      </w:r>
      <w:r>
        <w:rPr>
          <w:rFonts w:hint="eastAsia" w:ascii="宋体" w:hAnsi="宋体" w:cs="仿宋"/>
          <w:color w:val="auto"/>
          <w:kern w:val="2"/>
          <w:sz w:val="28"/>
          <w:szCs w:val="28"/>
          <w:highlight w:val="none"/>
        </w:rPr>
        <w:t>，包括高压外线、箱变、环网柜及低压柜系统。</w:t>
      </w:r>
    </w:p>
    <w:p>
      <w:pPr>
        <w:numPr>
          <w:ilvl w:val="0"/>
          <w:numId w:val="0"/>
        </w:numPr>
        <w:jc w:val="left"/>
        <w:rPr>
          <w:rFonts w:hint="eastAsia" w:ascii="宋体" w:hAnsi="宋体" w:cs="宋体"/>
          <w:b/>
          <w:sz w:val="28"/>
          <w:szCs w:val="28"/>
          <w:highlight w:val="none"/>
          <w:lang w:val="en-US" w:eastAsia="zh-CN"/>
        </w:rPr>
      </w:pPr>
      <w:r>
        <w:rPr>
          <w:rFonts w:hint="eastAsia" w:ascii="宋体" w:hAnsi="宋体" w:cs="宋体"/>
          <w:b/>
          <w:sz w:val="28"/>
          <w:szCs w:val="28"/>
          <w:highlight w:val="none"/>
          <w:lang w:eastAsia="zh-CN"/>
        </w:rPr>
        <w:t>二、工期</w:t>
      </w:r>
      <w:r>
        <w:rPr>
          <w:rFonts w:hint="eastAsia" w:ascii="宋体" w:hAnsi="宋体" w:cs="宋体"/>
          <w:b/>
          <w:sz w:val="28"/>
          <w:szCs w:val="28"/>
          <w:highlight w:val="none"/>
        </w:rPr>
        <w:t xml:space="preserve">： </w:t>
      </w:r>
      <w:r>
        <w:rPr>
          <w:rFonts w:hint="eastAsia" w:ascii="宋体" w:hAnsi="宋体" w:cs="仿宋"/>
          <w:color w:val="auto"/>
          <w:kern w:val="2"/>
          <w:sz w:val="28"/>
          <w:szCs w:val="28"/>
          <w:highlight w:val="none"/>
          <w:lang w:val="en-US" w:eastAsia="zh-CN"/>
        </w:rPr>
        <w:t>90日历天</w:t>
      </w:r>
    </w:p>
    <w:p>
      <w:pPr>
        <w:pStyle w:val="17"/>
        <w:numPr>
          <w:ilvl w:val="0"/>
          <w:numId w:val="0"/>
        </w:numPr>
        <w:ind w:leftChars="0"/>
        <w:rPr>
          <w:rFonts w:hint="default" w:ascii="宋体" w:hAnsi="宋体" w:eastAsia="宋体" w:cs="宋体"/>
          <w:b w:val="0"/>
          <w:bCs/>
          <w:kern w:val="2"/>
          <w:sz w:val="28"/>
          <w:szCs w:val="28"/>
          <w:highlight w:val="none"/>
          <w:lang w:val="en-US" w:eastAsia="zh-CN" w:bidi="ar-SA"/>
        </w:rPr>
      </w:pPr>
      <w:r>
        <w:rPr>
          <w:rFonts w:hint="eastAsia" w:cs="宋体"/>
          <w:b/>
          <w:kern w:val="2"/>
          <w:sz w:val="28"/>
          <w:szCs w:val="28"/>
          <w:highlight w:val="none"/>
          <w:lang w:val="en-US" w:eastAsia="zh-CN" w:bidi="ar-SA"/>
        </w:rPr>
        <w:t>三、</w:t>
      </w:r>
      <w:r>
        <w:rPr>
          <w:rFonts w:hint="eastAsia" w:ascii="宋体" w:hAnsi="宋体" w:eastAsia="宋体" w:cs="宋体"/>
          <w:b/>
          <w:kern w:val="2"/>
          <w:sz w:val="28"/>
          <w:szCs w:val="28"/>
          <w:highlight w:val="none"/>
          <w:lang w:val="en-US" w:eastAsia="zh-CN" w:bidi="ar-SA"/>
        </w:rPr>
        <w:t>工程地点：</w:t>
      </w:r>
      <w:r>
        <w:rPr>
          <w:rFonts w:hint="eastAsia" w:ascii="宋体" w:hAnsi="宋体" w:cs="仿宋"/>
          <w:color w:val="auto"/>
          <w:kern w:val="2"/>
          <w:sz w:val="28"/>
          <w:szCs w:val="28"/>
          <w:highlight w:val="none"/>
        </w:rPr>
        <w:t>西安市高陵区城西小学</w:t>
      </w:r>
    </w:p>
    <w:p>
      <w:pPr>
        <w:numPr>
          <w:ilvl w:val="0"/>
          <w:numId w:val="0"/>
        </w:numPr>
        <w:ind w:leftChars="0"/>
        <w:rPr>
          <w:rFonts w:hint="default"/>
          <w:lang w:val="en-US" w:eastAsia="zh-CN"/>
        </w:rPr>
      </w:pPr>
      <w:r>
        <w:rPr>
          <w:rFonts w:hint="eastAsia" w:ascii="宋体" w:hAnsi="宋体" w:eastAsia="宋体" w:cs="宋体"/>
          <w:b/>
          <w:kern w:val="2"/>
          <w:sz w:val="28"/>
          <w:szCs w:val="28"/>
          <w:highlight w:val="none"/>
          <w:lang w:val="en-US" w:eastAsia="zh-CN" w:bidi="ar-SA"/>
        </w:rPr>
        <w:t>四、质量标准：</w:t>
      </w:r>
      <w:r>
        <w:rPr>
          <w:rFonts w:hint="eastAsia" w:ascii="宋体" w:hAnsi="宋体" w:eastAsia="宋体" w:cs="宋体"/>
          <w:b w:val="0"/>
          <w:bCs/>
          <w:kern w:val="2"/>
          <w:sz w:val="28"/>
          <w:szCs w:val="28"/>
          <w:highlight w:val="none"/>
          <w:lang w:val="en-US" w:eastAsia="zh-CN" w:bidi="ar-SA"/>
        </w:rPr>
        <w:t>达到国家相关质量合格标准</w:t>
      </w:r>
    </w:p>
    <w:p>
      <w:pPr>
        <w:pStyle w:val="2"/>
        <w:ind w:firstLine="480"/>
        <w:rPr>
          <w:sz w:val="24"/>
          <w:highlight w:val="red"/>
        </w:rPr>
      </w:pPr>
    </w:p>
    <w:p>
      <w:pPr>
        <w:pStyle w:val="2"/>
        <w:ind w:firstLine="480"/>
        <w:rPr>
          <w:sz w:val="24"/>
        </w:rPr>
      </w:pPr>
    </w:p>
    <w:p>
      <w:pPr>
        <w:pStyle w:val="2"/>
        <w:ind w:firstLine="562"/>
        <w:rPr>
          <w:rFonts w:ascii="宋体" w:hAnsi="宋体" w:cs="宋体"/>
          <w:b/>
          <w:bCs/>
          <w:sz w:val="28"/>
          <w:szCs w:val="28"/>
        </w:rPr>
      </w:pPr>
      <w:r>
        <w:rPr>
          <w:rFonts w:ascii="宋体" w:hAnsi="宋体" w:cs="宋体"/>
          <w:b/>
          <w:bCs/>
          <w:sz w:val="28"/>
          <w:szCs w:val="28"/>
        </w:rPr>
        <w:t>注：工程量清单另附</w:t>
      </w:r>
    </w:p>
    <w:p>
      <w:pPr>
        <w:pStyle w:val="2"/>
        <w:ind w:firstLine="480"/>
        <w:rPr>
          <w:sz w:val="24"/>
        </w:rPr>
      </w:pPr>
    </w:p>
    <w:p>
      <w:pPr>
        <w:spacing w:line="360" w:lineRule="auto"/>
        <w:rPr>
          <w:sz w:val="24"/>
        </w:rPr>
      </w:pPr>
    </w:p>
    <w:p>
      <w:pPr>
        <w:widowControl/>
        <w:jc w:val="left"/>
        <w:rPr>
          <w:rFonts w:asciiTheme="majorEastAsia" w:hAnsiTheme="majorEastAsia" w:eastAsiaTheme="majorEastAsia" w:cstheme="majorEastAsia"/>
          <w:b/>
          <w:bCs/>
          <w:sz w:val="32"/>
          <w:szCs w:val="32"/>
        </w:rPr>
      </w:pPr>
      <w:bookmarkStart w:id="14" w:name="_Toc26337"/>
      <w:r>
        <w:rPr>
          <w:rFonts w:asciiTheme="majorEastAsia" w:hAnsiTheme="majorEastAsia" w:eastAsiaTheme="majorEastAsia" w:cstheme="majorEastAsia"/>
          <w:b/>
          <w:bCs/>
          <w:sz w:val="32"/>
          <w:szCs w:val="32"/>
        </w:rPr>
        <w:br w:type="page"/>
      </w:r>
    </w:p>
    <w:p>
      <w:pPr>
        <w:spacing w:line="440" w:lineRule="exact"/>
        <w:jc w:val="center"/>
        <w:outlineLvl w:val="0"/>
        <w:rPr>
          <w:b/>
          <w:bCs/>
          <w:sz w:val="32"/>
          <w:szCs w:val="32"/>
          <w:highlight w:val="none"/>
        </w:rPr>
      </w:pPr>
      <w:r>
        <w:rPr>
          <w:rFonts w:hint="eastAsia" w:asciiTheme="majorEastAsia" w:hAnsiTheme="majorEastAsia" w:eastAsiaTheme="majorEastAsia" w:cstheme="majorEastAsia"/>
          <w:b/>
          <w:bCs/>
          <w:sz w:val="32"/>
          <w:szCs w:val="32"/>
          <w:highlight w:val="none"/>
        </w:rPr>
        <w:t>第六章　合同草案条款</w:t>
      </w:r>
      <w:bookmarkEnd w:id="14"/>
    </w:p>
    <w:p>
      <w:pPr>
        <w:tabs>
          <w:tab w:val="left" w:pos="0"/>
          <w:tab w:val="left" w:pos="993"/>
          <w:tab w:val="left" w:pos="1134"/>
        </w:tabs>
        <w:wordWrap w:val="0"/>
        <w:adjustRightInd w:val="0"/>
        <w:snapToGrid w:val="0"/>
        <w:spacing w:line="400" w:lineRule="exact"/>
        <w:ind w:firstLine="7440" w:firstLineChars="3100"/>
        <w:rPr>
          <w:snapToGrid w:val="0"/>
          <w:sz w:val="24"/>
        </w:rPr>
      </w:pPr>
      <w:r>
        <w:rPr>
          <w:rFonts w:hint="eastAsia"/>
          <w:snapToGrid w:val="0"/>
          <w:sz w:val="24"/>
        </w:rPr>
        <w:t>编号：</w:t>
      </w:r>
    </w:p>
    <w:p>
      <w:pPr>
        <w:tabs>
          <w:tab w:val="left" w:pos="0"/>
          <w:tab w:val="left" w:pos="993"/>
          <w:tab w:val="left" w:pos="1134"/>
        </w:tabs>
        <w:adjustRightInd w:val="0"/>
        <w:snapToGrid w:val="0"/>
        <w:spacing w:line="400" w:lineRule="exact"/>
        <w:ind w:firstLine="480" w:firstLineChars="200"/>
        <w:rPr>
          <w:snapToGrid w:val="0"/>
          <w:sz w:val="24"/>
        </w:rPr>
      </w:pPr>
    </w:p>
    <w:p>
      <w:pPr>
        <w:tabs>
          <w:tab w:val="left" w:pos="0"/>
          <w:tab w:val="left" w:pos="993"/>
          <w:tab w:val="left" w:pos="1134"/>
        </w:tabs>
        <w:adjustRightInd w:val="0"/>
        <w:snapToGrid w:val="0"/>
        <w:spacing w:line="400" w:lineRule="exact"/>
        <w:ind w:firstLine="480" w:firstLineChars="200"/>
        <w:rPr>
          <w:snapToGrid w:val="0"/>
          <w:sz w:val="24"/>
        </w:rPr>
      </w:pPr>
    </w:p>
    <w:p>
      <w:pPr>
        <w:widowControl/>
        <w:jc w:val="center"/>
        <w:rPr>
          <w:rFonts w:hint="eastAsia" w:ascii="宋体" w:hAnsi="宋体" w:eastAsia="宋体"/>
          <w:b/>
          <w:bCs/>
          <w:kern w:val="0"/>
          <w:sz w:val="36"/>
          <w:szCs w:val="36"/>
          <w:lang w:eastAsia="zh-CN"/>
        </w:rPr>
      </w:pPr>
      <w:r>
        <w:rPr>
          <w:rFonts w:hint="eastAsia" w:ascii="宋体" w:hAnsi="宋体"/>
          <w:b/>
          <w:bCs/>
          <w:kern w:val="0"/>
          <w:sz w:val="36"/>
          <w:szCs w:val="36"/>
          <w:lang w:eastAsia="zh-CN"/>
        </w:rPr>
        <w:t>高陵区城西小学变压器及电路改造工程</w:t>
      </w:r>
    </w:p>
    <w:p>
      <w:pPr>
        <w:widowControl/>
        <w:jc w:val="center"/>
        <w:rPr>
          <w:rFonts w:ascii="宋体" w:hAnsi="宋体"/>
          <w:b/>
          <w:bCs/>
          <w:kern w:val="0"/>
          <w:sz w:val="36"/>
          <w:szCs w:val="36"/>
        </w:rPr>
      </w:pPr>
      <w:r>
        <w:rPr>
          <w:rFonts w:hint="eastAsia" w:ascii="宋体" w:hAnsi="宋体"/>
          <w:b/>
          <w:bCs/>
          <w:kern w:val="0"/>
          <w:sz w:val="36"/>
          <w:szCs w:val="36"/>
        </w:rPr>
        <w:t>施工合同（参考）</w:t>
      </w:r>
    </w:p>
    <w:p>
      <w:pPr>
        <w:widowControl/>
        <w:ind w:firstLine="200"/>
        <w:jc w:val="center"/>
        <w:rPr>
          <w:b/>
          <w:bCs/>
          <w:kern w:val="0"/>
          <w:sz w:val="44"/>
          <w:szCs w:val="44"/>
        </w:rPr>
      </w:pPr>
    </w:p>
    <w:p>
      <w:pPr>
        <w:widowControl/>
        <w:ind w:firstLine="200"/>
        <w:jc w:val="center"/>
        <w:rPr>
          <w:b/>
          <w:bCs/>
          <w:color w:val="2F5597" w:themeColor="accent5" w:themeShade="BF"/>
          <w:kern w:val="0"/>
          <w:sz w:val="44"/>
          <w:szCs w:val="44"/>
        </w:rPr>
      </w:pPr>
    </w:p>
    <w:p>
      <w:pPr>
        <w:widowControl/>
        <w:ind w:firstLine="200"/>
        <w:jc w:val="center"/>
        <w:rPr>
          <w:b/>
          <w:bCs/>
          <w:color w:val="2F5597" w:themeColor="accent5" w:themeShade="BF"/>
          <w:kern w:val="0"/>
          <w:sz w:val="44"/>
          <w:szCs w:val="44"/>
        </w:rPr>
      </w:pPr>
    </w:p>
    <w:p>
      <w:pPr>
        <w:widowControl/>
        <w:ind w:firstLine="200"/>
        <w:jc w:val="center"/>
        <w:rPr>
          <w:b/>
          <w:bCs/>
          <w:color w:val="2F5597" w:themeColor="accent5" w:themeShade="BF"/>
          <w:kern w:val="0"/>
          <w:sz w:val="44"/>
          <w:szCs w:val="44"/>
        </w:rPr>
      </w:pPr>
    </w:p>
    <w:p>
      <w:pPr>
        <w:widowControl/>
        <w:ind w:firstLine="200"/>
        <w:jc w:val="center"/>
        <w:rPr>
          <w:b/>
          <w:bCs/>
          <w:color w:val="2F5597" w:themeColor="accent5" w:themeShade="BF"/>
          <w:kern w:val="0"/>
          <w:sz w:val="44"/>
          <w:szCs w:val="44"/>
        </w:rPr>
      </w:pPr>
    </w:p>
    <w:p>
      <w:pPr>
        <w:widowControl/>
        <w:ind w:firstLine="200"/>
        <w:jc w:val="center"/>
        <w:rPr>
          <w:b/>
          <w:bCs/>
          <w:color w:val="2F5597" w:themeColor="accent5" w:themeShade="BF"/>
          <w:kern w:val="0"/>
          <w:sz w:val="44"/>
          <w:szCs w:val="44"/>
        </w:rPr>
      </w:pPr>
    </w:p>
    <w:p>
      <w:pPr>
        <w:widowControl/>
        <w:rPr>
          <w:b/>
          <w:bCs/>
          <w:color w:val="2F5597" w:themeColor="accent5" w:themeShade="BF"/>
          <w:kern w:val="0"/>
          <w:sz w:val="44"/>
          <w:szCs w:val="44"/>
        </w:rPr>
      </w:pPr>
    </w:p>
    <w:p>
      <w:pPr>
        <w:widowControl/>
        <w:ind w:firstLine="200"/>
        <w:jc w:val="center"/>
        <w:rPr>
          <w:b/>
          <w:bCs/>
          <w:color w:val="2F5597" w:themeColor="accent5" w:themeShade="BF"/>
          <w:kern w:val="0"/>
          <w:sz w:val="44"/>
          <w:szCs w:val="44"/>
        </w:rPr>
      </w:pPr>
    </w:p>
    <w:p>
      <w:pPr>
        <w:widowControl/>
        <w:ind w:firstLine="200"/>
        <w:jc w:val="center"/>
        <w:rPr>
          <w:b/>
          <w:bCs/>
          <w:color w:val="2F5597" w:themeColor="accent5" w:themeShade="BF"/>
          <w:kern w:val="0"/>
          <w:sz w:val="44"/>
          <w:szCs w:val="44"/>
        </w:rPr>
      </w:pPr>
    </w:p>
    <w:p>
      <w:pPr>
        <w:widowControl/>
        <w:ind w:firstLine="200"/>
        <w:jc w:val="center"/>
        <w:rPr>
          <w:b/>
          <w:bCs/>
          <w:color w:val="2F5597" w:themeColor="accent5" w:themeShade="BF"/>
          <w:kern w:val="0"/>
          <w:sz w:val="44"/>
          <w:szCs w:val="44"/>
        </w:rPr>
      </w:pPr>
      <w:r>
        <w:rPr>
          <w:rFonts w:hint="eastAsia"/>
          <w:b/>
          <w:bCs/>
          <w:color w:val="2F5597" w:themeColor="accent5" w:themeShade="BF"/>
          <w:kern w:val="0"/>
          <w:sz w:val="44"/>
          <w:szCs w:val="44"/>
        </w:rPr>
        <w:t xml:space="preserve"> </w:t>
      </w:r>
    </w:p>
    <w:p>
      <w:pPr>
        <w:widowControl/>
        <w:ind w:firstLine="200"/>
        <w:jc w:val="center"/>
        <w:rPr>
          <w:b/>
          <w:bCs/>
          <w:color w:val="2F5597" w:themeColor="accent5" w:themeShade="BF"/>
          <w:kern w:val="0"/>
          <w:sz w:val="44"/>
          <w:szCs w:val="44"/>
        </w:rPr>
      </w:pPr>
      <w:r>
        <w:rPr>
          <w:rFonts w:hint="eastAsia"/>
          <w:b/>
          <w:bCs/>
          <w:color w:val="2F5597" w:themeColor="accent5" w:themeShade="BF"/>
          <w:kern w:val="0"/>
          <w:sz w:val="44"/>
          <w:szCs w:val="44"/>
        </w:rPr>
        <w:t xml:space="preserve">  </w:t>
      </w:r>
    </w:p>
    <w:p>
      <w:pPr>
        <w:widowControl/>
        <w:jc w:val="center"/>
        <w:rPr>
          <w:b/>
          <w:bCs/>
          <w:kern w:val="0"/>
          <w:sz w:val="32"/>
          <w:szCs w:val="32"/>
        </w:rPr>
      </w:pPr>
      <w:r>
        <w:rPr>
          <w:b/>
          <w:bCs/>
          <w:kern w:val="0"/>
          <w:sz w:val="32"/>
          <w:szCs w:val="32"/>
        </w:rPr>
        <mc:AlternateContent>
          <mc:Choice Requires="wps">
            <w:drawing>
              <wp:anchor distT="0" distB="0" distL="114300" distR="114300" simplePos="0" relativeHeight="251659264" behindDoc="0" locked="0" layoutInCell="1" allowOverlap="1">
                <wp:simplePos x="0" y="0"/>
                <wp:positionH relativeFrom="column">
                  <wp:posOffset>4000500</wp:posOffset>
                </wp:positionH>
                <wp:positionV relativeFrom="paragraph">
                  <wp:posOffset>100330</wp:posOffset>
                </wp:positionV>
                <wp:extent cx="685800" cy="594360"/>
                <wp:effectExtent l="4445" t="4445" r="14605" b="10795"/>
                <wp:wrapNone/>
                <wp:docPr id="1" name="矩形 22"/>
                <wp:cNvGraphicFramePr/>
                <a:graphic xmlns:a="http://schemas.openxmlformats.org/drawingml/2006/main">
                  <a:graphicData uri="http://schemas.microsoft.com/office/word/2010/wordprocessingShape">
                    <wps:wsp>
                      <wps:cNvSpPr/>
                      <wps:spPr>
                        <a:xfrm>
                          <a:off x="0" y="0"/>
                          <a:ext cx="685800" cy="594360"/>
                        </a:xfrm>
                        <a:prstGeom prst="rect">
                          <a:avLst/>
                        </a:prstGeom>
                        <a:solidFill>
                          <a:srgbClr val="FFFFFF"/>
                        </a:solidFill>
                        <a:ln w="9525" cap="flat" cmpd="sng">
                          <a:solidFill>
                            <a:srgbClr val="FFFFFF"/>
                          </a:solidFill>
                          <a:prstDash val="solid"/>
                          <a:miter/>
                          <a:headEnd type="none" w="med" len="med"/>
                          <a:tailEnd type="none" w="med" len="med"/>
                        </a:ln>
                        <a:effectLst/>
                      </wps:spPr>
                      <wps:txbx>
                        <w:txbxContent>
                          <w:p>
                            <w:pPr>
                              <w:rPr>
                                <w:rFonts w:ascii="宋体" w:hAnsi="宋体"/>
                                <w:b/>
                                <w:sz w:val="32"/>
                                <w:szCs w:val="32"/>
                              </w:rPr>
                            </w:pPr>
                            <w:r>
                              <w:rPr>
                                <w:rFonts w:hint="eastAsia" w:ascii="宋体" w:hAnsi="宋体"/>
                                <w:b/>
                                <w:sz w:val="32"/>
                                <w:szCs w:val="32"/>
                              </w:rPr>
                              <w:t>制</w:t>
                            </w:r>
                          </w:p>
                        </w:txbxContent>
                      </wps:txbx>
                      <wps:bodyPr upright="1"/>
                    </wps:wsp>
                  </a:graphicData>
                </a:graphic>
              </wp:anchor>
            </w:drawing>
          </mc:Choice>
          <mc:Fallback>
            <w:pict>
              <v:rect id="矩形 22" o:spid="_x0000_s1026" o:spt="1" style="position:absolute;left:0pt;margin-left:315pt;margin-top:7.9pt;height:46.8pt;width:54pt;z-index:251659264;mso-width-relative:page;mso-height-relative:page;" fillcolor="#FFFFFF" filled="t" stroked="t" coordsize="21600,21600" o:gfxdata="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A/fNv7XAAAACgEAAA8AAAAAAAAAAQAgAAAAIgAAAGRycy9k&#10;b3ducmV2LnhtbFBLAQIUABQAAAAIAIdO4kADZY3QAwIAADcEAAAOAAAAAAAAAAEAIAAAACYBAABk&#10;cnMvZTJvRG9jLnhtbFBLBQYAAAAABgAGAFkBAACbBQAAAAA=&#10;">
                <v:fill on="t" focussize="0,0"/>
                <v:stroke color="#FFFFFF" joinstyle="miter"/>
                <v:imagedata o:title=""/>
                <o:lock v:ext="edit" aspectratio="f"/>
                <v:textbox>
                  <w:txbxContent>
                    <w:p>
                      <w:pPr>
                        <w:rPr>
                          <w:rFonts w:ascii="宋体" w:hAnsi="宋体"/>
                          <w:b/>
                          <w:sz w:val="32"/>
                          <w:szCs w:val="32"/>
                        </w:rPr>
                      </w:pPr>
                      <w:r>
                        <w:rPr>
                          <w:rFonts w:hint="eastAsia" w:ascii="宋体" w:hAnsi="宋体"/>
                          <w:b/>
                          <w:sz w:val="32"/>
                          <w:szCs w:val="32"/>
                        </w:rPr>
                        <w:t>制</w:t>
                      </w:r>
                    </w:p>
                  </w:txbxContent>
                </v:textbox>
              </v:rect>
            </w:pict>
          </mc:Fallback>
        </mc:AlternateContent>
      </w:r>
      <w:r>
        <w:rPr>
          <w:b/>
          <w:bCs/>
          <w:spacing w:val="95"/>
          <w:kern w:val="0"/>
          <w:sz w:val="32"/>
          <w:szCs w:val="32"/>
        </w:rPr>
        <w:t>陕西省建设</w:t>
      </w:r>
      <w:r>
        <w:rPr>
          <w:b/>
          <w:bCs/>
          <w:kern w:val="0"/>
          <w:sz w:val="32"/>
          <w:szCs w:val="32"/>
        </w:rPr>
        <w:t>厅</w:t>
      </w:r>
    </w:p>
    <w:p>
      <w:pPr>
        <w:widowControl/>
        <w:jc w:val="center"/>
        <w:rPr>
          <w:b/>
          <w:bCs/>
          <w:kern w:val="0"/>
          <w:sz w:val="32"/>
          <w:szCs w:val="32"/>
        </w:rPr>
      </w:pPr>
      <w:r>
        <w:rPr>
          <w:b/>
          <w:bCs/>
          <w:w w:val="81"/>
          <w:kern w:val="0"/>
          <w:sz w:val="32"/>
          <w:szCs w:val="32"/>
        </w:rPr>
        <w:t>陕西省工商行政管理局</w:t>
      </w:r>
    </w:p>
    <w:p>
      <w:pPr>
        <w:widowControl/>
        <w:jc w:val="center"/>
        <w:rPr>
          <w:sz w:val="28"/>
          <w:szCs w:val="28"/>
        </w:rPr>
      </w:pPr>
      <w:r>
        <w:rPr>
          <w:b/>
          <w:bCs/>
          <w:w w:val="81"/>
          <w:kern w:val="0"/>
          <w:sz w:val="32"/>
          <w:szCs w:val="32"/>
        </w:rPr>
        <w:t>二零</w:t>
      </w:r>
      <w:r>
        <w:rPr>
          <w:rFonts w:hint="eastAsia"/>
          <w:b/>
          <w:bCs/>
          <w:w w:val="81"/>
          <w:kern w:val="0"/>
          <w:sz w:val="32"/>
          <w:szCs w:val="32"/>
        </w:rPr>
        <w:t>二</w:t>
      </w:r>
      <w:r>
        <w:rPr>
          <w:rFonts w:hint="eastAsia"/>
          <w:b/>
          <w:bCs/>
          <w:w w:val="81"/>
          <w:kern w:val="0"/>
          <w:sz w:val="32"/>
          <w:szCs w:val="32"/>
          <w:lang w:eastAsia="zh-CN"/>
        </w:rPr>
        <w:t>二</w:t>
      </w:r>
      <w:r>
        <w:rPr>
          <w:b/>
          <w:bCs/>
          <w:w w:val="81"/>
          <w:kern w:val="0"/>
          <w:sz w:val="32"/>
          <w:szCs w:val="32"/>
        </w:rPr>
        <w:t>年</w:t>
      </w:r>
      <w:bookmarkStart w:id="15" w:name="_Toc231459932"/>
      <w:r>
        <w:rPr>
          <w:rFonts w:hint="eastAsia"/>
          <w:b/>
          <w:bCs/>
          <w:w w:val="81"/>
          <w:kern w:val="0"/>
          <w:sz w:val="32"/>
          <w:szCs w:val="32"/>
        </w:rPr>
        <w:t xml:space="preserve">   月 </w:t>
      </w:r>
      <w:r>
        <w:rPr>
          <w:sz w:val="24"/>
        </w:rPr>
        <w:br w:type="page"/>
      </w:r>
      <w:r>
        <w:rPr>
          <w:sz w:val="28"/>
          <w:szCs w:val="28"/>
        </w:rPr>
        <w:t>第一部分  协议书</w:t>
      </w:r>
      <w:bookmarkEnd w:id="15"/>
    </w:p>
    <w:p>
      <w:pPr>
        <w:widowControl/>
        <w:spacing w:line="360" w:lineRule="auto"/>
        <w:ind w:firstLine="480" w:firstLineChars="200"/>
        <w:jc w:val="left"/>
        <w:rPr>
          <w:rFonts w:asciiTheme="minorEastAsia" w:hAnsiTheme="minorEastAsia" w:eastAsiaTheme="minorEastAsia"/>
          <w:kern w:val="0"/>
          <w:sz w:val="24"/>
          <w:u w:val="single"/>
        </w:rPr>
      </w:pPr>
      <w:r>
        <w:rPr>
          <w:rFonts w:asciiTheme="minorEastAsia" w:hAnsiTheme="minorEastAsia" w:eastAsiaTheme="minorEastAsia"/>
          <w:kern w:val="0"/>
          <w:sz w:val="24"/>
        </w:rPr>
        <w:t>发包人（全称）：</w:t>
      </w:r>
      <w:r>
        <w:rPr>
          <w:rFonts w:hint="eastAsia" w:asciiTheme="minorEastAsia" w:hAnsiTheme="minorEastAsia" w:eastAsiaTheme="minorEastAsia"/>
          <w:kern w:val="0"/>
          <w:sz w:val="24"/>
        </w:rPr>
        <w:t xml:space="preserve"> </w:t>
      </w:r>
      <w:r>
        <w:rPr>
          <w:rFonts w:hint="eastAsia" w:asciiTheme="minorEastAsia" w:hAnsiTheme="minorEastAsia" w:eastAsiaTheme="minorEastAsia"/>
          <w:bCs/>
          <w:kern w:val="0"/>
          <w:sz w:val="24"/>
          <w:u w:val="single"/>
        </w:rPr>
        <w:t xml:space="preserve">　                  </w:t>
      </w:r>
    </w:p>
    <w:p>
      <w:pPr>
        <w:widowControl/>
        <w:spacing w:line="360" w:lineRule="auto"/>
        <w:ind w:firstLine="480" w:firstLineChars="200"/>
        <w:jc w:val="left"/>
        <w:rPr>
          <w:rFonts w:asciiTheme="minorEastAsia" w:hAnsiTheme="minorEastAsia" w:eastAsiaTheme="minorEastAsia"/>
          <w:b/>
          <w:kern w:val="0"/>
          <w:sz w:val="24"/>
          <w:u w:val="single"/>
        </w:rPr>
      </w:pPr>
      <w:r>
        <w:rPr>
          <w:rFonts w:asciiTheme="minorEastAsia" w:hAnsiTheme="minorEastAsia" w:eastAsiaTheme="minorEastAsia"/>
          <w:kern w:val="0"/>
          <w:sz w:val="24"/>
        </w:rPr>
        <w:t>承包人（全称）：</w:t>
      </w:r>
      <w:r>
        <w:rPr>
          <w:rFonts w:hint="eastAsia" w:asciiTheme="minorEastAsia" w:hAnsiTheme="minorEastAsia" w:eastAsiaTheme="minorEastAsia"/>
          <w:bCs/>
          <w:kern w:val="0"/>
          <w:sz w:val="24"/>
          <w:u w:val="single"/>
        </w:rPr>
        <w:t xml:space="preserve">                     </w:t>
      </w:r>
    </w:p>
    <w:p>
      <w:pPr>
        <w:widowControl/>
        <w:spacing w:line="360" w:lineRule="auto"/>
        <w:ind w:firstLine="480" w:firstLineChars="200"/>
        <w:jc w:val="left"/>
        <w:rPr>
          <w:rFonts w:asciiTheme="minorEastAsia" w:hAnsiTheme="minorEastAsia" w:eastAsiaTheme="minorEastAsia"/>
          <w:kern w:val="0"/>
          <w:sz w:val="24"/>
        </w:rPr>
      </w:pPr>
      <w:r>
        <w:rPr>
          <w:rFonts w:asciiTheme="minorEastAsia" w:hAnsiTheme="minorEastAsia" w:eastAsiaTheme="minorEastAsia"/>
          <w:kern w:val="0"/>
          <w:sz w:val="24"/>
        </w:rPr>
        <w:t>依照《中华人民共和国</w:t>
      </w:r>
      <w:r>
        <w:rPr>
          <w:rFonts w:hint="eastAsia" w:asciiTheme="minorEastAsia" w:hAnsiTheme="minorEastAsia" w:eastAsiaTheme="minorEastAsia"/>
          <w:kern w:val="0"/>
          <w:sz w:val="24"/>
          <w:lang w:val="en-US" w:eastAsia="zh-CN"/>
        </w:rPr>
        <w:t>民法典</w:t>
      </w:r>
      <w:r>
        <w:rPr>
          <w:rFonts w:asciiTheme="minorEastAsia" w:hAnsiTheme="minorEastAsia" w:eastAsiaTheme="minorEastAsia"/>
          <w:kern w:val="0"/>
          <w:sz w:val="24"/>
        </w:rPr>
        <w:t>》、《中华人民共和国建筑法》及其他有关法律、行政法规，遵循平等、自愿、公平和诚实信用的原则，双方就本建设工程施工协商一致，订立本合同。</w:t>
      </w:r>
    </w:p>
    <w:p>
      <w:pPr>
        <w:widowControl/>
        <w:spacing w:line="360" w:lineRule="auto"/>
        <w:ind w:firstLine="480" w:firstLineChars="200"/>
        <w:jc w:val="left"/>
        <w:rPr>
          <w:rFonts w:asciiTheme="minorEastAsia" w:hAnsiTheme="minorEastAsia" w:eastAsiaTheme="minorEastAsia"/>
          <w:kern w:val="0"/>
          <w:sz w:val="24"/>
        </w:rPr>
      </w:pPr>
      <w:r>
        <w:rPr>
          <w:rFonts w:asciiTheme="minorEastAsia" w:hAnsiTheme="minorEastAsia" w:eastAsiaTheme="minorEastAsia"/>
          <w:kern w:val="0"/>
          <w:sz w:val="24"/>
        </w:rPr>
        <w:t>一、工程概况</w:t>
      </w:r>
    </w:p>
    <w:p>
      <w:pPr>
        <w:adjustRightInd w:val="0"/>
        <w:snapToGrid w:val="0"/>
        <w:spacing w:line="360" w:lineRule="auto"/>
        <w:ind w:firstLine="480" w:firstLineChars="200"/>
        <w:jc w:val="left"/>
        <w:rPr>
          <w:rFonts w:hint="eastAsia" w:asciiTheme="minorEastAsia" w:hAnsiTheme="minorEastAsia" w:eastAsiaTheme="minorEastAsia"/>
          <w:kern w:val="0"/>
          <w:sz w:val="24"/>
          <w:u w:val="single"/>
          <w:lang w:eastAsia="zh-CN"/>
        </w:rPr>
      </w:pPr>
      <w:r>
        <w:rPr>
          <w:rFonts w:asciiTheme="minorEastAsia" w:hAnsiTheme="minorEastAsia" w:eastAsiaTheme="minorEastAsia"/>
          <w:kern w:val="0"/>
          <w:sz w:val="24"/>
        </w:rPr>
        <w:t>工程名称：</w:t>
      </w:r>
      <w:r>
        <w:rPr>
          <w:rFonts w:hint="eastAsia" w:asciiTheme="minorEastAsia" w:hAnsiTheme="minorEastAsia" w:eastAsiaTheme="minorEastAsia"/>
          <w:kern w:val="0"/>
          <w:sz w:val="24"/>
          <w:u w:val="single"/>
          <w:lang w:eastAsia="zh-CN"/>
        </w:rPr>
        <w:t>高陵区城西小学变压器及电路改造工程</w:t>
      </w:r>
    </w:p>
    <w:p>
      <w:pPr>
        <w:widowControl/>
        <w:spacing w:line="360" w:lineRule="auto"/>
        <w:ind w:firstLine="480" w:firstLineChars="200"/>
        <w:jc w:val="left"/>
        <w:rPr>
          <w:rFonts w:asciiTheme="minorEastAsia" w:hAnsiTheme="minorEastAsia" w:eastAsiaTheme="minorEastAsia"/>
          <w:kern w:val="0"/>
          <w:sz w:val="24"/>
          <w:u w:val="single"/>
        </w:rPr>
      </w:pPr>
      <w:r>
        <w:rPr>
          <w:rFonts w:asciiTheme="minorEastAsia" w:hAnsiTheme="minorEastAsia" w:eastAsiaTheme="minorEastAsia"/>
          <w:kern w:val="0"/>
          <w:sz w:val="24"/>
        </w:rPr>
        <w:t>工程地点：</w:t>
      </w:r>
      <w:r>
        <w:rPr>
          <w:rFonts w:hint="eastAsia" w:asciiTheme="minorEastAsia" w:hAnsiTheme="minorEastAsia" w:eastAsiaTheme="minorEastAsia"/>
          <w:kern w:val="0"/>
          <w:sz w:val="24"/>
          <w:u w:val="single"/>
        </w:rPr>
        <w:t xml:space="preserve">                   </w:t>
      </w:r>
    </w:p>
    <w:p>
      <w:pPr>
        <w:widowControl/>
        <w:spacing w:line="360" w:lineRule="auto"/>
        <w:ind w:firstLine="480" w:firstLineChars="200"/>
        <w:jc w:val="left"/>
        <w:rPr>
          <w:rFonts w:asciiTheme="minorEastAsia" w:hAnsiTheme="minorEastAsia" w:eastAsiaTheme="minorEastAsia"/>
          <w:kern w:val="0"/>
          <w:sz w:val="24"/>
          <w:u w:val="single"/>
        </w:rPr>
      </w:pPr>
      <w:r>
        <w:rPr>
          <w:rFonts w:asciiTheme="minorEastAsia" w:hAnsiTheme="minorEastAsia" w:eastAsiaTheme="minorEastAsia"/>
          <w:kern w:val="0"/>
          <w:sz w:val="24"/>
        </w:rPr>
        <w:t>结构形式：</w:t>
      </w:r>
      <w:r>
        <w:rPr>
          <w:rFonts w:asciiTheme="minorEastAsia" w:hAnsiTheme="minorEastAsia" w:eastAsiaTheme="minorEastAsia"/>
          <w:kern w:val="0"/>
          <w:sz w:val="24"/>
          <w:u w:val="single"/>
        </w:rPr>
        <w:t xml:space="preserve">  </w:t>
      </w:r>
      <w:r>
        <w:rPr>
          <w:rFonts w:hint="eastAsia" w:asciiTheme="minorEastAsia" w:hAnsiTheme="minorEastAsia" w:eastAsiaTheme="minorEastAsia"/>
          <w:kern w:val="0"/>
          <w:sz w:val="24"/>
          <w:u w:val="single"/>
        </w:rPr>
        <w:t xml:space="preserve"> </w:t>
      </w:r>
      <w:r>
        <w:rPr>
          <w:rFonts w:asciiTheme="minorEastAsia" w:hAnsiTheme="minorEastAsia" w:eastAsiaTheme="minorEastAsia"/>
          <w:kern w:val="0"/>
          <w:sz w:val="24"/>
          <w:u w:val="single"/>
        </w:rPr>
        <w:t xml:space="preserve">    </w:t>
      </w:r>
      <w:r>
        <w:rPr>
          <w:rFonts w:asciiTheme="minorEastAsia" w:hAnsiTheme="minorEastAsia" w:eastAsiaTheme="minorEastAsia"/>
          <w:kern w:val="0"/>
          <w:sz w:val="24"/>
        </w:rPr>
        <w:t>　　建筑面积：</w:t>
      </w:r>
      <w:r>
        <w:rPr>
          <w:rFonts w:asciiTheme="minorEastAsia" w:hAnsiTheme="minorEastAsia" w:eastAsiaTheme="minorEastAsia"/>
          <w:kern w:val="0"/>
          <w:sz w:val="24"/>
          <w:u w:val="single"/>
        </w:rPr>
        <w:t xml:space="preserve">      </w:t>
      </w:r>
    </w:p>
    <w:p>
      <w:pPr>
        <w:widowControl/>
        <w:spacing w:line="360" w:lineRule="auto"/>
        <w:ind w:firstLine="480" w:firstLineChars="200"/>
        <w:jc w:val="left"/>
        <w:rPr>
          <w:rFonts w:asciiTheme="minorEastAsia" w:hAnsiTheme="minorEastAsia" w:eastAsiaTheme="minorEastAsia"/>
          <w:kern w:val="0"/>
          <w:sz w:val="24"/>
        </w:rPr>
      </w:pPr>
      <w:r>
        <w:rPr>
          <w:rFonts w:asciiTheme="minorEastAsia" w:hAnsiTheme="minorEastAsia" w:eastAsiaTheme="minorEastAsia"/>
          <w:kern w:val="0"/>
          <w:sz w:val="24"/>
        </w:rPr>
        <w:t>群体工程应附承包人承揽工程项目一览表（附件1）</w:t>
      </w:r>
    </w:p>
    <w:p>
      <w:pPr>
        <w:widowControl/>
        <w:spacing w:line="360" w:lineRule="auto"/>
        <w:ind w:firstLine="480" w:firstLineChars="200"/>
        <w:jc w:val="left"/>
        <w:rPr>
          <w:rFonts w:asciiTheme="minorEastAsia" w:hAnsiTheme="minorEastAsia" w:eastAsiaTheme="minorEastAsia"/>
          <w:kern w:val="0"/>
          <w:sz w:val="24"/>
          <w:u w:val="single"/>
        </w:rPr>
      </w:pPr>
      <w:r>
        <w:rPr>
          <w:rFonts w:asciiTheme="minorEastAsia" w:hAnsiTheme="minorEastAsia" w:eastAsiaTheme="minorEastAsia"/>
          <w:kern w:val="0"/>
          <w:sz w:val="24"/>
        </w:rPr>
        <w:t>工程立项文号：</w:t>
      </w:r>
    </w:p>
    <w:p>
      <w:pPr>
        <w:widowControl/>
        <w:spacing w:line="360" w:lineRule="auto"/>
        <w:ind w:firstLine="480" w:firstLineChars="200"/>
        <w:jc w:val="left"/>
        <w:rPr>
          <w:rFonts w:asciiTheme="minorEastAsia" w:hAnsiTheme="minorEastAsia" w:eastAsiaTheme="minorEastAsia"/>
          <w:color w:val="000000" w:themeColor="text1"/>
          <w:kern w:val="0"/>
          <w:sz w:val="24"/>
          <w:u w:val="single"/>
          <w14:textFill>
            <w14:solidFill>
              <w14:schemeClr w14:val="tx1"/>
            </w14:solidFill>
          </w14:textFill>
        </w:rPr>
      </w:pPr>
      <w:r>
        <w:rPr>
          <w:rFonts w:asciiTheme="minorEastAsia" w:hAnsiTheme="minorEastAsia" w:eastAsiaTheme="minorEastAsia"/>
          <w:color w:val="000000" w:themeColor="text1"/>
          <w:kern w:val="0"/>
          <w:sz w:val="24"/>
          <w14:textFill>
            <w14:solidFill>
              <w14:schemeClr w14:val="tx1"/>
            </w14:solidFill>
          </w14:textFill>
        </w:rPr>
        <w:t>资金来源：</w:t>
      </w:r>
      <w:r>
        <w:rPr>
          <w:rFonts w:hint="eastAsia" w:asciiTheme="minorEastAsia" w:hAnsiTheme="minorEastAsia" w:eastAsiaTheme="minorEastAsia" w:cstheme="minorEastAsia"/>
          <w:color w:val="000000" w:themeColor="text1"/>
          <w:sz w:val="24"/>
          <w14:textFill>
            <w14:solidFill>
              <w14:schemeClr w14:val="tx1"/>
            </w14:solidFill>
          </w14:textFill>
        </w:rPr>
        <w:t>财政资金</w:t>
      </w:r>
    </w:p>
    <w:p>
      <w:pPr>
        <w:widowControl/>
        <w:spacing w:line="360" w:lineRule="auto"/>
        <w:ind w:firstLine="480" w:firstLineChars="200"/>
        <w:jc w:val="left"/>
        <w:rPr>
          <w:rFonts w:asciiTheme="minorEastAsia" w:hAnsiTheme="minorEastAsia" w:eastAsiaTheme="minorEastAsia"/>
          <w:kern w:val="0"/>
          <w:sz w:val="24"/>
        </w:rPr>
      </w:pPr>
      <w:r>
        <w:rPr>
          <w:rFonts w:asciiTheme="minorEastAsia" w:hAnsiTheme="minorEastAsia" w:eastAsiaTheme="minorEastAsia"/>
          <w:kern w:val="0"/>
          <w:sz w:val="24"/>
        </w:rPr>
        <w:t>二、工程承包范围</w:t>
      </w:r>
    </w:p>
    <w:p>
      <w:pPr>
        <w:pStyle w:val="40"/>
        <w:spacing w:line="360" w:lineRule="auto"/>
        <w:ind w:left="433" w:leftChars="206" w:firstLine="480" w:firstLineChars="200"/>
        <w:rPr>
          <w:rFonts w:asciiTheme="minorEastAsia" w:hAnsiTheme="minorEastAsia" w:eastAsiaTheme="minorEastAsia"/>
          <w:snapToGrid w:val="0"/>
          <w:sz w:val="24"/>
          <w:u w:val="single"/>
        </w:rPr>
      </w:pPr>
      <w:r>
        <w:rPr>
          <w:rFonts w:asciiTheme="minorEastAsia" w:hAnsiTheme="minorEastAsia" w:eastAsiaTheme="minorEastAsia"/>
          <w:sz w:val="24"/>
        </w:rPr>
        <w:t>承包范围：</w:t>
      </w:r>
      <w:r>
        <w:rPr>
          <w:rFonts w:hint="eastAsia" w:asciiTheme="minorEastAsia" w:hAnsiTheme="minorEastAsia" w:eastAsiaTheme="minorEastAsia"/>
          <w:sz w:val="24"/>
          <w:u w:val="single"/>
        </w:rPr>
        <w:t xml:space="preserve">                         </w:t>
      </w:r>
    </w:p>
    <w:p>
      <w:pPr>
        <w:widowControl/>
        <w:spacing w:line="360" w:lineRule="auto"/>
        <w:ind w:firstLine="480" w:firstLineChars="200"/>
        <w:jc w:val="left"/>
        <w:rPr>
          <w:rFonts w:asciiTheme="minorEastAsia" w:hAnsiTheme="minorEastAsia" w:eastAsiaTheme="minorEastAsia"/>
          <w:kern w:val="0"/>
          <w:sz w:val="24"/>
        </w:rPr>
      </w:pPr>
      <w:r>
        <w:rPr>
          <w:rFonts w:asciiTheme="minorEastAsia" w:hAnsiTheme="minorEastAsia" w:eastAsiaTheme="minorEastAsia"/>
          <w:kern w:val="0"/>
          <w:sz w:val="24"/>
        </w:rPr>
        <w:t>三、合同工期：</w:t>
      </w:r>
    </w:p>
    <w:p>
      <w:pPr>
        <w:widowControl/>
        <w:spacing w:line="360" w:lineRule="auto"/>
        <w:ind w:firstLine="480" w:firstLineChars="200"/>
        <w:jc w:val="left"/>
        <w:rPr>
          <w:rFonts w:asciiTheme="minorEastAsia" w:hAnsiTheme="minorEastAsia" w:eastAsiaTheme="minorEastAsia"/>
          <w:kern w:val="0"/>
          <w:sz w:val="24"/>
        </w:rPr>
      </w:pPr>
      <w:r>
        <w:rPr>
          <w:rFonts w:asciiTheme="minorEastAsia" w:hAnsiTheme="minorEastAsia" w:eastAsiaTheme="minorEastAsia"/>
          <w:kern w:val="0"/>
          <w:sz w:val="24"/>
        </w:rPr>
        <w:t>总日历天数</w:t>
      </w:r>
      <w:r>
        <w:rPr>
          <w:rFonts w:asciiTheme="minorEastAsia" w:hAnsiTheme="minorEastAsia" w:eastAsiaTheme="minorEastAsia"/>
          <w:kern w:val="0"/>
          <w:sz w:val="24"/>
          <w:u w:val="single"/>
        </w:rPr>
        <w:t xml:space="preserve"> </w:t>
      </w:r>
      <w:r>
        <w:rPr>
          <w:rFonts w:hint="eastAsia" w:asciiTheme="minorEastAsia" w:hAnsiTheme="minorEastAsia" w:eastAsiaTheme="minorEastAsia"/>
          <w:kern w:val="0"/>
          <w:sz w:val="24"/>
          <w:u w:val="single"/>
        </w:rPr>
        <w:t xml:space="preserve">    </w:t>
      </w:r>
      <w:r>
        <w:rPr>
          <w:rFonts w:asciiTheme="minorEastAsia" w:hAnsiTheme="minorEastAsia" w:eastAsiaTheme="minorEastAsia"/>
          <w:kern w:val="0"/>
          <w:sz w:val="24"/>
        </w:rPr>
        <w:t>日历天</w:t>
      </w:r>
    </w:p>
    <w:p>
      <w:pPr>
        <w:widowControl/>
        <w:spacing w:line="360" w:lineRule="auto"/>
        <w:ind w:firstLine="480" w:firstLineChars="200"/>
        <w:jc w:val="left"/>
        <w:rPr>
          <w:rFonts w:asciiTheme="minorEastAsia" w:hAnsiTheme="minorEastAsia" w:eastAsiaTheme="minorEastAsia"/>
          <w:kern w:val="0"/>
          <w:sz w:val="24"/>
        </w:rPr>
      </w:pPr>
      <w:r>
        <w:rPr>
          <w:rFonts w:asciiTheme="minorEastAsia" w:hAnsiTheme="minorEastAsia" w:eastAsiaTheme="minorEastAsia"/>
          <w:kern w:val="0"/>
          <w:sz w:val="24"/>
        </w:rPr>
        <w:t>开工日期：</w:t>
      </w:r>
      <w:r>
        <w:rPr>
          <w:rFonts w:hint="eastAsia" w:asciiTheme="minorEastAsia" w:hAnsiTheme="minorEastAsia" w:eastAsiaTheme="minorEastAsia"/>
          <w:kern w:val="0"/>
          <w:sz w:val="24"/>
          <w:u w:val="single"/>
        </w:rPr>
        <w:t xml:space="preserve">     </w:t>
      </w:r>
      <w:r>
        <w:rPr>
          <w:rFonts w:hint="eastAsia" w:asciiTheme="minorEastAsia" w:hAnsiTheme="minorEastAsia" w:eastAsiaTheme="minorEastAsia"/>
          <w:kern w:val="0"/>
          <w:sz w:val="24"/>
        </w:rPr>
        <w:t>年</w:t>
      </w:r>
      <w:r>
        <w:rPr>
          <w:rFonts w:hint="eastAsia" w:asciiTheme="minorEastAsia" w:hAnsiTheme="minorEastAsia" w:eastAsiaTheme="minorEastAsia"/>
          <w:kern w:val="0"/>
          <w:sz w:val="24"/>
          <w:u w:val="single"/>
        </w:rPr>
        <w:t xml:space="preserve">    </w:t>
      </w:r>
      <w:r>
        <w:rPr>
          <w:rFonts w:hint="eastAsia" w:asciiTheme="minorEastAsia" w:hAnsiTheme="minorEastAsia" w:eastAsiaTheme="minorEastAsia"/>
          <w:kern w:val="0"/>
          <w:sz w:val="24"/>
        </w:rPr>
        <w:t>月</w:t>
      </w:r>
      <w:r>
        <w:rPr>
          <w:rFonts w:hint="eastAsia" w:asciiTheme="minorEastAsia" w:hAnsiTheme="minorEastAsia" w:eastAsiaTheme="minorEastAsia"/>
          <w:kern w:val="0"/>
          <w:sz w:val="24"/>
          <w:u w:val="single"/>
        </w:rPr>
        <w:t xml:space="preserve">    </w:t>
      </w:r>
      <w:r>
        <w:rPr>
          <w:rFonts w:hint="eastAsia" w:asciiTheme="minorEastAsia" w:hAnsiTheme="minorEastAsia" w:eastAsiaTheme="minorEastAsia"/>
          <w:kern w:val="0"/>
          <w:sz w:val="24"/>
        </w:rPr>
        <w:t>日</w:t>
      </w:r>
    </w:p>
    <w:p>
      <w:pPr>
        <w:widowControl/>
        <w:spacing w:line="360" w:lineRule="auto"/>
        <w:ind w:firstLine="480" w:firstLineChars="200"/>
        <w:jc w:val="left"/>
        <w:rPr>
          <w:rFonts w:asciiTheme="minorEastAsia" w:hAnsiTheme="minorEastAsia" w:eastAsiaTheme="minorEastAsia"/>
          <w:kern w:val="0"/>
          <w:sz w:val="24"/>
        </w:rPr>
      </w:pPr>
      <w:r>
        <w:rPr>
          <w:rFonts w:asciiTheme="minorEastAsia" w:hAnsiTheme="minorEastAsia" w:eastAsiaTheme="minorEastAsia"/>
          <w:kern w:val="0"/>
          <w:sz w:val="24"/>
        </w:rPr>
        <w:t>竣工日期：</w:t>
      </w:r>
      <w:r>
        <w:rPr>
          <w:rFonts w:hint="eastAsia" w:asciiTheme="minorEastAsia" w:hAnsiTheme="minorEastAsia" w:eastAsiaTheme="minorEastAsia"/>
          <w:kern w:val="0"/>
          <w:sz w:val="24"/>
          <w:u w:val="single"/>
        </w:rPr>
        <w:t xml:space="preserve">     </w:t>
      </w:r>
      <w:r>
        <w:rPr>
          <w:rFonts w:hint="eastAsia" w:asciiTheme="minorEastAsia" w:hAnsiTheme="minorEastAsia" w:eastAsiaTheme="minorEastAsia"/>
          <w:kern w:val="0"/>
          <w:sz w:val="24"/>
        </w:rPr>
        <w:t>年</w:t>
      </w:r>
      <w:r>
        <w:rPr>
          <w:rFonts w:hint="eastAsia" w:asciiTheme="minorEastAsia" w:hAnsiTheme="minorEastAsia" w:eastAsiaTheme="minorEastAsia"/>
          <w:kern w:val="0"/>
          <w:sz w:val="24"/>
          <w:u w:val="single"/>
        </w:rPr>
        <w:t xml:space="preserve">    </w:t>
      </w:r>
      <w:r>
        <w:rPr>
          <w:rFonts w:hint="eastAsia" w:asciiTheme="minorEastAsia" w:hAnsiTheme="minorEastAsia" w:eastAsiaTheme="minorEastAsia"/>
          <w:kern w:val="0"/>
          <w:sz w:val="24"/>
        </w:rPr>
        <w:t>月</w:t>
      </w:r>
      <w:r>
        <w:rPr>
          <w:rFonts w:hint="eastAsia" w:asciiTheme="minorEastAsia" w:hAnsiTheme="minorEastAsia" w:eastAsiaTheme="minorEastAsia"/>
          <w:kern w:val="0"/>
          <w:sz w:val="24"/>
          <w:u w:val="single"/>
        </w:rPr>
        <w:t xml:space="preserve">    </w:t>
      </w:r>
      <w:r>
        <w:rPr>
          <w:rFonts w:hint="eastAsia" w:asciiTheme="minorEastAsia" w:hAnsiTheme="minorEastAsia" w:eastAsiaTheme="minorEastAsia"/>
          <w:kern w:val="0"/>
          <w:sz w:val="24"/>
        </w:rPr>
        <w:t>日</w:t>
      </w:r>
    </w:p>
    <w:p>
      <w:pPr>
        <w:widowControl/>
        <w:spacing w:line="360" w:lineRule="auto"/>
        <w:ind w:firstLine="480" w:firstLineChars="200"/>
        <w:jc w:val="left"/>
        <w:rPr>
          <w:rFonts w:asciiTheme="minorEastAsia" w:hAnsiTheme="minorEastAsia" w:eastAsiaTheme="minorEastAsia"/>
          <w:kern w:val="0"/>
          <w:sz w:val="24"/>
        </w:rPr>
      </w:pPr>
      <w:r>
        <w:rPr>
          <w:rFonts w:asciiTheme="minorEastAsia" w:hAnsiTheme="minorEastAsia" w:eastAsiaTheme="minorEastAsia"/>
          <w:kern w:val="0"/>
          <w:sz w:val="24"/>
        </w:rPr>
        <w:t>四、质量标准</w:t>
      </w:r>
    </w:p>
    <w:p>
      <w:pPr>
        <w:widowControl/>
        <w:spacing w:line="360" w:lineRule="auto"/>
        <w:ind w:firstLine="480" w:firstLineChars="200"/>
        <w:jc w:val="left"/>
        <w:rPr>
          <w:rFonts w:asciiTheme="minorEastAsia" w:hAnsiTheme="minorEastAsia" w:eastAsiaTheme="minorEastAsia"/>
          <w:kern w:val="0"/>
          <w:sz w:val="24"/>
          <w:u w:val="single"/>
        </w:rPr>
      </w:pPr>
      <w:r>
        <w:rPr>
          <w:rFonts w:asciiTheme="minorEastAsia" w:hAnsiTheme="minorEastAsia" w:eastAsiaTheme="minorEastAsia"/>
          <w:kern w:val="0"/>
          <w:sz w:val="24"/>
        </w:rPr>
        <w:t>工程质量标准：</w:t>
      </w:r>
      <w:r>
        <w:rPr>
          <w:rFonts w:asciiTheme="minorEastAsia" w:hAnsiTheme="minorEastAsia" w:eastAsiaTheme="minorEastAsia"/>
          <w:kern w:val="0"/>
          <w:sz w:val="24"/>
          <w:u w:val="single"/>
        </w:rPr>
        <w:t xml:space="preserve"> 合</w:t>
      </w:r>
      <w:r>
        <w:rPr>
          <w:rFonts w:hint="eastAsia" w:asciiTheme="minorEastAsia" w:hAnsiTheme="minorEastAsia" w:eastAsiaTheme="minorEastAsia"/>
          <w:kern w:val="0"/>
          <w:sz w:val="24"/>
          <w:u w:val="single"/>
        </w:rPr>
        <w:t xml:space="preserve"> </w:t>
      </w:r>
      <w:r>
        <w:rPr>
          <w:rFonts w:asciiTheme="minorEastAsia" w:hAnsiTheme="minorEastAsia" w:eastAsiaTheme="minorEastAsia"/>
          <w:kern w:val="0"/>
          <w:sz w:val="24"/>
          <w:u w:val="single"/>
        </w:rPr>
        <w:t>格</w:t>
      </w:r>
      <w:r>
        <w:rPr>
          <w:rFonts w:hint="eastAsia" w:asciiTheme="minorEastAsia" w:hAnsiTheme="minorEastAsia" w:eastAsiaTheme="minorEastAsia"/>
          <w:kern w:val="0"/>
          <w:sz w:val="24"/>
          <w:u w:val="single"/>
        </w:rPr>
        <w:t xml:space="preserve"> </w:t>
      </w:r>
      <w:r>
        <w:rPr>
          <w:rFonts w:asciiTheme="minorEastAsia" w:hAnsiTheme="minorEastAsia" w:eastAsiaTheme="minorEastAsia"/>
          <w:kern w:val="0"/>
          <w:sz w:val="24"/>
          <w:u w:val="single"/>
        </w:rPr>
        <w:t xml:space="preserve"> </w:t>
      </w:r>
      <w:r>
        <w:rPr>
          <w:rFonts w:hint="eastAsia" w:asciiTheme="minorEastAsia" w:hAnsiTheme="minorEastAsia" w:eastAsiaTheme="minorEastAsia"/>
          <w:kern w:val="0"/>
          <w:sz w:val="24"/>
          <w:u w:val="single"/>
        </w:rPr>
        <w:t>　　</w:t>
      </w:r>
    </w:p>
    <w:p>
      <w:pPr>
        <w:widowControl/>
        <w:spacing w:line="360" w:lineRule="auto"/>
        <w:ind w:firstLine="480" w:firstLineChars="200"/>
        <w:jc w:val="left"/>
        <w:rPr>
          <w:rFonts w:asciiTheme="minorEastAsia" w:hAnsiTheme="minorEastAsia" w:eastAsiaTheme="minorEastAsia"/>
          <w:kern w:val="0"/>
          <w:sz w:val="24"/>
        </w:rPr>
      </w:pPr>
      <w:r>
        <w:rPr>
          <w:rFonts w:asciiTheme="minorEastAsia" w:hAnsiTheme="minorEastAsia" w:eastAsiaTheme="minorEastAsia"/>
          <w:kern w:val="0"/>
          <w:sz w:val="24"/>
        </w:rPr>
        <w:t>五、合同价款</w:t>
      </w:r>
    </w:p>
    <w:p>
      <w:pPr>
        <w:widowControl/>
        <w:spacing w:line="360" w:lineRule="auto"/>
        <w:ind w:firstLine="480" w:firstLineChars="200"/>
        <w:jc w:val="left"/>
        <w:rPr>
          <w:rFonts w:asciiTheme="minorEastAsia" w:hAnsiTheme="minorEastAsia" w:eastAsiaTheme="minorEastAsia"/>
          <w:kern w:val="0"/>
          <w:sz w:val="24"/>
          <w:u w:val="single"/>
        </w:rPr>
      </w:pPr>
      <w:r>
        <w:rPr>
          <w:rFonts w:asciiTheme="minorEastAsia" w:hAnsiTheme="minorEastAsia" w:eastAsiaTheme="minorEastAsia"/>
          <w:kern w:val="0"/>
          <w:sz w:val="24"/>
        </w:rPr>
        <w:t>1、合同总价（大写）：</w:t>
      </w:r>
      <w:r>
        <w:rPr>
          <w:rFonts w:asciiTheme="minorEastAsia" w:hAnsiTheme="minorEastAsia" w:eastAsiaTheme="minorEastAsia"/>
          <w:sz w:val="24"/>
        </w:rPr>
        <w:t>人民币</w:t>
      </w:r>
      <w:r>
        <w:rPr>
          <w:rFonts w:hint="eastAsia" w:asciiTheme="minorEastAsia" w:hAnsiTheme="minorEastAsia" w:eastAsiaTheme="minorEastAsia"/>
          <w:sz w:val="24"/>
          <w:u w:val="single"/>
        </w:rPr>
        <w:t xml:space="preserve">      </w:t>
      </w:r>
    </w:p>
    <w:p>
      <w:pPr>
        <w:widowControl/>
        <w:spacing w:line="360" w:lineRule="auto"/>
        <w:ind w:firstLine="480" w:firstLineChars="200"/>
        <w:jc w:val="left"/>
        <w:rPr>
          <w:rFonts w:asciiTheme="minorEastAsia" w:hAnsiTheme="minorEastAsia" w:eastAsiaTheme="minorEastAsia"/>
          <w:kern w:val="0"/>
          <w:sz w:val="24"/>
        </w:rPr>
      </w:pPr>
      <w:r>
        <w:rPr>
          <w:rFonts w:asciiTheme="minorEastAsia" w:hAnsiTheme="minorEastAsia" w:eastAsiaTheme="minorEastAsia"/>
          <w:kern w:val="0"/>
          <w:sz w:val="24"/>
          <w:u w:val="single"/>
        </w:rPr>
        <w:t>（小写）￥：</w:t>
      </w:r>
      <w:r>
        <w:rPr>
          <w:rFonts w:hint="eastAsia" w:asciiTheme="minorEastAsia" w:hAnsiTheme="minorEastAsia" w:eastAsiaTheme="minorEastAsia"/>
          <w:sz w:val="24"/>
          <w:u w:val="single"/>
        </w:rPr>
        <w:t xml:space="preserve">      </w:t>
      </w:r>
      <w:r>
        <w:rPr>
          <w:rFonts w:asciiTheme="minorEastAsia" w:hAnsiTheme="minorEastAsia" w:eastAsiaTheme="minorEastAsia"/>
          <w:kern w:val="0"/>
          <w:sz w:val="24"/>
          <w:u w:val="single"/>
        </w:rPr>
        <w:t>元</w:t>
      </w:r>
      <w:r>
        <w:rPr>
          <w:rFonts w:asciiTheme="minorEastAsia" w:hAnsiTheme="minorEastAsia" w:eastAsiaTheme="minorEastAsia"/>
          <w:kern w:val="0"/>
          <w:sz w:val="24"/>
        </w:rPr>
        <w:t>（其中：工程预留金</w:t>
      </w:r>
      <w:r>
        <w:rPr>
          <w:rFonts w:hint="eastAsia" w:asciiTheme="minorEastAsia" w:hAnsiTheme="minorEastAsia" w:eastAsiaTheme="minorEastAsia"/>
          <w:kern w:val="0"/>
          <w:sz w:val="24"/>
          <w:u w:val="single"/>
        </w:rPr>
        <w:t xml:space="preserve">      </w:t>
      </w:r>
      <w:r>
        <w:rPr>
          <w:rFonts w:asciiTheme="minorEastAsia" w:hAnsiTheme="minorEastAsia" w:eastAsiaTheme="minorEastAsia"/>
          <w:kern w:val="0"/>
          <w:sz w:val="24"/>
        </w:rPr>
        <w:t>元，零星工作费</w:t>
      </w:r>
      <w:r>
        <w:rPr>
          <w:rFonts w:hint="eastAsia" w:asciiTheme="minorEastAsia" w:hAnsiTheme="minorEastAsia" w:eastAsiaTheme="minorEastAsia"/>
          <w:kern w:val="0"/>
          <w:sz w:val="24"/>
          <w:u w:val="single"/>
        </w:rPr>
        <w:t xml:space="preserve">     /      </w:t>
      </w:r>
      <w:r>
        <w:rPr>
          <w:rFonts w:asciiTheme="minorEastAsia" w:hAnsiTheme="minorEastAsia" w:eastAsiaTheme="minorEastAsia"/>
          <w:kern w:val="0"/>
          <w:sz w:val="24"/>
        </w:rPr>
        <w:t>元，安全防护、文明施工措施费</w:t>
      </w:r>
      <w:r>
        <w:rPr>
          <w:rFonts w:hint="eastAsia" w:asciiTheme="minorEastAsia" w:hAnsiTheme="minorEastAsia" w:eastAsiaTheme="minorEastAsia"/>
          <w:kern w:val="0"/>
          <w:sz w:val="24"/>
        </w:rPr>
        <w:t xml:space="preserve"> </w:t>
      </w:r>
      <w:r>
        <w:rPr>
          <w:rFonts w:hint="eastAsia" w:asciiTheme="minorEastAsia" w:hAnsiTheme="minorEastAsia" w:eastAsiaTheme="minorEastAsia"/>
          <w:kern w:val="0"/>
          <w:sz w:val="24"/>
          <w:u w:val="single"/>
        </w:rPr>
        <w:t xml:space="preserve">        </w:t>
      </w:r>
      <w:r>
        <w:rPr>
          <w:rFonts w:asciiTheme="minorEastAsia" w:hAnsiTheme="minorEastAsia" w:eastAsiaTheme="minorEastAsia"/>
          <w:kern w:val="0"/>
          <w:sz w:val="24"/>
        </w:rPr>
        <w:t>元，工程分包和材料购置费</w:t>
      </w:r>
      <w:r>
        <w:rPr>
          <w:rFonts w:hint="eastAsia" w:asciiTheme="minorEastAsia" w:hAnsiTheme="minorEastAsia" w:eastAsiaTheme="minorEastAsia"/>
          <w:kern w:val="0"/>
          <w:sz w:val="24"/>
          <w:u w:val="single"/>
        </w:rPr>
        <w:t xml:space="preserve">     /      </w:t>
      </w:r>
      <w:r>
        <w:rPr>
          <w:rFonts w:asciiTheme="minorEastAsia" w:hAnsiTheme="minorEastAsia" w:eastAsiaTheme="minorEastAsia"/>
          <w:kern w:val="0"/>
          <w:sz w:val="24"/>
        </w:rPr>
        <w:t>元，</w:t>
      </w:r>
      <w:r>
        <w:rPr>
          <w:rFonts w:hint="eastAsia" w:asciiTheme="minorEastAsia" w:hAnsiTheme="minorEastAsia" w:eastAsiaTheme="minorEastAsia"/>
          <w:kern w:val="0"/>
          <w:sz w:val="24"/>
        </w:rPr>
        <w:t xml:space="preserve"> </w:t>
      </w:r>
      <w:r>
        <w:rPr>
          <w:rFonts w:asciiTheme="minorEastAsia" w:hAnsiTheme="minorEastAsia" w:eastAsiaTheme="minorEastAsia"/>
          <w:kern w:val="0"/>
          <w:sz w:val="24"/>
        </w:rPr>
        <w:t>总承包服务费</w:t>
      </w:r>
      <w:r>
        <w:rPr>
          <w:rFonts w:hint="eastAsia" w:asciiTheme="minorEastAsia" w:hAnsiTheme="minorEastAsia" w:eastAsiaTheme="minorEastAsia"/>
          <w:kern w:val="0"/>
          <w:sz w:val="24"/>
          <w:u w:val="single"/>
        </w:rPr>
        <w:t xml:space="preserve">   /    </w:t>
      </w:r>
      <w:r>
        <w:rPr>
          <w:rFonts w:hint="eastAsia" w:asciiTheme="minorEastAsia" w:hAnsiTheme="minorEastAsia" w:eastAsiaTheme="minorEastAsia"/>
          <w:kern w:val="0"/>
          <w:sz w:val="24"/>
        </w:rPr>
        <w:t xml:space="preserve"> </w:t>
      </w:r>
      <w:r>
        <w:rPr>
          <w:rFonts w:asciiTheme="minorEastAsia" w:hAnsiTheme="minorEastAsia" w:eastAsiaTheme="minorEastAsia"/>
          <w:kern w:val="0"/>
          <w:sz w:val="24"/>
        </w:rPr>
        <w:t>元。)</w:t>
      </w:r>
    </w:p>
    <w:p>
      <w:pPr>
        <w:widowControl/>
        <w:spacing w:line="360" w:lineRule="auto"/>
        <w:ind w:firstLine="480" w:firstLineChars="200"/>
        <w:jc w:val="left"/>
        <w:rPr>
          <w:rFonts w:asciiTheme="minorEastAsia" w:hAnsiTheme="minorEastAsia" w:eastAsiaTheme="minorEastAsia"/>
          <w:kern w:val="0"/>
          <w:sz w:val="24"/>
        </w:rPr>
      </w:pPr>
      <w:r>
        <w:rPr>
          <w:rFonts w:asciiTheme="minorEastAsia" w:hAnsiTheme="minorEastAsia" w:eastAsiaTheme="minorEastAsia"/>
          <w:kern w:val="0"/>
          <w:sz w:val="24"/>
        </w:rPr>
        <w:t>2、综合单价：详见承包人的报价书。</w:t>
      </w:r>
    </w:p>
    <w:p>
      <w:pPr>
        <w:widowControl/>
        <w:spacing w:line="360" w:lineRule="auto"/>
        <w:ind w:firstLine="480" w:firstLineChars="200"/>
        <w:jc w:val="left"/>
        <w:rPr>
          <w:rFonts w:asciiTheme="minorEastAsia" w:hAnsiTheme="minorEastAsia" w:eastAsiaTheme="minorEastAsia"/>
          <w:kern w:val="0"/>
          <w:sz w:val="24"/>
        </w:rPr>
      </w:pPr>
      <w:r>
        <w:rPr>
          <w:rFonts w:asciiTheme="minorEastAsia" w:hAnsiTheme="minorEastAsia" w:eastAsiaTheme="minorEastAsia"/>
          <w:kern w:val="0"/>
          <w:sz w:val="24"/>
        </w:rPr>
        <w:t>六、组成合同的文件</w:t>
      </w:r>
    </w:p>
    <w:p>
      <w:pPr>
        <w:widowControl/>
        <w:spacing w:line="360" w:lineRule="auto"/>
        <w:ind w:firstLine="480" w:firstLineChars="200"/>
        <w:jc w:val="left"/>
        <w:rPr>
          <w:rFonts w:asciiTheme="minorEastAsia" w:hAnsiTheme="minorEastAsia" w:eastAsiaTheme="minorEastAsia"/>
          <w:kern w:val="0"/>
          <w:sz w:val="24"/>
        </w:rPr>
      </w:pPr>
      <w:r>
        <w:rPr>
          <w:rFonts w:asciiTheme="minorEastAsia" w:hAnsiTheme="minorEastAsia" w:eastAsiaTheme="minorEastAsia"/>
          <w:kern w:val="0"/>
          <w:sz w:val="24"/>
        </w:rPr>
        <w:t>组成本合同的文件包括：</w:t>
      </w:r>
    </w:p>
    <w:p>
      <w:pPr>
        <w:widowControl/>
        <w:spacing w:line="360" w:lineRule="auto"/>
        <w:ind w:firstLine="480" w:firstLineChars="200"/>
        <w:jc w:val="left"/>
        <w:rPr>
          <w:rFonts w:asciiTheme="minorEastAsia" w:hAnsiTheme="minorEastAsia" w:eastAsiaTheme="minorEastAsia"/>
          <w:kern w:val="0"/>
          <w:sz w:val="24"/>
        </w:rPr>
      </w:pPr>
      <w:r>
        <w:rPr>
          <w:rFonts w:asciiTheme="minorEastAsia" w:hAnsiTheme="minorEastAsia" w:eastAsiaTheme="minorEastAsia"/>
          <w:kern w:val="0"/>
          <w:sz w:val="24"/>
        </w:rPr>
        <w:t>1、本合同协议书</w:t>
      </w:r>
    </w:p>
    <w:p>
      <w:pPr>
        <w:widowControl/>
        <w:spacing w:line="360" w:lineRule="auto"/>
        <w:ind w:firstLine="480" w:firstLineChars="200"/>
        <w:jc w:val="left"/>
        <w:rPr>
          <w:rFonts w:asciiTheme="minorEastAsia" w:hAnsiTheme="minorEastAsia" w:eastAsiaTheme="minorEastAsia"/>
          <w:kern w:val="0"/>
          <w:sz w:val="24"/>
        </w:rPr>
      </w:pPr>
      <w:r>
        <w:rPr>
          <w:rFonts w:asciiTheme="minorEastAsia" w:hAnsiTheme="minorEastAsia" w:eastAsiaTheme="minorEastAsia"/>
          <w:kern w:val="0"/>
          <w:sz w:val="24"/>
        </w:rPr>
        <w:t>2、本合同专用条款</w:t>
      </w:r>
    </w:p>
    <w:p>
      <w:pPr>
        <w:widowControl/>
        <w:spacing w:line="360" w:lineRule="auto"/>
        <w:ind w:firstLine="480" w:firstLineChars="200"/>
        <w:jc w:val="left"/>
        <w:rPr>
          <w:rFonts w:asciiTheme="minorEastAsia" w:hAnsiTheme="minorEastAsia" w:eastAsiaTheme="minorEastAsia"/>
          <w:b/>
          <w:bCs/>
          <w:kern w:val="0"/>
          <w:sz w:val="24"/>
        </w:rPr>
      </w:pPr>
      <w:r>
        <w:rPr>
          <w:rFonts w:asciiTheme="minorEastAsia" w:hAnsiTheme="minorEastAsia" w:eastAsiaTheme="minorEastAsia"/>
          <w:kern w:val="0"/>
          <w:sz w:val="24"/>
        </w:rPr>
        <w:t>3、本合同通用条款</w:t>
      </w:r>
    </w:p>
    <w:p>
      <w:pPr>
        <w:widowControl/>
        <w:spacing w:line="360" w:lineRule="auto"/>
        <w:ind w:firstLine="480" w:firstLineChars="200"/>
        <w:jc w:val="left"/>
        <w:rPr>
          <w:rFonts w:asciiTheme="minorEastAsia" w:hAnsiTheme="minorEastAsia" w:eastAsiaTheme="minorEastAsia"/>
          <w:kern w:val="0"/>
          <w:sz w:val="24"/>
        </w:rPr>
      </w:pPr>
      <w:r>
        <w:rPr>
          <w:rFonts w:asciiTheme="minorEastAsia" w:hAnsiTheme="minorEastAsia" w:eastAsiaTheme="minorEastAsia"/>
          <w:kern w:val="0"/>
          <w:sz w:val="24"/>
        </w:rPr>
        <w:t>4、</w:t>
      </w:r>
      <w:r>
        <w:rPr>
          <w:rFonts w:hint="eastAsia" w:asciiTheme="minorEastAsia" w:hAnsiTheme="minorEastAsia" w:eastAsiaTheme="minorEastAsia"/>
          <w:kern w:val="0"/>
          <w:sz w:val="24"/>
        </w:rPr>
        <w:t>成交</w:t>
      </w:r>
      <w:r>
        <w:rPr>
          <w:rFonts w:asciiTheme="minorEastAsia" w:hAnsiTheme="minorEastAsia" w:eastAsiaTheme="minorEastAsia"/>
          <w:kern w:val="0"/>
          <w:sz w:val="24"/>
        </w:rPr>
        <w:t>通知书</w:t>
      </w:r>
    </w:p>
    <w:p>
      <w:pPr>
        <w:widowControl/>
        <w:spacing w:line="360" w:lineRule="auto"/>
        <w:ind w:firstLine="480" w:firstLineChars="200"/>
        <w:jc w:val="left"/>
        <w:rPr>
          <w:rFonts w:asciiTheme="minorEastAsia" w:hAnsiTheme="minorEastAsia" w:eastAsiaTheme="minorEastAsia"/>
          <w:kern w:val="0"/>
          <w:sz w:val="24"/>
        </w:rPr>
      </w:pPr>
      <w:r>
        <w:rPr>
          <w:rFonts w:asciiTheme="minorEastAsia" w:hAnsiTheme="minorEastAsia" w:eastAsiaTheme="minorEastAsia"/>
          <w:kern w:val="0"/>
          <w:sz w:val="24"/>
        </w:rPr>
        <w:t>5、投标书、工程报价单或预算书及其附件</w:t>
      </w:r>
    </w:p>
    <w:p>
      <w:pPr>
        <w:widowControl/>
        <w:spacing w:line="360" w:lineRule="auto"/>
        <w:ind w:firstLine="480" w:firstLineChars="200"/>
        <w:jc w:val="left"/>
        <w:rPr>
          <w:rFonts w:asciiTheme="minorEastAsia" w:hAnsiTheme="minorEastAsia" w:eastAsiaTheme="minorEastAsia"/>
          <w:kern w:val="0"/>
          <w:sz w:val="24"/>
        </w:rPr>
      </w:pPr>
      <w:r>
        <w:rPr>
          <w:rFonts w:asciiTheme="minorEastAsia" w:hAnsiTheme="minorEastAsia" w:eastAsiaTheme="minorEastAsia"/>
          <w:kern w:val="0"/>
          <w:sz w:val="24"/>
        </w:rPr>
        <w:t>6、招标文件、答疑纪要及工程量清单</w:t>
      </w:r>
    </w:p>
    <w:p>
      <w:pPr>
        <w:widowControl/>
        <w:spacing w:line="360" w:lineRule="auto"/>
        <w:ind w:firstLine="480" w:firstLineChars="200"/>
        <w:jc w:val="left"/>
        <w:rPr>
          <w:rFonts w:asciiTheme="minorEastAsia" w:hAnsiTheme="minorEastAsia" w:eastAsiaTheme="minorEastAsia"/>
          <w:kern w:val="0"/>
          <w:sz w:val="24"/>
        </w:rPr>
      </w:pPr>
      <w:r>
        <w:rPr>
          <w:rFonts w:asciiTheme="minorEastAsia" w:hAnsiTheme="minorEastAsia" w:eastAsiaTheme="minorEastAsia"/>
          <w:kern w:val="0"/>
          <w:sz w:val="24"/>
        </w:rPr>
        <w:t>7、图纸</w:t>
      </w:r>
    </w:p>
    <w:p>
      <w:pPr>
        <w:widowControl/>
        <w:spacing w:line="360" w:lineRule="auto"/>
        <w:ind w:firstLine="480" w:firstLineChars="200"/>
        <w:jc w:val="left"/>
        <w:rPr>
          <w:rFonts w:asciiTheme="minorEastAsia" w:hAnsiTheme="minorEastAsia" w:eastAsiaTheme="minorEastAsia"/>
          <w:kern w:val="0"/>
          <w:sz w:val="24"/>
        </w:rPr>
      </w:pPr>
      <w:r>
        <w:rPr>
          <w:rFonts w:asciiTheme="minorEastAsia" w:hAnsiTheme="minorEastAsia" w:eastAsiaTheme="minorEastAsia"/>
          <w:kern w:val="0"/>
          <w:sz w:val="24"/>
        </w:rPr>
        <w:t>8、标准、规范及有关技术文件</w:t>
      </w:r>
    </w:p>
    <w:p>
      <w:pPr>
        <w:widowControl/>
        <w:spacing w:line="360" w:lineRule="auto"/>
        <w:ind w:firstLine="480" w:firstLineChars="200"/>
        <w:jc w:val="left"/>
        <w:rPr>
          <w:rFonts w:asciiTheme="minorEastAsia" w:hAnsiTheme="minorEastAsia" w:eastAsiaTheme="minorEastAsia"/>
          <w:kern w:val="0"/>
          <w:sz w:val="24"/>
        </w:rPr>
      </w:pPr>
      <w:r>
        <w:rPr>
          <w:rFonts w:asciiTheme="minorEastAsia" w:hAnsiTheme="minorEastAsia" w:eastAsiaTheme="minorEastAsia"/>
          <w:kern w:val="0"/>
          <w:sz w:val="24"/>
        </w:rPr>
        <w:t>9、本工程招标期间</w:t>
      </w:r>
      <w:r>
        <w:rPr>
          <w:rFonts w:hint="eastAsia" w:asciiTheme="minorEastAsia" w:hAnsiTheme="minorEastAsia" w:eastAsiaTheme="minorEastAsia"/>
          <w:kern w:val="0"/>
          <w:sz w:val="24"/>
        </w:rPr>
        <w:t>采购人</w:t>
      </w:r>
      <w:r>
        <w:rPr>
          <w:rFonts w:asciiTheme="minorEastAsia" w:hAnsiTheme="minorEastAsia" w:eastAsiaTheme="minorEastAsia"/>
          <w:kern w:val="0"/>
          <w:sz w:val="24"/>
        </w:rPr>
        <w:t>的书面澄清文件</w:t>
      </w:r>
    </w:p>
    <w:p>
      <w:pPr>
        <w:widowControl/>
        <w:spacing w:line="360" w:lineRule="auto"/>
        <w:ind w:firstLine="480" w:firstLineChars="200"/>
        <w:jc w:val="left"/>
        <w:rPr>
          <w:rFonts w:asciiTheme="minorEastAsia" w:hAnsiTheme="minorEastAsia" w:eastAsiaTheme="minorEastAsia"/>
          <w:kern w:val="0"/>
          <w:sz w:val="24"/>
        </w:rPr>
      </w:pPr>
      <w:r>
        <w:rPr>
          <w:rFonts w:asciiTheme="minorEastAsia" w:hAnsiTheme="minorEastAsia" w:eastAsiaTheme="minorEastAsia"/>
          <w:kern w:val="0"/>
          <w:sz w:val="24"/>
        </w:rPr>
        <w:t>双方为履行本合同的有关洽商、变更等书面协议、文件，视为本合同的组成部分。</w:t>
      </w:r>
    </w:p>
    <w:p>
      <w:pPr>
        <w:widowControl/>
        <w:spacing w:line="360" w:lineRule="auto"/>
        <w:ind w:firstLine="480" w:firstLineChars="200"/>
        <w:jc w:val="left"/>
        <w:rPr>
          <w:rFonts w:asciiTheme="minorEastAsia" w:hAnsiTheme="minorEastAsia" w:eastAsiaTheme="minorEastAsia"/>
          <w:kern w:val="0"/>
          <w:sz w:val="24"/>
        </w:rPr>
      </w:pPr>
      <w:r>
        <w:rPr>
          <w:rFonts w:asciiTheme="minorEastAsia" w:hAnsiTheme="minorEastAsia" w:eastAsiaTheme="minorEastAsia"/>
          <w:kern w:val="0"/>
          <w:sz w:val="24"/>
        </w:rPr>
        <w:t>七、本协议书中有关词语含义与本合同第二部分《通用条款》中赋予的定义相同。</w:t>
      </w:r>
    </w:p>
    <w:p>
      <w:pPr>
        <w:widowControl/>
        <w:spacing w:line="360" w:lineRule="auto"/>
        <w:ind w:firstLine="480" w:firstLineChars="200"/>
        <w:jc w:val="left"/>
        <w:rPr>
          <w:rFonts w:asciiTheme="minorEastAsia" w:hAnsiTheme="minorEastAsia" w:eastAsiaTheme="minorEastAsia"/>
          <w:kern w:val="0"/>
          <w:sz w:val="24"/>
        </w:rPr>
      </w:pPr>
      <w:r>
        <w:rPr>
          <w:rFonts w:asciiTheme="minorEastAsia" w:hAnsiTheme="minorEastAsia" w:eastAsiaTheme="minorEastAsia"/>
          <w:kern w:val="0"/>
          <w:sz w:val="24"/>
        </w:rPr>
        <w:t>八、承包人按照合同约定进行施工、竣工并在质量保修期内承担工程质量保修责任。</w:t>
      </w:r>
    </w:p>
    <w:p>
      <w:pPr>
        <w:widowControl/>
        <w:spacing w:line="360" w:lineRule="auto"/>
        <w:ind w:firstLine="480" w:firstLineChars="200"/>
        <w:jc w:val="left"/>
        <w:rPr>
          <w:rFonts w:asciiTheme="minorEastAsia" w:hAnsiTheme="minorEastAsia" w:eastAsiaTheme="minorEastAsia"/>
          <w:kern w:val="0"/>
          <w:sz w:val="24"/>
        </w:rPr>
      </w:pPr>
      <w:r>
        <w:rPr>
          <w:rFonts w:asciiTheme="minorEastAsia" w:hAnsiTheme="minorEastAsia" w:eastAsiaTheme="minorEastAsia"/>
          <w:kern w:val="0"/>
          <w:sz w:val="24"/>
        </w:rPr>
        <w:t>九、发包人按照合同约定的期限和方式支付合同价款及其他应当支付的款项。</w:t>
      </w:r>
    </w:p>
    <w:p>
      <w:pPr>
        <w:widowControl/>
        <w:spacing w:line="360" w:lineRule="auto"/>
        <w:ind w:firstLine="480" w:firstLineChars="200"/>
        <w:jc w:val="left"/>
        <w:rPr>
          <w:rFonts w:asciiTheme="minorEastAsia" w:hAnsiTheme="minorEastAsia" w:eastAsiaTheme="minorEastAsia"/>
          <w:kern w:val="0"/>
          <w:sz w:val="24"/>
        </w:rPr>
      </w:pPr>
      <w:r>
        <w:rPr>
          <w:rFonts w:asciiTheme="minorEastAsia" w:hAnsiTheme="minorEastAsia" w:eastAsiaTheme="minorEastAsia"/>
          <w:kern w:val="0"/>
          <w:sz w:val="24"/>
        </w:rPr>
        <w:t>十、合同生效</w:t>
      </w:r>
    </w:p>
    <w:p>
      <w:pPr>
        <w:widowControl/>
        <w:spacing w:line="360" w:lineRule="auto"/>
        <w:ind w:firstLine="480" w:firstLineChars="200"/>
        <w:jc w:val="left"/>
        <w:rPr>
          <w:rFonts w:asciiTheme="minorEastAsia" w:hAnsiTheme="minorEastAsia" w:eastAsiaTheme="minorEastAsia"/>
          <w:kern w:val="0"/>
          <w:sz w:val="24"/>
        </w:rPr>
      </w:pPr>
      <w:r>
        <w:rPr>
          <w:rFonts w:asciiTheme="minorEastAsia" w:hAnsiTheme="minorEastAsia" w:eastAsiaTheme="minorEastAsia"/>
          <w:kern w:val="0"/>
          <w:sz w:val="24"/>
        </w:rPr>
        <w:t>合同订立时间：</w:t>
      </w:r>
      <w:r>
        <w:rPr>
          <w:rFonts w:hint="eastAsia" w:asciiTheme="minorEastAsia" w:hAnsiTheme="minorEastAsia" w:eastAsiaTheme="minorEastAsia"/>
          <w:kern w:val="0"/>
          <w:sz w:val="24"/>
        </w:rPr>
        <w:t xml:space="preserve">    </w:t>
      </w:r>
      <w:r>
        <w:rPr>
          <w:rFonts w:asciiTheme="minorEastAsia" w:hAnsiTheme="minorEastAsia" w:eastAsiaTheme="minorEastAsia"/>
          <w:kern w:val="0"/>
          <w:sz w:val="24"/>
        </w:rPr>
        <w:t>年</w:t>
      </w:r>
      <w:r>
        <w:rPr>
          <w:rFonts w:hint="eastAsia" w:asciiTheme="minorEastAsia" w:hAnsiTheme="minorEastAsia" w:eastAsiaTheme="minorEastAsia"/>
          <w:kern w:val="0"/>
          <w:sz w:val="24"/>
        </w:rPr>
        <w:t xml:space="preserve">     </w:t>
      </w:r>
      <w:r>
        <w:rPr>
          <w:rFonts w:asciiTheme="minorEastAsia" w:hAnsiTheme="minorEastAsia" w:eastAsiaTheme="minorEastAsia"/>
          <w:kern w:val="0"/>
          <w:sz w:val="24"/>
        </w:rPr>
        <w:t>月</w:t>
      </w:r>
      <w:r>
        <w:rPr>
          <w:rFonts w:hint="eastAsia" w:asciiTheme="minorEastAsia" w:hAnsiTheme="minorEastAsia" w:eastAsiaTheme="minorEastAsia"/>
          <w:kern w:val="0"/>
          <w:sz w:val="24"/>
        </w:rPr>
        <w:t xml:space="preserve">    </w:t>
      </w:r>
      <w:r>
        <w:rPr>
          <w:rFonts w:asciiTheme="minorEastAsia" w:hAnsiTheme="minorEastAsia" w:eastAsiaTheme="minorEastAsia"/>
          <w:kern w:val="0"/>
          <w:sz w:val="24"/>
        </w:rPr>
        <w:t>日</w:t>
      </w:r>
    </w:p>
    <w:p>
      <w:pPr>
        <w:widowControl/>
        <w:spacing w:line="360" w:lineRule="auto"/>
        <w:ind w:firstLine="480" w:firstLineChars="200"/>
        <w:jc w:val="left"/>
        <w:rPr>
          <w:rFonts w:asciiTheme="minorEastAsia" w:hAnsiTheme="minorEastAsia" w:eastAsiaTheme="minorEastAsia"/>
          <w:kern w:val="0"/>
          <w:sz w:val="24"/>
        </w:rPr>
      </w:pPr>
      <w:r>
        <w:rPr>
          <w:rFonts w:asciiTheme="minorEastAsia" w:hAnsiTheme="minorEastAsia" w:eastAsiaTheme="minorEastAsia"/>
          <w:kern w:val="0"/>
          <w:sz w:val="24"/>
        </w:rPr>
        <w:t>合同订立地点：</w:t>
      </w:r>
      <w:r>
        <w:rPr>
          <w:rFonts w:hint="eastAsia" w:asciiTheme="minorEastAsia" w:hAnsiTheme="minorEastAsia" w:eastAsiaTheme="minorEastAsia"/>
          <w:kern w:val="0"/>
          <w:sz w:val="24"/>
          <w:u w:val="single"/>
        </w:rPr>
        <w:t xml:space="preserve">     　　　　　　　　　　　</w:t>
      </w:r>
      <w:r>
        <w:rPr>
          <w:rFonts w:hint="eastAsia" w:asciiTheme="minorEastAsia" w:hAnsiTheme="minorEastAsia" w:eastAsiaTheme="minorEastAsia"/>
          <w:kern w:val="0"/>
          <w:sz w:val="24"/>
        </w:rPr>
        <w:t xml:space="preserve">             </w:t>
      </w:r>
    </w:p>
    <w:p>
      <w:pPr>
        <w:widowControl/>
        <w:spacing w:line="360" w:lineRule="auto"/>
        <w:ind w:firstLine="480" w:firstLineChars="200"/>
        <w:jc w:val="left"/>
        <w:rPr>
          <w:rFonts w:asciiTheme="minorEastAsia" w:hAnsiTheme="minorEastAsia" w:eastAsiaTheme="minorEastAsia"/>
          <w:kern w:val="0"/>
          <w:sz w:val="24"/>
        </w:rPr>
      </w:pPr>
      <w:r>
        <w:rPr>
          <w:rFonts w:asciiTheme="minorEastAsia" w:hAnsiTheme="minorEastAsia" w:eastAsiaTheme="minorEastAsia"/>
          <w:kern w:val="0"/>
          <w:sz w:val="24"/>
        </w:rPr>
        <w:t>本合同双方约定_</w:t>
      </w:r>
      <w:r>
        <w:rPr>
          <w:rFonts w:hint="eastAsia" w:asciiTheme="minorEastAsia" w:hAnsiTheme="minorEastAsia" w:eastAsiaTheme="minorEastAsia"/>
          <w:kern w:val="0"/>
          <w:sz w:val="24"/>
          <w:u w:val="single"/>
        </w:rPr>
        <w:t>双方法定代表人或委托代理人</w:t>
      </w:r>
      <w:r>
        <w:rPr>
          <w:rFonts w:hint="eastAsia" w:asciiTheme="minorEastAsia" w:hAnsiTheme="minorEastAsia" w:eastAsiaTheme="minorEastAsia"/>
          <w:kern w:val="0"/>
          <w:sz w:val="24"/>
        </w:rPr>
        <w:t>签字</w:t>
      </w:r>
      <w:r>
        <w:rPr>
          <w:rFonts w:asciiTheme="minorEastAsia" w:hAnsiTheme="minorEastAsia" w:eastAsiaTheme="minorEastAsia"/>
          <w:kern w:val="0"/>
          <w:sz w:val="24"/>
        </w:rPr>
        <w:t>后生效。</w:t>
      </w:r>
    </w:p>
    <w:p>
      <w:pPr>
        <w:widowControl/>
        <w:spacing w:line="360" w:lineRule="auto"/>
        <w:ind w:firstLine="480" w:firstLineChars="200"/>
        <w:jc w:val="left"/>
        <w:rPr>
          <w:rFonts w:asciiTheme="minorEastAsia" w:hAnsiTheme="minorEastAsia" w:eastAsiaTheme="minorEastAsia"/>
          <w:kern w:val="0"/>
          <w:sz w:val="24"/>
        </w:rPr>
      </w:pPr>
    </w:p>
    <w:p>
      <w:pPr>
        <w:widowControl/>
        <w:spacing w:line="360" w:lineRule="auto"/>
        <w:ind w:firstLine="480" w:firstLineChars="200"/>
        <w:jc w:val="left"/>
        <w:rPr>
          <w:rFonts w:asciiTheme="minorEastAsia" w:hAnsiTheme="minorEastAsia" w:eastAsiaTheme="minorEastAsia"/>
          <w:kern w:val="0"/>
          <w:sz w:val="24"/>
        </w:rPr>
      </w:pPr>
      <w:r>
        <w:rPr>
          <w:rFonts w:hint="eastAsia" w:asciiTheme="minorEastAsia" w:hAnsiTheme="minorEastAsia" w:eastAsiaTheme="minorEastAsia"/>
          <w:kern w:val="0"/>
          <w:sz w:val="24"/>
        </w:rPr>
        <w:t>甲方</w:t>
      </w:r>
      <w:r>
        <w:rPr>
          <w:rFonts w:asciiTheme="minorEastAsia" w:hAnsiTheme="minorEastAsia" w:eastAsiaTheme="minorEastAsia"/>
          <w:kern w:val="0"/>
          <w:sz w:val="24"/>
        </w:rPr>
        <w:t>：（公章）</w:t>
      </w:r>
      <w:r>
        <w:rPr>
          <w:rFonts w:hint="eastAsia" w:asciiTheme="minorEastAsia" w:hAnsiTheme="minorEastAsia" w:eastAsiaTheme="minorEastAsia"/>
          <w:kern w:val="0"/>
          <w:sz w:val="24"/>
          <w:u w:val="single"/>
        </w:rPr>
        <w:t xml:space="preserve">          </w:t>
      </w:r>
      <w:r>
        <w:rPr>
          <w:rFonts w:asciiTheme="minorEastAsia" w:hAnsiTheme="minorEastAsia" w:eastAsiaTheme="minorEastAsia"/>
          <w:kern w:val="0"/>
          <w:sz w:val="24"/>
        </w:rPr>
        <w:t xml:space="preserve">     </w:t>
      </w:r>
      <w:r>
        <w:rPr>
          <w:rFonts w:hint="eastAsia" w:asciiTheme="minorEastAsia" w:hAnsiTheme="minorEastAsia" w:eastAsiaTheme="minorEastAsia"/>
          <w:kern w:val="0"/>
          <w:sz w:val="24"/>
        </w:rPr>
        <w:t xml:space="preserve"> </w:t>
      </w:r>
      <w:r>
        <w:rPr>
          <w:rFonts w:asciiTheme="minorEastAsia" w:hAnsiTheme="minorEastAsia" w:eastAsiaTheme="minorEastAsia"/>
          <w:kern w:val="0"/>
          <w:sz w:val="24"/>
        </w:rPr>
        <w:t xml:space="preserve"> </w:t>
      </w:r>
      <w:r>
        <w:rPr>
          <w:rFonts w:hint="eastAsia" w:asciiTheme="minorEastAsia" w:hAnsiTheme="minorEastAsia" w:eastAsiaTheme="minorEastAsia"/>
          <w:kern w:val="0"/>
          <w:sz w:val="24"/>
        </w:rPr>
        <w:t xml:space="preserve">  　　　乙方</w:t>
      </w:r>
      <w:r>
        <w:rPr>
          <w:rFonts w:asciiTheme="minorEastAsia" w:hAnsiTheme="minorEastAsia" w:eastAsiaTheme="minorEastAsia"/>
          <w:kern w:val="0"/>
          <w:sz w:val="24"/>
        </w:rPr>
        <w:t>：（公章）</w:t>
      </w:r>
      <w:r>
        <w:rPr>
          <w:rFonts w:hint="eastAsia" w:asciiTheme="minorEastAsia" w:hAnsiTheme="minorEastAsia" w:eastAsiaTheme="minorEastAsia"/>
          <w:kern w:val="0"/>
          <w:sz w:val="24"/>
          <w:u w:val="single"/>
        </w:rPr>
        <w:t xml:space="preserve">     　    </w:t>
      </w:r>
    </w:p>
    <w:p>
      <w:pPr>
        <w:autoSpaceDE w:val="0"/>
        <w:autoSpaceDN w:val="0"/>
        <w:adjustRightInd w:val="0"/>
        <w:spacing w:line="360" w:lineRule="auto"/>
        <w:ind w:left="4559" w:leftChars="228" w:hanging="4080" w:hangingChars="1700"/>
        <w:rPr>
          <w:rFonts w:asciiTheme="minorEastAsia" w:hAnsiTheme="minorEastAsia" w:eastAsiaTheme="minorEastAsia"/>
          <w:kern w:val="0"/>
          <w:sz w:val="24"/>
          <w:u w:val="single"/>
        </w:rPr>
      </w:pPr>
      <w:r>
        <w:rPr>
          <w:rFonts w:asciiTheme="minorEastAsia" w:hAnsiTheme="minorEastAsia" w:eastAsiaTheme="minorEastAsia"/>
          <w:kern w:val="0"/>
          <w:sz w:val="24"/>
        </w:rPr>
        <w:t>地址：</w:t>
      </w:r>
      <w:r>
        <w:rPr>
          <w:rFonts w:hint="eastAsia" w:asciiTheme="minorEastAsia" w:hAnsiTheme="minorEastAsia" w:eastAsiaTheme="minorEastAsia"/>
          <w:kern w:val="0"/>
          <w:sz w:val="24"/>
          <w:u w:val="single"/>
        </w:rPr>
        <w:t xml:space="preserve">　　　　　　　　  </w:t>
      </w:r>
      <w:r>
        <w:rPr>
          <w:rFonts w:hint="eastAsia" w:asciiTheme="minorEastAsia" w:hAnsiTheme="minorEastAsia" w:eastAsiaTheme="minorEastAsia"/>
          <w:kern w:val="0"/>
          <w:sz w:val="24"/>
        </w:rPr>
        <w:t xml:space="preserve">  </w:t>
      </w:r>
      <w:r>
        <w:rPr>
          <w:rFonts w:asciiTheme="minorEastAsia" w:hAnsiTheme="minorEastAsia" w:eastAsiaTheme="minorEastAsia"/>
          <w:kern w:val="0"/>
          <w:sz w:val="24"/>
        </w:rPr>
        <w:t xml:space="preserve">      </w:t>
      </w:r>
      <w:r>
        <w:rPr>
          <w:rFonts w:hint="eastAsia" w:asciiTheme="minorEastAsia" w:hAnsiTheme="minorEastAsia" w:eastAsiaTheme="minorEastAsia"/>
          <w:kern w:val="0"/>
          <w:sz w:val="24"/>
        </w:rPr>
        <w:t xml:space="preserve"> 　　　</w:t>
      </w:r>
      <w:r>
        <w:rPr>
          <w:rFonts w:asciiTheme="minorEastAsia" w:hAnsiTheme="minorEastAsia" w:eastAsiaTheme="minorEastAsia"/>
          <w:kern w:val="0"/>
          <w:sz w:val="24"/>
        </w:rPr>
        <w:t>地址：</w:t>
      </w:r>
      <w:r>
        <w:rPr>
          <w:rFonts w:hint="eastAsia" w:asciiTheme="minorEastAsia" w:hAnsiTheme="minorEastAsia" w:eastAsiaTheme="minorEastAsia"/>
          <w:kern w:val="0"/>
          <w:sz w:val="24"/>
          <w:u w:val="single"/>
        </w:rPr>
        <w:t xml:space="preserve">                   </w:t>
      </w:r>
    </w:p>
    <w:p>
      <w:pPr>
        <w:widowControl/>
        <w:spacing w:line="360" w:lineRule="auto"/>
        <w:ind w:firstLine="480" w:firstLineChars="200"/>
        <w:jc w:val="left"/>
        <w:rPr>
          <w:rFonts w:asciiTheme="minorEastAsia" w:hAnsiTheme="minorEastAsia" w:eastAsiaTheme="minorEastAsia"/>
          <w:kern w:val="0"/>
          <w:sz w:val="24"/>
        </w:rPr>
      </w:pPr>
      <w:r>
        <w:rPr>
          <w:rFonts w:asciiTheme="minorEastAsia" w:hAnsiTheme="minorEastAsia" w:eastAsiaTheme="minorEastAsia"/>
          <w:kern w:val="0"/>
          <w:sz w:val="24"/>
        </w:rPr>
        <w:t>邮政编码：</w:t>
      </w:r>
      <w:r>
        <w:rPr>
          <w:rFonts w:hint="eastAsia" w:asciiTheme="minorEastAsia" w:hAnsiTheme="minorEastAsia" w:eastAsiaTheme="minorEastAsia"/>
          <w:kern w:val="0"/>
          <w:sz w:val="24"/>
          <w:u w:val="single"/>
        </w:rPr>
        <w:t xml:space="preserve">　　　        </w:t>
      </w:r>
      <w:r>
        <w:rPr>
          <w:rFonts w:hint="eastAsia" w:asciiTheme="minorEastAsia" w:hAnsiTheme="minorEastAsia" w:eastAsiaTheme="minorEastAsia"/>
          <w:kern w:val="0"/>
          <w:sz w:val="24"/>
        </w:rPr>
        <w:t xml:space="preserve">   </w:t>
      </w:r>
      <w:r>
        <w:rPr>
          <w:rFonts w:asciiTheme="minorEastAsia" w:hAnsiTheme="minorEastAsia" w:eastAsiaTheme="minorEastAsia"/>
          <w:kern w:val="0"/>
          <w:sz w:val="24"/>
        </w:rPr>
        <w:t xml:space="preserve">      </w:t>
      </w:r>
      <w:r>
        <w:rPr>
          <w:rFonts w:hint="eastAsia" w:asciiTheme="minorEastAsia" w:hAnsiTheme="minorEastAsia" w:eastAsiaTheme="minorEastAsia"/>
          <w:kern w:val="0"/>
          <w:sz w:val="24"/>
        </w:rPr>
        <w:t>　　　</w:t>
      </w:r>
      <w:r>
        <w:rPr>
          <w:rFonts w:asciiTheme="minorEastAsia" w:hAnsiTheme="minorEastAsia" w:eastAsiaTheme="minorEastAsia"/>
          <w:kern w:val="0"/>
          <w:sz w:val="24"/>
        </w:rPr>
        <w:t>邮政编码：</w:t>
      </w:r>
      <w:r>
        <w:rPr>
          <w:rFonts w:hint="eastAsia" w:asciiTheme="minorEastAsia" w:hAnsiTheme="minorEastAsia" w:eastAsiaTheme="minorEastAsia"/>
          <w:kern w:val="0"/>
          <w:sz w:val="24"/>
          <w:u w:val="single"/>
        </w:rPr>
        <w:t xml:space="preserve">               </w:t>
      </w:r>
      <w:r>
        <w:rPr>
          <w:rFonts w:hint="eastAsia" w:asciiTheme="minorEastAsia" w:hAnsiTheme="minorEastAsia" w:eastAsiaTheme="minorEastAsia"/>
          <w:kern w:val="0"/>
          <w:sz w:val="24"/>
        </w:rPr>
        <w:t xml:space="preserve"> </w:t>
      </w:r>
    </w:p>
    <w:p>
      <w:pPr>
        <w:widowControl/>
        <w:spacing w:line="360" w:lineRule="auto"/>
        <w:ind w:firstLine="480" w:firstLineChars="200"/>
        <w:jc w:val="left"/>
        <w:rPr>
          <w:rFonts w:asciiTheme="minorEastAsia" w:hAnsiTheme="minorEastAsia" w:eastAsiaTheme="minorEastAsia"/>
          <w:kern w:val="0"/>
          <w:sz w:val="24"/>
        </w:rPr>
      </w:pPr>
      <w:r>
        <w:rPr>
          <w:rFonts w:asciiTheme="minorEastAsia" w:hAnsiTheme="minorEastAsia" w:eastAsiaTheme="minorEastAsia"/>
          <w:kern w:val="0"/>
          <w:sz w:val="24"/>
        </w:rPr>
        <w:t>法定代表人：</w:t>
      </w:r>
      <w:r>
        <w:rPr>
          <w:rFonts w:hint="eastAsia" w:asciiTheme="minorEastAsia" w:hAnsiTheme="minorEastAsia" w:eastAsiaTheme="minorEastAsia"/>
          <w:kern w:val="0"/>
          <w:sz w:val="24"/>
          <w:u w:val="single"/>
        </w:rPr>
        <w:t xml:space="preserve">            </w:t>
      </w:r>
      <w:r>
        <w:rPr>
          <w:rFonts w:asciiTheme="minorEastAsia" w:hAnsiTheme="minorEastAsia" w:eastAsiaTheme="minorEastAsia"/>
          <w:kern w:val="0"/>
          <w:sz w:val="24"/>
        </w:rPr>
        <w:t xml:space="preserve">         </w:t>
      </w:r>
      <w:r>
        <w:rPr>
          <w:rFonts w:hint="eastAsia" w:asciiTheme="minorEastAsia" w:hAnsiTheme="minorEastAsia" w:eastAsiaTheme="minorEastAsia"/>
          <w:kern w:val="0"/>
          <w:sz w:val="24"/>
        </w:rPr>
        <w:t>　　　</w:t>
      </w:r>
      <w:r>
        <w:rPr>
          <w:rFonts w:asciiTheme="minorEastAsia" w:hAnsiTheme="minorEastAsia" w:eastAsiaTheme="minorEastAsia"/>
          <w:kern w:val="0"/>
          <w:sz w:val="24"/>
        </w:rPr>
        <w:t>法定代表人：</w:t>
      </w:r>
      <w:r>
        <w:rPr>
          <w:rFonts w:hint="eastAsia" w:asciiTheme="minorEastAsia" w:hAnsiTheme="minorEastAsia" w:eastAsiaTheme="minorEastAsia"/>
          <w:kern w:val="0"/>
          <w:sz w:val="24"/>
          <w:u w:val="single"/>
        </w:rPr>
        <w:t xml:space="preserve">             </w:t>
      </w:r>
    </w:p>
    <w:p>
      <w:pPr>
        <w:widowControl/>
        <w:spacing w:line="360" w:lineRule="auto"/>
        <w:ind w:firstLine="480" w:firstLineChars="200"/>
        <w:jc w:val="left"/>
        <w:rPr>
          <w:rFonts w:asciiTheme="minorEastAsia" w:hAnsiTheme="minorEastAsia" w:eastAsiaTheme="minorEastAsia"/>
          <w:kern w:val="0"/>
          <w:sz w:val="24"/>
        </w:rPr>
      </w:pPr>
      <w:r>
        <w:rPr>
          <w:rFonts w:asciiTheme="minorEastAsia" w:hAnsiTheme="minorEastAsia" w:eastAsiaTheme="minorEastAsia"/>
          <w:kern w:val="0"/>
          <w:sz w:val="24"/>
        </w:rPr>
        <w:t>委托代理人：</w:t>
      </w:r>
      <w:r>
        <w:rPr>
          <w:rFonts w:hint="eastAsia" w:asciiTheme="minorEastAsia" w:hAnsiTheme="minorEastAsia" w:eastAsiaTheme="minorEastAsia"/>
          <w:kern w:val="0"/>
          <w:sz w:val="24"/>
          <w:u w:val="single"/>
        </w:rPr>
        <w:t xml:space="preserve">            </w:t>
      </w:r>
      <w:r>
        <w:rPr>
          <w:rFonts w:asciiTheme="minorEastAsia" w:hAnsiTheme="minorEastAsia" w:eastAsiaTheme="minorEastAsia"/>
          <w:kern w:val="0"/>
          <w:sz w:val="24"/>
        </w:rPr>
        <w:t xml:space="preserve">       </w:t>
      </w:r>
      <w:r>
        <w:rPr>
          <w:rFonts w:hint="eastAsia" w:asciiTheme="minorEastAsia" w:hAnsiTheme="minorEastAsia" w:eastAsiaTheme="minorEastAsia"/>
          <w:kern w:val="0"/>
          <w:sz w:val="24"/>
        </w:rPr>
        <w:t>　　　　</w:t>
      </w:r>
      <w:r>
        <w:rPr>
          <w:rFonts w:asciiTheme="minorEastAsia" w:hAnsiTheme="minorEastAsia" w:eastAsiaTheme="minorEastAsia"/>
          <w:kern w:val="0"/>
          <w:sz w:val="24"/>
        </w:rPr>
        <w:t>委托代理人：</w:t>
      </w:r>
      <w:r>
        <w:rPr>
          <w:rFonts w:hint="eastAsia" w:asciiTheme="minorEastAsia" w:hAnsiTheme="minorEastAsia" w:eastAsiaTheme="minorEastAsia"/>
          <w:kern w:val="0"/>
          <w:sz w:val="24"/>
          <w:u w:val="single"/>
        </w:rPr>
        <w:t xml:space="preserve">             </w:t>
      </w:r>
    </w:p>
    <w:p>
      <w:pPr>
        <w:widowControl/>
        <w:spacing w:line="360" w:lineRule="auto"/>
        <w:ind w:firstLine="480" w:firstLineChars="200"/>
        <w:jc w:val="left"/>
        <w:rPr>
          <w:rFonts w:asciiTheme="minorEastAsia" w:hAnsiTheme="minorEastAsia" w:eastAsiaTheme="minorEastAsia"/>
          <w:kern w:val="0"/>
          <w:sz w:val="24"/>
        </w:rPr>
      </w:pPr>
      <w:r>
        <w:rPr>
          <w:rFonts w:asciiTheme="minorEastAsia" w:hAnsiTheme="minorEastAsia" w:eastAsiaTheme="minorEastAsia"/>
          <w:kern w:val="0"/>
          <w:sz w:val="24"/>
        </w:rPr>
        <w:t>电话：</w:t>
      </w:r>
      <w:r>
        <w:rPr>
          <w:rFonts w:hint="eastAsia" w:asciiTheme="minorEastAsia" w:hAnsiTheme="minorEastAsia" w:eastAsiaTheme="minorEastAsia"/>
          <w:kern w:val="0"/>
          <w:sz w:val="24"/>
        </w:rPr>
        <w:t xml:space="preserve"> </w:t>
      </w:r>
      <w:r>
        <w:rPr>
          <w:rFonts w:hint="eastAsia" w:asciiTheme="minorEastAsia" w:hAnsiTheme="minorEastAsia" w:eastAsiaTheme="minorEastAsia"/>
          <w:kern w:val="0"/>
          <w:sz w:val="24"/>
          <w:u w:val="single"/>
        </w:rPr>
        <w:t xml:space="preserve">　　　　     　  </w:t>
      </w:r>
      <w:r>
        <w:rPr>
          <w:rFonts w:hint="eastAsia" w:asciiTheme="minorEastAsia" w:hAnsiTheme="minorEastAsia" w:eastAsiaTheme="minorEastAsia"/>
          <w:kern w:val="0"/>
          <w:sz w:val="24"/>
        </w:rPr>
        <w:t xml:space="preserve">   </w:t>
      </w:r>
      <w:r>
        <w:rPr>
          <w:rFonts w:asciiTheme="minorEastAsia" w:hAnsiTheme="minorEastAsia" w:eastAsiaTheme="minorEastAsia"/>
          <w:kern w:val="0"/>
          <w:sz w:val="24"/>
        </w:rPr>
        <w:t xml:space="preserve">      </w:t>
      </w:r>
      <w:r>
        <w:rPr>
          <w:rFonts w:hint="eastAsia" w:asciiTheme="minorEastAsia" w:hAnsiTheme="minorEastAsia" w:eastAsiaTheme="minorEastAsia"/>
          <w:kern w:val="0"/>
          <w:sz w:val="24"/>
        </w:rPr>
        <w:t>　　　</w:t>
      </w:r>
      <w:r>
        <w:rPr>
          <w:rFonts w:asciiTheme="minorEastAsia" w:hAnsiTheme="minorEastAsia" w:eastAsiaTheme="minorEastAsia"/>
          <w:kern w:val="0"/>
          <w:sz w:val="24"/>
        </w:rPr>
        <w:t>电话：</w:t>
      </w:r>
      <w:r>
        <w:rPr>
          <w:rFonts w:hint="eastAsia" w:asciiTheme="minorEastAsia" w:hAnsiTheme="minorEastAsia" w:eastAsiaTheme="minorEastAsia"/>
          <w:kern w:val="0"/>
          <w:sz w:val="24"/>
          <w:u w:val="single"/>
        </w:rPr>
        <w:t xml:space="preserve">                   </w:t>
      </w:r>
    </w:p>
    <w:p>
      <w:pPr>
        <w:widowControl/>
        <w:spacing w:line="360" w:lineRule="auto"/>
        <w:ind w:firstLine="480" w:firstLineChars="200"/>
        <w:jc w:val="left"/>
        <w:rPr>
          <w:rFonts w:asciiTheme="minorEastAsia" w:hAnsiTheme="minorEastAsia" w:eastAsiaTheme="minorEastAsia"/>
          <w:kern w:val="0"/>
          <w:sz w:val="24"/>
        </w:rPr>
      </w:pPr>
      <w:r>
        <w:rPr>
          <w:rFonts w:asciiTheme="minorEastAsia" w:hAnsiTheme="minorEastAsia" w:eastAsiaTheme="minorEastAsia"/>
          <w:kern w:val="0"/>
          <w:sz w:val="24"/>
        </w:rPr>
        <w:t>传真：</w:t>
      </w:r>
      <w:r>
        <w:rPr>
          <w:rFonts w:hint="eastAsia" w:asciiTheme="minorEastAsia" w:hAnsiTheme="minorEastAsia" w:eastAsiaTheme="minorEastAsia"/>
          <w:kern w:val="0"/>
          <w:sz w:val="24"/>
          <w:u w:val="single"/>
        </w:rPr>
        <w:t xml:space="preserve">            　　　</w:t>
      </w:r>
      <w:r>
        <w:rPr>
          <w:rFonts w:asciiTheme="minorEastAsia" w:hAnsiTheme="minorEastAsia" w:eastAsiaTheme="minorEastAsia"/>
          <w:kern w:val="0"/>
          <w:sz w:val="24"/>
        </w:rPr>
        <w:t xml:space="preserve">         </w:t>
      </w:r>
      <w:r>
        <w:rPr>
          <w:rFonts w:hint="eastAsia" w:asciiTheme="minorEastAsia" w:hAnsiTheme="minorEastAsia" w:eastAsiaTheme="minorEastAsia"/>
          <w:kern w:val="0"/>
          <w:sz w:val="24"/>
        </w:rPr>
        <w:t>　　　</w:t>
      </w:r>
      <w:r>
        <w:rPr>
          <w:rFonts w:asciiTheme="minorEastAsia" w:hAnsiTheme="minorEastAsia" w:eastAsiaTheme="minorEastAsia"/>
          <w:kern w:val="0"/>
          <w:sz w:val="24"/>
        </w:rPr>
        <w:t>传真：</w:t>
      </w:r>
      <w:r>
        <w:rPr>
          <w:rFonts w:hint="eastAsia" w:asciiTheme="minorEastAsia" w:hAnsiTheme="minorEastAsia" w:eastAsiaTheme="minorEastAsia"/>
          <w:kern w:val="0"/>
          <w:sz w:val="24"/>
          <w:u w:val="single"/>
        </w:rPr>
        <w:t xml:space="preserve">                   </w:t>
      </w:r>
    </w:p>
    <w:p>
      <w:pPr>
        <w:widowControl/>
        <w:spacing w:line="360" w:lineRule="auto"/>
        <w:ind w:left="5519" w:leftChars="228" w:hanging="5040" w:hangingChars="2100"/>
        <w:jc w:val="left"/>
        <w:rPr>
          <w:rFonts w:asciiTheme="minorEastAsia" w:hAnsiTheme="minorEastAsia" w:eastAsiaTheme="minorEastAsia"/>
          <w:kern w:val="0"/>
          <w:sz w:val="24"/>
        </w:rPr>
      </w:pPr>
      <w:r>
        <w:rPr>
          <w:rFonts w:asciiTheme="minorEastAsia" w:hAnsiTheme="minorEastAsia" w:eastAsiaTheme="minorEastAsia"/>
          <w:kern w:val="0"/>
          <w:sz w:val="24"/>
        </w:rPr>
        <w:t xml:space="preserve">开户银行：______________         </w:t>
      </w:r>
      <w:r>
        <w:rPr>
          <w:rFonts w:hint="eastAsia" w:asciiTheme="minorEastAsia" w:hAnsiTheme="minorEastAsia" w:eastAsiaTheme="minorEastAsia"/>
          <w:kern w:val="0"/>
          <w:sz w:val="24"/>
        </w:rPr>
        <w:t>　　　</w:t>
      </w:r>
      <w:r>
        <w:rPr>
          <w:rFonts w:asciiTheme="minorEastAsia" w:hAnsiTheme="minorEastAsia" w:eastAsiaTheme="minorEastAsia"/>
          <w:kern w:val="0"/>
          <w:sz w:val="24"/>
        </w:rPr>
        <w:t>开户银行：</w:t>
      </w:r>
      <w:r>
        <w:rPr>
          <w:rFonts w:hint="eastAsia" w:asciiTheme="minorEastAsia" w:hAnsiTheme="minorEastAsia" w:eastAsiaTheme="minorEastAsia"/>
          <w:kern w:val="0"/>
          <w:sz w:val="24"/>
          <w:u w:val="single"/>
        </w:rPr>
        <w:t xml:space="preserve">               </w:t>
      </w:r>
    </w:p>
    <w:p>
      <w:pPr>
        <w:widowControl/>
        <w:spacing w:line="360" w:lineRule="auto"/>
        <w:ind w:firstLine="480" w:firstLineChars="200"/>
        <w:jc w:val="left"/>
        <w:rPr>
          <w:rFonts w:asciiTheme="minorEastAsia" w:hAnsiTheme="minorEastAsia" w:eastAsiaTheme="minorEastAsia"/>
          <w:kern w:val="0"/>
          <w:sz w:val="24"/>
        </w:rPr>
      </w:pPr>
      <w:r>
        <w:rPr>
          <w:rFonts w:asciiTheme="minorEastAsia" w:hAnsiTheme="minorEastAsia" w:eastAsiaTheme="minorEastAsia"/>
          <w:kern w:val="0"/>
          <w:sz w:val="24"/>
        </w:rPr>
        <w:t>帐号：</w:t>
      </w:r>
      <w:r>
        <w:rPr>
          <w:rFonts w:hint="eastAsia" w:asciiTheme="minorEastAsia" w:hAnsiTheme="minorEastAsia" w:eastAsiaTheme="minorEastAsia"/>
          <w:kern w:val="0"/>
          <w:sz w:val="24"/>
          <w:u w:val="single"/>
        </w:rPr>
        <w:t xml:space="preserve">            　　　</w:t>
      </w:r>
      <w:r>
        <w:rPr>
          <w:rFonts w:asciiTheme="minorEastAsia" w:hAnsiTheme="minorEastAsia" w:eastAsiaTheme="minorEastAsia"/>
          <w:kern w:val="0"/>
          <w:sz w:val="24"/>
        </w:rPr>
        <w:t xml:space="preserve">         </w:t>
      </w:r>
      <w:r>
        <w:rPr>
          <w:rFonts w:hint="eastAsia" w:asciiTheme="minorEastAsia" w:hAnsiTheme="minorEastAsia" w:eastAsiaTheme="minorEastAsia"/>
          <w:kern w:val="0"/>
          <w:sz w:val="24"/>
        </w:rPr>
        <w:t>　　　</w:t>
      </w:r>
      <w:r>
        <w:rPr>
          <w:rFonts w:asciiTheme="minorEastAsia" w:hAnsiTheme="minorEastAsia" w:eastAsiaTheme="minorEastAsia"/>
          <w:kern w:val="0"/>
          <w:sz w:val="24"/>
        </w:rPr>
        <w:t>帐号：</w:t>
      </w:r>
      <w:r>
        <w:rPr>
          <w:rFonts w:hint="eastAsia" w:asciiTheme="minorEastAsia" w:hAnsiTheme="minorEastAsia" w:eastAsiaTheme="minorEastAsia"/>
          <w:kern w:val="0"/>
          <w:sz w:val="24"/>
          <w:u w:val="single"/>
        </w:rPr>
        <w:t xml:space="preserve">                   </w:t>
      </w:r>
    </w:p>
    <w:p>
      <w:pPr>
        <w:widowControl/>
        <w:spacing w:line="360" w:lineRule="auto"/>
        <w:ind w:firstLine="482" w:firstLineChars="200"/>
        <w:jc w:val="center"/>
        <w:rPr>
          <w:b/>
          <w:bCs/>
          <w:kern w:val="0"/>
          <w:sz w:val="24"/>
        </w:rPr>
      </w:pPr>
    </w:p>
    <w:p>
      <w:pPr>
        <w:spacing w:line="400" w:lineRule="exact"/>
        <w:rPr>
          <w:bCs/>
          <w:kern w:val="0"/>
          <w:sz w:val="24"/>
        </w:rPr>
        <w:sectPr>
          <w:pgSz w:w="11906" w:h="16838"/>
          <w:pgMar w:top="1440" w:right="1457" w:bottom="1440" w:left="1463" w:header="851" w:footer="992" w:gutter="0"/>
          <w:cols w:space="0" w:num="1"/>
          <w:docGrid w:type="lines" w:linePitch="312" w:charSpace="0"/>
        </w:sectPr>
      </w:pPr>
    </w:p>
    <w:p>
      <w:pPr>
        <w:pStyle w:val="4"/>
        <w:spacing w:line="400" w:lineRule="exact"/>
        <w:jc w:val="center"/>
        <w:rPr>
          <w:rFonts w:ascii="Times New Roman" w:hAnsi="Times New Roman" w:eastAsia="宋体"/>
          <w:sz w:val="24"/>
          <w:szCs w:val="24"/>
        </w:rPr>
      </w:pPr>
      <w:bookmarkStart w:id="16" w:name="_Toc231459933"/>
      <w:r>
        <w:rPr>
          <w:rFonts w:ascii="Times New Roman" w:hAnsi="Times New Roman" w:eastAsia="宋体"/>
        </w:rPr>
        <w:t>第二部分  通用条款</w:t>
      </w:r>
      <w:bookmarkEnd w:id="16"/>
    </w:p>
    <w:p>
      <w:pPr>
        <w:widowControl/>
        <w:spacing w:line="360" w:lineRule="auto"/>
        <w:ind w:firstLine="482" w:firstLineChars="200"/>
        <w:jc w:val="left"/>
        <w:rPr>
          <w:rFonts w:asciiTheme="minorEastAsia" w:hAnsiTheme="minorEastAsia" w:eastAsiaTheme="minorEastAsia" w:cstheme="minorEastAsia"/>
          <w:b/>
          <w:kern w:val="0"/>
          <w:sz w:val="24"/>
        </w:rPr>
      </w:pPr>
      <w:bookmarkStart w:id="17" w:name="_Toc15144"/>
      <w:r>
        <w:rPr>
          <w:rFonts w:hint="eastAsia" w:asciiTheme="minorEastAsia" w:hAnsiTheme="minorEastAsia" w:eastAsiaTheme="minorEastAsia" w:cstheme="minorEastAsia"/>
          <w:b/>
          <w:kern w:val="0"/>
          <w:sz w:val="24"/>
        </w:rPr>
        <w:t>一、词语定义及合同文件</w:t>
      </w:r>
      <w:bookmarkEnd w:id="17"/>
    </w:p>
    <w:p>
      <w:pPr>
        <w:widowControl/>
        <w:spacing w:line="360" w:lineRule="auto"/>
        <w:ind w:firstLine="480" w:firstLineChars="200"/>
        <w:jc w:val="left"/>
        <w:rPr>
          <w:rFonts w:asciiTheme="minorEastAsia" w:hAnsiTheme="minorEastAsia" w:eastAsiaTheme="minorEastAsia" w:cstheme="minorEastAsia"/>
          <w:kern w:val="0"/>
          <w:sz w:val="24"/>
        </w:rPr>
      </w:pPr>
      <w:bookmarkStart w:id="18" w:name="_Toc11858"/>
      <w:r>
        <w:rPr>
          <w:rFonts w:hint="eastAsia" w:asciiTheme="minorEastAsia" w:hAnsiTheme="minorEastAsia" w:eastAsiaTheme="minorEastAsia" w:cstheme="minorEastAsia"/>
          <w:kern w:val="0"/>
          <w:sz w:val="24"/>
        </w:rPr>
        <w:t>1、词语定义</w:t>
      </w:r>
      <w:bookmarkEnd w:id="18"/>
    </w:p>
    <w:p>
      <w:pPr>
        <w:widowControl/>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下列词语除专用条款另有约定外，应具有本条所赋予的定义：</w:t>
      </w:r>
    </w:p>
    <w:p>
      <w:pPr>
        <w:widowControl/>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1.1通用条款：是根据法律、行政法规规定及建设工程施工的需要订立，通用于建设工程施工的条款。</w:t>
      </w:r>
    </w:p>
    <w:p>
      <w:pPr>
        <w:widowControl/>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1.2专用条款：是发包人与承包人根据法律、行政法规规定，结合具体工程实际，经协商达成一致意见的条款，是对通用条款的具体化、补充或修改。</w:t>
      </w:r>
    </w:p>
    <w:p>
      <w:pPr>
        <w:widowControl/>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1.3发包人：指在协议书中约定，具有工程发包主体资格和支付工程价款能力的当事人以及取得该当事人资格的合法继承人。</w:t>
      </w:r>
    </w:p>
    <w:p>
      <w:pPr>
        <w:widowControl/>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1.4承包人：指在协议书中约定，被发包人接受的具有工程施工承包主体资格的当事人以及取得该当事人资格的合法继承人。</w:t>
      </w:r>
    </w:p>
    <w:p>
      <w:pPr>
        <w:widowControl/>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1.5项目经理：指承包人在专用条款中指定的具有执业资格的负责施工管理和合同履行的代表。</w:t>
      </w:r>
    </w:p>
    <w:p>
      <w:pPr>
        <w:widowControl/>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1.6设计单位：指发包人委托的负责本工程设计并取得相应工程设计资质等级证书的单位。</w:t>
      </w:r>
    </w:p>
    <w:p>
      <w:pPr>
        <w:widowControl/>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1.7监理单位：指发包人委托的负责本工程监理并取得相应工程监理资质等级证书的单位。</w:t>
      </w:r>
    </w:p>
    <w:p>
      <w:pPr>
        <w:widowControl/>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1.8工程师：指本工程监理单位委派的总监理工程师或发包人指定的履行本合同的代表，其具体身份和职权由发包人承包人在专用条款中约定。</w:t>
      </w:r>
    </w:p>
    <w:p>
      <w:pPr>
        <w:widowControl/>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1.9工程造价管理部门：指国务院有关部门、县级以上人民政府建设行政主管部门或其委托的工程造价管理机构。</w:t>
      </w:r>
    </w:p>
    <w:p>
      <w:pPr>
        <w:widowControl/>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1.10工程：指发包人承包人在协议书中约定的承包范围内的工程。</w:t>
      </w:r>
    </w:p>
    <w:p>
      <w:pPr>
        <w:widowControl/>
        <w:spacing w:line="360" w:lineRule="auto"/>
        <w:ind w:firstLine="480" w:firstLineChars="200"/>
        <w:jc w:val="left"/>
        <w:rPr>
          <w:rFonts w:asciiTheme="minorEastAsia" w:hAnsiTheme="minorEastAsia" w:eastAsiaTheme="minorEastAsia" w:cstheme="minorEastAsia"/>
          <w:bCs/>
          <w:kern w:val="0"/>
          <w:sz w:val="24"/>
        </w:rPr>
      </w:pPr>
      <w:r>
        <w:rPr>
          <w:rFonts w:hint="eastAsia" w:asciiTheme="minorEastAsia" w:hAnsiTheme="minorEastAsia" w:eastAsiaTheme="minorEastAsia" w:cstheme="minorEastAsia"/>
          <w:bCs/>
          <w:kern w:val="0"/>
          <w:sz w:val="24"/>
        </w:rPr>
        <w:t>1.11工程量清单：表现拟建工程的分部分项工程项目、措施项目、其他项目名称和相应数量的明细清单。</w:t>
      </w:r>
    </w:p>
    <w:p>
      <w:pPr>
        <w:widowControl/>
        <w:spacing w:line="360" w:lineRule="auto"/>
        <w:ind w:firstLine="480" w:firstLineChars="200"/>
        <w:jc w:val="left"/>
        <w:rPr>
          <w:rFonts w:asciiTheme="minorEastAsia" w:hAnsiTheme="minorEastAsia" w:eastAsiaTheme="minorEastAsia" w:cstheme="minorEastAsia"/>
          <w:bCs/>
          <w:kern w:val="0"/>
          <w:sz w:val="24"/>
        </w:rPr>
      </w:pPr>
      <w:r>
        <w:rPr>
          <w:rFonts w:hint="eastAsia" w:asciiTheme="minorEastAsia" w:hAnsiTheme="minorEastAsia" w:eastAsiaTheme="minorEastAsia" w:cstheme="minorEastAsia"/>
          <w:bCs/>
          <w:kern w:val="0"/>
          <w:sz w:val="24"/>
        </w:rPr>
        <w:t>1.12综合单价：完成工程量清单中一个规定计量单位项目所需的人工费、材料费、机械使用费、管理费和利润，并考虑风险因素。</w:t>
      </w:r>
    </w:p>
    <w:p>
      <w:pPr>
        <w:widowControl/>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1.13合同价款：指发包人承包人在协议书中约定，发包人用以支付承包人按照合同约定完成承包范围内全部工程并承担质量保修责任的款项。</w:t>
      </w:r>
    </w:p>
    <w:p>
      <w:pPr>
        <w:widowControl/>
        <w:spacing w:line="360" w:lineRule="auto"/>
        <w:ind w:firstLine="480" w:firstLineChars="200"/>
        <w:jc w:val="left"/>
        <w:rPr>
          <w:rFonts w:asciiTheme="minorEastAsia" w:hAnsiTheme="minorEastAsia" w:eastAsiaTheme="minorEastAsia" w:cstheme="minorEastAsia"/>
          <w:bCs/>
          <w:kern w:val="0"/>
          <w:sz w:val="24"/>
        </w:rPr>
      </w:pPr>
      <w:r>
        <w:rPr>
          <w:rFonts w:hint="eastAsia" w:asciiTheme="minorEastAsia" w:hAnsiTheme="minorEastAsia" w:eastAsiaTheme="minorEastAsia" w:cstheme="minorEastAsia"/>
          <w:bCs/>
          <w:kern w:val="0"/>
          <w:sz w:val="24"/>
        </w:rPr>
        <w:t>1.14预留金：指发包人为可能发生的工程量变更而预留的款额。</w:t>
      </w:r>
    </w:p>
    <w:p>
      <w:pPr>
        <w:widowControl/>
        <w:spacing w:line="360" w:lineRule="auto"/>
        <w:ind w:firstLine="480" w:firstLineChars="200"/>
        <w:jc w:val="left"/>
        <w:rPr>
          <w:rFonts w:asciiTheme="minorEastAsia" w:hAnsiTheme="minorEastAsia" w:eastAsiaTheme="minorEastAsia" w:cstheme="minorEastAsia"/>
          <w:bCs/>
          <w:kern w:val="0"/>
          <w:sz w:val="24"/>
        </w:rPr>
      </w:pPr>
      <w:r>
        <w:rPr>
          <w:rFonts w:hint="eastAsia" w:asciiTheme="minorEastAsia" w:hAnsiTheme="minorEastAsia" w:eastAsiaTheme="minorEastAsia" w:cstheme="minorEastAsia"/>
          <w:bCs/>
          <w:kern w:val="0"/>
          <w:sz w:val="24"/>
        </w:rPr>
        <w:t>1.15工程分包和材料购置费：指发包人将按有关规定准予分包的工作、指定分包人或指定材料供应商供应材料而预留的款额。</w:t>
      </w:r>
    </w:p>
    <w:p>
      <w:pPr>
        <w:widowControl/>
        <w:spacing w:line="360" w:lineRule="auto"/>
        <w:ind w:firstLine="480" w:firstLineChars="200"/>
        <w:jc w:val="left"/>
        <w:rPr>
          <w:rFonts w:asciiTheme="minorEastAsia" w:hAnsiTheme="minorEastAsia" w:eastAsiaTheme="minorEastAsia" w:cstheme="minorEastAsia"/>
          <w:bCs/>
          <w:kern w:val="0"/>
          <w:sz w:val="24"/>
        </w:rPr>
      </w:pPr>
      <w:r>
        <w:rPr>
          <w:rFonts w:hint="eastAsia" w:asciiTheme="minorEastAsia" w:hAnsiTheme="minorEastAsia" w:eastAsiaTheme="minorEastAsia" w:cstheme="minorEastAsia"/>
          <w:bCs/>
          <w:kern w:val="0"/>
          <w:sz w:val="24"/>
        </w:rPr>
        <w:t>1.16总承包服务费：为配合协调发包人进行的工程分包和材料采购所需的费用。</w:t>
      </w:r>
    </w:p>
    <w:p>
      <w:pPr>
        <w:widowControl/>
        <w:spacing w:line="360" w:lineRule="auto"/>
        <w:ind w:firstLine="480" w:firstLineChars="200"/>
        <w:jc w:val="left"/>
        <w:rPr>
          <w:rFonts w:asciiTheme="minorEastAsia" w:hAnsiTheme="minorEastAsia" w:eastAsiaTheme="minorEastAsia" w:cstheme="minorEastAsia"/>
          <w:bCs/>
          <w:kern w:val="0"/>
          <w:sz w:val="24"/>
        </w:rPr>
      </w:pPr>
      <w:r>
        <w:rPr>
          <w:rFonts w:hint="eastAsia" w:asciiTheme="minorEastAsia" w:hAnsiTheme="minorEastAsia" w:eastAsiaTheme="minorEastAsia" w:cstheme="minorEastAsia"/>
          <w:bCs/>
          <w:kern w:val="0"/>
          <w:sz w:val="24"/>
        </w:rPr>
        <w:t>1.17零星工作项目费：完成发包人提出的工程量暂估的零星工作所需的费用。</w:t>
      </w:r>
    </w:p>
    <w:p>
      <w:pPr>
        <w:widowControl/>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1.18追加合同价款：指在合同履行中发生需要增加合同价款的情况，经发包人确认后按计算合同价款的方法增加的合同价款。</w:t>
      </w:r>
    </w:p>
    <w:p>
      <w:pPr>
        <w:widowControl/>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1.19费用：指不包含在合同价款之内的应当由发包人或承包人承担的经济支出。</w:t>
      </w:r>
    </w:p>
    <w:p>
      <w:pPr>
        <w:widowControl/>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1.20工期：指发包人承包人在协议书中约定，按总日历天数（包括法定节假日）计算的承包天数。</w:t>
      </w:r>
    </w:p>
    <w:p>
      <w:pPr>
        <w:widowControl/>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1.21开工日期：指发包人承包人在协议书中约定，承包人开始施工的绝对或相对的日期。</w:t>
      </w:r>
    </w:p>
    <w:p>
      <w:pPr>
        <w:widowControl/>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1.22竣工日期：指发包人承包人在协议书中约定，承包人完成承包范围内工程的绝对或相对的日期。</w:t>
      </w:r>
    </w:p>
    <w:p>
      <w:pPr>
        <w:widowControl/>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1.23图纸：指由发包人提供或由承包人提供并经发包人批准，满足承包人施工需要的所有图纸（包括配套说明和有关资料）。</w:t>
      </w:r>
    </w:p>
    <w:p>
      <w:pPr>
        <w:widowControl/>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1.24施工场地：指由发包人提供的用于工程施工的场所以及发包人在图纸中具体指定的供施工使用的任何其他场所。</w:t>
      </w:r>
    </w:p>
    <w:p>
      <w:pPr>
        <w:widowControl/>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1.25书面形式：指合同书、信件和数据电文（包括电报、电传、传真、电子数据交换和电子邮件）等可以有形地表现所载内容的形式。</w:t>
      </w:r>
    </w:p>
    <w:p>
      <w:pPr>
        <w:widowControl/>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1.26违约责任：指合同一方不履行合同义务或履行合同义务不符合约定所应承担的责任。</w:t>
      </w:r>
    </w:p>
    <w:p>
      <w:pPr>
        <w:widowControl/>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1.27索赔：指在合同履行过程中，对于并非自己的过错，而是应由对方承担责任的情况造成的实际损失，向对方提出经济补偿和（或）工期顺延的要求。</w:t>
      </w:r>
    </w:p>
    <w:p>
      <w:pPr>
        <w:widowControl/>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1.28不可抗力：指不能预见、不能避免并不能克服的客观情况。</w:t>
      </w:r>
    </w:p>
    <w:p>
      <w:pPr>
        <w:widowControl/>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1.29小时或天：本合同中规定按小时计算时间的，从事件有效开始时计算（不扣除休息时间）；规定按天计算时间的，开始当天不计入，从次日开始计算。时限的最后一天是休息日或者其他法定节假日的，以节假日次日为时限的最后一天，但竣工日期除外。时限的最后一天的截止时间为当日24时。</w:t>
      </w:r>
    </w:p>
    <w:p>
      <w:pPr>
        <w:widowControl/>
        <w:spacing w:line="360" w:lineRule="auto"/>
        <w:ind w:firstLine="480" w:firstLineChars="200"/>
        <w:jc w:val="left"/>
        <w:rPr>
          <w:rFonts w:ascii="宋体" w:hAnsi="宋体" w:cs="宋体"/>
          <w:bCs/>
          <w:kern w:val="0"/>
          <w:sz w:val="24"/>
        </w:rPr>
      </w:pPr>
      <w:r>
        <w:rPr>
          <w:rFonts w:hint="eastAsia" w:ascii="宋体" w:hAnsi="宋体" w:cs="宋体"/>
          <w:bCs/>
          <w:kern w:val="0"/>
          <w:sz w:val="24"/>
        </w:rPr>
        <w:t>２、合同文件及解释顺序</w:t>
      </w:r>
    </w:p>
    <w:p>
      <w:pPr>
        <w:widowControl/>
        <w:spacing w:line="360" w:lineRule="auto"/>
        <w:ind w:firstLine="480" w:firstLineChars="200"/>
        <w:jc w:val="left"/>
        <w:rPr>
          <w:rFonts w:ascii="宋体" w:hAnsi="宋体" w:cs="宋体"/>
          <w:bCs/>
          <w:kern w:val="0"/>
          <w:sz w:val="24"/>
        </w:rPr>
      </w:pPr>
      <w:r>
        <w:rPr>
          <w:rFonts w:hint="eastAsia" w:ascii="宋体" w:hAnsi="宋体" w:cs="宋体"/>
          <w:bCs/>
          <w:kern w:val="0"/>
          <w:sz w:val="24"/>
        </w:rPr>
        <w:t>2.1合同文件应能相互解释，互为说明。除专用条款另有约定外，组成本合同的文件及优先解释顺序如下：</w:t>
      </w:r>
    </w:p>
    <w:p>
      <w:pPr>
        <w:widowControl/>
        <w:spacing w:line="360" w:lineRule="auto"/>
        <w:ind w:firstLine="480" w:firstLineChars="200"/>
        <w:jc w:val="left"/>
        <w:rPr>
          <w:rFonts w:ascii="宋体" w:hAnsi="宋体" w:cs="宋体"/>
          <w:bCs/>
          <w:kern w:val="0"/>
          <w:sz w:val="24"/>
        </w:rPr>
      </w:pPr>
      <w:r>
        <w:rPr>
          <w:rFonts w:hint="eastAsia" w:ascii="宋体" w:hAnsi="宋体" w:cs="宋体"/>
          <w:bCs/>
          <w:kern w:val="0"/>
          <w:sz w:val="24"/>
        </w:rPr>
        <w:t>2.1.1本合同协议书</w:t>
      </w:r>
    </w:p>
    <w:p>
      <w:pPr>
        <w:widowControl/>
        <w:spacing w:line="360" w:lineRule="auto"/>
        <w:ind w:firstLine="480" w:firstLineChars="200"/>
        <w:jc w:val="left"/>
        <w:rPr>
          <w:rFonts w:ascii="宋体" w:hAnsi="宋体" w:cs="宋体"/>
          <w:bCs/>
          <w:kern w:val="0"/>
          <w:sz w:val="24"/>
        </w:rPr>
      </w:pPr>
      <w:r>
        <w:rPr>
          <w:rFonts w:hint="eastAsia" w:ascii="宋体" w:hAnsi="宋体" w:cs="宋体"/>
          <w:bCs/>
          <w:kern w:val="0"/>
          <w:sz w:val="24"/>
        </w:rPr>
        <w:t>2.1.2本合同专用条款</w:t>
      </w:r>
    </w:p>
    <w:p>
      <w:pPr>
        <w:widowControl/>
        <w:spacing w:line="360" w:lineRule="auto"/>
        <w:ind w:firstLine="480" w:firstLineChars="200"/>
        <w:jc w:val="left"/>
        <w:rPr>
          <w:rFonts w:ascii="宋体" w:hAnsi="宋体" w:cs="宋体"/>
          <w:bCs/>
          <w:kern w:val="0"/>
          <w:sz w:val="24"/>
        </w:rPr>
      </w:pPr>
      <w:r>
        <w:rPr>
          <w:rFonts w:hint="eastAsia" w:ascii="宋体" w:hAnsi="宋体" w:cs="宋体"/>
          <w:bCs/>
          <w:kern w:val="0"/>
          <w:sz w:val="24"/>
        </w:rPr>
        <w:t>2.1.3本合同通用条款</w:t>
      </w:r>
    </w:p>
    <w:p>
      <w:pPr>
        <w:widowControl/>
        <w:spacing w:line="360" w:lineRule="auto"/>
        <w:ind w:firstLine="480" w:firstLineChars="200"/>
        <w:jc w:val="left"/>
        <w:rPr>
          <w:rFonts w:ascii="宋体" w:hAnsi="宋体" w:cs="宋体"/>
          <w:bCs/>
          <w:kern w:val="0"/>
          <w:sz w:val="24"/>
        </w:rPr>
      </w:pPr>
      <w:r>
        <w:rPr>
          <w:rFonts w:hint="eastAsia" w:ascii="宋体" w:hAnsi="宋体" w:cs="宋体"/>
          <w:bCs/>
          <w:kern w:val="0"/>
          <w:sz w:val="24"/>
        </w:rPr>
        <w:t>2.1.4成交通知书</w:t>
      </w:r>
    </w:p>
    <w:p>
      <w:pPr>
        <w:widowControl/>
        <w:spacing w:line="360" w:lineRule="auto"/>
        <w:ind w:firstLine="480" w:firstLineChars="200"/>
        <w:jc w:val="left"/>
        <w:rPr>
          <w:rFonts w:ascii="宋体" w:hAnsi="宋体" w:cs="宋体"/>
          <w:bCs/>
          <w:kern w:val="0"/>
          <w:sz w:val="24"/>
        </w:rPr>
      </w:pPr>
      <w:r>
        <w:rPr>
          <w:rFonts w:hint="eastAsia" w:ascii="宋体" w:hAnsi="宋体" w:cs="宋体"/>
          <w:bCs/>
          <w:kern w:val="0"/>
          <w:sz w:val="24"/>
        </w:rPr>
        <w:t>2.1.5投标书、工程报价单或预算书及其附件</w:t>
      </w:r>
    </w:p>
    <w:p>
      <w:pPr>
        <w:widowControl/>
        <w:spacing w:line="360" w:lineRule="auto"/>
        <w:ind w:firstLine="480" w:firstLineChars="200"/>
        <w:jc w:val="left"/>
        <w:rPr>
          <w:rFonts w:ascii="宋体" w:hAnsi="宋体" w:cs="宋体"/>
          <w:bCs/>
          <w:kern w:val="0"/>
          <w:sz w:val="24"/>
        </w:rPr>
      </w:pPr>
      <w:r>
        <w:rPr>
          <w:rFonts w:hint="eastAsia" w:ascii="宋体" w:hAnsi="宋体" w:cs="宋体"/>
          <w:bCs/>
          <w:kern w:val="0"/>
          <w:sz w:val="24"/>
        </w:rPr>
        <w:t>2.1.6招标文件、答疑纪要及工程量清单　</w:t>
      </w:r>
    </w:p>
    <w:p>
      <w:pPr>
        <w:widowControl/>
        <w:spacing w:line="360" w:lineRule="auto"/>
        <w:ind w:firstLine="480" w:firstLineChars="200"/>
        <w:jc w:val="left"/>
        <w:rPr>
          <w:rFonts w:ascii="宋体" w:hAnsi="宋体" w:cs="宋体"/>
          <w:bCs/>
          <w:kern w:val="0"/>
          <w:sz w:val="24"/>
        </w:rPr>
      </w:pPr>
      <w:r>
        <w:rPr>
          <w:rFonts w:hint="eastAsia" w:ascii="宋体" w:hAnsi="宋体" w:cs="宋体"/>
          <w:bCs/>
          <w:kern w:val="0"/>
          <w:sz w:val="24"/>
        </w:rPr>
        <w:t>2.1.7图纸</w:t>
      </w:r>
    </w:p>
    <w:p>
      <w:pPr>
        <w:widowControl/>
        <w:spacing w:line="360" w:lineRule="auto"/>
        <w:ind w:firstLine="480" w:firstLineChars="200"/>
        <w:jc w:val="left"/>
        <w:rPr>
          <w:rFonts w:ascii="宋体" w:hAnsi="宋体" w:cs="宋体"/>
          <w:bCs/>
          <w:kern w:val="0"/>
          <w:sz w:val="24"/>
        </w:rPr>
      </w:pPr>
      <w:r>
        <w:rPr>
          <w:rFonts w:hint="eastAsia" w:ascii="宋体" w:hAnsi="宋体" w:cs="宋体"/>
          <w:bCs/>
          <w:kern w:val="0"/>
          <w:sz w:val="24"/>
        </w:rPr>
        <w:t>2.1.8标准、规范及有关技术文件</w:t>
      </w:r>
    </w:p>
    <w:p>
      <w:pPr>
        <w:widowControl/>
        <w:spacing w:line="360" w:lineRule="auto"/>
        <w:ind w:firstLine="480" w:firstLineChars="200"/>
        <w:jc w:val="left"/>
        <w:rPr>
          <w:rFonts w:ascii="宋体" w:hAnsi="宋体" w:cs="宋体"/>
          <w:bCs/>
          <w:kern w:val="0"/>
          <w:sz w:val="24"/>
        </w:rPr>
      </w:pPr>
      <w:r>
        <w:rPr>
          <w:rFonts w:hint="eastAsia" w:ascii="宋体" w:hAnsi="宋体" w:cs="宋体"/>
          <w:bCs/>
          <w:kern w:val="0"/>
          <w:sz w:val="24"/>
        </w:rPr>
        <w:t>双方为履行本合同的有关洽商、变更等书面协议、文件，视为本合同的组成部分。</w:t>
      </w:r>
    </w:p>
    <w:p>
      <w:pPr>
        <w:widowControl/>
        <w:spacing w:line="360" w:lineRule="auto"/>
        <w:ind w:firstLine="480" w:firstLineChars="200"/>
        <w:jc w:val="left"/>
        <w:rPr>
          <w:rFonts w:ascii="宋体" w:hAnsi="宋体" w:cs="宋体"/>
          <w:bCs/>
          <w:kern w:val="0"/>
          <w:sz w:val="24"/>
        </w:rPr>
      </w:pPr>
      <w:r>
        <w:rPr>
          <w:rFonts w:hint="eastAsia" w:ascii="宋体" w:hAnsi="宋体" w:cs="宋体"/>
          <w:bCs/>
          <w:kern w:val="0"/>
          <w:sz w:val="24"/>
        </w:rPr>
        <w:t>2.2当合同文件内容含糊不清或不相一致时，在不影响工程正常进行的情况下，由发包人承包人协商解决。双方也可以提请负责监理的工程师做出解释。双方协商不成或不同意负责监理的工程师的解释时，按本通用条款第41条关于争议的约定处理。</w:t>
      </w:r>
    </w:p>
    <w:p>
      <w:pPr>
        <w:widowControl/>
        <w:spacing w:line="360" w:lineRule="auto"/>
        <w:ind w:firstLine="480" w:firstLineChars="200"/>
        <w:jc w:val="left"/>
        <w:rPr>
          <w:rFonts w:ascii="宋体" w:hAnsi="宋体" w:cs="宋体"/>
          <w:bCs/>
          <w:kern w:val="0"/>
          <w:sz w:val="24"/>
        </w:rPr>
      </w:pPr>
      <w:r>
        <w:rPr>
          <w:rFonts w:hint="eastAsia" w:ascii="宋体" w:hAnsi="宋体" w:cs="宋体"/>
          <w:bCs/>
          <w:kern w:val="0"/>
          <w:sz w:val="24"/>
        </w:rPr>
        <w:t>3、语言文字和适用法律、标准及规范</w:t>
      </w:r>
    </w:p>
    <w:p>
      <w:pPr>
        <w:widowControl/>
        <w:spacing w:line="360" w:lineRule="auto"/>
        <w:ind w:firstLine="480" w:firstLineChars="200"/>
        <w:jc w:val="left"/>
        <w:rPr>
          <w:rFonts w:ascii="宋体" w:hAnsi="宋体" w:cs="宋体"/>
          <w:bCs/>
          <w:kern w:val="0"/>
          <w:sz w:val="24"/>
        </w:rPr>
      </w:pPr>
      <w:r>
        <w:rPr>
          <w:rFonts w:hint="eastAsia" w:ascii="宋体" w:hAnsi="宋体" w:cs="宋体"/>
          <w:bCs/>
          <w:kern w:val="0"/>
          <w:sz w:val="24"/>
        </w:rPr>
        <w:t>3.1语言文字</w:t>
      </w:r>
    </w:p>
    <w:p>
      <w:pPr>
        <w:widowControl/>
        <w:spacing w:line="360" w:lineRule="auto"/>
        <w:ind w:firstLine="480" w:firstLineChars="200"/>
        <w:jc w:val="left"/>
        <w:rPr>
          <w:rFonts w:ascii="宋体" w:hAnsi="宋体" w:cs="宋体"/>
          <w:bCs/>
          <w:kern w:val="0"/>
          <w:sz w:val="24"/>
        </w:rPr>
      </w:pPr>
      <w:r>
        <w:rPr>
          <w:rFonts w:hint="eastAsia" w:ascii="宋体" w:hAnsi="宋体" w:cs="宋体"/>
          <w:bCs/>
          <w:kern w:val="0"/>
          <w:sz w:val="24"/>
        </w:rPr>
        <w:t>本合同文件使用汉语语言文字书写、解释和说明。如专用条款约定使用两种以上（含两种）语言文字时，汉语应为解释和说明本合同的标准语言文字。</w:t>
      </w:r>
    </w:p>
    <w:p>
      <w:pPr>
        <w:widowControl/>
        <w:spacing w:line="360" w:lineRule="auto"/>
        <w:ind w:firstLine="480" w:firstLineChars="200"/>
        <w:jc w:val="left"/>
        <w:rPr>
          <w:rFonts w:ascii="宋体" w:hAnsi="宋体" w:cs="宋体"/>
          <w:bCs/>
          <w:kern w:val="0"/>
          <w:sz w:val="24"/>
        </w:rPr>
      </w:pPr>
      <w:r>
        <w:rPr>
          <w:rFonts w:hint="eastAsia" w:ascii="宋体" w:hAnsi="宋体" w:cs="宋体"/>
          <w:bCs/>
          <w:kern w:val="0"/>
          <w:sz w:val="24"/>
        </w:rPr>
        <w:t>3.2适用法律和法规</w:t>
      </w:r>
    </w:p>
    <w:p>
      <w:pPr>
        <w:widowControl/>
        <w:spacing w:line="360" w:lineRule="auto"/>
        <w:ind w:firstLine="480" w:firstLineChars="200"/>
        <w:jc w:val="left"/>
        <w:rPr>
          <w:rFonts w:ascii="宋体" w:hAnsi="宋体" w:cs="宋体"/>
          <w:bCs/>
          <w:kern w:val="0"/>
          <w:sz w:val="24"/>
        </w:rPr>
      </w:pPr>
      <w:r>
        <w:rPr>
          <w:rFonts w:hint="eastAsia" w:ascii="宋体" w:hAnsi="宋体" w:cs="宋体"/>
          <w:bCs/>
          <w:kern w:val="0"/>
          <w:sz w:val="24"/>
        </w:rPr>
        <w:t>本合同文件适用国家的法律和行政法规。需要明示的法律、行政法规，由双方在专用条款中约定。</w:t>
      </w:r>
    </w:p>
    <w:p>
      <w:pPr>
        <w:widowControl/>
        <w:spacing w:line="360" w:lineRule="auto"/>
        <w:ind w:firstLine="480" w:firstLineChars="200"/>
        <w:jc w:val="left"/>
        <w:rPr>
          <w:rFonts w:ascii="宋体" w:hAnsi="宋体" w:cs="宋体"/>
          <w:bCs/>
          <w:kern w:val="0"/>
          <w:sz w:val="24"/>
        </w:rPr>
      </w:pPr>
      <w:r>
        <w:rPr>
          <w:rFonts w:hint="eastAsia" w:ascii="宋体" w:hAnsi="宋体" w:cs="宋体"/>
          <w:bCs/>
          <w:kern w:val="0"/>
          <w:sz w:val="24"/>
        </w:rPr>
        <w:t>3.3适用标准、规范</w:t>
      </w:r>
    </w:p>
    <w:p>
      <w:pPr>
        <w:widowControl/>
        <w:spacing w:line="360" w:lineRule="auto"/>
        <w:ind w:firstLine="480" w:firstLineChars="200"/>
        <w:jc w:val="left"/>
        <w:rPr>
          <w:rFonts w:ascii="宋体" w:hAnsi="宋体" w:cs="宋体"/>
          <w:bCs/>
          <w:kern w:val="0"/>
          <w:sz w:val="24"/>
        </w:rPr>
      </w:pPr>
      <w:r>
        <w:rPr>
          <w:rFonts w:hint="eastAsia" w:ascii="宋体" w:hAnsi="宋体" w:cs="宋体"/>
          <w:bCs/>
          <w:kern w:val="0"/>
          <w:sz w:val="24"/>
        </w:rPr>
        <w:t>双方在专用条款内约定适用国家标准、规范的名称；没有国家标准、规范但有行业标准、规范的，约定适用行业标准、规范的名称；没有国家和行业标准、规范的，约定适用工程所在地地方标准、规范的名称。发包人应按专用条款约定的时间向承包人提供一式两份约定的标准、规范。</w:t>
      </w:r>
    </w:p>
    <w:p>
      <w:pPr>
        <w:widowControl/>
        <w:spacing w:line="360" w:lineRule="auto"/>
        <w:ind w:firstLine="480" w:firstLineChars="200"/>
        <w:jc w:val="left"/>
        <w:rPr>
          <w:rFonts w:ascii="宋体" w:hAnsi="宋体" w:cs="宋体"/>
          <w:bCs/>
          <w:kern w:val="0"/>
          <w:sz w:val="24"/>
        </w:rPr>
      </w:pPr>
      <w:r>
        <w:rPr>
          <w:rFonts w:hint="eastAsia" w:ascii="宋体" w:hAnsi="宋体" w:cs="宋体"/>
          <w:bCs/>
          <w:kern w:val="0"/>
          <w:sz w:val="24"/>
        </w:rPr>
        <w:t>国内没有相应标准、规范的，由发包人按专用条款约定的时间向承包人提出施工技术要求，承包人按约定的时间和要求提出施工工艺，经发包人认可后执行。发包人要求使用国外标准、规范的，应负责提供中文译本。</w:t>
      </w:r>
    </w:p>
    <w:p>
      <w:pPr>
        <w:widowControl/>
        <w:spacing w:line="360" w:lineRule="auto"/>
        <w:ind w:firstLine="480" w:firstLineChars="200"/>
        <w:jc w:val="left"/>
        <w:rPr>
          <w:rFonts w:ascii="宋体" w:hAnsi="宋体" w:cs="宋体"/>
          <w:bCs/>
          <w:kern w:val="0"/>
          <w:sz w:val="24"/>
        </w:rPr>
      </w:pPr>
      <w:r>
        <w:rPr>
          <w:rFonts w:hint="eastAsia" w:ascii="宋体" w:hAnsi="宋体" w:cs="宋体"/>
          <w:bCs/>
          <w:kern w:val="0"/>
          <w:sz w:val="24"/>
        </w:rPr>
        <w:t>本条所发生的购买、翻译标准、规范或制定施工工艺的费用，由发包人承担。</w:t>
      </w:r>
    </w:p>
    <w:p>
      <w:pPr>
        <w:widowControl/>
        <w:spacing w:line="360" w:lineRule="auto"/>
        <w:ind w:firstLine="480" w:firstLineChars="200"/>
        <w:jc w:val="left"/>
        <w:rPr>
          <w:rFonts w:ascii="宋体" w:hAnsi="宋体" w:cs="宋体"/>
          <w:bCs/>
          <w:kern w:val="0"/>
          <w:sz w:val="24"/>
        </w:rPr>
      </w:pPr>
      <w:r>
        <w:rPr>
          <w:rFonts w:hint="eastAsia" w:ascii="宋体" w:hAnsi="宋体" w:cs="宋体"/>
          <w:bCs/>
          <w:kern w:val="0"/>
          <w:sz w:val="24"/>
        </w:rPr>
        <w:t>４、图纸</w:t>
      </w:r>
    </w:p>
    <w:p>
      <w:pPr>
        <w:widowControl/>
        <w:spacing w:line="360" w:lineRule="auto"/>
        <w:ind w:firstLine="480" w:firstLineChars="200"/>
        <w:jc w:val="left"/>
        <w:rPr>
          <w:rFonts w:ascii="宋体" w:hAnsi="宋体" w:cs="宋体"/>
          <w:kern w:val="0"/>
          <w:sz w:val="24"/>
        </w:rPr>
      </w:pPr>
      <w:r>
        <w:rPr>
          <w:rFonts w:hint="eastAsia" w:ascii="宋体" w:hAnsi="宋体" w:cs="宋体"/>
          <w:kern w:val="0"/>
          <w:sz w:val="24"/>
        </w:rPr>
        <w:t>4.1发包人应按专用条款约定的日期和套数，向承包人提供图纸。承包人需要增加图纸套数的，发包人应代为复制，复制费用由承包人承担。发包人对工程有保密要求的，应在专用条款中提出保密要求，保密措施费用由发包人承担，承包人在约定保密期限内履行保密义务。</w:t>
      </w:r>
    </w:p>
    <w:p>
      <w:pPr>
        <w:widowControl/>
        <w:spacing w:line="360" w:lineRule="auto"/>
        <w:ind w:firstLine="480" w:firstLineChars="200"/>
        <w:jc w:val="left"/>
        <w:rPr>
          <w:rFonts w:ascii="宋体" w:hAnsi="宋体" w:cs="宋体"/>
          <w:kern w:val="0"/>
          <w:sz w:val="24"/>
        </w:rPr>
      </w:pPr>
      <w:r>
        <w:rPr>
          <w:rFonts w:hint="eastAsia" w:ascii="宋体" w:hAnsi="宋体" w:cs="宋体"/>
          <w:kern w:val="0"/>
          <w:sz w:val="24"/>
        </w:rPr>
        <w:t>4.2承包人未经发包人同意，不得将本工程图纸转给第三人。工程质量保修期满后，除承包人存档需要的图纸外，应将全部图纸退还给发包人。</w:t>
      </w:r>
    </w:p>
    <w:p>
      <w:pPr>
        <w:widowControl/>
        <w:spacing w:line="360" w:lineRule="auto"/>
        <w:ind w:firstLine="480" w:firstLineChars="200"/>
        <w:jc w:val="left"/>
        <w:rPr>
          <w:rFonts w:ascii="宋体" w:hAnsi="宋体" w:cs="宋体"/>
          <w:kern w:val="0"/>
          <w:sz w:val="24"/>
        </w:rPr>
      </w:pPr>
      <w:r>
        <w:rPr>
          <w:rFonts w:hint="eastAsia" w:ascii="宋体" w:hAnsi="宋体" w:cs="宋体"/>
          <w:kern w:val="0"/>
          <w:sz w:val="24"/>
        </w:rPr>
        <w:t>4.3承包人应在施工现场保留一套完整图纸，供工程师及有关人员进行工程检查时使用。</w:t>
      </w:r>
    </w:p>
    <w:p>
      <w:pPr>
        <w:widowControl/>
        <w:spacing w:line="360" w:lineRule="auto"/>
        <w:ind w:firstLine="482" w:firstLineChars="200"/>
        <w:jc w:val="left"/>
        <w:rPr>
          <w:rFonts w:ascii="宋体" w:hAnsi="宋体" w:cs="宋体"/>
          <w:b/>
          <w:kern w:val="0"/>
          <w:sz w:val="24"/>
        </w:rPr>
      </w:pPr>
      <w:bookmarkStart w:id="19" w:name="_Toc11911"/>
      <w:r>
        <w:rPr>
          <w:rFonts w:hint="eastAsia" w:ascii="宋体" w:hAnsi="宋体" w:cs="宋体"/>
          <w:b/>
          <w:kern w:val="0"/>
          <w:sz w:val="24"/>
        </w:rPr>
        <w:t>二、双方一般权利和义务</w:t>
      </w:r>
      <w:bookmarkEnd w:id="19"/>
    </w:p>
    <w:p>
      <w:pPr>
        <w:widowControl/>
        <w:spacing w:line="360" w:lineRule="auto"/>
        <w:ind w:firstLine="480" w:firstLineChars="200"/>
        <w:jc w:val="left"/>
        <w:rPr>
          <w:rFonts w:ascii="宋体" w:hAnsi="宋体" w:cs="宋体"/>
          <w:kern w:val="0"/>
          <w:sz w:val="24"/>
        </w:rPr>
      </w:pPr>
      <w:bookmarkStart w:id="20" w:name="_Toc25533"/>
      <w:r>
        <w:rPr>
          <w:rFonts w:hint="eastAsia" w:ascii="宋体" w:hAnsi="宋体" w:cs="宋体"/>
          <w:kern w:val="0"/>
          <w:sz w:val="24"/>
        </w:rPr>
        <w:t>５、工程师</w:t>
      </w:r>
      <w:bookmarkEnd w:id="20"/>
    </w:p>
    <w:p>
      <w:pPr>
        <w:widowControl/>
        <w:spacing w:line="360" w:lineRule="auto"/>
        <w:ind w:firstLine="480" w:firstLineChars="200"/>
        <w:jc w:val="left"/>
        <w:rPr>
          <w:rFonts w:ascii="宋体" w:hAnsi="宋体" w:cs="宋体"/>
          <w:kern w:val="0"/>
          <w:sz w:val="24"/>
        </w:rPr>
      </w:pPr>
      <w:r>
        <w:rPr>
          <w:rFonts w:hint="eastAsia" w:ascii="宋体" w:hAnsi="宋体" w:cs="宋体"/>
          <w:kern w:val="0"/>
          <w:sz w:val="24"/>
        </w:rPr>
        <w:t>5.1实行工程监理的，发包人应在实施监理前将委托的监理单位名称、监理内容及监理权限以书面形式通知承包人。</w:t>
      </w:r>
    </w:p>
    <w:p>
      <w:pPr>
        <w:widowControl/>
        <w:spacing w:line="360" w:lineRule="auto"/>
        <w:ind w:firstLine="480" w:firstLineChars="200"/>
        <w:jc w:val="left"/>
        <w:rPr>
          <w:rFonts w:ascii="宋体" w:hAnsi="宋体" w:cs="宋体"/>
          <w:kern w:val="0"/>
          <w:sz w:val="24"/>
        </w:rPr>
      </w:pPr>
      <w:r>
        <w:rPr>
          <w:rFonts w:hint="eastAsia" w:ascii="宋体" w:hAnsi="宋体" w:cs="宋体"/>
          <w:kern w:val="0"/>
          <w:sz w:val="24"/>
        </w:rPr>
        <w:t>5.2监理单位委派的总监理工程师在本合同中称工程师，其姓名、职务、职权由发包人承包人在专用条款内写明。工程师按合同约定行使职权，发包人在专用条款内要求工程师在行使某些职权前需要征得发包人批准的，工程师应征得发包人批准。</w:t>
      </w:r>
    </w:p>
    <w:p>
      <w:pPr>
        <w:widowControl/>
        <w:spacing w:line="360" w:lineRule="auto"/>
        <w:ind w:firstLine="480" w:firstLineChars="200"/>
        <w:jc w:val="left"/>
        <w:rPr>
          <w:rFonts w:ascii="宋体" w:hAnsi="宋体" w:cs="宋体"/>
          <w:kern w:val="0"/>
          <w:sz w:val="24"/>
        </w:rPr>
      </w:pPr>
      <w:r>
        <w:rPr>
          <w:rFonts w:hint="eastAsia" w:ascii="宋体" w:hAnsi="宋体" w:cs="宋体"/>
          <w:kern w:val="0"/>
          <w:sz w:val="24"/>
        </w:rPr>
        <w:t>5.3发包人派驻施工场地履行合同的代表在本合同中也称工程师，其姓名、职务、职权由发包人在专用条款内写明，但职权不得与监理单位委派的总监理工程师职权相互交叉。双方职权发生交叉或不明确时，由发包人予以明确，并以书面形式通知承包人。</w:t>
      </w:r>
    </w:p>
    <w:p>
      <w:pPr>
        <w:widowControl/>
        <w:spacing w:line="360" w:lineRule="auto"/>
        <w:ind w:firstLine="480" w:firstLineChars="200"/>
        <w:jc w:val="left"/>
        <w:rPr>
          <w:rFonts w:ascii="宋体" w:hAnsi="宋体" w:cs="宋体"/>
          <w:kern w:val="0"/>
          <w:sz w:val="24"/>
        </w:rPr>
      </w:pPr>
      <w:r>
        <w:rPr>
          <w:rFonts w:hint="eastAsia" w:ascii="宋体" w:hAnsi="宋体" w:cs="宋体"/>
          <w:kern w:val="0"/>
          <w:sz w:val="24"/>
        </w:rPr>
        <w:t>5.4合同履行中，发生影响发包人承包人双方权利或义务的事件时，负责监理的工程师应依据合同在其职权范围内客观公正地进行处理。一方对工程师的处理有异议时，按本通用条款第41条关于争议的约定处理。</w:t>
      </w:r>
    </w:p>
    <w:p>
      <w:pPr>
        <w:widowControl/>
        <w:spacing w:line="360" w:lineRule="auto"/>
        <w:ind w:firstLine="480" w:firstLineChars="200"/>
        <w:jc w:val="left"/>
        <w:rPr>
          <w:rFonts w:ascii="宋体" w:hAnsi="宋体" w:cs="宋体"/>
          <w:kern w:val="0"/>
          <w:sz w:val="24"/>
        </w:rPr>
      </w:pPr>
      <w:r>
        <w:rPr>
          <w:rFonts w:hint="eastAsia" w:ascii="宋体" w:hAnsi="宋体" w:cs="宋体"/>
          <w:kern w:val="0"/>
          <w:sz w:val="24"/>
        </w:rPr>
        <w:t>5.5除合同内有明确约定或经发包人同意外，负责监理的工程师无权解除本合同约定的承包人的任何权利与义务。</w:t>
      </w:r>
    </w:p>
    <w:p>
      <w:pPr>
        <w:widowControl/>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5.6不实行工程监理的，本合同中工程师专指发包人派驻施工场地履行合同的代表，其具体职权由发包人在专用条款内写明。</w:t>
      </w:r>
    </w:p>
    <w:p>
      <w:pPr>
        <w:widowControl/>
        <w:spacing w:line="360" w:lineRule="auto"/>
        <w:ind w:firstLine="480" w:firstLineChars="200"/>
        <w:jc w:val="left"/>
        <w:rPr>
          <w:rFonts w:asciiTheme="minorEastAsia" w:hAnsiTheme="minorEastAsia" w:eastAsiaTheme="minorEastAsia" w:cstheme="minorEastAsia"/>
          <w:kern w:val="0"/>
          <w:sz w:val="24"/>
        </w:rPr>
      </w:pPr>
      <w:bookmarkStart w:id="21" w:name="_Toc6605"/>
      <w:r>
        <w:rPr>
          <w:rFonts w:hint="eastAsia" w:asciiTheme="minorEastAsia" w:hAnsiTheme="minorEastAsia" w:eastAsiaTheme="minorEastAsia" w:cstheme="minorEastAsia"/>
          <w:kern w:val="0"/>
          <w:sz w:val="24"/>
        </w:rPr>
        <w:t>６、工程师的委派和指令</w:t>
      </w:r>
      <w:bookmarkEnd w:id="21"/>
    </w:p>
    <w:p>
      <w:pPr>
        <w:widowControl/>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6.1工程师可委派工程师代表，行使合同约定的自己的职权，并可在认为必要时撤回委派。委派和撤回均应提前7天以书面形式通知承包人，负责监理的工程师还应将委派和撤回通知发包人。委派书和撤回通知作为本合同附件。</w:t>
      </w:r>
    </w:p>
    <w:p>
      <w:pPr>
        <w:widowControl/>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工程师代表在工程师授权范围内向承包人发出的任何书面形式的函件，与工程师发出的函件具有同等效力。承包人对工程师代表向其发出的任何书面形式的函件有疑问时，可将此函件提交工程师，工程师应进行确认。工程师代表发出指令有失误时，工程师应进行纠正。</w:t>
      </w:r>
    </w:p>
    <w:p>
      <w:pPr>
        <w:widowControl/>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除工程师或工程师代表外，发包人派驻工地的其他人员均无权向承包人发出任何指令。</w:t>
      </w:r>
    </w:p>
    <w:p>
      <w:pPr>
        <w:widowControl/>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6.2工程师的指令、通知由其本人签字后，以书面形式交给项目经理，项目经理在回执上签署姓名和收到时间后生效。确有必要时，工程师可发出口头指令，并在48小时内给予书面确认，承包人对工程师的指令应予执行。工程师不能及时给予书面确认的，承包人应于工程师发出口头指令后7天内提出书面确认要求。工程师在承包人提出确认要求后48小时内不予答复的，视为口头指令已被确认。</w:t>
      </w:r>
    </w:p>
    <w:p>
      <w:pPr>
        <w:widowControl/>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承包人认为工程师指令不合理，应在收到指令后24小时内向工程师提出修改指令的书面报告，工程师在收到承包人报告后24小时内作出修改指令或继续执行原指令的决定，并以书面形式通知承包人。紧急情况下，工程师要求承包人立即执行的指令或承包人虽有异议，但工程师决定仍继续执行的指令，承包人应予执行。因指令错误发生的追加合同价款和给承包人造成的损失由发包人承担，延误的工期相应顺延。</w:t>
      </w:r>
    </w:p>
    <w:p>
      <w:pPr>
        <w:widowControl/>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本款规定同样适用于由工程师代表发出的指令、通知。</w:t>
      </w:r>
    </w:p>
    <w:p>
      <w:pPr>
        <w:widowControl/>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6.3工程师应按合同约定，及时向承包人提供所需指令、批准并履行约定的其他义务。由于工程师未能按合同约定履行义务造成工期延误，发包人应承担延误造成的追加合同价款，并赔偿承包人有关损失，顺延延误的工期。</w:t>
      </w:r>
    </w:p>
    <w:p>
      <w:pPr>
        <w:widowControl/>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6.4如需更换工程师，发包人应至少提前7天以书面形式通知承包人，后任继续行使合同文件约定的前任的职权，履行前任的义务。</w:t>
      </w:r>
    </w:p>
    <w:p>
      <w:pPr>
        <w:widowControl/>
        <w:spacing w:line="360" w:lineRule="auto"/>
        <w:ind w:firstLine="480" w:firstLineChars="200"/>
        <w:jc w:val="left"/>
        <w:rPr>
          <w:rFonts w:asciiTheme="minorEastAsia" w:hAnsiTheme="minorEastAsia" w:eastAsiaTheme="minorEastAsia" w:cstheme="minorEastAsia"/>
          <w:kern w:val="0"/>
          <w:sz w:val="24"/>
        </w:rPr>
      </w:pPr>
      <w:bookmarkStart w:id="22" w:name="_Toc20723"/>
      <w:r>
        <w:rPr>
          <w:rFonts w:hint="eastAsia" w:asciiTheme="minorEastAsia" w:hAnsiTheme="minorEastAsia" w:eastAsiaTheme="minorEastAsia" w:cstheme="minorEastAsia"/>
          <w:kern w:val="0"/>
          <w:sz w:val="24"/>
        </w:rPr>
        <w:t>７、项目经理</w:t>
      </w:r>
      <w:bookmarkEnd w:id="22"/>
    </w:p>
    <w:p>
      <w:pPr>
        <w:widowControl/>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7.1项目经理的姓名、职务在专用条款内写明。</w:t>
      </w:r>
    </w:p>
    <w:p>
      <w:pPr>
        <w:widowControl/>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7.2承包人依据合同发出的通知，以书面形式由项目经理签字后送交工程师，工程师在回执上签署姓名和收到时间后生效。</w:t>
      </w:r>
    </w:p>
    <w:p>
      <w:pPr>
        <w:widowControl/>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7.3项目经理按发包人认可的施工组织设计（施工方案）和工程师依据合同发出的指令组织施工。在情况紧急且无法与工程师联系时，项目经理应当采取保证人员生命和工程、财产安全的紧急措施，并在采取措施后48小时内向工程师送交报告。责任在发包人或第三人，由发包人承担由此发生的追加合同价款，相应顺延工期；责任在承包人，由承包人承担费用，不顺延工期。</w:t>
      </w:r>
    </w:p>
    <w:p>
      <w:pPr>
        <w:widowControl/>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7.4承包人如需要更换项目经理，应至少提前7天以书面形式通知发包人，</w:t>
      </w:r>
      <w:r>
        <w:rPr>
          <w:rFonts w:hint="eastAsia" w:asciiTheme="minorEastAsia" w:hAnsiTheme="minorEastAsia" w:eastAsiaTheme="minorEastAsia" w:cstheme="minorEastAsia"/>
          <w:bCs/>
          <w:kern w:val="0"/>
          <w:sz w:val="24"/>
        </w:rPr>
        <w:t>并</w:t>
      </w:r>
      <w:r>
        <w:rPr>
          <w:rFonts w:hint="eastAsia" w:asciiTheme="minorEastAsia" w:hAnsiTheme="minorEastAsia" w:eastAsiaTheme="minorEastAsia" w:cstheme="minorEastAsia"/>
          <w:kern w:val="0"/>
          <w:sz w:val="24"/>
        </w:rPr>
        <w:t>征得发包人同意。后任继续行使合同文件约定的前任的职权，履行前任的义务。</w:t>
      </w:r>
    </w:p>
    <w:p>
      <w:pPr>
        <w:widowControl/>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7.5发包人可以与承包人协商，建议更换其认为不称职的项目经理。</w:t>
      </w:r>
    </w:p>
    <w:p>
      <w:pPr>
        <w:widowControl/>
        <w:spacing w:line="360" w:lineRule="auto"/>
        <w:ind w:firstLine="480" w:firstLineChars="200"/>
        <w:jc w:val="left"/>
        <w:rPr>
          <w:rFonts w:asciiTheme="minorEastAsia" w:hAnsiTheme="minorEastAsia" w:eastAsiaTheme="minorEastAsia" w:cstheme="minorEastAsia"/>
          <w:kern w:val="0"/>
          <w:sz w:val="24"/>
        </w:rPr>
      </w:pPr>
      <w:bookmarkStart w:id="23" w:name="_Toc20532"/>
      <w:r>
        <w:rPr>
          <w:rFonts w:hint="eastAsia" w:asciiTheme="minorEastAsia" w:hAnsiTheme="minorEastAsia" w:eastAsiaTheme="minorEastAsia" w:cstheme="minorEastAsia"/>
          <w:kern w:val="0"/>
          <w:sz w:val="24"/>
        </w:rPr>
        <w:t>８、发包人工作</w:t>
      </w:r>
      <w:bookmarkEnd w:id="23"/>
    </w:p>
    <w:p>
      <w:pPr>
        <w:widowControl/>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8.1发包人按专用条款约定的内容和时间完成以下工作：</w:t>
      </w:r>
    </w:p>
    <w:p>
      <w:pPr>
        <w:widowControl/>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（1）办理土地征用、拆迁补偿、平整施工场地等工作，使施工场地具备施工条件，在开工后继续负责解决以上事项遗留问题；</w:t>
      </w:r>
    </w:p>
    <w:p>
      <w:pPr>
        <w:widowControl/>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（2）将施工所需水、电、电讯线路从施工场地外部接至专用条款约定地点，保证施工期间的需要；</w:t>
      </w:r>
    </w:p>
    <w:p>
      <w:pPr>
        <w:widowControl/>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（3）开通施工场地与城乡公共道路的通道，以及专用条款约定的施工场地内的主要道路，满足施工运输的需要，保证施工期间的畅通；</w:t>
      </w:r>
    </w:p>
    <w:p>
      <w:pPr>
        <w:widowControl/>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（4）向承包人提供施工场地的工程地质和地下管线资料，对资料的真实准确性负责；</w:t>
      </w:r>
    </w:p>
    <w:p>
      <w:pPr>
        <w:widowControl/>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（5）办理施工许可证及其它施工所需批件和临时用地、停水、停电、中断道路交通、爆破作业等的证件申请批准手续（证明承包人自身资质的证件除外）；</w:t>
      </w:r>
    </w:p>
    <w:p>
      <w:pPr>
        <w:widowControl/>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（6）确定水准点与坐标控制点，以书面形式交给承包人，进行现场交验；</w:t>
      </w:r>
    </w:p>
    <w:p>
      <w:pPr>
        <w:widowControl/>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（7）组织承包人和设计单位进行图纸会审和设计交底；</w:t>
      </w:r>
    </w:p>
    <w:p>
      <w:pPr>
        <w:widowControl/>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（8）协调处理施工场地周围地下管线和邻近建筑物、构筑物（包括文物保护建筑）、古树名木的保护工作、承担有关费用；</w:t>
      </w:r>
    </w:p>
    <w:p>
      <w:pPr>
        <w:widowControl/>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（9）发包人应做的其他工作，双方在专用条款内约定。</w:t>
      </w:r>
    </w:p>
    <w:p>
      <w:pPr>
        <w:widowControl/>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8.2发包人可以将8.1款部分工作委托承包人办理，双方在专用条款内约定，其费用由发包人承担。</w:t>
      </w:r>
    </w:p>
    <w:p>
      <w:pPr>
        <w:widowControl/>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8.3发包人未能履行8.1款各项义务，导致工期延误或给承包人造成损失的，发包人赔偿承包人有关损失，顺延延误的工期。</w:t>
      </w:r>
    </w:p>
    <w:p>
      <w:pPr>
        <w:widowControl/>
        <w:spacing w:line="360" w:lineRule="auto"/>
        <w:ind w:firstLine="480" w:firstLineChars="200"/>
        <w:jc w:val="left"/>
        <w:rPr>
          <w:rFonts w:asciiTheme="minorEastAsia" w:hAnsiTheme="minorEastAsia" w:eastAsiaTheme="minorEastAsia" w:cstheme="minorEastAsia"/>
          <w:kern w:val="0"/>
          <w:sz w:val="24"/>
        </w:rPr>
      </w:pPr>
      <w:bookmarkStart w:id="24" w:name="_Toc4679"/>
      <w:r>
        <w:rPr>
          <w:rFonts w:hint="eastAsia" w:asciiTheme="minorEastAsia" w:hAnsiTheme="minorEastAsia" w:eastAsiaTheme="minorEastAsia" w:cstheme="minorEastAsia"/>
          <w:kern w:val="0"/>
          <w:sz w:val="24"/>
        </w:rPr>
        <w:t>９、承包人工作</w:t>
      </w:r>
      <w:bookmarkEnd w:id="24"/>
    </w:p>
    <w:p>
      <w:pPr>
        <w:widowControl/>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9.1承包人按专用条款约定的内容和时间完成以下工作：</w:t>
      </w:r>
    </w:p>
    <w:p>
      <w:pPr>
        <w:widowControl/>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（1）根据发包人委托，在其设计资质等级和业务允许的范围内，完成施工图设计或与工程配套的设计，经工程师确认后使用，发包人承担由此发生的费用；</w:t>
      </w:r>
    </w:p>
    <w:p>
      <w:pPr>
        <w:widowControl/>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（2）向工程师提供年、季、月度工程进度计划及相应进度统计报表；</w:t>
      </w:r>
    </w:p>
    <w:p>
      <w:pPr>
        <w:widowControl/>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（3）根据工程需要，提供和维修非夜间施工使用的照明、围栏设施；负责施工现场安全保卫；</w:t>
      </w:r>
    </w:p>
    <w:p>
      <w:pPr>
        <w:widowControl/>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（4）按专用条款约定的数量和要求，向发包人提供施工场地办公和生活的房屋及设施，发包人承担由此发生的费用；</w:t>
      </w:r>
    </w:p>
    <w:p>
      <w:pPr>
        <w:widowControl/>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（5）遵守政府有关主管部门对施工场地安全防护、文明施工、环境保护以及场地交通等的管理规定，按规定办理有关手续，并以书面形式通知发包人。</w:t>
      </w:r>
    </w:p>
    <w:p>
      <w:pPr>
        <w:widowControl/>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6）已竣工工程未交付发包人之前，承包人按专用条款约定负责已完工程的保护工作，保护期间发生损坏，承包人自费予以修复；发包人要求承包人采取特殊措施保护的工程部位和相应的追加合同价款，双方在专用条款内约定；</w:t>
      </w:r>
    </w:p>
    <w:p>
      <w:pPr>
        <w:widowControl/>
        <w:spacing w:line="360" w:lineRule="auto"/>
        <w:ind w:firstLine="480" w:firstLineChars="200"/>
        <w:jc w:val="left"/>
        <w:rPr>
          <w:rFonts w:asciiTheme="minorEastAsia" w:hAnsiTheme="minorEastAsia" w:eastAsiaTheme="minorEastAsia" w:cstheme="minorEastAsia"/>
          <w:b/>
          <w:bCs/>
          <w:kern w:val="0"/>
          <w:sz w:val="24"/>
        </w:rPr>
      </w:pPr>
      <w:r>
        <w:rPr>
          <w:rFonts w:hint="eastAsia" w:asciiTheme="minorEastAsia" w:hAnsiTheme="minorEastAsia" w:eastAsiaTheme="minorEastAsia" w:cstheme="minorEastAsia"/>
          <w:kern w:val="0"/>
          <w:sz w:val="24"/>
        </w:rPr>
        <w:t>（7）按专用条款约定做好施工场地地下管线和邻近建筑物、构筑物（包括文物保护建筑）、古树名木的保护工作</w:t>
      </w:r>
      <w:r>
        <w:rPr>
          <w:rFonts w:hint="eastAsia" w:asciiTheme="minorEastAsia" w:hAnsiTheme="minorEastAsia" w:eastAsiaTheme="minorEastAsia" w:cstheme="minorEastAsia"/>
          <w:b/>
          <w:bCs/>
          <w:kern w:val="0"/>
          <w:sz w:val="24"/>
        </w:rPr>
        <w:t>；</w:t>
      </w:r>
    </w:p>
    <w:p>
      <w:pPr>
        <w:widowControl/>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（8）保证施工场地清洁符合环境卫生管理的有关规定，交工前清理现场达到专用条款约定的要求，承担因自身原因违反有关规定造成的损失和罚款；</w:t>
      </w:r>
    </w:p>
    <w:p>
      <w:pPr>
        <w:widowControl/>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（9）承包人应做的其他工作，双方在专用条款内约定。</w:t>
      </w:r>
    </w:p>
    <w:p>
      <w:pPr>
        <w:widowControl/>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9.2承包人未能履行9.1款各项义务，造成发包人损失的，承包人赔偿发包人有关损失。</w:t>
      </w:r>
    </w:p>
    <w:p>
      <w:pPr>
        <w:widowControl/>
        <w:spacing w:line="360" w:lineRule="auto"/>
        <w:ind w:firstLine="482" w:firstLineChars="200"/>
        <w:jc w:val="left"/>
        <w:rPr>
          <w:rFonts w:asciiTheme="minorEastAsia" w:hAnsiTheme="minorEastAsia" w:eastAsiaTheme="minorEastAsia" w:cstheme="minorEastAsia"/>
          <w:b/>
          <w:kern w:val="0"/>
          <w:sz w:val="24"/>
        </w:rPr>
      </w:pPr>
      <w:bookmarkStart w:id="25" w:name="_Toc17079"/>
      <w:r>
        <w:rPr>
          <w:rFonts w:hint="eastAsia" w:asciiTheme="minorEastAsia" w:hAnsiTheme="minorEastAsia" w:eastAsiaTheme="minorEastAsia" w:cstheme="minorEastAsia"/>
          <w:b/>
          <w:kern w:val="0"/>
          <w:sz w:val="24"/>
        </w:rPr>
        <w:t>三、施工组织设计和工期</w:t>
      </w:r>
      <w:bookmarkEnd w:id="25"/>
    </w:p>
    <w:p>
      <w:pPr>
        <w:widowControl/>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10、进度计划</w:t>
      </w:r>
    </w:p>
    <w:p>
      <w:pPr>
        <w:widowControl/>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10.1承包人应按专用条款约定的日期，将施工组织设计和工程进度计划提交工程师，工程师按专用条款约定的时间予以确认或提出修改意见，逾期不确认也不提出书面意见的，视为同意。</w:t>
      </w:r>
    </w:p>
    <w:p>
      <w:pPr>
        <w:widowControl/>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10.2群体工程中单位工程分期进行施工的，承包人应按照发包人提供图纸及有关资料的时间，按单位工程编制进度计划，其具体内容双方在专用条款中约定。</w:t>
      </w:r>
    </w:p>
    <w:p>
      <w:pPr>
        <w:widowControl/>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10.3承包人必须按工程师确认的进度计划组织施工，接受工程师对进度的检查、监督。工程实际进度与经确认的进度计划不符时，承包人应按工程师的要求提出改进措施，经工程师确认后执行。因承包人的原因导致实际进度与进度计划不符，承包人无权就改进措施提出追加合同价款。</w:t>
      </w:r>
    </w:p>
    <w:p>
      <w:pPr>
        <w:widowControl/>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11、开工及延期开工</w:t>
      </w:r>
    </w:p>
    <w:p>
      <w:pPr>
        <w:widowControl/>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11.1承包人应当按照协议书约定的开工日期开工。承包人不能按时开工，应当不迟于协议书约定的开工日期前7天，以书面形式向工程师提出延期开工的理由和要求。工程师应当在接到延期开工申请后的48小时内以书面形式答复承包人。工程师在接到延期开工申请后48小时内不答复，视为同意承包人要求，工期相应顺延。工程师不同意延期要求或承包人未在规定时间内提出延期开工要求，工期不予顺延。</w:t>
      </w:r>
    </w:p>
    <w:p>
      <w:pPr>
        <w:widowControl/>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11.2因发包人原因不能按照协议书约定的开工日期开工，工程师应以书面形式通知承包人，推迟开工日期。发包人赔偿承包人因延期开工造成的损失，并相应顺延工期。</w:t>
      </w:r>
    </w:p>
    <w:p>
      <w:pPr>
        <w:widowControl/>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12、暂停施工</w:t>
      </w:r>
    </w:p>
    <w:p>
      <w:pPr>
        <w:widowControl/>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工程师认为确有必要暂停施工时，应当以书面形式要求承包人暂停施工，并在提出要求后48小时内提出书面处理意见。承包人应当按工程师要求停止施工，并妥善保护已完工程。承包人实施工程师作出的处理意见后，可以书面形式提出复工要求，工程师应当在48小时内给予答复。工程师未能在规定时间内提出处理意见，或收到承包人复工要求后48小时内未予答复，承包人可自行复工。因发包人原因造成停工的，由发包人承担所发生的追加合同价款，赔偿承包人由此造成的损失，相应顺延工期；因承包人原因造成停工的，由承包人承担发生的费用，工期不予顺延。</w:t>
      </w:r>
    </w:p>
    <w:p>
      <w:pPr>
        <w:widowControl/>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13、工期延误</w:t>
      </w:r>
    </w:p>
    <w:p>
      <w:pPr>
        <w:widowControl/>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13.1因以下原因造成工期延误，经工程师确认，工期相应顺延：</w:t>
      </w:r>
    </w:p>
    <w:p>
      <w:pPr>
        <w:widowControl/>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（1）发包人未能按专用条款的约定提供图纸及开工条件；</w:t>
      </w:r>
    </w:p>
    <w:p>
      <w:pPr>
        <w:widowControl/>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（2）发包人未能按约定日期支付工程预付款、进度款，致使施工不能正常进行；</w:t>
      </w:r>
    </w:p>
    <w:p>
      <w:pPr>
        <w:widowControl/>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（3）工程师未按合同约定提供所需指令、批准等，致使施工不能正常进行；</w:t>
      </w:r>
    </w:p>
    <w:p>
      <w:pPr>
        <w:widowControl/>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（4）设计变更和工程量增加；</w:t>
      </w:r>
    </w:p>
    <w:p>
      <w:pPr>
        <w:widowControl/>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（5）一周内非承包人原因停水、停电、停气造成停工累计超过8小时；</w:t>
      </w:r>
    </w:p>
    <w:p>
      <w:pPr>
        <w:widowControl/>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（6）不可抗力；</w:t>
      </w:r>
    </w:p>
    <w:p>
      <w:pPr>
        <w:widowControl/>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（7）专用条款中约定或工程师同意工期顺延的其他情况。</w:t>
      </w:r>
    </w:p>
    <w:p>
      <w:pPr>
        <w:widowControl/>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13.2承包人在13.1款情况发生后14天内，就延误的工期以书面形式向工程师提出报告。工程师在收到报告后14天内予以确认，逾期不予确认也不提出修改意见，视为同意顺延工期。</w:t>
      </w:r>
    </w:p>
    <w:p>
      <w:pPr>
        <w:widowControl/>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14、工程竣工</w:t>
      </w:r>
    </w:p>
    <w:p>
      <w:pPr>
        <w:widowControl/>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14.1承包人必须按照协议书约定的竣工日期或工程师同意顺延的工期竣工。</w:t>
      </w:r>
    </w:p>
    <w:p>
      <w:pPr>
        <w:widowControl/>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14.2因承包人原因不能按照协议书约定的竣工日期或工程师同意顺延的工期竣工的，承包人承担违约责任。</w:t>
      </w:r>
    </w:p>
    <w:p>
      <w:pPr>
        <w:widowControl/>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14.3施工中发包人如需提前竣工，双方协商一致后应签订提前竣工协议，作为合同文件组成部分。提前竣工协议应包括承包人为保证工程质量和安全采取的措施、发包人为提前竣工提供的条件以及提前竣工所需的追加合同价款等内容。</w:t>
      </w:r>
    </w:p>
    <w:p>
      <w:pPr>
        <w:widowControl/>
        <w:spacing w:line="360" w:lineRule="auto"/>
        <w:ind w:firstLine="482" w:firstLineChars="200"/>
        <w:jc w:val="left"/>
        <w:rPr>
          <w:rFonts w:asciiTheme="minorEastAsia" w:hAnsiTheme="minorEastAsia" w:eastAsiaTheme="minorEastAsia" w:cstheme="minorEastAsia"/>
          <w:b/>
          <w:kern w:val="0"/>
          <w:sz w:val="24"/>
        </w:rPr>
      </w:pPr>
      <w:bookmarkStart w:id="26" w:name="_Toc27358"/>
      <w:r>
        <w:rPr>
          <w:rFonts w:hint="eastAsia" w:asciiTheme="minorEastAsia" w:hAnsiTheme="minorEastAsia" w:eastAsiaTheme="minorEastAsia" w:cstheme="minorEastAsia"/>
          <w:b/>
          <w:kern w:val="0"/>
          <w:sz w:val="24"/>
        </w:rPr>
        <w:t>四、质量与检验</w:t>
      </w:r>
      <w:bookmarkEnd w:id="26"/>
    </w:p>
    <w:p>
      <w:pPr>
        <w:widowControl/>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15、工程质量</w:t>
      </w:r>
    </w:p>
    <w:p>
      <w:pPr>
        <w:widowControl/>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15.1工程质量应当达到协议书约定的质量标准，质量标准的评定以国家或行业的质量检验评定标准为依据。因承包人原因工程质量达不到约定的质量标准，承包人承担违约责任。</w:t>
      </w:r>
    </w:p>
    <w:p>
      <w:pPr>
        <w:widowControl/>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15.2双方对工程质量有争议，由双方同意的工程质量检测机构鉴定，所需费用及因此造成的损失，由责任方承担。双方均有责任，由双方根据其责任分别承担。</w:t>
      </w:r>
    </w:p>
    <w:p>
      <w:pPr>
        <w:widowControl/>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16、检查和返工</w:t>
      </w:r>
    </w:p>
    <w:p>
      <w:pPr>
        <w:widowControl/>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16.1承包人应认真按照标准、规范和设计图纸要求以及工程师依据合同发出的指令施工，随时接受工程师的检查检验，为检查检验提供便利条件。</w:t>
      </w:r>
    </w:p>
    <w:p>
      <w:pPr>
        <w:widowControl/>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16.2工程质量达不到约定标准的部分，工程师一经发现，应要求承包人拆除和重新施工，承包人应按工程师的要求拆除和重新施工，直到符合约定标准。因承包人原因达不到约定标准，由承包人承担拆除和重新施工的费用，工期不予顺延。</w:t>
      </w:r>
    </w:p>
    <w:p>
      <w:pPr>
        <w:widowControl/>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16.3工程师的检查检验不应影响施工正常进行。如影响施工正常进行，检查检验不合格时，影响正常施工的费用由承包人承担。除此之外影响正常施工的追加合同价款由发包人承担，相应顺延工期。</w:t>
      </w:r>
    </w:p>
    <w:p>
      <w:pPr>
        <w:widowControl/>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16.4因工程师指令失误或其他非承包人原因发生的追加合同价款，由发包人承担。</w:t>
      </w:r>
    </w:p>
    <w:p>
      <w:pPr>
        <w:widowControl/>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17、隐蔽工程和中间验收</w:t>
      </w:r>
    </w:p>
    <w:p>
      <w:pPr>
        <w:widowControl/>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17.1工程具备隐蔽条件或达到专用条款约定的中间验收部位，承包人进行自检，并在隐蔽或中间验收前48小时以书面形式通知工程师验收。通知包括隐蔽和中间验收的内容、验收时间和地点。承包人准备验收记录，验收合格，工程师在验收记录上签字后，承包人可进行隐蔽和继续施工。验收不合格，承包人在工程师限定的时间内修改后重新验收。</w:t>
      </w:r>
    </w:p>
    <w:p>
      <w:pPr>
        <w:widowControl/>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17.2工程师不能按时进行验收，应在验收前24小时以书面形式向承包人提出延期要求，延期不能超过48小时。工程师未能按以上时间提出延期要求，不进行验收，承包人可自行组织验收，工程师应承认验收记录。</w:t>
      </w:r>
    </w:p>
    <w:p>
      <w:pPr>
        <w:widowControl/>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17.3经工程师验收，工程质量符合标准、规范和设计图纸等要求，验收24小时后，工程师不在验收记录上签字，视为工程师已经认可验收记录，承包人可进行隐蔽或继续施工。</w:t>
      </w:r>
    </w:p>
    <w:p>
      <w:pPr>
        <w:widowControl/>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18、重新检验</w:t>
      </w:r>
    </w:p>
    <w:p>
      <w:pPr>
        <w:widowControl/>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无论工程师是否进行验收，当其要求对已经隐蔽的工程重新检验时，承包人应按要求进行剥离或开孔，并在检验后重新覆盖或修复。检验合格，发包人承担由此发生的全部追加合同价款，赔偿承包人损失，并相应顺延工期。检验不合格，承包人承担发生的全部费用，工期不予顺延。</w:t>
      </w:r>
    </w:p>
    <w:p>
      <w:pPr>
        <w:widowControl/>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19、工程试车</w:t>
      </w:r>
    </w:p>
    <w:p>
      <w:pPr>
        <w:widowControl/>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19.1双方约定需要试车的，试车内容应与承包人承包的安装范围相一致。</w:t>
      </w:r>
    </w:p>
    <w:p>
      <w:pPr>
        <w:widowControl/>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19.2设备安装工程具备单机无负荷试车条件，承包人组织试车，并在试车前48小时以书面形式通知工程师。通知包括试车内容、时间、地点。承包人准备试车记录，发包人根据承包人要求为试车提供必要条件。试车合格，工程师在试车记录上签字。</w:t>
      </w:r>
    </w:p>
    <w:p>
      <w:pPr>
        <w:widowControl/>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19.3工程师不能按时参加试车，须在开始试车前24小时以书面形式向承包人提出延期要求，延期不能超过48小时。工程师未能按以上时间提出延期要求，不参加试车，应承认试车记录。</w:t>
      </w:r>
    </w:p>
    <w:p>
      <w:pPr>
        <w:widowControl/>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19.4设备安装工程具备无负荷联动试车条件，发包人组织试车，并在试车前48小时以书面形式通知承包人。通知包括试车内容、时间、地点和对承包人的要求，承包人按要求做好准备工作。试车合格，双方在试车记录上签字。</w:t>
      </w:r>
    </w:p>
    <w:p>
      <w:pPr>
        <w:widowControl/>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19.5双方责任</w:t>
      </w:r>
    </w:p>
    <w:p>
      <w:pPr>
        <w:widowControl/>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（1）由于设计原因试车达不到验收要求，发包人应要求设计单位修改设计，承包人按修改后的设计重新安装。发包人承担修改设计、拆除及重新安装的全部费用和追加合同价款，工期相应顺延。</w:t>
      </w:r>
    </w:p>
    <w:p>
      <w:pPr>
        <w:widowControl/>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2）由于设备制造原因试车达不到验收要求，由该设备采购一方负责重新购置或修理，承包人负责拆除和重新安装。设备由承包人采购的，由承包人承担修理或重新购置、拆除及重新安装的费用，工期不予顺延；设备由发包人采购的或由发包人认质认价，承包人采购的，发包人承担上述各项追加合同价款，工期相应顺延。</w:t>
      </w:r>
    </w:p>
    <w:p>
      <w:pPr>
        <w:widowControl/>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（3）由于承包人施工原因试车达不到验收要求，承包人按工程师要求重新安装和试车，并承担重新安装和试车的费用，工期不予顺延。</w:t>
      </w:r>
    </w:p>
    <w:p>
      <w:pPr>
        <w:widowControl/>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（4）试车费用除已包括在合同价款之内或专用条款另有约定外，均由发包人承担。</w:t>
      </w:r>
    </w:p>
    <w:p>
      <w:pPr>
        <w:widowControl/>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（5）工程师在试车合格后不在试车记录上签字，试车结束24小时后，视为工程师已经认可试车记录，承包人可继续施工或办理竣工手续。</w:t>
      </w:r>
    </w:p>
    <w:p>
      <w:pPr>
        <w:widowControl/>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19.6投料试车应在工程竣工验收后由发包人负责，如发包人要求在工程竣工验收前进行或需要承包人配合时，应征得承包人同意，另行签订补充协议。</w:t>
      </w:r>
    </w:p>
    <w:p>
      <w:pPr>
        <w:widowControl/>
        <w:spacing w:line="360" w:lineRule="auto"/>
        <w:ind w:firstLine="482" w:firstLineChars="200"/>
        <w:jc w:val="left"/>
        <w:rPr>
          <w:rFonts w:asciiTheme="minorEastAsia" w:hAnsiTheme="minorEastAsia" w:eastAsiaTheme="minorEastAsia" w:cstheme="minorEastAsia"/>
          <w:b/>
          <w:kern w:val="0"/>
          <w:sz w:val="24"/>
        </w:rPr>
      </w:pPr>
      <w:bookmarkStart w:id="27" w:name="_Toc11702"/>
      <w:r>
        <w:rPr>
          <w:rFonts w:hint="eastAsia" w:asciiTheme="minorEastAsia" w:hAnsiTheme="minorEastAsia" w:eastAsiaTheme="minorEastAsia" w:cstheme="minorEastAsia"/>
          <w:b/>
          <w:kern w:val="0"/>
          <w:sz w:val="24"/>
        </w:rPr>
        <w:t>五、安全防护、文明施工</w:t>
      </w:r>
      <w:bookmarkEnd w:id="27"/>
    </w:p>
    <w:p>
      <w:pPr>
        <w:widowControl/>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20、发包人责任</w:t>
      </w:r>
    </w:p>
    <w:p>
      <w:pPr>
        <w:widowControl/>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20．1发包人应遵守安全防护和文明施工的规定，督促承包人落实安全防护、文明施工措施，并按规定支付安全防护、文明施工措施费。</w:t>
      </w:r>
    </w:p>
    <w:p>
      <w:pPr>
        <w:widowControl/>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20．2发包人应对其在施工现场人员进行安全防护、文明施工教育，并对他们的安全负责。</w:t>
      </w:r>
    </w:p>
    <w:p>
      <w:pPr>
        <w:widowControl/>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20．3在合同工程实施、完成及保修期间，发包人不得要求承包人违反安全生产、文明施工规定和强制性标准规范进行施工；不得明示或暗示承包人购买、租赁、使用不符合安全施工要求的安全防护用具、机械设备、施工机具及配件、消防设施和器材。</w:t>
      </w:r>
    </w:p>
    <w:p>
      <w:pPr>
        <w:widowControl/>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20．4发包人违反上述规定或由于发包人原因导致安全事故的，由发包人承担相应责任和费用，顺延延误的工期。</w:t>
      </w:r>
    </w:p>
    <w:p>
      <w:pPr>
        <w:widowControl/>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21、承包人责任</w:t>
      </w:r>
    </w:p>
    <w:p>
      <w:pPr>
        <w:widowControl/>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21.1承包人应遵守安全防护和文明施工的规定，建立健全安全防护和文明施工的制度，对其在施工现场人员进行安全防护、文明施工教育，并对他们的安全负责。</w:t>
      </w:r>
    </w:p>
    <w:p>
      <w:pPr>
        <w:widowControl/>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21.2完善安全防护和文明施工条件，严格按照安全防护和文明施工的规定组织施工，采取必要的安全防护措施，消除事故隐患，自觉接受和配合依法实施的监督检查。</w:t>
      </w:r>
    </w:p>
    <w:p>
      <w:pPr>
        <w:widowControl/>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21.3在合同工程实施、完成及保修期间，承包人应做好施工现场的安全警示标志、道路及场地的硬化与必要的绿化、安全通道的合理布置、材料与设备的存放与保管、消防设施的齐全有效、现场垃圾的存放与清运、施工现场的照明与防护以及政府有关部门关于安全防护、文明施工规定的其它工作等。</w:t>
      </w:r>
    </w:p>
    <w:p>
      <w:pPr>
        <w:widowControl/>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21.4应按规定的范围使用安全文明措施费，保证专款专用，不得挪作它用。</w:t>
      </w:r>
    </w:p>
    <w:p>
      <w:pPr>
        <w:widowControl/>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21.5承包人对合同工程的安全施工负责，并应及时、如实报告生产安全事故。承包人违反上述规定或由于承包人原因造成的安全事故，由承包人承担相应责任和费用，工期不予顺延。</w:t>
      </w:r>
    </w:p>
    <w:p>
      <w:pPr>
        <w:widowControl/>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22、合同工程临近动力设备、输电线路、地下管道、密封防震车间、易燃易爆地段、建（构）筑物以及临街交通要道施工时，按有关规定应当采取防护措施的，施工开始前承包人应向工程师提出安全防护措施，经工程师认可后实施。防护措施费由发包人承担。</w:t>
      </w:r>
    </w:p>
    <w:p>
      <w:pPr>
        <w:widowControl/>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23、实施爆破作业，在放射、毒害性环境中施工（含储存、运输、使用）及使用毒害性、腐蚀性物品施工时，承包人应在施工前14天以书面通知工程师，并提出相应的安全防护措施，经工程师认可后实施，由发包人承担安全防护措施费用。</w:t>
      </w:r>
    </w:p>
    <w:p>
      <w:pPr>
        <w:widowControl/>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24、事故处理</w:t>
      </w:r>
    </w:p>
    <w:p>
      <w:pPr>
        <w:widowControl/>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24.1发生伤亡及其他安全事故，承包人应按有关规定立即上报有关部门并通知工程师，同时按政府有关部门要求处理，由事故责任方承担发生的费用。</w:t>
      </w:r>
    </w:p>
    <w:p>
      <w:pPr>
        <w:widowControl/>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24.2发包人承包人对事故责任有争议时，应按政府有关部门的认定处理。</w:t>
      </w:r>
    </w:p>
    <w:p>
      <w:pPr>
        <w:widowControl/>
        <w:spacing w:line="360" w:lineRule="auto"/>
        <w:ind w:firstLine="482" w:firstLineChars="200"/>
        <w:jc w:val="left"/>
        <w:rPr>
          <w:rFonts w:asciiTheme="minorEastAsia" w:hAnsiTheme="minorEastAsia" w:eastAsiaTheme="minorEastAsia" w:cstheme="minorEastAsia"/>
          <w:b/>
          <w:kern w:val="0"/>
          <w:sz w:val="24"/>
        </w:rPr>
      </w:pPr>
      <w:bookmarkStart w:id="28" w:name="_Toc15413"/>
      <w:r>
        <w:rPr>
          <w:rFonts w:hint="eastAsia" w:asciiTheme="minorEastAsia" w:hAnsiTheme="minorEastAsia" w:eastAsiaTheme="minorEastAsia" w:cstheme="minorEastAsia"/>
          <w:b/>
          <w:kern w:val="0"/>
          <w:sz w:val="24"/>
        </w:rPr>
        <w:t>六、合同价款</w:t>
      </w:r>
      <w:bookmarkEnd w:id="28"/>
    </w:p>
    <w:p>
      <w:pPr>
        <w:widowControl/>
        <w:spacing w:line="360" w:lineRule="auto"/>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kern w:val="0"/>
          <w:sz w:val="24"/>
        </w:rPr>
        <w:t>25、工程的计量规则和计价办法以《陕西省建设工程工程量清单计价规则》及相关规定为准，工程师应按照合同约定，依据上述规定进行工程计量和计价。</w:t>
      </w:r>
    </w:p>
    <w:p>
      <w:pPr>
        <w:widowControl/>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26、合同价款约定</w:t>
      </w:r>
    </w:p>
    <w:p>
      <w:pPr>
        <w:widowControl/>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26.1招标工程的合同价款由发包人承包人依据成交通知书中的成交价格在协议书内约定。非招标工程的合同价款由发包人承包人依据双方确认的工程预算书在协议书内约定。</w:t>
      </w:r>
    </w:p>
    <w:p>
      <w:pPr>
        <w:widowControl/>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26.2合同价款在协议书内约定后，任何一方不得擅自改变。下列三种确定合同价款的方式，双方可在专用条款内约定采用其中一种：</w:t>
      </w:r>
    </w:p>
    <w:p>
      <w:pPr>
        <w:widowControl/>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（1）固定总价合同。合同工期较短且工程合同总价较低的工程，可以采用固定总价合同方式。</w:t>
      </w:r>
    </w:p>
    <w:p>
      <w:pPr>
        <w:widowControl/>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（2）固定综合单价合同。一般适用于工程量清单计价项目。双方在专用条款内约定综合单价包含的风险范围，在约定的风险范围内综合单价不再调整。风险范围以外的综合单价调整方法应当在专用条款内约定。</w:t>
      </w:r>
    </w:p>
    <w:p>
      <w:pPr>
        <w:widowControl/>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（3）可调价格合同。可调价格包括可调综合单价和措施项目费用等，双方应在专用条款内约定综合单价和措施项目费的调整方法。</w:t>
      </w:r>
    </w:p>
    <w:p>
      <w:pPr>
        <w:widowControl/>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27、合同价款调整</w:t>
      </w:r>
    </w:p>
    <w:p>
      <w:pPr>
        <w:widowControl/>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27.1价格中工程量、综合单价、措施项目费用的调整因素包括：</w:t>
      </w:r>
    </w:p>
    <w:p>
      <w:pPr>
        <w:widowControl/>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（1）法律、行政法规和国家有关政策变化影响合同价款；</w:t>
      </w:r>
    </w:p>
    <w:p>
      <w:pPr>
        <w:widowControl/>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（2）工程造价管理机构的价格调整；</w:t>
      </w:r>
    </w:p>
    <w:p>
      <w:pPr>
        <w:widowControl/>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（3）经批准的设计变更；</w:t>
      </w:r>
    </w:p>
    <w:p>
      <w:pPr>
        <w:widowControl/>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（4）发包人更改经审定批准的施工组织设计（修正错误除外）造成费用变化；</w:t>
      </w:r>
    </w:p>
    <w:p>
      <w:pPr>
        <w:widowControl/>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（5）工程量清单的工程数量与实际工程量不符，按实际工程量进行调整计算；</w:t>
      </w:r>
    </w:p>
    <w:p>
      <w:pPr>
        <w:widowControl/>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（6）费用索赔事件或发包人负责的其他情况；</w:t>
      </w:r>
    </w:p>
    <w:p>
      <w:pPr>
        <w:widowControl/>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（7）双方在专用条款中约定的其他因素。</w:t>
      </w:r>
    </w:p>
    <w:p>
      <w:pPr>
        <w:widowControl/>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27.2承包人应当在27.1款情况发生后14天内，将调整原因、金额以书面形式通知工程师，工程师确认调整金额后作为追加合同价款，与工程款同期支付。工程师收到承包人通知后14天内不予确认也不提出修改意见，视为已经同意该项调整。承包人未在规定时间内通知发包人、或者未在规定时间内提出调整报告，发包人可以根据有关资料，决定是否调整和调整的金额并书面通知承包人，承包人如有异议，且协商达不成一致时，按第41条关于争议的约定处理。</w:t>
      </w:r>
    </w:p>
    <w:p>
      <w:pPr>
        <w:widowControl/>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28、工程预付款</w:t>
      </w:r>
    </w:p>
    <w:p>
      <w:pPr>
        <w:widowControl/>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28.1双方应当在专用条款内约定发包人向承包人预付工程款的比例、时间和抵扣方式，开工后按约定的时间和比例逐次扣回。预付款的预付比例不得低于合同总价的10%，也不得高于合同总价的30%。预付时间应在双方签订合同后的一个月内或不迟于约定的开工日期前7天。发包人不按约定预付，承包人在约定预付时间7天后10天内向发包人发出要求预付的通知，发包人收到通知后仍不能按要求预付，承包人可在发出通知后14天后停止施工，发包人应从约定应付之日起向承包人支付应付款的贷款利息（利率按同期银行贷款利率计），并承担违约责任。</w:t>
      </w:r>
    </w:p>
    <w:p>
      <w:pPr>
        <w:widowControl/>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28.2安全防护和文明施工措施费应在专用条款中约定预付方式。合同工期在一年以内的，预付比例不得低于总额的70%；合同工期在一年以上的（含一年），预付比例不得低于总额的50%。</w:t>
      </w:r>
    </w:p>
    <w:p>
      <w:pPr>
        <w:widowControl/>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29、已完工程量确认</w:t>
      </w:r>
    </w:p>
    <w:p>
      <w:pPr>
        <w:widowControl/>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29.1承包人应按专用条款约定的方法和时间，向工程师提交已完工程量的报告。工程师接到报告后14天内按设计图纸核实已完工程量（以下称计量），并在计量前24小时通知承包人，承包人为计量提供便利条件并派人参加。承包人收到通知后不参加计量，计量结果有效，作为工程价款支付的依据。</w:t>
      </w:r>
    </w:p>
    <w:p>
      <w:pPr>
        <w:widowControl/>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29.2工程师收到承包人报告后14天内未进行计量，从第15天起，承包人报告中开列的工程量即视为被确认，作为工程价款支付的依据。工程师不按约定时间通知承包人，致使承包人未能参加计量，计量结果无效。</w:t>
      </w:r>
    </w:p>
    <w:p>
      <w:pPr>
        <w:widowControl/>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29.3对承包人超出设计图纸（含设计变更）范围和因承包人原因造成返工的工程量，工程师不予计量。</w:t>
      </w:r>
    </w:p>
    <w:p>
      <w:pPr>
        <w:widowControl/>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30、工程进度款结算与支付</w:t>
      </w:r>
    </w:p>
    <w:p>
      <w:pPr>
        <w:widowControl/>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30.1双方应在专用条款内约定工程进度款结算支付方式。结算支付方式分为按月结算支付与分阶段结算支付。</w:t>
      </w:r>
    </w:p>
    <w:p>
      <w:pPr>
        <w:widowControl/>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30.2在确认计量结果后14天内，发包人应向承包人支付不低于应付款额75%、不高于应付款额90%的工程进度款。按约定时间发包人应扣回的预付款，与工程进度款同期结算抵扣。</w:t>
      </w:r>
    </w:p>
    <w:p>
      <w:pPr>
        <w:widowControl/>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30.3本通用条款第27条确定调整的合同价款，第35条工程变更调整的合同价款及其他条款中约定的追加合同价款，应与工程进度款同期调整支付。</w:t>
      </w:r>
    </w:p>
    <w:p>
      <w:pPr>
        <w:widowControl/>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30.4发包人超过约定的支付时间不支付工程进度款，承包人应及时向发包人发出要求付款的通知，发包人收到承包人通知后仍不能按要求付款，可与承包人协商签订延期付款协议，经承包人同意后可延期支付。协议应明确延期支付的时间和从计量结果确认后第15天起计算应付款的贷款利息（利率按同期银行贷款利率计）。</w:t>
      </w:r>
    </w:p>
    <w:p>
      <w:pPr>
        <w:widowControl/>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30.5发包人不按合同约定支付工程进度款，双方又未达成延期付款协议，导致施工无法进行，承包人可停止施工，由发包人承担违约责任。</w:t>
      </w:r>
    </w:p>
    <w:p>
      <w:pPr>
        <w:widowControl/>
        <w:spacing w:line="360" w:lineRule="auto"/>
        <w:ind w:firstLine="482" w:firstLineChars="200"/>
        <w:rPr>
          <w:rFonts w:asciiTheme="minorEastAsia" w:hAnsiTheme="minorEastAsia" w:eastAsiaTheme="minorEastAsia" w:cstheme="minorEastAsia"/>
          <w:b/>
          <w:kern w:val="0"/>
          <w:sz w:val="24"/>
        </w:rPr>
      </w:pPr>
      <w:bookmarkStart w:id="29" w:name="_Toc12497"/>
      <w:r>
        <w:rPr>
          <w:rFonts w:hint="eastAsia" w:asciiTheme="minorEastAsia" w:hAnsiTheme="minorEastAsia" w:eastAsiaTheme="minorEastAsia" w:cstheme="minorEastAsia"/>
          <w:b/>
          <w:kern w:val="0"/>
          <w:sz w:val="24"/>
        </w:rPr>
        <w:t>七、材料设备供应</w:t>
      </w:r>
      <w:bookmarkEnd w:id="29"/>
    </w:p>
    <w:p>
      <w:pPr>
        <w:widowControl/>
        <w:spacing w:line="360" w:lineRule="auto"/>
        <w:ind w:firstLine="480" w:firstLineChars="200"/>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31、发包人供应材料设备</w:t>
      </w:r>
    </w:p>
    <w:p>
      <w:pPr>
        <w:widowControl/>
        <w:spacing w:line="360" w:lineRule="auto"/>
        <w:ind w:firstLine="480" w:firstLineChars="200"/>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31.1实行发包人供应材料设备的，双方应当约定发包人供应材料设备的一览表，作为本合同附件（附件2）。一览表包括发包人供应材料设备的品种、规格、型号、数量、单价、质量等级、提供时间和地点。</w:t>
      </w:r>
    </w:p>
    <w:p>
      <w:pPr>
        <w:widowControl/>
        <w:spacing w:line="360" w:lineRule="auto"/>
        <w:ind w:firstLine="480" w:firstLineChars="200"/>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31.2发包人按一览表约定的内容提供材料设备，并向承包人提供产品合格证明，对其质量负责。发包人在所供材料设备到货前24小时，以书面形式通知承包人，由承包人派人与发包人共同清点。</w:t>
      </w:r>
    </w:p>
    <w:p>
      <w:pPr>
        <w:widowControl/>
        <w:spacing w:line="360" w:lineRule="auto"/>
        <w:ind w:firstLine="480" w:firstLineChars="200"/>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31.3发包人供应的材料设备，承包人派人参加清点后由承包人妥善保管，发包人支付相应保管费用。因承包人原因发生丢失损坏，由承包人负责赔偿。发包人未通知承包人清点，承包人不负责材料设备的保管，丢失损坏由发包人负责。</w:t>
      </w:r>
    </w:p>
    <w:p>
      <w:pPr>
        <w:widowControl/>
        <w:spacing w:line="360" w:lineRule="auto"/>
        <w:ind w:firstLine="480" w:firstLineChars="200"/>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31.4发包人供应的材料设备与一览表不符时，发包人承担有关责任。发包人应承担责任的具体内容，双方根据下列情况在专用条款内约定：</w:t>
      </w:r>
    </w:p>
    <w:p>
      <w:pPr>
        <w:widowControl/>
        <w:spacing w:line="360" w:lineRule="auto"/>
        <w:ind w:firstLine="480" w:firstLineChars="200"/>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（1）材料设备单价与一览表不符，由发包人承担所有价差；</w:t>
      </w:r>
    </w:p>
    <w:p>
      <w:pPr>
        <w:widowControl/>
        <w:spacing w:line="360" w:lineRule="auto"/>
        <w:ind w:firstLine="480" w:firstLineChars="200"/>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（2）材料设备的品种、规格、型号、质量等级与一览表不符，承包人可拒绝接收保管，由发包人运出施工场地并重新采购；</w:t>
      </w:r>
    </w:p>
    <w:p>
      <w:pPr>
        <w:widowControl/>
        <w:spacing w:line="360" w:lineRule="auto"/>
        <w:ind w:firstLine="480" w:firstLineChars="200"/>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（3）发包人供应的材料规格、型号与一览表不符，经发包人同意，承包人可代为调剂串换，由发包人承担相应费用；</w:t>
      </w:r>
    </w:p>
    <w:p>
      <w:pPr>
        <w:widowControl/>
        <w:spacing w:line="360" w:lineRule="auto"/>
        <w:ind w:firstLine="480" w:firstLineChars="200"/>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（4）到货地点与一览表不符，由发包人负责运至一览表指定地点；</w:t>
      </w:r>
    </w:p>
    <w:p>
      <w:pPr>
        <w:widowControl/>
        <w:spacing w:line="360" w:lineRule="auto"/>
        <w:ind w:firstLine="480" w:firstLineChars="200"/>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（5）供应数量少于一览表约定的数量时，由发包人补齐，多于一览表约定数量时，发包人负责将多出部分运出施工场地；</w:t>
      </w:r>
    </w:p>
    <w:p>
      <w:pPr>
        <w:widowControl/>
        <w:spacing w:line="360" w:lineRule="auto"/>
        <w:ind w:firstLine="480" w:firstLineChars="200"/>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（6）到货时间早于一览表约定时间，由发包人承担因此发生的保管费用；到货时间迟于一览表约定的供应时间，发包人赔偿由此造成的承包人损失，造成工期延误的，相应顺延工期；</w:t>
      </w:r>
    </w:p>
    <w:p>
      <w:pPr>
        <w:widowControl/>
        <w:spacing w:line="360" w:lineRule="auto"/>
        <w:ind w:firstLine="480" w:firstLineChars="200"/>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31.5发包人供应的材料设备使用前，由承包人负责检验或试验，不合格的不得使用，检验或试验费用由发包人承担。</w:t>
      </w:r>
    </w:p>
    <w:p>
      <w:pPr>
        <w:widowControl/>
        <w:spacing w:line="360" w:lineRule="auto"/>
        <w:ind w:firstLine="480" w:firstLineChars="200"/>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31.6发包人供应材料设备的结算方法，双方在专用条款内约定。</w:t>
      </w:r>
    </w:p>
    <w:p>
      <w:pPr>
        <w:widowControl/>
        <w:spacing w:line="360" w:lineRule="auto"/>
        <w:ind w:firstLine="480" w:firstLineChars="200"/>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32、承包人采购材料设备</w:t>
      </w:r>
    </w:p>
    <w:p>
      <w:pPr>
        <w:widowControl/>
        <w:spacing w:line="360" w:lineRule="auto"/>
        <w:ind w:firstLine="480" w:firstLineChars="200"/>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32.1承包人负责采购材料设备的，应按照专用条款约定及设计和有关标准要求采购，并提供产品合格证明，对材料设备质量负责。承包人在材料设备到货前24小时通知工程师清点。</w:t>
      </w:r>
    </w:p>
    <w:p>
      <w:pPr>
        <w:widowControl/>
        <w:spacing w:line="360" w:lineRule="auto"/>
        <w:ind w:firstLine="480" w:firstLineChars="200"/>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32.2承包人采购的材料设备与设计标准要求不符时，承包人应按工程师要求的时间运出施工场地，重新采购符合要求的产品，承担由此发生的费用，由此延误的工期不予顺延。</w:t>
      </w:r>
    </w:p>
    <w:p>
      <w:pPr>
        <w:widowControl/>
        <w:spacing w:line="360" w:lineRule="auto"/>
        <w:ind w:firstLine="480" w:firstLineChars="200"/>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32.3承包人采购的材料设备在使用前，承包人应按工程师的要求进行检验或试验，不合格的不得使用，检验或试验费用由承包人承担。</w:t>
      </w:r>
    </w:p>
    <w:p>
      <w:pPr>
        <w:widowControl/>
        <w:spacing w:line="360" w:lineRule="auto"/>
        <w:ind w:firstLine="480" w:firstLineChars="200"/>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32.4工程师发现承包人采购并使用不符合设计和标准要求的材料设备时，应要求承包人负责修复、拆除或重新采购，由承包人承担发生的费用，由此延误的工期不予顺延。</w:t>
      </w:r>
    </w:p>
    <w:p>
      <w:pPr>
        <w:widowControl/>
        <w:spacing w:line="360" w:lineRule="auto"/>
        <w:ind w:firstLine="480" w:firstLineChars="200"/>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32.5承包人需要使用代用材料时，应经工程师认可后才能使用，由此增减的合同价款双方以书面形式议定。</w:t>
      </w:r>
    </w:p>
    <w:p>
      <w:pPr>
        <w:widowControl/>
        <w:spacing w:line="360" w:lineRule="auto"/>
        <w:ind w:firstLine="480" w:firstLineChars="200"/>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32.6由承包人采购的材料设备，发包人不得指定生产厂或供应商。</w:t>
      </w:r>
    </w:p>
    <w:p>
      <w:pPr>
        <w:widowControl/>
        <w:spacing w:line="360" w:lineRule="auto"/>
        <w:ind w:firstLine="482" w:firstLineChars="200"/>
        <w:rPr>
          <w:rFonts w:asciiTheme="minorEastAsia" w:hAnsiTheme="minorEastAsia" w:eastAsiaTheme="minorEastAsia" w:cstheme="minorEastAsia"/>
          <w:b/>
          <w:kern w:val="0"/>
          <w:sz w:val="24"/>
        </w:rPr>
      </w:pPr>
      <w:r>
        <w:rPr>
          <w:rFonts w:hint="eastAsia" w:asciiTheme="minorEastAsia" w:hAnsiTheme="minorEastAsia" w:eastAsiaTheme="minorEastAsia" w:cstheme="minorEastAsia"/>
          <w:b/>
          <w:kern w:val="0"/>
          <w:sz w:val="24"/>
        </w:rPr>
        <w:t>八、工程变更</w:t>
      </w:r>
    </w:p>
    <w:p>
      <w:pPr>
        <w:widowControl/>
        <w:spacing w:line="360" w:lineRule="auto"/>
        <w:ind w:firstLine="480" w:firstLineChars="200"/>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33、工程设计变更</w:t>
      </w:r>
    </w:p>
    <w:p>
      <w:pPr>
        <w:widowControl/>
        <w:spacing w:line="360" w:lineRule="auto"/>
        <w:ind w:firstLine="480" w:firstLineChars="200"/>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33.1施工中发包人需对原工程设计变更，应提前14天以书面形式向承包人发出变更通知。变更超过原设计标准或批准的建设规模时，发包人应报规划管理部门和其他有关部门重新审查批准，并由原设计单位提供变更的相应图纸和说明。承包人按照工程师发出的变更通知及有关要求，进行下列需要的变更：</w:t>
      </w:r>
    </w:p>
    <w:p>
      <w:pPr>
        <w:widowControl/>
        <w:spacing w:line="360" w:lineRule="auto"/>
        <w:ind w:firstLine="480" w:firstLineChars="200"/>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（1）更改工程有关部分的标高、基线、位置和尺寸；</w:t>
      </w:r>
    </w:p>
    <w:p>
      <w:pPr>
        <w:widowControl/>
        <w:spacing w:line="360" w:lineRule="auto"/>
        <w:ind w:firstLine="480" w:firstLineChars="200"/>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（2）增减合同中约定的工程量；</w:t>
      </w:r>
    </w:p>
    <w:p>
      <w:pPr>
        <w:widowControl/>
        <w:spacing w:line="360" w:lineRule="auto"/>
        <w:ind w:firstLine="480" w:firstLineChars="200"/>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（3）改变有关工程的施工时间和顺序；</w:t>
      </w:r>
    </w:p>
    <w:p>
      <w:pPr>
        <w:widowControl/>
        <w:spacing w:line="360" w:lineRule="auto"/>
        <w:ind w:firstLine="480" w:firstLineChars="200"/>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（4）其他有关工程变更需要的附加工作。</w:t>
      </w:r>
    </w:p>
    <w:p>
      <w:pPr>
        <w:widowControl/>
        <w:spacing w:line="360" w:lineRule="auto"/>
        <w:ind w:firstLine="480" w:firstLineChars="200"/>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因变更导致合同价款的增减及造成的承包人损失，由发包人承担，延误的工期相应顺延。</w:t>
      </w:r>
    </w:p>
    <w:p>
      <w:pPr>
        <w:widowControl/>
        <w:spacing w:line="360" w:lineRule="auto"/>
        <w:ind w:firstLine="480" w:firstLineChars="200"/>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33.2施工中承包人不得对原工程设计进行变更。因承包人擅自变更设计发生的费用和由此导致发包人的直接损失，由承包人承担，延误的工期不予顺延。</w:t>
      </w:r>
    </w:p>
    <w:p>
      <w:pPr>
        <w:widowControl/>
        <w:spacing w:line="360" w:lineRule="auto"/>
        <w:ind w:firstLine="480" w:firstLineChars="200"/>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33.3承包人在施工中提出的合理化建议涉及到对设计图纸或施工组织设计的更改及对材料、设备的换用，须经工程师同意。未经同意擅自更改或换用时，承包人承担由此发生的费用，并赔偿发包人的有关损失，延误的工期不予顺延。工程师同意采用承包人合理化建议，所发生的费用和获得的收益，发包人承包人另行约定分担或分享。</w:t>
      </w:r>
    </w:p>
    <w:p>
      <w:pPr>
        <w:widowControl/>
        <w:spacing w:line="360" w:lineRule="auto"/>
        <w:ind w:firstLine="480" w:firstLineChars="200"/>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34、其他变更</w:t>
      </w:r>
    </w:p>
    <w:p>
      <w:pPr>
        <w:widowControl/>
        <w:spacing w:line="360" w:lineRule="auto"/>
        <w:ind w:firstLine="480" w:firstLineChars="200"/>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合同履行中发包人要求变更工程质量标准及发生其他实质性变更，由双方协商解决。</w:t>
      </w:r>
    </w:p>
    <w:p>
      <w:pPr>
        <w:widowControl/>
        <w:spacing w:line="360" w:lineRule="auto"/>
        <w:ind w:firstLine="480" w:firstLineChars="200"/>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35、确定变更价款</w:t>
      </w:r>
    </w:p>
    <w:p>
      <w:pPr>
        <w:widowControl/>
        <w:spacing w:line="360" w:lineRule="auto"/>
        <w:ind w:firstLine="480" w:firstLineChars="200"/>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35.1承包人在工程变更确定后14天内，提出变更工程价款的报告，经工程师确认后调整合同价款。变更合同价款按下列方法进行：</w:t>
      </w:r>
    </w:p>
    <w:p>
      <w:pPr>
        <w:widowControl/>
        <w:spacing w:line="360" w:lineRule="auto"/>
        <w:ind w:firstLine="480" w:firstLineChars="200"/>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（1）合同中已有适用于变更工程的综合单价或价格，按合同已有的综合单价或价格变更合同价款；</w:t>
      </w:r>
    </w:p>
    <w:p>
      <w:pPr>
        <w:widowControl/>
        <w:spacing w:line="360" w:lineRule="auto"/>
        <w:ind w:firstLine="480" w:firstLineChars="200"/>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（2）合同中只有类似于变更工程的综合单价或价格，可以参照类似综合单价或价格变更合同价款；</w:t>
      </w:r>
    </w:p>
    <w:p>
      <w:pPr>
        <w:widowControl/>
        <w:spacing w:line="360" w:lineRule="auto"/>
        <w:ind w:firstLine="480" w:firstLineChars="200"/>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（3）合同中没有适用或类似于变更工程的综合单价或价格，由承包人或发包人提出综合单价或价格，经双方确认后执行。</w:t>
      </w:r>
    </w:p>
    <w:p>
      <w:pPr>
        <w:widowControl/>
        <w:spacing w:line="360" w:lineRule="auto"/>
        <w:ind w:firstLine="480" w:firstLineChars="200"/>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35.2承包人在双方确定变更后14天内应向工程师提出变更工程价款报告，否则发包人可根据所掌握的资料决定是否调整合同价款和调整的具体金额，并书面通知承包人。</w:t>
      </w:r>
    </w:p>
    <w:p>
      <w:pPr>
        <w:widowControl/>
        <w:spacing w:line="360" w:lineRule="auto"/>
        <w:ind w:firstLine="480" w:firstLineChars="200"/>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35.3工程师应在收到变更工程价款报告之日起14天内予以确认，工程师无正当理由不确认也未提出协商意见时，自变更工程价款报告送达之日起14天后视为变更工程价款报告已被确认。</w:t>
      </w:r>
    </w:p>
    <w:p>
      <w:pPr>
        <w:widowControl/>
        <w:spacing w:line="360" w:lineRule="auto"/>
        <w:ind w:firstLine="480" w:firstLineChars="200"/>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35.4发承包双方对变更价款不能达成一致时，按本通用条款第41条关于争议的约定处理。</w:t>
      </w:r>
    </w:p>
    <w:p>
      <w:pPr>
        <w:widowControl/>
        <w:spacing w:line="360" w:lineRule="auto"/>
        <w:ind w:firstLine="480" w:firstLineChars="200"/>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35.5因承包人自身原因导致的工程变更，承包人无权要求追加合同价款。</w:t>
      </w:r>
    </w:p>
    <w:p>
      <w:pPr>
        <w:widowControl/>
        <w:spacing w:line="360" w:lineRule="auto"/>
        <w:ind w:firstLine="482" w:firstLineChars="200"/>
        <w:rPr>
          <w:rFonts w:asciiTheme="minorEastAsia" w:hAnsiTheme="minorEastAsia" w:eastAsiaTheme="minorEastAsia" w:cstheme="minorEastAsia"/>
          <w:b/>
          <w:kern w:val="0"/>
          <w:sz w:val="24"/>
        </w:rPr>
      </w:pPr>
      <w:r>
        <w:rPr>
          <w:rFonts w:hint="eastAsia" w:asciiTheme="minorEastAsia" w:hAnsiTheme="minorEastAsia" w:eastAsiaTheme="minorEastAsia" w:cstheme="minorEastAsia"/>
          <w:b/>
          <w:kern w:val="0"/>
          <w:sz w:val="24"/>
        </w:rPr>
        <w:t>九、竣工验收与结算</w:t>
      </w:r>
    </w:p>
    <w:p>
      <w:pPr>
        <w:widowControl/>
        <w:spacing w:line="360" w:lineRule="auto"/>
        <w:ind w:firstLine="480" w:firstLineChars="200"/>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36、竣工验收</w:t>
      </w:r>
    </w:p>
    <w:p>
      <w:pPr>
        <w:widowControl/>
        <w:spacing w:line="360" w:lineRule="auto"/>
        <w:ind w:firstLine="480" w:firstLineChars="200"/>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36.1工程具备竣工验收条件，承包人按国家工程竣工验收有关规定，向发包人提供完整竣工资料及竣工验收报告。双方约定由承包人提供竣工图的，应当在专用条款内约定提供的日期和份数。</w:t>
      </w:r>
    </w:p>
    <w:p>
      <w:pPr>
        <w:widowControl/>
        <w:spacing w:line="360" w:lineRule="auto"/>
        <w:ind w:firstLine="480" w:firstLineChars="200"/>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36.2发包人收到竣工验收报告后28天内组织有关单位验收，并在验收后14天内给予认可或提出修改意见。承包人按要求修改，并承担由自身原因造成修改的费用。</w:t>
      </w:r>
    </w:p>
    <w:p>
      <w:pPr>
        <w:widowControl/>
        <w:spacing w:line="360" w:lineRule="auto"/>
        <w:ind w:firstLine="480" w:firstLineChars="200"/>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36.3发包人收到承包人送交的竣工验收报告后28天内不组织验收，或验收后14天内不提出修改意见，视为竣工验收报告已被认可。</w:t>
      </w:r>
    </w:p>
    <w:p>
      <w:pPr>
        <w:widowControl/>
        <w:spacing w:line="360" w:lineRule="auto"/>
        <w:ind w:firstLine="480" w:firstLineChars="200"/>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36.4工程竣工验收通过，承包人送交竣工验收报告的日期为实际竣工日期。工程按发包人要求修改后通过竣工验收的，实际竣工日期为承包人修改后提请发包人验收的日期。</w:t>
      </w:r>
    </w:p>
    <w:p>
      <w:pPr>
        <w:widowControl/>
        <w:spacing w:line="360" w:lineRule="auto"/>
        <w:ind w:firstLine="480" w:firstLineChars="200"/>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36.5发包人收到承包人竣工验收报告后28天内不组织验收，从第29天起承担工程保管及一切意外责任。</w:t>
      </w:r>
    </w:p>
    <w:p>
      <w:pPr>
        <w:widowControl/>
        <w:spacing w:line="360" w:lineRule="auto"/>
        <w:ind w:firstLine="480" w:firstLineChars="200"/>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36.6中间交工工程的范围和竣工时间，双方在专用条款内约定，其验收程序按本通用条款36.1款至36.4款办理。</w:t>
      </w:r>
    </w:p>
    <w:p>
      <w:pPr>
        <w:widowControl/>
        <w:spacing w:line="360" w:lineRule="auto"/>
        <w:ind w:firstLine="480" w:firstLineChars="200"/>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36.7因特殊原因，发包人要求部分单位工程或工程部位甩项竣工的，双方另行签订甩项竣工协议，明确双方责任和工程价款的支付方法。</w:t>
      </w:r>
    </w:p>
    <w:p>
      <w:pPr>
        <w:widowControl/>
        <w:spacing w:line="360" w:lineRule="auto"/>
        <w:ind w:firstLine="480" w:firstLineChars="200"/>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36.8工程未经竣工验收或竣工验收未通过的，发包人不得使用。发包人强行使用时，由此发生的质量及其他问题，由发包人承担责任。</w:t>
      </w:r>
    </w:p>
    <w:p>
      <w:pPr>
        <w:widowControl/>
        <w:spacing w:line="360" w:lineRule="auto"/>
        <w:ind w:firstLine="480" w:firstLineChars="200"/>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37、竣工结算</w:t>
      </w:r>
    </w:p>
    <w:p>
      <w:pPr>
        <w:widowControl/>
        <w:spacing w:line="360" w:lineRule="auto"/>
        <w:ind w:firstLine="480" w:firstLineChars="200"/>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37.1工程竣工结算分为单位工程竣工结算、单项工程竣工结算和建设项目竣工总结算。</w:t>
      </w:r>
    </w:p>
    <w:p>
      <w:pPr>
        <w:widowControl/>
        <w:spacing w:line="360" w:lineRule="auto"/>
        <w:ind w:firstLine="480" w:firstLineChars="200"/>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37.2承包人应在工程通过竣工验收后，工程竣工结算报告金额在500万元以下的工程一般在20天以内、工程竣工结算报告金额在500万元以上的工程一般在</w:t>
      </w:r>
      <w:r>
        <w:rPr>
          <w:rFonts w:hint="eastAsia" w:asciiTheme="minorEastAsia" w:hAnsiTheme="minorEastAsia" w:eastAsiaTheme="minorEastAsia" w:cstheme="minorEastAsia"/>
          <w:color w:val="000000" w:themeColor="text1"/>
          <w:kern w:val="0"/>
          <w:sz w:val="24"/>
          <w14:textFill>
            <w14:solidFill>
              <w14:schemeClr w14:val="tx1"/>
            </w14:solidFill>
          </w14:textFill>
        </w:rPr>
        <w:t>60</w:t>
      </w:r>
      <w:r>
        <w:rPr>
          <w:rFonts w:hint="eastAsia" w:asciiTheme="minorEastAsia" w:hAnsiTheme="minorEastAsia" w:eastAsiaTheme="minorEastAsia" w:cstheme="minorEastAsia"/>
          <w:kern w:val="0"/>
          <w:sz w:val="24"/>
        </w:rPr>
        <w:t>天以内向发包人递交竣工结算报告及完整的结算资料，双方按照协议书约定的合同价款及专用条款约定的合同价款调整内容，进行工程竣工结算。</w:t>
      </w:r>
    </w:p>
    <w:p>
      <w:pPr>
        <w:widowControl/>
        <w:spacing w:line="360" w:lineRule="auto"/>
        <w:ind w:firstLine="480" w:firstLineChars="200"/>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建设项目总结算在最后一个单项工程竣工结算审查确认后，一般在15天以内向发包人提交竣工结算汇总资料。</w:t>
      </w:r>
    </w:p>
    <w:p>
      <w:pPr>
        <w:widowControl/>
        <w:spacing w:line="360" w:lineRule="auto"/>
        <w:ind w:firstLine="480" w:firstLineChars="200"/>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37.3发包人收到承包人递交的单位单项工程竣工结算报告及结算资料后，工程竣工结算报告金额在500万元以下的工程一般在20天以内、工程竣工结算报告金额在500万元以上的工程一般在60天以内（合同约定有期限的，从其约定）进行审查，给予确认或者提出修改意见。发包人确认竣工结算报告后向承包人支付工程竣工结算价款。</w:t>
      </w:r>
    </w:p>
    <w:p>
      <w:pPr>
        <w:widowControl/>
        <w:spacing w:line="360" w:lineRule="auto"/>
        <w:ind w:firstLine="480" w:firstLineChars="200"/>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37.4承包人收到竣工结算价款后14天内将竣工工程交付发包人。</w:t>
      </w:r>
    </w:p>
    <w:p>
      <w:pPr>
        <w:widowControl/>
        <w:spacing w:line="360" w:lineRule="auto"/>
        <w:ind w:firstLine="480" w:firstLineChars="200"/>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37.5发包人收到承包人建设项目竣工总结算汇总资料后30天内，审查完成。</w:t>
      </w:r>
    </w:p>
    <w:p>
      <w:pPr>
        <w:widowControl/>
        <w:spacing w:line="360" w:lineRule="auto"/>
        <w:ind w:firstLine="480" w:firstLineChars="200"/>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37.6发包人收到竣工结算报告及结算资料后，在本条规定期限内对结算报告及资料没有提出意见则视同认可。</w:t>
      </w:r>
    </w:p>
    <w:p>
      <w:pPr>
        <w:widowControl/>
        <w:spacing w:line="360" w:lineRule="auto"/>
        <w:ind w:firstLine="480" w:firstLineChars="200"/>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37.7承包人如未在规定时间内提供完整的工程竣工结算资料，经发包人催促后14天内仍未提供或没有明确答复，发包人有权根据已有资料进行审查，责任由承包人自负。发包人要求交付工程的，承包人应当交付；发包人不要求交付工程的，承包人承担保管责任。</w:t>
      </w:r>
    </w:p>
    <w:p>
      <w:pPr>
        <w:widowControl/>
        <w:spacing w:line="360" w:lineRule="auto"/>
        <w:ind w:firstLine="480" w:firstLineChars="200"/>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37.8根据确认的竣工结算报告，承包人向发包人申请支付工程竣工结算款。发包人应在收到申请后15天内支付结算款，到期没有支付的应承担违约责任。承包人可以催告发包人支付结算价款，如达成延期支付协议的，发包人应按同期银行贷款利率支付拖欠工程价款的利息。如未达成延期支付协议，承包人可以与发包人协商将该工程折价或申请人民法院将该工程依法拍卖，承包人就该工程折价或者拍卖的价款优先受偿。</w:t>
      </w:r>
    </w:p>
    <w:p>
      <w:pPr>
        <w:widowControl/>
        <w:spacing w:line="360" w:lineRule="auto"/>
        <w:ind w:firstLine="480" w:firstLineChars="200"/>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37.9发包人承包人对工程竣工结算价款发生争议时，按本通用条款第41条关于争议的约定处理。</w:t>
      </w:r>
    </w:p>
    <w:p>
      <w:pPr>
        <w:widowControl/>
        <w:spacing w:line="360" w:lineRule="auto"/>
        <w:ind w:firstLine="480" w:firstLineChars="200"/>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38、质量保证</w:t>
      </w:r>
    </w:p>
    <w:p>
      <w:pPr>
        <w:widowControl/>
        <w:spacing w:line="360" w:lineRule="auto"/>
        <w:ind w:firstLine="480" w:firstLineChars="200"/>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38.1承包人应按法律、行政法规或国家关于工程质量保修的有关规定，对交付发包人使用的工程在质量保修期内承担质量保修责任。</w:t>
      </w:r>
    </w:p>
    <w:p>
      <w:pPr>
        <w:widowControl/>
        <w:spacing w:line="360" w:lineRule="auto"/>
        <w:ind w:firstLine="480" w:firstLineChars="200"/>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38.2质量保修工作的实施。承包人与发包人签订质量保修书，作为本合同附件（附件３）。发包人应明确保证金预留、返还等内容，并与承包人在合同条款中对涉及保证金的下列事项进行约定：</w:t>
      </w:r>
    </w:p>
    <w:p>
      <w:pPr>
        <w:widowControl/>
        <w:spacing w:line="360" w:lineRule="auto"/>
        <w:ind w:firstLine="480" w:firstLineChars="200"/>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（1）保证金预留、返还方式；</w:t>
      </w:r>
    </w:p>
    <w:p>
      <w:pPr>
        <w:widowControl/>
        <w:spacing w:line="360" w:lineRule="auto"/>
        <w:ind w:firstLine="480" w:firstLineChars="200"/>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（2）保证金预留比例、期限；</w:t>
      </w:r>
    </w:p>
    <w:p>
      <w:pPr>
        <w:widowControl/>
        <w:spacing w:line="360" w:lineRule="auto"/>
        <w:ind w:firstLine="480" w:firstLineChars="200"/>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（3）保证金是否计付利息，如计利息，利息的计算方式；</w:t>
      </w:r>
    </w:p>
    <w:p>
      <w:pPr>
        <w:widowControl/>
        <w:spacing w:line="360" w:lineRule="auto"/>
        <w:ind w:firstLine="480" w:firstLineChars="200"/>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（4）缺陷责任期的期限及计算方式；</w:t>
      </w:r>
    </w:p>
    <w:p>
      <w:pPr>
        <w:widowControl/>
        <w:spacing w:line="360" w:lineRule="auto"/>
        <w:ind w:firstLine="480" w:firstLineChars="200"/>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（5）保证金预留、返还及工程维修质量、费用等争议的处理程序；</w:t>
      </w:r>
    </w:p>
    <w:p>
      <w:pPr>
        <w:widowControl/>
        <w:spacing w:line="360" w:lineRule="auto"/>
        <w:ind w:firstLine="480" w:firstLineChars="200"/>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（6）缺陷责任期内出现缺陷的索赔方式。</w:t>
      </w:r>
    </w:p>
    <w:p>
      <w:pPr>
        <w:widowControl/>
        <w:spacing w:line="360" w:lineRule="auto"/>
        <w:ind w:firstLine="480" w:firstLineChars="200"/>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38.3质量保修书的主要内容包括：</w:t>
      </w:r>
    </w:p>
    <w:p>
      <w:pPr>
        <w:widowControl/>
        <w:spacing w:line="360" w:lineRule="auto"/>
        <w:ind w:firstLine="480" w:firstLineChars="200"/>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（1）质量保修项目内容及范围；</w:t>
      </w:r>
    </w:p>
    <w:p>
      <w:pPr>
        <w:widowControl/>
        <w:spacing w:line="360" w:lineRule="auto"/>
        <w:ind w:firstLine="480" w:firstLineChars="200"/>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（2）质量保修期；</w:t>
      </w:r>
    </w:p>
    <w:p>
      <w:pPr>
        <w:widowControl/>
        <w:spacing w:line="360" w:lineRule="auto"/>
        <w:ind w:firstLine="480" w:firstLineChars="200"/>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（3）质量保修责任；</w:t>
      </w:r>
    </w:p>
    <w:p>
      <w:pPr>
        <w:widowControl/>
        <w:spacing w:line="360" w:lineRule="auto"/>
        <w:ind w:firstLine="480" w:firstLineChars="200"/>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（4）质量保修金的支付方法。</w:t>
      </w:r>
    </w:p>
    <w:p>
      <w:pPr>
        <w:widowControl/>
        <w:spacing w:line="360" w:lineRule="auto"/>
        <w:ind w:firstLine="480" w:firstLineChars="200"/>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38.4质量保证金按工程价款结算总额5%以内的比例预留。</w:t>
      </w:r>
    </w:p>
    <w:p>
      <w:pPr>
        <w:widowControl/>
        <w:spacing w:line="360" w:lineRule="auto"/>
        <w:ind w:firstLine="482" w:firstLineChars="200"/>
        <w:rPr>
          <w:rFonts w:asciiTheme="minorEastAsia" w:hAnsiTheme="minorEastAsia" w:eastAsiaTheme="minorEastAsia" w:cstheme="minorEastAsia"/>
          <w:b/>
          <w:kern w:val="0"/>
          <w:sz w:val="24"/>
        </w:rPr>
      </w:pPr>
      <w:r>
        <w:rPr>
          <w:rFonts w:hint="eastAsia" w:asciiTheme="minorEastAsia" w:hAnsiTheme="minorEastAsia" w:eastAsiaTheme="minorEastAsia" w:cstheme="minorEastAsia"/>
          <w:b/>
          <w:kern w:val="0"/>
          <w:sz w:val="24"/>
        </w:rPr>
        <w:t>十、违约、索赔和争议</w:t>
      </w:r>
    </w:p>
    <w:p>
      <w:pPr>
        <w:widowControl/>
        <w:spacing w:line="360" w:lineRule="auto"/>
        <w:ind w:firstLine="480" w:firstLineChars="200"/>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39、违约</w:t>
      </w:r>
    </w:p>
    <w:p>
      <w:pPr>
        <w:widowControl/>
        <w:spacing w:line="360" w:lineRule="auto"/>
        <w:ind w:firstLine="480" w:firstLineChars="200"/>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39.1发包人违约。当发生下列情况时：</w:t>
      </w:r>
    </w:p>
    <w:p>
      <w:pPr>
        <w:widowControl/>
        <w:spacing w:line="360" w:lineRule="auto"/>
        <w:ind w:firstLine="480" w:firstLineChars="200"/>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（1）本通用条款第28.1款提到的发包人不按时支付工程预付款；</w:t>
      </w:r>
    </w:p>
    <w:p>
      <w:pPr>
        <w:widowControl/>
        <w:spacing w:line="360" w:lineRule="auto"/>
        <w:ind w:firstLine="480" w:firstLineChars="200"/>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（2）本通用条款第30.5款提到的发包人不按合同约定支付工程款，导致施工无法进行；</w:t>
      </w:r>
    </w:p>
    <w:p>
      <w:pPr>
        <w:widowControl/>
        <w:spacing w:line="360" w:lineRule="auto"/>
        <w:ind w:firstLine="480" w:firstLineChars="200"/>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（3）本通用条款第37.6款提到的发包人无正当理由不支付工程竣工结算价款；</w:t>
      </w:r>
    </w:p>
    <w:p>
      <w:pPr>
        <w:widowControl/>
        <w:spacing w:line="360" w:lineRule="auto"/>
        <w:ind w:firstLine="480" w:firstLineChars="200"/>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（4）发包人不履行合同义务或不按合同约定履行义务的其他情况。</w:t>
      </w:r>
    </w:p>
    <w:p>
      <w:pPr>
        <w:widowControl/>
        <w:spacing w:line="360" w:lineRule="auto"/>
        <w:ind w:firstLine="480" w:firstLineChars="200"/>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发包人承担违约责任，赔偿因其违约给承包人造成的经济损失，顺延延误的工期。双方在专用条款内约定发包人赔偿承包人损失的计算方法或者发包人应当支付违约金的数额和计算方法。</w:t>
      </w:r>
    </w:p>
    <w:p>
      <w:pPr>
        <w:widowControl/>
        <w:spacing w:line="360" w:lineRule="auto"/>
        <w:ind w:firstLine="480" w:firstLineChars="200"/>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39.2承包人违约。当发生下列情况时：</w:t>
      </w:r>
    </w:p>
    <w:p>
      <w:pPr>
        <w:widowControl/>
        <w:spacing w:line="360" w:lineRule="auto"/>
        <w:ind w:firstLine="480" w:firstLineChars="200"/>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（1）本通用条款第14.2款提到的因承包人原因不能按照协议书约定的竣工日期或工程师同意顺延的工期竣工；</w:t>
      </w:r>
    </w:p>
    <w:p>
      <w:pPr>
        <w:widowControl/>
        <w:spacing w:line="360" w:lineRule="auto"/>
        <w:ind w:firstLine="480" w:firstLineChars="200"/>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（2）本通用条款第15.1款提到的因承包人原因工程质量达不到协议书约定的质量标准；</w:t>
      </w:r>
    </w:p>
    <w:p>
      <w:pPr>
        <w:widowControl/>
        <w:spacing w:line="360" w:lineRule="auto"/>
        <w:ind w:firstLine="480" w:firstLineChars="200"/>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（3）承包人不履行合同义务或不按合同约定履行义务的其他情况。</w:t>
      </w:r>
    </w:p>
    <w:p>
      <w:pPr>
        <w:widowControl/>
        <w:spacing w:line="360" w:lineRule="auto"/>
        <w:ind w:firstLine="480" w:firstLineChars="200"/>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承包人承担违约责任，赔偿因其违约给发包人造成的损失。双方在专用条款内约定承包人赔偿发包人损失的计算方法或者承包人应当支付违约金的数额和计算方法。</w:t>
      </w:r>
    </w:p>
    <w:p>
      <w:pPr>
        <w:widowControl/>
        <w:spacing w:line="360" w:lineRule="auto"/>
        <w:ind w:firstLine="480" w:firstLineChars="200"/>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39.3一方违约后，另一方要求违约方继续履行合同时，违约方承担上述违约责任后仍应继续履行合同。</w:t>
      </w:r>
    </w:p>
    <w:p>
      <w:pPr>
        <w:widowControl/>
        <w:spacing w:line="360" w:lineRule="auto"/>
        <w:ind w:firstLine="480" w:firstLineChars="200"/>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40、索赔</w:t>
      </w:r>
    </w:p>
    <w:p>
      <w:pPr>
        <w:widowControl/>
        <w:spacing w:line="360" w:lineRule="auto"/>
        <w:ind w:firstLine="480" w:firstLineChars="200"/>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40.1当一方向另一方提出索赔时，要有正当索赔理由，且有索赔事件发生时的有效证据。</w:t>
      </w:r>
    </w:p>
    <w:p>
      <w:pPr>
        <w:widowControl/>
        <w:spacing w:line="360" w:lineRule="auto"/>
        <w:ind w:firstLine="480" w:firstLineChars="200"/>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40.2发包人未能按合同约定履行自己的各项义务或发生错误以及应由发包人承担责任的其他情况，造成工期延误和（或）承包人不能及时得到合同价款及承包人的其他经济损失，承包人可按下列程序以书面形式向发包人索赔：</w:t>
      </w:r>
    </w:p>
    <w:p>
      <w:pPr>
        <w:widowControl/>
        <w:spacing w:line="360" w:lineRule="auto"/>
        <w:ind w:firstLine="480" w:firstLineChars="200"/>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（1）索赔事件发生后28天内，向工程师发出索赔意向通知；</w:t>
      </w:r>
    </w:p>
    <w:p>
      <w:pPr>
        <w:widowControl/>
        <w:spacing w:line="360" w:lineRule="auto"/>
        <w:ind w:firstLine="480" w:firstLineChars="200"/>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（2）发出索赔意向通知后28天内，向工程师提出延长工期和（或）补偿经济损失的索赔报告及有关资料；</w:t>
      </w:r>
    </w:p>
    <w:p>
      <w:pPr>
        <w:widowControl/>
        <w:spacing w:line="360" w:lineRule="auto"/>
        <w:ind w:firstLine="480" w:firstLineChars="200"/>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（3）工程师在收到承包人送交的索赔报告和有关资料后，于28天内给予答复，或要求承包人进一步补充索赔理由和证据；</w:t>
      </w:r>
    </w:p>
    <w:p>
      <w:pPr>
        <w:widowControl/>
        <w:spacing w:line="360" w:lineRule="auto"/>
        <w:ind w:firstLine="480" w:firstLineChars="200"/>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（4）工程师在收到承包人送交的索赔报告和有关资料后28天内未予答复或未对承包人作进一步要求，视为该项索赔已经认可；</w:t>
      </w:r>
    </w:p>
    <w:p>
      <w:pPr>
        <w:widowControl/>
        <w:spacing w:line="360" w:lineRule="auto"/>
        <w:ind w:firstLine="480" w:firstLineChars="200"/>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（5）当该索赔事件持续进行时，承包人应当阶段性向工程师发出索赔意向，在索赔事件终了后28天内，向工程师送交索赔的有关资料和最终索赔报告。索赔答复程序与（3）、（4）规定相同。</w:t>
      </w:r>
    </w:p>
    <w:p>
      <w:pPr>
        <w:widowControl/>
        <w:spacing w:line="360" w:lineRule="auto"/>
        <w:ind w:firstLine="480" w:firstLineChars="200"/>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40.3承包人未能按合同约定履行自己的各项义务或发生错误，给发包人造成经济损失，发包人可按40.2款确定的时限向承包人提出索赔。</w:t>
      </w:r>
    </w:p>
    <w:p>
      <w:pPr>
        <w:widowControl/>
        <w:spacing w:line="360" w:lineRule="auto"/>
        <w:ind w:firstLine="480" w:firstLineChars="200"/>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41、争议</w:t>
      </w:r>
    </w:p>
    <w:p>
      <w:pPr>
        <w:widowControl/>
        <w:spacing w:line="360" w:lineRule="auto"/>
        <w:ind w:firstLine="480" w:firstLineChars="200"/>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41.1发包人承包人在履行合同时发生争议，可以协商和解或者要求有关主管部门调解。当事人不愿和解、调解或者和解、调解不成的，双方可以在专用条款内约定以下一种方式解决争议：第一种解决方式：双方达成仲裁协议，向约定的仲裁委员会申请仲裁；第二种解决方式：向有管辖权的人民法院起诉。</w:t>
      </w:r>
    </w:p>
    <w:p>
      <w:pPr>
        <w:widowControl/>
        <w:spacing w:line="360" w:lineRule="auto"/>
        <w:ind w:firstLine="480" w:firstLineChars="200"/>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41.2发生争议后，除非出现下列情况的，双方都应继续履行合同，保持施工连续，保护好已完工程：</w:t>
      </w:r>
    </w:p>
    <w:p>
      <w:pPr>
        <w:widowControl/>
        <w:spacing w:line="360" w:lineRule="auto"/>
        <w:ind w:firstLine="480" w:firstLineChars="200"/>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（1）单方违约导致合同确已无法履行，双方协议停止施工；</w:t>
      </w:r>
    </w:p>
    <w:p>
      <w:pPr>
        <w:widowControl/>
        <w:spacing w:line="360" w:lineRule="auto"/>
        <w:ind w:firstLine="480" w:firstLineChars="200"/>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（2）调解要求停止施工，且为双方接受；</w:t>
      </w:r>
    </w:p>
    <w:p>
      <w:pPr>
        <w:widowControl/>
        <w:spacing w:line="360" w:lineRule="auto"/>
        <w:ind w:firstLine="480" w:firstLineChars="200"/>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（3）仲裁机构要求停止施工；</w:t>
      </w:r>
    </w:p>
    <w:p>
      <w:pPr>
        <w:widowControl/>
        <w:spacing w:line="360" w:lineRule="auto"/>
        <w:ind w:firstLine="480" w:firstLineChars="200"/>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（4）法院要求停止施工。</w:t>
      </w:r>
    </w:p>
    <w:p>
      <w:pPr>
        <w:widowControl/>
        <w:spacing w:line="360" w:lineRule="auto"/>
        <w:ind w:firstLine="482" w:firstLineChars="200"/>
        <w:rPr>
          <w:rFonts w:asciiTheme="minorEastAsia" w:hAnsiTheme="minorEastAsia" w:eastAsiaTheme="minorEastAsia" w:cstheme="minorEastAsia"/>
          <w:b/>
          <w:kern w:val="0"/>
          <w:sz w:val="24"/>
        </w:rPr>
      </w:pPr>
      <w:r>
        <w:rPr>
          <w:rFonts w:hint="eastAsia" w:asciiTheme="minorEastAsia" w:hAnsiTheme="minorEastAsia" w:eastAsiaTheme="minorEastAsia" w:cstheme="minorEastAsia"/>
          <w:b/>
          <w:kern w:val="0"/>
          <w:sz w:val="24"/>
        </w:rPr>
        <w:t>十一、其他</w:t>
      </w:r>
    </w:p>
    <w:p>
      <w:pPr>
        <w:widowControl/>
        <w:spacing w:line="360" w:lineRule="auto"/>
        <w:ind w:firstLine="480" w:firstLineChars="200"/>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42、工程分包</w:t>
      </w:r>
    </w:p>
    <w:p>
      <w:pPr>
        <w:widowControl/>
        <w:spacing w:line="360" w:lineRule="auto"/>
        <w:ind w:firstLine="480" w:firstLineChars="200"/>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42.1承包人需要将专业工程或劳务进行分包的，应分包给具有相应资质的专业或劳务企业，并与分包企业签订分包合同。</w:t>
      </w:r>
    </w:p>
    <w:p>
      <w:pPr>
        <w:widowControl/>
        <w:spacing w:line="360" w:lineRule="auto"/>
        <w:ind w:firstLine="480" w:firstLineChars="200"/>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42.2承包人不得将其承包的工程转包给他人，也不得将其承包的工程以分包的名义转包给他人。</w:t>
      </w:r>
    </w:p>
    <w:p>
      <w:pPr>
        <w:widowControl/>
        <w:spacing w:line="360" w:lineRule="auto"/>
        <w:ind w:firstLine="480" w:firstLineChars="200"/>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42.3工程分包不能解除承包人任何责任与义务。承包人应在分包场地派驻相应管理人员，保证本合同的履行。分包单位的任何违约行为或疏忽导致工程损害或给发包人造成其他损失，承包人承担连带责任。</w:t>
      </w:r>
    </w:p>
    <w:p>
      <w:pPr>
        <w:widowControl/>
        <w:spacing w:line="360" w:lineRule="auto"/>
        <w:ind w:firstLine="480" w:firstLineChars="200"/>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42.4分包工程价款由承包人与分包单位结算。发包人未经承包人同意不得以任何形式向分包单位支付各种工程款项。</w:t>
      </w:r>
    </w:p>
    <w:p>
      <w:pPr>
        <w:widowControl/>
        <w:spacing w:line="360" w:lineRule="auto"/>
        <w:ind w:firstLine="480" w:firstLineChars="200"/>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42.5承包人应按时支付分包工程款及劳务费。若承包人不能按时支付时，发包人可将此部分款项从向承包人支付的工程款中扣出并直接支付给分包人和劳务人员。</w:t>
      </w:r>
    </w:p>
    <w:p>
      <w:pPr>
        <w:widowControl/>
        <w:spacing w:line="360" w:lineRule="auto"/>
        <w:ind w:firstLine="480" w:firstLineChars="200"/>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43、不可抗力</w:t>
      </w:r>
    </w:p>
    <w:p>
      <w:pPr>
        <w:widowControl/>
        <w:spacing w:line="360" w:lineRule="auto"/>
        <w:ind w:firstLine="480" w:firstLineChars="200"/>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43.1不可抗力包括因战争、动乱、空中飞行物体坠落或其他非发包人承包人责任造成的爆炸、火灾，以及专用条款约定的风、雨、雪、洪、震等自然灾害。</w:t>
      </w:r>
    </w:p>
    <w:p>
      <w:pPr>
        <w:widowControl/>
        <w:spacing w:line="360" w:lineRule="auto"/>
        <w:ind w:firstLine="480" w:firstLineChars="200"/>
        <w:rPr>
          <w:rFonts w:ascii="宋体" w:hAnsi="宋体" w:cs="宋体"/>
          <w:kern w:val="0"/>
          <w:sz w:val="24"/>
        </w:rPr>
      </w:pPr>
      <w:r>
        <w:rPr>
          <w:rFonts w:hint="eastAsia" w:asciiTheme="minorEastAsia" w:hAnsiTheme="minorEastAsia" w:eastAsiaTheme="minorEastAsia" w:cstheme="minorEastAsia"/>
          <w:kern w:val="0"/>
          <w:sz w:val="24"/>
        </w:rPr>
        <w:t>43.2不可抗力事件发生后，承包人应立即通知工程师，双方应在力所能及的条件下迅速采取措施，尽力减少损失，发包人应协助承包人采取措施。工程师认为应当暂停施工的，承包人应暂停施工。不可抗力事件结束后48小时内承包人向工程师通报受害情况和损失情况，及预计清理和修复的费用。不可抗事件持续发生，承包人应每隔7</w:t>
      </w:r>
      <w:r>
        <w:rPr>
          <w:rFonts w:hint="eastAsia" w:ascii="宋体" w:hAnsi="宋体" w:cs="宋体"/>
          <w:kern w:val="0"/>
          <w:sz w:val="24"/>
        </w:rPr>
        <w:t>天向工程师报告一次受害情况。不可抗力事件结束后14天内，承包人向工程师提交清理和修复费用的正式报告及有关资料。</w:t>
      </w:r>
    </w:p>
    <w:p>
      <w:pPr>
        <w:widowControl/>
        <w:spacing w:line="360" w:lineRule="auto"/>
        <w:ind w:firstLine="480" w:firstLineChars="200"/>
        <w:rPr>
          <w:rFonts w:ascii="宋体" w:hAnsi="宋体" w:cs="宋体"/>
          <w:kern w:val="0"/>
          <w:sz w:val="24"/>
        </w:rPr>
      </w:pPr>
      <w:r>
        <w:rPr>
          <w:rFonts w:hint="eastAsia" w:ascii="宋体" w:hAnsi="宋体" w:cs="宋体"/>
          <w:kern w:val="0"/>
          <w:sz w:val="24"/>
        </w:rPr>
        <w:t>43.3因不可抗力事件导致的费用及延误的工期由双方按以下方法分别承担：</w:t>
      </w:r>
    </w:p>
    <w:p>
      <w:pPr>
        <w:widowControl/>
        <w:spacing w:line="360" w:lineRule="auto"/>
        <w:ind w:firstLine="480" w:firstLineChars="200"/>
        <w:rPr>
          <w:rFonts w:ascii="宋体" w:hAnsi="宋体" w:cs="宋体"/>
          <w:kern w:val="0"/>
          <w:sz w:val="24"/>
        </w:rPr>
      </w:pPr>
      <w:r>
        <w:rPr>
          <w:rFonts w:hint="eastAsia" w:ascii="宋体" w:hAnsi="宋体" w:cs="宋体"/>
          <w:kern w:val="0"/>
          <w:sz w:val="24"/>
        </w:rPr>
        <w:t>（1）工程本身的损害、因工程损害导致第三人人员伤亡和财产损失以及运至施工场地用于施工的材料和待安装的设备的损害，由发包人承担；</w:t>
      </w:r>
    </w:p>
    <w:p>
      <w:pPr>
        <w:widowControl/>
        <w:spacing w:line="360" w:lineRule="auto"/>
        <w:ind w:firstLine="480" w:firstLineChars="200"/>
        <w:rPr>
          <w:rFonts w:ascii="宋体" w:hAnsi="宋体" w:cs="宋体"/>
          <w:kern w:val="0"/>
          <w:sz w:val="24"/>
        </w:rPr>
      </w:pPr>
      <w:r>
        <w:rPr>
          <w:rFonts w:hint="eastAsia" w:ascii="宋体" w:hAnsi="宋体" w:cs="宋体"/>
          <w:kern w:val="0"/>
          <w:sz w:val="24"/>
        </w:rPr>
        <w:t>（2）发包人承包人人员伤亡由其所在单位负责，并承担相应费用；</w:t>
      </w:r>
    </w:p>
    <w:p>
      <w:pPr>
        <w:widowControl/>
        <w:spacing w:line="360" w:lineRule="auto"/>
        <w:ind w:firstLine="480" w:firstLineChars="200"/>
        <w:rPr>
          <w:rFonts w:ascii="宋体" w:hAnsi="宋体" w:cs="宋体"/>
          <w:kern w:val="0"/>
          <w:sz w:val="24"/>
        </w:rPr>
      </w:pPr>
      <w:r>
        <w:rPr>
          <w:rFonts w:hint="eastAsia" w:ascii="宋体" w:hAnsi="宋体" w:cs="宋体"/>
          <w:kern w:val="0"/>
          <w:sz w:val="24"/>
        </w:rPr>
        <w:t>（3）承包人机械设备损坏及停工损失，由承包人承担；</w:t>
      </w:r>
    </w:p>
    <w:p>
      <w:pPr>
        <w:widowControl/>
        <w:spacing w:line="360" w:lineRule="auto"/>
        <w:ind w:firstLine="480" w:firstLineChars="200"/>
        <w:rPr>
          <w:rFonts w:ascii="宋体" w:hAnsi="宋体" w:cs="宋体"/>
          <w:kern w:val="0"/>
          <w:sz w:val="24"/>
        </w:rPr>
      </w:pPr>
      <w:r>
        <w:rPr>
          <w:rFonts w:hint="eastAsia" w:ascii="宋体" w:hAnsi="宋体" w:cs="宋体"/>
          <w:kern w:val="0"/>
          <w:sz w:val="24"/>
        </w:rPr>
        <w:t>（4）停工期间，承包人应工程师要求留在施工场地的必要的管理人员及保卫人员的费用由发包人承担；</w:t>
      </w:r>
    </w:p>
    <w:p>
      <w:pPr>
        <w:widowControl/>
        <w:spacing w:line="360" w:lineRule="auto"/>
        <w:ind w:firstLine="480" w:firstLineChars="200"/>
        <w:rPr>
          <w:rFonts w:ascii="宋体" w:hAnsi="宋体" w:cs="宋体"/>
          <w:kern w:val="0"/>
          <w:sz w:val="24"/>
        </w:rPr>
      </w:pPr>
      <w:r>
        <w:rPr>
          <w:rFonts w:hint="eastAsia" w:ascii="宋体" w:hAnsi="宋体" w:cs="宋体"/>
          <w:kern w:val="0"/>
          <w:sz w:val="24"/>
        </w:rPr>
        <w:t>（5）工程所需清理、修复费用，由发包人承担；</w:t>
      </w:r>
    </w:p>
    <w:p>
      <w:pPr>
        <w:widowControl/>
        <w:spacing w:line="360" w:lineRule="auto"/>
        <w:ind w:firstLine="480" w:firstLineChars="200"/>
        <w:rPr>
          <w:rFonts w:ascii="宋体" w:hAnsi="宋体" w:cs="宋体"/>
          <w:kern w:val="0"/>
          <w:sz w:val="24"/>
        </w:rPr>
      </w:pPr>
      <w:r>
        <w:rPr>
          <w:rFonts w:hint="eastAsia" w:ascii="宋体" w:hAnsi="宋体" w:cs="宋体"/>
          <w:kern w:val="0"/>
          <w:sz w:val="24"/>
        </w:rPr>
        <w:t>（6）延误的工期相应顺延。</w:t>
      </w:r>
    </w:p>
    <w:p>
      <w:pPr>
        <w:widowControl/>
        <w:spacing w:line="360" w:lineRule="auto"/>
        <w:ind w:firstLine="480" w:firstLineChars="200"/>
        <w:rPr>
          <w:rFonts w:ascii="宋体" w:hAnsi="宋体" w:cs="宋体"/>
          <w:kern w:val="0"/>
          <w:sz w:val="24"/>
        </w:rPr>
      </w:pPr>
      <w:r>
        <w:rPr>
          <w:rFonts w:hint="eastAsia" w:ascii="宋体" w:hAnsi="宋体" w:cs="宋体"/>
          <w:kern w:val="0"/>
          <w:sz w:val="24"/>
        </w:rPr>
        <w:t>43.4因合同一方迟延履行合同后发生不可抗力的，不能免除迟延履行方的相应责任。</w:t>
      </w:r>
    </w:p>
    <w:p>
      <w:pPr>
        <w:widowControl/>
        <w:spacing w:line="360" w:lineRule="auto"/>
        <w:ind w:firstLine="480" w:firstLineChars="200"/>
        <w:rPr>
          <w:rFonts w:ascii="宋体" w:hAnsi="宋体" w:cs="宋体"/>
          <w:kern w:val="0"/>
          <w:sz w:val="24"/>
        </w:rPr>
      </w:pPr>
      <w:r>
        <w:rPr>
          <w:rFonts w:hint="eastAsia" w:ascii="宋体" w:hAnsi="宋体" w:cs="宋体"/>
          <w:kern w:val="0"/>
          <w:sz w:val="24"/>
        </w:rPr>
        <w:t>44、保险</w:t>
      </w:r>
    </w:p>
    <w:p>
      <w:pPr>
        <w:widowControl/>
        <w:spacing w:line="360" w:lineRule="auto"/>
        <w:ind w:firstLine="480" w:firstLineChars="200"/>
        <w:rPr>
          <w:rFonts w:ascii="宋体" w:hAnsi="宋体" w:cs="宋体"/>
          <w:kern w:val="0"/>
          <w:sz w:val="24"/>
        </w:rPr>
      </w:pPr>
      <w:r>
        <w:rPr>
          <w:rFonts w:hint="eastAsia" w:ascii="宋体" w:hAnsi="宋体" w:cs="宋体"/>
          <w:kern w:val="0"/>
          <w:sz w:val="24"/>
        </w:rPr>
        <w:t>44.1工程开工前，发包人为建设工程和施工现场内的自有人员及第三人人员生命财产办理保险，支付保险费用。</w:t>
      </w:r>
    </w:p>
    <w:p>
      <w:pPr>
        <w:widowControl/>
        <w:spacing w:line="360" w:lineRule="auto"/>
        <w:ind w:firstLine="480" w:firstLineChars="200"/>
        <w:rPr>
          <w:rFonts w:ascii="宋体" w:hAnsi="宋体" w:cs="宋体"/>
          <w:kern w:val="0"/>
          <w:sz w:val="24"/>
        </w:rPr>
      </w:pPr>
      <w:r>
        <w:rPr>
          <w:rFonts w:hint="eastAsia" w:ascii="宋体" w:hAnsi="宋体" w:cs="宋体"/>
          <w:kern w:val="0"/>
          <w:sz w:val="24"/>
        </w:rPr>
        <w:t>44.2发包人供应的运至施工场地内用于工程的材料设备，由发包人办理保险，并支付保险费用。</w:t>
      </w:r>
    </w:p>
    <w:p>
      <w:pPr>
        <w:widowControl/>
        <w:spacing w:line="360" w:lineRule="auto"/>
        <w:ind w:firstLine="480" w:firstLineChars="200"/>
        <w:rPr>
          <w:rFonts w:ascii="宋体" w:hAnsi="宋体" w:cs="宋体"/>
          <w:kern w:val="0"/>
          <w:sz w:val="24"/>
        </w:rPr>
      </w:pPr>
      <w:r>
        <w:rPr>
          <w:rFonts w:hint="eastAsia" w:ascii="宋体" w:hAnsi="宋体" w:cs="宋体"/>
          <w:kern w:val="0"/>
          <w:sz w:val="24"/>
        </w:rPr>
        <w:t>44.3发包人可以将有关保险事项委托承包人办理，费用由发包人承担。</w:t>
      </w:r>
    </w:p>
    <w:p>
      <w:pPr>
        <w:widowControl/>
        <w:spacing w:line="360" w:lineRule="auto"/>
        <w:ind w:firstLine="480" w:firstLineChars="200"/>
        <w:rPr>
          <w:rFonts w:ascii="宋体" w:hAnsi="宋体" w:cs="宋体"/>
          <w:kern w:val="0"/>
          <w:sz w:val="24"/>
        </w:rPr>
      </w:pPr>
      <w:r>
        <w:rPr>
          <w:rFonts w:hint="eastAsia" w:ascii="宋体" w:hAnsi="宋体" w:cs="宋体"/>
          <w:kern w:val="0"/>
          <w:sz w:val="24"/>
        </w:rPr>
        <w:t>44.4承包人必须为施工场地内施工人员办理意外伤害保险和工伤保险，并为施工场地内的施工机械设备办理财产保险，支付保险费用。</w:t>
      </w:r>
    </w:p>
    <w:p>
      <w:pPr>
        <w:widowControl/>
        <w:spacing w:line="360" w:lineRule="auto"/>
        <w:ind w:firstLine="480" w:firstLineChars="200"/>
        <w:rPr>
          <w:rFonts w:ascii="宋体" w:hAnsi="宋体" w:cs="宋体"/>
          <w:kern w:val="0"/>
          <w:sz w:val="24"/>
        </w:rPr>
      </w:pPr>
      <w:r>
        <w:rPr>
          <w:rFonts w:hint="eastAsia" w:ascii="宋体" w:hAnsi="宋体" w:cs="宋体"/>
          <w:kern w:val="0"/>
          <w:sz w:val="24"/>
        </w:rPr>
        <w:t>44.5保险事故发生时，发包人承包人有责任尽力采取必要的措施，防止或者减少损失。</w:t>
      </w:r>
    </w:p>
    <w:p>
      <w:pPr>
        <w:widowControl/>
        <w:spacing w:line="360" w:lineRule="auto"/>
        <w:ind w:firstLine="480" w:firstLineChars="200"/>
        <w:rPr>
          <w:rFonts w:ascii="宋体" w:hAnsi="宋体" w:cs="宋体"/>
          <w:kern w:val="0"/>
          <w:sz w:val="24"/>
        </w:rPr>
      </w:pPr>
      <w:r>
        <w:rPr>
          <w:rFonts w:hint="eastAsia" w:ascii="宋体" w:hAnsi="宋体" w:cs="宋体"/>
          <w:kern w:val="0"/>
          <w:sz w:val="24"/>
        </w:rPr>
        <w:t>44.6具体投保内容和相关责任，发包人承包人在专用条款中约定。</w:t>
      </w:r>
    </w:p>
    <w:p>
      <w:pPr>
        <w:widowControl/>
        <w:spacing w:line="360" w:lineRule="auto"/>
        <w:ind w:firstLine="480" w:firstLineChars="200"/>
        <w:rPr>
          <w:rFonts w:ascii="宋体" w:hAnsi="宋体" w:cs="宋体"/>
          <w:kern w:val="0"/>
          <w:sz w:val="24"/>
        </w:rPr>
      </w:pPr>
      <w:r>
        <w:rPr>
          <w:rFonts w:hint="eastAsia" w:ascii="宋体" w:hAnsi="宋体" w:cs="宋体"/>
          <w:kern w:val="0"/>
          <w:sz w:val="24"/>
        </w:rPr>
        <w:t>45、担保</w:t>
      </w:r>
    </w:p>
    <w:p>
      <w:pPr>
        <w:widowControl/>
        <w:spacing w:line="360" w:lineRule="auto"/>
        <w:ind w:firstLine="480" w:firstLineChars="200"/>
        <w:rPr>
          <w:rFonts w:ascii="宋体" w:hAnsi="宋体" w:cs="宋体"/>
          <w:kern w:val="0"/>
          <w:sz w:val="24"/>
        </w:rPr>
      </w:pPr>
      <w:r>
        <w:rPr>
          <w:rFonts w:hint="eastAsia" w:ascii="宋体" w:hAnsi="宋体" w:cs="宋体"/>
          <w:kern w:val="0"/>
          <w:sz w:val="24"/>
        </w:rPr>
        <w:t>45.1发包人承包人为了全面履行合同，应互相提供以下担保：</w:t>
      </w:r>
    </w:p>
    <w:p>
      <w:pPr>
        <w:widowControl/>
        <w:spacing w:line="360" w:lineRule="auto"/>
        <w:ind w:firstLine="480" w:firstLineChars="200"/>
        <w:rPr>
          <w:rFonts w:ascii="宋体" w:hAnsi="宋体" w:cs="宋体"/>
          <w:kern w:val="0"/>
          <w:sz w:val="24"/>
        </w:rPr>
      </w:pPr>
      <w:r>
        <w:rPr>
          <w:rFonts w:hint="eastAsia" w:ascii="宋体" w:hAnsi="宋体" w:cs="宋体"/>
          <w:kern w:val="0"/>
          <w:sz w:val="24"/>
        </w:rPr>
        <w:t>（1）发包人向承包人提供支付担保，按合同约定支付工程价款及履行合同约定的其他义务。</w:t>
      </w:r>
    </w:p>
    <w:p>
      <w:pPr>
        <w:widowControl/>
        <w:spacing w:line="360" w:lineRule="auto"/>
        <w:ind w:firstLine="480" w:firstLineChars="200"/>
        <w:rPr>
          <w:rFonts w:ascii="宋体" w:hAnsi="宋体" w:cs="宋体"/>
          <w:kern w:val="0"/>
          <w:sz w:val="24"/>
        </w:rPr>
      </w:pPr>
      <w:r>
        <w:rPr>
          <w:rFonts w:hint="eastAsia" w:ascii="宋体" w:hAnsi="宋体" w:cs="宋体"/>
          <w:kern w:val="0"/>
          <w:sz w:val="24"/>
        </w:rPr>
        <w:t>（2）承包人向发包人提供履约担保，按合同约定履行自己的各项义务。</w:t>
      </w:r>
    </w:p>
    <w:p>
      <w:pPr>
        <w:widowControl/>
        <w:spacing w:line="360" w:lineRule="auto"/>
        <w:ind w:firstLine="480" w:firstLineChars="200"/>
        <w:rPr>
          <w:rFonts w:ascii="宋体" w:hAnsi="宋体" w:cs="宋体"/>
          <w:kern w:val="0"/>
          <w:sz w:val="24"/>
        </w:rPr>
      </w:pPr>
      <w:r>
        <w:rPr>
          <w:rFonts w:hint="eastAsia" w:ascii="宋体" w:hAnsi="宋体" w:cs="宋体"/>
          <w:kern w:val="0"/>
          <w:sz w:val="24"/>
        </w:rPr>
        <w:t>45.2一方违约后，另一方可要求提供担保的第三人承担相应责任。</w:t>
      </w:r>
    </w:p>
    <w:p>
      <w:pPr>
        <w:widowControl/>
        <w:spacing w:line="360" w:lineRule="auto"/>
        <w:ind w:firstLine="480" w:firstLineChars="200"/>
        <w:rPr>
          <w:rFonts w:ascii="宋体" w:hAnsi="宋体" w:cs="宋体"/>
          <w:kern w:val="0"/>
          <w:sz w:val="24"/>
        </w:rPr>
      </w:pPr>
      <w:r>
        <w:rPr>
          <w:rFonts w:hint="eastAsia" w:ascii="宋体" w:hAnsi="宋体" w:cs="宋体"/>
          <w:kern w:val="0"/>
          <w:sz w:val="24"/>
        </w:rPr>
        <w:t>45.3提供担保的内容、方式和相关责任，发包人承包人除在专用条款中约定外，被担保方与担保方还应签订担保合同，作为本合同附件。</w:t>
      </w:r>
    </w:p>
    <w:p>
      <w:pPr>
        <w:widowControl/>
        <w:spacing w:line="360" w:lineRule="auto"/>
        <w:ind w:firstLine="480" w:firstLineChars="200"/>
        <w:rPr>
          <w:rFonts w:ascii="宋体" w:hAnsi="宋体" w:cs="宋体"/>
          <w:kern w:val="0"/>
          <w:sz w:val="24"/>
        </w:rPr>
      </w:pPr>
      <w:r>
        <w:rPr>
          <w:rFonts w:hint="eastAsia" w:ascii="宋体" w:hAnsi="宋体" w:cs="宋体"/>
          <w:kern w:val="0"/>
          <w:sz w:val="24"/>
        </w:rPr>
        <w:t>46、专利技术及特殊工艺</w:t>
      </w:r>
    </w:p>
    <w:p>
      <w:pPr>
        <w:widowControl/>
        <w:spacing w:line="360" w:lineRule="auto"/>
        <w:ind w:firstLine="480" w:firstLineChars="200"/>
        <w:rPr>
          <w:rFonts w:ascii="宋体" w:hAnsi="宋体" w:cs="宋体"/>
          <w:kern w:val="0"/>
          <w:sz w:val="24"/>
        </w:rPr>
      </w:pPr>
      <w:r>
        <w:rPr>
          <w:rFonts w:hint="eastAsia" w:ascii="宋体" w:hAnsi="宋体" w:cs="宋体"/>
          <w:kern w:val="0"/>
          <w:sz w:val="24"/>
        </w:rPr>
        <w:t>46.1发包人要求使用专利技术或特殊工艺，应负责办理相应的申报手续，承担申报、试验、使用等费用；承包人提出使用专利技术或特殊工艺，应取得工程师认可，承包人负责办理申报手续并承担有关费用。</w:t>
      </w:r>
    </w:p>
    <w:p>
      <w:pPr>
        <w:widowControl/>
        <w:spacing w:line="360" w:lineRule="auto"/>
        <w:ind w:firstLine="480" w:firstLineChars="200"/>
        <w:rPr>
          <w:rFonts w:ascii="宋体" w:hAnsi="宋体" w:cs="宋体"/>
          <w:kern w:val="0"/>
          <w:sz w:val="24"/>
        </w:rPr>
      </w:pPr>
      <w:r>
        <w:rPr>
          <w:rFonts w:hint="eastAsia" w:ascii="宋体" w:hAnsi="宋体" w:cs="宋体"/>
          <w:kern w:val="0"/>
          <w:sz w:val="24"/>
        </w:rPr>
        <w:t>46.2擅自使用专利技术侵犯他人专利权的，责任者依法承担相应责任。</w:t>
      </w:r>
    </w:p>
    <w:p>
      <w:pPr>
        <w:widowControl/>
        <w:spacing w:line="360" w:lineRule="auto"/>
        <w:ind w:firstLine="480" w:firstLineChars="200"/>
        <w:rPr>
          <w:rFonts w:ascii="宋体" w:hAnsi="宋体" w:cs="宋体"/>
          <w:kern w:val="0"/>
          <w:sz w:val="24"/>
        </w:rPr>
      </w:pPr>
      <w:r>
        <w:rPr>
          <w:rFonts w:hint="eastAsia" w:ascii="宋体" w:hAnsi="宋体" w:cs="宋体"/>
          <w:kern w:val="0"/>
          <w:sz w:val="24"/>
        </w:rPr>
        <w:t>47、文物和地下障碍物</w:t>
      </w:r>
    </w:p>
    <w:p>
      <w:pPr>
        <w:widowControl/>
        <w:spacing w:line="360" w:lineRule="auto"/>
        <w:ind w:firstLine="480" w:firstLineChars="200"/>
        <w:rPr>
          <w:rFonts w:ascii="宋体" w:hAnsi="宋体" w:cs="宋体"/>
          <w:kern w:val="0"/>
          <w:sz w:val="24"/>
        </w:rPr>
      </w:pPr>
      <w:r>
        <w:rPr>
          <w:rFonts w:hint="eastAsia" w:ascii="宋体" w:hAnsi="宋体" w:cs="宋体"/>
          <w:kern w:val="0"/>
          <w:sz w:val="24"/>
        </w:rPr>
        <w:t>47.1在施工中发现古墓、古建筑遗址等文物及化石或其他有考古、地质研究等价值的物品时，承包人应立即保护好现场并于4小时内以书面形式通知工程师，工程师应于收到书面通知后24小时内报告当地文物管理部门，发包人承包人按文物管理部门的要求采取妥善保护措施。发包人承担由此发生的费用，顺延延误的工期。</w:t>
      </w:r>
    </w:p>
    <w:p>
      <w:pPr>
        <w:widowControl/>
        <w:spacing w:line="360" w:lineRule="auto"/>
        <w:ind w:firstLine="480" w:firstLineChars="200"/>
        <w:rPr>
          <w:rFonts w:ascii="宋体" w:hAnsi="宋体" w:cs="宋体"/>
          <w:kern w:val="0"/>
          <w:sz w:val="24"/>
        </w:rPr>
      </w:pPr>
      <w:r>
        <w:rPr>
          <w:rFonts w:hint="eastAsia" w:ascii="宋体" w:hAnsi="宋体" w:cs="宋体"/>
          <w:kern w:val="0"/>
          <w:sz w:val="24"/>
        </w:rPr>
        <w:t>如发现后隐瞒不报，致使文物遭受破坏，责任者依法承担相应责任。</w:t>
      </w:r>
    </w:p>
    <w:p>
      <w:pPr>
        <w:widowControl/>
        <w:spacing w:line="360" w:lineRule="auto"/>
        <w:ind w:firstLine="480" w:firstLineChars="200"/>
        <w:rPr>
          <w:rFonts w:ascii="宋体" w:hAnsi="宋体" w:cs="宋体"/>
          <w:kern w:val="0"/>
          <w:sz w:val="24"/>
        </w:rPr>
      </w:pPr>
      <w:r>
        <w:rPr>
          <w:rFonts w:hint="eastAsia" w:ascii="宋体" w:hAnsi="宋体" w:cs="宋体"/>
          <w:kern w:val="0"/>
          <w:sz w:val="24"/>
        </w:rPr>
        <w:t>47.2施工中发现影响施工的地下障碍物时，承包人应于8小时内以书面形式通知工程师，同时提出处置方案，工程师收到处置方案后24小时内予以认可或提出修正方案。发包人承担由此发生的费用，顺延延误的工期。</w:t>
      </w:r>
    </w:p>
    <w:p>
      <w:pPr>
        <w:widowControl/>
        <w:spacing w:line="360" w:lineRule="auto"/>
        <w:ind w:firstLine="480" w:firstLineChars="200"/>
        <w:rPr>
          <w:rFonts w:ascii="宋体" w:hAnsi="宋体" w:cs="宋体"/>
          <w:kern w:val="0"/>
          <w:sz w:val="24"/>
        </w:rPr>
      </w:pPr>
      <w:r>
        <w:rPr>
          <w:rFonts w:hint="eastAsia" w:ascii="宋体" w:hAnsi="宋体" w:cs="宋体"/>
          <w:kern w:val="0"/>
          <w:sz w:val="24"/>
        </w:rPr>
        <w:t>所发现的地下障碍物有归属单位时，发包人应报请有关部门协同处置。</w:t>
      </w:r>
    </w:p>
    <w:p>
      <w:pPr>
        <w:widowControl/>
        <w:spacing w:line="360" w:lineRule="auto"/>
        <w:ind w:firstLine="480" w:firstLineChars="200"/>
        <w:rPr>
          <w:rFonts w:ascii="宋体" w:hAnsi="宋体" w:cs="宋体"/>
          <w:kern w:val="0"/>
          <w:sz w:val="24"/>
        </w:rPr>
      </w:pPr>
      <w:r>
        <w:rPr>
          <w:rFonts w:hint="eastAsia" w:ascii="宋体" w:hAnsi="宋体" w:cs="宋体"/>
          <w:kern w:val="0"/>
          <w:sz w:val="24"/>
        </w:rPr>
        <w:t>48、合同解除</w:t>
      </w:r>
    </w:p>
    <w:p>
      <w:pPr>
        <w:widowControl/>
        <w:spacing w:line="360" w:lineRule="auto"/>
        <w:ind w:firstLine="480" w:firstLineChars="200"/>
        <w:rPr>
          <w:rFonts w:ascii="宋体" w:hAnsi="宋体" w:cs="宋体"/>
          <w:kern w:val="0"/>
          <w:sz w:val="24"/>
        </w:rPr>
      </w:pPr>
      <w:r>
        <w:rPr>
          <w:rFonts w:hint="eastAsia" w:ascii="宋体" w:hAnsi="宋体" w:cs="宋体"/>
          <w:kern w:val="0"/>
          <w:sz w:val="24"/>
        </w:rPr>
        <w:t>48.1发包人承包人协商一致，可以解除合同。</w:t>
      </w:r>
    </w:p>
    <w:p>
      <w:pPr>
        <w:widowControl/>
        <w:spacing w:line="360" w:lineRule="auto"/>
        <w:ind w:firstLine="480" w:firstLineChars="200"/>
        <w:rPr>
          <w:rFonts w:ascii="宋体" w:hAnsi="宋体" w:cs="宋体"/>
          <w:kern w:val="0"/>
          <w:sz w:val="24"/>
        </w:rPr>
      </w:pPr>
      <w:r>
        <w:rPr>
          <w:rFonts w:hint="eastAsia" w:ascii="宋体" w:hAnsi="宋体" w:cs="宋体"/>
          <w:kern w:val="0"/>
          <w:sz w:val="24"/>
        </w:rPr>
        <w:t>48.2发生本通用条款第30.5款情况，停止施工超过56天，发包人仍不支付工程款（进度款），承包人有权解除合同。</w:t>
      </w:r>
    </w:p>
    <w:p>
      <w:pPr>
        <w:widowControl/>
        <w:spacing w:line="360" w:lineRule="auto"/>
        <w:ind w:firstLine="480" w:firstLineChars="200"/>
        <w:rPr>
          <w:rFonts w:ascii="宋体" w:hAnsi="宋体" w:cs="宋体"/>
          <w:kern w:val="0"/>
          <w:sz w:val="24"/>
        </w:rPr>
      </w:pPr>
      <w:r>
        <w:rPr>
          <w:rFonts w:hint="eastAsia" w:ascii="宋体" w:hAnsi="宋体" w:cs="宋体"/>
          <w:kern w:val="0"/>
          <w:sz w:val="24"/>
        </w:rPr>
        <w:t>48.3发生本通用条款第42.2款禁止的情况，发包人有权解除合同。</w:t>
      </w:r>
    </w:p>
    <w:p>
      <w:pPr>
        <w:widowControl/>
        <w:spacing w:line="360" w:lineRule="auto"/>
        <w:ind w:firstLine="480" w:firstLineChars="200"/>
        <w:rPr>
          <w:rFonts w:ascii="宋体" w:hAnsi="宋体" w:cs="宋体"/>
          <w:kern w:val="0"/>
          <w:sz w:val="24"/>
        </w:rPr>
      </w:pPr>
      <w:r>
        <w:rPr>
          <w:rFonts w:hint="eastAsia" w:ascii="宋体" w:hAnsi="宋体" w:cs="宋体"/>
          <w:kern w:val="0"/>
          <w:sz w:val="24"/>
        </w:rPr>
        <w:t>48.4有下列情形之一的，发包人承包人可以解除合同：</w:t>
      </w:r>
    </w:p>
    <w:p>
      <w:pPr>
        <w:widowControl/>
        <w:spacing w:line="360" w:lineRule="auto"/>
        <w:ind w:firstLine="480" w:firstLineChars="200"/>
        <w:rPr>
          <w:rFonts w:ascii="宋体" w:hAnsi="宋体" w:cs="宋体"/>
          <w:kern w:val="0"/>
          <w:sz w:val="24"/>
        </w:rPr>
      </w:pPr>
      <w:r>
        <w:rPr>
          <w:rFonts w:hint="eastAsia" w:ascii="宋体" w:hAnsi="宋体" w:cs="宋体"/>
          <w:kern w:val="0"/>
          <w:sz w:val="24"/>
        </w:rPr>
        <w:t>（1）因不可抗力致使合同无法履行；</w:t>
      </w:r>
    </w:p>
    <w:p>
      <w:pPr>
        <w:widowControl/>
        <w:spacing w:line="360" w:lineRule="auto"/>
        <w:ind w:firstLine="480" w:firstLineChars="200"/>
        <w:rPr>
          <w:rFonts w:ascii="宋体" w:hAnsi="宋体" w:cs="宋体"/>
          <w:kern w:val="0"/>
          <w:sz w:val="24"/>
        </w:rPr>
      </w:pPr>
      <w:r>
        <w:rPr>
          <w:rFonts w:hint="eastAsia" w:ascii="宋体" w:hAnsi="宋体" w:cs="宋体"/>
          <w:kern w:val="0"/>
          <w:sz w:val="24"/>
        </w:rPr>
        <w:t>（2）因一方违约（包括因发包人原因造成工程停建或缓建）致使合同无法履行。</w:t>
      </w:r>
    </w:p>
    <w:p>
      <w:pPr>
        <w:widowControl/>
        <w:spacing w:line="360" w:lineRule="auto"/>
        <w:ind w:firstLine="480" w:firstLineChars="200"/>
        <w:rPr>
          <w:rFonts w:ascii="宋体" w:hAnsi="宋体" w:cs="宋体"/>
          <w:kern w:val="0"/>
          <w:sz w:val="24"/>
        </w:rPr>
      </w:pPr>
      <w:r>
        <w:rPr>
          <w:rFonts w:hint="eastAsia" w:ascii="宋体" w:hAnsi="宋体" w:cs="宋体"/>
          <w:kern w:val="0"/>
          <w:sz w:val="24"/>
        </w:rPr>
        <w:t>48.5一方依据48.2、48.3、48.4款约定要求解除合同的，应以书面形式向对方发出解除合同的通知，并在发出通知前7天告知对方，通知到达对方时合同解除。对解除合同有争议的，按本通用条款第41条关于争议的约定处理。</w:t>
      </w:r>
    </w:p>
    <w:p>
      <w:pPr>
        <w:widowControl/>
        <w:spacing w:line="360" w:lineRule="auto"/>
        <w:ind w:firstLine="480" w:firstLineChars="200"/>
        <w:rPr>
          <w:rFonts w:ascii="宋体" w:hAnsi="宋体" w:cs="宋体"/>
          <w:kern w:val="0"/>
          <w:sz w:val="24"/>
        </w:rPr>
      </w:pPr>
      <w:r>
        <w:rPr>
          <w:rFonts w:hint="eastAsia" w:ascii="宋体" w:hAnsi="宋体" w:cs="宋体"/>
          <w:kern w:val="0"/>
          <w:sz w:val="24"/>
        </w:rPr>
        <w:t>48.6合同解除后，承包人应妥善做好已完工程和已购材料、设备的保护和移交工作，按发包人要求将自有机械设备和人员撤出施工场地。发包人应为承包人撤出提供必要条件，支付以上所发生的费用，并按合同约定支付已完工程价款。已经订货的材料、设备由订货方负责退货或解除订货合同，不能退还的货款和因退货、解除订货合同发生的费用，由发包人承担，因未及时退货造成的损失由责任方承担。除此之外，有过错的一方应当赔偿因合同解除给对方造成的损失。</w:t>
      </w:r>
    </w:p>
    <w:p>
      <w:pPr>
        <w:widowControl/>
        <w:spacing w:line="360" w:lineRule="auto"/>
        <w:ind w:firstLine="480" w:firstLineChars="200"/>
        <w:rPr>
          <w:rFonts w:ascii="宋体" w:hAnsi="宋体" w:cs="宋体"/>
          <w:kern w:val="0"/>
          <w:sz w:val="24"/>
        </w:rPr>
      </w:pPr>
      <w:r>
        <w:rPr>
          <w:rFonts w:hint="eastAsia" w:ascii="宋体" w:hAnsi="宋体" w:cs="宋体"/>
          <w:kern w:val="0"/>
          <w:sz w:val="24"/>
        </w:rPr>
        <w:t>48.7合同解除后，不影响双方在合同中约定的结算和清理条款的效力。</w:t>
      </w:r>
    </w:p>
    <w:p>
      <w:pPr>
        <w:widowControl/>
        <w:spacing w:line="360" w:lineRule="auto"/>
        <w:ind w:firstLine="480" w:firstLineChars="200"/>
        <w:rPr>
          <w:rFonts w:ascii="宋体" w:hAnsi="宋体" w:cs="宋体"/>
          <w:kern w:val="0"/>
          <w:sz w:val="24"/>
        </w:rPr>
      </w:pPr>
      <w:r>
        <w:rPr>
          <w:rFonts w:hint="eastAsia" w:ascii="宋体" w:hAnsi="宋体" w:cs="宋体"/>
          <w:kern w:val="0"/>
          <w:sz w:val="24"/>
        </w:rPr>
        <w:t>49、合同生效与终止</w:t>
      </w:r>
    </w:p>
    <w:p>
      <w:pPr>
        <w:widowControl/>
        <w:spacing w:line="360" w:lineRule="auto"/>
        <w:ind w:firstLine="480" w:firstLineChars="200"/>
        <w:rPr>
          <w:rFonts w:ascii="宋体" w:hAnsi="宋体" w:cs="宋体"/>
          <w:kern w:val="0"/>
          <w:sz w:val="24"/>
        </w:rPr>
      </w:pPr>
      <w:r>
        <w:rPr>
          <w:rFonts w:hint="eastAsia" w:ascii="宋体" w:hAnsi="宋体" w:cs="宋体"/>
          <w:kern w:val="0"/>
          <w:sz w:val="24"/>
        </w:rPr>
        <w:t>49.1双方在协议书中约定合同生效方式。</w:t>
      </w:r>
    </w:p>
    <w:p>
      <w:pPr>
        <w:widowControl/>
        <w:spacing w:line="360" w:lineRule="auto"/>
        <w:ind w:firstLine="480" w:firstLineChars="200"/>
        <w:rPr>
          <w:rFonts w:ascii="宋体" w:hAnsi="宋体" w:cs="宋体"/>
          <w:kern w:val="0"/>
          <w:sz w:val="24"/>
        </w:rPr>
      </w:pPr>
      <w:r>
        <w:rPr>
          <w:rFonts w:hint="eastAsia" w:ascii="宋体" w:hAnsi="宋体" w:cs="宋体"/>
          <w:kern w:val="0"/>
          <w:sz w:val="24"/>
        </w:rPr>
        <w:t>49.2除本通用条款第38条外，发包人承包人履行合同全部义务，竣工结算价款支付完毕，承包人向发包人交付竣工工程后，本合同即告终止。</w:t>
      </w:r>
    </w:p>
    <w:p>
      <w:pPr>
        <w:widowControl/>
        <w:spacing w:line="360" w:lineRule="auto"/>
        <w:ind w:firstLine="480" w:firstLineChars="200"/>
        <w:rPr>
          <w:rFonts w:ascii="宋体" w:hAnsi="宋体" w:cs="宋体"/>
          <w:kern w:val="0"/>
          <w:sz w:val="24"/>
        </w:rPr>
      </w:pPr>
      <w:r>
        <w:rPr>
          <w:rFonts w:hint="eastAsia" w:ascii="宋体" w:hAnsi="宋体" w:cs="宋体"/>
          <w:kern w:val="0"/>
          <w:sz w:val="24"/>
        </w:rPr>
        <w:t>49.3合同的权利义务终止后，发包人承包人应当遵循诚实信用原则，履行通知、协助、保密等义务。</w:t>
      </w:r>
    </w:p>
    <w:p>
      <w:pPr>
        <w:widowControl/>
        <w:spacing w:line="360" w:lineRule="auto"/>
        <w:ind w:firstLine="480" w:firstLineChars="200"/>
        <w:rPr>
          <w:rFonts w:ascii="宋体" w:hAnsi="宋体" w:cs="宋体"/>
          <w:kern w:val="0"/>
          <w:sz w:val="24"/>
        </w:rPr>
      </w:pPr>
      <w:r>
        <w:rPr>
          <w:rFonts w:hint="eastAsia" w:ascii="宋体" w:hAnsi="宋体" w:cs="宋体"/>
          <w:kern w:val="0"/>
          <w:sz w:val="24"/>
        </w:rPr>
        <w:t>50、合同份数</w:t>
      </w:r>
    </w:p>
    <w:p>
      <w:pPr>
        <w:widowControl/>
        <w:spacing w:line="360" w:lineRule="auto"/>
        <w:ind w:firstLine="480" w:firstLineChars="200"/>
        <w:rPr>
          <w:rFonts w:ascii="宋体" w:hAnsi="宋体" w:cs="宋体"/>
          <w:kern w:val="0"/>
          <w:sz w:val="24"/>
        </w:rPr>
      </w:pPr>
      <w:r>
        <w:rPr>
          <w:rFonts w:hint="eastAsia" w:ascii="宋体" w:hAnsi="宋体" w:cs="宋体"/>
          <w:kern w:val="0"/>
          <w:sz w:val="24"/>
        </w:rPr>
        <w:t>50.1本合同正本两份，具有同等效力，由发包人承包人分别保存一份。</w:t>
      </w:r>
    </w:p>
    <w:p>
      <w:pPr>
        <w:widowControl/>
        <w:spacing w:line="360" w:lineRule="auto"/>
        <w:ind w:firstLine="480" w:firstLineChars="200"/>
        <w:rPr>
          <w:rFonts w:ascii="宋体" w:hAnsi="宋体" w:cs="宋体"/>
          <w:kern w:val="0"/>
          <w:sz w:val="24"/>
        </w:rPr>
      </w:pPr>
      <w:r>
        <w:rPr>
          <w:rFonts w:hint="eastAsia" w:ascii="宋体" w:hAnsi="宋体" w:cs="宋体"/>
          <w:kern w:val="0"/>
          <w:sz w:val="24"/>
        </w:rPr>
        <w:t>50.2本合同副本份数，由双方根据需要在专用条款内约定。</w:t>
      </w:r>
    </w:p>
    <w:p>
      <w:pPr>
        <w:widowControl/>
        <w:spacing w:line="360" w:lineRule="auto"/>
        <w:ind w:firstLine="480" w:firstLineChars="200"/>
        <w:rPr>
          <w:rFonts w:ascii="宋体" w:hAnsi="宋体" w:cs="宋体"/>
          <w:kern w:val="0"/>
          <w:sz w:val="24"/>
        </w:rPr>
      </w:pPr>
      <w:r>
        <w:rPr>
          <w:rFonts w:hint="eastAsia" w:ascii="宋体" w:hAnsi="宋体" w:cs="宋体"/>
          <w:kern w:val="0"/>
          <w:sz w:val="24"/>
        </w:rPr>
        <w:t>51、补充条款</w:t>
      </w:r>
    </w:p>
    <w:p>
      <w:pPr>
        <w:widowControl/>
        <w:spacing w:line="360" w:lineRule="auto"/>
        <w:ind w:firstLine="480" w:firstLineChars="200"/>
        <w:rPr>
          <w:rFonts w:ascii="宋体" w:hAnsi="宋体" w:cs="宋体"/>
          <w:kern w:val="0"/>
          <w:sz w:val="24"/>
        </w:rPr>
      </w:pPr>
      <w:r>
        <w:rPr>
          <w:rFonts w:hint="eastAsia" w:ascii="宋体" w:hAnsi="宋体" w:cs="宋体"/>
          <w:kern w:val="0"/>
          <w:sz w:val="24"/>
        </w:rPr>
        <w:t>双方根据有关法律、行政法规规定，结合工程实际经协商一致后，可对本通用条款内容具体化、补充或修改，在专用条款内约定。</w:t>
      </w:r>
    </w:p>
    <w:p>
      <w:pPr>
        <w:widowControl/>
        <w:spacing w:line="360" w:lineRule="auto"/>
        <w:ind w:firstLine="480" w:firstLineChars="200"/>
        <w:rPr>
          <w:rFonts w:ascii="宋体" w:hAnsi="宋体" w:cs="宋体"/>
          <w:kern w:val="0"/>
          <w:sz w:val="24"/>
        </w:rPr>
      </w:pPr>
    </w:p>
    <w:p>
      <w:pPr>
        <w:widowControl/>
        <w:spacing w:line="360" w:lineRule="auto"/>
        <w:ind w:firstLine="480" w:firstLineChars="200"/>
        <w:rPr>
          <w:rFonts w:ascii="宋体" w:hAnsi="宋体" w:cs="宋体"/>
          <w:kern w:val="0"/>
          <w:sz w:val="24"/>
        </w:rPr>
      </w:pPr>
    </w:p>
    <w:p>
      <w:pPr>
        <w:widowControl/>
        <w:spacing w:line="360" w:lineRule="auto"/>
        <w:ind w:firstLine="480" w:firstLineChars="200"/>
        <w:rPr>
          <w:rFonts w:ascii="宋体" w:hAnsi="宋体" w:cs="宋体"/>
          <w:kern w:val="0"/>
          <w:sz w:val="24"/>
        </w:rPr>
      </w:pPr>
    </w:p>
    <w:p>
      <w:pPr>
        <w:widowControl/>
        <w:spacing w:line="360" w:lineRule="auto"/>
        <w:ind w:firstLine="480" w:firstLineChars="200"/>
        <w:rPr>
          <w:rFonts w:ascii="宋体" w:hAnsi="宋体" w:cs="宋体"/>
          <w:kern w:val="0"/>
          <w:sz w:val="24"/>
        </w:rPr>
      </w:pPr>
    </w:p>
    <w:p>
      <w:pPr>
        <w:widowControl/>
        <w:spacing w:line="360" w:lineRule="auto"/>
        <w:rPr>
          <w:rFonts w:ascii="宋体" w:hAnsi="宋体" w:cs="宋体"/>
          <w:kern w:val="0"/>
          <w:sz w:val="24"/>
        </w:rPr>
      </w:pPr>
    </w:p>
    <w:p>
      <w:pPr>
        <w:pStyle w:val="2"/>
        <w:ind w:firstLine="480"/>
        <w:rPr>
          <w:rFonts w:ascii="宋体" w:hAnsi="宋体" w:cs="宋体"/>
          <w:kern w:val="0"/>
          <w:sz w:val="24"/>
        </w:rPr>
      </w:pPr>
    </w:p>
    <w:p>
      <w:pPr>
        <w:pStyle w:val="2"/>
        <w:ind w:firstLine="480"/>
        <w:rPr>
          <w:rFonts w:ascii="宋体" w:hAnsi="宋体" w:cs="宋体"/>
          <w:kern w:val="0"/>
          <w:sz w:val="24"/>
        </w:rPr>
      </w:pPr>
    </w:p>
    <w:p>
      <w:pPr>
        <w:pStyle w:val="2"/>
        <w:ind w:firstLine="480"/>
        <w:rPr>
          <w:rFonts w:ascii="宋体" w:hAnsi="宋体" w:cs="宋体"/>
          <w:kern w:val="0"/>
          <w:sz w:val="24"/>
        </w:rPr>
      </w:pPr>
    </w:p>
    <w:p>
      <w:pPr>
        <w:pStyle w:val="2"/>
        <w:ind w:firstLine="480"/>
        <w:rPr>
          <w:rFonts w:ascii="宋体" w:hAnsi="宋体" w:cs="宋体"/>
          <w:kern w:val="0"/>
          <w:sz w:val="24"/>
        </w:rPr>
      </w:pPr>
    </w:p>
    <w:p>
      <w:pPr>
        <w:widowControl/>
        <w:spacing w:line="360" w:lineRule="auto"/>
        <w:rPr>
          <w:rFonts w:ascii="宋体" w:hAnsi="宋体" w:cs="宋体"/>
          <w:kern w:val="0"/>
          <w:sz w:val="24"/>
        </w:rPr>
      </w:pPr>
    </w:p>
    <w:p>
      <w:pPr>
        <w:pStyle w:val="4"/>
        <w:spacing w:line="400" w:lineRule="exact"/>
        <w:jc w:val="center"/>
        <w:rPr>
          <w:rFonts w:ascii="宋体" w:hAnsi="宋体" w:eastAsia="宋体" w:cs="宋体"/>
          <w:sz w:val="24"/>
          <w:szCs w:val="24"/>
        </w:rPr>
      </w:pPr>
      <w:bookmarkStart w:id="30" w:name="_Toc231459934"/>
      <w:r>
        <w:rPr>
          <w:rFonts w:hint="eastAsia" w:ascii="宋体" w:hAnsi="宋体" w:eastAsia="宋体" w:cs="宋体"/>
        </w:rPr>
        <w:t>第三部分  专用条款</w:t>
      </w:r>
      <w:bookmarkEnd w:id="30"/>
    </w:p>
    <w:p>
      <w:pPr>
        <w:widowControl/>
        <w:spacing w:line="360" w:lineRule="auto"/>
        <w:ind w:firstLine="482" w:firstLineChars="200"/>
        <w:rPr>
          <w:rFonts w:ascii="宋体" w:hAnsi="宋体" w:cs="宋体"/>
          <w:b/>
          <w:kern w:val="0"/>
          <w:sz w:val="24"/>
        </w:rPr>
      </w:pPr>
      <w:bookmarkStart w:id="31" w:name="_Toc231459935"/>
      <w:r>
        <w:rPr>
          <w:rFonts w:hint="eastAsia" w:ascii="宋体" w:hAnsi="宋体" w:cs="宋体"/>
          <w:b/>
          <w:kern w:val="0"/>
          <w:sz w:val="24"/>
        </w:rPr>
        <w:t>一、词语定义及合同文件</w:t>
      </w:r>
    </w:p>
    <w:p>
      <w:pPr>
        <w:widowControl/>
        <w:spacing w:line="360" w:lineRule="auto"/>
        <w:ind w:firstLine="480" w:firstLineChars="200"/>
        <w:rPr>
          <w:rFonts w:ascii="宋体" w:hAnsi="宋体" w:cs="宋体"/>
          <w:kern w:val="0"/>
          <w:sz w:val="24"/>
        </w:rPr>
      </w:pPr>
      <w:r>
        <w:rPr>
          <w:rFonts w:hint="eastAsia" w:ascii="宋体" w:hAnsi="宋体" w:cs="宋体"/>
          <w:kern w:val="0"/>
          <w:sz w:val="24"/>
        </w:rPr>
        <w:t>2、合同文件及解释顺序</w:t>
      </w:r>
    </w:p>
    <w:p>
      <w:pPr>
        <w:widowControl/>
        <w:spacing w:line="360" w:lineRule="auto"/>
        <w:ind w:firstLine="480" w:firstLineChars="200"/>
        <w:rPr>
          <w:rFonts w:ascii="宋体" w:hAnsi="宋体" w:cs="宋体"/>
          <w:kern w:val="0"/>
          <w:sz w:val="24"/>
        </w:rPr>
      </w:pPr>
      <w:r>
        <w:rPr>
          <w:rFonts w:hint="eastAsia" w:ascii="宋体" w:hAnsi="宋体" w:cs="宋体"/>
          <w:kern w:val="0"/>
          <w:sz w:val="24"/>
        </w:rPr>
        <w:t>合同文件组成及解释顺序：_</w:t>
      </w:r>
      <w:r>
        <w:rPr>
          <w:rFonts w:hint="eastAsia" w:ascii="宋体" w:hAnsi="宋体" w:cs="宋体"/>
          <w:kern w:val="0"/>
          <w:sz w:val="24"/>
          <w:u w:val="single"/>
        </w:rPr>
        <w:t>本合同合同协议书、专用条款、通用条款、变更通知、成交通知书、答疑纪要、招标文件、图纸、投标书、有关技术标准、规范。</w:t>
      </w:r>
    </w:p>
    <w:p>
      <w:pPr>
        <w:widowControl/>
        <w:spacing w:line="360" w:lineRule="auto"/>
        <w:ind w:firstLine="480" w:firstLineChars="200"/>
        <w:rPr>
          <w:rFonts w:ascii="宋体" w:hAnsi="宋体" w:cs="宋体"/>
          <w:kern w:val="0"/>
          <w:sz w:val="24"/>
        </w:rPr>
      </w:pPr>
      <w:r>
        <w:rPr>
          <w:rFonts w:hint="eastAsia" w:ascii="宋体" w:hAnsi="宋体" w:cs="宋体"/>
          <w:kern w:val="0"/>
          <w:sz w:val="24"/>
        </w:rPr>
        <w:t>3、语言文字和适用法律、标准及规范</w:t>
      </w:r>
    </w:p>
    <w:p>
      <w:pPr>
        <w:widowControl/>
        <w:spacing w:line="360" w:lineRule="auto"/>
        <w:ind w:firstLine="400" w:firstLineChars="200"/>
        <w:rPr>
          <w:rFonts w:ascii="宋体" w:hAnsi="宋体" w:cs="宋体"/>
          <w:kern w:val="0"/>
          <w:sz w:val="24"/>
        </w:rPr>
      </w:pPr>
      <w:r>
        <w:rPr>
          <w:rFonts w:hint="eastAsia" w:ascii="宋体" w:hAnsi="宋体" w:cs="宋体"/>
          <w:kern w:val="0"/>
          <w:sz w:val="20"/>
        </w:rPr>
        <mc:AlternateContent>
          <mc:Choice Requires="wps">
            <w:drawing>
              <wp:anchor distT="0" distB="0" distL="114300" distR="114300" simplePos="0" relativeHeight="251660288" behindDoc="0" locked="0" layoutInCell="1" allowOverlap="1">
                <wp:simplePos x="0" y="0"/>
                <wp:positionH relativeFrom="column">
                  <wp:posOffset>2741930</wp:posOffset>
                </wp:positionH>
                <wp:positionV relativeFrom="paragraph">
                  <wp:posOffset>-19050</wp:posOffset>
                </wp:positionV>
                <wp:extent cx="1485900" cy="198120"/>
                <wp:effectExtent l="635" t="4445" r="18415" b="6985"/>
                <wp:wrapNone/>
                <wp:docPr id="2" name="直线 23"/>
                <wp:cNvGraphicFramePr/>
                <a:graphic xmlns:a="http://schemas.openxmlformats.org/drawingml/2006/main">
                  <a:graphicData uri="http://schemas.microsoft.com/office/word/2010/wordprocessingShape">
                    <wps:wsp>
                      <wps:cNvCnPr/>
                      <wps:spPr>
                        <a:xfrm flipV="1">
                          <a:off x="0" y="0"/>
                          <a:ext cx="1485900" cy="19812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直线 23" o:spid="_x0000_s1026" o:spt="20" style="position:absolute;left:0pt;flip:y;margin-left:215.9pt;margin-top:-1.5pt;height:15.6pt;width:117pt;z-index:251660288;mso-width-relative:page;mso-height-relative:page;" filled="f" stroked="t" coordsize="21600,21600" o:gfxdata="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y6mIf1wAAAAkBAAAPAAAAAAAAAAEAIAAAACIAAABkcnMvZG93bnJldi54bWxQSwECFAAU&#10;AAAACACHTuJA6FFkpvIBAADtAwAADgAAAAAAAAABACAAAAAmAQAAZHJzL2Uyb0RvYy54bWxQSwUG&#10;AAAAAAYABgBZAQAAigUAAAAA&#10;">
                <v:fill on="f" focussize="0,0"/>
                <v:stroke color="#000000" joinstyle="round"/>
                <v:imagedata o:title=""/>
                <o:lock v:ext="edit" aspectratio="f"/>
              </v:line>
            </w:pict>
          </mc:Fallback>
        </mc:AlternateContent>
      </w:r>
      <w:r>
        <w:rPr>
          <w:rFonts w:hint="eastAsia" w:ascii="宋体" w:hAnsi="宋体" w:cs="宋体"/>
          <w:kern w:val="0"/>
          <w:sz w:val="24"/>
        </w:rPr>
        <w:t>3.1本合同除使用汉语外，还使用______________________________语言文字。</w:t>
      </w:r>
    </w:p>
    <w:p>
      <w:pPr>
        <w:widowControl/>
        <w:spacing w:line="360" w:lineRule="auto"/>
        <w:ind w:firstLine="480" w:firstLineChars="200"/>
        <w:rPr>
          <w:rFonts w:ascii="宋体" w:hAnsi="宋体" w:cs="宋体"/>
          <w:kern w:val="0"/>
          <w:sz w:val="24"/>
        </w:rPr>
      </w:pPr>
      <w:r>
        <w:rPr>
          <w:rFonts w:hint="eastAsia" w:ascii="宋体" w:hAnsi="宋体" w:cs="宋体"/>
          <w:kern w:val="0"/>
          <w:sz w:val="24"/>
        </w:rPr>
        <w:t>3.2适用法律和法规</w:t>
      </w:r>
    </w:p>
    <w:p>
      <w:pPr>
        <w:widowControl/>
        <w:spacing w:line="360" w:lineRule="auto"/>
        <w:ind w:firstLine="480" w:firstLineChars="200"/>
        <w:rPr>
          <w:rFonts w:ascii="宋体" w:hAnsi="宋体" w:cs="宋体"/>
          <w:kern w:val="0"/>
          <w:sz w:val="24"/>
        </w:rPr>
      </w:pPr>
      <w:r>
        <w:rPr>
          <w:rFonts w:hint="eastAsia" w:ascii="宋体" w:hAnsi="宋体" w:cs="宋体"/>
          <w:kern w:val="0"/>
          <w:sz w:val="24"/>
        </w:rPr>
        <w:t>需要明示的法律、行政法规：</w:t>
      </w:r>
      <w:r>
        <w:rPr>
          <w:rFonts w:hint="eastAsia" w:ascii="宋体" w:hAnsi="宋体" w:cs="宋体"/>
          <w:kern w:val="0"/>
          <w:sz w:val="24"/>
          <w:u w:val="single"/>
        </w:rPr>
        <w:t>《中华人民共和国建筑法》、《中华人民共和国民法典》及陕西省、西安市有关建设工程质量、安全、文明施工等管理规定。</w:t>
      </w:r>
    </w:p>
    <w:p>
      <w:pPr>
        <w:widowControl/>
        <w:spacing w:line="360" w:lineRule="auto"/>
        <w:ind w:firstLine="480" w:firstLineChars="200"/>
        <w:rPr>
          <w:rFonts w:ascii="宋体" w:hAnsi="宋体" w:cs="宋体"/>
          <w:kern w:val="0"/>
          <w:sz w:val="24"/>
        </w:rPr>
      </w:pPr>
      <w:r>
        <w:rPr>
          <w:rFonts w:hint="eastAsia" w:ascii="宋体" w:hAnsi="宋体" w:cs="宋体"/>
          <w:kern w:val="0"/>
          <w:sz w:val="24"/>
        </w:rPr>
        <w:t>3.3适用标准、规范</w:t>
      </w:r>
    </w:p>
    <w:p>
      <w:pPr>
        <w:spacing w:line="480" w:lineRule="exact"/>
        <w:ind w:firstLine="480" w:firstLineChars="200"/>
        <w:rPr>
          <w:rFonts w:ascii="宋体" w:hAnsi="宋体" w:cs="宋体"/>
          <w:sz w:val="24"/>
          <w:u w:val="single"/>
        </w:rPr>
      </w:pPr>
      <w:r>
        <w:rPr>
          <w:rFonts w:hint="eastAsia" w:ascii="宋体" w:hAnsi="宋体" w:cs="宋体"/>
          <w:kern w:val="0"/>
          <w:sz w:val="24"/>
        </w:rPr>
        <w:t>适用标准、规范的名称：</w:t>
      </w:r>
      <w:r>
        <w:rPr>
          <w:rFonts w:hint="eastAsia" w:ascii="宋体" w:hAnsi="宋体" w:cs="宋体"/>
          <w:kern w:val="0"/>
          <w:sz w:val="24"/>
          <w:u w:val="single"/>
        </w:rPr>
        <w:t xml:space="preserve"> </w:t>
      </w:r>
      <w:r>
        <w:rPr>
          <w:rFonts w:hint="eastAsia" w:ascii="宋体" w:hAnsi="宋体" w:cs="宋体"/>
          <w:sz w:val="24"/>
          <w:u w:val="single"/>
        </w:rPr>
        <w:t>执行国家建筑工程施工及验收规范标准以及材料、设备所涉及的现行国家、省、市或行业的工程建设标准、规范的要求。主要标准、规范包括但不限于：《建筑工程质量统一验收标准》(GBJ05300-2001)、《建筑工程施工现场供用电安全规范》(GBJ50194-93)、《</w:t>
      </w:r>
      <w:r>
        <w:rPr>
          <w:rFonts w:hint="eastAsia" w:ascii="宋体" w:hAnsi="宋体" w:cs="宋体"/>
          <w:snapToGrid w:val="0"/>
          <w:sz w:val="24"/>
          <w:u w:val="single"/>
        </w:rPr>
        <w:t>建筑施工安全检查标准</w:t>
      </w:r>
      <w:r>
        <w:rPr>
          <w:rFonts w:hint="eastAsia" w:ascii="宋体" w:hAnsi="宋体" w:cs="宋体"/>
          <w:sz w:val="24"/>
          <w:u w:val="single"/>
        </w:rPr>
        <w:t>》</w:t>
      </w:r>
      <w:r>
        <w:rPr>
          <w:rFonts w:hint="eastAsia" w:ascii="宋体" w:hAnsi="宋体" w:cs="宋体"/>
          <w:snapToGrid w:val="0"/>
          <w:sz w:val="24"/>
          <w:u w:val="single"/>
        </w:rPr>
        <w:t>（JGJ59-99）、《施工现场临时用电安全技术规范》（JFJ46-88）、《建设工程文件归档整理规范》（GB/T50328-2001）。</w:t>
      </w:r>
    </w:p>
    <w:p>
      <w:pPr>
        <w:widowControl/>
        <w:spacing w:line="360" w:lineRule="auto"/>
        <w:ind w:firstLine="480" w:firstLineChars="200"/>
        <w:rPr>
          <w:rFonts w:ascii="宋体" w:hAnsi="宋体" w:cs="宋体"/>
          <w:kern w:val="0"/>
          <w:sz w:val="24"/>
        </w:rPr>
      </w:pPr>
      <w:r>
        <w:rPr>
          <w:rFonts w:hint="eastAsia" w:ascii="宋体" w:hAnsi="宋体" w:cs="宋体"/>
          <w:kern w:val="0"/>
          <w:sz w:val="24"/>
        </w:rPr>
        <w:t>发包人提供标准、规范的时间：</w:t>
      </w:r>
      <w:r>
        <w:rPr>
          <w:rFonts w:hint="eastAsia" w:ascii="宋体" w:hAnsi="宋体" w:cs="宋体"/>
          <w:sz w:val="24"/>
          <w:u w:val="single"/>
        </w:rPr>
        <w:t>发包人在招标时，已将上述标准、规范名称提供给承包人。这些标准和规范由承包人自行购买，并承担相关费用。</w:t>
      </w:r>
    </w:p>
    <w:p>
      <w:pPr>
        <w:widowControl/>
        <w:spacing w:line="360" w:lineRule="auto"/>
        <w:rPr>
          <w:rFonts w:ascii="宋体" w:hAnsi="宋体" w:cs="宋体"/>
          <w:kern w:val="0"/>
          <w:sz w:val="24"/>
        </w:rPr>
      </w:pPr>
      <w:r>
        <w:rPr>
          <w:rFonts w:hint="eastAsia" w:ascii="宋体" w:hAnsi="宋体" w:cs="宋体"/>
          <w:kern w:val="0"/>
          <w:sz w:val="24"/>
        </w:rPr>
        <w:t>　　国内没有相应标准、规范时的约定：_</w:t>
      </w:r>
      <w:r>
        <w:rPr>
          <w:rFonts w:hint="eastAsia" w:ascii="宋体" w:hAnsi="宋体" w:cs="宋体"/>
          <w:sz w:val="24"/>
          <w:u w:val="single"/>
        </w:rPr>
        <w:t>按行业通常做法或生产企业在技术监督局的备案标准、并经监理工程师和业主同意。</w:t>
      </w:r>
    </w:p>
    <w:p>
      <w:pPr>
        <w:widowControl/>
        <w:spacing w:line="360" w:lineRule="auto"/>
        <w:ind w:firstLine="480" w:firstLineChars="200"/>
        <w:rPr>
          <w:rFonts w:ascii="宋体" w:hAnsi="宋体" w:cs="宋体"/>
          <w:kern w:val="0"/>
          <w:sz w:val="24"/>
        </w:rPr>
      </w:pPr>
      <w:r>
        <w:rPr>
          <w:rFonts w:hint="eastAsia" w:ascii="宋体" w:hAnsi="宋体" w:cs="宋体"/>
          <w:kern w:val="0"/>
          <w:sz w:val="24"/>
        </w:rPr>
        <w:t>4、图纸</w:t>
      </w:r>
    </w:p>
    <w:p>
      <w:pPr>
        <w:widowControl/>
        <w:spacing w:line="360" w:lineRule="auto"/>
        <w:ind w:firstLine="480" w:firstLineChars="200"/>
        <w:rPr>
          <w:rFonts w:ascii="宋体" w:hAnsi="宋体" w:cs="宋体"/>
          <w:kern w:val="0"/>
          <w:sz w:val="24"/>
        </w:rPr>
      </w:pPr>
      <w:r>
        <w:rPr>
          <w:rFonts w:hint="eastAsia" w:ascii="宋体" w:hAnsi="宋体" w:cs="宋体"/>
          <w:kern w:val="0"/>
          <w:sz w:val="24"/>
        </w:rPr>
        <w:t>4.1发包人向承包人提供图纸日期和套数：_</w:t>
      </w:r>
      <w:r>
        <w:rPr>
          <w:rFonts w:hint="eastAsia" w:ascii="宋体" w:hAnsi="宋体" w:cs="宋体"/>
          <w:sz w:val="24"/>
          <w:u w:val="single"/>
        </w:rPr>
        <w:t>在合同签订3天内提供一套图纸。</w:t>
      </w:r>
    </w:p>
    <w:p>
      <w:pPr>
        <w:widowControl/>
        <w:spacing w:line="360" w:lineRule="auto"/>
        <w:ind w:firstLine="480" w:firstLineChars="200"/>
        <w:rPr>
          <w:rFonts w:ascii="宋体" w:hAnsi="宋体" w:cs="宋体"/>
          <w:b/>
          <w:kern w:val="0"/>
          <w:sz w:val="24"/>
        </w:rPr>
      </w:pPr>
      <w:r>
        <w:rPr>
          <w:rFonts w:hint="eastAsia" w:ascii="宋体" w:hAnsi="宋体" w:cs="宋体"/>
          <w:kern w:val="0"/>
          <w:sz w:val="24"/>
        </w:rPr>
        <w:t>发包人对图纸的保密要求：_</w:t>
      </w:r>
      <w:r>
        <w:rPr>
          <w:rFonts w:hint="eastAsia" w:ascii="宋体" w:hAnsi="宋体" w:cs="宋体"/>
          <w:b/>
          <w:sz w:val="24"/>
          <w:u w:val="single"/>
        </w:rPr>
        <w:t>除监理和发包方外，承包方不得将本工程的设计图纸向其它方提供。</w:t>
      </w:r>
    </w:p>
    <w:p>
      <w:pPr>
        <w:widowControl/>
        <w:spacing w:line="360" w:lineRule="auto"/>
        <w:ind w:firstLine="480" w:firstLineChars="200"/>
        <w:rPr>
          <w:rFonts w:ascii="宋体" w:hAnsi="宋体" w:cs="宋体"/>
          <w:kern w:val="0"/>
          <w:sz w:val="24"/>
        </w:rPr>
      </w:pPr>
      <w:r>
        <w:rPr>
          <w:rFonts w:hint="eastAsia" w:ascii="宋体" w:hAnsi="宋体" w:cs="宋体"/>
          <w:kern w:val="0"/>
          <w:sz w:val="24"/>
        </w:rPr>
        <w:t>使用国外图纸的要求及费用承担：_</w:t>
      </w:r>
      <w:r>
        <w:rPr>
          <w:rFonts w:hint="eastAsia" w:ascii="宋体" w:hAnsi="宋体" w:cs="宋体"/>
          <w:sz w:val="24"/>
          <w:u w:val="single"/>
        </w:rPr>
        <w:t>本工程不使用国外图纸。</w:t>
      </w:r>
      <w:r>
        <w:rPr>
          <w:rFonts w:hint="eastAsia" w:ascii="宋体" w:hAnsi="宋体" w:cs="宋体"/>
          <w:kern w:val="0"/>
          <w:sz w:val="24"/>
        </w:rPr>
        <w:t>_</w:t>
      </w:r>
    </w:p>
    <w:p>
      <w:pPr>
        <w:widowControl/>
        <w:spacing w:line="360" w:lineRule="auto"/>
        <w:ind w:firstLine="482" w:firstLineChars="200"/>
        <w:rPr>
          <w:rFonts w:ascii="宋体" w:hAnsi="宋体" w:cs="宋体"/>
          <w:b/>
          <w:kern w:val="0"/>
          <w:sz w:val="24"/>
        </w:rPr>
      </w:pPr>
      <w:r>
        <w:rPr>
          <w:rFonts w:hint="eastAsia" w:ascii="宋体" w:hAnsi="宋体" w:cs="宋体"/>
          <w:b/>
          <w:kern w:val="0"/>
          <w:sz w:val="24"/>
        </w:rPr>
        <w:t>二、双方一般权利和义务</w:t>
      </w:r>
    </w:p>
    <w:p>
      <w:pPr>
        <w:widowControl/>
        <w:spacing w:line="360" w:lineRule="auto"/>
        <w:ind w:firstLine="480" w:firstLineChars="200"/>
        <w:rPr>
          <w:rFonts w:ascii="宋体" w:hAnsi="宋体" w:cs="宋体"/>
          <w:kern w:val="0"/>
          <w:sz w:val="24"/>
        </w:rPr>
      </w:pPr>
      <w:r>
        <w:rPr>
          <w:rFonts w:hint="eastAsia" w:ascii="宋体" w:hAnsi="宋体" w:cs="宋体"/>
          <w:kern w:val="0"/>
          <w:sz w:val="24"/>
        </w:rPr>
        <w:t>5、工程师</w:t>
      </w:r>
    </w:p>
    <w:p>
      <w:pPr>
        <w:widowControl/>
        <w:spacing w:line="360" w:lineRule="auto"/>
        <w:ind w:firstLine="480" w:firstLineChars="200"/>
        <w:rPr>
          <w:rFonts w:ascii="宋体" w:hAnsi="宋体" w:cs="宋体"/>
          <w:kern w:val="0"/>
          <w:sz w:val="24"/>
        </w:rPr>
      </w:pPr>
      <w:r>
        <w:rPr>
          <w:rFonts w:hint="eastAsia" w:ascii="宋体" w:hAnsi="宋体" w:cs="宋体"/>
          <w:kern w:val="0"/>
          <w:sz w:val="24"/>
        </w:rPr>
        <w:t>5.2监理单位委派的工程师</w:t>
      </w:r>
    </w:p>
    <w:p>
      <w:pPr>
        <w:widowControl/>
        <w:spacing w:line="360" w:lineRule="auto"/>
        <w:ind w:firstLine="480" w:firstLineChars="200"/>
        <w:rPr>
          <w:rFonts w:ascii="宋体" w:hAnsi="宋体" w:cs="宋体"/>
          <w:kern w:val="0"/>
          <w:sz w:val="24"/>
        </w:rPr>
      </w:pPr>
      <w:r>
        <w:rPr>
          <w:rFonts w:hint="eastAsia" w:ascii="宋体" w:hAnsi="宋体" w:cs="宋体"/>
          <w:kern w:val="0"/>
          <w:sz w:val="24"/>
        </w:rPr>
        <w:t>姓名：________职务：____</w:t>
      </w:r>
      <w:r>
        <w:rPr>
          <w:rFonts w:hint="eastAsia" w:ascii="宋体" w:hAnsi="宋体" w:cs="宋体"/>
          <w:kern w:val="0"/>
          <w:sz w:val="24"/>
          <w:u w:val="single"/>
        </w:rPr>
        <w:t>监理工程师</w:t>
      </w:r>
    </w:p>
    <w:p>
      <w:pPr>
        <w:widowControl/>
        <w:spacing w:line="360" w:lineRule="auto"/>
        <w:ind w:firstLine="480" w:firstLineChars="200"/>
        <w:rPr>
          <w:rFonts w:ascii="宋体" w:hAnsi="宋体" w:cs="宋体"/>
          <w:kern w:val="0"/>
          <w:sz w:val="24"/>
        </w:rPr>
      </w:pPr>
      <w:r>
        <w:rPr>
          <w:rFonts w:hint="eastAsia" w:ascii="宋体" w:hAnsi="宋体" w:cs="宋体"/>
          <w:kern w:val="0"/>
          <w:sz w:val="24"/>
        </w:rPr>
        <w:t>发包人委托的职权：_</w:t>
      </w:r>
      <w:r>
        <w:rPr>
          <w:rFonts w:hint="eastAsia" w:ascii="宋体" w:hAnsi="宋体" w:cs="宋体"/>
          <w:sz w:val="24"/>
          <w:u w:val="single"/>
        </w:rPr>
        <w:t>按照发包方与监理单位签订的“监理合同”中约定的发包方授权和委托，对本工程施工过程的质量、安全、进度控制、合同管理和信息管理，施工中各种矛盾组织协调工作及全程监理。</w:t>
      </w:r>
    </w:p>
    <w:p>
      <w:pPr>
        <w:spacing w:line="360" w:lineRule="auto"/>
        <w:ind w:firstLine="480" w:firstLineChars="200"/>
        <w:rPr>
          <w:rFonts w:ascii="宋体" w:hAnsi="宋体" w:cs="宋体"/>
          <w:kern w:val="0"/>
          <w:sz w:val="24"/>
        </w:rPr>
      </w:pPr>
      <w:r>
        <w:rPr>
          <w:rFonts w:hint="eastAsia" w:ascii="宋体" w:hAnsi="宋体" w:cs="宋体"/>
          <w:kern w:val="0"/>
          <w:sz w:val="24"/>
        </w:rPr>
        <w:t>需要取得发包人批准才能行使的职权：</w:t>
      </w:r>
      <w:r>
        <w:rPr>
          <w:rFonts w:hint="eastAsia" w:ascii="宋体" w:hAnsi="宋体" w:cs="宋体"/>
          <w:sz w:val="24"/>
          <w:u w:val="single"/>
        </w:rPr>
        <w:t>重大工程洽商、设计变更、现场签证、发包人指定价的认质认价等在决策之前需经发包人同意。</w:t>
      </w:r>
    </w:p>
    <w:p>
      <w:pPr>
        <w:widowControl/>
        <w:spacing w:line="360" w:lineRule="auto"/>
        <w:ind w:firstLine="480" w:firstLineChars="200"/>
        <w:rPr>
          <w:rFonts w:ascii="宋体" w:hAnsi="宋体" w:cs="宋体"/>
          <w:kern w:val="0"/>
          <w:sz w:val="24"/>
        </w:rPr>
      </w:pPr>
      <w:r>
        <w:rPr>
          <w:rFonts w:hint="eastAsia" w:ascii="宋体" w:hAnsi="宋体" w:cs="宋体"/>
          <w:kern w:val="0"/>
          <w:sz w:val="24"/>
        </w:rPr>
        <w:t>5.4发包人派驻的工程师</w:t>
      </w:r>
    </w:p>
    <w:p>
      <w:pPr>
        <w:widowControl/>
        <w:spacing w:line="360" w:lineRule="auto"/>
        <w:ind w:firstLine="480" w:firstLineChars="200"/>
        <w:rPr>
          <w:rFonts w:ascii="宋体" w:hAnsi="宋体" w:cs="宋体"/>
          <w:kern w:val="0"/>
          <w:sz w:val="24"/>
        </w:rPr>
      </w:pPr>
      <w:r>
        <w:rPr>
          <w:rFonts w:hint="eastAsia" w:ascii="宋体" w:hAnsi="宋体" w:cs="宋体"/>
          <w:kern w:val="0"/>
          <w:sz w:val="24"/>
        </w:rPr>
        <w:t>姓名：</w:t>
      </w:r>
      <w:r>
        <w:rPr>
          <w:rFonts w:hint="eastAsia" w:ascii="宋体" w:hAnsi="宋体" w:cs="宋体"/>
          <w:kern w:val="0"/>
          <w:sz w:val="24"/>
          <w:u w:val="single"/>
        </w:rPr>
        <w:t>　　　　</w:t>
      </w:r>
      <w:r>
        <w:rPr>
          <w:rFonts w:hint="eastAsia" w:ascii="宋体" w:hAnsi="宋体" w:cs="宋体"/>
          <w:kern w:val="0"/>
          <w:sz w:val="24"/>
        </w:rPr>
        <w:t>职务：</w:t>
      </w:r>
      <w:r>
        <w:rPr>
          <w:rFonts w:hint="eastAsia" w:ascii="宋体" w:hAnsi="宋体" w:cs="宋体"/>
          <w:sz w:val="24"/>
          <w:u w:val="single"/>
        </w:rPr>
        <w:t>发包人驻工地代表</w:t>
      </w:r>
    </w:p>
    <w:p>
      <w:pPr>
        <w:widowControl/>
        <w:spacing w:line="360" w:lineRule="auto"/>
        <w:ind w:firstLine="480" w:firstLineChars="200"/>
        <w:rPr>
          <w:rFonts w:ascii="宋体" w:hAnsi="宋体" w:cs="宋体"/>
          <w:kern w:val="0"/>
          <w:sz w:val="24"/>
        </w:rPr>
      </w:pPr>
      <w:r>
        <w:rPr>
          <w:rFonts w:hint="eastAsia" w:ascii="宋体" w:hAnsi="宋体" w:cs="宋体"/>
          <w:kern w:val="0"/>
          <w:sz w:val="24"/>
        </w:rPr>
        <w:t>职权：_</w:t>
      </w:r>
      <w:r>
        <w:rPr>
          <w:rFonts w:hint="eastAsia" w:ascii="宋体" w:hAnsi="宋体" w:cs="宋体"/>
          <w:sz w:val="24"/>
          <w:u w:val="single"/>
        </w:rPr>
        <w:t>负责施工全过程内、外部关系协调、处理往来文件，对工程进度、质量、造价进行监督管理。</w:t>
      </w:r>
    </w:p>
    <w:p>
      <w:pPr>
        <w:widowControl/>
        <w:spacing w:line="360" w:lineRule="auto"/>
        <w:ind w:firstLine="480" w:firstLineChars="200"/>
        <w:rPr>
          <w:rFonts w:ascii="宋体" w:hAnsi="宋体" w:cs="宋体"/>
          <w:kern w:val="0"/>
          <w:sz w:val="24"/>
        </w:rPr>
      </w:pPr>
      <w:r>
        <w:rPr>
          <w:rFonts w:hint="eastAsia" w:ascii="宋体" w:hAnsi="宋体" w:cs="宋体"/>
          <w:kern w:val="0"/>
          <w:sz w:val="24"/>
        </w:rPr>
        <w:t>5.6不实行监理的，工程师的职权：</w:t>
      </w:r>
      <w:r>
        <w:rPr>
          <w:rFonts w:hint="eastAsia" w:ascii="宋体" w:hAnsi="宋体" w:cs="宋体"/>
          <w:sz w:val="24"/>
          <w:u w:val="single"/>
        </w:rPr>
        <w:t>工程师有权反对和要求承包人从该项目上立即解除在工程师看来行为不端、不能胜任工作或玩忽职守，或工程师出于其它考虑不希望该人出现在现场，并且未经工程师同意不允许再次雇用这些人员。凡有任何人员离开，都应尽快补充。</w:t>
      </w:r>
    </w:p>
    <w:p>
      <w:pPr>
        <w:widowControl/>
        <w:spacing w:line="360" w:lineRule="auto"/>
        <w:ind w:firstLine="480" w:firstLineChars="200"/>
        <w:rPr>
          <w:rFonts w:ascii="宋体" w:hAnsi="宋体" w:cs="宋体"/>
          <w:kern w:val="0"/>
          <w:sz w:val="24"/>
        </w:rPr>
      </w:pPr>
      <w:r>
        <w:rPr>
          <w:rFonts w:hint="eastAsia" w:ascii="宋体" w:hAnsi="宋体" w:cs="宋体"/>
          <w:kern w:val="0"/>
          <w:sz w:val="24"/>
        </w:rPr>
        <w:t>7、项目经理</w:t>
      </w:r>
    </w:p>
    <w:p>
      <w:pPr>
        <w:widowControl/>
        <w:spacing w:line="360" w:lineRule="auto"/>
        <w:ind w:firstLine="480" w:firstLineChars="200"/>
        <w:rPr>
          <w:rFonts w:ascii="宋体" w:hAnsi="宋体" w:cs="宋体"/>
          <w:kern w:val="0"/>
          <w:sz w:val="24"/>
          <w:u w:val="single"/>
        </w:rPr>
      </w:pPr>
      <w:r>
        <w:rPr>
          <w:rFonts w:hint="eastAsia" w:ascii="宋体" w:hAnsi="宋体" w:cs="宋体"/>
          <w:kern w:val="0"/>
          <w:sz w:val="24"/>
        </w:rPr>
        <w:t>姓名：</w:t>
      </w:r>
      <w:r>
        <w:rPr>
          <w:rFonts w:hint="eastAsia" w:ascii="宋体" w:hAnsi="宋体" w:cs="宋体"/>
          <w:kern w:val="0"/>
          <w:sz w:val="24"/>
          <w:u w:val="single"/>
        </w:rPr>
        <w:t xml:space="preserve">         </w:t>
      </w:r>
      <w:r>
        <w:rPr>
          <w:rFonts w:hint="eastAsia" w:ascii="宋体" w:hAnsi="宋体" w:cs="宋体"/>
          <w:kern w:val="0"/>
          <w:sz w:val="24"/>
        </w:rPr>
        <w:t>职务：</w:t>
      </w:r>
      <w:r>
        <w:rPr>
          <w:rFonts w:hint="eastAsia" w:ascii="宋体" w:hAnsi="宋体" w:cs="宋体"/>
          <w:kern w:val="0"/>
          <w:sz w:val="24"/>
          <w:u w:val="single"/>
        </w:rPr>
        <w:t xml:space="preserve">项目经理    </w:t>
      </w:r>
    </w:p>
    <w:p>
      <w:pPr>
        <w:widowControl/>
        <w:spacing w:line="360" w:lineRule="auto"/>
        <w:ind w:firstLine="480" w:firstLineChars="200"/>
        <w:rPr>
          <w:rFonts w:ascii="宋体" w:hAnsi="宋体" w:cs="宋体"/>
          <w:kern w:val="0"/>
          <w:sz w:val="24"/>
        </w:rPr>
      </w:pPr>
      <w:r>
        <w:rPr>
          <w:rFonts w:hint="eastAsia" w:ascii="宋体" w:hAnsi="宋体" w:cs="宋体"/>
          <w:kern w:val="0"/>
          <w:sz w:val="24"/>
        </w:rPr>
        <w:t>8、发包人工作</w:t>
      </w:r>
    </w:p>
    <w:p>
      <w:pPr>
        <w:widowControl/>
        <w:spacing w:line="360" w:lineRule="auto"/>
        <w:ind w:firstLine="480" w:firstLineChars="200"/>
        <w:rPr>
          <w:rFonts w:ascii="宋体" w:hAnsi="宋体" w:cs="宋体"/>
          <w:kern w:val="0"/>
          <w:sz w:val="24"/>
        </w:rPr>
      </w:pPr>
      <w:r>
        <w:rPr>
          <w:rFonts w:hint="eastAsia" w:ascii="宋体" w:hAnsi="宋体" w:cs="宋体"/>
          <w:kern w:val="0"/>
          <w:sz w:val="24"/>
        </w:rPr>
        <w:t>8.1发包人应按约定的时间和要求完成以下工作：</w:t>
      </w:r>
    </w:p>
    <w:p>
      <w:pPr>
        <w:widowControl/>
        <w:spacing w:line="360" w:lineRule="auto"/>
        <w:ind w:firstLine="480" w:firstLineChars="200"/>
        <w:rPr>
          <w:rFonts w:ascii="宋体" w:hAnsi="宋体" w:cs="宋体"/>
          <w:kern w:val="0"/>
          <w:sz w:val="24"/>
        </w:rPr>
      </w:pPr>
      <w:r>
        <w:rPr>
          <w:rFonts w:hint="eastAsia" w:ascii="宋体" w:hAnsi="宋体" w:cs="宋体"/>
          <w:kern w:val="0"/>
          <w:sz w:val="24"/>
        </w:rPr>
        <w:t>（1）施工场地具备施工条件的要求及完成的时间：_</w:t>
      </w:r>
      <w:r>
        <w:rPr>
          <w:rFonts w:hint="eastAsia" w:ascii="宋体" w:hAnsi="宋体" w:cs="宋体"/>
          <w:kern w:val="0"/>
          <w:sz w:val="24"/>
          <w:u w:val="single"/>
        </w:rPr>
        <w:t>_开工前5日内。</w:t>
      </w:r>
      <w:r>
        <w:rPr>
          <w:rFonts w:hint="eastAsia" w:ascii="宋体" w:hAnsi="宋体" w:cs="宋体"/>
          <w:kern w:val="0"/>
          <w:sz w:val="24"/>
        </w:rPr>
        <w:t>____</w:t>
      </w:r>
    </w:p>
    <w:p>
      <w:pPr>
        <w:widowControl/>
        <w:spacing w:line="360" w:lineRule="auto"/>
        <w:ind w:firstLine="480" w:firstLineChars="200"/>
        <w:rPr>
          <w:rFonts w:ascii="宋体" w:hAnsi="宋体" w:cs="宋体"/>
          <w:kern w:val="0"/>
          <w:sz w:val="24"/>
        </w:rPr>
      </w:pPr>
      <w:r>
        <w:rPr>
          <w:rFonts w:hint="eastAsia" w:ascii="宋体" w:hAnsi="宋体" w:cs="宋体"/>
          <w:kern w:val="0"/>
          <w:sz w:val="24"/>
        </w:rPr>
        <w:t>（2）将施工所需的水、电、电讯线路接至施工场地的时间、地点和供应要求：</w:t>
      </w:r>
    </w:p>
    <w:p>
      <w:pPr>
        <w:widowControl/>
        <w:spacing w:line="360" w:lineRule="auto"/>
        <w:rPr>
          <w:rFonts w:ascii="宋体" w:hAnsi="宋体" w:cs="宋体"/>
          <w:kern w:val="0"/>
          <w:sz w:val="24"/>
        </w:rPr>
      </w:pPr>
      <w:r>
        <w:rPr>
          <w:rFonts w:hint="eastAsia" w:ascii="宋体" w:hAnsi="宋体" w:cs="宋体"/>
          <w:color w:val="FF0000"/>
          <w:kern w:val="0"/>
          <w:sz w:val="24"/>
        </w:rPr>
        <w:t>　　</w:t>
      </w:r>
      <w:r>
        <w:rPr>
          <w:rFonts w:hint="eastAsia" w:ascii="宋体" w:hAnsi="宋体" w:cs="宋体"/>
          <w:kern w:val="0"/>
          <w:sz w:val="24"/>
        </w:rPr>
        <w:t>提供满足乙方施工的用水、用电条件。</w:t>
      </w:r>
    </w:p>
    <w:p>
      <w:pPr>
        <w:widowControl/>
        <w:spacing w:line="360" w:lineRule="auto"/>
        <w:ind w:firstLine="480" w:firstLineChars="200"/>
        <w:rPr>
          <w:rFonts w:ascii="宋体" w:hAnsi="宋体" w:cs="宋体"/>
          <w:kern w:val="0"/>
          <w:sz w:val="24"/>
        </w:rPr>
      </w:pPr>
      <w:r>
        <w:rPr>
          <w:rFonts w:hint="eastAsia" w:ascii="宋体" w:hAnsi="宋体" w:cs="宋体"/>
          <w:kern w:val="0"/>
          <w:sz w:val="24"/>
        </w:rPr>
        <w:t>其计量和计价方法为：</w:t>
      </w:r>
      <w:r>
        <w:rPr>
          <w:rFonts w:hint="eastAsia" w:ascii="宋体" w:hAnsi="宋体" w:cs="宋体"/>
          <w:kern w:val="0"/>
          <w:sz w:val="24"/>
          <w:u w:val="single"/>
        </w:rPr>
        <w:t>按相关部门的规定和计量计价方法计算</w:t>
      </w:r>
      <w:r>
        <w:rPr>
          <w:rFonts w:hint="eastAsia" w:ascii="宋体" w:hAnsi="宋体" w:cs="宋体"/>
          <w:kern w:val="0"/>
          <w:sz w:val="24"/>
        </w:rPr>
        <w:t>。</w:t>
      </w:r>
    </w:p>
    <w:p>
      <w:pPr>
        <w:widowControl/>
        <w:spacing w:line="360" w:lineRule="auto"/>
        <w:ind w:firstLine="480" w:firstLineChars="200"/>
        <w:rPr>
          <w:rFonts w:ascii="宋体" w:hAnsi="宋体" w:cs="宋体"/>
          <w:kern w:val="0"/>
          <w:sz w:val="24"/>
        </w:rPr>
      </w:pPr>
      <w:r>
        <w:rPr>
          <w:rFonts w:hint="eastAsia" w:ascii="宋体" w:hAnsi="宋体" w:cs="宋体"/>
          <w:kern w:val="0"/>
          <w:sz w:val="24"/>
        </w:rPr>
        <w:t xml:space="preserve">（3）施工场地与公共道路的通道开通时间和要求： </w:t>
      </w:r>
      <w:r>
        <w:rPr>
          <w:rFonts w:hint="eastAsia" w:ascii="宋体" w:hAnsi="宋体" w:cs="宋体"/>
          <w:sz w:val="24"/>
          <w:u w:val="single"/>
        </w:rPr>
        <w:t>工程开工前5日内。</w:t>
      </w:r>
      <w:r>
        <w:rPr>
          <w:rFonts w:hint="eastAsia" w:ascii="宋体" w:hAnsi="宋体" w:cs="宋体"/>
          <w:kern w:val="0"/>
          <w:sz w:val="24"/>
        </w:rPr>
        <w:t xml:space="preserve"> </w:t>
      </w:r>
    </w:p>
    <w:p>
      <w:pPr>
        <w:widowControl/>
        <w:spacing w:line="360" w:lineRule="auto"/>
        <w:ind w:firstLine="480" w:firstLineChars="200"/>
        <w:rPr>
          <w:rFonts w:ascii="宋体" w:hAnsi="宋体" w:cs="宋体"/>
          <w:kern w:val="0"/>
          <w:sz w:val="24"/>
        </w:rPr>
      </w:pPr>
      <w:r>
        <w:rPr>
          <w:rFonts w:hint="eastAsia" w:ascii="宋体" w:hAnsi="宋体" w:cs="宋体"/>
          <w:kern w:val="0"/>
          <w:sz w:val="24"/>
        </w:rPr>
        <w:t xml:space="preserve">（4）工程地质和地下管线资料的提供时间： </w:t>
      </w:r>
      <w:r>
        <w:rPr>
          <w:rFonts w:hint="eastAsia" w:ascii="宋体" w:hAnsi="宋体" w:cs="宋体"/>
          <w:sz w:val="24"/>
          <w:u w:val="single"/>
        </w:rPr>
        <w:t>工程开工前5日内。</w:t>
      </w:r>
      <w:r>
        <w:rPr>
          <w:rFonts w:hint="eastAsia" w:ascii="宋体" w:hAnsi="宋体" w:cs="宋体"/>
          <w:kern w:val="0"/>
          <w:sz w:val="24"/>
        </w:rPr>
        <w:t xml:space="preserve"> </w:t>
      </w:r>
    </w:p>
    <w:p>
      <w:pPr>
        <w:widowControl/>
        <w:spacing w:line="360" w:lineRule="auto"/>
        <w:ind w:firstLine="480" w:firstLineChars="200"/>
        <w:rPr>
          <w:rFonts w:ascii="宋体" w:hAnsi="宋体" w:cs="宋体"/>
          <w:kern w:val="0"/>
          <w:sz w:val="24"/>
        </w:rPr>
      </w:pPr>
      <w:r>
        <w:rPr>
          <w:rFonts w:hint="eastAsia" w:ascii="宋体" w:hAnsi="宋体" w:cs="宋体"/>
          <w:kern w:val="0"/>
          <w:sz w:val="24"/>
        </w:rPr>
        <w:t xml:space="preserve">（5）由发包人办理的施工所需证件、批件的名称和完成时间： </w:t>
      </w:r>
      <w:r>
        <w:rPr>
          <w:rFonts w:hint="eastAsia" w:ascii="宋体" w:hAnsi="宋体" w:cs="宋体"/>
          <w:sz w:val="24"/>
          <w:u w:val="single"/>
        </w:rPr>
        <w:t>工程开工前5日内。</w:t>
      </w:r>
    </w:p>
    <w:p>
      <w:pPr>
        <w:widowControl/>
        <w:spacing w:line="360" w:lineRule="auto"/>
        <w:ind w:firstLine="480" w:firstLineChars="200"/>
        <w:rPr>
          <w:rFonts w:ascii="宋体" w:hAnsi="宋体" w:cs="宋体"/>
          <w:kern w:val="0"/>
          <w:sz w:val="24"/>
        </w:rPr>
      </w:pPr>
      <w:r>
        <w:rPr>
          <w:rFonts w:hint="eastAsia" w:ascii="宋体" w:hAnsi="宋体" w:cs="宋体"/>
          <w:kern w:val="0"/>
          <w:sz w:val="24"/>
        </w:rPr>
        <w:t>（6）水准点与坐标控制点交验要求：</w:t>
      </w:r>
      <w:r>
        <w:rPr>
          <w:rFonts w:hint="eastAsia" w:ascii="宋体" w:hAnsi="宋体" w:cs="宋体"/>
          <w:sz w:val="24"/>
          <w:u w:val="single"/>
        </w:rPr>
        <w:t>　　　/　　　</w:t>
      </w:r>
      <w:r>
        <w:rPr>
          <w:rFonts w:hint="eastAsia" w:ascii="宋体" w:hAnsi="宋体" w:cs="宋体"/>
          <w:kern w:val="0"/>
          <w:sz w:val="24"/>
        </w:rPr>
        <w:t xml:space="preserve"> </w:t>
      </w:r>
    </w:p>
    <w:p>
      <w:pPr>
        <w:widowControl/>
        <w:spacing w:line="360" w:lineRule="auto"/>
        <w:ind w:firstLine="480" w:firstLineChars="200"/>
        <w:rPr>
          <w:rFonts w:ascii="宋体" w:hAnsi="宋体" w:cs="宋体"/>
          <w:kern w:val="0"/>
          <w:sz w:val="24"/>
        </w:rPr>
      </w:pPr>
      <w:r>
        <w:rPr>
          <w:rFonts w:hint="eastAsia" w:ascii="宋体" w:hAnsi="宋体" w:cs="宋体"/>
          <w:kern w:val="0"/>
          <w:sz w:val="24"/>
        </w:rPr>
        <w:t xml:space="preserve">（7）图纸会审和设计交底时间： </w:t>
      </w:r>
      <w:r>
        <w:rPr>
          <w:rFonts w:hint="eastAsia" w:ascii="宋体" w:hAnsi="宋体" w:cs="宋体"/>
          <w:sz w:val="24"/>
          <w:u w:val="single"/>
        </w:rPr>
        <w:t>工程开工前5日内。</w:t>
      </w:r>
      <w:r>
        <w:rPr>
          <w:rFonts w:hint="eastAsia" w:ascii="宋体" w:hAnsi="宋体" w:cs="宋体"/>
          <w:kern w:val="0"/>
          <w:sz w:val="24"/>
        </w:rPr>
        <w:t xml:space="preserve"> </w:t>
      </w:r>
    </w:p>
    <w:p>
      <w:pPr>
        <w:widowControl/>
        <w:spacing w:line="360" w:lineRule="auto"/>
        <w:ind w:firstLine="480" w:firstLineChars="200"/>
        <w:rPr>
          <w:rFonts w:ascii="宋体" w:hAnsi="宋体" w:cs="宋体"/>
          <w:kern w:val="0"/>
          <w:sz w:val="24"/>
        </w:rPr>
      </w:pPr>
      <w:r>
        <w:rPr>
          <w:rFonts w:hint="eastAsia" w:ascii="宋体" w:hAnsi="宋体" w:cs="宋体"/>
          <w:kern w:val="0"/>
          <w:sz w:val="24"/>
        </w:rPr>
        <w:t>（8）协调处理施工场地周围地下管线和邻近建筑物、构筑物（含文物保护建筑）、古树名木的保护工作：__</w:t>
      </w:r>
      <w:r>
        <w:rPr>
          <w:rFonts w:hint="eastAsia" w:ascii="宋体" w:hAnsi="宋体" w:cs="宋体"/>
          <w:kern w:val="0"/>
          <w:sz w:val="24"/>
          <w:u w:val="single"/>
        </w:rPr>
        <w:t xml:space="preserve">执行《通用条款》8.1.（8）款 </w:t>
      </w:r>
      <w:r>
        <w:rPr>
          <w:rFonts w:hint="eastAsia" w:ascii="宋体" w:hAnsi="宋体" w:cs="宋体"/>
          <w:kern w:val="0"/>
          <w:sz w:val="24"/>
        </w:rPr>
        <w:t xml:space="preserve"> </w:t>
      </w:r>
    </w:p>
    <w:p>
      <w:pPr>
        <w:widowControl/>
        <w:spacing w:line="360" w:lineRule="auto"/>
        <w:ind w:firstLine="480" w:firstLineChars="200"/>
        <w:rPr>
          <w:rFonts w:ascii="宋体" w:hAnsi="宋体" w:cs="宋体"/>
          <w:kern w:val="0"/>
          <w:sz w:val="24"/>
          <w:u w:val="single"/>
        </w:rPr>
      </w:pPr>
      <w:r>
        <w:rPr>
          <w:rFonts w:hint="eastAsia" w:ascii="宋体" w:hAnsi="宋体" w:cs="宋体"/>
          <w:kern w:val="0"/>
          <w:sz w:val="24"/>
        </w:rPr>
        <w:t>（9）双方约定发包人应做的其他工作：</w:t>
      </w:r>
      <w:r>
        <w:rPr>
          <w:rFonts w:hint="eastAsia" w:ascii="宋体" w:hAnsi="宋体" w:cs="宋体"/>
          <w:kern w:val="0"/>
          <w:sz w:val="24"/>
          <w:u w:val="single"/>
        </w:rPr>
        <w:t>　　　</w:t>
      </w:r>
      <w:r>
        <w:rPr>
          <w:rFonts w:hint="eastAsia" w:ascii="宋体" w:hAnsi="宋体" w:cs="宋体"/>
          <w:kern w:val="0"/>
          <w:sz w:val="24"/>
          <w:u w:val="single"/>
        </w:rPr>
        <w:tab/>
      </w:r>
      <w:r>
        <w:rPr>
          <w:rFonts w:hint="eastAsia" w:ascii="宋体" w:hAnsi="宋体" w:cs="宋体"/>
          <w:kern w:val="0"/>
          <w:sz w:val="24"/>
          <w:u w:val="single"/>
        </w:rPr>
        <w:t>无　　　　</w:t>
      </w:r>
    </w:p>
    <w:p>
      <w:pPr>
        <w:widowControl/>
        <w:spacing w:line="360" w:lineRule="auto"/>
        <w:ind w:firstLine="480"/>
        <w:rPr>
          <w:rFonts w:ascii="宋体" w:hAnsi="宋体" w:cs="宋体"/>
          <w:kern w:val="0"/>
          <w:sz w:val="24"/>
        </w:rPr>
      </w:pPr>
      <w:r>
        <w:rPr>
          <w:rFonts w:hint="eastAsia" w:ascii="宋体" w:hAnsi="宋体" w:cs="宋体"/>
          <w:kern w:val="0"/>
          <w:sz w:val="24"/>
        </w:rPr>
        <w:t>8.2发包人委托承包人办理的工作：</w:t>
      </w:r>
      <w:r>
        <w:rPr>
          <w:rFonts w:hint="eastAsia" w:ascii="宋体" w:hAnsi="宋体" w:cs="宋体"/>
          <w:kern w:val="0"/>
          <w:sz w:val="24"/>
          <w:u w:val="single"/>
        </w:rPr>
        <w:t xml:space="preserve"> 　　　      　　</w:t>
      </w:r>
    </w:p>
    <w:p>
      <w:pPr>
        <w:widowControl/>
        <w:spacing w:line="360" w:lineRule="auto"/>
        <w:ind w:firstLine="480" w:firstLineChars="200"/>
        <w:rPr>
          <w:rFonts w:ascii="宋体" w:hAnsi="宋体" w:cs="宋体"/>
          <w:kern w:val="0"/>
          <w:sz w:val="24"/>
        </w:rPr>
      </w:pPr>
      <w:r>
        <w:rPr>
          <w:rFonts w:hint="eastAsia" w:ascii="宋体" w:hAnsi="宋体" w:cs="宋体"/>
          <w:kern w:val="0"/>
          <w:sz w:val="24"/>
        </w:rPr>
        <w:t>9、承包人工作</w:t>
      </w:r>
    </w:p>
    <w:p>
      <w:pPr>
        <w:widowControl/>
        <w:spacing w:line="360" w:lineRule="auto"/>
        <w:ind w:firstLine="480" w:firstLineChars="200"/>
        <w:rPr>
          <w:rFonts w:ascii="宋体" w:hAnsi="宋体" w:cs="宋体"/>
          <w:kern w:val="0"/>
          <w:sz w:val="24"/>
        </w:rPr>
      </w:pPr>
      <w:r>
        <w:rPr>
          <w:rFonts w:hint="eastAsia" w:ascii="宋体" w:hAnsi="宋体" w:cs="宋体"/>
          <w:kern w:val="0"/>
          <w:sz w:val="24"/>
        </w:rPr>
        <w:t>9.1承包人应按约定时间和要求，完成以下工作：</w:t>
      </w:r>
    </w:p>
    <w:p>
      <w:pPr>
        <w:widowControl/>
        <w:spacing w:line="360" w:lineRule="auto"/>
        <w:ind w:firstLine="480" w:firstLineChars="200"/>
        <w:rPr>
          <w:rFonts w:ascii="宋体" w:hAnsi="宋体" w:cs="宋体"/>
          <w:kern w:val="0"/>
          <w:sz w:val="24"/>
        </w:rPr>
      </w:pPr>
      <w:r>
        <w:rPr>
          <w:rFonts w:hint="eastAsia" w:ascii="宋体" w:hAnsi="宋体" w:cs="宋体"/>
          <w:kern w:val="0"/>
          <w:sz w:val="24"/>
        </w:rPr>
        <w:t>（1）需由设计资质等级和业务范围允许的承包人完成的设计文件提交时间：__</w:t>
      </w:r>
      <w:r>
        <w:rPr>
          <w:rFonts w:hint="eastAsia" w:ascii="宋体" w:hAnsi="宋体" w:cs="宋体"/>
          <w:kern w:val="0"/>
          <w:sz w:val="24"/>
          <w:u w:val="single"/>
        </w:rPr>
        <w:t>本工程没有须由承包人完成的设计工作</w:t>
      </w:r>
      <w:r>
        <w:rPr>
          <w:rFonts w:hint="eastAsia" w:ascii="宋体" w:hAnsi="宋体" w:cs="宋体"/>
          <w:kern w:val="0"/>
          <w:sz w:val="24"/>
        </w:rPr>
        <w:t>__</w:t>
      </w:r>
    </w:p>
    <w:p>
      <w:pPr>
        <w:widowControl/>
        <w:spacing w:line="360" w:lineRule="auto"/>
        <w:ind w:firstLine="480" w:firstLineChars="200"/>
        <w:rPr>
          <w:rFonts w:ascii="宋体" w:hAnsi="宋体" w:cs="宋体"/>
          <w:kern w:val="0"/>
          <w:sz w:val="24"/>
        </w:rPr>
      </w:pPr>
      <w:r>
        <w:rPr>
          <w:rFonts w:hint="eastAsia" w:ascii="宋体" w:hAnsi="宋体" w:cs="宋体"/>
          <w:kern w:val="0"/>
          <w:sz w:val="24"/>
        </w:rPr>
        <w:t>（2）应提供计划、报表的名称及完成时间：</w:t>
      </w:r>
      <w:r>
        <w:rPr>
          <w:rFonts w:hint="eastAsia" w:ascii="宋体" w:hAnsi="宋体" w:cs="宋体"/>
          <w:kern w:val="0"/>
          <w:sz w:val="24"/>
          <w:u w:val="single"/>
        </w:rPr>
        <w:t>　每月25日向业主、监理单位报送叁份《通用条款》9.1.（2）款规定的报表</w:t>
      </w:r>
      <w:r>
        <w:rPr>
          <w:rFonts w:hint="eastAsia" w:ascii="宋体" w:hAnsi="宋体" w:cs="宋体"/>
          <w:kern w:val="0"/>
          <w:sz w:val="24"/>
        </w:rPr>
        <w:t>___</w:t>
      </w:r>
    </w:p>
    <w:p>
      <w:pPr>
        <w:widowControl/>
        <w:spacing w:line="360" w:lineRule="auto"/>
        <w:ind w:firstLine="480" w:firstLineChars="200"/>
        <w:rPr>
          <w:rFonts w:ascii="宋体" w:hAnsi="宋体" w:cs="宋体"/>
          <w:kern w:val="0"/>
          <w:sz w:val="24"/>
        </w:rPr>
      </w:pPr>
      <w:r>
        <w:rPr>
          <w:rFonts w:hint="eastAsia" w:ascii="宋体" w:hAnsi="宋体" w:cs="宋体"/>
          <w:kern w:val="0"/>
          <w:sz w:val="24"/>
        </w:rPr>
        <w:t>（3）承担施工安全保卫工作及非夜间施工照明的的有关内容责任和要求：_</w:t>
      </w:r>
      <w:r>
        <w:rPr>
          <w:rFonts w:hint="eastAsia" w:ascii="宋体" w:hAnsi="宋体" w:cs="宋体"/>
          <w:kern w:val="0"/>
          <w:sz w:val="24"/>
          <w:u w:val="single"/>
        </w:rPr>
        <w:t>执行《通用条款》9.1.（3）款和附件中的“安全生产责任协议书”的有关内容。</w:t>
      </w:r>
    </w:p>
    <w:p>
      <w:pPr>
        <w:widowControl/>
        <w:spacing w:line="360" w:lineRule="auto"/>
        <w:ind w:firstLine="480" w:firstLineChars="200"/>
        <w:rPr>
          <w:rFonts w:ascii="宋体" w:hAnsi="宋体" w:cs="宋体"/>
          <w:kern w:val="0"/>
          <w:sz w:val="24"/>
          <w:u w:val="single"/>
        </w:rPr>
      </w:pPr>
      <w:r>
        <w:rPr>
          <w:rFonts w:hint="eastAsia" w:ascii="宋体" w:hAnsi="宋体" w:cs="宋体"/>
          <w:kern w:val="0"/>
          <w:sz w:val="24"/>
        </w:rPr>
        <w:t>（4）向发包人提供的办公和生活房屋及设施的要求：</w:t>
      </w:r>
      <w:r>
        <w:rPr>
          <w:rFonts w:hint="eastAsia" w:ascii="宋体" w:hAnsi="宋体" w:cs="宋体"/>
          <w:kern w:val="0"/>
          <w:sz w:val="24"/>
          <w:u w:val="single"/>
        </w:rPr>
        <w:t>　　/　　</w:t>
      </w:r>
    </w:p>
    <w:p>
      <w:pPr>
        <w:widowControl/>
        <w:spacing w:line="360" w:lineRule="auto"/>
        <w:ind w:firstLine="480" w:firstLineChars="200"/>
        <w:rPr>
          <w:rFonts w:ascii="宋体" w:hAnsi="宋体" w:cs="宋体"/>
          <w:kern w:val="0"/>
          <w:sz w:val="24"/>
          <w:u w:val="single"/>
        </w:rPr>
      </w:pPr>
      <w:r>
        <w:rPr>
          <w:rFonts w:hint="eastAsia" w:ascii="宋体" w:hAnsi="宋体" w:cs="宋体"/>
          <w:kern w:val="0"/>
          <w:sz w:val="24"/>
        </w:rPr>
        <w:t>（5）需承包人办理的有关施工场地交通、环卫和施工噪音管理等手续：_</w:t>
      </w:r>
      <w:r>
        <w:rPr>
          <w:rFonts w:hint="eastAsia" w:ascii="宋体" w:hAnsi="宋体" w:cs="宋体"/>
          <w:kern w:val="0"/>
          <w:sz w:val="24"/>
          <w:u w:val="single"/>
        </w:rPr>
        <w:t>执行《通用条款》9.1.（5）款</w:t>
      </w:r>
    </w:p>
    <w:p>
      <w:pPr>
        <w:widowControl/>
        <w:spacing w:line="360" w:lineRule="auto"/>
        <w:ind w:firstLine="480" w:firstLineChars="200"/>
        <w:rPr>
          <w:rFonts w:ascii="宋体" w:hAnsi="宋体" w:cs="宋体"/>
          <w:kern w:val="0"/>
          <w:sz w:val="24"/>
        </w:rPr>
      </w:pPr>
      <w:r>
        <w:rPr>
          <w:rFonts w:hint="eastAsia" w:ascii="宋体" w:hAnsi="宋体" w:cs="宋体"/>
          <w:kern w:val="0"/>
          <w:sz w:val="24"/>
        </w:rPr>
        <w:t>（6）已完工程成品保护的特殊要求及费用承担：</w:t>
      </w:r>
      <w:r>
        <w:rPr>
          <w:rFonts w:hint="eastAsia" w:ascii="宋体" w:hAnsi="宋体" w:cs="宋体"/>
          <w:kern w:val="0"/>
          <w:sz w:val="24"/>
          <w:u w:val="single"/>
        </w:rPr>
        <w:t>执行《通用条款》9.1.（6）款</w:t>
      </w:r>
      <w:r>
        <w:rPr>
          <w:rFonts w:hint="eastAsia" w:ascii="宋体" w:hAnsi="宋体" w:cs="宋体"/>
          <w:kern w:val="0"/>
          <w:sz w:val="24"/>
        </w:rPr>
        <w:t>__</w:t>
      </w:r>
    </w:p>
    <w:p>
      <w:pPr>
        <w:widowControl/>
        <w:spacing w:line="360" w:lineRule="auto"/>
        <w:ind w:firstLine="480" w:firstLineChars="200"/>
        <w:rPr>
          <w:rFonts w:ascii="宋体" w:hAnsi="宋体" w:cs="宋体"/>
          <w:kern w:val="0"/>
          <w:sz w:val="24"/>
        </w:rPr>
      </w:pPr>
      <w:r>
        <w:rPr>
          <w:rFonts w:hint="eastAsia" w:ascii="宋体" w:hAnsi="宋体" w:cs="宋体"/>
          <w:kern w:val="0"/>
          <w:sz w:val="24"/>
        </w:rPr>
        <w:t>（7）施工场地周围地下管线和邻近建筑物、构筑物（含文物保护建筑）、古树名木的保护要求及费用承担：_</w:t>
      </w:r>
      <w:r>
        <w:rPr>
          <w:rFonts w:hint="eastAsia" w:ascii="宋体" w:hAnsi="宋体" w:cs="宋体"/>
          <w:kern w:val="0"/>
          <w:sz w:val="24"/>
          <w:u w:val="single"/>
        </w:rPr>
        <w:t>执行《通用条款》9.1.（7）款</w:t>
      </w:r>
      <w:r>
        <w:rPr>
          <w:rFonts w:hint="eastAsia" w:ascii="宋体" w:hAnsi="宋体" w:cs="宋体"/>
          <w:kern w:val="0"/>
          <w:sz w:val="24"/>
        </w:rPr>
        <w:t>___</w:t>
      </w:r>
    </w:p>
    <w:p>
      <w:pPr>
        <w:widowControl/>
        <w:spacing w:line="360" w:lineRule="auto"/>
        <w:ind w:firstLine="480" w:firstLineChars="200"/>
        <w:rPr>
          <w:rFonts w:ascii="宋体" w:hAnsi="宋体" w:cs="宋体"/>
          <w:kern w:val="0"/>
          <w:sz w:val="24"/>
        </w:rPr>
      </w:pPr>
      <w:r>
        <w:rPr>
          <w:rFonts w:hint="eastAsia" w:ascii="宋体" w:hAnsi="宋体" w:cs="宋体"/>
          <w:kern w:val="0"/>
          <w:sz w:val="24"/>
        </w:rPr>
        <w:t>（8）施工场地清洁卫生的要求：_</w:t>
      </w:r>
      <w:r>
        <w:rPr>
          <w:rFonts w:hint="eastAsia" w:ascii="宋体" w:hAnsi="宋体" w:cs="宋体"/>
          <w:kern w:val="0"/>
          <w:sz w:val="24"/>
          <w:u w:val="single"/>
        </w:rPr>
        <w:t>执行《通用条款》9.1.（8）款</w:t>
      </w:r>
      <w:r>
        <w:rPr>
          <w:rFonts w:hint="eastAsia" w:ascii="宋体" w:hAnsi="宋体" w:cs="宋体"/>
          <w:kern w:val="0"/>
          <w:sz w:val="24"/>
        </w:rPr>
        <w:t>_</w:t>
      </w:r>
    </w:p>
    <w:p>
      <w:pPr>
        <w:spacing w:line="360" w:lineRule="auto"/>
        <w:ind w:firstLine="480" w:firstLineChars="200"/>
        <w:rPr>
          <w:rFonts w:ascii="宋体" w:hAnsi="宋体" w:cs="宋体"/>
          <w:sz w:val="24"/>
          <w:u w:val="single"/>
        </w:rPr>
      </w:pPr>
      <w:r>
        <w:rPr>
          <w:rFonts w:hint="eastAsia" w:ascii="宋体" w:hAnsi="宋体" w:cs="宋体"/>
          <w:kern w:val="0"/>
          <w:sz w:val="24"/>
        </w:rPr>
        <w:t>（9）双方约定承包人应做的其他工作：__</w:t>
      </w:r>
      <w:r>
        <w:rPr>
          <w:rFonts w:hint="eastAsia" w:ascii="宋体" w:hAnsi="宋体" w:cs="宋体"/>
          <w:sz w:val="24"/>
          <w:u w:val="single"/>
        </w:rPr>
        <w:t>承包人应将其在审阅合同文件及施工过程中发现的工程设计或技术规范的任何错误、遗漏、误差或其他缺陷及时通知工程师，并给发包方一份复印件。</w:t>
      </w:r>
    </w:p>
    <w:p>
      <w:pPr>
        <w:spacing w:line="360" w:lineRule="auto"/>
        <w:ind w:firstLine="480" w:firstLineChars="200"/>
        <w:rPr>
          <w:rFonts w:ascii="宋体" w:hAnsi="宋体" w:cs="宋体"/>
          <w:sz w:val="24"/>
          <w:u w:val="single"/>
        </w:rPr>
      </w:pPr>
      <w:r>
        <w:rPr>
          <w:rFonts w:hint="eastAsia" w:ascii="宋体" w:hAnsi="宋体" w:cs="宋体"/>
          <w:sz w:val="24"/>
          <w:u w:val="single"/>
        </w:rPr>
        <w:t>承包人应对整个现场操作和施工方法的完备性、稳定性和安全性负全责。</w:t>
      </w:r>
    </w:p>
    <w:p>
      <w:pPr>
        <w:spacing w:line="360" w:lineRule="auto"/>
        <w:ind w:firstLine="480" w:firstLineChars="200"/>
        <w:rPr>
          <w:rFonts w:ascii="宋体" w:hAnsi="宋体" w:cs="宋体"/>
          <w:kern w:val="0"/>
          <w:sz w:val="24"/>
        </w:rPr>
      </w:pPr>
      <w:r>
        <w:rPr>
          <w:rFonts w:hint="eastAsia" w:ascii="宋体" w:hAnsi="宋体" w:cs="宋体"/>
          <w:sz w:val="24"/>
          <w:u w:val="single"/>
        </w:rPr>
        <w:t>承包人应对其采用的施工工艺、施工方法等涉及到知识产权的行为的合法性负全责。</w:t>
      </w:r>
    </w:p>
    <w:p>
      <w:pPr>
        <w:widowControl/>
        <w:spacing w:line="360" w:lineRule="auto"/>
        <w:ind w:firstLine="482" w:firstLineChars="200"/>
        <w:rPr>
          <w:rFonts w:ascii="宋体" w:hAnsi="宋体" w:cs="宋体"/>
          <w:b/>
          <w:kern w:val="0"/>
          <w:sz w:val="24"/>
        </w:rPr>
      </w:pPr>
      <w:r>
        <w:rPr>
          <w:rFonts w:hint="eastAsia" w:ascii="宋体" w:hAnsi="宋体" w:cs="宋体"/>
          <w:b/>
          <w:kern w:val="0"/>
          <w:sz w:val="24"/>
        </w:rPr>
        <w:t>三、施工组织设计和工期</w:t>
      </w:r>
    </w:p>
    <w:p>
      <w:pPr>
        <w:widowControl/>
        <w:spacing w:line="360" w:lineRule="auto"/>
        <w:ind w:firstLine="480" w:firstLineChars="200"/>
        <w:rPr>
          <w:rFonts w:ascii="宋体" w:hAnsi="宋体" w:cs="宋体"/>
          <w:kern w:val="0"/>
          <w:sz w:val="24"/>
        </w:rPr>
      </w:pPr>
      <w:r>
        <w:rPr>
          <w:rFonts w:hint="eastAsia" w:ascii="宋体" w:hAnsi="宋体" w:cs="宋体"/>
          <w:kern w:val="0"/>
          <w:sz w:val="24"/>
        </w:rPr>
        <w:t>10、进度计划</w:t>
      </w:r>
    </w:p>
    <w:p>
      <w:pPr>
        <w:widowControl/>
        <w:spacing w:line="360" w:lineRule="auto"/>
        <w:ind w:firstLine="480" w:firstLineChars="200"/>
        <w:rPr>
          <w:rFonts w:ascii="宋体" w:hAnsi="宋体" w:cs="宋体"/>
          <w:kern w:val="0"/>
          <w:sz w:val="24"/>
        </w:rPr>
      </w:pPr>
      <w:r>
        <w:rPr>
          <w:rFonts w:hint="eastAsia" w:ascii="宋体" w:hAnsi="宋体" w:cs="宋体"/>
          <w:kern w:val="0"/>
          <w:sz w:val="24"/>
        </w:rPr>
        <w:t>10.1承包人提供施工组织设计（施工方案）和进度计划的时间：</w:t>
      </w:r>
      <w:r>
        <w:rPr>
          <w:rFonts w:hint="eastAsia" w:ascii="宋体" w:hAnsi="宋体" w:cs="宋体"/>
          <w:kern w:val="0"/>
          <w:sz w:val="24"/>
          <w:u w:val="single"/>
        </w:rPr>
        <w:t>开工前十日内</w:t>
      </w:r>
    </w:p>
    <w:p>
      <w:pPr>
        <w:widowControl/>
        <w:spacing w:line="360" w:lineRule="auto"/>
        <w:ind w:firstLine="480" w:firstLineChars="200"/>
        <w:rPr>
          <w:rFonts w:ascii="宋体" w:hAnsi="宋体" w:cs="宋体"/>
          <w:kern w:val="0"/>
          <w:sz w:val="24"/>
        </w:rPr>
      </w:pPr>
      <w:r>
        <w:rPr>
          <w:rFonts w:hint="eastAsia" w:ascii="宋体" w:hAnsi="宋体" w:cs="宋体"/>
          <w:kern w:val="0"/>
          <w:sz w:val="24"/>
        </w:rPr>
        <w:t>工程师确认的时间：_</w:t>
      </w:r>
      <w:r>
        <w:rPr>
          <w:rFonts w:hint="eastAsia" w:ascii="宋体" w:hAnsi="宋体" w:cs="宋体"/>
          <w:kern w:val="0"/>
          <w:sz w:val="24"/>
          <w:u w:val="single"/>
        </w:rPr>
        <w:t>_7日内___</w:t>
      </w:r>
    </w:p>
    <w:p>
      <w:pPr>
        <w:widowControl/>
        <w:spacing w:line="360" w:lineRule="auto"/>
        <w:ind w:firstLine="480" w:firstLineChars="200"/>
        <w:rPr>
          <w:rFonts w:ascii="宋体" w:hAnsi="宋体" w:cs="宋体"/>
          <w:kern w:val="0"/>
          <w:sz w:val="24"/>
        </w:rPr>
      </w:pPr>
      <w:r>
        <w:rPr>
          <w:rFonts w:hint="eastAsia" w:ascii="宋体" w:hAnsi="宋体" w:cs="宋体"/>
          <w:kern w:val="0"/>
          <w:sz w:val="24"/>
        </w:rPr>
        <w:t>10.2群体工程中有关进度计划的要求： ________________________</w:t>
      </w:r>
    </w:p>
    <w:p>
      <w:pPr>
        <w:widowControl/>
        <w:spacing w:line="360" w:lineRule="auto"/>
        <w:ind w:firstLine="480" w:firstLineChars="200"/>
        <w:rPr>
          <w:rFonts w:ascii="宋体" w:hAnsi="宋体" w:cs="宋体"/>
          <w:kern w:val="0"/>
          <w:sz w:val="24"/>
        </w:rPr>
      </w:pPr>
      <w:r>
        <w:rPr>
          <w:rFonts w:hint="eastAsia" w:ascii="宋体" w:hAnsi="宋体" w:cs="宋体"/>
          <w:kern w:val="0"/>
          <w:sz w:val="24"/>
        </w:rPr>
        <w:t>13、工期延误</w:t>
      </w:r>
    </w:p>
    <w:p>
      <w:pPr>
        <w:widowControl/>
        <w:spacing w:line="360" w:lineRule="auto"/>
        <w:ind w:firstLine="480" w:firstLineChars="200"/>
        <w:rPr>
          <w:rFonts w:ascii="宋体" w:hAnsi="宋体" w:cs="宋体"/>
          <w:kern w:val="0"/>
          <w:sz w:val="24"/>
        </w:rPr>
      </w:pPr>
      <w:r>
        <w:rPr>
          <w:rFonts w:hint="eastAsia" w:ascii="宋体" w:hAnsi="宋体" w:cs="宋体"/>
          <w:kern w:val="0"/>
          <w:sz w:val="24"/>
        </w:rPr>
        <w:t>13.1双方约定工期顺延的其他情况：_</w:t>
      </w:r>
      <w:r>
        <w:rPr>
          <w:rFonts w:hint="eastAsia" w:ascii="宋体" w:hAnsi="宋体" w:cs="宋体"/>
          <w:sz w:val="24"/>
          <w:u w:val="single"/>
        </w:rPr>
        <w:t>执行《通用条款》11条：工期提前无奖励。工期每推迟一天除按1000元处罚外,若影响到发包人使用时应赔偿由此给甲方造成的损失。</w:t>
      </w:r>
    </w:p>
    <w:p>
      <w:pPr>
        <w:widowControl/>
        <w:spacing w:line="360" w:lineRule="auto"/>
        <w:ind w:firstLine="482" w:firstLineChars="200"/>
        <w:rPr>
          <w:rFonts w:ascii="宋体" w:hAnsi="宋体" w:cs="宋体"/>
          <w:b/>
          <w:kern w:val="0"/>
          <w:sz w:val="24"/>
        </w:rPr>
      </w:pPr>
      <w:r>
        <w:rPr>
          <w:rFonts w:hint="eastAsia" w:ascii="宋体" w:hAnsi="宋体" w:cs="宋体"/>
          <w:b/>
          <w:kern w:val="0"/>
          <w:sz w:val="24"/>
        </w:rPr>
        <w:t>四、质量与检验</w:t>
      </w:r>
    </w:p>
    <w:p>
      <w:pPr>
        <w:widowControl/>
        <w:spacing w:line="360" w:lineRule="auto"/>
        <w:ind w:firstLine="480" w:firstLineChars="200"/>
        <w:rPr>
          <w:rFonts w:ascii="宋体" w:hAnsi="宋体" w:cs="宋体"/>
          <w:kern w:val="0"/>
          <w:sz w:val="24"/>
        </w:rPr>
      </w:pPr>
      <w:r>
        <w:rPr>
          <w:rFonts w:hint="eastAsia" w:ascii="宋体" w:hAnsi="宋体" w:cs="宋体"/>
          <w:kern w:val="0"/>
          <w:sz w:val="24"/>
        </w:rPr>
        <w:t>17、隐蔽工程和中间验收</w:t>
      </w:r>
    </w:p>
    <w:p>
      <w:pPr>
        <w:widowControl/>
        <w:spacing w:line="360" w:lineRule="auto"/>
        <w:ind w:firstLine="480" w:firstLineChars="200"/>
        <w:rPr>
          <w:rFonts w:ascii="宋体" w:hAnsi="宋体" w:cs="宋体"/>
          <w:kern w:val="0"/>
          <w:sz w:val="24"/>
        </w:rPr>
      </w:pPr>
      <w:r>
        <w:rPr>
          <w:rFonts w:hint="eastAsia" w:ascii="宋体" w:hAnsi="宋体" w:cs="宋体"/>
          <w:kern w:val="0"/>
          <w:sz w:val="24"/>
        </w:rPr>
        <w:t>17.1双方约定中间验收部位：</w:t>
      </w:r>
      <w:r>
        <w:rPr>
          <w:rFonts w:hint="eastAsia" w:ascii="宋体" w:hAnsi="宋体" w:cs="宋体"/>
          <w:kern w:val="0"/>
          <w:sz w:val="24"/>
          <w:u w:val="single"/>
        </w:rPr>
        <w:t xml:space="preserve">                </w:t>
      </w:r>
    </w:p>
    <w:p>
      <w:pPr>
        <w:widowControl/>
        <w:spacing w:line="360" w:lineRule="auto"/>
        <w:ind w:firstLine="480" w:firstLineChars="200"/>
        <w:rPr>
          <w:rFonts w:ascii="宋体" w:hAnsi="宋体" w:cs="宋体"/>
          <w:kern w:val="0"/>
          <w:sz w:val="24"/>
        </w:rPr>
      </w:pPr>
      <w:r>
        <w:rPr>
          <w:rFonts w:hint="eastAsia" w:ascii="宋体" w:hAnsi="宋体" w:cs="宋体"/>
          <w:kern w:val="0"/>
          <w:sz w:val="24"/>
        </w:rPr>
        <w:t>19、工程试车</w:t>
      </w:r>
    </w:p>
    <w:p>
      <w:pPr>
        <w:widowControl/>
        <w:spacing w:line="360" w:lineRule="auto"/>
        <w:ind w:firstLine="480" w:firstLineChars="200"/>
        <w:rPr>
          <w:rFonts w:ascii="宋体" w:hAnsi="宋体" w:cs="宋体"/>
          <w:kern w:val="0"/>
          <w:sz w:val="24"/>
        </w:rPr>
      </w:pPr>
      <w:r>
        <w:rPr>
          <w:rFonts w:hint="eastAsia" w:ascii="宋体" w:hAnsi="宋体" w:cs="宋体"/>
          <w:kern w:val="0"/>
          <w:sz w:val="24"/>
        </w:rPr>
        <w:t>19.1试车费用的承担：</w:t>
      </w:r>
      <w:r>
        <w:rPr>
          <w:rFonts w:hint="eastAsia" w:ascii="宋体" w:hAnsi="宋体" w:cs="宋体"/>
          <w:sz w:val="24"/>
          <w:u w:val="single"/>
        </w:rPr>
        <w:t>　　　　　　　　　</w:t>
      </w:r>
      <w:r>
        <w:rPr>
          <w:rFonts w:hint="eastAsia" w:ascii="宋体" w:hAnsi="宋体" w:cs="宋体"/>
          <w:kern w:val="0"/>
          <w:sz w:val="24"/>
        </w:rPr>
        <w:t>__</w:t>
      </w:r>
    </w:p>
    <w:p>
      <w:pPr>
        <w:widowControl/>
        <w:spacing w:line="360" w:lineRule="auto"/>
        <w:ind w:firstLine="482" w:firstLineChars="200"/>
        <w:rPr>
          <w:rFonts w:ascii="宋体" w:hAnsi="宋体" w:cs="宋体"/>
          <w:b/>
          <w:kern w:val="0"/>
          <w:sz w:val="24"/>
        </w:rPr>
      </w:pPr>
      <w:r>
        <w:rPr>
          <w:rFonts w:hint="eastAsia" w:ascii="宋体" w:hAnsi="宋体" w:cs="宋体"/>
          <w:b/>
          <w:kern w:val="0"/>
          <w:sz w:val="24"/>
        </w:rPr>
        <w:t>五、安全防护、文明施工</w:t>
      </w:r>
    </w:p>
    <w:p>
      <w:pPr>
        <w:spacing w:line="360" w:lineRule="auto"/>
        <w:ind w:firstLine="480" w:firstLineChars="200"/>
        <w:rPr>
          <w:rFonts w:ascii="宋体" w:hAnsi="宋体" w:cs="宋体"/>
          <w:sz w:val="24"/>
          <w:u w:val="single"/>
        </w:rPr>
      </w:pPr>
      <w:r>
        <w:rPr>
          <w:rFonts w:hint="eastAsia" w:ascii="宋体" w:hAnsi="宋体" w:cs="宋体"/>
          <w:sz w:val="24"/>
          <w:szCs w:val="21"/>
          <w:u w:val="single"/>
        </w:rPr>
        <w:t>执行《通用条款》第五条全部条款和国家、省、市关于安全文明施工的各项要求和规定。必须按照省级文明工地要求标准进行安全文明施工。制定切实可行的安全施工措施和安</w:t>
      </w:r>
      <w:r>
        <w:rPr>
          <w:rFonts w:hint="eastAsia" w:ascii="宋体" w:hAnsi="宋体" w:cs="宋体"/>
          <w:sz w:val="24"/>
          <w:u w:val="single"/>
        </w:rPr>
        <w:t>全管理制度，承包人承担工程施工期间的安全责任，确保本工程施工安全。因施工安全所引起发生的经济和法律责任由承包人全部负责并承担责任，其费用包含在合同价内。</w:t>
      </w:r>
    </w:p>
    <w:p>
      <w:pPr>
        <w:widowControl/>
        <w:spacing w:line="360" w:lineRule="auto"/>
        <w:ind w:firstLine="482" w:firstLineChars="200"/>
        <w:rPr>
          <w:rFonts w:ascii="宋体" w:hAnsi="宋体" w:cs="宋体"/>
          <w:b/>
          <w:kern w:val="0"/>
          <w:sz w:val="24"/>
        </w:rPr>
      </w:pPr>
      <w:r>
        <w:rPr>
          <w:rFonts w:hint="eastAsia" w:ascii="宋体" w:hAnsi="宋体" w:cs="宋体"/>
          <w:b/>
          <w:kern w:val="0"/>
          <w:sz w:val="24"/>
        </w:rPr>
        <w:t>六、合同价款</w:t>
      </w:r>
    </w:p>
    <w:p>
      <w:pPr>
        <w:widowControl/>
        <w:spacing w:line="360" w:lineRule="auto"/>
        <w:ind w:firstLine="480" w:firstLineChars="200"/>
        <w:rPr>
          <w:rFonts w:ascii="宋体" w:hAnsi="宋体" w:cs="宋体"/>
          <w:kern w:val="0"/>
          <w:sz w:val="24"/>
        </w:rPr>
      </w:pPr>
      <w:r>
        <w:rPr>
          <w:rFonts w:hint="eastAsia" w:ascii="宋体" w:hAnsi="宋体" w:cs="宋体"/>
          <w:kern w:val="0"/>
          <w:sz w:val="24"/>
        </w:rPr>
        <w:t>26、合同价款约定</w:t>
      </w:r>
    </w:p>
    <w:p>
      <w:pPr>
        <w:widowControl/>
        <w:spacing w:line="360" w:lineRule="auto"/>
        <w:ind w:firstLine="480" w:firstLineChars="200"/>
        <w:rPr>
          <w:rFonts w:ascii="宋体" w:hAnsi="宋体" w:cs="宋体"/>
          <w:kern w:val="0"/>
          <w:sz w:val="24"/>
        </w:rPr>
      </w:pPr>
      <w:r>
        <w:rPr>
          <w:rFonts w:hint="eastAsia" w:ascii="宋体" w:hAnsi="宋体" w:cs="宋体"/>
          <w:kern w:val="0"/>
          <w:sz w:val="24"/>
        </w:rPr>
        <w:t>26.2本合同价款采用_</w:t>
      </w:r>
      <w:r>
        <w:rPr>
          <w:rFonts w:hint="eastAsia" w:ascii="宋体" w:hAnsi="宋体" w:cs="宋体"/>
          <w:sz w:val="24"/>
          <w:u w:val="single"/>
        </w:rPr>
        <w:t>固定综合单价合同</w:t>
      </w:r>
      <w:r>
        <w:rPr>
          <w:rFonts w:hint="eastAsia" w:ascii="宋体" w:hAnsi="宋体" w:cs="宋体"/>
          <w:kern w:val="0"/>
          <w:sz w:val="24"/>
        </w:rPr>
        <w:t>_方式确定。</w:t>
      </w:r>
    </w:p>
    <w:p>
      <w:pPr>
        <w:spacing w:line="360" w:lineRule="auto"/>
        <w:ind w:firstLine="480" w:firstLineChars="200"/>
        <w:rPr>
          <w:rFonts w:ascii="宋体" w:hAnsi="宋体" w:cs="宋体"/>
          <w:sz w:val="24"/>
        </w:rPr>
      </w:pPr>
      <w:r>
        <w:rPr>
          <w:rFonts w:hint="eastAsia" w:ascii="宋体" w:hAnsi="宋体" w:cs="宋体"/>
          <w:kern w:val="0"/>
          <w:sz w:val="24"/>
        </w:rPr>
        <w:t>（1）采用固定综合单价合同，综合单价中包括的风险范围：</w:t>
      </w:r>
      <w:r>
        <w:rPr>
          <w:rFonts w:hint="eastAsia" w:ascii="宋体" w:hAnsi="宋体" w:cs="宋体"/>
          <w:sz w:val="24"/>
          <w:u w:val="single"/>
        </w:rPr>
        <w:t>合同价款中包括的风险范围：人工费、材料费、机械费社会价格浮动，本合同第43条规定以外发生的自然灾害、停水、停电</w:t>
      </w:r>
      <w:r>
        <w:rPr>
          <w:rFonts w:hint="eastAsia" w:ascii="宋体" w:hAnsi="宋体" w:cs="宋体"/>
          <w:sz w:val="24"/>
          <w:szCs w:val="21"/>
          <w:u w:val="single"/>
        </w:rPr>
        <w:t>等引起的停窝工机械和人工费用</w:t>
      </w:r>
      <w:r>
        <w:rPr>
          <w:rFonts w:hint="eastAsia" w:ascii="宋体" w:hAnsi="宋体" w:cs="宋体"/>
          <w:sz w:val="24"/>
          <w:u w:val="single"/>
        </w:rPr>
        <w:t>。</w:t>
      </w:r>
    </w:p>
    <w:p>
      <w:pPr>
        <w:spacing w:line="360" w:lineRule="auto"/>
        <w:ind w:firstLine="410" w:firstLineChars="171"/>
        <w:rPr>
          <w:rFonts w:ascii="宋体" w:hAnsi="宋体" w:cs="宋体"/>
          <w:sz w:val="24"/>
          <w:szCs w:val="21"/>
          <w:u w:val="single"/>
        </w:rPr>
      </w:pPr>
      <w:r>
        <w:rPr>
          <w:rFonts w:hint="eastAsia" w:ascii="宋体" w:hAnsi="宋体" w:cs="宋体"/>
          <w:sz w:val="24"/>
        </w:rPr>
        <w:t xml:space="preserve"> </w:t>
      </w:r>
      <w:r>
        <w:rPr>
          <w:rFonts w:hint="eastAsia" w:ascii="宋体" w:hAnsi="宋体" w:cs="宋体"/>
          <w:sz w:val="24"/>
          <w:szCs w:val="21"/>
          <w:u w:val="single"/>
        </w:rPr>
        <w:t>法律、行政法规和国家有关政策变化影响合同价款时，双方协商解决。</w:t>
      </w:r>
    </w:p>
    <w:p>
      <w:pPr>
        <w:spacing w:line="360" w:lineRule="auto"/>
        <w:ind w:firstLine="360" w:firstLineChars="150"/>
        <w:rPr>
          <w:rFonts w:ascii="宋体" w:hAnsi="宋体" w:cs="宋体"/>
          <w:sz w:val="24"/>
          <w:szCs w:val="21"/>
        </w:rPr>
      </w:pPr>
      <w:r>
        <w:rPr>
          <w:rFonts w:hint="eastAsia" w:ascii="宋体" w:hAnsi="宋体" w:cs="宋体"/>
          <w:sz w:val="24"/>
          <w:szCs w:val="21"/>
        </w:rPr>
        <w:t>（2）主要材料发包人已认质认价。</w:t>
      </w:r>
    </w:p>
    <w:p>
      <w:pPr>
        <w:spacing w:line="360" w:lineRule="auto"/>
        <w:ind w:firstLine="361" w:firstLineChars="150"/>
        <w:rPr>
          <w:rFonts w:ascii="宋体" w:hAnsi="宋体" w:cs="宋体"/>
          <w:b/>
          <w:bCs/>
          <w:sz w:val="24"/>
          <w:szCs w:val="21"/>
        </w:rPr>
      </w:pPr>
      <w:r>
        <w:rPr>
          <w:rFonts w:hint="eastAsia" w:ascii="宋体" w:hAnsi="宋体" w:cs="宋体"/>
          <w:b/>
          <w:bCs/>
          <w:sz w:val="24"/>
          <w:szCs w:val="21"/>
        </w:rPr>
        <w:t>（3）不平衡报价：投标完成后，发包人将对承包人投标单价与拦标价对应项目进行核对，对投标单价与拦标价相差超过±15%的，将对投标单价进行修正。</w:t>
      </w:r>
    </w:p>
    <w:p>
      <w:pPr>
        <w:spacing w:line="360" w:lineRule="auto"/>
        <w:ind w:firstLine="482" w:firstLineChars="200"/>
        <w:rPr>
          <w:rFonts w:ascii="宋体" w:hAnsi="宋体" w:cs="宋体"/>
          <w:b/>
          <w:bCs/>
          <w:sz w:val="24"/>
          <w:szCs w:val="21"/>
        </w:rPr>
      </w:pPr>
      <w:r>
        <w:rPr>
          <w:rFonts w:hint="eastAsia" w:ascii="宋体" w:hAnsi="宋体" w:cs="宋体"/>
          <w:b/>
          <w:bCs/>
          <w:sz w:val="24"/>
          <w:szCs w:val="21"/>
        </w:rPr>
        <w:t>修正办法：将拦标价中综合单价按照成交价同比例下浮后做为对应项目综合单价，差价部分费用在措施费中调整，合同总价不变。</w:t>
      </w:r>
    </w:p>
    <w:p>
      <w:pPr>
        <w:widowControl/>
        <w:spacing w:line="360" w:lineRule="auto"/>
        <w:ind w:firstLine="480" w:firstLineChars="200"/>
        <w:rPr>
          <w:rFonts w:ascii="宋体" w:hAnsi="宋体" w:cs="宋体"/>
          <w:kern w:val="0"/>
          <w:sz w:val="24"/>
        </w:rPr>
      </w:pPr>
      <w:r>
        <w:rPr>
          <w:rFonts w:hint="eastAsia" w:ascii="宋体" w:hAnsi="宋体" w:cs="宋体"/>
          <w:kern w:val="0"/>
          <w:sz w:val="24"/>
        </w:rPr>
        <w:t>27、合同价款调整</w:t>
      </w:r>
    </w:p>
    <w:p>
      <w:pPr>
        <w:widowControl/>
        <w:spacing w:line="360" w:lineRule="auto"/>
        <w:ind w:firstLine="480" w:firstLineChars="200"/>
        <w:rPr>
          <w:rFonts w:ascii="宋体" w:hAnsi="宋体" w:cs="宋体"/>
          <w:kern w:val="0"/>
          <w:sz w:val="24"/>
        </w:rPr>
      </w:pPr>
      <w:r>
        <w:rPr>
          <w:rFonts w:hint="eastAsia" w:ascii="宋体" w:hAnsi="宋体" w:cs="宋体"/>
          <w:kern w:val="0"/>
          <w:sz w:val="24"/>
        </w:rPr>
        <w:t>27.1双方约定合同价款的其他调整因素：</w:t>
      </w:r>
    </w:p>
    <w:p>
      <w:pPr>
        <w:autoSpaceDE w:val="0"/>
        <w:autoSpaceDN w:val="0"/>
        <w:spacing w:line="440" w:lineRule="exact"/>
        <w:ind w:firstLine="480" w:firstLineChars="200"/>
        <w:rPr>
          <w:rFonts w:ascii="宋体" w:hAnsi="宋体" w:cs="宋体"/>
          <w:kern w:val="0"/>
          <w:sz w:val="24"/>
          <w:u w:val="single"/>
        </w:rPr>
      </w:pPr>
      <w:r>
        <w:rPr>
          <w:rFonts w:hint="eastAsia" w:ascii="宋体" w:hAnsi="宋体" w:cs="宋体"/>
          <w:kern w:val="0"/>
          <w:sz w:val="24"/>
          <w:u w:val="single"/>
        </w:rPr>
        <w:t>（1）除设计变更、现场签证情况外，分部分项工程量清单按国家有关规定调整。依据设计变更、现场签证、洽商文件、发包人认质认价单及承包人投标承诺执行本合同第35条。</w:t>
      </w:r>
    </w:p>
    <w:p>
      <w:pPr>
        <w:autoSpaceDE w:val="0"/>
        <w:autoSpaceDN w:val="0"/>
        <w:spacing w:line="440" w:lineRule="exact"/>
        <w:ind w:firstLine="480" w:firstLineChars="200"/>
        <w:rPr>
          <w:rFonts w:ascii="宋体" w:hAnsi="宋体" w:cs="宋体"/>
          <w:sz w:val="24"/>
          <w:szCs w:val="21"/>
          <w:u w:val="single"/>
        </w:rPr>
      </w:pPr>
      <w:r>
        <w:rPr>
          <w:rFonts w:hint="eastAsia" w:ascii="宋体" w:hAnsi="宋体" w:cs="宋体"/>
          <w:kern w:val="0"/>
          <w:sz w:val="24"/>
          <w:u w:val="single"/>
        </w:rPr>
        <w:t>（2）</w:t>
      </w:r>
      <w:r>
        <w:rPr>
          <w:rFonts w:hint="eastAsia" w:ascii="宋体" w:hAnsi="宋体" w:cs="宋体"/>
          <w:sz w:val="24"/>
          <w:szCs w:val="21"/>
          <w:u w:val="single"/>
        </w:rPr>
        <w:t xml:space="preserve">工程发生变更，若清单中已有适用于新工程量清单项目的价格，按已有价格结算；若清单中没有适用于新工程量清单项目的价格，按照承包人、监理和发包人共同确认的施工方案，依照招标文件、答疑纪要、设计变更、现场签证、洽商文件等执行陕西省建设工程现行计价文件，以招标上限控制价模式进行组价，然后按照承包人成交价同招标上限控制价下浮比例进行调整后作为新工程量清单项目确定的结算单价。 </w:t>
      </w:r>
    </w:p>
    <w:p>
      <w:pPr>
        <w:autoSpaceDE w:val="0"/>
        <w:autoSpaceDN w:val="0"/>
        <w:spacing w:line="440" w:lineRule="exact"/>
        <w:ind w:firstLine="480" w:firstLineChars="200"/>
        <w:rPr>
          <w:rFonts w:ascii="宋体" w:hAnsi="宋体" w:cs="宋体"/>
          <w:kern w:val="0"/>
          <w:sz w:val="24"/>
          <w:u w:val="single"/>
        </w:rPr>
      </w:pPr>
      <w:r>
        <w:rPr>
          <w:rFonts w:hint="eastAsia" w:ascii="宋体" w:hAnsi="宋体" w:cs="宋体"/>
          <w:sz w:val="24"/>
          <w:szCs w:val="21"/>
          <w:u w:val="single"/>
        </w:rPr>
        <w:t>（3）</w:t>
      </w:r>
      <w:r>
        <w:rPr>
          <w:rFonts w:hint="eastAsia" w:ascii="宋体" w:hAnsi="宋体" w:cs="宋体"/>
          <w:kern w:val="0"/>
          <w:sz w:val="24"/>
          <w:u w:val="single"/>
        </w:rPr>
        <w:t>清单工程量中零工量实际发生时，按签证量为准，但零工投标单价不变。清单量若与实际量不符时，经工程师会同双方核实签认后，以签认量进行增减并按本条款第27.1条原则办理结算。</w:t>
      </w:r>
    </w:p>
    <w:p>
      <w:pPr>
        <w:widowControl/>
        <w:spacing w:line="360" w:lineRule="auto"/>
        <w:ind w:firstLine="480" w:firstLineChars="200"/>
        <w:rPr>
          <w:rFonts w:ascii="宋体" w:hAnsi="宋体" w:cs="宋体"/>
          <w:kern w:val="0"/>
          <w:sz w:val="24"/>
          <w:u w:val="single"/>
        </w:rPr>
      </w:pPr>
      <w:r>
        <w:rPr>
          <w:rFonts w:hint="eastAsia" w:ascii="宋体" w:hAnsi="宋体" w:cs="宋体"/>
          <w:kern w:val="0"/>
          <w:sz w:val="24"/>
          <w:u w:val="single"/>
        </w:rPr>
        <w:t>（4）</w:t>
      </w:r>
      <w:r>
        <w:rPr>
          <w:rFonts w:hint="eastAsia" w:ascii="宋体" w:hAnsi="宋体" w:cs="宋体"/>
          <w:sz w:val="24"/>
          <w:u w:val="single"/>
        </w:rPr>
        <w:t>承包人成交的措施项目费为合同价款的组成部分，一般不作调整。由于</w:t>
      </w:r>
      <w:r>
        <w:rPr>
          <w:rFonts w:hint="eastAsia" w:ascii="宋体" w:hAnsi="宋体" w:cs="宋体"/>
          <w:kern w:val="0"/>
          <w:sz w:val="24"/>
          <w:u w:val="single"/>
        </w:rPr>
        <w:t>工程量清单中的工程量误差及设计变更（或现场签证）引起工程量的增减部分，其分部分项工程费在合同价款0~20%之间原合同措施项目费不予调整，在此范围以外按照2009《陕西省建设工程工程量计价规则》调整此部分措施。</w:t>
      </w:r>
    </w:p>
    <w:p>
      <w:pPr>
        <w:widowControl/>
        <w:spacing w:line="360" w:lineRule="auto"/>
        <w:ind w:firstLine="480" w:firstLineChars="200"/>
        <w:rPr>
          <w:rFonts w:ascii="宋体" w:hAnsi="宋体" w:cs="宋体"/>
          <w:kern w:val="0"/>
          <w:sz w:val="24"/>
          <w:u w:val="single"/>
        </w:rPr>
      </w:pPr>
      <w:r>
        <w:rPr>
          <w:rFonts w:hint="eastAsia" w:ascii="宋体" w:hAnsi="宋体" w:cs="宋体"/>
          <w:kern w:val="0"/>
          <w:sz w:val="24"/>
          <w:u w:val="single"/>
        </w:rPr>
        <w:t>（5）</w:t>
      </w:r>
      <w:r>
        <w:rPr>
          <w:rFonts w:hint="eastAsia" w:ascii="宋体" w:hAnsi="宋体" w:cs="宋体"/>
          <w:sz w:val="24"/>
          <w:u w:val="single"/>
        </w:rPr>
        <w:t>因甲方设计变更应依照招标文件、答疑纪要、设计变更、现场签证、洽商文件、发包人认质认价单、及承包人成交下浮比例进行调整。合同价款（成交价）及因承包人漏报的项目不予调整。</w:t>
      </w:r>
    </w:p>
    <w:p>
      <w:pPr>
        <w:widowControl/>
        <w:spacing w:line="360" w:lineRule="auto"/>
        <w:ind w:firstLine="480" w:firstLineChars="200"/>
        <w:rPr>
          <w:rFonts w:ascii="宋体" w:hAnsi="宋体" w:cs="宋体"/>
          <w:kern w:val="0"/>
          <w:sz w:val="24"/>
        </w:rPr>
      </w:pPr>
      <w:r>
        <w:rPr>
          <w:rFonts w:hint="eastAsia" w:ascii="宋体" w:hAnsi="宋体" w:cs="宋体"/>
          <w:kern w:val="0"/>
          <w:sz w:val="24"/>
        </w:rPr>
        <w:t>28、工程预付款</w:t>
      </w:r>
    </w:p>
    <w:p>
      <w:pPr>
        <w:widowControl/>
        <w:spacing w:line="360" w:lineRule="auto"/>
        <w:ind w:firstLine="480" w:firstLineChars="200"/>
        <w:rPr>
          <w:rFonts w:ascii="宋体" w:hAnsi="宋体" w:cs="宋体"/>
          <w:kern w:val="0"/>
          <w:sz w:val="24"/>
          <w:u w:val="single"/>
        </w:rPr>
      </w:pPr>
      <w:r>
        <w:rPr>
          <w:rFonts w:hint="eastAsia" w:ascii="宋体" w:hAnsi="宋体" w:cs="宋体"/>
          <w:kern w:val="0"/>
          <w:sz w:val="24"/>
        </w:rPr>
        <w:t>发包人向承包人预付工程款的时间和金额或占合同价款总额的比例：</w:t>
      </w:r>
      <w:r>
        <w:rPr>
          <w:rFonts w:hint="eastAsia" w:ascii="宋体" w:hAnsi="宋体" w:cs="宋体"/>
          <w:sz w:val="24"/>
          <w:u w:val="single"/>
        </w:rPr>
        <w:t>本工程无预付款。</w:t>
      </w:r>
    </w:p>
    <w:p>
      <w:pPr>
        <w:widowControl/>
        <w:spacing w:line="360" w:lineRule="auto"/>
        <w:ind w:firstLine="480" w:firstLineChars="200"/>
        <w:rPr>
          <w:rFonts w:ascii="宋体" w:hAnsi="宋体" w:cs="宋体"/>
          <w:kern w:val="0"/>
          <w:sz w:val="24"/>
        </w:rPr>
      </w:pPr>
      <w:r>
        <w:rPr>
          <w:rFonts w:hint="eastAsia" w:ascii="宋体" w:hAnsi="宋体" w:cs="宋体"/>
          <w:kern w:val="0"/>
          <w:sz w:val="24"/>
        </w:rPr>
        <w:t>29.1承包人向工程师提交已完工程量报告的时间：</w:t>
      </w:r>
      <w:r>
        <w:rPr>
          <w:rFonts w:hint="eastAsia" w:ascii="宋体" w:hAnsi="宋体" w:cs="宋体"/>
          <w:kern w:val="0"/>
          <w:sz w:val="24"/>
          <w:u w:val="single"/>
        </w:rPr>
        <w:t>每月25日</w:t>
      </w:r>
    </w:p>
    <w:p>
      <w:pPr>
        <w:widowControl/>
        <w:spacing w:line="360" w:lineRule="auto"/>
        <w:ind w:firstLine="480" w:firstLineChars="200"/>
        <w:rPr>
          <w:rFonts w:ascii="宋体" w:hAnsi="宋体" w:cs="宋体"/>
          <w:kern w:val="0"/>
          <w:sz w:val="24"/>
        </w:rPr>
      </w:pPr>
      <w:r>
        <w:rPr>
          <w:rFonts w:hint="eastAsia" w:ascii="宋体" w:hAnsi="宋体" w:cs="宋体"/>
          <w:kern w:val="0"/>
          <w:sz w:val="24"/>
        </w:rPr>
        <w:t>30、工程进度款结算与支付</w:t>
      </w:r>
    </w:p>
    <w:p>
      <w:pPr>
        <w:widowControl/>
        <w:spacing w:line="360" w:lineRule="auto"/>
        <w:ind w:firstLine="480" w:firstLineChars="200"/>
        <w:rPr>
          <w:rFonts w:ascii="宋体" w:hAnsi="宋体" w:cs="宋体"/>
          <w:color w:val="FF0000"/>
          <w:kern w:val="0"/>
          <w:sz w:val="24"/>
          <w:u w:val="single"/>
        </w:rPr>
      </w:pPr>
      <w:r>
        <w:rPr>
          <w:rFonts w:hint="eastAsia" w:ascii="宋体" w:hAnsi="宋体" w:cs="宋体"/>
          <w:sz w:val="24"/>
          <w:u w:val="single"/>
        </w:rPr>
        <w:t>工程付款采取进度付款的形式，项目施工完毕并经竣工验收合格后30天内，乙方持《竣工验收报告》原件在甲方处办理至百分之七十（70%）工程款的支付手续，待审计结束后支付剩余款项（扣除3%质保金，待合同签订质保期过后30日内无任何工程质量及纠纷办理支付手续）。</w:t>
      </w:r>
    </w:p>
    <w:p>
      <w:pPr>
        <w:widowControl/>
        <w:spacing w:line="360" w:lineRule="auto"/>
        <w:ind w:firstLine="482" w:firstLineChars="200"/>
        <w:rPr>
          <w:rFonts w:ascii="宋体" w:hAnsi="宋体" w:cs="宋体"/>
          <w:b/>
          <w:kern w:val="0"/>
          <w:sz w:val="24"/>
        </w:rPr>
      </w:pPr>
      <w:r>
        <w:rPr>
          <w:rFonts w:hint="eastAsia" w:ascii="宋体" w:hAnsi="宋体" w:cs="宋体"/>
          <w:b/>
          <w:kern w:val="0"/>
          <w:sz w:val="24"/>
        </w:rPr>
        <w:t>七、材料设备供应</w:t>
      </w:r>
    </w:p>
    <w:p>
      <w:pPr>
        <w:widowControl/>
        <w:spacing w:line="360" w:lineRule="auto"/>
        <w:ind w:firstLine="480" w:firstLineChars="200"/>
        <w:rPr>
          <w:rFonts w:ascii="宋体" w:hAnsi="宋体" w:cs="宋体"/>
          <w:kern w:val="0"/>
          <w:sz w:val="24"/>
        </w:rPr>
      </w:pPr>
      <w:r>
        <w:rPr>
          <w:rFonts w:hint="eastAsia" w:ascii="宋体" w:hAnsi="宋体" w:cs="宋体"/>
          <w:kern w:val="0"/>
          <w:sz w:val="24"/>
        </w:rPr>
        <w:t>31、发包人供应材料设备</w:t>
      </w:r>
    </w:p>
    <w:p>
      <w:pPr>
        <w:widowControl/>
        <w:spacing w:line="360" w:lineRule="auto"/>
        <w:ind w:firstLine="480" w:firstLineChars="200"/>
        <w:rPr>
          <w:rFonts w:ascii="宋体" w:hAnsi="宋体" w:cs="宋体"/>
          <w:kern w:val="0"/>
          <w:sz w:val="24"/>
        </w:rPr>
      </w:pPr>
      <w:r>
        <w:rPr>
          <w:rFonts w:hint="eastAsia" w:ascii="宋体" w:hAnsi="宋体" w:cs="宋体"/>
          <w:kern w:val="0"/>
          <w:sz w:val="24"/>
        </w:rPr>
        <w:t>31.4发包人供应的材料设备与一览表不符时，双方约定发包人承担责任如下：</w:t>
      </w:r>
    </w:p>
    <w:p>
      <w:pPr>
        <w:widowControl/>
        <w:spacing w:line="360" w:lineRule="auto"/>
        <w:ind w:firstLine="480" w:firstLineChars="200"/>
        <w:rPr>
          <w:rFonts w:ascii="宋体" w:hAnsi="宋体" w:cs="宋体"/>
          <w:kern w:val="0"/>
          <w:sz w:val="24"/>
        </w:rPr>
      </w:pPr>
      <w:r>
        <w:rPr>
          <w:rFonts w:hint="eastAsia" w:ascii="宋体" w:hAnsi="宋体" w:cs="宋体"/>
          <w:kern w:val="0"/>
          <w:sz w:val="24"/>
        </w:rPr>
        <w:t>（1）材料设备单价与一览表不符：</w:t>
      </w:r>
    </w:p>
    <w:p>
      <w:pPr>
        <w:widowControl/>
        <w:spacing w:line="360" w:lineRule="auto"/>
        <w:ind w:firstLine="240" w:firstLineChars="100"/>
        <w:rPr>
          <w:rFonts w:ascii="宋体" w:hAnsi="宋体" w:cs="宋体"/>
          <w:kern w:val="0"/>
          <w:sz w:val="24"/>
        </w:rPr>
      </w:pPr>
      <w:r>
        <w:rPr>
          <w:rFonts w:hint="eastAsia" w:ascii="宋体" w:hAnsi="宋体" w:cs="宋体"/>
          <w:sz w:val="24"/>
          <w:u w:val="single"/>
        </w:rPr>
        <w:t>执行《通用条款》31.4.（1）款。</w:t>
      </w:r>
    </w:p>
    <w:p>
      <w:pPr>
        <w:widowControl/>
        <w:spacing w:line="360" w:lineRule="auto"/>
        <w:ind w:firstLine="480" w:firstLineChars="200"/>
        <w:rPr>
          <w:rFonts w:ascii="宋体" w:hAnsi="宋体" w:cs="宋体"/>
          <w:kern w:val="0"/>
          <w:sz w:val="24"/>
        </w:rPr>
      </w:pPr>
      <w:r>
        <w:rPr>
          <w:rFonts w:hint="eastAsia" w:ascii="宋体" w:hAnsi="宋体" w:cs="宋体"/>
          <w:kern w:val="0"/>
          <w:sz w:val="24"/>
        </w:rPr>
        <w:t>（2）材料设备的品种、规格、型号、质量等级与一览表不符：</w:t>
      </w:r>
    </w:p>
    <w:p>
      <w:pPr>
        <w:widowControl/>
        <w:spacing w:line="360" w:lineRule="auto"/>
        <w:ind w:firstLine="240" w:firstLineChars="100"/>
        <w:rPr>
          <w:rFonts w:ascii="宋体" w:hAnsi="宋体" w:cs="宋体"/>
          <w:kern w:val="0"/>
          <w:sz w:val="24"/>
        </w:rPr>
      </w:pPr>
      <w:r>
        <w:rPr>
          <w:rFonts w:hint="eastAsia" w:ascii="宋体" w:hAnsi="宋体" w:cs="宋体"/>
          <w:sz w:val="24"/>
          <w:u w:val="single"/>
        </w:rPr>
        <w:t>执行《通用条款》31.4（2）款。</w:t>
      </w:r>
    </w:p>
    <w:p>
      <w:pPr>
        <w:widowControl/>
        <w:spacing w:line="360" w:lineRule="auto"/>
        <w:ind w:firstLine="480" w:firstLineChars="200"/>
        <w:rPr>
          <w:rFonts w:ascii="宋体" w:hAnsi="宋体" w:cs="宋体"/>
          <w:kern w:val="0"/>
          <w:sz w:val="24"/>
        </w:rPr>
      </w:pPr>
      <w:r>
        <w:rPr>
          <w:rFonts w:hint="eastAsia" w:ascii="宋体" w:hAnsi="宋体" w:cs="宋体"/>
          <w:kern w:val="0"/>
          <w:sz w:val="24"/>
        </w:rPr>
        <w:t>（3）承包人可代为调剂串换的材料：</w:t>
      </w:r>
    </w:p>
    <w:p>
      <w:pPr>
        <w:widowControl/>
        <w:spacing w:line="360" w:lineRule="auto"/>
        <w:ind w:firstLine="240" w:firstLineChars="100"/>
        <w:rPr>
          <w:rFonts w:ascii="宋体" w:hAnsi="宋体" w:cs="宋体"/>
          <w:kern w:val="0"/>
          <w:sz w:val="24"/>
        </w:rPr>
      </w:pPr>
      <w:r>
        <w:rPr>
          <w:rFonts w:hint="eastAsia" w:ascii="宋体" w:hAnsi="宋体" w:cs="宋体"/>
          <w:sz w:val="24"/>
          <w:u w:val="single"/>
        </w:rPr>
        <w:t>执行《通用条款》31.4（3）款。</w:t>
      </w:r>
    </w:p>
    <w:p>
      <w:pPr>
        <w:widowControl/>
        <w:spacing w:line="360" w:lineRule="auto"/>
        <w:ind w:firstLine="480" w:firstLineChars="200"/>
        <w:rPr>
          <w:rFonts w:ascii="宋体" w:hAnsi="宋体" w:cs="宋体"/>
          <w:kern w:val="0"/>
          <w:sz w:val="24"/>
        </w:rPr>
      </w:pPr>
      <w:r>
        <w:rPr>
          <w:rFonts w:hint="eastAsia" w:ascii="宋体" w:hAnsi="宋体" w:cs="宋体"/>
          <w:kern w:val="0"/>
          <w:sz w:val="24"/>
        </w:rPr>
        <w:t>（4）到货地点与一览表不符：</w:t>
      </w:r>
    </w:p>
    <w:p>
      <w:pPr>
        <w:widowControl/>
        <w:spacing w:line="360" w:lineRule="auto"/>
        <w:ind w:firstLine="240" w:firstLineChars="100"/>
        <w:rPr>
          <w:rFonts w:ascii="宋体" w:hAnsi="宋体" w:cs="宋体"/>
          <w:kern w:val="0"/>
          <w:sz w:val="24"/>
        </w:rPr>
      </w:pPr>
      <w:r>
        <w:rPr>
          <w:rFonts w:hint="eastAsia" w:ascii="宋体" w:hAnsi="宋体" w:cs="宋体"/>
          <w:sz w:val="24"/>
          <w:u w:val="single"/>
        </w:rPr>
        <w:t>执行《通用条款》31.4（4）款。</w:t>
      </w:r>
    </w:p>
    <w:p>
      <w:pPr>
        <w:widowControl/>
        <w:spacing w:line="360" w:lineRule="auto"/>
        <w:ind w:firstLine="480" w:firstLineChars="200"/>
        <w:rPr>
          <w:rFonts w:ascii="宋体" w:hAnsi="宋体" w:cs="宋体"/>
          <w:kern w:val="0"/>
          <w:sz w:val="24"/>
        </w:rPr>
      </w:pPr>
      <w:r>
        <w:rPr>
          <w:rFonts w:hint="eastAsia" w:ascii="宋体" w:hAnsi="宋体" w:cs="宋体"/>
          <w:kern w:val="0"/>
          <w:sz w:val="24"/>
        </w:rPr>
        <w:t>（5）供应数量与一览表不符：</w:t>
      </w:r>
    </w:p>
    <w:p>
      <w:pPr>
        <w:widowControl/>
        <w:spacing w:line="360" w:lineRule="auto"/>
        <w:ind w:firstLine="240" w:firstLineChars="100"/>
        <w:rPr>
          <w:rFonts w:ascii="宋体" w:hAnsi="宋体" w:cs="宋体"/>
          <w:kern w:val="0"/>
          <w:sz w:val="24"/>
        </w:rPr>
      </w:pPr>
      <w:r>
        <w:rPr>
          <w:rFonts w:hint="eastAsia" w:ascii="宋体" w:hAnsi="宋体" w:cs="宋体"/>
          <w:sz w:val="24"/>
          <w:u w:val="single"/>
        </w:rPr>
        <w:t>执行《通用条款》31.4（5）款。</w:t>
      </w:r>
    </w:p>
    <w:p>
      <w:pPr>
        <w:widowControl/>
        <w:spacing w:line="360" w:lineRule="auto"/>
        <w:ind w:firstLine="480" w:firstLineChars="200"/>
        <w:rPr>
          <w:rFonts w:ascii="宋体" w:hAnsi="宋体" w:cs="宋体"/>
          <w:kern w:val="0"/>
          <w:sz w:val="24"/>
        </w:rPr>
      </w:pPr>
      <w:r>
        <w:rPr>
          <w:rFonts w:hint="eastAsia" w:ascii="宋体" w:hAnsi="宋体" w:cs="宋体"/>
          <w:kern w:val="0"/>
          <w:sz w:val="24"/>
        </w:rPr>
        <w:t>（6）到货时间与一览表不符：</w:t>
      </w:r>
    </w:p>
    <w:p>
      <w:pPr>
        <w:widowControl/>
        <w:spacing w:line="360" w:lineRule="auto"/>
        <w:ind w:firstLine="360" w:firstLineChars="150"/>
        <w:rPr>
          <w:rFonts w:ascii="宋体" w:hAnsi="宋体" w:cs="宋体"/>
          <w:kern w:val="0"/>
          <w:sz w:val="24"/>
        </w:rPr>
      </w:pPr>
      <w:r>
        <w:rPr>
          <w:rFonts w:hint="eastAsia" w:ascii="宋体" w:hAnsi="宋体" w:cs="宋体"/>
          <w:sz w:val="24"/>
          <w:u w:val="single"/>
        </w:rPr>
        <w:t>执行《通用条款》31.4（6）款。</w:t>
      </w:r>
    </w:p>
    <w:p>
      <w:pPr>
        <w:widowControl/>
        <w:spacing w:line="360" w:lineRule="auto"/>
        <w:ind w:firstLine="480" w:firstLineChars="200"/>
        <w:rPr>
          <w:rFonts w:ascii="宋体" w:hAnsi="宋体" w:cs="宋体"/>
          <w:kern w:val="0"/>
          <w:sz w:val="24"/>
        </w:rPr>
      </w:pPr>
      <w:r>
        <w:rPr>
          <w:rFonts w:hint="eastAsia" w:ascii="宋体" w:hAnsi="宋体" w:cs="宋体"/>
          <w:kern w:val="0"/>
          <w:sz w:val="24"/>
        </w:rPr>
        <w:t>31.6发包人供应材料设备的结算方法：</w:t>
      </w:r>
    </w:p>
    <w:p>
      <w:pPr>
        <w:widowControl/>
        <w:spacing w:line="360" w:lineRule="auto"/>
        <w:rPr>
          <w:rFonts w:ascii="宋体" w:hAnsi="宋体" w:cs="宋体"/>
          <w:kern w:val="0"/>
          <w:sz w:val="24"/>
        </w:rPr>
      </w:pPr>
      <w:r>
        <w:rPr>
          <w:rFonts w:hint="eastAsia" w:ascii="宋体" w:hAnsi="宋体" w:cs="宋体"/>
          <w:kern w:val="0"/>
          <w:sz w:val="24"/>
        </w:rPr>
        <w:t>___</w:t>
      </w:r>
      <w:r>
        <w:rPr>
          <w:rFonts w:hint="eastAsia" w:ascii="宋体" w:hAnsi="宋体" w:cs="宋体"/>
          <w:sz w:val="24"/>
          <w:u w:val="single"/>
        </w:rPr>
        <w:t>发包人按甲供材料表供应材料设备，并对所供材料设备的质量负责，按指定价从发包人的合同价中扣除。</w:t>
      </w:r>
    </w:p>
    <w:p>
      <w:pPr>
        <w:widowControl/>
        <w:spacing w:line="360" w:lineRule="auto"/>
        <w:ind w:firstLine="480" w:firstLineChars="200"/>
        <w:rPr>
          <w:rFonts w:ascii="宋体" w:hAnsi="宋体" w:cs="宋体"/>
          <w:kern w:val="0"/>
          <w:sz w:val="24"/>
        </w:rPr>
      </w:pPr>
      <w:r>
        <w:rPr>
          <w:rFonts w:hint="eastAsia" w:ascii="宋体" w:hAnsi="宋体" w:cs="宋体"/>
          <w:kern w:val="0"/>
          <w:sz w:val="24"/>
        </w:rPr>
        <w:t>32、承包人采购材料设备</w:t>
      </w:r>
    </w:p>
    <w:p>
      <w:pPr>
        <w:spacing w:line="360" w:lineRule="auto"/>
        <w:ind w:firstLine="480" w:firstLineChars="200"/>
        <w:rPr>
          <w:rFonts w:ascii="宋体" w:hAnsi="宋体" w:cs="宋体"/>
          <w:spacing w:val="-6"/>
          <w:sz w:val="24"/>
          <w:szCs w:val="21"/>
          <w:u w:val="single"/>
        </w:rPr>
      </w:pPr>
      <w:r>
        <w:rPr>
          <w:rFonts w:hint="eastAsia" w:ascii="宋体" w:hAnsi="宋体" w:cs="宋体"/>
          <w:kern w:val="0"/>
          <w:sz w:val="24"/>
        </w:rPr>
        <w:t>32.1承包人采购材料设备的约定：</w:t>
      </w:r>
      <w:r>
        <w:rPr>
          <w:rFonts w:hint="eastAsia" w:ascii="宋体" w:hAnsi="宋体" w:cs="宋体"/>
          <w:spacing w:val="-6"/>
          <w:sz w:val="24"/>
          <w:szCs w:val="21"/>
          <w:u w:val="single"/>
        </w:rPr>
        <w:t>⑴发包人暂定价材料由承包人根据施工进度并充分考虑材料设备采购时间，提前60天向发包人提交材料设备供应计划，并写清材料、设备进场时间。若因此造成承包人停工待料等问题，概由承包人负责。（承包方提前60天申报所需要确定的材料设备计划，发包人提前一周认质认价或督促设备到位）。</w:t>
      </w:r>
    </w:p>
    <w:p>
      <w:pPr>
        <w:spacing w:line="360" w:lineRule="auto"/>
        <w:ind w:firstLine="474" w:firstLineChars="208"/>
        <w:rPr>
          <w:rFonts w:ascii="宋体" w:hAnsi="宋体" w:cs="宋体"/>
          <w:spacing w:val="-6"/>
          <w:sz w:val="24"/>
          <w:szCs w:val="21"/>
          <w:u w:val="single"/>
        </w:rPr>
      </w:pPr>
      <w:r>
        <w:rPr>
          <w:rFonts w:hint="eastAsia" w:ascii="宋体" w:hAnsi="宋体" w:cs="宋体"/>
          <w:spacing w:val="-6"/>
          <w:sz w:val="24"/>
          <w:szCs w:val="21"/>
          <w:u w:val="single"/>
        </w:rPr>
        <w:t>⑵认质认价材料、设备结算方法：</w:t>
      </w:r>
      <w:r>
        <w:rPr>
          <w:rFonts w:hint="eastAsia" w:ascii="宋体" w:hAnsi="宋体" w:cs="宋体"/>
          <w:b/>
          <w:spacing w:val="-6"/>
          <w:sz w:val="24"/>
          <w:szCs w:val="21"/>
          <w:u w:val="single"/>
        </w:rPr>
        <w:t>发包人招标时暂定价的主要材料设备仅为材料设备本身价格，承包人在投标报价组价时自行考虑其损耗、加工、制作、运输、安装、二次搬迁、收口收边、成活、税金、利润等其它因素所产生的费用，暂定价材料设备须经发包人认质认价确定后进货和使用。</w:t>
      </w:r>
      <w:r>
        <w:rPr>
          <w:rFonts w:hint="eastAsia" w:ascii="宋体" w:hAnsi="宋体" w:cs="宋体"/>
          <w:spacing w:val="-6"/>
          <w:sz w:val="24"/>
          <w:szCs w:val="21"/>
          <w:u w:val="single"/>
        </w:rPr>
        <w:t xml:space="preserve">材料设备的认质认价若与暂定价不一致时按材料差价计入结算总价，不再计取或调整投标报价中的其他费用，（差价只计税金，其余费用不计）。 </w:t>
      </w:r>
    </w:p>
    <w:p>
      <w:pPr>
        <w:spacing w:line="360" w:lineRule="auto"/>
        <w:ind w:firstLine="474" w:firstLineChars="208"/>
        <w:rPr>
          <w:rFonts w:ascii="宋体" w:hAnsi="宋体" w:cs="宋体"/>
          <w:spacing w:val="-6"/>
          <w:sz w:val="24"/>
          <w:szCs w:val="21"/>
          <w:u w:val="single"/>
        </w:rPr>
      </w:pPr>
      <w:r>
        <w:rPr>
          <w:rFonts w:hint="eastAsia" w:ascii="宋体" w:hAnsi="宋体" w:cs="宋体"/>
          <w:spacing w:val="-6"/>
          <w:sz w:val="24"/>
          <w:szCs w:val="21"/>
          <w:u w:val="single"/>
        </w:rPr>
        <w:t>⑶承包人采购的材料、设备均应满足设计和规范及发包人要求品牌和质量等级，并须向发包人和监理提供产品合格证和检验资料，待发包人、监理同意后采购进场，否则按不合格品处理，并拒绝支付该项费用。材料设备进场后立即向监理和发包人报验，否则发包人有权要求承包人无条件退货。因材料质量引起工程质量问题由承包人承担所造成的一切损失。如发包人或监理对该部分材料的质量有异议，有权提出停止使用或再次取样复试的要求，若若异议属实，由此发生的一切费用由承包人承担。国家规定的常规材料检验、随机抽检、见证取样检验、监理抽检和强制检验材料的检验费由承包人负责。</w:t>
      </w:r>
    </w:p>
    <w:p>
      <w:pPr>
        <w:spacing w:line="360" w:lineRule="auto"/>
        <w:ind w:firstLine="474" w:firstLineChars="208"/>
        <w:rPr>
          <w:rFonts w:ascii="宋体" w:hAnsi="宋体" w:cs="宋体"/>
          <w:kern w:val="0"/>
          <w:sz w:val="24"/>
        </w:rPr>
      </w:pPr>
      <w:r>
        <w:rPr>
          <w:rFonts w:hint="eastAsia" w:ascii="宋体" w:hAnsi="宋体" w:cs="宋体"/>
          <w:spacing w:val="-6"/>
          <w:sz w:val="24"/>
          <w:szCs w:val="21"/>
          <w:u w:val="single"/>
        </w:rPr>
        <w:t>⑷</w:t>
      </w:r>
      <w:r>
        <w:rPr>
          <w:rFonts w:hint="eastAsia" w:ascii="宋体" w:hAnsi="宋体" w:cs="宋体"/>
          <w:b/>
          <w:spacing w:val="-6"/>
          <w:sz w:val="24"/>
          <w:szCs w:val="21"/>
          <w:u w:val="single"/>
        </w:rPr>
        <w:t>本工程所用材料品牌均为中档次以上产品。</w:t>
      </w:r>
      <w:r>
        <w:rPr>
          <w:rFonts w:hint="eastAsia" w:ascii="宋体" w:hAnsi="宋体" w:cs="宋体"/>
          <w:spacing w:val="-6"/>
          <w:sz w:val="24"/>
          <w:szCs w:val="21"/>
          <w:u w:val="single"/>
        </w:rPr>
        <w:t xml:space="preserve">除暂定价材料设备外，所有用于本工程的材料、设备或发包人有特别要求的材料、设备，承包人须事先向发包人及监理提供不少于三家的同档次产品资料及样品，同样发包人也可以提供资料及样品。经发包人考察筛选确定后再采购，使用或安装之前仍需履行必要的检验、检测程序。 </w:t>
      </w:r>
    </w:p>
    <w:p>
      <w:pPr>
        <w:widowControl/>
        <w:spacing w:line="360" w:lineRule="auto"/>
        <w:ind w:firstLine="480"/>
        <w:rPr>
          <w:rFonts w:ascii="宋体" w:hAnsi="宋体" w:cs="宋体"/>
          <w:b/>
          <w:kern w:val="0"/>
          <w:sz w:val="24"/>
        </w:rPr>
      </w:pPr>
      <w:r>
        <w:rPr>
          <w:rFonts w:hint="eastAsia" w:ascii="宋体" w:hAnsi="宋体" w:cs="宋体"/>
          <w:b/>
          <w:kern w:val="0"/>
          <w:sz w:val="24"/>
        </w:rPr>
        <w:t>八、工程变更</w:t>
      </w:r>
    </w:p>
    <w:p>
      <w:pPr>
        <w:spacing w:line="360" w:lineRule="auto"/>
        <w:ind w:firstLine="499" w:firstLineChars="208"/>
        <w:rPr>
          <w:rFonts w:ascii="宋体" w:hAnsi="宋体" w:cs="宋体"/>
          <w:sz w:val="24"/>
          <w:szCs w:val="21"/>
          <w:u w:val="single"/>
        </w:rPr>
      </w:pPr>
      <w:r>
        <w:rPr>
          <w:rFonts w:hint="eastAsia" w:ascii="宋体" w:hAnsi="宋体" w:cs="宋体"/>
          <w:sz w:val="24"/>
          <w:szCs w:val="21"/>
          <w:u w:val="single"/>
        </w:rPr>
        <w:t>33.1图纸变更项目发生时，工程量以实际签证量为准。变更合同价款按下列方法进行：合同中已有适用于变更工程的价格，按相应项目合同已确认的综合单价办理结算；合同中只有类似于变更工程的价格，只调整相应的主材费，主材单价按响应文件主材价格计算，若响应文件中无主材单价时，由发承包双方共同认质认价，主材差价只计取税金，其余费用不计；合同中没有适用或类似于工程变更的价格，按照承包人、监理和发包人共同确认的施工方案，依照招标文件、答疑纪要、设计变更、现场签证、洽商文件等执行陕西省建设工程现行计价文件，以招标上限控制价模式进行组价，然后按照承包人成交价同招标上限控制价下浮比例进行调整后作为新工程量清单项目确定的结算单价。</w:t>
      </w:r>
      <w:r>
        <w:rPr>
          <w:rFonts w:hint="eastAsia" w:ascii="宋体" w:hAnsi="宋体" w:cs="宋体"/>
          <w:sz w:val="24"/>
          <w:u w:val="single"/>
        </w:rPr>
        <w:t>承包人成交的措施项目费为合同价款的组成部分，一般不作调整。由于</w:t>
      </w:r>
      <w:r>
        <w:rPr>
          <w:rFonts w:hint="eastAsia" w:ascii="宋体" w:hAnsi="宋体" w:cs="宋体"/>
          <w:kern w:val="0"/>
          <w:sz w:val="24"/>
          <w:u w:val="single"/>
        </w:rPr>
        <w:t>工程量清单中的工程量误差及设计变更（或现场签证）引起工程量的增减部分，其分部分项工程费在合同价款0~20%之间原合同措施项目费不予调整，在此范围以外按照2009《陕西省建设工程工程量计价规则》调整此部分措施。</w:t>
      </w:r>
    </w:p>
    <w:p>
      <w:pPr>
        <w:spacing w:line="360" w:lineRule="auto"/>
        <w:ind w:firstLine="499" w:firstLineChars="208"/>
        <w:rPr>
          <w:rFonts w:ascii="宋体" w:hAnsi="宋体" w:cs="宋体"/>
          <w:sz w:val="24"/>
          <w:szCs w:val="21"/>
          <w:u w:val="single"/>
        </w:rPr>
      </w:pPr>
      <w:r>
        <w:rPr>
          <w:rFonts w:hint="eastAsia" w:ascii="宋体" w:hAnsi="宋体" w:cs="宋体"/>
          <w:sz w:val="24"/>
          <w:szCs w:val="21"/>
          <w:u w:val="single"/>
        </w:rPr>
        <w:t>设计变更和现场签证的工程量在进度款中暂不予计算和支付，统一在竣工结算时计算并进入总造价。其余情况执行《通用条款》第八条有关条款。</w:t>
      </w:r>
    </w:p>
    <w:p>
      <w:pPr>
        <w:spacing w:line="360" w:lineRule="auto"/>
        <w:rPr>
          <w:rFonts w:ascii="宋体" w:hAnsi="宋体" w:cs="宋体"/>
          <w:sz w:val="24"/>
          <w:szCs w:val="21"/>
          <w:u w:val="single"/>
        </w:rPr>
      </w:pPr>
      <w:r>
        <w:rPr>
          <w:rFonts w:hint="eastAsia" w:ascii="宋体" w:hAnsi="宋体" w:cs="宋体"/>
          <w:sz w:val="24"/>
          <w:szCs w:val="21"/>
        </w:rPr>
        <w:t>　　</w:t>
      </w:r>
      <w:r>
        <w:rPr>
          <w:rFonts w:hint="eastAsia" w:ascii="宋体" w:hAnsi="宋体" w:cs="宋体"/>
          <w:sz w:val="24"/>
          <w:szCs w:val="21"/>
          <w:u w:val="single"/>
        </w:rPr>
        <w:t>33.2承包人在施工中对设计原因造成的变更，应在未施工该分项工程前10天报告发包人代表人和监理工程师，办理设计变更，否则因此造成的一切损失均由承包人承担，延误工期不予顺延。</w:t>
      </w:r>
    </w:p>
    <w:p>
      <w:pPr>
        <w:spacing w:line="360" w:lineRule="auto"/>
        <w:ind w:firstLine="499" w:firstLineChars="208"/>
        <w:rPr>
          <w:rFonts w:ascii="宋体" w:hAnsi="宋体" w:cs="宋体"/>
          <w:sz w:val="24"/>
          <w:szCs w:val="21"/>
          <w:u w:val="single"/>
        </w:rPr>
      </w:pPr>
      <w:r>
        <w:rPr>
          <w:rFonts w:hint="eastAsia" w:ascii="宋体" w:hAnsi="宋体" w:cs="宋体"/>
          <w:sz w:val="24"/>
          <w:szCs w:val="21"/>
          <w:u w:val="single"/>
        </w:rPr>
        <w:t>33.3施工图以外未列项目的零星工程发生时，工程量以实际签证为准，若所用材料为少量，且未认质认价，材料价及零工费用以签证中各方明确的单价为准。签证应于零星工程发生14日内完成，否则视为无效签证。</w:t>
      </w:r>
    </w:p>
    <w:p>
      <w:pPr>
        <w:spacing w:line="360" w:lineRule="auto"/>
        <w:ind w:firstLine="499" w:firstLineChars="208"/>
        <w:rPr>
          <w:rFonts w:ascii="宋体" w:hAnsi="宋体" w:cs="宋体"/>
          <w:sz w:val="24"/>
          <w:szCs w:val="21"/>
          <w:u w:val="single"/>
        </w:rPr>
      </w:pPr>
      <w:r>
        <w:rPr>
          <w:rFonts w:hint="eastAsia" w:ascii="宋体" w:hAnsi="宋体" w:cs="宋体"/>
          <w:sz w:val="24"/>
          <w:szCs w:val="21"/>
          <w:u w:val="single"/>
        </w:rPr>
        <w:t>33.4承包人不得对原工程设计进行变更。因承包人擅自变更设计发生的费用和由此导致发包人蒙受的损失由承包人承担，延误的工期不予顺延。因承包人自身原因导致的工程变更，承包人无权要求追加合同价款。</w:t>
      </w:r>
    </w:p>
    <w:p>
      <w:pPr>
        <w:spacing w:line="360" w:lineRule="auto"/>
        <w:ind w:firstLine="499" w:firstLineChars="208"/>
        <w:rPr>
          <w:rFonts w:ascii="宋体" w:hAnsi="宋体" w:cs="宋体"/>
          <w:bCs/>
          <w:sz w:val="24"/>
          <w:szCs w:val="21"/>
          <w:u w:val="single"/>
        </w:rPr>
      </w:pPr>
      <w:r>
        <w:rPr>
          <w:rFonts w:hint="eastAsia" w:ascii="宋体" w:hAnsi="宋体" w:cs="宋体"/>
          <w:sz w:val="24"/>
          <w:szCs w:val="21"/>
          <w:u w:val="single"/>
        </w:rPr>
        <w:t>33.5变更签证的确认程序：根据监理单位及发包人确认的变更签证，由三方现场实际核</w:t>
      </w:r>
      <w:r>
        <w:rPr>
          <w:rFonts w:hint="eastAsia" w:ascii="宋体" w:hAnsi="宋体" w:cs="宋体"/>
          <w:bCs/>
          <w:sz w:val="24"/>
          <w:szCs w:val="21"/>
          <w:u w:val="single"/>
        </w:rPr>
        <w:t>对实际完成的工作内容并进行签认。变更签证必须有发包人现场负责人、总监和承包人项目经理的签字并加盖公章后方可生效。</w:t>
      </w:r>
    </w:p>
    <w:p>
      <w:pPr>
        <w:widowControl/>
        <w:spacing w:line="360" w:lineRule="auto"/>
        <w:ind w:firstLine="482" w:firstLineChars="200"/>
        <w:rPr>
          <w:rFonts w:ascii="宋体" w:hAnsi="宋体" w:cs="宋体"/>
          <w:b/>
          <w:kern w:val="0"/>
          <w:sz w:val="24"/>
        </w:rPr>
      </w:pPr>
      <w:r>
        <w:rPr>
          <w:rFonts w:hint="eastAsia" w:ascii="宋体" w:hAnsi="宋体" w:cs="宋体"/>
          <w:b/>
          <w:kern w:val="0"/>
          <w:sz w:val="24"/>
        </w:rPr>
        <w:t>九、竣工验收与结算</w:t>
      </w:r>
    </w:p>
    <w:p>
      <w:pPr>
        <w:widowControl/>
        <w:spacing w:line="360" w:lineRule="auto"/>
        <w:ind w:firstLine="480" w:firstLineChars="200"/>
        <w:rPr>
          <w:rFonts w:ascii="宋体" w:hAnsi="宋体" w:cs="宋体"/>
          <w:kern w:val="0"/>
          <w:sz w:val="24"/>
        </w:rPr>
      </w:pPr>
      <w:r>
        <w:rPr>
          <w:rFonts w:hint="eastAsia" w:ascii="宋体" w:hAnsi="宋体" w:cs="宋体"/>
          <w:kern w:val="0"/>
          <w:sz w:val="24"/>
        </w:rPr>
        <w:t>36、竣工验收</w:t>
      </w:r>
    </w:p>
    <w:p>
      <w:pPr>
        <w:widowControl/>
        <w:spacing w:line="360" w:lineRule="auto"/>
        <w:ind w:firstLine="480" w:firstLineChars="200"/>
        <w:rPr>
          <w:rFonts w:ascii="宋体" w:hAnsi="宋体" w:cs="宋体"/>
          <w:kern w:val="0"/>
          <w:sz w:val="24"/>
        </w:rPr>
      </w:pPr>
      <w:r>
        <w:rPr>
          <w:rFonts w:hint="eastAsia" w:ascii="宋体" w:hAnsi="宋体" w:cs="宋体"/>
          <w:kern w:val="0"/>
          <w:sz w:val="24"/>
        </w:rPr>
        <w:t>36.1承包人提供竣工图的约定：</w:t>
      </w:r>
    </w:p>
    <w:p>
      <w:pPr>
        <w:widowControl/>
        <w:spacing w:line="360" w:lineRule="auto"/>
        <w:rPr>
          <w:rFonts w:ascii="宋体" w:hAnsi="宋体" w:cs="宋体"/>
          <w:kern w:val="0"/>
          <w:sz w:val="24"/>
        </w:rPr>
      </w:pPr>
      <w:r>
        <w:rPr>
          <w:rFonts w:hint="eastAsia" w:ascii="宋体" w:hAnsi="宋体" w:cs="宋体"/>
          <w:kern w:val="0"/>
          <w:sz w:val="24"/>
          <w:u w:val="single"/>
        </w:rPr>
        <w:t xml:space="preserve">竣工验收后一个月内，交竣工图及资料文件肆套。 </w:t>
      </w:r>
    </w:p>
    <w:p>
      <w:pPr>
        <w:widowControl/>
        <w:spacing w:line="360" w:lineRule="auto"/>
        <w:ind w:firstLine="400" w:firstLineChars="200"/>
        <w:rPr>
          <w:rFonts w:ascii="宋体" w:hAnsi="宋体" w:cs="宋体"/>
          <w:kern w:val="0"/>
          <w:sz w:val="24"/>
        </w:rPr>
      </w:pPr>
      <w:r>
        <w:rPr>
          <w:rFonts w:hint="eastAsia" w:ascii="宋体" w:hAnsi="宋体" w:cs="宋体"/>
          <w:kern w:val="0"/>
          <w:sz w:val="20"/>
        </w:rPr>
        <mc:AlternateContent>
          <mc:Choice Requires="wps">
            <w:drawing>
              <wp:anchor distT="0" distB="0" distL="114300" distR="114300" simplePos="0" relativeHeight="251661312" behindDoc="0" locked="0" layoutInCell="1" allowOverlap="1">
                <wp:simplePos x="0" y="0"/>
                <wp:positionH relativeFrom="column">
                  <wp:posOffset>2971800</wp:posOffset>
                </wp:positionH>
                <wp:positionV relativeFrom="paragraph">
                  <wp:posOffset>5080</wp:posOffset>
                </wp:positionV>
                <wp:extent cx="685800" cy="99060"/>
                <wp:effectExtent l="635" t="4445" r="18415" b="10795"/>
                <wp:wrapNone/>
                <wp:docPr id="3" name="直线 24"/>
                <wp:cNvGraphicFramePr/>
                <a:graphic xmlns:a="http://schemas.openxmlformats.org/drawingml/2006/main">
                  <a:graphicData uri="http://schemas.microsoft.com/office/word/2010/wordprocessingShape">
                    <wps:wsp>
                      <wps:cNvCnPr/>
                      <wps:spPr>
                        <a:xfrm flipV="1">
                          <a:off x="0" y="0"/>
                          <a:ext cx="685800" cy="9906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直线 24" o:spid="_x0000_s1026" o:spt="20" style="position:absolute;left:0pt;flip:y;margin-left:234pt;margin-top:0.4pt;height:7.8pt;width:54pt;z-index:251661312;mso-width-relative:page;mso-height-relative:page;" filled="f" stroked="t" coordsize="21600,21600" o:gfxdata="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08IhX1QAAAAcBAAAPAAAAAAAAAAEAIAAAACIAAABkcnMvZG93bnJldi54bWxQSwECFAAUAAAA&#10;CACHTuJAVjD+pPEBAADrAwAADgAAAAAAAAABACAAAAAkAQAAZHJzL2Uyb0RvYy54bWxQSwUGAAAA&#10;AAYABgBZAQAAhwUAAAAA&#10;">
                <v:fill on="f" focussize="0,0"/>
                <v:stroke color="#000000" joinstyle="round"/>
                <v:imagedata o:title=""/>
                <o:lock v:ext="edit" aspectratio="f"/>
              </v:line>
            </w:pict>
          </mc:Fallback>
        </mc:AlternateContent>
      </w:r>
      <w:r>
        <w:rPr>
          <w:rFonts w:hint="eastAsia" w:ascii="宋体" w:hAnsi="宋体" w:cs="宋体"/>
          <w:kern w:val="0"/>
          <w:sz w:val="24"/>
        </w:rPr>
        <w:t>36.2中间交工工程的范围和竣工时间：____________</w:t>
      </w:r>
    </w:p>
    <w:p>
      <w:pPr>
        <w:widowControl/>
        <w:spacing w:line="360" w:lineRule="auto"/>
        <w:ind w:firstLine="480" w:firstLineChars="200"/>
        <w:rPr>
          <w:rFonts w:ascii="宋体" w:hAnsi="宋体" w:cs="宋体"/>
          <w:kern w:val="0"/>
          <w:sz w:val="24"/>
        </w:rPr>
      </w:pPr>
      <w:r>
        <w:rPr>
          <w:rFonts w:hint="eastAsia" w:ascii="宋体" w:hAnsi="宋体" w:cs="宋体"/>
          <w:kern w:val="0"/>
          <w:sz w:val="24"/>
        </w:rPr>
        <w:t>37、竣工结算</w:t>
      </w:r>
    </w:p>
    <w:p>
      <w:pPr>
        <w:widowControl/>
        <w:spacing w:line="360" w:lineRule="auto"/>
        <w:ind w:firstLine="480" w:firstLineChars="200"/>
        <w:rPr>
          <w:rFonts w:ascii="宋体" w:hAnsi="宋体" w:cs="宋体"/>
          <w:kern w:val="0"/>
          <w:sz w:val="24"/>
        </w:rPr>
      </w:pPr>
      <w:r>
        <w:rPr>
          <w:rFonts w:hint="eastAsia" w:ascii="宋体" w:hAnsi="宋体" w:cs="宋体"/>
          <w:kern w:val="0"/>
          <w:sz w:val="24"/>
        </w:rPr>
        <w:t>结算审查期限：</w:t>
      </w:r>
      <w:r>
        <w:rPr>
          <w:rFonts w:hint="eastAsia" w:ascii="宋体" w:hAnsi="宋体" w:cs="宋体"/>
          <w:kern w:val="0"/>
          <w:sz w:val="24"/>
          <w:u w:val="single"/>
        </w:rPr>
        <w:t xml:space="preserve"> </w:t>
      </w:r>
      <w:r>
        <w:rPr>
          <w:rFonts w:hint="eastAsia" w:ascii="宋体" w:hAnsi="宋体" w:cs="宋体"/>
          <w:sz w:val="24"/>
          <w:u w:val="single"/>
        </w:rPr>
        <w:t>竣工结算经发包方委托审价机构审定后，待甲方资金到位后60日内一次付清除预留审定造价3%保修金外的全部工程尾款。</w:t>
      </w:r>
      <w:r>
        <w:rPr>
          <w:rFonts w:hint="eastAsia" w:ascii="宋体" w:hAnsi="宋体" w:cs="宋体"/>
          <w:kern w:val="0"/>
          <w:sz w:val="24"/>
          <w:u w:val="single"/>
        </w:rPr>
        <w:t xml:space="preserve"> </w:t>
      </w:r>
    </w:p>
    <w:p>
      <w:pPr>
        <w:widowControl/>
        <w:spacing w:line="360" w:lineRule="auto"/>
        <w:ind w:firstLine="482" w:firstLineChars="200"/>
        <w:rPr>
          <w:rFonts w:ascii="宋体" w:hAnsi="宋体" w:cs="宋体"/>
          <w:b/>
          <w:kern w:val="0"/>
          <w:sz w:val="24"/>
        </w:rPr>
      </w:pPr>
      <w:r>
        <w:rPr>
          <w:rFonts w:hint="eastAsia" w:ascii="宋体" w:hAnsi="宋体" w:cs="宋体"/>
          <w:b/>
          <w:kern w:val="0"/>
          <w:sz w:val="24"/>
        </w:rPr>
        <w:t>十、违约、索赔和争议</w:t>
      </w:r>
    </w:p>
    <w:p>
      <w:pPr>
        <w:widowControl/>
        <w:spacing w:line="360" w:lineRule="auto"/>
        <w:ind w:firstLine="480" w:firstLineChars="200"/>
        <w:rPr>
          <w:rFonts w:ascii="宋体" w:hAnsi="宋体" w:cs="宋体"/>
          <w:kern w:val="0"/>
          <w:sz w:val="24"/>
        </w:rPr>
      </w:pPr>
      <w:r>
        <w:rPr>
          <w:rFonts w:hint="eastAsia" w:ascii="宋体" w:hAnsi="宋体" w:cs="宋体"/>
          <w:kern w:val="0"/>
          <w:sz w:val="24"/>
        </w:rPr>
        <w:t>39、违约</w:t>
      </w:r>
    </w:p>
    <w:p>
      <w:pPr>
        <w:widowControl/>
        <w:spacing w:line="360" w:lineRule="auto"/>
        <w:ind w:firstLine="480" w:firstLineChars="200"/>
        <w:rPr>
          <w:rFonts w:ascii="宋体" w:hAnsi="宋体" w:cs="宋体"/>
          <w:kern w:val="0"/>
          <w:sz w:val="24"/>
        </w:rPr>
      </w:pPr>
      <w:r>
        <w:rPr>
          <w:rFonts w:hint="eastAsia" w:ascii="宋体" w:hAnsi="宋体" w:cs="宋体"/>
          <w:kern w:val="0"/>
          <w:sz w:val="24"/>
        </w:rPr>
        <w:t>39.1本合同中关于发包人违约的具体责任如下：</w:t>
      </w:r>
    </w:p>
    <w:p>
      <w:pPr>
        <w:widowControl/>
        <w:spacing w:line="360" w:lineRule="auto"/>
        <w:ind w:firstLine="480" w:firstLineChars="200"/>
        <w:rPr>
          <w:rFonts w:ascii="宋体" w:hAnsi="宋体" w:cs="宋体"/>
          <w:kern w:val="0"/>
          <w:sz w:val="24"/>
        </w:rPr>
      </w:pPr>
      <w:r>
        <w:rPr>
          <w:rFonts w:hint="eastAsia" w:ascii="宋体" w:hAnsi="宋体" w:cs="宋体"/>
          <w:kern w:val="0"/>
          <w:sz w:val="24"/>
        </w:rPr>
        <w:t>本合同通用条款第28.1条约定发包人违约应承担的违约责任：_</w:t>
      </w:r>
      <w:r>
        <w:rPr>
          <w:rFonts w:hint="eastAsia" w:ascii="宋体" w:hAnsi="宋体" w:cs="宋体"/>
          <w:sz w:val="24"/>
          <w:u w:val="single"/>
        </w:rPr>
        <w:t>参照《通用条款》第39条款。</w:t>
      </w:r>
    </w:p>
    <w:p>
      <w:pPr>
        <w:widowControl/>
        <w:spacing w:line="360" w:lineRule="auto"/>
        <w:ind w:firstLine="480" w:firstLineChars="200"/>
        <w:rPr>
          <w:rFonts w:ascii="宋体" w:hAnsi="宋体" w:cs="宋体"/>
          <w:kern w:val="0"/>
          <w:sz w:val="24"/>
          <w:u w:val="single"/>
        </w:rPr>
      </w:pPr>
      <w:r>
        <w:rPr>
          <w:rFonts w:hint="eastAsia" w:ascii="宋体" w:hAnsi="宋体" w:cs="宋体"/>
          <w:kern w:val="0"/>
          <w:sz w:val="24"/>
        </w:rPr>
        <w:t>本合同通用条款第30.5款约定发包人违约应承担的违约责任：</w:t>
      </w:r>
      <w:r>
        <w:rPr>
          <w:rFonts w:hint="eastAsia" w:ascii="宋体" w:hAnsi="宋体" w:cs="宋体"/>
          <w:sz w:val="24"/>
          <w:u w:val="single"/>
        </w:rPr>
        <w:t>《通用条款》</w:t>
      </w:r>
      <w:r>
        <w:rPr>
          <w:rFonts w:hint="eastAsia" w:ascii="宋体" w:hAnsi="宋体" w:cs="宋体"/>
          <w:kern w:val="0"/>
          <w:sz w:val="24"/>
          <w:u w:val="single"/>
        </w:rPr>
        <w:t>30.5</w:t>
      </w:r>
      <w:r>
        <w:rPr>
          <w:rFonts w:hint="eastAsia" w:ascii="宋体" w:hAnsi="宋体" w:cs="宋体"/>
          <w:sz w:val="24"/>
          <w:u w:val="single"/>
        </w:rPr>
        <w:t>条改为：由于</w:t>
      </w:r>
      <w:r>
        <w:rPr>
          <w:rFonts w:hint="eastAsia" w:ascii="宋体" w:hAnsi="宋体" w:cs="宋体"/>
          <w:kern w:val="0"/>
          <w:sz w:val="24"/>
          <w:u w:val="single"/>
        </w:rPr>
        <w:t>发包人资金原因未按合同约定支付工程进度款，</w:t>
      </w:r>
      <w:r>
        <w:rPr>
          <w:rFonts w:hint="eastAsia" w:ascii="宋体" w:hAnsi="宋体" w:cs="宋体"/>
          <w:sz w:val="24"/>
          <w:u w:val="single"/>
        </w:rPr>
        <w:t>承包人不追究发包人违约责任。</w:t>
      </w:r>
    </w:p>
    <w:p>
      <w:pPr>
        <w:widowControl/>
        <w:spacing w:line="360" w:lineRule="auto"/>
        <w:ind w:firstLine="480" w:firstLineChars="200"/>
        <w:rPr>
          <w:rFonts w:ascii="宋体" w:hAnsi="宋体" w:cs="宋体"/>
          <w:kern w:val="0"/>
          <w:sz w:val="24"/>
        </w:rPr>
      </w:pPr>
      <w:r>
        <w:rPr>
          <w:rFonts w:hint="eastAsia" w:ascii="宋体" w:hAnsi="宋体" w:cs="宋体"/>
          <w:kern w:val="0"/>
          <w:sz w:val="24"/>
        </w:rPr>
        <w:t>本合同通用条款第37.6款约定发包人违约应承担的违约责任：__</w:t>
      </w:r>
      <w:r>
        <w:rPr>
          <w:rFonts w:hint="eastAsia" w:ascii="宋体" w:hAnsi="宋体" w:cs="宋体"/>
          <w:sz w:val="24"/>
          <w:u w:val="single"/>
        </w:rPr>
        <w:t>《通用条款》37.6条改为：竣工结算经有资质的审价机构核定后，支付除3%的保修金外的余款。</w:t>
      </w:r>
      <w:r>
        <w:rPr>
          <w:rFonts w:hint="eastAsia" w:ascii="宋体" w:hAnsi="宋体" w:cs="宋体"/>
          <w:kern w:val="0"/>
          <w:sz w:val="24"/>
        </w:rPr>
        <w:t>_</w:t>
      </w:r>
    </w:p>
    <w:p>
      <w:pPr>
        <w:widowControl/>
        <w:spacing w:line="360" w:lineRule="auto"/>
        <w:ind w:firstLine="480" w:firstLineChars="240"/>
        <w:rPr>
          <w:rFonts w:ascii="宋体" w:hAnsi="宋体" w:cs="宋体"/>
          <w:kern w:val="0"/>
          <w:sz w:val="24"/>
        </w:rPr>
      </w:pPr>
      <w:r>
        <w:rPr>
          <w:rFonts w:hint="eastAsia" w:ascii="宋体" w:hAnsi="宋体" w:cs="宋体"/>
          <w:kern w:val="0"/>
          <w:sz w:val="20"/>
        </w:rPr>
        <mc:AlternateContent>
          <mc:Choice Requires="wps">
            <w:drawing>
              <wp:anchor distT="0" distB="0" distL="114300" distR="114300" simplePos="0" relativeHeight="251662336" behindDoc="0" locked="0" layoutInCell="1" allowOverlap="1">
                <wp:simplePos x="0" y="0"/>
                <wp:positionH relativeFrom="column">
                  <wp:posOffset>2857500</wp:posOffset>
                </wp:positionH>
                <wp:positionV relativeFrom="paragraph">
                  <wp:posOffset>55245</wp:posOffset>
                </wp:positionV>
                <wp:extent cx="800100" cy="99060"/>
                <wp:effectExtent l="635" t="4445" r="18415" b="10795"/>
                <wp:wrapNone/>
                <wp:docPr id="4" name="直线 25"/>
                <wp:cNvGraphicFramePr/>
                <a:graphic xmlns:a="http://schemas.openxmlformats.org/drawingml/2006/main">
                  <a:graphicData uri="http://schemas.microsoft.com/office/word/2010/wordprocessingShape">
                    <wps:wsp>
                      <wps:cNvCnPr/>
                      <wps:spPr>
                        <a:xfrm flipV="1">
                          <a:off x="0" y="0"/>
                          <a:ext cx="800100" cy="9906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直线 25" o:spid="_x0000_s1026" o:spt="20" style="position:absolute;left:0pt;flip:y;margin-left:225pt;margin-top:4.35pt;height:7.8pt;width:63pt;z-index:251662336;mso-width-relative:page;mso-height-relative:page;" filled="f" stroked="t" coordsize="21600,21600" o:gfxdata="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yg9lF9YAAAAIAQAADwAAAAAAAAABACAAAAAiAAAAZHJzL2Rvd25yZXYueG1sUEsBAhQAFAAAAAgA&#10;h07iQEUHL1buAQAA6wMAAA4AAAAAAAAAAQAgAAAAJQEAAGRycy9lMm9Eb2MueG1sUEsFBgAAAAAG&#10;AAYAWQEAAIUFAAAAAA==&#10;">
                <v:fill on="f" focussize="0,0"/>
                <v:stroke color="#000000" joinstyle="round"/>
                <v:imagedata o:title=""/>
                <o:lock v:ext="edit" aspectratio="f"/>
              </v:line>
            </w:pict>
          </mc:Fallback>
        </mc:AlternateContent>
      </w:r>
      <w:r>
        <w:rPr>
          <w:rFonts w:hint="eastAsia" w:ascii="宋体" w:hAnsi="宋体" w:cs="宋体"/>
          <w:kern w:val="0"/>
          <w:sz w:val="24"/>
        </w:rPr>
        <w:t>双方约定的发包人其他违约责任：________________</w:t>
      </w:r>
    </w:p>
    <w:p>
      <w:pPr>
        <w:widowControl/>
        <w:spacing w:line="360" w:lineRule="auto"/>
        <w:ind w:firstLine="480" w:firstLineChars="200"/>
        <w:rPr>
          <w:rFonts w:ascii="宋体" w:hAnsi="宋体" w:cs="宋体"/>
          <w:kern w:val="0"/>
          <w:sz w:val="24"/>
        </w:rPr>
      </w:pPr>
      <w:r>
        <w:rPr>
          <w:rFonts w:hint="eastAsia" w:ascii="宋体" w:hAnsi="宋体" w:cs="宋体"/>
          <w:kern w:val="0"/>
          <w:sz w:val="24"/>
        </w:rPr>
        <w:t>39.2本合同中关于承包人违约的具体责任如下：</w:t>
      </w:r>
      <w:r>
        <w:rPr>
          <w:rFonts w:hint="eastAsia" w:ascii="宋体" w:hAnsi="宋体" w:cs="宋体"/>
          <w:kern w:val="0"/>
          <w:sz w:val="24"/>
          <w:u w:val="single"/>
        </w:rPr>
        <w:t>因乙方原因造成的工期、质量、安全、其它承诺条件达不到合同约定的标准时造成的违约，除扣履约保证金外，并保留追究由此给甲方带来的直接和间接损失的权利。</w:t>
      </w:r>
    </w:p>
    <w:p>
      <w:pPr>
        <w:widowControl/>
        <w:spacing w:line="360" w:lineRule="auto"/>
        <w:ind w:firstLine="480" w:firstLineChars="200"/>
        <w:rPr>
          <w:rFonts w:ascii="宋体" w:hAnsi="宋体" w:cs="宋体"/>
          <w:kern w:val="0"/>
          <w:sz w:val="24"/>
        </w:rPr>
      </w:pPr>
      <w:r>
        <w:rPr>
          <w:rFonts w:hint="eastAsia" w:ascii="宋体" w:hAnsi="宋体" w:cs="宋体"/>
          <w:kern w:val="0"/>
          <w:sz w:val="24"/>
        </w:rPr>
        <w:t>双方约定的承包人其他违约责任：</w:t>
      </w:r>
      <w:r>
        <w:rPr>
          <w:rFonts w:hint="eastAsia" w:ascii="宋体" w:hAnsi="宋体" w:cs="宋体"/>
          <w:sz w:val="24"/>
          <w:u w:val="single"/>
        </w:rPr>
        <w:t>如果通过竣工验收一个月后，承包人不能提供完成的竣工结算资料，每推迟一天罚2000元，累计推迟超过14天时，取消承包方下次投标资格。</w:t>
      </w:r>
    </w:p>
    <w:p>
      <w:pPr>
        <w:widowControl/>
        <w:spacing w:line="360" w:lineRule="auto"/>
        <w:ind w:firstLine="480" w:firstLineChars="200"/>
        <w:rPr>
          <w:rFonts w:ascii="宋体" w:hAnsi="宋体" w:cs="宋体"/>
          <w:kern w:val="0"/>
          <w:sz w:val="24"/>
        </w:rPr>
      </w:pPr>
      <w:r>
        <w:rPr>
          <w:rFonts w:hint="eastAsia" w:ascii="宋体" w:hAnsi="宋体" w:cs="宋体"/>
          <w:kern w:val="0"/>
          <w:sz w:val="24"/>
        </w:rPr>
        <w:t>41、争议</w:t>
      </w:r>
    </w:p>
    <w:p>
      <w:pPr>
        <w:widowControl/>
        <w:spacing w:line="360" w:lineRule="auto"/>
        <w:ind w:firstLine="480" w:firstLineChars="200"/>
        <w:rPr>
          <w:rFonts w:ascii="宋体" w:hAnsi="宋体" w:cs="宋体"/>
          <w:kern w:val="0"/>
          <w:sz w:val="24"/>
        </w:rPr>
      </w:pPr>
      <w:r>
        <w:rPr>
          <w:rFonts w:hint="eastAsia" w:ascii="宋体" w:hAnsi="宋体" w:cs="宋体"/>
          <w:kern w:val="0"/>
          <w:sz w:val="24"/>
        </w:rPr>
        <w:t>41.1双方当事人约定，在履行合同过程中产生争议时：</w:t>
      </w:r>
    </w:p>
    <w:p>
      <w:pPr>
        <w:widowControl/>
        <w:spacing w:line="360" w:lineRule="auto"/>
        <w:ind w:firstLine="480" w:firstLineChars="200"/>
        <w:rPr>
          <w:rFonts w:ascii="宋体" w:hAnsi="宋体" w:cs="宋体"/>
          <w:kern w:val="0"/>
          <w:sz w:val="24"/>
        </w:rPr>
      </w:pPr>
      <w:r>
        <w:rPr>
          <w:rFonts w:hint="eastAsia" w:ascii="宋体" w:hAnsi="宋体" w:cs="宋体"/>
          <w:kern w:val="0"/>
          <w:sz w:val="24"/>
        </w:rPr>
        <w:t>（1）请</w:t>
      </w:r>
      <w:r>
        <w:rPr>
          <w:rFonts w:hint="eastAsia" w:ascii="宋体" w:hAnsi="宋体" w:cs="宋体"/>
          <w:sz w:val="24"/>
          <w:u w:val="single"/>
        </w:rPr>
        <w:t>合同主管部门和造价主管部门</w:t>
      </w:r>
      <w:r>
        <w:rPr>
          <w:rFonts w:hint="eastAsia" w:ascii="宋体" w:hAnsi="宋体" w:cs="宋体"/>
          <w:kern w:val="0"/>
          <w:sz w:val="24"/>
        </w:rPr>
        <w:t>_调解；</w:t>
      </w:r>
    </w:p>
    <w:p>
      <w:pPr>
        <w:widowControl/>
        <w:spacing w:line="360" w:lineRule="auto"/>
        <w:ind w:firstLine="480" w:firstLineChars="200"/>
        <w:rPr>
          <w:rFonts w:ascii="宋体" w:hAnsi="宋体" w:cs="宋体"/>
          <w:kern w:val="0"/>
          <w:sz w:val="24"/>
        </w:rPr>
      </w:pPr>
      <w:r>
        <w:rPr>
          <w:rFonts w:hint="eastAsia" w:ascii="宋体" w:hAnsi="宋体" w:cs="宋体"/>
          <w:kern w:val="0"/>
          <w:sz w:val="24"/>
        </w:rPr>
        <w:t>（2）合同争议调解不成的，按下列第</w:t>
      </w:r>
      <w:r>
        <w:rPr>
          <w:rFonts w:hint="eastAsia" w:ascii="宋体" w:hAnsi="宋体" w:cs="宋体"/>
          <w:kern w:val="0"/>
          <w:sz w:val="24"/>
          <w:u w:val="single"/>
        </w:rPr>
        <w:t>　一　</w:t>
      </w:r>
      <w:r>
        <w:rPr>
          <w:rFonts w:hint="eastAsia" w:ascii="宋体" w:hAnsi="宋体" w:cs="宋体"/>
          <w:kern w:val="0"/>
          <w:sz w:val="24"/>
        </w:rPr>
        <w:t>种方式解决：</w:t>
      </w:r>
    </w:p>
    <w:p>
      <w:pPr>
        <w:widowControl/>
        <w:spacing w:line="360" w:lineRule="auto"/>
        <w:ind w:firstLine="720" w:firstLineChars="300"/>
        <w:rPr>
          <w:rFonts w:ascii="宋体" w:hAnsi="宋体" w:cs="宋体"/>
          <w:kern w:val="0"/>
          <w:sz w:val="24"/>
        </w:rPr>
      </w:pPr>
      <w:r>
        <w:rPr>
          <w:rFonts w:hint="eastAsia" w:ascii="宋体" w:hAnsi="宋体" w:cs="宋体"/>
          <w:kern w:val="0"/>
          <w:sz w:val="24"/>
        </w:rPr>
        <w:t>1）提交</w:t>
      </w:r>
      <w:r>
        <w:rPr>
          <w:rFonts w:hint="eastAsia" w:ascii="宋体" w:hAnsi="宋体" w:cs="宋体"/>
          <w:kern w:val="0"/>
          <w:sz w:val="24"/>
          <w:u w:val="single"/>
        </w:rPr>
        <w:t>西安市仲裁</w:t>
      </w:r>
      <w:r>
        <w:rPr>
          <w:rFonts w:hint="eastAsia" w:ascii="宋体" w:hAnsi="宋体" w:cs="宋体"/>
          <w:kern w:val="0"/>
          <w:sz w:val="24"/>
        </w:rPr>
        <w:t>委员会申请仲裁；</w:t>
      </w:r>
    </w:p>
    <w:p>
      <w:pPr>
        <w:widowControl/>
        <w:spacing w:line="360" w:lineRule="auto"/>
        <w:ind w:firstLine="720" w:firstLineChars="300"/>
        <w:rPr>
          <w:rFonts w:ascii="宋体" w:hAnsi="宋体" w:cs="宋体"/>
          <w:kern w:val="0"/>
          <w:sz w:val="24"/>
        </w:rPr>
      </w:pPr>
      <w:r>
        <w:rPr>
          <w:rFonts w:hint="eastAsia" w:ascii="宋体" w:hAnsi="宋体" w:cs="宋体"/>
          <w:kern w:val="0"/>
          <w:sz w:val="24"/>
        </w:rPr>
        <w:t>2）依法向</w:t>
      </w:r>
      <w:r>
        <w:rPr>
          <w:rFonts w:hint="eastAsia" w:ascii="宋体" w:hAnsi="宋体" w:cs="宋体"/>
          <w:kern w:val="0"/>
          <w:sz w:val="24"/>
          <w:u w:val="single"/>
        </w:rPr>
        <w:t>具有管辖权的</w:t>
      </w:r>
      <w:r>
        <w:rPr>
          <w:rFonts w:hint="eastAsia" w:ascii="宋体" w:hAnsi="宋体" w:cs="宋体"/>
          <w:kern w:val="0"/>
          <w:sz w:val="24"/>
        </w:rPr>
        <w:t>人民法院提起诉讼。</w:t>
      </w:r>
    </w:p>
    <w:p>
      <w:pPr>
        <w:widowControl/>
        <w:spacing w:line="360" w:lineRule="auto"/>
        <w:ind w:firstLine="482" w:firstLineChars="200"/>
        <w:rPr>
          <w:rFonts w:ascii="宋体" w:hAnsi="宋体" w:cs="宋体"/>
          <w:b/>
          <w:kern w:val="0"/>
          <w:sz w:val="24"/>
        </w:rPr>
      </w:pPr>
      <w:r>
        <w:rPr>
          <w:rFonts w:hint="eastAsia" w:ascii="宋体" w:hAnsi="宋体" w:cs="宋体"/>
          <w:b/>
          <w:kern w:val="0"/>
          <w:sz w:val="24"/>
        </w:rPr>
        <w:t>十一、其他</w:t>
      </w:r>
    </w:p>
    <w:p>
      <w:pPr>
        <w:widowControl/>
        <w:spacing w:line="360" w:lineRule="auto"/>
        <w:ind w:firstLine="480" w:firstLineChars="200"/>
        <w:rPr>
          <w:rFonts w:ascii="宋体" w:hAnsi="宋体" w:cs="宋体"/>
          <w:kern w:val="0"/>
          <w:sz w:val="24"/>
        </w:rPr>
      </w:pPr>
      <w:r>
        <w:rPr>
          <w:rFonts w:hint="eastAsia" w:ascii="宋体" w:hAnsi="宋体" w:cs="宋体"/>
          <w:kern w:val="0"/>
          <w:sz w:val="24"/>
        </w:rPr>
        <w:t>42、工程分包</w:t>
      </w:r>
    </w:p>
    <w:p>
      <w:pPr>
        <w:widowControl/>
        <w:spacing w:line="360" w:lineRule="auto"/>
        <w:ind w:firstLine="480" w:firstLineChars="200"/>
        <w:rPr>
          <w:rFonts w:ascii="宋体" w:hAnsi="宋体" w:cs="宋体"/>
          <w:kern w:val="0"/>
          <w:sz w:val="24"/>
        </w:rPr>
      </w:pPr>
      <w:r>
        <w:rPr>
          <w:rFonts w:hint="eastAsia" w:ascii="宋体" w:hAnsi="宋体" w:cs="宋体"/>
          <w:kern w:val="0"/>
          <w:sz w:val="24"/>
        </w:rPr>
        <w:t>42.1本工程发包人同意承包人分包的专业工程：</w:t>
      </w:r>
      <w:r>
        <w:rPr>
          <w:rFonts w:hint="eastAsia" w:ascii="宋体" w:hAnsi="宋体" w:cs="宋体"/>
          <w:kern w:val="0"/>
          <w:sz w:val="24"/>
          <w:u w:val="single"/>
        </w:rPr>
        <w:t xml:space="preserve">           </w:t>
      </w:r>
    </w:p>
    <w:p>
      <w:pPr>
        <w:widowControl/>
        <w:spacing w:line="360" w:lineRule="auto"/>
        <w:rPr>
          <w:rFonts w:ascii="宋体" w:hAnsi="宋体" w:cs="宋体"/>
          <w:kern w:val="0"/>
          <w:sz w:val="24"/>
        </w:rPr>
      </w:pPr>
      <w:r>
        <w:rPr>
          <w:rFonts w:hint="eastAsia" w:ascii="宋体" w:hAnsi="宋体" w:cs="宋体"/>
          <w:kern w:val="0"/>
          <w:sz w:val="24"/>
        </w:rPr>
        <w:t>分包施工单位为：_________________</w:t>
      </w:r>
    </w:p>
    <w:p>
      <w:pPr>
        <w:widowControl/>
        <w:spacing w:line="360" w:lineRule="auto"/>
        <w:ind w:firstLine="480" w:firstLineChars="200"/>
        <w:rPr>
          <w:rFonts w:ascii="宋体" w:hAnsi="宋体" w:cs="宋体"/>
          <w:kern w:val="0"/>
          <w:sz w:val="24"/>
        </w:rPr>
      </w:pPr>
      <w:r>
        <w:rPr>
          <w:rFonts w:hint="eastAsia" w:ascii="宋体" w:hAnsi="宋体" w:cs="宋体"/>
          <w:kern w:val="0"/>
          <w:sz w:val="24"/>
        </w:rPr>
        <w:t>43、不可抗力</w:t>
      </w:r>
    </w:p>
    <w:p>
      <w:pPr>
        <w:widowControl/>
        <w:spacing w:line="360" w:lineRule="auto"/>
        <w:ind w:firstLine="480" w:firstLineChars="200"/>
        <w:rPr>
          <w:rFonts w:ascii="宋体" w:hAnsi="宋体" w:cs="宋体"/>
          <w:kern w:val="0"/>
          <w:sz w:val="24"/>
        </w:rPr>
      </w:pPr>
      <w:r>
        <w:rPr>
          <w:rFonts w:hint="eastAsia" w:ascii="宋体" w:hAnsi="宋体" w:cs="宋体"/>
          <w:kern w:val="0"/>
          <w:sz w:val="24"/>
        </w:rPr>
        <w:t>43.1双方关于不可抗力的约定：</w:t>
      </w:r>
    </w:p>
    <w:p>
      <w:pPr>
        <w:widowControl/>
        <w:spacing w:line="360" w:lineRule="auto"/>
        <w:rPr>
          <w:rFonts w:ascii="宋体" w:hAnsi="宋体" w:cs="宋体"/>
          <w:kern w:val="0"/>
          <w:sz w:val="24"/>
        </w:rPr>
      </w:pPr>
      <w:r>
        <w:rPr>
          <w:rFonts w:hint="eastAsia" w:ascii="宋体" w:hAnsi="宋体" w:cs="宋体"/>
          <w:kern w:val="0"/>
          <w:sz w:val="24"/>
        </w:rPr>
        <w:t>__</w:t>
      </w:r>
      <w:r>
        <w:rPr>
          <w:rFonts w:hint="eastAsia" w:ascii="宋体" w:hAnsi="宋体" w:cs="宋体"/>
          <w:kern w:val="0"/>
          <w:sz w:val="24"/>
          <w:u w:val="single"/>
        </w:rPr>
        <w:t>执行《通用条款》第43条。</w:t>
      </w:r>
    </w:p>
    <w:p>
      <w:pPr>
        <w:widowControl/>
        <w:spacing w:line="360" w:lineRule="auto"/>
        <w:ind w:firstLine="480" w:firstLineChars="200"/>
        <w:rPr>
          <w:rFonts w:ascii="宋体" w:hAnsi="宋体" w:cs="宋体"/>
          <w:kern w:val="0"/>
          <w:sz w:val="24"/>
        </w:rPr>
      </w:pPr>
      <w:r>
        <w:rPr>
          <w:rFonts w:hint="eastAsia" w:ascii="宋体" w:hAnsi="宋体" w:cs="宋体"/>
          <w:kern w:val="0"/>
          <w:sz w:val="24"/>
        </w:rPr>
        <w:t>44、保险</w:t>
      </w:r>
    </w:p>
    <w:p>
      <w:pPr>
        <w:widowControl/>
        <w:spacing w:line="360" w:lineRule="auto"/>
        <w:ind w:firstLine="480" w:firstLineChars="200"/>
        <w:rPr>
          <w:rFonts w:ascii="宋体" w:hAnsi="宋体" w:cs="宋体"/>
          <w:kern w:val="0"/>
          <w:sz w:val="24"/>
        </w:rPr>
      </w:pPr>
      <w:r>
        <w:rPr>
          <w:rFonts w:hint="eastAsia" w:ascii="宋体" w:hAnsi="宋体" w:cs="宋体"/>
          <w:kern w:val="0"/>
          <w:sz w:val="24"/>
        </w:rPr>
        <w:t>44.6本工程双方约定投保内容如下：</w:t>
      </w:r>
    </w:p>
    <w:p>
      <w:pPr>
        <w:widowControl/>
        <w:spacing w:line="360" w:lineRule="auto"/>
        <w:ind w:firstLine="480" w:firstLineChars="200"/>
        <w:rPr>
          <w:rFonts w:ascii="宋体" w:hAnsi="宋体" w:cs="宋体"/>
          <w:kern w:val="0"/>
          <w:sz w:val="24"/>
        </w:rPr>
      </w:pPr>
      <w:r>
        <w:rPr>
          <w:rFonts w:hint="eastAsia" w:ascii="宋体" w:hAnsi="宋体" w:cs="宋体"/>
          <w:kern w:val="0"/>
          <w:sz w:val="24"/>
        </w:rPr>
        <w:t>（1）发包人投保内容：</w:t>
      </w:r>
      <w:r>
        <w:rPr>
          <w:rFonts w:hint="eastAsia" w:ascii="宋体" w:hAnsi="宋体" w:cs="宋体"/>
          <w:kern w:val="0"/>
          <w:sz w:val="24"/>
          <w:u w:val="single"/>
        </w:rPr>
        <w:t>本合同通用条款44.1 44.2保险，发包人暂不办理。</w:t>
      </w:r>
    </w:p>
    <w:p>
      <w:pPr>
        <w:spacing w:line="360" w:lineRule="auto"/>
        <w:rPr>
          <w:rFonts w:ascii="宋体" w:hAnsi="宋体" w:cs="宋体"/>
          <w:sz w:val="24"/>
          <w:u w:val="single"/>
        </w:rPr>
      </w:pPr>
      <w:r>
        <w:rPr>
          <w:rFonts w:hint="eastAsia" w:ascii="宋体" w:hAnsi="宋体" w:cs="宋体"/>
          <w:kern w:val="0"/>
          <w:sz w:val="24"/>
        </w:rPr>
        <w:t>发包人委托承包人办理的保险事项：__</w:t>
      </w:r>
      <w:r>
        <w:rPr>
          <w:rFonts w:hint="eastAsia" w:ascii="宋体" w:hAnsi="宋体" w:cs="宋体"/>
          <w:sz w:val="24"/>
          <w:u w:val="single"/>
        </w:rPr>
        <w:t>本工程无发包人委托承包人办理的保险事宜。</w:t>
      </w:r>
    </w:p>
    <w:p>
      <w:pPr>
        <w:widowControl/>
        <w:spacing w:line="360" w:lineRule="auto"/>
        <w:rPr>
          <w:rFonts w:ascii="宋体" w:hAnsi="宋体" w:cs="宋体"/>
          <w:kern w:val="0"/>
          <w:sz w:val="24"/>
        </w:rPr>
      </w:pPr>
      <w:r>
        <w:rPr>
          <w:rFonts w:hint="eastAsia" w:ascii="宋体" w:hAnsi="宋体" w:cs="宋体"/>
          <w:sz w:val="24"/>
        </w:rPr>
        <w:t xml:space="preserve">    </w:t>
      </w:r>
      <w:r>
        <w:rPr>
          <w:rFonts w:hint="eastAsia" w:ascii="宋体" w:hAnsi="宋体" w:cs="宋体"/>
          <w:sz w:val="24"/>
          <w:u w:val="single"/>
        </w:rPr>
        <w:t>失业、医疗、工伤、残疾人就业保险，已包含在合同价款中，结算时，承包方凭参加保险票据，在标准范围内办理结算。本合同44.1、44.2保险费已由发包人委托承包人投保。保险费已包含在成交价中。</w:t>
      </w:r>
      <w:r>
        <w:rPr>
          <w:rFonts w:hint="eastAsia" w:ascii="宋体" w:hAnsi="宋体" w:cs="宋体"/>
          <w:kern w:val="0"/>
          <w:sz w:val="24"/>
        </w:rPr>
        <w:t>_</w:t>
      </w:r>
    </w:p>
    <w:p>
      <w:pPr>
        <w:widowControl/>
        <w:spacing w:line="360" w:lineRule="auto"/>
        <w:ind w:firstLine="480" w:firstLineChars="200"/>
        <w:rPr>
          <w:rFonts w:ascii="宋体" w:hAnsi="宋体" w:cs="宋体"/>
          <w:kern w:val="0"/>
          <w:sz w:val="24"/>
        </w:rPr>
      </w:pPr>
      <w:r>
        <w:rPr>
          <w:rFonts w:hint="eastAsia" w:ascii="宋体" w:hAnsi="宋体" w:cs="宋体"/>
          <w:kern w:val="0"/>
          <w:sz w:val="24"/>
        </w:rPr>
        <w:t>（2）承包人投保内容：_</w:t>
      </w:r>
      <w:r>
        <w:rPr>
          <w:rFonts w:hint="eastAsia" w:ascii="宋体" w:hAnsi="宋体" w:cs="宋体"/>
          <w:sz w:val="24"/>
          <w:u w:val="single"/>
        </w:rPr>
        <w:t>具体投保内容由承包人自行决定，并承担相关责任。</w:t>
      </w:r>
    </w:p>
    <w:p>
      <w:pPr>
        <w:widowControl/>
        <w:spacing w:line="360" w:lineRule="auto"/>
        <w:ind w:firstLine="480" w:firstLineChars="200"/>
        <w:rPr>
          <w:rFonts w:ascii="宋体" w:hAnsi="宋体" w:cs="宋体"/>
          <w:kern w:val="0"/>
          <w:sz w:val="24"/>
        </w:rPr>
      </w:pPr>
      <w:r>
        <w:rPr>
          <w:rFonts w:hint="eastAsia" w:ascii="宋体" w:hAnsi="宋体" w:cs="宋体"/>
          <w:kern w:val="0"/>
          <w:sz w:val="24"/>
        </w:rPr>
        <w:t>45、担保</w:t>
      </w:r>
    </w:p>
    <w:p>
      <w:pPr>
        <w:widowControl/>
        <w:spacing w:line="360" w:lineRule="auto"/>
        <w:ind w:firstLine="480" w:firstLineChars="200"/>
        <w:rPr>
          <w:rFonts w:ascii="宋体" w:hAnsi="宋体" w:cs="宋体"/>
          <w:kern w:val="0"/>
          <w:sz w:val="24"/>
        </w:rPr>
      </w:pPr>
      <w:r>
        <w:rPr>
          <w:rFonts w:hint="eastAsia" w:ascii="宋体" w:hAnsi="宋体" w:cs="宋体"/>
          <w:kern w:val="0"/>
          <w:sz w:val="24"/>
        </w:rPr>
        <w:t>45.3本工程双方约定担保事项如下：</w:t>
      </w:r>
    </w:p>
    <w:p>
      <w:pPr>
        <w:widowControl/>
        <w:spacing w:line="360" w:lineRule="auto"/>
        <w:ind w:firstLine="480" w:firstLineChars="200"/>
        <w:rPr>
          <w:rFonts w:ascii="宋体" w:hAnsi="宋体" w:cs="宋体"/>
          <w:kern w:val="0"/>
          <w:sz w:val="24"/>
        </w:rPr>
      </w:pPr>
      <w:r>
        <w:rPr>
          <w:rFonts w:hint="eastAsia" w:ascii="宋体" w:hAnsi="宋体" w:cs="宋体"/>
          <w:kern w:val="0"/>
          <w:sz w:val="24"/>
        </w:rPr>
        <w:t>（1）发包人向承包人提供支付担保，担保方式为：</w:t>
      </w:r>
      <w:r>
        <w:rPr>
          <w:rFonts w:hint="eastAsia" w:ascii="宋体" w:hAnsi="宋体" w:cs="宋体"/>
          <w:sz w:val="24"/>
          <w:u w:val="single"/>
        </w:rPr>
        <w:t xml:space="preserve">   无  </w:t>
      </w:r>
      <w:r>
        <w:rPr>
          <w:rFonts w:hint="eastAsia" w:ascii="宋体" w:hAnsi="宋体" w:cs="宋体"/>
          <w:kern w:val="0"/>
          <w:sz w:val="24"/>
        </w:rPr>
        <w:t>。</w:t>
      </w:r>
    </w:p>
    <w:p>
      <w:pPr>
        <w:widowControl/>
        <w:spacing w:line="360" w:lineRule="auto"/>
        <w:ind w:firstLine="480" w:firstLineChars="200"/>
        <w:rPr>
          <w:rFonts w:ascii="宋体" w:hAnsi="宋体" w:cs="宋体"/>
          <w:kern w:val="0"/>
          <w:sz w:val="24"/>
          <w:u w:val="single"/>
        </w:rPr>
      </w:pPr>
      <w:r>
        <w:rPr>
          <w:rFonts w:hint="eastAsia" w:ascii="宋体" w:hAnsi="宋体" w:cs="宋体"/>
          <w:kern w:val="0"/>
          <w:sz w:val="24"/>
        </w:rPr>
        <mc:AlternateContent>
          <mc:Choice Requires="wps">
            <w:drawing>
              <wp:anchor distT="0" distB="0" distL="114300" distR="114300" simplePos="0" relativeHeight="251663360" behindDoc="0" locked="0" layoutInCell="1" allowOverlap="1">
                <wp:simplePos x="0" y="0"/>
                <wp:positionH relativeFrom="column">
                  <wp:posOffset>3328670</wp:posOffset>
                </wp:positionH>
                <wp:positionV relativeFrom="paragraph">
                  <wp:posOffset>58420</wp:posOffset>
                </wp:positionV>
                <wp:extent cx="800100" cy="99060"/>
                <wp:effectExtent l="635" t="4445" r="18415" b="10795"/>
                <wp:wrapNone/>
                <wp:docPr id="5" name="直线 26"/>
                <wp:cNvGraphicFramePr/>
                <a:graphic xmlns:a="http://schemas.openxmlformats.org/drawingml/2006/main">
                  <a:graphicData uri="http://schemas.microsoft.com/office/word/2010/wordprocessingShape">
                    <wps:wsp>
                      <wps:cNvCnPr/>
                      <wps:spPr>
                        <a:xfrm flipV="1">
                          <a:off x="0" y="0"/>
                          <a:ext cx="800100" cy="9906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直线 26" o:spid="_x0000_s1026" o:spt="20" style="position:absolute;left:0pt;flip:y;margin-left:262.1pt;margin-top:4.6pt;height:7.8pt;width:63pt;z-index:251663360;mso-width-relative:page;mso-height-relative:page;" filled="f" stroked="t" coordsize="21600,21600" o:gfxdata="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OziBk/XAAAACAEAAA8AAAAAAAAAAQAgAAAAIgAAAGRycy9kb3ducmV2LnhtbFBLAQIUABQAAAAI&#10;AIdO4kBi1h1I7gEAAOsDAAAOAAAAAAAAAAEAIAAAACYBAABkcnMvZTJvRG9jLnhtbFBLBQYAAAAA&#10;BgAGAFkBAACGBQAAAAA=&#10;">
                <v:fill on="f" focussize="0,0"/>
                <v:stroke color="#000000" joinstyle="round"/>
                <v:imagedata o:title=""/>
                <o:lock v:ext="edit" aspectratio="f"/>
              </v:line>
            </w:pict>
          </mc:Fallback>
        </mc:AlternateContent>
      </w:r>
      <w:r>
        <w:rPr>
          <w:rFonts w:hint="eastAsia" w:ascii="宋体" w:hAnsi="宋体" w:cs="宋体"/>
          <w:kern w:val="0"/>
          <w:sz w:val="24"/>
        </w:rPr>
        <w:t>（2）双方约定的其他担保事项：__________________________________</w:t>
      </w:r>
    </w:p>
    <w:p>
      <w:pPr>
        <w:widowControl/>
        <w:spacing w:line="360" w:lineRule="auto"/>
        <w:ind w:firstLine="480" w:firstLineChars="200"/>
        <w:rPr>
          <w:rFonts w:ascii="宋体" w:hAnsi="宋体" w:cs="宋体"/>
          <w:kern w:val="0"/>
          <w:sz w:val="24"/>
        </w:rPr>
      </w:pPr>
      <w:r>
        <w:rPr>
          <w:rFonts w:hint="eastAsia" w:ascii="宋体" w:hAnsi="宋体" w:cs="宋体"/>
          <w:kern w:val="0"/>
          <w:sz w:val="24"/>
        </w:rPr>
        <w:t>50、合同份数</w:t>
      </w:r>
    </w:p>
    <w:p>
      <w:pPr>
        <w:widowControl/>
        <w:spacing w:line="360" w:lineRule="auto"/>
        <w:ind w:firstLine="480" w:firstLineChars="200"/>
        <w:rPr>
          <w:rFonts w:ascii="宋体" w:hAnsi="宋体" w:cs="宋体"/>
          <w:kern w:val="0"/>
          <w:sz w:val="24"/>
        </w:rPr>
      </w:pPr>
      <w:r>
        <w:rPr>
          <w:rFonts w:hint="eastAsia" w:ascii="宋体" w:hAnsi="宋体" w:cs="宋体"/>
          <w:kern w:val="0"/>
          <w:sz w:val="24"/>
        </w:rPr>
        <w:t>50.2双方约定合同副本份数：_</w:t>
      </w:r>
      <w:r>
        <w:rPr>
          <w:rFonts w:hint="eastAsia" w:ascii="宋体" w:hAnsi="宋体" w:cs="宋体"/>
          <w:sz w:val="24"/>
          <w:u w:val="single"/>
        </w:rPr>
        <w:t>正本贰份，副本捌份；发、承包双方各持正本壹份、副本肆份。</w:t>
      </w:r>
      <w:r>
        <w:rPr>
          <w:rFonts w:hint="eastAsia" w:ascii="宋体" w:hAnsi="宋体" w:cs="宋体"/>
          <w:kern w:val="0"/>
          <w:sz w:val="24"/>
        </w:rPr>
        <w:t>_</w:t>
      </w:r>
    </w:p>
    <w:p>
      <w:pPr>
        <w:widowControl/>
        <w:spacing w:line="360" w:lineRule="auto"/>
        <w:ind w:firstLine="480" w:firstLineChars="200"/>
        <w:rPr>
          <w:rFonts w:ascii="宋体" w:hAnsi="宋体" w:cs="宋体"/>
          <w:kern w:val="0"/>
          <w:sz w:val="24"/>
        </w:rPr>
      </w:pPr>
      <w:r>
        <w:rPr>
          <w:rFonts w:hint="eastAsia" w:ascii="宋体" w:hAnsi="宋体" w:cs="宋体"/>
          <w:kern w:val="0"/>
          <w:sz w:val="24"/>
        </w:rPr>
        <w:t>51、补充条款（注：本条款作为合同的一部分，不得更改，否则视为违约。）</w:t>
      </w:r>
    </w:p>
    <w:p>
      <w:pPr>
        <w:spacing w:line="420" w:lineRule="exact"/>
        <w:ind w:firstLine="480" w:firstLineChars="200"/>
        <w:rPr>
          <w:rFonts w:ascii="宋体" w:hAnsi="宋体" w:cs="宋体"/>
          <w:sz w:val="24"/>
          <w:szCs w:val="21"/>
          <w:u w:val="single"/>
        </w:rPr>
      </w:pPr>
      <w:r>
        <w:rPr>
          <w:rFonts w:hint="eastAsia" w:ascii="宋体" w:hAnsi="宋体" w:cs="宋体"/>
          <w:sz w:val="24"/>
          <w:szCs w:val="21"/>
          <w:u w:val="single"/>
        </w:rPr>
        <w:t>51.1本工程竣工后，应免费将施工现场清除干净；无建筑材料、无建筑设备、无临时垃圾、无坑池渠沟、无掩埋的硬化道路和垃圾，场地整洁。否则发包人不予支付工程款。并按每延期一天罚款2000元进行处罚。</w:t>
      </w:r>
    </w:p>
    <w:p>
      <w:pPr>
        <w:spacing w:line="420" w:lineRule="exact"/>
        <w:ind w:firstLine="480" w:firstLineChars="200"/>
        <w:rPr>
          <w:rFonts w:ascii="宋体" w:hAnsi="宋体" w:cs="宋体"/>
          <w:sz w:val="24"/>
          <w:szCs w:val="21"/>
          <w:u w:val="single"/>
        </w:rPr>
      </w:pPr>
      <w:r>
        <w:rPr>
          <w:rFonts w:hint="eastAsia" w:ascii="宋体" w:hAnsi="宋体" w:cs="宋体"/>
          <w:sz w:val="24"/>
          <w:szCs w:val="21"/>
          <w:u w:val="single"/>
        </w:rPr>
        <w:t>51.2 必须按照</w:t>
      </w:r>
      <w:r>
        <w:rPr>
          <w:rFonts w:hint="eastAsia" w:ascii="宋体" w:hAnsi="宋体" w:cs="宋体"/>
          <w:kern w:val="0"/>
          <w:sz w:val="24"/>
          <w:szCs w:val="21"/>
          <w:u w:val="single"/>
        </w:rPr>
        <w:t>文明工地标准进行安全文明施工管理。</w:t>
      </w:r>
      <w:r>
        <w:rPr>
          <w:rFonts w:hint="eastAsia" w:ascii="宋体" w:hAnsi="宋体" w:cs="宋体"/>
          <w:sz w:val="24"/>
          <w:szCs w:val="21"/>
          <w:u w:val="single"/>
        </w:rPr>
        <w:t xml:space="preserve">设立专用垃圾场，不得在施工区内任意堆放或乱倒垃圾，定期将建筑垃圾清理外运。施工人员必须挂牌上岗（标明姓名、年龄、职务并贴照片）。 </w:t>
      </w:r>
    </w:p>
    <w:p>
      <w:pPr>
        <w:spacing w:line="420" w:lineRule="exact"/>
        <w:ind w:firstLine="480" w:firstLineChars="200"/>
        <w:rPr>
          <w:rFonts w:ascii="宋体" w:hAnsi="宋体" w:cs="宋体"/>
          <w:sz w:val="24"/>
          <w:szCs w:val="21"/>
          <w:u w:val="single"/>
        </w:rPr>
      </w:pPr>
      <w:r>
        <w:rPr>
          <w:rFonts w:hint="eastAsia" w:ascii="宋体" w:hAnsi="宋体" w:cs="宋体"/>
          <w:sz w:val="24"/>
          <w:szCs w:val="21"/>
          <w:u w:val="single"/>
        </w:rPr>
        <w:t>51.3施工过程中，资料和工程进度必须同步。每月发包人管理人员对施工进度和资料进行检查，出现问题限期整改，否则每次罚款1000元人民币。在工程竣工验收前，承包人要按规定将竣工资料交监理验收，由监理出据相应证明后，发包人方可组织验收。</w:t>
      </w:r>
    </w:p>
    <w:p>
      <w:pPr>
        <w:spacing w:line="420" w:lineRule="exact"/>
        <w:ind w:firstLine="480" w:firstLineChars="200"/>
        <w:rPr>
          <w:rFonts w:ascii="宋体" w:hAnsi="宋体" w:cs="宋体"/>
          <w:sz w:val="24"/>
          <w:szCs w:val="21"/>
          <w:u w:val="single"/>
        </w:rPr>
      </w:pPr>
      <w:r>
        <w:rPr>
          <w:rFonts w:hint="eastAsia" w:ascii="宋体" w:hAnsi="宋体" w:cs="宋体"/>
          <w:sz w:val="24"/>
          <w:szCs w:val="21"/>
          <w:u w:val="single"/>
        </w:rPr>
        <w:t>51.4安全管理人员必须持证上岗，并负责检查现场和施工人员安全情况，如监理和发包人管理人员发现有不安全因素存在，经指出仍未纠正的每次罚款500元人民币；出现安全事故，施工单位自负。</w:t>
      </w:r>
    </w:p>
    <w:p>
      <w:pPr>
        <w:spacing w:line="420" w:lineRule="exact"/>
        <w:ind w:firstLine="480" w:firstLineChars="200"/>
        <w:rPr>
          <w:rFonts w:ascii="宋体" w:hAnsi="宋体" w:cs="宋体"/>
          <w:sz w:val="24"/>
          <w:szCs w:val="21"/>
          <w:u w:val="single"/>
        </w:rPr>
      </w:pPr>
      <w:r>
        <w:rPr>
          <w:rFonts w:hint="eastAsia" w:ascii="宋体" w:hAnsi="宋体" w:cs="宋体"/>
          <w:sz w:val="24"/>
          <w:szCs w:val="21"/>
          <w:u w:val="single"/>
        </w:rPr>
        <w:t xml:space="preserve">51.5现场用电必须按照发包人要求，三相五线制，一机一闸必须带漏电保护，不许用电炉。如施工现场出现用电漏电或短路跳闸，造成停电、影响发包人用电，每次罚款2000元人民币。 </w:t>
      </w:r>
    </w:p>
    <w:p>
      <w:pPr>
        <w:spacing w:line="420" w:lineRule="exact"/>
        <w:ind w:firstLine="456" w:firstLineChars="200"/>
        <w:rPr>
          <w:rFonts w:ascii="宋体" w:hAnsi="宋体" w:cs="宋体"/>
          <w:spacing w:val="-6"/>
          <w:sz w:val="24"/>
          <w:szCs w:val="21"/>
          <w:u w:val="single"/>
        </w:rPr>
      </w:pPr>
      <w:r>
        <w:rPr>
          <w:rFonts w:hint="eastAsia" w:ascii="宋体" w:hAnsi="宋体" w:cs="宋体"/>
          <w:spacing w:val="-6"/>
          <w:sz w:val="24"/>
          <w:szCs w:val="21"/>
          <w:u w:val="single"/>
        </w:rPr>
        <w:t>51.6承包人必须严格执行规章制度和工程施工管理办法。承包人必须执行发包人现场管理人员和监理的指令，服从管理，否则发包人有权更换相关人员。</w:t>
      </w:r>
    </w:p>
    <w:p>
      <w:pPr>
        <w:spacing w:line="420" w:lineRule="exact"/>
        <w:ind w:firstLine="456" w:firstLineChars="200"/>
        <w:rPr>
          <w:rFonts w:ascii="宋体" w:hAnsi="宋体" w:cs="宋体"/>
          <w:spacing w:val="-6"/>
          <w:sz w:val="24"/>
          <w:szCs w:val="21"/>
          <w:u w:val="single"/>
        </w:rPr>
      </w:pPr>
      <w:r>
        <w:rPr>
          <w:rFonts w:hint="eastAsia" w:ascii="宋体" w:hAnsi="宋体" w:cs="宋体"/>
          <w:spacing w:val="-6"/>
          <w:sz w:val="24"/>
          <w:szCs w:val="21"/>
          <w:u w:val="single"/>
        </w:rPr>
        <w:t>51.7竣工验收时，承包人须向发包人提供《工程质量保修书》、使用说明书。</w:t>
      </w:r>
    </w:p>
    <w:p>
      <w:pPr>
        <w:spacing w:line="420" w:lineRule="exact"/>
        <w:ind w:firstLine="456" w:firstLineChars="200"/>
        <w:rPr>
          <w:rFonts w:ascii="宋体" w:hAnsi="宋体" w:cs="宋体"/>
          <w:spacing w:val="-6"/>
          <w:sz w:val="24"/>
          <w:szCs w:val="21"/>
          <w:u w:val="single"/>
        </w:rPr>
      </w:pPr>
      <w:r>
        <w:rPr>
          <w:rFonts w:hint="eastAsia" w:ascii="宋体" w:hAnsi="宋体" w:cs="宋体"/>
          <w:spacing w:val="-6"/>
          <w:sz w:val="24"/>
          <w:szCs w:val="21"/>
          <w:u w:val="single"/>
        </w:rPr>
        <w:t>51.8对图纸中存在的问题及需要联系的事宜，由发包方联系解决，承包人、监理不得同设计院联系或取得资料。</w:t>
      </w:r>
    </w:p>
    <w:p>
      <w:pPr>
        <w:spacing w:line="420" w:lineRule="exact"/>
        <w:ind w:firstLine="480" w:firstLineChars="200"/>
        <w:rPr>
          <w:rFonts w:ascii="宋体" w:hAnsi="宋体" w:cs="宋体"/>
          <w:sz w:val="24"/>
          <w:szCs w:val="21"/>
          <w:u w:val="single"/>
        </w:rPr>
      </w:pPr>
      <w:r>
        <w:rPr>
          <w:rFonts w:hint="eastAsia" w:ascii="宋体" w:hAnsi="宋体" w:cs="宋体"/>
          <w:sz w:val="24"/>
          <w:szCs w:val="21"/>
          <w:u w:val="single"/>
        </w:rPr>
        <w:t>51.9承包人须与聘用的农民工签订劳务合同，并到相应单位办理手续。按时发放农民工工资，当承包人申报当期进度款计划时应一并报已发农民工工资表给发包人，发包人有权监督承包人在支付的当期进度款中发放农民工工资或在支付当月工程款中代扣。</w:t>
      </w:r>
    </w:p>
    <w:p>
      <w:pPr>
        <w:spacing w:line="420" w:lineRule="exact"/>
        <w:ind w:firstLine="480" w:firstLineChars="200"/>
        <w:rPr>
          <w:rFonts w:ascii="宋体" w:hAnsi="宋体" w:cs="宋体"/>
          <w:sz w:val="24"/>
          <w:szCs w:val="21"/>
          <w:u w:val="single"/>
        </w:rPr>
      </w:pPr>
      <w:r>
        <w:rPr>
          <w:rFonts w:hint="eastAsia" w:ascii="宋体" w:hAnsi="宋体" w:cs="宋体"/>
          <w:sz w:val="24"/>
          <w:szCs w:val="21"/>
          <w:u w:val="single"/>
        </w:rPr>
        <w:t>51.10本工程拆除费用按照建筑面积报价，学校已在开标前组织承包方勘察现场，承包方自行现场核对拆除工程量，自主报价，随后，承包方不得以拆除工程量变化和垃圾外运等问题提出经济补偿和工期拖延要求。</w:t>
      </w:r>
    </w:p>
    <w:p>
      <w:pPr>
        <w:spacing w:line="420" w:lineRule="exact"/>
        <w:ind w:firstLine="480" w:firstLineChars="200"/>
        <w:rPr>
          <w:rFonts w:ascii="宋体" w:hAnsi="宋体" w:cs="宋体"/>
          <w:sz w:val="24"/>
          <w:szCs w:val="21"/>
          <w:u w:val="single"/>
        </w:rPr>
        <w:sectPr>
          <w:pgSz w:w="11906" w:h="16838"/>
          <w:pgMar w:top="1440" w:right="1457" w:bottom="1440" w:left="1463" w:header="851" w:footer="992" w:gutter="0"/>
          <w:cols w:space="0" w:num="1"/>
          <w:titlePg/>
          <w:docGrid w:type="lines" w:linePitch="312" w:charSpace="0"/>
        </w:sectPr>
      </w:pPr>
    </w:p>
    <w:p>
      <w:pPr>
        <w:spacing w:line="520" w:lineRule="exact"/>
        <w:jc w:val="center"/>
        <w:outlineLvl w:val="1"/>
        <w:rPr>
          <w:rFonts w:ascii="宋体" w:hAnsi="宋体" w:cs="宋体"/>
          <w:sz w:val="36"/>
          <w:szCs w:val="36"/>
        </w:rPr>
      </w:pPr>
      <w:r>
        <w:rPr>
          <w:rFonts w:hint="eastAsia" w:ascii="宋体" w:hAnsi="宋体" w:cs="宋体"/>
          <w:bCs/>
          <w:sz w:val="36"/>
          <w:szCs w:val="36"/>
        </w:rPr>
        <w:t>安全生产责任书</w:t>
      </w:r>
    </w:p>
    <w:p>
      <w:pPr>
        <w:spacing w:line="520" w:lineRule="exact"/>
        <w:rPr>
          <w:rFonts w:ascii="宋体" w:hAnsi="宋体" w:cs="宋体"/>
          <w:sz w:val="28"/>
        </w:rPr>
      </w:pPr>
    </w:p>
    <w:p>
      <w:pPr>
        <w:spacing w:line="520" w:lineRule="exact"/>
        <w:rPr>
          <w:rFonts w:ascii="宋体" w:hAnsi="宋体" w:cs="宋体"/>
          <w:b/>
          <w:sz w:val="24"/>
        </w:rPr>
      </w:pPr>
      <w:r>
        <w:rPr>
          <w:rFonts w:hint="eastAsia" w:ascii="宋体" w:hAnsi="宋体" w:cs="宋体"/>
          <w:b/>
          <w:sz w:val="24"/>
        </w:rPr>
        <w:t>甲方：</w:t>
      </w:r>
      <w:r>
        <w:rPr>
          <w:rFonts w:hint="eastAsia" w:ascii="宋体" w:hAnsi="宋体" w:cs="宋体"/>
          <w:b/>
          <w:sz w:val="24"/>
          <w:u w:val="single"/>
        </w:rPr>
        <w:t xml:space="preserve">                     </w:t>
      </w:r>
      <w:r>
        <w:rPr>
          <w:rFonts w:hint="eastAsia" w:ascii="宋体" w:hAnsi="宋体" w:cs="宋体"/>
          <w:b/>
          <w:sz w:val="24"/>
        </w:rPr>
        <w:t xml:space="preserve">         </w:t>
      </w:r>
    </w:p>
    <w:p>
      <w:pPr>
        <w:spacing w:line="520" w:lineRule="exact"/>
        <w:rPr>
          <w:rFonts w:ascii="宋体" w:hAnsi="宋体" w:cs="宋体"/>
          <w:b/>
          <w:sz w:val="24"/>
          <w:u w:val="single"/>
        </w:rPr>
      </w:pPr>
      <w:r>
        <w:rPr>
          <w:rFonts w:hint="eastAsia" w:ascii="宋体" w:hAnsi="宋体" w:cs="宋体"/>
          <w:b/>
          <w:sz w:val="24"/>
        </w:rPr>
        <w:t>乙方：</w:t>
      </w:r>
      <w:r>
        <w:rPr>
          <w:rFonts w:hint="eastAsia" w:ascii="宋体" w:hAnsi="宋体" w:cs="宋体"/>
          <w:b/>
          <w:sz w:val="24"/>
          <w:u w:val="single"/>
        </w:rPr>
        <w:t xml:space="preserve">                     </w:t>
      </w:r>
    </w:p>
    <w:p>
      <w:pPr>
        <w:spacing w:line="520" w:lineRule="exact"/>
        <w:ind w:firstLine="480" w:firstLineChars="200"/>
        <w:rPr>
          <w:rFonts w:ascii="宋体" w:hAnsi="宋体" w:cs="宋体"/>
          <w:sz w:val="24"/>
        </w:rPr>
      </w:pPr>
      <w:r>
        <w:rPr>
          <w:rFonts w:hint="eastAsia" w:ascii="宋体" w:hAnsi="宋体" w:cs="宋体"/>
          <w:sz w:val="24"/>
        </w:rPr>
        <w:t>为了认真贯彻落实《中华人民共和国安全生产法》、《国务院302号令》、《陕西省安全生产条例》和省厅关于安全生产的各项规定，确保</w:t>
      </w:r>
      <w:r>
        <w:rPr>
          <w:rFonts w:hint="eastAsia" w:ascii="宋体" w:hAnsi="宋体" w:cs="宋体"/>
          <w:sz w:val="24"/>
          <w:u w:val="single"/>
        </w:rPr>
        <w:t xml:space="preserve"> </w:t>
      </w:r>
      <w:r>
        <w:rPr>
          <w:rFonts w:hint="eastAsia" w:ascii="宋体" w:hAnsi="宋体" w:cs="宋体"/>
          <w:sz w:val="24"/>
          <w:u w:val="single"/>
          <w:lang w:eastAsia="zh-CN"/>
        </w:rPr>
        <w:t>高陵区城西小学变压器及电路改造工程</w:t>
      </w:r>
      <w:r>
        <w:rPr>
          <w:rFonts w:hint="eastAsia" w:ascii="宋体" w:hAnsi="宋体" w:cs="宋体"/>
          <w:sz w:val="24"/>
        </w:rPr>
        <w:t>安全生产的顺利进行，特制定本责任书。</w:t>
      </w:r>
    </w:p>
    <w:p>
      <w:pPr>
        <w:spacing w:line="520" w:lineRule="exact"/>
        <w:ind w:firstLine="480" w:firstLineChars="200"/>
        <w:rPr>
          <w:rFonts w:ascii="宋体" w:hAnsi="宋体" w:cs="宋体"/>
          <w:sz w:val="24"/>
        </w:rPr>
      </w:pPr>
      <w:r>
        <w:rPr>
          <w:rFonts w:hint="eastAsia" w:ascii="宋体" w:hAnsi="宋体" w:cs="宋体"/>
          <w:sz w:val="24"/>
        </w:rPr>
        <w:t>一、落实由项目经理主要负责的逐级安全生产责任制，要求做到逐级签订责任书，并进行安全生产目标责任制的落实。</w:t>
      </w:r>
    </w:p>
    <w:p>
      <w:pPr>
        <w:spacing w:line="520" w:lineRule="exact"/>
        <w:ind w:firstLine="480" w:firstLineChars="200"/>
        <w:rPr>
          <w:rFonts w:ascii="宋体" w:hAnsi="宋体" w:cs="宋体"/>
          <w:sz w:val="24"/>
        </w:rPr>
      </w:pPr>
      <w:r>
        <w:rPr>
          <w:rFonts w:hint="eastAsia" w:ascii="宋体" w:hAnsi="宋体" w:cs="宋体"/>
          <w:sz w:val="24"/>
        </w:rPr>
        <w:t>二、建立健全安全生产组织机构、建立安全生产规章制度，建立安全生产操作规程，并确保安全生产的资金投入。</w:t>
      </w:r>
    </w:p>
    <w:p>
      <w:pPr>
        <w:spacing w:line="520" w:lineRule="exact"/>
        <w:ind w:firstLine="480" w:firstLineChars="200"/>
        <w:rPr>
          <w:rFonts w:ascii="宋体" w:hAnsi="宋体" w:cs="宋体"/>
          <w:sz w:val="24"/>
        </w:rPr>
      </w:pPr>
      <w:r>
        <w:rPr>
          <w:rFonts w:hint="eastAsia" w:ascii="宋体" w:hAnsi="宋体" w:cs="宋体"/>
          <w:sz w:val="24"/>
        </w:rPr>
        <w:t>三、经常开展安全生产大检查，对存在的问题和薄弱环节，采取有力措施及时督促整改，逐项落实。</w:t>
      </w:r>
    </w:p>
    <w:p>
      <w:pPr>
        <w:spacing w:line="520" w:lineRule="exact"/>
        <w:ind w:firstLine="480" w:firstLineChars="200"/>
        <w:rPr>
          <w:rFonts w:ascii="宋体" w:hAnsi="宋体" w:cs="宋体"/>
          <w:sz w:val="24"/>
        </w:rPr>
      </w:pPr>
      <w:r>
        <w:rPr>
          <w:rFonts w:hint="eastAsia" w:ascii="宋体" w:hAnsi="宋体" w:cs="宋体"/>
          <w:sz w:val="24"/>
        </w:rPr>
        <w:t>四、搞好工地安全生产的宣传和教育，张贴安全生产宣传栏，设立警示标志。要对进场工人进行安全教育，每周召开一次安全专题会议，对每天发生的安全质量及时整改。</w:t>
      </w:r>
    </w:p>
    <w:p>
      <w:pPr>
        <w:spacing w:line="520" w:lineRule="exact"/>
        <w:ind w:firstLine="480" w:firstLineChars="200"/>
        <w:rPr>
          <w:rFonts w:ascii="宋体" w:hAnsi="宋体" w:cs="宋体"/>
          <w:sz w:val="24"/>
        </w:rPr>
      </w:pPr>
      <w:r>
        <w:rPr>
          <w:rFonts w:hint="eastAsia" w:ascii="宋体" w:hAnsi="宋体" w:cs="宋体"/>
          <w:sz w:val="24"/>
        </w:rPr>
        <w:t>五、制定安全事故应急救援预案，建立重、特大事故报告制度，上报时间不得超过事故发生后30分钟。</w:t>
      </w:r>
    </w:p>
    <w:p>
      <w:pPr>
        <w:spacing w:line="520" w:lineRule="exact"/>
        <w:ind w:firstLine="480" w:firstLineChars="200"/>
        <w:jc w:val="left"/>
        <w:rPr>
          <w:rFonts w:ascii="宋体" w:hAnsi="宋体" w:cs="宋体"/>
          <w:sz w:val="24"/>
        </w:rPr>
      </w:pPr>
      <w:r>
        <w:rPr>
          <w:rFonts w:hint="eastAsia" w:ascii="宋体" w:hAnsi="宋体" w:cs="宋体"/>
          <w:sz w:val="24"/>
        </w:rPr>
        <w:t>六、租用的机械设备和施工机具及配件，应当具有厂家资质、生产(制造)许可证、产品合格证等材料。特种设备须经国家有关部门检测，并出具准运证明。</w:t>
      </w:r>
    </w:p>
    <w:p>
      <w:pPr>
        <w:spacing w:line="520" w:lineRule="exact"/>
        <w:ind w:firstLine="480" w:firstLineChars="200"/>
        <w:jc w:val="left"/>
        <w:rPr>
          <w:rFonts w:ascii="宋体" w:hAnsi="宋体" w:cs="宋体"/>
          <w:sz w:val="24"/>
        </w:rPr>
      </w:pPr>
      <w:r>
        <w:rPr>
          <w:rFonts w:hint="eastAsia" w:ascii="宋体" w:hAnsi="宋体" w:cs="宋体"/>
          <w:sz w:val="24"/>
        </w:rPr>
        <w:t>七、现场所有人员必须佩带安全帽，高空作业必须佩带安全带。</w:t>
      </w:r>
    </w:p>
    <w:p>
      <w:pPr>
        <w:spacing w:line="520" w:lineRule="exact"/>
        <w:ind w:firstLine="480" w:firstLineChars="200"/>
        <w:jc w:val="left"/>
        <w:rPr>
          <w:rFonts w:ascii="宋体" w:hAnsi="宋体" w:cs="宋体"/>
          <w:sz w:val="24"/>
        </w:rPr>
      </w:pPr>
      <w:r>
        <w:rPr>
          <w:rFonts w:hint="eastAsia" w:ascii="宋体" w:hAnsi="宋体" w:cs="宋体"/>
          <w:sz w:val="24"/>
        </w:rPr>
        <w:t>八、施工现场的安全防护用具、机械设备、施工机具及配件应当设专人管理，定期进行检查、维修和保养。</w:t>
      </w:r>
    </w:p>
    <w:p>
      <w:pPr>
        <w:spacing w:line="520" w:lineRule="exact"/>
        <w:ind w:firstLine="480" w:firstLineChars="200"/>
        <w:jc w:val="left"/>
        <w:rPr>
          <w:rFonts w:ascii="宋体" w:hAnsi="宋体" w:cs="宋体"/>
          <w:sz w:val="24"/>
        </w:rPr>
      </w:pPr>
      <w:r>
        <w:rPr>
          <w:rFonts w:hint="eastAsia" w:ascii="宋体" w:hAnsi="宋体" w:cs="宋体"/>
          <w:sz w:val="24"/>
        </w:rPr>
        <w:t>九、施工单位接用水、电时必须安装总表。现场用电三相五线制，一机一闸，带漏电保护。不准私拉乱扯电缆线，严格按规范用电要求使用。</w:t>
      </w:r>
    </w:p>
    <w:p>
      <w:pPr>
        <w:spacing w:line="520" w:lineRule="exact"/>
        <w:ind w:firstLine="480" w:firstLineChars="200"/>
        <w:rPr>
          <w:rFonts w:ascii="宋体" w:hAnsi="宋体" w:cs="宋体"/>
          <w:sz w:val="24"/>
        </w:rPr>
      </w:pPr>
      <w:r>
        <w:rPr>
          <w:rFonts w:hint="eastAsia" w:ascii="宋体" w:hAnsi="宋体" w:cs="宋体"/>
          <w:sz w:val="24"/>
        </w:rPr>
        <w:t>十、特殊工种必须持证上岗，专职人员操作，无证人员不得上岗。</w:t>
      </w:r>
    </w:p>
    <w:p>
      <w:pPr>
        <w:spacing w:line="520" w:lineRule="exact"/>
        <w:ind w:firstLine="480" w:firstLineChars="200"/>
        <w:rPr>
          <w:rFonts w:ascii="宋体" w:hAnsi="宋体" w:cs="宋体"/>
          <w:sz w:val="24"/>
        </w:rPr>
      </w:pPr>
      <w:r>
        <w:rPr>
          <w:rFonts w:hint="eastAsia" w:ascii="宋体" w:hAnsi="宋体" w:cs="宋体"/>
          <w:sz w:val="24"/>
        </w:rPr>
        <w:t>十一、定期对从业人员进行健康检查，老弱病残和未成年人不得上岗。</w:t>
      </w:r>
    </w:p>
    <w:p>
      <w:pPr>
        <w:spacing w:line="520" w:lineRule="exact"/>
        <w:ind w:firstLine="480" w:firstLineChars="200"/>
        <w:rPr>
          <w:rFonts w:ascii="宋体" w:hAnsi="宋体" w:cs="宋体"/>
          <w:sz w:val="24"/>
        </w:rPr>
      </w:pPr>
      <w:r>
        <w:rPr>
          <w:rFonts w:hint="eastAsia" w:ascii="宋体" w:hAnsi="宋体" w:cs="宋体"/>
          <w:sz w:val="24"/>
        </w:rPr>
        <w:t>十二、严格门禁制度，非施工人员严禁进入施工现场。夜间和假期派专人值班，做好防火、防盗和防事故工作。</w:t>
      </w:r>
    </w:p>
    <w:p>
      <w:pPr>
        <w:spacing w:line="520" w:lineRule="exact"/>
        <w:ind w:firstLine="480" w:firstLineChars="200"/>
        <w:rPr>
          <w:rFonts w:ascii="宋体" w:hAnsi="宋体" w:cs="宋体"/>
          <w:sz w:val="24"/>
        </w:rPr>
      </w:pPr>
      <w:r>
        <w:rPr>
          <w:rFonts w:hint="eastAsia" w:ascii="宋体" w:hAnsi="宋体" w:cs="宋体"/>
          <w:sz w:val="24"/>
        </w:rPr>
        <w:t>十三、建立食品安全制度，确保饮食安全。</w:t>
      </w:r>
    </w:p>
    <w:p>
      <w:pPr>
        <w:spacing w:line="520" w:lineRule="exact"/>
        <w:ind w:firstLine="480" w:firstLineChars="200"/>
        <w:rPr>
          <w:rFonts w:ascii="宋体" w:hAnsi="宋体" w:cs="宋体"/>
          <w:sz w:val="24"/>
        </w:rPr>
      </w:pPr>
      <w:r>
        <w:rPr>
          <w:rFonts w:hint="eastAsia" w:ascii="宋体" w:hAnsi="宋体" w:cs="宋体"/>
          <w:sz w:val="24"/>
        </w:rPr>
        <w:t>十四、施工单位必须设立专职安全员，全面负责施工期间的安全工作，并接受监理和甲方安全监督员的管理。</w:t>
      </w:r>
    </w:p>
    <w:p>
      <w:pPr>
        <w:spacing w:line="520" w:lineRule="exact"/>
        <w:ind w:firstLine="480" w:firstLineChars="200"/>
        <w:rPr>
          <w:rFonts w:ascii="宋体" w:hAnsi="宋体" w:cs="宋体"/>
          <w:sz w:val="24"/>
        </w:rPr>
      </w:pPr>
      <w:r>
        <w:rPr>
          <w:rFonts w:hint="eastAsia" w:ascii="宋体" w:hAnsi="宋体" w:cs="宋体"/>
          <w:sz w:val="24"/>
        </w:rPr>
        <w:t>十五、所有工作人员必须遵守施工规范或规程，不得野蛮施工，不顾安全施工，造成安全事故由施工单位负责。</w:t>
      </w:r>
    </w:p>
    <w:p>
      <w:pPr>
        <w:spacing w:line="520" w:lineRule="exact"/>
        <w:ind w:firstLine="480" w:firstLineChars="200"/>
        <w:rPr>
          <w:rFonts w:ascii="宋体" w:hAnsi="宋体" w:cs="宋体"/>
          <w:sz w:val="24"/>
        </w:rPr>
      </w:pPr>
      <w:r>
        <w:rPr>
          <w:rFonts w:hint="eastAsia" w:ascii="宋体" w:hAnsi="宋体" w:cs="宋体"/>
          <w:sz w:val="24"/>
        </w:rPr>
        <w:t>十六、施工单位负责职工的安全教育，负责施工人员和机械的安全，并全部承担由此引起的经济和法律责任。</w:t>
      </w:r>
    </w:p>
    <w:p>
      <w:pPr>
        <w:spacing w:line="520" w:lineRule="exact"/>
        <w:ind w:firstLine="480" w:firstLineChars="200"/>
        <w:rPr>
          <w:rFonts w:ascii="宋体" w:hAnsi="宋体" w:cs="宋体"/>
          <w:sz w:val="24"/>
        </w:rPr>
      </w:pPr>
      <w:r>
        <w:rPr>
          <w:rFonts w:hint="eastAsia" w:ascii="宋体" w:hAnsi="宋体" w:cs="宋体"/>
          <w:sz w:val="24"/>
        </w:rPr>
        <w:t>十七、施工单位加强对工人的监管，严禁与学校师生发生口角与肢体冲突，否则重罚。</w:t>
      </w:r>
    </w:p>
    <w:p>
      <w:pPr>
        <w:spacing w:line="520" w:lineRule="exact"/>
        <w:ind w:firstLine="480" w:firstLineChars="200"/>
        <w:rPr>
          <w:rFonts w:ascii="宋体" w:hAnsi="宋体" w:cs="宋体"/>
          <w:sz w:val="24"/>
        </w:rPr>
      </w:pPr>
      <w:r>
        <w:rPr>
          <w:rFonts w:hint="eastAsia" w:ascii="宋体" w:hAnsi="宋体" w:cs="宋体"/>
          <w:sz w:val="24"/>
        </w:rPr>
        <w:t>十八、施工单位负责外部环境的协调工作，加强职工法律意识，工地发生的任何冲突和纠纷，与学院无关，施工单位承担由此引起的全部经济和法律责任。</w:t>
      </w:r>
    </w:p>
    <w:p>
      <w:pPr>
        <w:spacing w:line="520" w:lineRule="exact"/>
        <w:ind w:firstLine="480" w:firstLineChars="200"/>
        <w:rPr>
          <w:rFonts w:ascii="宋体" w:hAnsi="宋体" w:cs="宋体"/>
          <w:sz w:val="24"/>
        </w:rPr>
      </w:pPr>
    </w:p>
    <w:p>
      <w:pPr>
        <w:spacing w:line="520" w:lineRule="exact"/>
        <w:ind w:left="5458" w:leftChars="142" w:hanging="5160" w:hangingChars="2150"/>
        <w:rPr>
          <w:rFonts w:ascii="宋体" w:hAnsi="宋体" w:cs="宋体"/>
          <w:sz w:val="24"/>
        </w:rPr>
      </w:pPr>
      <w:r>
        <w:rPr>
          <w:rFonts w:hint="eastAsia" w:ascii="宋体" w:hAnsi="宋体" w:cs="宋体"/>
          <w:sz w:val="24"/>
        </w:rPr>
        <w:t xml:space="preserve">甲方：                                 乙方： </w:t>
      </w:r>
    </w:p>
    <w:p>
      <w:pPr>
        <w:spacing w:line="520" w:lineRule="exact"/>
        <w:rPr>
          <w:rFonts w:ascii="宋体" w:hAnsi="宋体" w:cs="宋体"/>
          <w:sz w:val="24"/>
        </w:rPr>
      </w:pPr>
      <w:r>
        <w:rPr>
          <w:rFonts w:hint="eastAsia" w:ascii="宋体" w:hAnsi="宋体" w:cs="宋体"/>
          <w:sz w:val="24"/>
        </w:rPr>
        <w:t>（盖章）                                （盖章）</w:t>
      </w:r>
    </w:p>
    <w:p>
      <w:pPr>
        <w:spacing w:line="520" w:lineRule="exact"/>
        <w:ind w:firstLine="480" w:firstLineChars="200"/>
        <w:rPr>
          <w:rFonts w:ascii="宋体" w:hAnsi="宋体" w:cs="宋体"/>
          <w:sz w:val="24"/>
        </w:rPr>
      </w:pPr>
    </w:p>
    <w:p>
      <w:pPr>
        <w:tabs>
          <w:tab w:val="left" w:pos="5145"/>
        </w:tabs>
        <w:spacing w:line="520" w:lineRule="exact"/>
        <w:ind w:firstLine="240" w:firstLineChars="100"/>
        <w:rPr>
          <w:rFonts w:ascii="宋体" w:hAnsi="宋体" w:cs="宋体"/>
          <w:sz w:val="24"/>
        </w:rPr>
      </w:pPr>
      <w:r>
        <w:rPr>
          <w:rFonts w:hint="eastAsia" w:ascii="宋体" w:hAnsi="宋体" w:cs="宋体"/>
          <w:sz w:val="24"/>
        </w:rPr>
        <w:t>负责人：                               负责人：</w:t>
      </w:r>
    </w:p>
    <w:p>
      <w:pPr>
        <w:tabs>
          <w:tab w:val="left" w:pos="5145"/>
        </w:tabs>
        <w:spacing w:line="520" w:lineRule="exact"/>
        <w:ind w:firstLine="480" w:firstLineChars="200"/>
        <w:rPr>
          <w:rFonts w:ascii="宋体" w:hAnsi="宋体" w:cs="宋体"/>
          <w:sz w:val="24"/>
        </w:rPr>
      </w:pPr>
      <w:r>
        <w:rPr>
          <w:rFonts w:hint="eastAsia" w:ascii="宋体" w:hAnsi="宋体" w:cs="宋体"/>
          <w:sz w:val="24"/>
        </w:rPr>
        <w:t xml:space="preserve">        年   月   日                         年   月   日</w:t>
      </w:r>
    </w:p>
    <w:bookmarkEnd w:id="31"/>
    <w:p>
      <w:pPr>
        <w:spacing w:line="420" w:lineRule="exact"/>
        <w:ind w:firstLine="480" w:firstLineChars="200"/>
        <w:rPr>
          <w:rFonts w:asciiTheme="minorEastAsia" w:hAnsiTheme="minorEastAsia" w:eastAsiaTheme="minorEastAsia" w:cstheme="minorEastAsia"/>
          <w:sz w:val="24"/>
          <w:u w:val="single"/>
        </w:rPr>
      </w:pPr>
    </w:p>
    <w:p>
      <w:pPr>
        <w:pStyle w:val="2"/>
        <w:ind w:firstLine="602"/>
        <w:rPr>
          <w:b/>
          <w:bCs/>
          <w:sz w:val="30"/>
          <w:szCs w:val="30"/>
        </w:rPr>
      </w:pPr>
    </w:p>
    <w:p>
      <w:pPr>
        <w:spacing w:line="440" w:lineRule="exact"/>
        <w:rPr>
          <w:b/>
          <w:bCs/>
          <w:sz w:val="30"/>
          <w:szCs w:val="30"/>
        </w:rPr>
      </w:pPr>
    </w:p>
    <w:p>
      <w:pPr>
        <w:pStyle w:val="2"/>
        <w:ind w:firstLine="602"/>
        <w:rPr>
          <w:b/>
          <w:bCs/>
          <w:sz w:val="30"/>
          <w:szCs w:val="30"/>
        </w:rPr>
      </w:pPr>
    </w:p>
    <w:p>
      <w:pPr>
        <w:pStyle w:val="2"/>
        <w:ind w:firstLine="602"/>
        <w:rPr>
          <w:b/>
          <w:bCs/>
          <w:sz w:val="30"/>
          <w:szCs w:val="30"/>
        </w:rPr>
      </w:pPr>
    </w:p>
    <w:p>
      <w:pPr>
        <w:pStyle w:val="2"/>
        <w:ind w:firstLine="602"/>
        <w:rPr>
          <w:b/>
          <w:bCs/>
          <w:sz w:val="30"/>
          <w:szCs w:val="30"/>
        </w:rPr>
      </w:pPr>
    </w:p>
    <w:p>
      <w:pPr>
        <w:spacing w:line="520" w:lineRule="exact"/>
        <w:jc w:val="center"/>
        <w:outlineLvl w:val="1"/>
        <w:rPr>
          <w:rFonts w:asciiTheme="minorEastAsia" w:hAnsiTheme="minorEastAsia" w:eastAsiaTheme="minorEastAsia" w:cstheme="minorEastAsia"/>
          <w:sz w:val="36"/>
          <w:szCs w:val="36"/>
        </w:rPr>
      </w:pPr>
      <w:r>
        <w:rPr>
          <w:rFonts w:hint="eastAsia" w:asciiTheme="minorEastAsia" w:hAnsiTheme="minorEastAsia" w:eastAsiaTheme="minorEastAsia" w:cstheme="minorEastAsia"/>
          <w:sz w:val="36"/>
          <w:szCs w:val="36"/>
        </w:rPr>
        <w:t>建设工程廉政合同</w:t>
      </w:r>
    </w:p>
    <w:p>
      <w:pPr>
        <w:spacing w:line="520" w:lineRule="exact"/>
        <w:rPr>
          <w:sz w:val="30"/>
          <w:szCs w:val="30"/>
        </w:rPr>
      </w:pPr>
    </w:p>
    <w:p>
      <w:pPr>
        <w:spacing w:line="520" w:lineRule="exact"/>
        <w:rPr>
          <w:sz w:val="24"/>
          <w:u w:val="single"/>
        </w:rPr>
      </w:pPr>
      <w:r>
        <w:rPr>
          <w:rFonts w:hint="eastAsia"/>
          <w:sz w:val="24"/>
        </w:rPr>
        <w:t>建设单位（以下简称甲方）：西安市高陵区教育局</w:t>
      </w:r>
    </w:p>
    <w:p>
      <w:pPr>
        <w:spacing w:line="520" w:lineRule="exact"/>
        <w:rPr>
          <w:sz w:val="24"/>
          <w:u w:val="single"/>
        </w:rPr>
      </w:pPr>
      <w:r>
        <w:rPr>
          <w:rFonts w:hint="eastAsia"/>
          <w:sz w:val="24"/>
        </w:rPr>
        <w:t>施工单位（以下简称乙方）：</w:t>
      </w:r>
      <w:r>
        <w:rPr>
          <w:rFonts w:hint="eastAsia"/>
          <w:sz w:val="24"/>
          <w:u w:val="single"/>
        </w:rPr>
        <w:t xml:space="preserve">                        </w:t>
      </w:r>
    </w:p>
    <w:p>
      <w:pPr>
        <w:spacing w:line="520" w:lineRule="exact"/>
        <w:ind w:firstLine="484" w:firstLineChars="202"/>
        <w:rPr>
          <w:sz w:val="24"/>
          <w:u w:val="single"/>
        </w:rPr>
      </w:pPr>
      <w:r>
        <w:rPr>
          <w:rFonts w:hint="eastAsia"/>
          <w:sz w:val="24"/>
        </w:rPr>
        <w:t>根据国家建设工程廉政建设相关规定、交通部《关于在交通基础设施建设中加强廉政建设的若干意见》以及有关工程建设、廉政建设的规定，为做好工程建设中的党风廉政建设，保证工程建设高效优质、保证建设资金的安全和有效使用以及投资效益，特订立如下合同。</w:t>
      </w:r>
    </w:p>
    <w:p>
      <w:pPr>
        <w:spacing w:line="520" w:lineRule="exact"/>
        <w:ind w:firstLine="477" w:firstLineChars="198"/>
        <w:rPr>
          <w:b/>
          <w:sz w:val="24"/>
        </w:rPr>
      </w:pPr>
      <w:r>
        <w:rPr>
          <w:rFonts w:hint="eastAsia"/>
          <w:b/>
          <w:sz w:val="24"/>
        </w:rPr>
        <w:t>第一条  甲乙双方的权利和义务</w:t>
      </w:r>
    </w:p>
    <w:p>
      <w:pPr>
        <w:spacing w:line="520" w:lineRule="exact"/>
        <w:ind w:firstLine="600" w:firstLineChars="250"/>
        <w:rPr>
          <w:sz w:val="24"/>
        </w:rPr>
      </w:pPr>
      <w:r>
        <w:rPr>
          <w:rFonts w:hint="eastAsia"/>
          <w:sz w:val="24"/>
        </w:rPr>
        <w:t>（一）严格遵守党和国家有关法律法规及建设部的有关规定。</w:t>
      </w:r>
    </w:p>
    <w:p>
      <w:pPr>
        <w:spacing w:line="520" w:lineRule="exact"/>
        <w:ind w:firstLine="600" w:firstLineChars="250"/>
        <w:rPr>
          <w:sz w:val="24"/>
        </w:rPr>
      </w:pPr>
      <w:r>
        <w:rPr>
          <w:rFonts w:hint="eastAsia"/>
          <w:sz w:val="24"/>
        </w:rPr>
        <w:t>（二）严格执行</w:t>
      </w:r>
      <w:r>
        <w:rPr>
          <w:rFonts w:hint="eastAsia"/>
          <w:sz w:val="24"/>
          <w:u w:val="single"/>
          <w:lang w:eastAsia="zh-CN"/>
        </w:rPr>
        <w:t>高陵区城西小学变压器及电路改造工程</w:t>
      </w:r>
      <w:r>
        <w:rPr>
          <w:rFonts w:hint="eastAsia"/>
          <w:sz w:val="24"/>
        </w:rPr>
        <w:t>的合同文件，自觉按合同办事。</w:t>
      </w:r>
    </w:p>
    <w:p>
      <w:pPr>
        <w:spacing w:line="520" w:lineRule="exact"/>
        <w:ind w:firstLine="600" w:firstLineChars="250"/>
        <w:rPr>
          <w:sz w:val="24"/>
        </w:rPr>
      </w:pPr>
      <w:r>
        <w:rPr>
          <w:rFonts w:hint="eastAsia"/>
          <w:sz w:val="24"/>
        </w:rPr>
        <w:t>（三）双方的业务活动坚持公开、公平、公正、诚信和透明的原则（除法律认定的商业秘密和合同文件另有规定之外），不得损害国家和集体利益，违反工程建设管理规章制度。</w:t>
      </w:r>
    </w:p>
    <w:p>
      <w:pPr>
        <w:spacing w:line="520" w:lineRule="exact"/>
        <w:ind w:firstLine="600" w:firstLineChars="250"/>
        <w:rPr>
          <w:sz w:val="24"/>
        </w:rPr>
      </w:pPr>
      <w:r>
        <w:rPr>
          <w:rFonts w:hint="eastAsia"/>
          <w:sz w:val="24"/>
        </w:rPr>
        <w:t>（四）建立健全廉政制度，开展廉政教育，设立廉政告示牌，公布举报电话，监督并认真查处违法违纪行为。</w:t>
      </w:r>
    </w:p>
    <w:p>
      <w:pPr>
        <w:spacing w:line="520" w:lineRule="exact"/>
        <w:ind w:firstLine="600" w:firstLineChars="250"/>
        <w:rPr>
          <w:sz w:val="24"/>
        </w:rPr>
      </w:pPr>
      <w:r>
        <w:rPr>
          <w:rFonts w:hint="eastAsia"/>
          <w:sz w:val="24"/>
        </w:rPr>
        <w:t>（五）发现对方在业务活动中有违反廉政规定的行为，有及时提醒对方纠正的权利和义务。</w:t>
      </w:r>
    </w:p>
    <w:p>
      <w:pPr>
        <w:spacing w:line="520" w:lineRule="exact"/>
        <w:ind w:firstLine="600" w:firstLineChars="250"/>
        <w:rPr>
          <w:sz w:val="24"/>
        </w:rPr>
      </w:pPr>
      <w:r>
        <w:rPr>
          <w:rFonts w:hint="eastAsia"/>
          <w:sz w:val="24"/>
        </w:rPr>
        <w:t>（六）发现对方严重违反本合同义务条款的行为，有向其上级有关部门举报、建议给予处理并要求告知处理结果的权利。</w:t>
      </w:r>
    </w:p>
    <w:p>
      <w:pPr>
        <w:spacing w:line="520" w:lineRule="exact"/>
        <w:ind w:firstLine="595" w:firstLineChars="247"/>
        <w:rPr>
          <w:b/>
          <w:sz w:val="24"/>
        </w:rPr>
      </w:pPr>
      <w:r>
        <w:rPr>
          <w:rFonts w:hint="eastAsia"/>
          <w:b/>
          <w:sz w:val="24"/>
        </w:rPr>
        <w:t>第二条  甲方的义务</w:t>
      </w:r>
    </w:p>
    <w:p>
      <w:pPr>
        <w:spacing w:line="520" w:lineRule="exact"/>
        <w:ind w:firstLine="480" w:firstLineChars="200"/>
        <w:rPr>
          <w:sz w:val="24"/>
        </w:rPr>
      </w:pPr>
      <w:r>
        <w:rPr>
          <w:rFonts w:hint="eastAsia"/>
          <w:sz w:val="24"/>
        </w:rPr>
        <w:t>（一）甲方及其工作人员不得索要或接受乙方的礼金、有价证券和贵重物品，不得在乙方报销任何应甲方或个人支付的费用等。</w:t>
      </w:r>
    </w:p>
    <w:p>
      <w:pPr>
        <w:spacing w:line="520" w:lineRule="exact"/>
        <w:ind w:firstLine="480" w:firstLineChars="200"/>
        <w:rPr>
          <w:sz w:val="24"/>
        </w:rPr>
      </w:pPr>
      <w:r>
        <w:rPr>
          <w:rFonts w:hint="eastAsia"/>
          <w:sz w:val="24"/>
        </w:rPr>
        <w:t>（二）甲方工作人员不得参加乙方安排的超标准宴请和娱乐活动；不得接受乙方提供的通讯工具、交通工具和高档办公用品等。</w:t>
      </w:r>
    </w:p>
    <w:p>
      <w:pPr>
        <w:spacing w:line="520" w:lineRule="exact"/>
        <w:ind w:firstLine="480" w:firstLineChars="200"/>
        <w:rPr>
          <w:sz w:val="24"/>
        </w:rPr>
      </w:pPr>
      <w:r>
        <w:rPr>
          <w:rFonts w:hint="eastAsia"/>
          <w:sz w:val="24"/>
        </w:rPr>
        <w:t>（三）甲方及其工作人员不得要求或者接受乙方为其住房装修、婚丧嫁娶活动、配偶子女的工作安排以及出国出境、旅游等提供方便等。</w:t>
      </w:r>
    </w:p>
    <w:p>
      <w:pPr>
        <w:spacing w:line="520" w:lineRule="exact"/>
        <w:ind w:firstLine="480" w:firstLineChars="200"/>
        <w:rPr>
          <w:sz w:val="24"/>
        </w:rPr>
      </w:pPr>
      <w:r>
        <w:rPr>
          <w:rFonts w:hint="eastAsia"/>
          <w:sz w:val="24"/>
        </w:rPr>
        <w:t>（四）甲方工作人员的配偶、子女不得从事与甲方工程有关的材料设备供应、工程分包、劳务等经济活动等。</w:t>
      </w:r>
    </w:p>
    <w:p>
      <w:pPr>
        <w:spacing w:line="520" w:lineRule="exact"/>
        <w:ind w:firstLine="480" w:firstLineChars="200"/>
        <w:rPr>
          <w:sz w:val="24"/>
        </w:rPr>
      </w:pPr>
      <w:r>
        <w:rPr>
          <w:rFonts w:hint="eastAsia"/>
          <w:sz w:val="24"/>
        </w:rPr>
        <w:t>（五）甲方及其工作人员不得以任何理由向乙方推荐分包单位，不得要求乙方购买合同规定外材料和设备。</w:t>
      </w:r>
    </w:p>
    <w:p>
      <w:pPr>
        <w:spacing w:line="520" w:lineRule="exact"/>
        <w:ind w:firstLine="475" w:firstLineChars="197"/>
        <w:rPr>
          <w:b/>
          <w:sz w:val="24"/>
        </w:rPr>
      </w:pPr>
      <w:r>
        <w:rPr>
          <w:rFonts w:hint="eastAsia"/>
          <w:b/>
          <w:sz w:val="24"/>
        </w:rPr>
        <w:t>第三条  乙方义务</w:t>
      </w:r>
    </w:p>
    <w:p>
      <w:pPr>
        <w:spacing w:line="520" w:lineRule="exact"/>
        <w:ind w:firstLine="480" w:firstLineChars="200"/>
        <w:rPr>
          <w:sz w:val="24"/>
        </w:rPr>
      </w:pPr>
      <w:r>
        <w:rPr>
          <w:rFonts w:hint="eastAsia"/>
          <w:sz w:val="24"/>
        </w:rPr>
        <w:t>（一）乙方不得以任何理由向甲方及其工作人员行贿或馈赠礼金、有价证券、贵重礼品。</w:t>
      </w:r>
    </w:p>
    <w:p>
      <w:pPr>
        <w:spacing w:line="520" w:lineRule="exact"/>
        <w:ind w:firstLine="480" w:firstLineChars="200"/>
        <w:rPr>
          <w:sz w:val="24"/>
        </w:rPr>
      </w:pPr>
      <w:r>
        <w:rPr>
          <w:rFonts w:hint="eastAsia"/>
          <w:sz w:val="24"/>
        </w:rPr>
        <w:t>（二）乙方不得以任何名义为甲方及其工作人员报销应由甲方单位或个人支付的任何费用。</w:t>
      </w:r>
    </w:p>
    <w:p>
      <w:pPr>
        <w:spacing w:line="520" w:lineRule="exact"/>
        <w:ind w:firstLine="480" w:firstLineChars="200"/>
        <w:rPr>
          <w:sz w:val="24"/>
        </w:rPr>
      </w:pPr>
      <w:r>
        <w:rPr>
          <w:rFonts w:hint="eastAsia"/>
          <w:sz w:val="24"/>
        </w:rPr>
        <w:t>（三）乙方不得以任何理由安排甲方工作人员参加超标准宴请及娱乐活动。</w:t>
      </w:r>
    </w:p>
    <w:p>
      <w:pPr>
        <w:spacing w:line="520" w:lineRule="exact"/>
        <w:ind w:firstLine="480" w:firstLineChars="200"/>
        <w:rPr>
          <w:sz w:val="24"/>
        </w:rPr>
      </w:pPr>
      <w:r>
        <w:rPr>
          <w:rFonts w:hint="eastAsia"/>
          <w:sz w:val="24"/>
        </w:rPr>
        <w:t>（四）乙方不得为甲方单位和个人购置或提供通讯工具、交通工具和高档办公用品等。</w:t>
      </w:r>
    </w:p>
    <w:p>
      <w:pPr>
        <w:spacing w:line="520" w:lineRule="exact"/>
        <w:ind w:firstLine="477" w:firstLineChars="198"/>
        <w:rPr>
          <w:b/>
          <w:sz w:val="24"/>
        </w:rPr>
      </w:pPr>
      <w:r>
        <w:rPr>
          <w:rFonts w:hint="eastAsia"/>
          <w:b/>
          <w:sz w:val="24"/>
        </w:rPr>
        <w:t>第四条  违约责任</w:t>
      </w:r>
    </w:p>
    <w:p>
      <w:pPr>
        <w:spacing w:line="520" w:lineRule="exact"/>
        <w:ind w:firstLine="480" w:firstLineChars="200"/>
        <w:rPr>
          <w:sz w:val="24"/>
        </w:rPr>
      </w:pPr>
      <w:r>
        <w:rPr>
          <w:rFonts w:hint="eastAsia"/>
          <w:sz w:val="24"/>
        </w:rPr>
        <w:t>（一）甲方及其工作人员违反本合同第一、二条，按管理权限，依据有关规定给予党纪、政纪或组织处理；涉嫌犯罪的，移交司法机关追究刑事责任；给乙方单位造成经济损失的，应予以赔偿。</w:t>
      </w:r>
    </w:p>
    <w:p>
      <w:pPr>
        <w:spacing w:line="520" w:lineRule="exact"/>
        <w:ind w:firstLine="480" w:firstLineChars="200"/>
        <w:rPr>
          <w:sz w:val="24"/>
        </w:rPr>
      </w:pPr>
      <w:r>
        <w:rPr>
          <w:rFonts w:hint="eastAsia"/>
          <w:sz w:val="24"/>
        </w:rPr>
        <w:t>（二）乙方及其工作人员违反本合同第一、三条，按管理权限，依据有关规定，给予党纪、政纪或组织处理；给甲方单位造成经济损失的，应予以赔偿；情节严重的，甲方建议建筑工程建设主管部门给予乙方一至三年内不得进入其主管的建筑工程建设市场的处罚。</w:t>
      </w:r>
    </w:p>
    <w:p>
      <w:pPr>
        <w:spacing w:line="520" w:lineRule="exact"/>
        <w:ind w:firstLine="482" w:firstLineChars="200"/>
        <w:rPr>
          <w:b/>
          <w:sz w:val="24"/>
        </w:rPr>
      </w:pPr>
      <w:r>
        <w:rPr>
          <w:rFonts w:hint="eastAsia"/>
          <w:b/>
          <w:sz w:val="24"/>
        </w:rPr>
        <w:t>第五条  双方约定：</w:t>
      </w:r>
    </w:p>
    <w:p>
      <w:pPr>
        <w:spacing w:line="520" w:lineRule="exact"/>
        <w:ind w:firstLine="480" w:firstLineChars="200"/>
        <w:rPr>
          <w:sz w:val="24"/>
        </w:rPr>
      </w:pPr>
      <w:r>
        <w:rPr>
          <w:rFonts w:hint="eastAsia"/>
          <w:sz w:val="24"/>
        </w:rPr>
        <w:t>本合同由双方或双方上级单位的纪检监察机关负责监督。由甲方或甲方上级单位的纪检监察机关的约请乙方或乙方上级单位纪检监察机关对本合同履行情况进行检查，提出在本合同规定范围内的裁定意见。</w:t>
      </w:r>
    </w:p>
    <w:p>
      <w:pPr>
        <w:spacing w:line="520" w:lineRule="exact"/>
        <w:ind w:firstLine="482" w:firstLineChars="200"/>
        <w:rPr>
          <w:sz w:val="24"/>
        </w:rPr>
      </w:pPr>
      <w:r>
        <w:rPr>
          <w:rFonts w:hint="eastAsia"/>
          <w:b/>
          <w:sz w:val="24"/>
        </w:rPr>
        <w:t xml:space="preserve">第六条 </w:t>
      </w:r>
      <w:r>
        <w:rPr>
          <w:rFonts w:hint="eastAsia"/>
          <w:sz w:val="24"/>
        </w:rPr>
        <w:t xml:space="preserve"> 本合同有效期为甲、乙双方签署之日起至该工程项目竣工验收后止。</w:t>
      </w:r>
    </w:p>
    <w:p>
      <w:pPr>
        <w:spacing w:line="520" w:lineRule="exact"/>
        <w:ind w:firstLine="482" w:firstLineChars="200"/>
        <w:rPr>
          <w:sz w:val="24"/>
        </w:rPr>
      </w:pPr>
      <w:r>
        <w:rPr>
          <w:rFonts w:hint="eastAsia"/>
          <w:b/>
          <w:sz w:val="24"/>
        </w:rPr>
        <w:t xml:space="preserve">第七条 </w:t>
      </w:r>
      <w:r>
        <w:rPr>
          <w:rFonts w:hint="eastAsia"/>
          <w:sz w:val="24"/>
        </w:rPr>
        <w:t xml:space="preserve"> 本合同作为</w:t>
      </w:r>
      <w:r>
        <w:rPr>
          <w:rFonts w:hint="eastAsia"/>
          <w:sz w:val="24"/>
          <w:u w:val="single"/>
          <w:lang w:eastAsia="zh-CN"/>
        </w:rPr>
        <w:t>高陵区城西小学变压器及电路改造工程</w:t>
      </w:r>
      <w:r>
        <w:rPr>
          <w:rFonts w:hint="eastAsia"/>
          <w:sz w:val="24"/>
        </w:rPr>
        <w:t>施工合同的附件，与工程施工合同具有同等的法律效力，经合同双方签署立即生效。</w:t>
      </w:r>
    </w:p>
    <w:p>
      <w:pPr>
        <w:spacing w:line="520" w:lineRule="exact"/>
        <w:ind w:firstLine="482" w:firstLineChars="200"/>
        <w:rPr>
          <w:b/>
          <w:sz w:val="24"/>
        </w:rPr>
      </w:pPr>
      <w:r>
        <w:rPr>
          <w:rFonts w:hint="eastAsia"/>
          <w:b/>
          <w:sz w:val="24"/>
        </w:rPr>
        <w:t xml:space="preserve">第八条   </w:t>
      </w:r>
      <w:r>
        <w:rPr>
          <w:rFonts w:hint="eastAsia"/>
          <w:sz w:val="24"/>
        </w:rPr>
        <w:t>本合同甲乙双方各执一份。</w:t>
      </w:r>
    </w:p>
    <w:p>
      <w:pPr>
        <w:spacing w:line="520" w:lineRule="exact"/>
        <w:rPr>
          <w:sz w:val="28"/>
          <w:szCs w:val="28"/>
        </w:rPr>
      </w:pPr>
    </w:p>
    <w:p>
      <w:pPr>
        <w:spacing w:line="520" w:lineRule="exact"/>
        <w:rPr>
          <w:sz w:val="28"/>
          <w:szCs w:val="28"/>
        </w:rPr>
      </w:pPr>
    </w:p>
    <w:p>
      <w:pPr>
        <w:spacing w:line="520" w:lineRule="exact"/>
        <w:rPr>
          <w:sz w:val="24"/>
        </w:rPr>
      </w:pPr>
      <w:r>
        <w:rPr>
          <w:rFonts w:hint="eastAsia"/>
          <w:sz w:val="24"/>
        </w:rPr>
        <w:t>建设单位：（盖章）                 施工单位：（盖章）</w:t>
      </w:r>
    </w:p>
    <w:p>
      <w:pPr>
        <w:spacing w:line="520" w:lineRule="exact"/>
        <w:rPr>
          <w:sz w:val="24"/>
        </w:rPr>
      </w:pPr>
    </w:p>
    <w:p>
      <w:pPr>
        <w:spacing w:line="520" w:lineRule="exact"/>
        <w:rPr>
          <w:sz w:val="24"/>
        </w:rPr>
      </w:pPr>
    </w:p>
    <w:p>
      <w:pPr>
        <w:tabs>
          <w:tab w:val="left" w:pos="4800"/>
        </w:tabs>
        <w:spacing w:line="520" w:lineRule="exact"/>
        <w:rPr>
          <w:sz w:val="24"/>
        </w:rPr>
      </w:pPr>
      <w:r>
        <w:rPr>
          <w:rFonts w:hint="eastAsia"/>
          <w:sz w:val="24"/>
        </w:rPr>
        <w:t>法定代表人：</w:t>
      </w:r>
      <w:r>
        <w:rPr>
          <w:sz w:val="24"/>
        </w:rPr>
        <w:tab/>
      </w:r>
      <w:r>
        <w:rPr>
          <w:rFonts w:hint="eastAsia"/>
          <w:sz w:val="24"/>
        </w:rPr>
        <w:t>法定代表人：</w:t>
      </w:r>
    </w:p>
    <w:p>
      <w:pPr>
        <w:tabs>
          <w:tab w:val="left" w:pos="4800"/>
        </w:tabs>
        <w:spacing w:line="520" w:lineRule="exact"/>
        <w:rPr>
          <w:sz w:val="24"/>
        </w:rPr>
      </w:pPr>
      <w:r>
        <w:rPr>
          <w:rFonts w:hint="eastAsia"/>
          <w:sz w:val="24"/>
        </w:rPr>
        <w:t>委托代理人：</w:t>
      </w:r>
      <w:r>
        <w:rPr>
          <w:sz w:val="24"/>
        </w:rPr>
        <w:tab/>
      </w:r>
      <w:r>
        <w:rPr>
          <w:rFonts w:hint="eastAsia"/>
          <w:sz w:val="24"/>
        </w:rPr>
        <w:t>委托代理人：</w:t>
      </w:r>
    </w:p>
    <w:p>
      <w:pPr>
        <w:tabs>
          <w:tab w:val="left" w:pos="4800"/>
        </w:tabs>
        <w:spacing w:line="520" w:lineRule="exact"/>
        <w:rPr>
          <w:sz w:val="24"/>
        </w:rPr>
      </w:pPr>
      <w:r>
        <w:rPr>
          <w:rFonts w:hint="eastAsia"/>
          <w:sz w:val="24"/>
        </w:rPr>
        <w:t>经手人：</w:t>
      </w:r>
      <w:r>
        <w:rPr>
          <w:sz w:val="24"/>
        </w:rPr>
        <w:tab/>
      </w:r>
      <w:r>
        <w:rPr>
          <w:rFonts w:hint="eastAsia"/>
          <w:sz w:val="24"/>
        </w:rPr>
        <w:t>经手人：</w:t>
      </w:r>
    </w:p>
    <w:p>
      <w:pPr>
        <w:tabs>
          <w:tab w:val="left" w:pos="4800"/>
        </w:tabs>
        <w:spacing w:line="520" w:lineRule="exact"/>
        <w:rPr>
          <w:sz w:val="24"/>
        </w:rPr>
      </w:pPr>
      <w:r>
        <w:rPr>
          <w:rFonts w:hint="eastAsia"/>
          <w:sz w:val="24"/>
        </w:rPr>
        <w:t>地址：　</w:t>
      </w:r>
      <w:r>
        <w:rPr>
          <w:sz w:val="24"/>
        </w:rPr>
        <w:tab/>
      </w:r>
      <w:r>
        <w:rPr>
          <w:rFonts w:hint="eastAsia"/>
          <w:sz w:val="24"/>
        </w:rPr>
        <w:t>地址：</w:t>
      </w:r>
    </w:p>
    <w:p>
      <w:pPr>
        <w:tabs>
          <w:tab w:val="left" w:pos="4800"/>
        </w:tabs>
        <w:spacing w:line="520" w:lineRule="exact"/>
        <w:rPr>
          <w:sz w:val="24"/>
        </w:rPr>
      </w:pPr>
      <w:r>
        <w:rPr>
          <w:rFonts w:hint="eastAsia"/>
          <w:sz w:val="24"/>
        </w:rPr>
        <w:t>联系电话：　</w:t>
      </w:r>
      <w:r>
        <w:rPr>
          <w:sz w:val="24"/>
        </w:rPr>
        <w:tab/>
      </w:r>
      <w:r>
        <w:rPr>
          <w:rFonts w:hint="eastAsia"/>
          <w:sz w:val="24"/>
        </w:rPr>
        <w:t>电话：</w:t>
      </w:r>
    </w:p>
    <w:p>
      <w:pPr>
        <w:spacing w:line="520" w:lineRule="exact"/>
        <w:rPr>
          <w:sz w:val="24"/>
        </w:rPr>
      </w:pPr>
      <w:r>
        <w:rPr>
          <w:rFonts w:hint="eastAsia"/>
          <w:sz w:val="24"/>
        </w:rPr>
        <w:t>签定日期：                              签订日期：</w:t>
      </w:r>
    </w:p>
    <w:p>
      <w:pPr>
        <w:spacing w:line="520" w:lineRule="exact"/>
        <w:rPr>
          <w:sz w:val="24"/>
        </w:rPr>
      </w:pPr>
    </w:p>
    <w:p>
      <w:pPr>
        <w:spacing w:line="700" w:lineRule="exact"/>
        <w:rPr>
          <w:sz w:val="24"/>
        </w:rPr>
      </w:pPr>
    </w:p>
    <w:p>
      <w:pPr>
        <w:pStyle w:val="2"/>
        <w:ind w:firstLine="602"/>
        <w:rPr>
          <w:b/>
          <w:bCs/>
          <w:sz w:val="30"/>
          <w:szCs w:val="30"/>
        </w:rPr>
      </w:pPr>
    </w:p>
    <w:p>
      <w:pPr>
        <w:pStyle w:val="2"/>
        <w:ind w:firstLine="602"/>
        <w:rPr>
          <w:b/>
          <w:bCs/>
          <w:sz w:val="30"/>
          <w:szCs w:val="30"/>
        </w:rPr>
      </w:pPr>
    </w:p>
    <w:p>
      <w:pPr>
        <w:pStyle w:val="2"/>
        <w:ind w:firstLine="602"/>
        <w:rPr>
          <w:b/>
          <w:bCs/>
          <w:sz w:val="30"/>
          <w:szCs w:val="30"/>
        </w:rPr>
      </w:pPr>
    </w:p>
    <w:p>
      <w:pPr>
        <w:pStyle w:val="2"/>
        <w:ind w:firstLine="602"/>
        <w:rPr>
          <w:b/>
          <w:bCs/>
          <w:sz w:val="30"/>
          <w:szCs w:val="30"/>
        </w:rPr>
      </w:pPr>
    </w:p>
    <w:p>
      <w:pPr>
        <w:pStyle w:val="2"/>
        <w:ind w:firstLine="602"/>
        <w:rPr>
          <w:b/>
          <w:bCs/>
          <w:sz w:val="30"/>
          <w:szCs w:val="30"/>
        </w:rPr>
      </w:pPr>
    </w:p>
    <w:p>
      <w:pPr>
        <w:pStyle w:val="2"/>
        <w:ind w:firstLine="0" w:firstLineChars="0"/>
      </w:pPr>
    </w:p>
    <w:bookmarkEnd w:id="12"/>
    <w:p>
      <w:pPr>
        <w:pStyle w:val="3"/>
        <w:numPr>
          <w:ilvl w:val="0"/>
          <w:numId w:val="0"/>
        </w:numPr>
        <w:adjustRightInd w:val="0"/>
        <w:snapToGrid w:val="0"/>
        <w:spacing w:after="156" w:afterLines="50" w:line="360" w:lineRule="auto"/>
        <w:rPr>
          <w:rFonts w:asciiTheme="majorEastAsia" w:hAnsiTheme="majorEastAsia" w:eastAsiaTheme="majorEastAsia" w:cstheme="majorEastAsia"/>
          <w:b/>
          <w:bCs/>
          <w:sz w:val="32"/>
          <w:szCs w:val="32"/>
          <w:lang w:val="zh-CN"/>
        </w:rPr>
        <w:sectPr>
          <w:footerReference r:id="rId12" w:type="default"/>
          <w:pgSz w:w="11906" w:h="16838"/>
          <w:pgMar w:top="1440" w:right="1457" w:bottom="1440" w:left="1463" w:header="851" w:footer="992" w:gutter="0"/>
          <w:cols w:space="0" w:num="1"/>
          <w:titlePg/>
          <w:docGrid w:type="lines" w:linePitch="312" w:charSpace="0"/>
        </w:sectPr>
      </w:pPr>
    </w:p>
    <w:p>
      <w:pPr>
        <w:pStyle w:val="3"/>
        <w:numPr>
          <w:ilvl w:val="0"/>
          <w:numId w:val="0"/>
        </w:numPr>
        <w:adjustRightInd w:val="0"/>
        <w:snapToGrid w:val="0"/>
        <w:spacing w:after="156" w:afterLines="50" w:line="360" w:lineRule="auto"/>
        <w:rPr>
          <w:rFonts w:asciiTheme="majorEastAsia" w:hAnsiTheme="majorEastAsia" w:eastAsiaTheme="majorEastAsia" w:cstheme="majorEastAsia"/>
          <w:b/>
          <w:bCs/>
          <w:sz w:val="32"/>
          <w:szCs w:val="32"/>
          <w:lang w:val="zh-CN"/>
        </w:rPr>
      </w:pPr>
      <w:bookmarkStart w:id="32" w:name="_Toc17185"/>
      <w:r>
        <w:rPr>
          <w:rFonts w:hint="eastAsia" w:asciiTheme="majorEastAsia" w:hAnsiTheme="majorEastAsia" w:eastAsiaTheme="majorEastAsia" w:cstheme="majorEastAsia"/>
          <w:b/>
          <w:bCs/>
          <w:sz w:val="32"/>
          <w:szCs w:val="32"/>
          <w:lang w:val="zh-CN"/>
        </w:rPr>
        <w:t>第七章　响应文件格式</w:t>
      </w:r>
      <w:bookmarkEnd w:id="32"/>
    </w:p>
    <w:p>
      <w:pPr>
        <w:outlineLvl w:val="0"/>
        <w:rPr>
          <w:kern w:val="0"/>
          <w:sz w:val="24"/>
        </w:rPr>
      </w:pPr>
      <w:bookmarkStart w:id="33" w:name="_Toc2678"/>
      <w:r>
        <w:rPr>
          <w:sz w:val="28"/>
        </w:rPr>
        <w:t>采购编号：</w:t>
      </w:r>
      <w:r>
        <w:rPr>
          <w:rFonts w:hint="eastAsia" w:asciiTheme="minorEastAsia" w:hAnsiTheme="minorEastAsia" w:eastAsiaTheme="minorEastAsia" w:cstheme="minorEastAsia"/>
          <w:b/>
          <w:bCs/>
          <w:sz w:val="32"/>
          <w:szCs w:val="32"/>
          <w:lang w:eastAsia="zh-CN"/>
        </w:rPr>
        <w:t>TZZB-2022103C</w:t>
      </w:r>
      <w:r>
        <w:rPr>
          <w:kern w:val="0"/>
          <w:sz w:val="24"/>
        </w:rPr>
        <w:t xml:space="preserve">                           </w:t>
      </w:r>
      <w:r>
        <w:rPr>
          <w:kern w:val="0"/>
          <w:sz w:val="28"/>
        </w:rPr>
        <w:t>（正本或副本）</w:t>
      </w:r>
      <w:bookmarkEnd w:id="33"/>
    </w:p>
    <w:p/>
    <w:p>
      <w:pPr>
        <w:pStyle w:val="17"/>
      </w:pPr>
    </w:p>
    <w:p/>
    <w:p>
      <w:pPr>
        <w:jc w:val="center"/>
        <w:rPr>
          <w:rFonts w:hint="eastAsia"/>
          <w:b/>
          <w:bCs/>
          <w:sz w:val="44"/>
          <w:szCs w:val="52"/>
        </w:rPr>
      </w:pPr>
    </w:p>
    <w:p>
      <w:pPr>
        <w:jc w:val="center"/>
        <w:rPr>
          <w:rFonts w:hint="eastAsia" w:eastAsia="宋体"/>
          <w:b/>
          <w:bCs/>
          <w:sz w:val="44"/>
          <w:szCs w:val="52"/>
          <w:lang w:eastAsia="zh-CN"/>
        </w:rPr>
      </w:pPr>
      <w:r>
        <w:rPr>
          <w:rFonts w:hint="eastAsia"/>
          <w:b/>
          <w:bCs/>
          <w:sz w:val="44"/>
          <w:szCs w:val="52"/>
        </w:rPr>
        <w:t xml:space="preserve"> </w:t>
      </w:r>
      <w:r>
        <w:rPr>
          <w:rFonts w:hint="eastAsia"/>
          <w:b/>
          <w:bCs/>
          <w:sz w:val="44"/>
          <w:szCs w:val="52"/>
          <w:lang w:eastAsia="zh-CN"/>
        </w:rPr>
        <w:t>高陵区城西小学变压器及电路改造工程</w:t>
      </w:r>
    </w:p>
    <w:p/>
    <w:p>
      <w:pPr>
        <w:rPr>
          <w:b/>
          <w:sz w:val="24"/>
        </w:rPr>
      </w:pPr>
    </w:p>
    <w:p>
      <w:pPr>
        <w:pStyle w:val="2"/>
      </w:pPr>
    </w:p>
    <w:p/>
    <w:p>
      <w:pPr>
        <w:pStyle w:val="17"/>
      </w:pPr>
    </w:p>
    <w:p/>
    <w:p>
      <w:pPr>
        <w:pStyle w:val="17"/>
      </w:pPr>
    </w:p>
    <w:p/>
    <w:p/>
    <w:p>
      <w:pPr>
        <w:pStyle w:val="3"/>
        <w:numPr>
          <w:ilvl w:val="0"/>
          <w:numId w:val="0"/>
        </w:numPr>
        <w:adjustRightInd w:val="0"/>
        <w:snapToGrid w:val="0"/>
        <w:spacing w:line="312" w:lineRule="auto"/>
        <w:ind w:left="431" w:hanging="431"/>
        <w:rPr>
          <w:rFonts w:asciiTheme="minorEastAsia" w:hAnsiTheme="minorEastAsia" w:eastAsiaTheme="minorEastAsia" w:cstheme="minorEastAsia"/>
          <w:b/>
          <w:sz w:val="44"/>
          <w:szCs w:val="44"/>
        </w:rPr>
      </w:pPr>
      <w:bookmarkStart w:id="34" w:name="_Toc3483"/>
      <w:r>
        <w:rPr>
          <w:rFonts w:hint="eastAsia" w:asciiTheme="minorEastAsia" w:hAnsiTheme="minorEastAsia" w:eastAsiaTheme="minorEastAsia" w:cstheme="minorEastAsia"/>
          <w:b/>
          <w:sz w:val="44"/>
          <w:szCs w:val="44"/>
        </w:rPr>
        <w:t>响应文件</w:t>
      </w:r>
      <w:bookmarkEnd w:id="34"/>
    </w:p>
    <w:p>
      <w:pPr>
        <w:spacing w:line="360" w:lineRule="auto"/>
        <w:rPr>
          <w:b/>
          <w:sz w:val="24"/>
        </w:rPr>
      </w:pPr>
    </w:p>
    <w:p>
      <w:pPr>
        <w:spacing w:line="360" w:lineRule="auto"/>
        <w:rPr>
          <w:b/>
          <w:sz w:val="24"/>
          <w:u w:val="single"/>
        </w:rPr>
      </w:pPr>
    </w:p>
    <w:p>
      <w:pPr>
        <w:spacing w:line="360" w:lineRule="auto"/>
        <w:ind w:firstLine="2626" w:firstLineChars="1090"/>
        <w:rPr>
          <w:b/>
          <w:sz w:val="24"/>
          <w:u w:val="single"/>
        </w:rPr>
      </w:pPr>
      <w:r>
        <w:rPr>
          <w:b/>
          <w:sz w:val="24"/>
        </w:rPr>
        <w:t xml:space="preserve"> </w:t>
      </w:r>
    </w:p>
    <w:p/>
    <w:p>
      <w:pPr>
        <w:pStyle w:val="17"/>
      </w:pPr>
    </w:p>
    <w:p/>
    <w:p>
      <w:pPr>
        <w:spacing w:line="360" w:lineRule="auto"/>
        <w:rPr>
          <w:b/>
          <w:sz w:val="24"/>
        </w:rPr>
      </w:pPr>
      <w:r>
        <w:rPr>
          <w:b/>
          <w:sz w:val="24"/>
        </w:rPr>
        <w:t xml:space="preserve">  </w:t>
      </w:r>
    </w:p>
    <w:p>
      <w:pPr>
        <w:spacing w:line="600" w:lineRule="auto"/>
        <w:jc w:val="center"/>
        <w:rPr>
          <w:b/>
          <w:sz w:val="28"/>
          <w:u w:val="single"/>
        </w:rPr>
      </w:pPr>
      <w:r>
        <w:rPr>
          <w:rFonts w:hint="eastAsia"/>
          <w:b/>
          <w:sz w:val="28"/>
        </w:rPr>
        <w:t>磋商响应单位</w:t>
      </w:r>
      <w:r>
        <w:rPr>
          <w:b/>
          <w:sz w:val="28"/>
        </w:rPr>
        <w:t>：</w:t>
      </w:r>
      <w:r>
        <w:rPr>
          <w:bCs/>
          <w:sz w:val="28"/>
          <w:u w:val="single"/>
        </w:rPr>
        <w:t xml:space="preserve">                          </w:t>
      </w:r>
      <w:r>
        <w:rPr>
          <w:b/>
          <w:sz w:val="28"/>
        </w:rPr>
        <w:t>（盖章）</w:t>
      </w:r>
    </w:p>
    <w:p>
      <w:pPr>
        <w:spacing w:line="600" w:lineRule="auto"/>
        <w:ind w:firstLine="562" w:firstLineChars="200"/>
        <w:outlineLvl w:val="0"/>
        <w:rPr>
          <w:b/>
          <w:sz w:val="28"/>
        </w:rPr>
      </w:pPr>
      <w:r>
        <w:rPr>
          <w:b/>
          <w:sz w:val="28"/>
        </w:rPr>
        <w:t xml:space="preserve"> </w:t>
      </w:r>
      <w:r>
        <w:rPr>
          <w:rFonts w:hint="eastAsia"/>
          <w:b/>
          <w:sz w:val="28"/>
          <w:lang w:val="en-US" w:eastAsia="zh-CN"/>
        </w:rPr>
        <w:t xml:space="preserve">  </w:t>
      </w:r>
      <w:r>
        <w:rPr>
          <w:b/>
          <w:sz w:val="28"/>
        </w:rPr>
        <w:t xml:space="preserve"> </w:t>
      </w:r>
      <w:bookmarkStart w:id="35" w:name="_Toc15600"/>
      <w:r>
        <w:rPr>
          <w:b/>
          <w:sz w:val="28"/>
        </w:rPr>
        <w:t>法定代表人或其授权代理人：</w:t>
      </w:r>
      <w:r>
        <w:rPr>
          <w:bCs/>
          <w:sz w:val="28"/>
          <w:u w:val="single"/>
        </w:rPr>
        <w:t xml:space="preserve">            </w:t>
      </w:r>
      <w:r>
        <w:rPr>
          <w:b/>
          <w:sz w:val="28"/>
        </w:rPr>
        <w:t>（签字或盖章）</w:t>
      </w:r>
      <w:bookmarkEnd w:id="35"/>
    </w:p>
    <w:p>
      <w:pPr>
        <w:spacing w:line="600" w:lineRule="auto"/>
        <w:ind w:firstLine="562" w:firstLineChars="200"/>
        <w:outlineLvl w:val="0"/>
        <w:rPr>
          <w:bCs/>
          <w:sz w:val="28"/>
          <w:u w:val="single"/>
        </w:rPr>
      </w:pPr>
      <w:r>
        <w:rPr>
          <w:b/>
          <w:sz w:val="28"/>
        </w:rPr>
        <w:t xml:space="preserve"> </w:t>
      </w:r>
      <w:r>
        <w:rPr>
          <w:rFonts w:hint="eastAsia"/>
          <w:b/>
          <w:sz w:val="28"/>
          <w:lang w:val="en-US" w:eastAsia="zh-CN"/>
        </w:rPr>
        <w:t xml:space="preserve">  </w:t>
      </w:r>
      <w:r>
        <w:rPr>
          <w:b/>
          <w:sz w:val="28"/>
        </w:rPr>
        <w:t xml:space="preserve"> </w:t>
      </w:r>
      <w:bookmarkStart w:id="36" w:name="_Toc30736"/>
      <w:r>
        <w:rPr>
          <w:rFonts w:hint="eastAsia"/>
          <w:b/>
          <w:sz w:val="28"/>
        </w:rPr>
        <w:t>日    期</w:t>
      </w:r>
      <w:r>
        <w:rPr>
          <w:b/>
          <w:sz w:val="28"/>
        </w:rPr>
        <w:t>：</w:t>
      </w:r>
      <w:bookmarkEnd w:id="36"/>
      <w:r>
        <w:rPr>
          <w:bCs/>
          <w:sz w:val="28"/>
          <w:u w:val="single"/>
        </w:rPr>
        <w:t xml:space="preserve">                 </w:t>
      </w:r>
      <w:r>
        <w:rPr>
          <w:rFonts w:hint="eastAsia"/>
          <w:bCs/>
          <w:sz w:val="28"/>
          <w:u w:val="single"/>
        </w:rPr>
        <w:t>　　　　　　　</w:t>
      </w:r>
      <w:r>
        <w:rPr>
          <w:bCs/>
          <w:sz w:val="28"/>
          <w:u w:val="single"/>
        </w:rPr>
        <w:t xml:space="preserve">         </w:t>
      </w:r>
    </w:p>
    <w:p>
      <w:pPr>
        <w:spacing w:line="360" w:lineRule="auto"/>
        <w:ind w:firstLine="482" w:firstLineChars="200"/>
        <w:jc w:val="center"/>
        <w:rPr>
          <w:b/>
          <w:sz w:val="24"/>
        </w:rPr>
        <w:sectPr>
          <w:pgSz w:w="11906" w:h="16838"/>
          <w:pgMar w:top="1440" w:right="1457" w:bottom="1440" w:left="1463" w:header="851" w:footer="992" w:gutter="0"/>
          <w:cols w:space="0" w:num="1"/>
          <w:titlePg/>
          <w:docGrid w:type="lines" w:linePitch="312" w:charSpace="0"/>
        </w:sectPr>
      </w:pPr>
    </w:p>
    <w:p>
      <w:pPr>
        <w:spacing w:line="360" w:lineRule="auto"/>
        <w:ind w:firstLine="482" w:firstLineChars="200"/>
        <w:jc w:val="center"/>
        <w:outlineLvl w:val="1"/>
        <w:rPr>
          <w:b/>
          <w:bCs/>
          <w:sz w:val="30"/>
          <w:szCs w:val="30"/>
        </w:rPr>
      </w:pPr>
      <w:r>
        <w:rPr>
          <w:b/>
          <w:sz w:val="24"/>
        </w:rPr>
        <w:t xml:space="preserve"> </w:t>
      </w:r>
      <w:r>
        <w:rPr>
          <w:b/>
          <w:bCs/>
          <w:sz w:val="30"/>
          <w:szCs w:val="30"/>
        </w:rPr>
        <w:t>目   录</w:t>
      </w:r>
    </w:p>
    <w:p>
      <w:pPr>
        <w:spacing w:line="360" w:lineRule="auto"/>
        <w:ind w:firstLine="562" w:firstLineChars="200"/>
        <w:outlineLvl w:val="0"/>
        <w:rPr>
          <w:sz w:val="24"/>
        </w:rPr>
      </w:pPr>
      <w:bookmarkStart w:id="37" w:name="_Toc20742"/>
      <w:r>
        <w:rPr>
          <w:rFonts w:hint="eastAsia"/>
          <w:b/>
          <w:bCs/>
          <w:sz w:val="28"/>
          <w:szCs w:val="28"/>
        </w:rPr>
        <w:t>资格证明文件</w:t>
      </w:r>
      <w:bookmarkEnd w:id="37"/>
    </w:p>
    <w:p>
      <w:pPr>
        <w:pStyle w:val="2"/>
        <w:spacing w:line="360" w:lineRule="auto"/>
        <w:ind w:firstLine="480"/>
        <w:outlineLvl w:val="0"/>
        <w:rPr>
          <w:rFonts w:ascii="宋体" w:hAnsi="宋体" w:cs="宋体"/>
          <w:sz w:val="24"/>
        </w:rPr>
      </w:pPr>
      <w:r>
        <w:rPr>
          <w:rFonts w:hint="eastAsia" w:ascii="宋体" w:hAnsi="宋体" w:cs="宋体"/>
          <w:sz w:val="24"/>
        </w:rPr>
        <w:t>1、具有合格有效的企业法人营业执照、税务登记证、组织机构代码证（或三证合一营业执照）；</w:t>
      </w:r>
    </w:p>
    <w:p>
      <w:pPr>
        <w:pStyle w:val="2"/>
        <w:spacing w:line="360" w:lineRule="auto"/>
        <w:ind w:firstLine="480"/>
        <w:outlineLvl w:val="0"/>
        <w:rPr>
          <w:rFonts w:ascii="宋体" w:hAnsi="宋体" w:cs="宋体"/>
          <w:sz w:val="24"/>
        </w:rPr>
      </w:pPr>
      <w:r>
        <w:rPr>
          <w:rFonts w:hint="eastAsia" w:ascii="宋体" w:hAnsi="宋体" w:cs="宋体"/>
          <w:sz w:val="24"/>
        </w:rPr>
        <w:t>2、磋商响应单位应授权合法的人员参加磋商全过程，其中法定代表人直接参加磋商的，须出具法人身份证，并与营业执照上信息一致。法定代表人授权代表参加磋商的，须出具法定代表人授权书及授权代表身份证；</w:t>
      </w:r>
    </w:p>
    <w:p>
      <w:pPr>
        <w:pStyle w:val="2"/>
        <w:spacing w:line="360" w:lineRule="auto"/>
        <w:ind w:firstLine="480"/>
        <w:outlineLvl w:val="0"/>
        <w:rPr>
          <w:rFonts w:ascii="宋体" w:hAnsi="宋体" w:cs="宋体"/>
          <w:sz w:val="24"/>
        </w:rPr>
      </w:pPr>
      <w:r>
        <w:rPr>
          <w:rFonts w:hint="eastAsia" w:ascii="宋体" w:hAnsi="宋体" w:cs="宋体"/>
          <w:sz w:val="24"/>
        </w:rPr>
        <w:t>3、</w:t>
      </w:r>
      <w:r>
        <w:rPr>
          <w:rFonts w:hint="eastAsia" w:ascii="宋体" w:hAnsi="宋体" w:cs="宋体"/>
          <w:sz w:val="24"/>
          <w:lang w:eastAsia="zh-CN"/>
        </w:rPr>
        <w:t>具备建设部门颁发的电力工程施工总承包三级（含）及以上资质或输变电工程专业承包三级（含）及以上资质，具有有效的安全生产许可证，且具备承装、承修、承试五级及以上承装（修、试）电力设施许可证</w:t>
      </w:r>
      <w:r>
        <w:rPr>
          <w:rFonts w:hint="eastAsia" w:ascii="宋体" w:hAnsi="宋体" w:cs="宋体"/>
          <w:sz w:val="24"/>
        </w:rPr>
        <w:t>；</w:t>
      </w:r>
    </w:p>
    <w:p>
      <w:pPr>
        <w:pStyle w:val="2"/>
        <w:spacing w:line="360" w:lineRule="auto"/>
        <w:ind w:firstLine="480"/>
        <w:outlineLvl w:val="0"/>
        <w:rPr>
          <w:rFonts w:ascii="宋体" w:hAnsi="宋体" w:cs="宋体"/>
          <w:sz w:val="24"/>
        </w:rPr>
      </w:pPr>
      <w:r>
        <w:rPr>
          <w:rFonts w:hint="eastAsia" w:ascii="宋体" w:hAnsi="宋体" w:cs="宋体"/>
          <w:sz w:val="24"/>
        </w:rPr>
        <w:t>4、</w:t>
      </w:r>
      <w:r>
        <w:rPr>
          <w:rFonts w:hint="eastAsia" w:ascii="宋体" w:hAnsi="宋体" w:cs="宋体"/>
          <w:sz w:val="24"/>
          <w:lang w:eastAsia="zh-CN"/>
        </w:rPr>
        <w:t>拟委派项目经理须具有机电工程专业二级及以上注册建造师资质并具有安全生产考核合格证，在本单位注册且无在建工程</w:t>
      </w:r>
      <w:r>
        <w:rPr>
          <w:rFonts w:hint="eastAsia" w:ascii="宋体" w:hAnsi="宋体" w:cs="宋体"/>
          <w:sz w:val="24"/>
        </w:rPr>
        <w:t>；</w:t>
      </w:r>
    </w:p>
    <w:p>
      <w:pPr>
        <w:pStyle w:val="2"/>
        <w:spacing w:line="360" w:lineRule="auto"/>
        <w:ind w:firstLine="480"/>
        <w:outlineLvl w:val="0"/>
        <w:rPr>
          <w:rFonts w:ascii="宋体" w:hAnsi="宋体" w:cs="宋体"/>
          <w:sz w:val="24"/>
        </w:rPr>
      </w:pPr>
      <w:r>
        <w:rPr>
          <w:rFonts w:hint="eastAsia" w:ascii="宋体" w:hAnsi="宋体" w:cs="宋体"/>
          <w:sz w:val="24"/>
        </w:rPr>
        <w:t>5、供应商不得为“信用中国”网站（www.creditchina.gov.cn）</w:t>
      </w:r>
      <w:r>
        <w:rPr>
          <w:rFonts w:hint="eastAsia" w:ascii="宋体" w:hAnsi="宋体" w:cs="宋体"/>
          <w:kern w:val="0"/>
          <w:sz w:val="24"/>
          <w:highlight w:val="none"/>
          <w:lang w:eastAsia="zh-CN"/>
        </w:rPr>
        <w:t>（</w:t>
      </w:r>
      <w:r>
        <w:rPr>
          <w:rFonts w:hint="eastAsia" w:ascii="宋体" w:hAnsi="宋体" w:cs="宋体"/>
          <w:kern w:val="0"/>
          <w:sz w:val="24"/>
          <w:highlight w:val="none"/>
          <w:lang w:val="en-US" w:eastAsia="zh-CN"/>
        </w:rPr>
        <w:t>中国执行信息公开网</w:t>
      </w:r>
      <w:r>
        <w:rPr>
          <w:rFonts w:hint="eastAsia" w:ascii="宋体" w:hAnsi="宋体" w:cs="宋体"/>
          <w:kern w:val="0"/>
          <w:sz w:val="24"/>
          <w:highlight w:val="none"/>
          <w:lang w:eastAsia="zh-CN"/>
        </w:rPr>
        <w:t>）</w:t>
      </w:r>
      <w:r>
        <w:rPr>
          <w:rFonts w:hint="eastAsia" w:ascii="宋体" w:hAnsi="宋体" w:cs="宋体"/>
          <w:sz w:val="24"/>
        </w:rPr>
        <w:t>中列入失信被执行人和</w:t>
      </w:r>
      <w:r>
        <w:rPr>
          <w:rFonts w:hint="eastAsia" w:ascii="宋体" w:hAnsi="宋体" w:cs="宋体"/>
          <w:sz w:val="24"/>
          <w:lang w:eastAsia="zh-CN"/>
        </w:rPr>
        <w:t>税收违法黑名单</w:t>
      </w:r>
      <w:r>
        <w:rPr>
          <w:rFonts w:hint="eastAsia" w:ascii="宋体" w:hAnsi="宋体" w:cs="宋体"/>
          <w:sz w:val="24"/>
        </w:rPr>
        <w:t>的供应商，不得为中国政府采购网（www.ccgp.gov.cn）政府采购严重违法失信行为记录名单中被财政部门禁止参加政府采购活动的供应商；</w:t>
      </w:r>
    </w:p>
    <w:p>
      <w:pPr>
        <w:pStyle w:val="2"/>
        <w:spacing w:line="360" w:lineRule="auto"/>
        <w:ind w:firstLine="480"/>
        <w:outlineLvl w:val="0"/>
        <w:rPr>
          <w:rFonts w:ascii="宋体" w:hAnsi="宋体" w:cs="宋体"/>
          <w:sz w:val="24"/>
        </w:rPr>
      </w:pPr>
      <w:r>
        <w:rPr>
          <w:rFonts w:hint="eastAsia" w:ascii="宋体" w:hAnsi="宋体" w:cs="宋体"/>
          <w:sz w:val="24"/>
        </w:rPr>
        <w:t>6、税收缴纳证明：提供2021年</w:t>
      </w:r>
      <w:r>
        <w:rPr>
          <w:rFonts w:hint="eastAsia" w:ascii="宋体" w:hAnsi="宋体" w:cs="宋体"/>
          <w:sz w:val="24"/>
          <w:lang w:val="en-US" w:eastAsia="zh-CN"/>
        </w:rPr>
        <w:t>6</w:t>
      </w:r>
      <w:r>
        <w:rPr>
          <w:rFonts w:hint="eastAsia" w:ascii="宋体" w:hAnsi="宋体" w:cs="宋体"/>
          <w:sz w:val="24"/>
        </w:rPr>
        <w:t>月至今已缴纳的至少一个月的纳税证明或完税证明（任意税种），依法免税的单位应提供相关证明材料；</w:t>
      </w:r>
    </w:p>
    <w:p>
      <w:pPr>
        <w:pStyle w:val="2"/>
        <w:spacing w:line="360" w:lineRule="auto"/>
        <w:ind w:firstLine="480"/>
        <w:outlineLvl w:val="0"/>
        <w:rPr>
          <w:rFonts w:ascii="宋体" w:hAnsi="宋体" w:cs="宋体"/>
          <w:sz w:val="24"/>
        </w:rPr>
      </w:pPr>
      <w:r>
        <w:rPr>
          <w:rFonts w:hint="eastAsia" w:ascii="宋体" w:hAnsi="宋体" w:cs="宋体"/>
          <w:sz w:val="24"/>
        </w:rPr>
        <w:t>7、社会保障资金缴纳证明：提供2021年</w:t>
      </w:r>
      <w:r>
        <w:rPr>
          <w:rFonts w:hint="eastAsia" w:ascii="宋体" w:hAnsi="宋体" w:cs="宋体"/>
          <w:sz w:val="24"/>
          <w:lang w:val="en-US" w:eastAsia="zh-CN"/>
        </w:rPr>
        <w:t>6</w:t>
      </w:r>
      <w:r>
        <w:rPr>
          <w:rFonts w:hint="eastAsia" w:ascii="宋体" w:hAnsi="宋体" w:cs="宋体"/>
          <w:sz w:val="24"/>
        </w:rPr>
        <w:t>月至今已缴存的至少一个月的社会保障资金缴存单据或社保机构开具的社会保险参保缴费情况证明，依法不需要缴纳社会保障资金的单位应提供相关证明材料；</w:t>
      </w:r>
    </w:p>
    <w:p>
      <w:pPr>
        <w:pStyle w:val="2"/>
        <w:spacing w:line="360" w:lineRule="auto"/>
        <w:ind w:firstLine="480"/>
        <w:outlineLvl w:val="0"/>
        <w:rPr>
          <w:rFonts w:ascii="宋体" w:hAnsi="宋体" w:cs="宋体"/>
          <w:sz w:val="24"/>
        </w:rPr>
      </w:pPr>
      <w:r>
        <w:rPr>
          <w:rFonts w:hint="eastAsia" w:ascii="宋体" w:hAnsi="宋体" w:cs="宋体"/>
          <w:sz w:val="24"/>
        </w:rPr>
        <w:t>8、财务状况报告：</w:t>
      </w:r>
      <w:r>
        <w:rPr>
          <w:rFonts w:hint="eastAsia" w:ascii="宋体" w:hAnsi="宋体" w:cs="宋体"/>
          <w:sz w:val="24"/>
          <w:lang w:eastAsia="zh-CN"/>
        </w:rPr>
        <w:t>提供供应商2020年度经审计的财务报告或磋商前三个月内开户银行开具的资信证明</w:t>
      </w:r>
      <w:r>
        <w:rPr>
          <w:rFonts w:hint="eastAsia" w:ascii="宋体" w:hAnsi="宋体" w:cs="宋体"/>
          <w:sz w:val="24"/>
        </w:rPr>
        <w:t>；</w:t>
      </w:r>
    </w:p>
    <w:p>
      <w:pPr>
        <w:pStyle w:val="2"/>
        <w:spacing w:line="360" w:lineRule="auto"/>
        <w:ind w:firstLine="480"/>
        <w:outlineLvl w:val="0"/>
        <w:rPr>
          <w:rFonts w:ascii="宋体" w:hAnsi="宋体" w:cs="宋体"/>
          <w:sz w:val="24"/>
        </w:rPr>
      </w:pPr>
      <w:r>
        <w:rPr>
          <w:rFonts w:hint="eastAsia" w:ascii="宋体" w:hAnsi="宋体" w:cs="宋体"/>
          <w:sz w:val="24"/>
        </w:rPr>
        <w:t>9、参加政府采购活动前三年内，在经营活动中没有重大违法记录的书面声明；</w:t>
      </w:r>
    </w:p>
    <w:p>
      <w:pPr>
        <w:pStyle w:val="2"/>
        <w:spacing w:line="360" w:lineRule="auto"/>
        <w:ind w:firstLine="480"/>
        <w:outlineLvl w:val="0"/>
        <w:rPr>
          <w:rFonts w:hint="eastAsia" w:ascii="宋体" w:hAnsi="宋体" w:cs="宋体"/>
          <w:sz w:val="24"/>
        </w:rPr>
      </w:pPr>
      <w:r>
        <w:rPr>
          <w:rFonts w:hint="eastAsia" w:ascii="宋体" w:hAnsi="宋体" w:cs="宋体"/>
          <w:sz w:val="24"/>
        </w:rPr>
        <w:t>10、磋商响应单位负责人不得为同一人或者存在控股、管理关系。</w:t>
      </w:r>
    </w:p>
    <w:p>
      <w:pPr>
        <w:pStyle w:val="2"/>
        <w:spacing w:line="360" w:lineRule="auto"/>
        <w:ind w:firstLine="480"/>
        <w:outlineLvl w:val="0"/>
        <w:rPr>
          <w:rFonts w:hint="default" w:ascii="宋体" w:hAnsi="宋体" w:eastAsia="宋体" w:cs="宋体"/>
          <w:sz w:val="24"/>
          <w:lang w:val="en-US" w:eastAsia="zh-CN"/>
        </w:rPr>
      </w:pPr>
      <w:r>
        <w:rPr>
          <w:rFonts w:hint="eastAsia" w:ascii="宋体" w:hAnsi="宋体" w:cs="宋体"/>
          <w:sz w:val="24"/>
          <w:lang w:val="en-US" w:eastAsia="zh-CN"/>
        </w:rPr>
        <w:t>11、</w:t>
      </w:r>
      <w:r>
        <w:rPr>
          <w:rFonts w:hint="eastAsia" w:ascii="宋体" w:hAnsi="宋体" w:eastAsia="宋体" w:cs="宋体"/>
          <w:kern w:val="0"/>
          <w:sz w:val="24"/>
          <w:szCs w:val="24"/>
          <w:highlight w:val="none"/>
          <w:lang w:val="en-US" w:eastAsia="zh-CN"/>
        </w:rPr>
        <w:t>具</w:t>
      </w:r>
      <w:r>
        <w:rPr>
          <w:rFonts w:hint="eastAsia" w:ascii="宋体" w:hAnsi="宋体" w:eastAsia="宋体" w:cs="宋体"/>
          <w:kern w:val="0"/>
          <w:sz w:val="24"/>
          <w:szCs w:val="24"/>
          <w:highlight w:val="none"/>
        </w:rPr>
        <w:t>有履行本合同所必需的设备和专业技术能力</w:t>
      </w:r>
      <w:r>
        <w:rPr>
          <w:rFonts w:hint="eastAsia" w:ascii="宋体" w:hAnsi="宋体" w:eastAsia="宋体" w:cs="宋体"/>
          <w:kern w:val="0"/>
          <w:sz w:val="24"/>
          <w:szCs w:val="24"/>
          <w:highlight w:val="none"/>
          <w:lang w:eastAsia="zh-CN"/>
        </w:rPr>
        <w:t>；</w:t>
      </w:r>
    </w:p>
    <w:p>
      <w:pPr>
        <w:widowControl/>
        <w:jc w:val="left"/>
        <w:rPr>
          <w:b/>
          <w:bCs/>
          <w:sz w:val="28"/>
          <w:szCs w:val="28"/>
        </w:rPr>
      </w:pPr>
      <w:bookmarkStart w:id="38" w:name="_Toc5089"/>
      <w:bookmarkStart w:id="39" w:name="_Toc12835_WPSOffice_Level1"/>
      <w:r>
        <w:rPr>
          <w:b/>
          <w:bCs/>
          <w:sz w:val="28"/>
          <w:szCs w:val="28"/>
        </w:rPr>
        <w:br w:type="page"/>
      </w:r>
    </w:p>
    <w:p>
      <w:pPr>
        <w:spacing w:line="360" w:lineRule="auto"/>
        <w:ind w:firstLine="562" w:firstLineChars="200"/>
        <w:outlineLvl w:val="0"/>
        <w:rPr>
          <w:b/>
          <w:bCs/>
          <w:sz w:val="28"/>
          <w:szCs w:val="28"/>
        </w:rPr>
      </w:pPr>
      <w:r>
        <w:rPr>
          <w:rFonts w:hint="eastAsia"/>
          <w:b/>
          <w:bCs/>
          <w:sz w:val="28"/>
          <w:szCs w:val="28"/>
        </w:rPr>
        <w:t>商务文件</w:t>
      </w:r>
      <w:bookmarkEnd w:id="38"/>
      <w:bookmarkEnd w:id="39"/>
    </w:p>
    <w:p>
      <w:pPr>
        <w:adjustRightInd w:val="0"/>
        <w:snapToGrid w:val="0"/>
        <w:spacing w:line="360" w:lineRule="auto"/>
        <w:ind w:firstLine="480" w:firstLineChars="200"/>
        <w:outlineLvl w:val="0"/>
        <w:rPr>
          <w:sz w:val="24"/>
        </w:rPr>
      </w:pPr>
      <w:bookmarkStart w:id="40" w:name="_Toc27179_WPSOffice_Level1"/>
      <w:bookmarkStart w:id="41" w:name="_Toc23831"/>
      <w:r>
        <w:rPr>
          <w:sz w:val="24"/>
        </w:rPr>
        <w:t>一、磋商响应函</w:t>
      </w:r>
      <w:bookmarkEnd w:id="40"/>
      <w:bookmarkEnd w:id="41"/>
    </w:p>
    <w:p>
      <w:pPr>
        <w:adjustRightInd w:val="0"/>
        <w:snapToGrid w:val="0"/>
        <w:spacing w:line="360" w:lineRule="auto"/>
        <w:ind w:firstLine="480" w:firstLineChars="200"/>
        <w:outlineLvl w:val="0"/>
        <w:rPr>
          <w:sz w:val="24"/>
        </w:rPr>
      </w:pPr>
      <w:bookmarkStart w:id="42" w:name="_Toc4166"/>
      <w:bookmarkStart w:id="43" w:name="_Toc11184_WPSOffice_Level1"/>
      <w:r>
        <w:rPr>
          <w:sz w:val="24"/>
        </w:rPr>
        <w:t>二、首次报价一览表</w:t>
      </w:r>
      <w:bookmarkEnd w:id="42"/>
      <w:bookmarkEnd w:id="43"/>
    </w:p>
    <w:p>
      <w:pPr>
        <w:adjustRightInd w:val="0"/>
        <w:snapToGrid w:val="0"/>
        <w:spacing w:line="360" w:lineRule="auto"/>
        <w:ind w:firstLine="480" w:firstLineChars="200"/>
        <w:outlineLvl w:val="0"/>
        <w:rPr>
          <w:sz w:val="24"/>
        </w:rPr>
      </w:pPr>
      <w:bookmarkStart w:id="44" w:name="_Toc10677"/>
      <w:bookmarkStart w:id="45" w:name="_Toc24822_WPSOffice_Level1"/>
      <w:r>
        <w:rPr>
          <w:rFonts w:hint="eastAsia"/>
          <w:sz w:val="24"/>
        </w:rPr>
        <w:t>三、工程量清单报价表</w:t>
      </w:r>
      <w:bookmarkEnd w:id="44"/>
      <w:bookmarkEnd w:id="45"/>
    </w:p>
    <w:p>
      <w:pPr>
        <w:adjustRightInd w:val="0"/>
        <w:snapToGrid w:val="0"/>
        <w:spacing w:line="360" w:lineRule="auto"/>
        <w:ind w:firstLine="480" w:firstLineChars="200"/>
        <w:outlineLvl w:val="0"/>
        <w:rPr>
          <w:sz w:val="24"/>
        </w:rPr>
      </w:pPr>
      <w:bookmarkStart w:id="46" w:name="_Toc26147"/>
      <w:bookmarkStart w:id="47" w:name="_Toc28563_WPSOffice_Level1"/>
      <w:r>
        <w:rPr>
          <w:sz w:val="24"/>
        </w:rPr>
        <w:t>四、</w:t>
      </w:r>
      <w:r>
        <w:rPr>
          <w:rFonts w:hint="eastAsia"/>
          <w:sz w:val="24"/>
        </w:rPr>
        <w:t>磋商响应单位</w:t>
      </w:r>
      <w:r>
        <w:rPr>
          <w:sz w:val="24"/>
        </w:rPr>
        <w:t>一般情况表</w:t>
      </w:r>
      <w:bookmarkEnd w:id="46"/>
      <w:bookmarkEnd w:id="47"/>
    </w:p>
    <w:p>
      <w:pPr>
        <w:adjustRightInd w:val="0"/>
        <w:snapToGrid w:val="0"/>
        <w:spacing w:line="360" w:lineRule="auto"/>
        <w:ind w:firstLine="480" w:firstLineChars="200"/>
        <w:outlineLvl w:val="0"/>
        <w:rPr>
          <w:sz w:val="24"/>
        </w:rPr>
      </w:pPr>
      <w:bookmarkStart w:id="48" w:name="_Toc29082"/>
      <w:bookmarkStart w:id="49" w:name="_Toc9379_WPSOffice_Level1"/>
      <w:r>
        <w:rPr>
          <w:sz w:val="24"/>
        </w:rPr>
        <w:t>五、商务条款偏离表</w:t>
      </w:r>
      <w:bookmarkEnd w:id="48"/>
      <w:bookmarkEnd w:id="49"/>
    </w:p>
    <w:p>
      <w:pPr>
        <w:adjustRightInd w:val="0"/>
        <w:snapToGrid w:val="0"/>
        <w:spacing w:line="360" w:lineRule="auto"/>
        <w:ind w:firstLine="480" w:firstLineChars="200"/>
        <w:outlineLvl w:val="0"/>
        <w:rPr>
          <w:sz w:val="24"/>
        </w:rPr>
      </w:pPr>
      <w:bookmarkStart w:id="50" w:name="_Toc15391"/>
      <w:bookmarkStart w:id="51" w:name="_Toc24108_WPSOffice_Level1"/>
      <w:r>
        <w:rPr>
          <w:sz w:val="24"/>
        </w:rPr>
        <w:t>六、业绩</w:t>
      </w:r>
      <w:bookmarkEnd w:id="50"/>
      <w:bookmarkEnd w:id="51"/>
    </w:p>
    <w:p>
      <w:pPr>
        <w:adjustRightInd w:val="0"/>
        <w:snapToGrid w:val="0"/>
        <w:spacing w:line="360" w:lineRule="auto"/>
        <w:ind w:firstLine="480" w:firstLineChars="200"/>
        <w:outlineLvl w:val="0"/>
        <w:rPr>
          <w:sz w:val="24"/>
        </w:rPr>
      </w:pPr>
      <w:bookmarkStart w:id="52" w:name="_Toc29978_WPSOffice_Level1"/>
      <w:bookmarkStart w:id="53" w:name="_Toc18499"/>
      <w:r>
        <w:rPr>
          <w:sz w:val="24"/>
        </w:rPr>
        <w:t>七、保修期服务承诺</w:t>
      </w:r>
      <w:bookmarkEnd w:id="52"/>
      <w:bookmarkEnd w:id="53"/>
    </w:p>
    <w:p>
      <w:pPr>
        <w:widowControl/>
        <w:jc w:val="left"/>
        <w:rPr>
          <w:b/>
          <w:bCs/>
          <w:sz w:val="28"/>
          <w:szCs w:val="28"/>
        </w:rPr>
      </w:pPr>
      <w:bookmarkStart w:id="54" w:name="_Toc2414"/>
      <w:bookmarkStart w:id="55" w:name="_Toc15524_WPSOffice_Level1"/>
      <w:r>
        <w:rPr>
          <w:b/>
          <w:bCs/>
          <w:sz w:val="28"/>
          <w:szCs w:val="28"/>
        </w:rPr>
        <w:br w:type="page"/>
      </w:r>
    </w:p>
    <w:p>
      <w:pPr>
        <w:spacing w:line="360" w:lineRule="auto"/>
        <w:ind w:firstLine="562" w:firstLineChars="200"/>
        <w:outlineLvl w:val="0"/>
        <w:rPr>
          <w:b/>
          <w:bCs/>
          <w:color w:val="auto"/>
          <w:sz w:val="28"/>
          <w:szCs w:val="28"/>
          <w:highlight w:val="none"/>
        </w:rPr>
      </w:pPr>
      <w:r>
        <w:rPr>
          <w:rFonts w:hint="eastAsia"/>
          <w:b/>
          <w:bCs/>
          <w:color w:val="auto"/>
          <w:sz w:val="28"/>
          <w:szCs w:val="28"/>
          <w:highlight w:val="none"/>
        </w:rPr>
        <w:t>技术文件</w:t>
      </w:r>
      <w:bookmarkEnd w:id="54"/>
      <w:bookmarkEnd w:id="55"/>
    </w:p>
    <w:p>
      <w:pPr>
        <w:autoSpaceDE w:val="0"/>
        <w:autoSpaceDN w:val="0"/>
        <w:adjustRightInd w:val="0"/>
        <w:snapToGrid w:val="0"/>
        <w:spacing w:line="360" w:lineRule="auto"/>
        <w:ind w:firstLine="480" w:firstLineChars="200"/>
        <w:jc w:val="left"/>
        <w:rPr>
          <w:sz w:val="24"/>
        </w:rPr>
      </w:pPr>
      <w:r>
        <w:rPr>
          <w:rFonts w:hint="eastAsia"/>
          <w:sz w:val="24"/>
        </w:rPr>
        <w:t>一、磋商响应单位根据磋商文件采购内容和评分因素，结合自身实际情况编制响应磋商文件的施工组织设计。（格式自拟）</w:t>
      </w:r>
    </w:p>
    <w:p>
      <w:pPr>
        <w:tabs>
          <w:tab w:val="left" w:pos="2115"/>
        </w:tabs>
        <w:autoSpaceDE w:val="0"/>
        <w:autoSpaceDN w:val="0"/>
        <w:adjustRightInd w:val="0"/>
        <w:snapToGrid w:val="0"/>
        <w:spacing w:after="120" w:line="360" w:lineRule="auto"/>
        <w:rPr>
          <w:sz w:val="24"/>
        </w:rPr>
      </w:pPr>
      <w:r>
        <w:rPr>
          <w:rFonts w:hint="eastAsia"/>
          <w:sz w:val="24"/>
        </w:rPr>
        <w:t>　　二、工程质量承诺（格式自拟）</w:t>
      </w:r>
    </w:p>
    <w:p>
      <w:pPr>
        <w:tabs>
          <w:tab w:val="left" w:pos="2115"/>
        </w:tabs>
        <w:autoSpaceDE w:val="0"/>
        <w:autoSpaceDN w:val="0"/>
        <w:adjustRightInd w:val="0"/>
        <w:snapToGrid w:val="0"/>
        <w:spacing w:after="156" w:afterLines="50" w:line="360" w:lineRule="auto"/>
        <w:ind w:firstLine="480" w:firstLineChars="200"/>
        <w:rPr>
          <w:sz w:val="24"/>
        </w:rPr>
      </w:pPr>
      <w:r>
        <w:rPr>
          <w:rFonts w:hint="eastAsia"/>
          <w:sz w:val="24"/>
          <w:lang w:val="en-US" w:eastAsia="zh-CN"/>
        </w:rPr>
        <w:t>三、</w:t>
      </w:r>
      <w:r>
        <w:rPr>
          <w:rFonts w:hint="eastAsia"/>
          <w:sz w:val="24"/>
        </w:rPr>
        <w:t>后续服务（格式自拟）</w:t>
      </w:r>
    </w:p>
    <w:p>
      <w:pPr>
        <w:tabs>
          <w:tab w:val="left" w:pos="2115"/>
        </w:tabs>
        <w:autoSpaceDE w:val="0"/>
        <w:autoSpaceDN w:val="0"/>
        <w:adjustRightInd w:val="0"/>
        <w:snapToGrid w:val="0"/>
        <w:spacing w:after="156" w:afterLines="50" w:line="360" w:lineRule="auto"/>
        <w:rPr>
          <w:sz w:val="24"/>
        </w:rPr>
      </w:pPr>
    </w:p>
    <w:p>
      <w:pPr>
        <w:tabs>
          <w:tab w:val="left" w:pos="2115"/>
        </w:tabs>
        <w:autoSpaceDE w:val="0"/>
        <w:autoSpaceDN w:val="0"/>
        <w:adjustRightInd w:val="0"/>
        <w:snapToGrid w:val="0"/>
        <w:spacing w:after="156" w:afterLines="50" w:line="360" w:lineRule="auto"/>
        <w:rPr>
          <w:sz w:val="24"/>
        </w:rPr>
      </w:pPr>
    </w:p>
    <w:p>
      <w:pPr>
        <w:tabs>
          <w:tab w:val="left" w:pos="2115"/>
        </w:tabs>
        <w:autoSpaceDE w:val="0"/>
        <w:autoSpaceDN w:val="0"/>
        <w:adjustRightInd w:val="0"/>
        <w:snapToGrid w:val="0"/>
        <w:spacing w:after="156" w:afterLines="50" w:line="360" w:lineRule="auto"/>
        <w:rPr>
          <w:sz w:val="24"/>
        </w:rPr>
      </w:pPr>
    </w:p>
    <w:p>
      <w:pPr>
        <w:tabs>
          <w:tab w:val="left" w:pos="2115"/>
        </w:tabs>
        <w:autoSpaceDE w:val="0"/>
        <w:autoSpaceDN w:val="0"/>
        <w:adjustRightInd w:val="0"/>
        <w:snapToGrid w:val="0"/>
        <w:spacing w:after="156" w:afterLines="50" w:line="360" w:lineRule="auto"/>
        <w:rPr>
          <w:sz w:val="24"/>
        </w:rPr>
      </w:pPr>
    </w:p>
    <w:p>
      <w:pPr>
        <w:tabs>
          <w:tab w:val="left" w:pos="2115"/>
        </w:tabs>
        <w:autoSpaceDE w:val="0"/>
        <w:autoSpaceDN w:val="0"/>
        <w:adjustRightInd w:val="0"/>
        <w:snapToGrid w:val="0"/>
        <w:spacing w:after="156" w:afterLines="50" w:line="360" w:lineRule="auto"/>
        <w:rPr>
          <w:sz w:val="24"/>
        </w:rPr>
      </w:pPr>
    </w:p>
    <w:p>
      <w:pPr>
        <w:tabs>
          <w:tab w:val="left" w:pos="2115"/>
        </w:tabs>
        <w:autoSpaceDE w:val="0"/>
        <w:autoSpaceDN w:val="0"/>
        <w:adjustRightInd w:val="0"/>
        <w:snapToGrid w:val="0"/>
        <w:spacing w:after="156" w:afterLines="50" w:line="360" w:lineRule="auto"/>
        <w:rPr>
          <w:sz w:val="24"/>
        </w:rPr>
      </w:pPr>
    </w:p>
    <w:p>
      <w:pPr>
        <w:tabs>
          <w:tab w:val="left" w:pos="2115"/>
        </w:tabs>
        <w:autoSpaceDE w:val="0"/>
        <w:autoSpaceDN w:val="0"/>
        <w:adjustRightInd w:val="0"/>
        <w:snapToGrid w:val="0"/>
        <w:spacing w:after="156" w:afterLines="50" w:line="360" w:lineRule="auto"/>
        <w:rPr>
          <w:sz w:val="24"/>
        </w:rPr>
      </w:pPr>
    </w:p>
    <w:p>
      <w:pPr>
        <w:tabs>
          <w:tab w:val="left" w:pos="2115"/>
        </w:tabs>
        <w:autoSpaceDE w:val="0"/>
        <w:autoSpaceDN w:val="0"/>
        <w:adjustRightInd w:val="0"/>
        <w:snapToGrid w:val="0"/>
        <w:spacing w:after="156" w:afterLines="50" w:line="360" w:lineRule="auto"/>
        <w:rPr>
          <w:sz w:val="24"/>
        </w:rPr>
      </w:pPr>
    </w:p>
    <w:p>
      <w:pPr>
        <w:tabs>
          <w:tab w:val="left" w:pos="2115"/>
        </w:tabs>
        <w:autoSpaceDE w:val="0"/>
        <w:autoSpaceDN w:val="0"/>
        <w:adjustRightInd w:val="0"/>
        <w:snapToGrid w:val="0"/>
        <w:spacing w:after="156" w:afterLines="50" w:line="360" w:lineRule="auto"/>
        <w:rPr>
          <w:sz w:val="24"/>
        </w:rPr>
      </w:pPr>
    </w:p>
    <w:p>
      <w:pPr>
        <w:tabs>
          <w:tab w:val="left" w:pos="2115"/>
        </w:tabs>
        <w:autoSpaceDE w:val="0"/>
        <w:autoSpaceDN w:val="0"/>
        <w:adjustRightInd w:val="0"/>
        <w:snapToGrid w:val="0"/>
        <w:spacing w:after="156" w:afterLines="50" w:line="360" w:lineRule="auto"/>
        <w:rPr>
          <w:sz w:val="24"/>
        </w:rPr>
      </w:pPr>
    </w:p>
    <w:p>
      <w:pPr>
        <w:tabs>
          <w:tab w:val="left" w:pos="2115"/>
        </w:tabs>
        <w:autoSpaceDE w:val="0"/>
        <w:autoSpaceDN w:val="0"/>
        <w:adjustRightInd w:val="0"/>
        <w:snapToGrid w:val="0"/>
        <w:spacing w:after="156" w:afterLines="50" w:line="360" w:lineRule="auto"/>
        <w:rPr>
          <w:sz w:val="24"/>
        </w:rPr>
      </w:pPr>
    </w:p>
    <w:p>
      <w:pPr>
        <w:tabs>
          <w:tab w:val="left" w:pos="2115"/>
        </w:tabs>
        <w:autoSpaceDE w:val="0"/>
        <w:autoSpaceDN w:val="0"/>
        <w:adjustRightInd w:val="0"/>
        <w:snapToGrid w:val="0"/>
        <w:spacing w:after="156" w:afterLines="50" w:line="360" w:lineRule="auto"/>
        <w:rPr>
          <w:sz w:val="24"/>
        </w:rPr>
      </w:pPr>
    </w:p>
    <w:p>
      <w:pPr>
        <w:tabs>
          <w:tab w:val="left" w:pos="2115"/>
        </w:tabs>
        <w:autoSpaceDE w:val="0"/>
        <w:autoSpaceDN w:val="0"/>
        <w:adjustRightInd w:val="0"/>
        <w:snapToGrid w:val="0"/>
        <w:spacing w:after="156" w:afterLines="50" w:line="360" w:lineRule="auto"/>
        <w:rPr>
          <w:sz w:val="24"/>
        </w:rPr>
      </w:pPr>
    </w:p>
    <w:p>
      <w:pPr>
        <w:tabs>
          <w:tab w:val="left" w:pos="2115"/>
        </w:tabs>
        <w:autoSpaceDE w:val="0"/>
        <w:autoSpaceDN w:val="0"/>
        <w:adjustRightInd w:val="0"/>
        <w:snapToGrid w:val="0"/>
        <w:spacing w:after="156" w:afterLines="50" w:line="360" w:lineRule="auto"/>
        <w:jc w:val="center"/>
        <w:rPr>
          <w:b/>
          <w:bCs/>
          <w:sz w:val="30"/>
          <w:szCs w:val="30"/>
        </w:rPr>
      </w:pPr>
    </w:p>
    <w:p>
      <w:pPr>
        <w:tabs>
          <w:tab w:val="left" w:pos="2115"/>
        </w:tabs>
        <w:autoSpaceDE w:val="0"/>
        <w:autoSpaceDN w:val="0"/>
        <w:adjustRightInd w:val="0"/>
        <w:snapToGrid w:val="0"/>
        <w:spacing w:after="156" w:afterLines="50" w:line="360" w:lineRule="auto"/>
        <w:jc w:val="center"/>
        <w:rPr>
          <w:b/>
          <w:bCs/>
          <w:sz w:val="30"/>
          <w:szCs w:val="30"/>
        </w:rPr>
      </w:pPr>
    </w:p>
    <w:p>
      <w:pPr>
        <w:tabs>
          <w:tab w:val="left" w:pos="2115"/>
        </w:tabs>
        <w:autoSpaceDE w:val="0"/>
        <w:autoSpaceDN w:val="0"/>
        <w:adjustRightInd w:val="0"/>
        <w:snapToGrid w:val="0"/>
        <w:spacing w:after="156" w:afterLines="50" w:line="360" w:lineRule="auto"/>
        <w:jc w:val="center"/>
        <w:rPr>
          <w:b/>
          <w:bCs/>
          <w:sz w:val="30"/>
          <w:szCs w:val="30"/>
        </w:rPr>
      </w:pPr>
    </w:p>
    <w:p>
      <w:pPr>
        <w:tabs>
          <w:tab w:val="left" w:pos="2115"/>
        </w:tabs>
        <w:autoSpaceDE w:val="0"/>
        <w:autoSpaceDN w:val="0"/>
        <w:adjustRightInd w:val="0"/>
        <w:snapToGrid w:val="0"/>
        <w:spacing w:after="156" w:afterLines="50" w:line="360" w:lineRule="auto"/>
        <w:jc w:val="center"/>
        <w:rPr>
          <w:b/>
          <w:bCs/>
          <w:sz w:val="30"/>
          <w:szCs w:val="30"/>
        </w:rPr>
      </w:pPr>
    </w:p>
    <w:p>
      <w:pPr>
        <w:tabs>
          <w:tab w:val="left" w:pos="2115"/>
        </w:tabs>
        <w:autoSpaceDE w:val="0"/>
        <w:autoSpaceDN w:val="0"/>
        <w:adjustRightInd w:val="0"/>
        <w:snapToGrid w:val="0"/>
        <w:spacing w:after="156" w:afterLines="50" w:line="360" w:lineRule="auto"/>
        <w:jc w:val="center"/>
        <w:rPr>
          <w:b/>
          <w:bCs/>
          <w:sz w:val="30"/>
          <w:szCs w:val="30"/>
        </w:rPr>
      </w:pPr>
    </w:p>
    <w:p>
      <w:pPr>
        <w:tabs>
          <w:tab w:val="left" w:pos="2115"/>
        </w:tabs>
        <w:autoSpaceDE w:val="0"/>
        <w:autoSpaceDN w:val="0"/>
        <w:adjustRightInd w:val="0"/>
        <w:snapToGrid w:val="0"/>
        <w:spacing w:after="156" w:afterLines="50" w:line="360" w:lineRule="auto"/>
        <w:jc w:val="center"/>
        <w:rPr>
          <w:b/>
          <w:bCs/>
          <w:sz w:val="30"/>
          <w:szCs w:val="30"/>
        </w:rPr>
      </w:pPr>
    </w:p>
    <w:p>
      <w:pPr>
        <w:tabs>
          <w:tab w:val="left" w:pos="2115"/>
        </w:tabs>
        <w:autoSpaceDE w:val="0"/>
        <w:autoSpaceDN w:val="0"/>
        <w:adjustRightInd w:val="0"/>
        <w:snapToGrid w:val="0"/>
        <w:spacing w:after="156" w:afterLines="50" w:line="360" w:lineRule="auto"/>
        <w:jc w:val="center"/>
        <w:rPr>
          <w:b/>
          <w:bCs/>
          <w:sz w:val="30"/>
          <w:szCs w:val="30"/>
        </w:rPr>
      </w:pPr>
    </w:p>
    <w:p>
      <w:pPr>
        <w:tabs>
          <w:tab w:val="left" w:pos="2115"/>
        </w:tabs>
        <w:autoSpaceDE w:val="0"/>
        <w:autoSpaceDN w:val="0"/>
        <w:adjustRightInd w:val="0"/>
        <w:snapToGrid w:val="0"/>
        <w:spacing w:after="156" w:afterLines="50" w:line="360" w:lineRule="auto"/>
        <w:jc w:val="center"/>
        <w:rPr>
          <w:b/>
          <w:bCs/>
          <w:sz w:val="30"/>
          <w:szCs w:val="30"/>
        </w:rPr>
      </w:pPr>
    </w:p>
    <w:p>
      <w:pPr>
        <w:tabs>
          <w:tab w:val="left" w:pos="2115"/>
        </w:tabs>
        <w:autoSpaceDE w:val="0"/>
        <w:autoSpaceDN w:val="0"/>
        <w:adjustRightInd w:val="0"/>
        <w:snapToGrid w:val="0"/>
        <w:spacing w:after="156" w:afterLines="50" w:line="360" w:lineRule="auto"/>
        <w:jc w:val="center"/>
        <w:rPr>
          <w:b/>
          <w:bCs/>
          <w:sz w:val="30"/>
          <w:szCs w:val="30"/>
        </w:rPr>
      </w:pPr>
    </w:p>
    <w:p>
      <w:pPr>
        <w:tabs>
          <w:tab w:val="left" w:pos="2115"/>
        </w:tabs>
        <w:autoSpaceDE w:val="0"/>
        <w:autoSpaceDN w:val="0"/>
        <w:adjustRightInd w:val="0"/>
        <w:snapToGrid w:val="0"/>
        <w:spacing w:after="156" w:afterLines="50" w:line="360" w:lineRule="auto"/>
        <w:jc w:val="center"/>
        <w:rPr>
          <w:b/>
          <w:bCs/>
          <w:sz w:val="30"/>
          <w:szCs w:val="30"/>
        </w:rPr>
      </w:pPr>
    </w:p>
    <w:p>
      <w:pPr>
        <w:tabs>
          <w:tab w:val="left" w:pos="2115"/>
        </w:tabs>
        <w:autoSpaceDE w:val="0"/>
        <w:autoSpaceDN w:val="0"/>
        <w:adjustRightInd w:val="0"/>
        <w:snapToGrid w:val="0"/>
        <w:spacing w:after="156" w:afterLines="50" w:line="360" w:lineRule="auto"/>
        <w:jc w:val="center"/>
        <w:rPr>
          <w:b/>
          <w:bCs/>
          <w:sz w:val="30"/>
          <w:szCs w:val="30"/>
        </w:rPr>
      </w:pPr>
    </w:p>
    <w:p>
      <w:pPr>
        <w:tabs>
          <w:tab w:val="left" w:pos="2115"/>
        </w:tabs>
        <w:autoSpaceDE w:val="0"/>
        <w:autoSpaceDN w:val="0"/>
        <w:adjustRightInd w:val="0"/>
        <w:snapToGrid w:val="0"/>
        <w:spacing w:after="156" w:afterLines="50" w:line="360" w:lineRule="auto"/>
        <w:jc w:val="center"/>
        <w:rPr>
          <w:b/>
          <w:bCs/>
          <w:sz w:val="30"/>
          <w:szCs w:val="30"/>
        </w:rPr>
      </w:pPr>
    </w:p>
    <w:p>
      <w:pPr>
        <w:tabs>
          <w:tab w:val="left" w:pos="2115"/>
        </w:tabs>
        <w:autoSpaceDE w:val="0"/>
        <w:autoSpaceDN w:val="0"/>
        <w:adjustRightInd w:val="0"/>
        <w:snapToGrid w:val="0"/>
        <w:spacing w:after="156" w:afterLines="50" w:line="360" w:lineRule="auto"/>
        <w:jc w:val="center"/>
        <w:rPr>
          <w:b/>
          <w:bCs/>
          <w:sz w:val="30"/>
          <w:szCs w:val="30"/>
        </w:rPr>
      </w:pPr>
    </w:p>
    <w:p>
      <w:pPr>
        <w:tabs>
          <w:tab w:val="left" w:pos="2115"/>
        </w:tabs>
        <w:autoSpaceDE w:val="0"/>
        <w:autoSpaceDN w:val="0"/>
        <w:adjustRightInd w:val="0"/>
        <w:snapToGrid w:val="0"/>
        <w:spacing w:after="156" w:afterLines="50" w:line="360" w:lineRule="auto"/>
        <w:jc w:val="center"/>
        <w:rPr>
          <w:b/>
          <w:bCs/>
          <w:sz w:val="30"/>
          <w:szCs w:val="30"/>
        </w:rPr>
      </w:pPr>
    </w:p>
    <w:p>
      <w:pPr>
        <w:tabs>
          <w:tab w:val="left" w:pos="2115"/>
        </w:tabs>
        <w:autoSpaceDE w:val="0"/>
        <w:autoSpaceDN w:val="0"/>
        <w:adjustRightInd w:val="0"/>
        <w:snapToGrid w:val="0"/>
        <w:spacing w:after="156" w:afterLines="50" w:line="360" w:lineRule="auto"/>
        <w:jc w:val="center"/>
        <w:rPr>
          <w:b/>
          <w:bCs/>
          <w:sz w:val="52"/>
          <w:szCs w:val="52"/>
        </w:rPr>
      </w:pPr>
      <w:r>
        <w:rPr>
          <w:b/>
          <w:bCs/>
          <w:sz w:val="52"/>
          <w:szCs w:val="52"/>
        </w:rPr>
        <w:t>资格证明文件</w:t>
      </w:r>
    </w:p>
    <w:p>
      <w:pPr>
        <w:spacing w:line="360" w:lineRule="auto"/>
        <w:rPr>
          <w:sz w:val="24"/>
        </w:rPr>
      </w:pPr>
      <w:r>
        <w:rPr>
          <w:sz w:val="24"/>
        </w:rPr>
        <w:br w:type="page"/>
      </w:r>
    </w:p>
    <w:p>
      <w:pPr>
        <w:spacing w:after="50" w:line="360" w:lineRule="auto"/>
        <w:jc w:val="center"/>
        <w:outlineLvl w:val="1"/>
        <w:rPr>
          <w:b/>
          <w:bCs/>
          <w:sz w:val="30"/>
          <w:szCs w:val="30"/>
        </w:rPr>
      </w:pPr>
      <w:r>
        <w:rPr>
          <w:rFonts w:hint="eastAsia"/>
          <w:b/>
          <w:bCs/>
          <w:sz w:val="30"/>
          <w:szCs w:val="30"/>
        </w:rPr>
        <w:t>一</w:t>
      </w:r>
      <w:r>
        <w:rPr>
          <w:b/>
          <w:bCs/>
          <w:sz w:val="30"/>
          <w:szCs w:val="30"/>
        </w:rPr>
        <w:t>、营业执照复印件</w:t>
      </w:r>
    </w:p>
    <w:p>
      <w:pPr>
        <w:spacing w:after="50" w:line="360" w:lineRule="auto"/>
        <w:jc w:val="center"/>
        <w:outlineLvl w:val="1"/>
        <w:rPr>
          <w:sz w:val="30"/>
          <w:szCs w:val="30"/>
        </w:rPr>
      </w:pPr>
      <w:r>
        <w:rPr>
          <w:b/>
          <w:bCs/>
          <w:sz w:val="30"/>
          <w:szCs w:val="30"/>
        </w:rPr>
        <w:br w:type="page"/>
      </w:r>
      <w:r>
        <w:rPr>
          <w:rFonts w:hint="eastAsia"/>
          <w:b/>
          <w:bCs/>
          <w:sz w:val="30"/>
          <w:szCs w:val="30"/>
        </w:rPr>
        <w:t>二</w:t>
      </w:r>
      <w:r>
        <w:rPr>
          <w:b/>
          <w:bCs/>
          <w:sz w:val="30"/>
          <w:szCs w:val="30"/>
        </w:rPr>
        <w:t>、</w:t>
      </w:r>
      <w:r>
        <w:rPr>
          <w:rFonts w:hint="eastAsia"/>
          <w:b/>
          <w:bCs/>
          <w:sz w:val="30"/>
          <w:szCs w:val="30"/>
        </w:rPr>
        <w:t>磋商响应单位</w:t>
      </w:r>
      <w:r>
        <w:rPr>
          <w:b/>
          <w:bCs/>
          <w:sz w:val="30"/>
          <w:szCs w:val="30"/>
        </w:rPr>
        <w:t>法定代表人证明书</w:t>
      </w:r>
      <w:r>
        <w:rPr>
          <w:rFonts w:hint="eastAsia"/>
          <w:b/>
          <w:bCs/>
          <w:sz w:val="30"/>
          <w:szCs w:val="30"/>
        </w:rPr>
        <w:t>及</w:t>
      </w:r>
      <w:r>
        <w:rPr>
          <w:b/>
          <w:bCs/>
          <w:sz w:val="30"/>
          <w:szCs w:val="30"/>
        </w:rPr>
        <w:t>法定代表人授权委托书</w:t>
      </w:r>
    </w:p>
    <w:p>
      <w:pPr>
        <w:tabs>
          <w:tab w:val="left" w:pos="210"/>
        </w:tabs>
        <w:spacing w:line="320" w:lineRule="exact"/>
        <w:jc w:val="center"/>
        <w:rPr>
          <w:b/>
          <w:kern w:val="0"/>
          <w:sz w:val="32"/>
          <w:szCs w:val="32"/>
        </w:rPr>
      </w:pPr>
    </w:p>
    <w:tbl>
      <w:tblPr>
        <w:tblStyle w:val="48"/>
        <w:tblW w:w="9286"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61"/>
        <w:gridCol w:w="2065"/>
        <w:gridCol w:w="2514"/>
        <w:gridCol w:w="1783"/>
        <w:gridCol w:w="206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86" w:hRule="atLeast"/>
          <w:jc w:val="center"/>
        </w:trPr>
        <w:tc>
          <w:tcPr>
            <w:tcW w:w="9286" w:type="dxa"/>
            <w:gridSpan w:val="5"/>
            <w:vAlign w:val="center"/>
          </w:tcPr>
          <w:p>
            <w:pPr>
              <w:tabs>
                <w:tab w:val="left" w:pos="210"/>
              </w:tabs>
              <w:spacing w:line="320" w:lineRule="exact"/>
              <w:rPr>
                <w:kern w:val="0"/>
                <w:sz w:val="24"/>
              </w:rPr>
            </w:pPr>
            <w:r>
              <w:rPr>
                <w:sz w:val="24"/>
              </w:rPr>
              <w:t>致：</w:t>
            </w:r>
            <w:r>
              <w:rPr>
                <w:rFonts w:hint="eastAsia"/>
                <w:sz w:val="24"/>
              </w:rPr>
              <w:t>同正项目管理有限公司</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0" w:hRule="atLeast"/>
          <w:jc w:val="center"/>
        </w:trPr>
        <w:tc>
          <w:tcPr>
            <w:tcW w:w="861" w:type="dxa"/>
            <w:vMerge w:val="restart"/>
            <w:vAlign w:val="center"/>
          </w:tcPr>
          <w:p>
            <w:pPr>
              <w:tabs>
                <w:tab w:val="left" w:pos="210"/>
              </w:tabs>
              <w:spacing w:line="320" w:lineRule="exact"/>
              <w:jc w:val="center"/>
              <w:rPr>
                <w:kern w:val="0"/>
                <w:sz w:val="24"/>
              </w:rPr>
            </w:pPr>
            <w:r>
              <w:rPr>
                <w:kern w:val="0"/>
                <w:sz w:val="24"/>
              </w:rPr>
              <w:t>企</w:t>
            </w:r>
          </w:p>
          <w:p>
            <w:pPr>
              <w:tabs>
                <w:tab w:val="left" w:pos="210"/>
              </w:tabs>
              <w:spacing w:line="320" w:lineRule="exact"/>
              <w:jc w:val="center"/>
              <w:rPr>
                <w:kern w:val="0"/>
                <w:sz w:val="24"/>
              </w:rPr>
            </w:pPr>
          </w:p>
          <w:p>
            <w:pPr>
              <w:tabs>
                <w:tab w:val="left" w:pos="210"/>
              </w:tabs>
              <w:spacing w:line="320" w:lineRule="exact"/>
              <w:jc w:val="center"/>
              <w:rPr>
                <w:kern w:val="0"/>
                <w:sz w:val="24"/>
              </w:rPr>
            </w:pPr>
            <w:r>
              <w:rPr>
                <w:kern w:val="0"/>
                <w:sz w:val="24"/>
              </w:rPr>
              <w:t>业</w:t>
            </w:r>
          </w:p>
          <w:p>
            <w:pPr>
              <w:tabs>
                <w:tab w:val="left" w:pos="210"/>
              </w:tabs>
              <w:spacing w:line="320" w:lineRule="exact"/>
              <w:jc w:val="center"/>
              <w:rPr>
                <w:kern w:val="0"/>
                <w:sz w:val="24"/>
              </w:rPr>
            </w:pPr>
          </w:p>
          <w:p>
            <w:pPr>
              <w:tabs>
                <w:tab w:val="left" w:pos="210"/>
              </w:tabs>
              <w:spacing w:line="320" w:lineRule="exact"/>
              <w:jc w:val="center"/>
              <w:rPr>
                <w:kern w:val="0"/>
                <w:sz w:val="24"/>
              </w:rPr>
            </w:pPr>
            <w:r>
              <w:rPr>
                <w:kern w:val="0"/>
                <w:sz w:val="24"/>
              </w:rPr>
              <w:t>法</w:t>
            </w:r>
          </w:p>
          <w:p>
            <w:pPr>
              <w:tabs>
                <w:tab w:val="left" w:pos="210"/>
              </w:tabs>
              <w:spacing w:line="320" w:lineRule="exact"/>
              <w:jc w:val="center"/>
              <w:rPr>
                <w:kern w:val="0"/>
                <w:sz w:val="24"/>
              </w:rPr>
            </w:pPr>
          </w:p>
          <w:p>
            <w:pPr>
              <w:tabs>
                <w:tab w:val="left" w:pos="210"/>
              </w:tabs>
              <w:spacing w:line="320" w:lineRule="exact"/>
              <w:jc w:val="center"/>
              <w:rPr>
                <w:kern w:val="0"/>
                <w:sz w:val="24"/>
              </w:rPr>
            </w:pPr>
            <w:r>
              <w:rPr>
                <w:kern w:val="0"/>
                <w:sz w:val="24"/>
              </w:rPr>
              <w:t>人</w:t>
            </w:r>
          </w:p>
        </w:tc>
        <w:tc>
          <w:tcPr>
            <w:tcW w:w="2065" w:type="dxa"/>
            <w:vAlign w:val="center"/>
          </w:tcPr>
          <w:p>
            <w:pPr>
              <w:tabs>
                <w:tab w:val="left" w:pos="210"/>
              </w:tabs>
              <w:spacing w:line="320" w:lineRule="exact"/>
              <w:jc w:val="center"/>
              <w:rPr>
                <w:kern w:val="0"/>
                <w:sz w:val="24"/>
              </w:rPr>
            </w:pPr>
            <w:r>
              <w:rPr>
                <w:kern w:val="0"/>
                <w:sz w:val="24"/>
              </w:rPr>
              <w:t>企业名称</w:t>
            </w:r>
          </w:p>
        </w:tc>
        <w:tc>
          <w:tcPr>
            <w:tcW w:w="6360" w:type="dxa"/>
            <w:gridSpan w:val="3"/>
            <w:vAlign w:val="center"/>
          </w:tcPr>
          <w:p>
            <w:pPr>
              <w:tabs>
                <w:tab w:val="left" w:pos="210"/>
              </w:tabs>
              <w:spacing w:line="320" w:lineRule="exact"/>
              <w:jc w:val="center"/>
              <w:rPr>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0" w:hRule="atLeast"/>
          <w:jc w:val="center"/>
        </w:trPr>
        <w:tc>
          <w:tcPr>
            <w:tcW w:w="861" w:type="dxa"/>
            <w:vMerge w:val="continue"/>
            <w:vAlign w:val="center"/>
          </w:tcPr>
          <w:p>
            <w:pPr>
              <w:tabs>
                <w:tab w:val="left" w:pos="210"/>
              </w:tabs>
              <w:spacing w:line="320" w:lineRule="exact"/>
              <w:jc w:val="center"/>
              <w:rPr>
                <w:kern w:val="0"/>
                <w:sz w:val="24"/>
              </w:rPr>
            </w:pPr>
          </w:p>
        </w:tc>
        <w:tc>
          <w:tcPr>
            <w:tcW w:w="2065" w:type="dxa"/>
            <w:vAlign w:val="center"/>
          </w:tcPr>
          <w:p>
            <w:pPr>
              <w:tabs>
                <w:tab w:val="left" w:pos="210"/>
              </w:tabs>
              <w:spacing w:line="320" w:lineRule="exact"/>
              <w:jc w:val="center"/>
              <w:rPr>
                <w:kern w:val="0"/>
                <w:sz w:val="24"/>
              </w:rPr>
            </w:pPr>
            <w:r>
              <w:rPr>
                <w:kern w:val="0"/>
                <w:sz w:val="24"/>
              </w:rPr>
              <w:t>法定地址</w:t>
            </w:r>
          </w:p>
        </w:tc>
        <w:tc>
          <w:tcPr>
            <w:tcW w:w="6360" w:type="dxa"/>
            <w:gridSpan w:val="3"/>
            <w:vAlign w:val="center"/>
          </w:tcPr>
          <w:p>
            <w:pPr>
              <w:tabs>
                <w:tab w:val="left" w:pos="210"/>
              </w:tabs>
              <w:spacing w:line="320" w:lineRule="exact"/>
              <w:jc w:val="center"/>
              <w:rPr>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0" w:hRule="atLeast"/>
          <w:jc w:val="center"/>
        </w:trPr>
        <w:tc>
          <w:tcPr>
            <w:tcW w:w="861" w:type="dxa"/>
            <w:vMerge w:val="continue"/>
            <w:vAlign w:val="center"/>
          </w:tcPr>
          <w:p>
            <w:pPr>
              <w:tabs>
                <w:tab w:val="left" w:pos="210"/>
              </w:tabs>
              <w:spacing w:line="320" w:lineRule="exact"/>
              <w:jc w:val="center"/>
              <w:rPr>
                <w:kern w:val="0"/>
                <w:sz w:val="24"/>
              </w:rPr>
            </w:pPr>
          </w:p>
        </w:tc>
        <w:tc>
          <w:tcPr>
            <w:tcW w:w="2065" w:type="dxa"/>
            <w:vAlign w:val="center"/>
          </w:tcPr>
          <w:p>
            <w:pPr>
              <w:tabs>
                <w:tab w:val="left" w:pos="210"/>
              </w:tabs>
              <w:spacing w:line="320" w:lineRule="exact"/>
              <w:jc w:val="center"/>
              <w:rPr>
                <w:kern w:val="0"/>
                <w:sz w:val="24"/>
              </w:rPr>
            </w:pPr>
            <w:r>
              <w:rPr>
                <w:kern w:val="0"/>
                <w:sz w:val="24"/>
              </w:rPr>
              <w:t>邮政编码</w:t>
            </w:r>
          </w:p>
        </w:tc>
        <w:tc>
          <w:tcPr>
            <w:tcW w:w="6360" w:type="dxa"/>
            <w:gridSpan w:val="3"/>
            <w:vAlign w:val="center"/>
          </w:tcPr>
          <w:p>
            <w:pPr>
              <w:tabs>
                <w:tab w:val="left" w:pos="210"/>
              </w:tabs>
              <w:spacing w:line="320" w:lineRule="exact"/>
              <w:jc w:val="center"/>
              <w:rPr>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0" w:hRule="atLeast"/>
          <w:jc w:val="center"/>
        </w:trPr>
        <w:tc>
          <w:tcPr>
            <w:tcW w:w="861" w:type="dxa"/>
            <w:vMerge w:val="continue"/>
            <w:vAlign w:val="center"/>
          </w:tcPr>
          <w:p>
            <w:pPr>
              <w:tabs>
                <w:tab w:val="left" w:pos="210"/>
              </w:tabs>
              <w:spacing w:line="320" w:lineRule="exact"/>
              <w:jc w:val="center"/>
              <w:rPr>
                <w:kern w:val="0"/>
                <w:sz w:val="24"/>
              </w:rPr>
            </w:pPr>
          </w:p>
        </w:tc>
        <w:tc>
          <w:tcPr>
            <w:tcW w:w="2065" w:type="dxa"/>
            <w:vAlign w:val="center"/>
          </w:tcPr>
          <w:p>
            <w:pPr>
              <w:tabs>
                <w:tab w:val="left" w:pos="210"/>
              </w:tabs>
              <w:spacing w:line="320" w:lineRule="exact"/>
              <w:jc w:val="center"/>
              <w:rPr>
                <w:kern w:val="0"/>
                <w:sz w:val="24"/>
              </w:rPr>
            </w:pPr>
            <w:r>
              <w:rPr>
                <w:kern w:val="0"/>
                <w:sz w:val="24"/>
              </w:rPr>
              <w:t>工商登记机关</w:t>
            </w:r>
          </w:p>
        </w:tc>
        <w:tc>
          <w:tcPr>
            <w:tcW w:w="6360" w:type="dxa"/>
            <w:gridSpan w:val="3"/>
            <w:vAlign w:val="center"/>
          </w:tcPr>
          <w:p>
            <w:pPr>
              <w:tabs>
                <w:tab w:val="left" w:pos="210"/>
              </w:tabs>
              <w:spacing w:line="320" w:lineRule="exact"/>
              <w:jc w:val="center"/>
              <w:rPr>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0" w:hRule="atLeast"/>
          <w:jc w:val="center"/>
        </w:trPr>
        <w:tc>
          <w:tcPr>
            <w:tcW w:w="861" w:type="dxa"/>
            <w:vMerge w:val="continue"/>
            <w:vAlign w:val="center"/>
          </w:tcPr>
          <w:p>
            <w:pPr>
              <w:tabs>
                <w:tab w:val="left" w:pos="210"/>
              </w:tabs>
              <w:spacing w:line="320" w:lineRule="exact"/>
              <w:jc w:val="center"/>
              <w:rPr>
                <w:kern w:val="0"/>
                <w:sz w:val="24"/>
              </w:rPr>
            </w:pPr>
          </w:p>
        </w:tc>
        <w:tc>
          <w:tcPr>
            <w:tcW w:w="2065" w:type="dxa"/>
            <w:vAlign w:val="center"/>
          </w:tcPr>
          <w:p>
            <w:pPr>
              <w:tabs>
                <w:tab w:val="left" w:pos="210"/>
              </w:tabs>
              <w:spacing w:line="320" w:lineRule="exact"/>
              <w:jc w:val="center"/>
              <w:rPr>
                <w:kern w:val="0"/>
                <w:sz w:val="24"/>
              </w:rPr>
            </w:pPr>
            <w:r>
              <w:rPr>
                <w:kern w:val="0"/>
                <w:sz w:val="24"/>
              </w:rPr>
              <w:t>税务登记机关</w:t>
            </w:r>
          </w:p>
        </w:tc>
        <w:tc>
          <w:tcPr>
            <w:tcW w:w="6360" w:type="dxa"/>
            <w:gridSpan w:val="3"/>
            <w:vAlign w:val="center"/>
          </w:tcPr>
          <w:p>
            <w:pPr>
              <w:tabs>
                <w:tab w:val="left" w:pos="210"/>
              </w:tabs>
              <w:spacing w:line="320" w:lineRule="exact"/>
              <w:rPr>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0" w:hRule="atLeast"/>
          <w:jc w:val="center"/>
        </w:trPr>
        <w:tc>
          <w:tcPr>
            <w:tcW w:w="861" w:type="dxa"/>
            <w:vMerge w:val="continue"/>
            <w:vAlign w:val="center"/>
          </w:tcPr>
          <w:p>
            <w:pPr>
              <w:tabs>
                <w:tab w:val="left" w:pos="210"/>
              </w:tabs>
              <w:spacing w:line="320" w:lineRule="exact"/>
              <w:jc w:val="center"/>
              <w:rPr>
                <w:kern w:val="0"/>
                <w:sz w:val="24"/>
              </w:rPr>
            </w:pPr>
          </w:p>
        </w:tc>
        <w:tc>
          <w:tcPr>
            <w:tcW w:w="2065" w:type="dxa"/>
            <w:vAlign w:val="center"/>
          </w:tcPr>
          <w:p>
            <w:pPr>
              <w:tabs>
                <w:tab w:val="left" w:pos="210"/>
              </w:tabs>
              <w:spacing w:line="320" w:lineRule="exact"/>
              <w:jc w:val="center"/>
              <w:rPr>
                <w:kern w:val="0"/>
                <w:sz w:val="24"/>
              </w:rPr>
            </w:pPr>
            <w:r>
              <w:rPr>
                <w:kern w:val="0"/>
                <w:sz w:val="24"/>
              </w:rPr>
              <w:t>机构代码证号</w:t>
            </w:r>
          </w:p>
        </w:tc>
        <w:tc>
          <w:tcPr>
            <w:tcW w:w="6360" w:type="dxa"/>
            <w:gridSpan w:val="3"/>
            <w:vAlign w:val="center"/>
          </w:tcPr>
          <w:p>
            <w:pPr>
              <w:tabs>
                <w:tab w:val="left" w:pos="210"/>
              </w:tabs>
              <w:spacing w:line="320" w:lineRule="exact"/>
              <w:jc w:val="center"/>
              <w:rPr>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0" w:hRule="atLeast"/>
          <w:jc w:val="center"/>
        </w:trPr>
        <w:tc>
          <w:tcPr>
            <w:tcW w:w="861" w:type="dxa"/>
            <w:vMerge w:val="restart"/>
            <w:vAlign w:val="center"/>
          </w:tcPr>
          <w:p>
            <w:pPr>
              <w:tabs>
                <w:tab w:val="left" w:pos="210"/>
              </w:tabs>
              <w:spacing w:line="320" w:lineRule="exact"/>
              <w:jc w:val="center"/>
              <w:rPr>
                <w:kern w:val="0"/>
                <w:sz w:val="24"/>
              </w:rPr>
            </w:pPr>
            <w:r>
              <w:rPr>
                <w:kern w:val="0"/>
                <w:sz w:val="24"/>
              </w:rPr>
              <w:t>法定代表人</w:t>
            </w:r>
          </w:p>
        </w:tc>
        <w:tc>
          <w:tcPr>
            <w:tcW w:w="2065" w:type="dxa"/>
            <w:vAlign w:val="center"/>
          </w:tcPr>
          <w:p>
            <w:pPr>
              <w:tabs>
                <w:tab w:val="left" w:pos="210"/>
              </w:tabs>
              <w:spacing w:line="320" w:lineRule="exact"/>
              <w:jc w:val="center"/>
              <w:rPr>
                <w:kern w:val="0"/>
                <w:sz w:val="24"/>
              </w:rPr>
            </w:pPr>
            <w:r>
              <w:rPr>
                <w:kern w:val="0"/>
                <w:sz w:val="24"/>
              </w:rPr>
              <w:t>姓 名</w:t>
            </w:r>
          </w:p>
        </w:tc>
        <w:tc>
          <w:tcPr>
            <w:tcW w:w="2514" w:type="dxa"/>
            <w:vAlign w:val="center"/>
          </w:tcPr>
          <w:p>
            <w:pPr>
              <w:tabs>
                <w:tab w:val="left" w:pos="210"/>
              </w:tabs>
              <w:spacing w:line="320" w:lineRule="exact"/>
              <w:jc w:val="center"/>
              <w:rPr>
                <w:kern w:val="0"/>
                <w:sz w:val="24"/>
              </w:rPr>
            </w:pPr>
          </w:p>
        </w:tc>
        <w:tc>
          <w:tcPr>
            <w:tcW w:w="1783" w:type="dxa"/>
            <w:vAlign w:val="center"/>
          </w:tcPr>
          <w:p>
            <w:pPr>
              <w:tabs>
                <w:tab w:val="left" w:pos="210"/>
              </w:tabs>
              <w:spacing w:line="320" w:lineRule="exact"/>
              <w:jc w:val="center"/>
              <w:rPr>
                <w:kern w:val="0"/>
                <w:sz w:val="24"/>
              </w:rPr>
            </w:pPr>
            <w:r>
              <w:rPr>
                <w:kern w:val="0"/>
                <w:sz w:val="24"/>
              </w:rPr>
              <w:t>性  别</w:t>
            </w:r>
          </w:p>
        </w:tc>
        <w:tc>
          <w:tcPr>
            <w:tcW w:w="2063" w:type="dxa"/>
            <w:vAlign w:val="center"/>
          </w:tcPr>
          <w:p>
            <w:pPr>
              <w:tabs>
                <w:tab w:val="left" w:pos="210"/>
              </w:tabs>
              <w:spacing w:line="320" w:lineRule="exact"/>
              <w:jc w:val="center"/>
              <w:rPr>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0" w:hRule="atLeast"/>
          <w:jc w:val="center"/>
        </w:trPr>
        <w:tc>
          <w:tcPr>
            <w:tcW w:w="861" w:type="dxa"/>
            <w:vMerge w:val="continue"/>
            <w:vAlign w:val="center"/>
          </w:tcPr>
          <w:p>
            <w:pPr>
              <w:tabs>
                <w:tab w:val="left" w:pos="210"/>
              </w:tabs>
              <w:spacing w:line="320" w:lineRule="exact"/>
              <w:jc w:val="center"/>
              <w:rPr>
                <w:kern w:val="0"/>
                <w:sz w:val="24"/>
              </w:rPr>
            </w:pPr>
          </w:p>
        </w:tc>
        <w:tc>
          <w:tcPr>
            <w:tcW w:w="2065" w:type="dxa"/>
            <w:vAlign w:val="center"/>
          </w:tcPr>
          <w:p>
            <w:pPr>
              <w:tabs>
                <w:tab w:val="left" w:pos="210"/>
              </w:tabs>
              <w:spacing w:line="320" w:lineRule="exact"/>
              <w:jc w:val="center"/>
              <w:rPr>
                <w:kern w:val="0"/>
                <w:sz w:val="24"/>
              </w:rPr>
            </w:pPr>
            <w:r>
              <w:rPr>
                <w:kern w:val="0"/>
                <w:sz w:val="24"/>
              </w:rPr>
              <w:t>职 务</w:t>
            </w:r>
          </w:p>
        </w:tc>
        <w:tc>
          <w:tcPr>
            <w:tcW w:w="2514" w:type="dxa"/>
            <w:vAlign w:val="center"/>
          </w:tcPr>
          <w:p>
            <w:pPr>
              <w:tabs>
                <w:tab w:val="left" w:pos="210"/>
              </w:tabs>
              <w:spacing w:line="320" w:lineRule="exact"/>
              <w:jc w:val="center"/>
              <w:rPr>
                <w:kern w:val="0"/>
                <w:sz w:val="24"/>
              </w:rPr>
            </w:pPr>
          </w:p>
        </w:tc>
        <w:tc>
          <w:tcPr>
            <w:tcW w:w="1783" w:type="dxa"/>
            <w:vAlign w:val="center"/>
          </w:tcPr>
          <w:p>
            <w:pPr>
              <w:tabs>
                <w:tab w:val="left" w:pos="210"/>
              </w:tabs>
              <w:spacing w:line="320" w:lineRule="exact"/>
              <w:jc w:val="center"/>
              <w:rPr>
                <w:kern w:val="0"/>
                <w:sz w:val="24"/>
              </w:rPr>
            </w:pPr>
            <w:r>
              <w:rPr>
                <w:kern w:val="0"/>
                <w:sz w:val="24"/>
              </w:rPr>
              <w:t>联系电话</w:t>
            </w:r>
          </w:p>
        </w:tc>
        <w:tc>
          <w:tcPr>
            <w:tcW w:w="2063" w:type="dxa"/>
            <w:vAlign w:val="center"/>
          </w:tcPr>
          <w:p>
            <w:pPr>
              <w:tabs>
                <w:tab w:val="left" w:pos="210"/>
              </w:tabs>
              <w:spacing w:line="320" w:lineRule="exact"/>
              <w:jc w:val="center"/>
              <w:rPr>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0" w:hRule="atLeast"/>
          <w:jc w:val="center"/>
        </w:trPr>
        <w:tc>
          <w:tcPr>
            <w:tcW w:w="861" w:type="dxa"/>
            <w:vMerge w:val="continue"/>
            <w:vAlign w:val="center"/>
          </w:tcPr>
          <w:p>
            <w:pPr>
              <w:tabs>
                <w:tab w:val="left" w:pos="210"/>
              </w:tabs>
              <w:spacing w:line="320" w:lineRule="exact"/>
              <w:jc w:val="center"/>
              <w:rPr>
                <w:kern w:val="0"/>
                <w:sz w:val="24"/>
              </w:rPr>
            </w:pPr>
          </w:p>
        </w:tc>
        <w:tc>
          <w:tcPr>
            <w:tcW w:w="2065" w:type="dxa"/>
            <w:vAlign w:val="center"/>
          </w:tcPr>
          <w:p>
            <w:pPr>
              <w:tabs>
                <w:tab w:val="left" w:pos="210"/>
              </w:tabs>
              <w:spacing w:line="320" w:lineRule="exact"/>
              <w:jc w:val="center"/>
              <w:rPr>
                <w:kern w:val="0"/>
                <w:sz w:val="24"/>
              </w:rPr>
            </w:pPr>
            <w:r>
              <w:rPr>
                <w:kern w:val="0"/>
                <w:sz w:val="24"/>
              </w:rPr>
              <w:t>传 真</w:t>
            </w:r>
          </w:p>
        </w:tc>
        <w:tc>
          <w:tcPr>
            <w:tcW w:w="6360" w:type="dxa"/>
            <w:gridSpan w:val="3"/>
            <w:vAlign w:val="center"/>
          </w:tcPr>
          <w:p>
            <w:pPr>
              <w:tabs>
                <w:tab w:val="left" w:pos="210"/>
              </w:tabs>
              <w:spacing w:line="320" w:lineRule="exact"/>
              <w:jc w:val="center"/>
              <w:rPr>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34" w:hRule="atLeast"/>
          <w:jc w:val="center"/>
        </w:trPr>
        <w:tc>
          <w:tcPr>
            <w:tcW w:w="861" w:type="dxa"/>
            <w:vAlign w:val="center"/>
          </w:tcPr>
          <w:p>
            <w:pPr>
              <w:tabs>
                <w:tab w:val="left" w:pos="210"/>
              </w:tabs>
              <w:spacing w:line="320" w:lineRule="exact"/>
              <w:jc w:val="center"/>
              <w:rPr>
                <w:kern w:val="0"/>
                <w:sz w:val="24"/>
              </w:rPr>
            </w:pPr>
            <w:r>
              <w:rPr>
                <w:kern w:val="0"/>
                <w:sz w:val="24"/>
              </w:rPr>
              <w:t>法定代表人身份证复印件</w:t>
            </w:r>
          </w:p>
        </w:tc>
        <w:tc>
          <w:tcPr>
            <w:tcW w:w="8425" w:type="dxa"/>
            <w:gridSpan w:val="4"/>
            <w:vAlign w:val="center"/>
          </w:tcPr>
          <w:p>
            <w:pPr>
              <w:tabs>
                <w:tab w:val="left" w:pos="210"/>
              </w:tabs>
              <w:spacing w:line="320" w:lineRule="exact"/>
              <w:jc w:val="center"/>
              <w:rPr>
                <w:kern w:val="0"/>
                <w:sz w:val="24"/>
              </w:rPr>
            </w:pPr>
            <w:r>
              <w:rPr>
                <w:rFonts w:hint="eastAsia"/>
                <w:kern w:val="0"/>
                <w:sz w:val="24"/>
              </w:rPr>
              <w:t>（</w:t>
            </w:r>
            <w:r>
              <w:rPr>
                <w:kern w:val="0"/>
                <w:sz w:val="24"/>
              </w:rPr>
              <w:t>法定代表人身份证复印件</w:t>
            </w:r>
            <w:r>
              <w:rPr>
                <w:rFonts w:hint="eastAsia"/>
                <w:kern w:val="0"/>
                <w:sz w:val="24"/>
              </w:rPr>
              <w:t>）</w:t>
            </w:r>
          </w:p>
          <w:p>
            <w:pPr>
              <w:tabs>
                <w:tab w:val="left" w:pos="210"/>
              </w:tabs>
              <w:spacing w:line="320" w:lineRule="exact"/>
              <w:jc w:val="center"/>
              <w:rPr>
                <w:kern w:val="0"/>
                <w:sz w:val="24"/>
              </w:rPr>
            </w:pPr>
          </w:p>
          <w:p>
            <w:pPr>
              <w:tabs>
                <w:tab w:val="left" w:pos="210"/>
              </w:tabs>
              <w:spacing w:line="320" w:lineRule="exact"/>
              <w:jc w:val="center"/>
              <w:rPr>
                <w:kern w:val="0"/>
                <w:sz w:val="24"/>
              </w:rPr>
            </w:pPr>
          </w:p>
          <w:p>
            <w:pPr>
              <w:tabs>
                <w:tab w:val="left" w:pos="210"/>
              </w:tabs>
              <w:spacing w:line="320" w:lineRule="exact"/>
              <w:jc w:val="center"/>
              <w:rPr>
                <w:kern w:val="0"/>
                <w:sz w:val="24"/>
              </w:rPr>
            </w:pPr>
          </w:p>
          <w:p>
            <w:pPr>
              <w:tabs>
                <w:tab w:val="left" w:pos="210"/>
              </w:tabs>
              <w:spacing w:line="320" w:lineRule="exact"/>
              <w:jc w:val="center"/>
              <w:rPr>
                <w:kern w:val="0"/>
                <w:sz w:val="24"/>
              </w:rPr>
            </w:pPr>
          </w:p>
          <w:p>
            <w:pPr>
              <w:tabs>
                <w:tab w:val="left" w:pos="210"/>
              </w:tabs>
              <w:spacing w:line="320" w:lineRule="exact"/>
              <w:jc w:val="center"/>
              <w:rPr>
                <w:kern w:val="0"/>
                <w:sz w:val="24"/>
              </w:rPr>
            </w:pPr>
          </w:p>
          <w:p>
            <w:pPr>
              <w:tabs>
                <w:tab w:val="left" w:pos="210"/>
              </w:tabs>
              <w:spacing w:line="320" w:lineRule="exact"/>
              <w:jc w:val="center"/>
              <w:rPr>
                <w:kern w:val="0"/>
                <w:sz w:val="24"/>
              </w:rPr>
            </w:pPr>
          </w:p>
          <w:p>
            <w:pPr>
              <w:tabs>
                <w:tab w:val="left" w:pos="210"/>
              </w:tabs>
              <w:spacing w:line="320" w:lineRule="exact"/>
              <w:jc w:val="center"/>
              <w:rPr>
                <w:kern w:val="0"/>
                <w:sz w:val="24"/>
              </w:rPr>
            </w:pPr>
          </w:p>
          <w:p>
            <w:pPr>
              <w:tabs>
                <w:tab w:val="left" w:pos="210"/>
              </w:tabs>
              <w:spacing w:line="320" w:lineRule="exact"/>
              <w:jc w:val="center"/>
              <w:rPr>
                <w:kern w:val="0"/>
                <w:sz w:val="24"/>
              </w:rPr>
            </w:pPr>
          </w:p>
          <w:p>
            <w:pPr>
              <w:pStyle w:val="2"/>
            </w:pPr>
          </w:p>
          <w:p>
            <w:pPr>
              <w:tabs>
                <w:tab w:val="left" w:pos="210"/>
              </w:tabs>
              <w:spacing w:line="320" w:lineRule="exact"/>
              <w:jc w:val="center"/>
              <w:rPr>
                <w:kern w:val="0"/>
                <w:sz w:val="24"/>
              </w:rPr>
            </w:pPr>
          </w:p>
          <w:p>
            <w:pPr>
              <w:tabs>
                <w:tab w:val="left" w:pos="210"/>
              </w:tabs>
              <w:spacing w:line="320" w:lineRule="exact"/>
              <w:jc w:val="center"/>
              <w:rPr>
                <w:kern w:val="0"/>
                <w:sz w:val="24"/>
              </w:rPr>
            </w:pPr>
          </w:p>
          <w:p>
            <w:pPr>
              <w:tabs>
                <w:tab w:val="left" w:pos="210"/>
              </w:tabs>
              <w:spacing w:line="320" w:lineRule="exact"/>
              <w:rPr>
                <w:kern w:val="0"/>
                <w:sz w:val="24"/>
              </w:rPr>
            </w:pPr>
            <w:r>
              <w:rPr>
                <w:kern w:val="0"/>
                <w:sz w:val="24"/>
              </w:rPr>
              <w:t xml:space="preserve"> </w:t>
            </w:r>
          </w:p>
        </w:tc>
      </w:tr>
    </w:tbl>
    <w:p>
      <w:pPr>
        <w:autoSpaceDE w:val="0"/>
        <w:autoSpaceDN w:val="0"/>
        <w:adjustRightInd w:val="0"/>
        <w:spacing w:line="360" w:lineRule="auto"/>
        <w:rPr>
          <w:sz w:val="24"/>
        </w:rPr>
      </w:pPr>
    </w:p>
    <w:p>
      <w:pPr>
        <w:autoSpaceDE w:val="0"/>
        <w:autoSpaceDN w:val="0"/>
        <w:adjustRightInd w:val="0"/>
        <w:spacing w:line="360" w:lineRule="auto"/>
        <w:rPr>
          <w:b/>
          <w:sz w:val="24"/>
        </w:rPr>
      </w:pPr>
      <w:r>
        <w:rPr>
          <w:b/>
          <w:sz w:val="22"/>
        </w:rPr>
        <w:t>注：</w:t>
      </w:r>
      <w:r>
        <w:rPr>
          <w:rFonts w:hint="eastAsia"/>
          <w:b/>
          <w:sz w:val="22"/>
        </w:rPr>
        <w:t>磋商响应单位</w:t>
      </w:r>
      <w:r>
        <w:rPr>
          <w:b/>
          <w:sz w:val="22"/>
        </w:rPr>
        <w:t>法定代表人直接参加磋商，仅填写本表不需填写授权书</w:t>
      </w:r>
      <w:r>
        <w:rPr>
          <w:b/>
          <w:sz w:val="28"/>
        </w:rPr>
        <w:t>。</w:t>
      </w:r>
    </w:p>
    <w:p>
      <w:pPr>
        <w:adjustRightInd w:val="0"/>
        <w:snapToGrid w:val="0"/>
        <w:spacing w:after="300" w:line="360" w:lineRule="auto"/>
        <w:jc w:val="center"/>
        <w:outlineLvl w:val="1"/>
        <w:rPr>
          <w:b/>
          <w:bCs/>
          <w:sz w:val="28"/>
          <w:szCs w:val="28"/>
        </w:rPr>
      </w:pPr>
      <w:r>
        <w:rPr>
          <w:sz w:val="28"/>
          <w:szCs w:val="28"/>
        </w:rPr>
        <w:br w:type="page"/>
      </w:r>
      <w:r>
        <w:rPr>
          <w:b/>
          <w:bCs/>
          <w:sz w:val="30"/>
          <w:szCs w:val="30"/>
        </w:rPr>
        <w:t>法定代表人授权委托书（格式）</w:t>
      </w:r>
    </w:p>
    <w:p>
      <w:pPr>
        <w:adjustRightInd w:val="0"/>
        <w:snapToGrid w:val="0"/>
        <w:spacing w:line="360" w:lineRule="auto"/>
        <w:ind w:firstLine="480" w:firstLineChars="200"/>
        <w:jc w:val="left"/>
        <w:rPr>
          <w:sz w:val="24"/>
          <w:szCs w:val="28"/>
        </w:rPr>
      </w:pPr>
      <w:r>
        <w:rPr>
          <w:sz w:val="24"/>
          <w:szCs w:val="28"/>
        </w:rPr>
        <w:t>本人</w:t>
      </w:r>
      <w:r>
        <w:rPr>
          <w:sz w:val="24"/>
          <w:szCs w:val="28"/>
          <w:u w:val="single"/>
        </w:rPr>
        <w:t xml:space="preserve">       </w:t>
      </w:r>
      <w:r>
        <w:rPr>
          <w:sz w:val="24"/>
          <w:szCs w:val="28"/>
        </w:rPr>
        <w:t>（姓名）系</w:t>
      </w:r>
      <w:r>
        <w:rPr>
          <w:sz w:val="24"/>
          <w:szCs w:val="28"/>
          <w:u w:val="single"/>
        </w:rPr>
        <w:t xml:space="preserve">          </w:t>
      </w:r>
      <w:r>
        <w:rPr>
          <w:sz w:val="24"/>
          <w:szCs w:val="28"/>
        </w:rPr>
        <w:t>（</w:t>
      </w:r>
      <w:r>
        <w:rPr>
          <w:rFonts w:hint="eastAsia"/>
          <w:sz w:val="24"/>
          <w:szCs w:val="28"/>
        </w:rPr>
        <w:t>磋商响应单位</w:t>
      </w:r>
      <w:r>
        <w:rPr>
          <w:sz w:val="24"/>
          <w:szCs w:val="28"/>
        </w:rPr>
        <w:t>名称）的法定代表人，现委托</w:t>
      </w:r>
      <w:r>
        <w:rPr>
          <w:sz w:val="24"/>
          <w:szCs w:val="28"/>
          <w:u w:val="single"/>
        </w:rPr>
        <w:t xml:space="preserve">      </w:t>
      </w:r>
      <w:r>
        <w:rPr>
          <w:sz w:val="24"/>
          <w:szCs w:val="28"/>
        </w:rPr>
        <w:t>（姓名）为我方代理人。代理人根据授权，以我方名义参加、签署、澄清、说明、补正、递交、撤回、修改</w:t>
      </w:r>
      <w:r>
        <w:rPr>
          <w:sz w:val="24"/>
          <w:szCs w:val="28"/>
          <w:u w:val="single"/>
        </w:rPr>
        <w:t xml:space="preserve"> （项目名称）</w:t>
      </w:r>
      <w:r>
        <w:rPr>
          <w:sz w:val="24"/>
          <w:szCs w:val="28"/>
        </w:rPr>
        <w:t>项目响应文件、参加磋商、签订合同和处理有关事宜，其法律后果由我方承担。</w:t>
      </w:r>
    </w:p>
    <w:p>
      <w:pPr>
        <w:adjustRightInd w:val="0"/>
        <w:snapToGrid w:val="0"/>
        <w:spacing w:line="360" w:lineRule="auto"/>
        <w:ind w:firstLine="480" w:firstLineChars="200"/>
        <w:rPr>
          <w:sz w:val="24"/>
          <w:szCs w:val="28"/>
        </w:rPr>
      </w:pPr>
      <w:r>
        <w:rPr>
          <w:sz w:val="24"/>
          <w:szCs w:val="28"/>
        </w:rPr>
        <w:t>委托期限：自</w:t>
      </w:r>
      <w:r>
        <w:rPr>
          <w:rFonts w:hint="eastAsia"/>
          <w:sz w:val="24"/>
          <w:szCs w:val="28"/>
        </w:rPr>
        <w:t>磋商响应文件递交之日起</w:t>
      </w:r>
      <w:r>
        <w:rPr>
          <w:sz w:val="24"/>
          <w:szCs w:val="28"/>
        </w:rPr>
        <w:t>90个日历天</w:t>
      </w:r>
    </w:p>
    <w:p>
      <w:pPr>
        <w:adjustRightInd w:val="0"/>
        <w:snapToGrid w:val="0"/>
        <w:spacing w:line="360" w:lineRule="auto"/>
        <w:ind w:firstLine="480" w:firstLineChars="200"/>
        <w:rPr>
          <w:sz w:val="24"/>
          <w:szCs w:val="28"/>
        </w:rPr>
      </w:pPr>
      <w:r>
        <w:rPr>
          <w:sz w:val="24"/>
          <w:szCs w:val="28"/>
        </w:rPr>
        <w:t>代理人无转委托权。</w:t>
      </w:r>
    </w:p>
    <w:p>
      <w:pPr>
        <w:adjustRightInd w:val="0"/>
        <w:snapToGrid w:val="0"/>
        <w:spacing w:line="360" w:lineRule="auto"/>
        <w:ind w:firstLine="480" w:firstLineChars="200"/>
        <w:rPr>
          <w:rFonts w:hint="eastAsia" w:eastAsia="宋体"/>
          <w:sz w:val="24"/>
          <w:szCs w:val="28"/>
          <w:lang w:eastAsia="zh-CN"/>
        </w:rPr>
      </w:pPr>
      <w:r>
        <w:rPr>
          <w:sz w:val="24"/>
          <w:szCs w:val="28"/>
        </w:rPr>
        <w:t>附：法定代表人身份证</w:t>
      </w:r>
      <w:r>
        <w:rPr>
          <w:rFonts w:hint="eastAsia"/>
          <w:sz w:val="24"/>
          <w:szCs w:val="28"/>
          <w:lang w:val="en-US" w:eastAsia="zh-CN"/>
        </w:rPr>
        <w:t>复印件</w:t>
      </w:r>
    </w:p>
    <w:p>
      <w:pPr>
        <w:spacing w:line="360" w:lineRule="auto"/>
        <w:ind w:firstLine="480" w:firstLineChars="200"/>
        <w:rPr>
          <w:rFonts w:hint="eastAsia" w:eastAsia="宋体"/>
          <w:sz w:val="24"/>
          <w:lang w:val="en-US" w:eastAsia="zh-CN"/>
        </w:rPr>
      </w:pPr>
      <w:r>
        <w:rPr>
          <w:sz w:val="24"/>
          <w:szCs w:val="28"/>
        </w:rPr>
        <w:t>附：</w:t>
      </w:r>
      <w:r>
        <w:rPr>
          <w:sz w:val="24"/>
        </w:rPr>
        <w:t>委托代理人身份证</w:t>
      </w:r>
      <w:r>
        <w:rPr>
          <w:rFonts w:hint="eastAsia"/>
          <w:sz w:val="24"/>
          <w:lang w:val="en-US" w:eastAsia="zh-CN"/>
        </w:rPr>
        <w:t>复印件</w:t>
      </w:r>
    </w:p>
    <w:p>
      <w:pPr>
        <w:pStyle w:val="2"/>
        <w:ind w:firstLine="480"/>
        <w:rPr>
          <w:sz w:val="24"/>
        </w:rPr>
      </w:pPr>
    </w:p>
    <w:p>
      <w:pPr>
        <w:pStyle w:val="2"/>
        <w:ind w:firstLine="480"/>
        <w:rPr>
          <w:sz w:val="24"/>
        </w:rPr>
      </w:pPr>
    </w:p>
    <w:p>
      <w:pPr>
        <w:pStyle w:val="2"/>
        <w:ind w:firstLine="480"/>
        <w:rPr>
          <w:sz w:val="24"/>
        </w:rPr>
      </w:pPr>
    </w:p>
    <w:p>
      <w:pPr>
        <w:pStyle w:val="2"/>
        <w:ind w:firstLine="480"/>
        <w:rPr>
          <w:sz w:val="24"/>
        </w:rPr>
      </w:pPr>
    </w:p>
    <w:p>
      <w:pPr>
        <w:pStyle w:val="2"/>
        <w:ind w:firstLine="480"/>
        <w:rPr>
          <w:sz w:val="24"/>
        </w:rPr>
      </w:pPr>
    </w:p>
    <w:p>
      <w:pPr>
        <w:pStyle w:val="2"/>
        <w:ind w:firstLine="480"/>
        <w:rPr>
          <w:sz w:val="24"/>
        </w:rPr>
      </w:pPr>
    </w:p>
    <w:p>
      <w:pPr>
        <w:pStyle w:val="2"/>
        <w:ind w:firstLine="480"/>
        <w:rPr>
          <w:sz w:val="24"/>
        </w:rPr>
      </w:pPr>
    </w:p>
    <w:p>
      <w:pPr>
        <w:pStyle w:val="2"/>
        <w:ind w:firstLine="480"/>
        <w:rPr>
          <w:sz w:val="24"/>
        </w:rPr>
      </w:pPr>
    </w:p>
    <w:p>
      <w:pPr>
        <w:pStyle w:val="2"/>
        <w:ind w:firstLine="480"/>
        <w:rPr>
          <w:sz w:val="24"/>
        </w:rPr>
      </w:pPr>
    </w:p>
    <w:p>
      <w:pPr>
        <w:pStyle w:val="2"/>
        <w:ind w:firstLine="480"/>
        <w:rPr>
          <w:sz w:val="24"/>
        </w:rPr>
      </w:pPr>
    </w:p>
    <w:p>
      <w:pPr>
        <w:pStyle w:val="2"/>
        <w:ind w:firstLine="480"/>
        <w:rPr>
          <w:sz w:val="24"/>
        </w:rPr>
      </w:pPr>
    </w:p>
    <w:p>
      <w:pPr>
        <w:pStyle w:val="2"/>
        <w:ind w:firstLine="480"/>
        <w:rPr>
          <w:sz w:val="24"/>
        </w:rPr>
      </w:pPr>
    </w:p>
    <w:p>
      <w:pPr>
        <w:pStyle w:val="2"/>
        <w:ind w:firstLine="480"/>
        <w:rPr>
          <w:sz w:val="24"/>
        </w:rPr>
      </w:pPr>
    </w:p>
    <w:p>
      <w:pPr>
        <w:pStyle w:val="2"/>
        <w:ind w:firstLine="480"/>
        <w:rPr>
          <w:sz w:val="24"/>
        </w:rPr>
      </w:pPr>
    </w:p>
    <w:p>
      <w:pPr>
        <w:pStyle w:val="2"/>
        <w:ind w:firstLine="480"/>
        <w:rPr>
          <w:sz w:val="24"/>
        </w:rPr>
      </w:pPr>
    </w:p>
    <w:p>
      <w:pPr>
        <w:pStyle w:val="2"/>
        <w:ind w:firstLine="480"/>
        <w:rPr>
          <w:sz w:val="24"/>
        </w:rPr>
      </w:pPr>
    </w:p>
    <w:p>
      <w:pPr>
        <w:pStyle w:val="2"/>
        <w:ind w:firstLine="480"/>
        <w:rPr>
          <w:sz w:val="24"/>
        </w:rPr>
      </w:pPr>
    </w:p>
    <w:p>
      <w:pPr>
        <w:pStyle w:val="2"/>
        <w:ind w:firstLine="480"/>
        <w:rPr>
          <w:sz w:val="24"/>
        </w:rPr>
      </w:pPr>
    </w:p>
    <w:p>
      <w:pPr>
        <w:adjustRightInd w:val="0"/>
        <w:snapToGrid w:val="0"/>
        <w:spacing w:line="360" w:lineRule="auto"/>
        <w:rPr>
          <w:sz w:val="24"/>
          <w:szCs w:val="28"/>
        </w:rPr>
      </w:pPr>
      <w:r>
        <w:rPr>
          <w:rFonts w:hint="eastAsia"/>
          <w:sz w:val="24"/>
          <w:szCs w:val="28"/>
        </w:rPr>
        <w:t>磋商响应单位</w:t>
      </w:r>
      <w:r>
        <w:rPr>
          <w:sz w:val="24"/>
          <w:szCs w:val="28"/>
        </w:rPr>
        <w:t>名称：</w:t>
      </w:r>
      <w:r>
        <w:rPr>
          <w:sz w:val="24"/>
          <w:szCs w:val="28"/>
          <w:u w:val="single"/>
        </w:rPr>
        <w:t xml:space="preserve">                      </w:t>
      </w:r>
      <w:r>
        <w:rPr>
          <w:sz w:val="24"/>
          <w:szCs w:val="28"/>
        </w:rPr>
        <w:t>（公章）</w:t>
      </w:r>
    </w:p>
    <w:p>
      <w:pPr>
        <w:adjustRightInd w:val="0"/>
        <w:snapToGrid w:val="0"/>
        <w:spacing w:line="360" w:lineRule="auto"/>
        <w:rPr>
          <w:sz w:val="24"/>
          <w:szCs w:val="28"/>
        </w:rPr>
      </w:pPr>
      <w:r>
        <w:rPr>
          <w:sz w:val="24"/>
          <w:szCs w:val="28"/>
        </w:rPr>
        <w:t>法定代表人：</w:t>
      </w:r>
      <w:r>
        <w:rPr>
          <w:sz w:val="24"/>
          <w:szCs w:val="28"/>
          <w:u w:val="single"/>
        </w:rPr>
        <w:t xml:space="preserve">                      </w:t>
      </w:r>
      <w:r>
        <w:rPr>
          <w:sz w:val="24"/>
          <w:szCs w:val="28"/>
        </w:rPr>
        <w:t>（签字或盖章）</w:t>
      </w:r>
    </w:p>
    <w:p>
      <w:pPr>
        <w:adjustRightInd w:val="0"/>
        <w:snapToGrid w:val="0"/>
        <w:spacing w:line="360" w:lineRule="auto"/>
        <w:rPr>
          <w:sz w:val="24"/>
          <w:szCs w:val="28"/>
        </w:rPr>
      </w:pPr>
      <w:r>
        <w:rPr>
          <w:sz w:val="24"/>
          <w:szCs w:val="28"/>
        </w:rPr>
        <w:t>委托代理人：</w:t>
      </w:r>
      <w:r>
        <w:rPr>
          <w:sz w:val="24"/>
          <w:szCs w:val="28"/>
          <w:u w:val="single"/>
        </w:rPr>
        <w:t xml:space="preserve">                      </w:t>
      </w:r>
      <w:r>
        <w:rPr>
          <w:sz w:val="24"/>
          <w:szCs w:val="28"/>
        </w:rPr>
        <w:t>（签字或盖章）</w:t>
      </w:r>
    </w:p>
    <w:p>
      <w:pPr>
        <w:adjustRightInd w:val="0"/>
        <w:snapToGrid w:val="0"/>
        <w:spacing w:line="360" w:lineRule="auto"/>
        <w:ind w:left="240" w:hanging="240" w:hangingChars="100"/>
        <w:rPr>
          <w:sz w:val="24"/>
          <w:szCs w:val="28"/>
        </w:rPr>
      </w:pPr>
      <w:r>
        <w:rPr>
          <w:sz w:val="24"/>
          <w:szCs w:val="28"/>
        </w:rPr>
        <w:t>日  期</w:t>
      </w:r>
      <w:r>
        <w:rPr>
          <w:rFonts w:hint="eastAsia"/>
          <w:sz w:val="24"/>
          <w:szCs w:val="28"/>
        </w:rPr>
        <w:t xml:space="preserve"> ：</w:t>
      </w:r>
      <w:r>
        <w:rPr>
          <w:rFonts w:hint="eastAsia"/>
          <w:sz w:val="24"/>
          <w:szCs w:val="28"/>
          <w:u w:val="single"/>
        </w:rPr>
        <w:t xml:space="preserve">    </w:t>
      </w:r>
      <w:r>
        <w:rPr>
          <w:sz w:val="24"/>
          <w:szCs w:val="28"/>
        </w:rPr>
        <w:t>年</w:t>
      </w:r>
      <w:r>
        <w:rPr>
          <w:sz w:val="24"/>
          <w:szCs w:val="28"/>
          <w:u w:val="single"/>
        </w:rPr>
        <w:t xml:space="preserve">   </w:t>
      </w:r>
      <w:r>
        <w:rPr>
          <w:sz w:val="24"/>
          <w:szCs w:val="28"/>
        </w:rPr>
        <w:t>月</w:t>
      </w:r>
      <w:r>
        <w:rPr>
          <w:sz w:val="24"/>
          <w:szCs w:val="28"/>
          <w:u w:val="single"/>
        </w:rPr>
        <w:t xml:space="preserve">   </w:t>
      </w:r>
      <w:r>
        <w:rPr>
          <w:sz w:val="24"/>
          <w:szCs w:val="28"/>
        </w:rPr>
        <w:t xml:space="preserve">日    </w:t>
      </w:r>
    </w:p>
    <w:p>
      <w:pPr>
        <w:autoSpaceDE w:val="0"/>
        <w:autoSpaceDN w:val="0"/>
        <w:adjustRightInd w:val="0"/>
        <w:snapToGrid w:val="0"/>
        <w:spacing w:line="360" w:lineRule="auto"/>
        <w:ind w:firstLine="602" w:firstLineChars="200"/>
        <w:jc w:val="left"/>
        <w:rPr>
          <w:sz w:val="24"/>
          <w:szCs w:val="28"/>
        </w:rPr>
      </w:pPr>
      <w:r>
        <w:rPr>
          <w:b/>
          <w:bCs/>
          <w:sz w:val="30"/>
          <w:szCs w:val="30"/>
        </w:rPr>
        <w:br w:type="page"/>
      </w:r>
    </w:p>
    <w:p>
      <w:pPr>
        <w:adjustRightInd w:val="0"/>
        <w:snapToGrid w:val="0"/>
        <w:spacing w:after="300" w:line="360" w:lineRule="auto"/>
        <w:jc w:val="center"/>
        <w:outlineLvl w:val="0"/>
        <w:rPr>
          <w:rFonts w:hint="eastAsia" w:eastAsia="宋体"/>
          <w:b/>
          <w:bCs/>
          <w:sz w:val="30"/>
          <w:szCs w:val="30"/>
          <w:lang w:eastAsia="zh-CN"/>
        </w:rPr>
      </w:pPr>
      <w:bookmarkStart w:id="56" w:name="_Toc23316"/>
      <w:bookmarkStart w:id="57" w:name="_Toc31797_WPSOffice_Level1"/>
      <w:r>
        <w:rPr>
          <w:rFonts w:hint="eastAsia"/>
          <w:b/>
          <w:bCs/>
          <w:sz w:val="30"/>
          <w:szCs w:val="30"/>
        </w:rPr>
        <w:t>三</w:t>
      </w:r>
      <w:r>
        <w:rPr>
          <w:b/>
          <w:bCs/>
          <w:sz w:val="30"/>
          <w:szCs w:val="30"/>
        </w:rPr>
        <w:t>、</w:t>
      </w:r>
      <w:bookmarkEnd w:id="56"/>
      <w:bookmarkEnd w:id="57"/>
      <w:r>
        <w:rPr>
          <w:rFonts w:hint="eastAsia" w:cs="Times New Roman"/>
          <w:b/>
          <w:bCs/>
          <w:sz w:val="30"/>
          <w:szCs w:val="30"/>
          <w:lang w:eastAsia="zh-CN"/>
        </w:rPr>
        <w:t>具备建设部门颁发的电力工程施工总承包三级（含）及以上资质或输变电工程专业承包三级（含）及以上资质，具有有效的安全生产许可证，且具备承装、承修、承试五级及以上承装（修、试）电力设施许可证</w:t>
      </w:r>
    </w:p>
    <w:p>
      <w:pPr>
        <w:autoSpaceDE w:val="0"/>
        <w:autoSpaceDN w:val="0"/>
        <w:adjustRightInd w:val="0"/>
        <w:snapToGrid w:val="0"/>
        <w:spacing w:line="360" w:lineRule="auto"/>
        <w:jc w:val="center"/>
        <w:rPr>
          <w:b/>
          <w:bCs/>
          <w:sz w:val="30"/>
          <w:szCs w:val="30"/>
        </w:rPr>
      </w:pPr>
      <w:r>
        <w:rPr>
          <w:sz w:val="28"/>
          <w:szCs w:val="28"/>
        </w:rPr>
        <w:br w:type="page"/>
      </w:r>
    </w:p>
    <w:p>
      <w:pPr>
        <w:adjustRightInd w:val="0"/>
        <w:snapToGrid w:val="0"/>
        <w:spacing w:line="360" w:lineRule="auto"/>
        <w:jc w:val="center"/>
        <w:outlineLvl w:val="0"/>
        <w:rPr>
          <w:b/>
          <w:bCs/>
          <w:sz w:val="30"/>
          <w:szCs w:val="30"/>
        </w:rPr>
      </w:pPr>
      <w:bookmarkStart w:id="58" w:name="_Toc20655"/>
      <w:bookmarkStart w:id="59" w:name="_Toc4854_WPSOffice_Level1"/>
      <w:r>
        <w:rPr>
          <w:rFonts w:hint="eastAsia"/>
          <w:b/>
          <w:bCs/>
          <w:sz w:val="30"/>
          <w:szCs w:val="30"/>
        </w:rPr>
        <w:t>四、注册建造师证及安全生产考核合格证复印件</w:t>
      </w:r>
      <w:bookmarkEnd w:id="58"/>
      <w:bookmarkEnd w:id="59"/>
    </w:p>
    <w:p>
      <w:pPr>
        <w:adjustRightInd w:val="0"/>
        <w:snapToGrid w:val="0"/>
        <w:spacing w:after="300" w:line="360" w:lineRule="auto"/>
        <w:jc w:val="center"/>
        <w:outlineLvl w:val="1"/>
        <w:rPr>
          <w:b/>
          <w:bCs/>
          <w:sz w:val="28"/>
          <w:szCs w:val="28"/>
        </w:rPr>
      </w:pPr>
      <w:r>
        <w:rPr>
          <w:rFonts w:hint="eastAsia"/>
          <w:b/>
          <w:bCs/>
          <w:sz w:val="28"/>
          <w:szCs w:val="28"/>
        </w:rPr>
        <w:t>（提供在本单位注册且无在建工程的证明）</w:t>
      </w:r>
    </w:p>
    <w:p>
      <w:pPr>
        <w:pStyle w:val="2"/>
        <w:ind w:firstLine="562"/>
        <w:jc w:val="center"/>
      </w:pPr>
      <w:r>
        <w:rPr>
          <w:rFonts w:hint="eastAsia"/>
          <w:b/>
          <w:bCs/>
          <w:sz w:val="28"/>
          <w:szCs w:val="28"/>
        </w:rPr>
        <w:t>（格式自拟）</w:t>
      </w:r>
    </w:p>
    <w:p/>
    <w:p/>
    <w:p/>
    <w:p/>
    <w:p/>
    <w:p/>
    <w:p/>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
    <w:p/>
    <w:p/>
    <w:p>
      <w:pPr>
        <w:pStyle w:val="2"/>
      </w:pPr>
    </w:p>
    <w:p>
      <w:pPr>
        <w:pStyle w:val="2"/>
      </w:pPr>
    </w:p>
    <w:p>
      <w:pPr>
        <w:pStyle w:val="2"/>
      </w:pPr>
    </w:p>
    <w:p>
      <w:pPr>
        <w:pStyle w:val="2"/>
      </w:pPr>
    </w:p>
    <w:p>
      <w:pPr>
        <w:pStyle w:val="2"/>
      </w:pPr>
    </w:p>
    <w:p>
      <w:pPr>
        <w:pStyle w:val="2"/>
      </w:pPr>
    </w:p>
    <w:p>
      <w:pPr>
        <w:pStyle w:val="2"/>
      </w:pPr>
    </w:p>
    <w:p/>
    <w:p/>
    <w:p>
      <w:pPr>
        <w:adjustRightInd w:val="0"/>
        <w:snapToGrid w:val="0"/>
        <w:spacing w:after="300" w:line="360" w:lineRule="auto"/>
        <w:jc w:val="center"/>
        <w:outlineLvl w:val="0"/>
        <w:rPr>
          <w:b/>
          <w:bCs/>
          <w:sz w:val="30"/>
          <w:szCs w:val="30"/>
        </w:rPr>
        <w:sectPr>
          <w:pgSz w:w="11906" w:h="16838"/>
          <w:pgMar w:top="1440" w:right="1457" w:bottom="1440" w:left="1463" w:header="851" w:footer="992" w:gutter="0"/>
          <w:cols w:space="0" w:num="1"/>
          <w:titlePg/>
          <w:docGrid w:type="lines" w:linePitch="312" w:charSpace="0"/>
        </w:sectPr>
      </w:pPr>
      <w:bookmarkStart w:id="60" w:name="_Toc16727"/>
      <w:bookmarkStart w:id="61" w:name="_Toc25823_WPSOffice_Level1"/>
    </w:p>
    <w:bookmarkEnd w:id="60"/>
    <w:bookmarkEnd w:id="61"/>
    <w:p>
      <w:pPr>
        <w:pStyle w:val="2"/>
        <w:ind w:firstLine="0" w:firstLineChars="0"/>
        <w:outlineLvl w:val="1"/>
        <w:rPr>
          <w:rFonts w:ascii="宋体" w:hAnsi="宋体"/>
          <w:b/>
          <w:bCs/>
          <w:kern w:val="0"/>
          <w:sz w:val="32"/>
          <w:szCs w:val="32"/>
        </w:rPr>
      </w:pPr>
      <w:r>
        <w:rPr>
          <w:rFonts w:hint="eastAsia"/>
          <w:b/>
          <w:bCs/>
          <w:sz w:val="30"/>
          <w:szCs w:val="30"/>
        </w:rPr>
        <w:t>五、供应商不得为“信用中国”网站（www.creditchina.gov.cn）（中国执行信息公开网）中列入失信被执行人和</w:t>
      </w:r>
      <w:r>
        <w:rPr>
          <w:rFonts w:hint="eastAsia"/>
          <w:b/>
          <w:bCs/>
          <w:sz w:val="30"/>
          <w:szCs w:val="30"/>
          <w:lang w:eastAsia="zh-CN"/>
        </w:rPr>
        <w:t>税收违法黑名单</w:t>
      </w:r>
      <w:r>
        <w:rPr>
          <w:rFonts w:hint="eastAsia"/>
          <w:b/>
          <w:bCs/>
          <w:sz w:val="30"/>
          <w:szCs w:val="30"/>
        </w:rPr>
        <w:t>的供应商，不得为中国政府采购网（www.ccgp.gov.cn）政府采购严重违法失信行为记录名单中被财政部门禁止参加政府采购活动的供应商；</w:t>
      </w:r>
    </w:p>
    <w:p>
      <w:pPr>
        <w:pStyle w:val="2"/>
        <w:ind w:firstLine="0" w:firstLineChars="0"/>
        <w:rPr>
          <w:rFonts w:ascii="宋体" w:hAnsi="宋体"/>
          <w:b/>
          <w:bCs/>
          <w:kern w:val="0"/>
          <w:sz w:val="32"/>
          <w:szCs w:val="32"/>
        </w:rPr>
      </w:pPr>
    </w:p>
    <w:p>
      <w:pPr>
        <w:pStyle w:val="2"/>
        <w:ind w:firstLine="0" w:firstLineChars="0"/>
        <w:rPr>
          <w:rFonts w:ascii="宋体" w:hAnsi="宋体"/>
          <w:b/>
          <w:bCs/>
          <w:kern w:val="0"/>
          <w:sz w:val="32"/>
          <w:szCs w:val="32"/>
        </w:rPr>
      </w:pPr>
    </w:p>
    <w:p>
      <w:pPr>
        <w:pStyle w:val="2"/>
        <w:ind w:firstLine="0" w:firstLineChars="0"/>
        <w:rPr>
          <w:rFonts w:ascii="宋体" w:hAnsi="宋体"/>
          <w:b/>
          <w:bCs/>
          <w:kern w:val="0"/>
          <w:sz w:val="32"/>
          <w:szCs w:val="32"/>
        </w:rPr>
      </w:pPr>
    </w:p>
    <w:p>
      <w:pPr>
        <w:pStyle w:val="2"/>
        <w:ind w:firstLine="0" w:firstLineChars="0"/>
        <w:rPr>
          <w:rFonts w:ascii="宋体" w:hAnsi="宋体"/>
          <w:b/>
          <w:bCs/>
          <w:kern w:val="0"/>
          <w:sz w:val="32"/>
          <w:szCs w:val="32"/>
        </w:rPr>
      </w:pPr>
    </w:p>
    <w:p>
      <w:pPr>
        <w:pStyle w:val="2"/>
        <w:ind w:firstLine="0" w:firstLineChars="0"/>
        <w:rPr>
          <w:rFonts w:ascii="宋体" w:hAnsi="宋体"/>
          <w:b/>
          <w:bCs/>
          <w:kern w:val="0"/>
          <w:sz w:val="32"/>
          <w:szCs w:val="32"/>
        </w:rPr>
      </w:pPr>
    </w:p>
    <w:p>
      <w:pPr>
        <w:pStyle w:val="2"/>
        <w:ind w:firstLine="0" w:firstLineChars="0"/>
        <w:rPr>
          <w:rFonts w:ascii="宋体" w:hAnsi="宋体"/>
          <w:b/>
          <w:bCs/>
          <w:kern w:val="0"/>
          <w:sz w:val="32"/>
          <w:szCs w:val="32"/>
        </w:rPr>
      </w:pPr>
    </w:p>
    <w:p>
      <w:pPr>
        <w:pStyle w:val="2"/>
        <w:ind w:firstLine="0" w:firstLineChars="0"/>
        <w:rPr>
          <w:rFonts w:ascii="宋体" w:hAnsi="宋体"/>
          <w:b/>
          <w:bCs/>
          <w:kern w:val="0"/>
          <w:sz w:val="32"/>
          <w:szCs w:val="32"/>
        </w:rPr>
      </w:pPr>
    </w:p>
    <w:p>
      <w:pPr>
        <w:pStyle w:val="2"/>
        <w:ind w:firstLine="0" w:firstLineChars="0"/>
        <w:rPr>
          <w:rFonts w:ascii="宋体" w:hAnsi="宋体"/>
          <w:b/>
          <w:bCs/>
          <w:kern w:val="0"/>
          <w:sz w:val="32"/>
          <w:szCs w:val="32"/>
        </w:rPr>
      </w:pPr>
    </w:p>
    <w:p>
      <w:pPr>
        <w:pStyle w:val="2"/>
        <w:ind w:firstLine="0" w:firstLineChars="0"/>
        <w:rPr>
          <w:rFonts w:ascii="宋体" w:hAnsi="宋体"/>
          <w:b/>
          <w:bCs/>
          <w:kern w:val="0"/>
          <w:sz w:val="32"/>
          <w:szCs w:val="32"/>
        </w:rPr>
      </w:pPr>
    </w:p>
    <w:p>
      <w:pPr>
        <w:pStyle w:val="2"/>
        <w:ind w:firstLine="0" w:firstLineChars="0"/>
        <w:rPr>
          <w:rFonts w:ascii="宋体" w:hAnsi="宋体"/>
          <w:b/>
          <w:bCs/>
          <w:kern w:val="0"/>
          <w:sz w:val="32"/>
          <w:szCs w:val="32"/>
        </w:rPr>
      </w:pPr>
    </w:p>
    <w:p>
      <w:pPr>
        <w:pStyle w:val="2"/>
        <w:ind w:firstLine="0" w:firstLineChars="0"/>
        <w:rPr>
          <w:rFonts w:ascii="宋体" w:hAnsi="宋体"/>
          <w:b/>
          <w:bCs/>
          <w:kern w:val="0"/>
          <w:sz w:val="32"/>
          <w:szCs w:val="32"/>
        </w:rPr>
      </w:pPr>
    </w:p>
    <w:p>
      <w:pPr>
        <w:pStyle w:val="2"/>
        <w:ind w:firstLine="0" w:firstLineChars="0"/>
        <w:rPr>
          <w:rFonts w:ascii="宋体" w:hAnsi="宋体"/>
          <w:b/>
          <w:bCs/>
          <w:kern w:val="0"/>
          <w:sz w:val="32"/>
          <w:szCs w:val="32"/>
        </w:rPr>
      </w:pPr>
    </w:p>
    <w:p>
      <w:pPr>
        <w:pStyle w:val="2"/>
        <w:ind w:firstLine="0" w:firstLineChars="0"/>
        <w:rPr>
          <w:rFonts w:ascii="宋体" w:hAnsi="宋体"/>
          <w:b/>
          <w:bCs/>
          <w:kern w:val="0"/>
          <w:sz w:val="32"/>
          <w:szCs w:val="32"/>
        </w:rPr>
      </w:pPr>
    </w:p>
    <w:p>
      <w:pPr>
        <w:pStyle w:val="2"/>
        <w:ind w:firstLine="0" w:firstLineChars="0"/>
        <w:rPr>
          <w:rFonts w:ascii="宋体" w:hAnsi="宋体"/>
          <w:b/>
          <w:bCs/>
          <w:kern w:val="0"/>
          <w:sz w:val="32"/>
          <w:szCs w:val="32"/>
        </w:rPr>
      </w:pPr>
    </w:p>
    <w:p>
      <w:pPr>
        <w:pStyle w:val="2"/>
        <w:ind w:firstLine="0" w:firstLineChars="0"/>
        <w:rPr>
          <w:rFonts w:ascii="宋体" w:hAnsi="宋体"/>
          <w:b/>
          <w:bCs/>
          <w:kern w:val="0"/>
          <w:sz w:val="32"/>
          <w:szCs w:val="32"/>
        </w:rPr>
      </w:pPr>
    </w:p>
    <w:p>
      <w:pPr>
        <w:pStyle w:val="2"/>
        <w:ind w:firstLine="0" w:firstLineChars="0"/>
        <w:rPr>
          <w:rFonts w:ascii="宋体" w:hAnsi="宋体"/>
          <w:b/>
          <w:bCs/>
          <w:kern w:val="0"/>
          <w:sz w:val="32"/>
          <w:szCs w:val="32"/>
        </w:rPr>
      </w:pPr>
    </w:p>
    <w:p>
      <w:pPr>
        <w:pStyle w:val="2"/>
        <w:ind w:firstLine="0" w:firstLineChars="0"/>
        <w:rPr>
          <w:rFonts w:ascii="宋体" w:hAnsi="宋体"/>
          <w:b/>
          <w:bCs/>
          <w:kern w:val="0"/>
          <w:sz w:val="32"/>
          <w:szCs w:val="32"/>
        </w:rPr>
      </w:pPr>
    </w:p>
    <w:p>
      <w:pPr>
        <w:rPr>
          <w:rFonts w:hint="eastAsia" w:ascii="宋体" w:hAnsi="宋体"/>
          <w:b/>
          <w:bCs/>
          <w:kern w:val="0"/>
          <w:sz w:val="32"/>
          <w:szCs w:val="32"/>
        </w:rPr>
      </w:pPr>
      <w:r>
        <w:rPr>
          <w:rFonts w:hint="eastAsia" w:ascii="宋体" w:hAnsi="宋体"/>
          <w:b/>
          <w:bCs/>
          <w:kern w:val="0"/>
          <w:sz w:val="32"/>
          <w:szCs w:val="32"/>
        </w:rPr>
        <w:br w:type="page"/>
      </w:r>
    </w:p>
    <w:p>
      <w:pPr>
        <w:pStyle w:val="2"/>
        <w:ind w:left="420" w:firstLine="0" w:firstLineChars="0"/>
        <w:jc w:val="left"/>
        <w:outlineLvl w:val="0"/>
        <w:rPr>
          <w:rFonts w:ascii="宋体" w:hAnsi="宋体"/>
          <w:b/>
          <w:bCs/>
          <w:kern w:val="0"/>
          <w:sz w:val="32"/>
          <w:szCs w:val="32"/>
        </w:rPr>
      </w:pPr>
      <w:r>
        <w:rPr>
          <w:rFonts w:hint="eastAsia" w:ascii="宋体" w:hAnsi="宋体"/>
          <w:b/>
          <w:bCs/>
          <w:kern w:val="0"/>
          <w:sz w:val="32"/>
          <w:szCs w:val="32"/>
        </w:rPr>
        <w:t>六、税收缴纳证明：提供2021年</w:t>
      </w:r>
      <w:r>
        <w:rPr>
          <w:rFonts w:hint="eastAsia" w:ascii="宋体" w:hAnsi="宋体"/>
          <w:b/>
          <w:bCs/>
          <w:kern w:val="0"/>
          <w:sz w:val="32"/>
          <w:szCs w:val="32"/>
          <w:lang w:val="en-US" w:eastAsia="zh-CN"/>
        </w:rPr>
        <w:t>6</w:t>
      </w:r>
      <w:r>
        <w:rPr>
          <w:rFonts w:hint="eastAsia" w:ascii="宋体" w:hAnsi="宋体"/>
          <w:b/>
          <w:bCs/>
          <w:kern w:val="0"/>
          <w:sz w:val="32"/>
          <w:szCs w:val="32"/>
        </w:rPr>
        <w:t>月至今已缴纳的至少一个月的纳税证明或完税证明（任意税种），依法免税的单位应提供相关证明材料</w:t>
      </w:r>
    </w:p>
    <w:p/>
    <w:p/>
    <w:p/>
    <w:p/>
    <w:p>
      <w:pPr>
        <w:tabs>
          <w:tab w:val="center" w:pos="4493"/>
        </w:tabs>
        <w:jc w:val="left"/>
      </w:pPr>
      <w:r>
        <w:rPr>
          <w:rFonts w:hint="eastAsia"/>
        </w:rPr>
        <w:tab/>
      </w: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3"/>
        <w:numPr>
          <w:ilvl w:val="0"/>
          <w:numId w:val="0"/>
        </w:numPr>
        <w:ind w:left="432"/>
        <w:rPr>
          <w:rFonts w:ascii="宋体" w:hAnsi="宋体" w:eastAsia="宋体"/>
          <w:b/>
          <w:bCs/>
          <w:sz w:val="32"/>
          <w:szCs w:val="32"/>
        </w:rPr>
        <w:sectPr>
          <w:pgSz w:w="11906" w:h="16838"/>
          <w:pgMar w:top="1440" w:right="1457" w:bottom="1440" w:left="1463" w:header="851" w:footer="992" w:gutter="0"/>
          <w:cols w:space="0" w:num="1"/>
          <w:titlePg/>
          <w:docGrid w:type="lines" w:linePitch="312" w:charSpace="0"/>
        </w:sectPr>
      </w:pPr>
      <w:bookmarkStart w:id="62" w:name="_Toc15081"/>
    </w:p>
    <w:p>
      <w:pPr>
        <w:pStyle w:val="3"/>
        <w:numPr>
          <w:ilvl w:val="0"/>
          <w:numId w:val="0"/>
        </w:numPr>
        <w:ind w:left="432"/>
        <w:jc w:val="left"/>
        <w:rPr>
          <w:rFonts w:ascii="宋体" w:hAnsi="宋体" w:eastAsia="宋体"/>
          <w:b/>
          <w:bCs/>
          <w:sz w:val="32"/>
          <w:szCs w:val="32"/>
        </w:rPr>
        <w:sectPr>
          <w:pgSz w:w="11906" w:h="16838"/>
          <w:pgMar w:top="1440" w:right="1457" w:bottom="1440" w:left="1463" w:header="851" w:footer="992" w:gutter="0"/>
          <w:cols w:space="0" w:num="1"/>
          <w:titlePg/>
          <w:docGrid w:type="lines" w:linePitch="312" w:charSpace="0"/>
        </w:sectPr>
      </w:pPr>
      <w:r>
        <w:rPr>
          <w:rFonts w:hint="eastAsia" w:ascii="宋体" w:hAnsi="宋体" w:eastAsia="宋体"/>
          <w:b/>
          <w:bCs/>
          <w:sz w:val="32"/>
          <w:szCs w:val="32"/>
        </w:rPr>
        <w:t>七、社会保障资金缴纳证明：提供2021年</w:t>
      </w:r>
      <w:r>
        <w:rPr>
          <w:rFonts w:hint="eastAsia" w:ascii="宋体" w:hAnsi="宋体" w:eastAsia="宋体"/>
          <w:b/>
          <w:bCs/>
          <w:sz w:val="32"/>
          <w:szCs w:val="32"/>
          <w:lang w:val="en-US" w:eastAsia="zh-CN"/>
        </w:rPr>
        <w:t>6</w:t>
      </w:r>
      <w:r>
        <w:rPr>
          <w:rFonts w:hint="eastAsia" w:ascii="宋体" w:hAnsi="宋体" w:eastAsia="宋体"/>
          <w:b/>
          <w:bCs/>
          <w:sz w:val="32"/>
          <w:szCs w:val="32"/>
        </w:rPr>
        <w:t>月至今已缴存的至少一个月的社会保障资金缴存单据或社保机构开具的社会保险参保缴费情况证明，依法不需要缴纳社会保障资金的单位应提供相关证明材料</w:t>
      </w:r>
    </w:p>
    <w:p>
      <w:pPr>
        <w:pStyle w:val="3"/>
        <w:numPr>
          <w:ilvl w:val="0"/>
          <w:numId w:val="0"/>
        </w:numPr>
        <w:ind w:left="432"/>
        <w:jc w:val="left"/>
        <w:rPr>
          <w:rFonts w:hint="eastAsia" w:ascii="宋体" w:hAnsi="宋体" w:eastAsia="宋体"/>
          <w:b/>
          <w:bCs/>
          <w:sz w:val="32"/>
          <w:szCs w:val="32"/>
          <w:lang w:eastAsia="zh-CN"/>
        </w:rPr>
        <w:sectPr>
          <w:pgSz w:w="11906" w:h="16838"/>
          <w:pgMar w:top="1440" w:right="1457" w:bottom="1440" w:left="1463" w:header="851" w:footer="992" w:gutter="0"/>
          <w:cols w:space="0" w:num="1"/>
          <w:titlePg/>
          <w:docGrid w:type="lines" w:linePitch="312" w:charSpace="0"/>
        </w:sectPr>
      </w:pPr>
      <w:r>
        <w:rPr>
          <w:rFonts w:hint="eastAsia" w:ascii="宋体" w:hAnsi="宋体" w:eastAsia="宋体"/>
          <w:b/>
          <w:bCs/>
          <w:sz w:val="32"/>
          <w:szCs w:val="32"/>
        </w:rPr>
        <w:t>八、财务状况报告：</w:t>
      </w:r>
      <w:r>
        <w:rPr>
          <w:rFonts w:hint="eastAsia" w:ascii="宋体" w:hAnsi="宋体" w:eastAsia="宋体"/>
          <w:b/>
          <w:bCs/>
          <w:sz w:val="32"/>
          <w:szCs w:val="32"/>
          <w:lang w:eastAsia="zh-CN"/>
        </w:rPr>
        <w:t>提供供应商2020年度经审计的财务报告或磋商前三个月内开户银行开具的资信证明</w:t>
      </w:r>
    </w:p>
    <w:p>
      <w:pPr>
        <w:pStyle w:val="3"/>
        <w:numPr>
          <w:ilvl w:val="0"/>
          <w:numId w:val="0"/>
        </w:numPr>
        <w:ind w:left="432"/>
        <w:jc w:val="left"/>
        <w:rPr>
          <w:rFonts w:ascii="宋体" w:hAnsi="宋体" w:eastAsia="宋体"/>
          <w:b/>
          <w:bCs/>
          <w:sz w:val="32"/>
          <w:szCs w:val="32"/>
        </w:rPr>
      </w:pPr>
      <w:r>
        <w:rPr>
          <w:rFonts w:hint="eastAsia" w:ascii="宋体" w:hAnsi="宋体" w:eastAsia="宋体"/>
          <w:b/>
          <w:bCs/>
          <w:sz w:val="32"/>
          <w:szCs w:val="32"/>
        </w:rPr>
        <w:t>九、参加政府采购活动前三年内，在经营活动中没有重大违法记录的书面声明</w:t>
      </w:r>
    </w:p>
    <w:p>
      <w:pPr>
        <w:rPr>
          <w:rFonts w:ascii="宋体" w:hAnsi="宋体"/>
          <w:b/>
          <w:bCs/>
          <w:sz w:val="32"/>
          <w:szCs w:val="32"/>
        </w:rPr>
      </w:pPr>
    </w:p>
    <w:p>
      <w:pPr>
        <w:autoSpaceDE w:val="0"/>
        <w:autoSpaceDN w:val="0"/>
        <w:adjustRightInd w:val="0"/>
        <w:snapToGrid w:val="0"/>
        <w:spacing w:before="468" w:beforeLines="150" w:after="312" w:afterLines="100" w:line="360" w:lineRule="auto"/>
        <w:jc w:val="center"/>
        <w:rPr>
          <w:b/>
          <w:sz w:val="28"/>
          <w:szCs w:val="28"/>
        </w:rPr>
      </w:pPr>
      <w:r>
        <w:rPr>
          <w:b/>
          <w:sz w:val="36"/>
          <w:szCs w:val="28"/>
        </w:rPr>
        <w:t>声  明</w:t>
      </w:r>
    </w:p>
    <w:p>
      <w:pPr>
        <w:autoSpaceDE w:val="0"/>
        <w:autoSpaceDN w:val="0"/>
        <w:adjustRightInd w:val="0"/>
        <w:snapToGrid w:val="0"/>
        <w:spacing w:line="360" w:lineRule="auto"/>
        <w:ind w:firstLine="480" w:firstLineChars="200"/>
        <w:jc w:val="left"/>
        <w:rPr>
          <w:sz w:val="24"/>
          <w:szCs w:val="28"/>
        </w:rPr>
      </w:pPr>
      <w:r>
        <w:rPr>
          <w:sz w:val="24"/>
          <w:szCs w:val="28"/>
        </w:rPr>
        <w:t>我公司</w:t>
      </w:r>
      <w:r>
        <w:rPr>
          <w:sz w:val="24"/>
          <w:szCs w:val="28"/>
          <w:u w:val="single"/>
        </w:rPr>
        <w:t>（单位）</w:t>
      </w:r>
      <w:r>
        <w:rPr>
          <w:sz w:val="24"/>
          <w:szCs w:val="28"/>
        </w:rPr>
        <w:t>近三年（成立不足三年的将“近三年”改为“自成立之日起至今”）在参加政府采购活动和经营活动中无重大违法记录。执业期间无违规、违纪等不良执业记录。</w:t>
      </w:r>
    </w:p>
    <w:p>
      <w:pPr>
        <w:autoSpaceDE w:val="0"/>
        <w:autoSpaceDN w:val="0"/>
        <w:adjustRightInd w:val="0"/>
        <w:snapToGrid w:val="0"/>
        <w:spacing w:line="360" w:lineRule="auto"/>
        <w:ind w:firstLine="480" w:firstLineChars="200"/>
        <w:jc w:val="left"/>
        <w:rPr>
          <w:sz w:val="24"/>
          <w:szCs w:val="28"/>
        </w:rPr>
      </w:pPr>
    </w:p>
    <w:p>
      <w:pPr>
        <w:autoSpaceDE w:val="0"/>
        <w:autoSpaceDN w:val="0"/>
        <w:adjustRightInd w:val="0"/>
        <w:snapToGrid w:val="0"/>
        <w:spacing w:line="360" w:lineRule="auto"/>
        <w:ind w:firstLine="480" w:firstLineChars="200"/>
        <w:jc w:val="left"/>
        <w:rPr>
          <w:sz w:val="24"/>
          <w:szCs w:val="28"/>
        </w:rPr>
      </w:pPr>
      <w:r>
        <w:rPr>
          <w:sz w:val="24"/>
          <w:szCs w:val="28"/>
        </w:rPr>
        <w:t>注：重大违法记录是指</w:t>
      </w:r>
      <w:r>
        <w:rPr>
          <w:rFonts w:hint="eastAsia"/>
          <w:sz w:val="24"/>
          <w:szCs w:val="28"/>
        </w:rPr>
        <w:t>磋商响应单位</w:t>
      </w:r>
      <w:r>
        <w:rPr>
          <w:sz w:val="24"/>
          <w:szCs w:val="28"/>
        </w:rPr>
        <w:t>因违法经营受到刑事处罚或者责令停产停业,吊销许可证或者执照、较大数额罚款等行政处罚。</w:t>
      </w:r>
    </w:p>
    <w:p>
      <w:pPr>
        <w:autoSpaceDE w:val="0"/>
        <w:autoSpaceDN w:val="0"/>
        <w:adjustRightInd w:val="0"/>
        <w:snapToGrid w:val="0"/>
        <w:spacing w:line="300" w:lineRule="auto"/>
        <w:jc w:val="left"/>
        <w:rPr>
          <w:sz w:val="28"/>
          <w:szCs w:val="28"/>
        </w:rPr>
      </w:pPr>
    </w:p>
    <w:p>
      <w:pPr>
        <w:autoSpaceDE w:val="0"/>
        <w:autoSpaceDN w:val="0"/>
        <w:adjustRightInd w:val="0"/>
        <w:spacing w:line="360" w:lineRule="auto"/>
        <w:jc w:val="left"/>
        <w:rPr>
          <w:sz w:val="28"/>
          <w:szCs w:val="28"/>
        </w:rPr>
      </w:pPr>
    </w:p>
    <w:p>
      <w:pPr>
        <w:autoSpaceDE w:val="0"/>
        <w:autoSpaceDN w:val="0"/>
        <w:adjustRightInd w:val="0"/>
        <w:spacing w:line="360" w:lineRule="auto"/>
        <w:ind w:firstLine="480" w:firstLineChars="200"/>
        <w:jc w:val="left"/>
        <w:rPr>
          <w:sz w:val="24"/>
          <w:szCs w:val="28"/>
        </w:rPr>
      </w:pPr>
      <w:r>
        <w:rPr>
          <w:sz w:val="24"/>
          <w:szCs w:val="28"/>
        </w:rPr>
        <w:t>特此声明。</w:t>
      </w:r>
    </w:p>
    <w:p>
      <w:pPr>
        <w:autoSpaceDE w:val="0"/>
        <w:autoSpaceDN w:val="0"/>
        <w:adjustRightInd w:val="0"/>
        <w:spacing w:line="360" w:lineRule="auto"/>
        <w:jc w:val="left"/>
        <w:rPr>
          <w:sz w:val="28"/>
          <w:szCs w:val="28"/>
        </w:rPr>
      </w:pPr>
    </w:p>
    <w:p>
      <w:pPr>
        <w:autoSpaceDE w:val="0"/>
        <w:autoSpaceDN w:val="0"/>
        <w:adjustRightInd w:val="0"/>
        <w:spacing w:line="480" w:lineRule="auto"/>
        <w:jc w:val="left"/>
        <w:rPr>
          <w:sz w:val="28"/>
          <w:szCs w:val="28"/>
        </w:rPr>
      </w:pPr>
    </w:p>
    <w:p>
      <w:pPr>
        <w:autoSpaceDE w:val="0"/>
        <w:autoSpaceDN w:val="0"/>
        <w:adjustRightInd w:val="0"/>
        <w:spacing w:line="480" w:lineRule="auto"/>
        <w:jc w:val="left"/>
        <w:rPr>
          <w:sz w:val="28"/>
          <w:szCs w:val="28"/>
        </w:rPr>
      </w:pPr>
    </w:p>
    <w:p>
      <w:pPr>
        <w:autoSpaceDE w:val="0"/>
        <w:autoSpaceDN w:val="0"/>
        <w:adjustRightInd w:val="0"/>
        <w:spacing w:line="480" w:lineRule="auto"/>
        <w:jc w:val="left"/>
        <w:rPr>
          <w:sz w:val="28"/>
          <w:szCs w:val="28"/>
        </w:rPr>
      </w:pPr>
    </w:p>
    <w:p>
      <w:pPr>
        <w:autoSpaceDE w:val="0"/>
        <w:autoSpaceDN w:val="0"/>
        <w:adjustRightInd w:val="0"/>
        <w:spacing w:line="480" w:lineRule="auto"/>
        <w:jc w:val="left"/>
        <w:rPr>
          <w:sz w:val="28"/>
          <w:szCs w:val="28"/>
        </w:rPr>
      </w:pPr>
    </w:p>
    <w:p>
      <w:pPr>
        <w:autoSpaceDE w:val="0"/>
        <w:autoSpaceDN w:val="0"/>
        <w:adjustRightInd w:val="0"/>
        <w:snapToGrid w:val="0"/>
        <w:spacing w:line="360" w:lineRule="auto"/>
        <w:ind w:firstLine="480" w:firstLineChars="200"/>
        <w:jc w:val="left"/>
        <w:rPr>
          <w:sz w:val="24"/>
          <w:szCs w:val="28"/>
        </w:rPr>
      </w:pPr>
      <w:r>
        <w:rPr>
          <w:rFonts w:hint="eastAsia"/>
          <w:sz w:val="24"/>
          <w:szCs w:val="28"/>
        </w:rPr>
        <w:t>磋商响应单位</w:t>
      </w:r>
      <w:r>
        <w:rPr>
          <w:sz w:val="24"/>
          <w:szCs w:val="28"/>
        </w:rPr>
        <w:t>名称：</w:t>
      </w:r>
      <w:r>
        <w:rPr>
          <w:sz w:val="24"/>
          <w:szCs w:val="28"/>
          <w:u w:val="single"/>
        </w:rPr>
        <w:t xml:space="preserve">                    </w:t>
      </w:r>
      <w:r>
        <w:rPr>
          <w:sz w:val="24"/>
          <w:szCs w:val="28"/>
        </w:rPr>
        <w:t>（单位公章）</w:t>
      </w:r>
    </w:p>
    <w:p>
      <w:pPr>
        <w:autoSpaceDE w:val="0"/>
        <w:autoSpaceDN w:val="0"/>
        <w:adjustRightInd w:val="0"/>
        <w:snapToGrid w:val="0"/>
        <w:spacing w:line="360" w:lineRule="auto"/>
        <w:ind w:firstLine="480" w:firstLineChars="200"/>
        <w:jc w:val="left"/>
        <w:rPr>
          <w:sz w:val="24"/>
          <w:szCs w:val="28"/>
          <w:u w:val="single"/>
        </w:rPr>
      </w:pPr>
      <w:r>
        <w:rPr>
          <w:sz w:val="24"/>
          <w:szCs w:val="28"/>
        </w:rPr>
        <w:t>法定代表人或授权代表人：</w:t>
      </w:r>
      <w:r>
        <w:rPr>
          <w:sz w:val="24"/>
          <w:szCs w:val="28"/>
          <w:u w:val="single"/>
        </w:rPr>
        <w:t xml:space="preserve">             </w:t>
      </w:r>
      <w:r>
        <w:rPr>
          <w:sz w:val="24"/>
          <w:szCs w:val="28"/>
        </w:rPr>
        <w:t>（签字或盖章）</w:t>
      </w:r>
    </w:p>
    <w:p>
      <w:pPr>
        <w:autoSpaceDE w:val="0"/>
        <w:autoSpaceDN w:val="0"/>
        <w:adjustRightInd w:val="0"/>
        <w:snapToGrid w:val="0"/>
        <w:spacing w:line="360" w:lineRule="auto"/>
        <w:ind w:firstLine="480" w:firstLineChars="200"/>
        <w:jc w:val="left"/>
        <w:rPr>
          <w:sz w:val="24"/>
          <w:szCs w:val="28"/>
        </w:rPr>
      </w:pPr>
      <w:r>
        <w:rPr>
          <w:sz w:val="24"/>
          <w:szCs w:val="28"/>
        </w:rPr>
        <w:t>日期：</w:t>
      </w:r>
      <w:r>
        <w:rPr>
          <w:rFonts w:hint="eastAsia"/>
          <w:sz w:val="24"/>
          <w:szCs w:val="28"/>
          <w:u w:val="single"/>
        </w:rPr>
        <w:t xml:space="preserve">    </w:t>
      </w:r>
      <w:r>
        <w:rPr>
          <w:sz w:val="24"/>
          <w:szCs w:val="28"/>
        </w:rPr>
        <w:t>年</w:t>
      </w:r>
      <w:r>
        <w:rPr>
          <w:sz w:val="24"/>
          <w:szCs w:val="28"/>
          <w:u w:val="single"/>
        </w:rPr>
        <w:t xml:space="preserve">   </w:t>
      </w:r>
      <w:r>
        <w:rPr>
          <w:sz w:val="24"/>
          <w:szCs w:val="28"/>
        </w:rPr>
        <w:t>月</w:t>
      </w:r>
      <w:r>
        <w:rPr>
          <w:sz w:val="24"/>
          <w:szCs w:val="28"/>
          <w:u w:val="single"/>
        </w:rPr>
        <w:t xml:space="preserve">   </w:t>
      </w:r>
      <w:r>
        <w:rPr>
          <w:sz w:val="24"/>
          <w:szCs w:val="28"/>
        </w:rPr>
        <w:t>日</w:t>
      </w:r>
    </w:p>
    <w:p>
      <w:pPr>
        <w:pStyle w:val="47"/>
        <w:sectPr>
          <w:pgSz w:w="11906" w:h="16838"/>
          <w:pgMar w:top="1440" w:right="1457" w:bottom="1440" w:left="1463" w:header="851" w:footer="992" w:gutter="0"/>
          <w:cols w:space="0" w:num="1"/>
          <w:titlePg/>
          <w:docGrid w:type="lines" w:linePitch="312" w:charSpace="0"/>
        </w:sectPr>
      </w:pPr>
    </w:p>
    <w:p>
      <w:pPr>
        <w:pStyle w:val="3"/>
        <w:numPr>
          <w:ilvl w:val="0"/>
          <w:numId w:val="0"/>
        </w:numPr>
        <w:ind w:left="432"/>
        <w:jc w:val="left"/>
        <w:rPr>
          <w:rFonts w:ascii="宋体" w:hAnsi="宋体" w:eastAsia="宋体"/>
          <w:b/>
          <w:bCs/>
          <w:sz w:val="32"/>
          <w:szCs w:val="32"/>
        </w:rPr>
        <w:sectPr>
          <w:pgSz w:w="11906" w:h="16838"/>
          <w:pgMar w:top="1440" w:right="1457" w:bottom="1440" w:left="1463" w:header="851" w:footer="992" w:gutter="0"/>
          <w:cols w:space="0" w:num="1"/>
          <w:titlePg/>
          <w:docGrid w:type="lines" w:linePitch="312" w:charSpace="0"/>
        </w:sectPr>
      </w:pPr>
      <w:r>
        <w:rPr>
          <w:rFonts w:hint="eastAsia" w:ascii="宋体" w:hAnsi="宋体" w:eastAsia="宋体"/>
          <w:b/>
          <w:bCs/>
          <w:sz w:val="32"/>
          <w:szCs w:val="32"/>
        </w:rPr>
        <w:t>十、磋商响应单位负责人不得为同一人或者存在控股、管理关系（格式自拟）</w:t>
      </w:r>
    </w:p>
    <w:bookmarkEnd w:id="62"/>
    <w:p>
      <w:pPr>
        <w:pStyle w:val="3"/>
        <w:numPr>
          <w:ilvl w:val="0"/>
          <w:numId w:val="0"/>
        </w:numPr>
        <w:jc w:val="left"/>
        <w:rPr>
          <w:rFonts w:hint="eastAsia" w:ascii="宋体" w:hAnsi="宋体" w:eastAsia="宋体"/>
          <w:b/>
          <w:bCs/>
          <w:sz w:val="32"/>
          <w:szCs w:val="32"/>
          <w:lang w:eastAsia="zh-CN"/>
        </w:rPr>
      </w:pPr>
      <w:r>
        <w:rPr>
          <w:rFonts w:hint="eastAsia" w:ascii="宋体" w:hAnsi="宋体" w:eastAsia="宋体"/>
          <w:b/>
          <w:bCs/>
          <w:sz w:val="32"/>
          <w:szCs w:val="32"/>
          <w:lang w:val="en-US" w:eastAsia="zh-CN"/>
        </w:rPr>
        <w:t>十一、具</w:t>
      </w:r>
      <w:r>
        <w:rPr>
          <w:rFonts w:hint="eastAsia" w:ascii="宋体" w:hAnsi="宋体" w:eastAsia="宋体"/>
          <w:b/>
          <w:bCs/>
          <w:sz w:val="32"/>
          <w:szCs w:val="32"/>
        </w:rPr>
        <w:t>有履行本合同所必需的设备和专业技术能力</w:t>
      </w:r>
      <w:r>
        <w:rPr>
          <w:rFonts w:hint="eastAsia" w:ascii="宋体" w:hAnsi="宋体" w:eastAsia="宋体"/>
          <w:b/>
          <w:bCs/>
          <w:sz w:val="32"/>
          <w:szCs w:val="32"/>
          <w:lang w:eastAsia="zh-CN"/>
        </w:rPr>
        <w:t>；</w:t>
      </w:r>
    </w:p>
    <w:p>
      <w:pPr>
        <w:pStyle w:val="3"/>
        <w:numPr>
          <w:ilvl w:val="0"/>
          <w:numId w:val="0"/>
        </w:numPr>
        <w:jc w:val="center"/>
        <w:rPr>
          <w:rFonts w:hint="eastAsia" w:ascii="宋体" w:hAnsi="宋体" w:eastAsia="宋体"/>
          <w:b/>
          <w:bCs/>
          <w:sz w:val="32"/>
          <w:szCs w:val="32"/>
        </w:rPr>
        <w:sectPr>
          <w:pgSz w:w="11906" w:h="16838"/>
          <w:pgMar w:top="1440" w:right="1457" w:bottom="1440" w:left="1463" w:header="851" w:footer="992" w:gutter="0"/>
          <w:cols w:space="0" w:num="1"/>
          <w:titlePg/>
          <w:docGrid w:type="lines" w:linePitch="312" w:charSpace="0"/>
        </w:sectPr>
      </w:pPr>
      <w:r>
        <w:rPr>
          <w:rFonts w:hint="eastAsia" w:ascii="宋体" w:hAnsi="宋体" w:eastAsia="宋体"/>
          <w:b/>
          <w:bCs/>
          <w:sz w:val="32"/>
          <w:szCs w:val="32"/>
          <w:lang w:eastAsia="zh-CN"/>
        </w:rPr>
        <w:t>（</w:t>
      </w:r>
      <w:r>
        <w:rPr>
          <w:rFonts w:hint="eastAsia" w:ascii="宋体" w:hAnsi="宋体" w:eastAsia="宋体"/>
          <w:b/>
          <w:bCs/>
          <w:sz w:val="32"/>
          <w:szCs w:val="32"/>
          <w:lang w:val="en-US" w:eastAsia="zh-CN"/>
        </w:rPr>
        <w:t>格式自拟</w:t>
      </w:r>
      <w:r>
        <w:rPr>
          <w:rFonts w:hint="eastAsia" w:ascii="宋体" w:hAnsi="宋体" w:eastAsia="宋体"/>
          <w:b/>
          <w:bCs/>
          <w:sz w:val="32"/>
          <w:szCs w:val="32"/>
          <w:lang w:eastAsia="zh-CN"/>
        </w:rPr>
        <w:t>）</w:t>
      </w:r>
    </w:p>
    <w:p>
      <w:pPr>
        <w:jc w:val="center"/>
        <w:rPr>
          <w:b/>
          <w:bCs/>
          <w:sz w:val="32"/>
          <w:szCs w:val="32"/>
        </w:rPr>
      </w:pPr>
      <w:r>
        <w:rPr>
          <w:rFonts w:hint="eastAsia"/>
          <w:b/>
          <w:bCs/>
          <w:sz w:val="32"/>
          <w:szCs w:val="32"/>
        </w:rPr>
        <w:t>十</w:t>
      </w:r>
      <w:r>
        <w:rPr>
          <w:rFonts w:hint="eastAsia"/>
          <w:b/>
          <w:bCs/>
          <w:sz w:val="32"/>
          <w:szCs w:val="32"/>
          <w:lang w:val="en-US" w:eastAsia="zh-CN"/>
        </w:rPr>
        <w:t>二</w:t>
      </w:r>
      <w:r>
        <w:rPr>
          <w:rFonts w:hint="eastAsia"/>
          <w:b/>
          <w:bCs/>
          <w:sz w:val="32"/>
          <w:szCs w:val="32"/>
        </w:rPr>
        <w:t>、陕西省政府采购供应商拒绝政府采购领域商业贿赂承诺书</w:t>
      </w:r>
    </w:p>
    <w:p/>
    <w:p>
      <w:pPr>
        <w:rPr>
          <w:highlight w:val="none"/>
        </w:rPr>
      </w:pPr>
    </w:p>
    <w:p>
      <w:pPr>
        <w:spacing w:line="360" w:lineRule="auto"/>
        <w:ind w:firstLine="480" w:firstLineChars="200"/>
        <w:rPr>
          <w:rFonts w:ascii="宋体" w:hAnsi="宋体" w:cs="宋体"/>
          <w:sz w:val="24"/>
          <w:highlight w:val="none"/>
        </w:rPr>
      </w:pPr>
      <w:r>
        <w:rPr>
          <w:rFonts w:hint="eastAsia" w:ascii="宋体" w:hAnsi="宋体" w:cs="宋体"/>
          <w:sz w:val="24"/>
          <w:highlight w:val="none"/>
        </w:rPr>
        <w:t>为响应党中央、国务院关于治理政府采购领域商业贿赂行为的号召，我公司在此庄严承诺：</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1、在参与政府采购活动中遵纪守法、诚信经营、公平竞标。</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2、不向政府采购人、采购代理机构和政府采购评审专家进行任何形式的商业贿赂以谋取交易机会。</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3、不向政府采购代理机构和采购人提供虚假资质文件或采用虚假应标方式参与政府采购市场竞争并谋取中标、成交。</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4、不采取“围标、陪标”等商业欺诈手段获得政府采购定单。</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5、不采取不正当手段诋毁、排挤其他供应商。</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6、不在提供商品和服务时“偷梁换柱、以次充好”损害采购人的合法权益。</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7、不与采购人、采购代理机构政府采购评审专家或其它供应商恶意串通，进行质疑和投诉，维护政府采购市场秩序。</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8、尊重和接受政府采购监督管理部门的监督和政府采购代理机构招标采购要求，承担因违约行为给采购人造成的损失。</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9、不发生其他有悖于政府采购公开、公平、公正和诚信原则的行为。</w:t>
      </w:r>
    </w:p>
    <w:p>
      <w:pPr>
        <w:spacing w:line="360" w:lineRule="auto"/>
        <w:rPr>
          <w:rFonts w:ascii="宋体" w:hAnsi="宋体" w:cs="宋体"/>
          <w:sz w:val="24"/>
        </w:rPr>
      </w:pPr>
    </w:p>
    <w:p>
      <w:pPr>
        <w:spacing w:line="360" w:lineRule="auto"/>
        <w:rPr>
          <w:rFonts w:hint="eastAsia" w:ascii="宋体" w:hAnsi="宋体" w:cs="宋体"/>
          <w:sz w:val="24"/>
        </w:rPr>
      </w:pPr>
    </w:p>
    <w:p>
      <w:pPr>
        <w:spacing w:line="360" w:lineRule="auto"/>
        <w:rPr>
          <w:rFonts w:hint="eastAsia" w:ascii="宋体" w:hAnsi="宋体" w:cs="宋体"/>
          <w:sz w:val="24"/>
        </w:rPr>
      </w:pPr>
    </w:p>
    <w:p>
      <w:pPr>
        <w:spacing w:line="360" w:lineRule="auto"/>
        <w:rPr>
          <w:rFonts w:ascii="宋体" w:hAnsi="宋体" w:cs="宋体"/>
          <w:sz w:val="24"/>
        </w:rPr>
      </w:pPr>
      <w:r>
        <w:rPr>
          <w:rFonts w:hint="eastAsia" w:ascii="宋体" w:hAnsi="宋体" w:cs="宋体"/>
          <w:sz w:val="24"/>
        </w:rPr>
        <w:t>磋商响应单位名称：           （盖章）</w:t>
      </w:r>
    </w:p>
    <w:p>
      <w:pPr>
        <w:spacing w:line="360" w:lineRule="auto"/>
        <w:rPr>
          <w:rFonts w:ascii="宋体" w:hAnsi="宋体" w:cs="宋体"/>
          <w:sz w:val="24"/>
        </w:rPr>
      </w:pPr>
      <w:r>
        <w:rPr>
          <w:rFonts w:hint="eastAsia" w:ascii="宋体" w:hAnsi="宋体" w:cs="宋体"/>
          <w:sz w:val="24"/>
        </w:rPr>
        <w:t>法定代表人或授权代表人：（签字并盖章）</w:t>
      </w:r>
    </w:p>
    <w:p>
      <w:pPr>
        <w:spacing w:line="360" w:lineRule="auto"/>
        <w:rPr>
          <w:rFonts w:ascii="宋体" w:hAnsi="宋体" w:cs="宋体"/>
          <w:sz w:val="24"/>
        </w:rPr>
      </w:pPr>
      <w:r>
        <w:rPr>
          <w:rFonts w:hint="eastAsia" w:ascii="宋体" w:hAnsi="宋体" w:cs="宋体"/>
          <w:sz w:val="24"/>
        </w:rPr>
        <w:t>地  址：                        </w:t>
      </w:r>
    </w:p>
    <w:p>
      <w:pPr>
        <w:spacing w:line="360" w:lineRule="auto"/>
        <w:rPr>
          <w:rFonts w:ascii="宋体" w:hAnsi="宋体" w:cs="宋体"/>
          <w:sz w:val="24"/>
        </w:rPr>
      </w:pPr>
      <w:r>
        <w:rPr>
          <w:rFonts w:hint="eastAsia" w:ascii="宋体" w:hAnsi="宋体" w:cs="宋体"/>
          <w:sz w:val="24"/>
        </w:rPr>
        <w:t>邮  编：</w:t>
      </w:r>
    </w:p>
    <w:p>
      <w:pPr>
        <w:spacing w:line="360" w:lineRule="auto"/>
        <w:ind w:left="960" w:hanging="960" w:hangingChars="400"/>
        <w:rPr>
          <w:rFonts w:ascii="宋体" w:hAnsi="宋体" w:cs="宋体"/>
          <w:sz w:val="24"/>
        </w:rPr>
      </w:pPr>
      <w:r>
        <w:rPr>
          <w:rFonts w:hint="eastAsia" w:ascii="宋体" w:hAnsi="宋体" w:cs="宋体"/>
          <w:sz w:val="24"/>
        </w:rPr>
        <w:t>电  话：                                年  月  日</w:t>
      </w:r>
    </w:p>
    <w:p/>
    <w:p/>
    <w:p>
      <w:pPr>
        <w:pStyle w:val="2"/>
        <w:ind w:firstLine="0" w:firstLineChars="0"/>
        <w:rPr>
          <w:b/>
          <w:bCs/>
          <w:sz w:val="30"/>
          <w:szCs w:val="30"/>
        </w:rPr>
      </w:pPr>
    </w:p>
    <w:p>
      <w:pPr>
        <w:pStyle w:val="2"/>
        <w:ind w:firstLine="0" w:firstLineChars="0"/>
        <w:rPr>
          <w:b/>
          <w:bCs/>
          <w:sz w:val="30"/>
          <w:szCs w:val="30"/>
        </w:rPr>
      </w:pPr>
    </w:p>
    <w:p>
      <w:pPr>
        <w:pStyle w:val="2"/>
        <w:ind w:firstLine="0" w:firstLineChars="0"/>
        <w:rPr>
          <w:b/>
          <w:bCs/>
          <w:sz w:val="30"/>
          <w:szCs w:val="30"/>
        </w:rPr>
      </w:pPr>
    </w:p>
    <w:p>
      <w:pPr>
        <w:adjustRightInd w:val="0"/>
        <w:snapToGrid w:val="0"/>
        <w:spacing w:after="300" w:line="360" w:lineRule="auto"/>
        <w:jc w:val="center"/>
        <w:rPr>
          <w:b/>
          <w:bCs/>
          <w:sz w:val="30"/>
          <w:szCs w:val="30"/>
        </w:rPr>
      </w:pPr>
    </w:p>
    <w:p>
      <w:pPr>
        <w:adjustRightInd w:val="0"/>
        <w:snapToGrid w:val="0"/>
        <w:spacing w:after="300" w:line="360" w:lineRule="auto"/>
        <w:jc w:val="center"/>
        <w:rPr>
          <w:b/>
          <w:bCs/>
          <w:sz w:val="30"/>
          <w:szCs w:val="30"/>
        </w:rPr>
      </w:pPr>
    </w:p>
    <w:p>
      <w:pPr>
        <w:adjustRightInd w:val="0"/>
        <w:snapToGrid w:val="0"/>
        <w:spacing w:after="300" w:line="360" w:lineRule="auto"/>
        <w:jc w:val="center"/>
        <w:outlineLvl w:val="1"/>
        <w:rPr>
          <w:b/>
          <w:bCs/>
          <w:sz w:val="52"/>
          <w:szCs w:val="52"/>
        </w:rPr>
      </w:pPr>
      <w:r>
        <w:rPr>
          <w:b/>
          <w:bCs/>
          <w:sz w:val="52"/>
          <w:szCs w:val="52"/>
        </w:rPr>
        <w:t>商务文件</w:t>
      </w:r>
    </w:p>
    <w:p>
      <w:pPr>
        <w:tabs>
          <w:tab w:val="left" w:pos="4035"/>
        </w:tabs>
        <w:autoSpaceDE w:val="0"/>
        <w:autoSpaceDN w:val="0"/>
        <w:adjustRightInd w:val="0"/>
        <w:snapToGrid w:val="0"/>
        <w:spacing w:after="156" w:afterLines="50" w:line="360" w:lineRule="auto"/>
        <w:rPr>
          <w:sz w:val="24"/>
        </w:rPr>
      </w:pPr>
    </w:p>
    <w:p>
      <w:pPr>
        <w:autoSpaceDE w:val="0"/>
        <w:autoSpaceDN w:val="0"/>
        <w:adjustRightInd w:val="0"/>
        <w:snapToGrid w:val="0"/>
        <w:spacing w:after="156" w:afterLines="50" w:line="360" w:lineRule="auto"/>
        <w:jc w:val="center"/>
        <w:rPr>
          <w:rFonts w:asciiTheme="minorEastAsia" w:hAnsiTheme="minorEastAsia" w:eastAsiaTheme="minorEastAsia" w:cstheme="minorEastAsia"/>
          <w:bCs/>
          <w:sz w:val="30"/>
          <w:szCs w:val="30"/>
        </w:rPr>
      </w:pPr>
      <w:r>
        <w:rPr>
          <w:sz w:val="24"/>
        </w:rPr>
        <w:br w:type="page"/>
      </w:r>
      <w:r>
        <w:rPr>
          <w:rFonts w:hint="eastAsia"/>
          <w:b/>
          <w:bCs/>
          <w:sz w:val="30"/>
          <w:szCs w:val="30"/>
        </w:rPr>
        <w:t>一、磋商响应函</w:t>
      </w:r>
    </w:p>
    <w:p>
      <w:pPr>
        <w:pStyle w:val="2"/>
        <w:spacing w:line="360" w:lineRule="auto"/>
        <w:ind w:firstLine="0" w:firstLineChars="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致：同正项目管理有限公司</w:t>
      </w:r>
    </w:p>
    <w:p>
      <w:pPr>
        <w:pStyle w:val="2"/>
        <w:spacing w:line="360" w:lineRule="auto"/>
        <w:ind w:firstLine="0" w:firstLineChars="0"/>
        <w:rPr>
          <w:rFonts w:ascii="宋体" w:hAnsi="宋体" w:cs="宋体"/>
          <w:sz w:val="24"/>
        </w:rPr>
      </w:pPr>
      <w:r>
        <w:rPr>
          <w:rFonts w:hint="eastAsia" w:asciiTheme="minorEastAsia" w:hAnsiTheme="minorEastAsia" w:eastAsiaTheme="minorEastAsia" w:cstheme="minorEastAsia"/>
          <w:sz w:val="24"/>
        </w:rPr>
        <w:t xml:space="preserve">   </w:t>
      </w:r>
      <w:r>
        <w:rPr>
          <w:rFonts w:hint="eastAsia" w:ascii="宋体" w:hAnsi="宋体" w:cs="宋体"/>
          <w:sz w:val="24"/>
        </w:rPr>
        <w:t xml:space="preserve"> 根据贵方</w:t>
      </w:r>
      <w:r>
        <w:rPr>
          <w:rFonts w:hint="eastAsia" w:ascii="宋体" w:hAnsi="宋体" w:cs="宋体"/>
          <w:sz w:val="24"/>
          <w:u w:val="single"/>
        </w:rPr>
        <w:t>             </w:t>
      </w:r>
      <w:r>
        <w:rPr>
          <w:rFonts w:hint="eastAsia" w:ascii="宋体" w:hAnsi="宋体" w:cs="宋体"/>
          <w:sz w:val="24"/>
        </w:rPr>
        <w:t>项目的邀请，正式授权（姓名）代表（磋商响应单位的名称），提交本项目磋商响应文件正本壹份，副本贰份、电子文件（U盘）壹份。在此我方承诺如下：</w:t>
      </w:r>
    </w:p>
    <w:p>
      <w:pPr>
        <w:pStyle w:val="2"/>
        <w:spacing w:line="360" w:lineRule="auto"/>
        <w:ind w:firstLine="0" w:firstLineChars="0"/>
        <w:rPr>
          <w:rFonts w:ascii="宋体" w:hAnsi="宋体" w:cs="宋体"/>
          <w:sz w:val="24"/>
        </w:rPr>
      </w:pPr>
      <w:r>
        <w:rPr>
          <w:rFonts w:hint="eastAsia" w:ascii="宋体" w:hAnsi="宋体" w:cs="宋体"/>
          <w:sz w:val="24"/>
        </w:rPr>
        <w:t xml:space="preserve">    1、我方已详细审查全部磋商文件，包括修改文件（如有）以及全部参考资料和有关附件。我们已完全理解磋商文件并对磋商文件不存在任何异议。</w:t>
      </w:r>
    </w:p>
    <w:p>
      <w:pPr>
        <w:pStyle w:val="2"/>
        <w:spacing w:line="360" w:lineRule="auto"/>
        <w:ind w:firstLine="0" w:firstLineChars="0"/>
        <w:rPr>
          <w:rFonts w:ascii="宋体" w:hAnsi="宋体" w:cs="宋体"/>
          <w:sz w:val="24"/>
        </w:rPr>
      </w:pPr>
      <w:r>
        <w:rPr>
          <w:rFonts w:hint="eastAsia" w:ascii="宋体" w:hAnsi="宋体" w:cs="宋体"/>
          <w:sz w:val="24"/>
        </w:rPr>
        <w:t xml:space="preserve">    2、本响应（投标）自磋商之日起有效期为 90 个日历天。</w:t>
      </w:r>
    </w:p>
    <w:p>
      <w:pPr>
        <w:pStyle w:val="2"/>
        <w:spacing w:line="360" w:lineRule="auto"/>
        <w:ind w:firstLine="480"/>
        <w:rPr>
          <w:rFonts w:ascii="宋体" w:hAnsi="宋体" w:cs="宋体"/>
          <w:sz w:val="24"/>
        </w:rPr>
      </w:pPr>
      <w:r>
        <w:rPr>
          <w:rFonts w:hint="eastAsia" w:ascii="宋体" w:hAnsi="宋体" w:cs="宋体"/>
          <w:sz w:val="24"/>
        </w:rPr>
        <w:t>3、我方承诺所递交的响应文件及有关资料真实有效。</w:t>
      </w:r>
    </w:p>
    <w:p>
      <w:pPr>
        <w:pStyle w:val="2"/>
        <w:spacing w:line="360" w:lineRule="auto"/>
        <w:ind w:firstLine="480"/>
        <w:rPr>
          <w:rFonts w:ascii="宋体" w:hAnsi="宋体" w:cs="宋体"/>
          <w:sz w:val="24"/>
        </w:rPr>
      </w:pPr>
      <w:r>
        <w:rPr>
          <w:rFonts w:hint="eastAsia" w:ascii="宋体" w:hAnsi="宋体" w:cs="宋体"/>
          <w:sz w:val="24"/>
        </w:rPr>
        <w:t>4、如我方成交（中标），依成交通知规定的时间与采购人签订合同，并按合同规定履行合同责任和义务。</w:t>
      </w:r>
    </w:p>
    <w:p>
      <w:pPr>
        <w:pStyle w:val="2"/>
        <w:spacing w:line="360" w:lineRule="auto"/>
        <w:ind w:firstLine="0" w:firstLineChars="0"/>
        <w:rPr>
          <w:rFonts w:ascii="宋体" w:hAnsi="宋体" w:cs="宋体"/>
          <w:sz w:val="24"/>
        </w:rPr>
      </w:pPr>
      <w:r>
        <w:rPr>
          <w:rFonts w:hint="eastAsia" w:ascii="宋体" w:hAnsi="宋体" w:cs="宋体"/>
          <w:sz w:val="24"/>
        </w:rPr>
        <w:t xml:space="preserve">    5、我方同意提供按照采购人可能要求与其采购有关的一切数据或资料，完全理解贵方不一定接受最低价的投标或其他任何投标。</w:t>
      </w:r>
    </w:p>
    <w:p>
      <w:pPr>
        <w:pStyle w:val="2"/>
        <w:spacing w:line="360" w:lineRule="auto"/>
        <w:ind w:firstLine="0" w:firstLineChars="0"/>
        <w:rPr>
          <w:rFonts w:ascii="宋体" w:hAnsi="宋体" w:cs="宋体"/>
          <w:sz w:val="24"/>
        </w:rPr>
      </w:pPr>
      <w:r>
        <w:rPr>
          <w:rFonts w:hint="eastAsia" w:ascii="宋体" w:hAnsi="宋体" w:cs="宋体"/>
          <w:sz w:val="24"/>
        </w:rPr>
        <w:t xml:space="preserve">     与本磋商有关的一切正式往来通讯请寄：</w:t>
      </w:r>
    </w:p>
    <w:p>
      <w:pPr>
        <w:pStyle w:val="2"/>
        <w:spacing w:line="360" w:lineRule="auto"/>
        <w:ind w:firstLine="0" w:firstLineChars="0"/>
        <w:rPr>
          <w:rFonts w:asciiTheme="minorEastAsia" w:hAnsiTheme="minorEastAsia" w:eastAsiaTheme="minorEastAsia" w:cstheme="minorEastAsia"/>
          <w:sz w:val="24"/>
        </w:rPr>
      </w:pPr>
    </w:p>
    <w:p>
      <w:pPr>
        <w:pStyle w:val="2"/>
        <w:spacing w:line="360" w:lineRule="auto"/>
        <w:ind w:firstLine="0" w:firstLineChars="0"/>
        <w:rPr>
          <w:rFonts w:asciiTheme="minorEastAsia" w:hAnsiTheme="minorEastAsia" w:eastAsiaTheme="minorEastAsia" w:cstheme="minorEastAsia"/>
          <w:sz w:val="24"/>
          <w:u w:val="single"/>
        </w:rPr>
      </w:pPr>
      <w:r>
        <w:rPr>
          <w:rFonts w:hint="eastAsia" w:asciiTheme="minorEastAsia" w:hAnsiTheme="minorEastAsia" w:eastAsiaTheme="minorEastAsia" w:cstheme="minorEastAsia"/>
          <w:sz w:val="24"/>
        </w:rPr>
        <w:t>地址：</w:t>
      </w:r>
      <w:r>
        <w:rPr>
          <w:rFonts w:hint="eastAsia" w:asciiTheme="minorEastAsia" w:hAnsiTheme="minorEastAsia" w:eastAsiaTheme="minorEastAsia" w:cstheme="minorEastAsia"/>
          <w:sz w:val="24"/>
          <w:u w:val="single"/>
        </w:rPr>
        <w:t>　　　　　　　　　　　　　　　　　　　　　　　　　</w:t>
      </w:r>
    </w:p>
    <w:p>
      <w:pPr>
        <w:pStyle w:val="2"/>
        <w:spacing w:line="360" w:lineRule="auto"/>
        <w:ind w:firstLine="0" w:firstLineChars="0"/>
        <w:rPr>
          <w:rFonts w:asciiTheme="minorEastAsia" w:hAnsiTheme="minorEastAsia" w:eastAsiaTheme="minorEastAsia" w:cstheme="minorEastAsia"/>
          <w:sz w:val="24"/>
          <w:u w:val="single"/>
        </w:rPr>
      </w:pPr>
      <w:r>
        <w:rPr>
          <w:rFonts w:hint="eastAsia" w:asciiTheme="minorEastAsia" w:hAnsiTheme="minorEastAsia" w:eastAsiaTheme="minorEastAsia" w:cstheme="minorEastAsia"/>
          <w:sz w:val="24"/>
        </w:rPr>
        <w:t>传 真：</w:t>
      </w:r>
      <w:r>
        <w:rPr>
          <w:rFonts w:hint="eastAsia" w:asciiTheme="minorEastAsia" w:hAnsiTheme="minorEastAsia" w:eastAsiaTheme="minorEastAsia" w:cstheme="minorEastAsia"/>
          <w:sz w:val="24"/>
          <w:u w:val="single"/>
        </w:rPr>
        <w:t>　　　　　　　　　　　　　　　　　　　　　　　　　</w:t>
      </w:r>
    </w:p>
    <w:p>
      <w:pPr>
        <w:pStyle w:val="2"/>
        <w:spacing w:line="360" w:lineRule="auto"/>
        <w:ind w:firstLine="0" w:firstLineChars="0"/>
        <w:rPr>
          <w:rFonts w:asciiTheme="minorEastAsia" w:hAnsiTheme="minorEastAsia" w:eastAsiaTheme="minorEastAsia" w:cstheme="minorEastAsia"/>
          <w:sz w:val="24"/>
          <w:u w:val="single"/>
        </w:rPr>
      </w:pPr>
      <w:r>
        <w:rPr>
          <w:rFonts w:hint="eastAsia" w:asciiTheme="minorEastAsia" w:hAnsiTheme="minorEastAsia" w:eastAsiaTheme="minorEastAsia" w:cstheme="minorEastAsia"/>
          <w:sz w:val="24"/>
        </w:rPr>
        <w:t>电 话：</w:t>
      </w:r>
      <w:r>
        <w:rPr>
          <w:rFonts w:hint="eastAsia" w:asciiTheme="minorEastAsia" w:hAnsiTheme="minorEastAsia" w:eastAsiaTheme="minorEastAsia" w:cstheme="minorEastAsia"/>
          <w:sz w:val="24"/>
          <w:u w:val="single"/>
        </w:rPr>
        <w:t>　　　　　　　　　　　　　　　　　　　　　　　　　</w:t>
      </w:r>
    </w:p>
    <w:p>
      <w:pPr>
        <w:pStyle w:val="2"/>
        <w:spacing w:line="360" w:lineRule="auto"/>
        <w:ind w:firstLine="0" w:firstLineChars="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联系人：</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 </w:t>
      </w:r>
    </w:p>
    <w:p>
      <w:pPr>
        <w:pStyle w:val="2"/>
        <w:spacing w:line="360" w:lineRule="auto"/>
        <w:ind w:firstLine="0" w:firstLineChars="0"/>
        <w:rPr>
          <w:rFonts w:asciiTheme="minorEastAsia" w:hAnsiTheme="minorEastAsia" w:eastAsiaTheme="minorEastAsia" w:cstheme="minorEastAsia"/>
          <w:sz w:val="24"/>
          <w:u w:val="single"/>
        </w:rPr>
      </w:pPr>
      <w:r>
        <w:rPr>
          <w:rFonts w:hint="eastAsia" w:asciiTheme="minorEastAsia" w:hAnsiTheme="minorEastAsia" w:eastAsiaTheme="minorEastAsia" w:cstheme="minorEastAsia"/>
          <w:sz w:val="24"/>
        </w:rPr>
        <w:t>邮政编码：</w:t>
      </w:r>
      <w:r>
        <w:rPr>
          <w:rFonts w:hint="eastAsia" w:asciiTheme="minorEastAsia" w:hAnsiTheme="minorEastAsia" w:eastAsiaTheme="minorEastAsia" w:cstheme="minorEastAsia"/>
          <w:sz w:val="24"/>
          <w:u w:val="single"/>
        </w:rPr>
        <w:t>　　　　　　　　　　　　　　　　　　　　　　　　</w:t>
      </w:r>
    </w:p>
    <w:p>
      <w:pPr>
        <w:pStyle w:val="2"/>
        <w:spacing w:line="360" w:lineRule="auto"/>
        <w:ind w:firstLine="0" w:firstLineChars="0"/>
        <w:rPr>
          <w:rFonts w:asciiTheme="minorEastAsia" w:hAnsiTheme="minorEastAsia" w:eastAsiaTheme="minorEastAsia" w:cstheme="minorEastAsia"/>
          <w:sz w:val="24"/>
        </w:rPr>
      </w:pPr>
    </w:p>
    <w:p>
      <w:pPr>
        <w:pStyle w:val="2"/>
        <w:spacing w:line="360" w:lineRule="auto"/>
        <w:ind w:firstLine="0" w:firstLineChars="0"/>
        <w:rPr>
          <w:rFonts w:asciiTheme="minorEastAsia" w:hAnsiTheme="minorEastAsia" w:eastAsiaTheme="minorEastAsia" w:cstheme="minorEastAsia"/>
          <w:sz w:val="24"/>
        </w:rPr>
      </w:pPr>
    </w:p>
    <w:p>
      <w:pPr>
        <w:overflowPunct w:val="0"/>
        <w:topLinePunct/>
        <w:adjustRightInd w:val="0"/>
        <w:snapToGrid w:val="0"/>
        <w:spacing w:line="360" w:lineRule="auto"/>
        <w:rPr>
          <w:rFonts w:asciiTheme="minorEastAsia" w:hAnsiTheme="minorEastAsia" w:eastAsiaTheme="minorEastAsia" w:cstheme="minorEastAsia"/>
          <w:sz w:val="24"/>
        </w:rPr>
      </w:pPr>
    </w:p>
    <w:p>
      <w:pPr>
        <w:overflowPunct w:val="0"/>
        <w:topLinePunct/>
        <w:adjustRightInd w:val="0"/>
        <w:snapToGrid w:val="0"/>
        <w:spacing w:line="48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                        磋商响应单位名称：</w:t>
      </w:r>
      <w:r>
        <w:rPr>
          <w:rFonts w:hint="eastAsia" w:asciiTheme="minorEastAsia" w:hAnsiTheme="minorEastAsia" w:eastAsiaTheme="minorEastAsia" w:cstheme="minorEastAsia"/>
          <w:sz w:val="24"/>
          <w:u w:val="single"/>
        </w:rPr>
        <w:t>　　　　　　　　　　　　　</w:t>
      </w:r>
      <w:r>
        <w:rPr>
          <w:rFonts w:hint="eastAsia" w:asciiTheme="minorEastAsia" w:hAnsiTheme="minorEastAsia" w:eastAsiaTheme="minorEastAsia" w:cstheme="minorEastAsia"/>
          <w:sz w:val="24"/>
        </w:rPr>
        <w:t xml:space="preserve">（公章） </w:t>
      </w:r>
    </w:p>
    <w:p>
      <w:pPr>
        <w:overflowPunct w:val="0"/>
        <w:topLinePunct/>
        <w:adjustRightInd w:val="0"/>
        <w:snapToGrid w:val="0"/>
        <w:spacing w:line="48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bCs/>
          <w:sz w:val="24"/>
        </w:rPr>
        <w:t xml:space="preserve">                        </w:t>
      </w:r>
      <w:r>
        <w:rPr>
          <w:rFonts w:hint="eastAsia" w:asciiTheme="minorEastAsia" w:hAnsiTheme="minorEastAsia" w:eastAsiaTheme="minorEastAsia" w:cstheme="minorEastAsia"/>
          <w:sz w:val="24"/>
        </w:rPr>
        <w:t>法定代表人或授权代表人：</w:t>
      </w:r>
      <w:r>
        <w:rPr>
          <w:rFonts w:hint="eastAsia" w:asciiTheme="minorEastAsia" w:hAnsiTheme="minorEastAsia" w:eastAsiaTheme="minorEastAsia" w:cstheme="minorEastAsia"/>
          <w:sz w:val="24"/>
          <w:u w:val="single"/>
        </w:rPr>
        <w:t>　　　　　</w:t>
      </w:r>
      <w:r>
        <w:rPr>
          <w:rFonts w:hint="eastAsia" w:asciiTheme="minorEastAsia" w:hAnsiTheme="minorEastAsia" w:eastAsiaTheme="minorEastAsia" w:cstheme="minorEastAsia"/>
          <w:sz w:val="24"/>
        </w:rPr>
        <w:t>（签字或签章）</w:t>
      </w:r>
    </w:p>
    <w:p>
      <w:pPr>
        <w:overflowPunct w:val="0"/>
        <w:topLinePunct/>
        <w:adjustRightInd w:val="0"/>
        <w:snapToGrid w:val="0"/>
        <w:spacing w:line="480" w:lineRule="auto"/>
        <w:ind w:firstLine="5040" w:firstLineChars="2100"/>
        <w:rPr>
          <w:rFonts w:asciiTheme="minorEastAsia" w:hAnsiTheme="minorEastAsia" w:eastAsiaTheme="minorEastAsia" w:cstheme="minorEastAsia"/>
          <w:kern w:val="0"/>
          <w:sz w:val="24"/>
        </w:rPr>
      </w:pPr>
      <w:r>
        <w:rPr>
          <w:rFonts w:hint="eastAsia"/>
          <w:sz w:val="24"/>
          <w:szCs w:val="28"/>
          <w:u w:val="single"/>
        </w:rPr>
        <w:t xml:space="preserve">    </w:t>
      </w:r>
      <w:r>
        <w:rPr>
          <w:sz w:val="24"/>
          <w:szCs w:val="28"/>
        </w:rPr>
        <w:t>年</w:t>
      </w:r>
      <w:r>
        <w:rPr>
          <w:sz w:val="24"/>
          <w:szCs w:val="28"/>
          <w:u w:val="single"/>
        </w:rPr>
        <w:t xml:space="preserve">   </w:t>
      </w:r>
      <w:r>
        <w:rPr>
          <w:sz w:val="24"/>
          <w:szCs w:val="28"/>
        </w:rPr>
        <w:t>月</w:t>
      </w:r>
      <w:r>
        <w:rPr>
          <w:sz w:val="24"/>
          <w:szCs w:val="28"/>
          <w:u w:val="single"/>
        </w:rPr>
        <w:t xml:space="preserve">   </w:t>
      </w:r>
      <w:r>
        <w:rPr>
          <w:sz w:val="24"/>
          <w:szCs w:val="28"/>
        </w:rPr>
        <w:t>日</w:t>
      </w:r>
      <w:r>
        <w:rPr>
          <w:rFonts w:hint="eastAsia" w:asciiTheme="minorEastAsia" w:hAnsiTheme="minorEastAsia" w:eastAsiaTheme="minorEastAsia" w:cstheme="minorEastAsia"/>
          <w:kern w:val="0"/>
          <w:sz w:val="24"/>
          <w:shd w:val="clear" w:color="auto" w:fill="FFFFFF"/>
        </w:rPr>
        <w:t>  </w:t>
      </w:r>
    </w:p>
    <w:p>
      <w:pPr>
        <w:autoSpaceDE w:val="0"/>
        <w:autoSpaceDN w:val="0"/>
        <w:adjustRightInd w:val="0"/>
        <w:snapToGrid w:val="0"/>
        <w:spacing w:after="156" w:afterLines="50" w:line="360" w:lineRule="auto"/>
        <w:jc w:val="center"/>
        <w:rPr>
          <w:kern w:val="0"/>
          <w:sz w:val="30"/>
          <w:szCs w:val="30"/>
          <w:shd w:val="clear" w:color="auto" w:fill="FFFFFF"/>
        </w:rPr>
      </w:pPr>
      <w:r>
        <w:rPr>
          <w:sz w:val="24"/>
        </w:rPr>
        <w:br w:type="page"/>
      </w:r>
      <w:bookmarkStart w:id="63" w:name="_Toc293934824"/>
      <w:bookmarkEnd w:id="63"/>
      <w:r>
        <w:rPr>
          <w:rFonts w:hint="eastAsia"/>
          <w:b/>
          <w:bCs/>
          <w:sz w:val="30"/>
          <w:szCs w:val="30"/>
        </w:rPr>
        <w:t>二、首次报价一览表</w:t>
      </w:r>
    </w:p>
    <w:p>
      <w:pPr>
        <w:adjustRightInd w:val="0"/>
        <w:snapToGrid w:val="0"/>
        <w:spacing w:line="360" w:lineRule="auto"/>
        <w:rPr>
          <w:sz w:val="24"/>
          <w:u w:val="single"/>
        </w:rPr>
      </w:pPr>
      <w:r>
        <w:rPr>
          <w:sz w:val="24"/>
        </w:rPr>
        <w:t>项目名称：</w:t>
      </w:r>
      <w:r>
        <w:rPr>
          <w:sz w:val="24"/>
          <w:u w:val="single"/>
        </w:rPr>
        <w:t xml:space="preserve">                    </w:t>
      </w:r>
      <w:r>
        <w:rPr>
          <w:rFonts w:hint="eastAsia"/>
          <w:sz w:val="24"/>
          <w:u w:val="single"/>
        </w:rPr>
        <w:t>　　　　　　　　　　　　　　　　　</w:t>
      </w:r>
      <w:r>
        <w:rPr>
          <w:sz w:val="24"/>
          <w:u w:val="single"/>
        </w:rPr>
        <w:t xml:space="preserve">        </w:t>
      </w:r>
    </w:p>
    <w:tbl>
      <w:tblPr>
        <w:tblStyle w:val="48"/>
        <w:tblpPr w:leftFromText="180" w:rightFromText="180" w:vertAnchor="page" w:horzAnchor="page" w:tblpX="1607" w:tblpY="2977"/>
        <w:tblW w:w="9137"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821"/>
        <w:gridCol w:w="2066"/>
        <w:gridCol w:w="1796"/>
        <w:gridCol w:w="1731"/>
        <w:gridCol w:w="172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92" w:hRule="atLeast"/>
        </w:trPr>
        <w:tc>
          <w:tcPr>
            <w:tcW w:w="1821" w:type="dxa"/>
            <w:tcBorders>
              <w:top w:val="single" w:color="auto" w:sz="12" w:space="0"/>
              <w:bottom w:val="single" w:color="auto" w:sz="6" w:space="0"/>
              <w:tl2br w:val="single" w:color="auto" w:sz="6" w:space="0"/>
            </w:tcBorders>
          </w:tcPr>
          <w:p>
            <w:pPr>
              <w:tabs>
                <w:tab w:val="center" w:pos="1062"/>
              </w:tabs>
              <w:spacing w:line="360" w:lineRule="auto"/>
              <w:ind w:firstLine="960" w:firstLineChars="400"/>
              <w:jc w:val="both"/>
              <w:rPr>
                <w:sz w:val="24"/>
              </w:rPr>
            </w:pPr>
            <w:r>
              <w:rPr>
                <w:sz w:val="24"/>
              </w:rPr>
              <w:t>报价</w:t>
            </w:r>
          </w:p>
          <w:p>
            <w:pPr>
              <w:tabs>
                <w:tab w:val="center" w:pos="1062"/>
              </w:tabs>
              <w:spacing w:line="360" w:lineRule="auto"/>
              <w:jc w:val="right"/>
              <w:rPr>
                <w:sz w:val="24"/>
              </w:rPr>
            </w:pPr>
            <w:r>
              <w:rPr>
                <w:sz w:val="24"/>
              </w:rPr>
              <w:t>内容</w:t>
            </w:r>
          </w:p>
          <w:p>
            <w:pPr>
              <w:spacing w:line="360" w:lineRule="auto"/>
              <w:jc w:val="left"/>
              <w:rPr>
                <w:sz w:val="24"/>
              </w:rPr>
            </w:pPr>
          </w:p>
          <w:p>
            <w:pPr>
              <w:spacing w:line="360" w:lineRule="auto"/>
              <w:jc w:val="left"/>
              <w:rPr>
                <w:rFonts w:hint="eastAsia" w:eastAsia="宋体"/>
                <w:sz w:val="24"/>
                <w:lang w:eastAsia="zh-CN"/>
              </w:rPr>
            </w:pPr>
            <w:r>
              <w:rPr>
                <w:rFonts w:hint="eastAsia"/>
                <w:sz w:val="24"/>
                <w:lang w:val="en-US" w:eastAsia="zh-CN"/>
              </w:rPr>
              <w:t>项目名称</w:t>
            </w:r>
          </w:p>
        </w:tc>
        <w:tc>
          <w:tcPr>
            <w:tcW w:w="2066" w:type="dxa"/>
          </w:tcPr>
          <w:p>
            <w:pPr>
              <w:spacing w:line="360" w:lineRule="exact"/>
              <w:jc w:val="center"/>
              <w:rPr>
                <w:sz w:val="24"/>
              </w:rPr>
            </w:pPr>
          </w:p>
          <w:p>
            <w:pPr>
              <w:spacing w:line="360" w:lineRule="exact"/>
              <w:jc w:val="center"/>
              <w:rPr>
                <w:sz w:val="24"/>
              </w:rPr>
            </w:pPr>
          </w:p>
          <w:p>
            <w:pPr>
              <w:spacing w:line="360" w:lineRule="exact"/>
              <w:jc w:val="center"/>
              <w:rPr>
                <w:sz w:val="24"/>
              </w:rPr>
            </w:pPr>
            <w:r>
              <w:rPr>
                <w:rFonts w:hint="eastAsia"/>
                <w:sz w:val="24"/>
                <w:lang w:val="en-US" w:eastAsia="zh-CN"/>
              </w:rPr>
              <w:t>响应</w:t>
            </w:r>
            <w:r>
              <w:rPr>
                <w:sz w:val="24"/>
              </w:rPr>
              <w:t>总价</w:t>
            </w:r>
          </w:p>
          <w:p>
            <w:pPr>
              <w:spacing w:line="360" w:lineRule="exact"/>
              <w:jc w:val="center"/>
              <w:rPr>
                <w:sz w:val="24"/>
              </w:rPr>
            </w:pPr>
            <w:r>
              <w:rPr>
                <w:sz w:val="24"/>
              </w:rPr>
              <w:t>（元）</w:t>
            </w:r>
          </w:p>
        </w:tc>
        <w:tc>
          <w:tcPr>
            <w:tcW w:w="1796" w:type="dxa"/>
          </w:tcPr>
          <w:p>
            <w:pPr>
              <w:spacing w:line="360" w:lineRule="exact"/>
              <w:jc w:val="center"/>
              <w:rPr>
                <w:sz w:val="24"/>
              </w:rPr>
            </w:pPr>
          </w:p>
          <w:p>
            <w:pPr>
              <w:spacing w:line="360" w:lineRule="exact"/>
              <w:jc w:val="center"/>
              <w:rPr>
                <w:sz w:val="24"/>
              </w:rPr>
            </w:pPr>
          </w:p>
          <w:p>
            <w:pPr>
              <w:spacing w:line="360" w:lineRule="exact"/>
              <w:jc w:val="center"/>
              <w:rPr>
                <w:sz w:val="24"/>
              </w:rPr>
            </w:pPr>
            <w:r>
              <w:rPr>
                <w:sz w:val="24"/>
              </w:rPr>
              <w:t>工期</w:t>
            </w:r>
          </w:p>
          <w:p>
            <w:pPr>
              <w:spacing w:line="360" w:lineRule="exact"/>
              <w:jc w:val="center"/>
              <w:rPr>
                <w:sz w:val="24"/>
              </w:rPr>
            </w:pPr>
            <w:r>
              <w:rPr>
                <w:sz w:val="24"/>
              </w:rPr>
              <w:t>（</w:t>
            </w:r>
            <w:r>
              <w:rPr>
                <w:rFonts w:hint="eastAsia"/>
                <w:sz w:val="24"/>
              </w:rPr>
              <w:t>日历</w:t>
            </w:r>
            <w:r>
              <w:rPr>
                <w:sz w:val="24"/>
              </w:rPr>
              <w:t>天）</w:t>
            </w:r>
          </w:p>
        </w:tc>
        <w:tc>
          <w:tcPr>
            <w:tcW w:w="1731" w:type="dxa"/>
          </w:tcPr>
          <w:p>
            <w:pPr>
              <w:spacing w:line="360" w:lineRule="exact"/>
              <w:jc w:val="center"/>
              <w:rPr>
                <w:sz w:val="24"/>
              </w:rPr>
            </w:pPr>
          </w:p>
          <w:p>
            <w:pPr>
              <w:spacing w:line="360" w:lineRule="exact"/>
              <w:jc w:val="center"/>
              <w:rPr>
                <w:sz w:val="24"/>
              </w:rPr>
            </w:pPr>
          </w:p>
          <w:p>
            <w:pPr>
              <w:spacing w:line="360" w:lineRule="exact"/>
              <w:jc w:val="center"/>
              <w:rPr>
                <w:sz w:val="24"/>
              </w:rPr>
            </w:pPr>
            <w:r>
              <w:rPr>
                <w:sz w:val="24"/>
              </w:rPr>
              <w:t>质量</w:t>
            </w:r>
            <w:r>
              <w:rPr>
                <w:rFonts w:hint="eastAsia"/>
                <w:sz w:val="24"/>
              </w:rPr>
              <w:t>标准</w:t>
            </w:r>
          </w:p>
          <w:p>
            <w:pPr>
              <w:spacing w:line="360" w:lineRule="exact"/>
              <w:jc w:val="center"/>
              <w:rPr>
                <w:sz w:val="24"/>
              </w:rPr>
            </w:pPr>
          </w:p>
        </w:tc>
        <w:tc>
          <w:tcPr>
            <w:tcW w:w="1723" w:type="dxa"/>
          </w:tcPr>
          <w:p>
            <w:pPr>
              <w:spacing w:line="360" w:lineRule="exact"/>
              <w:jc w:val="center"/>
              <w:rPr>
                <w:sz w:val="24"/>
              </w:rPr>
            </w:pPr>
          </w:p>
          <w:p>
            <w:pPr>
              <w:spacing w:line="360" w:lineRule="exact"/>
              <w:jc w:val="center"/>
              <w:rPr>
                <w:sz w:val="24"/>
              </w:rPr>
            </w:pPr>
          </w:p>
          <w:p>
            <w:pPr>
              <w:spacing w:line="360" w:lineRule="exact"/>
              <w:jc w:val="center"/>
              <w:rPr>
                <w:sz w:val="24"/>
              </w:rPr>
            </w:pPr>
            <w:r>
              <w:rPr>
                <w:sz w:val="24"/>
              </w:rPr>
              <w:t>项目经理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00" w:hRule="atLeast"/>
        </w:trPr>
        <w:tc>
          <w:tcPr>
            <w:tcW w:w="1821" w:type="dxa"/>
            <w:tcBorders>
              <w:top w:val="single" w:color="auto" w:sz="6" w:space="0"/>
            </w:tcBorders>
            <w:vAlign w:val="center"/>
          </w:tcPr>
          <w:p>
            <w:pPr>
              <w:spacing w:line="276" w:lineRule="auto"/>
              <w:jc w:val="center"/>
              <w:rPr>
                <w:szCs w:val="21"/>
              </w:rPr>
            </w:pPr>
          </w:p>
        </w:tc>
        <w:tc>
          <w:tcPr>
            <w:tcW w:w="2066" w:type="dxa"/>
            <w:vAlign w:val="center"/>
          </w:tcPr>
          <w:p>
            <w:pPr>
              <w:spacing w:line="360" w:lineRule="auto"/>
              <w:jc w:val="center"/>
              <w:rPr>
                <w:sz w:val="24"/>
              </w:rPr>
            </w:pPr>
          </w:p>
        </w:tc>
        <w:tc>
          <w:tcPr>
            <w:tcW w:w="1796" w:type="dxa"/>
            <w:vAlign w:val="center"/>
          </w:tcPr>
          <w:p>
            <w:pPr>
              <w:spacing w:line="360" w:lineRule="auto"/>
              <w:jc w:val="center"/>
              <w:rPr>
                <w:sz w:val="24"/>
              </w:rPr>
            </w:pPr>
          </w:p>
        </w:tc>
        <w:tc>
          <w:tcPr>
            <w:tcW w:w="1731" w:type="dxa"/>
            <w:vAlign w:val="center"/>
          </w:tcPr>
          <w:p>
            <w:pPr>
              <w:spacing w:line="360" w:lineRule="auto"/>
              <w:rPr>
                <w:sz w:val="24"/>
              </w:rPr>
            </w:pPr>
          </w:p>
        </w:tc>
        <w:tc>
          <w:tcPr>
            <w:tcW w:w="1723" w:type="dxa"/>
            <w:vAlign w:val="center"/>
          </w:tcPr>
          <w:p>
            <w:pPr>
              <w:spacing w:line="360" w:lineRule="auto"/>
              <w:jc w:val="center"/>
              <w:rPr>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786" w:hRule="atLeast"/>
        </w:trPr>
        <w:tc>
          <w:tcPr>
            <w:tcW w:w="1821" w:type="dxa"/>
            <w:vAlign w:val="center"/>
          </w:tcPr>
          <w:p>
            <w:pPr>
              <w:spacing w:line="360" w:lineRule="auto"/>
              <w:jc w:val="center"/>
              <w:rPr>
                <w:sz w:val="24"/>
              </w:rPr>
            </w:pPr>
            <w:r>
              <w:rPr>
                <w:rFonts w:hint="eastAsia"/>
                <w:sz w:val="24"/>
                <w:lang w:val="en-US" w:eastAsia="zh-CN"/>
              </w:rPr>
              <w:t>响应</w:t>
            </w:r>
            <w:r>
              <w:rPr>
                <w:sz w:val="24"/>
              </w:rPr>
              <w:t>总报价</w:t>
            </w:r>
          </w:p>
        </w:tc>
        <w:tc>
          <w:tcPr>
            <w:tcW w:w="7316" w:type="dxa"/>
            <w:gridSpan w:val="4"/>
            <w:vAlign w:val="center"/>
          </w:tcPr>
          <w:p>
            <w:pPr>
              <w:spacing w:line="360" w:lineRule="auto"/>
              <w:ind w:left="270"/>
              <w:jc w:val="left"/>
              <w:rPr>
                <w:sz w:val="24"/>
                <w:u w:val="single"/>
              </w:rPr>
            </w:pPr>
            <w:r>
              <w:rPr>
                <w:sz w:val="24"/>
              </w:rPr>
              <w:t>大写：</w:t>
            </w:r>
            <w:r>
              <w:rPr>
                <w:sz w:val="24"/>
                <w:u w:val="single"/>
              </w:rPr>
              <w:t xml:space="preserve">           </w:t>
            </w:r>
            <w:r>
              <w:rPr>
                <w:rFonts w:hint="eastAsia"/>
                <w:sz w:val="24"/>
                <w:u w:val="single"/>
              </w:rPr>
              <w:t>　　　　　　　　　</w:t>
            </w:r>
            <w:r>
              <w:rPr>
                <w:sz w:val="24"/>
                <w:u w:val="single"/>
              </w:rPr>
              <w:t xml:space="preserve">      </w:t>
            </w:r>
            <w:r>
              <w:rPr>
                <w:sz w:val="24"/>
              </w:rPr>
              <w:t xml:space="preserve"> </w:t>
            </w:r>
          </w:p>
        </w:tc>
      </w:tr>
    </w:tbl>
    <w:p>
      <w:pPr>
        <w:adjustRightInd w:val="0"/>
        <w:snapToGrid w:val="0"/>
        <w:spacing w:line="360" w:lineRule="auto"/>
        <w:rPr>
          <w:b/>
          <w:bCs/>
          <w:sz w:val="24"/>
        </w:rPr>
      </w:pPr>
      <w:r>
        <w:rPr>
          <w:rFonts w:hint="eastAsia"/>
          <w:b/>
          <w:bCs/>
          <w:sz w:val="24"/>
        </w:rPr>
        <w:t>注：报价以元为单位保留到小数点后两位。</w:t>
      </w:r>
    </w:p>
    <w:p>
      <w:pPr>
        <w:adjustRightInd w:val="0"/>
        <w:snapToGrid w:val="0"/>
        <w:spacing w:line="480" w:lineRule="auto"/>
        <w:rPr>
          <w:bCs/>
          <w:sz w:val="24"/>
        </w:rPr>
      </w:pPr>
    </w:p>
    <w:p>
      <w:pPr>
        <w:adjustRightInd w:val="0"/>
        <w:snapToGrid w:val="0"/>
        <w:spacing w:line="480" w:lineRule="auto"/>
        <w:rPr>
          <w:bCs/>
          <w:sz w:val="24"/>
        </w:rPr>
      </w:pPr>
      <w:r>
        <w:rPr>
          <w:rFonts w:hint="eastAsia"/>
          <w:bCs/>
          <w:sz w:val="24"/>
        </w:rPr>
        <w:t>磋商响应单位</w:t>
      </w:r>
      <w:r>
        <w:rPr>
          <w:bCs/>
          <w:sz w:val="24"/>
        </w:rPr>
        <w:t>名称：</w:t>
      </w:r>
      <w:r>
        <w:rPr>
          <w:bCs/>
          <w:sz w:val="24"/>
          <w:u w:val="single"/>
        </w:rPr>
        <w:t xml:space="preserve">                              </w:t>
      </w:r>
      <w:r>
        <w:rPr>
          <w:bCs/>
          <w:sz w:val="24"/>
        </w:rPr>
        <w:t>（公章）</w:t>
      </w:r>
    </w:p>
    <w:p>
      <w:pPr>
        <w:adjustRightInd w:val="0"/>
        <w:snapToGrid w:val="0"/>
        <w:spacing w:line="480" w:lineRule="auto"/>
        <w:rPr>
          <w:sz w:val="24"/>
        </w:rPr>
      </w:pPr>
      <w:r>
        <w:rPr>
          <w:bCs/>
          <w:sz w:val="24"/>
        </w:rPr>
        <w:t>法定代表人或授权代表人：</w:t>
      </w:r>
      <w:r>
        <w:rPr>
          <w:bCs/>
          <w:sz w:val="24"/>
          <w:u w:val="single"/>
        </w:rPr>
        <w:t xml:space="preserve">  </w:t>
      </w:r>
      <w:r>
        <w:rPr>
          <w:sz w:val="24"/>
          <w:u w:val="single"/>
        </w:rPr>
        <w:t xml:space="preserve">                </w:t>
      </w:r>
      <w:r>
        <w:rPr>
          <w:sz w:val="24"/>
        </w:rPr>
        <w:t>（签字或盖章）</w:t>
      </w:r>
    </w:p>
    <w:p>
      <w:pPr>
        <w:adjustRightInd w:val="0"/>
        <w:snapToGrid w:val="0"/>
        <w:spacing w:line="480" w:lineRule="auto"/>
        <w:rPr>
          <w:sz w:val="24"/>
        </w:rPr>
      </w:pPr>
      <w:r>
        <w:rPr>
          <w:bCs/>
          <w:sz w:val="24"/>
        </w:rPr>
        <w:t>日期：</w:t>
      </w:r>
      <w:r>
        <w:rPr>
          <w:rFonts w:hint="eastAsia"/>
          <w:sz w:val="24"/>
          <w:szCs w:val="28"/>
          <w:u w:val="single"/>
        </w:rPr>
        <w:t xml:space="preserve">    </w:t>
      </w:r>
      <w:r>
        <w:rPr>
          <w:sz w:val="24"/>
          <w:szCs w:val="28"/>
        </w:rPr>
        <w:t>年</w:t>
      </w:r>
      <w:r>
        <w:rPr>
          <w:sz w:val="24"/>
          <w:szCs w:val="28"/>
          <w:u w:val="single"/>
        </w:rPr>
        <w:t xml:space="preserve">   </w:t>
      </w:r>
      <w:r>
        <w:rPr>
          <w:sz w:val="24"/>
          <w:szCs w:val="28"/>
        </w:rPr>
        <w:t>月</w:t>
      </w:r>
      <w:r>
        <w:rPr>
          <w:sz w:val="24"/>
          <w:szCs w:val="28"/>
          <w:u w:val="single"/>
        </w:rPr>
        <w:t xml:space="preserve">   </w:t>
      </w:r>
      <w:r>
        <w:rPr>
          <w:sz w:val="24"/>
          <w:szCs w:val="28"/>
        </w:rPr>
        <w:t>日</w:t>
      </w:r>
    </w:p>
    <w:p>
      <w:pPr>
        <w:autoSpaceDE w:val="0"/>
        <w:autoSpaceDN w:val="0"/>
        <w:adjustRightInd w:val="0"/>
        <w:snapToGrid w:val="0"/>
        <w:spacing w:after="156" w:afterLines="50" w:line="360" w:lineRule="auto"/>
        <w:ind w:left="420" w:leftChars="200"/>
        <w:jc w:val="center"/>
        <w:rPr>
          <w:b/>
          <w:bCs/>
          <w:sz w:val="30"/>
          <w:szCs w:val="30"/>
        </w:rPr>
      </w:pPr>
      <w:r>
        <w:rPr>
          <w:sz w:val="24"/>
        </w:rPr>
        <w:br w:type="page"/>
      </w:r>
      <w:r>
        <w:rPr>
          <w:rFonts w:hint="eastAsia"/>
          <w:b/>
          <w:bCs/>
          <w:sz w:val="30"/>
          <w:szCs w:val="30"/>
        </w:rPr>
        <w:t>三、</w:t>
      </w:r>
      <w:r>
        <w:rPr>
          <w:b/>
          <w:bCs/>
          <w:sz w:val="30"/>
          <w:szCs w:val="30"/>
        </w:rPr>
        <w:t>工程量清单报价表</w:t>
      </w:r>
    </w:p>
    <w:p>
      <w:pPr>
        <w:spacing w:line="360" w:lineRule="auto"/>
        <w:rPr>
          <w:sz w:val="24"/>
        </w:rPr>
      </w:pPr>
      <w:r>
        <w:rPr>
          <w:sz w:val="24"/>
        </w:rPr>
        <w:t>包括以下内容：（以广联达计价软件打印格式为准）</w:t>
      </w:r>
    </w:p>
    <w:p>
      <w:pPr>
        <w:spacing w:line="360" w:lineRule="auto"/>
        <w:rPr>
          <w:rFonts w:ascii="宋体" w:hAnsi="宋体" w:cs="宋体"/>
          <w:sz w:val="24"/>
        </w:rPr>
      </w:pPr>
      <w:r>
        <w:rPr>
          <w:sz w:val="24"/>
        </w:rPr>
        <w:t xml:space="preserve"> </w:t>
      </w:r>
      <w:r>
        <w:rPr>
          <w:rFonts w:hint="eastAsia" w:ascii="宋体" w:hAnsi="宋体" w:cs="宋体"/>
          <w:sz w:val="24"/>
        </w:rPr>
        <w:t xml:space="preserve"> （1）磋商总价</w:t>
      </w:r>
    </w:p>
    <w:p>
      <w:pPr>
        <w:widowControl/>
        <w:spacing w:line="360" w:lineRule="auto"/>
        <w:jc w:val="left"/>
        <w:rPr>
          <w:rFonts w:ascii="宋体" w:hAnsi="宋体" w:cs="宋体"/>
          <w:sz w:val="24"/>
        </w:rPr>
      </w:pPr>
      <w:r>
        <w:rPr>
          <w:rFonts w:hint="eastAsia" w:ascii="宋体" w:hAnsi="宋体" w:cs="宋体"/>
          <w:sz w:val="24"/>
        </w:rPr>
        <w:t xml:space="preserve">  （2）工程项目总造价表</w:t>
      </w:r>
    </w:p>
    <w:p>
      <w:pPr>
        <w:widowControl/>
        <w:spacing w:line="360" w:lineRule="auto"/>
        <w:jc w:val="left"/>
        <w:rPr>
          <w:rFonts w:ascii="宋体" w:hAnsi="宋体" w:cs="宋体"/>
          <w:sz w:val="24"/>
        </w:rPr>
      </w:pPr>
      <w:r>
        <w:rPr>
          <w:rFonts w:hint="eastAsia" w:ascii="宋体" w:hAnsi="宋体" w:cs="宋体"/>
          <w:sz w:val="24"/>
        </w:rPr>
        <w:t xml:space="preserve">  （3）单项工程造价汇总表</w:t>
      </w:r>
    </w:p>
    <w:p>
      <w:pPr>
        <w:widowControl/>
        <w:spacing w:line="360" w:lineRule="auto"/>
        <w:jc w:val="left"/>
        <w:rPr>
          <w:rFonts w:ascii="宋体" w:hAnsi="宋体" w:cs="宋体"/>
          <w:sz w:val="24"/>
        </w:rPr>
      </w:pPr>
      <w:r>
        <w:rPr>
          <w:rFonts w:hint="eastAsia" w:ascii="宋体" w:hAnsi="宋体" w:cs="宋体"/>
          <w:sz w:val="24"/>
        </w:rPr>
        <w:t xml:space="preserve">  （4）单位工程造价汇总表</w:t>
      </w:r>
    </w:p>
    <w:p>
      <w:pPr>
        <w:widowControl/>
        <w:spacing w:line="360" w:lineRule="auto"/>
        <w:jc w:val="left"/>
        <w:rPr>
          <w:rFonts w:ascii="宋体" w:hAnsi="宋体" w:cs="宋体"/>
          <w:sz w:val="24"/>
        </w:rPr>
      </w:pPr>
      <w:r>
        <w:rPr>
          <w:rFonts w:hint="eastAsia" w:ascii="宋体" w:hAnsi="宋体" w:cs="宋体"/>
          <w:sz w:val="24"/>
        </w:rPr>
        <w:t xml:space="preserve">  （5）分部分项工程量清单计价表</w:t>
      </w:r>
    </w:p>
    <w:p>
      <w:pPr>
        <w:widowControl/>
        <w:spacing w:line="360" w:lineRule="auto"/>
        <w:jc w:val="left"/>
        <w:rPr>
          <w:rFonts w:ascii="宋体" w:hAnsi="宋体" w:cs="宋体"/>
          <w:sz w:val="24"/>
        </w:rPr>
      </w:pPr>
      <w:r>
        <w:rPr>
          <w:rFonts w:hint="eastAsia" w:ascii="宋体" w:hAnsi="宋体" w:cs="宋体"/>
          <w:sz w:val="24"/>
        </w:rPr>
        <w:t xml:space="preserve">  （6）措施项目清单计价表</w:t>
      </w:r>
    </w:p>
    <w:p>
      <w:pPr>
        <w:widowControl/>
        <w:spacing w:line="360" w:lineRule="auto"/>
        <w:jc w:val="left"/>
        <w:rPr>
          <w:rFonts w:ascii="宋体" w:hAnsi="宋体" w:cs="宋体"/>
          <w:sz w:val="24"/>
        </w:rPr>
      </w:pPr>
      <w:r>
        <w:rPr>
          <w:rFonts w:hint="eastAsia" w:ascii="宋体" w:hAnsi="宋体" w:cs="宋体"/>
          <w:sz w:val="24"/>
        </w:rPr>
        <w:t xml:space="preserve">  （7）其他项目清单计价表</w:t>
      </w:r>
    </w:p>
    <w:p>
      <w:pPr>
        <w:widowControl/>
        <w:spacing w:line="360" w:lineRule="auto"/>
        <w:jc w:val="left"/>
        <w:rPr>
          <w:rFonts w:ascii="宋体" w:hAnsi="宋体" w:cs="宋体"/>
          <w:sz w:val="24"/>
        </w:rPr>
      </w:pPr>
      <w:r>
        <w:rPr>
          <w:rFonts w:hint="eastAsia" w:ascii="宋体" w:hAnsi="宋体" w:cs="宋体"/>
          <w:sz w:val="24"/>
        </w:rPr>
        <w:t xml:space="preserve">  （8）规费、税金项目清单计价表</w:t>
      </w:r>
    </w:p>
    <w:p>
      <w:pPr>
        <w:widowControl/>
        <w:spacing w:line="360" w:lineRule="auto"/>
        <w:jc w:val="left"/>
        <w:rPr>
          <w:rFonts w:ascii="宋体" w:hAnsi="宋体" w:cs="宋体"/>
          <w:sz w:val="24"/>
        </w:rPr>
      </w:pPr>
      <w:r>
        <w:rPr>
          <w:rFonts w:hint="eastAsia" w:ascii="宋体" w:hAnsi="宋体" w:cs="宋体"/>
          <w:sz w:val="24"/>
        </w:rPr>
        <w:t xml:space="preserve">  （9）主要材料价格表</w:t>
      </w:r>
    </w:p>
    <w:p>
      <w:pPr>
        <w:autoSpaceDE w:val="0"/>
        <w:autoSpaceDN w:val="0"/>
        <w:adjustRightInd w:val="0"/>
        <w:snapToGrid w:val="0"/>
        <w:spacing w:after="156" w:afterLines="50" w:line="360" w:lineRule="auto"/>
        <w:jc w:val="center"/>
        <w:rPr>
          <w:b/>
          <w:bCs/>
          <w:sz w:val="30"/>
          <w:szCs w:val="30"/>
        </w:rPr>
      </w:pPr>
      <w:r>
        <w:rPr>
          <w:b/>
          <w:bCs/>
          <w:sz w:val="24"/>
        </w:rPr>
        <w:br w:type="page"/>
      </w:r>
      <w:r>
        <w:rPr>
          <w:b/>
          <w:bCs/>
          <w:sz w:val="30"/>
          <w:szCs w:val="30"/>
        </w:rPr>
        <w:t>四、</w:t>
      </w:r>
      <w:r>
        <w:rPr>
          <w:rFonts w:hint="eastAsia"/>
          <w:b/>
          <w:bCs/>
          <w:sz w:val="30"/>
          <w:szCs w:val="30"/>
        </w:rPr>
        <w:t>磋商响应单位</w:t>
      </w:r>
      <w:r>
        <w:rPr>
          <w:b/>
          <w:bCs/>
          <w:sz w:val="30"/>
          <w:szCs w:val="30"/>
        </w:rPr>
        <w:t>一般情况表</w:t>
      </w:r>
    </w:p>
    <w:tbl>
      <w:tblPr>
        <w:tblStyle w:val="48"/>
        <w:tblW w:w="896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7"/>
        <w:gridCol w:w="1663"/>
        <w:gridCol w:w="1390"/>
        <w:gridCol w:w="1771"/>
        <w:gridCol w:w="26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497" w:type="dxa"/>
            <w:tcBorders>
              <w:top w:val="single" w:color="auto" w:sz="12" w:space="0"/>
              <w:left w:val="single" w:color="auto" w:sz="12" w:space="0"/>
            </w:tcBorders>
            <w:vAlign w:val="center"/>
          </w:tcPr>
          <w:p>
            <w:pPr>
              <w:autoSpaceDE w:val="0"/>
              <w:autoSpaceDN w:val="0"/>
              <w:adjustRightInd w:val="0"/>
              <w:jc w:val="center"/>
              <w:rPr>
                <w:sz w:val="24"/>
              </w:rPr>
            </w:pPr>
            <w:r>
              <w:rPr>
                <w:rFonts w:hint="eastAsia"/>
                <w:sz w:val="24"/>
              </w:rPr>
              <w:t>磋商响应单位</w:t>
            </w:r>
            <w:r>
              <w:rPr>
                <w:sz w:val="24"/>
              </w:rPr>
              <w:t>全称</w:t>
            </w:r>
          </w:p>
        </w:tc>
        <w:tc>
          <w:tcPr>
            <w:tcW w:w="3053" w:type="dxa"/>
            <w:gridSpan w:val="2"/>
            <w:tcBorders>
              <w:top w:val="single" w:color="auto" w:sz="12" w:space="0"/>
            </w:tcBorders>
            <w:vAlign w:val="center"/>
          </w:tcPr>
          <w:p>
            <w:pPr>
              <w:autoSpaceDE w:val="0"/>
              <w:autoSpaceDN w:val="0"/>
              <w:adjustRightInd w:val="0"/>
              <w:rPr>
                <w:sz w:val="24"/>
              </w:rPr>
            </w:pPr>
          </w:p>
        </w:tc>
        <w:tc>
          <w:tcPr>
            <w:tcW w:w="1771" w:type="dxa"/>
            <w:tcBorders>
              <w:top w:val="single" w:color="auto" w:sz="12" w:space="0"/>
            </w:tcBorders>
            <w:vAlign w:val="center"/>
          </w:tcPr>
          <w:p>
            <w:pPr>
              <w:autoSpaceDE w:val="0"/>
              <w:autoSpaceDN w:val="0"/>
              <w:adjustRightInd w:val="0"/>
              <w:jc w:val="center"/>
              <w:rPr>
                <w:sz w:val="24"/>
              </w:rPr>
            </w:pPr>
            <w:r>
              <w:rPr>
                <w:sz w:val="24"/>
              </w:rPr>
              <w:t>法定代表人</w:t>
            </w:r>
          </w:p>
        </w:tc>
        <w:tc>
          <w:tcPr>
            <w:tcW w:w="2641" w:type="dxa"/>
            <w:tcBorders>
              <w:top w:val="single" w:color="auto" w:sz="12" w:space="0"/>
              <w:right w:val="single" w:color="auto" w:sz="12" w:space="0"/>
            </w:tcBorders>
            <w:vAlign w:val="center"/>
          </w:tcPr>
          <w:p>
            <w:pPr>
              <w:autoSpaceDE w:val="0"/>
              <w:autoSpaceDN w:val="0"/>
              <w:adjustRightInd w:val="0"/>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497" w:type="dxa"/>
            <w:tcBorders>
              <w:left w:val="single" w:color="auto" w:sz="12" w:space="0"/>
            </w:tcBorders>
            <w:vAlign w:val="center"/>
          </w:tcPr>
          <w:p>
            <w:pPr>
              <w:autoSpaceDE w:val="0"/>
              <w:autoSpaceDN w:val="0"/>
              <w:adjustRightInd w:val="0"/>
              <w:jc w:val="center"/>
              <w:rPr>
                <w:sz w:val="24"/>
              </w:rPr>
            </w:pPr>
            <w:r>
              <w:rPr>
                <w:sz w:val="24"/>
              </w:rPr>
              <w:t>地 址</w:t>
            </w:r>
          </w:p>
        </w:tc>
        <w:tc>
          <w:tcPr>
            <w:tcW w:w="3053" w:type="dxa"/>
            <w:gridSpan w:val="2"/>
            <w:vAlign w:val="center"/>
          </w:tcPr>
          <w:p>
            <w:pPr>
              <w:autoSpaceDE w:val="0"/>
              <w:autoSpaceDN w:val="0"/>
              <w:adjustRightInd w:val="0"/>
              <w:rPr>
                <w:sz w:val="24"/>
              </w:rPr>
            </w:pPr>
          </w:p>
        </w:tc>
        <w:tc>
          <w:tcPr>
            <w:tcW w:w="1771" w:type="dxa"/>
            <w:vAlign w:val="center"/>
          </w:tcPr>
          <w:p>
            <w:pPr>
              <w:autoSpaceDE w:val="0"/>
              <w:autoSpaceDN w:val="0"/>
              <w:adjustRightInd w:val="0"/>
              <w:jc w:val="center"/>
              <w:rPr>
                <w:sz w:val="24"/>
              </w:rPr>
            </w:pPr>
            <w:r>
              <w:rPr>
                <w:sz w:val="24"/>
              </w:rPr>
              <w:t>工商登记机关</w:t>
            </w:r>
          </w:p>
        </w:tc>
        <w:tc>
          <w:tcPr>
            <w:tcW w:w="2641" w:type="dxa"/>
            <w:tcBorders>
              <w:right w:val="single" w:color="auto" w:sz="12" w:space="0"/>
            </w:tcBorders>
            <w:vAlign w:val="center"/>
          </w:tcPr>
          <w:p>
            <w:pPr>
              <w:autoSpaceDE w:val="0"/>
              <w:autoSpaceDN w:val="0"/>
              <w:adjustRightInd w:val="0"/>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497" w:type="dxa"/>
            <w:tcBorders>
              <w:left w:val="single" w:color="auto" w:sz="12" w:space="0"/>
            </w:tcBorders>
            <w:vAlign w:val="center"/>
          </w:tcPr>
          <w:p>
            <w:pPr>
              <w:autoSpaceDE w:val="0"/>
              <w:autoSpaceDN w:val="0"/>
              <w:adjustRightInd w:val="0"/>
              <w:jc w:val="center"/>
              <w:rPr>
                <w:sz w:val="24"/>
              </w:rPr>
            </w:pPr>
            <w:r>
              <w:rPr>
                <w:sz w:val="24"/>
              </w:rPr>
              <w:t>注册资金</w:t>
            </w:r>
          </w:p>
        </w:tc>
        <w:tc>
          <w:tcPr>
            <w:tcW w:w="3053" w:type="dxa"/>
            <w:gridSpan w:val="2"/>
            <w:vAlign w:val="center"/>
          </w:tcPr>
          <w:p>
            <w:pPr>
              <w:autoSpaceDE w:val="0"/>
              <w:autoSpaceDN w:val="0"/>
              <w:adjustRightInd w:val="0"/>
              <w:rPr>
                <w:sz w:val="24"/>
              </w:rPr>
            </w:pPr>
          </w:p>
        </w:tc>
        <w:tc>
          <w:tcPr>
            <w:tcW w:w="1771" w:type="dxa"/>
            <w:vAlign w:val="center"/>
          </w:tcPr>
          <w:p>
            <w:pPr>
              <w:autoSpaceDE w:val="0"/>
              <w:autoSpaceDN w:val="0"/>
              <w:adjustRightInd w:val="0"/>
              <w:jc w:val="center"/>
              <w:rPr>
                <w:sz w:val="24"/>
              </w:rPr>
            </w:pPr>
            <w:r>
              <w:rPr>
                <w:sz w:val="24"/>
              </w:rPr>
              <w:t>单位性质</w:t>
            </w:r>
          </w:p>
        </w:tc>
        <w:tc>
          <w:tcPr>
            <w:tcW w:w="2641" w:type="dxa"/>
            <w:tcBorders>
              <w:right w:val="single" w:color="auto" w:sz="12" w:space="0"/>
            </w:tcBorders>
            <w:vAlign w:val="center"/>
          </w:tcPr>
          <w:p>
            <w:pPr>
              <w:autoSpaceDE w:val="0"/>
              <w:autoSpaceDN w:val="0"/>
              <w:adjustRightInd w:val="0"/>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497" w:type="dxa"/>
            <w:tcBorders>
              <w:left w:val="single" w:color="auto" w:sz="12" w:space="0"/>
            </w:tcBorders>
            <w:vAlign w:val="center"/>
          </w:tcPr>
          <w:p>
            <w:pPr>
              <w:autoSpaceDE w:val="0"/>
              <w:autoSpaceDN w:val="0"/>
              <w:adjustRightInd w:val="0"/>
              <w:jc w:val="center"/>
              <w:rPr>
                <w:sz w:val="24"/>
              </w:rPr>
            </w:pPr>
            <w:r>
              <w:rPr>
                <w:sz w:val="24"/>
              </w:rPr>
              <w:t>主营范围</w:t>
            </w:r>
          </w:p>
        </w:tc>
        <w:tc>
          <w:tcPr>
            <w:tcW w:w="3053" w:type="dxa"/>
            <w:gridSpan w:val="2"/>
            <w:vAlign w:val="center"/>
          </w:tcPr>
          <w:p>
            <w:pPr>
              <w:autoSpaceDE w:val="0"/>
              <w:autoSpaceDN w:val="0"/>
              <w:adjustRightInd w:val="0"/>
              <w:rPr>
                <w:sz w:val="24"/>
              </w:rPr>
            </w:pPr>
          </w:p>
        </w:tc>
        <w:tc>
          <w:tcPr>
            <w:tcW w:w="1771" w:type="dxa"/>
            <w:vAlign w:val="center"/>
          </w:tcPr>
          <w:p>
            <w:pPr>
              <w:autoSpaceDE w:val="0"/>
              <w:autoSpaceDN w:val="0"/>
              <w:adjustRightInd w:val="0"/>
              <w:jc w:val="center"/>
              <w:rPr>
                <w:sz w:val="24"/>
              </w:rPr>
            </w:pPr>
            <w:r>
              <w:rPr>
                <w:sz w:val="24"/>
              </w:rPr>
              <w:t>财务状况</w:t>
            </w:r>
          </w:p>
        </w:tc>
        <w:tc>
          <w:tcPr>
            <w:tcW w:w="2641" w:type="dxa"/>
            <w:tcBorders>
              <w:right w:val="single" w:color="auto" w:sz="12" w:space="0"/>
            </w:tcBorders>
            <w:vAlign w:val="center"/>
          </w:tcPr>
          <w:p>
            <w:pPr>
              <w:autoSpaceDE w:val="0"/>
              <w:autoSpaceDN w:val="0"/>
              <w:adjustRightInd w:val="0"/>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497" w:type="dxa"/>
            <w:tcBorders>
              <w:left w:val="single" w:color="auto" w:sz="12" w:space="0"/>
            </w:tcBorders>
            <w:vAlign w:val="center"/>
          </w:tcPr>
          <w:p>
            <w:pPr>
              <w:autoSpaceDE w:val="0"/>
              <w:autoSpaceDN w:val="0"/>
              <w:adjustRightInd w:val="0"/>
              <w:jc w:val="center"/>
              <w:rPr>
                <w:sz w:val="24"/>
              </w:rPr>
            </w:pPr>
            <w:r>
              <w:rPr>
                <w:sz w:val="24"/>
              </w:rPr>
              <w:t>电 话</w:t>
            </w:r>
          </w:p>
        </w:tc>
        <w:tc>
          <w:tcPr>
            <w:tcW w:w="3053" w:type="dxa"/>
            <w:gridSpan w:val="2"/>
            <w:vAlign w:val="center"/>
          </w:tcPr>
          <w:p>
            <w:pPr>
              <w:autoSpaceDE w:val="0"/>
              <w:autoSpaceDN w:val="0"/>
              <w:adjustRightInd w:val="0"/>
              <w:rPr>
                <w:sz w:val="24"/>
              </w:rPr>
            </w:pPr>
          </w:p>
        </w:tc>
        <w:tc>
          <w:tcPr>
            <w:tcW w:w="1771" w:type="dxa"/>
            <w:vAlign w:val="center"/>
          </w:tcPr>
          <w:p>
            <w:pPr>
              <w:autoSpaceDE w:val="0"/>
              <w:autoSpaceDN w:val="0"/>
              <w:adjustRightInd w:val="0"/>
              <w:jc w:val="center"/>
              <w:rPr>
                <w:sz w:val="24"/>
              </w:rPr>
            </w:pPr>
            <w:r>
              <w:rPr>
                <w:sz w:val="24"/>
              </w:rPr>
              <w:t>传  真</w:t>
            </w:r>
          </w:p>
        </w:tc>
        <w:tc>
          <w:tcPr>
            <w:tcW w:w="2641" w:type="dxa"/>
            <w:tcBorders>
              <w:right w:val="single" w:color="auto" w:sz="12" w:space="0"/>
            </w:tcBorders>
            <w:vAlign w:val="center"/>
          </w:tcPr>
          <w:p>
            <w:pPr>
              <w:autoSpaceDE w:val="0"/>
              <w:autoSpaceDN w:val="0"/>
              <w:adjustRightInd w:val="0"/>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497" w:type="dxa"/>
            <w:tcBorders>
              <w:left w:val="single" w:color="auto" w:sz="12" w:space="0"/>
            </w:tcBorders>
            <w:vAlign w:val="center"/>
          </w:tcPr>
          <w:p>
            <w:pPr>
              <w:autoSpaceDE w:val="0"/>
              <w:autoSpaceDN w:val="0"/>
              <w:adjustRightInd w:val="0"/>
              <w:jc w:val="center"/>
              <w:rPr>
                <w:sz w:val="24"/>
              </w:rPr>
            </w:pPr>
            <w:r>
              <w:rPr>
                <w:sz w:val="24"/>
              </w:rPr>
              <w:t xml:space="preserve"> 电</w:t>
            </w:r>
            <w:r>
              <w:rPr>
                <w:rFonts w:hint="eastAsia"/>
                <w:sz w:val="24"/>
                <w:lang w:val="en-US" w:eastAsia="zh-CN"/>
              </w:rPr>
              <w:t xml:space="preserve">  </w:t>
            </w:r>
            <w:r>
              <w:rPr>
                <w:sz w:val="24"/>
              </w:rPr>
              <w:t>话</w:t>
            </w:r>
          </w:p>
        </w:tc>
        <w:tc>
          <w:tcPr>
            <w:tcW w:w="3053" w:type="dxa"/>
            <w:gridSpan w:val="2"/>
            <w:vAlign w:val="center"/>
          </w:tcPr>
          <w:p>
            <w:pPr>
              <w:autoSpaceDE w:val="0"/>
              <w:autoSpaceDN w:val="0"/>
              <w:adjustRightInd w:val="0"/>
              <w:rPr>
                <w:sz w:val="24"/>
              </w:rPr>
            </w:pPr>
          </w:p>
        </w:tc>
        <w:tc>
          <w:tcPr>
            <w:tcW w:w="1771" w:type="dxa"/>
            <w:vAlign w:val="center"/>
          </w:tcPr>
          <w:p>
            <w:pPr>
              <w:autoSpaceDE w:val="0"/>
              <w:autoSpaceDN w:val="0"/>
              <w:adjustRightInd w:val="0"/>
              <w:jc w:val="center"/>
              <w:rPr>
                <w:sz w:val="24"/>
              </w:rPr>
            </w:pPr>
            <w:r>
              <w:rPr>
                <w:sz w:val="24"/>
              </w:rPr>
              <w:t>联系人</w:t>
            </w:r>
          </w:p>
        </w:tc>
        <w:tc>
          <w:tcPr>
            <w:tcW w:w="2641" w:type="dxa"/>
            <w:tcBorders>
              <w:right w:val="single" w:color="auto" w:sz="12" w:space="0"/>
            </w:tcBorders>
            <w:vAlign w:val="center"/>
          </w:tcPr>
          <w:p>
            <w:pPr>
              <w:autoSpaceDE w:val="0"/>
              <w:autoSpaceDN w:val="0"/>
              <w:adjustRightInd w:val="0"/>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497" w:type="dxa"/>
            <w:tcBorders>
              <w:left w:val="single" w:color="auto" w:sz="12" w:space="0"/>
            </w:tcBorders>
            <w:vAlign w:val="center"/>
          </w:tcPr>
          <w:p>
            <w:pPr>
              <w:autoSpaceDE w:val="0"/>
              <w:autoSpaceDN w:val="0"/>
              <w:adjustRightInd w:val="0"/>
              <w:jc w:val="center"/>
              <w:rPr>
                <w:sz w:val="24"/>
              </w:rPr>
            </w:pPr>
            <w:r>
              <w:rPr>
                <w:sz w:val="24"/>
              </w:rPr>
              <w:t>公司资质</w:t>
            </w:r>
          </w:p>
          <w:p>
            <w:pPr>
              <w:autoSpaceDE w:val="0"/>
              <w:autoSpaceDN w:val="0"/>
              <w:adjustRightInd w:val="0"/>
              <w:jc w:val="center"/>
              <w:rPr>
                <w:sz w:val="24"/>
              </w:rPr>
            </w:pPr>
            <w:r>
              <w:rPr>
                <w:sz w:val="24"/>
              </w:rPr>
              <w:t>等级证书</w:t>
            </w:r>
          </w:p>
        </w:tc>
        <w:tc>
          <w:tcPr>
            <w:tcW w:w="3053" w:type="dxa"/>
            <w:gridSpan w:val="2"/>
            <w:tcBorders>
              <w:right w:val="single" w:color="auto" w:sz="12" w:space="0"/>
            </w:tcBorders>
            <w:vAlign w:val="center"/>
          </w:tcPr>
          <w:p>
            <w:pPr>
              <w:autoSpaceDE w:val="0"/>
              <w:autoSpaceDN w:val="0"/>
              <w:adjustRightInd w:val="0"/>
              <w:rPr>
                <w:sz w:val="24"/>
              </w:rPr>
            </w:pPr>
          </w:p>
        </w:tc>
        <w:tc>
          <w:tcPr>
            <w:tcW w:w="1771" w:type="dxa"/>
            <w:tcBorders>
              <w:right w:val="single" w:color="auto" w:sz="12" w:space="0"/>
            </w:tcBorders>
            <w:vAlign w:val="center"/>
          </w:tcPr>
          <w:p>
            <w:pPr>
              <w:autoSpaceDE w:val="0"/>
              <w:autoSpaceDN w:val="0"/>
              <w:adjustRightInd w:val="0"/>
              <w:ind w:firstLine="480" w:firstLineChars="200"/>
              <w:rPr>
                <w:sz w:val="24"/>
              </w:rPr>
            </w:pPr>
            <w:r>
              <w:rPr>
                <w:sz w:val="24"/>
              </w:rPr>
              <w:t>传  真</w:t>
            </w:r>
          </w:p>
        </w:tc>
        <w:tc>
          <w:tcPr>
            <w:tcW w:w="2641" w:type="dxa"/>
            <w:tcBorders>
              <w:right w:val="single" w:color="auto" w:sz="12" w:space="0"/>
            </w:tcBorders>
            <w:vAlign w:val="center"/>
          </w:tcPr>
          <w:p>
            <w:pPr>
              <w:autoSpaceDE w:val="0"/>
              <w:autoSpaceDN w:val="0"/>
              <w:adjustRightInd w:val="0"/>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497" w:type="dxa"/>
            <w:tcBorders>
              <w:left w:val="single" w:color="auto" w:sz="12" w:space="0"/>
            </w:tcBorders>
            <w:vAlign w:val="center"/>
          </w:tcPr>
          <w:p>
            <w:pPr>
              <w:autoSpaceDE w:val="0"/>
              <w:autoSpaceDN w:val="0"/>
              <w:adjustRightInd w:val="0"/>
              <w:jc w:val="center"/>
              <w:rPr>
                <w:sz w:val="24"/>
              </w:rPr>
            </w:pPr>
            <w:r>
              <w:rPr>
                <w:sz w:val="24"/>
              </w:rPr>
              <w:t>磋商人是否小微企业</w:t>
            </w:r>
          </w:p>
        </w:tc>
        <w:tc>
          <w:tcPr>
            <w:tcW w:w="3053" w:type="dxa"/>
            <w:gridSpan w:val="2"/>
            <w:vAlign w:val="center"/>
          </w:tcPr>
          <w:p>
            <w:pPr>
              <w:autoSpaceDE w:val="0"/>
              <w:autoSpaceDN w:val="0"/>
              <w:adjustRightInd w:val="0"/>
              <w:rPr>
                <w:sz w:val="24"/>
              </w:rPr>
            </w:pPr>
          </w:p>
        </w:tc>
        <w:tc>
          <w:tcPr>
            <w:tcW w:w="1771" w:type="dxa"/>
            <w:vAlign w:val="center"/>
          </w:tcPr>
          <w:p>
            <w:pPr>
              <w:autoSpaceDE w:val="0"/>
              <w:autoSpaceDN w:val="0"/>
              <w:adjustRightInd w:val="0"/>
              <w:jc w:val="center"/>
              <w:rPr>
                <w:sz w:val="24"/>
              </w:rPr>
            </w:pPr>
            <w:r>
              <w:rPr>
                <w:sz w:val="24"/>
              </w:rPr>
              <w:t>体系认证</w:t>
            </w:r>
          </w:p>
        </w:tc>
        <w:tc>
          <w:tcPr>
            <w:tcW w:w="2641" w:type="dxa"/>
            <w:tcBorders>
              <w:right w:val="single" w:color="auto" w:sz="12" w:space="0"/>
            </w:tcBorders>
            <w:vAlign w:val="center"/>
          </w:tcPr>
          <w:p>
            <w:pPr>
              <w:autoSpaceDE w:val="0"/>
              <w:autoSpaceDN w:val="0"/>
              <w:adjustRightInd w:val="0"/>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497" w:type="dxa"/>
            <w:vMerge w:val="restart"/>
            <w:tcBorders>
              <w:left w:val="single" w:color="auto" w:sz="12" w:space="0"/>
            </w:tcBorders>
            <w:vAlign w:val="center"/>
          </w:tcPr>
          <w:p>
            <w:pPr>
              <w:autoSpaceDE w:val="0"/>
              <w:autoSpaceDN w:val="0"/>
              <w:adjustRightInd w:val="0"/>
              <w:spacing w:line="624" w:lineRule="exact"/>
              <w:jc w:val="center"/>
              <w:rPr>
                <w:sz w:val="24"/>
              </w:rPr>
            </w:pPr>
            <w:r>
              <w:rPr>
                <w:sz w:val="24"/>
              </w:rPr>
              <w:t>人员情况</w:t>
            </w:r>
          </w:p>
        </w:tc>
        <w:tc>
          <w:tcPr>
            <w:tcW w:w="3053" w:type="dxa"/>
            <w:gridSpan w:val="2"/>
            <w:vAlign w:val="center"/>
          </w:tcPr>
          <w:p>
            <w:pPr>
              <w:autoSpaceDE w:val="0"/>
              <w:autoSpaceDN w:val="0"/>
              <w:adjustRightInd w:val="0"/>
              <w:spacing w:line="360" w:lineRule="auto"/>
              <w:rPr>
                <w:sz w:val="24"/>
              </w:rPr>
            </w:pPr>
            <w:r>
              <w:rPr>
                <w:sz w:val="24"/>
              </w:rPr>
              <w:t>总人数</w:t>
            </w:r>
            <w:r>
              <w:rPr>
                <w:rFonts w:hint="eastAsia"/>
                <w:sz w:val="24"/>
              </w:rPr>
              <w:t>：</w:t>
            </w:r>
          </w:p>
        </w:tc>
        <w:tc>
          <w:tcPr>
            <w:tcW w:w="1771" w:type="dxa"/>
            <w:vAlign w:val="center"/>
          </w:tcPr>
          <w:p>
            <w:pPr>
              <w:autoSpaceDE w:val="0"/>
              <w:autoSpaceDN w:val="0"/>
              <w:adjustRightInd w:val="0"/>
              <w:spacing w:line="360" w:lineRule="auto"/>
              <w:jc w:val="center"/>
              <w:rPr>
                <w:sz w:val="24"/>
              </w:rPr>
            </w:pPr>
            <w:r>
              <w:rPr>
                <w:sz w:val="24"/>
              </w:rPr>
              <w:t>管理人员</w:t>
            </w:r>
          </w:p>
        </w:tc>
        <w:tc>
          <w:tcPr>
            <w:tcW w:w="2641" w:type="dxa"/>
            <w:tcBorders>
              <w:right w:val="single" w:color="auto" w:sz="12" w:space="0"/>
            </w:tcBorders>
            <w:vAlign w:val="center"/>
          </w:tcPr>
          <w:p>
            <w:pPr>
              <w:autoSpaceDE w:val="0"/>
              <w:autoSpaceDN w:val="0"/>
              <w:adjustRightInd w:val="0"/>
              <w:spacing w:line="624"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497" w:type="dxa"/>
            <w:vMerge w:val="continue"/>
            <w:tcBorders>
              <w:left w:val="single" w:color="auto" w:sz="12" w:space="0"/>
            </w:tcBorders>
            <w:vAlign w:val="center"/>
          </w:tcPr>
          <w:p>
            <w:pPr>
              <w:autoSpaceDE w:val="0"/>
              <w:autoSpaceDN w:val="0"/>
              <w:adjustRightInd w:val="0"/>
              <w:spacing w:line="624" w:lineRule="exact"/>
              <w:rPr>
                <w:sz w:val="24"/>
              </w:rPr>
            </w:pPr>
          </w:p>
        </w:tc>
        <w:tc>
          <w:tcPr>
            <w:tcW w:w="1663" w:type="dxa"/>
            <w:vMerge w:val="restart"/>
            <w:vAlign w:val="center"/>
          </w:tcPr>
          <w:p>
            <w:pPr>
              <w:autoSpaceDE w:val="0"/>
              <w:autoSpaceDN w:val="0"/>
              <w:adjustRightInd w:val="0"/>
              <w:spacing w:line="624" w:lineRule="exact"/>
              <w:jc w:val="center"/>
              <w:rPr>
                <w:sz w:val="24"/>
              </w:rPr>
            </w:pPr>
            <w:r>
              <w:rPr>
                <w:sz w:val="24"/>
              </w:rPr>
              <w:t>技术人员</w:t>
            </w:r>
          </w:p>
        </w:tc>
        <w:tc>
          <w:tcPr>
            <w:tcW w:w="3161" w:type="dxa"/>
            <w:gridSpan w:val="2"/>
            <w:vAlign w:val="center"/>
          </w:tcPr>
          <w:p>
            <w:pPr>
              <w:autoSpaceDE w:val="0"/>
              <w:autoSpaceDN w:val="0"/>
              <w:adjustRightInd w:val="0"/>
              <w:spacing w:line="360" w:lineRule="auto"/>
              <w:rPr>
                <w:sz w:val="24"/>
              </w:rPr>
            </w:pPr>
            <w:r>
              <w:rPr>
                <w:sz w:val="24"/>
              </w:rPr>
              <w:t>总人数</w:t>
            </w:r>
          </w:p>
        </w:tc>
        <w:tc>
          <w:tcPr>
            <w:tcW w:w="2641" w:type="dxa"/>
            <w:tcBorders>
              <w:right w:val="single" w:color="auto" w:sz="12" w:space="0"/>
            </w:tcBorders>
            <w:vAlign w:val="center"/>
          </w:tcPr>
          <w:p>
            <w:pPr>
              <w:autoSpaceDE w:val="0"/>
              <w:autoSpaceDN w:val="0"/>
              <w:adjustRightInd w:val="0"/>
              <w:spacing w:line="624"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497" w:type="dxa"/>
            <w:vMerge w:val="continue"/>
            <w:tcBorders>
              <w:left w:val="single" w:color="auto" w:sz="12" w:space="0"/>
            </w:tcBorders>
            <w:vAlign w:val="center"/>
          </w:tcPr>
          <w:p>
            <w:pPr>
              <w:autoSpaceDE w:val="0"/>
              <w:autoSpaceDN w:val="0"/>
              <w:adjustRightInd w:val="0"/>
              <w:spacing w:line="624" w:lineRule="exact"/>
              <w:rPr>
                <w:sz w:val="24"/>
              </w:rPr>
            </w:pPr>
          </w:p>
        </w:tc>
        <w:tc>
          <w:tcPr>
            <w:tcW w:w="1663" w:type="dxa"/>
            <w:vMerge w:val="continue"/>
            <w:vAlign w:val="center"/>
          </w:tcPr>
          <w:p>
            <w:pPr>
              <w:autoSpaceDE w:val="0"/>
              <w:autoSpaceDN w:val="0"/>
              <w:adjustRightInd w:val="0"/>
              <w:spacing w:line="624" w:lineRule="exact"/>
              <w:rPr>
                <w:sz w:val="24"/>
              </w:rPr>
            </w:pPr>
          </w:p>
        </w:tc>
        <w:tc>
          <w:tcPr>
            <w:tcW w:w="3161" w:type="dxa"/>
            <w:gridSpan w:val="2"/>
            <w:vAlign w:val="center"/>
          </w:tcPr>
          <w:p>
            <w:pPr>
              <w:autoSpaceDE w:val="0"/>
              <w:autoSpaceDN w:val="0"/>
              <w:adjustRightInd w:val="0"/>
              <w:spacing w:line="360" w:lineRule="auto"/>
              <w:rPr>
                <w:sz w:val="24"/>
              </w:rPr>
            </w:pPr>
            <w:r>
              <w:rPr>
                <w:sz w:val="24"/>
              </w:rPr>
              <w:t>具有高级技术职称人数</w:t>
            </w:r>
          </w:p>
        </w:tc>
        <w:tc>
          <w:tcPr>
            <w:tcW w:w="2641" w:type="dxa"/>
            <w:tcBorders>
              <w:right w:val="single" w:color="auto" w:sz="12" w:space="0"/>
            </w:tcBorders>
            <w:vAlign w:val="center"/>
          </w:tcPr>
          <w:p>
            <w:pPr>
              <w:autoSpaceDE w:val="0"/>
              <w:autoSpaceDN w:val="0"/>
              <w:adjustRightInd w:val="0"/>
              <w:spacing w:line="624"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497" w:type="dxa"/>
            <w:vMerge w:val="continue"/>
            <w:tcBorders>
              <w:left w:val="single" w:color="auto" w:sz="12" w:space="0"/>
            </w:tcBorders>
            <w:vAlign w:val="center"/>
          </w:tcPr>
          <w:p>
            <w:pPr>
              <w:autoSpaceDE w:val="0"/>
              <w:autoSpaceDN w:val="0"/>
              <w:adjustRightInd w:val="0"/>
              <w:spacing w:line="624" w:lineRule="exact"/>
              <w:rPr>
                <w:sz w:val="24"/>
              </w:rPr>
            </w:pPr>
          </w:p>
        </w:tc>
        <w:tc>
          <w:tcPr>
            <w:tcW w:w="4824" w:type="dxa"/>
            <w:gridSpan w:val="3"/>
            <w:vAlign w:val="center"/>
          </w:tcPr>
          <w:p>
            <w:pPr>
              <w:autoSpaceDE w:val="0"/>
              <w:autoSpaceDN w:val="0"/>
              <w:adjustRightInd w:val="0"/>
              <w:spacing w:line="360" w:lineRule="auto"/>
              <w:jc w:val="center"/>
              <w:rPr>
                <w:sz w:val="24"/>
              </w:rPr>
            </w:pPr>
            <w:r>
              <w:rPr>
                <w:sz w:val="24"/>
              </w:rPr>
              <w:t>其他人员</w:t>
            </w:r>
          </w:p>
        </w:tc>
        <w:tc>
          <w:tcPr>
            <w:tcW w:w="2641" w:type="dxa"/>
            <w:tcBorders>
              <w:right w:val="single" w:color="auto" w:sz="12" w:space="0"/>
            </w:tcBorders>
            <w:vAlign w:val="center"/>
          </w:tcPr>
          <w:p>
            <w:pPr>
              <w:autoSpaceDE w:val="0"/>
              <w:autoSpaceDN w:val="0"/>
              <w:adjustRightInd w:val="0"/>
              <w:spacing w:line="624"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4" w:hRule="atLeast"/>
        </w:trPr>
        <w:tc>
          <w:tcPr>
            <w:tcW w:w="8962" w:type="dxa"/>
            <w:gridSpan w:val="5"/>
            <w:tcBorders>
              <w:left w:val="single" w:color="auto" w:sz="12" w:space="0"/>
              <w:bottom w:val="single" w:color="auto" w:sz="12" w:space="0"/>
              <w:right w:val="single" w:color="auto" w:sz="12" w:space="0"/>
            </w:tcBorders>
          </w:tcPr>
          <w:p>
            <w:pPr>
              <w:autoSpaceDE w:val="0"/>
              <w:autoSpaceDN w:val="0"/>
              <w:adjustRightInd w:val="0"/>
              <w:spacing w:line="624" w:lineRule="exact"/>
              <w:rPr>
                <w:sz w:val="24"/>
              </w:rPr>
            </w:pPr>
            <w:r>
              <w:rPr>
                <w:sz w:val="24"/>
              </w:rPr>
              <w:t>其他需要说明的情况：</w:t>
            </w:r>
          </w:p>
        </w:tc>
      </w:tr>
    </w:tbl>
    <w:p>
      <w:pPr>
        <w:autoSpaceDE w:val="0"/>
        <w:autoSpaceDN w:val="0"/>
        <w:adjustRightInd w:val="0"/>
        <w:spacing w:line="400" w:lineRule="exact"/>
        <w:rPr>
          <w:sz w:val="24"/>
        </w:rPr>
      </w:pPr>
    </w:p>
    <w:p>
      <w:pPr>
        <w:adjustRightInd w:val="0"/>
        <w:snapToGrid w:val="0"/>
        <w:spacing w:line="480" w:lineRule="auto"/>
        <w:rPr>
          <w:bCs/>
          <w:sz w:val="24"/>
        </w:rPr>
      </w:pPr>
      <w:r>
        <w:rPr>
          <w:rFonts w:hint="eastAsia"/>
          <w:bCs/>
          <w:sz w:val="24"/>
        </w:rPr>
        <w:t>磋商响应单位</w:t>
      </w:r>
      <w:r>
        <w:rPr>
          <w:bCs/>
          <w:sz w:val="24"/>
        </w:rPr>
        <w:t>名称：</w:t>
      </w:r>
      <w:r>
        <w:rPr>
          <w:bCs/>
          <w:sz w:val="24"/>
          <w:u w:val="single"/>
        </w:rPr>
        <w:t xml:space="preserve">                              </w:t>
      </w:r>
      <w:r>
        <w:rPr>
          <w:bCs/>
          <w:sz w:val="24"/>
        </w:rPr>
        <w:t>（公章）</w:t>
      </w:r>
    </w:p>
    <w:p>
      <w:pPr>
        <w:adjustRightInd w:val="0"/>
        <w:snapToGrid w:val="0"/>
        <w:spacing w:line="480" w:lineRule="auto"/>
        <w:rPr>
          <w:sz w:val="24"/>
        </w:rPr>
      </w:pPr>
      <w:r>
        <w:rPr>
          <w:bCs/>
          <w:sz w:val="24"/>
        </w:rPr>
        <w:t>法定代表人或授权代表人：</w:t>
      </w:r>
      <w:r>
        <w:rPr>
          <w:bCs/>
          <w:sz w:val="24"/>
          <w:u w:val="single"/>
        </w:rPr>
        <w:t xml:space="preserve">  </w:t>
      </w:r>
      <w:r>
        <w:rPr>
          <w:sz w:val="24"/>
          <w:u w:val="single"/>
        </w:rPr>
        <w:t xml:space="preserve">                </w:t>
      </w:r>
      <w:r>
        <w:rPr>
          <w:sz w:val="24"/>
        </w:rPr>
        <w:t xml:space="preserve">（签字或盖章）           </w:t>
      </w:r>
      <w:bookmarkStart w:id="64" w:name="OLE_LINK8"/>
    </w:p>
    <w:p>
      <w:pPr>
        <w:adjustRightInd w:val="0"/>
        <w:snapToGrid w:val="0"/>
        <w:spacing w:line="480" w:lineRule="auto"/>
        <w:rPr>
          <w:sz w:val="24"/>
        </w:rPr>
      </w:pPr>
      <w:r>
        <w:rPr>
          <w:bCs/>
          <w:sz w:val="24"/>
        </w:rPr>
        <w:t>日</w:t>
      </w:r>
      <w:r>
        <w:rPr>
          <w:rFonts w:hint="eastAsia"/>
          <w:bCs/>
          <w:sz w:val="24"/>
        </w:rPr>
        <w:t xml:space="preserve">  </w:t>
      </w:r>
      <w:r>
        <w:rPr>
          <w:bCs/>
          <w:sz w:val="24"/>
        </w:rPr>
        <w:t>期：</w:t>
      </w:r>
      <w:bookmarkEnd w:id="64"/>
      <w:r>
        <w:rPr>
          <w:rFonts w:hint="eastAsia"/>
          <w:sz w:val="24"/>
          <w:szCs w:val="28"/>
          <w:u w:val="single"/>
        </w:rPr>
        <w:t xml:space="preserve">    </w:t>
      </w:r>
      <w:r>
        <w:rPr>
          <w:sz w:val="24"/>
          <w:szCs w:val="28"/>
        </w:rPr>
        <w:t>年</w:t>
      </w:r>
      <w:r>
        <w:rPr>
          <w:sz w:val="24"/>
          <w:szCs w:val="28"/>
          <w:u w:val="single"/>
        </w:rPr>
        <w:t xml:space="preserve">   </w:t>
      </w:r>
      <w:r>
        <w:rPr>
          <w:sz w:val="24"/>
          <w:szCs w:val="28"/>
        </w:rPr>
        <w:t>月</w:t>
      </w:r>
      <w:r>
        <w:rPr>
          <w:sz w:val="24"/>
          <w:szCs w:val="28"/>
          <w:u w:val="single"/>
        </w:rPr>
        <w:t xml:space="preserve">   </w:t>
      </w:r>
      <w:r>
        <w:rPr>
          <w:sz w:val="24"/>
          <w:szCs w:val="28"/>
        </w:rPr>
        <w:t>日</w:t>
      </w:r>
    </w:p>
    <w:p>
      <w:pPr>
        <w:autoSpaceDE w:val="0"/>
        <w:autoSpaceDN w:val="0"/>
        <w:adjustRightInd w:val="0"/>
        <w:spacing w:line="360" w:lineRule="auto"/>
        <w:rPr>
          <w:b/>
          <w:sz w:val="24"/>
        </w:rPr>
      </w:pPr>
      <w:r>
        <w:rPr>
          <w:sz w:val="24"/>
        </w:rPr>
        <w:br w:type="page"/>
      </w:r>
    </w:p>
    <w:p>
      <w:pPr>
        <w:adjustRightInd w:val="0"/>
        <w:snapToGrid w:val="0"/>
        <w:spacing w:line="324" w:lineRule="auto"/>
        <w:rPr>
          <w:rFonts w:hAnsi="宋体"/>
          <w:b/>
          <w:sz w:val="24"/>
        </w:rPr>
      </w:pPr>
      <w:r>
        <w:rPr>
          <w:rFonts w:hint="eastAsia" w:ascii="宋体" w:hAnsi="宋体" w:cs="宋体"/>
          <w:sz w:val="24"/>
        </w:rPr>
        <w:t xml:space="preserve">附件4-1 </w:t>
      </w:r>
      <w:r>
        <w:rPr>
          <w:rFonts w:hint="eastAsia" w:hAnsi="宋体"/>
          <w:b/>
          <w:sz w:val="24"/>
        </w:rPr>
        <w:t>：</w:t>
      </w:r>
    </w:p>
    <w:p>
      <w:pPr>
        <w:spacing w:before="100" w:beforeAutospacing="1" w:after="156" w:afterLines="50" w:line="360" w:lineRule="auto"/>
        <w:jc w:val="center"/>
        <w:rPr>
          <w:rFonts w:asciiTheme="minorEastAsia" w:hAnsiTheme="minorEastAsia" w:eastAsiaTheme="minorEastAsia" w:cstheme="minorEastAsia"/>
          <w:b/>
          <w:sz w:val="32"/>
          <w:szCs w:val="32"/>
        </w:rPr>
      </w:pPr>
      <w:r>
        <w:rPr>
          <w:rFonts w:hint="eastAsia" w:asciiTheme="minorEastAsia" w:hAnsiTheme="minorEastAsia" w:eastAsiaTheme="minorEastAsia" w:cstheme="minorEastAsia"/>
          <w:b/>
          <w:sz w:val="32"/>
          <w:szCs w:val="32"/>
        </w:rPr>
        <w:t>中小企业声明函</w:t>
      </w:r>
    </w:p>
    <w:p>
      <w:pPr>
        <w:spacing w:line="360" w:lineRule="auto"/>
        <w:ind w:firstLine="480" w:firstLineChars="200"/>
        <w:rPr>
          <w:rFonts w:ascii="宋体" w:hAnsi="宋体" w:cs="宋体"/>
          <w:sz w:val="24"/>
        </w:rPr>
      </w:pPr>
      <w:r>
        <w:rPr>
          <w:rFonts w:hint="eastAsia" w:ascii="宋体" w:hAnsi="宋体" w:cs="宋体"/>
          <w:sz w:val="24"/>
        </w:rPr>
        <w:t>本公司郑重声明，根据《政府采购促进中小企业发展管理办法》（财库﹝2020﹞46 号）的规定，本公司参加</w:t>
      </w:r>
      <w:r>
        <w:rPr>
          <w:rFonts w:hint="eastAsia" w:ascii="宋体" w:hAnsi="宋体" w:cs="宋体"/>
          <w:i/>
          <w:sz w:val="24"/>
          <w:u w:val="single"/>
        </w:rPr>
        <w:t>（单位名称</w:t>
      </w:r>
      <w:r>
        <w:rPr>
          <w:rFonts w:hint="eastAsia" w:ascii="宋体" w:hAnsi="宋体" w:cs="宋体"/>
          <w:sz w:val="24"/>
          <w:u w:val="single"/>
        </w:rPr>
        <w:t>）</w:t>
      </w:r>
      <w:r>
        <w:rPr>
          <w:rFonts w:hint="eastAsia" w:ascii="宋体" w:hAnsi="宋体" w:cs="宋体"/>
          <w:sz w:val="24"/>
        </w:rPr>
        <w:t>的</w:t>
      </w:r>
      <w:r>
        <w:rPr>
          <w:rFonts w:hint="eastAsia" w:ascii="宋体" w:hAnsi="宋体" w:cs="宋体"/>
          <w:i/>
          <w:sz w:val="24"/>
          <w:u w:val="single"/>
        </w:rPr>
        <w:t>（项目名称）</w:t>
      </w:r>
      <w:r>
        <w:rPr>
          <w:rFonts w:hint="eastAsia" w:ascii="宋体" w:hAnsi="宋体" w:cs="宋体"/>
          <w:sz w:val="24"/>
        </w:rPr>
        <w:t xml:space="preserve">采购活动，工程的施工单位全部为符合政策要求的中小企业（或者：服务全部由符合政策要求的中小企业承接）。相关企业（含联合体中的中小企业、签订分包意向协议的中小企业）的具体情况如下： </w:t>
      </w:r>
    </w:p>
    <w:p>
      <w:pPr>
        <w:numPr>
          <w:ilvl w:val="0"/>
          <w:numId w:val="6"/>
        </w:numPr>
        <w:spacing w:line="360" w:lineRule="auto"/>
        <w:ind w:firstLine="480" w:firstLineChars="200"/>
        <w:rPr>
          <w:rFonts w:ascii="宋体" w:hAnsi="宋体" w:cs="宋体"/>
          <w:sz w:val="24"/>
        </w:rPr>
      </w:pPr>
      <w:r>
        <w:rPr>
          <w:rFonts w:hint="eastAsia" w:ascii="宋体" w:hAnsi="宋体" w:cs="宋体"/>
          <w:i/>
          <w:sz w:val="24"/>
          <w:u w:val="single"/>
        </w:rPr>
        <w:t>（标的名称）</w:t>
      </w:r>
      <w:r>
        <w:rPr>
          <w:rFonts w:hint="eastAsia" w:ascii="宋体" w:hAnsi="宋体" w:cs="宋体"/>
          <w:sz w:val="24"/>
          <w:u w:val="single"/>
        </w:rPr>
        <w:t xml:space="preserve"> </w:t>
      </w:r>
      <w:r>
        <w:rPr>
          <w:rFonts w:hint="eastAsia" w:ascii="宋体" w:hAnsi="宋体" w:cs="宋体"/>
          <w:sz w:val="24"/>
        </w:rPr>
        <w:t>，属于</w:t>
      </w:r>
      <w:r>
        <w:rPr>
          <w:rFonts w:hint="eastAsia" w:ascii="宋体" w:hAnsi="宋体" w:cs="宋体"/>
          <w:i/>
          <w:sz w:val="24"/>
          <w:u w:val="single"/>
        </w:rPr>
        <w:t>（采购文件中明确的所属行业）</w:t>
      </w:r>
      <w:r>
        <w:rPr>
          <w:rFonts w:hint="eastAsia" w:ascii="宋体" w:hAnsi="宋体" w:cs="宋体"/>
          <w:sz w:val="24"/>
        </w:rPr>
        <w:t>； 承建（承接）企业为</w:t>
      </w:r>
      <w:r>
        <w:rPr>
          <w:rFonts w:hint="eastAsia" w:ascii="宋体" w:hAnsi="宋体" w:cs="宋体"/>
          <w:i/>
          <w:sz w:val="24"/>
          <w:u w:val="single"/>
        </w:rPr>
        <w:t>（企业名称）</w:t>
      </w:r>
      <w:r>
        <w:rPr>
          <w:rFonts w:hint="eastAsia" w:ascii="宋体" w:hAnsi="宋体" w:cs="宋体"/>
          <w:sz w:val="24"/>
        </w:rPr>
        <w:t>，从业人员______人，营业收入为____万元，资产总额为____万元，属于</w:t>
      </w:r>
      <w:r>
        <w:rPr>
          <w:rFonts w:hint="eastAsia" w:ascii="宋体" w:hAnsi="宋体" w:cs="宋体"/>
          <w:i/>
          <w:sz w:val="24"/>
          <w:u w:val="single"/>
        </w:rPr>
        <w:t>（中型企业、 小型企业、微型企业）</w:t>
      </w:r>
      <w:r>
        <w:rPr>
          <w:rFonts w:hint="eastAsia" w:ascii="宋体" w:hAnsi="宋体" w:cs="宋体"/>
          <w:sz w:val="24"/>
        </w:rPr>
        <w:t xml:space="preserve">； </w:t>
      </w:r>
    </w:p>
    <w:p>
      <w:pPr>
        <w:numPr>
          <w:ilvl w:val="0"/>
          <w:numId w:val="6"/>
        </w:numPr>
        <w:spacing w:line="360" w:lineRule="auto"/>
        <w:ind w:firstLine="480" w:firstLineChars="200"/>
        <w:rPr>
          <w:rFonts w:ascii="宋体" w:hAnsi="宋体" w:cs="宋体"/>
          <w:sz w:val="24"/>
        </w:rPr>
      </w:pPr>
      <w:r>
        <w:rPr>
          <w:rFonts w:hint="eastAsia" w:ascii="宋体" w:hAnsi="宋体" w:cs="宋体"/>
          <w:i/>
          <w:sz w:val="24"/>
          <w:u w:val="single"/>
        </w:rPr>
        <w:t xml:space="preserve">（标的名称） </w:t>
      </w:r>
      <w:r>
        <w:rPr>
          <w:rFonts w:hint="eastAsia" w:ascii="宋体" w:hAnsi="宋体" w:cs="宋体"/>
          <w:sz w:val="24"/>
        </w:rPr>
        <w:t>，属于</w:t>
      </w:r>
      <w:r>
        <w:rPr>
          <w:rFonts w:hint="eastAsia" w:ascii="宋体" w:hAnsi="宋体" w:cs="宋体"/>
          <w:i/>
          <w:sz w:val="24"/>
          <w:u w:val="single"/>
        </w:rPr>
        <w:t>（采购文件中明确的所属行业）</w:t>
      </w:r>
      <w:r>
        <w:rPr>
          <w:rFonts w:hint="eastAsia" w:ascii="宋体" w:hAnsi="宋体" w:cs="宋体"/>
          <w:sz w:val="24"/>
        </w:rPr>
        <w:t>； 承建（承接）企业为</w:t>
      </w:r>
      <w:r>
        <w:rPr>
          <w:rFonts w:hint="eastAsia" w:ascii="宋体" w:hAnsi="宋体" w:cs="宋体"/>
          <w:i/>
          <w:sz w:val="24"/>
          <w:u w:val="single"/>
        </w:rPr>
        <w:t>（企业名称）</w:t>
      </w:r>
      <w:r>
        <w:rPr>
          <w:rFonts w:hint="eastAsia" w:ascii="宋体" w:hAnsi="宋体" w:cs="宋体"/>
          <w:sz w:val="24"/>
        </w:rPr>
        <w:t>，从业人员_____人，营业 收入为_____万元，资产总额为____万元，属于</w:t>
      </w:r>
      <w:r>
        <w:rPr>
          <w:rFonts w:hint="eastAsia" w:ascii="宋体" w:hAnsi="宋体" w:cs="宋体"/>
          <w:i/>
          <w:sz w:val="24"/>
          <w:u w:val="single"/>
        </w:rPr>
        <w:t>（中型企业、 小型企业、微型企业）</w:t>
      </w:r>
      <w:r>
        <w:rPr>
          <w:rFonts w:hint="eastAsia" w:ascii="宋体" w:hAnsi="宋体" w:cs="宋体"/>
          <w:sz w:val="24"/>
        </w:rPr>
        <w:t>；</w:t>
      </w:r>
    </w:p>
    <w:p>
      <w:pPr>
        <w:spacing w:line="360" w:lineRule="auto"/>
        <w:ind w:firstLine="480" w:firstLineChars="200"/>
        <w:rPr>
          <w:rFonts w:ascii="宋体" w:hAnsi="宋体" w:cs="宋体"/>
          <w:sz w:val="24"/>
        </w:rPr>
      </w:pPr>
      <w:r>
        <w:rPr>
          <w:rFonts w:hint="eastAsia" w:ascii="宋体" w:hAnsi="宋体" w:cs="宋体"/>
          <w:sz w:val="24"/>
        </w:rPr>
        <w:t xml:space="preserve"> …… </w:t>
      </w:r>
    </w:p>
    <w:p>
      <w:pPr>
        <w:spacing w:line="360" w:lineRule="auto"/>
        <w:ind w:firstLine="480" w:firstLineChars="200"/>
        <w:rPr>
          <w:rFonts w:ascii="宋体" w:hAnsi="宋体" w:cs="宋体"/>
          <w:sz w:val="24"/>
        </w:rPr>
      </w:pPr>
      <w:r>
        <w:rPr>
          <w:rFonts w:hint="eastAsia" w:ascii="宋体" w:hAnsi="宋体" w:cs="宋体"/>
          <w:sz w:val="24"/>
        </w:rPr>
        <w:t xml:space="preserve">以上企业，不属于大企业的分支机构，不存在控股股东 为大企业的情形，也不存在与大企业的负责人为同一人的情形。 </w:t>
      </w:r>
    </w:p>
    <w:p>
      <w:pPr>
        <w:spacing w:line="360" w:lineRule="auto"/>
        <w:ind w:firstLine="480" w:firstLineChars="200"/>
        <w:rPr>
          <w:rFonts w:ascii="宋体" w:hAnsi="宋体" w:cs="宋体"/>
          <w:sz w:val="24"/>
        </w:rPr>
      </w:pPr>
      <w:r>
        <w:rPr>
          <w:rFonts w:hint="eastAsia" w:ascii="宋体" w:hAnsi="宋体" w:cs="宋体"/>
          <w:sz w:val="24"/>
        </w:rPr>
        <w:t>本企业对上述声明内容的真实性负责。如有虚假，将依 法承担相应责任。</w:t>
      </w:r>
    </w:p>
    <w:p>
      <w:pPr>
        <w:pStyle w:val="2"/>
      </w:pPr>
    </w:p>
    <w:p>
      <w:pPr>
        <w:spacing w:line="500" w:lineRule="exact"/>
        <w:ind w:firstLine="3840" w:firstLineChars="1600"/>
        <w:rPr>
          <w:rFonts w:ascii="宋体" w:hAnsi="宋体" w:cs="宋体"/>
          <w:color w:val="FFFFFF"/>
          <w:sz w:val="24"/>
          <w:u w:val="single" w:color="000000"/>
        </w:rPr>
      </w:pPr>
      <w:r>
        <w:rPr>
          <w:rFonts w:hint="eastAsia" w:ascii="宋体" w:hAnsi="宋体" w:cs="宋体"/>
          <w:sz w:val="24"/>
        </w:rPr>
        <w:t>企业名称（盖章）：</w:t>
      </w:r>
      <w:r>
        <w:rPr>
          <w:rFonts w:hint="eastAsia" w:ascii="宋体" w:hAnsi="宋体" w:cs="宋体"/>
          <w:color w:val="FFFFFF"/>
          <w:sz w:val="24"/>
          <w:u w:val="single" w:color="000000"/>
        </w:rPr>
        <w:t>________________</w:t>
      </w:r>
    </w:p>
    <w:p>
      <w:pPr>
        <w:pStyle w:val="2"/>
      </w:pPr>
    </w:p>
    <w:p>
      <w:pPr>
        <w:spacing w:line="500" w:lineRule="exact"/>
        <w:ind w:firstLine="3840" w:firstLineChars="1600"/>
        <w:rPr>
          <w:rFonts w:ascii="宋体" w:hAnsi="宋体" w:cs="宋体"/>
          <w:sz w:val="24"/>
        </w:rPr>
      </w:pPr>
      <w:r>
        <w:rPr>
          <w:rFonts w:hint="eastAsia" w:ascii="宋体" w:hAnsi="宋体" w:cs="宋体"/>
          <w:sz w:val="24"/>
        </w:rPr>
        <w:t>日  期：__________________________</w:t>
      </w:r>
    </w:p>
    <w:p>
      <w:pPr>
        <w:pStyle w:val="17"/>
      </w:pPr>
    </w:p>
    <w:p/>
    <w:p>
      <w:pPr>
        <w:pStyle w:val="17"/>
      </w:pPr>
    </w:p>
    <w:p>
      <w:pPr>
        <w:pStyle w:val="17"/>
      </w:pPr>
    </w:p>
    <w:p>
      <w:pPr>
        <w:pStyle w:val="2"/>
        <w:spacing w:line="360" w:lineRule="auto"/>
        <w:ind w:firstLine="360" w:firstLineChars="150"/>
        <w:rPr>
          <w:rFonts w:ascii="宋体" w:hAnsi="宋体" w:cs="宋体"/>
          <w:sz w:val="24"/>
        </w:rPr>
      </w:pPr>
      <w:r>
        <w:rPr>
          <w:rFonts w:hint="eastAsia" w:ascii="宋体" w:hAnsi="宋体" w:cs="宋体"/>
          <w:sz w:val="24"/>
        </w:rPr>
        <w:t>从业人员、营业收入、资产总额填报上一年度数据，无上一年度数据的新成立企业可不填报。</w:t>
      </w:r>
    </w:p>
    <w:p>
      <w:pPr>
        <w:widowControl/>
        <w:jc w:val="left"/>
        <w:rPr>
          <w:rFonts w:ascii="宋体" w:hAnsi="宋体" w:cs="宋体"/>
          <w:sz w:val="24"/>
        </w:rPr>
      </w:pPr>
      <w:r>
        <w:rPr>
          <w:rFonts w:ascii="宋体" w:hAnsi="宋体" w:cs="宋体"/>
          <w:sz w:val="24"/>
        </w:rPr>
        <w:br w:type="page"/>
      </w:r>
    </w:p>
    <w:p>
      <w:pPr>
        <w:pStyle w:val="2"/>
        <w:ind w:firstLine="0" w:firstLineChars="0"/>
        <w:rPr>
          <w:rFonts w:hAnsi="宋体"/>
          <w:b/>
          <w:sz w:val="24"/>
        </w:rPr>
      </w:pPr>
      <w:r>
        <w:rPr>
          <w:rFonts w:hint="eastAsia" w:ascii="宋体" w:hAnsi="宋体" w:cs="宋体"/>
          <w:sz w:val="24"/>
        </w:rPr>
        <w:t>附件4-2</w:t>
      </w:r>
      <w:r>
        <w:rPr>
          <w:sz w:val="24"/>
        </w:rPr>
        <w:t xml:space="preserve"> </w:t>
      </w:r>
      <w:r>
        <w:rPr>
          <w:rFonts w:hint="eastAsia" w:hAnsi="宋体"/>
          <w:b/>
          <w:sz w:val="24"/>
        </w:rPr>
        <w:t>（如有）：</w:t>
      </w:r>
    </w:p>
    <w:p>
      <w:pPr>
        <w:spacing w:line="600" w:lineRule="exact"/>
        <w:jc w:val="center"/>
        <w:rPr>
          <w:rFonts w:hAnsi="宋体"/>
          <w:b/>
          <w:sz w:val="28"/>
          <w:szCs w:val="28"/>
        </w:rPr>
      </w:pPr>
      <w:r>
        <w:rPr>
          <w:rFonts w:hint="eastAsia" w:hAnsi="宋体"/>
          <w:b/>
          <w:sz w:val="28"/>
          <w:szCs w:val="28"/>
        </w:rPr>
        <w:t>投标产品属</w:t>
      </w:r>
      <w:r>
        <w:rPr>
          <w:rFonts w:hAnsi="宋体"/>
          <w:b/>
          <w:sz w:val="28"/>
          <w:szCs w:val="28"/>
        </w:rPr>
        <w:t>节能</w:t>
      </w:r>
      <w:r>
        <w:rPr>
          <w:rFonts w:hint="eastAsia" w:hAnsi="宋体"/>
          <w:b/>
          <w:sz w:val="28"/>
          <w:szCs w:val="28"/>
        </w:rPr>
        <w:t>、环境标志</w:t>
      </w:r>
      <w:r>
        <w:rPr>
          <w:rFonts w:hAnsi="宋体"/>
          <w:b/>
          <w:sz w:val="28"/>
          <w:szCs w:val="28"/>
        </w:rPr>
        <w:t>产品</w:t>
      </w:r>
      <w:r>
        <w:rPr>
          <w:rFonts w:hint="eastAsia" w:hAnsi="宋体"/>
          <w:b/>
          <w:sz w:val="28"/>
          <w:szCs w:val="28"/>
        </w:rPr>
        <w:t>列表</w:t>
      </w:r>
    </w:p>
    <w:p>
      <w:pPr>
        <w:spacing w:line="60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项目名称：</w:t>
      </w:r>
    </w:p>
    <w:p>
      <w:pPr>
        <w:spacing w:line="600" w:lineRule="exact"/>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项目编号： </w:t>
      </w:r>
    </w:p>
    <w:tbl>
      <w:tblPr>
        <w:tblStyle w:val="48"/>
        <w:tblW w:w="8928" w:type="dxa"/>
        <w:tblInd w:w="0" w:type="dxa"/>
        <w:tblLayout w:type="fixed"/>
        <w:tblCellMar>
          <w:top w:w="0" w:type="dxa"/>
          <w:left w:w="28" w:type="dxa"/>
          <w:bottom w:w="0" w:type="dxa"/>
          <w:right w:w="28" w:type="dxa"/>
        </w:tblCellMar>
      </w:tblPr>
      <w:tblGrid>
        <w:gridCol w:w="886"/>
        <w:gridCol w:w="1862"/>
        <w:gridCol w:w="2250"/>
        <w:gridCol w:w="1311"/>
        <w:gridCol w:w="1307"/>
        <w:gridCol w:w="1312"/>
      </w:tblGrid>
      <w:tr>
        <w:tblPrEx>
          <w:tblCellMar>
            <w:top w:w="0" w:type="dxa"/>
            <w:left w:w="28" w:type="dxa"/>
            <w:bottom w:w="0" w:type="dxa"/>
            <w:right w:w="28" w:type="dxa"/>
          </w:tblCellMar>
        </w:tblPrEx>
        <w:trPr>
          <w:trHeight w:val="911" w:hRule="atLeast"/>
        </w:trPr>
        <w:tc>
          <w:tcPr>
            <w:tcW w:w="886" w:type="dxa"/>
            <w:tcBorders>
              <w:top w:val="single" w:color="auto" w:sz="6" w:space="0"/>
              <w:left w:val="single" w:color="auto" w:sz="4" w:space="0"/>
              <w:bottom w:val="single" w:color="auto" w:sz="6" w:space="0"/>
            </w:tcBorders>
            <w:vAlign w:val="center"/>
          </w:tcPr>
          <w:p>
            <w:pPr>
              <w:spacing w:after="120"/>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序号</w:t>
            </w:r>
          </w:p>
        </w:tc>
        <w:tc>
          <w:tcPr>
            <w:tcW w:w="1862" w:type="dxa"/>
            <w:tcBorders>
              <w:top w:val="single" w:color="auto" w:sz="6" w:space="0"/>
              <w:left w:val="single" w:color="auto" w:sz="6" w:space="0"/>
              <w:bottom w:val="single" w:color="auto" w:sz="6" w:space="0"/>
              <w:right w:val="single" w:color="auto" w:sz="6" w:space="0"/>
            </w:tcBorders>
            <w:vAlign w:val="center"/>
          </w:tcPr>
          <w:p>
            <w:pPr>
              <w:spacing w:after="120"/>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名称</w:t>
            </w:r>
          </w:p>
        </w:tc>
        <w:tc>
          <w:tcPr>
            <w:tcW w:w="2250" w:type="dxa"/>
            <w:tcBorders>
              <w:top w:val="single" w:color="auto" w:sz="6" w:space="0"/>
              <w:left w:val="single" w:color="auto" w:sz="6" w:space="0"/>
              <w:bottom w:val="single" w:color="auto" w:sz="6" w:space="0"/>
              <w:right w:val="single" w:color="auto" w:sz="6" w:space="0"/>
            </w:tcBorders>
            <w:vAlign w:val="center"/>
          </w:tcPr>
          <w:p>
            <w:pPr>
              <w:spacing w:before="156" w:beforeLines="50" w:after="120"/>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型号和规格</w:t>
            </w:r>
          </w:p>
        </w:tc>
        <w:tc>
          <w:tcPr>
            <w:tcW w:w="1311" w:type="dxa"/>
            <w:tcBorders>
              <w:top w:val="single" w:color="auto" w:sz="6" w:space="0"/>
              <w:left w:val="single" w:color="auto" w:sz="6" w:space="0"/>
              <w:bottom w:val="single" w:color="auto" w:sz="6" w:space="0"/>
              <w:right w:val="single" w:color="auto" w:sz="6" w:space="0"/>
            </w:tcBorders>
            <w:vAlign w:val="center"/>
          </w:tcPr>
          <w:p>
            <w:pPr>
              <w:spacing w:after="120"/>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数量</w:t>
            </w:r>
          </w:p>
        </w:tc>
        <w:tc>
          <w:tcPr>
            <w:tcW w:w="1307" w:type="dxa"/>
            <w:tcBorders>
              <w:top w:val="single" w:color="auto" w:sz="6" w:space="0"/>
              <w:left w:val="single" w:color="auto" w:sz="6" w:space="0"/>
              <w:bottom w:val="single" w:color="auto" w:sz="6" w:space="0"/>
              <w:right w:val="single" w:color="auto" w:sz="6" w:space="0"/>
            </w:tcBorders>
            <w:vAlign w:val="center"/>
          </w:tcPr>
          <w:p>
            <w:pPr>
              <w:spacing w:after="120"/>
              <w:jc w:val="center"/>
              <w:rPr>
                <w:rFonts w:asciiTheme="minorEastAsia" w:hAnsiTheme="minorEastAsia" w:eastAsiaTheme="minorEastAsia" w:cstheme="minorEastAsia"/>
                <w:bCs/>
                <w:sz w:val="24"/>
              </w:rPr>
            </w:pPr>
            <w:r>
              <w:rPr>
                <w:rFonts w:hint="eastAsia" w:asciiTheme="minorEastAsia" w:hAnsiTheme="minorEastAsia" w:eastAsiaTheme="minorEastAsia" w:cstheme="minorEastAsia"/>
                <w:sz w:val="24"/>
              </w:rPr>
              <w:t>单价（元）</w:t>
            </w:r>
          </w:p>
        </w:tc>
        <w:tc>
          <w:tcPr>
            <w:tcW w:w="1312" w:type="dxa"/>
            <w:tcBorders>
              <w:top w:val="single" w:color="auto" w:sz="6" w:space="0"/>
              <w:left w:val="single" w:color="auto" w:sz="6" w:space="0"/>
              <w:bottom w:val="single" w:color="auto" w:sz="6" w:space="0"/>
              <w:right w:val="single" w:color="auto" w:sz="6" w:space="0"/>
            </w:tcBorders>
            <w:vAlign w:val="center"/>
          </w:tcPr>
          <w:p>
            <w:pPr>
              <w:spacing w:after="120"/>
              <w:jc w:val="center"/>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总价（元）</w:t>
            </w:r>
          </w:p>
        </w:tc>
      </w:tr>
      <w:tr>
        <w:tblPrEx>
          <w:tblCellMar>
            <w:top w:w="0" w:type="dxa"/>
            <w:left w:w="28" w:type="dxa"/>
            <w:bottom w:w="0" w:type="dxa"/>
            <w:right w:w="28" w:type="dxa"/>
          </w:tblCellMar>
        </w:tblPrEx>
        <w:trPr>
          <w:trHeight w:val="808" w:hRule="atLeast"/>
        </w:trPr>
        <w:tc>
          <w:tcPr>
            <w:tcW w:w="886" w:type="dxa"/>
            <w:tcBorders>
              <w:top w:val="single" w:color="auto" w:sz="6" w:space="0"/>
              <w:left w:val="single" w:color="auto" w:sz="4" w:space="0"/>
              <w:bottom w:val="single" w:color="auto" w:sz="4" w:space="0"/>
            </w:tcBorders>
            <w:vAlign w:val="center"/>
          </w:tcPr>
          <w:p>
            <w:pPr>
              <w:spacing w:before="312" w:beforeLines="100"/>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w:t>
            </w:r>
          </w:p>
        </w:tc>
        <w:tc>
          <w:tcPr>
            <w:tcW w:w="1862" w:type="dxa"/>
            <w:tcBorders>
              <w:top w:val="single" w:color="auto" w:sz="6" w:space="0"/>
              <w:left w:val="single" w:color="auto" w:sz="6" w:space="0"/>
              <w:bottom w:val="single" w:color="auto" w:sz="4" w:space="0"/>
              <w:right w:val="single" w:color="auto" w:sz="6" w:space="0"/>
            </w:tcBorders>
            <w:vAlign w:val="center"/>
          </w:tcPr>
          <w:p>
            <w:pPr>
              <w:spacing w:before="156" w:beforeLines="50"/>
              <w:jc w:val="center"/>
              <w:rPr>
                <w:rFonts w:asciiTheme="minorEastAsia" w:hAnsiTheme="minorEastAsia" w:eastAsiaTheme="minorEastAsia" w:cstheme="minorEastAsia"/>
                <w:sz w:val="24"/>
              </w:rPr>
            </w:pPr>
          </w:p>
        </w:tc>
        <w:tc>
          <w:tcPr>
            <w:tcW w:w="2250" w:type="dxa"/>
            <w:tcBorders>
              <w:top w:val="single" w:color="auto" w:sz="6" w:space="0"/>
              <w:left w:val="single" w:color="auto" w:sz="6" w:space="0"/>
              <w:bottom w:val="single" w:color="auto" w:sz="4" w:space="0"/>
              <w:right w:val="single" w:color="auto" w:sz="6" w:space="0"/>
            </w:tcBorders>
            <w:vAlign w:val="center"/>
          </w:tcPr>
          <w:p>
            <w:pPr>
              <w:spacing w:before="156" w:beforeLines="50"/>
              <w:jc w:val="center"/>
              <w:rPr>
                <w:rFonts w:asciiTheme="minorEastAsia" w:hAnsiTheme="minorEastAsia" w:eastAsiaTheme="minorEastAsia" w:cstheme="minorEastAsia"/>
                <w:sz w:val="24"/>
              </w:rPr>
            </w:pPr>
          </w:p>
        </w:tc>
        <w:tc>
          <w:tcPr>
            <w:tcW w:w="1311" w:type="dxa"/>
            <w:tcBorders>
              <w:top w:val="single" w:color="auto" w:sz="6" w:space="0"/>
              <w:left w:val="single" w:color="auto" w:sz="6" w:space="0"/>
              <w:bottom w:val="single" w:color="auto" w:sz="4" w:space="0"/>
              <w:right w:val="single" w:color="auto" w:sz="6" w:space="0"/>
            </w:tcBorders>
            <w:vAlign w:val="center"/>
          </w:tcPr>
          <w:p>
            <w:pPr>
              <w:spacing w:before="156" w:beforeLines="50"/>
              <w:jc w:val="center"/>
              <w:rPr>
                <w:rFonts w:asciiTheme="minorEastAsia" w:hAnsiTheme="minorEastAsia" w:eastAsiaTheme="minorEastAsia" w:cstheme="minorEastAsia"/>
                <w:sz w:val="24"/>
              </w:rPr>
            </w:pPr>
          </w:p>
        </w:tc>
        <w:tc>
          <w:tcPr>
            <w:tcW w:w="1307" w:type="dxa"/>
            <w:tcBorders>
              <w:top w:val="single" w:color="auto" w:sz="6" w:space="0"/>
              <w:left w:val="single" w:color="auto" w:sz="6" w:space="0"/>
              <w:bottom w:val="single" w:color="auto" w:sz="4" w:space="0"/>
              <w:right w:val="single" w:color="auto" w:sz="6" w:space="0"/>
            </w:tcBorders>
            <w:vAlign w:val="center"/>
          </w:tcPr>
          <w:p>
            <w:pPr>
              <w:spacing w:before="156" w:beforeLines="50"/>
              <w:jc w:val="center"/>
              <w:rPr>
                <w:rFonts w:asciiTheme="minorEastAsia" w:hAnsiTheme="minorEastAsia" w:eastAsiaTheme="minorEastAsia" w:cstheme="minorEastAsia"/>
                <w:sz w:val="24"/>
              </w:rPr>
            </w:pPr>
          </w:p>
        </w:tc>
        <w:tc>
          <w:tcPr>
            <w:tcW w:w="1312" w:type="dxa"/>
            <w:tcBorders>
              <w:top w:val="single" w:color="auto" w:sz="6" w:space="0"/>
              <w:left w:val="single" w:color="auto" w:sz="6" w:space="0"/>
              <w:bottom w:val="single" w:color="auto" w:sz="4" w:space="0"/>
              <w:right w:val="single" w:color="auto" w:sz="6" w:space="0"/>
            </w:tcBorders>
            <w:vAlign w:val="center"/>
          </w:tcPr>
          <w:p>
            <w:pPr>
              <w:spacing w:before="156" w:beforeLines="50"/>
              <w:jc w:val="center"/>
              <w:rPr>
                <w:rFonts w:asciiTheme="minorEastAsia" w:hAnsiTheme="minorEastAsia" w:eastAsiaTheme="minorEastAsia" w:cstheme="minorEastAsia"/>
                <w:sz w:val="24"/>
              </w:rPr>
            </w:pPr>
          </w:p>
        </w:tc>
      </w:tr>
      <w:tr>
        <w:tblPrEx>
          <w:tblCellMar>
            <w:top w:w="0" w:type="dxa"/>
            <w:left w:w="28" w:type="dxa"/>
            <w:bottom w:w="0" w:type="dxa"/>
            <w:right w:w="28" w:type="dxa"/>
          </w:tblCellMar>
        </w:tblPrEx>
        <w:trPr>
          <w:trHeight w:val="808" w:hRule="atLeast"/>
        </w:trPr>
        <w:tc>
          <w:tcPr>
            <w:tcW w:w="886" w:type="dxa"/>
            <w:tcBorders>
              <w:top w:val="single" w:color="auto" w:sz="4" w:space="0"/>
              <w:left w:val="single" w:color="auto" w:sz="4" w:space="0"/>
              <w:bottom w:val="single" w:color="auto" w:sz="6" w:space="0"/>
            </w:tcBorders>
            <w:vAlign w:val="center"/>
          </w:tcPr>
          <w:p>
            <w:pPr>
              <w:spacing w:before="312" w:beforeLines="100"/>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w:t>
            </w:r>
          </w:p>
        </w:tc>
        <w:tc>
          <w:tcPr>
            <w:tcW w:w="1862" w:type="dxa"/>
            <w:tcBorders>
              <w:top w:val="single" w:color="auto" w:sz="4" w:space="0"/>
              <w:left w:val="single" w:color="auto" w:sz="6" w:space="0"/>
              <w:bottom w:val="single" w:color="auto" w:sz="6" w:space="0"/>
              <w:right w:val="single" w:color="auto" w:sz="6" w:space="0"/>
            </w:tcBorders>
            <w:vAlign w:val="center"/>
          </w:tcPr>
          <w:p>
            <w:pPr>
              <w:spacing w:before="312" w:beforeLines="100"/>
              <w:jc w:val="center"/>
              <w:rPr>
                <w:rFonts w:asciiTheme="minorEastAsia" w:hAnsiTheme="minorEastAsia" w:eastAsiaTheme="minorEastAsia" w:cstheme="minorEastAsia"/>
                <w:sz w:val="24"/>
              </w:rPr>
            </w:pPr>
          </w:p>
        </w:tc>
        <w:tc>
          <w:tcPr>
            <w:tcW w:w="2250" w:type="dxa"/>
            <w:tcBorders>
              <w:top w:val="single" w:color="auto" w:sz="4" w:space="0"/>
              <w:left w:val="single" w:color="auto" w:sz="6" w:space="0"/>
              <w:bottom w:val="single" w:color="auto" w:sz="6" w:space="0"/>
              <w:right w:val="single" w:color="auto" w:sz="6" w:space="0"/>
            </w:tcBorders>
            <w:vAlign w:val="center"/>
          </w:tcPr>
          <w:p>
            <w:pPr>
              <w:spacing w:before="156" w:beforeLines="50"/>
              <w:jc w:val="center"/>
              <w:rPr>
                <w:rFonts w:asciiTheme="minorEastAsia" w:hAnsiTheme="minorEastAsia" w:eastAsiaTheme="minorEastAsia" w:cstheme="minorEastAsia"/>
                <w:sz w:val="24"/>
              </w:rPr>
            </w:pPr>
          </w:p>
        </w:tc>
        <w:tc>
          <w:tcPr>
            <w:tcW w:w="1311" w:type="dxa"/>
            <w:tcBorders>
              <w:top w:val="single" w:color="auto" w:sz="4" w:space="0"/>
              <w:left w:val="single" w:color="auto" w:sz="6" w:space="0"/>
              <w:bottom w:val="single" w:color="auto" w:sz="6" w:space="0"/>
              <w:right w:val="single" w:color="auto" w:sz="6" w:space="0"/>
            </w:tcBorders>
            <w:vAlign w:val="center"/>
          </w:tcPr>
          <w:p>
            <w:pPr>
              <w:spacing w:before="156" w:beforeLines="50"/>
              <w:jc w:val="center"/>
              <w:rPr>
                <w:rFonts w:asciiTheme="minorEastAsia" w:hAnsiTheme="minorEastAsia" w:eastAsiaTheme="minorEastAsia" w:cstheme="minorEastAsia"/>
                <w:sz w:val="24"/>
              </w:rPr>
            </w:pPr>
          </w:p>
        </w:tc>
        <w:tc>
          <w:tcPr>
            <w:tcW w:w="1307" w:type="dxa"/>
            <w:tcBorders>
              <w:top w:val="single" w:color="auto" w:sz="4" w:space="0"/>
              <w:left w:val="single" w:color="auto" w:sz="6" w:space="0"/>
              <w:bottom w:val="single" w:color="auto" w:sz="6" w:space="0"/>
              <w:right w:val="single" w:color="auto" w:sz="6" w:space="0"/>
            </w:tcBorders>
            <w:vAlign w:val="center"/>
          </w:tcPr>
          <w:p>
            <w:pPr>
              <w:spacing w:before="156" w:beforeLines="50"/>
              <w:jc w:val="center"/>
              <w:rPr>
                <w:rFonts w:asciiTheme="minorEastAsia" w:hAnsiTheme="minorEastAsia" w:eastAsiaTheme="minorEastAsia" w:cstheme="minorEastAsia"/>
                <w:sz w:val="24"/>
              </w:rPr>
            </w:pPr>
          </w:p>
        </w:tc>
        <w:tc>
          <w:tcPr>
            <w:tcW w:w="1312" w:type="dxa"/>
            <w:tcBorders>
              <w:top w:val="single" w:color="auto" w:sz="4" w:space="0"/>
              <w:left w:val="single" w:color="auto" w:sz="6" w:space="0"/>
              <w:bottom w:val="single" w:color="auto" w:sz="6" w:space="0"/>
              <w:right w:val="single" w:color="auto" w:sz="6" w:space="0"/>
            </w:tcBorders>
            <w:vAlign w:val="center"/>
          </w:tcPr>
          <w:p>
            <w:pPr>
              <w:spacing w:before="156" w:beforeLines="50"/>
              <w:jc w:val="center"/>
              <w:rPr>
                <w:rFonts w:asciiTheme="minorEastAsia" w:hAnsiTheme="minorEastAsia" w:eastAsiaTheme="minorEastAsia" w:cstheme="minorEastAsia"/>
                <w:sz w:val="24"/>
              </w:rPr>
            </w:pPr>
          </w:p>
        </w:tc>
      </w:tr>
      <w:tr>
        <w:tblPrEx>
          <w:tblCellMar>
            <w:top w:w="0" w:type="dxa"/>
            <w:left w:w="28" w:type="dxa"/>
            <w:bottom w:w="0" w:type="dxa"/>
            <w:right w:w="28" w:type="dxa"/>
          </w:tblCellMar>
        </w:tblPrEx>
        <w:trPr>
          <w:trHeight w:val="808" w:hRule="atLeast"/>
        </w:trPr>
        <w:tc>
          <w:tcPr>
            <w:tcW w:w="886" w:type="dxa"/>
            <w:tcBorders>
              <w:top w:val="single" w:color="auto" w:sz="4" w:space="0"/>
              <w:left w:val="single" w:color="auto" w:sz="4" w:space="0"/>
              <w:bottom w:val="single" w:color="auto" w:sz="6" w:space="0"/>
            </w:tcBorders>
            <w:vAlign w:val="center"/>
          </w:tcPr>
          <w:p>
            <w:pPr>
              <w:spacing w:before="312" w:beforeLines="100"/>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w:t>
            </w:r>
          </w:p>
        </w:tc>
        <w:tc>
          <w:tcPr>
            <w:tcW w:w="1862" w:type="dxa"/>
            <w:tcBorders>
              <w:top w:val="single" w:color="auto" w:sz="4" w:space="0"/>
              <w:left w:val="single" w:color="auto" w:sz="6" w:space="0"/>
              <w:bottom w:val="single" w:color="auto" w:sz="6" w:space="0"/>
              <w:right w:val="single" w:color="auto" w:sz="6" w:space="0"/>
            </w:tcBorders>
            <w:vAlign w:val="center"/>
          </w:tcPr>
          <w:p>
            <w:pPr>
              <w:spacing w:before="312" w:beforeLines="100"/>
              <w:jc w:val="center"/>
              <w:rPr>
                <w:rFonts w:asciiTheme="minorEastAsia" w:hAnsiTheme="minorEastAsia" w:eastAsiaTheme="minorEastAsia" w:cstheme="minorEastAsia"/>
                <w:sz w:val="24"/>
              </w:rPr>
            </w:pPr>
          </w:p>
        </w:tc>
        <w:tc>
          <w:tcPr>
            <w:tcW w:w="2250" w:type="dxa"/>
            <w:tcBorders>
              <w:top w:val="single" w:color="auto" w:sz="4" w:space="0"/>
              <w:left w:val="single" w:color="auto" w:sz="6" w:space="0"/>
              <w:bottom w:val="single" w:color="auto" w:sz="6" w:space="0"/>
              <w:right w:val="single" w:color="auto" w:sz="6" w:space="0"/>
            </w:tcBorders>
            <w:vAlign w:val="center"/>
          </w:tcPr>
          <w:p>
            <w:pPr>
              <w:spacing w:before="156" w:beforeLines="50"/>
              <w:jc w:val="center"/>
              <w:rPr>
                <w:rFonts w:asciiTheme="minorEastAsia" w:hAnsiTheme="minorEastAsia" w:eastAsiaTheme="minorEastAsia" w:cstheme="minorEastAsia"/>
                <w:sz w:val="24"/>
              </w:rPr>
            </w:pPr>
          </w:p>
        </w:tc>
        <w:tc>
          <w:tcPr>
            <w:tcW w:w="1311" w:type="dxa"/>
            <w:tcBorders>
              <w:top w:val="single" w:color="auto" w:sz="4" w:space="0"/>
              <w:left w:val="single" w:color="auto" w:sz="6" w:space="0"/>
              <w:bottom w:val="single" w:color="auto" w:sz="6" w:space="0"/>
              <w:right w:val="single" w:color="auto" w:sz="6" w:space="0"/>
            </w:tcBorders>
            <w:vAlign w:val="center"/>
          </w:tcPr>
          <w:p>
            <w:pPr>
              <w:spacing w:before="156" w:beforeLines="50"/>
              <w:jc w:val="center"/>
              <w:rPr>
                <w:rFonts w:asciiTheme="minorEastAsia" w:hAnsiTheme="minorEastAsia" w:eastAsiaTheme="minorEastAsia" w:cstheme="minorEastAsia"/>
                <w:sz w:val="24"/>
              </w:rPr>
            </w:pPr>
          </w:p>
        </w:tc>
        <w:tc>
          <w:tcPr>
            <w:tcW w:w="1307" w:type="dxa"/>
            <w:tcBorders>
              <w:top w:val="single" w:color="auto" w:sz="4" w:space="0"/>
              <w:left w:val="single" w:color="auto" w:sz="6" w:space="0"/>
              <w:bottom w:val="single" w:color="auto" w:sz="6" w:space="0"/>
              <w:right w:val="single" w:color="auto" w:sz="6" w:space="0"/>
            </w:tcBorders>
            <w:vAlign w:val="center"/>
          </w:tcPr>
          <w:p>
            <w:pPr>
              <w:spacing w:before="156" w:beforeLines="50"/>
              <w:jc w:val="center"/>
              <w:rPr>
                <w:rFonts w:asciiTheme="minorEastAsia" w:hAnsiTheme="minorEastAsia" w:eastAsiaTheme="minorEastAsia" w:cstheme="minorEastAsia"/>
                <w:sz w:val="24"/>
              </w:rPr>
            </w:pPr>
          </w:p>
        </w:tc>
        <w:tc>
          <w:tcPr>
            <w:tcW w:w="1312" w:type="dxa"/>
            <w:tcBorders>
              <w:top w:val="single" w:color="auto" w:sz="4" w:space="0"/>
              <w:left w:val="single" w:color="auto" w:sz="6" w:space="0"/>
              <w:bottom w:val="single" w:color="auto" w:sz="6" w:space="0"/>
              <w:right w:val="single" w:color="auto" w:sz="6" w:space="0"/>
            </w:tcBorders>
            <w:vAlign w:val="center"/>
          </w:tcPr>
          <w:p>
            <w:pPr>
              <w:spacing w:before="156" w:beforeLines="50"/>
              <w:jc w:val="center"/>
              <w:rPr>
                <w:rFonts w:asciiTheme="minorEastAsia" w:hAnsiTheme="minorEastAsia" w:eastAsiaTheme="minorEastAsia" w:cstheme="minorEastAsia"/>
                <w:sz w:val="24"/>
              </w:rPr>
            </w:pPr>
          </w:p>
        </w:tc>
      </w:tr>
      <w:tr>
        <w:tblPrEx>
          <w:tblCellMar>
            <w:top w:w="0" w:type="dxa"/>
            <w:left w:w="28" w:type="dxa"/>
            <w:bottom w:w="0" w:type="dxa"/>
            <w:right w:w="28" w:type="dxa"/>
          </w:tblCellMar>
        </w:tblPrEx>
        <w:trPr>
          <w:trHeight w:val="808" w:hRule="atLeast"/>
        </w:trPr>
        <w:tc>
          <w:tcPr>
            <w:tcW w:w="886" w:type="dxa"/>
            <w:tcBorders>
              <w:top w:val="single" w:color="auto" w:sz="4" w:space="0"/>
              <w:left w:val="single" w:color="auto" w:sz="4" w:space="0"/>
              <w:bottom w:val="single" w:color="auto" w:sz="6" w:space="0"/>
            </w:tcBorders>
            <w:vAlign w:val="center"/>
          </w:tcPr>
          <w:p>
            <w:pPr>
              <w:spacing w:before="312" w:beforeLines="100"/>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w:t>
            </w:r>
          </w:p>
        </w:tc>
        <w:tc>
          <w:tcPr>
            <w:tcW w:w="1862" w:type="dxa"/>
            <w:tcBorders>
              <w:top w:val="single" w:color="auto" w:sz="4" w:space="0"/>
              <w:left w:val="single" w:color="auto" w:sz="6" w:space="0"/>
              <w:bottom w:val="single" w:color="auto" w:sz="6" w:space="0"/>
              <w:right w:val="single" w:color="auto" w:sz="6" w:space="0"/>
            </w:tcBorders>
            <w:vAlign w:val="center"/>
          </w:tcPr>
          <w:p>
            <w:pPr>
              <w:spacing w:before="156" w:beforeLines="50"/>
              <w:jc w:val="center"/>
              <w:rPr>
                <w:rFonts w:asciiTheme="minorEastAsia" w:hAnsiTheme="minorEastAsia" w:eastAsiaTheme="minorEastAsia" w:cstheme="minorEastAsia"/>
                <w:sz w:val="24"/>
              </w:rPr>
            </w:pPr>
          </w:p>
        </w:tc>
        <w:tc>
          <w:tcPr>
            <w:tcW w:w="2250" w:type="dxa"/>
            <w:tcBorders>
              <w:top w:val="single" w:color="auto" w:sz="4" w:space="0"/>
              <w:left w:val="single" w:color="auto" w:sz="6" w:space="0"/>
              <w:bottom w:val="single" w:color="auto" w:sz="6" w:space="0"/>
              <w:right w:val="single" w:color="auto" w:sz="6" w:space="0"/>
            </w:tcBorders>
            <w:vAlign w:val="center"/>
          </w:tcPr>
          <w:p>
            <w:pPr>
              <w:spacing w:before="156" w:beforeLines="50"/>
              <w:jc w:val="center"/>
              <w:rPr>
                <w:rFonts w:asciiTheme="minorEastAsia" w:hAnsiTheme="minorEastAsia" w:eastAsiaTheme="minorEastAsia" w:cstheme="minorEastAsia"/>
                <w:sz w:val="24"/>
              </w:rPr>
            </w:pPr>
          </w:p>
        </w:tc>
        <w:tc>
          <w:tcPr>
            <w:tcW w:w="1311" w:type="dxa"/>
            <w:tcBorders>
              <w:top w:val="single" w:color="auto" w:sz="4" w:space="0"/>
              <w:left w:val="single" w:color="auto" w:sz="6" w:space="0"/>
              <w:bottom w:val="single" w:color="auto" w:sz="6" w:space="0"/>
              <w:right w:val="single" w:color="auto" w:sz="6" w:space="0"/>
            </w:tcBorders>
            <w:vAlign w:val="center"/>
          </w:tcPr>
          <w:p>
            <w:pPr>
              <w:spacing w:before="156" w:beforeLines="50"/>
              <w:jc w:val="center"/>
              <w:rPr>
                <w:rFonts w:asciiTheme="minorEastAsia" w:hAnsiTheme="minorEastAsia" w:eastAsiaTheme="minorEastAsia" w:cstheme="minorEastAsia"/>
                <w:sz w:val="24"/>
              </w:rPr>
            </w:pPr>
          </w:p>
        </w:tc>
        <w:tc>
          <w:tcPr>
            <w:tcW w:w="1307" w:type="dxa"/>
            <w:tcBorders>
              <w:top w:val="single" w:color="auto" w:sz="4" w:space="0"/>
              <w:left w:val="single" w:color="auto" w:sz="6" w:space="0"/>
              <w:bottom w:val="single" w:color="auto" w:sz="6" w:space="0"/>
              <w:right w:val="single" w:color="auto" w:sz="6" w:space="0"/>
            </w:tcBorders>
            <w:vAlign w:val="center"/>
          </w:tcPr>
          <w:p>
            <w:pPr>
              <w:spacing w:before="156" w:beforeLines="50"/>
              <w:jc w:val="center"/>
              <w:rPr>
                <w:rFonts w:asciiTheme="minorEastAsia" w:hAnsiTheme="minorEastAsia" w:eastAsiaTheme="minorEastAsia" w:cstheme="minorEastAsia"/>
                <w:sz w:val="24"/>
              </w:rPr>
            </w:pPr>
          </w:p>
        </w:tc>
        <w:tc>
          <w:tcPr>
            <w:tcW w:w="1312" w:type="dxa"/>
            <w:tcBorders>
              <w:top w:val="single" w:color="auto" w:sz="4" w:space="0"/>
              <w:left w:val="single" w:color="auto" w:sz="6" w:space="0"/>
              <w:bottom w:val="single" w:color="auto" w:sz="6" w:space="0"/>
              <w:right w:val="single" w:color="auto" w:sz="6" w:space="0"/>
            </w:tcBorders>
            <w:vAlign w:val="center"/>
          </w:tcPr>
          <w:p>
            <w:pPr>
              <w:spacing w:before="156" w:beforeLines="50"/>
              <w:jc w:val="center"/>
              <w:rPr>
                <w:rFonts w:asciiTheme="minorEastAsia" w:hAnsiTheme="minorEastAsia" w:eastAsiaTheme="minorEastAsia" w:cstheme="minorEastAsia"/>
                <w:sz w:val="24"/>
              </w:rPr>
            </w:pPr>
          </w:p>
        </w:tc>
      </w:tr>
      <w:tr>
        <w:tblPrEx>
          <w:tblCellMar>
            <w:top w:w="0" w:type="dxa"/>
            <w:left w:w="28" w:type="dxa"/>
            <w:bottom w:w="0" w:type="dxa"/>
            <w:right w:w="28" w:type="dxa"/>
          </w:tblCellMar>
        </w:tblPrEx>
        <w:trPr>
          <w:trHeight w:val="808" w:hRule="atLeast"/>
        </w:trPr>
        <w:tc>
          <w:tcPr>
            <w:tcW w:w="886" w:type="dxa"/>
            <w:tcBorders>
              <w:top w:val="single" w:color="auto" w:sz="4" w:space="0"/>
              <w:left w:val="single" w:color="auto" w:sz="4" w:space="0"/>
              <w:bottom w:val="single" w:color="auto" w:sz="6" w:space="0"/>
            </w:tcBorders>
            <w:vAlign w:val="center"/>
          </w:tcPr>
          <w:p>
            <w:pPr>
              <w:spacing w:before="312" w:beforeLines="100"/>
              <w:jc w:val="center"/>
              <w:rPr>
                <w:rFonts w:asciiTheme="minorEastAsia" w:hAnsiTheme="minorEastAsia" w:eastAsiaTheme="minorEastAsia" w:cstheme="minorEastAsia"/>
                <w:b/>
                <w:sz w:val="24"/>
              </w:rPr>
            </w:pPr>
            <w:r>
              <w:rPr>
                <w:rFonts w:hint="eastAsia" w:asciiTheme="minorEastAsia" w:hAnsiTheme="minorEastAsia" w:eastAsiaTheme="minorEastAsia" w:cstheme="minorEastAsia"/>
                <w:sz w:val="24"/>
              </w:rPr>
              <w:t>……</w:t>
            </w:r>
          </w:p>
        </w:tc>
        <w:tc>
          <w:tcPr>
            <w:tcW w:w="1862" w:type="dxa"/>
            <w:tcBorders>
              <w:top w:val="single" w:color="auto" w:sz="4" w:space="0"/>
              <w:left w:val="single" w:color="auto" w:sz="6" w:space="0"/>
              <w:bottom w:val="single" w:color="auto" w:sz="6" w:space="0"/>
              <w:right w:val="single" w:color="auto" w:sz="6" w:space="0"/>
            </w:tcBorders>
            <w:vAlign w:val="center"/>
          </w:tcPr>
          <w:p>
            <w:pPr>
              <w:spacing w:before="156" w:beforeLines="50"/>
              <w:jc w:val="center"/>
              <w:rPr>
                <w:rFonts w:asciiTheme="minorEastAsia" w:hAnsiTheme="minorEastAsia" w:eastAsiaTheme="minorEastAsia" w:cstheme="minorEastAsia"/>
                <w:sz w:val="24"/>
              </w:rPr>
            </w:pPr>
          </w:p>
        </w:tc>
        <w:tc>
          <w:tcPr>
            <w:tcW w:w="2250" w:type="dxa"/>
            <w:tcBorders>
              <w:top w:val="single" w:color="auto" w:sz="4" w:space="0"/>
              <w:left w:val="single" w:color="auto" w:sz="6" w:space="0"/>
              <w:bottom w:val="single" w:color="auto" w:sz="6" w:space="0"/>
              <w:right w:val="single" w:color="auto" w:sz="6" w:space="0"/>
            </w:tcBorders>
            <w:vAlign w:val="center"/>
          </w:tcPr>
          <w:p>
            <w:pPr>
              <w:spacing w:before="156" w:beforeLines="50"/>
              <w:jc w:val="center"/>
              <w:rPr>
                <w:rFonts w:asciiTheme="minorEastAsia" w:hAnsiTheme="minorEastAsia" w:eastAsiaTheme="minorEastAsia" w:cstheme="minorEastAsia"/>
                <w:sz w:val="24"/>
              </w:rPr>
            </w:pPr>
          </w:p>
        </w:tc>
        <w:tc>
          <w:tcPr>
            <w:tcW w:w="1311" w:type="dxa"/>
            <w:tcBorders>
              <w:top w:val="single" w:color="auto" w:sz="4" w:space="0"/>
              <w:left w:val="single" w:color="auto" w:sz="6" w:space="0"/>
              <w:bottom w:val="single" w:color="auto" w:sz="6" w:space="0"/>
              <w:right w:val="single" w:color="auto" w:sz="6" w:space="0"/>
            </w:tcBorders>
            <w:vAlign w:val="center"/>
          </w:tcPr>
          <w:p>
            <w:pPr>
              <w:spacing w:before="156" w:beforeLines="50"/>
              <w:jc w:val="center"/>
              <w:rPr>
                <w:rFonts w:asciiTheme="minorEastAsia" w:hAnsiTheme="minorEastAsia" w:eastAsiaTheme="minorEastAsia" w:cstheme="minorEastAsia"/>
                <w:sz w:val="24"/>
              </w:rPr>
            </w:pPr>
          </w:p>
        </w:tc>
        <w:tc>
          <w:tcPr>
            <w:tcW w:w="1307" w:type="dxa"/>
            <w:tcBorders>
              <w:top w:val="single" w:color="auto" w:sz="4" w:space="0"/>
              <w:left w:val="single" w:color="auto" w:sz="6" w:space="0"/>
              <w:bottom w:val="single" w:color="auto" w:sz="6" w:space="0"/>
              <w:right w:val="single" w:color="auto" w:sz="6" w:space="0"/>
            </w:tcBorders>
            <w:vAlign w:val="center"/>
          </w:tcPr>
          <w:p>
            <w:pPr>
              <w:spacing w:before="156" w:beforeLines="50"/>
              <w:jc w:val="center"/>
              <w:rPr>
                <w:rFonts w:asciiTheme="minorEastAsia" w:hAnsiTheme="minorEastAsia" w:eastAsiaTheme="minorEastAsia" w:cstheme="minorEastAsia"/>
                <w:sz w:val="24"/>
              </w:rPr>
            </w:pPr>
          </w:p>
        </w:tc>
        <w:tc>
          <w:tcPr>
            <w:tcW w:w="1312" w:type="dxa"/>
            <w:tcBorders>
              <w:top w:val="single" w:color="auto" w:sz="4" w:space="0"/>
              <w:left w:val="single" w:color="auto" w:sz="6" w:space="0"/>
              <w:bottom w:val="single" w:color="auto" w:sz="6" w:space="0"/>
              <w:right w:val="single" w:color="auto" w:sz="6" w:space="0"/>
            </w:tcBorders>
            <w:vAlign w:val="center"/>
          </w:tcPr>
          <w:p>
            <w:pPr>
              <w:spacing w:before="156" w:beforeLines="50"/>
              <w:jc w:val="center"/>
              <w:rPr>
                <w:rFonts w:asciiTheme="minorEastAsia" w:hAnsiTheme="minorEastAsia" w:eastAsiaTheme="minorEastAsia" w:cstheme="minorEastAsia"/>
                <w:sz w:val="24"/>
              </w:rPr>
            </w:pPr>
          </w:p>
        </w:tc>
      </w:tr>
      <w:tr>
        <w:tblPrEx>
          <w:tblCellMar>
            <w:top w:w="0" w:type="dxa"/>
            <w:left w:w="28" w:type="dxa"/>
            <w:bottom w:w="0" w:type="dxa"/>
            <w:right w:w="28" w:type="dxa"/>
          </w:tblCellMar>
        </w:tblPrEx>
        <w:trPr>
          <w:trHeight w:val="808" w:hRule="atLeast"/>
        </w:trPr>
        <w:tc>
          <w:tcPr>
            <w:tcW w:w="886" w:type="dxa"/>
            <w:tcBorders>
              <w:top w:val="single" w:color="auto" w:sz="4" w:space="0"/>
              <w:left w:val="single" w:color="auto" w:sz="6" w:space="0"/>
              <w:bottom w:val="single" w:color="auto" w:sz="6" w:space="0"/>
            </w:tcBorders>
            <w:vAlign w:val="center"/>
          </w:tcPr>
          <w:p>
            <w:pP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合计：</w:t>
            </w:r>
          </w:p>
        </w:tc>
        <w:tc>
          <w:tcPr>
            <w:tcW w:w="8042" w:type="dxa"/>
            <w:gridSpan w:val="5"/>
            <w:tcBorders>
              <w:top w:val="single" w:color="auto" w:sz="4" w:space="0"/>
              <w:left w:val="single" w:color="auto" w:sz="6" w:space="0"/>
              <w:bottom w:val="single" w:color="auto" w:sz="6" w:space="0"/>
              <w:right w:val="single" w:color="auto" w:sz="6" w:space="0"/>
            </w:tcBorders>
            <w:vAlign w:val="center"/>
          </w:tcPr>
          <w:p>
            <w:pPr>
              <w:spacing w:before="156" w:beforeLines="5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大写：                                小写：</w:t>
            </w:r>
          </w:p>
        </w:tc>
      </w:tr>
      <w:tr>
        <w:tblPrEx>
          <w:tblCellMar>
            <w:top w:w="0" w:type="dxa"/>
            <w:left w:w="28" w:type="dxa"/>
            <w:bottom w:w="0" w:type="dxa"/>
            <w:right w:w="28" w:type="dxa"/>
          </w:tblCellMar>
        </w:tblPrEx>
        <w:trPr>
          <w:trHeight w:val="808" w:hRule="atLeast"/>
        </w:trPr>
        <w:tc>
          <w:tcPr>
            <w:tcW w:w="886" w:type="dxa"/>
            <w:tcBorders>
              <w:top w:val="single" w:color="auto" w:sz="4" w:space="0"/>
              <w:left w:val="single" w:color="auto" w:sz="6" w:space="0"/>
              <w:bottom w:val="single" w:color="auto" w:sz="6" w:space="0"/>
            </w:tcBorders>
            <w:vAlign w:val="center"/>
          </w:tcPr>
          <w:p>
            <w:pP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备注</w:t>
            </w:r>
          </w:p>
        </w:tc>
        <w:tc>
          <w:tcPr>
            <w:tcW w:w="8042" w:type="dxa"/>
            <w:gridSpan w:val="5"/>
            <w:tcBorders>
              <w:top w:val="single" w:color="auto" w:sz="4" w:space="0"/>
              <w:left w:val="single" w:color="auto" w:sz="6" w:space="0"/>
              <w:bottom w:val="single" w:color="auto" w:sz="6" w:space="0"/>
              <w:right w:val="single" w:color="auto" w:sz="6" w:space="0"/>
            </w:tcBorders>
            <w:vAlign w:val="center"/>
          </w:tcPr>
          <w:p>
            <w:pPr>
              <w:spacing w:before="156" w:beforeLines="50"/>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pacing w:val="-6"/>
                <w:sz w:val="24"/>
              </w:rPr>
              <w:t>保留小数点后两位。</w:t>
            </w:r>
          </w:p>
        </w:tc>
      </w:tr>
    </w:tbl>
    <w:p>
      <w:pPr>
        <w:adjustRightInd w:val="0"/>
        <w:snapToGrid w:val="0"/>
        <w:spacing w:line="360" w:lineRule="auto"/>
        <w:rPr>
          <w:rFonts w:asciiTheme="minorEastAsia" w:hAnsiTheme="minorEastAsia" w:eastAsiaTheme="minorEastAsia" w:cstheme="minorEastAsia"/>
          <w:color w:val="000000"/>
          <w:sz w:val="24"/>
        </w:rPr>
      </w:pPr>
    </w:p>
    <w:p>
      <w:pPr>
        <w:adjustRightInd w:val="0"/>
        <w:snapToGrid w:val="0"/>
        <w:spacing w:line="360" w:lineRule="auto"/>
        <w:rPr>
          <w:rFonts w:asciiTheme="minorEastAsia" w:hAnsiTheme="minorEastAsia" w:eastAsiaTheme="minorEastAsia" w:cstheme="minorEastAsia"/>
          <w:bCs/>
          <w:color w:val="000000"/>
          <w:sz w:val="24"/>
        </w:rPr>
      </w:pPr>
      <w:r>
        <w:rPr>
          <w:rFonts w:hint="eastAsia" w:asciiTheme="minorEastAsia" w:hAnsiTheme="minorEastAsia" w:eastAsiaTheme="minorEastAsia" w:cstheme="minorEastAsia"/>
          <w:bCs/>
          <w:color w:val="000000"/>
          <w:sz w:val="24"/>
        </w:rPr>
        <w:t>说明：1、投标人提供的产品属于《节能产品政府采购清单》中节能产品，《环境标志产品政府采购清单》中环境标志产品，应按招标文件要求提供相关证明材料。</w:t>
      </w:r>
    </w:p>
    <w:p>
      <w:pPr>
        <w:pStyle w:val="200"/>
        <w:widowControl w:val="0"/>
        <w:tabs>
          <w:tab w:val="left" w:pos="360"/>
        </w:tabs>
        <w:spacing w:line="360" w:lineRule="auto"/>
        <w:rPr>
          <w:rFonts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bCs/>
          <w:color w:val="000000"/>
          <w:sz w:val="24"/>
          <w:szCs w:val="24"/>
          <w:lang w:eastAsia="zh-CN"/>
        </w:rPr>
        <w:t>2、未按上述要求提供、</w:t>
      </w:r>
      <w:r>
        <w:rPr>
          <w:rFonts w:hint="eastAsia" w:asciiTheme="minorEastAsia" w:hAnsiTheme="minorEastAsia" w:eastAsiaTheme="minorEastAsia" w:cstheme="minorEastAsia"/>
          <w:color w:val="000000"/>
          <w:sz w:val="24"/>
          <w:szCs w:val="24"/>
          <w:lang w:eastAsia="zh-CN"/>
        </w:rPr>
        <w:t>填写</w:t>
      </w:r>
      <w:r>
        <w:rPr>
          <w:rFonts w:hint="eastAsia" w:asciiTheme="minorEastAsia" w:hAnsiTheme="minorEastAsia" w:eastAsiaTheme="minorEastAsia" w:cstheme="minorEastAsia"/>
          <w:bCs/>
          <w:color w:val="000000"/>
          <w:sz w:val="24"/>
          <w:szCs w:val="24"/>
          <w:lang w:eastAsia="zh-CN"/>
        </w:rPr>
        <w:t>的，评标时不予以考虑。</w:t>
      </w:r>
    </w:p>
    <w:p>
      <w:pPr>
        <w:pStyle w:val="2"/>
        <w:ind w:firstLine="0" w:firstLineChars="0"/>
        <w:rPr>
          <w:rFonts w:asciiTheme="minorEastAsia" w:hAnsiTheme="minorEastAsia" w:eastAsiaTheme="minorEastAsia" w:cstheme="minorEastAsia"/>
          <w:b/>
          <w:sz w:val="24"/>
        </w:rPr>
      </w:pPr>
    </w:p>
    <w:p>
      <w:pPr>
        <w:adjustRightInd w:val="0"/>
        <w:snapToGrid w:val="0"/>
        <w:spacing w:line="480" w:lineRule="auto"/>
        <w:ind w:firstLine="2400" w:firstLineChars="10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磋商响应单位名称：</w:t>
      </w:r>
      <w:r>
        <w:rPr>
          <w:rFonts w:hint="eastAsia" w:asciiTheme="minorEastAsia" w:hAnsiTheme="minorEastAsia" w:eastAsiaTheme="minorEastAsia" w:cstheme="minorEastAsia"/>
          <w:bCs/>
          <w:sz w:val="24"/>
          <w:u w:val="single"/>
        </w:rPr>
        <w:t xml:space="preserve">                              </w:t>
      </w:r>
      <w:r>
        <w:rPr>
          <w:rFonts w:hint="eastAsia" w:asciiTheme="minorEastAsia" w:hAnsiTheme="minorEastAsia" w:eastAsiaTheme="minorEastAsia" w:cstheme="minorEastAsia"/>
          <w:bCs/>
          <w:sz w:val="24"/>
        </w:rPr>
        <w:t>（公章）</w:t>
      </w:r>
    </w:p>
    <w:p>
      <w:pPr>
        <w:adjustRightInd w:val="0"/>
        <w:snapToGrid w:val="0"/>
        <w:spacing w:line="480" w:lineRule="auto"/>
        <w:ind w:firstLine="2400" w:firstLineChars="1000"/>
        <w:rPr>
          <w:rFonts w:asciiTheme="minorEastAsia" w:hAnsiTheme="minorEastAsia" w:eastAsiaTheme="minorEastAsia" w:cstheme="minorEastAsia"/>
          <w:sz w:val="24"/>
        </w:rPr>
      </w:pPr>
      <w:r>
        <w:rPr>
          <w:rFonts w:hint="eastAsia" w:asciiTheme="minorEastAsia" w:hAnsiTheme="minorEastAsia" w:eastAsiaTheme="minorEastAsia" w:cstheme="minorEastAsia"/>
          <w:bCs/>
          <w:sz w:val="24"/>
        </w:rPr>
        <w:t>法定代表人或授权代表人：</w:t>
      </w:r>
      <w:r>
        <w:rPr>
          <w:rFonts w:hint="eastAsia" w:asciiTheme="minorEastAsia" w:hAnsiTheme="minorEastAsia" w:eastAsiaTheme="minorEastAsia" w:cstheme="minorEastAsia"/>
          <w:bCs/>
          <w:sz w:val="24"/>
          <w:u w:val="single"/>
        </w:rPr>
        <w:t xml:space="preserve">  </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（签字或盖章）</w:t>
      </w:r>
    </w:p>
    <w:p>
      <w:pPr>
        <w:adjustRightInd w:val="0"/>
        <w:snapToGrid w:val="0"/>
        <w:spacing w:line="480" w:lineRule="auto"/>
        <w:ind w:firstLine="2400" w:firstLineChars="1000"/>
      </w:pPr>
      <w:r>
        <w:rPr>
          <w:rFonts w:hint="eastAsia" w:asciiTheme="minorEastAsia" w:hAnsiTheme="minorEastAsia" w:eastAsiaTheme="minorEastAsia" w:cstheme="minorEastAsia"/>
          <w:bCs/>
          <w:sz w:val="24"/>
        </w:rPr>
        <w:t>日  期：</w:t>
      </w:r>
      <w:r>
        <w:rPr>
          <w:rFonts w:hint="eastAsia"/>
          <w:sz w:val="24"/>
          <w:szCs w:val="28"/>
          <w:u w:val="single"/>
        </w:rPr>
        <w:t xml:space="preserve">    </w:t>
      </w:r>
      <w:r>
        <w:rPr>
          <w:sz w:val="24"/>
          <w:szCs w:val="28"/>
        </w:rPr>
        <w:t>年</w:t>
      </w:r>
      <w:r>
        <w:rPr>
          <w:sz w:val="24"/>
          <w:szCs w:val="28"/>
          <w:u w:val="single"/>
        </w:rPr>
        <w:t xml:space="preserve">   </w:t>
      </w:r>
      <w:r>
        <w:rPr>
          <w:sz w:val="24"/>
          <w:szCs w:val="28"/>
        </w:rPr>
        <w:t>月</w:t>
      </w:r>
      <w:r>
        <w:rPr>
          <w:sz w:val="24"/>
          <w:szCs w:val="28"/>
          <w:u w:val="single"/>
        </w:rPr>
        <w:t xml:space="preserve">   </w:t>
      </w:r>
      <w:r>
        <w:rPr>
          <w:sz w:val="24"/>
          <w:szCs w:val="28"/>
        </w:rPr>
        <w:t>日</w:t>
      </w:r>
    </w:p>
    <w:p>
      <w:pPr>
        <w:pStyle w:val="2"/>
        <w:ind w:firstLine="0" w:firstLineChars="0"/>
        <w:rPr>
          <w:sz w:val="24"/>
        </w:rPr>
      </w:pPr>
    </w:p>
    <w:p>
      <w:pPr>
        <w:pStyle w:val="2"/>
        <w:ind w:firstLine="0" w:firstLineChars="0"/>
        <w:rPr>
          <w:sz w:val="24"/>
        </w:rPr>
      </w:pPr>
    </w:p>
    <w:p>
      <w:pPr>
        <w:pStyle w:val="2"/>
        <w:ind w:firstLine="0" w:firstLineChars="0"/>
        <w:rPr>
          <w:sz w:val="24"/>
        </w:rPr>
      </w:pPr>
    </w:p>
    <w:p>
      <w:pPr>
        <w:pStyle w:val="2"/>
        <w:ind w:firstLine="0" w:firstLineChars="0"/>
        <w:rPr>
          <w:rFonts w:hAnsi="宋体"/>
          <w:b/>
          <w:sz w:val="24"/>
        </w:rPr>
      </w:pPr>
      <w:r>
        <w:rPr>
          <w:sz w:val="24"/>
        </w:rPr>
        <w:t>附件4-</w:t>
      </w:r>
      <w:r>
        <w:rPr>
          <w:rFonts w:hint="eastAsia"/>
          <w:sz w:val="24"/>
        </w:rPr>
        <w:t>3</w:t>
      </w:r>
      <w:r>
        <w:rPr>
          <w:sz w:val="24"/>
        </w:rPr>
        <w:t xml:space="preserve"> </w:t>
      </w:r>
      <w:r>
        <w:rPr>
          <w:rFonts w:hint="eastAsia" w:hAnsi="宋体"/>
          <w:b/>
          <w:sz w:val="24"/>
        </w:rPr>
        <w:t>（如有）：</w:t>
      </w:r>
    </w:p>
    <w:p>
      <w:pPr>
        <w:spacing w:line="588" w:lineRule="exact"/>
        <w:jc w:val="center"/>
        <w:rPr>
          <w:rFonts w:ascii="宋体" w:hAnsi="宋体" w:cs="宋体"/>
          <w:b/>
          <w:spacing w:val="6"/>
          <w:sz w:val="32"/>
          <w:szCs w:val="32"/>
        </w:rPr>
      </w:pPr>
      <w:bookmarkStart w:id="65" w:name="OLE_LINK14"/>
      <w:bookmarkStart w:id="66" w:name="OLE_LINK13"/>
      <w:r>
        <w:rPr>
          <w:rFonts w:hint="eastAsia" w:ascii="宋体" w:hAnsi="宋体" w:cs="宋体"/>
          <w:b/>
          <w:spacing w:val="6"/>
          <w:sz w:val="32"/>
          <w:szCs w:val="32"/>
        </w:rPr>
        <w:t>残疾人福利性单位声明函</w:t>
      </w:r>
    </w:p>
    <w:bookmarkEnd w:id="65"/>
    <w:bookmarkEnd w:id="66"/>
    <w:p>
      <w:pPr>
        <w:spacing w:line="588" w:lineRule="exact"/>
        <w:rPr>
          <w:rFonts w:ascii="宋体" w:hAnsi="宋体" w:cs="宋体"/>
          <w:b/>
          <w:spacing w:val="6"/>
          <w:sz w:val="30"/>
          <w:szCs w:val="30"/>
        </w:rPr>
      </w:pPr>
    </w:p>
    <w:p>
      <w:pPr>
        <w:spacing w:line="360" w:lineRule="auto"/>
        <w:ind w:firstLine="504" w:firstLineChars="200"/>
        <w:rPr>
          <w:rFonts w:ascii="宋体" w:hAnsi="宋体" w:cs="宋体"/>
          <w:spacing w:val="6"/>
          <w:sz w:val="24"/>
        </w:rPr>
      </w:pPr>
      <w:r>
        <w:rPr>
          <w:rFonts w:hint="eastAsia" w:ascii="宋体" w:hAnsi="宋体" w:cs="宋体"/>
          <w:spacing w:val="6"/>
          <w:sz w:val="24"/>
        </w:rPr>
        <w:t>本单位郑重声明，根据《财政部 民政部 中国残疾人联合会关于促进残疾人就业政府采购政策的通知》（财库</w:t>
      </w:r>
      <w:r>
        <w:rPr>
          <w:rFonts w:hint="eastAsia" w:ascii="宋体" w:hAnsi="宋体" w:cs="宋体"/>
          <w:sz w:val="24"/>
        </w:rPr>
        <w:t>〔2017〕141</w:t>
      </w:r>
      <w:r>
        <w:rPr>
          <w:rFonts w:hint="eastAsia" w:ascii="宋体" w:hAnsi="宋体" w:cs="宋体"/>
          <w:spacing w:val="6"/>
          <w:sz w:val="24"/>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504" w:firstLineChars="200"/>
        <w:rPr>
          <w:rFonts w:ascii="宋体" w:hAnsi="宋体" w:cs="宋体"/>
          <w:spacing w:val="6"/>
          <w:sz w:val="24"/>
        </w:rPr>
      </w:pPr>
      <w:r>
        <w:rPr>
          <w:rFonts w:hint="eastAsia" w:ascii="宋体" w:hAnsi="宋体" w:cs="宋体"/>
          <w:spacing w:val="6"/>
          <w:sz w:val="24"/>
        </w:rPr>
        <w:t>本单位对上述声明的真实性负责。如有虚假，将依法承担相应责任。</w:t>
      </w:r>
    </w:p>
    <w:p>
      <w:pPr>
        <w:spacing w:line="588" w:lineRule="exact"/>
        <w:ind w:firstLine="504" w:firstLineChars="200"/>
        <w:rPr>
          <w:rFonts w:ascii="宋体" w:hAnsi="宋体" w:cs="宋体"/>
          <w:spacing w:val="6"/>
          <w:sz w:val="24"/>
        </w:rPr>
      </w:pPr>
    </w:p>
    <w:p>
      <w:pPr>
        <w:spacing w:line="588" w:lineRule="exact"/>
        <w:ind w:firstLine="504" w:firstLineChars="200"/>
        <w:rPr>
          <w:rFonts w:ascii="宋体" w:hAnsi="宋体" w:cs="宋体"/>
          <w:spacing w:val="6"/>
          <w:sz w:val="24"/>
        </w:rPr>
      </w:pPr>
    </w:p>
    <w:p>
      <w:pPr>
        <w:spacing w:line="588" w:lineRule="exact"/>
        <w:ind w:firstLine="504" w:firstLineChars="200"/>
        <w:rPr>
          <w:rFonts w:ascii="宋体" w:hAnsi="宋体" w:cs="宋体"/>
          <w:spacing w:val="6"/>
          <w:sz w:val="24"/>
        </w:rPr>
      </w:pPr>
    </w:p>
    <w:p>
      <w:pPr>
        <w:pStyle w:val="17"/>
      </w:pPr>
    </w:p>
    <w:p/>
    <w:p>
      <w:pPr>
        <w:pStyle w:val="17"/>
      </w:pPr>
    </w:p>
    <w:p/>
    <w:p>
      <w:pPr>
        <w:pStyle w:val="17"/>
      </w:pPr>
    </w:p>
    <w:p/>
    <w:p>
      <w:pPr>
        <w:pStyle w:val="17"/>
      </w:pPr>
    </w:p>
    <w:p/>
    <w:p>
      <w:pPr>
        <w:pStyle w:val="17"/>
      </w:pPr>
    </w:p>
    <w:p/>
    <w:p>
      <w:pPr>
        <w:adjustRightInd w:val="0"/>
        <w:snapToGrid w:val="0"/>
        <w:spacing w:line="480" w:lineRule="auto"/>
        <w:ind w:firstLine="2400" w:firstLineChars="10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磋商响应单位名称：</w:t>
      </w:r>
      <w:r>
        <w:rPr>
          <w:rFonts w:hint="eastAsia" w:asciiTheme="minorEastAsia" w:hAnsiTheme="minorEastAsia" w:eastAsiaTheme="minorEastAsia" w:cstheme="minorEastAsia"/>
          <w:bCs/>
          <w:sz w:val="24"/>
          <w:u w:val="single"/>
        </w:rPr>
        <w:t xml:space="preserve">                              </w:t>
      </w:r>
      <w:r>
        <w:rPr>
          <w:rFonts w:hint="eastAsia" w:asciiTheme="minorEastAsia" w:hAnsiTheme="minorEastAsia" w:eastAsiaTheme="minorEastAsia" w:cstheme="minorEastAsia"/>
          <w:bCs/>
          <w:sz w:val="24"/>
        </w:rPr>
        <w:t>（公章）</w:t>
      </w:r>
    </w:p>
    <w:p>
      <w:pPr>
        <w:adjustRightInd w:val="0"/>
        <w:snapToGrid w:val="0"/>
        <w:spacing w:line="480" w:lineRule="auto"/>
        <w:ind w:firstLine="2400" w:firstLineChars="1000"/>
        <w:rPr>
          <w:rFonts w:asciiTheme="minorEastAsia" w:hAnsiTheme="minorEastAsia" w:eastAsiaTheme="minorEastAsia" w:cstheme="minorEastAsia"/>
          <w:sz w:val="24"/>
        </w:rPr>
      </w:pPr>
      <w:r>
        <w:rPr>
          <w:rFonts w:hint="eastAsia" w:asciiTheme="minorEastAsia" w:hAnsiTheme="minorEastAsia" w:eastAsiaTheme="minorEastAsia" w:cstheme="minorEastAsia"/>
          <w:bCs/>
          <w:sz w:val="24"/>
        </w:rPr>
        <w:t>法定代表人或授权代表人：</w:t>
      </w:r>
      <w:r>
        <w:rPr>
          <w:rFonts w:hint="eastAsia" w:asciiTheme="minorEastAsia" w:hAnsiTheme="minorEastAsia" w:eastAsiaTheme="minorEastAsia" w:cstheme="minorEastAsia"/>
          <w:bCs/>
          <w:sz w:val="24"/>
          <w:u w:val="single"/>
        </w:rPr>
        <w:t xml:space="preserve">  </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 xml:space="preserve">（签字或盖章）   </w:t>
      </w:r>
    </w:p>
    <w:p>
      <w:pPr>
        <w:adjustRightInd w:val="0"/>
        <w:snapToGrid w:val="0"/>
        <w:spacing w:line="480" w:lineRule="auto"/>
        <w:ind w:firstLine="2400" w:firstLineChars="1000"/>
      </w:pPr>
      <w:r>
        <w:rPr>
          <w:rFonts w:hint="eastAsia" w:asciiTheme="minorEastAsia" w:hAnsiTheme="minorEastAsia" w:eastAsiaTheme="minorEastAsia" w:cstheme="minorEastAsia"/>
          <w:bCs/>
          <w:sz w:val="24"/>
        </w:rPr>
        <w:t>日  期：</w:t>
      </w:r>
      <w:r>
        <w:rPr>
          <w:rFonts w:hint="eastAsia"/>
          <w:sz w:val="24"/>
          <w:szCs w:val="28"/>
          <w:u w:val="single"/>
        </w:rPr>
        <w:t xml:space="preserve">    </w:t>
      </w:r>
      <w:r>
        <w:rPr>
          <w:sz w:val="24"/>
          <w:szCs w:val="28"/>
        </w:rPr>
        <w:t>年</w:t>
      </w:r>
      <w:r>
        <w:rPr>
          <w:sz w:val="24"/>
          <w:szCs w:val="28"/>
          <w:u w:val="single"/>
        </w:rPr>
        <w:t xml:space="preserve">   </w:t>
      </w:r>
      <w:r>
        <w:rPr>
          <w:sz w:val="24"/>
          <w:szCs w:val="28"/>
        </w:rPr>
        <w:t>月</w:t>
      </w:r>
      <w:r>
        <w:rPr>
          <w:sz w:val="24"/>
          <w:szCs w:val="28"/>
          <w:u w:val="single"/>
        </w:rPr>
        <w:t xml:space="preserve">   </w:t>
      </w:r>
      <w:r>
        <w:rPr>
          <w:sz w:val="24"/>
          <w:szCs w:val="28"/>
        </w:rPr>
        <w:t>日</w:t>
      </w:r>
    </w:p>
    <w:p>
      <w:pPr>
        <w:autoSpaceDE w:val="0"/>
        <w:autoSpaceDN w:val="0"/>
        <w:adjustRightInd w:val="0"/>
        <w:spacing w:line="360" w:lineRule="auto"/>
        <w:rPr>
          <w:b/>
          <w:sz w:val="24"/>
        </w:rPr>
      </w:pPr>
    </w:p>
    <w:p>
      <w:pPr>
        <w:widowControl/>
        <w:rPr>
          <w:sz w:val="24"/>
        </w:rPr>
      </w:pPr>
    </w:p>
    <w:p>
      <w:pPr>
        <w:autoSpaceDE w:val="0"/>
        <w:autoSpaceDN w:val="0"/>
        <w:adjustRightInd w:val="0"/>
        <w:snapToGrid w:val="0"/>
        <w:spacing w:after="156" w:afterLines="50" w:line="360" w:lineRule="auto"/>
        <w:jc w:val="center"/>
        <w:rPr>
          <w:b/>
          <w:sz w:val="24"/>
        </w:rPr>
      </w:pPr>
      <w:r>
        <w:rPr>
          <w:sz w:val="24"/>
        </w:rPr>
        <w:br w:type="page"/>
      </w:r>
      <w:r>
        <w:rPr>
          <w:b/>
          <w:bCs/>
          <w:sz w:val="30"/>
          <w:szCs w:val="30"/>
        </w:rPr>
        <w:t>五、商务条款偏离表</w:t>
      </w:r>
    </w:p>
    <w:tbl>
      <w:tblPr>
        <w:tblStyle w:val="48"/>
        <w:tblpPr w:leftFromText="180" w:rightFromText="180" w:vertAnchor="text" w:horzAnchor="margin" w:tblpX="108" w:tblpY="2"/>
        <w:tblW w:w="90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7"/>
        <w:gridCol w:w="1368"/>
        <w:gridCol w:w="2426"/>
        <w:gridCol w:w="2412"/>
        <w:gridCol w:w="2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trPr>
        <w:tc>
          <w:tcPr>
            <w:tcW w:w="747" w:type="dxa"/>
            <w:tcBorders>
              <w:top w:val="single" w:color="auto" w:sz="12" w:space="0"/>
              <w:left w:val="single" w:color="auto" w:sz="12" w:space="0"/>
            </w:tcBorders>
            <w:vAlign w:val="center"/>
          </w:tcPr>
          <w:p>
            <w:pPr>
              <w:autoSpaceDE w:val="0"/>
              <w:autoSpaceDN w:val="0"/>
              <w:adjustRightInd w:val="0"/>
              <w:jc w:val="center"/>
              <w:rPr>
                <w:sz w:val="24"/>
              </w:rPr>
            </w:pPr>
            <w:r>
              <w:rPr>
                <w:sz w:val="24"/>
              </w:rPr>
              <w:t>序号</w:t>
            </w:r>
          </w:p>
        </w:tc>
        <w:tc>
          <w:tcPr>
            <w:tcW w:w="1368" w:type="dxa"/>
            <w:tcBorders>
              <w:top w:val="single" w:color="auto" w:sz="12" w:space="0"/>
            </w:tcBorders>
            <w:vAlign w:val="center"/>
          </w:tcPr>
          <w:p>
            <w:pPr>
              <w:autoSpaceDE w:val="0"/>
              <w:autoSpaceDN w:val="0"/>
              <w:adjustRightInd w:val="0"/>
              <w:jc w:val="center"/>
              <w:rPr>
                <w:sz w:val="24"/>
              </w:rPr>
            </w:pPr>
            <w:r>
              <w:rPr>
                <w:sz w:val="24"/>
              </w:rPr>
              <w:t>商务条款</w:t>
            </w:r>
          </w:p>
        </w:tc>
        <w:tc>
          <w:tcPr>
            <w:tcW w:w="2426" w:type="dxa"/>
            <w:tcBorders>
              <w:top w:val="single" w:color="auto" w:sz="12" w:space="0"/>
            </w:tcBorders>
            <w:vAlign w:val="center"/>
          </w:tcPr>
          <w:p>
            <w:pPr>
              <w:autoSpaceDE w:val="0"/>
              <w:autoSpaceDN w:val="0"/>
              <w:adjustRightInd w:val="0"/>
              <w:jc w:val="center"/>
              <w:rPr>
                <w:sz w:val="24"/>
              </w:rPr>
            </w:pPr>
            <w:r>
              <w:rPr>
                <w:sz w:val="24"/>
              </w:rPr>
              <w:t>磋商文件的商务要求</w:t>
            </w:r>
          </w:p>
        </w:tc>
        <w:tc>
          <w:tcPr>
            <w:tcW w:w="2412" w:type="dxa"/>
            <w:tcBorders>
              <w:top w:val="single" w:color="auto" w:sz="12" w:space="0"/>
            </w:tcBorders>
            <w:vAlign w:val="center"/>
          </w:tcPr>
          <w:p>
            <w:pPr>
              <w:autoSpaceDE w:val="0"/>
              <w:autoSpaceDN w:val="0"/>
              <w:adjustRightInd w:val="0"/>
              <w:jc w:val="center"/>
              <w:rPr>
                <w:sz w:val="24"/>
              </w:rPr>
            </w:pPr>
            <w:r>
              <w:rPr>
                <w:sz w:val="24"/>
              </w:rPr>
              <w:t>响应文件的商务响应</w:t>
            </w:r>
          </w:p>
        </w:tc>
        <w:tc>
          <w:tcPr>
            <w:tcW w:w="2074" w:type="dxa"/>
            <w:tcBorders>
              <w:top w:val="single" w:color="auto" w:sz="12" w:space="0"/>
              <w:right w:val="single" w:color="auto" w:sz="12" w:space="0"/>
            </w:tcBorders>
            <w:vAlign w:val="center"/>
          </w:tcPr>
          <w:p>
            <w:pPr>
              <w:autoSpaceDE w:val="0"/>
              <w:autoSpaceDN w:val="0"/>
              <w:adjustRightInd w:val="0"/>
              <w:jc w:val="center"/>
              <w:rPr>
                <w:sz w:val="24"/>
              </w:rPr>
            </w:pPr>
            <w:r>
              <w:rPr>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747" w:type="dxa"/>
            <w:tcBorders>
              <w:left w:val="single" w:color="auto" w:sz="12" w:space="0"/>
            </w:tcBorders>
          </w:tcPr>
          <w:p>
            <w:pPr>
              <w:rPr>
                <w:sz w:val="24"/>
              </w:rPr>
            </w:pPr>
          </w:p>
        </w:tc>
        <w:tc>
          <w:tcPr>
            <w:tcW w:w="1368" w:type="dxa"/>
          </w:tcPr>
          <w:p>
            <w:pPr>
              <w:rPr>
                <w:sz w:val="24"/>
              </w:rPr>
            </w:pPr>
          </w:p>
        </w:tc>
        <w:tc>
          <w:tcPr>
            <w:tcW w:w="2426" w:type="dxa"/>
          </w:tcPr>
          <w:p>
            <w:pPr>
              <w:rPr>
                <w:sz w:val="24"/>
              </w:rPr>
            </w:pPr>
          </w:p>
        </w:tc>
        <w:tc>
          <w:tcPr>
            <w:tcW w:w="2412" w:type="dxa"/>
          </w:tcPr>
          <w:p>
            <w:pPr>
              <w:rPr>
                <w:sz w:val="24"/>
              </w:rPr>
            </w:pPr>
          </w:p>
        </w:tc>
        <w:tc>
          <w:tcPr>
            <w:tcW w:w="2074" w:type="dxa"/>
            <w:tcBorders>
              <w:right w:val="single" w:color="auto" w:sz="12" w:space="0"/>
            </w:tcBorders>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747" w:type="dxa"/>
            <w:tcBorders>
              <w:left w:val="single" w:color="auto" w:sz="12" w:space="0"/>
            </w:tcBorders>
          </w:tcPr>
          <w:p>
            <w:pPr>
              <w:rPr>
                <w:sz w:val="24"/>
              </w:rPr>
            </w:pPr>
          </w:p>
        </w:tc>
        <w:tc>
          <w:tcPr>
            <w:tcW w:w="1368" w:type="dxa"/>
          </w:tcPr>
          <w:p>
            <w:pPr>
              <w:rPr>
                <w:sz w:val="24"/>
              </w:rPr>
            </w:pPr>
          </w:p>
        </w:tc>
        <w:tc>
          <w:tcPr>
            <w:tcW w:w="2426" w:type="dxa"/>
          </w:tcPr>
          <w:p>
            <w:pPr>
              <w:rPr>
                <w:sz w:val="24"/>
              </w:rPr>
            </w:pPr>
          </w:p>
        </w:tc>
        <w:tc>
          <w:tcPr>
            <w:tcW w:w="2412" w:type="dxa"/>
          </w:tcPr>
          <w:p>
            <w:pPr>
              <w:rPr>
                <w:sz w:val="24"/>
              </w:rPr>
            </w:pPr>
          </w:p>
        </w:tc>
        <w:tc>
          <w:tcPr>
            <w:tcW w:w="2074" w:type="dxa"/>
            <w:tcBorders>
              <w:right w:val="single" w:color="auto" w:sz="12" w:space="0"/>
            </w:tcBorders>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747" w:type="dxa"/>
            <w:tcBorders>
              <w:left w:val="single" w:color="auto" w:sz="12" w:space="0"/>
            </w:tcBorders>
          </w:tcPr>
          <w:p>
            <w:pPr>
              <w:rPr>
                <w:sz w:val="24"/>
              </w:rPr>
            </w:pPr>
          </w:p>
        </w:tc>
        <w:tc>
          <w:tcPr>
            <w:tcW w:w="1368" w:type="dxa"/>
          </w:tcPr>
          <w:p>
            <w:pPr>
              <w:rPr>
                <w:sz w:val="24"/>
              </w:rPr>
            </w:pPr>
          </w:p>
        </w:tc>
        <w:tc>
          <w:tcPr>
            <w:tcW w:w="2426" w:type="dxa"/>
          </w:tcPr>
          <w:p>
            <w:pPr>
              <w:rPr>
                <w:sz w:val="24"/>
              </w:rPr>
            </w:pPr>
          </w:p>
        </w:tc>
        <w:tc>
          <w:tcPr>
            <w:tcW w:w="2412" w:type="dxa"/>
          </w:tcPr>
          <w:p>
            <w:pPr>
              <w:rPr>
                <w:sz w:val="24"/>
              </w:rPr>
            </w:pPr>
          </w:p>
        </w:tc>
        <w:tc>
          <w:tcPr>
            <w:tcW w:w="2074" w:type="dxa"/>
            <w:tcBorders>
              <w:right w:val="single" w:color="auto" w:sz="12" w:space="0"/>
            </w:tcBorders>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747" w:type="dxa"/>
            <w:tcBorders>
              <w:left w:val="single" w:color="auto" w:sz="12" w:space="0"/>
            </w:tcBorders>
          </w:tcPr>
          <w:p>
            <w:pPr>
              <w:rPr>
                <w:sz w:val="24"/>
              </w:rPr>
            </w:pPr>
          </w:p>
        </w:tc>
        <w:tc>
          <w:tcPr>
            <w:tcW w:w="1368" w:type="dxa"/>
          </w:tcPr>
          <w:p>
            <w:pPr>
              <w:rPr>
                <w:sz w:val="24"/>
              </w:rPr>
            </w:pPr>
          </w:p>
        </w:tc>
        <w:tc>
          <w:tcPr>
            <w:tcW w:w="2426" w:type="dxa"/>
          </w:tcPr>
          <w:p>
            <w:pPr>
              <w:rPr>
                <w:sz w:val="24"/>
              </w:rPr>
            </w:pPr>
          </w:p>
        </w:tc>
        <w:tc>
          <w:tcPr>
            <w:tcW w:w="2412" w:type="dxa"/>
          </w:tcPr>
          <w:p>
            <w:pPr>
              <w:rPr>
                <w:sz w:val="24"/>
              </w:rPr>
            </w:pPr>
          </w:p>
        </w:tc>
        <w:tc>
          <w:tcPr>
            <w:tcW w:w="2074" w:type="dxa"/>
            <w:tcBorders>
              <w:right w:val="single" w:color="auto" w:sz="12" w:space="0"/>
            </w:tcBorders>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747" w:type="dxa"/>
            <w:tcBorders>
              <w:left w:val="single" w:color="auto" w:sz="12" w:space="0"/>
            </w:tcBorders>
          </w:tcPr>
          <w:p>
            <w:pPr>
              <w:rPr>
                <w:sz w:val="24"/>
              </w:rPr>
            </w:pPr>
          </w:p>
        </w:tc>
        <w:tc>
          <w:tcPr>
            <w:tcW w:w="1368" w:type="dxa"/>
          </w:tcPr>
          <w:p>
            <w:pPr>
              <w:rPr>
                <w:sz w:val="24"/>
              </w:rPr>
            </w:pPr>
          </w:p>
        </w:tc>
        <w:tc>
          <w:tcPr>
            <w:tcW w:w="2426" w:type="dxa"/>
          </w:tcPr>
          <w:p>
            <w:pPr>
              <w:rPr>
                <w:sz w:val="24"/>
              </w:rPr>
            </w:pPr>
          </w:p>
        </w:tc>
        <w:tc>
          <w:tcPr>
            <w:tcW w:w="2412" w:type="dxa"/>
          </w:tcPr>
          <w:p>
            <w:pPr>
              <w:rPr>
                <w:sz w:val="24"/>
              </w:rPr>
            </w:pPr>
          </w:p>
        </w:tc>
        <w:tc>
          <w:tcPr>
            <w:tcW w:w="2074" w:type="dxa"/>
            <w:tcBorders>
              <w:right w:val="single" w:color="auto" w:sz="12" w:space="0"/>
            </w:tcBorders>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747" w:type="dxa"/>
            <w:tcBorders>
              <w:left w:val="single" w:color="auto" w:sz="12" w:space="0"/>
            </w:tcBorders>
          </w:tcPr>
          <w:p>
            <w:pPr>
              <w:rPr>
                <w:sz w:val="24"/>
              </w:rPr>
            </w:pPr>
          </w:p>
        </w:tc>
        <w:tc>
          <w:tcPr>
            <w:tcW w:w="1368" w:type="dxa"/>
          </w:tcPr>
          <w:p>
            <w:pPr>
              <w:rPr>
                <w:sz w:val="24"/>
              </w:rPr>
            </w:pPr>
          </w:p>
        </w:tc>
        <w:tc>
          <w:tcPr>
            <w:tcW w:w="2426" w:type="dxa"/>
          </w:tcPr>
          <w:p>
            <w:pPr>
              <w:rPr>
                <w:sz w:val="24"/>
              </w:rPr>
            </w:pPr>
          </w:p>
        </w:tc>
        <w:tc>
          <w:tcPr>
            <w:tcW w:w="2412" w:type="dxa"/>
          </w:tcPr>
          <w:p>
            <w:pPr>
              <w:rPr>
                <w:sz w:val="24"/>
              </w:rPr>
            </w:pPr>
          </w:p>
        </w:tc>
        <w:tc>
          <w:tcPr>
            <w:tcW w:w="2074" w:type="dxa"/>
            <w:tcBorders>
              <w:right w:val="single" w:color="auto" w:sz="12" w:space="0"/>
            </w:tcBorders>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747" w:type="dxa"/>
            <w:tcBorders>
              <w:left w:val="single" w:color="auto" w:sz="12" w:space="0"/>
            </w:tcBorders>
          </w:tcPr>
          <w:p>
            <w:pPr>
              <w:rPr>
                <w:sz w:val="24"/>
              </w:rPr>
            </w:pPr>
          </w:p>
        </w:tc>
        <w:tc>
          <w:tcPr>
            <w:tcW w:w="1368" w:type="dxa"/>
          </w:tcPr>
          <w:p>
            <w:pPr>
              <w:rPr>
                <w:sz w:val="24"/>
              </w:rPr>
            </w:pPr>
          </w:p>
        </w:tc>
        <w:tc>
          <w:tcPr>
            <w:tcW w:w="2426" w:type="dxa"/>
          </w:tcPr>
          <w:p>
            <w:pPr>
              <w:rPr>
                <w:sz w:val="24"/>
              </w:rPr>
            </w:pPr>
          </w:p>
        </w:tc>
        <w:tc>
          <w:tcPr>
            <w:tcW w:w="2412" w:type="dxa"/>
          </w:tcPr>
          <w:p>
            <w:pPr>
              <w:rPr>
                <w:sz w:val="24"/>
              </w:rPr>
            </w:pPr>
          </w:p>
        </w:tc>
        <w:tc>
          <w:tcPr>
            <w:tcW w:w="2074" w:type="dxa"/>
            <w:tcBorders>
              <w:right w:val="single" w:color="auto" w:sz="12" w:space="0"/>
            </w:tcBorders>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747" w:type="dxa"/>
            <w:tcBorders>
              <w:left w:val="single" w:color="auto" w:sz="12" w:space="0"/>
            </w:tcBorders>
          </w:tcPr>
          <w:p>
            <w:pPr>
              <w:rPr>
                <w:sz w:val="24"/>
              </w:rPr>
            </w:pPr>
          </w:p>
        </w:tc>
        <w:tc>
          <w:tcPr>
            <w:tcW w:w="1368" w:type="dxa"/>
          </w:tcPr>
          <w:p>
            <w:pPr>
              <w:rPr>
                <w:sz w:val="24"/>
              </w:rPr>
            </w:pPr>
          </w:p>
        </w:tc>
        <w:tc>
          <w:tcPr>
            <w:tcW w:w="2426" w:type="dxa"/>
          </w:tcPr>
          <w:p>
            <w:pPr>
              <w:rPr>
                <w:sz w:val="24"/>
              </w:rPr>
            </w:pPr>
          </w:p>
        </w:tc>
        <w:tc>
          <w:tcPr>
            <w:tcW w:w="2412" w:type="dxa"/>
          </w:tcPr>
          <w:p>
            <w:pPr>
              <w:rPr>
                <w:sz w:val="24"/>
              </w:rPr>
            </w:pPr>
          </w:p>
        </w:tc>
        <w:tc>
          <w:tcPr>
            <w:tcW w:w="2074" w:type="dxa"/>
            <w:tcBorders>
              <w:right w:val="single" w:color="auto" w:sz="12" w:space="0"/>
            </w:tcBorders>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747" w:type="dxa"/>
            <w:tcBorders>
              <w:left w:val="single" w:color="auto" w:sz="12" w:space="0"/>
            </w:tcBorders>
          </w:tcPr>
          <w:p>
            <w:pPr>
              <w:rPr>
                <w:sz w:val="24"/>
              </w:rPr>
            </w:pPr>
          </w:p>
        </w:tc>
        <w:tc>
          <w:tcPr>
            <w:tcW w:w="1368" w:type="dxa"/>
          </w:tcPr>
          <w:p>
            <w:pPr>
              <w:rPr>
                <w:sz w:val="24"/>
              </w:rPr>
            </w:pPr>
          </w:p>
        </w:tc>
        <w:tc>
          <w:tcPr>
            <w:tcW w:w="2426" w:type="dxa"/>
          </w:tcPr>
          <w:p>
            <w:pPr>
              <w:rPr>
                <w:sz w:val="24"/>
              </w:rPr>
            </w:pPr>
          </w:p>
        </w:tc>
        <w:tc>
          <w:tcPr>
            <w:tcW w:w="2412" w:type="dxa"/>
          </w:tcPr>
          <w:p>
            <w:pPr>
              <w:rPr>
                <w:sz w:val="24"/>
              </w:rPr>
            </w:pPr>
          </w:p>
        </w:tc>
        <w:tc>
          <w:tcPr>
            <w:tcW w:w="2074" w:type="dxa"/>
            <w:tcBorders>
              <w:right w:val="single" w:color="auto" w:sz="12" w:space="0"/>
            </w:tcBorders>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747" w:type="dxa"/>
            <w:tcBorders>
              <w:left w:val="single" w:color="auto" w:sz="12" w:space="0"/>
              <w:bottom w:val="single" w:color="auto" w:sz="12" w:space="0"/>
            </w:tcBorders>
          </w:tcPr>
          <w:p>
            <w:pPr>
              <w:rPr>
                <w:sz w:val="24"/>
              </w:rPr>
            </w:pPr>
          </w:p>
        </w:tc>
        <w:tc>
          <w:tcPr>
            <w:tcW w:w="1368" w:type="dxa"/>
            <w:tcBorders>
              <w:bottom w:val="single" w:color="auto" w:sz="12" w:space="0"/>
            </w:tcBorders>
          </w:tcPr>
          <w:p>
            <w:pPr>
              <w:rPr>
                <w:sz w:val="24"/>
              </w:rPr>
            </w:pPr>
          </w:p>
        </w:tc>
        <w:tc>
          <w:tcPr>
            <w:tcW w:w="2426" w:type="dxa"/>
            <w:tcBorders>
              <w:bottom w:val="single" w:color="auto" w:sz="12" w:space="0"/>
            </w:tcBorders>
          </w:tcPr>
          <w:p>
            <w:pPr>
              <w:rPr>
                <w:sz w:val="24"/>
              </w:rPr>
            </w:pPr>
          </w:p>
        </w:tc>
        <w:tc>
          <w:tcPr>
            <w:tcW w:w="2412" w:type="dxa"/>
            <w:tcBorders>
              <w:bottom w:val="single" w:color="auto" w:sz="12" w:space="0"/>
            </w:tcBorders>
          </w:tcPr>
          <w:p>
            <w:pPr>
              <w:rPr>
                <w:sz w:val="24"/>
              </w:rPr>
            </w:pPr>
          </w:p>
        </w:tc>
        <w:tc>
          <w:tcPr>
            <w:tcW w:w="2074" w:type="dxa"/>
            <w:tcBorders>
              <w:bottom w:val="single" w:color="auto" w:sz="12" w:space="0"/>
              <w:right w:val="single" w:color="auto" w:sz="12" w:space="0"/>
            </w:tcBorders>
          </w:tcPr>
          <w:p>
            <w:pPr>
              <w:rPr>
                <w:sz w:val="24"/>
              </w:rPr>
            </w:pPr>
          </w:p>
        </w:tc>
      </w:tr>
    </w:tbl>
    <w:p>
      <w:pPr>
        <w:autoSpaceDE w:val="0"/>
        <w:autoSpaceDN w:val="0"/>
        <w:adjustRightInd w:val="0"/>
        <w:spacing w:line="400" w:lineRule="exact"/>
        <w:rPr>
          <w:sz w:val="24"/>
          <w:lang w:val="zh-TW"/>
        </w:rPr>
      </w:pPr>
      <w:r>
        <w:rPr>
          <w:sz w:val="24"/>
          <w:lang w:val="zh-TW" w:eastAsia="zh-TW"/>
        </w:rPr>
        <w:t>注：</w:t>
      </w:r>
      <w:r>
        <w:rPr>
          <w:sz w:val="24"/>
        </w:rPr>
        <w:t>1、</w:t>
      </w:r>
      <w:r>
        <w:rPr>
          <w:sz w:val="24"/>
          <w:lang w:val="zh-TW"/>
        </w:rPr>
        <w:t>偏离</w:t>
      </w:r>
      <w:r>
        <w:rPr>
          <w:sz w:val="24"/>
          <w:lang w:val="zh-TW" w:eastAsia="zh-TW"/>
        </w:rPr>
        <w:t>说明填写：优于、相同、低于</w:t>
      </w:r>
      <w:r>
        <w:rPr>
          <w:sz w:val="24"/>
          <w:lang w:val="zh-TW"/>
        </w:rPr>
        <w:t>。</w:t>
      </w:r>
    </w:p>
    <w:p>
      <w:pPr>
        <w:pStyle w:val="2"/>
        <w:ind w:firstLine="480"/>
        <w:rPr>
          <w:sz w:val="24"/>
          <w:lang w:val="zh-TW"/>
        </w:rPr>
      </w:pPr>
    </w:p>
    <w:p>
      <w:pPr>
        <w:pStyle w:val="2"/>
        <w:ind w:firstLine="480"/>
        <w:rPr>
          <w:sz w:val="24"/>
          <w:lang w:val="zh-TW"/>
        </w:rPr>
      </w:pPr>
    </w:p>
    <w:p>
      <w:pPr>
        <w:pStyle w:val="2"/>
        <w:ind w:firstLine="480"/>
        <w:rPr>
          <w:sz w:val="24"/>
          <w:lang w:val="zh-TW"/>
        </w:rPr>
      </w:pPr>
    </w:p>
    <w:p>
      <w:pPr>
        <w:pStyle w:val="2"/>
        <w:ind w:firstLine="480"/>
        <w:rPr>
          <w:sz w:val="24"/>
          <w:lang w:val="zh-TW"/>
        </w:rPr>
      </w:pPr>
    </w:p>
    <w:p>
      <w:pPr>
        <w:spacing w:line="720" w:lineRule="auto"/>
        <w:rPr>
          <w:bCs/>
          <w:sz w:val="24"/>
        </w:rPr>
      </w:pPr>
      <w:r>
        <w:rPr>
          <w:rFonts w:hint="eastAsia"/>
          <w:bCs/>
          <w:sz w:val="24"/>
        </w:rPr>
        <w:t>磋商响应单位</w:t>
      </w:r>
      <w:r>
        <w:rPr>
          <w:bCs/>
          <w:sz w:val="24"/>
        </w:rPr>
        <w:t>名称：</w:t>
      </w:r>
      <w:r>
        <w:rPr>
          <w:rFonts w:hint="eastAsia"/>
          <w:bCs/>
          <w:sz w:val="24"/>
          <w:u w:val="single"/>
        </w:rPr>
        <w:t>　　　　　　　　　　　　　　　　　　</w:t>
      </w:r>
      <w:r>
        <w:rPr>
          <w:bCs/>
          <w:sz w:val="24"/>
        </w:rPr>
        <w:t>（公章）</w:t>
      </w:r>
    </w:p>
    <w:p>
      <w:pPr>
        <w:spacing w:line="720" w:lineRule="auto"/>
        <w:rPr>
          <w:sz w:val="24"/>
        </w:rPr>
      </w:pPr>
      <w:r>
        <w:rPr>
          <w:bCs/>
          <w:sz w:val="24"/>
        </w:rPr>
        <w:t>法定代表人或授权代表人：</w:t>
      </w:r>
      <w:r>
        <w:rPr>
          <w:rFonts w:hint="eastAsia"/>
          <w:bCs/>
          <w:sz w:val="24"/>
          <w:u w:val="single"/>
        </w:rPr>
        <w:t>　　　　　　　　　　</w:t>
      </w:r>
      <w:r>
        <w:rPr>
          <w:sz w:val="24"/>
        </w:rPr>
        <w:t xml:space="preserve">（签字或盖章）           </w:t>
      </w:r>
    </w:p>
    <w:p>
      <w:pPr>
        <w:adjustRightInd w:val="0"/>
        <w:snapToGrid w:val="0"/>
        <w:spacing w:line="480" w:lineRule="auto"/>
      </w:pPr>
      <w:r>
        <w:rPr>
          <w:rFonts w:hint="eastAsia" w:asciiTheme="minorEastAsia" w:hAnsiTheme="minorEastAsia" w:eastAsiaTheme="minorEastAsia" w:cstheme="minorEastAsia"/>
          <w:bCs/>
          <w:sz w:val="24"/>
        </w:rPr>
        <w:t>日  期：</w:t>
      </w:r>
      <w:r>
        <w:rPr>
          <w:rFonts w:hint="eastAsia"/>
          <w:sz w:val="24"/>
          <w:szCs w:val="28"/>
          <w:u w:val="single"/>
        </w:rPr>
        <w:t xml:space="preserve">    </w:t>
      </w:r>
      <w:r>
        <w:rPr>
          <w:sz w:val="24"/>
          <w:szCs w:val="28"/>
        </w:rPr>
        <w:t>年</w:t>
      </w:r>
      <w:r>
        <w:rPr>
          <w:sz w:val="24"/>
          <w:szCs w:val="28"/>
          <w:u w:val="single"/>
        </w:rPr>
        <w:t xml:space="preserve">   </w:t>
      </w:r>
      <w:r>
        <w:rPr>
          <w:sz w:val="24"/>
          <w:szCs w:val="28"/>
        </w:rPr>
        <w:t>月</w:t>
      </w:r>
      <w:r>
        <w:rPr>
          <w:sz w:val="24"/>
          <w:szCs w:val="28"/>
          <w:u w:val="single"/>
        </w:rPr>
        <w:t xml:space="preserve">   </w:t>
      </w:r>
      <w:r>
        <w:rPr>
          <w:sz w:val="24"/>
          <w:szCs w:val="28"/>
        </w:rPr>
        <w:t>日</w:t>
      </w:r>
    </w:p>
    <w:p>
      <w:pPr>
        <w:widowControl/>
        <w:jc w:val="left"/>
        <w:rPr>
          <w:b/>
          <w:bCs/>
          <w:sz w:val="30"/>
          <w:szCs w:val="30"/>
        </w:rPr>
      </w:pPr>
      <w:r>
        <w:rPr>
          <w:b/>
          <w:bCs/>
          <w:sz w:val="30"/>
          <w:szCs w:val="30"/>
        </w:rPr>
        <w:br w:type="page"/>
      </w:r>
    </w:p>
    <w:p>
      <w:pPr>
        <w:autoSpaceDE w:val="0"/>
        <w:autoSpaceDN w:val="0"/>
        <w:adjustRightInd w:val="0"/>
        <w:spacing w:line="360" w:lineRule="auto"/>
        <w:jc w:val="center"/>
        <w:rPr>
          <w:b/>
          <w:bCs/>
          <w:sz w:val="30"/>
          <w:szCs w:val="30"/>
        </w:rPr>
      </w:pPr>
      <w:r>
        <w:rPr>
          <w:b/>
          <w:bCs/>
          <w:sz w:val="30"/>
          <w:szCs w:val="30"/>
        </w:rPr>
        <w:t>六、业绩</w:t>
      </w:r>
    </w:p>
    <w:tbl>
      <w:tblPr>
        <w:tblStyle w:val="48"/>
        <w:tblW w:w="87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9"/>
        <w:gridCol w:w="64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2269" w:type="dxa"/>
            <w:vAlign w:val="center"/>
          </w:tcPr>
          <w:p>
            <w:pPr>
              <w:topLinePunct/>
              <w:spacing w:line="440" w:lineRule="exact"/>
              <w:jc w:val="center"/>
              <w:rPr>
                <w:sz w:val="24"/>
              </w:rPr>
            </w:pPr>
            <w:r>
              <w:rPr>
                <w:sz w:val="24"/>
              </w:rPr>
              <w:t>项目名称</w:t>
            </w:r>
          </w:p>
        </w:tc>
        <w:tc>
          <w:tcPr>
            <w:tcW w:w="6479" w:type="dxa"/>
          </w:tcPr>
          <w:p>
            <w:pPr>
              <w:topLinePunct/>
              <w:spacing w:line="44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2269" w:type="dxa"/>
            <w:vAlign w:val="center"/>
          </w:tcPr>
          <w:p>
            <w:pPr>
              <w:topLinePunct/>
              <w:spacing w:line="440" w:lineRule="exact"/>
              <w:jc w:val="center"/>
              <w:rPr>
                <w:sz w:val="24"/>
              </w:rPr>
            </w:pPr>
            <w:r>
              <w:rPr>
                <w:sz w:val="24"/>
              </w:rPr>
              <w:t>项目所在地</w:t>
            </w:r>
          </w:p>
        </w:tc>
        <w:tc>
          <w:tcPr>
            <w:tcW w:w="6479" w:type="dxa"/>
          </w:tcPr>
          <w:p>
            <w:pPr>
              <w:topLinePunct/>
              <w:spacing w:line="44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2269" w:type="dxa"/>
            <w:vAlign w:val="center"/>
          </w:tcPr>
          <w:p>
            <w:pPr>
              <w:topLinePunct/>
              <w:spacing w:line="440" w:lineRule="exact"/>
              <w:jc w:val="center"/>
              <w:rPr>
                <w:sz w:val="24"/>
              </w:rPr>
            </w:pPr>
            <w:r>
              <w:rPr>
                <w:sz w:val="24"/>
              </w:rPr>
              <w:t>发包人名称</w:t>
            </w:r>
          </w:p>
        </w:tc>
        <w:tc>
          <w:tcPr>
            <w:tcW w:w="6479" w:type="dxa"/>
          </w:tcPr>
          <w:p>
            <w:pPr>
              <w:topLinePunct/>
              <w:spacing w:line="44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2269" w:type="dxa"/>
            <w:vAlign w:val="center"/>
          </w:tcPr>
          <w:p>
            <w:pPr>
              <w:topLinePunct/>
              <w:spacing w:line="440" w:lineRule="exact"/>
              <w:jc w:val="center"/>
              <w:rPr>
                <w:sz w:val="24"/>
              </w:rPr>
            </w:pPr>
            <w:r>
              <w:rPr>
                <w:sz w:val="24"/>
              </w:rPr>
              <w:t>发包人地址</w:t>
            </w:r>
          </w:p>
        </w:tc>
        <w:tc>
          <w:tcPr>
            <w:tcW w:w="6479" w:type="dxa"/>
          </w:tcPr>
          <w:p>
            <w:pPr>
              <w:topLinePunct/>
              <w:spacing w:line="44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2269" w:type="dxa"/>
            <w:vAlign w:val="center"/>
          </w:tcPr>
          <w:p>
            <w:pPr>
              <w:topLinePunct/>
              <w:spacing w:line="440" w:lineRule="exact"/>
              <w:jc w:val="center"/>
              <w:rPr>
                <w:sz w:val="24"/>
              </w:rPr>
            </w:pPr>
            <w:r>
              <w:rPr>
                <w:sz w:val="24"/>
              </w:rPr>
              <w:t>发包人电话</w:t>
            </w:r>
          </w:p>
        </w:tc>
        <w:tc>
          <w:tcPr>
            <w:tcW w:w="6479" w:type="dxa"/>
          </w:tcPr>
          <w:p>
            <w:pPr>
              <w:topLinePunct/>
              <w:spacing w:line="44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2269" w:type="dxa"/>
            <w:vAlign w:val="center"/>
          </w:tcPr>
          <w:p>
            <w:pPr>
              <w:topLinePunct/>
              <w:spacing w:line="440" w:lineRule="exact"/>
              <w:jc w:val="center"/>
              <w:rPr>
                <w:sz w:val="24"/>
              </w:rPr>
            </w:pPr>
            <w:r>
              <w:rPr>
                <w:sz w:val="24"/>
              </w:rPr>
              <w:t>合同价格</w:t>
            </w:r>
          </w:p>
        </w:tc>
        <w:tc>
          <w:tcPr>
            <w:tcW w:w="6479" w:type="dxa"/>
          </w:tcPr>
          <w:p>
            <w:pPr>
              <w:topLinePunct/>
              <w:spacing w:line="44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2269" w:type="dxa"/>
            <w:vAlign w:val="center"/>
          </w:tcPr>
          <w:p>
            <w:pPr>
              <w:topLinePunct/>
              <w:spacing w:line="440" w:lineRule="exact"/>
              <w:jc w:val="center"/>
              <w:rPr>
                <w:sz w:val="24"/>
              </w:rPr>
            </w:pPr>
            <w:r>
              <w:rPr>
                <w:sz w:val="24"/>
              </w:rPr>
              <w:t>开工日期</w:t>
            </w:r>
          </w:p>
        </w:tc>
        <w:tc>
          <w:tcPr>
            <w:tcW w:w="6479" w:type="dxa"/>
          </w:tcPr>
          <w:p>
            <w:pPr>
              <w:topLinePunct/>
              <w:spacing w:line="44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trPr>
        <w:tc>
          <w:tcPr>
            <w:tcW w:w="2269" w:type="dxa"/>
            <w:vAlign w:val="center"/>
          </w:tcPr>
          <w:p>
            <w:pPr>
              <w:topLinePunct/>
              <w:spacing w:line="440" w:lineRule="exact"/>
              <w:jc w:val="center"/>
              <w:rPr>
                <w:sz w:val="24"/>
              </w:rPr>
            </w:pPr>
            <w:r>
              <w:rPr>
                <w:sz w:val="24"/>
              </w:rPr>
              <w:t>竣工日期</w:t>
            </w:r>
          </w:p>
        </w:tc>
        <w:tc>
          <w:tcPr>
            <w:tcW w:w="6479" w:type="dxa"/>
          </w:tcPr>
          <w:p>
            <w:pPr>
              <w:topLinePunct/>
              <w:spacing w:line="44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2269" w:type="dxa"/>
            <w:vAlign w:val="center"/>
          </w:tcPr>
          <w:p>
            <w:pPr>
              <w:topLinePunct/>
              <w:spacing w:line="440" w:lineRule="exact"/>
              <w:jc w:val="center"/>
              <w:rPr>
                <w:sz w:val="24"/>
              </w:rPr>
            </w:pPr>
            <w:r>
              <w:rPr>
                <w:sz w:val="24"/>
              </w:rPr>
              <w:t>承担的工作</w:t>
            </w:r>
          </w:p>
        </w:tc>
        <w:tc>
          <w:tcPr>
            <w:tcW w:w="6479" w:type="dxa"/>
          </w:tcPr>
          <w:p>
            <w:pPr>
              <w:topLinePunct/>
              <w:spacing w:line="44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2269" w:type="dxa"/>
            <w:vAlign w:val="center"/>
          </w:tcPr>
          <w:p>
            <w:pPr>
              <w:topLinePunct/>
              <w:spacing w:line="440" w:lineRule="exact"/>
              <w:jc w:val="center"/>
              <w:rPr>
                <w:sz w:val="24"/>
              </w:rPr>
            </w:pPr>
            <w:r>
              <w:rPr>
                <w:sz w:val="24"/>
              </w:rPr>
              <w:t>工程质量</w:t>
            </w:r>
          </w:p>
        </w:tc>
        <w:tc>
          <w:tcPr>
            <w:tcW w:w="6479" w:type="dxa"/>
          </w:tcPr>
          <w:p>
            <w:pPr>
              <w:topLinePunct/>
              <w:spacing w:line="44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2269" w:type="dxa"/>
            <w:vAlign w:val="center"/>
          </w:tcPr>
          <w:p>
            <w:pPr>
              <w:topLinePunct/>
              <w:spacing w:line="440" w:lineRule="exact"/>
              <w:jc w:val="center"/>
              <w:rPr>
                <w:sz w:val="24"/>
              </w:rPr>
            </w:pPr>
            <w:r>
              <w:rPr>
                <w:sz w:val="24"/>
              </w:rPr>
              <w:t>项目经理</w:t>
            </w:r>
          </w:p>
        </w:tc>
        <w:tc>
          <w:tcPr>
            <w:tcW w:w="6479" w:type="dxa"/>
          </w:tcPr>
          <w:p>
            <w:pPr>
              <w:topLinePunct/>
              <w:spacing w:line="44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2269" w:type="dxa"/>
            <w:vAlign w:val="center"/>
          </w:tcPr>
          <w:p>
            <w:pPr>
              <w:topLinePunct/>
              <w:spacing w:line="440" w:lineRule="exact"/>
              <w:jc w:val="center"/>
              <w:rPr>
                <w:sz w:val="24"/>
              </w:rPr>
            </w:pPr>
            <w:r>
              <w:rPr>
                <w:rFonts w:hint="eastAsia"/>
                <w:sz w:val="24"/>
              </w:rPr>
              <w:t>项目</w:t>
            </w:r>
            <w:r>
              <w:rPr>
                <w:sz w:val="24"/>
              </w:rPr>
              <w:t>技术负责人</w:t>
            </w:r>
          </w:p>
        </w:tc>
        <w:tc>
          <w:tcPr>
            <w:tcW w:w="6479" w:type="dxa"/>
          </w:tcPr>
          <w:p>
            <w:pPr>
              <w:topLinePunct/>
              <w:spacing w:line="44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2269" w:type="dxa"/>
            <w:vAlign w:val="center"/>
          </w:tcPr>
          <w:p>
            <w:pPr>
              <w:topLinePunct/>
              <w:spacing w:line="440" w:lineRule="exact"/>
              <w:jc w:val="center"/>
              <w:rPr>
                <w:sz w:val="24"/>
              </w:rPr>
            </w:pPr>
            <w:r>
              <w:rPr>
                <w:sz w:val="24"/>
              </w:rPr>
              <w:t>项目总工程师及电话</w:t>
            </w:r>
          </w:p>
        </w:tc>
        <w:tc>
          <w:tcPr>
            <w:tcW w:w="6479" w:type="dxa"/>
          </w:tcPr>
          <w:p>
            <w:pPr>
              <w:topLinePunct/>
              <w:spacing w:line="44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2269" w:type="dxa"/>
            <w:vAlign w:val="center"/>
          </w:tcPr>
          <w:p>
            <w:pPr>
              <w:topLinePunct/>
              <w:spacing w:line="440" w:lineRule="exact"/>
              <w:jc w:val="center"/>
              <w:rPr>
                <w:sz w:val="24"/>
              </w:rPr>
            </w:pPr>
            <w:r>
              <w:rPr>
                <w:sz w:val="24"/>
              </w:rPr>
              <w:t>项目描述</w:t>
            </w:r>
          </w:p>
        </w:tc>
        <w:tc>
          <w:tcPr>
            <w:tcW w:w="6479" w:type="dxa"/>
          </w:tcPr>
          <w:p>
            <w:pPr>
              <w:topLinePunct/>
              <w:spacing w:line="440" w:lineRule="exact"/>
              <w:rPr>
                <w:szCs w:val="21"/>
              </w:rPr>
            </w:pPr>
          </w:p>
          <w:p>
            <w:pPr>
              <w:topLinePunct/>
              <w:spacing w:line="440" w:lineRule="exact"/>
              <w:rPr>
                <w:szCs w:val="21"/>
              </w:rPr>
            </w:pPr>
          </w:p>
          <w:p>
            <w:pPr>
              <w:topLinePunct/>
              <w:spacing w:line="440" w:lineRule="exact"/>
              <w:rPr>
                <w:szCs w:val="21"/>
              </w:rPr>
            </w:pPr>
          </w:p>
          <w:p>
            <w:pPr>
              <w:topLinePunct/>
              <w:spacing w:line="440" w:lineRule="exact"/>
              <w:rPr>
                <w:szCs w:val="21"/>
              </w:rPr>
            </w:pPr>
          </w:p>
          <w:p>
            <w:pPr>
              <w:topLinePunct/>
              <w:spacing w:line="440" w:lineRule="exact"/>
              <w:rPr>
                <w:szCs w:val="21"/>
              </w:rPr>
            </w:pPr>
          </w:p>
          <w:p>
            <w:pPr>
              <w:topLinePunct/>
              <w:spacing w:line="44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3" w:hRule="atLeast"/>
        </w:trPr>
        <w:tc>
          <w:tcPr>
            <w:tcW w:w="2269" w:type="dxa"/>
            <w:vAlign w:val="center"/>
          </w:tcPr>
          <w:p>
            <w:pPr>
              <w:jc w:val="center"/>
              <w:rPr>
                <w:rFonts w:asciiTheme="minorEastAsia" w:hAnsiTheme="minorEastAsia" w:eastAsiaTheme="minorEastAsia"/>
                <w:sz w:val="24"/>
              </w:rPr>
            </w:pPr>
            <w:r>
              <w:rPr>
                <w:rFonts w:asciiTheme="minorEastAsia" w:hAnsiTheme="minorEastAsia" w:eastAsiaTheme="minorEastAsia"/>
                <w:sz w:val="24"/>
              </w:rPr>
              <w:t>备注</w:t>
            </w:r>
          </w:p>
        </w:tc>
        <w:tc>
          <w:tcPr>
            <w:tcW w:w="6479" w:type="dxa"/>
            <w:vAlign w:val="center"/>
          </w:tcPr>
          <w:p>
            <w:pPr>
              <w:rPr>
                <w:rFonts w:asciiTheme="minorEastAsia" w:hAnsiTheme="minorEastAsia" w:eastAsiaTheme="minorEastAsia"/>
                <w:b/>
                <w:bCs/>
                <w:sz w:val="24"/>
              </w:rPr>
            </w:pPr>
            <w:r>
              <w:rPr>
                <w:rFonts w:asciiTheme="minorEastAsia" w:hAnsiTheme="minorEastAsia" w:eastAsiaTheme="minorEastAsia"/>
                <w:b/>
                <w:bCs/>
                <w:sz w:val="24"/>
              </w:rPr>
              <w:t>1.每张表格只填写一个工程项目，并标明表序。</w:t>
            </w:r>
          </w:p>
          <w:p>
            <w:pPr>
              <w:spacing w:line="400" w:lineRule="exact"/>
              <w:ind w:left="241" w:hanging="241" w:hangingChars="100"/>
              <w:rPr>
                <w:rFonts w:asciiTheme="minorEastAsia" w:hAnsiTheme="minorEastAsia" w:eastAsiaTheme="minorEastAsia"/>
                <w:sz w:val="24"/>
              </w:rPr>
            </w:pPr>
            <w:r>
              <w:rPr>
                <w:rFonts w:asciiTheme="minorEastAsia" w:hAnsiTheme="minorEastAsia" w:eastAsiaTheme="minorEastAsia"/>
                <w:b/>
                <w:bCs/>
                <w:sz w:val="24"/>
              </w:rPr>
              <w:t>2.</w:t>
            </w:r>
            <w:r>
              <w:rPr>
                <w:rFonts w:hint="eastAsia" w:asciiTheme="minorEastAsia" w:hAnsiTheme="minorEastAsia" w:eastAsiaTheme="minorEastAsia"/>
                <w:b/>
                <w:bCs/>
                <w:sz w:val="24"/>
                <w:highlight w:val="none"/>
              </w:rPr>
              <w:t>近三年（201</w:t>
            </w:r>
            <w:r>
              <w:rPr>
                <w:rFonts w:hint="eastAsia" w:asciiTheme="minorEastAsia" w:hAnsiTheme="minorEastAsia" w:eastAsiaTheme="minorEastAsia"/>
                <w:b/>
                <w:bCs/>
                <w:sz w:val="24"/>
                <w:highlight w:val="none"/>
                <w:lang w:val="en-US" w:eastAsia="zh-CN"/>
              </w:rPr>
              <w:t>9</w:t>
            </w:r>
            <w:r>
              <w:rPr>
                <w:rFonts w:hint="eastAsia" w:asciiTheme="minorEastAsia" w:hAnsiTheme="minorEastAsia" w:eastAsiaTheme="minorEastAsia"/>
                <w:b/>
                <w:bCs/>
                <w:sz w:val="24"/>
                <w:highlight w:val="none"/>
              </w:rPr>
              <w:t>年至今</w:t>
            </w:r>
            <w:r>
              <w:rPr>
                <w:rFonts w:hint="eastAsia" w:asciiTheme="minorEastAsia" w:hAnsiTheme="minorEastAsia" w:eastAsiaTheme="minorEastAsia"/>
                <w:b/>
                <w:bCs/>
                <w:sz w:val="24"/>
              </w:rPr>
              <w:t>）</w:t>
            </w:r>
            <w:r>
              <w:rPr>
                <w:rFonts w:asciiTheme="minorEastAsia" w:hAnsiTheme="minorEastAsia" w:eastAsiaTheme="minorEastAsia"/>
                <w:b/>
                <w:bCs/>
                <w:sz w:val="24"/>
              </w:rPr>
              <w:t>类似项目业绩须附施工合同</w:t>
            </w:r>
            <w:r>
              <w:rPr>
                <w:rFonts w:hint="eastAsia" w:asciiTheme="minorEastAsia" w:hAnsiTheme="minorEastAsia" w:eastAsiaTheme="minorEastAsia"/>
                <w:b/>
                <w:bCs/>
                <w:sz w:val="24"/>
              </w:rPr>
              <w:t>协议书或</w:t>
            </w:r>
            <w:r>
              <w:rPr>
                <w:rFonts w:asciiTheme="minorEastAsia" w:hAnsiTheme="minorEastAsia" w:eastAsiaTheme="minorEastAsia"/>
                <w:b/>
                <w:bCs/>
                <w:sz w:val="24"/>
              </w:rPr>
              <w:t>中标通知书复印件</w:t>
            </w:r>
            <w:r>
              <w:rPr>
                <w:rFonts w:hint="eastAsia" w:asciiTheme="minorEastAsia" w:hAnsiTheme="minorEastAsia" w:eastAsiaTheme="minorEastAsia"/>
                <w:b/>
                <w:bCs/>
                <w:sz w:val="24"/>
              </w:rPr>
              <w:t>证明资料</w:t>
            </w:r>
            <w:r>
              <w:rPr>
                <w:rFonts w:asciiTheme="minorEastAsia" w:hAnsiTheme="minorEastAsia" w:eastAsiaTheme="minorEastAsia"/>
                <w:b/>
                <w:bCs/>
                <w:sz w:val="24"/>
              </w:rPr>
              <w:t>并加盖单位公章。</w:t>
            </w:r>
          </w:p>
        </w:tc>
      </w:tr>
    </w:tbl>
    <w:p>
      <w:pPr>
        <w:autoSpaceDE w:val="0"/>
        <w:autoSpaceDN w:val="0"/>
        <w:adjustRightInd w:val="0"/>
        <w:spacing w:line="360" w:lineRule="auto"/>
        <w:jc w:val="center"/>
        <w:rPr>
          <w:b/>
          <w:szCs w:val="21"/>
        </w:rPr>
      </w:pPr>
      <w:r>
        <w:rPr>
          <w:sz w:val="24"/>
        </w:rPr>
        <w:br w:type="page"/>
      </w:r>
    </w:p>
    <w:p>
      <w:pPr>
        <w:autoSpaceDE w:val="0"/>
        <w:autoSpaceDN w:val="0"/>
        <w:adjustRightInd w:val="0"/>
        <w:spacing w:line="360" w:lineRule="auto"/>
        <w:jc w:val="center"/>
        <w:rPr>
          <w:b/>
          <w:sz w:val="30"/>
          <w:szCs w:val="30"/>
        </w:rPr>
      </w:pPr>
      <w:r>
        <w:rPr>
          <w:rFonts w:hint="eastAsia"/>
          <w:b/>
          <w:sz w:val="30"/>
          <w:szCs w:val="30"/>
        </w:rPr>
        <w:t>七、</w:t>
      </w:r>
      <w:r>
        <w:rPr>
          <w:b/>
          <w:sz w:val="30"/>
          <w:szCs w:val="30"/>
        </w:rPr>
        <w:t>保修期服务承诺</w:t>
      </w:r>
    </w:p>
    <w:p>
      <w:pPr>
        <w:autoSpaceDE w:val="0"/>
        <w:autoSpaceDN w:val="0"/>
        <w:adjustRightInd w:val="0"/>
        <w:spacing w:line="360" w:lineRule="auto"/>
        <w:jc w:val="center"/>
        <w:rPr>
          <w:b/>
          <w:sz w:val="28"/>
          <w:szCs w:val="28"/>
        </w:rPr>
      </w:pPr>
      <w:bookmarkStart w:id="67" w:name="_Toc9040_WPSOffice_Level1"/>
      <w:r>
        <w:rPr>
          <w:b/>
          <w:sz w:val="28"/>
          <w:szCs w:val="28"/>
        </w:rPr>
        <w:t>（格式自拟）</w:t>
      </w:r>
      <w:bookmarkEnd w:id="67"/>
    </w:p>
    <w:p>
      <w:pPr>
        <w:autoSpaceDE w:val="0"/>
        <w:autoSpaceDN w:val="0"/>
        <w:adjustRightInd w:val="0"/>
        <w:spacing w:line="360" w:lineRule="auto"/>
        <w:jc w:val="center"/>
        <w:rPr>
          <w:b/>
          <w:szCs w:val="21"/>
        </w:rPr>
      </w:pPr>
    </w:p>
    <w:p>
      <w:pPr>
        <w:autoSpaceDE w:val="0"/>
        <w:autoSpaceDN w:val="0"/>
        <w:adjustRightInd w:val="0"/>
        <w:spacing w:line="360" w:lineRule="auto"/>
        <w:jc w:val="center"/>
        <w:rPr>
          <w:b/>
          <w:szCs w:val="21"/>
        </w:rPr>
      </w:pPr>
    </w:p>
    <w:p>
      <w:pPr>
        <w:autoSpaceDE w:val="0"/>
        <w:autoSpaceDN w:val="0"/>
        <w:adjustRightInd w:val="0"/>
        <w:spacing w:line="360" w:lineRule="auto"/>
        <w:jc w:val="center"/>
        <w:rPr>
          <w:b/>
          <w:szCs w:val="21"/>
        </w:rPr>
      </w:pPr>
    </w:p>
    <w:p>
      <w:pPr>
        <w:autoSpaceDE w:val="0"/>
        <w:autoSpaceDN w:val="0"/>
        <w:adjustRightInd w:val="0"/>
        <w:spacing w:line="360" w:lineRule="auto"/>
        <w:jc w:val="center"/>
        <w:rPr>
          <w:b/>
          <w:szCs w:val="21"/>
        </w:rPr>
      </w:pPr>
    </w:p>
    <w:p>
      <w:pPr>
        <w:autoSpaceDE w:val="0"/>
        <w:autoSpaceDN w:val="0"/>
        <w:adjustRightInd w:val="0"/>
        <w:spacing w:line="360" w:lineRule="auto"/>
        <w:jc w:val="center"/>
        <w:rPr>
          <w:b/>
          <w:szCs w:val="21"/>
        </w:rPr>
      </w:pPr>
    </w:p>
    <w:p>
      <w:pPr>
        <w:autoSpaceDE w:val="0"/>
        <w:autoSpaceDN w:val="0"/>
        <w:adjustRightInd w:val="0"/>
        <w:spacing w:line="360" w:lineRule="auto"/>
        <w:jc w:val="center"/>
        <w:rPr>
          <w:b/>
          <w:szCs w:val="21"/>
        </w:rPr>
      </w:pPr>
    </w:p>
    <w:p>
      <w:pPr>
        <w:autoSpaceDE w:val="0"/>
        <w:autoSpaceDN w:val="0"/>
        <w:adjustRightInd w:val="0"/>
        <w:spacing w:line="360" w:lineRule="auto"/>
        <w:jc w:val="center"/>
        <w:rPr>
          <w:b/>
          <w:szCs w:val="21"/>
        </w:rPr>
      </w:pPr>
    </w:p>
    <w:p>
      <w:pPr>
        <w:autoSpaceDE w:val="0"/>
        <w:autoSpaceDN w:val="0"/>
        <w:adjustRightInd w:val="0"/>
        <w:spacing w:line="360" w:lineRule="auto"/>
        <w:jc w:val="center"/>
        <w:rPr>
          <w:b/>
          <w:szCs w:val="21"/>
        </w:rPr>
      </w:pPr>
    </w:p>
    <w:p>
      <w:pPr>
        <w:autoSpaceDE w:val="0"/>
        <w:autoSpaceDN w:val="0"/>
        <w:adjustRightInd w:val="0"/>
        <w:spacing w:line="360" w:lineRule="auto"/>
        <w:jc w:val="center"/>
        <w:rPr>
          <w:b/>
          <w:szCs w:val="21"/>
        </w:rPr>
      </w:pPr>
    </w:p>
    <w:p>
      <w:pPr>
        <w:autoSpaceDE w:val="0"/>
        <w:autoSpaceDN w:val="0"/>
        <w:adjustRightInd w:val="0"/>
        <w:spacing w:line="360" w:lineRule="auto"/>
        <w:jc w:val="center"/>
        <w:rPr>
          <w:b/>
          <w:szCs w:val="21"/>
        </w:rPr>
      </w:pPr>
    </w:p>
    <w:p>
      <w:pPr>
        <w:autoSpaceDE w:val="0"/>
        <w:autoSpaceDN w:val="0"/>
        <w:adjustRightInd w:val="0"/>
        <w:spacing w:line="360" w:lineRule="auto"/>
        <w:jc w:val="center"/>
        <w:rPr>
          <w:b/>
          <w:szCs w:val="21"/>
        </w:rPr>
      </w:pPr>
    </w:p>
    <w:p>
      <w:pPr>
        <w:autoSpaceDE w:val="0"/>
        <w:autoSpaceDN w:val="0"/>
        <w:adjustRightInd w:val="0"/>
        <w:spacing w:line="360" w:lineRule="auto"/>
        <w:jc w:val="center"/>
        <w:rPr>
          <w:b/>
          <w:szCs w:val="21"/>
        </w:rPr>
      </w:pPr>
    </w:p>
    <w:p>
      <w:pPr>
        <w:autoSpaceDE w:val="0"/>
        <w:autoSpaceDN w:val="0"/>
        <w:adjustRightInd w:val="0"/>
        <w:spacing w:line="360" w:lineRule="auto"/>
        <w:jc w:val="center"/>
        <w:rPr>
          <w:b/>
          <w:szCs w:val="21"/>
        </w:rPr>
      </w:pPr>
    </w:p>
    <w:p>
      <w:pPr>
        <w:autoSpaceDE w:val="0"/>
        <w:autoSpaceDN w:val="0"/>
        <w:adjustRightInd w:val="0"/>
        <w:spacing w:line="360" w:lineRule="auto"/>
        <w:jc w:val="center"/>
        <w:rPr>
          <w:b/>
          <w:szCs w:val="21"/>
        </w:rPr>
      </w:pPr>
    </w:p>
    <w:p>
      <w:pPr>
        <w:autoSpaceDE w:val="0"/>
        <w:autoSpaceDN w:val="0"/>
        <w:adjustRightInd w:val="0"/>
        <w:spacing w:line="360" w:lineRule="auto"/>
        <w:jc w:val="center"/>
        <w:rPr>
          <w:b/>
          <w:szCs w:val="21"/>
        </w:rPr>
      </w:pPr>
    </w:p>
    <w:p>
      <w:pPr>
        <w:autoSpaceDE w:val="0"/>
        <w:autoSpaceDN w:val="0"/>
        <w:adjustRightInd w:val="0"/>
        <w:spacing w:line="360" w:lineRule="auto"/>
        <w:jc w:val="center"/>
        <w:rPr>
          <w:b/>
          <w:szCs w:val="21"/>
        </w:rPr>
      </w:pPr>
    </w:p>
    <w:p>
      <w:pPr>
        <w:autoSpaceDE w:val="0"/>
        <w:autoSpaceDN w:val="0"/>
        <w:adjustRightInd w:val="0"/>
        <w:spacing w:line="360" w:lineRule="auto"/>
        <w:jc w:val="center"/>
        <w:rPr>
          <w:b/>
          <w:szCs w:val="21"/>
        </w:rPr>
      </w:pPr>
    </w:p>
    <w:p>
      <w:pPr>
        <w:autoSpaceDE w:val="0"/>
        <w:autoSpaceDN w:val="0"/>
        <w:adjustRightInd w:val="0"/>
        <w:spacing w:line="360" w:lineRule="auto"/>
        <w:jc w:val="center"/>
        <w:rPr>
          <w:b/>
          <w:szCs w:val="21"/>
        </w:rPr>
      </w:pPr>
    </w:p>
    <w:p>
      <w:pPr>
        <w:autoSpaceDE w:val="0"/>
        <w:autoSpaceDN w:val="0"/>
        <w:adjustRightInd w:val="0"/>
        <w:spacing w:line="360" w:lineRule="auto"/>
        <w:jc w:val="center"/>
        <w:rPr>
          <w:b/>
          <w:szCs w:val="21"/>
        </w:rPr>
      </w:pPr>
    </w:p>
    <w:p>
      <w:pPr>
        <w:autoSpaceDE w:val="0"/>
        <w:autoSpaceDN w:val="0"/>
        <w:adjustRightInd w:val="0"/>
        <w:spacing w:line="360" w:lineRule="auto"/>
        <w:jc w:val="center"/>
        <w:rPr>
          <w:b/>
          <w:szCs w:val="21"/>
        </w:rPr>
      </w:pPr>
    </w:p>
    <w:p>
      <w:pPr>
        <w:autoSpaceDE w:val="0"/>
        <w:autoSpaceDN w:val="0"/>
        <w:adjustRightInd w:val="0"/>
        <w:spacing w:line="360" w:lineRule="auto"/>
        <w:jc w:val="center"/>
        <w:rPr>
          <w:b/>
          <w:szCs w:val="21"/>
        </w:rPr>
      </w:pPr>
    </w:p>
    <w:p>
      <w:pPr>
        <w:autoSpaceDE w:val="0"/>
        <w:autoSpaceDN w:val="0"/>
        <w:adjustRightInd w:val="0"/>
        <w:spacing w:line="360" w:lineRule="auto"/>
        <w:jc w:val="center"/>
        <w:rPr>
          <w:b/>
          <w:szCs w:val="21"/>
        </w:rPr>
      </w:pPr>
    </w:p>
    <w:p>
      <w:pPr>
        <w:autoSpaceDE w:val="0"/>
        <w:autoSpaceDN w:val="0"/>
        <w:adjustRightInd w:val="0"/>
        <w:spacing w:line="360" w:lineRule="auto"/>
        <w:jc w:val="center"/>
        <w:rPr>
          <w:b/>
          <w:szCs w:val="21"/>
        </w:rPr>
      </w:pPr>
    </w:p>
    <w:p>
      <w:pPr>
        <w:autoSpaceDE w:val="0"/>
        <w:autoSpaceDN w:val="0"/>
        <w:adjustRightInd w:val="0"/>
        <w:spacing w:line="360" w:lineRule="auto"/>
        <w:jc w:val="center"/>
        <w:rPr>
          <w:b/>
          <w:szCs w:val="21"/>
        </w:rPr>
      </w:pPr>
    </w:p>
    <w:p>
      <w:pPr>
        <w:autoSpaceDE w:val="0"/>
        <w:autoSpaceDN w:val="0"/>
        <w:adjustRightInd w:val="0"/>
        <w:spacing w:line="360" w:lineRule="auto"/>
        <w:jc w:val="center"/>
        <w:rPr>
          <w:b/>
          <w:szCs w:val="21"/>
        </w:rPr>
      </w:pPr>
    </w:p>
    <w:p>
      <w:pPr>
        <w:autoSpaceDE w:val="0"/>
        <w:autoSpaceDN w:val="0"/>
        <w:adjustRightInd w:val="0"/>
        <w:spacing w:line="360" w:lineRule="auto"/>
        <w:jc w:val="center"/>
        <w:rPr>
          <w:b/>
          <w:szCs w:val="21"/>
        </w:rPr>
      </w:pPr>
    </w:p>
    <w:p>
      <w:pPr>
        <w:autoSpaceDE w:val="0"/>
        <w:autoSpaceDN w:val="0"/>
        <w:adjustRightInd w:val="0"/>
        <w:spacing w:line="360" w:lineRule="auto"/>
        <w:jc w:val="center"/>
        <w:rPr>
          <w:b/>
          <w:szCs w:val="21"/>
        </w:rPr>
      </w:pPr>
    </w:p>
    <w:p>
      <w:pPr>
        <w:autoSpaceDE w:val="0"/>
        <w:autoSpaceDN w:val="0"/>
        <w:adjustRightInd w:val="0"/>
        <w:spacing w:line="360" w:lineRule="auto"/>
        <w:jc w:val="center"/>
        <w:rPr>
          <w:b/>
          <w:szCs w:val="21"/>
        </w:rPr>
      </w:pPr>
    </w:p>
    <w:p>
      <w:pPr>
        <w:autoSpaceDE w:val="0"/>
        <w:autoSpaceDN w:val="0"/>
        <w:adjustRightInd w:val="0"/>
        <w:spacing w:line="360" w:lineRule="auto"/>
        <w:jc w:val="center"/>
        <w:rPr>
          <w:b/>
          <w:szCs w:val="21"/>
        </w:rPr>
      </w:pPr>
    </w:p>
    <w:p>
      <w:pPr>
        <w:autoSpaceDE w:val="0"/>
        <w:autoSpaceDN w:val="0"/>
        <w:adjustRightInd w:val="0"/>
        <w:spacing w:line="360" w:lineRule="auto"/>
        <w:jc w:val="center"/>
        <w:rPr>
          <w:b/>
          <w:szCs w:val="21"/>
        </w:rPr>
      </w:pPr>
    </w:p>
    <w:p>
      <w:pPr>
        <w:autoSpaceDE w:val="0"/>
        <w:autoSpaceDN w:val="0"/>
        <w:adjustRightInd w:val="0"/>
        <w:spacing w:line="360" w:lineRule="auto"/>
        <w:jc w:val="center"/>
        <w:rPr>
          <w:b/>
          <w:szCs w:val="21"/>
        </w:rPr>
      </w:pPr>
    </w:p>
    <w:p>
      <w:pPr>
        <w:autoSpaceDE w:val="0"/>
        <w:autoSpaceDN w:val="0"/>
        <w:adjustRightInd w:val="0"/>
        <w:spacing w:line="360" w:lineRule="auto"/>
        <w:jc w:val="center"/>
        <w:rPr>
          <w:b/>
          <w:szCs w:val="21"/>
        </w:rPr>
      </w:pPr>
    </w:p>
    <w:p>
      <w:pPr>
        <w:autoSpaceDE w:val="0"/>
        <w:autoSpaceDN w:val="0"/>
        <w:adjustRightInd w:val="0"/>
        <w:spacing w:line="360" w:lineRule="auto"/>
        <w:jc w:val="center"/>
        <w:rPr>
          <w:b/>
          <w:szCs w:val="21"/>
        </w:rPr>
      </w:pPr>
    </w:p>
    <w:p>
      <w:pPr>
        <w:autoSpaceDE w:val="0"/>
        <w:autoSpaceDN w:val="0"/>
        <w:adjustRightInd w:val="0"/>
        <w:spacing w:line="360" w:lineRule="auto"/>
        <w:jc w:val="center"/>
        <w:rPr>
          <w:b/>
          <w:szCs w:val="21"/>
        </w:rPr>
      </w:pPr>
    </w:p>
    <w:p>
      <w:pPr>
        <w:autoSpaceDE w:val="0"/>
        <w:autoSpaceDN w:val="0"/>
        <w:adjustRightInd w:val="0"/>
        <w:spacing w:line="360" w:lineRule="auto"/>
        <w:jc w:val="center"/>
        <w:rPr>
          <w:b/>
          <w:szCs w:val="21"/>
        </w:rPr>
      </w:pPr>
    </w:p>
    <w:p>
      <w:pPr>
        <w:autoSpaceDE w:val="0"/>
        <w:autoSpaceDN w:val="0"/>
        <w:adjustRightInd w:val="0"/>
        <w:spacing w:line="360" w:lineRule="auto"/>
        <w:jc w:val="center"/>
        <w:rPr>
          <w:b/>
          <w:szCs w:val="21"/>
        </w:rPr>
      </w:pPr>
    </w:p>
    <w:p>
      <w:pPr>
        <w:autoSpaceDE w:val="0"/>
        <w:autoSpaceDN w:val="0"/>
        <w:adjustRightInd w:val="0"/>
        <w:spacing w:line="360" w:lineRule="auto"/>
        <w:jc w:val="center"/>
        <w:rPr>
          <w:b/>
          <w:szCs w:val="21"/>
        </w:rPr>
      </w:pPr>
    </w:p>
    <w:p>
      <w:pPr>
        <w:autoSpaceDE w:val="0"/>
        <w:autoSpaceDN w:val="0"/>
        <w:adjustRightInd w:val="0"/>
        <w:spacing w:line="360" w:lineRule="auto"/>
        <w:jc w:val="center"/>
        <w:rPr>
          <w:b/>
          <w:szCs w:val="21"/>
        </w:rPr>
      </w:pPr>
    </w:p>
    <w:p>
      <w:pPr>
        <w:autoSpaceDE w:val="0"/>
        <w:autoSpaceDN w:val="0"/>
        <w:adjustRightInd w:val="0"/>
        <w:spacing w:line="360" w:lineRule="auto"/>
        <w:rPr>
          <w:b/>
          <w:szCs w:val="21"/>
        </w:rPr>
      </w:pPr>
    </w:p>
    <w:p>
      <w:pPr>
        <w:autoSpaceDE w:val="0"/>
        <w:autoSpaceDN w:val="0"/>
        <w:adjustRightInd w:val="0"/>
        <w:spacing w:line="360" w:lineRule="auto"/>
        <w:jc w:val="center"/>
        <w:rPr>
          <w:b/>
          <w:szCs w:val="21"/>
        </w:rPr>
      </w:pPr>
    </w:p>
    <w:p>
      <w:pPr>
        <w:autoSpaceDE w:val="0"/>
        <w:autoSpaceDN w:val="0"/>
        <w:adjustRightInd w:val="0"/>
        <w:spacing w:line="360" w:lineRule="auto"/>
        <w:jc w:val="center"/>
        <w:outlineLvl w:val="0"/>
        <w:rPr>
          <w:b/>
          <w:sz w:val="52"/>
          <w:szCs w:val="52"/>
        </w:rPr>
      </w:pPr>
      <w:bookmarkStart w:id="68" w:name="_Toc18034_WPSOffice_Level1"/>
      <w:bookmarkStart w:id="69" w:name="_Toc25007"/>
      <w:r>
        <w:rPr>
          <w:b/>
          <w:sz w:val="52"/>
          <w:szCs w:val="52"/>
        </w:rPr>
        <w:t>技术文件</w:t>
      </w:r>
      <w:bookmarkEnd w:id="68"/>
      <w:bookmarkEnd w:id="69"/>
    </w:p>
    <w:p>
      <w:pPr>
        <w:adjustRightInd w:val="0"/>
        <w:snapToGrid w:val="0"/>
        <w:spacing w:after="312" w:afterLines="100"/>
        <w:jc w:val="center"/>
        <w:rPr>
          <w:b/>
          <w:szCs w:val="21"/>
        </w:rPr>
      </w:pPr>
      <w:r>
        <w:rPr>
          <w:b/>
          <w:szCs w:val="21"/>
        </w:rPr>
        <w:br w:type="page"/>
      </w:r>
    </w:p>
    <w:p>
      <w:pPr>
        <w:autoSpaceDE w:val="0"/>
        <w:autoSpaceDN w:val="0"/>
        <w:adjustRightInd w:val="0"/>
        <w:snapToGrid w:val="0"/>
        <w:spacing w:line="336" w:lineRule="auto"/>
        <w:jc w:val="left"/>
        <w:rPr>
          <w:b/>
          <w:bCs/>
          <w:sz w:val="30"/>
          <w:szCs w:val="30"/>
        </w:rPr>
      </w:pPr>
      <w:r>
        <w:rPr>
          <w:rFonts w:hint="eastAsia"/>
          <w:b/>
          <w:bCs/>
          <w:sz w:val="30"/>
          <w:szCs w:val="30"/>
        </w:rPr>
        <w:t>一、</w:t>
      </w:r>
      <w:r>
        <w:rPr>
          <w:rFonts w:hint="eastAsia"/>
          <w:b/>
          <w:bCs/>
          <w:sz w:val="30"/>
          <w:szCs w:val="30"/>
          <w:highlight w:val="none"/>
        </w:rPr>
        <w:t>磋商响应单位</w:t>
      </w:r>
      <w:r>
        <w:rPr>
          <w:b/>
          <w:bCs/>
          <w:sz w:val="30"/>
          <w:szCs w:val="30"/>
          <w:highlight w:val="none"/>
        </w:rPr>
        <w:t>根据磋商文件采购内容和评分因素，结合自身实际情况编制响应磋商文件的施工组织设计。</w:t>
      </w:r>
      <w:r>
        <w:rPr>
          <w:b/>
          <w:bCs/>
          <w:color w:val="000000"/>
          <w:sz w:val="30"/>
          <w:szCs w:val="30"/>
          <w:highlight w:val="none"/>
        </w:rPr>
        <w:t>（</w:t>
      </w:r>
      <w:r>
        <w:rPr>
          <w:b/>
          <w:bCs/>
          <w:sz w:val="30"/>
          <w:szCs w:val="30"/>
          <w:highlight w:val="none"/>
        </w:rPr>
        <w:t>格式自拟）</w:t>
      </w:r>
    </w:p>
    <w:p>
      <w:pPr>
        <w:adjustRightInd w:val="0"/>
        <w:snapToGrid w:val="0"/>
        <w:spacing w:after="312" w:afterLines="100" w:line="336" w:lineRule="auto"/>
        <w:jc w:val="center"/>
        <w:rPr>
          <w:b/>
          <w:bCs/>
          <w:sz w:val="32"/>
          <w:szCs w:val="32"/>
        </w:rPr>
      </w:pPr>
    </w:p>
    <w:p>
      <w:pPr>
        <w:autoSpaceDE w:val="0"/>
        <w:autoSpaceDN w:val="0"/>
        <w:adjustRightInd w:val="0"/>
        <w:snapToGrid w:val="0"/>
        <w:spacing w:line="360" w:lineRule="auto"/>
        <w:ind w:firstLine="643" w:firstLineChars="200"/>
        <w:jc w:val="left"/>
        <w:rPr>
          <w:b/>
          <w:bCs/>
          <w:sz w:val="32"/>
          <w:szCs w:val="32"/>
        </w:rPr>
      </w:pPr>
    </w:p>
    <w:p>
      <w:pPr>
        <w:autoSpaceDE w:val="0"/>
        <w:autoSpaceDN w:val="0"/>
        <w:adjustRightInd w:val="0"/>
        <w:snapToGrid w:val="0"/>
        <w:spacing w:line="360" w:lineRule="auto"/>
        <w:ind w:firstLine="643" w:firstLineChars="200"/>
        <w:jc w:val="left"/>
        <w:rPr>
          <w:b/>
          <w:bCs/>
          <w:sz w:val="32"/>
          <w:szCs w:val="32"/>
        </w:rPr>
      </w:pPr>
    </w:p>
    <w:p>
      <w:pPr>
        <w:autoSpaceDE w:val="0"/>
        <w:autoSpaceDN w:val="0"/>
        <w:adjustRightInd w:val="0"/>
        <w:snapToGrid w:val="0"/>
        <w:spacing w:line="360" w:lineRule="auto"/>
        <w:ind w:firstLine="643" w:firstLineChars="200"/>
        <w:jc w:val="left"/>
        <w:rPr>
          <w:b/>
          <w:bCs/>
          <w:sz w:val="32"/>
          <w:szCs w:val="32"/>
        </w:rPr>
      </w:pPr>
    </w:p>
    <w:p>
      <w:pPr>
        <w:autoSpaceDE w:val="0"/>
        <w:autoSpaceDN w:val="0"/>
        <w:adjustRightInd w:val="0"/>
        <w:snapToGrid w:val="0"/>
        <w:spacing w:line="360" w:lineRule="auto"/>
        <w:ind w:firstLine="643" w:firstLineChars="200"/>
        <w:jc w:val="left"/>
        <w:rPr>
          <w:b/>
          <w:bCs/>
          <w:sz w:val="32"/>
          <w:szCs w:val="32"/>
        </w:rPr>
      </w:pPr>
    </w:p>
    <w:p>
      <w:pPr>
        <w:autoSpaceDE w:val="0"/>
        <w:autoSpaceDN w:val="0"/>
        <w:adjustRightInd w:val="0"/>
        <w:snapToGrid w:val="0"/>
        <w:spacing w:line="360" w:lineRule="auto"/>
        <w:ind w:firstLine="643" w:firstLineChars="200"/>
        <w:jc w:val="left"/>
        <w:rPr>
          <w:b/>
          <w:bCs/>
          <w:sz w:val="32"/>
          <w:szCs w:val="32"/>
        </w:rPr>
      </w:pPr>
    </w:p>
    <w:p>
      <w:pPr>
        <w:autoSpaceDE w:val="0"/>
        <w:autoSpaceDN w:val="0"/>
        <w:adjustRightInd w:val="0"/>
        <w:snapToGrid w:val="0"/>
        <w:spacing w:line="360" w:lineRule="auto"/>
        <w:ind w:firstLine="643" w:firstLineChars="200"/>
        <w:jc w:val="left"/>
        <w:rPr>
          <w:b/>
          <w:bCs/>
          <w:sz w:val="32"/>
          <w:szCs w:val="32"/>
        </w:rPr>
      </w:pPr>
    </w:p>
    <w:p>
      <w:pPr>
        <w:autoSpaceDE w:val="0"/>
        <w:autoSpaceDN w:val="0"/>
        <w:adjustRightInd w:val="0"/>
        <w:snapToGrid w:val="0"/>
        <w:spacing w:line="360" w:lineRule="auto"/>
        <w:ind w:firstLine="643" w:firstLineChars="200"/>
        <w:jc w:val="left"/>
        <w:rPr>
          <w:b/>
          <w:bCs/>
          <w:sz w:val="32"/>
          <w:szCs w:val="32"/>
        </w:rPr>
      </w:pPr>
    </w:p>
    <w:p>
      <w:pPr>
        <w:autoSpaceDE w:val="0"/>
        <w:autoSpaceDN w:val="0"/>
        <w:adjustRightInd w:val="0"/>
        <w:snapToGrid w:val="0"/>
        <w:spacing w:line="360" w:lineRule="auto"/>
        <w:ind w:firstLine="643" w:firstLineChars="200"/>
        <w:jc w:val="left"/>
        <w:rPr>
          <w:b/>
          <w:bCs/>
          <w:sz w:val="32"/>
          <w:szCs w:val="32"/>
        </w:rPr>
      </w:pPr>
    </w:p>
    <w:p>
      <w:pPr>
        <w:autoSpaceDE w:val="0"/>
        <w:autoSpaceDN w:val="0"/>
        <w:adjustRightInd w:val="0"/>
        <w:snapToGrid w:val="0"/>
        <w:spacing w:line="360" w:lineRule="auto"/>
        <w:ind w:firstLine="643" w:firstLineChars="200"/>
        <w:jc w:val="left"/>
        <w:rPr>
          <w:b/>
          <w:bCs/>
          <w:sz w:val="32"/>
          <w:szCs w:val="32"/>
        </w:rPr>
      </w:pPr>
    </w:p>
    <w:p>
      <w:pPr>
        <w:autoSpaceDE w:val="0"/>
        <w:autoSpaceDN w:val="0"/>
        <w:adjustRightInd w:val="0"/>
        <w:snapToGrid w:val="0"/>
        <w:spacing w:line="360" w:lineRule="auto"/>
        <w:ind w:firstLine="643" w:firstLineChars="200"/>
        <w:jc w:val="left"/>
        <w:rPr>
          <w:b/>
          <w:bCs/>
          <w:sz w:val="32"/>
          <w:szCs w:val="32"/>
        </w:rPr>
      </w:pPr>
    </w:p>
    <w:p>
      <w:pPr>
        <w:autoSpaceDE w:val="0"/>
        <w:autoSpaceDN w:val="0"/>
        <w:adjustRightInd w:val="0"/>
        <w:snapToGrid w:val="0"/>
        <w:spacing w:line="360" w:lineRule="auto"/>
        <w:ind w:firstLine="643" w:firstLineChars="200"/>
        <w:jc w:val="left"/>
        <w:rPr>
          <w:b/>
          <w:bCs/>
          <w:sz w:val="32"/>
          <w:szCs w:val="32"/>
        </w:rPr>
      </w:pPr>
    </w:p>
    <w:p>
      <w:pPr>
        <w:autoSpaceDE w:val="0"/>
        <w:autoSpaceDN w:val="0"/>
        <w:adjustRightInd w:val="0"/>
        <w:snapToGrid w:val="0"/>
        <w:spacing w:line="360" w:lineRule="auto"/>
        <w:ind w:firstLine="643" w:firstLineChars="200"/>
        <w:jc w:val="left"/>
        <w:rPr>
          <w:b/>
          <w:bCs/>
          <w:sz w:val="32"/>
          <w:szCs w:val="32"/>
        </w:rPr>
      </w:pPr>
    </w:p>
    <w:p>
      <w:pPr>
        <w:autoSpaceDE w:val="0"/>
        <w:autoSpaceDN w:val="0"/>
        <w:adjustRightInd w:val="0"/>
        <w:snapToGrid w:val="0"/>
        <w:spacing w:line="360" w:lineRule="auto"/>
        <w:ind w:firstLine="643" w:firstLineChars="200"/>
        <w:jc w:val="left"/>
        <w:rPr>
          <w:b/>
          <w:bCs/>
          <w:sz w:val="32"/>
          <w:szCs w:val="32"/>
        </w:rPr>
      </w:pPr>
    </w:p>
    <w:p>
      <w:pPr>
        <w:autoSpaceDE w:val="0"/>
        <w:autoSpaceDN w:val="0"/>
        <w:adjustRightInd w:val="0"/>
        <w:snapToGrid w:val="0"/>
        <w:spacing w:line="360" w:lineRule="auto"/>
        <w:ind w:firstLine="643" w:firstLineChars="200"/>
        <w:jc w:val="left"/>
        <w:rPr>
          <w:b/>
          <w:bCs/>
          <w:sz w:val="32"/>
          <w:szCs w:val="32"/>
        </w:rPr>
      </w:pPr>
    </w:p>
    <w:p>
      <w:pPr>
        <w:autoSpaceDE w:val="0"/>
        <w:autoSpaceDN w:val="0"/>
        <w:adjustRightInd w:val="0"/>
        <w:snapToGrid w:val="0"/>
        <w:spacing w:line="360" w:lineRule="auto"/>
        <w:ind w:firstLine="643" w:firstLineChars="200"/>
        <w:jc w:val="left"/>
        <w:rPr>
          <w:b/>
          <w:bCs/>
          <w:sz w:val="32"/>
          <w:szCs w:val="32"/>
        </w:rPr>
      </w:pPr>
    </w:p>
    <w:p>
      <w:pPr>
        <w:autoSpaceDE w:val="0"/>
        <w:autoSpaceDN w:val="0"/>
        <w:adjustRightInd w:val="0"/>
        <w:snapToGrid w:val="0"/>
        <w:spacing w:line="360" w:lineRule="auto"/>
        <w:ind w:firstLine="643" w:firstLineChars="200"/>
        <w:jc w:val="left"/>
        <w:rPr>
          <w:b/>
          <w:bCs/>
          <w:sz w:val="32"/>
          <w:szCs w:val="32"/>
        </w:rPr>
      </w:pPr>
    </w:p>
    <w:p>
      <w:pPr>
        <w:autoSpaceDE w:val="0"/>
        <w:autoSpaceDN w:val="0"/>
        <w:adjustRightInd w:val="0"/>
        <w:snapToGrid w:val="0"/>
        <w:spacing w:line="360" w:lineRule="auto"/>
        <w:ind w:firstLine="643" w:firstLineChars="200"/>
        <w:jc w:val="left"/>
        <w:rPr>
          <w:b/>
          <w:bCs/>
          <w:sz w:val="32"/>
          <w:szCs w:val="32"/>
        </w:rPr>
      </w:pPr>
    </w:p>
    <w:p>
      <w:pPr>
        <w:autoSpaceDE w:val="0"/>
        <w:autoSpaceDN w:val="0"/>
        <w:adjustRightInd w:val="0"/>
        <w:snapToGrid w:val="0"/>
        <w:spacing w:line="360" w:lineRule="auto"/>
        <w:ind w:firstLine="643" w:firstLineChars="200"/>
        <w:jc w:val="left"/>
        <w:rPr>
          <w:b/>
          <w:bCs/>
          <w:sz w:val="32"/>
          <w:szCs w:val="32"/>
        </w:rPr>
      </w:pPr>
    </w:p>
    <w:p>
      <w:pPr>
        <w:pStyle w:val="6"/>
      </w:pPr>
    </w:p>
    <w:p>
      <w:pPr>
        <w:autoSpaceDE w:val="0"/>
        <w:autoSpaceDN w:val="0"/>
        <w:adjustRightInd w:val="0"/>
        <w:snapToGrid w:val="0"/>
        <w:spacing w:line="360" w:lineRule="auto"/>
        <w:jc w:val="center"/>
        <w:rPr>
          <w:b/>
          <w:bCs/>
          <w:sz w:val="32"/>
          <w:szCs w:val="32"/>
        </w:rPr>
      </w:pPr>
    </w:p>
    <w:p>
      <w:pPr>
        <w:tabs>
          <w:tab w:val="left" w:pos="2115"/>
        </w:tabs>
        <w:autoSpaceDE w:val="0"/>
        <w:autoSpaceDN w:val="0"/>
        <w:adjustRightInd w:val="0"/>
        <w:snapToGrid w:val="0"/>
        <w:spacing w:after="120" w:line="360" w:lineRule="auto"/>
        <w:rPr>
          <w:rFonts w:hint="eastAsia"/>
          <w:sz w:val="24"/>
        </w:rPr>
        <w:sectPr>
          <w:pgSz w:w="11906" w:h="16838"/>
          <w:pgMar w:top="1440" w:right="1457" w:bottom="1440" w:left="1463" w:header="851" w:footer="992" w:gutter="0"/>
          <w:cols w:space="0" w:num="1"/>
          <w:titlePg/>
          <w:docGrid w:type="lines" w:linePitch="312" w:charSpace="0"/>
        </w:sectPr>
      </w:pPr>
    </w:p>
    <w:p>
      <w:pPr>
        <w:tabs>
          <w:tab w:val="left" w:pos="2115"/>
        </w:tabs>
        <w:autoSpaceDE w:val="0"/>
        <w:autoSpaceDN w:val="0"/>
        <w:adjustRightInd w:val="0"/>
        <w:snapToGrid w:val="0"/>
        <w:spacing w:after="120" w:line="360" w:lineRule="auto"/>
        <w:jc w:val="center"/>
        <w:rPr>
          <w:b/>
          <w:bCs/>
          <w:sz w:val="32"/>
          <w:szCs w:val="32"/>
        </w:rPr>
      </w:pPr>
      <w:r>
        <w:rPr>
          <w:rFonts w:hint="eastAsia"/>
          <w:b/>
          <w:bCs/>
          <w:sz w:val="32"/>
          <w:szCs w:val="32"/>
        </w:rPr>
        <w:t>二、工程质量承诺（格式自拟）</w:t>
      </w:r>
    </w:p>
    <w:p>
      <w:pPr>
        <w:tabs>
          <w:tab w:val="left" w:pos="2115"/>
        </w:tabs>
        <w:autoSpaceDE w:val="0"/>
        <w:autoSpaceDN w:val="0"/>
        <w:adjustRightInd w:val="0"/>
        <w:snapToGrid w:val="0"/>
        <w:spacing w:after="156" w:afterLines="50" w:line="360" w:lineRule="auto"/>
        <w:ind w:firstLine="480" w:firstLineChars="200"/>
        <w:rPr>
          <w:rFonts w:hint="eastAsia"/>
          <w:sz w:val="24"/>
          <w:lang w:val="en-US" w:eastAsia="zh-CN"/>
        </w:rPr>
        <w:sectPr>
          <w:pgSz w:w="11906" w:h="16838"/>
          <w:pgMar w:top="1440" w:right="1457" w:bottom="1440" w:left="1463" w:header="851" w:footer="992" w:gutter="0"/>
          <w:cols w:space="0" w:num="1"/>
          <w:titlePg/>
          <w:docGrid w:type="lines" w:linePitch="312" w:charSpace="0"/>
        </w:sectPr>
      </w:pPr>
    </w:p>
    <w:p>
      <w:pPr>
        <w:tabs>
          <w:tab w:val="left" w:pos="2115"/>
        </w:tabs>
        <w:autoSpaceDE w:val="0"/>
        <w:autoSpaceDN w:val="0"/>
        <w:adjustRightInd w:val="0"/>
        <w:snapToGrid w:val="0"/>
        <w:spacing w:after="120" w:line="360" w:lineRule="auto"/>
        <w:jc w:val="center"/>
        <w:rPr>
          <w:rFonts w:hint="eastAsia" w:ascii="Times New Roman" w:hAnsi="Times New Roman" w:cs="Times New Roman"/>
          <w:b/>
          <w:bCs/>
          <w:sz w:val="32"/>
          <w:szCs w:val="32"/>
        </w:rPr>
      </w:pPr>
      <w:r>
        <w:rPr>
          <w:rFonts w:hint="eastAsia" w:ascii="Times New Roman" w:hAnsi="Times New Roman" w:cs="Times New Roman"/>
          <w:b/>
          <w:bCs/>
          <w:sz w:val="32"/>
          <w:szCs w:val="32"/>
          <w:lang w:val="en-US" w:eastAsia="zh-CN"/>
        </w:rPr>
        <w:t>三、</w:t>
      </w:r>
      <w:r>
        <w:rPr>
          <w:rFonts w:hint="eastAsia" w:ascii="Times New Roman" w:hAnsi="Times New Roman" w:cs="Times New Roman"/>
          <w:b/>
          <w:bCs/>
          <w:sz w:val="32"/>
          <w:szCs w:val="32"/>
        </w:rPr>
        <w:t>后续服务（格式自拟）</w:t>
      </w:r>
    </w:p>
    <w:p>
      <w:pPr>
        <w:widowControl/>
        <w:snapToGrid w:val="0"/>
        <w:spacing w:after="156" w:afterLines="50" w:line="360" w:lineRule="auto"/>
        <w:rPr>
          <w:b/>
          <w:kern w:val="0"/>
          <w:sz w:val="24"/>
          <w:shd w:val="clear" w:color="auto" w:fill="FFFFFF"/>
        </w:rPr>
      </w:pPr>
      <w:r>
        <w:rPr>
          <w:b/>
          <w:bCs/>
          <w:sz w:val="32"/>
          <w:szCs w:val="32"/>
        </w:rPr>
        <w:br w:type="page"/>
      </w:r>
    </w:p>
    <w:p>
      <w:pPr>
        <w:pStyle w:val="2"/>
        <w:ind w:firstLine="0" w:firstLineChars="0"/>
        <w:jc w:val="center"/>
        <w:rPr>
          <w:sz w:val="24"/>
        </w:rPr>
      </w:pPr>
      <w:r>
        <w:rPr>
          <w:b/>
          <w:kern w:val="0"/>
          <w:sz w:val="24"/>
          <w:shd w:val="clear" w:color="auto" w:fill="FFFFFF"/>
        </w:rPr>
        <w:t xml:space="preserve">  </w:t>
      </w:r>
      <w:bookmarkStart w:id="70" w:name="_Toc5171_WPSOffice_Level1"/>
      <w:r>
        <w:rPr>
          <w:b/>
          <w:bCs/>
          <w:sz w:val="30"/>
          <w:szCs w:val="30"/>
        </w:rPr>
        <w:t>封袋（包）正面标识式样</w:t>
      </w:r>
      <w:bookmarkEnd w:id="70"/>
    </w:p>
    <w:p>
      <w:pPr>
        <w:spacing w:line="360" w:lineRule="auto"/>
        <w:rPr>
          <w:b/>
          <w:sz w:val="24"/>
        </w:rPr>
      </w:pPr>
    </w:p>
    <w:p>
      <w:pPr>
        <w:spacing w:line="360" w:lineRule="auto"/>
        <w:ind w:firstLine="360" w:firstLineChars="150"/>
        <w:rPr>
          <w:sz w:val="24"/>
        </w:rPr>
      </w:pPr>
      <w:r>
        <w:rPr>
          <w:sz w:val="24"/>
        </w:rPr>
        <w:t>响应文件封袋正面标识式样</w:t>
      </w:r>
    </w:p>
    <w:p>
      <w:pPr>
        <w:rPr>
          <w:sz w:val="28"/>
          <w:szCs w:val="28"/>
        </w:rPr>
      </w:pPr>
      <w:r>
        <w:rPr>
          <w:rFonts w:hint="eastAsia"/>
          <w:sz w:val="28"/>
          <w:szCs w:val="28"/>
        </w:rPr>
        <w:t>致：同正项目管理有限公司</w:t>
      </w:r>
    </w:p>
    <w:p>
      <w:pPr>
        <w:rPr>
          <w:color w:val="FF0000"/>
          <w:sz w:val="28"/>
          <w:szCs w:val="28"/>
        </w:rPr>
      </w:pPr>
      <w:r>
        <w:rPr>
          <w:rFonts w:hint="eastAsia"/>
          <w:sz w:val="28"/>
          <w:szCs w:val="28"/>
        </w:rPr>
        <w:t xml:space="preserve">采购编号：                                       </w:t>
      </w:r>
    </w:p>
    <w:p>
      <w:pPr>
        <w:pStyle w:val="2"/>
        <w:ind w:firstLine="0" w:firstLineChars="0"/>
        <w:rPr>
          <w:sz w:val="28"/>
          <w:szCs w:val="28"/>
        </w:rPr>
      </w:pPr>
      <w:r>
        <w:rPr>
          <w:rFonts w:hint="eastAsia"/>
          <w:sz w:val="28"/>
          <w:szCs w:val="28"/>
        </w:rPr>
        <w:t>项目名称：</w:t>
      </w:r>
    </w:p>
    <w:p>
      <w:pPr>
        <w:pStyle w:val="2"/>
        <w:ind w:firstLine="0" w:firstLineChars="0"/>
        <w:rPr>
          <w:sz w:val="28"/>
          <w:szCs w:val="28"/>
        </w:rPr>
      </w:pPr>
    </w:p>
    <w:p>
      <w:pPr>
        <w:jc w:val="center"/>
        <w:rPr>
          <w:b/>
          <w:sz w:val="44"/>
          <w:szCs w:val="44"/>
        </w:rPr>
      </w:pPr>
      <w:r>
        <w:rPr>
          <w:rFonts w:hint="eastAsia"/>
          <w:b/>
          <w:sz w:val="44"/>
          <w:szCs w:val="44"/>
        </w:rPr>
        <w:t>响应文件（正本、副本及电子版文件）</w:t>
      </w:r>
    </w:p>
    <w:p>
      <w:pPr>
        <w:jc w:val="center"/>
        <w:rPr>
          <w:szCs w:val="21"/>
        </w:rPr>
      </w:pPr>
    </w:p>
    <w:p>
      <w:pPr>
        <w:jc w:val="center"/>
        <w:rPr>
          <w:szCs w:val="21"/>
        </w:rPr>
      </w:pPr>
      <w:r>
        <w:rPr>
          <w:rFonts w:hint="eastAsia"/>
          <w:szCs w:val="21"/>
        </w:rPr>
        <w:t>（</w:t>
      </w:r>
      <w:r>
        <w:rPr>
          <w:rFonts w:hint="eastAsia" w:ascii="宋体" w:hAnsi="宋体"/>
          <w:szCs w:val="21"/>
        </w:rPr>
        <w:t>在</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w:t>
      </w:r>
      <w:r>
        <w:rPr>
          <w:rFonts w:hint="eastAsia" w:ascii="宋体" w:hAnsi="宋体"/>
          <w:szCs w:val="21"/>
        </w:rPr>
        <w:t>月</w:t>
      </w:r>
      <w:r>
        <w:rPr>
          <w:rFonts w:hint="eastAsia" w:ascii="宋体" w:hAnsi="宋体"/>
          <w:szCs w:val="21"/>
          <w:u w:val="single"/>
        </w:rPr>
        <w:t>　　　</w:t>
      </w:r>
      <w:r>
        <w:rPr>
          <w:rFonts w:hint="eastAsia" w:ascii="宋体" w:hAnsi="宋体"/>
          <w:szCs w:val="21"/>
        </w:rPr>
        <w:t>日</w:t>
      </w:r>
      <w:r>
        <w:rPr>
          <w:rFonts w:hint="eastAsia" w:ascii="宋体" w:hAnsi="宋体"/>
          <w:szCs w:val="21"/>
          <w:u w:val="single"/>
        </w:rPr>
        <w:t xml:space="preserve">      </w:t>
      </w:r>
      <w:r>
        <w:rPr>
          <w:rFonts w:hint="eastAsia" w:ascii="宋体" w:hAnsi="宋体"/>
          <w:szCs w:val="21"/>
        </w:rPr>
        <w:t>时</w:t>
      </w:r>
      <w:r>
        <w:rPr>
          <w:rFonts w:hint="eastAsia" w:ascii="宋体" w:hAnsi="宋体"/>
          <w:szCs w:val="21"/>
          <w:u w:val="single"/>
        </w:rPr>
        <w:t>　　　</w:t>
      </w:r>
      <w:r>
        <w:rPr>
          <w:rFonts w:hint="eastAsia" w:ascii="宋体" w:hAnsi="宋体"/>
          <w:szCs w:val="21"/>
        </w:rPr>
        <w:t>分前不得开启</w:t>
      </w:r>
      <w:r>
        <w:rPr>
          <w:rFonts w:hint="eastAsia"/>
          <w:szCs w:val="21"/>
        </w:rPr>
        <w:t>）</w:t>
      </w:r>
    </w:p>
    <w:p>
      <w:pPr>
        <w:pStyle w:val="2"/>
      </w:pPr>
    </w:p>
    <w:p>
      <w:pPr>
        <w:rPr>
          <w:sz w:val="28"/>
          <w:szCs w:val="28"/>
        </w:rPr>
      </w:pPr>
      <w:r>
        <w:rPr>
          <w:rFonts w:hint="eastAsia"/>
          <w:sz w:val="28"/>
          <w:szCs w:val="28"/>
        </w:rPr>
        <w:t>磋商响应单位名称：（公章）</w:t>
      </w:r>
    </w:p>
    <w:p>
      <w:pPr>
        <w:pStyle w:val="2"/>
        <w:ind w:firstLine="0" w:firstLineChars="0"/>
        <w:rPr>
          <w:sz w:val="28"/>
          <w:szCs w:val="28"/>
        </w:rPr>
      </w:pPr>
      <w:r>
        <w:rPr>
          <w:rFonts w:hint="eastAsia"/>
          <w:sz w:val="28"/>
          <w:szCs w:val="28"/>
        </w:rPr>
        <w:t xml:space="preserve">磋商响应单位地址：                                                                                                          </w:t>
      </w:r>
    </w:p>
    <w:sectPr>
      <w:pgSz w:w="11906" w:h="16838"/>
      <w:pgMar w:top="1440" w:right="1457" w:bottom="1440" w:left="1463" w:header="851" w:footer="992" w:gutter="0"/>
      <w:cols w:space="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S Sans Serif">
    <w:altName w:val="Arial"/>
    <w:panose1 w:val="020B0500000000000000"/>
    <w:charset w:val="00"/>
    <w:family w:val="swiss"/>
    <w:pitch w:val="default"/>
    <w:sig w:usb0="00000000" w:usb1="00000000" w:usb2="00000000" w:usb3="00000000" w:csb0="00000001"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Ђˎ̥">
    <w:altName w:val="Times New Roman"/>
    <w:panose1 w:val="00000000000000000000"/>
    <w:charset w:val="00"/>
    <w:family w:val="auto"/>
    <w:pitch w:val="default"/>
    <w:sig w:usb0="00000000" w:usb1="00000000" w:usb2="00000000" w:usb3="00000000" w:csb0="00040001" w:csb1="00000000"/>
  </w:font>
  <w:font w:name="Bodoni MT">
    <w:altName w:val="Segoe Print"/>
    <w:panose1 w:val="02070603080606020203"/>
    <w:charset w:val="00"/>
    <w:family w:val="roman"/>
    <w:pitch w:val="default"/>
    <w:sig w:usb0="00000000" w:usb1="00000000" w:usb2="00000000" w:usb3="00000000" w:csb0="20000001" w:csb1="00000000"/>
  </w:font>
  <w:font w:name="Segoe Print">
    <w:panose1 w:val="02000600000000000000"/>
    <w:charset w:val="00"/>
    <w:family w:val="auto"/>
    <w:pitch w:val="default"/>
    <w:sig w:usb0="0000028F" w:usb1="00000000" w:usb2="00000000" w:usb3="00000000" w:csb0="2000009F" w:csb1="47010000"/>
  </w:font>
  <w:font w:name="Arial Unicode MS">
    <w:altName w:val="宋体"/>
    <w:panose1 w:val="020B0604020202020204"/>
    <w:charset w:val="86"/>
    <w:family w:val="swiss"/>
    <w:pitch w:val="default"/>
    <w:sig w:usb0="00000000" w:usb1="00000000" w:usb2="0000003F" w:usb3="00000000" w:csb0="603F01FF" w:csb1="FFFF0000"/>
  </w:font>
  <w:font w:name="Tahoma">
    <w:panose1 w:val="020B0604030504040204"/>
    <w:charset w:val="00"/>
    <w:family w:val="swiss"/>
    <w:pitch w:val="default"/>
    <w:sig w:usb0="E1002EFF" w:usb1="C000605B" w:usb2="00000029" w:usb3="00000000" w:csb0="200101FF" w:csb1="20280000"/>
  </w:font>
  <w:font w:name="华文细黑">
    <w:altName w:val="微软雅黑"/>
    <w:panose1 w:val="02010600040101010101"/>
    <w:charset w:val="86"/>
    <w:family w:val="auto"/>
    <w:pitch w:val="default"/>
    <w:sig w:usb0="00000000" w:usb1="00000000" w:usb2="00000000" w:usb3="00000000" w:csb0="0004009F" w:csb1="DFD70000"/>
  </w:font>
  <w:font w:name="微软雅黑">
    <w:panose1 w:val="020B0503020204020204"/>
    <w:charset w:val="86"/>
    <w:family w:val="auto"/>
    <w:pitch w:val="default"/>
    <w:sig w:usb0="80000287" w:usb1="280F3C52" w:usb2="00000016" w:usb3="00000000" w:csb0="0004001F" w:csb1="00000000"/>
  </w:font>
  <w:font w:name="Calibri Light">
    <w:panose1 w:val="020F0302020204030204"/>
    <w:charset w:val="00"/>
    <w:family w:val="swiss"/>
    <w:pitch w:val="default"/>
    <w:sig w:usb0="A00002EF" w:usb1="4000207B" w:usb2="00000000" w:usb3="00000000" w:csb0="2000019F" w:csb1="00000000"/>
  </w:font>
  <w:font w:name="Verdana">
    <w:panose1 w:val="020B0604030504040204"/>
    <w:charset w:val="00"/>
    <w:family w:val="swiss"/>
    <w:pitch w:val="default"/>
    <w:sig w:usb0="A10006FF" w:usb1="4000205B" w:usb2="00000010" w:usb3="00000000" w:csb0="2000019F" w:csb1="00000000"/>
  </w:font>
  <w:font w:name="Arial Narrow">
    <w:altName w:val="Arial"/>
    <w:panose1 w:val="020B0606020202030204"/>
    <w:charset w:val="00"/>
    <w:family w:val="swiss"/>
    <w:pitch w:val="default"/>
    <w:sig w:usb0="00000000" w:usb1="00000000" w:usb2="00000000" w:usb3="00000000" w:csb0="2000009F" w:csb1="DFD70000"/>
  </w:font>
  <w:font w:name="Calisto MT">
    <w:altName w:val="Segoe Print"/>
    <w:panose1 w:val="02040603050505030304"/>
    <w:charset w:val="00"/>
    <w:family w:val="roman"/>
    <w:pitch w:val="default"/>
    <w:sig w:usb0="00000000" w:usb1="00000000" w:usb2="00000000" w:usb3="00000000" w:csb0="2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framePr w:wrap="around" w:vAnchor="text" w:hAnchor="margin" w:xAlign="center" w:y="1"/>
      <w:rPr>
        <w:rStyle w:val="52"/>
      </w:rPr>
    </w:pPr>
    <w:r>
      <w:fldChar w:fldCharType="begin"/>
    </w:r>
    <w:r>
      <w:rPr>
        <w:rStyle w:val="52"/>
      </w:rPr>
      <w:instrText xml:space="preserve">PAGE  </w:instrText>
    </w:r>
    <w:r>
      <w:fldChar w:fldCharType="end"/>
    </w:r>
  </w:p>
  <w:p>
    <w:pPr>
      <w:pStyle w:val="2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tabs>
        <w:tab w:val="center" w:pos="4493"/>
        <w:tab w:val="clear" w:pos="4153"/>
      </w:tabs>
    </w:pPr>
    <w:r>
      <w:rPr>
        <w:rFonts w:hint="eastAsia"/>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P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9"/>
                          </w:pPr>
                          <w:r>
                            <w:fldChar w:fldCharType="begin"/>
                          </w:r>
                          <w:r>
                            <w:instrText xml:space="preserve"> PAGE  \* MERGEFORMAT </w:instrText>
                          </w:r>
                          <w:r>
                            <w:fldChar w:fldCharType="separate"/>
                          </w:r>
                          <w:r>
                            <w:t>28</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7eU9DICAABjBAAADgAAAAAAAAABACAAAAAfAQAAZHJzL2Uyb0RvYy54bWxQSwUG&#10;AAAAAAYABgBZAQAAwwUAAAAA&#10;">
              <v:fill on="f" focussize="0,0"/>
              <v:stroke on="f" weight="0.5pt"/>
              <v:imagedata o:title=""/>
              <o:lock v:ext="edit" aspectratio="f"/>
              <v:textbox inset="0mm,0mm,0mm,0mm" style="mso-fit-shape-to-text:t;">
                <w:txbxContent>
                  <w:p>
                    <w:pPr>
                      <w:pStyle w:val="29"/>
                    </w:pPr>
                    <w:r>
                      <w:fldChar w:fldCharType="begin"/>
                    </w:r>
                    <w:r>
                      <w:instrText xml:space="preserve"> PAGE  \* MERGEFORMAT </w:instrText>
                    </w:r>
                    <w:r>
                      <w:fldChar w:fldCharType="separate"/>
                    </w:r>
                    <w:r>
                      <w:t>28</w:t>
                    </w:r>
                    <w:r>
                      <w:fldChar w:fldCharType="end"/>
                    </w:r>
                  </w:p>
                </w:txbxContent>
              </v:textbox>
            </v:shape>
          </w:pict>
        </mc:Fallback>
      </mc:AlternateContent>
    </w: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snapToGrid w:val="0"/>
                            <w:rPr>
                              <w:sz w:val="18"/>
                            </w:rPr>
                          </w:pPr>
                        </w:p>
                      </w:txbxContent>
                    </wps:txbx>
                    <wps:bodyPr wrap="none" lIns="0" tIns="0" rIns="0" bIns="0" upright="1">
                      <a:spAutoFit/>
                    </wps:bodyPr>
                  </wps:wsp>
                </a:graphicData>
              </a:graphic>
            </wp:anchor>
          </w:drawing>
        </mc:Choice>
        <mc:Fallback>
          <w:pict>
            <v:shape id="文本框 12"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zql5uc8AAAAFAQAADwAAAAAAAAABACAAAAAiAAAAZHJzL2Rvd25y&#10;ZXYueG1sUEsBAhQAFAAAAAgAh07iQGCpBefOAQAAqAMAAA4AAAAAAAAAAQAgAAAAHgEAAGRycy9l&#10;Mm9Eb2MueG1sUEsFBgAAAAAGAAYAWQEAAF4FAAAAAA==&#10;">
              <v:fill on="f" focussize="0,0"/>
              <v:stroke on="f"/>
              <v:imagedata o:title=""/>
              <o:lock v:ext="edit" aspectratio="f"/>
              <v:textbox inset="0mm,0mm,0mm,0mm" style="mso-fit-shape-to-text:t;">
                <w:txbxContent>
                  <w:p>
                    <w:pPr>
                      <w:snapToGrid w:val="0"/>
                      <w:rPr>
                        <w:sz w:val="18"/>
                      </w:rPr>
                    </w:pP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29"/>
                          </w:pPr>
                          <w:r>
                            <w:fldChar w:fldCharType="begin"/>
                          </w:r>
                          <w:r>
                            <w:instrText xml:space="preserve"> PAGE  \* MERGEFORMAT </w:instrText>
                          </w:r>
                          <w:r>
                            <w:fldChar w:fldCharType="separate"/>
                          </w:r>
                          <w:r>
                            <w:t>89</w:t>
                          </w:r>
                          <w:r>
                            <w:fldChar w:fldCharType="end"/>
                          </w:r>
                        </w:p>
                      </w:txbxContent>
                    </wps:txbx>
                    <wps:bodyPr wrap="none" lIns="0" tIns="0" rIns="0" bIns="0">
                      <a:spAutoFit/>
                    </wps:bodyPr>
                  </wps:wsp>
                </a:graphicData>
              </a:graphic>
            </wp:anchor>
          </w:drawing>
        </mc:Choice>
        <mc:Fallback>
          <w:pict>
            <v:shape id="文本框 13"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D7COOccBAACcAwAADgAAAAAAAAABACAAAAAeAQAAZHJzL2Uyb0RvYy54&#10;bWxQSwUGAAAAAAYABgBZAQAAVwUAAAAA&#10;">
              <v:fill on="f" focussize="0,0"/>
              <v:stroke on="f"/>
              <v:imagedata o:title=""/>
              <o:lock v:ext="edit" aspectratio="f"/>
              <v:textbox inset="0mm,0mm,0mm,0mm" style="mso-fit-shape-to-text:t;">
                <w:txbxContent>
                  <w:p>
                    <w:pPr>
                      <w:pStyle w:val="29"/>
                    </w:pPr>
                    <w:r>
                      <w:fldChar w:fldCharType="begin"/>
                    </w:r>
                    <w:r>
                      <w:instrText xml:space="preserve"> PAGE  \* MERGEFORMAT </w:instrText>
                    </w:r>
                    <w:r>
                      <w:fldChar w:fldCharType="separate"/>
                    </w:r>
                    <w:r>
                      <w:t>89</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Pr>
    <w: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9"/>
                          </w:pPr>
                          <w:r>
                            <w:fldChar w:fldCharType="begin"/>
                          </w:r>
                          <w:r>
                            <w:instrText xml:space="preserve"> PAGE  \* MERGEFORMAT </w:instrText>
                          </w:r>
                          <w:r>
                            <w:fldChar w:fldCharType="separate"/>
                          </w:r>
                          <w:r>
                            <w:t>104</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D+ExAgAAZQ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w/hMQIAAGUEAAAOAAAAAAAAAAEAIAAAAB8BAABkcnMvZTJvRG9jLnhtbFBLBQYA&#10;AAAABgAGAFkBAADCBQAAAAA=&#10;">
              <v:fill on="f" focussize="0,0"/>
              <v:stroke on="f" weight="0.5pt"/>
              <v:imagedata o:title=""/>
              <o:lock v:ext="edit" aspectratio="f"/>
              <v:textbox inset="0mm,0mm,0mm,0mm" style="mso-fit-shape-to-text:t;">
                <w:txbxContent>
                  <w:p>
                    <w:pPr>
                      <w:pStyle w:val="29"/>
                    </w:pPr>
                    <w:r>
                      <w:fldChar w:fldCharType="begin"/>
                    </w:r>
                    <w:r>
                      <w:instrText xml:space="preserve"> PAGE  \* MERGEFORMAT </w:instrText>
                    </w:r>
                    <w:r>
                      <w:fldChar w:fldCharType="separate"/>
                    </w:r>
                    <w:r>
                      <w:t>104</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jc w:val="left"/>
      <w:rPr>
        <w:u w:val="doubl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tabs>
        <w:tab w:val="center" w:pos="4153"/>
        <w:tab w:val="right" w:pos="8306"/>
      </w:tabs>
      <w:jc w:val="both"/>
      <w:rPr>
        <w:u w:val="singl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D"/>
    <w:multiLevelType w:val="multilevel"/>
    <w:tmpl w:val="0000000D"/>
    <w:lvl w:ilvl="0" w:tentative="0">
      <w:start w:val="1"/>
      <w:numFmt w:val="none"/>
      <w:pStyle w:val="3"/>
      <w:lvlText w:val=""/>
      <w:lvlJc w:val="left"/>
      <w:pPr>
        <w:tabs>
          <w:tab w:val="left" w:pos="432"/>
        </w:tabs>
        <w:ind w:left="432" w:hanging="432"/>
      </w:pPr>
      <w:rPr>
        <w:rFonts w:hint="eastAsia"/>
      </w:rPr>
    </w:lvl>
    <w:lvl w:ilvl="1" w:tentative="0">
      <w:start w:val="1"/>
      <w:numFmt w:val="none"/>
      <w:lvlText w:val=" "/>
      <w:lvlJc w:val="left"/>
      <w:pPr>
        <w:tabs>
          <w:tab w:val="left" w:pos="576"/>
        </w:tabs>
        <w:ind w:left="576" w:hanging="576"/>
      </w:pPr>
      <w:rPr>
        <w:rFonts w:hint="eastAsia"/>
      </w:rPr>
    </w:lvl>
    <w:lvl w:ilvl="2" w:tentative="0">
      <w:start w:val="1"/>
      <w:numFmt w:val="none"/>
      <w:lvlText w:val=""/>
      <w:lvlJc w:val="left"/>
      <w:pPr>
        <w:tabs>
          <w:tab w:val="left" w:pos="720"/>
        </w:tabs>
        <w:ind w:left="720" w:hanging="720"/>
      </w:pPr>
      <w:rPr>
        <w:rFonts w:hint="eastAsia"/>
      </w:rPr>
    </w:lvl>
    <w:lvl w:ilvl="3" w:tentative="0">
      <w:start w:val="1"/>
      <w:numFmt w:val="none"/>
      <w:lvlText w:val="    "/>
      <w:lvlJc w:val="left"/>
      <w:pPr>
        <w:tabs>
          <w:tab w:val="left" w:pos="864"/>
        </w:tabs>
        <w:ind w:left="864" w:hanging="864"/>
      </w:pPr>
      <w:rPr>
        <w:rFonts w:hint="eastAsia"/>
      </w:rPr>
    </w:lvl>
    <w:lvl w:ilvl="4" w:tentative="0">
      <w:start w:val="1"/>
      <w:numFmt w:val="none"/>
      <w:lvlText w:val="      "/>
      <w:lvlJc w:val="left"/>
      <w:pPr>
        <w:tabs>
          <w:tab w:val="left" w:pos="1008"/>
        </w:tabs>
        <w:ind w:left="1008" w:hanging="1008"/>
      </w:pPr>
      <w:rPr>
        <w:rFonts w:hint="eastAsia"/>
      </w:rPr>
    </w:lvl>
    <w:lvl w:ilvl="5" w:tentative="0">
      <w:start w:val="1"/>
      <w:numFmt w:val="none"/>
      <w:lvlText w:val="           "/>
      <w:lvlJc w:val="left"/>
      <w:pPr>
        <w:tabs>
          <w:tab w:val="left" w:pos="1440"/>
        </w:tabs>
        <w:ind w:left="1152" w:hanging="1152"/>
      </w:pPr>
      <w:rPr>
        <w:rFonts w:hint="eastAsia"/>
      </w:rPr>
    </w:lvl>
    <w:lvl w:ilvl="6" w:tentative="0">
      <w:start w:val="1"/>
      <w:numFmt w:val="decimal"/>
      <w:lvlText w:val="%1.%2.%3.%4.%5.%6.%7"/>
      <w:lvlJc w:val="left"/>
      <w:pPr>
        <w:tabs>
          <w:tab w:val="left" w:pos="2520"/>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abstractNum w:abstractNumId="1">
    <w:nsid w:val="1AD04CA7"/>
    <w:multiLevelType w:val="multilevel"/>
    <w:tmpl w:val="1AD04CA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29B50080"/>
    <w:multiLevelType w:val="singleLevel"/>
    <w:tmpl w:val="29B50080"/>
    <w:lvl w:ilvl="0" w:tentative="0">
      <w:start w:val="1"/>
      <w:numFmt w:val="chineseCounting"/>
      <w:suff w:val="nothing"/>
      <w:lvlText w:val="%1、"/>
      <w:lvlJc w:val="left"/>
      <w:rPr>
        <w:rFonts w:hint="eastAsia"/>
      </w:rPr>
    </w:lvl>
  </w:abstractNum>
  <w:abstractNum w:abstractNumId="3">
    <w:nsid w:val="441B1801"/>
    <w:multiLevelType w:val="singleLevel"/>
    <w:tmpl w:val="441B1801"/>
    <w:lvl w:ilvl="0" w:tentative="0">
      <w:start w:val="1"/>
      <w:numFmt w:val="decimal"/>
      <w:suff w:val="space"/>
      <w:lvlText w:val="%1."/>
      <w:lvlJc w:val="left"/>
    </w:lvl>
  </w:abstractNum>
  <w:abstractNum w:abstractNumId="4">
    <w:nsid w:val="5504C0CA"/>
    <w:multiLevelType w:val="singleLevel"/>
    <w:tmpl w:val="5504C0CA"/>
    <w:lvl w:ilvl="0" w:tentative="0">
      <w:start w:val="1"/>
      <w:numFmt w:val="decimal"/>
      <w:suff w:val="nothing"/>
      <w:lvlText w:val="%1、"/>
      <w:lvlJc w:val="left"/>
    </w:lvl>
  </w:abstractNum>
  <w:abstractNum w:abstractNumId="5">
    <w:nsid w:val="5937C3F8"/>
    <w:multiLevelType w:val="singleLevel"/>
    <w:tmpl w:val="5937C3F8"/>
    <w:lvl w:ilvl="0" w:tentative="0">
      <w:start w:val="2"/>
      <w:numFmt w:val="decimal"/>
      <w:suff w:val="nothing"/>
      <w:lvlText w:val="%1、"/>
      <w:lvlJc w:val="left"/>
    </w:lvl>
  </w:abstractNum>
  <w:num w:numId="1">
    <w:abstractNumId w:val="0"/>
  </w:num>
  <w:num w:numId="2">
    <w:abstractNumId w:val="2"/>
  </w:num>
  <w:num w:numId="3">
    <w:abstractNumId w:val="4"/>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hideSpellingError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MyZDU4ZjRjNDkzMzAzMTI1Y2JkOThlMTcyNTFlMGQifQ=="/>
  </w:docVars>
  <w:rsids>
    <w:rsidRoot w:val="00172A27"/>
    <w:rsid w:val="000118A6"/>
    <w:rsid w:val="00020033"/>
    <w:rsid w:val="000278FD"/>
    <w:rsid w:val="00035DDE"/>
    <w:rsid w:val="0004086F"/>
    <w:rsid w:val="000729B1"/>
    <w:rsid w:val="00077DC4"/>
    <w:rsid w:val="0008076A"/>
    <w:rsid w:val="00083D34"/>
    <w:rsid w:val="000A2EE8"/>
    <w:rsid w:val="000A6D8D"/>
    <w:rsid w:val="000C50D1"/>
    <w:rsid w:val="00112040"/>
    <w:rsid w:val="001226A4"/>
    <w:rsid w:val="00137BF8"/>
    <w:rsid w:val="00171D1A"/>
    <w:rsid w:val="00172A27"/>
    <w:rsid w:val="001975B4"/>
    <w:rsid w:val="001E6EA5"/>
    <w:rsid w:val="001F00FA"/>
    <w:rsid w:val="001F7DDA"/>
    <w:rsid w:val="00212A28"/>
    <w:rsid w:val="00213301"/>
    <w:rsid w:val="002149E7"/>
    <w:rsid w:val="002719F7"/>
    <w:rsid w:val="00294E0D"/>
    <w:rsid w:val="002B45FB"/>
    <w:rsid w:val="002D28A5"/>
    <w:rsid w:val="00322449"/>
    <w:rsid w:val="00342556"/>
    <w:rsid w:val="003632E5"/>
    <w:rsid w:val="0037466B"/>
    <w:rsid w:val="003F3D04"/>
    <w:rsid w:val="00401674"/>
    <w:rsid w:val="004023FA"/>
    <w:rsid w:val="00457D5C"/>
    <w:rsid w:val="00470EA3"/>
    <w:rsid w:val="00481960"/>
    <w:rsid w:val="00483A05"/>
    <w:rsid w:val="004960B2"/>
    <w:rsid w:val="004A4B7D"/>
    <w:rsid w:val="004B6504"/>
    <w:rsid w:val="004E2DDD"/>
    <w:rsid w:val="004F29D0"/>
    <w:rsid w:val="00554FED"/>
    <w:rsid w:val="00562C55"/>
    <w:rsid w:val="005664CE"/>
    <w:rsid w:val="0056776E"/>
    <w:rsid w:val="005D3FB8"/>
    <w:rsid w:val="005F34F6"/>
    <w:rsid w:val="00606614"/>
    <w:rsid w:val="006276E6"/>
    <w:rsid w:val="00651A05"/>
    <w:rsid w:val="0067022E"/>
    <w:rsid w:val="00671525"/>
    <w:rsid w:val="00674C9B"/>
    <w:rsid w:val="006D2E93"/>
    <w:rsid w:val="006D3DDA"/>
    <w:rsid w:val="006D6603"/>
    <w:rsid w:val="006E6468"/>
    <w:rsid w:val="006F37BC"/>
    <w:rsid w:val="00784799"/>
    <w:rsid w:val="007B640D"/>
    <w:rsid w:val="007C0B26"/>
    <w:rsid w:val="00823E0E"/>
    <w:rsid w:val="00840D24"/>
    <w:rsid w:val="00846811"/>
    <w:rsid w:val="00867068"/>
    <w:rsid w:val="00873E44"/>
    <w:rsid w:val="00880216"/>
    <w:rsid w:val="008D3F32"/>
    <w:rsid w:val="008E5731"/>
    <w:rsid w:val="008F2DB3"/>
    <w:rsid w:val="0092263A"/>
    <w:rsid w:val="00940B81"/>
    <w:rsid w:val="00947657"/>
    <w:rsid w:val="0095185C"/>
    <w:rsid w:val="00972ED4"/>
    <w:rsid w:val="00974AD1"/>
    <w:rsid w:val="00984CBC"/>
    <w:rsid w:val="00991B16"/>
    <w:rsid w:val="009B123B"/>
    <w:rsid w:val="009B6EBD"/>
    <w:rsid w:val="009C39F1"/>
    <w:rsid w:val="009F15A6"/>
    <w:rsid w:val="00A071B1"/>
    <w:rsid w:val="00A31A56"/>
    <w:rsid w:val="00A40ABE"/>
    <w:rsid w:val="00A551CF"/>
    <w:rsid w:val="00A8528F"/>
    <w:rsid w:val="00A97829"/>
    <w:rsid w:val="00A97BD4"/>
    <w:rsid w:val="00AA2F0C"/>
    <w:rsid w:val="00AA6B5A"/>
    <w:rsid w:val="00AC680A"/>
    <w:rsid w:val="00B23DDB"/>
    <w:rsid w:val="00B858CE"/>
    <w:rsid w:val="00BA0D01"/>
    <w:rsid w:val="00C4526F"/>
    <w:rsid w:val="00CE61CA"/>
    <w:rsid w:val="00CF4E7C"/>
    <w:rsid w:val="00D50E2B"/>
    <w:rsid w:val="00D63540"/>
    <w:rsid w:val="00DA6CE6"/>
    <w:rsid w:val="00DB004A"/>
    <w:rsid w:val="00DD2393"/>
    <w:rsid w:val="00DF5997"/>
    <w:rsid w:val="00E12E9D"/>
    <w:rsid w:val="00E309F1"/>
    <w:rsid w:val="00E36C27"/>
    <w:rsid w:val="00E6307D"/>
    <w:rsid w:val="00E74EB1"/>
    <w:rsid w:val="00EA5BC3"/>
    <w:rsid w:val="00EA6A42"/>
    <w:rsid w:val="00EB5EED"/>
    <w:rsid w:val="00F06647"/>
    <w:rsid w:val="00F525C4"/>
    <w:rsid w:val="00F54779"/>
    <w:rsid w:val="00F66623"/>
    <w:rsid w:val="00F92F08"/>
    <w:rsid w:val="00FF72A8"/>
    <w:rsid w:val="01086C64"/>
    <w:rsid w:val="010C58BC"/>
    <w:rsid w:val="01164BFE"/>
    <w:rsid w:val="011E7A41"/>
    <w:rsid w:val="0129206B"/>
    <w:rsid w:val="01356835"/>
    <w:rsid w:val="01396E1E"/>
    <w:rsid w:val="013C3FDB"/>
    <w:rsid w:val="0154536E"/>
    <w:rsid w:val="015B456C"/>
    <w:rsid w:val="015F07A8"/>
    <w:rsid w:val="01677C43"/>
    <w:rsid w:val="017E1F09"/>
    <w:rsid w:val="01870CD3"/>
    <w:rsid w:val="01966AE8"/>
    <w:rsid w:val="019841FA"/>
    <w:rsid w:val="019C07AC"/>
    <w:rsid w:val="01A16B52"/>
    <w:rsid w:val="01A372B8"/>
    <w:rsid w:val="01BE3132"/>
    <w:rsid w:val="01BF025E"/>
    <w:rsid w:val="01C67C8E"/>
    <w:rsid w:val="01EB13A6"/>
    <w:rsid w:val="01FE11DD"/>
    <w:rsid w:val="021178DF"/>
    <w:rsid w:val="02117DC5"/>
    <w:rsid w:val="021835A3"/>
    <w:rsid w:val="021E3D99"/>
    <w:rsid w:val="02232CDC"/>
    <w:rsid w:val="023A31EA"/>
    <w:rsid w:val="02702364"/>
    <w:rsid w:val="02732292"/>
    <w:rsid w:val="02740BC1"/>
    <w:rsid w:val="027E3833"/>
    <w:rsid w:val="028529F6"/>
    <w:rsid w:val="028753C1"/>
    <w:rsid w:val="02B27F97"/>
    <w:rsid w:val="02C276F2"/>
    <w:rsid w:val="02C37900"/>
    <w:rsid w:val="02C71E7B"/>
    <w:rsid w:val="02D75839"/>
    <w:rsid w:val="03032F2E"/>
    <w:rsid w:val="030D20D8"/>
    <w:rsid w:val="030D6559"/>
    <w:rsid w:val="03134779"/>
    <w:rsid w:val="03340C74"/>
    <w:rsid w:val="03342008"/>
    <w:rsid w:val="033670E2"/>
    <w:rsid w:val="033B4572"/>
    <w:rsid w:val="03497734"/>
    <w:rsid w:val="03720D3D"/>
    <w:rsid w:val="03791FC8"/>
    <w:rsid w:val="0380772A"/>
    <w:rsid w:val="038A1CCF"/>
    <w:rsid w:val="03A9350C"/>
    <w:rsid w:val="03B056C1"/>
    <w:rsid w:val="03BA25A3"/>
    <w:rsid w:val="03CC1F3F"/>
    <w:rsid w:val="03EE2DB6"/>
    <w:rsid w:val="040F6767"/>
    <w:rsid w:val="041065E3"/>
    <w:rsid w:val="04260532"/>
    <w:rsid w:val="04356715"/>
    <w:rsid w:val="043A617E"/>
    <w:rsid w:val="04421CDF"/>
    <w:rsid w:val="045418E9"/>
    <w:rsid w:val="045A4C00"/>
    <w:rsid w:val="045C0111"/>
    <w:rsid w:val="046C5452"/>
    <w:rsid w:val="04865A0D"/>
    <w:rsid w:val="049539F5"/>
    <w:rsid w:val="04996A90"/>
    <w:rsid w:val="04A25D40"/>
    <w:rsid w:val="04AD2120"/>
    <w:rsid w:val="04B14BFB"/>
    <w:rsid w:val="04BB0E0D"/>
    <w:rsid w:val="04C87100"/>
    <w:rsid w:val="04CA4D78"/>
    <w:rsid w:val="04D56B94"/>
    <w:rsid w:val="04E85114"/>
    <w:rsid w:val="04FF5445"/>
    <w:rsid w:val="050F2D5D"/>
    <w:rsid w:val="051B5AFD"/>
    <w:rsid w:val="052D2AB1"/>
    <w:rsid w:val="05355D38"/>
    <w:rsid w:val="05382C92"/>
    <w:rsid w:val="053C6237"/>
    <w:rsid w:val="05405242"/>
    <w:rsid w:val="05432CC2"/>
    <w:rsid w:val="05512434"/>
    <w:rsid w:val="055819A6"/>
    <w:rsid w:val="0563380C"/>
    <w:rsid w:val="05636827"/>
    <w:rsid w:val="05782372"/>
    <w:rsid w:val="057845E6"/>
    <w:rsid w:val="05800F65"/>
    <w:rsid w:val="058536B2"/>
    <w:rsid w:val="058A7C48"/>
    <w:rsid w:val="058E06F6"/>
    <w:rsid w:val="05905BF1"/>
    <w:rsid w:val="05911A52"/>
    <w:rsid w:val="0599238B"/>
    <w:rsid w:val="05BF732D"/>
    <w:rsid w:val="05D425CE"/>
    <w:rsid w:val="05E675A2"/>
    <w:rsid w:val="05FC16A2"/>
    <w:rsid w:val="06062500"/>
    <w:rsid w:val="06194873"/>
    <w:rsid w:val="063110D8"/>
    <w:rsid w:val="06423D9D"/>
    <w:rsid w:val="06612714"/>
    <w:rsid w:val="068B2CB1"/>
    <w:rsid w:val="06937501"/>
    <w:rsid w:val="069B053B"/>
    <w:rsid w:val="06B5096F"/>
    <w:rsid w:val="06B6599E"/>
    <w:rsid w:val="06CE2DB9"/>
    <w:rsid w:val="06D2060F"/>
    <w:rsid w:val="06D42A05"/>
    <w:rsid w:val="06DC407B"/>
    <w:rsid w:val="07087DBA"/>
    <w:rsid w:val="0710121F"/>
    <w:rsid w:val="07112C54"/>
    <w:rsid w:val="07116F7D"/>
    <w:rsid w:val="071C4551"/>
    <w:rsid w:val="071D36E8"/>
    <w:rsid w:val="07225724"/>
    <w:rsid w:val="072405F5"/>
    <w:rsid w:val="07346A53"/>
    <w:rsid w:val="074814BA"/>
    <w:rsid w:val="074A5107"/>
    <w:rsid w:val="074D3351"/>
    <w:rsid w:val="075500DB"/>
    <w:rsid w:val="07923495"/>
    <w:rsid w:val="079D03CA"/>
    <w:rsid w:val="07B34014"/>
    <w:rsid w:val="07B94355"/>
    <w:rsid w:val="07C65BAD"/>
    <w:rsid w:val="07D03CED"/>
    <w:rsid w:val="07D61F6D"/>
    <w:rsid w:val="07D9338B"/>
    <w:rsid w:val="07E61E2B"/>
    <w:rsid w:val="081D7743"/>
    <w:rsid w:val="082A70AF"/>
    <w:rsid w:val="082A747D"/>
    <w:rsid w:val="08445D98"/>
    <w:rsid w:val="084C768F"/>
    <w:rsid w:val="08616CCE"/>
    <w:rsid w:val="08774F58"/>
    <w:rsid w:val="087D15BB"/>
    <w:rsid w:val="08843C93"/>
    <w:rsid w:val="08A70BD3"/>
    <w:rsid w:val="08A743E4"/>
    <w:rsid w:val="08AA1E06"/>
    <w:rsid w:val="08BE0969"/>
    <w:rsid w:val="08C07E24"/>
    <w:rsid w:val="08DB1659"/>
    <w:rsid w:val="08F91439"/>
    <w:rsid w:val="08FB15CE"/>
    <w:rsid w:val="091066B6"/>
    <w:rsid w:val="09171199"/>
    <w:rsid w:val="09181CFD"/>
    <w:rsid w:val="09192FF2"/>
    <w:rsid w:val="092803CD"/>
    <w:rsid w:val="094311D8"/>
    <w:rsid w:val="09677578"/>
    <w:rsid w:val="098174E9"/>
    <w:rsid w:val="099759F9"/>
    <w:rsid w:val="099811F9"/>
    <w:rsid w:val="099C4507"/>
    <w:rsid w:val="099D2CA1"/>
    <w:rsid w:val="09A33B60"/>
    <w:rsid w:val="09A83253"/>
    <w:rsid w:val="09B52A27"/>
    <w:rsid w:val="09B95084"/>
    <w:rsid w:val="09B97B8C"/>
    <w:rsid w:val="09BA7B09"/>
    <w:rsid w:val="09C30B0C"/>
    <w:rsid w:val="09CB607F"/>
    <w:rsid w:val="09D36D1D"/>
    <w:rsid w:val="09F41FAF"/>
    <w:rsid w:val="0A14116A"/>
    <w:rsid w:val="0A186776"/>
    <w:rsid w:val="0A1A30C8"/>
    <w:rsid w:val="0A1D691B"/>
    <w:rsid w:val="0A1F1E71"/>
    <w:rsid w:val="0A2A78D6"/>
    <w:rsid w:val="0A2B760D"/>
    <w:rsid w:val="0A3219BF"/>
    <w:rsid w:val="0A35072C"/>
    <w:rsid w:val="0A3A34A0"/>
    <w:rsid w:val="0A3F3FAA"/>
    <w:rsid w:val="0A3F5003"/>
    <w:rsid w:val="0A41795F"/>
    <w:rsid w:val="0A426137"/>
    <w:rsid w:val="0A4A3E4A"/>
    <w:rsid w:val="0A4E3A7E"/>
    <w:rsid w:val="0A525023"/>
    <w:rsid w:val="0A580DB3"/>
    <w:rsid w:val="0A5C5694"/>
    <w:rsid w:val="0A5E3497"/>
    <w:rsid w:val="0A601778"/>
    <w:rsid w:val="0A8612C8"/>
    <w:rsid w:val="0A872679"/>
    <w:rsid w:val="0ABA4ED8"/>
    <w:rsid w:val="0AC13531"/>
    <w:rsid w:val="0ADE1599"/>
    <w:rsid w:val="0AF25B09"/>
    <w:rsid w:val="0B076D01"/>
    <w:rsid w:val="0B161675"/>
    <w:rsid w:val="0B263468"/>
    <w:rsid w:val="0B2F3ABC"/>
    <w:rsid w:val="0B3246FA"/>
    <w:rsid w:val="0B5718C7"/>
    <w:rsid w:val="0B574884"/>
    <w:rsid w:val="0B6438AA"/>
    <w:rsid w:val="0B791BFE"/>
    <w:rsid w:val="0B860213"/>
    <w:rsid w:val="0B9C0230"/>
    <w:rsid w:val="0BA957B5"/>
    <w:rsid w:val="0BAB15A1"/>
    <w:rsid w:val="0BBD4120"/>
    <w:rsid w:val="0BC105FE"/>
    <w:rsid w:val="0BCE479A"/>
    <w:rsid w:val="0C071333"/>
    <w:rsid w:val="0C092799"/>
    <w:rsid w:val="0C1D176D"/>
    <w:rsid w:val="0C1E31EF"/>
    <w:rsid w:val="0C254C56"/>
    <w:rsid w:val="0C282886"/>
    <w:rsid w:val="0C2911DD"/>
    <w:rsid w:val="0C2959CB"/>
    <w:rsid w:val="0C41686B"/>
    <w:rsid w:val="0C4B27B4"/>
    <w:rsid w:val="0C4F4CAB"/>
    <w:rsid w:val="0C502837"/>
    <w:rsid w:val="0C515227"/>
    <w:rsid w:val="0C705FEA"/>
    <w:rsid w:val="0C8E3016"/>
    <w:rsid w:val="0C8E42AB"/>
    <w:rsid w:val="0C923CBB"/>
    <w:rsid w:val="0C934EA4"/>
    <w:rsid w:val="0C954E6C"/>
    <w:rsid w:val="0C9B09E6"/>
    <w:rsid w:val="0CA13339"/>
    <w:rsid w:val="0CAF0101"/>
    <w:rsid w:val="0CB02D55"/>
    <w:rsid w:val="0CBF6E1E"/>
    <w:rsid w:val="0CC802F4"/>
    <w:rsid w:val="0CEA640D"/>
    <w:rsid w:val="0CEC1358"/>
    <w:rsid w:val="0CF2426D"/>
    <w:rsid w:val="0CF255C4"/>
    <w:rsid w:val="0CFB69DE"/>
    <w:rsid w:val="0CFC4542"/>
    <w:rsid w:val="0D191EC3"/>
    <w:rsid w:val="0D1E2739"/>
    <w:rsid w:val="0D232572"/>
    <w:rsid w:val="0D361360"/>
    <w:rsid w:val="0D4045DB"/>
    <w:rsid w:val="0D527499"/>
    <w:rsid w:val="0D575FB3"/>
    <w:rsid w:val="0D5D6EA1"/>
    <w:rsid w:val="0D650996"/>
    <w:rsid w:val="0D685825"/>
    <w:rsid w:val="0D816B79"/>
    <w:rsid w:val="0D9E5730"/>
    <w:rsid w:val="0DAE7D1E"/>
    <w:rsid w:val="0DBE3598"/>
    <w:rsid w:val="0DC66919"/>
    <w:rsid w:val="0DCE465C"/>
    <w:rsid w:val="0DE0768C"/>
    <w:rsid w:val="0DF32D7A"/>
    <w:rsid w:val="0E0038AC"/>
    <w:rsid w:val="0E057C8A"/>
    <w:rsid w:val="0E0D1A6E"/>
    <w:rsid w:val="0E114426"/>
    <w:rsid w:val="0E276085"/>
    <w:rsid w:val="0E2F4723"/>
    <w:rsid w:val="0E37726F"/>
    <w:rsid w:val="0E4B437B"/>
    <w:rsid w:val="0E52195F"/>
    <w:rsid w:val="0E5608D6"/>
    <w:rsid w:val="0E615783"/>
    <w:rsid w:val="0E8C6261"/>
    <w:rsid w:val="0E957B75"/>
    <w:rsid w:val="0E9D177C"/>
    <w:rsid w:val="0EAA4628"/>
    <w:rsid w:val="0EB25ADB"/>
    <w:rsid w:val="0EDB1F1D"/>
    <w:rsid w:val="0EE26341"/>
    <w:rsid w:val="0EED0C69"/>
    <w:rsid w:val="0EED22FD"/>
    <w:rsid w:val="0EEF1694"/>
    <w:rsid w:val="0EF94C14"/>
    <w:rsid w:val="0EFD0021"/>
    <w:rsid w:val="0F0063BF"/>
    <w:rsid w:val="0F031835"/>
    <w:rsid w:val="0F0551D3"/>
    <w:rsid w:val="0F2C48AA"/>
    <w:rsid w:val="0F3649EA"/>
    <w:rsid w:val="0F3E112D"/>
    <w:rsid w:val="0F450A05"/>
    <w:rsid w:val="0F480FAB"/>
    <w:rsid w:val="0F4A52DE"/>
    <w:rsid w:val="0F4F0551"/>
    <w:rsid w:val="0F557BF8"/>
    <w:rsid w:val="0F5F5CA8"/>
    <w:rsid w:val="0F6E0E90"/>
    <w:rsid w:val="0F772BE0"/>
    <w:rsid w:val="0F934BD4"/>
    <w:rsid w:val="0F9A4637"/>
    <w:rsid w:val="0F9B265D"/>
    <w:rsid w:val="0F9F06F7"/>
    <w:rsid w:val="0FB61135"/>
    <w:rsid w:val="0FEF7F7A"/>
    <w:rsid w:val="10172273"/>
    <w:rsid w:val="101B2ECD"/>
    <w:rsid w:val="103248F4"/>
    <w:rsid w:val="10432CDE"/>
    <w:rsid w:val="10524583"/>
    <w:rsid w:val="10534337"/>
    <w:rsid w:val="105C08FA"/>
    <w:rsid w:val="106B4B1A"/>
    <w:rsid w:val="106E7218"/>
    <w:rsid w:val="10710C93"/>
    <w:rsid w:val="107478D6"/>
    <w:rsid w:val="10815DF3"/>
    <w:rsid w:val="109040B1"/>
    <w:rsid w:val="10AF225B"/>
    <w:rsid w:val="10B05AA5"/>
    <w:rsid w:val="10B54EF7"/>
    <w:rsid w:val="10DC0157"/>
    <w:rsid w:val="10E37236"/>
    <w:rsid w:val="10E44419"/>
    <w:rsid w:val="10EA3456"/>
    <w:rsid w:val="10EC6962"/>
    <w:rsid w:val="10ED6F62"/>
    <w:rsid w:val="10F667CF"/>
    <w:rsid w:val="10FA5F74"/>
    <w:rsid w:val="10FC4DAE"/>
    <w:rsid w:val="11003CCF"/>
    <w:rsid w:val="11015E44"/>
    <w:rsid w:val="1109142E"/>
    <w:rsid w:val="11123786"/>
    <w:rsid w:val="112A0463"/>
    <w:rsid w:val="11331863"/>
    <w:rsid w:val="113D2012"/>
    <w:rsid w:val="11477EB7"/>
    <w:rsid w:val="114837BC"/>
    <w:rsid w:val="114C7BEA"/>
    <w:rsid w:val="114E2013"/>
    <w:rsid w:val="116E58C0"/>
    <w:rsid w:val="11887A11"/>
    <w:rsid w:val="118A4F0F"/>
    <w:rsid w:val="118D441F"/>
    <w:rsid w:val="11AB22F6"/>
    <w:rsid w:val="11C35D89"/>
    <w:rsid w:val="11CD27DB"/>
    <w:rsid w:val="11D92ECB"/>
    <w:rsid w:val="11DF5162"/>
    <w:rsid w:val="11ED7290"/>
    <w:rsid w:val="11F2191E"/>
    <w:rsid w:val="11F30640"/>
    <w:rsid w:val="11F32274"/>
    <w:rsid w:val="1202296B"/>
    <w:rsid w:val="122408C3"/>
    <w:rsid w:val="12381B3A"/>
    <w:rsid w:val="12577258"/>
    <w:rsid w:val="12596ADD"/>
    <w:rsid w:val="125C2907"/>
    <w:rsid w:val="125D2641"/>
    <w:rsid w:val="12B23E99"/>
    <w:rsid w:val="12C3209B"/>
    <w:rsid w:val="12C62AB4"/>
    <w:rsid w:val="12DA0004"/>
    <w:rsid w:val="12E212FA"/>
    <w:rsid w:val="12EC73C8"/>
    <w:rsid w:val="12ED07E3"/>
    <w:rsid w:val="12F241BA"/>
    <w:rsid w:val="12F450AC"/>
    <w:rsid w:val="12F92A50"/>
    <w:rsid w:val="13020A9F"/>
    <w:rsid w:val="130262C4"/>
    <w:rsid w:val="13030B2B"/>
    <w:rsid w:val="13046C1F"/>
    <w:rsid w:val="1309552F"/>
    <w:rsid w:val="130A5353"/>
    <w:rsid w:val="131524C5"/>
    <w:rsid w:val="1323743D"/>
    <w:rsid w:val="132B4B3A"/>
    <w:rsid w:val="13444F5F"/>
    <w:rsid w:val="13616775"/>
    <w:rsid w:val="13742901"/>
    <w:rsid w:val="137C21F2"/>
    <w:rsid w:val="13852496"/>
    <w:rsid w:val="13953E91"/>
    <w:rsid w:val="139B5E1E"/>
    <w:rsid w:val="13AB0854"/>
    <w:rsid w:val="13B70E32"/>
    <w:rsid w:val="13BB4711"/>
    <w:rsid w:val="13CC609E"/>
    <w:rsid w:val="13F44AB9"/>
    <w:rsid w:val="1409537B"/>
    <w:rsid w:val="142A4A78"/>
    <w:rsid w:val="142D3634"/>
    <w:rsid w:val="142E0B67"/>
    <w:rsid w:val="1436023B"/>
    <w:rsid w:val="14863396"/>
    <w:rsid w:val="148E576F"/>
    <w:rsid w:val="149541F0"/>
    <w:rsid w:val="149A1EF2"/>
    <w:rsid w:val="14B82EDA"/>
    <w:rsid w:val="14B876D1"/>
    <w:rsid w:val="14B93E66"/>
    <w:rsid w:val="14B972DD"/>
    <w:rsid w:val="14D90940"/>
    <w:rsid w:val="14F742F1"/>
    <w:rsid w:val="14F7473F"/>
    <w:rsid w:val="14FE0765"/>
    <w:rsid w:val="15070502"/>
    <w:rsid w:val="152A6D51"/>
    <w:rsid w:val="152B2D95"/>
    <w:rsid w:val="15403421"/>
    <w:rsid w:val="15476049"/>
    <w:rsid w:val="1563293D"/>
    <w:rsid w:val="15646910"/>
    <w:rsid w:val="1571429F"/>
    <w:rsid w:val="1572793C"/>
    <w:rsid w:val="158C1918"/>
    <w:rsid w:val="15925EE4"/>
    <w:rsid w:val="159A128A"/>
    <w:rsid w:val="159D34B7"/>
    <w:rsid w:val="159D61C0"/>
    <w:rsid w:val="159E4B80"/>
    <w:rsid w:val="15A637CB"/>
    <w:rsid w:val="15AC6DA3"/>
    <w:rsid w:val="15C24DE5"/>
    <w:rsid w:val="15DD52DC"/>
    <w:rsid w:val="15E05B5A"/>
    <w:rsid w:val="161E602E"/>
    <w:rsid w:val="16414172"/>
    <w:rsid w:val="1642510D"/>
    <w:rsid w:val="16460595"/>
    <w:rsid w:val="164E66E2"/>
    <w:rsid w:val="16587785"/>
    <w:rsid w:val="165B320F"/>
    <w:rsid w:val="166747F5"/>
    <w:rsid w:val="166F7788"/>
    <w:rsid w:val="167A6401"/>
    <w:rsid w:val="16857CF4"/>
    <w:rsid w:val="16B16755"/>
    <w:rsid w:val="16B22AC0"/>
    <w:rsid w:val="16B34401"/>
    <w:rsid w:val="16DA3FF8"/>
    <w:rsid w:val="16DB37EE"/>
    <w:rsid w:val="16E93593"/>
    <w:rsid w:val="16F31AAA"/>
    <w:rsid w:val="16FC458E"/>
    <w:rsid w:val="16FD7881"/>
    <w:rsid w:val="16FE364C"/>
    <w:rsid w:val="170058B7"/>
    <w:rsid w:val="17134731"/>
    <w:rsid w:val="171F4C62"/>
    <w:rsid w:val="174D7E49"/>
    <w:rsid w:val="175665D9"/>
    <w:rsid w:val="176E7E87"/>
    <w:rsid w:val="17930310"/>
    <w:rsid w:val="179A522B"/>
    <w:rsid w:val="17B457C7"/>
    <w:rsid w:val="17C626AA"/>
    <w:rsid w:val="17CF6845"/>
    <w:rsid w:val="17E304C2"/>
    <w:rsid w:val="18195A8B"/>
    <w:rsid w:val="183B43AC"/>
    <w:rsid w:val="185019D6"/>
    <w:rsid w:val="186A2C77"/>
    <w:rsid w:val="18752226"/>
    <w:rsid w:val="187C428F"/>
    <w:rsid w:val="18847056"/>
    <w:rsid w:val="18852761"/>
    <w:rsid w:val="189345FB"/>
    <w:rsid w:val="1898628C"/>
    <w:rsid w:val="189C65BA"/>
    <w:rsid w:val="189D72B9"/>
    <w:rsid w:val="18AF208B"/>
    <w:rsid w:val="18C07B0D"/>
    <w:rsid w:val="18CD1E7D"/>
    <w:rsid w:val="18DA3BE1"/>
    <w:rsid w:val="18DD6B73"/>
    <w:rsid w:val="18DE674D"/>
    <w:rsid w:val="18E2370A"/>
    <w:rsid w:val="18EE606A"/>
    <w:rsid w:val="18F67D4C"/>
    <w:rsid w:val="190510A1"/>
    <w:rsid w:val="19197205"/>
    <w:rsid w:val="191D515C"/>
    <w:rsid w:val="1929181D"/>
    <w:rsid w:val="192E4D69"/>
    <w:rsid w:val="193C7C41"/>
    <w:rsid w:val="19543F09"/>
    <w:rsid w:val="19561EB2"/>
    <w:rsid w:val="195F7E78"/>
    <w:rsid w:val="19625900"/>
    <w:rsid w:val="19626F4A"/>
    <w:rsid w:val="196A32DC"/>
    <w:rsid w:val="196D545F"/>
    <w:rsid w:val="196E33DC"/>
    <w:rsid w:val="197A3A86"/>
    <w:rsid w:val="19807D09"/>
    <w:rsid w:val="19A31D9A"/>
    <w:rsid w:val="19A64024"/>
    <w:rsid w:val="19B06FFD"/>
    <w:rsid w:val="19B748B4"/>
    <w:rsid w:val="19BD4DB3"/>
    <w:rsid w:val="19BF2633"/>
    <w:rsid w:val="19D24C26"/>
    <w:rsid w:val="19E36D5D"/>
    <w:rsid w:val="19EF669E"/>
    <w:rsid w:val="19F623FE"/>
    <w:rsid w:val="19FB5F55"/>
    <w:rsid w:val="19FF0FDF"/>
    <w:rsid w:val="1A017A2D"/>
    <w:rsid w:val="1A1A75D1"/>
    <w:rsid w:val="1A2443B4"/>
    <w:rsid w:val="1A342417"/>
    <w:rsid w:val="1A3F7FA4"/>
    <w:rsid w:val="1A403BAF"/>
    <w:rsid w:val="1A481282"/>
    <w:rsid w:val="1A485B68"/>
    <w:rsid w:val="1A524D9B"/>
    <w:rsid w:val="1A5A1F07"/>
    <w:rsid w:val="1A6D4D8F"/>
    <w:rsid w:val="1A791911"/>
    <w:rsid w:val="1A871532"/>
    <w:rsid w:val="1A9822F1"/>
    <w:rsid w:val="1A9D4D54"/>
    <w:rsid w:val="1A9F3D20"/>
    <w:rsid w:val="1AA612E2"/>
    <w:rsid w:val="1ABB28BF"/>
    <w:rsid w:val="1ADB06C7"/>
    <w:rsid w:val="1AEA51C4"/>
    <w:rsid w:val="1AFC08B7"/>
    <w:rsid w:val="1AFF12A4"/>
    <w:rsid w:val="1B0E405B"/>
    <w:rsid w:val="1B1442BD"/>
    <w:rsid w:val="1B1A1B11"/>
    <w:rsid w:val="1B1C2884"/>
    <w:rsid w:val="1B44362A"/>
    <w:rsid w:val="1B4B4B47"/>
    <w:rsid w:val="1B5543FC"/>
    <w:rsid w:val="1B5A3929"/>
    <w:rsid w:val="1B702D4C"/>
    <w:rsid w:val="1B70730A"/>
    <w:rsid w:val="1B723256"/>
    <w:rsid w:val="1BAD69F3"/>
    <w:rsid w:val="1BAE39C1"/>
    <w:rsid w:val="1BB76FAE"/>
    <w:rsid w:val="1BBB39CE"/>
    <w:rsid w:val="1BBF5FB4"/>
    <w:rsid w:val="1BC85727"/>
    <w:rsid w:val="1BCE535F"/>
    <w:rsid w:val="1BD35D71"/>
    <w:rsid w:val="1BD63B81"/>
    <w:rsid w:val="1BDF09CC"/>
    <w:rsid w:val="1BF72C59"/>
    <w:rsid w:val="1C2023E7"/>
    <w:rsid w:val="1C30724A"/>
    <w:rsid w:val="1C3B35F5"/>
    <w:rsid w:val="1C427BA2"/>
    <w:rsid w:val="1C776221"/>
    <w:rsid w:val="1C782BD3"/>
    <w:rsid w:val="1C7A3A71"/>
    <w:rsid w:val="1C837E6C"/>
    <w:rsid w:val="1CB457DF"/>
    <w:rsid w:val="1CC0271E"/>
    <w:rsid w:val="1CD44DE9"/>
    <w:rsid w:val="1CD53F3C"/>
    <w:rsid w:val="1CE030CE"/>
    <w:rsid w:val="1CFD26F2"/>
    <w:rsid w:val="1D335296"/>
    <w:rsid w:val="1D38416D"/>
    <w:rsid w:val="1D46097F"/>
    <w:rsid w:val="1D4C1E36"/>
    <w:rsid w:val="1D532F28"/>
    <w:rsid w:val="1D552B18"/>
    <w:rsid w:val="1D8C5A8B"/>
    <w:rsid w:val="1DAF1AA9"/>
    <w:rsid w:val="1DB12606"/>
    <w:rsid w:val="1DB44B12"/>
    <w:rsid w:val="1DB93A55"/>
    <w:rsid w:val="1DBB710C"/>
    <w:rsid w:val="1DC04451"/>
    <w:rsid w:val="1E0137E4"/>
    <w:rsid w:val="1E070710"/>
    <w:rsid w:val="1E183D56"/>
    <w:rsid w:val="1E1B6D86"/>
    <w:rsid w:val="1E231108"/>
    <w:rsid w:val="1E3B3D7D"/>
    <w:rsid w:val="1E5248CC"/>
    <w:rsid w:val="1E6D174A"/>
    <w:rsid w:val="1E9406E9"/>
    <w:rsid w:val="1EAD6683"/>
    <w:rsid w:val="1EB86012"/>
    <w:rsid w:val="1EC76150"/>
    <w:rsid w:val="1ED418AB"/>
    <w:rsid w:val="1EF47B01"/>
    <w:rsid w:val="1F2626D1"/>
    <w:rsid w:val="1F3D6270"/>
    <w:rsid w:val="1F3E5B46"/>
    <w:rsid w:val="1F42460C"/>
    <w:rsid w:val="1F57445A"/>
    <w:rsid w:val="1F5C54B6"/>
    <w:rsid w:val="1F61342B"/>
    <w:rsid w:val="1F7C3566"/>
    <w:rsid w:val="1F885EA4"/>
    <w:rsid w:val="1F8E05D9"/>
    <w:rsid w:val="1FA072EB"/>
    <w:rsid w:val="1FB34C0A"/>
    <w:rsid w:val="1FBF6D38"/>
    <w:rsid w:val="1FC52DBA"/>
    <w:rsid w:val="1FC56CDF"/>
    <w:rsid w:val="1FCD2AAA"/>
    <w:rsid w:val="1FD36554"/>
    <w:rsid w:val="1FF80C1E"/>
    <w:rsid w:val="1FFC6429"/>
    <w:rsid w:val="200A4C9E"/>
    <w:rsid w:val="20174450"/>
    <w:rsid w:val="20196830"/>
    <w:rsid w:val="202B70A7"/>
    <w:rsid w:val="205D69DE"/>
    <w:rsid w:val="207B415A"/>
    <w:rsid w:val="2085443B"/>
    <w:rsid w:val="208706BB"/>
    <w:rsid w:val="208E444E"/>
    <w:rsid w:val="208F6CC9"/>
    <w:rsid w:val="209253B3"/>
    <w:rsid w:val="209763F1"/>
    <w:rsid w:val="20AD2B9C"/>
    <w:rsid w:val="20D263E6"/>
    <w:rsid w:val="20D45E90"/>
    <w:rsid w:val="20DF3022"/>
    <w:rsid w:val="20E61DB7"/>
    <w:rsid w:val="20EC0D15"/>
    <w:rsid w:val="20F71053"/>
    <w:rsid w:val="20F71C18"/>
    <w:rsid w:val="21064F07"/>
    <w:rsid w:val="210E3ED0"/>
    <w:rsid w:val="21202395"/>
    <w:rsid w:val="2126281C"/>
    <w:rsid w:val="213672FD"/>
    <w:rsid w:val="21370155"/>
    <w:rsid w:val="213C108E"/>
    <w:rsid w:val="213D5DFF"/>
    <w:rsid w:val="213E5EE0"/>
    <w:rsid w:val="214B184A"/>
    <w:rsid w:val="216C75E1"/>
    <w:rsid w:val="218B49CF"/>
    <w:rsid w:val="219243E4"/>
    <w:rsid w:val="21C4324D"/>
    <w:rsid w:val="21CC0070"/>
    <w:rsid w:val="21DE0574"/>
    <w:rsid w:val="21DE532D"/>
    <w:rsid w:val="21DF12CC"/>
    <w:rsid w:val="21E44613"/>
    <w:rsid w:val="21EB5A8B"/>
    <w:rsid w:val="21FF6CDF"/>
    <w:rsid w:val="22111D35"/>
    <w:rsid w:val="2214735E"/>
    <w:rsid w:val="221F4905"/>
    <w:rsid w:val="22427C13"/>
    <w:rsid w:val="22455D51"/>
    <w:rsid w:val="225D3185"/>
    <w:rsid w:val="226132BE"/>
    <w:rsid w:val="226B43F4"/>
    <w:rsid w:val="22755638"/>
    <w:rsid w:val="22895D9B"/>
    <w:rsid w:val="22914CB6"/>
    <w:rsid w:val="229A7974"/>
    <w:rsid w:val="22AB09E3"/>
    <w:rsid w:val="22B76CA7"/>
    <w:rsid w:val="22BC11D6"/>
    <w:rsid w:val="22D42137"/>
    <w:rsid w:val="22DD153C"/>
    <w:rsid w:val="22DF6070"/>
    <w:rsid w:val="22DF6FEF"/>
    <w:rsid w:val="22E93CC7"/>
    <w:rsid w:val="22E94EB2"/>
    <w:rsid w:val="22EC4AD8"/>
    <w:rsid w:val="22F56B4C"/>
    <w:rsid w:val="22FE3C10"/>
    <w:rsid w:val="230962D3"/>
    <w:rsid w:val="230B087E"/>
    <w:rsid w:val="231C16D1"/>
    <w:rsid w:val="231D3D05"/>
    <w:rsid w:val="23217D52"/>
    <w:rsid w:val="237017EF"/>
    <w:rsid w:val="237062E0"/>
    <w:rsid w:val="2373475E"/>
    <w:rsid w:val="23761769"/>
    <w:rsid w:val="238464DA"/>
    <w:rsid w:val="238547B4"/>
    <w:rsid w:val="23877A3B"/>
    <w:rsid w:val="23A24309"/>
    <w:rsid w:val="23AF459A"/>
    <w:rsid w:val="23C31665"/>
    <w:rsid w:val="23CA5BA6"/>
    <w:rsid w:val="23D16249"/>
    <w:rsid w:val="23F80193"/>
    <w:rsid w:val="23FA71BC"/>
    <w:rsid w:val="241C63FF"/>
    <w:rsid w:val="241D7AF0"/>
    <w:rsid w:val="24446686"/>
    <w:rsid w:val="244E2977"/>
    <w:rsid w:val="2453676C"/>
    <w:rsid w:val="245D610E"/>
    <w:rsid w:val="246E665B"/>
    <w:rsid w:val="2471637A"/>
    <w:rsid w:val="247B5F08"/>
    <w:rsid w:val="2486145B"/>
    <w:rsid w:val="24891566"/>
    <w:rsid w:val="24894EA0"/>
    <w:rsid w:val="248F4DDE"/>
    <w:rsid w:val="249B5E35"/>
    <w:rsid w:val="24A076B1"/>
    <w:rsid w:val="24A60395"/>
    <w:rsid w:val="24CB7C75"/>
    <w:rsid w:val="24DE7331"/>
    <w:rsid w:val="24E91D87"/>
    <w:rsid w:val="24FE0CDF"/>
    <w:rsid w:val="24FE6A30"/>
    <w:rsid w:val="250F5D47"/>
    <w:rsid w:val="25137BAE"/>
    <w:rsid w:val="251938B0"/>
    <w:rsid w:val="25345F2F"/>
    <w:rsid w:val="253C586F"/>
    <w:rsid w:val="2542426C"/>
    <w:rsid w:val="25441A81"/>
    <w:rsid w:val="254D333E"/>
    <w:rsid w:val="25601FDC"/>
    <w:rsid w:val="25646491"/>
    <w:rsid w:val="256A5FE2"/>
    <w:rsid w:val="258C6EF5"/>
    <w:rsid w:val="259778F7"/>
    <w:rsid w:val="25984F90"/>
    <w:rsid w:val="259D0CF4"/>
    <w:rsid w:val="25A667D6"/>
    <w:rsid w:val="25A742B3"/>
    <w:rsid w:val="25D80D37"/>
    <w:rsid w:val="25DA0A71"/>
    <w:rsid w:val="25ED75AA"/>
    <w:rsid w:val="25F47829"/>
    <w:rsid w:val="25F608E6"/>
    <w:rsid w:val="25FD1F39"/>
    <w:rsid w:val="2612595C"/>
    <w:rsid w:val="26171769"/>
    <w:rsid w:val="264077C3"/>
    <w:rsid w:val="264B480C"/>
    <w:rsid w:val="26632C23"/>
    <w:rsid w:val="266A0D69"/>
    <w:rsid w:val="266B1B0B"/>
    <w:rsid w:val="26714548"/>
    <w:rsid w:val="267B10C6"/>
    <w:rsid w:val="267D42F6"/>
    <w:rsid w:val="26892B7B"/>
    <w:rsid w:val="26A369A8"/>
    <w:rsid w:val="26B87718"/>
    <w:rsid w:val="26C30FEA"/>
    <w:rsid w:val="26C65B3C"/>
    <w:rsid w:val="26CB1A16"/>
    <w:rsid w:val="26CE786B"/>
    <w:rsid w:val="26E33F24"/>
    <w:rsid w:val="26F27976"/>
    <w:rsid w:val="26F30769"/>
    <w:rsid w:val="2702551C"/>
    <w:rsid w:val="27115DE2"/>
    <w:rsid w:val="27125F14"/>
    <w:rsid w:val="27221698"/>
    <w:rsid w:val="272A7E84"/>
    <w:rsid w:val="273C42E8"/>
    <w:rsid w:val="273C5CC3"/>
    <w:rsid w:val="27474FC6"/>
    <w:rsid w:val="274E0A80"/>
    <w:rsid w:val="27614596"/>
    <w:rsid w:val="276B1428"/>
    <w:rsid w:val="279F09C8"/>
    <w:rsid w:val="27B85093"/>
    <w:rsid w:val="27C830C9"/>
    <w:rsid w:val="27CD39E8"/>
    <w:rsid w:val="27CE7DA4"/>
    <w:rsid w:val="27DF1BEA"/>
    <w:rsid w:val="27EC70D6"/>
    <w:rsid w:val="27F26F54"/>
    <w:rsid w:val="27FD4E90"/>
    <w:rsid w:val="280F1E94"/>
    <w:rsid w:val="281807FF"/>
    <w:rsid w:val="28190684"/>
    <w:rsid w:val="282C7B73"/>
    <w:rsid w:val="283143C2"/>
    <w:rsid w:val="283C272B"/>
    <w:rsid w:val="28482D76"/>
    <w:rsid w:val="28486088"/>
    <w:rsid w:val="284C3184"/>
    <w:rsid w:val="28543405"/>
    <w:rsid w:val="2896448B"/>
    <w:rsid w:val="289A00A4"/>
    <w:rsid w:val="289C1112"/>
    <w:rsid w:val="28AF00EF"/>
    <w:rsid w:val="28C74290"/>
    <w:rsid w:val="28C76526"/>
    <w:rsid w:val="28D258AA"/>
    <w:rsid w:val="28D62A6E"/>
    <w:rsid w:val="28F02624"/>
    <w:rsid w:val="28F54804"/>
    <w:rsid w:val="291862BB"/>
    <w:rsid w:val="2923388E"/>
    <w:rsid w:val="292978E8"/>
    <w:rsid w:val="292F320A"/>
    <w:rsid w:val="293E54EF"/>
    <w:rsid w:val="29456573"/>
    <w:rsid w:val="295948CA"/>
    <w:rsid w:val="296B3AE9"/>
    <w:rsid w:val="2977546C"/>
    <w:rsid w:val="297B09F3"/>
    <w:rsid w:val="297F11CF"/>
    <w:rsid w:val="299D1A7A"/>
    <w:rsid w:val="29AC1FD6"/>
    <w:rsid w:val="29B71C16"/>
    <w:rsid w:val="29BC4910"/>
    <w:rsid w:val="29BE179E"/>
    <w:rsid w:val="29EC6F6F"/>
    <w:rsid w:val="2A23268B"/>
    <w:rsid w:val="2A300CCD"/>
    <w:rsid w:val="2A433971"/>
    <w:rsid w:val="2A454FBC"/>
    <w:rsid w:val="2A827A1E"/>
    <w:rsid w:val="2A843F27"/>
    <w:rsid w:val="2A9B61C3"/>
    <w:rsid w:val="2AA36B5F"/>
    <w:rsid w:val="2AA877A4"/>
    <w:rsid w:val="2AA87F80"/>
    <w:rsid w:val="2AC4436A"/>
    <w:rsid w:val="2AD91065"/>
    <w:rsid w:val="2AE52C28"/>
    <w:rsid w:val="2AE54D5B"/>
    <w:rsid w:val="2AE85D04"/>
    <w:rsid w:val="2AF60FBE"/>
    <w:rsid w:val="2B194836"/>
    <w:rsid w:val="2B34797A"/>
    <w:rsid w:val="2B441D16"/>
    <w:rsid w:val="2B4C20EA"/>
    <w:rsid w:val="2B4E269B"/>
    <w:rsid w:val="2B533AB4"/>
    <w:rsid w:val="2B535A2C"/>
    <w:rsid w:val="2B547ED2"/>
    <w:rsid w:val="2B5B64CB"/>
    <w:rsid w:val="2B6C17DA"/>
    <w:rsid w:val="2B6C7973"/>
    <w:rsid w:val="2B872DC9"/>
    <w:rsid w:val="2B9125D6"/>
    <w:rsid w:val="2B9241B8"/>
    <w:rsid w:val="2B99209C"/>
    <w:rsid w:val="2B992B65"/>
    <w:rsid w:val="2BA50A37"/>
    <w:rsid w:val="2BB331A5"/>
    <w:rsid w:val="2BBE424D"/>
    <w:rsid w:val="2C0061E0"/>
    <w:rsid w:val="2C043854"/>
    <w:rsid w:val="2C082DDE"/>
    <w:rsid w:val="2C2005B3"/>
    <w:rsid w:val="2C310BB9"/>
    <w:rsid w:val="2C395A82"/>
    <w:rsid w:val="2C4B69AC"/>
    <w:rsid w:val="2C630AE6"/>
    <w:rsid w:val="2C743646"/>
    <w:rsid w:val="2C796C69"/>
    <w:rsid w:val="2C8B735E"/>
    <w:rsid w:val="2CAD14CA"/>
    <w:rsid w:val="2CAE05D8"/>
    <w:rsid w:val="2CC448C8"/>
    <w:rsid w:val="2CD6130F"/>
    <w:rsid w:val="2CD97ED7"/>
    <w:rsid w:val="2CE57349"/>
    <w:rsid w:val="2CEA697F"/>
    <w:rsid w:val="2CF07D41"/>
    <w:rsid w:val="2D15439D"/>
    <w:rsid w:val="2D181123"/>
    <w:rsid w:val="2D2F584F"/>
    <w:rsid w:val="2D3702C9"/>
    <w:rsid w:val="2D422A50"/>
    <w:rsid w:val="2D461652"/>
    <w:rsid w:val="2D4D6953"/>
    <w:rsid w:val="2D5C752D"/>
    <w:rsid w:val="2D5D3C06"/>
    <w:rsid w:val="2D7D6ABF"/>
    <w:rsid w:val="2D8D54E4"/>
    <w:rsid w:val="2D975195"/>
    <w:rsid w:val="2D984A51"/>
    <w:rsid w:val="2DAA65E2"/>
    <w:rsid w:val="2DCC1103"/>
    <w:rsid w:val="2DD826E7"/>
    <w:rsid w:val="2DD945CE"/>
    <w:rsid w:val="2DE11E24"/>
    <w:rsid w:val="2E032286"/>
    <w:rsid w:val="2E143443"/>
    <w:rsid w:val="2E166456"/>
    <w:rsid w:val="2E2679D0"/>
    <w:rsid w:val="2E435ED6"/>
    <w:rsid w:val="2E58270B"/>
    <w:rsid w:val="2E5835AD"/>
    <w:rsid w:val="2E604AFF"/>
    <w:rsid w:val="2E6345A0"/>
    <w:rsid w:val="2E7379F9"/>
    <w:rsid w:val="2E757B91"/>
    <w:rsid w:val="2EA44CBF"/>
    <w:rsid w:val="2EA63C26"/>
    <w:rsid w:val="2EE46DE1"/>
    <w:rsid w:val="2EEC3498"/>
    <w:rsid w:val="2EEC4701"/>
    <w:rsid w:val="2EF93C1F"/>
    <w:rsid w:val="2EFC4430"/>
    <w:rsid w:val="2F10716F"/>
    <w:rsid w:val="2F373A50"/>
    <w:rsid w:val="2F550242"/>
    <w:rsid w:val="2F564F68"/>
    <w:rsid w:val="2F576F95"/>
    <w:rsid w:val="2F5808EB"/>
    <w:rsid w:val="2F58354D"/>
    <w:rsid w:val="2F5B45B5"/>
    <w:rsid w:val="2F5E7D3A"/>
    <w:rsid w:val="2F8A2281"/>
    <w:rsid w:val="2F9565B6"/>
    <w:rsid w:val="2FB86297"/>
    <w:rsid w:val="2FBA0C30"/>
    <w:rsid w:val="2FBA2587"/>
    <w:rsid w:val="2FBF030F"/>
    <w:rsid w:val="2FC21414"/>
    <w:rsid w:val="2FCA505E"/>
    <w:rsid w:val="2FD55524"/>
    <w:rsid w:val="2FDA6E7D"/>
    <w:rsid w:val="2FF70481"/>
    <w:rsid w:val="2FFE2258"/>
    <w:rsid w:val="3000200D"/>
    <w:rsid w:val="300D18A0"/>
    <w:rsid w:val="302335D5"/>
    <w:rsid w:val="30284A62"/>
    <w:rsid w:val="3043305C"/>
    <w:rsid w:val="305B104D"/>
    <w:rsid w:val="30605C52"/>
    <w:rsid w:val="3062519A"/>
    <w:rsid w:val="306F76A8"/>
    <w:rsid w:val="30704F92"/>
    <w:rsid w:val="307B4F65"/>
    <w:rsid w:val="30834282"/>
    <w:rsid w:val="30951BFC"/>
    <w:rsid w:val="309700AA"/>
    <w:rsid w:val="30987964"/>
    <w:rsid w:val="30996C00"/>
    <w:rsid w:val="309D2809"/>
    <w:rsid w:val="30A53824"/>
    <w:rsid w:val="30C03947"/>
    <w:rsid w:val="30C135E3"/>
    <w:rsid w:val="30C30574"/>
    <w:rsid w:val="30C318F4"/>
    <w:rsid w:val="30CC79B3"/>
    <w:rsid w:val="30CD0AD4"/>
    <w:rsid w:val="30DD5421"/>
    <w:rsid w:val="30F273DD"/>
    <w:rsid w:val="31133A2C"/>
    <w:rsid w:val="31236F94"/>
    <w:rsid w:val="312D64AC"/>
    <w:rsid w:val="314245BC"/>
    <w:rsid w:val="314F785D"/>
    <w:rsid w:val="31544E5A"/>
    <w:rsid w:val="315547DC"/>
    <w:rsid w:val="315701F2"/>
    <w:rsid w:val="31623F26"/>
    <w:rsid w:val="318A771D"/>
    <w:rsid w:val="319A1B03"/>
    <w:rsid w:val="31AA34EA"/>
    <w:rsid w:val="31C81974"/>
    <w:rsid w:val="31CE735D"/>
    <w:rsid w:val="31D80646"/>
    <w:rsid w:val="31DC5D51"/>
    <w:rsid w:val="31E506E7"/>
    <w:rsid w:val="31EE2DCC"/>
    <w:rsid w:val="31F20088"/>
    <w:rsid w:val="32057D1D"/>
    <w:rsid w:val="32071AED"/>
    <w:rsid w:val="321710A0"/>
    <w:rsid w:val="323315F4"/>
    <w:rsid w:val="324C4498"/>
    <w:rsid w:val="324E0FF3"/>
    <w:rsid w:val="324F2C51"/>
    <w:rsid w:val="3252429D"/>
    <w:rsid w:val="325763C8"/>
    <w:rsid w:val="326300EA"/>
    <w:rsid w:val="32774086"/>
    <w:rsid w:val="328113E4"/>
    <w:rsid w:val="328603F8"/>
    <w:rsid w:val="328858A0"/>
    <w:rsid w:val="329B5EF7"/>
    <w:rsid w:val="32A46A5D"/>
    <w:rsid w:val="32AE009D"/>
    <w:rsid w:val="32B9196A"/>
    <w:rsid w:val="32BC76A7"/>
    <w:rsid w:val="32F240BC"/>
    <w:rsid w:val="32FA2A04"/>
    <w:rsid w:val="33136C4A"/>
    <w:rsid w:val="33263C88"/>
    <w:rsid w:val="333809DE"/>
    <w:rsid w:val="33557715"/>
    <w:rsid w:val="335E7CBA"/>
    <w:rsid w:val="33606F9E"/>
    <w:rsid w:val="338711F2"/>
    <w:rsid w:val="338B1B97"/>
    <w:rsid w:val="338B532F"/>
    <w:rsid w:val="3397101D"/>
    <w:rsid w:val="33B12738"/>
    <w:rsid w:val="33B12FC3"/>
    <w:rsid w:val="33BA1474"/>
    <w:rsid w:val="33C86F9F"/>
    <w:rsid w:val="33CB656F"/>
    <w:rsid w:val="33D37E15"/>
    <w:rsid w:val="33EC1DEE"/>
    <w:rsid w:val="33F87F82"/>
    <w:rsid w:val="34036C9E"/>
    <w:rsid w:val="34127A92"/>
    <w:rsid w:val="341712D0"/>
    <w:rsid w:val="341D2E63"/>
    <w:rsid w:val="342F4EFB"/>
    <w:rsid w:val="348538D8"/>
    <w:rsid w:val="348B4B08"/>
    <w:rsid w:val="348C4450"/>
    <w:rsid w:val="3491429F"/>
    <w:rsid w:val="349B328E"/>
    <w:rsid w:val="34B122F8"/>
    <w:rsid w:val="34B13FF9"/>
    <w:rsid w:val="34B97534"/>
    <w:rsid w:val="34BA5263"/>
    <w:rsid w:val="34C75A69"/>
    <w:rsid w:val="34C90AC0"/>
    <w:rsid w:val="34D266FE"/>
    <w:rsid w:val="34E73359"/>
    <w:rsid w:val="34EF19EF"/>
    <w:rsid w:val="34F60E45"/>
    <w:rsid w:val="34FB1F4D"/>
    <w:rsid w:val="34FC3C69"/>
    <w:rsid w:val="35010DB4"/>
    <w:rsid w:val="35032503"/>
    <w:rsid w:val="350815EC"/>
    <w:rsid w:val="351C29DE"/>
    <w:rsid w:val="352D33BE"/>
    <w:rsid w:val="352F318A"/>
    <w:rsid w:val="353049B6"/>
    <w:rsid w:val="35305866"/>
    <w:rsid w:val="353804C5"/>
    <w:rsid w:val="35480889"/>
    <w:rsid w:val="35494624"/>
    <w:rsid w:val="355025AF"/>
    <w:rsid w:val="35582CA6"/>
    <w:rsid w:val="357A6D00"/>
    <w:rsid w:val="3589345D"/>
    <w:rsid w:val="35A617CB"/>
    <w:rsid w:val="35B45A71"/>
    <w:rsid w:val="35CB6696"/>
    <w:rsid w:val="35E0667B"/>
    <w:rsid w:val="35F20D6E"/>
    <w:rsid w:val="35FE27E2"/>
    <w:rsid w:val="3627193C"/>
    <w:rsid w:val="36360DCF"/>
    <w:rsid w:val="36433F95"/>
    <w:rsid w:val="36502E3D"/>
    <w:rsid w:val="36610931"/>
    <w:rsid w:val="367E39BA"/>
    <w:rsid w:val="36903323"/>
    <w:rsid w:val="3697159D"/>
    <w:rsid w:val="369B52FF"/>
    <w:rsid w:val="36A617D4"/>
    <w:rsid w:val="36A74600"/>
    <w:rsid w:val="36A924E2"/>
    <w:rsid w:val="36A94409"/>
    <w:rsid w:val="36AC6633"/>
    <w:rsid w:val="36B93898"/>
    <w:rsid w:val="36C344B8"/>
    <w:rsid w:val="36CF3AA9"/>
    <w:rsid w:val="36D73033"/>
    <w:rsid w:val="36D84C5D"/>
    <w:rsid w:val="36E50687"/>
    <w:rsid w:val="36ED2577"/>
    <w:rsid w:val="376813EB"/>
    <w:rsid w:val="377A5206"/>
    <w:rsid w:val="37816ADB"/>
    <w:rsid w:val="378B6948"/>
    <w:rsid w:val="37A913F9"/>
    <w:rsid w:val="37B16815"/>
    <w:rsid w:val="37B64F7F"/>
    <w:rsid w:val="37BE35FD"/>
    <w:rsid w:val="37BE6397"/>
    <w:rsid w:val="37C02F56"/>
    <w:rsid w:val="37E57E53"/>
    <w:rsid w:val="38064362"/>
    <w:rsid w:val="38217ADE"/>
    <w:rsid w:val="383F397D"/>
    <w:rsid w:val="38405CF0"/>
    <w:rsid w:val="384B2C4F"/>
    <w:rsid w:val="384B7517"/>
    <w:rsid w:val="384F487F"/>
    <w:rsid w:val="385612FA"/>
    <w:rsid w:val="385E37AB"/>
    <w:rsid w:val="387A60DB"/>
    <w:rsid w:val="389C59D6"/>
    <w:rsid w:val="38A87FBB"/>
    <w:rsid w:val="38AB6CE6"/>
    <w:rsid w:val="38C2158E"/>
    <w:rsid w:val="38C31F0F"/>
    <w:rsid w:val="38D40AB5"/>
    <w:rsid w:val="38D71401"/>
    <w:rsid w:val="38DB665C"/>
    <w:rsid w:val="38DD251F"/>
    <w:rsid w:val="38DE13F0"/>
    <w:rsid w:val="38E15393"/>
    <w:rsid w:val="38E17486"/>
    <w:rsid w:val="39027565"/>
    <w:rsid w:val="391C2899"/>
    <w:rsid w:val="395A4A24"/>
    <w:rsid w:val="396D6BBB"/>
    <w:rsid w:val="396F0069"/>
    <w:rsid w:val="39904E64"/>
    <w:rsid w:val="399A7363"/>
    <w:rsid w:val="39C8579A"/>
    <w:rsid w:val="39D709A6"/>
    <w:rsid w:val="39DB6D94"/>
    <w:rsid w:val="39DC1478"/>
    <w:rsid w:val="39E22B73"/>
    <w:rsid w:val="39E6170B"/>
    <w:rsid w:val="39F10553"/>
    <w:rsid w:val="39F13E98"/>
    <w:rsid w:val="3A035CD4"/>
    <w:rsid w:val="3A1A3591"/>
    <w:rsid w:val="3A240339"/>
    <w:rsid w:val="3A3316C8"/>
    <w:rsid w:val="3A383736"/>
    <w:rsid w:val="3A466183"/>
    <w:rsid w:val="3A4F198A"/>
    <w:rsid w:val="3A514DE4"/>
    <w:rsid w:val="3A690DF9"/>
    <w:rsid w:val="3A8020EA"/>
    <w:rsid w:val="3A8F48CE"/>
    <w:rsid w:val="3A9813DE"/>
    <w:rsid w:val="3AA57C5F"/>
    <w:rsid w:val="3AAA44BC"/>
    <w:rsid w:val="3AAB73AA"/>
    <w:rsid w:val="3AC9547A"/>
    <w:rsid w:val="3AED0669"/>
    <w:rsid w:val="3AED3481"/>
    <w:rsid w:val="3AF96796"/>
    <w:rsid w:val="3B0964ED"/>
    <w:rsid w:val="3B1A1C78"/>
    <w:rsid w:val="3B2D67CB"/>
    <w:rsid w:val="3B326D1A"/>
    <w:rsid w:val="3B351BFC"/>
    <w:rsid w:val="3B505310"/>
    <w:rsid w:val="3B784A94"/>
    <w:rsid w:val="3B822912"/>
    <w:rsid w:val="3B873815"/>
    <w:rsid w:val="3B990F98"/>
    <w:rsid w:val="3B9D772A"/>
    <w:rsid w:val="3BA02B4E"/>
    <w:rsid w:val="3BB23508"/>
    <w:rsid w:val="3BB3790D"/>
    <w:rsid w:val="3BBF6E72"/>
    <w:rsid w:val="3BC15D12"/>
    <w:rsid w:val="3BF10322"/>
    <w:rsid w:val="3C0337AE"/>
    <w:rsid w:val="3C0D43F7"/>
    <w:rsid w:val="3C234B4F"/>
    <w:rsid w:val="3C4A052D"/>
    <w:rsid w:val="3C4F1204"/>
    <w:rsid w:val="3C5712BA"/>
    <w:rsid w:val="3C67262F"/>
    <w:rsid w:val="3C9C465F"/>
    <w:rsid w:val="3CB76A7F"/>
    <w:rsid w:val="3CD04FD4"/>
    <w:rsid w:val="3CEC5C28"/>
    <w:rsid w:val="3CF26B34"/>
    <w:rsid w:val="3CF96A52"/>
    <w:rsid w:val="3CFB49A7"/>
    <w:rsid w:val="3D006A28"/>
    <w:rsid w:val="3D1D385A"/>
    <w:rsid w:val="3D204C27"/>
    <w:rsid w:val="3D566151"/>
    <w:rsid w:val="3D5A62B4"/>
    <w:rsid w:val="3D6A4820"/>
    <w:rsid w:val="3D7D177C"/>
    <w:rsid w:val="3D867C33"/>
    <w:rsid w:val="3D9766AF"/>
    <w:rsid w:val="3D982B9C"/>
    <w:rsid w:val="3DB63BCA"/>
    <w:rsid w:val="3DD32F7B"/>
    <w:rsid w:val="3DDB1CF4"/>
    <w:rsid w:val="3DF02F72"/>
    <w:rsid w:val="3E043549"/>
    <w:rsid w:val="3E112566"/>
    <w:rsid w:val="3E362625"/>
    <w:rsid w:val="3E4357A6"/>
    <w:rsid w:val="3E5315DD"/>
    <w:rsid w:val="3E65296D"/>
    <w:rsid w:val="3E690E76"/>
    <w:rsid w:val="3E955C21"/>
    <w:rsid w:val="3E9574A2"/>
    <w:rsid w:val="3EC14435"/>
    <w:rsid w:val="3EC1467C"/>
    <w:rsid w:val="3EC23511"/>
    <w:rsid w:val="3EC4412D"/>
    <w:rsid w:val="3ED410EB"/>
    <w:rsid w:val="3EE258C2"/>
    <w:rsid w:val="3EE76533"/>
    <w:rsid w:val="3EF27B52"/>
    <w:rsid w:val="3EF47AB4"/>
    <w:rsid w:val="3EFA1FBB"/>
    <w:rsid w:val="3F0430CE"/>
    <w:rsid w:val="3F046514"/>
    <w:rsid w:val="3F0F49D0"/>
    <w:rsid w:val="3F1D262A"/>
    <w:rsid w:val="3F201C44"/>
    <w:rsid w:val="3F2B54B3"/>
    <w:rsid w:val="3F3E5A9B"/>
    <w:rsid w:val="3F3F0A74"/>
    <w:rsid w:val="3F400F95"/>
    <w:rsid w:val="3F405659"/>
    <w:rsid w:val="3F530F91"/>
    <w:rsid w:val="3F5A2794"/>
    <w:rsid w:val="3F652E05"/>
    <w:rsid w:val="3F751A29"/>
    <w:rsid w:val="3F8F130E"/>
    <w:rsid w:val="3FA0399D"/>
    <w:rsid w:val="3FAF3AEE"/>
    <w:rsid w:val="3FB876C0"/>
    <w:rsid w:val="3FBC573B"/>
    <w:rsid w:val="3FCF4E4C"/>
    <w:rsid w:val="3FFA1502"/>
    <w:rsid w:val="40113FBA"/>
    <w:rsid w:val="40433C6D"/>
    <w:rsid w:val="40524A96"/>
    <w:rsid w:val="405921A9"/>
    <w:rsid w:val="4074630C"/>
    <w:rsid w:val="409163A3"/>
    <w:rsid w:val="40A5187E"/>
    <w:rsid w:val="40B03E89"/>
    <w:rsid w:val="40B352C8"/>
    <w:rsid w:val="40B42CAA"/>
    <w:rsid w:val="40CA1589"/>
    <w:rsid w:val="40D46ACE"/>
    <w:rsid w:val="40DC7785"/>
    <w:rsid w:val="40E107F4"/>
    <w:rsid w:val="40ED5934"/>
    <w:rsid w:val="40FE736E"/>
    <w:rsid w:val="41057C9B"/>
    <w:rsid w:val="41090804"/>
    <w:rsid w:val="4112309F"/>
    <w:rsid w:val="41234BFB"/>
    <w:rsid w:val="412755BD"/>
    <w:rsid w:val="412D1CC3"/>
    <w:rsid w:val="413A2410"/>
    <w:rsid w:val="41474753"/>
    <w:rsid w:val="414E2E44"/>
    <w:rsid w:val="416B52C8"/>
    <w:rsid w:val="416D1EE1"/>
    <w:rsid w:val="41771649"/>
    <w:rsid w:val="417B2387"/>
    <w:rsid w:val="41833C3E"/>
    <w:rsid w:val="419434B5"/>
    <w:rsid w:val="41B97186"/>
    <w:rsid w:val="41BF7E5D"/>
    <w:rsid w:val="41CB228A"/>
    <w:rsid w:val="41CE4F7E"/>
    <w:rsid w:val="41CF0114"/>
    <w:rsid w:val="41D107DC"/>
    <w:rsid w:val="41D17A19"/>
    <w:rsid w:val="41EF4D2A"/>
    <w:rsid w:val="41F354C9"/>
    <w:rsid w:val="41F76057"/>
    <w:rsid w:val="422B5D33"/>
    <w:rsid w:val="42436046"/>
    <w:rsid w:val="42506478"/>
    <w:rsid w:val="425C68B8"/>
    <w:rsid w:val="42672BAA"/>
    <w:rsid w:val="426C536F"/>
    <w:rsid w:val="426F47C3"/>
    <w:rsid w:val="428B0AB4"/>
    <w:rsid w:val="428B6F92"/>
    <w:rsid w:val="429C0749"/>
    <w:rsid w:val="429D6DF6"/>
    <w:rsid w:val="42CA08AB"/>
    <w:rsid w:val="42D13739"/>
    <w:rsid w:val="42DD463F"/>
    <w:rsid w:val="42ED2FE9"/>
    <w:rsid w:val="42F97EF6"/>
    <w:rsid w:val="42FC4CE2"/>
    <w:rsid w:val="42FF0B84"/>
    <w:rsid w:val="42FF24F0"/>
    <w:rsid w:val="43057DD8"/>
    <w:rsid w:val="431D1AB5"/>
    <w:rsid w:val="43254901"/>
    <w:rsid w:val="43282690"/>
    <w:rsid w:val="432C33F8"/>
    <w:rsid w:val="432C4D53"/>
    <w:rsid w:val="43302100"/>
    <w:rsid w:val="433D620C"/>
    <w:rsid w:val="43441284"/>
    <w:rsid w:val="435E5BA8"/>
    <w:rsid w:val="435F68D1"/>
    <w:rsid w:val="4362320A"/>
    <w:rsid w:val="43683A23"/>
    <w:rsid w:val="436D6BD2"/>
    <w:rsid w:val="436E7F7D"/>
    <w:rsid w:val="43706BA1"/>
    <w:rsid w:val="43744791"/>
    <w:rsid w:val="43752570"/>
    <w:rsid w:val="43790837"/>
    <w:rsid w:val="438224CC"/>
    <w:rsid w:val="43995F39"/>
    <w:rsid w:val="43A55CA9"/>
    <w:rsid w:val="43AC23C9"/>
    <w:rsid w:val="43B42D34"/>
    <w:rsid w:val="43C046C9"/>
    <w:rsid w:val="43F52ECB"/>
    <w:rsid w:val="440A263E"/>
    <w:rsid w:val="44111710"/>
    <w:rsid w:val="44116DDF"/>
    <w:rsid w:val="442211C8"/>
    <w:rsid w:val="442E6AFE"/>
    <w:rsid w:val="44347262"/>
    <w:rsid w:val="443E1AC8"/>
    <w:rsid w:val="444019DB"/>
    <w:rsid w:val="4444288F"/>
    <w:rsid w:val="444C6351"/>
    <w:rsid w:val="44546983"/>
    <w:rsid w:val="446A5BCA"/>
    <w:rsid w:val="44930D8B"/>
    <w:rsid w:val="44965090"/>
    <w:rsid w:val="44983428"/>
    <w:rsid w:val="44A20EAD"/>
    <w:rsid w:val="44A3548D"/>
    <w:rsid w:val="44B72665"/>
    <w:rsid w:val="44C76A36"/>
    <w:rsid w:val="44CA32DA"/>
    <w:rsid w:val="44D05958"/>
    <w:rsid w:val="44E16ED6"/>
    <w:rsid w:val="44E8569F"/>
    <w:rsid w:val="44EA36A2"/>
    <w:rsid w:val="44EF50EA"/>
    <w:rsid w:val="44F55792"/>
    <w:rsid w:val="450008A6"/>
    <w:rsid w:val="450D4160"/>
    <w:rsid w:val="4517259F"/>
    <w:rsid w:val="453645D1"/>
    <w:rsid w:val="455A12D9"/>
    <w:rsid w:val="4572728A"/>
    <w:rsid w:val="45741238"/>
    <w:rsid w:val="458060F6"/>
    <w:rsid w:val="458E1911"/>
    <w:rsid w:val="45BE7196"/>
    <w:rsid w:val="45F05143"/>
    <w:rsid w:val="45F13AC8"/>
    <w:rsid w:val="45FA4104"/>
    <w:rsid w:val="46002FBA"/>
    <w:rsid w:val="461F1208"/>
    <w:rsid w:val="463C1EE1"/>
    <w:rsid w:val="463D26C6"/>
    <w:rsid w:val="465A5CE3"/>
    <w:rsid w:val="46661ACE"/>
    <w:rsid w:val="466E0AC9"/>
    <w:rsid w:val="46733D05"/>
    <w:rsid w:val="46C02AFD"/>
    <w:rsid w:val="46CB4C46"/>
    <w:rsid w:val="46E35351"/>
    <w:rsid w:val="46E959DB"/>
    <w:rsid w:val="46F619DB"/>
    <w:rsid w:val="46FD249B"/>
    <w:rsid w:val="470A27C3"/>
    <w:rsid w:val="47163A16"/>
    <w:rsid w:val="471734AF"/>
    <w:rsid w:val="47174CA9"/>
    <w:rsid w:val="47380C4A"/>
    <w:rsid w:val="47447224"/>
    <w:rsid w:val="4751299A"/>
    <w:rsid w:val="475B3B0B"/>
    <w:rsid w:val="476004BE"/>
    <w:rsid w:val="476A067C"/>
    <w:rsid w:val="476C3B0A"/>
    <w:rsid w:val="478B7E7C"/>
    <w:rsid w:val="47A23253"/>
    <w:rsid w:val="47C77C52"/>
    <w:rsid w:val="47CD3318"/>
    <w:rsid w:val="47D36112"/>
    <w:rsid w:val="47D92BE3"/>
    <w:rsid w:val="47F73F54"/>
    <w:rsid w:val="47FF3332"/>
    <w:rsid w:val="480212AB"/>
    <w:rsid w:val="48027359"/>
    <w:rsid w:val="4803299C"/>
    <w:rsid w:val="48033126"/>
    <w:rsid w:val="480962F8"/>
    <w:rsid w:val="482113C4"/>
    <w:rsid w:val="48253225"/>
    <w:rsid w:val="482C385B"/>
    <w:rsid w:val="4830067E"/>
    <w:rsid w:val="484E2C87"/>
    <w:rsid w:val="486729F8"/>
    <w:rsid w:val="48677BFC"/>
    <w:rsid w:val="48767ADA"/>
    <w:rsid w:val="487936A5"/>
    <w:rsid w:val="488526D8"/>
    <w:rsid w:val="48891F70"/>
    <w:rsid w:val="489B7F2B"/>
    <w:rsid w:val="489D3738"/>
    <w:rsid w:val="48BF79BD"/>
    <w:rsid w:val="48DA66E1"/>
    <w:rsid w:val="48DB03B3"/>
    <w:rsid w:val="490816C4"/>
    <w:rsid w:val="491C556E"/>
    <w:rsid w:val="492F20CA"/>
    <w:rsid w:val="4936495A"/>
    <w:rsid w:val="494A11AD"/>
    <w:rsid w:val="498D6EDC"/>
    <w:rsid w:val="49A1730B"/>
    <w:rsid w:val="49CE11CF"/>
    <w:rsid w:val="49D229F3"/>
    <w:rsid w:val="49D92F00"/>
    <w:rsid w:val="49E76B4D"/>
    <w:rsid w:val="4A006708"/>
    <w:rsid w:val="4A0708E8"/>
    <w:rsid w:val="4A340FA6"/>
    <w:rsid w:val="4A5165FB"/>
    <w:rsid w:val="4A645F5C"/>
    <w:rsid w:val="4A7125A4"/>
    <w:rsid w:val="4A9E48FC"/>
    <w:rsid w:val="4AA932CB"/>
    <w:rsid w:val="4ACA1E9E"/>
    <w:rsid w:val="4ADC1E06"/>
    <w:rsid w:val="4AEA79B9"/>
    <w:rsid w:val="4AEE089A"/>
    <w:rsid w:val="4B136269"/>
    <w:rsid w:val="4B1A1FA0"/>
    <w:rsid w:val="4B1B7C67"/>
    <w:rsid w:val="4B27320B"/>
    <w:rsid w:val="4B47347F"/>
    <w:rsid w:val="4B6A4A77"/>
    <w:rsid w:val="4B732656"/>
    <w:rsid w:val="4B780A86"/>
    <w:rsid w:val="4B7D3700"/>
    <w:rsid w:val="4B91163D"/>
    <w:rsid w:val="4B9C7EE6"/>
    <w:rsid w:val="4BA3274E"/>
    <w:rsid w:val="4BB61220"/>
    <w:rsid w:val="4BBE7F36"/>
    <w:rsid w:val="4BC658AE"/>
    <w:rsid w:val="4BC965B6"/>
    <w:rsid w:val="4BD20B53"/>
    <w:rsid w:val="4BE57347"/>
    <w:rsid w:val="4BED6927"/>
    <w:rsid w:val="4BF57B74"/>
    <w:rsid w:val="4BFD09ED"/>
    <w:rsid w:val="4C15282F"/>
    <w:rsid w:val="4C161E81"/>
    <w:rsid w:val="4C345AD4"/>
    <w:rsid w:val="4C38034B"/>
    <w:rsid w:val="4C3924AC"/>
    <w:rsid w:val="4C3C5793"/>
    <w:rsid w:val="4C44171A"/>
    <w:rsid w:val="4C4E226F"/>
    <w:rsid w:val="4C4E7935"/>
    <w:rsid w:val="4C5249E4"/>
    <w:rsid w:val="4C545601"/>
    <w:rsid w:val="4C640D03"/>
    <w:rsid w:val="4C7548EB"/>
    <w:rsid w:val="4C7650BF"/>
    <w:rsid w:val="4C79566F"/>
    <w:rsid w:val="4C853D9F"/>
    <w:rsid w:val="4C88262E"/>
    <w:rsid w:val="4C8C776B"/>
    <w:rsid w:val="4C9478CA"/>
    <w:rsid w:val="4CB232CB"/>
    <w:rsid w:val="4CBE09A6"/>
    <w:rsid w:val="4CC239AB"/>
    <w:rsid w:val="4CE74DA6"/>
    <w:rsid w:val="4CF85E2A"/>
    <w:rsid w:val="4D376461"/>
    <w:rsid w:val="4D620492"/>
    <w:rsid w:val="4D790C63"/>
    <w:rsid w:val="4D7E3E25"/>
    <w:rsid w:val="4D7F3051"/>
    <w:rsid w:val="4D807194"/>
    <w:rsid w:val="4D811F1C"/>
    <w:rsid w:val="4D814D4A"/>
    <w:rsid w:val="4D9C79E3"/>
    <w:rsid w:val="4D9F0EB1"/>
    <w:rsid w:val="4DAB2E13"/>
    <w:rsid w:val="4DBB576A"/>
    <w:rsid w:val="4DC4211A"/>
    <w:rsid w:val="4DC4539E"/>
    <w:rsid w:val="4DD11580"/>
    <w:rsid w:val="4DD97DAF"/>
    <w:rsid w:val="4DE9429F"/>
    <w:rsid w:val="4DEC5C79"/>
    <w:rsid w:val="4DFE5697"/>
    <w:rsid w:val="4E003CEA"/>
    <w:rsid w:val="4E012B0D"/>
    <w:rsid w:val="4E0371B1"/>
    <w:rsid w:val="4E093721"/>
    <w:rsid w:val="4E105340"/>
    <w:rsid w:val="4E114C86"/>
    <w:rsid w:val="4E127759"/>
    <w:rsid w:val="4E174F2E"/>
    <w:rsid w:val="4E1D336E"/>
    <w:rsid w:val="4E293346"/>
    <w:rsid w:val="4E3D783C"/>
    <w:rsid w:val="4E422A98"/>
    <w:rsid w:val="4E50443F"/>
    <w:rsid w:val="4E610A22"/>
    <w:rsid w:val="4E6A6E54"/>
    <w:rsid w:val="4E8744D4"/>
    <w:rsid w:val="4E8A6875"/>
    <w:rsid w:val="4E8B7D7F"/>
    <w:rsid w:val="4E8E036E"/>
    <w:rsid w:val="4E8F2FDE"/>
    <w:rsid w:val="4E9C0C8B"/>
    <w:rsid w:val="4E9C6765"/>
    <w:rsid w:val="4EA52579"/>
    <w:rsid w:val="4EAC68F3"/>
    <w:rsid w:val="4EB44AD2"/>
    <w:rsid w:val="4EF2591B"/>
    <w:rsid w:val="4EF4658C"/>
    <w:rsid w:val="4EF95A66"/>
    <w:rsid w:val="4EFA05FF"/>
    <w:rsid w:val="4EFC02F4"/>
    <w:rsid w:val="4F07798B"/>
    <w:rsid w:val="4F215689"/>
    <w:rsid w:val="4F232E67"/>
    <w:rsid w:val="4F243251"/>
    <w:rsid w:val="4F29451C"/>
    <w:rsid w:val="4F2B6CFC"/>
    <w:rsid w:val="4F2E202D"/>
    <w:rsid w:val="4F4162AC"/>
    <w:rsid w:val="4F4A1E20"/>
    <w:rsid w:val="4F4D6BA5"/>
    <w:rsid w:val="4F5A7C58"/>
    <w:rsid w:val="4F5D34E1"/>
    <w:rsid w:val="4F5F1376"/>
    <w:rsid w:val="4F70140E"/>
    <w:rsid w:val="4F72636A"/>
    <w:rsid w:val="4F7A3D36"/>
    <w:rsid w:val="4F8E5013"/>
    <w:rsid w:val="4F933C70"/>
    <w:rsid w:val="4F9A41C7"/>
    <w:rsid w:val="4F9B2BC5"/>
    <w:rsid w:val="4F9C192E"/>
    <w:rsid w:val="4FAD47AB"/>
    <w:rsid w:val="4FAE7CB2"/>
    <w:rsid w:val="4FB40010"/>
    <w:rsid w:val="4FC366E7"/>
    <w:rsid w:val="4FC650D9"/>
    <w:rsid w:val="4FCD0F7C"/>
    <w:rsid w:val="4FD740E6"/>
    <w:rsid w:val="4FE13943"/>
    <w:rsid w:val="4FE2746B"/>
    <w:rsid w:val="4FE536C0"/>
    <w:rsid w:val="4FF35BC0"/>
    <w:rsid w:val="4FF9120D"/>
    <w:rsid w:val="4FFB1A4D"/>
    <w:rsid w:val="50174804"/>
    <w:rsid w:val="50312382"/>
    <w:rsid w:val="50345E4E"/>
    <w:rsid w:val="505668F7"/>
    <w:rsid w:val="50567393"/>
    <w:rsid w:val="505F5A14"/>
    <w:rsid w:val="50744D49"/>
    <w:rsid w:val="507F63E9"/>
    <w:rsid w:val="50967F7E"/>
    <w:rsid w:val="50A02484"/>
    <w:rsid w:val="50A266C0"/>
    <w:rsid w:val="50A64D69"/>
    <w:rsid w:val="50CB7737"/>
    <w:rsid w:val="50DC31A8"/>
    <w:rsid w:val="50E25B01"/>
    <w:rsid w:val="50E42A3A"/>
    <w:rsid w:val="50E73A05"/>
    <w:rsid w:val="50ED34C5"/>
    <w:rsid w:val="50F64804"/>
    <w:rsid w:val="5106422C"/>
    <w:rsid w:val="51071118"/>
    <w:rsid w:val="51234A1F"/>
    <w:rsid w:val="51322A8D"/>
    <w:rsid w:val="5132585B"/>
    <w:rsid w:val="51351BE8"/>
    <w:rsid w:val="514767E8"/>
    <w:rsid w:val="514A1FB9"/>
    <w:rsid w:val="51591468"/>
    <w:rsid w:val="517F16CD"/>
    <w:rsid w:val="518152E4"/>
    <w:rsid w:val="51815569"/>
    <w:rsid w:val="518311FE"/>
    <w:rsid w:val="519350A6"/>
    <w:rsid w:val="519A39CC"/>
    <w:rsid w:val="519C2D2D"/>
    <w:rsid w:val="51A5108F"/>
    <w:rsid w:val="51B5251C"/>
    <w:rsid w:val="51BB243C"/>
    <w:rsid w:val="51C87EE4"/>
    <w:rsid w:val="51C91C81"/>
    <w:rsid w:val="51CF557E"/>
    <w:rsid w:val="51D22EB2"/>
    <w:rsid w:val="51D72070"/>
    <w:rsid w:val="51D826B0"/>
    <w:rsid w:val="51E061A1"/>
    <w:rsid w:val="51E27FCD"/>
    <w:rsid w:val="51EA5D3C"/>
    <w:rsid w:val="51F62227"/>
    <w:rsid w:val="51FA04C1"/>
    <w:rsid w:val="51FA239D"/>
    <w:rsid w:val="51FD5237"/>
    <w:rsid w:val="520305F7"/>
    <w:rsid w:val="52081080"/>
    <w:rsid w:val="521E0065"/>
    <w:rsid w:val="521F7917"/>
    <w:rsid w:val="52227A2A"/>
    <w:rsid w:val="525C547D"/>
    <w:rsid w:val="52605F62"/>
    <w:rsid w:val="52806965"/>
    <w:rsid w:val="52924CE6"/>
    <w:rsid w:val="52AC62C4"/>
    <w:rsid w:val="52AE4E78"/>
    <w:rsid w:val="52C673B2"/>
    <w:rsid w:val="52E40D12"/>
    <w:rsid w:val="52EF5850"/>
    <w:rsid w:val="5302703C"/>
    <w:rsid w:val="53150615"/>
    <w:rsid w:val="53511BDB"/>
    <w:rsid w:val="53545E4C"/>
    <w:rsid w:val="5359297B"/>
    <w:rsid w:val="535D0523"/>
    <w:rsid w:val="535F30A6"/>
    <w:rsid w:val="53647AE4"/>
    <w:rsid w:val="537200FA"/>
    <w:rsid w:val="53844984"/>
    <w:rsid w:val="539230C8"/>
    <w:rsid w:val="53B6661D"/>
    <w:rsid w:val="53C16CB6"/>
    <w:rsid w:val="53CC20AE"/>
    <w:rsid w:val="53D17D36"/>
    <w:rsid w:val="53D25B8D"/>
    <w:rsid w:val="53D54458"/>
    <w:rsid w:val="53E13A43"/>
    <w:rsid w:val="53F47047"/>
    <w:rsid w:val="53F63A5B"/>
    <w:rsid w:val="53F933F4"/>
    <w:rsid w:val="53FC4369"/>
    <w:rsid w:val="53FF2974"/>
    <w:rsid w:val="54330DB9"/>
    <w:rsid w:val="5448228F"/>
    <w:rsid w:val="544B1287"/>
    <w:rsid w:val="54517855"/>
    <w:rsid w:val="54526826"/>
    <w:rsid w:val="5458533D"/>
    <w:rsid w:val="546B06C4"/>
    <w:rsid w:val="54723681"/>
    <w:rsid w:val="54744689"/>
    <w:rsid w:val="54831600"/>
    <w:rsid w:val="549A0B1E"/>
    <w:rsid w:val="549D355D"/>
    <w:rsid w:val="54AD3355"/>
    <w:rsid w:val="54D579C0"/>
    <w:rsid w:val="54E4580A"/>
    <w:rsid w:val="54E64223"/>
    <w:rsid w:val="54F07385"/>
    <w:rsid w:val="54F4029A"/>
    <w:rsid w:val="54F71E24"/>
    <w:rsid w:val="54FA376E"/>
    <w:rsid w:val="551759DE"/>
    <w:rsid w:val="55375E0C"/>
    <w:rsid w:val="55377EA9"/>
    <w:rsid w:val="5561474F"/>
    <w:rsid w:val="556354BA"/>
    <w:rsid w:val="55696219"/>
    <w:rsid w:val="556E3A84"/>
    <w:rsid w:val="557012B1"/>
    <w:rsid w:val="557A29D4"/>
    <w:rsid w:val="55884A28"/>
    <w:rsid w:val="558C5AF6"/>
    <w:rsid w:val="558D578F"/>
    <w:rsid w:val="558E46C8"/>
    <w:rsid w:val="55A334DF"/>
    <w:rsid w:val="55B24A68"/>
    <w:rsid w:val="55C211E9"/>
    <w:rsid w:val="55F518E6"/>
    <w:rsid w:val="55F63F27"/>
    <w:rsid w:val="55FC4016"/>
    <w:rsid w:val="561B179B"/>
    <w:rsid w:val="561B2A72"/>
    <w:rsid w:val="562107F3"/>
    <w:rsid w:val="56290384"/>
    <w:rsid w:val="563275EC"/>
    <w:rsid w:val="563A60ED"/>
    <w:rsid w:val="5672005D"/>
    <w:rsid w:val="56887689"/>
    <w:rsid w:val="568B1CA2"/>
    <w:rsid w:val="568F1D3C"/>
    <w:rsid w:val="56905D0C"/>
    <w:rsid w:val="56A613A5"/>
    <w:rsid w:val="56B00762"/>
    <w:rsid w:val="56B1479D"/>
    <w:rsid w:val="56B43073"/>
    <w:rsid w:val="56BE0ACC"/>
    <w:rsid w:val="56C51C5B"/>
    <w:rsid w:val="56C86857"/>
    <w:rsid w:val="56D94E70"/>
    <w:rsid w:val="56DA7BB6"/>
    <w:rsid w:val="56DC112E"/>
    <w:rsid w:val="56F9341E"/>
    <w:rsid w:val="56FA57F3"/>
    <w:rsid w:val="57175B19"/>
    <w:rsid w:val="572956BD"/>
    <w:rsid w:val="573B52A1"/>
    <w:rsid w:val="57407237"/>
    <w:rsid w:val="575A3F59"/>
    <w:rsid w:val="575C71A1"/>
    <w:rsid w:val="5792500D"/>
    <w:rsid w:val="5799310E"/>
    <w:rsid w:val="579D048A"/>
    <w:rsid w:val="57C83E10"/>
    <w:rsid w:val="57C855D7"/>
    <w:rsid w:val="57D720C5"/>
    <w:rsid w:val="57FC1483"/>
    <w:rsid w:val="580A1411"/>
    <w:rsid w:val="581B18D5"/>
    <w:rsid w:val="581B7414"/>
    <w:rsid w:val="581E495D"/>
    <w:rsid w:val="5822619F"/>
    <w:rsid w:val="5825184F"/>
    <w:rsid w:val="58295909"/>
    <w:rsid w:val="58404804"/>
    <w:rsid w:val="58414F41"/>
    <w:rsid w:val="58497CF1"/>
    <w:rsid w:val="584C76FB"/>
    <w:rsid w:val="585A5CE5"/>
    <w:rsid w:val="585C5687"/>
    <w:rsid w:val="587176F7"/>
    <w:rsid w:val="58796FC0"/>
    <w:rsid w:val="5881186B"/>
    <w:rsid w:val="58C10BDC"/>
    <w:rsid w:val="58EC1756"/>
    <w:rsid w:val="58F40A71"/>
    <w:rsid w:val="58F703D8"/>
    <w:rsid w:val="58F91823"/>
    <w:rsid w:val="590C17D5"/>
    <w:rsid w:val="590E27D5"/>
    <w:rsid w:val="59195D7D"/>
    <w:rsid w:val="59246B2D"/>
    <w:rsid w:val="5930270E"/>
    <w:rsid w:val="593B2784"/>
    <w:rsid w:val="59600617"/>
    <w:rsid w:val="59630BDE"/>
    <w:rsid w:val="5964244A"/>
    <w:rsid w:val="59737D55"/>
    <w:rsid w:val="5994792B"/>
    <w:rsid w:val="599E791B"/>
    <w:rsid w:val="59AC68EC"/>
    <w:rsid w:val="59AE080A"/>
    <w:rsid w:val="59B46A59"/>
    <w:rsid w:val="59D74DFD"/>
    <w:rsid w:val="59F10141"/>
    <w:rsid w:val="59FC3FBE"/>
    <w:rsid w:val="5A0A6E67"/>
    <w:rsid w:val="5A0F694A"/>
    <w:rsid w:val="5A18725A"/>
    <w:rsid w:val="5A1D25C0"/>
    <w:rsid w:val="5A1D410A"/>
    <w:rsid w:val="5A2A3977"/>
    <w:rsid w:val="5A2C52C7"/>
    <w:rsid w:val="5A3753B0"/>
    <w:rsid w:val="5A461504"/>
    <w:rsid w:val="5A4E2E49"/>
    <w:rsid w:val="5A5F1050"/>
    <w:rsid w:val="5A635DDE"/>
    <w:rsid w:val="5A683D38"/>
    <w:rsid w:val="5A85504F"/>
    <w:rsid w:val="5A86458C"/>
    <w:rsid w:val="5A8B33BB"/>
    <w:rsid w:val="5A9B4F5A"/>
    <w:rsid w:val="5A9B58D0"/>
    <w:rsid w:val="5AA5526F"/>
    <w:rsid w:val="5AAA00EE"/>
    <w:rsid w:val="5ACF4A5E"/>
    <w:rsid w:val="5AD2433C"/>
    <w:rsid w:val="5AD555FA"/>
    <w:rsid w:val="5AE82F6C"/>
    <w:rsid w:val="5AF66E13"/>
    <w:rsid w:val="5B025BB3"/>
    <w:rsid w:val="5B0D7D27"/>
    <w:rsid w:val="5B1A3F9C"/>
    <w:rsid w:val="5B3111C9"/>
    <w:rsid w:val="5B3F6DFB"/>
    <w:rsid w:val="5B5D6A2D"/>
    <w:rsid w:val="5B620E26"/>
    <w:rsid w:val="5B696ACB"/>
    <w:rsid w:val="5B6B45E8"/>
    <w:rsid w:val="5B6D521A"/>
    <w:rsid w:val="5BBC4F05"/>
    <w:rsid w:val="5BD47A46"/>
    <w:rsid w:val="5BEA24AB"/>
    <w:rsid w:val="5BF83A33"/>
    <w:rsid w:val="5BFD47CC"/>
    <w:rsid w:val="5C0A20B9"/>
    <w:rsid w:val="5C1A317F"/>
    <w:rsid w:val="5C2F7682"/>
    <w:rsid w:val="5C335FA8"/>
    <w:rsid w:val="5C390BF5"/>
    <w:rsid w:val="5C536A19"/>
    <w:rsid w:val="5C6157FF"/>
    <w:rsid w:val="5C693D8D"/>
    <w:rsid w:val="5C8F3F34"/>
    <w:rsid w:val="5CA96AF6"/>
    <w:rsid w:val="5CAF3971"/>
    <w:rsid w:val="5CBF0186"/>
    <w:rsid w:val="5CBF1E09"/>
    <w:rsid w:val="5CC523BE"/>
    <w:rsid w:val="5CC77913"/>
    <w:rsid w:val="5CD97586"/>
    <w:rsid w:val="5CF30EF8"/>
    <w:rsid w:val="5CFB3EEF"/>
    <w:rsid w:val="5D1033A7"/>
    <w:rsid w:val="5D1478B5"/>
    <w:rsid w:val="5D267E6E"/>
    <w:rsid w:val="5D2861BC"/>
    <w:rsid w:val="5D2C7FD7"/>
    <w:rsid w:val="5D4D7D9E"/>
    <w:rsid w:val="5D5D3C3F"/>
    <w:rsid w:val="5D5F216B"/>
    <w:rsid w:val="5D6937F0"/>
    <w:rsid w:val="5D7863A6"/>
    <w:rsid w:val="5D7B35CB"/>
    <w:rsid w:val="5D7D6B28"/>
    <w:rsid w:val="5D887F75"/>
    <w:rsid w:val="5D900478"/>
    <w:rsid w:val="5D9238E4"/>
    <w:rsid w:val="5D967631"/>
    <w:rsid w:val="5DA23AFF"/>
    <w:rsid w:val="5DAB1072"/>
    <w:rsid w:val="5DB02DB0"/>
    <w:rsid w:val="5DC4409C"/>
    <w:rsid w:val="5DC8035B"/>
    <w:rsid w:val="5DE27C1C"/>
    <w:rsid w:val="5DEC120C"/>
    <w:rsid w:val="5DEC505E"/>
    <w:rsid w:val="5DF272AD"/>
    <w:rsid w:val="5DF44B1A"/>
    <w:rsid w:val="5E49669F"/>
    <w:rsid w:val="5E682C04"/>
    <w:rsid w:val="5E9C1D95"/>
    <w:rsid w:val="5EA37F75"/>
    <w:rsid w:val="5EAF5D37"/>
    <w:rsid w:val="5EBA7A7A"/>
    <w:rsid w:val="5EBD2A8B"/>
    <w:rsid w:val="5ED935E0"/>
    <w:rsid w:val="5EDE1978"/>
    <w:rsid w:val="5EE0749D"/>
    <w:rsid w:val="5EE338B7"/>
    <w:rsid w:val="5EEA3F79"/>
    <w:rsid w:val="5EFE1C81"/>
    <w:rsid w:val="5F050868"/>
    <w:rsid w:val="5F0F0525"/>
    <w:rsid w:val="5F4156C1"/>
    <w:rsid w:val="5F4255BA"/>
    <w:rsid w:val="5F497001"/>
    <w:rsid w:val="5F525F4E"/>
    <w:rsid w:val="5F571AF0"/>
    <w:rsid w:val="5F5C4AB8"/>
    <w:rsid w:val="5F683681"/>
    <w:rsid w:val="5F6B207F"/>
    <w:rsid w:val="5F6F5774"/>
    <w:rsid w:val="5F744BB8"/>
    <w:rsid w:val="5F7A15A1"/>
    <w:rsid w:val="5F8E08C2"/>
    <w:rsid w:val="5FB2054C"/>
    <w:rsid w:val="5FBF5D3B"/>
    <w:rsid w:val="5FCA4716"/>
    <w:rsid w:val="5FD24FFC"/>
    <w:rsid w:val="5FE25A3A"/>
    <w:rsid w:val="5FE43C0B"/>
    <w:rsid w:val="5FE44E33"/>
    <w:rsid w:val="5FE85247"/>
    <w:rsid w:val="60061BAF"/>
    <w:rsid w:val="600A073A"/>
    <w:rsid w:val="60172E67"/>
    <w:rsid w:val="602264F3"/>
    <w:rsid w:val="60243C2E"/>
    <w:rsid w:val="60402552"/>
    <w:rsid w:val="604B0611"/>
    <w:rsid w:val="6051058D"/>
    <w:rsid w:val="605B4D9F"/>
    <w:rsid w:val="607D4856"/>
    <w:rsid w:val="608C6AE7"/>
    <w:rsid w:val="609726EA"/>
    <w:rsid w:val="60B303A5"/>
    <w:rsid w:val="60BB69F2"/>
    <w:rsid w:val="60BD2209"/>
    <w:rsid w:val="60C01C5D"/>
    <w:rsid w:val="60CE28B2"/>
    <w:rsid w:val="60D43772"/>
    <w:rsid w:val="60DE6614"/>
    <w:rsid w:val="60E1095A"/>
    <w:rsid w:val="60F326D0"/>
    <w:rsid w:val="60F93E75"/>
    <w:rsid w:val="61083DD4"/>
    <w:rsid w:val="610936A9"/>
    <w:rsid w:val="610F41BD"/>
    <w:rsid w:val="612148C5"/>
    <w:rsid w:val="61394E36"/>
    <w:rsid w:val="61523785"/>
    <w:rsid w:val="61574DC6"/>
    <w:rsid w:val="61624BE2"/>
    <w:rsid w:val="616C3362"/>
    <w:rsid w:val="616F0AD4"/>
    <w:rsid w:val="617B746E"/>
    <w:rsid w:val="61801886"/>
    <w:rsid w:val="6183676A"/>
    <w:rsid w:val="61B40B56"/>
    <w:rsid w:val="61C611C4"/>
    <w:rsid w:val="61DA45CD"/>
    <w:rsid w:val="61ED7683"/>
    <w:rsid w:val="61F752D7"/>
    <w:rsid w:val="61FD75D0"/>
    <w:rsid w:val="620C0E63"/>
    <w:rsid w:val="621131D0"/>
    <w:rsid w:val="621F081A"/>
    <w:rsid w:val="6222203F"/>
    <w:rsid w:val="622B4980"/>
    <w:rsid w:val="623B1FC4"/>
    <w:rsid w:val="6242684C"/>
    <w:rsid w:val="625A681D"/>
    <w:rsid w:val="625B4554"/>
    <w:rsid w:val="625C14D1"/>
    <w:rsid w:val="627651C8"/>
    <w:rsid w:val="628F5D40"/>
    <w:rsid w:val="62970BD7"/>
    <w:rsid w:val="62A12B73"/>
    <w:rsid w:val="62BD058B"/>
    <w:rsid w:val="62C06F9B"/>
    <w:rsid w:val="62CA3D28"/>
    <w:rsid w:val="62D62483"/>
    <w:rsid w:val="62D6425F"/>
    <w:rsid w:val="62DB7C73"/>
    <w:rsid w:val="62E123C8"/>
    <w:rsid w:val="62E27675"/>
    <w:rsid w:val="62E416C5"/>
    <w:rsid w:val="62F66A1B"/>
    <w:rsid w:val="63015B92"/>
    <w:rsid w:val="63184EA6"/>
    <w:rsid w:val="631D56B7"/>
    <w:rsid w:val="6329124F"/>
    <w:rsid w:val="632F4E6E"/>
    <w:rsid w:val="6330680E"/>
    <w:rsid w:val="633A7E34"/>
    <w:rsid w:val="633C574F"/>
    <w:rsid w:val="634D1C88"/>
    <w:rsid w:val="6350614E"/>
    <w:rsid w:val="635942DD"/>
    <w:rsid w:val="636040E8"/>
    <w:rsid w:val="637E33E3"/>
    <w:rsid w:val="63800FCD"/>
    <w:rsid w:val="639A6E96"/>
    <w:rsid w:val="63B35DBD"/>
    <w:rsid w:val="63B76868"/>
    <w:rsid w:val="63B9174E"/>
    <w:rsid w:val="63CB1AB3"/>
    <w:rsid w:val="63D32A54"/>
    <w:rsid w:val="63DD3C48"/>
    <w:rsid w:val="63E315FF"/>
    <w:rsid w:val="63E702EB"/>
    <w:rsid w:val="63EB712D"/>
    <w:rsid w:val="63F846E4"/>
    <w:rsid w:val="6414229C"/>
    <w:rsid w:val="64160DD4"/>
    <w:rsid w:val="643E1A14"/>
    <w:rsid w:val="644214BE"/>
    <w:rsid w:val="64445DE5"/>
    <w:rsid w:val="644C5FB0"/>
    <w:rsid w:val="645A08FE"/>
    <w:rsid w:val="64606144"/>
    <w:rsid w:val="64694C1A"/>
    <w:rsid w:val="647117EF"/>
    <w:rsid w:val="6499728C"/>
    <w:rsid w:val="64A33835"/>
    <w:rsid w:val="64AA7839"/>
    <w:rsid w:val="64AF7279"/>
    <w:rsid w:val="64D052FB"/>
    <w:rsid w:val="64D51274"/>
    <w:rsid w:val="64DB5D01"/>
    <w:rsid w:val="64DC784D"/>
    <w:rsid w:val="64DD1254"/>
    <w:rsid w:val="64F03ECD"/>
    <w:rsid w:val="64F4321F"/>
    <w:rsid w:val="64FA743B"/>
    <w:rsid w:val="64FE03D0"/>
    <w:rsid w:val="65165F77"/>
    <w:rsid w:val="651E345E"/>
    <w:rsid w:val="652F1C95"/>
    <w:rsid w:val="6531463B"/>
    <w:rsid w:val="65322A5F"/>
    <w:rsid w:val="653D206E"/>
    <w:rsid w:val="65420BA7"/>
    <w:rsid w:val="6548332C"/>
    <w:rsid w:val="65486F98"/>
    <w:rsid w:val="6558012C"/>
    <w:rsid w:val="656015CD"/>
    <w:rsid w:val="656405BB"/>
    <w:rsid w:val="65755E9D"/>
    <w:rsid w:val="658D432B"/>
    <w:rsid w:val="658E743E"/>
    <w:rsid w:val="65966F82"/>
    <w:rsid w:val="65AD349C"/>
    <w:rsid w:val="65E5102F"/>
    <w:rsid w:val="65F13805"/>
    <w:rsid w:val="65F22FB3"/>
    <w:rsid w:val="65FC5C0B"/>
    <w:rsid w:val="660C26AE"/>
    <w:rsid w:val="66192E4C"/>
    <w:rsid w:val="664A03AA"/>
    <w:rsid w:val="664B58B7"/>
    <w:rsid w:val="665B659E"/>
    <w:rsid w:val="66646E5E"/>
    <w:rsid w:val="668C5269"/>
    <w:rsid w:val="66970374"/>
    <w:rsid w:val="669B13C3"/>
    <w:rsid w:val="66B07C14"/>
    <w:rsid w:val="66EE41A8"/>
    <w:rsid w:val="66F538DA"/>
    <w:rsid w:val="66FF725E"/>
    <w:rsid w:val="6703647E"/>
    <w:rsid w:val="671A1657"/>
    <w:rsid w:val="671F5969"/>
    <w:rsid w:val="67246D70"/>
    <w:rsid w:val="675F5A77"/>
    <w:rsid w:val="677264C5"/>
    <w:rsid w:val="67845738"/>
    <w:rsid w:val="67B076D1"/>
    <w:rsid w:val="67B32EF9"/>
    <w:rsid w:val="67CD377F"/>
    <w:rsid w:val="6812737D"/>
    <w:rsid w:val="68153E41"/>
    <w:rsid w:val="68246D76"/>
    <w:rsid w:val="682E4B84"/>
    <w:rsid w:val="68661062"/>
    <w:rsid w:val="686D76C0"/>
    <w:rsid w:val="687C6109"/>
    <w:rsid w:val="687D2044"/>
    <w:rsid w:val="68804067"/>
    <w:rsid w:val="68834071"/>
    <w:rsid w:val="68934A25"/>
    <w:rsid w:val="689D6D62"/>
    <w:rsid w:val="68A06FD5"/>
    <w:rsid w:val="68AC2B84"/>
    <w:rsid w:val="68AF6C0E"/>
    <w:rsid w:val="68B95918"/>
    <w:rsid w:val="690A1718"/>
    <w:rsid w:val="691224E9"/>
    <w:rsid w:val="69206E80"/>
    <w:rsid w:val="69217355"/>
    <w:rsid w:val="692A1CC9"/>
    <w:rsid w:val="69394D4B"/>
    <w:rsid w:val="693A7972"/>
    <w:rsid w:val="694801FC"/>
    <w:rsid w:val="694875D5"/>
    <w:rsid w:val="69921AC9"/>
    <w:rsid w:val="69934CEA"/>
    <w:rsid w:val="69A077D5"/>
    <w:rsid w:val="69B50662"/>
    <w:rsid w:val="69CA6194"/>
    <w:rsid w:val="69DB2C1B"/>
    <w:rsid w:val="69FF4D34"/>
    <w:rsid w:val="6A3C6480"/>
    <w:rsid w:val="6A5B426A"/>
    <w:rsid w:val="6A6415A4"/>
    <w:rsid w:val="6A657488"/>
    <w:rsid w:val="6A6668A8"/>
    <w:rsid w:val="6A6B2A80"/>
    <w:rsid w:val="6A7E6396"/>
    <w:rsid w:val="6A92007A"/>
    <w:rsid w:val="6A9653B5"/>
    <w:rsid w:val="6AA81A7B"/>
    <w:rsid w:val="6AB63AC9"/>
    <w:rsid w:val="6AC51FCB"/>
    <w:rsid w:val="6AD71D6F"/>
    <w:rsid w:val="6AD82E4B"/>
    <w:rsid w:val="6AE11093"/>
    <w:rsid w:val="6AE17590"/>
    <w:rsid w:val="6AEA7F3A"/>
    <w:rsid w:val="6AEB3393"/>
    <w:rsid w:val="6AED6B6D"/>
    <w:rsid w:val="6AF62D7F"/>
    <w:rsid w:val="6B2346BC"/>
    <w:rsid w:val="6B3F4400"/>
    <w:rsid w:val="6B5D53F9"/>
    <w:rsid w:val="6B607C5C"/>
    <w:rsid w:val="6B682C27"/>
    <w:rsid w:val="6B6C7BC0"/>
    <w:rsid w:val="6B780FF2"/>
    <w:rsid w:val="6B9702A7"/>
    <w:rsid w:val="6B997650"/>
    <w:rsid w:val="6BA641AA"/>
    <w:rsid w:val="6BAD45E0"/>
    <w:rsid w:val="6BBE45B2"/>
    <w:rsid w:val="6BBF6B79"/>
    <w:rsid w:val="6BE0499F"/>
    <w:rsid w:val="6BF56CCD"/>
    <w:rsid w:val="6BF62DDE"/>
    <w:rsid w:val="6BFF137F"/>
    <w:rsid w:val="6C017DC1"/>
    <w:rsid w:val="6C053A4B"/>
    <w:rsid w:val="6C0C14AB"/>
    <w:rsid w:val="6C157315"/>
    <w:rsid w:val="6C174BB2"/>
    <w:rsid w:val="6C2D626C"/>
    <w:rsid w:val="6C301D0A"/>
    <w:rsid w:val="6C4C159F"/>
    <w:rsid w:val="6C5829F1"/>
    <w:rsid w:val="6C6B0756"/>
    <w:rsid w:val="6C803030"/>
    <w:rsid w:val="6C956968"/>
    <w:rsid w:val="6CAA1CFE"/>
    <w:rsid w:val="6CC5621E"/>
    <w:rsid w:val="6CD1288B"/>
    <w:rsid w:val="6CD62ECE"/>
    <w:rsid w:val="6CE16718"/>
    <w:rsid w:val="6CE3039D"/>
    <w:rsid w:val="6CE34040"/>
    <w:rsid w:val="6CE80F96"/>
    <w:rsid w:val="6CED10B3"/>
    <w:rsid w:val="6CFF00DA"/>
    <w:rsid w:val="6D132EA7"/>
    <w:rsid w:val="6D17755B"/>
    <w:rsid w:val="6D285F3C"/>
    <w:rsid w:val="6D3073C6"/>
    <w:rsid w:val="6D3700FB"/>
    <w:rsid w:val="6D535020"/>
    <w:rsid w:val="6D5B4CE7"/>
    <w:rsid w:val="6D985E7F"/>
    <w:rsid w:val="6DAE554B"/>
    <w:rsid w:val="6DC17E0B"/>
    <w:rsid w:val="6DDF5593"/>
    <w:rsid w:val="6DE023C8"/>
    <w:rsid w:val="6DFF05C3"/>
    <w:rsid w:val="6E1374F8"/>
    <w:rsid w:val="6E193682"/>
    <w:rsid w:val="6E1B1BEA"/>
    <w:rsid w:val="6E24100B"/>
    <w:rsid w:val="6E2E05FD"/>
    <w:rsid w:val="6E317227"/>
    <w:rsid w:val="6E3C0BF0"/>
    <w:rsid w:val="6E547627"/>
    <w:rsid w:val="6E550974"/>
    <w:rsid w:val="6E655AED"/>
    <w:rsid w:val="6E673D8B"/>
    <w:rsid w:val="6E744CAB"/>
    <w:rsid w:val="6E776B69"/>
    <w:rsid w:val="6E800B0E"/>
    <w:rsid w:val="6E8B20E1"/>
    <w:rsid w:val="6E8D57A4"/>
    <w:rsid w:val="6E8E6B7E"/>
    <w:rsid w:val="6E951F9C"/>
    <w:rsid w:val="6EC62E05"/>
    <w:rsid w:val="6EDB1E6E"/>
    <w:rsid w:val="6EED6E2B"/>
    <w:rsid w:val="6EFC21A8"/>
    <w:rsid w:val="6EFD6530"/>
    <w:rsid w:val="6F132006"/>
    <w:rsid w:val="6F2638D9"/>
    <w:rsid w:val="6F44184B"/>
    <w:rsid w:val="6F4A611B"/>
    <w:rsid w:val="6F571A8F"/>
    <w:rsid w:val="6F5967AC"/>
    <w:rsid w:val="6F6778D2"/>
    <w:rsid w:val="6F710DB7"/>
    <w:rsid w:val="6F8C11AD"/>
    <w:rsid w:val="6F8D7609"/>
    <w:rsid w:val="6F9A394F"/>
    <w:rsid w:val="6F9D30E1"/>
    <w:rsid w:val="6FA36BF6"/>
    <w:rsid w:val="6FA9742E"/>
    <w:rsid w:val="6FAC5CFA"/>
    <w:rsid w:val="6FC6312E"/>
    <w:rsid w:val="6FD7195D"/>
    <w:rsid w:val="6FD85334"/>
    <w:rsid w:val="6FE70C11"/>
    <w:rsid w:val="6FF061A0"/>
    <w:rsid w:val="6FF11EBF"/>
    <w:rsid w:val="6FF330E2"/>
    <w:rsid w:val="6FF356A3"/>
    <w:rsid w:val="70036644"/>
    <w:rsid w:val="700446C0"/>
    <w:rsid w:val="700C4914"/>
    <w:rsid w:val="70190B38"/>
    <w:rsid w:val="701F36FB"/>
    <w:rsid w:val="702C2747"/>
    <w:rsid w:val="702F3415"/>
    <w:rsid w:val="70420D36"/>
    <w:rsid w:val="70454CB8"/>
    <w:rsid w:val="7055396B"/>
    <w:rsid w:val="706E676D"/>
    <w:rsid w:val="70703E97"/>
    <w:rsid w:val="707F33DD"/>
    <w:rsid w:val="70836227"/>
    <w:rsid w:val="708839AB"/>
    <w:rsid w:val="708C39F4"/>
    <w:rsid w:val="708C74F9"/>
    <w:rsid w:val="70915B2A"/>
    <w:rsid w:val="70A051C1"/>
    <w:rsid w:val="70A74564"/>
    <w:rsid w:val="70AC6178"/>
    <w:rsid w:val="70B85CFB"/>
    <w:rsid w:val="70C3215D"/>
    <w:rsid w:val="70CE7706"/>
    <w:rsid w:val="70E3515D"/>
    <w:rsid w:val="71185272"/>
    <w:rsid w:val="71195291"/>
    <w:rsid w:val="71232BCC"/>
    <w:rsid w:val="7125265A"/>
    <w:rsid w:val="712E2FDE"/>
    <w:rsid w:val="713364DE"/>
    <w:rsid w:val="713B37A6"/>
    <w:rsid w:val="71403EC4"/>
    <w:rsid w:val="71423C0D"/>
    <w:rsid w:val="717D0FDB"/>
    <w:rsid w:val="718624A7"/>
    <w:rsid w:val="718A77FB"/>
    <w:rsid w:val="71952D11"/>
    <w:rsid w:val="71B80151"/>
    <w:rsid w:val="71D6753D"/>
    <w:rsid w:val="71D97362"/>
    <w:rsid w:val="71E01FA5"/>
    <w:rsid w:val="71E13181"/>
    <w:rsid w:val="71ED442F"/>
    <w:rsid w:val="71EE2EF7"/>
    <w:rsid w:val="71F40CEB"/>
    <w:rsid w:val="720F62DE"/>
    <w:rsid w:val="72134B02"/>
    <w:rsid w:val="72287652"/>
    <w:rsid w:val="722E3159"/>
    <w:rsid w:val="72300ED8"/>
    <w:rsid w:val="72C57698"/>
    <w:rsid w:val="72E639E1"/>
    <w:rsid w:val="72EB4ABB"/>
    <w:rsid w:val="72F8039F"/>
    <w:rsid w:val="7312468D"/>
    <w:rsid w:val="731A1275"/>
    <w:rsid w:val="731F36EE"/>
    <w:rsid w:val="732A0AED"/>
    <w:rsid w:val="73316A3B"/>
    <w:rsid w:val="735650C1"/>
    <w:rsid w:val="735F52AE"/>
    <w:rsid w:val="73814F04"/>
    <w:rsid w:val="73B21CDC"/>
    <w:rsid w:val="73B35EB4"/>
    <w:rsid w:val="73D9426D"/>
    <w:rsid w:val="740D5C23"/>
    <w:rsid w:val="74207328"/>
    <w:rsid w:val="74315FF7"/>
    <w:rsid w:val="74644028"/>
    <w:rsid w:val="7466605D"/>
    <w:rsid w:val="74753764"/>
    <w:rsid w:val="747A7805"/>
    <w:rsid w:val="749374C8"/>
    <w:rsid w:val="749D1097"/>
    <w:rsid w:val="74C35E83"/>
    <w:rsid w:val="74CA3755"/>
    <w:rsid w:val="74D64813"/>
    <w:rsid w:val="74DB7DB6"/>
    <w:rsid w:val="74E7205E"/>
    <w:rsid w:val="74F84652"/>
    <w:rsid w:val="74F91BF5"/>
    <w:rsid w:val="75004AF5"/>
    <w:rsid w:val="75042FD1"/>
    <w:rsid w:val="75055E28"/>
    <w:rsid w:val="75132688"/>
    <w:rsid w:val="751332B1"/>
    <w:rsid w:val="751748D0"/>
    <w:rsid w:val="75236CF6"/>
    <w:rsid w:val="752E487E"/>
    <w:rsid w:val="753143D6"/>
    <w:rsid w:val="753567E4"/>
    <w:rsid w:val="753627AC"/>
    <w:rsid w:val="753843CD"/>
    <w:rsid w:val="754F7AEE"/>
    <w:rsid w:val="75671555"/>
    <w:rsid w:val="75735611"/>
    <w:rsid w:val="75825A34"/>
    <w:rsid w:val="75991528"/>
    <w:rsid w:val="75B3140A"/>
    <w:rsid w:val="75BD0880"/>
    <w:rsid w:val="75BD29C1"/>
    <w:rsid w:val="75C161BF"/>
    <w:rsid w:val="75CF5661"/>
    <w:rsid w:val="75E65634"/>
    <w:rsid w:val="75FF7B56"/>
    <w:rsid w:val="76032C2D"/>
    <w:rsid w:val="76042151"/>
    <w:rsid w:val="760D75C6"/>
    <w:rsid w:val="761D2801"/>
    <w:rsid w:val="761E4BDE"/>
    <w:rsid w:val="762A170A"/>
    <w:rsid w:val="76397434"/>
    <w:rsid w:val="76486164"/>
    <w:rsid w:val="765816DC"/>
    <w:rsid w:val="76595F13"/>
    <w:rsid w:val="7669764E"/>
    <w:rsid w:val="766C1709"/>
    <w:rsid w:val="767B5044"/>
    <w:rsid w:val="767E6B59"/>
    <w:rsid w:val="76815174"/>
    <w:rsid w:val="769D604E"/>
    <w:rsid w:val="769F5926"/>
    <w:rsid w:val="76A018B1"/>
    <w:rsid w:val="76A643DD"/>
    <w:rsid w:val="76B31BBD"/>
    <w:rsid w:val="76C46D6F"/>
    <w:rsid w:val="76CF379E"/>
    <w:rsid w:val="76CF70DD"/>
    <w:rsid w:val="76E77245"/>
    <w:rsid w:val="76F61609"/>
    <w:rsid w:val="770A5C5A"/>
    <w:rsid w:val="770F58A0"/>
    <w:rsid w:val="771F6DA9"/>
    <w:rsid w:val="77273E3E"/>
    <w:rsid w:val="772D2D9F"/>
    <w:rsid w:val="77434104"/>
    <w:rsid w:val="774B0BA9"/>
    <w:rsid w:val="77553225"/>
    <w:rsid w:val="776244EC"/>
    <w:rsid w:val="777349AC"/>
    <w:rsid w:val="777F30DE"/>
    <w:rsid w:val="7798366F"/>
    <w:rsid w:val="77A54B9E"/>
    <w:rsid w:val="77CC53A2"/>
    <w:rsid w:val="77CC5DE3"/>
    <w:rsid w:val="77F55376"/>
    <w:rsid w:val="77F84529"/>
    <w:rsid w:val="781007A0"/>
    <w:rsid w:val="7822182D"/>
    <w:rsid w:val="782F4F2E"/>
    <w:rsid w:val="783A5F58"/>
    <w:rsid w:val="784F4855"/>
    <w:rsid w:val="78631CA6"/>
    <w:rsid w:val="78654354"/>
    <w:rsid w:val="78703466"/>
    <w:rsid w:val="7874552D"/>
    <w:rsid w:val="788B02FE"/>
    <w:rsid w:val="78921279"/>
    <w:rsid w:val="789434A2"/>
    <w:rsid w:val="78986F25"/>
    <w:rsid w:val="789E38D2"/>
    <w:rsid w:val="78A4516C"/>
    <w:rsid w:val="78C71CF9"/>
    <w:rsid w:val="78CC26F3"/>
    <w:rsid w:val="78D63C88"/>
    <w:rsid w:val="78DA268D"/>
    <w:rsid w:val="78EC4417"/>
    <w:rsid w:val="78F3522E"/>
    <w:rsid w:val="78FB2FEE"/>
    <w:rsid w:val="78FC72C9"/>
    <w:rsid w:val="78FF006C"/>
    <w:rsid w:val="790F18C0"/>
    <w:rsid w:val="79284561"/>
    <w:rsid w:val="79291C6E"/>
    <w:rsid w:val="792E2BA3"/>
    <w:rsid w:val="79482222"/>
    <w:rsid w:val="794842DB"/>
    <w:rsid w:val="798A6ABA"/>
    <w:rsid w:val="7997527B"/>
    <w:rsid w:val="799956BD"/>
    <w:rsid w:val="79A23AC1"/>
    <w:rsid w:val="79A500A9"/>
    <w:rsid w:val="79B85A12"/>
    <w:rsid w:val="79CA4FD2"/>
    <w:rsid w:val="79F14121"/>
    <w:rsid w:val="79F53FA2"/>
    <w:rsid w:val="79F75862"/>
    <w:rsid w:val="7A197440"/>
    <w:rsid w:val="7A223609"/>
    <w:rsid w:val="7A252828"/>
    <w:rsid w:val="7A326307"/>
    <w:rsid w:val="7A350662"/>
    <w:rsid w:val="7A372B43"/>
    <w:rsid w:val="7A44480C"/>
    <w:rsid w:val="7A505612"/>
    <w:rsid w:val="7A5717E7"/>
    <w:rsid w:val="7A596C15"/>
    <w:rsid w:val="7A677EA2"/>
    <w:rsid w:val="7A710C7F"/>
    <w:rsid w:val="7A802904"/>
    <w:rsid w:val="7A8F3742"/>
    <w:rsid w:val="7A9413AE"/>
    <w:rsid w:val="7AA37E55"/>
    <w:rsid w:val="7AB96681"/>
    <w:rsid w:val="7ABA1851"/>
    <w:rsid w:val="7AC2196B"/>
    <w:rsid w:val="7ACA09C8"/>
    <w:rsid w:val="7AD46321"/>
    <w:rsid w:val="7AE07EBB"/>
    <w:rsid w:val="7AE82733"/>
    <w:rsid w:val="7AEB441B"/>
    <w:rsid w:val="7AEC3C28"/>
    <w:rsid w:val="7B022228"/>
    <w:rsid w:val="7B1B45F0"/>
    <w:rsid w:val="7B355364"/>
    <w:rsid w:val="7B364F1D"/>
    <w:rsid w:val="7B4B13F7"/>
    <w:rsid w:val="7B4D232C"/>
    <w:rsid w:val="7B527778"/>
    <w:rsid w:val="7B5465F3"/>
    <w:rsid w:val="7B663BB8"/>
    <w:rsid w:val="7B6F6B0A"/>
    <w:rsid w:val="7B731B95"/>
    <w:rsid w:val="7B7965F5"/>
    <w:rsid w:val="7B7C4CCB"/>
    <w:rsid w:val="7B9749E4"/>
    <w:rsid w:val="7BAB345A"/>
    <w:rsid w:val="7BB01100"/>
    <w:rsid w:val="7BC277EE"/>
    <w:rsid w:val="7BC519DE"/>
    <w:rsid w:val="7BE8736A"/>
    <w:rsid w:val="7BFE67CE"/>
    <w:rsid w:val="7C0A31F8"/>
    <w:rsid w:val="7C1A4033"/>
    <w:rsid w:val="7C336F39"/>
    <w:rsid w:val="7C370588"/>
    <w:rsid w:val="7C3776F2"/>
    <w:rsid w:val="7C555E33"/>
    <w:rsid w:val="7C6243DD"/>
    <w:rsid w:val="7C656B56"/>
    <w:rsid w:val="7CC00796"/>
    <w:rsid w:val="7CC066AD"/>
    <w:rsid w:val="7CCF2277"/>
    <w:rsid w:val="7CD01390"/>
    <w:rsid w:val="7CD439B7"/>
    <w:rsid w:val="7CE54C97"/>
    <w:rsid w:val="7CED707B"/>
    <w:rsid w:val="7CF20143"/>
    <w:rsid w:val="7CFC48B9"/>
    <w:rsid w:val="7D0329AB"/>
    <w:rsid w:val="7D032E2D"/>
    <w:rsid w:val="7D0F0EC3"/>
    <w:rsid w:val="7D164CC3"/>
    <w:rsid w:val="7D18425A"/>
    <w:rsid w:val="7D2E589D"/>
    <w:rsid w:val="7D345172"/>
    <w:rsid w:val="7D4509A2"/>
    <w:rsid w:val="7D6108FC"/>
    <w:rsid w:val="7D676D8D"/>
    <w:rsid w:val="7D70069E"/>
    <w:rsid w:val="7D790F88"/>
    <w:rsid w:val="7D7B6428"/>
    <w:rsid w:val="7D8D03EC"/>
    <w:rsid w:val="7D982F4B"/>
    <w:rsid w:val="7DA13EA4"/>
    <w:rsid w:val="7DA1452B"/>
    <w:rsid w:val="7DA2269D"/>
    <w:rsid w:val="7DA419BD"/>
    <w:rsid w:val="7DA74F27"/>
    <w:rsid w:val="7DB56EC3"/>
    <w:rsid w:val="7DB7431A"/>
    <w:rsid w:val="7DBF62FB"/>
    <w:rsid w:val="7DDF653D"/>
    <w:rsid w:val="7DEF39BC"/>
    <w:rsid w:val="7E122BD0"/>
    <w:rsid w:val="7E2A3353"/>
    <w:rsid w:val="7E8835EA"/>
    <w:rsid w:val="7EC329DD"/>
    <w:rsid w:val="7EC85A83"/>
    <w:rsid w:val="7ECD6D3B"/>
    <w:rsid w:val="7EE24646"/>
    <w:rsid w:val="7EEE633C"/>
    <w:rsid w:val="7F096AA5"/>
    <w:rsid w:val="7F1C1F84"/>
    <w:rsid w:val="7F535694"/>
    <w:rsid w:val="7F5B1F7D"/>
    <w:rsid w:val="7F6D0E6B"/>
    <w:rsid w:val="7F7E3ED1"/>
    <w:rsid w:val="7F8718CB"/>
    <w:rsid w:val="7F8D0E37"/>
    <w:rsid w:val="7F914B7A"/>
    <w:rsid w:val="7F932247"/>
    <w:rsid w:val="7F950FBD"/>
    <w:rsid w:val="7F956660"/>
    <w:rsid w:val="7FB718CB"/>
    <w:rsid w:val="7FC166D5"/>
    <w:rsid w:val="7FC770DA"/>
    <w:rsid w:val="7FCE3564"/>
    <w:rsid w:val="7FD34919"/>
    <w:rsid w:val="7FDF3485"/>
    <w:rsid w:val="7FE5589A"/>
    <w:rsid w:val="7FF813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qFormat="1"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99"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iPriority="99" w:semiHidden="0" w:name="HTML Cite"/>
    <w:lsdException w:qFormat="1" w:uiPriority="99" w:semiHidden="0" w:name="HTML Code"/>
    <w:lsdException w:qFormat="1" w:uiPriority="99" w:semiHidden="0" w:name="HTML Definition"/>
    <w:lsdException w:qFormat="1" w:uiPriority="99" w:semiHidden="0" w:name="HTML Keyboard"/>
    <w:lsdException w:qFormat="1" w:unhideWhenUsed="0" w:uiPriority="0" w:semiHidden="0" w:name="HTML Preformatted"/>
    <w:lsdException w:qFormat="1" w:uiPriority="99" w:semiHidden="0" w:name="HTML Sample"/>
    <w:lsdException w:unhideWhenUsed="0" w:uiPriority="0" w:semiHidden="0" w:name="HTML Typewriter"/>
    <w:lsdException w:qFormat="1" w:uiPriority="99"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qFormat="1" w:unhideWhenUsed="0" w:uiPriority="0"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306"/>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125"/>
    <w:qFormat/>
    <w:uiPriority w:val="0"/>
    <w:pPr>
      <w:keepNext/>
      <w:widowControl/>
      <w:numPr>
        <w:ilvl w:val="0"/>
        <w:numId w:val="1"/>
      </w:numPr>
      <w:jc w:val="center"/>
      <w:outlineLvl w:val="0"/>
    </w:pPr>
    <w:rPr>
      <w:rFonts w:ascii="黑体" w:eastAsia="黑体"/>
      <w:kern w:val="0"/>
      <w:sz w:val="52"/>
      <w:szCs w:val="20"/>
    </w:rPr>
  </w:style>
  <w:style w:type="paragraph" w:styleId="4">
    <w:name w:val="heading 2"/>
    <w:basedOn w:val="1"/>
    <w:next w:val="1"/>
    <w:link w:val="95"/>
    <w:qFormat/>
    <w:uiPriority w:val="0"/>
    <w:pPr>
      <w:keepNext/>
      <w:keepLines/>
      <w:spacing w:before="260" w:after="260" w:line="413" w:lineRule="auto"/>
      <w:outlineLvl w:val="1"/>
    </w:pPr>
    <w:rPr>
      <w:rFonts w:ascii="Arial" w:hAnsi="Arial" w:eastAsia="黑体"/>
      <w:b/>
      <w:bCs/>
      <w:kern w:val="0"/>
      <w:sz w:val="32"/>
      <w:szCs w:val="32"/>
    </w:rPr>
  </w:style>
  <w:style w:type="paragraph" w:styleId="5">
    <w:name w:val="heading 3"/>
    <w:basedOn w:val="1"/>
    <w:next w:val="1"/>
    <w:link w:val="79"/>
    <w:qFormat/>
    <w:uiPriority w:val="0"/>
    <w:pPr>
      <w:keepNext/>
      <w:keepLines/>
      <w:spacing w:line="416" w:lineRule="auto"/>
      <w:outlineLvl w:val="2"/>
    </w:pPr>
    <w:rPr>
      <w:b/>
      <w:bCs/>
      <w:sz w:val="32"/>
      <w:szCs w:val="32"/>
    </w:rPr>
  </w:style>
  <w:style w:type="paragraph" w:styleId="6">
    <w:name w:val="heading 4"/>
    <w:basedOn w:val="1"/>
    <w:next w:val="1"/>
    <w:link w:val="69"/>
    <w:qFormat/>
    <w:uiPriority w:val="0"/>
    <w:pPr>
      <w:keepNext/>
      <w:keepLines/>
      <w:spacing w:before="280" w:after="290" w:line="376" w:lineRule="auto"/>
      <w:outlineLvl w:val="3"/>
    </w:pPr>
    <w:rPr>
      <w:rFonts w:ascii="Arial" w:hAnsi="Arial" w:eastAsia="黑体"/>
      <w:b/>
      <w:bCs/>
      <w:sz w:val="28"/>
      <w:szCs w:val="28"/>
    </w:rPr>
  </w:style>
  <w:style w:type="paragraph" w:styleId="7">
    <w:name w:val="heading 5"/>
    <w:basedOn w:val="1"/>
    <w:next w:val="2"/>
    <w:link w:val="70"/>
    <w:qFormat/>
    <w:uiPriority w:val="0"/>
    <w:pPr>
      <w:keepNext/>
      <w:widowControl/>
      <w:spacing w:before="280" w:after="290" w:line="374" w:lineRule="auto"/>
      <w:outlineLvl w:val="4"/>
    </w:pPr>
    <w:rPr>
      <w:rFonts w:ascii="Calibri" w:hAnsi="Calibri"/>
      <w:b/>
      <w:bCs/>
      <w:kern w:val="0"/>
      <w:sz w:val="28"/>
      <w:szCs w:val="28"/>
    </w:rPr>
  </w:style>
  <w:style w:type="paragraph" w:styleId="8">
    <w:name w:val="heading 6"/>
    <w:basedOn w:val="1"/>
    <w:next w:val="1"/>
    <w:link w:val="71"/>
    <w:qFormat/>
    <w:uiPriority w:val="0"/>
    <w:pPr>
      <w:keepNext/>
      <w:widowControl/>
      <w:spacing w:before="240" w:after="64" w:line="319" w:lineRule="auto"/>
      <w:ind w:left="1152" w:hanging="1152"/>
      <w:jc w:val="left"/>
      <w:outlineLvl w:val="5"/>
    </w:pPr>
    <w:rPr>
      <w:rFonts w:ascii="Arial" w:hAnsi="Arial" w:cs="Arial"/>
      <w:b/>
      <w:bCs/>
      <w:kern w:val="0"/>
      <w:sz w:val="24"/>
    </w:rPr>
  </w:style>
  <w:style w:type="paragraph" w:styleId="9">
    <w:name w:val="heading 7"/>
    <w:basedOn w:val="1"/>
    <w:next w:val="1"/>
    <w:link w:val="72"/>
    <w:qFormat/>
    <w:uiPriority w:val="0"/>
    <w:pPr>
      <w:keepNext/>
      <w:widowControl/>
      <w:spacing w:before="240" w:after="64" w:line="319" w:lineRule="auto"/>
      <w:ind w:left="1296" w:hanging="1296"/>
      <w:jc w:val="left"/>
      <w:outlineLvl w:val="6"/>
    </w:pPr>
    <w:rPr>
      <w:rFonts w:ascii="Calibri" w:hAnsi="Calibri"/>
      <w:b/>
      <w:bCs/>
      <w:kern w:val="0"/>
      <w:sz w:val="24"/>
    </w:rPr>
  </w:style>
  <w:style w:type="paragraph" w:styleId="10">
    <w:name w:val="heading 8"/>
    <w:basedOn w:val="1"/>
    <w:next w:val="1"/>
    <w:link w:val="73"/>
    <w:qFormat/>
    <w:uiPriority w:val="0"/>
    <w:pPr>
      <w:keepNext/>
      <w:widowControl/>
      <w:spacing w:before="240" w:after="64" w:line="319" w:lineRule="auto"/>
      <w:ind w:left="1440" w:hanging="1440"/>
      <w:jc w:val="left"/>
      <w:outlineLvl w:val="7"/>
    </w:pPr>
    <w:rPr>
      <w:rFonts w:ascii="Arial" w:hAnsi="Arial" w:cs="Arial"/>
      <w:kern w:val="0"/>
      <w:sz w:val="24"/>
    </w:rPr>
  </w:style>
  <w:style w:type="paragraph" w:styleId="11">
    <w:name w:val="heading 9"/>
    <w:basedOn w:val="1"/>
    <w:next w:val="1"/>
    <w:link w:val="74"/>
    <w:qFormat/>
    <w:uiPriority w:val="0"/>
    <w:pPr>
      <w:keepNext/>
      <w:widowControl/>
      <w:spacing w:before="240" w:after="64" w:line="319" w:lineRule="auto"/>
      <w:ind w:left="1584" w:hanging="1584"/>
      <w:jc w:val="left"/>
      <w:outlineLvl w:val="8"/>
    </w:pPr>
    <w:rPr>
      <w:rFonts w:ascii="Arial" w:hAnsi="Arial" w:cs="Arial"/>
      <w:kern w:val="0"/>
      <w:szCs w:val="21"/>
    </w:rPr>
  </w:style>
  <w:style w:type="character" w:default="1" w:styleId="50">
    <w:name w:val="Default Paragraph Font"/>
    <w:semiHidden/>
    <w:unhideWhenUsed/>
    <w:qFormat/>
    <w:uiPriority w:val="1"/>
  </w:style>
  <w:style w:type="table" w:default="1" w:styleId="48">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0"/>
    <w:pPr>
      <w:ind w:firstLine="420" w:firstLineChars="200"/>
    </w:pPr>
  </w:style>
  <w:style w:type="paragraph" w:styleId="12">
    <w:name w:val="toc 7"/>
    <w:basedOn w:val="1"/>
    <w:next w:val="1"/>
    <w:qFormat/>
    <w:uiPriority w:val="0"/>
    <w:pPr>
      <w:ind w:left="2520" w:leftChars="1200"/>
    </w:pPr>
    <w:rPr>
      <w:rFonts w:ascii="Calibri" w:hAnsi="Calibri"/>
    </w:rPr>
  </w:style>
  <w:style w:type="paragraph" w:styleId="13">
    <w:name w:val="Document Map"/>
    <w:basedOn w:val="1"/>
    <w:link w:val="238"/>
    <w:qFormat/>
    <w:uiPriority w:val="0"/>
    <w:pPr>
      <w:widowControl/>
    </w:pPr>
    <w:rPr>
      <w:rFonts w:ascii="宋体" w:hAnsi="宋体"/>
      <w:kern w:val="0"/>
      <w:sz w:val="20"/>
      <w:szCs w:val="20"/>
    </w:rPr>
  </w:style>
  <w:style w:type="paragraph" w:styleId="14">
    <w:name w:val="toa heading"/>
    <w:basedOn w:val="1"/>
    <w:next w:val="1"/>
    <w:qFormat/>
    <w:uiPriority w:val="0"/>
    <w:pPr>
      <w:spacing w:before="120"/>
    </w:pPr>
    <w:rPr>
      <w:rFonts w:ascii="Arial" w:hAnsi="Arial"/>
      <w:b/>
      <w:bCs/>
    </w:rPr>
  </w:style>
  <w:style w:type="paragraph" w:styleId="15">
    <w:name w:val="annotation text"/>
    <w:basedOn w:val="1"/>
    <w:link w:val="232"/>
    <w:qFormat/>
    <w:uiPriority w:val="0"/>
    <w:pPr>
      <w:jc w:val="left"/>
    </w:pPr>
  </w:style>
  <w:style w:type="paragraph" w:styleId="16">
    <w:name w:val="Body Text 3"/>
    <w:basedOn w:val="1"/>
    <w:link w:val="78"/>
    <w:qFormat/>
    <w:uiPriority w:val="0"/>
    <w:rPr>
      <w:rFonts w:ascii="宋体"/>
      <w:sz w:val="24"/>
      <w:szCs w:val="20"/>
    </w:rPr>
  </w:style>
  <w:style w:type="paragraph" w:styleId="17">
    <w:name w:val="Body Text"/>
    <w:basedOn w:val="1"/>
    <w:next w:val="1"/>
    <w:link w:val="178"/>
    <w:qFormat/>
    <w:uiPriority w:val="0"/>
    <w:pPr>
      <w:widowControl/>
      <w:spacing w:after="120"/>
    </w:pPr>
    <w:rPr>
      <w:rFonts w:ascii="宋体" w:hAnsi="宋体"/>
      <w:kern w:val="0"/>
      <w:sz w:val="20"/>
      <w:szCs w:val="20"/>
    </w:rPr>
  </w:style>
  <w:style w:type="paragraph" w:styleId="18">
    <w:name w:val="Body Text Indent"/>
    <w:basedOn w:val="1"/>
    <w:link w:val="145"/>
    <w:qFormat/>
    <w:uiPriority w:val="0"/>
    <w:pPr>
      <w:spacing w:after="120"/>
      <w:ind w:left="420" w:leftChars="200"/>
    </w:pPr>
  </w:style>
  <w:style w:type="paragraph" w:styleId="19">
    <w:name w:val="List 2"/>
    <w:basedOn w:val="1"/>
    <w:qFormat/>
    <w:uiPriority w:val="0"/>
    <w:pPr>
      <w:ind w:left="100" w:hanging="200"/>
    </w:pPr>
    <w:rPr>
      <w:rFonts w:ascii="Calibri" w:hAnsi="Calibri"/>
    </w:rPr>
  </w:style>
  <w:style w:type="paragraph" w:styleId="20">
    <w:name w:val="Block Text"/>
    <w:basedOn w:val="1"/>
    <w:qFormat/>
    <w:uiPriority w:val="0"/>
    <w:pPr>
      <w:adjustRightInd w:val="0"/>
      <w:ind w:left="420" w:right="33"/>
      <w:jc w:val="left"/>
      <w:textAlignment w:val="baseline"/>
    </w:pPr>
    <w:rPr>
      <w:rFonts w:ascii="Calibri" w:hAnsi="Calibri"/>
      <w:kern w:val="0"/>
      <w:sz w:val="24"/>
      <w:szCs w:val="20"/>
    </w:rPr>
  </w:style>
  <w:style w:type="paragraph" w:styleId="21">
    <w:name w:val="toc 5"/>
    <w:basedOn w:val="1"/>
    <w:next w:val="1"/>
    <w:qFormat/>
    <w:uiPriority w:val="0"/>
    <w:pPr>
      <w:ind w:left="1680" w:leftChars="800"/>
    </w:pPr>
    <w:rPr>
      <w:rFonts w:ascii="Calibri" w:hAnsi="Calibri"/>
    </w:rPr>
  </w:style>
  <w:style w:type="paragraph" w:styleId="22">
    <w:name w:val="toc 3"/>
    <w:basedOn w:val="1"/>
    <w:next w:val="1"/>
    <w:qFormat/>
    <w:uiPriority w:val="0"/>
    <w:pPr>
      <w:ind w:left="840" w:leftChars="400"/>
    </w:pPr>
    <w:rPr>
      <w:rFonts w:ascii="Calibri" w:hAnsi="Calibri"/>
    </w:rPr>
  </w:style>
  <w:style w:type="paragraph" w:styleId="23">
    <w:name w:val="Plain Text"/>
    <w:basedOn w:val="1"/>
    <w:link w:val="122"/>
    <w:qFormat/>
    <w:uiPriority w:val="0"/>
    <w:rPr>
      <w:rFonts w:ascii="宋体"/>
      <w:szCs w:val="21"/>
    </w:rPr>
  </w:style>
  <w:style w:type="paragraph" w:styleId="24">
    <w:name w:val="toc 8"/>
    <w:basedOn w:val="1"/>
    <w:next w:val="1"/>
    <w:qFormat/>
    <w:uiPriority w:val="0"/>
    <w:pPr>
      <w:ind w:left="2940" w:leftChars="1400"/>
    </w:pPr>
    <w:rPr>
      <w:rFonts w:ascii="Calibri" w:hAnsi="Calibri"/>
    </w:rPr>
  </w:style>
  <w:style w:type="paragraph" w:styleId="25">
    <w:name w:val="Date"/>
    <w:basedOn w:val="1"/>
    <w:next w:val="1"/>
    <w:link w:val="211"/>
    <w:qFormat/>
    <w:uiPriority w:val="0"/>
    <w:pPr>
      <w:widowControl/>
    </w:pPr>
    <w:rPr>
      <w:rFonts w:ascii="宋体" w:hAnsi="宋体"/>
      <w:kern w:val="0"/>
      <w:sz w:val="20"/>
      <w:szCs w:val="20"/>
    </w:rPr>
  </w:style>
  <w:style w:type="paragraph" w:styleId="26">
    <w:name w:val="Body Text Indent 2"/>
    <w:basedOn w:val="1"/>
    <w:link w:val="220"/>
    <w:qFormat/>
    <w:uiPriority w:val="0"/>
    <w:pPr>
      <w:widowControl/>
      <w:overflowPunct w:val="0"/>
      <w:autoSpaceDE w:val="0"/>
      <w:autoSpaceDN w:val="0"/>
      <w:adjustRightInd w:val="0"/>
      <w:spacing w:line="360" w:lineRule="auto"/>
      <w:ind w:firstLine="555"/>
      <w:textAlignment w:val="baseline"/>
    </w:pPr>
    <w:rPr>
      <w:rFonts w:ascii="宋体" w:hAnsi="MS Sans Serif"/>
      <w:spacing w:val="12"/>
      <w:kern w:val="0"/>
      <w:sz w:val="24"/>
      <w:szCs w:val="20"/>
    </w:rPr>
  </w:style>
  <w:style w:type="paragraph" w:styleId="27">
    <w:name w:val="endnote text"/>
    <w:basedOn w:val="1"/>
    <w:link w:val="166"/>
    <w:qFormat/>
    <w:uiPriority w:val="0"/>
    <w:pPr>
      <w:widowControl/>
      <w:snapToGrid w:val="0"/>
      <w:jc w:val="left"/>
    </w:pPr>
    <w:rPr>
      <w:rFonts w:ascii="Calibri" w:hAnsi="Calibri"/>
    </w:rPr>
  </w:style>
  <w:style w:type="paragraph" w:styleId="28">
    <w:name w:val="Balloon Text"/>
    <w:basedOn w:val="1"/>
    <w:link w:val="68"/>
    <w:qFormat/>
    <w:uiPriority w:val="0"/>
    <w:rPr>
      <w:sz w:val="18"/>
      <w:szCs w:val="18"/>
    </w:rPr>
  </w:style>
  <w:style w:type="paragraph" w:styleId="29">
    <w:name w:val="footer"/>
    <w:basedOn w:val="1"/>
    <w:link w:val="92"/>
    <w:qFormat/>
    <w:uiPriority w:val="99"/>
    <w:pPr>
      <w:tabs>
        <w:tab w:val="center" w:pos="4153"/>
        <w:tab w:val="right" w:pos="8306"/>
      </w:tabs>
      <w:snapToGrid w:val="0"/>
      <w:jc w:val="left"/>
    </w:pPr>
    <w:rPr>
      <w:sz w:val="18"/>
      <w:szCs w:val="18"/>
    </w:rPr>
  </w:style>
  <w:style w:type="paragraph" w:styleId="30">
    <w:name w:val="header"/>
    <w:basedOn w:val="1"/>
    <w:link w:val="137"/>
    <w:qFormat/>
    <w:uiPriority w:val="0"/>
    <w:pPr>
      <w:widowControl/>
      <w:snapToGrid w:val="0"/>
      <w:jc w:val="center"/>
    </w:pPr>
    <w:rPr>
      <w:kern w:val="0"/>
      <w:sz w:val="18"/>
      <w:szCs w:val="18"/>
    </w:rPr>
  </w:style>
  <w:style w:type="paragraph" w:styleId="31">
    <w:name w:val="toc 1"/>
    <w:basedOn w:val="1"/>
    <w:next w:val="1"/>
    <w:qFormat/>
    <w:uiPriority w:val="0"/>
    <w:pPr>
      <w:widowControl/>
      <w:spacing w:after="100" w:line="276" w:lineRule="auto"/>
      <w:jc w:val="left"/>
    </w:pPr>
    <w:rPr>
      <w:rFonts w:ascii="Calibri" w:hAnsi="Calibri" w:cs="宋体"/>
      <w:kern w:val="0"/>
      <w:sz w:val="22"/>
      <w:szCs w:val="22"/>
    </w:rPr>
  </w:style>
  <w:style w:type="paragraph" w:styleId="32">
    <w:name w:val="toc 4"/>
    <w:basedOn w:val="1"/>
    <w:next w:val="1"/>
    <w:qFormat/>
    <w:uiPriority w:val="0"/>
    <w:pPr>
      <w:ind w:left="1260" w:leftChars="600"/>
    </w:pPr>
    <w:rPr>
      <w:rFonts w:ascii="Calibri" w:hAnsi="Calibri"/>
    </w:rPr>
  </w:style>
  <w:style w:type="paragraph" w:styleId="33">
    <w:name w:val="Subtitle"/>
    <w:basedOn w:val="1"/>
    <w:link w:val="180"/>
    <w:qFormat/>
    <w:uiPriority w:val="0"/>
    <w:pPr>
      <w:widowControl/>
      <w:spacing w:before="240" w:after="60" w:line="312" w:lineRule="auto"/>
      <w:jc w:val="center"/>
    </w:pPr>
    <w:rPr>
      <w:rFonts w:ascii="Cambria" w:hAnsi="Cambria"/>
      <w:b/>
      <w:bCs/>
      <w:kern w:val="0"/>
      <w:sz w:val="20"/>
      <w:szCs w:val="20"/>
    </w:rPr>
  </w:style>
  <w:style w:type="paragraph" w:styleId="34">
    <w:name w:val="footnote text"/>
    <w:basedOn w:val="1"/>
    <w:link w:val="223"/>
    <w:qFormat/>
    <w:uiPriority w:val="0"/>
    <w:rPr>
      <w:rFonts w:ascii="Calibri" w:hAnsi="Calibri"/>
      <w:sz w:val="20"/>
      <w:szCs w:val="20"/>
    </w:rPr>
  </w:style>
  <w:style w:type="paragraph" w:styleId="35">
    <w:name w:val="toc 6"/>
    <w:basedOn w:val="1"/>
    <w:next w:val="1"/>
    <w:qFormat/>
    <w:uiPriority w:val="0"/>
    <w:pPr>
      <w:ind w:left="2100" w:leftChars="1000"/>
    </w:pPr>
    <w:rPr>
      <w:rFonts w:ascii="Calibri" w:hAnsi="Calibri"/>
    </w:rPr>
  </w:style>
  <w:style w:type="paragraph" w:styleId="36">
    <w:name w:val="Body Text Indent 3"/>
    <w:basedOn w:val="1"/>
    <w:link w:val="206"/>
    <w:qFormat/>
    <w:uiPriority w:val="0"/>
    <w:pPr>
      <w:widowControl/>
      <w:spacing w:after="120"/>
      <w:ind w:left="420"/>
    </w:pPr>
    <w:rPr>
      <w:rFonts w:ascii="宋体" w:hAnsi="宋体"/>
      <w:kern w:val="0"/>
      <w:sz w:val="20"/>
      <w:szCs w:val="20"/>
    </w:rPr>
  </w:style>
  <w:style w:type="paragraph" w:styleId="37">
    <w:name w:val="table of figures"/>
    <w:basedOn w:val="1"/>
    <w:next w:val="1"/>
    <w:qFormat/>
    <w:uiPriority w:val="0"/>
    <w:pPr>
      <w:ind w:left="200" w:leftChars="200" w:hanging="200" w:hangingChars="200"/>
    </w:pPr>
    <w:rPr>
      <w:rFonts w:ascii="Calibri" w:hAnsi="Calibri"/>
    </w:rPr>
  </w:style>
  <w:style w:type="paragraph" w:styleId="38">
    <w:name w:val="toc 2"/>
    <w:basedOn w:val="1"/>
    <w:next w:val="1"/>
    <w:qFormat/>
    <w:uiPriority w:val="0"/>
    <w:pPr>
      <w:ind w:left="420" w:leftChars="200"/>
    </w:pPr>
    <w:rPr>
      <w:rFonts w:ascii="Calibri" w:hAnsi="Calibri"/>
    </w:rPr>
  </w:style>
  <w:style w:type="paragraph" w:styleId="39">
    <w:name w:val="toc 9"/>
    <w:basedOn w:val="1"/>
    <w:next w:val="1"/>
    <w:qFormat/>
    <w:uiPriority w:val="0"/>
    <w:pPr>
      <w:ind w:left="3360" w:leftChars="1600"/>
    </w:pPr>
    <w:rPr>
      <w:rFonts w:ascii="Calibri" w:hAnsi="Calibri"/>
    </w:rPr>
  </w:style>
  <w:style w:type="paragraph" w:styleId="40">
    <w:name w:val="Body Text 2"/>
    <w:basedOn w:val="1"/>
    <w:link w:val="177"/>
    <w:qFormat/>
    <w:uiPriority w:val="0"/>
    <w:pPr>
      <w:widowControl/>
    </w:pPr>
    <w:rPr>
      <w:rFonts w:ascii="宋体" w:hAnsi="宋体"/>
      <w:kern w:val="0"/>
      <w:sz w:val="20"/>
      <w:szCs w:val="20"/>
    </w:rPr>
  </w:style>
  <w:style w:type="paragraph" w:styleId="41">
    <w:name w:val="HTML Preformatted"/>
    <w:basedOn w:val="1"/>
    <w:link w:val="175"/>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4" w:lineRule="auto"/>
      <w:jc w:val="left"/>
    </w:pPr>
    <w:rPr>
      <w:rFonts w:ascii="宋体" w:hAnsi="宋体" w:cs="宋体"/>
      <w:kern w:val="0"/>
      <w:sz w:val="20"/>
      <w:szCs w:val="20"/>
    </w:rPr>
  </w:style>
  <w:style w:type="paragraph" w:styleId="42">
    <w:name w:val="Normal (Web)"/>
    <w:basedOn w:val="1"/>
    <w:next w:val="29"/>
    <w:qFormat/>
    <w:uiPriority w:val="0"/>
    <w:pPr>
      <w:widowControl/>
      <w:spacing w:beforeAutospacing="1" w:afterAutospacing="1"/>
      <w:jc w:val="left"/>
    </w:pPr>
    <w:rPr>
      <w:rFonts w:ascii="宋体" w:hAnsi="宋体" w:cs="宋体"/>
      <w:kern w:val="0"/>
      <w:sz w:val="24"/>
    </w:rPr>
  </w:style>
  <w:style w:type="paragraph" w:styleId="43">
    <w:name w:val="index 1"/>
    <w:basedOn w:val="1"/>
    <w:next w:val="1"/>
    <w:qFormat/>
    <w:uiPriority w:val="0"/>
    <w:rPr>
      <w:rFonts w:ascii="Calibri" w:hAnsi="Calibri"/>
      <w:szCs w:val="20"/>
    </w:rPr>
  </w:style>
  <w:style w:type="paragraph" w:styleId="44">
    <w:name w:val="Title"/>
    <w:basedOn w:val="1"/>
    <w:link w:val="190"/>
    <w:qFormat/>
    <w:uiPriority w:val="0"/>
    <w:pPr>
      <w:widowControl/>
      <w:spacing w:before="240" w:after="60"/>
      <w:jc w:val="center"/>
    </w:pPr>
    <w:rPr>
      <w:rFonts w:ascii="Cambria" w:hAnsi="Cambria"/>
      <w:b/>
      <w:bCs/>
      <w:kern w:val="0"/>
      <w:sz w:val="20"/>
      <w:szCs w:val="20"/>
    </w:rPr>
  </w:style>
  <w:style w:type="paragraph" w:styleId="45">
    <w:name w:val="annotation subject"/>
    <w:basedOn w:val="15"/>
    <w:next w:val="15"/>
    <w:link w:val="233"/>
    <w:qFormat/>
    <w:uiPriority w:val="0"/>
    <w:pPr>
      <w:widowControl/>
    </w:pPr>
    <w:rPr>
      <w:b/>
      <w:bCs/>
      <w:kern w:val="0"/>
      <w:sz w:val="20"/>
      <w:szCs w:val="20"/>
    </w:rPr>
  </w:style>
  <w:style w:type="paragraph" w:styleId="46">
    <w:name w:val="Body Text First Indent"/>
    <w:basedOn w:val="17"/>
    <w:link w:val="252"/>
    <w:qFormat/>
    <w:uiPriority w:val="0"/>
    <w:pPr>
      <w:widowControl w:val="0"/>
      <w:ind w:firstLine="420" w:firstLineChars="100"/>
    </w:pPr>
    <w:rPr>
      <w:rFonts w:eastAsia="仿宋_GB2312"/>
      <w:spacing w:val="-20"/>
      <w:kern w:val="2"/>
      <w:sz w:val="21"/>
      <w:szCs w:val="24"/>
    </w:rPr>
  </w:style>
  <w:style w:type="paragraph" w:styleId="47">
    <w:name w:val="Body Text First Indent 2"/>
    <w:basedOn w:val="18"/>
    <w:qFormat/>
    <w:uiPriority w:val="99"/>
    <w:pPr>
      <w:ind w:firstLine="420" w:firstLineChars="200"/>
    </w:pPr>
  </w:style>
  <w:style w:type="table" w:styleId="49">
    <w:name w:val="Table Grid"/>
    <w:basedOn w:val="4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51">
    <w:name w:val="Strong"/>
    <w:basedOn w:val="50"/>
    <w:qFormat/>
    <w:uiPriority w:val="0"/>
    <w:rPr>
      <w:b/>
      <w:bCs/>
    </w:rPr>
  </w:style>
  <w:style w:type="character" w:styleId="52">
    <w:name w:val="page number"/>
    <w:basedOn w:val="50"/>
    <w:qFormat/>
    <w:uiPriority w:val="0"/>
  </w:style>
  <w:style w:type="character" w:styleId="53">
    <w:name w:val="FollowedHyperlink"/>
    <w:qFormat/>
    <w:uiPriority w:val="0"/>
    <w:rPr>
      <w:rFonts w:cs="Times New Roman"/>
      <w:color w:val="800080"/>
      <w:u w:val="single"/>
    </w:rPr>
  </w:style>
  <w:style w:type="character" w:styleId="54">
    <w:name w:val="Emphasis"/>
    <w:qFormat/>
    <w:uiPriority w:val="0"/>
  </w:style>
  <w:style w:type="character" w:styleId="55">
    <w:name w:val="HTML Definition"/>
    <w:unhideWhenUsed/>
    <w:qFormat/>
    <w:uiPriority w:val="99"/>
  </w:style>
  <w:style w:type="character" w:styleId="56">
    <w:name w:val="HTML Variable"/>
    <w:unhideWhenUsed/>
    <w:qFormat/>
    <w:uiPriority w:val="99"/>
  </w:style>
  <w:style w:type="character" w:styleId="57">
    <w:name w:val="Hyperlink"/>
    <w:qFormat/>
    <w:uiPriority w:val="0"/>
    <w:rPr>
      <w:color w:val="0000FF"/>
      <w:u w:val="none"/>
    </w:rPr>
  </w:style>
  <w:style w:type="character" w:styleId="58">
    <w:name w:val="HTML Code"/>
    <w:unhideWhenUsed/>
    <w:qFormat/>
    <w:uiPriority w:val="99"/>
    <w:rPr>
      <w:rFonts w:hint="default" w:ascii="Courier New" w:hAnsi="Courier New" w:eastAsia="Courier New" w:cs="Courier New"/>
      <w:sz w:val="20"/>
    </w:rPr>
  </w:style>
  <w:style w:type="character" w:styleId="59">
    <w:name w:val="annotation reference"/>
    <w:qFormat/>
    <w:uiPriority w:val="0"/>
    <w:rPr>
      <w:sz w:val="21"/>
      <w:szCs w:val="21"/>
    </w:rPr>
  </w:style>
  <w:style w:type="character" w:styleId="60">
    <w:name w:val="HTML Cite"/>
    <w:unhideWhenUsed/>
    <w:qFormat/>
    <w:uiPriority w:val="99"/>
  </w:style>
  <w:style w:type="character" w:styleId="61">
    <w:name w:val="footnote reference"/>
    <w:qFormat/>
    <w:uiPriority w:val="0"/>
    <w:rPr>
      <w:vertAlign w:val="superscript"/>
    </w:rPr>
  </w:style>
  <w:style w:type="character" w:styleId="62">
    <w:name w:val="HTML Keyboard"/>
    <w:unhideWhenUsed/>
    <w:qFormat/>
    <w:uiPriority w:val="99"/>
    <w:rPr>
      <w:rFonts w:ascii="Courier New" w:hAnsi="Courier New" w:eastAsia="Courier New" w:cs="Courier New"/>
      <w:sz w:val="20"/>
    </w:rPr>
  </w:style>
  <w:style w:type="character" w:styleId="63">
    <w:name w:val="HTML Sample"/>
    <w:unhideWhenUsed/>
    <w:qFormat/>
    <w:uiPriority w:val="99"/>
    <w:rPr>
      <w:rFonts w:hint="default" w:ascii="Courier New" w:hAnsi="Courier New" w:eastAsia="Courier New" w:cs="Courier New"/>
    </w:rPr>
  </w:style>
  <w:style w:type="paragraph" w:customStyle="1" w:styleId="64">
    <w:name w:val="Default"/>
    <w:qFormat/>
    <w:uiPriority w:val="0"/>
    <w:pPr>
      <w:widowControl w:val="0"/>
      <w:autoSpaceDE w:val="0"/>
      <w:autoSpaceDN w:val="0"/>
      <w:adjustRightInd w:val="0"/>
    </w:pPr>
    <w:rPr>
      <w:rFonts w:ascii="楷体_GB2312" w:hAnsi="Times New Roman" w:eastAsia="楷体_GB2312" w:cs="楷体_GB2312"/>
      <w:color w:val="000000"/>
      <w:sz w:val="24"/>
      <w:szCs w:val="24"/>
      <w:lang w:val="en-US" w:eastAsia="zh-CN" w:bidi="ar-SA"/>
    </w:rPr>
  </w:style>
  <w:style w:type="paragraph" w:customStyle="1" w:styleId="65">
    <w:name w:val="列出段落2"/>
    <w:basedOn w:val="1"/>
    <w:qFormat/>
    <w:uiPriority w:val="34"/>
    <w:pPr>
      <w:ind w:firstLine="420" w:firstLineChars="200"/>
    </w:pPr>
    <w:rPr>
      <w:sz w:val="24"/>
    </w:rPr>
  </w:style>
  <w:style w:type="paragraph" w:customStyle="1" w:styleId="66">
    <w:name w:val="目录"/>
    <w:basedOn w:val="1"/>
    <w:qFormat/>
    <w:uiPriority w:val="0"/>
    <w:pPr>
      <w:widowControl/>
      <w:jc w:val="center"/>
    </w:pPr>
    <w:rPr>
      <w:rFonts w:ascii="宋体"/>
      <w:b/>
      <w:kern w:val="0"/>
      <w:sz w:val="36"/>
      <w:szCs w:val="20"/>
    </w:rPr>
  </w:style>
  <w:style w:type="paragraph" w:customStyle="1" w:styleId="67">
    <w:name w:val="WPSOffice手动目录 1"/>
    <w:qFormat/>
    <w:uiPriority w:val="0"/>
    <w:rPr>
      <w:rFonts w:ascii="Times New Roman" w:hAnsi="Times New Roman" w:eastAsia="宋体" w:cs="Times New Roman"/>
      <w:lang w:val="en-US" w:eastAsia="zh-CN" w:bidi="ar-SA"/>
    </w:rPr>
  </w:style>
  <w:style w:type="character" w:customStyle="1" w:styleId="68">
    <w:name w:val="批注框文本 Char"/>
    <w:basedOn w:val="50"/>
    <w:link w:val="28"/>
    <w:qFormat/>
    <w:uiPriority w:val="0"/>
    <w:rPr>
      <w:kern w:val="2"/>
      <w:sz w:val="18"/>
      <w:szCs w:val="18"/>
    </w:rPr>
  </w:style>
  <w:style w:type="character" w:customStyle="1" w:styleId="69">
    <w:name w:val="标题 4 Char"/>
    <w:basedOn w:val="50"/>
    <w:link w:val="6"/>
    <w:qFormat/>
    <w:uiPriority w:val="0"/>
    <w:rPr>
      <w:rFonts w:ascii="Arial" w:hAnsi="Arial" w:eastAsia="黑体"/>
      <w:b/>
      <w:bCs/>
      <w:kern w:val="2"/>
      <w:sz w:val="28"/>
      <w:szCs w:val="28"/>
    </w:rPr>
  </w:style>
  <w:style w:type="character" w:customStyle="1" w:styleId="70">
    <w:name w:val="标题 5 Char"/>
    <w:basedOn w:val="50"/>
    <w:link w:val="7"/>
    <w:qFormat/>
    <w:uiPriority w:val="0"/>
    <w:rPr>
      <w:rFonts w:ascii="Calibri" w:hAnsi="Calibri"/>
      <w:b/>
      <w:bCs/>
      <w:sz w:val="28"/>
      <w:szCs w:val="28"/>
    </w:rPr>
  </w:style>
  <w:style w:type="character" w:customStyle="1" w:styleId="71">
    <w:name w:val="标题 6 Char"/>
    <w:basedOn w:val="50"/>
    <w:link w:val="8"/>
    <w:qFormat/>
    <w:uiPriority w:val="0"/>
    <w:rPr>
      <w:rFonts w:ascii="Arial" w:hAnsi="Arial" w:cs="Arial"/>
      <w:b/>
      <w:bCs/>
      <w:sz w:val="24"/>
      <w:szCs w:val="24"/>
    </w:rPr>
  </w:style>
  <w:style w:type="character" w:customStyle="1" w:styleId="72">
    <w:name w:val="标题 7 Char"/>
    <w:basedOn w:val="50"/>
    <w:link w:val="9"/>
    <w:qFormat/>
    <w:uiPriority w:val="0"/>
    <w:rPr>
      <w:rFonts w:ascii="Calibri" w:hAnsi="Calibri"/>
      <w:b/>
      <w:bCs/>
      <w:sz w:val="24"/>
      <w:szCs w:val="24"/>
    </w:rPr>
  </w:style>
  <w:style w:type="character" w:customStyle="1" w:styleId="73">
    <w:name w:val="标题 8 Char"/>
    <w:basedOn w:val="50"/>
    <w:link w:val="10"/>
    <w:qFormat/>
    <w:uiPriority w:val="0"/>
    <w:rPr>
      <w:rFonts w:ascii="Arial" w:hAnsi="Arial" w:cs="Arial"/>
      <w:sz w:val="24"/>
      <w:szCs w:val="24"/>
    </w:rPr>
  </w:style>
  <w:style w:type="character" w:customStyle="1" w:styleId="74">
    <w:name w:val="标题 9 Char"/>
    <w:basedOn w:val="50"/>
    <w:link w:val="11"/>
    <w:qFormat/>
    <w:uiPriority w:val="0"/>
    <w:rPr>
      <w:rFonts w:ascii="Arial" w:hAnsi="Arial" w:cs="Arial"/>
      <w:sz w:val="21"/>
      <w:szCs w:val="21"/>
    </w:rPr>
  </w:style>
  <w:style w:type="character" w:customStyle="1" w:styleId="75">
    <w:name w:val="普通文字 Char1"/>
    <w:qFormat/>
    <w:uiPriority w:val="0"/>
    <w:rPr>
      <w:rFonts w:ascii="宋体" w:hAnsi="Courier New" w:cs="Courier New"/>
      <w:kern w:val="2"/>
      <w:sz w:val="21"/>
      <w:szCs w:val="21"/>
    </w:rPr>
  </w:style>
  <w:style w:type="character" w:customStyle="1" w:styleId="76">
    <w:name w:val="ꌢ 2 Char"/>
    <w:link w:val="77"/>
    <w:qFormat/>
    <w:uiPriority w:val="0"/>
    <w:rPr>
      <w:rFonts w:ascii="Arial" w:hAnsi="Arial"/>
      <w:b/>
      <w:bCs/>
    </w:rPr>
  </w:style>
  <w:style w:type="paragraph" w:customStyle="1" w:styleId="77">
    <w:name w:val="ꌢ 2"/>
    <w:basedOn w:val="1"/>
    <w:link w:val="76"/>
    <w:qFormat/>
    <w:uiPriority w:val="0"/>
    <w:pPr>
      <w:widowControl/>
    </w:pPr>
    <w:rPr>
      <w:rFonts w:ascii="Arial" w:hAnsi="Arial"/>
      <w:b/>
      <w:bCs/>
      <w:kern w:val="0"/>
      <w:sz w:val="20"/>
      <w:szCs w:val="20"/>
    </w:rPr>
  </w:style>
  <w:style w:type="character" w:customStyle="1" w:styleId="78">
    <w:name w:val="正文文本 3 Char"/>
    <w:link w:val="16"/>
    <w:qFormat/>
    <w:uiPriority w:val="0"/>
    <w:rPr>
      <w:rFonts w:ascii="宋体"/>
      <w:kern w:val="2"/>
      <w:sz w:val="24"/>
    </w:rPr>
  </w:style>
  <w:style w:type="character" w:customStyle="1" w:styleId="79">
    <w:name w:val="标题 3 Char"/>
    <w:link w:val="5"/>
    <w:qFormat/>
    <w:uiPriority w:val="0"/>
    <w:rPr>
      <w:b/>
      <w:bCs/>
      <w:kern w:val="2"/>
      <w:sz w:val="32"/>
      <w:szCs w:val="32"/>
    </w:rPr>
  </w:style>
  <w:style w:type="character" w:customStyle="1" w:styleId="80">
    <w:name w:val="引用 Char"/>
    <w:qFormat/>
    <w:uiPriority w:val="0"/>
    <w:rPr>
      <w:i/>
      <w:iCs/>
      <w:color w:val="000000"/>
      <w:kern w:val="2"/>
      <w:sz w:val="21"/>
      <w:szCs w:val="24"/>
    </w:rPr>
  </w:style>
  <w:style w:type="character" w:customStyle="1" w:styleId="81">
    <w:name w:val="Char Char5"/>
    <w:qFormat/>
    <w:uiPriority w:val="0"/>
    <w:rPr>
      <w:rFonts w:ascii="Times New Roman" w:hAnsi="Times New Roman" w:cs="Times New Roman"/>
      <w:sz w:val="24"/>
    </w:rPr>
  </w:style>
  <w:style w:type="character" w:customStyle="1" w:styleId="82">
    <w:name w:val="副标题 Char"/>
    <w:qFormat/>
    <w:uiPriority w:val="0"/>
    <w:rPr>
      <w:rFonts w:ascii="Cambria" w:hAnsi="Cambria"/>
      <w:b/>
      <w:bCs/>
    </w:rPr>
  </w:style>
  <w:style w:type="character" w:customStyle="1" w:styleId="83">
    <w:name w:val="Char Char2"/>
    <w:qFormat/>
    <w:uiPriority w:val="0"/>
    <w:rPr>
      <w:rFonts w:eastAsia="宋体"/>
      <w:kern w:val="2"/>
      <w:sz w:val="21"/>
      <w:szCs w:val="24"/>
      <w:lang w:val="en-US" w:eastAsia="zh-CN" w:bidi="ar-SA"/>
    </w:rPr>
  </w:style>
  <w:style w:type="character" w:customStyle="1" w:styleId="84">
    <w:name w:val="font161"/>
    <w:qFormat/>
    <w:uiPriority w:val="0"/>
    <w:rPr>
      <w:b/>
      <w:bCs/>
      <w:sz w:val="32"/>
      <w:szCs w:val="32"/>
    </w:rPr>
  </w:style>
  <w:style w:type="character" w:customStyle="1" w:styleId="85">
    <w:name w:val="Body Text Indent Char1"/>
    <w:qFormat/>
    <w:uiPriority w:val="0"/>
    <w:rPr>
      <w:rFonts w:ascii="Times New Roman" w:hAnsi="Times New Roman"/>
      <w:szCs w:val="21"/>
    </w:rPr>
  </w:style>
  <w:style w:type="character" w:customStyle="1" w:styleId="86">
    <w:name w:val="Char Char"/>
    <w:qFormat/>
    <w:uiPriority w:val="0"/>
    <w:rPr>
      <w:rFonts w:ascii="Arial" w:hAnsi="Arial" w:eastAsia="黑体"/>
      <w:b/>
      <w:bCs/>
      <w:kern w:val="2"/>
      <w:sz w:val="32"/>
      <w:szCs w:val="32"/>
      <w:lang w:val="en-US" w:eastAsia="zh-CN" w:bidi="ar-SA"/>
    </w:rPr>
  </w:style>
  <w:style w:type="character" w:customStyle="1" w:styleId="87">
    <w:name w:val="正文文字4 Char Char"/>
    <w:qFormat/>
    <w:uiPriority w:val="0"/>
    <w:rPr>
      <w:kern w:val="2"/>
      <w:sz w:val="21"/>
      <w:szCs w:val="24"/>
    </w:rPr>
  </w:style>
  <w:style w:type="character" w:customStyle="1" w:styleId="88">
    <w:name w:val="标题 3 Char Char"/>
    <w:qFormat/>
    <w:uiPriority w:val="0"/>
    <w:rPr>
      <w:rFonts w:eastAsia="黑体"/>
      <w:b/>
      <w:kern w:val="2"/>
      <w:sz w:val="28"/>
      <w:lang w:val="en-US" w:eastAsia="zh-CN" w:bidi="ar-SA"/>
    </w:rPr>
  </w:style>
  <w:style w:type="character" w:customStyle="1" w:styleId="89">
    <w:name w:val="Body Text Indent 3 Char1"/>
    <w:qFormat/>
    <w:uiPriority w:val="0"/>
    <w:rPr>
      <w:rFonts w:ascii="Times New Roman" w:hAnsi="Times New Roman"/>
      <w:sz w:val="16"/>
      <w:szCs w:val="16"/>
    </w:rPr>
  </w:style>
  <w:style w:type="character" w:customStyle="1" w:styleId="90">
    <w:name w:val="普通(网站) Char Char"/>
    <w:link w:val="91"/>
    <w:qFormat/>
    <w:uiPriority w:val="0"/>
    <w:rPr>
      <w:rFonts w:ascii="宋体" w:hAnsi="宋体"/>
      <w:sz w:val="24"/>
    </w:rPr>
  </w:style>
  <w:style w:type="paragraph" w:customStyle="1" w:styleId="91">
    <w:name w:val="普通(网站)1"/>
    <w:basedOn w:val="1"/>
    <w:link w:val="90"/>
    <w:qFormat/>
    <w:uiPriority w:val="0"/>
    <w:pPr>
      <w:widowControl/>
      <w:spacing w:before="100" w:beforeAutospacing="1" w:after="100" w:afterAutospacing="1" w:line="360" w:lineRule="auto"/>
      <w:ind w:firstLine="420" w:firstLineChars="200"/>
      <w:jc w:val="left"/>
    </w:pPr>
    <w:rPr>
      <w:rFonts w:ascii="宋体" w:hAnsi="宋体"/>
      <w:kern w:val="0"/>
      <w:sz w:val="24"/>
      <w:szCs w:val="20"/>
    </w:rPr>
  </w:style>
  <w:style w:type="character" w:customStyle="1" w:styleId="92">
    <w:name w:val="页脚 Char"/>
    <w:link w:val="29"/>
    <w:qFormat/>
    <w:uiPriority w:val="99"/>
    <w:rPr>
      <w:kern w:val="2"/>
      <w:sz w:val="18"/>
      <w:szCs w:val="18"/>
    </w:rPr>
  </w:style>
  <w:style w:type="character" w:customStyle="1" w:styleId="93">
    <w:name w:val="普通(网站) Char"/>
    <w:qFormat/>
    <w:uiPriority w:val="0"/>
    <w:rPr>
      <w:rFonts w:ascii="宋体" w:eastAsia="宋体"/>
      <w:sz w:val="24"/>
      <w:szCs w:val="24"/>
      <w:lang w:bidi="ar-SA"/>
    </w:rPr>
  </w:style>
  <w:style w:type="character" w:customStyle="1" w:styleId="94">
    <w:name w:val="style11"/>
    <w:qFormat/>
    <w:uiPriority w:val="0"/>
  </w:style>
  <w:style w:type="character" w:customStyle="1" w:styleId="95">
    <w:name w:val="标题 2 Char"/>
    <w:link w:val="4"/>
    <w:qFormat/>
    <w:uiPriority w:val="0"/>
    <w:rPr>
      <w:rFonts w:ascii="Arial" w:hAnsi="Arial" w:eastAsia="黑体"/>
      <w:b/>
      <w:bCs/>
      <w:sz w:val="32"/>
      <w:szCs w:val="32"/>
    </w:rPr>
  </w:style>
  <w:style w:type="character" w:customStyle="1" w:styleId="96">
    <w:name w:val="标题 1 Char1"/>
    <w:qFormat/>
    <w:uiPriority w:val="0"/>
    <w:rPr>
      <w:rFonts w:eastAsia="宋体"/>
      <w:b/>
      <w:bCs/>
      <w:kern w:val="44"/>
      <w:sz w:val="32"/>
      <w:szCs w:val="44"/>
      <w:lang w:val="en-US" w:eastAsia="zh-CN" w:bidi="ar-SA"/>
    </w:rPr>
  </w:style>
  <w:style w:type="character" w:customStyle="1" w:styleId="97">
    <w:name w:val="z-窗体底端 Char"/>
    <w:qFormat/>
    <w:uiPriority w:val="0"/>
    <w:rPr>
      <w:rFonts w:ascii="Arial" w:hAnsi="Arial"/>
      <w:vanish/>
      <w:sz w:val="16"/>
      <w:szCs w:val="16"/>
    </w:rPr>
  </w:style>
  <w:style w:type="paragraph" w:customStyle="1" w:styleId="98">
    <w:name w:val="z-窗体底端1"/>
    <w:basedOn w:val="1"/>
    <w:next w:val="1"/>
    <w:link w:val="207"/>
    <w:qFormat/>
    <w:uiPriority w:val="0"/>
    <w:pPr>
      <w:pBdr>
        <w:top w:val="single" w:color="auto" w:sz="6" w:space="1"/>
      </w:pBdr>
      <w:jc w:val="center"/>
    </w:pPr>
    <w:rPr>
      <w:rFonts w:ascii="Arial" w:hAnsi="Arial"/>
      <w:vanish/>
      <w:kern w:val="0"/>
      <w:sz w:val="16"/>
      <w:szCs w:val="16"/>
    </w:rPr>
  </w:style>
  <w:style w:type="character" w:customStyle="1" w:styleId="99">
    <w:name w:val="尾注文本 Char"/>
    <w:qFormat/>
    <w:uiPriority w:val="0"/>
    <w:rPr>
      <w:rFonts w:ascii="Calibri" w:hAnsi="Calibri"/>
      <w:kern w:val="2"/>
      <w:sz w:val="21"/>
      <w:szCs w:val="24"/>
    </w:rPr>
  </w:style>
  <w:style w:type="character" w:customStyle="1" w:styleId="100">
    <w:name w:val="on"/>
    <w:basedOn w:val="50"/>
    <w:qFormat/>
    <w:uiPriority w:val="0"/>
  </w:style>
  <w:style w:type="character" w:customStyle="1" w:styleId="101">
    <w:name w:val="Document Map Char1"/>
    <w:qFormat/>
    <w:uiPriority w:val="0"/>
    <w:rPr>
      <w:rFonts w:ascii="Times New Roman" w:hAnsi="Times New Roman"/>
      <w:sz w:val="16"/>
      <w:szCs w:val="0"/>
    </w:rPr>
  </w:style>
  <w:style w:type="character" w:customStyle="1" w:styleId="102">
    <w:name w:val="正文文本 Char"/>
    <w:qFormat/>
    <w:uiPriority w:val="0"/>
    <w:rPr>
      <w:rFonts w:ascii="宋体" w:hAnsi="宋体"/>
    </w:rPr>
  </w:style>
  <w:style w:type="character" w:customStyle="1" w:styleId="103">
    <w:name w:val="Char Char4"/>
    <w:qFormat/>
    <w:uiPriority w:val="0"/>
    <w:rPr>
      <w:rFonts w:ascii="仿宋_GB2312" w:hAnsi="Times New Roman" w:eastAsia="仿宋_GB2312"/>
      <w:spacing w:val="-20"/>
      <w:kern w:val="2"/>
      <w:sz w:val="28"/>
    </w:rPr>
  </w:style>
  <w:style w:type="character" w:customStyle="1" w:styleId="104">
    <w:name w:val="Char Char7"/>
    <w:qFormat/>
    <w:uiPriority w:val="0"/>
    <w:rPr>
      <w:rFonts w:ascii="Arial" w:hAnsi="Arial" w:eastAsia="黑体"/>
      <w:b/>
      <w:bCs/>
      <w:kern w:val="2"/>
      <w:sz w:val="32"/>
      <w:szCs w:val="32"/>
      <w:lang w:val="en-US" w:eastAsia="zh-CN" w:bidi="ar-SA"/>
    </w:rPr>
  </w:style>
  <w:style w:type="character" w:customStyle="1" w:styleId="105">
    <w:name w:val="Date Char1"/>
    <w:qFormat/>
    <w:uiPriority w:val="0"/>
    <w:rPr>
      <w:rFonts w:ascii="Times New Roman" w:hAnsi="Times New Roman"/>
      <w:szCs w:val="21"/>
    </w:rPr>
  </w:style>
  <w:style w:type="character" w:customStyle="1" w:styleId="106">
    <w:name w:val="Blockquote Char"/>
    <w:link w:val="107"/>
    <w:qFormat/>
    <w:uiPriority w:val="0"/>
    <w:rPr>
      <w:sz w:val="24"/>
    </w:rPr>
  </w:style>
  <w:style w:type="paragraph" w:customStyle="1" w:styleId="107">
    <w:name w:val="Blockquote"/>
    <w:basedOn w:val="1"/>
    <w:link w:val="106"/>
    <w:qFormat/>
    <w:uiPriority w:val="0"/>
    <w:pPr>
      <w:autoSpaceDE w:val="0"/>
      <w:autoSpaceDN w:val="0"/>
      <w:adjustRightInd w:val="0"/>
      <w:spacing w:before="100" w:after="100"/>
      <w:ind w:left="360" w:right="360"/>
      <w:jc w:val="left"/>
    </w:pPr>
    <w:rPr>
      <w:kern w:val="0"/>
      <w:sz w:val="24"/>
      <w:szCs w:val="20"/>
    </w:rPr>
  </w:style>
  <w:style w:type="character" w:customStyle="1" w:styleId="108">
    <w:name w:val="Body Text 3 Char1"/>
    <w:qFormat/>
    <w:uiPriority w:val="0"/>
    <w:rPr>
      <w:rFonts w:ascii="Times New Roman" w:hAnsi="Times New Roman"/>
      <w:sz w:val="16"/>
      <w:szCs w:val="16"/>
    </w:rPr>
  </w:style>
  <w:style w:type="character" w:customStyle="1" w:styleId="109">
    <w:name w:val="Body Text Indent 2 Char1"/>
    <w:qFormat/>
    <w:uiPriority w:val="0"/>
    <w:rPr>
      <w:rFonts w:ascii="Times New Roman" w:hAnsi="Times New Roman"/>
      <w:szCs w:val="21"/>
    </w:rPr>
  </w:style>
  <w:style w:type="character" w:customStyle="1" w:styleId="110">
    <w:name w:val="z-窗体顶端 Char"/>
    <w:qFormat/>
    <w:uiPriority w:val="0"/>
    <w:rPr>
      <w:rFonts w:ascii="Arial" w:hAnsi="Arial"/>
      <w:vanish/>
      <w:sz w:val="16"/>
      <w:szCs w:val="16"/>
    </w:rPr>
  </w:style>
  <w:style w:type="paragraph" w:customStyle="1" w:styleId="111">
    <w:name w:val="z-窗体顶端1"/>
    <w:basedOn w:val="1"/>
    <w:next w:val="1"/>
    <w:link w:val="217"/>
    <w:qFormat/>
    <w:uiPriority w:val="0"/>
    <w:pPr>
      <w:pBdr>
        <w:bottom w:val="single" w:color="auto" w:sz="6" w:space="1"/>
      </w:pBdr>
      <w:jc w:val="center"/>
    </w:pPr>
    <w:rPr>
      <w:rFonts w:ascii="Arial" w:hAnsi="Arial"/>
      <w:vanish/>
      <w:kern w:val="0"/>
      <w:sz w:val="16"/>
      <w:szCs w:val="16"/>
    </w:rPr>
  </w:style>
  <w:style w:type="character" w:customStyle="1" w:styleId="112">
    <w:name w:val="Char Char25"/>
    <w:qFormat/>
    <w:uiPriority w:val="0"/>
    <w:rPr>
      <w:b/>
      <w:bCs/>
      <w:kern w:val="44"/>
      <w:sz w:val="44"/>
      <w:szCs w:val="44"/>
    </w:rPr>
  </w:style>
  <w:style w:type="character" w:customStyle="1" w:styleId="113">
    <w:name w:val="z-Bottom of Form Char1"/>
    <w:qFormat/>
    <w:uiPriority w:val="0"/>
    <w:rPr>
      <w:rFonts w:ascii="Arial" w:hAnsi="Arial" w:cs="Arial"/>
      <w:vanish/>
      <w:sz w:val="16"/>
      <w:szCs w:val="16"/>
    </w:rPr>
  </w:style>
  <w:style w:type="character" w:customStyle="1" w:styleId="114">
    <w:name w:val="尾注文本 Char1"/>
    <w:semiHidden/>
    <w:qFormat/>
    <w:uiPriority w:val="99"/>
    <w:rPr>
      <w:kern w:val="2"/>
      <w:sz w:val="21"/>
      <w:szCs w:val="24"/>
    </w:rPr>
  </w:style>
  <w:style w:type="character" w:customStyle="1" w:styleId="115">
    <w:name w:val="z-Top of Form Char1"/>
    <w:qFormat/>
    <w:uiPriority w:val="0"/>
    <w:rPr>
      <w:rFonts w:ascii="Arial" w:hAnsi="Arial" w:cs="Arial"/>
      <w:vanish/>
      <w:sz w:val="16"/>
      <w:szCs w:val="16"/>
    </w:rPr>
  </w:style>
  <w:style w:type="character" w:customStyle="1" w:styleId="116">
    <w:name w:val="Char Char6"/>
    <w:qFormat/>
    <w:uiPriority w:val="0"/>
    <w:rPr>
      <w:rFonts w:ascii="Times New Roman" w:hAnsi="Times New Roman" w:cs="Times New Roman"/>
      <w:b/>
      <w:bCs/>
      <w:kern w:val="2"/>
      <w:sz w:val="21"/>
      <w:szCs w:val="24"/>
    </w:rPr>
  </w:style>
  <w:style w:type="character" w:customStyle="1" w:styleId="117">
    <w:name w:val="日期 Char"/>
    <w:qFormat/>
    <w:uiPriority w:val="0"/>
    <w:rPr>
      <w:rFonts w:ascii="宋体" w:hAnsi="宋体"/>
    </w:rPr>
  </w:style>
  <w:style w:type="character" w:customStyle="1" w:styleId="118">
    <w:name w:val="Char Char8"/>
    <w:qFormat/>
    <w:uiPriority w:val="0"/>
    <w:rPr>
      <w:rFonts w:ascii="Arial" w:hAnsi="Arial" w:eastAsia="黑体"/>
      <w:b/>
      <w:bCs/>
      <w:kern w:val="2"/>
      <w:sz w:val="32"/>
      <w:szCs w:val="32"/>
      <w:lang w:val="en-US" w:eastAsia="zh-CN" w:bidi="ar-SA"/>
    </w:rPr>
  </w:style>
  <w:style w:type="character" w:customStyle="1" w:styleId="119">
    <w:name w:val="批注文字 Char"/>
    <w:qFormat/>
    <w:uiPriority w:val="0"/>
    <w:rPr>
      <w:rFonts w:eastAsia="宋体"/>
      <w:sz w:val="21"/>
      <w:szCs w:val="21"/>
      <w:lang w:val="en-US" w:eastAsia="zh-CN" w:bidi="ar-SA"/>
    </w:rPr>
  </w:style>
  <w:style w:type="character" w:customStyle="1" w:styleId="120">
    <w:name w:val="ꌢ 3 Char"/>
    <w:link w:val="121"/>
    <w:qFormat/>
    <w:uiPriority w:val="0"/>
    <w:rPr>
      <w:rFonts w:ascii="Ђˎ̥" w:hAnsi="Ђˎ̥"/>
      <w:b/>
      <w:bCs/>
    </w:rPr>
  </w:style>
  <w:style w:type="paragraph" w:customStyle="1" w:styleId="121">
    <w:name w:val="ꌢ 3"/>
    <w:basedOn w:val="1"/>
    <w:link w:val="120"/>
    <w:qFormat/>
    <w:uiPriority w:val="0"/>
    <w:pPr>
      <w:widowControl/>
    </w:pPr>
    <w:rPr>
      <w:rFonts w:ascii="Ђˎ̥" w:hAnsi="Ђˎ̥"/>
      <w:b/>
      <w:bCs/>
      <w:kern w:val="0"/>
      <w:sz w:val="20"/>
      <w:szCs w:val="20"/>
    </w:rPr>
  </w:style>
  <w:style w:type="character" w:customStyle="1" w:styleId="122">
    <w:name w:val="纯文本 Char"/>
    <w:link w:val="23"/>
    <w:qFormat/>
    <w:uiPriority w:val="0"/>
    <w:rPr>
      <w:rFonts w:ascii="宋体"/>
      <w:kern w:val="2"/>
      <w:sz w:val="21"/>
      <w:szCs w:val="21"/>
    </w:rPr>
  </w:style>
  <w:style w:type="character" w:customStyle="1" w:styleId="123">
    <w:name w:val="批注主题 Char"/>
    <w:qFormat/>
    <w:uiPriority w:val="0"/>
    <w:rPr>
      <w:b/>
      <w:bCs/>
    </w:rPr>
  </w:style>
  <w:style w:type="character" w:customStyle="1" w:styleId="124">
    <w:name w:val="标题 3 Char1"/>
    <w:qFormat/>
    <w:uiPriority w:val="0"/>
    <w:rPr>
      <w:rFonts w:ascii="宋体" w:hAnsi="宋体" w:eastAsia="宋体"/>
      <w:bCs/>
      <w:color w:val="000000"/>
      <w:sz w:val="28"/>
      <w:szCs w:val="21"/>
      <w:lang w:val="en-US" w:eastAsia="zh-CN" w:bidi="ar-SA"/>
    </w:rPr>
  </w:style>
  <w:style w:type="character" w:customStyle="1" w:styleId="125">
    <w:name w:val="标题 1 Char"/>
    <w:link w:val="3"/>
    <w:qFormat/>
    <w:uiPriority w:val="0"/>
    <w:rPr>
      <w:rFonts w:ascii="黑体" w:eastAsia="黑体"/>
      <w:sz w:val="52"/>
    </w:rPr>
  </w:style>
  <w:style w:type="character" w:customStyle="1" w:styleId="126">
    <w:name w:val="Body Text Char1"/>
    <w:qFormat/>
    <w:uiPriority w:val="0"/>
    <w:rPr>
      <w:rFonts w:ascii="Times New Roman" w:hAnsi="Times New Roman"/>
      <w:szCs w:val="21"/>
    </w:rPr>
  </w:style>
  <w:style w:type="character" w:customStyle="1" w:styleId="127">
    <w:name w:val="文档结构图 Char"/>
    <w:qFormat/>
    <w:uiPriority w:val="0"/>
    <w:rPr>
      <w:rFonts w:ascii="宋体" w:hAnsi="宋体"/>
    </w:rPr>
  </w:style>
  <w:style w:type="character" w:customStyle="1" w:styleId="128">
    <w:name w:val="正文文本缩进 2 Char"/>
    <w:qFormat/>
    <w:uiPriority w:val="0"/>
    <w:rPr>
      <w:rFonts w:ascii="宋体" w:hAnsi="MS Sans Serif"/>
      <w:spacing w:val="12"/>
      <w:sz w:val="24"/>
    </w:rPr>
  </w:style>
  <w:style w:type="character" w:customStyle="1" w:styleId="129">
    <w:name w:val="Quote Char Char"/>
    <w:link w:val="130"/>
    <w:qFormat/>
    <w:uiPriority w:val="0"/>
    <w:rPr>
      <w:i/>
      <w:iCs/>
      <w:color w:val="000000"/>
      <w:sz w:val="24"/>
      <w:szCs w:val="24"/>
    </w:rPr>
  </w:style>
  <w:style w:type="paragraph" w:customStyle="1" w:styleId="130">
    <w:name w:val="Quote1"/>
    <w:basedOn w:val="1"/>
    <w:next w:val="1"/>
    <w:link w:val="129"/>
    <w:qFormat/>
    <w:uiPriority w:val="0"/>
    <w:rPr>
      <w:i/>
      <w:iCs/>
      <w:color w:val="000000"/>
      <w:kern w:val="0"/>
      <w:sz w:val="24"/>
    </w:rPr>
  </w:style>
  <w:style w:type="character" w:customStyle="1" w:styleId="131">
    <w:name w:val="标题 Char"/>
    <w:qFormat/>
    <w:uiPriority w:val="0"/>
    <w:rPr>
      <w:rFonts w:ascii="Cambria" w:hAnsi="Cambria"/>
      <w:b/>
      <w:bCs/>
    </w:rPr>
  </w:style>
  <w:style w:type="character" w:customStyle="1" w:styleId="132">
    <w:name w:val="Para head"/>
    <w:qFormat/>
    <w:uiPriority w:val="0"/>
    <w:rPr>
      <w:rFonts w:ascii="Arial" w:hAnsi="Arial" w:cs="Times New Roman"/>
      <w:sz w:val="20"/>
    </w:rPr>
  </w:style>
  <w:style w:type="character" w:customStyle="1" w:styleId="133">
    <w:name w:val="不明显强调1"/>
    <w:qFormat/>
    <w:uiPriority w:val="0"/>
    <w:rPr>
      <w:i/>
      <w:iCs/>
      <w:color w:val="808080"/>
    </w:rPr>
  </w:style>
  <w:style w:type="character" w:customStyle="1" w:styleId="134">
    <w:name w:val="Quote Char"/>
    <w:qFormat/>
    <w:uiPriority w:val="0"/>
    <w:rPr>
      <w:rFonts w:eastAsia="宋体"/>
      <w:i/>
      <w:iCs/>
      <w:color w:val="000000"/>
      <w:sz w:val="24"/>
      <w:szCs w:val="24"/>
      <w:lang w:bidi="ar-SA"/>
    </w:rPr>
  </w:style>
  <w:style w:type="character" w:customStyle="1" w:styleId="135">
    <w:name w:val="Char Char1"/>
    <w:qFormat/>
    <w:uiPriority w:val="0"/>
    <w:rPr>
      <w:rFonts w:ascii="Times New Roman" w:hAnsi="Times New Roman" w:eastAsia="仿宋_GB2312"/>
      <w:spacing w:val="-20"/>
      <w:kern w:val="2"/>
      <w:sz w:val="21"/>
      <w:szCs w:val="24"/>
    </w:rPr>
  </w:style>
  <w:style w:type="character" w:customStyle="1" w:styleId="136">
    <w:name w:val="Char Char3"/>
    <w:qFormat/>
    <w:uiPriority w:val="0"/>
    <w:rPr>
      <w:rFonts w:ascii="Cambria" w:hAnsi="Cambria" w:cs="Times New Roman"/>
      <w:b/>
      <w:bCs/>
      <w:kern w:val="2"/>
      <w:sz w:val="32"/>
      <w:szCs w:val="32"/>
    </w:rPr>
  </w:style>
  <w:style w:type="character" w:customStyle="1" w:styleId="137">
    <w:name w:val="页眉 Char"/>
    <w:link w:val="30"/>
    <w:qFormat/>
    <w:uiPriority w:val="0"/>
    <w:rPr>
      <w:sz w:val="18"/>
      <w:szCs w:val="18"/>
    </w:rPr>
  </w:style>
  <w:style w:type="character" w:customStyle="1" w:styleId="138">
    <w:name w:val="Title Char"/>
    <w:qFormat/>
    <w:locked/>
    <w:uiPriority w:val="0"/>
    <w:rPr>
      <w:rFonts w:ascii="Cambria" w:hAnsi="Cambria" w:cs="Times New Roman"/>
      <w:b/>
      <w:bCs/>
      <w:sz w:val="32"/>
      <w:szCs w:val="32"/>
    </w:rPr>
  </w:style>
  <w:style w:type="character" w:customStyle="1" w:styleId="139">
    <w:name w:val="Char Char71"/>
    <w:qFormat/>
    <w:uiPriority w:val="0"/>
    <w:rPr>
      <w:rFonts w:ascii="宋体"/>
      <w:kern w:val="2"/>
      <w:sz w:val="24"/>
    </w:rPr>
  </w:style>
  <w:style w:type="character" w:customStyle="1" w:styleId="140">
    <w:name w:val="正文文本缩进 3 Char"/>
    <w:qFormat/>
    <w:uiPriority w:val="0"/>
    <w:rPr>
      <w:rFonts w:ascii="宋体" w:hAnsi="宋体"/>
    </w:rPr>
  </w:style>
  <w:style w:type="character" w:customStyle="1" w:styleId="141">
    <w:name w:val="Char Char21"/>
    <w:qFormat/>
    <w:uiPriority w:val="0"/>
    <w:rPr>
      <w:kern w:val="2"/>
      <w:sz w:val="18"/>
      <w:szCs w:val="18"/>
    </w:rPr>
  </w:style>
  <w:style w:type="character" w:customStyle="1" w:styleId="142">
    <w:name w:val="手改 Char Char"/>
    <w:qFormat/>
    <w:uiPriority w:val="0"/>
    <w:rPr>
      <w:kern w:val="2"/>
      <w:sz w:val="21"/>
      <w:szCs w:val="24"/>
    </w:rPr>
  </w:style>
  <w:style w:type="character" w:customStyle="1" w:styleId="143">
    <w:name w:val="style61"/>
    <w:qFormat/>
    <w:uiPriority w:val="0"/>
    <w:rPr>
      <w:color w:val="FF0000"/>
    </w:rPr>
  </w:style>
  <w:style w:type="character" w:customStyle="1" w:styleId="144">
    <w:name w:val="h Char"/>
    <w:qFormat/>
    <w:uiPriority w:val="0"/>
    <w:rPr>
      <w:rFonts w:ascii="Bodoni MT" w:hAnsi="Bodoni MT" w:eastAsia="宋体"/>
      <w:kern w:val="2"/>
      <w:sz w:val="18"/>
      <w:szCs w:val="18"/>
      <w:lang w:val="en-US" w:eastAsia="zh-CN" w:bidi="ar-SA"/>
    </w:rPr>
  </w:style>
  <w:style w:type="character" w:customStyle="1" w:styleId="145">
    <w:name w:val="正文文本缩进 Char"/>
    <w:link w:val="18"/>
    <w:qFormat/>
    <w:uiPriority w:val="0"/>
    <w:rPr>
      <w:kern w:val="2"/>
      <w:sz w:val="21"/>
      <w:szCs w:val="24"/>
    </w:rPr>
  </w:style>
  <w:style w:type="character" w:customStyle="1" w:styleId="146">
    <w:name w:val="正文首行缩进 Char"/>
    <w:qFormat/>
    <w:uiPriority w:val="0"/>
    <w:rPr>
      <w:rFonts w:ascii="宋体" w:hAnsi="宋体" w:eastAsia="仿宋_GB2312"/>
      <w:spacing w:val="-20"/>
      <w:kern w:val="2"/>
      <w:sz w:val="21"/>
      <w:szCs w:val="24"/>
    </w:rPr>
  </w:style>
  <w:style w:type="character" w:customStyle="1" w:styleId="147">
    <w:name w:val="引用 Char1"/>
    <w:qFormat/>
    <w:uiPriority w:val="0"/>
    <w:rPr>
      <w:i/>
      <w:iCs/>
      <w:color w:val="000000"/>
      <w:kern w:val="2"/>
      <w:sz w:val="21"/>
      <w:szCs w:val="24"/>
    </w:rPr>
  </w:style>
  <w:style w:type="paragraph" w:styleId="148">
    <w:name w:val="Quote"/>
    <w:basedOn w:val="1"/>
    <w:next w:val="1"/>
    <w:link w:val="236"/>
    <w:qFormat/>
    <w:uiPriority w:val="0"/>
    <w:rPr>
      <w:i/>
      <w:iCs/>
      <w:color w:val="000000"/>
    </w:rPr>
  </w:style>
  <w:style w:type="character" w:customStyle="1" w:styleId="149">
    <w:name w:val="ҳŻ"/>
    <w:link w:val="150"/>
    <w:qFormat/>
    <w:uiPriority w:val="0"/>
    <w:rPr>
      <w:rFonts w:ascii="Arial" w:hAnsi="Arial" w:cs="Arial"/>
      <w:sz w:val="32"/>
      <w:szCs w:val="32"/>
    </w:rPr>
  </w:style>
  <w:style w:type="paragraph" w:customStyle="1" w:styleId="150">
    <w:name w:val="ҳŠChar1"/>
    <w:basedOn w:val="1"/>
    <w:link w:val="149"/>
    <w:qFormat/>
    <w:uiPriority w:val="0"/>
    <w:pPr>
      <w:keepNext/>
      <w:widowControl/>
      <w:spacing w:after="120" w:line="400" w:lineRule="atLeast"/>
      <w:jc w:val="center"/>
    </w:pPr>
    <w:rPr>
      <w:rFonts w:ascii="Arial" w:hAnsi="Arial" w:cs="Arial"/>
      <w:kern w:val="0"/>
      <w:sz w:val="32"/>
      <w:szCs w:val="32"/>
    </w:rPr>
  </w:style>
  <w:style w:type="character" w:customStyle="1" w:styleId="151">
    <w:name w:val="标题 1 Char Char"/>
    <w:qFormat/>
    <w:uiPriority w:val="0"/>
    <w:rPr>
      <w:rFonts w:eastAsia="黑体"/>
      <w:b/>
      <w:kern w:val="2"/>
      <w:sz w:val="28"/>
      <w:lang w:val="en-US" w:eastAsia="zh-CN" w:bidi="ar-SA"/>
    </w:rPr>
  </w:style>
  <w:style w:type="character" w:customStyle="1" w:styleId="152">
    <w:name w:val="hidden1"/>
    <w:qFormat/>
    <w:uiPriority w:val="0"/>
    <w:rPr>
      <w:vanish/>
    </w:rPr>
  </w:style>
  <w:style w:type="character" w:customStyle="1" w:styleId="153">
    <w:name w:val="Balloon Text Char1"/>
    <w:qFormat/>
    <w:uiPriority w:val="0"/>
    <w:rPr>
      <w:rFonts w:ascii="Times New Roman" w:hAnsi="Times New Roman"/>
      <w:sz w:val="16"/>
      <w:szCs w:val="0"/>
    </w:rPr>
  </w:style>
  <w:style w:type="character" w:customStyle="1" w:styleId="154">
    <w:name w:val="正文文本 2 Char"/>
    <w:qFormat/>
    <w:uiPriority w:val="0"/>
    <w:rPr>
      <w:rFonts w:ascii="宋体" w:hAnsi="宋体"/>
    </w:rPr>
  </w:style>
  <w:style w:type="character" w:customStyle="1" w:styleId="155">
    <w:name w:val="msonormal"/>
    <w:basedOn w:val="50"/>
    <w:qFormat/>
    <w:uiPriority w:val="0"/>
  </w:style>
  <w:style w:type="character" w:customStyle="1" w:styleId="156">
    <w:name w:val="明显强调1"/>
    <w:qFormat/>
    <w:uiPriority w:val="0"/>
    <w:rPr>
      <w:rFonts w:eastAsia="仿宋_GB2312"/>
      <w:bCs/>
      <w:iCs/>
      <w:color w:val="auto"/>
      <w:sz w:val="32"/>
    </w:rPr>
  </w:style>
  <w:style w:type="paragraph" w:customStyle="1" w:styleId="157">
    <w:name w:val="font11"/>
    <w:basedOn w:val="1"/>
    <w:qFormat/>
    <w:uiPriority w:val="0"/>
    <w:pPr>
      <w:widowControl/>
      <w:spacing w:before="100" w:beforeAutospacing="1" w:after="100" w:afterAutospacing="1"/>
      <w:jc w:val="left"/>
    </w:pPr>
    <w:rPr>
      <w:rFonts w:ascii="Calibri" w:hAnsi="Calibri" w:eastAsia="Arial Unicode MS"/>
      <w:color w:val="FF0000"/>
      <w:kern w:val="0"/>
      <w:sz w:val="24"/>
    </w:rPr>
  </w:style>
  <w:style w:type="paragraph" w:customStyle="1" w:styleId="158">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customStyle="1" w:styleId="159">
    <w:name w:val="xl33"/>
    <w:basedOn w:val="1"/>
    <w:qFormat/>
    <w:uiPriority w:val="0"/>
    <w:pPr>
      <w:widowControl/>
      <w:spacing w:before="100" w:beforeAutospacing="1" w:after="100" w:afterAutospacing="1"/>
      <w:jc w:val="left"/>
    </w:pPr>
    <w:rPr>
      <w:rFonts w:ascii="Arial Unicode MS" w:hAnsi="Arial Unicode MS" w:eastAsia="Arial Unicode MS" w:cs="Arial Unicode MS"/>
      <w:b/>
      <w:bCs/>
      <w:kern w:val="0"/>
      <w:sz w:val="24"/>
    </w:rPr>
  </w:style>
  <w:style w:type="paragraph" w:customStyle="1" w:styleId="160">
    <w:name w:val="xl82"/>
    <w:basedOn w:val="1"/>
    <w:qFormat/>
    <w:uiPriority w:val="0"/>
    <w:pPr>
      <w:widowControl/>
      <w:pBdr>
        <w:top w:val="single" w:color="000000" w:sz="4" w:space="0"/>
        <w:left w:val="single" w:color="000000" w:sz="4" w:space="0"/>
      </w:pBdr>
      <w:shd w:val="clear" w:color="FFFFFF" w:fill="FFFFFF"/>
      <w:spacing w:before="100" w:beforeAutospacing="1" w:after="100" w:afterAutospacing="1"/>
      <w:jc w:val="left"/>
      <w:textAlignment w:val="center"/>
    </w:pPr>
    <w:rPr>
      <w:rFonts w:ascii="宋体" w:hAnsi="宋体" w:cs="宋体"/>
      <w:color w:val="000000"/>
      <w:kern w:val="0"/>
      <w:sz w:val="28"/>
      <w:szCs w:val="28"/>
    </w:rPr>
  </w:style>
  <w:style w:type="paragraph" w:customStyle="1" w:styleId="161">
    <w:name w:val="Char1 Char Char Char"/>
    <w:basedOn w:val="1"/>
    <w:qFormat/>
    <w:uiPriority w:val="0"/>
    <w:rPr>
      <w:rFonts w:ascii="Tahoma" w:hAnsi="Tahoma"/>
      <w:sz w:val="24"/>
      <w:szCs w:val="20"/>
    </w:rPr>
  </w:style>
  <w:style w:type="paragraph" w:customStyle="1" w:styleId="162">
    <w:name w:val="Char1 Char Char Char1"/>
    <w:basedOn w:val="1"/>
    <w:qFormat/>
    <w:uiPriority w:val="0"/>
    <w:pPr>
      <w:widowControl/>
      <w:spacing w:after="160" w:line="240" w:lineRule="exact"/>
      <w:jc w:val="left"/>
    </w:pPr>
    <w:rPr>
      <w:rFonts w:ascii="Bodoni MT" w:hAnsi="Bodoni MT"/>
    </w:rPr>
  </w:style>
  <w:style w:type="paragraph" w:customStyle="1" w:styleId="163">
    <w:name w:val="样式 标题 3 + (中文) 黑体 小四 非加粗 段前: 7.8 磅 段后: 0 磅 行距: 固定值 20 磅"/>
    <w:basedOn w:val="5"/>
    <w:qFormat/>
    <w:uiPriority w:val="0"/>
    <w:pPr>
      <w:spacing w:line="400" w:lineRule="exact"/>
      <w:jc w:val="center"/>
    </w:pPr>
    <w:rPr>
      <w:rFonts w:ascii="Calibri" w:hAnsi="Calibri" w:eastAsia="黑体" w:cs="宋体"/>
      <w:b w:val="0"/>
      <w:bCs w:val="0"/>
      <w:sz w:val="24"/>
      <w:szCs w:val="20"/>
    </w:rPr>
  </w:style>
  <w:style w:type="paragraph" w:customStyle="1" w:styleId="164">
    <w:name w:val="样式4"/>
    <w:basedOn w:val="165"/>
    <w:qFormat/>
    <w:uiPriority w:val="0"/>
    <w:pPr>
      <w:ind w:firstLine="562"/>
    </w:pPr>
    <w:rPr>
      <w:bCs/>
    </w:rPr>
  </w:style>
  <w:style w:type="paragraph" w:customStyle="1" w:styleId="165">
    <w:name w:val="样式3"/>
    <w:basedOn w:val="1"/>
    <w:qFormat/>
    <w:uiPriority w:val="0"/>
    <w:pPr>
      <w:ind w:firstLine="560" w:firstLineChars="200"/>
    </w:pPr>
    <w:rPr>
      <w:rFonts w:ascii="黑体" w:hAnsi="Calibri" w:eastAsia="黑体"/>
      <w:b/>
      <w:sz w:val="28"/>
    </w:rPr>
  </w:style>
  <w:style w:type="character" w:customStyle="1" w:styleId="166">
    <w:name w:val="尾注文本 Char2"/>
    <w:basedOn w:val="50"/>
    <w:link w:val="27"/>
    <w:qFormat/>
    <w:uiPriority w:val="0"/>
    <w:rPr>
      <w:kern w:val="2"/>
      <w:sz w:val="21"/>
      <w:szCs w:val="24"/>
    </w:rPr>
  </w:style>
  <w:style w:type="paragraph" w:customStyle="1" w:styleId="167">
    <w:name w:val="Char"/>
    <w:basedOn w:val="1"/>
    <w:qFormat/>
    <w:uiPriority w:val="0"/>
    <w:rPr>
      <w:rFonts w:ascii="仿宋_GB2312" w:hAnsi="Calibri" w:eastAsia="仿宋_GB2312"/>
      <w:b/>
      <w:sz w:val="32"/>
      <w:szCs w:val="32"/>
    </w:rPr>
  </w:style>
  <w:style w:type="paragraph" w:customStyle="1" w:styleId="168">
    <w:name w:val="xl86"/>
    <w:basedOn w:val="1"/>
    <w:qFormat/>
    <w:uiPriority w:val="0"/>
    <w:pPr>
      <w:widowControl/>
      <w:pBdr>
        <w:top w:val="single" w:color="auto" w:sz="4" w:space="0"/>
        <w:left w:val="single" w:color="auto" w:sz="4" w:space="0"/>
      </w:pBdr>
      <w:spacing w:before="100" w:beforeAutospacing="1" w:after="100" w:afterAutospacing="1"/>
      <w:jc w:val="center"/>
      <w:textAlignment w:val="center"/>
    </w:pPr>
    <w:rPr>
      <w:rFonts w:ascii="宋体" w:hAnsi="宋体" w:cs="宋体"/>
      <w:kern w:val="0"/>
      <w:sz w:val="28"/>
      <w:szCs w:val="28"/>
    </w:rPr>
  </w:style>
  <w:style w:type="paragraph" w:customStyle="1" w:styleId="169">
    <w:name w:val="框图文字"/>
    <w:basedOn w:val="1"/>
    <w:qFormat/>
    <w:uiPriority w:val="0"/>
    <w:pPr>
      <w:jc w:val="center"/>
    </w:pPr>
    <w:rPr>
      <w:rFonts w:ascii="Calibri" w:hAnsi="Calibri"/>
      <w:spacing w:val="-4"/>
      <w:szCs w:val="21"/>
    </w:rPr>
  </w:style>
  <w:style w:type="paragraph" w:customStyle="1" w:styleId="170">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28"/>
      <w:szCs w:val="28"/>
    </w:rPr>
  </w:style>
  <w:style w:type="paragraph" w:customStyle="1" w:styleId="171">
    <w:name w:val="xl29"/>
    <w:basedOn w:val="1"/>
    <w:qFormat/>
    <w:uiPriority w:val="0"/>
    <w:pPr>
      <w:widowControl/>
      <w:spacing w:before="100" w:beforeAutospacing="1" w:after="100" w:afterAutospacing="1"/>
      <w:jc w:val="center"/>
    </w:pPr>
    <w:rPr>
      <w:rFonts w:ascii="Arial Unicode MS" w:hAnsi="Arial Unicode MS" w:eastAsia="Arial Unicode MS" w:cs="Arial Unicode MS"/>
      <w:kern w:val="0"/>
      <w:szCs w:val="21"/>
    </w:rPr>
  </w:style>
  <w:style w:type="paragraph" w:customStyle="1" w:styleId="172">
    <w:name w:val="修订1"/>
    <w:qFormat/>
    <w:uiPriority w:val="0"/>
    <w:rPr>
      <w:rFonts w:ascii="Calibri" w:hAnsi="Calibri" w:eastAsia="宋体" w:cs="Times New Roman"/>
      <w:kern w:val="2"/>
      <w:sz w:val="21"/>
      <w:szCs w:val="21"/>
      <w:lang w:val="en-US" w:eastAsia="zh-CN" w:bidi="ar-SA"/>
    </w:rPr>
  </w:style>
  <w:style w:type="paragraph" w:customStyle="1" w:styleId="173">
    <w:name w:val="xl87"/>
    <w:basedOn w:val="1"/>
    <w:qFormat/>
    <w:uiPriority w:val="0"/>
    <w:pPr>
      <w:widowControl/>
      <w:pBdr>
        <w:top w:val="single" w:color="auto" w:sz="4" w:space="0"/>
      </w:pBdr>
      <w:spacing w:before="100" w:beforeAutospacing="1" w:after="100" w:afterAutospacing="1"/>
      <w:jc w:val="left"/>
      <w:textAlignment w:val="center"/>
    </w:pPr>
    <w:rPr>
      <w:rFonts w:ascii="宋体" w:hAnsi="宋体" w:cs="宋体"/>
      <w:kern w:val="0"/>
      <w:sz w:val="28"/>
      <w:szCs w:val="28"/>
    </w:rPr>
  </w:style>
  <w:style w:type="paragraph" w:customStyle="1" w:styleId="174">
    <w:name w:val="表格"/>
    <w:basedOn w:val="1"/>
    <w:qFormat/>
    <w:uiPriority w:val="0"/>
    <w:pPr>
      <w:jc w:val="center"/>
      <w:textAlignment w:val="center"/>
    </w:pPr>
    <w:rPr>
      <w:rFonts w:ascii="华文细黑" w:hAnsi="华文细黑"/>
      <w:kern w:val="0"/>
      <w:szCs w:val="20"/>
    </w:rPr>
  </w:style>
  <w:style w:type="character" w:customStyle="1" w:styleId="175">
    <w:name w:val="HTML 预设格式 Char"/>
    <w:basedOn w:val="50"/>
    <w:link w:val="41"/>
    <w:qFormat/>
    <w:uiPriority w:val="0"/>
    <w:rPr>
      <w:rFonts w:ascii="宋体" w:hAnsi="宋体" w:cs="宋体"/>
    </w:rPr>
  </w:style>
  <w:style w:type="paragraph" w:customStyle="1" w:styleId="176">
    <w:name w:val="标题3"/>
    <w:basedOn w:val="1"/>
    <w:qFormat/>
    <w:uiPriority w:val="0"/>
    <w:pPr>
      <w:widowControl/>
      <w:spacing w:line="360" w:lineRule="auto"/>
      <w:ind w:firstLine="482" w:firstLineChars="200"/>
    </w:pPr>
    <w:rPr>
      <w:rFonts w:ascii="宋体" w:hAnsi="宋体"/>
      <w:b/>
      <w:kern w:val="0"/>
      <w:sz w:val="24"/>
    </w:rPr>
  </w:style>
  <w:style w:type="character" w:customStyle="1" w:styleId="177">
    <w:name w:val="正文文本 2 Char1"/>
    <w:basedOn w:val="50"/>
    <w:link w:val="40"/>
    <w:qFormat/>
    <w:uiPriority w:val="0"/>
    <w:rPr>
      <w:kern w:val="2"/>
      <w:sz w:val="21"/>
      <w:szCs w:val="24"/>
    </w:rPr>
  </w:style>
  <w:style w:type="character" w:customStyle="1" w:styleId="178">
    <w:name w:val="正文文本 Char1"/>
    <w:basedOn w:val="50"/>
    <w:link w:val="17"/>
    <w:qFormat/>
    <w:uiPriority w:val="0"/>
    <w:rPr>
      <w:kern w:val="2"/>
      <w:sz w:val="21"/>
      <w:szCs w:val="24"/>
    </w:rPr>
  </w:style>
  <w:style w:type="paragraph" w:customStyle="1" w:styleId="179">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2"/>
      <w:szCs w:val="22"/>
    </w:rPr>
  </w:style>
  <w:style w:type="character" w:customStyle="1" w:styleId="180">
    <w:name w:val="副标题 Char1"/>
    <w:basedOn w:val="50"/>
    <w:link w:val="33"/>
    <w:qFormat/>
    <w:uiPriority w:val="0"/>
    <w:rPr>
      <w:rFonts w:asciiTheme="majorHAnsi" w:hAnsiTheme="majorHAnsi" w:cstheme="majorBidi"/>
      <w:b/>
      <w:bCs/>
      <w:kern w:val="28"/>
      <w:sz w:val="32"/>
      <w:szCs w:val="32"/>
    </w:rPr>
  </w:style>
  <w:style w:type="paragraph" w:customStyle="1" w:styleId="181">
    <w:name w:val="系统正文"/>
    <w:basedOn w:val="1"/>
    <w:qFormat/>
    <w:uiPriority w:val="0"/>
    <w:pPr>
      <w:spacing w:line="420" w:lineRule="exact"/>
      <w:ind w:firstLine="420" w:firstLineChars="200"/>
    </w:pPr>
    <w:rPr>
      <w:rFonts w:ascii="宋体" w:hAnsi="宋体"/>
    </w:rPr>
  </w:style>
  <w:style w:type="paragraph" w:customStyle="1" w:styleId="182">
    <w:name w:val="Char Char Char Char Char Char"/>
    <w:basedOn w:val="1"/>
    <w:qFormat/>
    <w:uiPriority w:val="0"/>
    <w:pPr>
      <w:widowControl/>
      <w:spacing w:after="160" w:line="240" w:lineRule="exact"/>
      <w:jc w:val="left"/>
    </w:pPr>
    <w:rPr>
      <w:rFonts w:ascii="Arial" w:hAnsi="Arial"/>
      <w:kern w:val="0"/>
      <w:sz w:val="22"/>
      <w:szCs w:val="22"/>
      <w:lang w:eastAsia="en-US"/>
    </w:rPr>
  </w:style>
  <w:style w:type="paragraph" w:customStyle="1" w:styleId="183">
    <w:name w:val="条款节部分"/>
    <w:basedOn w:val="1"/>
    <w:qFormat/>
    <w:uiPriority w:val="0"/>
    <w:pPr>
      <w:tabs>
        <w:tab w:val="left" w:pos="432"/>
        <w:tab w:val="left" w:pos="2850"/>
      </w:tabs>
      <w:ind w:left="432" w:hanging="432"/>
    </w:pPr>
    <w:rPr>
      <w:rFonts w:ascii="Calibri" w:hAnsi="Calibri" w:eastAsia="仿宋_GB2312"/>
      <w:sz w:val="32"/>
      <w:szCs w:val="32"/>
    </w:rPr>
  </w:style>
  <w:style w:type="paragraph" w:customStyle="1" w:styleId="184">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8"/>
      <w:szCs w:val="28"/>
    </w:rPr>
  </w:style>
  <w:style w:type="paragraph" w:customStyle="1" w:styleId="185">
    <w:name w:val="xl49"/>
    <w:basedOn w:val="1"/>
    <w:qFormat/>
    <w:uiPriority w:val="0"/>
    <w:pPr>
      <w:widowControl/>
      <w:pBdr>
        <w:left w:val="single" w:color="auto" w:sz="8" w:space="0"/>
        <w:bottom w:val="single" w:color="auto" w:sz="4" w:space="0"/>
        <w:right w:val="single" w:color="auto" w:sz="4" w:space="0"/>
      </w:pBdr>
      <w:spacing w:before="100" w:beforeAutospacing="1" w:after="100" w:afterAutospacing="1"/>
      <w:jc w:val="center"/>
      <w:textAlignment w:val="center"/>
    </w:pPr>
    <w:rPr>
      <w:rFonts w:ascii="宋体" w:hAnsi="宋体"/>
      <w:kern w:val="0"/>
      <w:sz w:val="20"/>
      <w:szCs w:val="20"/>
    </w:rPr>
  </w:style>
  <w:style w:type="paragraph" w:customStyle="1" w:styleId="186">
    <w:name w:val="xl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8"/>
      <w:szCs w:val="28"/>
    </w:rPr>
  </w:style>
  <w:style w:type="paragraph" w:customStyle="1" w:styleId="187">
    <w:name w:val="xl38"/>
    <w:basedOn w:val="1"/>
    <w:qFormat/>
    <w:uiPriority w:val="0"/>
    <w:pPr>
      <w:widowControl/>
      <w:pBdr>
        <w:top w:val="single" w:color="auto" w:sz="4" w:space="0"/>
        <w:left w:val="single" w:color="auto" w:sz="4" w:space="0"/>
        <w:bottom w:val="single" w:color="auto" w:sz="4" w:space="0"/>
        <w:right w:val="single" w:color="auto" w:sz="4" w:space="0"/>
      </w:pBdr>
      <w:shd w:val="clear" w:color="auto" w:fill="99CCFF"/>
      <w:spacing w:before="100" w:beforeAutospacing="1" w:after="100" w:afterAutospacing="1"/>
      <w:jc w:val="center"/>
      <w:textAlignment w:val="center"/>
    </w:pPr>
    <w:rPr>
      <w:rFonts w:ascii="Arial Unicode MS" w:hAnsi="Arial Unicode MS" w:eastAsia="Arial Unicode MS" w:cs="Arial Unicode MS"/>
      <w:kern w:val="0"/>
      <w:sz w:val="22"/>
      <w:szCs w:val="22"/>
    </w:rPr>
  </w:style>
  <w:style w:type="paragraph" w:customStyle="1" w:styleId="188">
    <w:name w:val="xl84"/>
    <w:basedOn w:val="1"/>
    <w:qFormat/>
    <w:uiPriority w:val="0"/>
    <w:pPr>
      <w:widowControl/>
      <w:pBdr>
        <w:top w:val="single" w:color="auto" w:sz="4" w:space="0"/>
        <w:bottom w:val="single" w:color="auto" w:sz="4" w:space="0"/>
      </w:pBdr>
      <w:spacing w:before="100" w:beforeAutospacing="1" w:after="100" w:afterAutospacing="1"/>
      <w:jc w:val="left"/>
    </w:pPr>
    <w:rPr>
      <w:rFonts w:ascii="宋体" w:hAnsi="宋体" w:cs="宋体"/>
      <w:kern w:val="0"/>
      <w:sz w:val="28"/>
      <w:szCs w:val="28"/>
    </w:rPr>
  </w:style>
  <w:style w:type="paragraph" w:customStyle="1" w:styleId="189">
    <w:name w:val="xl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8"/>
      <w:szCs w:val="28"/>
    </w:rPr>
  </w:style>
  <w:style w:type="character" w:customStyle="1" w:styleId="190">
    <w:name w:val="标题 Char1"/>
    <w:basedOn w:val="50"/>
    <w:link w:val="44"/>
    <w:qFormat/>
    <w:uiPriority w:val="0"/>
    <w:rPr>
      <w:rFonts w:asciiTheme="majorHAnsi" w:hAnsiTheme="majorHAnsi" w:cstheme="majorBidi"/>
      <w:b/>
      <w:bCs/>
      <w:kern w:val="2"/>
      <w:sz w:val="32"/>
      <w:szCs w:val="32"/>
    </w:rPr>
  </w:style>
  <w:style w:type="paragraph" w:customStyle="1" w:styleId="191">
    <w:name w:val="Char1 Char Char Char2"/>
    <w:basedOn w:val="1"/>
    <w:qFormat/>
    <w:uiPriority w:val="0"/>
    <w:rPr>
      <w:rFonts w:ascii="Tahoma" w:hAnsi="Tahoma"/>
      <w:sz w:val="24"/>
      <w:szCs w:val="20"/>
    </w:rPr>
  </w:style>
  <w:style w:type="paragraph" w:customStyle="1" w:styleId="192">
    <w:name w:val="Default Paragraph Font Para Char"/>
    <w:basedOn w:val="1"/>
    <w:qFormat/>
    <w:uiPriority w:val="0"/>
    <w:pPr>
      <w:widowControl/>
      <w:spacing w:after="160" w:line="240" w:lineRule="exact"/>
      <w:jc w:val="left"/>
    </w:pPr>
    <w:rPr>
      <w:rFonts w:ascii="Calibri" w:hAnsi="Calibri"/>
    </w:rPr>
  </w:style>
  <w:style w:type="paragraph" w:customStyle="1" w:styleId="193">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8"/>
      <w:szCs w:val="28"/>
    </w:rPr>
  </w:style>
  <w:style w:type="paragraph" w:customStyle="1" w:styleId="194">
    <w:name w:val="xl76"/>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宋体" w:hAnsi="宋体" w:cs="宋体"/>
      <w:kern w:val="0"/>
      <w:sz w:val="28"/>
      <w:szCs w:val="28"/>
    </w:rPr>
  </w:style>
  <w:style w:type="paragraph" w:customStyle="1" w:styleId="195">
    <w:name w:val="正文1"/>
    <w:qFormat/>
    <w:uiPriority w:val="0"/>
    <w:pPr>
      <w:widowControl w:val="0"/>
      <w:adjustRightInd w:val="0"/>
      <w:spacing w:line="312" w:lineRule="atLeast"/>
      <w:jc w:val="both"/>
      <w:textAlignment w:val="baseline"/>
    </w:pPr>
    <w:rPr>
      <w:rFonts w:ascii="宋体" w:hAnsi="Calibri" w:eastAsia="宋体" w:cs="Times New Roman"/>
      <w:sz w:val="34"/>
      <w:lang w:val="en-US" w:eastAsia="zh-CN" w:bidi="ar-SA"/>
    </w:rPr>
  </w:style>
  <w:style w:type="paragraph" w:customStyle="1" w:styleId="196">
    <w:name w:val="font6"/>
    <w:basedOn w:val="1"/>
    <w:qFormat/>
    <w:uiPriority w:val="0"/>
    <w:pPr>
      <w:widowControl/>
      <w:spacing w:before="100" w:beforeAutospacing="1" w:after="100" w:afterAutospacing="1"/>
      <w:jc w:val="left"/>
    </w:pPr>
    <w:rPr>
      <w:rFonts w:hint="eastAsia" w:ascii="宋体" w:hAnsi="宋体" w:cs="Arial Unicode MS"/>
      <w:kern w:val="0"/>
      <w:sz w:val="18"/>
      <w:szCs w:val="18"/>
    </w:rPr>
  </w:style>
  <w:style w:type="paragraph" w:customStyle="1" w:styleId="197">
    <w:name w:val="font7"/>
    <w:basedOn w:val="1"/>
    <w:qFormat/>
    <w:uiPriority w:val="0"/>
    <w:pPr>
      <w:widowControl/>
      <w:spacing w:before="100" w:beforeAutospacing="1" w:after="100" w:afterAutospacing="1"/>
      <w:jc w:val="left"/>
    </w:pPr>
    <w:rPr>
      <w:rFonts w:ascii="Calibri" w:hAnsi="Calibri" w:eastAsia="Arial Unicode MS"/>
      <w:kern w:val="0"/>
      <w:sz w:val="22"/>
      <w:szCs w:val="22"/>
    </w:rPr>
  </w:style>
  <w:style w:type="paragraph" w:customStyle="1" w:styleId="198">
    <w:name w:val="style1"/>
    <w:basedOn w:val="1"/>
    <w:qFormat/>
    <w:uiPriority w:val="0"/>
    <w:pPr>
      <w:widowControl/>
      <w:spacing w:before="100" w:beforeAutospacing="1" w:after="100" w:afterAutospacing="1"/>
      <w:jc w:val="left"/>
    </w:pPr>
    <w:rPr>
      <w:rFonts w:ascii="Arial Unicode MS" w:hAnsi="Arial Unicode MS" w:eastAsia="Arial Unicode MS"/>
      <w:kern w:val="0"/>
      <w:sz w:val="24"/>
      <w:szCs w:val="20"/>
    </w:rPr>
  </w:style>
  <w:style w:type="paragraph" w:customStyle="1" w:styleId="199">
    <w:name w:val="p0"/>
    <w:basedOn w:val="1"/>
    <w:qFormat/>
    <w:uiPriority w:val="0"/>
    <w:pPr>
      <w:widowControl/>
    </w:pPr>
    <w:rPr>
      <w:rFonts w:ascii="Calibri" w:hAnsi="Calibri"/>
      <w:kern w:val="0"/>
      <w:szCs w:val="20"/>
    </w:rPr>
  </w:style>
  <w:style w:type="paragraph" w:customStyle="1" w:styleId="200">
    <w:name w:val="Char1"/>
    <w:basedOn w:val="1"/>
    <w:qFormat/>
    <w:uiPriority w:val="0"/>
    <w:pPr>
      <w:widowControl/>
      <w:spacing w:after="160" w:line="240" w:lineRule="exact"/>
      <w:jc w:val="left"/>
    </w:pPr>
    <w:rPr>
      <w:rFonts w:ascii="Verdana" w:hAnsi="Verdana" w:eastAsia="仿宋_GB2312"/>
      <w:kern w:val="0"/>
      <w:sz w:val="28"/>
      <w:szCs w:val="20"/>
      <w:lang w:eastAsia="en-US"/>
    </w:rPr>
  </w:style>
  <w:style w:type="paragraph" w:customStyle="1" w:styleId="201">
    <w:name w:val="xl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28"/>
      <w:szCs w:val="28"/>
    </w:rPr>
  </w:style>
  <w:style w:type="paragraph" w:customStyle="1" w:styleId="202">
    <w:name w:val="Char Char Char Char"/>
    <w:basedOn w:val="1"/>
    <w:qFormat/>
    <w:uiPriority w:val="0"/>
    <w:rPr>
      <w:rFonts w:ascii="Tahoma" w:hAnsi="Tahoma" w:cs="Tahoma"/>
      <w:sz w:val="24"/>
    </w:rPr>
  </w:style>
  <w:style w:type="paragraph" w:customStyle="1" w:styleId="203">
    <w:name w:val="xl36"/>
    <w:basedOn w:val="1"/>
    <w:qFormat/>
    <w:uiPriority w:val="0"/>
    <w:pPr>
      <w:widowControl/>
      <w:spacing w:before="100" w:beforeAutospacing="1" w:after="100" w:afterAutospacing="1"/>
      <w:jc w:val="left"/>
    </w:pPr>
    <w:rPr>
      <w:rFonts w:ascii="Arial Unicode MS" w:hAnsi="Arial Unicode MS" w:eastAsia="Arial Unicode MS" w:cs="Arial Unicode MS"/>
      <w:b/>
      <w:bCs/>
      <w:kern w:val="0"/>
      <w:sz w:val="24"/>
    </w:rPr>
  </w:style>
  <w:style w:type="paragraph" w:customStyle="1" w:styleId="204">
    <w:name w:val="样式 标题 2 + Times New Roman 四号 非加粗 段前: 5 磅 段后: 0 磅 行距: 固定值 20..."/>
    <w:basedOn w:val="4"/>
    <w:qFormat/>
    <w:uiPriority w:val="0"/>
    <w:pPr>
      <w:spacing w:before="100" w:after="0" w:line="400" w:lineRule="exact"/>
      <w:jc w:val="center"/>
    </w:pPr>
    <w:rPr>
      <w:rFonts w:ascii="Times New Roman" w:hAnsi="Times New Roman" w:eastAsia="宋体" w:cs="宋体"/>
      <w:b w:val="0"/>
      <w:bCs w:val="0"/>
      <w:kern w:val="2"/>
      <w:sz w:val="28"/>
      <w:szCs w:val="20"/>
    </w:rPr>
  </w:style>
  <w:style w:type="paragraph" w:customStyle="1" w:styleId="205">
    <w:name w:val="xl34"/>
    <w:basedOn w:val="1"/>
    <w:qFormat/>
    <w:uiPriority w:val="0"/>
    <w:pPr>
      <w:widowControl/>
      <w:spacing w:before="100" w:beforeAutospacing="1" w:after="100" w:afterAutospacing="1"/>
      <w:jc w:val="left"/>
    </w:pPr>
    <w:rPr>
      <w:rFonts w:ascii="Arial Unicode MS" w:hAnsi="Arial Unicode MS" w:eastAsia="Arial Unicode MS" w:cs="Arial Unicode MS"/>
      <w:b/>
      <w:bCs/>
      <w:kern w:val="0"/>
      <w:sz w:val="22"/>
      <w:szCs w:val="22"/>
    </w:rPr>
  </w:style>
  <w:style w:type="character" w:customStyle="1" w:styleId="206">
    <w:name w:val="正文文本缩进 3 Char1"/>
    <w:basedOn w:val="50"/>
    <w:link w:val="36"/>
    <w:qFormat/>
    <w:uiPriority w:val="0"/>
    <w:rPr>
      <w:kern w:val="2"/>
      <w:sz w:val="16"/>
      <w:szCs w:val="16"/>
    </w:rPr>
  </w:style>
  <w:style w:type="character" w:customStyle="1" w:styleId="207">
    <w:name w:val="z-窗体底端 Char1"/>
    <w:basedOn w:val="50"/>
    <w:link w:val="98"/>
    <w:semiHidden/>
    <w:qFormat/>
    <w:uiPriority w:val="99"/>
    <w:rPr>
      <w:rFonts w:ascii="Arial" w:hAnsi="Arial" w:cs="Arial"/>
      <w:vanish/>
      <w:kern w:val="2"/>
      <w:sz w:val="16"/>
      <w:szCs w:val="16"/>
    </w:rPr>
  </w:style>
  <w:style w:type="paragraph" w:customStyle="1" w:styleId="208">
    <w:name w:val="font10"/>
    <w:basedOn w:val="1"/>
    <w:qFormat/>
    <w:uiPriority w:val="0"/>
    <w:pPr>
      <w:widowControl/>
      <w:spacing w:before="100" w:beforeAutospacing="1" w:after="100" w:afterAutospacing="1"/>
      <w:jc w:val="left"/>
    </w:pPr>
    <w:rPr>
      <w:rFonts w:hint="eastAsia" w:ascii="宋体" w:hAnsi="宋体" w:cs="Arial Unicode MS"/>
      <w:color w:val="FF0000"/>
      <w:kern w:val="0"/>
      <w:sz w:val="24"/>
    </w:rPr>
  </w:style>
  <w:style w:type="paragraph" w:customStyle="1" w:styleId="209">
    <w:name w:val="表头"/>
    <w:basedOn w:val="1"/>
    <w:qFormat/>
    <w:uiPriority w:val="0"/>
    <w:pPr>
      <w:spacing w:line="360" w:lineRule="auto"/>
      <w:jc w:val="center"/>
    </w:pPr>
    <w:rPr>
      <w:rFonts w:ascii="黑体" w:hAnsi="Calibri" w:eastAsia="黑体"/>
      <w:kern w:val="0"/>
      <w:sz w:val="24"/>
      <w:szCs w:val="20"/>
    </w:rPr>
  </w:style>
  <w:style w:type="paragraph" w:customStyle="1" w:styleId="210">
    <w:name w:val="List Paragraph1"/>
    <w:basedOn w:val="1"/>
    <w:qFormat/>
    <w:uiPriority w:val="0"/>
    <w:pPr>
      <w:ind w:firstLine="200" w:firstLineChars="200"/>
    </w:pPr>
    <w:rPr>
      <w:rFonts w:ascii="Calibri" w:hAnsi="Calibri" w:cs="Calibri"/>
      <w:szCs w:val="21"/>
    </w:rPr>
  </w:style>
  <w:style w:type="character" w:customStyle="1" w:styleId="211">
    <w:name w:val="日期 Char1"/>
    <w:basedOn w:val="50"/>
    <w:link w:val="25"/>
    <w:qFormat/>
    <w:uiPriority w:val="0"/>
    <w:rPr>
      <w:kern w:val="2"/>
      <w:sz w:val="21"/>
      <w:szCs w:val="24"/>
    </w:rPr>
  </w:style>
  <w:style w:type="paragraph" w:customStyle="1" w:styleId="212">
    <w:name w:val="样式 (西文) 黑体 (中文) 黑体 四号 加粗 首行缩进:  2 字符"/>
    <w:basedOn w:val="1"/>
    <w:next w:val="40"/>
    <w:qFormat/>
    <w:uiPriority w:val="0"/>
    <w:pPr>
      <w:ind w:firstLine="562" w:firstLineChars="200"/>
    </w:pPr>
    <w:rPr>
      <w:rFonts w:ascii="黑体" w:hAnsi="Calibri" w:eastAsia="黑体"/>
      <w:b/>
      <w:bCs/>
      <w:sz w:val="28"/>
      <w:szCs w:val="20"/>
    </w:rPr>
  </w:style>
  <w:style w:type="paragraph" w:customStyle="1" w:styleId="213">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8"/>
      <w:szCs w:val="28"/>
    </w:rPr>
  </w:style>
  <w:style w:type="paragraph" w:customStyle="1" w:styleId="214">
    <w:name w:val="xl27"/>
    <w:basedOn w:val="1"/>
    <w:qFormat/>
    <w:uiPriority w:val="0"/>
    <w:pPr>
      <w:widowControl/>
      <w:spacing w:before="100" w:beforeAutospacing="1" w:after="100" w:afterAutospacing="1"/>
      <w:jc w:val="center"/>
    </w:pPr>
    <w:rPr>
      <w:rFonts w:ascii="Arial Unicode MS" w:hAnsi="Arial Unicode MS" w:eastAsia="Arial Unicode MS" w:cs="Arial Unicode MS"/>
      <w:kern w:val="0"/>
      <w:sz w:val="22"/>
      <w:szCs w:val="22"/>
    </w:rPr>
  </w:style>
  <w:style w:type="paragraph" w:customStyle="1" w:styleId="215">
    <w:name w:val="Char Char Char Char Char Char Char Char Char Char Char1 Char Char Char Char Char Char Char Char Char Char Char Char"/>
    <w:basedOn w:val="1"/>
    <w:qFormat/>
    <w:uiPriority w:val="0"/>
    <w:rPr>
      <w:rFonts w:ascii="Calibri" w:hAnsi="Calibri"/>
    </w:rPr>
  </w:style>
  <w:style w:type="paragraph" w:customStyle="1" w:styleId="216">
    <w:name w:val="xl25"/>
    <w:basedOn w:val="1"/>
    <w:qFormat/>
    <w:uiPriority w:val="0"/>
    <w:pPr>
      <w:widowControl/>
      <w:spacing w:before="100" w:beforeAutospacing="1" w:after="100" w:afterAutospacing="1"/>
      <w:jc w:val="left"/>
    </w:pPr>
    <w:rPr>
      <w:rFonts w:ascii="Arial Unicode MS" w:hAnsi="Arial Unicode MS" w:eastAsia="Arial Unicode MS" w:cs="Arial Unicode MS"/>
      <w:kern w:val="0"/>
      <w:sz w:val="22"/>
      <w:szCs w:val="22"/>
    </w:rPr>
  </w:style>
  <w:style w:type="character" w:customStyle="1" w:styleId="217">
    <w:name w:val="z-窗体顶端 Char1"/>
    <w:basedOn w:val="50"/>
    <w:link w:val="111"/>
    <w:semiHidden/>
    <w:qFormat/>
    <w:uiPriority w:val="99"/>
    <w:rPr>
      <w:rFonts w:ascii="Arial" w:hAnsi="Arial" w:cs="Arial"/>
      <w:vanish/>
      <w:kern w:val="2"/>
      <w:sz w:val="16"/>
      <w:szCs w:val="16"/>
    </w:rPr>
  </w:style>
  <w:style w:type="paragraph" w:customStyle="1" w:styleId="218">
    <w:name w:val="附件 2"/>
    <w:basedOn w:val="42"/>
    <w:qFormat/>
    <w:uiPriority w:val="0"/>
    <w:pPr>
      <w:spacing w:beforeAutospacing="0" w:afterAutospacing="0" w:line="300" w:lineRule="auto"/>
      <w:jc w:val="both"/>
    </w:pPr>
    <w:rPr>
      <w:rFonts w:cs="Times New Roman"/>
      <w:color w:val="000000"/>
      <w:sz w:val="21"/>
      <w:szCs w:val="18"/>
    </w:rPr>
  </w:style>
  <w:style w:type="paragraph" w:customStyle="1" w:styleId="219">
    <w:name w:val="样式2"/>
    <w:basedOn w:val="31"/>
    <w:qFormat/>
    <w:uiPriority w:val="0"/>
    <w:pPr>
      <w:tabs>
        <w:tab w:val="left" w:pos="1050"/>
        <w:tab w:val="left" w:pos="1260"/>
        <w:tab w:val="right" w:pos="9061"/>
      </w:tabs>
      <w:spacing w:before="120" w:after="120" w:line="240" w:lineRule="auto"/>
      <w:jc w:val="both"/>
    </w:pPr>
    <w:rPr>
      <w:rFonts w:ascii="黑体" w:hAnsi="宋体" w:cs="Times New Roman"/>
      <w:b/>
      <w:bCs/>
      <w:caps/>
      <w:sz w:val="24"/>
      <w:szCs w:val="28"/>
    </w:rPr>
  </w:style>
  <w:style w:type="character" w:customStyle="1" w:styleId="220">
    <w:name w:val="正文文本缩进 2 Char1"/>
    <w:basedOn w:val="50"/>
    <w:link w:val="26"/>
    <w:qFormat/>
    <w:uiPriority w:val="0"/>
    <w:rPr>
      <w:kern w:val="2"/>
      <w:sz w:val="21"/>
      <w:szCs w:val="24"/>
    </w:rPr>
  </w:style>
  <w:style w:type="paragraph" w:customStyle="1" w:styleId="221">
    <w:name w:val="表格标题"/>
    <w:basedOn w:val="1"/>
    <w:qFormat/>
    <w:uiPriority w:val="0"/>
    <w:pPr>
      <w:jc w:val="center"/>
    </w:pPr>
    <w:rPr>
      <w:rFonts w:ascii="Arial Narrow" w:hAnsi="Arial Narrow" w:eastAsia="楷体_GB2312"/>
      <w:snapToGrid w:val="0"/>
      <w:kern w:val="0"/>
      <w:szCs w:val="20"/>
    </w:rPr>
  </w:style>
  <w:style w:type="paragraph" w:customStyle="1" w:styleId="222">
    <w:name w:val="样式 标题 2 + 左侧:  2 字符"/>
    <w:basedOn w:val="4"/>
    <w:qFormat/>
    <w:uiPriority w:val="0"/>
    <w:pPr>
      <w:spacing w:before="380" w:after="380" w:line="415" w:lineRule="auto"/>
      <w:ind w:left="420" w:leftChars="200"/>
    </w:pPr>
    <w:rPr>
      <w:rFonts w:eastAsia="宋体"/>
      <w:kern w:val="2"/>
      <w:sz w:val="30"/>
      <w:szCs w:val="20"/>
    </w:rPr>
  </w:style>
  <w:style w:type="character" w:customStyle="1" w:styleId="223">
    <w:name w:val="脚注文本 Char"/>
    <w:basedOn w:val="50"/>
    <w:link w:val="34"/>
    <w:qFormat/>
    <w:uiPriority w:val="0"/>
    <w:rPr>
      <w:rFonts w:ascii="Calibri" w:hAnsi="Calibri"/>
      <w:kern w:val="2"/>
    </w:rPr>
  </w:style>
  <w:style w:type="paragraph" w:customStyle="1" w:styleId="224">
    <w:name w:val="样式1"/>
    <w:basedOn w:val="1"/>
    <w:next w:val="6"/>
    <w:qFormat/>
    <w:uiPriority w:val="0"/>
    <w:pPr>
      <w:spacing w:line="360" w:lineRule="auto"/>
      <w:ind w:firstLine="420" w:firstLineChars="200"/>
    </w:pPr>
    <w:rPr>
      <w:rFonts w:ascii="宋体" w:hAnsi="宋体"/>
      <w:szCs w:val="21"/>
    </w:rPr>
  </w:style>
  <w:style w:type="paragraph" w:customStyle="1" w:styleId="225">
    <w:name w:val="Revision1"/>
    <w:qFormat/>
    <w:uiPriority w:val="0"/>
    <w:rPr>
      <w:rFonts w:ascii="Bodoni MT" w:hAnsi="Bodoni MT" w:eastAsia="宋体" w:cs="Times New Roman"/>
      <w:kern w:val="2"/>
      <w:sz w:val="21"/>
      <w:szCs w:val="24"/>
      <w:lang w:val="en-US" w:eastAsia="zh-CN" w:bidi="ar-SA"/>
    </w:rPr>
  </w:style>
  <w:style w:type="paragraph" w:customStyle="1" w:styleId="226">
    <w:name w:val="样式 样式 标题 2 + Times New Roman 四号 非加粗 段前: 5 磅 段后: 0 磅 行距: 固定值 20....."/>
    <w:basedOn w:val="204"/>
    <w:qFormat/>
    <w:uiPriority w:val="0"/>
    <w:pPr>
      <w:spacing w:before="0" w:after="234"/>
      <w:jc w:val="both"/>
    </w:pPr>
    <w:rPr>
      <w:rFonts w:eastAsia="黑体"/>
      <w:b/>
      <w:bCs/>
    </w:rPr>
  </w:style>
  <w:style w:type="paragraph" w:customStyle="1" w:styleId="227">
    <w:name w:val="xl26"/>
    <w:basedOn w:val="1"/>
    <w:qFormat/>
    <w:uiPriority w:val="0"/>
    <w:pPr>
      <w:widowControl/>
      <w:spacing w:before="100" w:beforeAutospacing="1" w:after="100" w:afterAutospacing="1"/>
      <w:jc w:val="center"/>
    </w:pPr>
    <w:rPr>
      <w:rFonts w:ascii="Arial Unicode MS" w:hAnsi="Arial Unicode MS" w:eastAsia="Arial Unicode MS" w:cs="Arial Unicode MS"/>
      <w:kern w:val="0"/>
      <w:sz w:val="24"/>
    </w:rPr>
  </w:style>
  <w:style w:type="paragraph" w:customStyle="1" w:styleId="228">
    <w:name w:val="正文11"/>
    <w:qFormat/>
    <w:uiPriority w:val="0"/>
    <w:pPr>
      <w:widowControl w:val="0"/>
      <w:adjustRightInd w:val="0"/>
      <w:spacing w:line="312" w:lineRule="atLeast"/>
      <w:jc w:val="both"/>
      <w:textAlignment w:val="baseline"/>
    </w:pPr>
    <w:rPr>
      <w:rFonts w:ascii="宋体" w:hAnsi="Calibri" w:eastAsia="宋体" w:cs="Times New Roman"/>
      <w:sz w:val="34"/>
      <w:lang w:val="en-US" w:eastAsia="zh-CN" w:bidi="ar-SA"/>
    </w:rPr>
  </w:style>
  <w:style w:type="paragraph" w:customStyle="1" w:styleId="229">
    <w:name w:val="xl69"/>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宋体" w:hAnsi="宋体" w:cs="宋体"/>
      <w:color w:val="000000"/>
      <w:kern w:val="0"/>
      <w:sz w:val="28"/>
      <w:szCs w:val="28"/>
    </w:rPr>
  </w:style>
  <w:style w:type="paragraph" w:customStyle="1" w:styleId="230">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231">
    <w:name w:val="Char Char Char Char Char Char Char"/>
    <w:basedOn w:val="1"/>
    <w:qFormat/>
    <w:uiPriority w:val="0"/>
    <w:rPr>
      <w:rFonts w:ascii="Tahoma" w:hAnsi="Tahoma"/>
      <w:sz w:val="24"/>
      <w:szCs w:val="20"/>
    </w:rPr>
  </w:style>
  <w:style w:type="character" w:customStyle="1" w:styleId="232">
    <w:name w:val="批注文字 Char1"/>
    <w:basedOn w:val="50"/>
    <w:link w:val="15"/>
    <w:qFormat/>
    <w:uiPriority w:val="0"/>
    <w:rPr>
      <w:kern w:val="2"/>
      <w:sz w:val="21"/>
      <w:szCs w:val="24"/>
    </w:rPr>
  </w:style>
  <w:style w:type="character" w:customStyle="1" w:styleId="233">
    <w:name w:val="批注主题 Char1"/>
    <w:basedOn w:val="232"/>
    <w:link w:val="45"/>
    <w:qFormat/>
    <w:uiPriority w:val="0"/>
    <w:rPr>
      <w:kern w:val="2"/>
      <w:sz w:val="21"/>
      <w:szCs w:val="24"/>
    </w:rPr>
  </w:style>
  <w:style w:type="paragraph" w:customStyle="1" w:styleId="234">
    <w:name w:val="TOC 标题1"/>
    <w:basedOn w:val="3"/>
    <w:next w:val="1"/>
    <w:qFormat/>
    <w:uiPriority w:val="0"/>
    <w:pPr>
      <w:keepLines/>
      <w:numPr>
        <w:numId w:val="0"/>
      </w:numPr>
      <w:tabs>
        <w:tab w:val="clear" w:pos="432"/>
      </w:tabs>
      <w:spacing w:before="480" w:line="276" w:lineRule="auto"/>
      <w:jc w:val="left"/>
      <w:outlineLvl w:val="9"/>
    </w:pPr>
    <w:rPr>
      <w:rFonts w:ascii="Cambria" w:hAnsi="Cambria" w:eastAsia="宋体" w:cs="Cambria"/>
      <w:b/>
      <w:bCs/>
      <w:color w:val="365F91"/>
      <w:sz w:val="28"/>
      <w:szCs w:val="28"/>
    </w:rPr>
  </w:style>
  <w:style w:type="paragraph" w:customStyle="1" w:styleId="235">
    <w:name w:val="xl89"/>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宋体" w:hAnsi="宋体" w:cs="宋体"/>
      <w:color w:val="000000"/>
      <w:kern w:val="0"/>
      <w:sz w:val="28"/>
      <w:szCs w:val="28"/>
    </w:rPr>
  </w:style>
  <w:style w:type="character" w:customStyle="1" w:styleId="236">
    <w:name w:val="引用 Char2"/>
    <w:basedOn w:val="50"/>
    <w:link w:val="148"/>
    <w:semiHidden/>
    <w:qFormat/>
    <w:uiPriority w:val="99"/>
    <w:rPr>
      <w:i/>
      <w:iCs/>
      <w:color w:val="000000" w:themeColor="text1"/>
      <w:kern w:val="2"/>
      <w:sz w:val="21"/>
      <w:szCs w:val="24"/>
      <w14:textFill>
        <w14:solidFill>
          <w14:schemeClr w14:val="tx1"/>
        </w14:solidFill>
      </w14:textFill>
    </w:rPr>
  </w:style>
  <w:style w:type="paragraph" w:customStyle="1" w:styleId="237">
    <w:name w:val="菲页1"/>
    <w:basedOn w:val="4"/>
    <w:qFormat/>
    <w:uiPriority w:val="0"/>
    <w:pPr>
      <w:widowControl/>
      <w:spacing w:line="416" w:lineRule="auto"/>
      <w:jc w:val="center"/>
    </w:pPr>
    <w:rPr>
      <w:rFonts w:ascii="黑体" w:hAnsi="宋体"/>
      <w:b w:val="0"/>
      <w:bCs w:val="0"/>
      <w:sz w:val="52"/>
      <w:szCs w:val="20"/>
    </w:rPr>
  </w:style>
  <w:style w:type="character" w:customStyle="1" w:styleId="238">
    <w:name w:val="文档结构图 Char1"/>
    <w:basedOn w:val="50"/>
    <w:link w:val="13"/>
    <w:qFormat/>
    <w:uiPriority w:val="0"/>
    <w:rPr>
      <w:rFonts w:ascii="宋体"/>
      <w:kern w:val="2"/>
      <w:sz w:val="18"/>
      <w:szCs w:val="18"/>
    </w:rPr>
  </w:style>
  <w:style w:type="paragraph" w:customStyle="1" w:styleId="239">
    <w:name w:val="xl31"/>
    <w:basedOn w:val="1"/>
    <w:qFormat/>
    <w:uiPriority w:val="0"/>
    <w:pPr>
      <w:widowControl/>
      <w:shd w:val="clear" w:color="auto" w:fill="FFFF00"/>
      <w:spacing w:before="100" w:beforeAutospacing="1" w:after="100" w:afterAutospacing="1"/>
      <w:jc w:val="left"/>
    </w:pPr>
    <w:rPr>
      <w:rFonts w:ascii="Arial Unicode MS" w:hAnsi="Arial Unicode MS" w:eastAsia="Arial Unicode MS" w:cs="Arial Unicode MS"/>
      <w:kern w:val="0"/>
      <w:sz w:val="24"/>
    </w:rPr>
  </w:style>
  <w:style w:type="paragraph" w:customStyle="1" w:styleId="240">
    <w:name w:val="6'"/>
    <w:basedOn w:val="1"/>
    <w:qFormat/>
    <w:uiPriority w:val="0"/>
    <w:pPr>
      <w:autoSpaceDE w:val="0"/>
      <w:autoSpaceDN w:val="0"/>
      <w:adjustRightInd w:val="0"/>
      <w:snapToGrid w:val="0"/>
      <w:spacing w:line="320" w:lineRule="exact"/>
      <w:jc w:val="center"/>
      <w:textAlignment w:val="baseline"/>
    </w:pPr>
    <w:rPr>
      <w:rFonts w:ascii="Calibri" w:hAnsi="Calibri"/>
      <w:spacing w:val="20"/>
      <w:kern w:val="28"/>
      <w:szCs w:val="20"/>
    </w:rPr>
  </w:style>
  <w:style w:type="paragraph" w:customStyle="1" w:styleId="241">
    <w:name w:val="font1"/>
    <w:basedOn w:val="1"/>
    <w:qFormat/>
    <w:uiPriority w:val="0"/>
    <w:pPr>
      <w:widowControl/>
      <w:spacing w:before="100" w:beforeAutospacing="1" w:after="100" w:afterAutospacing="1"/>
      <w:jc w:val="left"/>
    </w:pPr>
    <w:rPr>
      <w:rFonts w:hint="eastAsia" w:ascii="宋体" w:hAnsi="宋体" w:cs="Arial Unicode MS"/>
      <w:kern w:val="0"/>
      <w:sz w:val="24"/>
    </w:rPr>
  </w:style>
  <w:style w:type="paragraph" w:customStyle="1" w:styleId="242">
    <w:name w:val="WPS Plain"/>
    <w:qFormat/>
    <w:uiPriority w:val="0"/>
    <w:rPr>
      <w:rFonts w:ascii="Calibri" w:hAnsi="Calibri" w:eastAsia="宋体" w:cs="Times New Roman"/>
      <w:lang w:val="en-US" w:eastAsia="zh-CN" w:bidi="ar-SA"/>
    </w:rPr>
  </w:style>
  <w:style w:type="paragraph" w:customStyle="1" w:styleId="243">
    <w:name w:val="普通(网站)11"/>
    <w:basedOn w:val="1"/>
    <w:qFormat/>
    <w:uiPriority w:val="0"/>
    <w:pPr>
      <w:widowControl/>
      <w:spacing w:before="100" w:beforeAutospacing="1" w:after="100" w:afterAutospacing="1" w:line="360" w:lineRule="auto"/>
      <w:ind w:firstLine="200" w:firstLineChars="200"/>
      <w:jc w:val="left"/>
    </w:pPr>
    <w:rPr>
      <w:rFonts w:ascii="宋体" w:hAnsi="Calibri"/>
      <w:kern w:val="0"/>
      <w:sz w:val="24"/>
    </w:rPr>
  </w:style>
  <w:style w:type="paragraph" w:customStyle="1" w:styleId="244">
    <w:name w:val="TOC Heading1"/>
    <w:basedOn w:val="3"/>
    <w:next w:val="1"/>
    <w:qFormat/>
    <w:uiPriority w:val="0"/>
    <w:pPr>
      <w:keepLines/>
      <w:numPr>
        <w:numId w:val="0"/>
      </w:numPr>
      <w:tabs>
        <w:tab w:val="clear" w:pos="432"/>
      </w:tabs>
      <w:spacing w:before="480" w:line="276" w:lineRule="auto"/>
      <w:jc w:val="left"/>
      <w:outlineLvl w:val="9"/>
    </w:pPr>
    <w:rPr>
      <w:rFonts w:ascii="Cambria" w:hAnsi="Cambria" w:eastAsia="宋体"/>
      <w:b/>
      <w:bCs/>
      <w:color w:val="365F91"/>
      <w:sz w:val="28"/>
      <w:szCs w:val="28"/>
    </w:rPr>
  </w:style>
  <w:style w:type="paragraph" w:customStyle="1" w:styleId="245">
    <w:name w:val="font0"/>
    <w:basedOn w:val="1"/>
    <w:qFormat/>
    <w:uiPriority w:val="0"/>
    <w:pPr>
      <w:widowControl/>
      <w:spacing w:before="100" w:beforeAutospacing="1" w:after="100" w:afterAutospacing="1"/>
      <w:jc w:val="left"/>
    </w:pPr>
    <w:rPr>
      <w:rFonts w:hint="eastAsia" w:ascii="宋体" w:hAnsi="宋体" w:cs="Arial Unicode MS"/>
      <w:kern w:val="0"/>
      <w:sz w:val="24"/>
    </w:rPr>
  </w:style>
  <w:style w:type="paragraph" w:customStyle="1" w:styleId="246">
    <w:name w:val="样式 标题 1 + 黑体 三号 非加粗 居中 段前: 6 磅 段后: 6 磅 行距: 固定值 20 磅"/>
    <w:basedOn w:val="3"/>
    <w:qFormat/>
    <w:uiPriority w:val="0"/>
    <w:pPr>
      <w:keepLines/>
      <w:widowControl w:val="0"/>
      <w:numPr>
        <w:numId w:val="0"/>
      </w:numPr>
      <w:tabs>
        <w:tab w:val="clear" w:pos="432"/>
      </w:tabs>
      <w:spacing w:before="120" w:after="120" w:line="400" w:lineRule="exact"/>
    </w:pPr>
    <w:rPr>
      <w:rFonts w:hAnsi="黑体" w:cs="宋体"/>
      <w:kern w:val="44"/>
      <w:sz w:val="32"/>
    </w:rPr>
  </w:style>
  <w:style w:type="paragraph" w:customStyle="1" w:styleId="247">
    <w:name w:val="xl30"/>
    <w:basedOn w:val="1"/>
    <w:qFormat/>
    <w:uiPriority w:val="0"/>
    <w:pPr>
      <w:widowControl/>
      <w:spacing w:before="100" w:beforeAutospacing="1" w:after="100" w:afterAutospacing="1"/>
      <w:jc w:val="left"/>
    </w:pPr>
    <w:rPr>
      <w:rFonts w:ascii="Calibri" w:hAnsi="Calibri" w:eastAsia="Arial Unicode MS"/>
      <w:kern w:val="0"/>
      <w:sz w:val="24"/>
    </w:rPr>
  </w:style>
  <w:style w:type="paragraph" w:styleId="248">
    <w:name w:val="List Paragraph"/>
    <w:basedOn w:val="1"/>
    <w:qFormat/>
    <w:uiPriority w:val="0"/>
    <w:pPr>
      <w:ind w:firstLine="420" w:firstLineChars="200"/>
    </w:pPr>
    <w:rPr>
      <w:rFonts w:ascii="Calibri" w:hAnsi="Calibri"/>
    </w:rPr>
  </w:style>
  <w:style w:type="paragraph" w:customStyle="1" w:styleId="249">
    <w:name w:val="Char Char Char Char1"/>
    <w:basedOn w:val="1"/>
    <w:qFormat/>
    <w:uiPriority w:val="0"/>
    <w:rPr>
      <w:rFonts w:ascii="Tahoma" w:hAnsi="Tahoma"/>
      <w:sz w:val="24"/>
      <w:szCs w:val="20"/>
    </w:rPr>
  </w:style>
  <w:style w:type="paragraph" w:customStyle="1" w:styleId="250">
    <w:name w:val="Char2"/>
    <w:basedOn w:val="1"/>
    <w:qFormat/>
    <w:uiPriority w:val="0"/>
    <w:rPr>
      <w:rFonts w:ascii="Tahoma" w:hAnsi="Tahoma"/>
      <w:sz w:val="24"/>
      <w:szCs w:val="20"/>
    </w:rPr>
  </w:style>
  <w:style w:type="paragraph" w:customStyle="1" w:styleId="251">
    <w:name w:val="菲页(卷)"/>
    <w:basedOn w:val="3"/>
    <w:next w:val="228"/>
    <w:qFormat/>
    <w:uiPriority w:val="0"/>
    <w:pPr>
      <w:numPr>
        <w:numId w:val="0"/>
      </w:numPr>
      <w:ind w:left="432" w:hanging="432"/>
      <w:outlineLvl w:val="1"/>
    </w:pPr>
    <w:rPr>
      <w:rFonts w:hAnsi="Calibri"/>
    </w:rPr>
  </w:style>
  <w:style w:type="character" w:customStyle="1" w:styleId="252">
    <w:name w:val="正文首行缩进 Char1"/>
    <w:basedOn w:val="178"/>
    <w:link w:val="46"/>
    <w:qFormat/>
    <w:uiPriority w:val="0"/>
    <w:rPr>
      <w:kern w:val="2"/>
      <w:sz w:val="21"/>
      <w:szCs w:val="24"/>
    </w:rPr>
  </w:style>
  <w:style w:type="paragraph" w:customStyle="1" w:styleId="253">
    <w:name w:val="xl85"/>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8"/>
      <w:szCs w:val="28"/>
    </w:rPr>
  </w:style>
  <w:style w:type="paragraph" w:customStyle="1" w:styleId="254">
    <w:name w:val="xl28"/>
    <w:basedOn w:val="1"/>
    <w:qFormat/>
    <w:uiPriority w:val="0"/>
    <w:pPr>
      <w:widowControl/>
      <w:spacing w:before="100" w:beforeAutospacing="1" w:after="100" w:afterAutospacing="1"/>
      <w:jc w:val="left"/>
    </w:pPr>
    <w:rPr>
      <w:rFonts w:ascii="Arial Unicode MS" w:hAnsi="Arial Unicode MS" w:eastAsia="Arial Unicode MS" w:cs="Arial Unicode MS"/>
      <w:kern w:val="0"/>
      <w:sz w:val="24"/>
    </w:rPr>
  </w:style>
  <w:style w:type="paragraph" w:customStyle="1" w:styleId="255">
    <w:name w:val="xl67"/>
    <w:basedOn w:val="1"/>
    <w:qFormat/>
    <w:uiPriority w:val="0"/>
    <w:pPr>
      <w:widowControl/>
      <w:pBdr>
        <w:top w:val="single" w:color="auto" w:sz="4" w:space="0"/>
        <w:left w:val="single" w:color="auto" w:sz="4" w:space="0"/>
        <w:bottom w:val="single" w:color="auto" w:sz="4" w:space="0"/>
      </w:pBdr>
      <w:shd w:val="clear" w:color="FFFFFF" w:fill="FFFFFF"/>
      <w:spacing w:before="100" w:beforeAutospacing="1" w:after="100" w:afterAutospacing="1"/>
      <w:jc w:val="center"/>
      <w:textAlignment w:val="center"/>
    </w:pPr>
    <w:rPr>
      <w:rFonts w:ascii="宋体" w:hAnsi="宋体" w:cs="宋体"/>
      <w:color w:val="000000"/>
      <w:kern w:val="0"/>
      <w:sz w:val="28"/>
      <w:szCs w:val="28"/>
    </w:rPr>
  </w:style>
  <w:style w:type="paragraph" w:customStyle="1" w:styleId="256">
    <w:name w:val="font12"/>
    <w:basedOn w:val="1"/>
    <w:qFormat/>
    <w:uiPriority w:val="0"/>
    <w:pPr>
      <w:widowControl/>
      <w:spacing w:before="100" w:beforeAutospacing="1" w:after="100" w:afterAutospacing="1"/>
      <w:jc w:val="left"/>
    </w:pPr>
    <w:rPr>
      <w:rFonts w:ascii="Calibri" w:hAnsi="Calibri" w:eastAsia="Arial Unicode MS"/>
      <w:color w:val="000000"/>
      <w:kern w:val="0"/>
      <w:sz w:val="24"/>
    </w:rPr>
  </w:style>
  <w:style w:type="paragraph" w:customStyle="1" w:styleId="257">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4"/>
    </w:rPr>
  </w:style>
  <w:style w:type="paragraph" w:customStyle="1" w:styleId="258">
    <w:name w:val="纯文本1"/>
    <w:basedOn w:val="1"/>
    <w:qFormat/>
    <w:uiPriority w:val="0"/>
    <w:pPr>
      <w:adjustRightInd w:val="0"/>
      <w:textAlignment w:val="baseline"/>
    </w:pPr>
    <w:rPr>
      <w:rFonts w:ascii="宋体" w:hAnsi="Courier New"/>
      <w:szCs w:val="20"/>
    </w:rPr>
  </w:style>
  <w:style w:type="paragraph" w:customStyle="1" w:styleId="259">
    <w:name w:val="简单回函地址"/>
    <w:basedOn w:val="1"/>
    <w:qFormat/>
    <w:uiPriority w:val="0"/>
    <w:rPr>
      <w:rFonts w:ascii="Calibri" w:hAnsi="Calibri"/>
    </w:rPr>
  </w:style>
  <w:style w:type="paragraph" w:customStyle="1" w:styleId="260">
    <w:name w:val="节标题"/>
    <w:basedOn w:val="1"/>
    <w:next w:val="1"/>
    <w:qFormat/>
    <w:uiPriority w:val="0"/>
    <w:pPr>
      <w:widowControl/>
      <w:spacing w:line="289" w:lineRule="atLeast"/>
      <w:jc w:val="center"/>
      <w:textAlignment w:val="baseline"/>
    </w:pPr>
    <w:rPr>
      <w:rFonts w:ascii="Calibri" w:hAnsi="Calibri"/>
      <w:color w:val="000000"/>
      <w:kern w:val="0"/>
      <w:sz w:val="28"/>
      <w:szCs w:val="20"/>
      <w:u w:color="000000"/>
    </w:rPr>
  </w:style>
  <w:style w:type="paragraph" w:customStyle="1" w:styleId="261">
    <w:name w:val="公文正文"/>
    <w:qFormat/>
    <w:uiPriority w:val="0"/>
    <w:pPr>
      <w:widowControl w:val="0"/>
      <w:spacing w:line="360" w:lineRule="auto"/>
      <w:ind w:firstLine="629"/>
      <w:jc w:val="both"/>
    </w:pPr>
    <w:rPr>
      <w:rFonts w:ascii="仿宋_GB2312" w:hAnsi="Calisto MT" w:eastAsia="仿宋_GB2312" w:cs="Times New Roman"/>
      <w:color w:val="000000"/>
      <w:sz w:val="32"/>
      <w:lang w:val="en-US" w:eastAsia="zh-CN" w:bidi="ar-SA"/>
    </w:rPr>
  </w:style>
  <w:style w:type="paragraph" w:customStyle="1" w:styleId="262">
    <w:name w:val="xl83"/>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宋体" w:hAnsi="宋体" w:cs="宋体"/>
      <w:kern w:val="0"/>
      <w:sz w:val="28"/>
      <w:szCs w:val="28"/>
    </w:rPr>
  </w:style>
  <w:style w:type="paragraph" w:customStyle="1" w:styleId="263">
    <w:name w:val="目录文字"/>
    <w:basedOn w:val="1"/>
    <w:qFormat/>
    <w:uiPriority w:val="0"/>
    <w:pPr>
      <w:widowControl/>
      <w:spacing w:line="480" w:lineRule="auto"/>
      <w:jc w:val="left"/>
    </w:pPr>
    <w:rPr>
      <w:rFonts w:ascii="宋体" w:hAnsi="宋体"/>
      <w:kern w:val="0"/>
      <w:sz w:val="24"/>
      <w:szCs w:val="20"/>
    </w:rPr>
  </w:style>
  <w:style w:type="paragraph" w:customStyle="1" w:styleId="264">
    <w:name w:val="xl91"/>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4"/>
    </w:rPr>
  </w:style>
  <w:style w:type="paragraph" w:customStyle="1" w:styleId="265">
    <w:name w:val="xl37"/>
    <w:basedOn w:val="1"/>
    <w:qFormat/>
    <w:uiPriority w:val="0"/>
    <w:pPr>
      <w:widowControl/>
      <w:pBdr>
        <w:bottom w:val="single" w:color="auto" w:sz="4" w:space="0"/>
        <w:right w:val="single" w:color="auto" w:sz="4" w:space="0"/>
      </w:pBdr>
      <w:spacing w:before="100" w:beforeAutospacing="1" w:after="100" w:afterAutospacing="1"/>
      <w:textAlignment w:val="center"/>
    </w:pPr>
    <w:rPr>
      <w:rFonts w:ascii="宋体" w:hAnsi="宋体"/>
      <w:kern w:val="0"/>
      <w:szCs w:val="21"/>
    </w:rPr>
  </w:style>
  <w:style w:type="paragraph" w:customStyle="1" w:styleId="266">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8"/>
      <w:szCs w:val="28"/>
    </w:rPr>
  </w:style>
  <w:style w:type="paragraph" w:customStyle="1" w:styleId="267">
    <w:name w:val="Char Char1 Char"/>
    <w:basedOn w:val="1"/>
    <w:qFormat/>
    <w:uiPriority w:val="0"/>
    <w:rPr>
      <w:rFonts w:ascii="Calibri" w:hAnsi="Calibri"/>
    </w:rPr>
  </w:style>
  <w:style w:type="paragraph" w:customStyle="1" w:styleId="268">
    <w:name w:val="normalweb"/>
    <w:basedOn w:val="1"/>
    <w:qFormat/>
    <w:uiPriority w:val="0"/>
    <w:pPr>
      <w:widowControl/>
      <w:spacing w:before="100" w:beforeAutospacing="1" w:after="100" w:afterAutospacing="1" w:line="360" w:lineRule="auto"/>
      <w:ind w:firstLine="420"/>
      <w:jc w:val="left"/>
    </w:pPr>
    <w:rPr>
      <w:rFonts w:ascii="宋体" w:hAnsi="宋体" w:cs="宋体"/>
      <w:kern w:val="0"/>
      <w:sz w:val="24"/>
    </w:rPr>
  </w:style>
  <w:style w:type="paragraph" w:customStyle="1" w:styleId="269">
    <w:name w:val="font8"/>
    <w:basedOn w:val="1"/>
    <w:qFormat/>
    <w:uiPriority w:val="0"/>
    <w:pPr>
      <w:widowControl/>
      <w:spacing w:before="100" w:beforeAutospacing="1" w:after="100" w:afterAutospacing="1"/>
      <w:jc w:val="left"/>
    </w:pPr>
    <w:rPr>
      <w:rFonts w:hint="eastAsia" w:ascii="宋体" w:hAnsi="宋体" w:cs="Arial Unicode MS"/>
      <w:kern w:val="0"/>
      <w:sz w:val="22"/>
      <w:szCs w:val="22"/>
    </w:rPr>
  </w:style>
  <w:style w:type="paragraph" w:customStyle="1" w:styleId="270">
    <w:name w:val="Char Char Char Char Char Char Char1"/>
    <w:basedOn w:val="1"/>
    <w:qFormat/>
    <w:uiPriority w:val="0"/>
    <w:rPr>
      <w:rFonts w:ascii="仿宋_GB2312" w:hAnsi="Calibri" w:eastAsia="仿宋_GB2312"/>
      <w:b/>
      <w:sz w:val="32"/>
      <w:szCs w:val="32"/>
    </w:rPr>
  </w:style>
  <w:style w:type="paragraph" w:customStyle="1" w:styleId="271">
    <w:name w:val="表格文字"/>
    <w:basedOn w:val="1"/>
    <w:qFormat/>
    <w:uiPriority w:val="0"/>
    <w:pPr>
      <w:adjustRightInd w:val="0"/>
      <w:snapToGrid w:val="0"/>
      <w:spacing w:beforeLines="20" w:line="360" w:lineRule="auto"/>
      <w:ind w:left="-51" w:leftChars="-51" w:hanging="107" w:hangingChars="51"/>
      <w:jc w:val="center"/>
    </w:pPr>
    <w:rPr>
      <w:rFonts w:ascii="Calibri" w:hAnsi="Calibri"/>
      <w:color w:val="000000"/>
    </w:rPr>
  </w:style>
  <w:style w:type="paragraph" w:customStyle="1" w:styleId="272">
    <w:name w:val="图表文字"/>
    <w:basedOn w:val="1"/>
    <w:qFormat/>
    <w:uiPriority w:val="0"/>
    <w:pPr>
      <w:widowControl/>
      <w:adjustRightInd w:val="0"/>
      <w:spacing w:before="120" w:after="120"/>
      <w:jc w:val="center"/>
    </w:pPr>
    <w:rPr>
      <w:rFonts w:ascii="黑体" w:hAnsi="Calibri" w:eastAsia="黑体"/>
      <w:kern w:val="0"/>
      <w:sz w:val="28"/>
      <w:szCs w:val="20"/>
    </w:rPr>
  </w:style>
  <w:style w:type="paragraph" w:customStyle="1" w:styleId="273">
    <w:name w:val="xl32"/>
    <w:basedOn w:val="1"/>
    <w:qFormat/>
    <w:uiPriority w:val="0"/>
    <w:pPr>
      <w:widowControl/>
      <w:spacing w:before="100" w:beforeAutospacing="1" w:after="100" w:afterAutospacing="1"/>
      <w:jc w:val="left"/>
    </w:pPr>
    <w:rPr>
      <w:rFonts w:ascii="Calibri" w:hAnsi="Calibri" w:eastAsia="Arial Unicode MS"/>
      <w:b/>
      <w:bCs/>
      <w:kern w:val="0"/>
      <w:sz w:val="24"/>
    </w:rPr>
  </w:style>
  <w:style w:type="paragraph" w:customStyle="1" w:styleId="274">
    <w:name w:val="font5"/>
    <w:basedOn w:val="1"/>
    <w:qFormat/>
    <w:uiPriority w:val="0"/>
    <w:pPr>
      <w:widowControl/>
      <w:spacing w:before="100" w:beforeAutospacing="1" w:after="100" w:afterAutospacing="1"/>
      <w:jc w:val="left"/>
    </w:pPr>
    <w:rPr>
      <w:rFonts w:hint="eastAsia" w:ascii="宋体" w:hAnsi="宋体" w:cs="Arial Unicode MS"/>
      <w:kern w:val="0"/>
      <w:sz w:val="24"/>
    </w:rPr>
  </w:style>
  <w:style w:type="paragraph" w:customStyle="1" w:styleId="275">
    <w:name w:val="xl81"/>
    <w:basedOn w:val="1"/>
    <w:qFormat/>
    <w:uiPriority w:val="0"/>
    <w:pPr>
      <w:widowControl/>
      <w:pBdr>
        <w:top w:val="single" w:color="000000" w:sz="4" w:space="0"/>
        <w:left w:val="single" w:color="000000" w:sz="4" w:space="0"/>
        <w:bottom w:val="single" w:color="000000" w:sz="4" w:space="0"/>
      </w:pBdr>
      <w:spacing w:before="100" w:beforeAutospacing="1" w:after="100" w:afterAutospacing="1"/>
      <w:jc w:val="left"/>
      <w:textAlignment w:val="center"/>
    </w:pPr>
    <w:rPr>
      <w:rFonts w:ascii="宋体" w:hAnsi="宋体" w:cs="宋体"/>
      <w:color w:val="000000"/>
      <w:kern w:val="0"/>
      <w:sz w:val="28"/>
      <w:szCs w:val="28"/>
    </w:rPr>
  </w:style>
  <w:style w:type="paragraph" w:customStyle="1" w:styleId="276">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8"/>
      <w:szCs w:val="28"/>
    </w:rPr>
  </w:style>
  <w:style w:type="paragraph" w:styleId="277">
    <w:name w:val="No Spacing"/>
    <w:qFormat/>
    <w:uiPriority w:val="0"/>
    <w:pPr>
      <w:widowControl w:val="0"/>
      <w:jc w:val="both"/>
    </w:pPr>
    <w:rPr>
      <w:rFonts w:ascii="Calibri" w:hAnsi="Calibri" w:eastAsia="宋体" w:cs="Times New Roman"/>
      <w:kern w:val="2"/>
      <w:sz w:val="21"/>
      <w:lang w:val="en-US" w:eastAsia="zh-CN" w:bidi="ar-SA"/>
    </w:rPr>
  </w:style>
  <w:style w:type="paragraph" w:customStyle="1" w:styleId="278">
    <w:name w:val="标题1"/>
    <w:basedOn w:val="4"/>
    <w:qFormat/>
    <w:uiPriority w:val="0"/>
    <w:pPr>
      <w:spacing w:line="416" w:lineRule="auto"/>
      <w:ind w:firstLine="112" w:firstLineChars="40"/>
    </w:pPr>
    <w:rPr>
      <w:rFonts w:ascii="宋体" w:hAnsi="宋体" w:eastAsia="宋体"/>
      <w:color w:val="000000"/>
      <w:kern w:val="2"/>
      <w:sz w:val="28"/>
      <w:szCs w:val="28"/>
    </w:rPr>
  </w:style>
  <w:style w:type="paragraph" w:customStyle="1" w:styleId="279">
    <w:name w:val="xl88"/>
    <w:basedOn w:val="1"/>
    <w:qFormat/>
    <w:uiPriority w:val="0"/>
    <w:pPr>
      <w:widowControl/>
      <w:pBdr>
        <w:top w:val="single" w:color="auto" w:sz="4" w:space="0"/>
        <w:right w:val="single" w:color="auto" w:sz="4" w:space="0"/>
      </w:pBdr>
      <w:spacing w:before="100" w:beforeAutospacing="1" w:after="100" w:afterAutospacing="1"/>
      <w:jc w:val="left"/>
      <w:textAlignment w:val="center"/>
    </w:pPr>
    <w:rPr>
      <w:rFonts w:ascii="宋体" w:hAnsi="宋体" w:cs="宋体"/>
      <w:kern w:val="0"/>
      <w:sz w:val="28"/>
      <w:szCs w:val="28"/>
    </w:rPr>
  </w:style>
  <w:style w:type="paragraph" w:customStyle="1" w:styleId="280">
    <w:name w:val="xl24"/>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Calibri" w:hAnsi="Calibri"/>
      <w:kern w:val="0"/>
      <w:szCs w:val="21"/>
    </w:rPr>
  </w:style>
  <w:style w:type="paragraph" w:customStyle="1" w:styleId="281">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8"/>
      <w:szCs w:val="28"/>
    </w:rPr>
  </w:style>
  <w:style w:type="paragraph" w:customStyle="1" w:styleId="282">
    <w:name w:val="xl80"/>
    <w:basedOn w:val="1"/>
    <w:qFormat/>
    <w:uiPriority w:val="0"/>
    <w:pPr>
      <w:widowControl/>
      <w:pBdr>
        <w:top w:val="single" w:color="000000" w:sz="4" w:space="0"/>
        <w:left w:val="single" w:color="000000" w:sz="4" w:space="0"/>
        <w:bottom w:val="single" w:color="000000" w:sz="4" w:space="0"/>
      </w:pBdr>
      <w:shd w:val="clear" w:color="FFFFFF" w:fill="FFFFFF"/>
      <w:spacing w:before="100" w:beforeAutospacing="1" w:after="100" w:afterAutospacing="1"/>
      <w:jc w:val="left"/>
      <w:textAlignment w:val="center"/>
    </w:pPr>
    <w:rPr>
      <w:rFonts w:ascii="宋体" w:hAnsi="宋体" w:cs="宋体"/>
      <w:color w:val="000000"/>
      <w:kern w:val="0"/>
      <w:sz w:val="28"/>
      <w:szCs w:val="28"/>
    </w:rPr>
  </w:style>
  <w:style w:type="paragraph" w:customStyle="1" w:styleId="283">
    <w:name w:val="_Style 2"/>
    <w:basedOn w:val="1"/>
    <w:qFormat/>
    <w:uiPriority w:val="0"/>
    <w:rPr>
      <w:rFonts w:ascii="Calibri" w:hAnsi="Calibri"/>
    </w:rPr>
  </w:style>
  <w:style w:type="paragraph" w:customStyle="1" w:styleId="284">
    <w:name w:val="xl52"/>
    <w:basedOn w:val="1"/>
    <w:qFormat/>
    <w:uiPriority w:val="0"/>
    <w:pPr>
      <w:widowControl/>
      <w:spacing w:before="100" w:beforeAutospacing="1" w:after="100" w:afterAutospacing="1"/>
      <w:jc w:val="center"/>
      <w:textAlignment w:val="center"/>
    </w:pPr>
    <w:rPr>
      <w:rFonts w:ascii="Arial Unicode MS" w:hAnsi="Arial Unicode MS" w:eastAsia="Arial Unicode MS" w:cs="Arial Unicode MS"/>
      <w:b/>
      <w:bCs/>
      <w:kern w:val="0"/>
      <w:sz w:val="32"/>
      <w:szCs w:val="32"/>
    </w:rPr>
  </w:style>
  <w:style w:type="paragraph" w:customStyle="1" w:styleId="285">
    <w:name w:val="font9"/>
    <w:basedOn w:val="1"/>
    <w:qFormat/>
    <w:uiPriority w:val="0"/>
    <w:pPr>
      <w:widowControl/>
      <w:spacing w:before="100" w:beforeAutospacing="1" w:after="100" w:afterAutospacing="1"/>
      <w:jc w:val="left"/>
    </w:pPr>
    <w:rPr>
      <w:rFonts w:ascii="Calibri" w:hAnsi="Calibri" w:eastAsia="Arial Unicode MS"/>
      <w:kern w:val="0"/>
      <w:sz w:val="24"/>
    </w:rPr>
  </w:style>
  <w:style w:type="paragraph" w:customStyle="1" w:styleId="286">
    <w:name w:val="Char Char Char Char Char Char Char Char Char Char"/>
    <w:basedOn w:val="1"/>
    <w:qFormat/>
    <w:uiPriority w:val="0"/>
    <w:rPr>
      <w:rFonts w:ascii="仿宋_GB2312" w:hAnsi="Calibri" w:eastAsia="仿宋_GB2312"/>
      <w:b/>
      <w:sz w:val="32"/>
      <w:szCs w:val="32"/>
    </w:rPr>
  </w:style>
  <w:style w:type="paragraph" w:customStyle="1" w:styleId="287">
    <w:name w:val="正文文本1"/>
    <w:basedOn w:val="1"/>
    <w:qFormat/>
    <w:uiPriority w:val="0"/>
    <w:rPr>
      <w:rFonts w:ascii="宋体" w:hAnsi="宋体"/>
      <w:sz w:val="30"/>
      <w:szCs w:val="20"/>
    </w:rPr>
  </w:style>
  <w:style w:type="paragraph" w:customStyle="1" w:styleId="288">
    <w:name w:val="正文文本11"/>
    <w:basedOn w:val="1"/>
    <w:qFormat/>
    <w:uiPriority w:val="0"/>
    <w:rPr>
      <w:rFonts w:ascii="宋体" w:hAnsi="Calibri" w:cs="宋体"/>
      <w:sz w:val="30"/>
      <w:szCs w:val="30"/>
    </w:rPr>
  </w:style>
  <w:style w:type="paragraph" w:customStyle="1" w:styleId="289">
    <w:name w:val="_Style 13"/>
    <w:basedOn w:val="13"/>
    <w:qFormat/>
    <w:uiPriority w:val="0"/>
    <w:pPr>
      <w:widowControl w:val="0"/>
      <w:shd w:val="clear" w:color="auto" w:fill="000080"/>
    </w:pPr>
    <w:rPr>
      <w:rFonts w:ascii="Times New Roman" w:hAnsi="Times New Roman"/>
    </w:rPr>
  </w:style>
  <w:style w:type="paragraph" w:customStyle="1" w:styleId="290">
    <w:name w:val="1"/>
    <w:basedOn w:val="1"/>
    <w:next w:val="1"/>
    <w:qFormat/>
    <w:uiPriority w:val="0"/>
    <w:rPr>
      <w:rFonts w:ascii="Calibri" w:hAnsi="Calibri"/>
    </w:rPr>
  </w:style>
  <w:style w:type="paragraph" w:customStyle="1" w:styleId="291">
    <w:name w:val="xl90"/>
    <w:basedOn w:val="1"/>
    <w:qFormat/>
    <w:uiPriority w:val="0"/>
    <w:pPr>
      <w:widowControl/>
      <w:pBdr>
        <w:top w:val="single" w:color="auto" w:sz="4" w:space="0"/>
        <w:bottom w:val="single" w:color="auto" w:sz="4" w:space="0"/>
      </w:pBdr>
      <w:spacing w:before="100" w:beforeAutospacing="1" w:after="100" w:afterAutospacing="1"/>
      <w:jc w:val="left"/>
      <w:textAlignment w:val="center"/>
    </w:pPr>
    <w:rPr>
      <w:rFonts w:ascii="宋体" w:hAnsi="宋体" w:cs="宋体"/>
      <w:kern w:val="0"/>
      <w:sz w:val="24"/>
    </w:rPr>
  </w:style>
  <w:style w:type="paragraph" w:customStyle="1" w:styleId="292">
    <w:name w:val="xl35"/>
    <w:basedOn w:val="1"/>
    <w:qFormat/>
    <w:uiPriority w:val="0"/>
    <w:pPr>
      <w:widowControl/>
      <w:spacing w:before="100" w:beforeAutospacing="1" w:after="100" w:afterAutospacing="1"/>
      <w:jc w:val="center"/>
    </w:pPr>
    <w:rPr>
      <w:rFonts w:ascii="Arial Unicode MS" w:hAnsi="Arial Unicode MS" w:eastAsia="Arial Unicode MS" w:cs="Arial Unicode MS"/>
      <w:b/>
      <w:bCs/>
      <w:kern w:val="0"/>
      <w:sz w:val="22"/>
      <w:szCs w:val="22"/>
    </w:rPr>
  </w:style>
  <w:style w:type="paragraph" w:customStyle="1" w:styleId="293">
    <w:name w:val="菲页2"/>
    <w:basedOn w:val="5"/>
    <w:qFormat/>
    <w:uiPriority w:val="0"/>
    <w:pPr>
      <w:widowControl/>
      <w:tabs>
        <w:tab w:val="left" w:pos="720"/>
      </w:tabs>
      <w:spacing w:before="120" w:after="120" w:line="360" w:lineRule="auto"/>
      <w:ind w:left="720" w:hanging="720"/>
      <w:jc w:val="center"/>
    </w:pPr>
    <w:rPr>
      <w:rFonts w:ascii="黑体" w:hAnsi="宋体" w:eastAsia="黑体"/>
      <w:b w:val="0"/>
      <w:bCs w:val="0"/>
      <w:kern w:val="0"/>
      <w:sz w:val="44"/>
      <w:szCs w:val="20"/>
    </w:rPr>
  </w:style>
  <w:style w:type="character" w:customStyle="1" w:styleId="294">
    <w:name w:val="button"/>
    <w:basedOn w:val="50"/>
    <w:qFormat/>
    <w:uiPriority w:val="0"/>
  </w:style>
  <w:style w:type="character" w:customStyle="1" w:styleId="295">
    <w:name w:val="hover3"/>
    <w:basedOn w:val="50"/>
    <w:qFormat/>
    <w:uiPriority w:val="0"/>
    <w:rPr>
      <w:shd w:val="clear" w:color="auto" w:fill="EEEEEE"/>
    </w:rPr>
  </w:style>
  <w:style w:type="character" w:customStyle="1" w:styleId="296">
    <w:name w:val="old"/>
    <w:basedOn w:val="50"/>
    <w:qFormat/>
    <w:uiPriority w:val="0"/>
    <w:rPr>
      <w:color w:val="999999"/>
    </w:rPr>
  </w:style>
  <w:style w:type="character" w:customStyle="1" w:styleId="297">
    <w:name w:val="glyphicon4"/>
    <w:basedOn w:val="50"/>
    <w:qFormat/>
    <w:uiPriority w:val="0"/>
  </w:style>
  <w:style w:type="character" w:customStyle="1" w:styleId="298">
    <w:name w:val="hour_am"/>
    <w:basedOn w:val="50"/>
    <w:qFormat/>
    <w:uiPriority w:val="0"/>
  </w:style>
  <w:style w:type="character" w:customStyle="1" w:styleId="299">
    <w:name w:val="hour_pm"/>
    <w:basedOn w:val="50"/>
    <w:qFormat/>
    <w:uiPriority w:val="0"/>
  </w:style>
  <w:style w:type="character" w:customStyle="1" w:styleId="300">
    <w:name w:val="tmpztreemove_arrow"/>
    <w:basedOn w:val="50"/>
    <w:qFormat/>
    <w:uiPriority w:val="0"/>
    <w:rPr>
      <w:shd w:val="clear" w:color="auto" w:fill="FFFFFF"/>
    </w:rPr>
  </w:style>
  <w:style w:type="character" w:customStyle="1" w:styleId="301">
    <w:name w:val="indent"/>
    <w:basedOn w:val="50"/>
    <w:qFormat/>
    <w:uiPriority w:val="0"/>
  </w:style>
  <w:style w:type="paragraph" w:customStyle="1" w:styleId="302">
    <w:name w:val="title1"/>
    <w:basedOn w:val="1"/>
    <w:qFormat/>
    <w:uiPriority w:val="0"/>
    <w:pPr>
      <w:spacing w:before="150" w:line="450" w:lineRule="atLeast"/>
      <w:jc w:val="left"/>
    </w:pPr>
    <w:rPr>
      <w:b/>
      <w:kern w:val="0"/>
      <w:sz w:val="24"/>
    </w:rPr>
  </w:style>
  <w:style w:type="character" w:customStyle="1" w:styleId="303">
    <w:name w:val="hover2"/>
    <w:basedOn w:val="50"/>
    <w:qFormat/>
    <w:uiPriority w:val="0"/>
    <w:rPr>
      <w:shd w:val="clear" w:color="auto" w:fill="EEEEEE"/>
    </w:rPr>
  </w:style>
  <w:style w:type="paragraph" w:customStyle="1" w:styleId="304">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305">
    <w:name w:val="Body text|1"/>
    <w:basedOn w:val="1"/>
    <w:qFormat/>
    <w:uiPriority w:val="0"/>
    <w:pPr>
      <w:widowControl w:val="0"/>
      <w:shd w:val="clear" w:color="auto" w:fill="auto"/>
      <w:spacing w:line="420" w:lineRule="auto"/>
      <w:ind w:firstLine="400"/>
    </w:pPr>
    <w:rPr>
      <w:rFonts w:ascii="宋体" w:hAnsi="宋体" w:eastAsia="宋体" w:cs="宋体"/>
      <w:sz w:val="22"/>
      <w:szCs w:val="22"/>
      <w:u w:val="none"/>
      <w:shd w:val="clear" w:color="auto" w:fill="auto"/>
      <w:lang w:val="zh-TW" w:eastAsia="zh-TW" w:bidi="zh-TW"/>
    </w:rPr>
  </w:style>
  <w:style w:type="character" w:customStyle="1" w:styleId="306">
    <w:name w:val="NormalCharacter"/>
    <w:link w:val="1"/>
    <w:qFormat/>
    <w:uiPriority w:val="0"/>
    <w:rPr>
      <w:rFonts w:ascii="Times New Roman" w:hAnsi="Times New Roman" w:eastAsia="宋体" w:cs="Times New Roman"/>
      <w:kern w:val="2"/>
      <w:sz w:val="21"/>
      <w:szCs w:val="24"/>
      <w:lang w:val="en-US" w:eastAsia="zh-CN" w:bidi="ar-SA"/>
    </w:rPr>
  </w:style>
  <w:style w:type="paragraph" w:customStyle="1" w:styleId="307">
    <w:name w:val="UserStyle_102"/>
    <w:basedOn w:val="1"/>
    <w:qFormat/>
    <w:uiPriority w:val="0"/>
    <w:pPr>
      <w:widowControl/>
      <w:spacing w:line="360" w:lineRule="auto"/>
      <w:jc w:val="left"/>
      <w:textAlignment w:val="baseline"/>
    </w:pPr>
    <w:rPr>
      <w:kern w:val="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7.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108</Pages>
  <Words>49283</Words>
  <Characters>51719</Characters>
  <Lines>402</Lines>
  <Paragraphs>113</Paragraphs>
  <TotalTime>19</TotalTime>
  <ScaleCrop>false</ScaleCrop>
  <LinksUpToDate>false</LinksUpToDate>
  <CharactersWithSpaces>54319</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2021-10-20T03:06:00Z</dcterms:created>
  <dc:creator>東山花燈路丶</dc:creator>
  <cp:lastModifiedBy>等海不蓝</cp:lastModifiedBy>
  <dcterms:modified xsi:type="dcterms:W3CDTF">2022-05-25T07:54:58Z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6257FBDD4C824756B92D5AFF45EB65C2</vt:lpwstr>
  </property>
</Properties>
</file>