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cs="宋体"/>
          <w:b/>
          <w:sz w:val="28"/>
          <w:szCs w:val="28"/>
        </w:rPr>
      </w:pPr>
      <w:bookmarkStart w:id="0" w:name="OLE_LINK9"/>
      <w:r>
        <w:rPr>
          <w:rFonts w:hint="eastAsia" w:ascii="宋体" w:hAnsi="宋体" w:cs="宋体"/>
          <w:b/>
          <w:sz w:val="28"/>
          <w:szCs w:val="28"/>
        </w:rPr>
        <w:t>政府采购项目</w:t>
      </w:r>
    </w:p>
    <w:p>
      <w:pPr>
        <w:adjustRightInd w:val="0"/>
        <w:snapToGrid w:val="0"/>
        <w:spacing w:line="360" w:lineRule="auto"/>
        <w:jc w:val="left"/>
        <w:rPr>
          <w:rFonts w:hint="eastAsia" w:ascii="宋体" w:hAnsi="宋体" w:eastAsia="宋体" w:cs="宋体"/>
          <w:b/>
          <w:sz w:val="28"/>
          <w:szCs w:val="28"/>
          <w:lang w:eastAsia="zh-CN"/>
        </w:rPr>
      </w:pPr>
      <w:r>
        <w:rPr>
          <w:rFonts w:hint="eastAsia" w:ascii="宋体" w:hAnsi="宋体" w:cs="宋体"/>
          <w:b/>
          <w:sz w:val="28"/>
          <w:szCs w:val="28"/>
        </w:rPr>
        <w:t>项目编号：</w:t>
      </w:r>
      <w:r>
        <w:rPr>
          <w:rFonts w:hint="eastAsia" w:ascii="宋体" w:hAnsi="宋体" w:cs="宋体"/>
          <w:b/>
          <w:sz w:val="28"/>
          <w:szCs w:val="28"/>
          <w:lang w:eastAsia="zh-CN"/>
        </w:rPr>
        <w:t>ZMZB2022BQJYJ-255</w:t>
      </w:r>
    </w:p>
    <w:p>
      <w:pPr>
        <w:tabs>
          <w:tab w:val="left" w:pos="2336"/>
        </w:tabs>
        <w:adjustRightInd w:val="0"/>
        <w:snapToGrid w:val="0"/>
        <w:spacing w:line="360" w:lineRule="auto"/>
        <w:rPr>
          <w:rFonts w:ascii="宋体" w:hAnsi="宋体" w:cs="宋体"/>
          <w:b/>
          <w:sz w:val="44"/>
          <w:szCs w:val="44"/>
        </w:rPr>
      </w:pPr>
      <w:r>
        <w:rPr>
          <w:rFonts w:hint="eastAsia" w:ascii="宋体" w:hAnsi="宋体" w:cs="宋体"/>
          <w:b/>
          <w:sz w:val="44"/>
          <w:szCs w:val="44"/>
        </w:rPr>
        <w:tab/>
      </w:r>
      <w:bookmarkStart w:id="151" w:name="_GoBack"/>
      <w:bookmarkEnd w:id="151"/>
    </w:p>
    <w:p>
      <w:pPr>
        <w:adjustRightInd w:val="0"/>
        <w:snapToGrid w:val="0"/>
        <w:spacing w:line="360" w:lineRule="auto"/>
        <w:jc w:val="center"/>
        <w:rPr>
          <w:rFonts w:hint="eastAsia" w:ascii="宋体" w:hAnsi="宋体" w:cs="宋体"/>
          <w:b/>
          <w:sz w:val="56"/>
          <w:szCs w:val="56"/>
          <w:lang w:eastAsia="zh-CN"/>
        </w:rPr>
      </w:pPr>
      <w:r>
        <w:rPr>
          <w:rFonts w:hint="eastAsia" w:ascii="宋体" w:hAnsi="宋体" w:cs="宋体"/>
          <w:b/>
          <w:sz w:val="56"/>
          <w:szCs w:val="56"/>
          <w:lang w:eastAsia="zh-CN"/>
        </w:rPr>
        <w:t>西安市灞桥区教育局（本级）</w:t>
      </w:r>
    </w:p>
    <w:p>
      <w:pPr>
        <w:adjustRightInd w:val="0"/>
        <w:snapToGrid w:val="0"/>
        <w:spacing w:line="360" w:lineRule="auto"/>
        <w:jc w:val="center"/>
        <w:rPr>
          <w:rFonts w:ascii="宋体" w:hAnsi="宋体" w:cs="宋体"/>
          <w:b/>
          <w:i/>
          <w:sz w:val="48"/>
        </w:rPr>
      </w:pPr>
      <w:r>
        <w:rPr>
          <w:rFonts w:hint="eastAsia" w:ascii="宋体" w:hAnsi="宋体" w:cs="宋体"/>
          <w:b/>
          <w:sz w:val="56"/>
          <w:szCs w:val="56"/>
          <w:lang w:eastAsia="zh-CN"/>
        </w:rPr>
        <w:t>秋季开学应急设备采购项目</w:t>
      </w:r>
    </w:p>
    <w:p>
      <w:pPr>
        <w:adjustRightInd w:val="0"/>
        <w:snapToGrid w:val="0"/>
        <w:spacing w:line="360" w:lineRule="auto"/>
        <w:jc w:val="left"/>
        <w:rPr>
          <w:rFonts w:hint="eastAsia" w:ascii="宋体" w:hAnsi="宋体" w:eastAsia="宋体" w:cs="宋体"/>
          <w:b/>
          <w:sz w:val="52"/>
          <w:szCs w:val="52"/>
          <w:lang w:eastAsia="zh-CN"/>
        </w:rPr>
      </w:pPr>
      <w:r>
        <w:rPr>
          <w:rFonts w:hint="eastAsia" w:ascii="宋体" w:hAnsi="宋体" w:cs="宋体"/>
        </w:rPr>
        <w:drawing>
          <wp:anchor distT="0" distB="0" distL="114300" distR="114300" simplePos="0" relativeHeight="251661312" behindDoc="0" locked="0" layoutInCell="1" allowOverlap="1">
            <wp:simplePos x="0" y="0"/>
            <wp:positionH relativeFrom="column">
              <wp:posOffset>1884045</wp:posOffset>
            </wp:positionH>
            <wp:positionV relativeFrom="paragraph">
              <wp:posOffset>142240</wp:posOffset>
            </wp:positionV>
            <wp:extent cx="2095500" cy="1087120"/>
            <wp:effectExtent l="0" t="0" r="0" b="1778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1"/>
                    <a:stretch>
                      <a:fillRect/>
                    </a:stretch>
                  </pic:blipFill>
                  <pic:spPr>
                    <a:xfrm>
                      <a:off x="0" y="0"/>
                      <a:ext cx="2095500" cy="1087120"/>
                    </a:xfrm>
                    <a:prstGeom prst="rect">
                      <a:avLst/>
                    </a:prstGeom>
                    <a:noFill/>
                    <a:ln>
                      <a:noFill/>
                    </a:ln>
                  </pic:spPr>
                </pic:pic>
              </a:graphicData>
            </a:graphic>
          </wp:anchor>
        </w:drawing>
      </w:r>
    </w:p>
    <w:p>
      <w:pPr>
        <w:pStyle w:val="12"/>
        <w:rPr>
          <w:rFonts w:hint="eastAsia"/>
          <w:lang w:eastAsia="zh-CN"/>
        </w:rPr>
      </w:pPr>
    </w:p>
    <w:p>
      <w:pPr>
        <w:rPr>
          <w:rFonts w:ascii="宋体" w:hAnsi="宋体" w:cs="宋体"/>
          <w:b/>
          <w:sz w:val="52"/>
          <w:szCs w:val="52"/>
        </w:rPr>
      </w:pPr>
    </w:p>
    <w:p>
      <w:pPr>
        <w:rPr>
          <w:rFonts w:ascii="宋体" w:hAnsi="宋体" w:cs="宋体"/>
        </w:rPr>
      </w:pPr>
    </w:p>
    <w:p>
      <w:pPr>
        <w:tabs>
          <w:tab w:val="left" w:pos="0"/>
        </w:tabs>
        <w:adjustRightInd w:val="0"/>
        <w:snapToGrid w:val="0"/>
        <w:spacing w:line="360" w:lineRule="auto"/>
        <w:jc w:val="center"/>
        <w:rPr>
          <w:rFonts w:ascii="宋体" w:hAnsi="宋体" w:cs="宋体"/>
          <w:b/>
          <w:sz w:val="32"/>
          <w:szCs w:val="32"/>
        </w:rPr>
      </w:pPr>
      <w:r>
        <w:rPr>
          <w:rFonts w:hint="eastAsia" w:ascii="宋体" w:hAnsi="宋体" w:cs="宋体"/>
          <w:b/>
          <w:sz w:val="96"/>
          <w:szCs w:val="96"/>
        </w:rPr>
        <w:t>公开招标文件</w:t>
      </w: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陕西卓佲项目管理有限公司</w:t>
      </w:r>
    </w:p>
    <w:p>
      <w:pPr>
        <w:adjustRightInd w:val="0"/>
        <w:snapToGrid w:val="0"/>
        <w:spacing w:line="600" w:lineRule="auto"/>
        <w:jc w:val="center"/>
        <w:rPr>
          <w:rFonts w:ascii="宋体" w:hAnsi="宋体" w:cs="宋体"/>
          <w:b/>
          <w:sz w:val="40"/>
          <w:szCs w:val="40"/>
        </w:rPr>
        <w:sectPr>
          <w:headerReference r:id="rId4" w:type="first"/>
          <w:headerReference r:id="rId3" w:type="default"/>
          <w:footerReference r:id="rId5" w:type="default"/>
          <w:pgSz w:w="11906" w:h="16838"/>
          <w:pgMar w:top="1440" w:right="1486" w:bottom="1440" w:left="1800" w:header="851" w:footer="992" w:gutter="0"/>
          <w:pgNumType w:start="1"/>
          <w:cols w:space="720" w:num="1"/>
          <w:docGrid w:type="lines" w:linePitch="312" w:charSpace="0"/>
        </w:sectPr>
      </w:pPr>
      <w:r>
        <w:rPr>
          <w:rFonts w:hint="eastAsia" w:ascii="宋体" w:hAnsi="宋体" w:cs="宋体"/>
          <w:b/>
          <w:sz w:val="36"/>
          <w:szCs w:val="36"/>
        </w:rPr>
        <w:t>2022年</w:t>
      </w:r>
      <w:r>
        <w:rPr>
          <w:rFonts w:hint="eastAsia" w:ascii="宋体" w:hAnsi="宋体" w:cs="宋体"/>
          <w:b/>
          <w:sz w:val="36"/>
          <w:szCs w:val="36"/>
          <w:lang w:val="en-US" w:eastAsia="zh-CN"/>
        </w:rPr>
        <w:t>9</w:t>
      </w:r>
      <w:r>
        <w:rPr>
          <w:rFonts w:hint="eastAsia" w:ascii="宋体" w:hAnsi="宋体" w:cs="宋体"/>
          <w:b/>
          <w:sz w:val="36"/>
          <w:szCs w:val="36"/>
        </w:rPr>
        <w:t>月</w:t>
      </w:r>
    </w:p>
    <w:p>
      <w:pPr>
        <w:pStyle w:val="21"/>
        <w:tabs>
          <w:tab w:val="right" w:leader="dot" w:pos="8306"/>
        </w:tabs>
        <w:spacing w:line="360" w:lineRule="auto"/>
        <w:jc w:val="center"/>
        <w:rPr>
          <w:rFonts w:ascii="宋体" w:hAnsi="宋体" w:cs="宋体"/>
          <w:b/>
          <w:bCs/>
          <w:sz w:val="36"/>
          <w:szCs w:val="36"/>
        </w:rPr>
      </w:pPr>
      <w:r>
        <w:rPr>
          <w:rFonts w:hint="eastAsia" w:ascii="宋体" w:hAnsi="宋体" w:cs="宋体"/>
          <w:b/>
          <w:bCs/>
          <w:sz w:val="36"/>
          <w:szCs w:val="36"/>
        </w:rPr>
        <w:t>目 录</w:t>
      </w:r>
    </w:p>
    <w:p>
      <w:pPr>
        <w:pStyle w:val="21"/>
        <w:tabs>
          <w:tab w:val="right" w:leader="dot" w:pos="8306"/>
        </w:tabs>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_Toc4298 </w:instrText>
      </w:r>
      <w:r>
        <w:rPr>
          <w:rFonts w:hint="eastAsia" w:ascii="宋体" w:hAnsi="宋体" w:cs="宋体"/>
          <w:szCs w:val="24"/>
        </w:rPr>
        <w:fldChar w:fldCharType="separate"/>
      </w:r>
      <w:r>
        <w:rPr>
          <w:rFonts w:hint="eastAsia" w:ascii="宋体" w:hAnsi="宋体" w:cs="宋体"/>
          <w:szCs w:val="36"/>
        </w:rPr>
        <w:t>第一部分  公开招标公告</w:t>
      </w:r>
      <w:r>
        <w:tab/>
      </w:r>
      <w:r>
        <w:fldChar w:fldCharType="begin"/>
      </w:r>
      <w:r>
        <w:instrText xml:space="preserve"> PAGEREF _Toc4298 \h </w:instrText>
      </w:r>
      <w:r>
        <w:fldChar w:fldCharType="separate"/>
      </w:r>
      <w:r>
        <w:t>1</w:t>
      </w:r>
      <w:r>
        <w:fldChar w:fldCharType="end"/>
      </w:r>
      <w:r>
        <w:rPr>
          <w:rFonts w:hint="eastAsia" w:ascii="宋体" w:hAnsi="宋体" w:cs="宋体"/>
          <w:szCs w:val="24"/>
        </w:rPr>
        <w:fldChar w:fldCharType="end"/>
      </w:r>
    </w:p>
    <w:p>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_Toc29492 </w:instrText>
      </w:r>
      <w:r>
        <w:rPr>
          <w:rFonts w:hint="eastAsia" w:ascii="宋体" w:hAnsi="宋体" w:cs="宋体"/>
          <w:szCs w:val="24"/>
        </w:rPr>
        <w:fldChar w:fldCharType="separate"/>
      </w:r>
      <w:r>
        <w:rPr>
          <w:rFonts w:hint="eastAsia" w:ascii="宋体" w:hAnsi="宋体" w:cs="宋体"/>
          <w:szCs w:val="36"/>
        </w:rPr>
        <w:t>第二部分  供应商须知前附表</w:t>
      </w:r>
      <w:r>
        <w:tab/>
      </w:r>
      <w:r>
        <w:fldChar w:fldCharType="begin"/>
      </w:r>
      <w:r>
        <w:instrText xml:space="preserve"> PAGEREF _Toc29492 \h </w:instrText>
      </w:r>
      <w:r>
        <w:fldChar w:fldCharType="separate"/>
      </w:r>
      <w:r>
        <w:t>6</w:t>
      </w:r>
      <w:r>
        <w:fldChar w:fldCharType="end"/>
      </w:r>
      <w:r>
        <w:rPr>
          <w:rFonts w:hint="eastAsia" w:ascii="宋体" w:hAnsi="宋体" w:cs="宋体"/>
          <w:szCs w:val="24"/>
        </w:rPr>
        <w:fldChar w:fldCharType="end"/>
      </w:r>
    </w:p>
    <w:p>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_Toc25330 </w:instrText>
      </w:r>
      <w:r>
        <w:rPr>
          <w:rFonts w:hint="eastAsia" w:ascii="宋体" w:hAnsi="宋体" w:cs="宋体"/>
          <w:szCs w:val="24"/>
        </w:rPr>
        <w:fldChar w:fldCharType="separate"/>
      </w:r>
      <w:r>
        <w:rPr>
          <w:rFonts w:hint="eastAsia" w:ascii="宋体" w:hAnsi="宋体" w:cs="宋体"/>
          <w:szCs w:val="36"/>
        </w:rPr>
        <w:t>第三部分  供应商须知</w:t>
      </w:r>
      <w:r>
        <w:tab/>
      </w:r>
      <w:r>
        <w:fldChar w:fldCharType="begin"/>
      </w:r>
      <w:r>
        <w:instrText xml:space="preserve"> PAGEREF _Toc25330 \h </w:instrText>
      </w:r>
      <w:r>
        <w:fldChar w:fldCharType="separate"/>
      </w:r>
      <w:r>
        <w:t>12</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_Toc32760 </w:instrText>
      </w:r>
      <w:r>
        <w:rPr>
          <w:rFonts w:hint="eastAsia" w:ascii="宋体" w:hAnsi="宋体" w:cs="宋体"/>
          <w:szCs w:val="24"/>
        </w:rPr>
        <w:fldChar w:fldCharType="separate"/>
      </w:r>
      <w:r>
        <w:rPr>
          <w:rFonts w:hint="eastAsia" w:ascii="宋体" w:hAnsi="宋体" w:cs="宋体"/>
        </w:rPr>
        <w:t>一、总 则</w:t>
      </w:r>
      <w:r>
        <w:tab/>
      </w:r>
      <w:r>
        <w:fldChar w:fldCharType="begin"/>
      </w:r>
      <w:r>
        <w:instrText xml:space="preserve"> PAGEREF _Toc32760 \h </w:instrText>
      </w:r>
      <w:r>
        <w:fldChar w:fldCharType="separate"/>
      </w:r>
      <w:r>
        <w:t>12</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_Toc4244 </w:instrText>
      </w:r>
      <w:r>
        <w:rPr>
          <w:rFonts w:hint="eastAsia" w:ascii="宋体" w:hAnsi="宋体" w:cs="宋体"/>
          <w:szCs w:val="24"/>
        </w:rPr>
        <w:fldChar w:fldCharType="separate"/>
      </w:r>
      <w:r>
        <w:rPr>
          <w:rFonts w:hint="eastAsia" w:ascii="宋体" w:hAnsi="宋体" w:cs="宋体"/>
          <w:szCs w:val="28"/>
        </w:rPr>
        <w:t>二、 招标文件</w:t>
      </w:r>
      <w:r>
        <w:tab/>
      </w:r>
      <w:r>
        <w:fldChar w:fldCharType="begin"/>
      </w:r>
      <w:r>
        <w:instrText xml:space="preserve"> PAGEREF _Toc4244 \h </w:instrText>
      </w:r>
      <w:r>
        <w:fldChar w:fldCharType="separate"/>
      </w:r>
      <w:r>
        <w:t>14</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_Toc25188 </w:instrText>
      </w:r>
      <w:r>
        <w:rPr>
          <w:rFonts w:hint="eastAsia" w:ascii="宋体" w:hAnsi="宋体" w:cs="宋体"/>
          <w:szCs w:val="24"/>
        </w:rPr>
        <w:fldChar w:fldCharType="separate"/>
      </w:r>
      <w:r>
        <w:rPr>
          <w:rFonts w:hint="eastAsia" w:ascii="宋体" w:hAnsi="宋体" w:cs="宋体"/>
          <w:szCs w:val="28"/>
        </w:rPr>
        <w:t>三、投标文件</w:t>
      </w:r>
      <w:r>
        <w:tab/>
      </w:r>
      <w:r>
        <w:fldChar w:fldCharType="begin"/>
      </w:r>
      <w:r>
        <w:instrText xml:space="preserve"> PAGEREF _Toc25188 \h </w:instrText>
      </w:r>
      <w:r>
        <w:fldChar w:fldCharType="separate"/>
      </w:r>
      <w:r>
        <w:t>17</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_Toc17493 </w:instrText>
      </w:r>
      <w:r>
        <w:rPr>
          <w:rFonts w:hint="eastAsia" w:ascii="宋体" w:hAnsi="宋体" w:cs="宋体"/>
          <w:szCs w:val="24"/>
        </w:rPr>
        <w:fldChar w:fldCharType="separate"/>
      </w:r>
      <w:r>
        <w:rPr>
          <w:rFonts w:hint="eastAsia" w:ascii="宋体" w:hAnsi="宋体" w:cs="宋体"/>
          <w:bCs/>
          <w:kern w:val="0"/>
          <w:szCs w:val="28"/>
        </w:rPr>
        <w:t>四、投标文件的递交</w:t>
      </w:r>
      <w:r>
        <w:tab/>
      </w:r>
      <w:r>
        <w:fldChar w:fldCharType="begin"/>
      </w:r>
      <w:r>
        <w:instrText xml:space="preserve"> PAGEREF _Toc17493 \h </w:instrText>
      </w:r>
      <w:r>
        <w:fldChar w:fldCharType="separate"/>
      </w:r>
      <w:r>
        <w:t>18</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_Toc22877 </w:instrText>
      </w:r>
      <w:r>
        <w:rPr>
          <w:rFonts w:hint="eastAsia" w:ascii="宋体" w:hAnsi="宋体" w:cs="宋体"/>
          <w:szCs w:val="24"/>
        </w:rPr>
        <w:fldChar w:fldCharType="separate"/>
      </w:r>
      <w:r>
        <w:rPr>
          <w:rFonts w:hint="eastAsia" w:ascii="宋体" w:hAnsi="宋体" w:cs="宋体"/>
          <w:bCs/>
          <w:kern w:val="0"/>
          <w:szCs w:val="28"/>
        </w:rPr>
        <w:t>五、 开标、评审、定标</w:t>
      </w:r>
      <w:r>
        <w:tab/>
      </w:r>
      <w:r>
        <w:fldChar w:fldCharType="begin"/>
      </w:r>
      <w:r>
        <w:instrText xml:space="preserve"> PAGEREF _Toc22877 \h </w:instrText>
      </w:r>
      <w:r>
        <w:fldChar w:fldCharType="separate"/>
      </w:r>
      <w:r>
        <w:t>18</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_Toc1964 </w:instrText>
      </w:r>
      <w:r>
        <w:rPr>
          <w:rFonts w:hint="eastAsia" w:ascii="宋体" w:hAnsi="宋体" w:cs="宋体"/>
          <w:szCs w:val="24"/>
        </w:rPr>
        <w:fldChar w:fldCharType="separate"/>
      </w:r>
      <w:r>
        <w:rPr>
          <w:rFonts w:hint="eastAsia" w:ascii="宋体" w:hAnsi="宋体" w:cs="宋体"/>
          <w:bCs/>
          <w:kern w:val="0"/>
          <w:szCs w:val="28"/>
        </w:rPr>
        <w:t>六、签订合同</w:t>
      </w:r>
      <w:r>
        <w:tab/>
      </w:r>
      <w:r>
        <w:fldChar w:fldCharType="begin"/>
      </w:r>
      <w:r>
        <w:instrText xml:space="preserve"> PAGEREF _Toc1964 \h </w:instrText>
      </w:r>
      <w:r>
        <w:fldChar w:fldCharType="separate"/>
      </w:r>
      <w:r>
        <w:t>22</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_Toc16254 </w:instrText>
      </w:r>
      <w:r>
        <w:rPr>
          <w:rFonts w:hint="eastAsia" w:ascii="宋体" w:hAnsi="宋体" w:cs="宋体"/>
          <w:szCs w:val="24"/>
        </w:rPr>
        <w:fldChar w:fldCharType="separate"/>
      </w:r>
      <w:r>
        <w:rPr>
          <w:rFonts w:hint="eastAsia" w:ascii="宋体" w:hAnsi="宋体" w:cs="宋体"/>
          <w:bCs/>
          <w:kern w:val="0"/>
          <w:szCs w:val="28"/>
        </w:rPr>
        <w:t>七、质疑和投诉</w:t>
      </w:r>
      <w:r>
        <w:tab/>
      </w:r>
      <w:r>
        <w:fldChar w:fldCharType="begin"/>
      </w:r>
      <w:r>
        <w:instrText xml:space="preserve"> PAGEREF _Toc16254 \h </w:instrText>
      </w:r>
      <w:r>
        <w:fldChar w:fldCharType="separate"/>
      </w:r>
      <w:r>
        <w:t>22</w:t>
      </w:r>
      <w:r>
        <w:fldChar w:fldCharType="end"/>
      </w:r>
      <w:r>
        <w:rPr>
          <w:rFonts w:hint="eastAsia" w:ascii="宋体" w:hAnsi="宋体" w:cs="宋体"/>
          <w:szCs w:val="24"/>
        </w:rPr>
        <w:fldChar w:fldCharType="end"/>
      </w:r>
    </w:p>
    <w:p>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_Toc28413 </w:instrText>
      </w:r>
      <w:r>
        <w:rPr>
          <w:rFonts w:hint="eastAsia" w:ascii="宋体" w:hAnsi="宋体" w:cs="宋体"/>
          <w:szCs w:val="24"/>
        </w:rPr>
        <w:fldChar w:fldCharType="separate"/>
      </w:r>
      <w:r>
        <w:rPr>
          <w:rFonts w:hint="eastAsia" w:ascii="宋体" w:hAnsi="宋体" w:cs="宋体"/>
          <w:szCs w:val="36"/>
        </w:rPr>
        <w:t>第四部分 评标方法</w:t>
      </w:r>
      <w:r>
        <w:tab/>
      </w:r>
      <w:r>
        <w:fldChar w:fldCharType="begin"/>
      </w:r>
      <w:r>
        <w:instrText xml:space="preserve"> PAGEREF _Toc28413 \h </w:instrText>
      </w:r>
      <w:r>
        <w:fldChar w:fldCharType="separate"/>
      </w:r>
      <w:r>
        <w:t>24</w:t>
      </w:r>
      <w:r>
        <w:fldChar w:fldCharType="end"/>
      </w:r>
      <w:r>
        <w:rPr>
          <w:rFonts w:hint="eastAsia" w:ascii="宋体" w:hAnsi="宋体" w:cs="宋体"/>
          <w:szCs w:val="24"/>
        </w:rPr>
        <w:fldChar w:fldCharType="end"/>
      </w:r>
    </w:p>
    <w:p>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_Toc15885 </w:instrText>
      </w:r>
      <w:r>
        <w:rPr>
          <w:rFonts w:hint="eastAsia" w:ascii="宋体" w:hAnsi="宋体" w:cs="宋体"/>
          <w:szCs w:val="24"/>
        </w:rPr>
        <w:fldChar w:fldCharType="separate"/>
      </w:r>
      <w:r>
        <w:rPr>
          <w:rFonts w:hint="eastAsia" w:ascii="宋体" w:hAnsi="宋体" w:cs="宋体"/>
          <w:szCs w:val="36"/>
        </w:rPr>
        <w:t>第五部分 采购要求</w:t>
      </w:r>
      <w:r>
        <w:tab/>
      </w:r>
      <w:r>
        <w:fldChar w:fldCharType="begin"/>
      </w:r>
      <w:r>
        <w:instrText xml:space="preserve"> PAGEREF _Toc15885 \h </w:instrText>
      </w:r>
      <w:r>
        <w:fldChar w:fldCharType="separate"/>
      </w:r>
      <w:r>
        <w:t>28</w:t>
      </w:r>
      <w:r>
        <w:fldChar w:fldCharType="end"/>
      </w:r>
      <w:r>
        <w:rPr>
          <w:rFonts w:hint="eastAsia" w:ascii="宋体" w:hAnsi="宋体" w:cs="宋体"/>
          <w:szCs w:val="24"/>
        </w:rPr>
        <w:fldChar w:fldCharType="end"/>
      </w:r>
    </w:p>
    <w:p>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_Toc20705 </w:instrText>
      </w:r>
      <w:r>
        <w:rPr>
          <w:rFonts w:hint="eastAsia" w:ascii="宋体" w:hAnsi="宋体" w:cs="宋体"/>
          <w:szCs w:val="24"/>
        </w:rPr>
        <w:fldChar w:fldCharType="separate"/>
      </w:r>
      <w:r>
        <w:rPr>
          <w:rFonts w:hint="eastAsia" w:ascii="宋体" w:hAnsi="宋体" w:cs="宋体"/>
          <w:bCs/>
          <w:szCs w:val="36"/>
        </w:rPr>
        <w:t>第六部分  合同条款</w:t>
      </w:r>
      <w:r>
        <w:tab/>
      </w:r>
      <w:r>
        <w:fldChar w:fldCharType="begin"/>
      </w:r>
      <w:r>
        <w:instrText xml:space="preserve"> PAGEREF _Toc20705 \h </w:instrText>
      </w:r>
      <w:r>
        <w:fldChar w:fldCharType="separate"/>
      </w:r>
      <w:r>
        <w:t>59</w:t>
      </w:r>
      <w:r>
        <w:fldChar w:fldCharType="end"/>
      </w:r>
      <w:r>
        <w:rPr>
          <w:rFonts w:hint="eastAsia" w:ascii="宋体" w:hAnsi="宋体" w:cs="宋体"/>
          <w:szCs w:val="24"/>
        </w:rPr>
        <w:fldChar w:fldCharType="end"/>
      </w:r>
    </w:p>
    <w:p>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_Toc3656 </w:instrText>
      </w:r>
      <w:r>
        <w:rPr>
          <w:rFonts w:hint="eastAsia" w:ascii="宋体" w:hAnsi="宋体" w:cs="宋体"/>
          <w:szCs w:val="24"/>
        </w:rPr>
        <w:fldChar w:fldCharType="separate"/>
      </w:r>
      <w:r>
        <w:rPr>
          <w:rFonts w:hint="eastAsia" w:ascii="宋体" w:hAnsi="宋体" w:cs="宋体"/>
          <w:szCs w:val="36"/>
        </w:rPr>
        <w:t>第七部分  投标文件格式</w:t>
      </w:r>
      <w:r>
        <w:tab/>
      </w:r>
      <w:r>
        <w:fldChar w:fldCharType="begin"/>
      </w:r>
      <w:r>
        <w:instrText xml:space="preserve"> PAGEREF _Toc3656 \h </w:instrText>
      </w:r>
      <w:r>
        <w:fldChar w:fldCharType="separate"/>
      </w:r>
      <w:r>
        <w:t>64</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_Toc21150 </w:instrText>
      </w:r>
      <w:r>
        <w:rPr>
          <w:rFonts w:hint="eastAsia" w:ascii="宋体" w:hAnsi="宋体" w:cs="宋体"/>
          <w:szCs w:val="24"/>
        </w:rPr>
        <w:fldChar w:fldCharType="separate"/>
      </w:r>
      <w:r>
        <w:rPr>
          <w:rFonts w:hint="eastAsia" w:ascii="宋体" w:hAnsi="宋体" w:cs="宋体"/>
          <w:szCs w:val="36"/>
        </w:rPr>
        <w:t>第一部分  投标函</w:t>
      </w:r>
      <w:r>
        <w:tab/>
      </w:r>
      <w:r>
        <w:fldChar w:fldCharType="begin"/>
      </w:r>
      <w:r>
        <w:instrText xml:space="preserve"> PAGEREF _Toc21150 \h </w:instrText>
      </w:r>
      <w:r>
        <w:fldChar w:fldCharType="separate"/>
      </w:r>
      <w:r>
        <w:t>66</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_Toc19774 </w:instrText>
      </w:r>
      <w:r>
        <w:rPr>
          <w:rFonts w:hint="eastAsia" w:ascii="宋体" w:hAnsi="宋体" w:cs="宋体"/>
          <w:szCs w:val="24"/>
        </w:rPr>
        <w:fldChar w:fldCharType="separate"/>
      </w:r>
      <w:r>
        <w:rPr>
          <w:rFonts w:hint="eastAsia" w:ascii="宋体" w:hAnsi="宋体" w:cs="宋体"/>
          <w:szCs w:val="36"/>
        </w:rPr>
        <w:t>第二部分 报价一览表</w:t>
      </w:r>
      <w:r>
        <w:tab/>
      </w:r>
      <w:r>
        <w:fldChar w:fldCharType="begin"/>
      </w:r>
      <w:r>
        <w:instrText xml:space="preserve"> PAGEREF _Toc19774 \h </w:instrText>
      </w:r>
      <w:r>
        <w:fldChar w:fldCharType="separate"/>
      </w:r>
      <w:r>
        <w:t>67</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_Toc5630 </w:instrText>
      </w:r>
      <w:r>
        <w:rPr>
          <w:rFonts w:hint="eastAsia" w:ascii="宋体" w:hAnsi="宋体" w:cs="宋体"/>
          <w:szCs w:val="24"/>
        </w:rPr>
        <w:fldChar w:fldCharType="separate"/>
      </w:r>
      <w:r>
        <w:rPr>
          <w:rFonts w:hint="eastAsia" w:ascii="宋体" w:hAnsi="宋体" w:cs="宋体"/>
        </w:rPr>
        <w:t>第三部分</w:t>
      </w:r>
      <w:r>
        <w:rPr>
          <w:rFonts w:hint="eastAsia" w:ascii="宋体" w:hAnsi="宋体" w:cs="宋体"/>
          <w:szCs w:val="36"/>
        </w:rPr>
        <w:t xml:space="preserve">  </w:t>
      </w:r>
      <w:r>
        <w:rPr>
          <w:rFonts w:hint="eastAsia" w:ascii="宋体" w:hAnsi="宋体" w:cs="宋体"/>
        </w:rPr>
        <w:t>商务及技术响应说明</w:t>
      </w:r>
      <w:r>
        <w:tab/>
      </w:r>
      <w:r>
        <w:fldChar w:fldCharType="begin"/>
      </w:r>
      <w:r>
        <w:instrText xml:space="preserve"> PAGEREF _Toc5630 \h </w:instrText>
      </w:r>
      <w:r>
        <w:fldChar w:fldCharType="separate"/>
      </w:r>
      <w:r>
        <w:t>69</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_Toc22616 </w:instrText>
      </w:r>
      <w:r>
        <w:rPr>
          <w:rFonts w:hint="eastAsia" w:ascii="宋体" w:hAnsi="宋体" w:cs="宋体"/>
          <w:szCs w:val="24"/>
        </w:rPr>
        <w:fldChar w:fldCharType="separate"/>
      </w:r>
      <w:r>
        <w:rPr>
          <w:rFonts w:hint="eastAsia" w:ascii="宋体" w:hAnsi="宋体" w:cs="宋体"/>
          <w:szCs w:val="36"/>
        </w:rPr>
        <w:t>第四部分  供应商资格要求</w:t>
      </w:r>
      <w:r>
        <w:tab/>
      </w:r>
      <w:r>
        <w:fldChar w:fldCharType="begin"/>
      </w:r>
      <w:r>
        <w:instrText xml:space="preserve"> PAGEREF _Toc22616 \h </w:instrText>
      </w:r>
      <w:r>
        <w:fldChar w:fldCharType="separate"/>
      </w:r>
      <w:r>
        <w:t>71</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_Toc4113 </w:instrText>
      </w:r>
      <w:r>
        <w:rPr>
          <w:rFonts w:hint="eastAsia" w:ascii="宋体" w:hAnsi="宋体" w:cs="宋体"/>
          <w:szCs w:val="24"/>
        </w:rPr>
        <w:fldChar w:fldCharType="separate"/>
      </w:r>
      <w:r>
        <w:rPr>
          <w:rFonts w:hint="eastAsia" w:ascii="宋体" w:hAnsi="宋体" w:cs="宋体"/>
          <w:szCs w:val="36"/>
        </w:rPr>
        <w:t>第五部分  技术与服务方案</w:t>
      </w:r>
      <w:r>
        <w:tab/>
      </w:r>
      <w:r>
        <w:fldChar w:fldCharType="begin"/>
      </w:r>
      <w:r>
        <w:instrText xml:space="preserve"> PAGEREF _Toc4113 \h </w:instrText>
      </w:r>
      <w:r>
        <w:fldChar w:fldCharType="separate"/>
      </w:r>
      <w:r>
        <w:t>80</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_Toc11010 </w:instrText>
      </w:r>
      <w:r>
        <w:rPr>
          <w:rFonts w:hint="eastAsia" w:ascii="宋体" w:hAnsi="宋体" w:cs="宋体"/>
          <w:szCs w:val="24"/>
        </w:rPr>
        <w:fldChar w:fldCharType="separate"/>
      </w:r>
      <w:r>
        <w:rPr>
          <w:rFonts w:hint="eastAsia" w:ascii="宋体" w:hAnsi="宋体" w:cs="宋体"/>
          <w:szCs w:val="36"/>
        </w:rPr>
        <w:t>第六部分  服务承诺</w:t>
      </w:r>
      <w:r>
        <w:tab/>
      </w:r>
      <w:r>
        <w:fldChar w:fldCharType="begin"/>
      </w:r>
      <w:r>
        <w:instrText xml:space="preserve"> PAGEREF _Toc11010 \h </w:instrText>
      </w:r>
      <w:r>
        <w:fldChar w:fldCharType="separate"/>
      </w:r>
      <w:r>
        <w:t>81</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_Toc6167 </w:instrText>
      </w:r>
      <w:r>
        <w:rPr>
          <w:rFonts w:hint="eastAsia" w:ascii="宋体" w:hAnsi="宋体" w:cs="宋体"/>
          <w:szCs w:val="24"/>
        </w:rPr>
        <w:fldChar w:fldCharType="separate"/>
      </w:r>
      <w:r>
        <w:rPr>
          <w:rFonts w:hint="eastAsia" w:ascii="宋体" w:hAnsi="宋体" w:cs="宋体"/>
          <w:szCs w:val="36"/>
        </w:rPr>
        <w:t>第七部分  业绩一览表</w:t>
      </w:r>
      <w:r>
        <w:tab/>
      </w:r>
      <w:r>
        <w:fldChar w:fldCharType="begin"/>
      </w:r>
      <w:r>
        <w:instrText xml:space="preserve"> PAGEREF _Toc6167 \h </w:instrText>
      </w:r>
      <w:r>
        <w:fldChar w:fldCharType="separate"/>
      </w:r>
      <w:r>
        <w:t>82</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_Toc4750 </w:instrText>
      </w:r>
      <w:r>
        <w:rPr>
          <w:rFonts w:hint="eastAsia" w:ascii="宋体" w:hAnsi="宋体" w:cs="宋体"/>
          <w:szCs w:val="24"/>
        </w:rPr>
        <w:fldChar w:fldCharType="separate"/>
      </w:r>
      <w:r>
        <w:rPr>
          <w:rFonts w:hint="eastAsia" w:ascii="宋体" w:hAnsi="宋体" w:cs="宋体"/>
          <w:szCs w:val="36"/>
        </w:rPr>
        <w:t>第八部分 供应商认为有必要说明的其他问题</w:t>
      </w:r>
      <w:r>
        <w:tab/>
      </w:r>
      <w:r>
        <w:fldChar w:fldCharType="begin"/>
      </w:r>
      <w:r>
        <w:instrText xml:space="preserve"> PAGEREF _Toc4750 \h </w:instrText>
      </w:r>
      <w:r>
        <w:fldChar w:fldCharType="separate"/>
      </w:r>
      <w:r>
        <w:t>83</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_Toc11188 </w:instrText>
      </w:r>
      <w:r>
        <w:rPr>
          <w:rFonts w:hint="eastAsia" w:ascii="宋体" w:hAnsi="宋体" w:cs="宋体"/>
          <w:szCs w:val="24"/>
        </w:rPr>
        <w:fldChar w:fldCharType="separate"/>
      </w:r>
      <w:r>
        <w:rPr>
          <w:rFonts w:hint="eastAsia" w:ascii="宋体" w:hAnsi="宋体" w:cs="宋体"/>
        </w:rPr>
        <w:t>附件一、封袋正面标识式样</w:t>
      </w:r>
      <w:r>
        <w:tab/>
      </w:r>
      <w:r>
        <w:fldChar w:fldCharType="begin"/>
      </w:r>
      <w:r>
        <w:instrText xml:space="preserve"> PAGEREF _Toc11188 \h </w:instrText>
      </w:r>
      <w:r>
        <w:fldChar w:fldCharType="separate"/>
      </w:r>
      <w:r>
        <w:t>84</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_Toc7574 </w:instrText>
      </w:r>
      <w:r>
        <w:rPr>
          <w:rFonts w:hint="eastAsia" w:ascii="宋体" w:hAnsi="宋体" w:cs="宋体"/>
          <w:szCs w:val="24"/>
        </w:rPr>
        <w:fldChar w:fldCharType="separate"/>
      </w:r>
      <w:r>
        <w:rPr>
          <w:rFonts w:hint="eastAsia" w:ascii="宋体" w:hAnsi="宋体" w:cs="宋体"/>
        </w:rPr>
        <w:t>附件二、中小企业声明函（货物）</w:t>
      </w:r>
      <w:r>
        <w:tab/>
      </w:r>
      <w:r>
        <w:fldChar w:fldCharType="begin"/>
      </w:r>
      <w:r>
        <w:instrText xml:space="preserve"> PAGEREF _Toc7574 \h </w:instrText>
      </w:r>
      <w:r>
        <w:fldChar w:fldCharType="separate"/>
      </w:r>
      <w:r>
        <w:t>86</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_Toc18270 </w:instrText>
      </w:r>
      <w:r>
        <w:rPr>
          <w:rFonts w:hint="eastAsia" w:ascii="宋体" w:hAnsi="宋体" w:cs="宋体"/>
          <w:szCs w:val="24"/>
        </w:rPr>
        <w:fldChar w:fldCharType="separate"/>
      </w:r>
      <w:r>
        <w:rPr>
          <w:rFonts w:hint="eastAsia" w:ascii="宋体" w:hAnsi="宋体" w:cs="宋体"/>
        </w:rPr>
        <w:t>附件三、残疾人福利性单位声明</w:t>
      </w:r>
      <w:r>
        <w:tab/>
      </w:r>
      <w:r>
        <w:fldChar w:fldCharType="begin"/>
      </w:r>
      <w:r>
        <w:instrText xml:space="preserve"> PAGEREF _Toc18270 \h </w:instrText>
      </w:r>
      <w:r>
        <w:fldChar w:fldCharType="separate"/>
      </w:r>
      <w:r>
        <w:t>90</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_Toc22719 </w:instrText>
      </w:r>
      <w:r>
        <w:rPr>
          <w:rFonts w:hint="eastAsia" w:ascii="宋体" w:hAnsi="宋体" w:cs="宋体"/>
          <w:szCs w:val="24"/>
        </w:rPr>
        <w:fldChar w:fldCharType="separate"/>
      </w:r>
      <w:r>
        <w:rPr>
          <w:rFonts w:hint="eastAsia" w:ascii="宋体" w:hAnsi="宋体" w:cs="宋体"/>
        </w:rPr>
        <w:t>附件四、监狱企业证明文件</w:t>
      </w:r>
      <w:r>
        <w:tab/>
      </w:r>
      <w:r>
        <w:fldChar w:fldCharType="begin"/>
      </w:r>
      <w:r>
        <w:instrText xml:space="preserve"> PAGEREF _Toc22719 \h </w:instrText>
      </w:r>
      <w:r>
        <w:fldChar w:fldCharType="separate"/>
      </w:r>
      <w:r>
        <w:t>90</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_Toc5188 </w:instrText>
      </w:r>
      <w:r>
        <w:rPr>
          <w:rFonts w:hint="eastAsia" w:ascii="宋体" w:hAnsi="宋体" w:cs="宋体"/>
          <w:szCs w:val="24"/>
        </w:rPr>
        <w:fldChar w:fldCharType="separate"/>
      </w:r>
      <w:r>
        <w:rPr>
          <w:rFonts w:hint="eastAsia" w:ascii="宋体" w:hAnsi="宋体" w:cs="宋体"/>
        </w:rPr>
        <w:t>附件五、“节能产品”，“环境标志产品”证明材料</w:t>
      </w:r>
      <w:r>
        <w:tab/>
      </w:r>
      <w:r>
        <w:fldChar w:fldCharType="begin"/>
      </w:r>
      <w:r>
        <w:instrText xml:space="preserve"> PAGEREF _Toc5188 \h </w:instrText>
      </w:r>
      <w:r>
        <w:fldChar w:fldCharType="separate"/>
      </w:r>
      <w:r>
        <w:t>90</w:t>
      </w:r>
      <w:r>
        <w:fldChar w:fldCharType="end"/>
      </w:r>
      <w:r>
        <w:rPr>
          <w:rFonts w:hint="eastAsia" w:ascii="宋体" w:hAnsi="宋体" w:cs="宋体"/>
          <w:szCs w:val="24"/>
        </w:rPr>
        <w:fldChar w:fldCharType="end"/>
      </w:r>
    </w:p>
    <w:p>
      <w:pPr>
        <w:pStyle w:val="22"/>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_Toc19691 </w:instrText>
      </w:r>
      <w:r>
        <w:rPr>
          <w:rFonts w:hint="eastAsia" w:ascii="宋体" w:hAnsi="宋体" w:cs="宋体"/>
          <w:szCs w:val="24"/>
        </w:rPr>
        <w:fldChar w:fldCharType="separate"/>
      </w:r>
      <w:r>
        <w:rPr>
          <w:rFonts w:hint="eastAsia" w:ascii="宋体" w:hAnsi="宋体" w:cs="宋体"/>
        </w:rPr>
        <w:t>附件六、质疑函范本</w:t>
      </w:r>
      <w:r>
        <w:tab/>
      </w:r>
      <w:r>
        <w:fldChar w:fldCharType="begin"/>
      </w:r>
      <w:r>
        <w:instrText xml:space="preserve"> PAGEREF _Toc19691 \h </w:instrText>
      </w:r>
      <w:r>
        <w:fldChar w:fldCharType="separate"/>
      </w:r>
      <w:r>
        <w:t>91</w:t>
      </w:r>
      <w:r>
        <w:fldChar w:fldCharType="end"/>
      </w:r>
      <w:r>
        <w:rPr>
          <w:rFonts w:hint="eastAsia" w:ascii="宋体" w:hAnsi="宋体" w:cs="宋体"/>
          <w:szCs w:val="24"/>
        </w:rPr>
        <w:fldChar w:fldCharType="end"/>
      </w:r>
    </w:p>
    <w:p>
      <w:pPr>
        <w:pStyle w:val="3"/>
        <w:spacing w:line="240" w:lineRule="auto"/>
        <w:rPr>
          <w:rFonts w:ascii="宋体" w:hAnsi="宋体" w:cs="宋体"/>
          <w:b w:val="0"/>
          <w:sz w:val="24"/>
          <w:szCs w:val="24"/>
        </w:rPr>
        <w:sectPr>
          <w:footerReference r:id="rId6" w:type="default"/>
          <w:pgSz w:w="11906" w:h="16838"/>
          <w:pgMar w:top="1440" w:right="1800" w:bottom="1440" w:left="1800" w:header="851" w:footer="992" w:gutter="0"/>
          <w:cols w:space="720" w:num="1"/>
          <w:docGrid w:type="lines" w:linePitch="312" w:charSpace="0"/>
        </w:sectPr>
      </w:pPr>
      <w:r>
        <w:rPr>
          <w:rFonts w:hint="eastAsia" w:ascii="宋体" w:hAnsi="宋体" w:cs="宋体"/>
          <w:szCs w:val="24"/>
        </w:rPr>
        <w:fldChar w:fldCharType="end"/>
      </w:r>
    </w:p>
    <w:p>
      <w:pPr>
        <w:pStyle w:val="3"/>
        <w:spacing w:before="312" w:beforeLines="100" w:after="468" w:afterLines="150" w:line="600" w:lineRule="exact"/>
        <w:rPr>
          <w:rFonts w:ascii="宋体" w:hAnsi="宋体" w:cs="宋体"/>
          <w:sz w:val="36"/>
          <w:szCs w:val="36"/>
        </w:rPr>
      </w:pPr>
      <w:bookmarkStart w:id="1" w:name="_Toc26575"/>
      <w:bookmarkStart w:id="2" w:name="_Toc4298"/>
      <w:r>
        <w:rPr>
          <w:rFonts w:hint="eastAsia" w:ascii="宋体" w:hAnsi="宋体" w:cs="宋体"/>
          <w:sz w:val="36"/>
          <w:szCs w:val="36"/>
        </w:rPr>
        <w:t>第一部分  公开招标公告</w:t>
      </w:r>
      <w:bookmarkEnd w:id="1"/>
      <w:bookmarkEnd w:id="2"/>
    </w:p>
    <w:p>
      <w:pPr>
        <w:spacing w:line="360" w:lineRule="auto"/>
        <w:ind w:firstLine="482" w:firstLineChars="200"/>
        <w:rPr>
          <w:rFonts w:ascii="宋体" w:hAnsi="宋体" w:cs="宋体"/>
          <w:b/>
          <w:bCs/>
          <w:sz w:val="24"/>
          <w:szCs w:val="24"/>
        </w:rPr>
      </w:pPr>
      <w:r>
        <w:rPr>
          <w:rFonts w:hint="eastAsia" w:ascii="宋体" w:hAnsi="宋体" w:cs="宋体"/>
          <w:b/>
          <w:bCs/>
          <w:sz w:val="24"/>
          <w:szCs w:val="24"/>
        </w:rPr>
        <w:t>项目概况</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秋季开学应急设备采购项目</w:t>
      </w:r>
      <w:r>
        <w:rPr>
          <w:rFonts w:hint="eastAsia" w:ascii="宋体" w:hAnsi="宋体" w:cs="宋体"/>
          <w:sz w:val="24"/>
          <w:szCs w:val="24"/>
        </w:rPr>
        <w:t>招标项目的潜在投标人应在西安市雁塔区科技路10号华奥大厦A座20层2002室获取招标文件，并于2022年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28</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时</w:t>
      </w:r>
      <w:r>
        <w:rPr>
          <w:rFonts w:hint="eastAsia" w:ascii="宋体" w:hAnsi="宋体" w:cs="宋体"/>
          <w:sz w:val="24"/>
          <w:szCs w:val="24"/>
          <w:lang w:val="en-US" w:eastAsia="zh-CN"/>
        </w:rPr>
        <w:t>00</w:t>
      </w:r>
      <w:r>
        <w:rPr>
          <w:rFonts w:hint="eastAsia" w:ascii="宋体" w:hAnsi="宋体" w:cs="宋体"/>
          <w:sz w:val="24"/>
          <w:szCs w:val="24"/>
        </w:rPr>
        <w:t>分（北京时间）前递交投标文件。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一、项目基本情况</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ZMZB2022BQJYJ-255</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秋季开学应急设备采购项目</w:t>
      </w:r>
    </w:p>
    <w:p>
      <w:pPr>
        <w:spacing w:line="360" w:lineRule="auto"/>
        <w:ind w:firstLine="480" w:firstLineChars="200"/>
        <w:rPr>
          <w:rFonts w:ascii="宋体" w:hAnsi="宋体" w:cs="宋体"/>
          <w:sz w:val="24"/>
          <w:szCs w:val="24"/>
        </w:rPr>
      </w:pPr>
      <w:r>
        <w:rPr>
          <w:rFonts w:hint="eastAsia" w:ascii="宋体" w:hAnsi="宋体" w:cs="宋体"/>
          <w:sz w:val="24"/>
          <w:szCs w:val="24"/>
        </w:rPr>
        <w:t>采购方式：公开招标</w:t>
      </w:r>
    </w:p>
    <w:p>
      <w:pPr>
        <w:spacing w:line="360" w:lineRule="auto"/>
        <w:ind w:firstLine="480" w:firstLineChars="200"/>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1670000</w:t>
      </w:r>
      <w:r>
        <w:rPr>
          <w:rFonts w:hint="eastAsia" w:ascii="宋体" w:hAnsi="宋体" w:cs="宋体"/>
          <w:sz w:val="24"/>
          <w:szCs w:val="24"/>
        </w:rPr>
        <w:t>.00元</w:t>
      </w:r>
    </w:p>
    <w:p>
      <w:pPr>
        <w:spacing w:line="360" w:lineRule="auto"/>
        <w:ind w:firstLine="480" w:firstLineChars="200"/>
        <w:rPr>
          <w:rFonts w:ascii="宋体" w:hAnsi="宋体" w:cs="宋体"/>
          <w:sz w:val="24"/>
          <w:szCs w:val="24"/>
        </w:rPr>
      </w:pPr>
      <w:r>
        <w:rPr>
          <w:rFonts w:hint="eastAsia" w:ascii="宋体" w:hAnsi="宋体" w:cs="宋体"/>
          <w:sz w:val="24"/>
          <w:szCs w:val="24"/>
        </w:rPr>
        <w:t>采购需求：</w:t>
      </w:r>
    </w:p>
    <w:p>
      <w:pPr>
        <w:spacing w:line="360" w:lineRule="auto"/>
        <w:ind w:firstLine="480" w:firstLineChars="200"/>
        <w:rPr>
          <w:rFonts w:ascii="宋体" w:hAnsi="宋体" w:cs="宋体"/>
          <w:sz w:val="24"/>
          <w:szCs w:val="24"/>
        </w:rPr>
      </w:pPr>
      <w:r>
        <w:rPr>
          <w:rFonts w:hint="eastAsia" w:ascii="宋体" w:hAnsi="宋体" w:cs="宋体"/>
          <w:sz w:val="24"/>
          <w:szCs w:val="24"/>
        </w:rPr>
        <w:t>合同包1(四幼</w:t>
      </w:r>
      <w:r>
        <w:rPr>
          <w:rFonts w:hint="eastAsia" w:ascii="宋体" w:hAnsi="宋体" w:cs="宋体"/>
          <w:sz w:val="24"/>
          <w:szCs w:val="24"/>
          <w:lang w:val="en-US" w:eastAsia="zh-CN"/>
        </w:rPr>
        <w:t>、</w:t>
      </w:r>
      <w:r>
        <w:rPr>
          <w:rFonts w:hint="eastAsia" w:ascii="宋体" w:hAnsi="宋体" w:cs="宋体"/>
          <w:sz w:val="24"/>
          <w:szCs w:val="24"/>
        </w:rPr>
        <w:t>九幼、十幼设备</w:t>
      </w:r>
      <w:r>
        <w:rPr>
          <w:rFonts w:hint="eastAsia" w:ascii="宋体" w:hAnsi="宋体" w:cs="宋体"/>
          <w:sz w:val="24"/>
          <w:szCs w:val="24"/>
          <w:lang w:eastAsia="zh-CN"/>
        </w:rPr>
        <w:t>采购</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合同包预算金额：</w:t>
      </w:r>
      <w:r>
        <w:rPr>
          <w:rFonts w:hint="eastAsia" w:ascii="宋体" w:hAnsi="宋体" w:cs="宋体"/>
          <w:sz w:val="24"/>
          <w:szCs w:val="24"/>
          <w:lang w:val="en-US" w:eastAsia="zh-CN"/>
        </w:rPr>
        <w:t>900000.00</w:t>
      </w:r>
      <w:r>
        <w:rPr>
          <w:rFonts w:hint="eastAsia" w:ascii="宋体" w:hAnsi="宋体" w:cs="宋体"/>
          <w:sz w:val="24"/>
          <w:szCs w:val="24"/>
        </w:rPr>
        <w:t>元</w:t>
      </w:r>
    </w:p>
    <w:p>
      <w:pPr>
        <w:spacing w:line="360" w:lineRule="auto"/>
        <w:ind w:firstLine="480" w:firstLineChars="200"/>
        <w:rPr>
          <w:rFonts w:ascii="宋体" w:hAnsi="宋体" w:cs="宋体"/>
          <w:sz w:val="24"/>
          <w:szCs w:val="24"/>
        </w:rPr>
      </w:pPr>
      <w:r>
        <w:rPr>
          <w:rFonts w:hint="eastAsia" w:ascii="宋体" w:hAnsi="宋体" w:cs="宋体"/>
          <w:sz w:val="24"/>
          <w:szCs w:val="24"/>
        </w:rPr>
        <w:t>合同包最高限价：</w:t>
      </w:r>
      <w:r>
        <w:rPr>
          <w:rFonts w:hint="eastAsia" w:ascii="宋体" w:hAnsi="宋体" w:cs="宋体"/>
          <w:sz w:val="24"/>
          <w:szCs w:val="24"/>
          <w:lang w:val="en-US" w:eastAsia="zh-CN"/>
        </w:rPr>
        <w:t>900000.00</w:t>
      </w:r>
      <w:r>
        <w:rPr>
          <w:rFonts w:hint="eastAsia" w:ascii="宋体" w:hAnsi="宋体" w:cs="宋体"/>
          <w:sz w:val="24"/>
          <w:szCs w:val="24"/>
        </w:rPr>
        <w:t>元</w:t>
      </w:r>
    </w:p>
    <w:tbl>
      <w:tblPr>
        <w:tblStyle w:val="30"/>
        <w:tblW w:w="10016" w:type="dxa"/>
        <w:jc w:val="center"/>
        <w:tblLayout w:type="fixed"/>
        <w:tblCellMar>
          <w:top w:w="0" w:type="dxa"/>
          <w:left w:w="0" w:type="dxa"/>
          <w:bottom w:w="0" w:type="dxa"/>
          <w:right w:w="0" w:type="dxa"/>
        </w:tblCellMar>
      </w:tblPr>
      <w:tblGrid>
        <w:gridCol w:w="1040"/>
        <w:gridCol w:w="1233"/>
        <w:gridCol w:w="1719"/>
        <w:gridCol w:w="1098"/>
        <w:gridCol w:w="1354"/>
        <w:gridCol w:w="1774"/>
        <w:gridCol w:w="1798"/>
      </w:tblGrid>
      <w:tr>
        <w:tblPrEx>
          <w:tblCellMar>
            <w:top w:w="0" w:type="dxa"/>
            <w:left w:w="0" w:type="dxa"/>
            <w:bottom w:w="0" w:type="dxa"/>
            <w:right w:w="0" w:type="dxa"/>
          </w:tblCellMar>
        </w:tblPrEx>
        <w:trPr>
          <w:trHeight w:val="1542" w:hRule="atLeast"/>
          <w:tblHeader/>
          <w:jc w:val="center"/>
        </w:trPr>
        <w:tc>
          <w:tcPr>
            <w:tcW w:w="1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rPr>
              <w:t>品目号</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ascii="宋体" w:hAnsi="宋体" w:cs="宋体"/>
                <w:sz w:val="24"/>
                <w:szCs w:val="24"/>
              </w:rPr>
            </w:pPr>
            <w:r>
              <w:rPr>
                <w:rFonts w:hint="eastAsia" w:ascii="宋体" w:hAnsi="宋体" w:cs="宋体"/>
                <w:sz w:val="24"/>
                <w:szCs w:val="24"/>
              </w:rPr>
              <w:t>品目</w:t>
            </w:r>
          </w:p>
          <w:p>
            <w:pPr>
              <w:spacing w:line="360" w:lineRule="auto"/>
              <w:jc w:val="center"/>
              <w:rPr>
                <w:rFonts w:ascii="宋体" w:hAnsi="宋体" w:cs="宋体"/>
                <w:sz w:val="24"/>
                <w:szCs w:val="24"/>
              </w:rPr>
            </w:pPr>
            <w:r>
              <w:rPr>
                <w:rFonts w:hint="eastAsia" w:ascii="宋体" w:hAnsi="宋体" w:cs="宋体"/>
                <w:sz w:val="24"/>
                <w:szCs w:val="24"/>
              </w:rPr>
              <w:t>名称</w:t>
            </w:r>
          </w:p>
        </w:tc>
        <w:tc>
          <w:tcPr>
            <w:tcW w:w="17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rPr>
              <w:t>采购标的</w:t>
            </w:r>
          </w:p>
        </w:tc>
        <w:tc>
          <w:tcPr>
            <w:tcW w:w="10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ascii="宋体" w:hAnsi="宋体" w:cs="宋体"/>
                <w:sz w:val="24"/>
                <w:szCs w:val="24"/>
              </w:rPr>
            </w:pPr>
            <w:r>
              <w:rPr>
                <w:rFonts w:hint="eastAsia" w:ascii="宋体" w:hAnsi="宋体" w:cs="宋体"/>
                <w:sz w:val="24"/>
                <w:szCs w:val="24"/>
              </w:rPr>
              <w:t>数量</w:t>
            </w:r>
          </w:p>
          <w:p>
            <w:pPr>
              <w:spacing w:line="360" w:lineRule="auto"/>
              <w:jc w:val="center"/>
              <w:rPr>
                <w:rFonts w:ascii="宋体" w:hAnsi="宋体" w:cs="宋体"/>
                <w:sz w:val="24"/>
                <w:szCs w:val="24"/>
              </w:rPr>
            </w:pPr>
            <w:r>
              <w:rPr>
                <w:rFonts w:hint="eastAsia" w:ascii="宋体" w:hAnsi="宋体" w:cs="宋体"/>
                <w:sz w:val="24"/>
                <w:szCs w:val="24"/>
              </w:rPr>
              <w:t>（单位）</w:t>
            </w:r>
          </w:p>
        </w:tc>
        <w:tc>
          <w:tcPr>
            <w:tcW w:w="13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rPr>
              <w:t>技术规格、参数及要求</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rPr>
              <w:t>品目预算(元)</w:t>
            </w:r>
          </w:p>
        </w:tc>
        <w:tc>
          <w:tcPr>
            <w:tcW w:w="17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rPr>
              <w:t>最高限价(元)</w:t>
            </w:r>
          </w:p>
        </w:tc>
      </w:tr>
      <w:tr>
        <w:tblPrEx>
          <w:tblCellMar>
            <w:top w:w="0" w:type="dxa"/>
            <w:left w:w="0" w:type="dxa"/>
            <w:bottom w:w="0" w:type="dxa"/>
            <w:right w:w="0" w:type="dxa"/>
          </w:tblCellMar>
        </w:tblPrEx>
        <w:trPr>
          <w:trHeight w:val="1363" w:hRule="atLeast"/>
          <w:jc w:val="center"/>
        </w:trPr>
        <w:tc>
          <w:tcPr>
            <w:tcW w:w="1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ascii="宋体" w:hAnsi="宋体" w:cs="宋体"/>
                <w:sz w:val="24"/>
                <w:szCs w:val="24"/>
              </w:rPr>
              <w:t>教学专用仪器</w:t>
            </w:r>
          </w:p>
        </w:tc>
        <w:tc>
          <w:tcPr>
            <w:tcW w:w="17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四幼</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九幼、十幼设备采购</w:t>
            </w:r>
          </w:p>
        </w:tc>
        <w:tc>
          <w:tcPr>
            <w:tcW w:w="10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批</w:t>
            </w:r>
            <w:r>
              <w:rPr>
                <w:rFonts w:hint="eastAsia" w:ascii="宋体" w:hAnsi="宋体" w:cs="宋体"/>
                <w:sz w:val="24"/>
                <w:szCs w:val="24"/>
              </w:rPr>
              <w:t>)</w:t>
            </w:r>
          </w:p>
        </w:tc>
        <w:tc>
          <w:tcPr>
            <w:tcW w:w="13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ascii="宋体" w:hAnsi="宋体" w:cs="宋体"/>
                <w:sz w:val="24"/>
                <w:szCs w:val="24"/>
              </w:rPr>
            </w:pPr>
            <w:r>
              <w:rPr>
                <w:rFonts w:hint="eastAsia" w:ascii="宋体" w:hAnsi="宋体" w:cs="宋体"/>
                <w:sz w:val="24"/>
                <w:szCs w:val="24"/>
              </w:rPr>
              <w:t>详见采购文件</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lang w:val="en-US" w:eastAsia="zh-CN"/>
              </w:rPr>
              <w:t>900000.00</w:t>
            </w:r>
          </w:p>
        </w:tc>
        <w:tc>
          <w:tcPr>
            <w:tcW w:w="17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lang w:val="en-US" w:eastAsia="zh-CN"/>
              </w:rPr>
              <w:t>900000.00</w:t>
            </w:r>
          </w:p>
        </w:tc>
      </w:tr>
    </w:tbl>
    <w:p>
      <w:pPr>
        <w:spacing w:line="360" w:lineRule="auto"/>
        <w:ind w:firstLine="480" w:firstLineChars="200"/>
        <w:rPr>
          <w:rFonts w:ascii="宋体" w:hAnsi="宋体" w:cs="宋体"/>
          <w:sz w:val="24"/>
          <w:szCs w:val="24"/>
        </w:rPr>
      </w:pPr>
      <w:r>
        <w:rPr>
          <w:rFonts w:hint="eastAsia" w:ascii="宋体" w:hAnsi="宋体" w:cs="宋体"/>
          <w:sz w:val="24"/>
          <w:szCs w:val="24"/>
        </w:rPr>
        <w:t>本合同包不接受联合体投标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合同履行期限：自合同签订后到该项目质保期结束（具体服务起止日期可随合同签订时间相应顺延） </w:t>
      </w:r>
    </w:p>
    <w:p>
      <w:pPr>
        <w:spacing w:line="360" w:lineRule="auto"/>
        <w:ind w:firstLine="480" w:firstLineChars="200"/>
        <w:rPr>
          <w:rFonts w:ascii="宋体" w:hAnsi="宋体" w:cs="宋体"/>
          <w:sz w:val="24"/>
          <w:szCs w:val="24"/>
        </w:rPr>
      </w:pPr>
      <w:r>
        <w:rPr>
          <w:rFonts w:hint="eastAsia" w:ascii="宋体" w:hAnsi="宋体" w:cs="宋体"/>
          <w:sz w:val="24"/>
          <w:szCs w:val="24"/>
        </w:rPr>
        <w:t>合同包</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highlight w:val="none"/>
          <w:lang w:eastAsia="zh-CN"/>
        </w:rPr>
        <w:t>智慧黑板等设备采购</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合同包预算金额：</w:t>
      </w:r>
      <w:r>
        <w:rPr>
          <w:rFonts w:hint="eastAsia" w:ascii="宋体" w:hAnsi="宋体" w:cs="宋体"/>
          <w:sz w:val="24"/>
          <w:szCs w:val="24"/>
          <w:lang w:val="en-US" w:eastAsia="zh-CN"/>
        </w:rPr>
        <w:t>77</w:t>
      </w:r>
      <w:r>
        <w:rPr>
          <w:rFonts w:hint="eastAsia" w:ascii="宋体" w:hAnsi="宋体" w:cs="宋体"/>
          <w:sz w:val="24"/>
          <w:szCs w:val="24"/>
        </w:rPr>
        <w:t>0000.00元</w:t>
      </w:r>
    </w:p>
    <w:p>
      <w:pPr>
        <w:spacing w:line="360" w:lineRule="auto"/>
        <w:ind w:firstLine="480" w:firstLineChars="200"/>
        <w:rPr>
          <w:rFonts w:ascii="宋体" w:hAnsi="宋体" w:cs="宋体"/>
          <w:sz w:val="24"/>
          <w:szCs w:val="24"/>
        </w:rPr>
      </w:pPr>
      <w:r>
        <w:rPr>
          <w:rFonts w:hint="eastAsia" w:ascii="宋体" w:hAnsi="宋体" w:cs="宋体"/>
          <w:sz w:val="24"/>
          <w:szCs w:val="24"/>
        </w:rPr>
        <w:t>合同包最高限价：</w:t>
      </w:r>
      <w:r>
        <w:rPr>
          <w:rFonts w:hint="eastAsia" w:ascii="宋体" w:hAnsi="宋体" w:cs="宋体"/>
          <w:sz w:val="24"/>
          <w:szCs w:val="24"/>
          <w:lang w:val="en-US" w:eastAsia="zh-CN"/>
        </w:rPr>
        <w:t>77</w:t>
      </w:r>
      <w:r>
        <w:rPr>
          <w:rFonts w:hint="eastAsia" w:ascii="宋体" w:hAnsi="宋体" w:cs="宋体"/>
          <w:sz w:val="24"/>
          <w:szCs w:val="24"/>
        </w:rPr>
        <w:t>0000.00元</w:t>
      </w:r>
    </w:p>
    <w:tbl>
      <w:tblPr>
        <w:tblStyle w:val="30"/>
        <w:tblW w:w="9997" w:type="dxa"/>
        <w:jc w:val="center"/>
        <w:tblLayout w:type="fixed"/>
        <w:tblCellMar>
          <w:top w:w="0" w:type="dxa"/>
          <w:left w:w="0" w:type="dxa"/>
          <w:bottom w:w="0" w:type="dxa"/>
          <w:right w:w="0" w:type="dxa"/>
        </w:tblCellMar>
      </w:tblPr>
      <w:tblGrid>
        <w:gridCol w:w="1038"/>
        <w:gridCol w:w="1613"/>
        <w:gridCol w:w="1334"/>
        <w:gridCol w:w="1096"/>
        <w:gridCol w:w="1352"/>
        <w:gridCol w:w="1770"/>
        <w:gridCol w:w="1794"/>
      </w:tblGrid>
      <w:tr>
        <w:tblPrEx>
          <w:tblCellMar>
            <w:top w:w="0" w:type="dxa"/>
            <w:left w:w="0" w:type="dxa"/>
            <w:bottom w:w="0" w:type="dxa"/>
            <w:right w:w="0" w:type="dxa"/>
          </w:tblCellMar>
        </w:tblPrEx>
        <w:trPr>
          <w:trHeight w:val="1359" w:hRule="atLeast"/>
          <w:tblHeader/>
          <w:jc w:val="center"/>
        </w:trPr>
        <w:tc>
          <w:tcPr>
            <w:tcW w:w="10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rPr>
              <w:t>品目号</w:t>
            </w:r>
          </w:p>
        </w:tc>
        <w:tc>
          <w:tcPr>
            <w:tcW w:w="1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ascii="宋体" w:hAnsi="宋体" w:cs="宋体"/>
                <w:sz w:val="24"/>
                <w:szCs w:val="24"/>
              </w:rPr>
            </w:pPr>
            <w:r>
              <w:rPr>
                <w:rFonts w:hint="eastAsia" w:ascii="宋体" w:hAnsi="宋体" w:cs="宋体"/>
                <w:sz w:val="24"/>
                <w:szCs w:val="24"/>
              </w:rPr>
              <w:t>品目</w:t>
            </w:r>
          </w:p>
          <w:p>
            <w:pPr>
              <w:spacing w:line="360" w:lineRule="auto"/>
              <w:jc w:val="center"/>
              <w:rPr>
                <w:rFonts w:ascii="宋体" w:hAnsi="宋体" w:cs="宋体"/>
                <w:sz w:val="24"/>
                <w:szCs w:val="24"/>
              </w:rPr>
            </w:pPr>
            <w:r>
              <w:rPr>
                <w:rFonts w:hint="eastAsia" w:ascii="宋体" w:hAnsi="宋体" w:cs="宋体"/>
                <w:sz w:val="24"/>
                <w:szCs w:val="24"/>
              </w:rPr>
              <w:t>名称</w:t>
            </w:r>
          </w:p>
        </w:tc>
        <w:tc>
          <w:tcPr>
            <w:tcW w:w="13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rPr>
              <w:t>采购标的</w:t>
            </w:r>
          </w:p>
        </w:tc>
        <w:tc>
          <w:tcPr>
            <w:tcW w:w="10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ascii="宋体" w:hAnsi="宋体" w:cs="宋体"/>
                <w:sz w:val="24"/>
                <w:szCs w:val="24"/>
              </w:rPr>
            </w:pPr>
            <w:r>
              <w:rPr>
                <w:rFonts w:hint="eastAsia" w:ascii="宋体" w:hAnsi="宋体" w:cs="宋体"/>
                <w:sz w:val="24"/>
                <w:szCs w:val="24"/>
              </w:rPr>
              <w:t>数量</w:t>
            </w:r>
          </w:p>
          <w:p>
            <w:pPr>
              <w:spacing w:line="360" w:lineRule="auto"/>
              <w:jc w:val="center"/>
              <w:rPr>
                <w:rFonts w:ascii="宋体" w:hAnsi="宋体" w:cs="宋体"/>
                <w:sz w:val="24"/>
                <w:szCs w:val="24"/>
              </w:rPr>
            </w:pPr>
            <w:r>
              <w:rPr>
                <w:rFonts w:hint="eastAsia" w:ascii="宋体" w:hAnsi="宋体" w:cs="宋体"/>
                <w:sz w:val="24"/>
                <w:szCs w:val="24"/>
              </w:rPr>
              <w:t>（单位）</w:t>
            </w:r>
          </w:p>
        </w:tc>
        <w:tc>
          <w:tcPr>
            <w:tcW w:w="13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rPr>
              <w:t>技术规格、参数及要求</w:t>
            </w:r>
          </w:p>
        </w:tc>
        <w:tc>
          <w:tcPr>
            <w:tcW w:w="17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rPr>
              <w:t>品目预算(元)</w:t>
            </w:r>
          </w:p>
        </w:tc>
        <w:tc>
          <w:tcPr>
            <w:tcW w:w="17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rPr>
              <w:t>最高限价(元)</w:t>
            </w:r>
          </w:p>
        </w:tc>
      </w:tr>
      <w:tr>
        <w:tblPrEx>
          <w:tblCellMar>
            <w:top w:w="0" w:type="dxa"/>
            <w:left w:w="0" w:type="dxa"/>
            <w:bottom w:w="0" w:type="dxa"/>
            <w:right w:w="0" w:type="dxa"/>
          </w:tblCellMar>
        </w:tblPrEx>
        <w:trPr>
          <w:trHeight w:val="1182" w:hRule="atLeast"/>
          <w:jc w:val="center"/>
        </w:trPr>
        <w:tc>
          <w:tcPr>
            <w:tcW w:w="10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-1</w:t>
            </w:r>
          </w:p>
        </w:tc>
        <w:tc>
          <w:tcPr>
            <w:tcW w:w="1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ascii="宋体" w:hAnsi="宋体" w:cs="宋体"/>
                <w:sz w:val="24"/>
                <w:szCs w:val="24"/>
              </w:rPr>
              <w:t>教学专用仪器</w:t>
            </w:r>
          </w:p>
        </w:tc>
        <w:tc>
          <w:tcPr>
            <w:tcW w:w="13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highlight w:val="none"/>
                <w:lang w:eastAsia="zh-CN"/>
              </w:rPr>
              <w:t>智慧黑板等设备采购</w:t>
            </w:r>
          </w:p>
        </w:tc>
        <w:tc>
          <w:tcPr>
            <w:tcW w:w="10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批</w:t>
            </w:r>
            <w:r>
              <w:rPr>
                <w:rFonts w:hint="eastAsia" w:ascii="宋体" w:hAnsi="宋体" w:cs="宋体"/>
                <w:sz w:val="24"/>
                <w:szCs w:val="24"/>
              </w:rPr>
              <w:t>)</w:t>
            </w:r>
          </w:p>
        </w:tc>
        <w:tc>
          <w:tcPr>
            <w:tcW w:w="13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ascii="宋体" w:hAnsi="宋体" w:cs="宋体"/>
                <w:sz w:val="24"/>
                <w:szCs w:val="24"/>
              </w:rPr>
            </w:pPr>
            <w:r>
              <w:rPr>
                <w:rFonts w:hint="eastAsia" w:ascii="宋体" w:hAnsi="宋体" w:cs="宋体"/>
                <w:sz w:val="24"/>
                <w:szCs w:val="24"/>
              </w:rPr>
              <w:t>详见采购文件</w:t>
            </w:r>
          </w:p>
        </w:tc>
        <w:tc>
          <w:tcPr>
            <w:tcW w:w="17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lang w:val="en-US" w:eastAsia="zh-CN"/>
              </w:rPr>
              <w:t>77</w:t>
            </w:r>
            <w:r>
              <w:rPr>
                <w:rFonts w:hint="eastAsia" w:ascii="宋体" w:hAnsi="宋体" w:cs="宋体"/>
                <w:sz w:val="24"/>
                <w:szCs w:val="24"/>
              </w:rPr>
              <w:t>0000.00</w:t>
            </w:r>
          </w:p>
        </w:tc>
        <w:tc>
          <w:tcPr>
            <w:tcW w:w="17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rPr>
                <w:rFonts w:ascii="宋体" w:hAnsi="宋体" w:cs="宋体"/>
                <w:sz w:val="24"/>
                <w:szCs w:val="24"/>
              </w:rPr>
            </w:pPr>
            <w:r>
              <w:rPr>
                <w:rFonts w:hint="eastAsia" w:ascii="宋体" w:hAnsi="宋体" w:cs="宋体"/>
                <w:sz w:val="24"/>
                <w:szCs w:val="24"/>
                <w:lang w:val="en-US" w:eastAsia="zh-CN"/>
              </w:rPr>
              <w:t>77</w:t>
            </w:r>
            <w:r>
              <w:rPr>
                <w:rFonts w:hint="eastAsia" w:ascii="宋体" w:hAnsi="宋体" w:cs="宋体"/>
                <w:sz w:val="24"/>
                <w:szCs w:val="24"/>
              </w:rPr>
              <w:t>0000.00</w:t>
            </w:r>
          </w:p>
        </w:tc>
      </w:tr>
    </w:tbl>
    <w:p>
      <w:pPr>
        <w:spacing w:line="360" w:lineRule="auto"/>
        <w:ind w:firstLine="480" w:firstLineChars="200"/>
        <w:rPr>
          <w:rFonts w:ascii="宋体" w:hAnsi="宋体" w:cs="宋体"/>
          <w:sz w:val="24"/>
          <w:szCs w:val="24"/>
        </w:rPr>
      </w:pPr>
      <w:r>
        <w:rPr>
          <w:rFonts w:hint="eastAsia" w:ascii="宋体" w:hAnsi="宋体" w:cs="宋体"/>
          <w:sz w:val="24"/>
          <w:szCs w:val="24"/>
        </w:rPr>
        <w:t>本合同包不接受联合体投标</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合同履行期限：自合同签订后到该项目质保期结束（具体服务起止日期可随合同签订时间相应顺延）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二、申请人的资格要求：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1.满足《中华人民共和国政府釆购法》第二十二条规定;</w:t>
      </w:r>
    </w:p>
    <w:p>
      <w:pPr>
        <w:spacing w:line="360" w:lineRule="auto"/>
        <w:ind w:firstLine="480" w:firstLineChars="200"/>
        <w:rPr>
          <w:rFonts w:ascii="宋体" w:hAnsi="宋体" w:cs="宋体"/>
          <w:sz w:val="24"/>
          <w:szCs w:val="24"/>
        </w:rPr>
      </w:pPr>
      <w:r>
        <w:rPr>
          <w:rFonts w:hint="eastAsia" w:ascii="宋体" w:hAnsi="宋体" w:cs="宋体"/>
          <w:sz w:val="24"/>
          <w:szCs w:val="24"/>
        </w:rPr>
        <w:t>2.落实政府采购政策需满足的资格要求：</w:t>
      </w:r>
    </w:p>
    <w:p>
      <w:pPr>
        <w:spacing w:line="360" w:lineRule="auto"/>
        <w:ind w:firstLine="480" w:firstLineChars="200"/>
        <w:rPr>
          <w:rFonts w:ascii="宋体" w:hAnsi="宋体" w:cs="宋体"/>
          <w:sz w:val="24"/>
          <w:szCs w:val="24"/>
        </w:rPr>
      </w:pPr>
      <w:r>
        <w:rPr>
          <w:rFonts w:hint="eastAsia" w:ascii="宋体" w:hAnsi="宋体" w:cs="宋体"/>
          <w:sz w:val="24"/>
          <w:szCs w:val="24"/>
        </w:rPr>
        <w:t>合同包1(四幼</w:t>
      </w:r>
      <w:r>
        <w:rPr>
          <w:rFonts w:hint="eastAsia" w:ascii="宋体" w:hAnsi="宋体" w:cs="宋体"/>
          <w:sz w:val="24"/>
          <w:szCs w:val="24"/>
          <w:lang w:val="en-US" w:eastAsia="zh-CN"/>
        </w:rPr>
        <w:t>、</w:t>
      </w:r>
      <w:r>
        <w:rPr>
          <w:rFonts w:hint="eastAsia" w:ascii="宋体" w:hAnsi="宋体" w:cs="宋体"/>
          <w:sz w:val="24"/>
          <w:szCs w:val="24"/>
        </w:rPr>
        <w:t>九幼、十幼设备</w:t>
      </w:r>
      <w:r>
        <w:rPr>
          <w:rFonts w:hint="eastAsia" w:ascii="宋体" w:hAnsi="宋体" w:cs="宋体"/>
          <w:sz w:val="24"/>
          <w:szCs w:val="24"/>
          <w:lang w:eastAsia="zh-CN"/>
        </w:rPr>
        <w:t>采购</w:t>
      </w:r>
      <w:r>
        <w:rPr>
          <w:rFonts w:hint="eastAsia" w:ascii="宋体" w:hAnsi="宋体" w:cs="宋体"/>
          <w:sz w:val="24"/>
          <w:szCs w:val="24"/>
        </w:rPr>
        <w:t>)落实政府采购政策需满足的资格要求如下:</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《政府采购促进中小企业发展管理办法》（财库〔2020〕46号）； </w:t>
      </w:r>
      <w:r>
        <w:rPr>
          <w:rFonts w:hint="eastAsia" w:ascii="宋体" w:hAnsi="宋体" w:cs="宋体"/>
          <w:sz w:val="24"/>
          <w:szCs w:val="24"/>
        </w:rPr>
        <w:br w:type="textWrapping"/>
      </w:r>
      <w:r>
        <w:rPr>
          <w:rFonts w:hint="eastAsia" w:ascii="宋体" w:hAnsi="宋体" w:cs="宋体"/>
          <w:sz w:val="24"/>
          <w:szCs w:val="24"/>
        </w:rPr>
        <w:t>（2）《财政部 司法部关于政府采购支持监狱企业发展有关问题的通知》（财库〔2014〕68号）；</w:t>
      </w:r>
      <w:r>
        <w:rPr>
          <w:rFonts w:hint="eastAsia" w:ascii="宋体" w:hAnsi="宋体" w:cs="宋体"/>
          <w:sz w:val="24"/>
          <w:szCs w:val="24"/>
        </w:rPr>
        <w:br w:type="textWrapping"/>
      </w:r>
      <w:r>
        <w:rPr>
          <w:rFonts w:hint="eastAsia" w:ascii="宋体" w:hAnsi="宋体" w:cs="宋体"/>
          <w:sz w:val="24"/>
          <w:szCs w:val="24"/>
        </w:rPr>
        <w:t>（3）《国务院办公厅关于建立政府强制采购节能产品制度的通知》（国办发〔2007〕51号）；</w:t>
      </w:r>
      <w:r>
        <w:rPr>
          <w:rFonts w:hint="eastAsia" w:ascii="宋体" w:hAnsi="宋体" w:cs="宋体"/>
          <w:sz w:val="24"/>
          <w:szCs w:val="24"/>
        </w:rPr>
        <w:br w:type="textWrapping"/>
      </w:r>
      <w:r>
        <w:rPr>
          <w:rFonts w:hint="eastAsia" w:ascii="宋体" w:hAnsi="宋体" w:cs="宋体"/>
          <w:sz w:val="24"/>
          <w:szCs w:val="24"/>
        </w:rPr>
        <w:t>（4）《节能产品政府采购实施意见》（财库〔2004〕185号）；</w:t>
      </w:r>
      <w:r>
        <w:rPr>
          <w:rFonts w:hint="eastAsia" w:ascii="宋体" w:hAnsi="宋体" w:cs="宋体"/>
          <w:sz w:val="24"/>
          <w:szCs w:val="24"/>
        </w:rPr>
        <w:br w:type="textWrapping"/>
      </w:r>
      <w:r>
        <w:rPr>
          <w:rFonts w:hint="eastAsia" w:ascii="宋体" w:hAnsi="宋体" w:cs="宋体"/>
          <w:sz w:val="24"/>
          <w:szCs w:val="24"/>
        </w:rPr>
        <w:t>（5）《环境标志产品政府采购实施的意见》（财库〔2006〕90号）；</w:t>
      </w:r>
      <w:r>
        <w:rPr>
          <w:rFonts w:hint="eastAsia" w:ascii="宋体" w:hAnsi="宋体" w:cs="宋体"/>
          <w:sz w:val="24"/>
          <w:szCs w:val="24"/>
        </w:rPr>
        <w:br w:type="textWrapping"/>
      </w:r>
      <w:r>
        <w:rPr>
          <w:rFonts w:hint="eastAsia" w:ascii="宋体" w:hAnsi="宋体" w:cs="宋体"/>
          <w:sz w:val="24"/>
          <w:szCs w:val="24"/>
        </w:rPr>
        <w:t>（6）《三部门联合发布关于促进残疾人就业政府采购政策的通知》（财库〔2017〕141号）。</w:t>
      </w:r>
      <w:r>
        <w:rPr>
          <w:rFonts w:hint="eastAsia" w:ascii="宋体" w:hAnsi="宋体" w:cs="宋体"/>
          <w:sz w:val="24"/>
          <w:szCs w:val="24"/>
        </w:rPr>
        <w:br w:type="textWrapping"/>
      </w:r>
      <w:r>
        <w:rPr>
          <w:rFonts w:hint="eastAsia" w:ascii="宋体" w:hAnsi="宋体" w:cs="宋体"/>
          <w:sz w:val="24"/>
          <w:szCs w:val="24"/>
        </w:rPr>
        <w:t>（7）《财政部 发展改革委 生态环境部 市场监管总局关于调整优化节能产品、环境标志产品政府采购执行机制的通知》（财库〔2019〕9号）。</w:t>
      </w:r>
      <w:r>
        <w:rPr>
          <w:rFonts w:hint="eastAsia" w:ascii="宋体" w:hAnsi="宋体" w:cs="宋体"/>
          <w:sz w:val="24"/>
          <w:szCs w:val="24"/>
        </w:rPr>
        <w:br w:type="textWrapping"/>
      </w:r>
      <w:r>
        <w:rPr>
          <w:rFonts w:hint="eastAsia" w:ascii="宋体" w:hAnsi="宋体" w:cs="宋体"/>
          <w:sz w:val="24"/>
          <w:szCs w:val="24"/>
        </w:rPr>
        <w:t>（8）陕西省财政厅关于印发《陕西省中小企业政府采购信用融资办法》（陕财办采〔2018〕23号）。</w:t>
      </w:r>
    </w:p>
    <w:p>
      <w:pPr>
        <w:spacing w:line="360" w:lineRule="auto"/>
        <w:ind w:firstLine="480" w:firstLineChars="200"/>
        <w:rPr>
          <w:rFonts w:ascii="宋体" w:hAnsi="宋体" w:cs="宋体"/>
          <w:sz w:val="24"/>
          <w:szCs w:val="24"/>
        </w:rPr>
      </w:pPr>
      <w:r>
        <w:rPr>
          <w:rFonts w:hint="eastAsia" w:ascii="宋体" w:hAnsi="宋体" w:cs="宋体"/>
          <w:sz w:val="24"/>
          <w:szCs w:val="24"/>
        </w:rPr>
        <w:t>合同包</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highlight w:val="none"/>
          <w:lang w:eastAsia="zh-CN"/>
        </w:rPr>
        <w:t>智慧黑板等设备采购</w:t>
      </w:r>
      <w:r>
        <w:rPr>
          <w:rFonts w:hint="eastAsia" w:ascii="宋体" w:hAnsi="宋体" w:cs="宋体"/>
          <w:sz w:val="24"/>
          <w:szCs w:val="24"/>
        </w:rPr>
        <w:t>)落实政府采购政策需满足的资格要求如下:</w:t>
      </w:r>
    </w:p>
    <w:p>
      <w:pPr>
        <w:spacing w:line="360" w:lineRule="auto"/>
      </w:pPr>
      <w:r>
        <w:rPr>
          <w:rFonts w:hint="eastAsia" w:ascii="宋体" w:hAnsi="宋体" w:cs="宋体"/>
          <w:sz w:val="24"/>
          <w:szCs w:val="24"/>
        </w:rPr>
        <w:t>（1）《政府采购促进中小企业发展管理办法》（财库〔2020〕46号）； </w:t>
      </w:r>
      <w:r>
        <w:rPr>
          <w:rFonts w:hint="eastAsia" w:ascii="宋体" w:hAnsi="宋体" w:cs="宋体"/>
          <w:sz w:val="24"/>
          <w:szCs w:val="24"/>
        </w:rPr>
        <w:br w:type="textWrapping"/>
      </w:r>
      <w:r>
        <w:rPr>
          <w:rFonts w:hint="eastAsia" w:ascii="宋体" w:hAnsi="宋体" w:cs="宋体"/>
          <w:sz w:val="24"/>
          <w:szCs w:val="24"/>
        </w:rPr>
        <w:t>（2）《财政部 司法部关于政府采购支持监狱企业发展有关问题的通知》（财库〔2014〕68号）；</w:t>
      </w:r>
      <w:r>
        <w:rPr>
          <w:rFonts w:hint="eastAsia" w:ascii="宋体" w:hAnsi="宋体" w:cs="宋体"/>
          <w:sz w:val="24"/>
          <w:szCs w:val="24"/>
        </w:rPr>
        <w:br w:type="textWrapping"/>
      </w:r>
      <w:r>
        <w:rPr>
          <w:rFonts w:hint="eastAsia" w:ascii="宋体" w:hAnsi="宋体" w:cs="宋体"/>
          <w:sz w:val="24"/>
          <w:szCs w:val="24"/>
        </w:rPr>
        <w:t>（3）《国务院办公厅关于建立政府强制采购节能产品制度的通知》（国办发〔2007〕51号）；</w:t>
      </w:r>
      <w:r>
        <w:rPr>
          <w:rFonts w:hint="eastAsia" w:ascii="宋体" w:hAnsi="宋体" w:cs="宋体"/>
          <w:sz w:val="24"/>
          <w:szCs w:val="24"/>
        </w:rPr>
        <w:br w:type="textWrapping"/>
      </w:r>
      <w:r>
        <w:rPr>
          <w:rFonts w:hint="eastAsia" w:ascii="宋体" w:hAnsi="宋体" w:cs="宋体"/>
          <w:sz w:val="24"/>
          <w:szCs w:val="24"/>
        </w:rPr>
        <w:t>（4）《节能产品政府采购实施意见》（财库〔2004〕185号）；</w:t>
      </w:r>
      <w:r>
        <w:rPr>
          <w:rFonts w:hint="eastAsia" w:ascii="宋体" w:hAnsi="宋体" w:cs="宋体"/>
          <w:sz w:val="24"/>
          <w:szCs w:val="24"/>
        </w:rPr>
        <w:br w:type="textWrapping"/>
      </w:r>
      <w:r>
        <w:rPr>
          <w:rFonts w:hint="eastAsia" w:ascii="宋体" w:hAnsi="宋体" w:cs="宋体"/>
          <w:sz w:val="24"/>
          <w:szCs w:val="24"/>
        </w:rPr>
        <w:t>（5）《环境标志产品政府采购实施的意见》（财库〔2006〕90号）；</w:t>
      </w:r>
      <w:r>
        <w:rPr>
          <w:rFonts w:hint="eastAsia" w:ascii="宋体" w:hAnsi="宋体" w:cs="宋体"/>
          <w:sz w:val="24"/>
          <w:szCs w:val="24"/>
        </w:rPr>
        <w:br w:type="textWrapping"/>
      </w:r>
      <w:r>
        <w:rPr>
          <w:rFonts w:hint="eastAsia" w:ascii="宋体" w:hAnsi="宋体" w:cs="宋体"/>
          <w:sz w:val="24"/>
          <w:szCs w:val="24"/>
        </w:rPr>
        <w:t>（6）《三部门联合发布关于促进残疾人就业政府采购政策的通知》（财库〔2017〕141号）。</w:t>
      </w:r>
      <w:r>
        <w:rPr>
          <w:rFonts w:hint="eastAsia" w:ascii="宋体" w:hAnsi="宋体" w:cs="宋体"/>
          <w:sz w:val="24"/>
          <w:szCs w:val="24"/>
        </w:rPr>
        <w:br w:type="textWrapping"/>
      </w:r>
      <w:r>
        <w:rPr>
          <w:rFonts w:hint="eastAsia" w:ascii="宋体" w:hAnsi="宋体" w:cs="宋体"/>
          <w:sz w:val="24"/>
          <w:szCs w:val="24"/>
        </w:rPr>
        <w:t>（7）《财政部 发展改革委 生态环境部 市场监管总局关于调整优化节能产品、环境标志产品政府采购执行机制的通知》（财库〔2019〕9号）。</w:t>
      </w:r>
      <w:r>
        <w:rPr>
          <w:rFonts w:hint="eastAsia" w:ascii="宋体" w:hAnsi="宋体" w:cs="宋体"/>
          <w:sz w:val="24"/>
          <w:szCs w:val="24"/>
        </w:rPr>
        <w:br w:type="textWrapping"/>
      </w:r>
      <w:r>
        <w:rPr>
          <w:rFonts w:hint="eastAsia" w:ascii="宋体" w:hAnsi="宋体" w:cs="宋体"/>
          <w:sz w:val="24"/>
          <w:szCs w:val="24"/>
        </w:rPr>
        <w:t>（8）陕西省财政厅关于印发《陕西省中小企业政府采购信用融资办法》（陕财办采〔2018〕23号）。</w:t>
      </w:r>
    </w:p>
    <w:p>
      <w:pPr>
        <w:spacing w:line="360" w:lineRule="auto"/>
        <w:ind w:firstLine="480" w:firstLineChars="200"/>
        <w:rPr>
          <w:rFonts w:ascii="宋体" w:hAnsi="宋体" w:cs="宋体"/>
          <w:sz w:val="24"/>
          <w:szCs w:val="24"/>
        </w:rPr>
      </w:pPr>
      <w:r>
        <w:rPr>
          <w:rFonts w:hint="eastAsia" w:ascii="宋体" w:hAnsi="宋体" w:cs="宋体"/>
          <w:sz w:val="24"/>
          <w:szCs w:val="24"/>
        </w:rPr>
        <w:t>3.本项目的特定资格要求：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合同包1(四幼</w:t>
      </w:r>
      <w:r>
        <w:rPr>
          <w:rFonts w:hint="eastAsia" w:ascii="宋体" w:hAnsi="宋体" w:cs="宋体"/>
          <w:sz w:val="24"/>
          <w:szCs w:val="24"/>
          <w:lang w:val="en-US" w:eastAsia="zh-CN"/>
        </w:rPr>
        <w:t>、</w:t>
      </w:r>
      <w:r>
        <w:rPr>
          <w:rFonts w:hint="eastAsia" w:ascii="宋体" w:hAnsi="宋体" w:cs="宋体"/>
          <w:sz w:val="24"/>
          <w:szCs w:val="24"/>
        </w:rPr>
        <w:t>九幼、十幼设备</w:t>
      </w:r>
      <w:r>
        <w:rPr>
          <w:rFonts w:hint="eastAsia" w:ascii="宋体" w:hAnsi="宋体" w:cs="宋体"/>
          <w:sz w:val="24"/>
          <w:szCs w:val="24"/>
          <w:lang w:eastAsia="zh-CN"/>
        </w:rPr>
        <w:t>采购</w:t>
      </w:r>
      <w:r>
        <w:rPr>
          <w:rFonts w:hint="eastAsia" w:ascii="宋体" w:hAnsi="宋体" w:cs="宋体"/>
          <w:sz w:val="24"/>
          <w:szCs w:val="24"/>
        </w:rPr>
        <w:t>)特定资格要求如下:</w:t>
      </w:r>
    </w:p>
    <w:p>
      <w:pPr>
        <w:numPr>
          <w:ilvl w:val="0"/>
          <w:numId w:val="3"/>
        </w:numPr>
        <w:spacing w:line="360" w:lineRule="auto"/>
        <w:rPr>
          <w:rFonts w:hint="eastAsia" w:ascii="宋体" w:hAnsi="宋体" w:eastAsia="宋体" w:cs="宋体"/>
          <w:sz w:val="24"/>
          <w:szCs w:val="24"/>
        </w:rPr>
      </w:pPr>
      <w:r>
        <w:rPr>
          <w:rFonts w:hint="eastAsia" w:ascii="宋体" w:hAnsi="宋体" w:cs="宋体"/>
          <w:sz w:val="24"/>
          <w:szCs w:val="24"/>
        </w:rPr>
        <w:t>具有独立承担民事责任能力的法人、其他组织或自然人，提供合法有效的统一社会信用代码营业执照（事业单位提供事业单位法人证书，自然人应提供身份证）；</w:t>
      </w:r>
      <w:r>
        <w:rPr>
          <w:rFonts w:hint="eastAsia" w:ascii="宋体" w:hAnsi="宋体" w:cs="宋体"/>
          <w:sz w:val="24"/>
          <w:szCs w:val="24"/>
        </w:rPr>
        <w:br w:type="textWrapping"/>
      </w:r>
      <w:r>
        <w:rPr>
          <w:rFonts w:hint="eastAsia" w:ascii="宋体" w:hAnsi="宋体" w:cs="宋体"/>
          <w:sz w:val="24"/>
          <w:szCs w:val="24"/>
        </w:rPr>
        <w:t>（2）财务状况证明：供应商提供2021年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r>
        <w:rPr>
          <w:rFonts w:hint="eastAsia" w:ascii="宋体" w:hAnsi="宋体" w:cs="宋体"/>
          <w:sz w:val="24"/>
          <w:szCs w:val="24"/>
        </w:rPr>
        <w:br w:type="textWrapping"/>
      </w:r>
      <w:r>
        <w:rPr>
          <w:rFonts w:hint="eastAsia" w:ascii="宋体" w:hAnsi="宋体" w:cs="宋体"/>
          <w:sz w:val="24"/>
          <w:szCs w:val="24"/>
        </w:rPr>
        <w:t>（3）具有履行合同所必需的设备和专业技术能力的书面声明；</w:t>
      </w:r>
      <w:r>
        <w:rPr>
          <w:rFonts w:hint="eastAsia" w:ascii="宋体" w:hAnsi="宋体" w:cs="宋体"/>
          <w:sz w:val="24"/>
          <w:szCs w:val="24"/>
        </w:rPr>
        <w:br w:type="textWrapping"/>
      </w:r>
      <w:r>
        <w:rPr>
          <w:rFonts w:hint="eastAsia" w:ascii="宋体" w:hAnsi="宋体" w:cs="宋体"/>
          <w:sz w:val="24"/>
          <w:szCs w:val="24"/>
        </w:rPr>
        <w:t>（4）税收缴纳证明：提供202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月以来至少一个月的纳税证明或完税证明，依法免税的单位应提供相关证明材料； </w:t>
      </w:r>
      <w:r>
        <w:rPr>
          <w:rFonts w:hint="eastAsia" w:ascii="宋体" w:hAnsi="宋体" w:cs="宋体"/>
          <w:sz w:val="24"/>
          <w:szCs w:val="24"/>
        </w:rPr>
        <w:br w:type="textWrapping"/>
      </w:r>
      <w:r>
        <w:rPr>
          <w:rFonts w:hint="eastAsia" w:ascii="宋体" w:hAnsi="宋体" w:cs="宋体"/>
          <w:sz w:val="24"/>
          <w:szCs w:val="24"/>
        </w:rPr>
        <w:t>（5）社会保障资金缴纳证明：提供202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r>
        <w:rPr>
          <w:rFonts w:hint="eastAsia" w:ascii="宋体" w:hAnsi="宋体" w:cs="宋体"/>
          <w:sz w:val="24"/>
          <w:szCs w:val="24"/>
        </w:rPr>
        <w:br w:type="textWrapping"/>
      </w:r>
      <w:r>
        <w:rPr>
          <w:rFonts w:hint="eastAsia" w:ascii="宋体" w:hAnsi="宋体" w:cs="宋体"/>
          <w:sz w:val="24"/>
          <w:szCs w:val="24"/>
        </w:rPr>
        <w:t>（6）参加政府采购活动前3年内在经营活动中没有重大违法记录的书面声明；</w:t>
      </w:r>
      <w:r>
        <w:rPr>
          <w:rFonts w:hint="eastAsia" w:ascii="宋体" w:hAnsi="宋体" w:cs="宋体"/>
          <w:sz w:val="24"/>
          <w:szCs w:val="24"/>
        </w:rPr>
        <w:br w:type="textWrapping"/>
      </w:r>
      <w:r>
        <w:rPr>
          <w:rFonts w:hint="eastAsia" w:ascii="宋体" w:hAnsi="宋体" w:cs="宋体"/>
          <w:sz w:val="24"/>
          <w:szCs w:val="24"/>
        </w:rPr>
        <w:t>（7）非法定代表人参加投标的，须提供法定代表人委托授权书及被授权人身份证，</w:t>
      </w:r>
      <w:r>
        <w:rPr>
          <w:rFonts w:hint="eastAsia" w:ascii="宋体" w:hAnsi="宋体" w:eastAsia="宋体" w:cs="宋体"/>
          <w:sz w:val="24"/>
          <w:szCs w:val="24"/>
        </w:rPr>
        <w:t>法定代表人参加投标时,只需提供法定代表人身份证； </w:t>
      </w:r>
    </w:p>
    <w:p>
      <w:pPr>
        <w:numPr>
          <w:ilvl w:val="0"/>
          <w:numId w:val="0"/>
        </w:num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本项目不接受联合体投标。</w:t>
      </w:r>
    </w:p>
    <w:p>
      <w:pPr>
        <w:spacing w:line="360" w:lineRule="auto"/>
        <w:ind w:firstLine="480" w:firstLineChars="200"/>
        <w:rPr>
          <w:rFonts w:ascii="宋体" w:hAnsi="宋体" w:cs="宋体"/>
          <w:sz w:val="24"/>
          <w:szCs w:val="24"/>
        </w:rPr>
      </w:pPr>
      <w:r>
        <w:rPr>
          <w:rFonts w:hint="eastAsia" w:ascii="宋体" w:hAnsi="宋体" w:cs="宋体"/>
          <w:sz w:val="24"/>
          <w:szCs w:val="24"/>
        </w:rPr>
        <w:t>合同包</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highlight w:val="none"/>
          <w:lang w:eastAsia="zh-CN"/>
        </w:rPr>
        <w:t>智慧黑板等设备采购</w:t>
      </w:r>
      <w:r>
        <w:rPr>
          <w:rFonts w:hint="eastAsia" w:ascii="宋体" w:hAnsi="宋体" w:cs="宋体"/>
          <w:sz w:val="24"/>
          <w:szCs w:val="24"/>
        </w:rPr>
        <w:t>)特定资格要求如下:</w:t>
      </w:r>
    </w:p>
    <w:p>
      <w:pPr>
        <w:numPr>
          <w:ilvl w:val="0"/>
          <w:numId w:val="4"/>
        </w:numPr>
        <w:spacing w:line="360" w:lineRule="auto"/>
        <w:rPr>
          <w:rFonts w:hint="eastAsia" w:ascii="宋体" w:hAnsi="宋体" w:cs="宋体"/>
          <w:sz w:val="24"/>
          <w:szCs w:val="24"/>
        </w:rPr>
      </w:pPr>
      <w:r>
        <w:rPr>
          <w:rFonts w:hint="eastAsia" w:ascii="宋体" w:hAnsi="宋体" w:cs="宋体"/>
          <w:sz w:val="24"/>
          <w:szCs w:val="24"/>
        </w:rPr>
        <w:t>具有独立承担民事责任能力的法人、其他组织或自然人，提供合法有效的统一社会信用代码营业执照（事业单位提供事业单位法人证书，自然人应提供身份证）；</w:t>
      </w:r>
      <w:r>
        <w:rPr>
          <w:rFonts w:hint="eastAsia" w:ascii="宋体" w:hAnsi="宋体" w:cs="宋体"/>
          <w:sz w:val="24"/>
          <w:szCs w:val="24"/>
        </w:rPr>
        <w:br w:type="textWrapping"/>
      </w:r>
      <w:r>
        <w:rPr>
          <w:rFonts w:hint="eastAsia" w:ascii="宋体" w:hAnsi="宋体" w:cs="宋体"/>
          <w:sz w:val="24"/>
          <w:szCs w:val="24"/>
        </w:rPr>
        <w:t>（2）财务状况证明：供应商提供2021年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r>
        <w:rPr>
          <w:rFonts w:hint="eastAsia" w:ascii="宋体" w:hAnsi="宋体" w:cs="宋体"/>
          <w:sz w:val="24"/>
          <w:szCs w:val="24"/>
        </w:rPr>
        <w:br w:type="textWrapping"/>
      </w:r>
      <w:r>
        <w:rPr>
          <w:rFonts w:hint="eastAsia" w:ascii="宋体" w:hAnsi="宋体" w:cs="宋体"/>
          <w:sz w:val="24"/>
          <w:szCs w:val="24"/>
        </w:rPr>
        <w:t>（3）具有履行合同所必需的设备和专业技术能力的书面声明；</w:t>
      </w:r>
      <w:r>
        <w:rPr>
          <w:rFonts w:hint="eastAsia" w:ascii="宋体" w:hAnsi="宋体" w:cs="宋体"/>
          <w:sz w:val="24"/>
          <w:szCs w:val="24"/>
        </w:rPr>
        <w:br w:type="textWrapping"/>
      </w:r>
      <w:r>
        <w:rPr>
          <w:rFonts w:hint="eastAsia" w:ascii="宋体" w:hAnsi="宋体" w:cs="宋体"/>
          <w:sz w:val="24"/>
          <w:szCs w:val="24"/>
        </w:rPr>
        <w:t>（4）税收缴纳证明：提供202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月以来至少一个月的纳税证明或完税证明，依法免税的单位应提供相关证明材料； </w:t>
      </w:r>
      <w:r>
        <w:rPr>
          <w:rFonts w:hint="eastAsia" w:ascii="宋体" w:hAnsi="宋体" w:cs="宋体"/>
          <w:sz w:val="24"/>
          <w:szCs w:val="24"/>
        </w:rPr>
        <w:br w:type="textWrapping"/>
      </w:r>
      <w:r>
        <w:rPr>
          <w:rFonts w:hint="eastAsia" w:ascii="宋体" w:hAnsi="宋体" w:cs="宋体"/>
          <w:sz w:val="24"/>
          <w:szCs w:val="24"/>
        </w:rPr>
        <w:t>（5）社会保障资金缴纳证明：提供202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r>
        <w:rPr>
          <w:rFonts w:hint="eastAsia" w:ascii="宋体" w:hAnsi="宋体" w:cs="宋体"/>
          <w:sz w:val="24"/>
          <w:szCs w:val="24"/>
        </w:rPr>
        <w:br w:type="textWrapping"/>
      </w:r>
      <w:r>
        <w:rPr>
          <w:rFonts w:hint="eastAsia" w:ascii="宋体" w:hAnsi="宋体" w:cs="宋体"/>
          <w:sz w:val="24"/>
          <w:szCs w:val="24"/>
        </w:rPr>
        <w:t>（6）参加政府采购活动前3年内在经营活动中没有重大违法记录的书面声明；</w:t>
      </w:r>
      <w:r>
        <w:rPr>
          <w:rFonts w:hint="eastAsia" w:ascii="宋体" w:hAnsi="宋体" w:cs="宋体"/>
          <w:sz w:val="24"/>
          <w:szCs w:val="24"/>
        </w:rPr>
        <w:br w:type="textWrapping"/>
      </w:r>
      <w:r>
        <w:rPr>
          <w:rFonts w:hint="eastAsia" w:ascii="宋体" w:hAnsi="宋体" w:cs="宋体"/>
          <w:sz w:val="24"/>
          <w:szCs w:val="24"/>
        </w:rPr>
        <w:t>（7）非法定代表人参加投标的，须提供法定代表人委托授权书及被授权人身份证，法定代表人参加投标时,只需提供法定代表人身份证；</w:t>
      </w:r>
    </w:p>
    <w:p>
      <w:pPr>
        <w:numPr>
          <w:ilvl w:val="0"/>
          <w:numId w:val="0"/>
        </w:numPr>
        <w:spacing w:line="360" w:lineRule="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）本项目不接受联合体投标。</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三、获取招标文件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时间：2022年</w:t>
      </w:r>
      <w:r>
        <w:rPr>
          <w:rFonts w:hint="eastAsia" w:ascii="宋体" w:hAnsi="宋体" w:cs="宋体"/>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日至2022年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日，每天上午09:00:00至12:00:00，下午13:30:00至17:00:00（北京时间,法定节假日除外）</w:t>
      </w:r>
    </w:p>
    <w:p>
      <w:pPr>
        <w:spacing w:line="360" w:lineRule="auto"/>
        <w:ind w:firstLine="480" w:firstLineChars="200"/>
        <w:rPr>
          <w:rFonts w:ascii="宋体" w:hAnsi="宋体" w:cs="宋体"/>
          <w:sz w:val="24"/>
          <w:szCs w:val="24"/>
        </w:rPr>
      </w:pPr>
      <w:r>
        <w:rPr>
          <w:rFonts w:hint="eastAsia" w:ascii="宋体" w:hAnsi="宋体" w:cs="宋体"/>
          <w:sz w:val="24"/>
          <w:szCs w:val="24"/>
        </w:rPr>
        <w:t>地点：西安市雁塔区科技路10号华奥大厦A座20层2002室</w:t>
      </w:r>
    </w:p>
    <w:p>
      <w:pPr>
        <w:spacing w:line="360" w:lineRule="auto"/>
        <w:ind w:firstLine="480" w:firstLineChars="200"/>
        <w:rPr>
          <w:rFonts w:ascii="宋体" w:hAnsi="宋体" w:cs="宋体"/>
          <w:sz w:val="24"/>
          <w:szCs w:val="24"/>
        </w:rPr>
      </w:pPr>
      <w:r>
        <w:rPr>
          <w:rFonts w:hint="eastAsia" w:ascii="宋体" w:hAnsi="宋体" w:cs="宋体"/>
          <w:sz w:val="24"/>
          <w:szCs w:val="24"/>
        </w:rPr>
        <w:t>方式：现场获取</w:t>
      </w:r>
    </w:p>
    <w:p>
      <w:pPr>
        <w:spacing w:line="360" w:lineRule="auto"/>
        <w:ind w:firstLine="480" w:firstLineChars="200"/>
        <w:rPr>
          <w:rFonts w:ascii="宋体" w:hAnsi="宋体" w:cs="宋体"/>
          <w:sz w:val="24"/>
          <w:szCs w:val="24"/>
        </w:rPr>
      </w:pPr>
      <w:r>
        <w:rPr>
          <w:rFonts w:hint="eastAsia" w:ascii="宋体" w:hAnsi="宋体" w:cs="宋体"/>
          <w:sz w:val="24"/>
          <w:szCs w:val="24"/>
        </w:rPr>
        <w:t>售价：免费赠送</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四、提交投标文件截止时间、开标时间和地点</w:t>
      </w:r>
    </w:p>
    <w:p>
      <w:pPr>
        <w:spacing w:line="360" w:lineRule="auto"/>
        <w:ind w:firstLine="480" w:firstLineChars="200"/>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28</w:t>
      </w:r>
      <w:r>
        <w:rPr>
          <w:rFonts w:hint="eastAsia" w:ascii="宋体" w:hAnsi="宋体" w:cs="宋体"/>
          <w:sz w:val="24"/>
          <w:szCs w:val="24"/>
        </w:rPr>
        <w:t xml:space="preserve">日 </w:t>
      </w:r>
      <w:r>
        <w:rPr>
          <w:rFonts w:hint="eastAsia" w:ascii="宋体" w:hAnsi="宋体" w:cs="宋体"/>
          <w:sz w:val="24"/>
          <w:szCs w:val="24"/>
          <w:lang w:val="en-US" w:eastAsia="zh-CN"/>
        </w:rPr>
        <w:t>14</w:t>
      </w:r>
      <w:r>
        <w:rPr>
          <w:rFonts w:hint="eastAsia" w:ascii="宋体" w:hAnsi="宋体" w:cs="宋体"/>
          <w:sz w:val="24"/>
          <w:szCs w:val="24"/>
        </w:rPr>
        <w:t>时</w:t>
      </w:r>
      <w:r>
        <w:rPr>
          <w:rFonts w:hint="eastAsia" w:ascii="宋体" w:hAnsi="宋体" w:cs="宋体"/>
          <w:sz w:val="24"/>
          <w:szCs w:val="24"/>
          <w:lang w:val="en-US" w:eastAsia="zh-CN"/>
        </w:rPr>
        <w:t>00</w:t>
      </w:r>
      <w:r>
        <w:rPr>
          <w:rFonts w:hint="eastAsia" w:ascii="宋体" w:hAnsi="宋体" w:cs="宋体"/>
          <w:sz w:val="24"/>
          <w:szCs w:val="24"/>
        </w:rPr>
        <w:t>分00秒 （北京时间）</w:t>
      </w:r>
    </w:p>
    <w:p>
      <w:pPr>
        <w:spacing w:line="360" w:lineRule="auto"/>
        <w:ind w:firstLine="480" w:firstLineChars="200"/>
        <w:rPr>
          <w:rFonts w:ascii="宋体" w:hAnsi="宋体" w:cs="宋体"/>
          <w:sz w:val="24"/>
          <w:szCs w:val="24"/>
        </w:rPr>
      </w:pPr>
      <w:r>
        <w:rPr>
          <w:rFonts w:hint="eastAsia" w:ascii="宋体" w:hAnsi="宋体" w:cs="宋体"/>
          <w:sz w:val="24"/>
          <w:szCs w:val="24"/>
        </w:rPr>
        <w:t>提交投标文件地点：西安市雁塔区科技路10号华奥大厦A座20层2002室开标室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开标地点：西安市雁塔区科技路10号华奥大厦A座20层2002室开标室</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五、公告期限</w:t>
      </w:r>
    </w:p>
    <w:p>
      <w:pPr>
        <w:spacing w:line="360" w:lineRule="auto"/>
        <w:ind w:firstLine="480" w:firstLineChars="200"/>
        <w:rPr>
          <w:rFonts w:ascii="宋体" w:hAnsi="宋体" w:cs="宋体"/>
          <w:sz w:val="24"/>
          <w:szCs w:val="24"/>
        </w:rPr>
      </w:pPr>
      <w:r>
        <w:rPr>
          <w:rFonts w:hint="eastAsia" w:ascii="宋体" w:hAnsi="宋体" w:cs="宋体"/>
          <w:sz w:val="24"/>
          <w:szCs w:val="24"/>
        </w:rPr>
        <w:t>自本公告发布之日起5个工作日。</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六、其他补充事宜</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现场</w:t>
      </w:r>
      <w:r>
        <w:rPr>
          <w:rFonts w:hint="eastAsia" w:ascii="宋体" w:hAnsi="宋体" w:cs="宋体"/>
          <w:sz w:val="24"/>
          <w:szCs w:val="24"/>
        </w:rPr>
        <w:t>获取招标文件时请携带单位介绍信原件、身份证原件及复印件加盖公章，谢绝邮递。（2）在采购文件获取时间内通过电子邮箱发送电子版报名资料的方式获取采购文件，供应商出具的对领取人的授权委托书或介绍信以及领取人的身份证，加盖公章后以扫描件形式发送至shanxizhuoming_zb@163.com邮箱，（邮件标题命名格式为“供应商名称+联系人+联系电话+项目名称”），招标文件将通过邮箱发送，无须现场领取。（3）请供应商按照陕西省财政厅关于政府采购供应商注册登记有关事项的通知中的要求，通过陕西省政府采购网（http://www.ccgp-shaanxi.gov.cn/）注册登记加入陕西省政府采购供应商库。</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七、对本次招标提出询问，请按以下方式联系。</w:t>
      </w:r>
    </w:p>
    <w:p>
      <w:pPr>
        <w:spacing w:line="360" w:lineRule="auto"/>
        <w:ind w:firstLine="480" w:firstLineChars="200"/>
        <w:rPr>
          <w:rFonts w:ascii="宋体" w:hAnsi="宋体" w:cs="宋体"/>
          <w:sz w:val="24"/>
          <w:szCs w:val="24"/>
        </w:rPr>
      </w:pPr>
      <w:r>
        <w:rPr>
          <w:rFonts w:hint="eastAsia" w:ascii="宋体" w:hAnsi="宋体" w:cs="宋体"/>
          <w:sz w:val="24"/>
          <w:szCs w:val="24"/>
        </w:rPr>
        <w:t>1.釆购人信息</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名称：西安市灞桥区教育局（本级）</w:t>
      </w:r>
    </w:p>
    <w:p>
      <w:pPr>
        <w:spacing w:line="360" w:lineRule="auto"/>
        <w:ind w:firstLine="480" w:firstLineChars="200"/>
        <w:rPr>
          <w:rFonts w:ascii="宋体" w:hAnsi="宋体" w:cs="宋体"/>
          <w:sz w:val="24"/>
          <w:szCs w:val="24"/>
        </w:rPr>
      </w:pPr>
      <w:r>
        <w:rPr>
          <w:rFonts w:hint="eastAsia" w:ascii="宋体" w:hAnsi="宋体" w:cs="宋体"/>
          <w:sz w:val="24"/>
          <w:szCs w:val="24"/>
        </w:rPr>
        <w:t>地址：西安市区灞桥区纺东街419号</w:t>
      </w:r>
    </w:p>
    <w:p>
      <w:pPr>
        <w:spacing w:line="360" w:lineRule="auto"/>
        <w:ind w:firstLine="480" w:firstLineChars="200"/>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eastAsia="zh-CN"/>
        </w:rPr>
        <w:t>吕老师</w:t>
      </w:r>
      <w:r>
        <w:rPr>
          <w:rFonts w:hint="eastAsia" w:ascii="宋体" w:hAnsi="宋体" w:cs="宋体"/>
          <w:sz w:val="24"/>
          <w:szCs w:val="24"/>
          <w:lang w:val="en-US" w:eastAsia="zh-CN"/>
        </w:rPr>
        <w:t xml:space="preserve">  </w:t>
      </w:r>
      <w:r>
        <w:rPr>
          <w:rFonts w:hint="eastAsia" w:ascii="宋体" w:hAnsi="宋体" w:cs="宋体"/>
          <w:sz w:val="24"/>
          <w:szCs w:val="24"/>
        </w:rPr>
        <w:t xml:space="preserve">029-83552661        </w:t>
      </w:r>
    </w:p>
    <w:p>
      <w:pPr>
        <w:spacing w:line="360" w:lineRule="auto"/>
        <w:ind w:firstLine="480" w:firstLineChars="200"/>
        <w:rPr>
          <w:rFonts w:ascii="宋体" w:hAnsi="宋体" w:cs="宋体"/>
          <w:sz w:val="24"/>
          <w:szCs w:val="24"/>
        </w:rPr>
      </w:pPr>
      <w:r>
        <w:rPr>
          <w:rFonts w:hint="eastAsia" w:ascii="宋体" w:hAnsi="宋体" w:cs="宋体"/>
          <w:sz w:val="24"/>
          <w:szCs w:val="24"/>
        </w:rPr>
        <w:t>2.釆购代理机构信息</w:t>
      </w:r>
    </w:p>
    <w:p>
      <w:pPr>
        <w:spacing w:line="360" w:lineRule="auto"/>
        <w:ind w:firstLine="480" w:firstLineChars="200"/>
        <w:rPr>
          <w:rFonts w:ascii="宋体" w:hAnsi="宋体" w:cs="宋体"/>
          <w:sz w:val="24"/>
          <w:szCs w:val="24"/>
        </w:rPr>
      </w:pPr>
      <w:r>
        <w:rPr>
          <w:rFonts w:hint="eastAsia" w:ascii="宋体" w:hAnsi="宋体" w:cs="宋体"/>
          <w:sz w:val="24"/>
          <w:szCs w:val="24"/>
        </w:rPr>
        <w:t>名称：陕西卓佲项目管理有限公司</w:t>
      </w:r>
    </w:p>
    <w:p>
      <w:pPr>
        <w:spacing w:line="360" w:lineRule="auto"/>
        <w:ind w:firstLine="480" w:firstLineChars="200"/>
        <w:rPr>
          <w:rFonts w:ascii="宋体" w:hAnsi="宋体" w:cs="宋体"/>
          <w:sz w:val="24"/>
          <w:szCs w:val="24"/>
        </w:rPr>
      </w:pPr>
      <w:r>
        <w:rPr>
          <w:rFonts w:hint="eastAsia" w:ascii="宋体" w:hAnsi="宋体" w:cs="宋体"/>
          <w:sz w:val="24"/>
          <w:szCs w:val="24"/>
        </w:rPr>
        <w:t>地址：西安市雁塔区科技路10号华奥大厦A座20层2002室</w:t>
      </w:r>
    </w:p>
    <w:p>
      <w:pPr>
        <w:spacing w:line="360" w:lineRule="auto"/>
        <w:ind w:firstLine="480" w:firstLineChars="200"/>
        <w:rPr>
          <w:rFonts w:ascii="宋体" w:hAnsi="宋体" w:cs="宋体"/>
          <w:sz w:val="24"/>
          <w:szCs w:val="24"/>
        </w:rPr>
      </w:pPr>
      <w:r>
        <w:rPr>
          <w:rFonts w:hint="eastAsia" w:ascii="宋体" w:hAnsi="宋体" w:cs="宋体"/>
          <w:sz w:val="24"/>
          <w:szCs w:val="24"/>
        </w:rPr>
        <w:t>联系方式：029-88440695</w:t>
      </w:r>
    </w:p>
    <w:p>
      <w:pPr>
        <w:spacing w:line="360" w:lineRule="auto"/>
        <w:ind w:firstLine="480" w:firstLineChars="200"/>
        <w:rPr>
          <w:rFonts w:ascii="宋体" w:hAnsi="宋体" w:cs="宋体"/>
          <w:sz w:val="24"/>
          <w:szCs w:val="24"/>
        </w:rPr>
      </w:pPr>
      <w:r>
        <w:rPr>
          <w:rFonts w:hint="eastAsia" w:ascii="宋体" w:hAnsi="宋体" w:cs="宋体"/>
          <w:sz w:val="24"/>
          <w:szCs w:val="24"/>
        </w:rPr>
        <w:t>3.项目联系方式</w:t>
      </w:r>
    </w:p>
    <w:p>
      <w:pPr>
        <w:spacing w:line="360" w:lineRule="auto"/>
        <w:ind w:firstLine="480" w:firstLineChars="200"/>
        <w:rPr>
          <w:rFonts w:ascii="宋体" w:hAnsi="宋体" w:cs="宋体"/>
          <w:sz w:val="24"/>
          <w:szCs w:val="24"/>
        </w:rPr>
      </w:pPr>
      <w:r>
        <w:rPr>
          <w:rFonts w:hint="eastAsia" w:ascii="宋体" w:hAnsi="宋体" w:cs="宋体"/>
          <w:sz w:val="24"/>
          <w:szCs w:val="24"/>
        </w:rPr>
        <w:t>项目联系人：魏萌</w:t>
      </w:r>
      <w:r>
        <w:rPr>
          <w:rFonts w:hint="eastAsia" w:ascii="宋体" w:hAnsi="宋体" w:cs="宋体"/>
          <w:sz w:val="24"/>
          <w:szCs w:val="24"/>
          <w:lang w:val="en-US" w:eastAsia="zh-CN"/>
        </w:rPr>
        <w:t xml:space="preserve">  </w:t>
      </w:r>
      <w:r>
        <w:rPr>
          <w:rFonts w:hint="eastAsia" w:ascii="宋体" w:hAnsi="宋体" w:cs="宋体"/>
          <w:sz w:val="24"/>
          <w:szCs w:val="24"/>
          <w:lang w:eastAsia="zh-CN"/>
        </w:rPr>
        <w:t>杜华龙</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电话：029-88440695</w:t>
      </w:r>
    </w:p>
    <w:p>
      <w:pPr>
        <w:spacing w:line="360" w:lineRule="auto"/>
        <w:ind w:firstLine="480" w:firstLineChars="200"/>
        <w:jc w:val="right"/>
        <w:rPr>
          <w:rFonts w:ascii="宋体" w:hAnsi="宋体" w:cs="宋体"/>
          <w:sz w:val="24"/>
          <w:szCs w:val="24"/>
        </w:rPr>
      </w:pPr>
      <w:r>
        <w:rPr>
          <w:rFonts w:hint="eastAsia" w:ascii="宋体" w:hAnsi="宋体" w:cs="宋体"/>
          <w:sz w:val="24"/>
          <w:szCs w:val="24"/>
        </w:rPr>
        <w:t>陕西卓佲项目管理有限公司</w:t>
      </w:r>
    </w:p>
    <w:p>
      <w:pPr>
        <w:spacing w:line="360" w:lineRule="auto"/>
        <w:ind w:firstLine="480" w:firstLineChars="200"/>
        <w:jc w:val="right"/>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w:t>
      </w:r>
    </w:p>
    <w:p/>
    <w:p>
      <w:pPr>
        <w:pStyle w:val="3"/>
        <w:keepLines w:val="0"/>
        <w:ind w:firstLine="562" w:firstLineChars="175"/>
        <w:rPr>
          <w:rFonts w:ascii="宋体" w:hAnsi="宋体" w:cs="宋体"/>
        </w:rPr>
        <w:sectPr>
          <w:footerReference r:id="rId7" w:type="default"/>
          <w:pgSz w:w="11906" w:h="16838"/>
          <w:pgMar w:top="1440" w:right="1486" w:bottom="1440" w:left="1800" w:header="851" w:footer="992" w:gutter="0"/>
          <w:pgNumType w:fmt="decimal" w:start="1"/>
          <w:cols w:space="720" w:num="1"/>
          <w:docGrid w:type="lines" w:linePitch="312" w:charSpace="0"/>
        </w:sectPr>
      </w:pPr>
    </w:p>
    <w:p>
      <w:pPr>
        <w:pStyle w:val="3"/>
        <w:spacing w:before="312" w:beforeLines="100" w:after="156" w:afterLines="50" w:line="600" w:lineRule="exact"/>
        <w:rPr>
          <w:rFonts w:ascii="宋体" w:hAnsi="宋体" w:cs="宋体"/>
          <w:sz w:val="36"/>
          <w:szCs w:val="36"/>
        </w:rPr>
      </w:pPr>
      <w:bookmarkStart w:id="3" w:name="_Toc30089"/>
      <w:bookmarkStart w:id="4" w:name="_Toc438048787"/>
      <w:bookmarkStart w:id="5" w:name="_Toc29492"/>
      <w:r>
        <w:rPr>
          <w:rFonts w:hint="eastAsia" w:ascii="宋体" w:hAnsi="宋体" w:cs="宋体"/>
          <w:sz w:val="36"/>
          <w:szCs w:val="36"/>
        </w:rPr>
        <w:t>第二部分  供应商须知前附表</w:t>
      </w:r>
      <w:bookmarkEnd w:id="3"/>
      <w:bookmarkEnd w:id="4"/>
      <w:bookmarkEnd w:id="5"/>
    </w:p>
    <w:tbl>
      <w:tblPr>
        <w:tblStyle w:val="30"/>
        <w:tblpPr w:leftFromText="180" w:rightFromText="180" w:vertAnchor="text" w:horzAnchor="page" w:tblpX="1509" w:tblpY="309"/>
        <w:tblOverlap w:val="never"/>
        <w:tblW w:w="92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5"/>
        <w:gridCol w:w="1494"/>
        <w:gridCol w:w="72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序号</w:t>
            </w:r>
          </w:p>
        </w:tc>
        <w:tc>
          <w:tcPr>
            <w:tcW w:w="1494"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内容</w:t>
            </w:r>
          </w:p>
        </w:tc>
        <w:tc>
          <w:tcPr>
            <w:tcW w:w="7219"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1</w:t>
            </w:r>
          </w:p>
        </w:tc>
        <w:tc>
          <w:tcPr>
            <w:tcW w:w="1494" w:type="dxa"/>
            <w:vAlign w:val="center"/>
          </w:tcPr>
          <w:p>
            <w:pPr>
              <w:spacing w:line="360" w:lineRule="auto"/>
              <w:rPr>
                <w:rFonts w:ascii="宋体" w:hAnsi="宋体" w:cs="宋体"/>
                <w:sz w:val="24"/>
                <w:szCs w:val="24"/>
              </w:rPr>
            </w:pPr>
            <w:r>
              <w:rPr>
                <w:rFonts w:hint="eastAsia" w:ascii="宋体" w:hAnsi="宋体" w:cs="宋体"/>
                <w:sz w:val="24"/>
                <w:szCs w:val="24"/>
              </w:rPr>
              <w:t>资格要求</w:t>
            </w:r>
          </w:p>
        </w:tc>
        <w:tc>
          <w:tcPr>
            <w:tcW w:w="7219" w:type="dxa"/>
          </w:tcPr>
          <w:p>
            <w:pPr>
              <w:numPr>
                <w:ilvl w:val="0"/>
                <w:numId w:val="5"/>
              </w:numPr>
              <w:spacing w:line="360" w:lineRule="auto"/>
              <w:rPr>
                <w:rFonts w:ascii="宋体" w:hAnsi="宋体" w:cs="宋体"/>
                <w:sz w:val="24"/>
                <w:szCs w:val="24"/>
              </w:rPr>
            </w:pPr>
            <w:r>
              <w:rPr>
                <w:rFonts w:hint="eastAsia" w:ascii="宋体" w:hAnsi="宋体" w:cs="宋体"/>
                <w:sz w:val="24"/>
                <w:szCs w:val="24"/>
              </w:rPr>
              <w:t>基本资格条件：满足《中华人民共和国政府采购法》第二十二条规定。</w:t>
            </w:r>
          </w:p>
          <w:p>
            <w:pPr>
              <w:numPr>
                <w:ilvl w:val="0"/>
                <w:numId w:val="5"/>
              </w:numPr>
              <w:spacing w:line="360" w:lineRule="auto"/>
              <w:rPr>
                <w:rFonts w:ascii="宋体" w:hAnsi="宋体" w:cs="宋体"/>
                <w:sz w:val="24"/>
                <w:szCs w:val="24"/>
              </w:rPr>
            </w:pPr>
            <w:r>
              <w:rPr>
                <w:rFonts w:hint="eastAsia" w:ascii="宋体" w:hAnsi="宋体" w:cs="宋体"/>
                <w:sz w:val="24"/>
                <w:szCs w:val="24"/>
              </w:rPr>
              <w:t>特定资格条件：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（1）具有独立承担民事责任能力的法人、其他组织或自然人，提供合法有效的统一社会信用代码营业执照（事业单位提供事业单位法人证书，自然人应提供身份证）；</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（2）财务状况证明：</w:t>
            </w:r>
            <w:r>
              <w:rPr>
                <w:rFonts w:hint="eastAsia" w:ascii="宋体" w:hAnsi="宋体" w:cs="宋体"/>
                <w:sz w:val="24"/>
                <w:highlight w:val="none"/>
              </w:rPr>
              <w:t>供应商提供2021年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（3）具有履行合同所必需的设备和专业技术能力的书面声明；</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（4）税收缴纳证明：提供202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月以来至少一个月的纳税证明或完税证明，依法免税的单位应提供相关证明材料；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（5）社会保障资金缴纳证明：提供202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月以来至少一个月的社会保障资金缴存单据或社保机构开具的社会保险参保缴费情况证明。依法不需要缴纳社会保障资金的供应商应提供相关文件证明；</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（6）参加政府采购活动前3年内在经营活动中没有重大违法记录的书面声明；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（7）非法定代表人参加投标的，须提供法定代表人委托授权书及被授权人身份证，法定代表人参加投标时,</w:t>
            </w:r>
            <w:r>
              <w:rPr>
                <w:rFonts w:hint="eastAsia" w:ascii="宋体" w:hAnsi="宋体" w:eastAsia="宋体" w:cs="宋体"/>
                <w:sz w:val="24"/>
                <w:szCs w:val="24"/>
                <w:highlight w:val="none"/>
                <w:lang w:eastAsia="zh-CN"/>
              </w:rPr>
              <w:t>只需</w:t>
            </w:r>
            <w:r>
              <w:rPr>
                <w:rFonts w:hint="eastAsia" w:ascii="宋体" w:hAnsi="宋体" w:eastAsia="宋体" w:cs="宋体"/>
                <w:sz w:val="24"/>
                <w:szCs w:val="24"/>
                <w:highlight w:val="none"/>
              </w:rPr>
              <w:t xml:space="preserve">提供法定代表人身份证；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）本项目不接受联合体投标。</w:t>
            </w:r>
          </w:p>
          <w:p>
            <w:pPr>
              <w:spacing w:line="360" w:lineRule="auto"/>
              <w:ind w:firstLine="422" w:firstLineChars="175"/>
              <w:jc w:val="left"/>
              <w:rPr>
                <w:rFonts w:ascii="宋体" w:hAnsi="宋体" w:cs="宋体"/>
                <w:sz w:val="24"/>
                <w:szCs w:val="24"/>
              </w:rPr>
            </w:pPr>
            <w:r>
              <w:rPr>
                <w:rFonts w:hint="eastAsia" w:ascii="宋体" w:hAnsi="宋体" w:cs="宋体"/>
                <w:b/>
                <w:bCs/>
                <w:sz w:val="24"/>
                <w:szCs w:val="24"/>
              </w:rPr>
              <w:t>以上项为资格审查必备资质。投标文件的正本和全部副本必须附上述资格证明文件，缺少其中一项或某项达不到公开招标要求，其投标文件按无效文件处理。（开标现场携带相关原件及供应商代表身份证备查）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2</w:t>
            </w:r>
          </w:p>
        </w:tc>
        <w:tc>
          <w:tcPr>
            <w:tcW w:w="1494" w:type="dxa"/>
            <w:vAlign w:val="center"/>
          </w:tcPr>
          <w:p>
            <w:pPr>
              <w:spacing w:line="360" w:lineRule="auto"/>
              <w:rPr>
                <w:rFonts w:ascii="宋体" w:hAnsi="宋体" w:cs="宋体"/>
                <w:sz w:val="24"/>
                <w:szCs w:val="24"/>
              </w:rPr>
            </w:pPr>
            <w:r>
              <w:rPr>
                <w:rFonts w:hint="eastAsia" w:ascii="宋体" w:hAnsi="宋体" w:cs="宋体"/>
                <w:sz w:val="24"/>
                <w:szCs w:val="24"/>
              </w:rPr>
              <w:t>符合性审查</w:t>
            </w:r>
          </w:p>
        </w:tc>
        <w:tc>
          <w:tcPr>
            <w:tcW w:w="7219" w:type="dxa"/>
          </w:tcPr>
          <w:p>
            <w:pPr>
              <w:pStyle w:val="15"/>
              <w:snapToGrid w:val="0"/>
              <w:spacing w:line="360" w:lineRule="auto"/>
              <w:rPr>
                <w:rFonts w:hAnsi="宋体" w:cs="宋体"/>
                <w:kern w:val="0"/>
                <w:sz w:val="24"/>
                <w:szCs w:val="24"/>
              </w:rPr>
            </w:pPr>
            <w:r>
              <w:rPr>
                <w:rFonts w:hint="eastAsia" w:hAnsi="宋体" w:cs="宋体"/>
                <w:kern w:val="0"/>
                <w:sz w:val="24"/>
                <w:szCs w:val="24"/>
              </w:rPr>
              <w:t>有下列情形之一的，应在符合性审查时按照无效投标处理。</w:t>
            </w:r>
          </w:p>
          <w:p>
            <w:pPr>
              <w:numPr>
                <w:ilvl w:val="0"/>
                <w:numId w:val="6"/>
              </w:numPr>
              <w:spacing w:line="360" w:lineRule="auto"/>
              <w:ind w:firstLine="0"/>
              <w:rPr>
                <w:rFonts w:ascii="宋体" w:hAnsi="宋体" w:cs="宋体"/>
                <w:sz w:val="24"/>
                <w:szCs w:val="24"/>
              </w:rPr>
            </w:pPr>
            <w:r>
              <w:rPr>
                <w:rFonts w:hint="eastAsia" w:ascii="宋体" w:hAnsi="宋体" w:cs="宋体"/>
                <w:sz w:val="24"/>
                <w:szCs w:val="24"/>
              </w:rPr>
              <w:t xml:space="preserve">投标报价超过采购预算或者最高限价； </w:t>
            </w:r>
          </w:p>
          <w:p>
            <w:pPr>
              <w:numPr>
                <w:ilvl w:val="0"/>
                <w:numId w:val="6"/>
              </w:numPr>
              <w:spacing w:line="360" w:lineRule="auto"/>
              <w:ind w:firstLine="0"/>
              <w:rPr>
                <w:rFonts w:ascii="宋体" w:hAnsi="宋体" w:cs="宋体"/>
                <w:sz w:val="24"/>
                <w:szCs w:val="24"/>
              </w:rPr>
            </w:pPr>
            <w:r>
              <w:rPr>
                <w:rFonts w:hint="eastAsia" w:ascii="宋体" w:hAnsi="宋体" w:cs="宋体"/>
                <w:sz w:val="24"/>
                <w:szCs w:val="24"/>
              </w:rPr>
              <w:t>交货期不满足招标文件要求</w:t>
            </w:r>
          </w:p>
          <w:p>
            <w:pPr>
              <w:numPr>
                <w:ilvl w:val="0"/>
                <w:numId w:val="6"/>
              </w:numPr>
              <w:spacing w:line="360" w:lineRule="auto"/>
              <w:ind w:firstLine="0"/>
              <w:rPr>
                <w:rFonts w:ascii="宋体" w:hAnsi="宋体" w:cs="宋体"/>
                <w:sz w:val="24"/>
                <w:szCs w:val="24"/>
              </w:rPr>
            </w:pPr>
            <w:r>
              <w:rPr>
                <w:rFonts w:hint="eastAsia" w:ascii="宋体" w:hAnsi="宋体" w:cs="宋体"/>
                <w:sz w:val="24"/>
                <w:szCs w:val="24"/>
              </w:rPr>
              <w:t>质保期不满足招标文件要求；</w:t>
            </w:r>
          </w:p>
          <w:p>
            <w:pPr>
              <w:pStyle w:val="12"/>
              <w:rPr>
                <w:color w:val="auto"/>
              </w:rPr>
            </w:pPr>
            <w:r>
              <w:rPr>
                <w:rFonts w:hint="eastAsia" w:ascii="宋体" w:hAnsi="宋体" w:cs="宋体"/>
                <w:color w:val="auto"/>
              </w:rPr>
              <w:t>（4）付款方式不满足招标文件要求；</w:t>
            </w:r>
          </w:p>
          <w:p>
            <w:pPr>
              <w:spacing w:line="360" w:lineRule="auto"/>
              <w:rPr>
                <w:rFonts w:ascii="宋体" w:hAnsi="宋体" w:cs="宋体"/>
                <w:sz w:val="24"/>
                <w:szCs w:val="24"/>
              </w:rPr>
            </w:pPr>
            <w:r>
              <w:rPr>
                <w:rFonts w:hint="eastAsia" w:ascii="宋体" w:hAnsi="宋体" w:cs="宋体"/>
                <w:sz w:val="24"/>
                <w:szCs w:val="24"/>
              </w:rPr>
              <w:t>（5）投标文件的数量、签署、盖章、装订不符合招标文件要求；</w:t>
            </w:r>
          </w:p>
          <w:p>
            <w:pPr>
              <w:spacing w:line="360" w:lineRule="auto"/>
              <w:rPr>
                <w:rFonts w:ascii="宋体" w:hAnsi="宋体" w:cs="宋体"/>
                <w:sz w:val="24"/>
                <w:szCs w:val="24"/>
              </w:rPr>
            </w:pPr>
            <w:r>
              <w:rPr>
                <w:rFonts w:hint="eastAsia" w:ascii="宋体" w:hAnsi="宋体" w:cs="宋体"/>
                <w:sz w:val="24"/>
                <w:szCs w:val="24"/>
              </w:rPr>
              <w:t>（6）投标文件无投标有效期或有效期达不到招标文件要求的；</w:t>
            </w:r>
          </w:p>
          <w:p>
            <w:pPr>
              <w:spacing w:line="360" w:lineRule="auto"/>
              <w:rPr>
                <w:rFonts w:ascii="宋体" w:hAnsi="宋体" w:cs="宋体"/>
                <w:sz w:val="24"/>
                <w:szCs w:val="24"/>
              </w:rPr>
            </w:pPr>
            <w:r>
              <w:rPr>
                <w:rFonts w:hint="eastAsia" w:ascii="宋体" w:hAnsi="宋体" w:cs="宋体"/>
                <w:sz w:val="24"/>
                <w:szCs w:val="24"/>
              </w:rPr>
              <w:t>（7）供应商针对同一项目递交两份或多份内容不同的投标文件，未书面声明哪一份是有效的或出现选择性报价的；</w:t>
            </w:r>
          </w:p>
          <w:p>
            <w:pPr>
              <w:spacing w:line="360" w:lineRule="auto"/>
              <w:rPr>
                <w:rFonts w:ascii="宋体" w:hAnsi="宋体" w:cs="宋体"/>
                <w:sz w:val="24"/>
                <w:szCs w:val="24"/>
              </w:rPr>
            </w:pPr>
            <w:r>
              <w:rPr>
                <w:rFonts w:hint="eastAsia" w:ascii="宋体" w:hAnsi="宋体" w:cs="宋体"/>
                <w:sz w:val="24"/>
                <w:szCs w:val="24"/>
              </w:rPr>
              <w:t>（8）投标文件的标的数量不满足采购要求的；</w:t>
            </w:r>
          </w:p>
          <w:p>
            <w:pPr>
              <w:spacing w:line="360" w:lineRule="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）投标文件含有采购人不能接受的附加条件的；</w:t>
            </w:r>
          </w:p>
          <w:p>
            <w:pPr>
              <w:spacing w:line="360" w:lineRule="auto"/>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0</w:t>
            </w:r>
            <w:r>
              <w:rPr>
                <w:rFonts w:hint="eastAsia" w:ascii="宋体" w:hAnsi="宋体" w:cs="宋体"/>
                <w:b/>
                <w:bCs/>
                <w:sz w:val="24"/>
                <w:szCs w:val="24"/>
              </w:rPr>
              <w:t>）</w:t>
            </w:r>
            <w:r>
              <w:rPr>
                <w:rFonts w:ascii="宋体" w:hAnsi="宋体" w:cs="宋体"/>
                <w:b/>
                <w:bCs/>
                <w:sz w:val="24"/>
                <w:szCs w:val="24"/>
              </w:rPr>
              <w:t>供应商</w:t>
            </w:r>
            <w:r>
              <w:rPr>
                <w:rFonts w:hint="eastAsia" w:ascii="宋体" w:hAnsi="宋体" w:cs="宋体"/>
                <w:b/>
                <w:bCs/>
                <w:sz w:val="24"/>
                <w:szCs w:val="24"/>
              </w:rPr>
              <w:t>提供赠品、回扣或者与采购无关的其他商品、服务（不包括采购项目本身所包括涉及的采购事项，</w:t>
            </w:r>
            <w:r>
              <w:rPr>
                <w:rFonts w:ascii="宋体" w:hAnsi="宋体" w:cs="宋体"/>
                <w:b/>
                <w:bCs/>
                <w:sz w:val="24"/>
                <w:szCs w:val="24"/>
              </w:rPr>
              <w:t>供应商</w:t>
            </w:r>
            <w:r>
              <w:rPr>
                <w:rFonts w:hint="eastAsia" w:ascii="宋体" w:hAnsi="宋体" w:cs="宋体"/>
                <w:b/>
                <w:bCs/>
                <w:sz w:val="24"/>
                <w:szCs w:val="24"/>
              </w:rPr>
              <w:t>不能以“赠送、赠予”等任何名义提供货物和服务以规避招标文件的约束）。否则，供应商的投标行为将作为以不正当手段排挤其他供应商认定；</w:t>
            </w:r>
          </w:p>
          <w:p>
            <w:pPr>
              <w:spacing w:line="360" w:lineRule="auto"/>
              <w:rPr>
                <w:rFonts w:ascii="宋体" w:hAnsi="宋体" w:cs="宋体"/>
                <w:b/>
                <w:bCs/>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）法律、法规和招标文件规定的其他无效情形。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3</w:t>
            </w:r>
          </w:p>
        </w:tc>
        <w:tc>
          <w:tcPr>
            <w:tcW w:w="1494" w:type="dxa"/>
            <w:vAlign w:val="center"/>
          </w:tcPr>
          <w:p>
            <w:pPr>
              <w:spacing w:line="360" w:lineRule="auto"/>
              <w:rPr>
                <w:rFonts w:ascii="宋体" w:hAnsi="宋体" w:cs="宋体"/>
                <w:sz w:val="24"/>
                <w:szCs w:val="24"/>
              </w:rPr>
            </w:pPr>
            <w:r>
              <w:rPr>
                <w:rFonts w:hint="eastAsia" w:ascii="宋体" w:hAnsi="宋体" w:cs="宋体"/>
                <w:sz w:val="24"/>
                <w:szCs w:val="24"/>
              </w:rPr>
              <w:t>商务条款</w:t>
            </w:r>
          </w:p>
        </w:tc>
        <w:tc>
          <w:tcPr>
            <w:tcW w:w="7219" w:type="dxa"/>
          </w:tcPr>
          <w:p>
            <w:pPr>
              <w:spacing w:line="360" w:lineRule="auto"/>
              <w:rPr>
                <w:rFonts w:hint="eastAsia" w:ascii="宋体" w:hAnsi="宋体" w:cs="宋体"/>
                <w:sz w:val="24"/>
                <w:szCs w:val="24"/>
              </w:rPr>
            </w:pPr>
            <w:r>
              <w:rPr>
                <w:rFonts w:hint="eastAsia" w:ascii="宋体" w:hAnsi="宋体" w:cs="宋体"/>
                <w:sz w:val="24"/>
                <w:szCs w:val="24"/>
              </w:rPr>
              <w:t>1、交货期：</w:t>
            </w:r>
            <w:r>
              <w:rPr>
                <w:rFonts w:hint="eastAsia" w:ascii="宋体" w:hAnsi="宋体" w:cs="宋体"/>
                <w:sz w:val="24"/>
                <w:szCs w:val="24"/>
                <w:lang w:eastAsia="zh-CN"/>
              </w:rPr>
              <w:t>合同包</w:t>
            </w:r>
            <w:r>
              <w:rPr>
                <w:rFonts w:hint="eastAsia" w:ascii="宋体" w:hAnsi="宋体" w:cs="宋体"/>
                <w:sz w:val="24"/>
                <w:szCs w:val="24"/>
                <w:lang w:val="en-US" w:eastAsia="zh-CN"/>
              </w:rPr>
              <w:t>1：</w:t>
            </w:r>
            <w:r>
              <w:rPr>
                <w:rFonts w:hint="eastAsia" w:ascii="宋体" w:hAnsi="宋体" w:cs="宋体"/>
                <w:sz w:val="24"/>
                <w:szCs w:val="24"/>
              </w:rPr>
              <w:t>合同签订后</w:t>
            </w:r>
            <w:r>
              <w:rPr>
                <w:rFonts w:hint="eastAsia" w:ascii="宋体" w:hAnsi="宋体" w:cs="宋体"/>
                <w:sz w:val="24"/>
                <w:szCs w:val="24"/>
                <w:u w:val="single"/>
                <w:lang w:val="en-US" w:eastAsia="zh-CN"/>
              </w:rPr>
              <w:t xml:space="preserve"> 10  </w:t>
            </w:r>
            <w:r>
              <w:rPr>
                <w:rFonts w:hint="eastAsia" w:ascii="宋体" w:hAnsi="宋体" w:cs="宋体"/>
                <w:sz w:val="24"/>
                <w:szCs w:val="24"/>
              </w:rPr>
              <w:t>日历天。</w:t>
            </w:r>
          </w:p>
          <w:p>
            <w:pPr>
              <w:pStyle w:val="12"/>
              <w:rPr>
                <w:rFonts w:hint="default" w:eastAsia="宋体"/>
                <w:color w:val="auto"/>
                <w:lang w:val="en-US" w:eastAsia="zh-CN"/>
              </w:rPr>
            </w:pPr>
            <w:r>
              <w:rPr>
                <w:rFonts w:hint="eastAsia" w:ascii="宋体" w:hAnsi="宋体" w:cs="宋体"/>
                <w:sz w:val="24"/>
                <w:szCs w:val="24"/>
                <w:lang w:val="en-US" w:eastAsia="zh-CN"/>
              </w:rPr>
              <w:t xml:space="preserve">           </w:t>
            </w:r>
            <w:r>
              <w:rPr>
                <w:rFonts w:hint="eastAsia" w:ascii="宋体" w:hAnsi="宋体" w:cs="宋体"/>
                <w:color w:val="auto"/>
                <w:sz w:val="24"/>
                <w:szCs w:val="24"/>
                <w:lang w:val="en-US" w:eastAsia="zh-CN"/>
              </w:rPr>
              <w:t>合同包2：</w:t>
            </w:r>
            <w:r>
              <w:rPr>
                <w:rFonts w:hint="eastAsia" w:ascii="宋体" w:hAnsi="宋体" w:cs="宋体"/>
                <w:color w:val="auto"/>
                <w:sz w:val="24"/>
                <w:szCs w:val="24"/>
                <w:highlight w:val="none"/>
                <w:lang w:val="en-US" w:eastAsia="zh-CN"/>
              </w:rPr>
              <w:t>合同签订后</w:t>
            </w:r>
            <w:r>
              <w:rPr>
                <w:rFonts w:hint="eastAsia" w:ascii="宋体" w:hAnsi="宋体" w:cs="宋体"/>
                <w:color w:val="auto"/>
                <w:sz w:val="24"/>
                <w:szCs w:val="24"/>
                <w:u w:val="single"/>
                <w:lang w:val="en-US" w:eastAsia="zh-CN"/>
              </w:rPr>
              <w:t xml:space="preserve">  10 </w:t>
            </w:r>
            <w:r>
              <w:rPr>
                <w:rFonts w:hint="eastAsia" w:ascii="宋体" w:hAnsi="宋体" w:cs="宋体"/>
                <w:color w:val="auto"/>
                <w:sz w:val="24"/>
                <w:szCs w:val="24"/>
                <w:highlight w:val="none"/>
                <w:lang w:eastAsia="zh-CN"/>
              </w:rPr>
              <w:t>日历天</w:t>
            </w:r>
            <w:r>
              <w:rPr>
                <w:rFonts w:hint="eastAsia" w:ascii="宋体" w:hAnsi="宋体" w:cs="宋体"/>
                <w:color w:val="auto"/>
                <w:sz w:val="24"/>
                <w:szCs w:val="24"/>
                <w:highlight w:val="none"/>
              </w:rPr>
              <w:t>。</w:t>
            </w:r>
          </w:p>
          <w:p>
            <w:pPr>
              <w:spacing w:line="360" w:lineRule="auto"/>
              <w:rPr>
                <w:rFonts w:hint="eastAsia" w:ascii="宋体" w:hAnsi="宋体" w:cs="宋体"/>
                <w:color w:val="auto"/>
                <w:sz w:val="24"/>
                <w:szCs w:val="24"/>
              </w:rPr>
            </w:pPr>
            <w:r>
              <w:rPr>
                <w:rFonts w:hint="eastAsia" w:ascii="宋体" w:hAnsi="宋体" w:cs="宋体"/>
                <w:color w:val="auto"/>
                <w:sz w:val="24"/>
                <w:szCs w:val="24"/>
              </w:rPr>
              <w:t>2、质保期：</w:t>
            </w:r>
            <w:r>
              <w:rPr>
                <w:rFonts w:hint="eastAsia" w:ascii="宋体" w:hAnsi="宋体" w:cs="宋体"/>
                <w:sz w:val="24"/>
                <w:szCs w:val="24"/>
                <w:lang w:eastAsia="zh-CN"/>
              </w:rPr>
              <w:t>合同包</w:t>
            </w:r>
            <w:r>
              <w:rPr>
                <w:rFonts w:hint="eastAsia" w:ascii="宋体" w:hAnsi="宋体" w:cs="宋体"/>
                <w:sz w:val="24"/>
                <w:szCs w:val="24"/>
                <w:lang w:val="en-US" w:eastAsia="zh-CN"/>
              </w:rPr>
              <w:t>1：</w:t>
            </w:r>
            <w:r>
              <w:rPr>
                <w:rFonts w:hint="eastAsia" w:ascii="宋体" w:hAnsi="宋体" w:cs="宋体"/>
                <w:color w:val="auto"/>
                <w:sz w:val="24"/>
                <w:szCs w:val="24"/>
              </w:rPr>
              <w:t>验收合格后</w:t>
            </w:r>
            <w:r>
              <w:rPr>
                <w:rFonts w:hint="eastAsia" w:ascii="宋体" w:hAnsi="宋体" w:cs="宋体"/>
                <w:color w:val="auto"/>
                <w:sz w:val="24"/>
                <w:szCs w:val="24"/>
                <w:lang w:val="en-US" w:eastAsia="zh-CN"/>
              </w:rPr>
              <w:t>12</w:t>
            </w:r>
            <w:r>
              <w:rPr>
                <w:rFonts w:hint="eastAsia" w:ascii="宋体" w:hAnsi="宋体" w:cs="宋体"/>
                <w:color w:val="auto"/>
                <w:sz w:val="24"/>
                <w:szCs w:val="24"/>
              </w:rPr>
              <w:t>个月。</w:t>
            </w:r>
          </w:p>
          <w:p>
            <w:pPr>
              <w:spacing w:line="360" w:lineRule="auto"/>
              <w:ind w:firstLine="1200" w:firstLineChars="500"/>
              <w:rPr>
                <w:rFonts w:ascii="宋体" w:hAnsi="宋体" w:cs="宋体"/>
                <w:color w:val="auto"/>
                <w:sz w:val="24"/>
                <w:szCs w:val="24"/>
              </w:rPr>
            </w:pPr>
            <w:r>
              <w:rPr>
                <w:rFonts w:hint="eastAsia" w:ascii="宋体" w:hAnsi="宋体" w:cs="宋体"/>
                <w:sz w:val="24"/>
                <w:szCs w:val="24"/>
                <w:lang w:eastAsia="zh-CN"/>
              </w:rPr>
              <w:t>合同包</w:t>
            </w:r>
            <w:r>
              <w:rPr>
                <w:rFonts w:hint="eastAsia" w:ascii="宋体" w:hAnsi="宋体" w:cs="宋体"/>
                <w:sz w:val="24"/>
                <w:szCs w:val="24"/>
                <w:lang w:val="en-US" w:eastAsia="zh-CN"/>
              </w:rPr>
              <w:t>2：</w:t>
            </w:r>
            <w:r>
              <w:rPr>
                <w:rFonts w:hint="eastAsia" w:ascii="宋体" w:hAnsi="宋体" w:cs="宋体"/>
                <w:color w:val="auto"/>
                <w:sz w:val="24"/>
                <w:szCs w:val="24"/>
              </w:rPr>
              <w:t>验收合格后</w:t>
            </w:r>
            <w:r>
              <w:rPr>
                <w:rFonts w:hint="eastAsia" w:ascii="宋体" w:hAnsi="宋体" w:cs="宋体"/>
                <w:color w:val="auto"/>
                <w:sz w:val="24"/>
                <w:szCs w:val="24"/>
                <w:lang w:val="en-US" w:eastAsia="zh-CN"/>
              </w:rPr>
              <w:t>36</w:t>
            </w:r>
            <w:r>
              <w:rPr>
                <w:rFonts w:hint="eastAsia" w:ascii="宋体" w:hAnsi="宋体" w:cs="宋体"/>
                <w:color w:val="auto"/>
                <w:sz w:val="24"/>
                <w:szCs w:val="24"/>
              </w:rPr>
              <w:t>个月。</w:t>
            </w:r>
          </w:p>
          <w:p>
            <w:pPr>
              <w:spacing w:line="360" w:lineRule="auto"/>
              <w:rPr>
                <w:rFonts w:ascii="宋体" w:hAnsi="宋体" w:cs="宋体"/>
                <w:sz w:val="24"/>
                <w:szCs w:val="24"/>
              </w:rPr>
            </w:pPr>
            <w:r>
              <w:rPr>
                <w:rFonts w:hint="eastAsia" w:ascii="宋体" w:hAnsi="宋体" w:cs="宋体"/>
                <w:sz w:val="24"/>
                <w:szCs w:val="24"/>
              </w:rPr>
              <w:t>3、交货地点：采购人指定地点。</w:t>
            </w:r>
          </w:p>
          <w:p>
            <w:pPr>
              <w:spacing w:line="360" w:lineRule="auto"/>
              <w:rPr>
                <w:rFonts w:ascii="宋体" w:hAnsi="宋体" w:cs="宋体"/>
                <w:sz w:val="24"/>
                <w:szCs w:val="24"/>
              </w:rPr>
            </w:pPr>
            <w:r>
              <w:rPr>
                <w:rFonts w:hint="eastAsia" w:ascii="宋体" w:hAnsi="宋体" w:cs="宋体"/>
                <w:sz w:val="24"/>
                <w:szCs w:val="24"/>
              </w:rPr>
              <w:t>4、付款方式：</w:t>
            </w:r>
          </w:p>
          <w:p>
            <w:pPr>
              <w:spacing w:line="360" w:lineRule="auto"/>
              <w:rPr>
                <w:rFonts w:hint="eastAsia" w:ascii="宋体" w:hAnsi="宋体" w:eastAsia="宋体" w:cs="宋体"/>
                <w:sz w:val="24"/>
                <w:szCs w:val="24"/>
              </w:rPr>
            </w:pPr>
            <w:r>
              <w:rPr>
                <w:rFonts w:hint="eastAsia" w:ascii="宋体" w:hAnsi="宋体" w:eastAsia="宋体" w:cs="宋体"/>
                <w:sz w:val="24"/>
                <w:szCs w:val="24"/>
              </w:rPr>
              <w:t>（1）全部产品安装调试完毕并验收合格</w:t>
            </w:r>
            <w:r>
              <w:rPr>
                <w:rFonts w:hint="eastAsia" w:ascii="宋体" w:hAnsi="宋体" w:eastAsia="宋体" w:cs="宋体"/>
                <w:sz w:val="24"/>
                <w:szCs w:val="24"/>
                <w:highlight w:val="none"/>
              </w:rPr>
              <w:t>后，甲</w:t>
            </w:r>
            <w:r>
              <w:rPr>
                <w:rFonts w:hint="eastAsia" w:ascii="宋体" w:hAnsi="宋体" w:eastAsia="宋体" w:cs="宋体"/>
                <w:sz w:val="24"/>
                <w:szCs w:val="24"/>
              </w:rPr>
              <w:t>方向乙方支付</w:t>
            </w:r>
            <w:r>
              <w:rPr>
                <w:rFonts w:hint="eastAsia" w:ascii="宋体" w:hAnsi="宋体" w:cs="宋体"/>
                <w:sz w:val="24"/>
                <w:szCs w:val="24"/>
                <w:lang w:eastAsia="zh-CN"/>
              </w:rPr>
              <w:t>全部</w:t>
            </w:r>
            <w:r>
              <w:rPr>
                <w:rFonts w:hint="eastAsia" w:ascii="宋体" w:hAnsi="宋体" w:eastAsia="宋体" w:cs="宋体"/>
                <w:sz w:val="24"/>
                <w:szCs w:val="24"/>
              </w:rPr>
              <w:t>合同总价价款。</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）结算方式：银行转账。</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）结算单位：由采购人负责结算，乙方开具合同总价数的全额发票交采购人。</w:t>
            </w:r>
          </w:p>
          <w:p>
            <w:pPr>
              <w:spacing w:line="360" w:lineRule="auto"/>
            </w:pPr>
            <w:r>
              <w:rPr>
                <w:rFonts w:hint="eastAsia" w:ascii="宋体" w:hAnsi="宋体" w:cs="宋体"/>
                <w:sz w:val="24"/>
                <w:szCs w:val="24"/>
              </w:rPr>
              <w:t>备注：商务条款为实质性条款，不允许负偏离。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备选方案</w:t>
            </w:r>
          </w:p>
        </w:tc>
        <w:tc>
          <w:tcPr>
            <w:tcW w:w="7219" w:type="dxa"/>
            <w:vAlign w:val="center"/>
          </w:tcPr>
          <w:p>
            <w:pPr>
              <w:spacing w:line="500" w:lineRule="exact"/>
              <w:jc w:val="left"/>
              <w:rPr>
                <w:rFonts w:ascii="宋体" w:hAnsi="宋体" w:cs="宋体"/>
                <w:sz w:val="24"/>
                <w:szCs w:val="24"/>
              </w:rPr>
            </w:pPr>
            <w:r>
              <w:rPr>
                <w:rFonts w:hint="eastAsia" w:ascii="宋体" w:hAnsi="宋体" w:cs="宋体"/>
                <w:sz w:val="24"/>
                <w:szCs w:val="24"/>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投标</w:t>
            </w:r>
          </w:p>
          <w:p>
            <w:pPr>
              <w:spacing w:line="360" w:lineRule="auto"/>
              <w:jc w:val="center"/>
              <w:rPr>
                <w:rFonts w:ascii="宋体" w:hAnsi="宋体" w:cs="宋体"/>
                <w:sz w:val="24"/>
                <w:szCs w:val="24"/>
              </w:rPr>
            </w:pPr>
            <w:r>
              <w:rPr>
                <w:rFonts w:hint="eastAsia" w:ascii="宋体" w:hAnsi="宋体" w:cs="宋体"/>
                <w:sz w:val="24"/>
                <w:szCs w:val="24"/>
              </w:rPr>
              <w:t>有效期</w:t>
            </w:r>
          </w:p>
        </w:tc>
        <w:tc>
          <w:tcPr>
            <w:tcW w:w="7219" w:type="dxa"/>
            <w:vAlign w:val="center"/>
          </w:tcPr>
          <w:p>
            <w:pPr>
              <w:spacing w:line="360" w:lineRule="auto"/>
              <w:rPr>
                <w:rFonts w:ascii="宋体" w:hAnsi="宋体" w:cs="宋体"/>
                <w:sz w:val="24"/>
                <w:szCs w:val="24"/>
              </w:rPr>
            </w:pPr>
            <w:r>
              <w:rPr>
                <w:rFonts w:hint="eastAsia" w:ascii="宋体" w:hAnsi="宋体" w:cs="宋体"/>
                <w:b/>
                <w:bCs/>
                <w:sz w:val="24"/>
                <w:szCs w:val="24"/>
              </w:rPr>
              <w:t>投标文件有效期为从开标之日起有效期至少为90日历日。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494" w:type="dxa"/>
            <w:vAlign w:val="center"/>
          </w:tcPr>
          <w:p>
            <w:pPr>
              <w:spacing w:line="360" w:lineRule="auto"/>
              <w:jc w:val="center"/>
              <w:rPr>
                <w:rFonts w:ascii="宋体" w:hAnsi="宋体" w:cs="宋体"/>
                <w:sz w:val="24"/>
                <w:szCs w:val="24"/>
              </w:rPr>
            </w:pPr>
            <w:r>
              <w:rPr>
                <w:rFonts w:hint="eastAsia" w:ascii="宋体" w:hAnsi="宋体" w:cs="宋体"/>
                <w:b/>
                <w:bCs/>
                <w:sz w:val="24"/>
                <w:szCs w:val="24"/>
              </w:rPr>
              <w:t>投标货币及报价</w:t>
            </w:r>
          </w:p>
        </w:tc>
        <w:tc>
          <w:tcPr>
            <w:tcW w:w="7219" w:type="dxa"/>
            <w:vAlign w:val="center"/>
          </w:tcPr>
          <w:p>
            <w:pPr>
              <w:numPr>
                <w:ilvl w:val="0"/>
                <w:numId w:val="7"/>
              </w:numPr>
              <w:spacing w:line="360" w:lineRule="auto"/>
              <w:ind w:firstLine="0"/>
              <w:jc w:val="left"/>
              <w:rPr>
                <w:rFonts w:ascii="宋体" w:hAnsi="宋体" w:cs="宋体"/>
                <w:sz w:val="24"/>
                <w:szCs w:val="24"/>
              </w:rPr>
            </w:pPr>
            <w:r>
              <w:rPr>
                <w:rFonts w:hint="eastAsia" w:ascii="宋体" w:hAnsi="宋体" w:cs="宋体"/>
                <w:b/>
                <w:bCs/>
                <w:sz w:val="24"/>
                <w:szCs w:val="24"/>
              </w:rPr>
              <w:t>供应商应当根据招标文件的要求和范围，以人民币为货币，以元为报价单位</w:t>
            </w:r>
            <w:r>
              <w:rPr>
                <w:rFonts w:hint="eastAsia" w:ascii="宋体" w:hAnsi="宋体" w:cs="宋体"/>
                <w:sz w:val="24"/>
                <w:szCs w:val="24"/>
              </w:rPr>
              <w:t>。</w:t>
            </w:r>
          </w:p>
          <w:p>
            <w:pPr>
              <w:numPr>
                <w:ilvl w:val="0"/>
                <w:numId w:val="7"/>
              </w:numPr>
              <w:spacing w:line="360" w:lineRule="auto"/>
              <w:ind w:firstLine="0"/>
              <w:jc w:val="left"/>
              <w:rPr>
                <w:rFonts w:ascii="宋体" w:hAnsi="宋体" w:cs="宋体"/>
                <w:sz w:val="24"/>
                <w:szCs w:val="24"/>
              </w:rPr>
            </w:pPr>
            <w:r>
              <w:rPr>
                <w:rFonts w:hint="eastAsia" w:ascii="宋体" w:hAnsi="宋体" w:cs="宋体"/>
                <w:b/>
                <w:bCs/>
                <w:sz w:val="24"/>
                <w:szCs w:val="24"/>
              </w:rPr>
              <w:t>供应商应在投标报价表中标明完成本次招标所要求的货物、服务且验收合格的所有费用，包括产品费、安装调试费、运杂费（含保险）、仓储保管费、技术培训费、检测费、施工费、运输费、人工费、税金及进口产品国家按现行税收政策征收的一切税费等。</w:t>
            </w:r>
          </w:p>
          <w:p>
            <w:pPr>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供应商应在投标文件中的开标一览表上按招标文件规定要求填写，并由法定代表人或被授权人代表签署；任何有选择的报价不予接受。</w:t>
            </w:r>
          </w:p>
          <w:p>
            <w:pPr>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开标一览表与分项报价表中的价格，在合同执行过程中，均不得以任何理由变更。</w:t>
            </w:r>
          </w:p>
          <w:p>
            <w:pPr>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采用综合评分法的，最低报价不是中标的唯一依据。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1494" w:type="dxa"/>
            <w:vAlign w:val="center"/>
          </w:tcPr>
          <w:p>
            <w:pPr>
              <w:spacing w:line="360" w:lineRule="auto"/>
              <w:jc w:val="center"/>
              <w:rPr>
                <w:rFonts w:ascii="宋体" w:hAnsi="宋体" w:cs="宋体"/>
                <w:sz w:val="24"/>
                <w:szCs w:val="24"/>
              </w:rPr>
            </w:pPr>
            <w:r>
              <w:rPr>
                <w:rFonts w:hint="eastAsia" w:ascii="宋体" w:hAnsi="宋体" w:cs="宋体"/>
                <w:b/>
                <w:bCs/>
                <w:sz w:val="24"/>
                <w:szCs w:val="24"/>
              </w:rPr>
              <w:t>投标文件份数及装订要求</w:t>
            </w:r>
          </w:p>
        </w:tc>
        <w:tc>
          <w:tcPr>
            <w:tcW w:w="7219" w:type="dxa"/>
            <w:vAlign w:val="center"/>
          </w:tcPr>
          <w:p>
            <w:pPr>
              <w:spacing w:line="360" w:lineRule="auto"/>
              <w:jc w:val="left"/>
              <w:rPr>
                <w:rFonts w:ascii="宋体" w:hAnsi="宋体" w:cs="宋体"/>
                <w:sz w:val="24"/>
                <w:szCs w:val="24"/>
              </w:rPr>
            </w:pPr>
            <w:r>
              <w:rPr>
                <w:rFonts w:hint="eastAsia" w:ascii="宋体" w:hAnsi="宋体" w:cs="宋体"/>
                <w:sz w:val="24"/>
                <w:szCs w:val="24"/>
              </w:rPr>
              <w:t>1、投标文件正本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肆</w:t>
            </w:r>
            <w:r>
              <w:rPr>
                <w:rFonts w:hint="eastAsia" w:ascii="宋体" w:hAnsi="宋体" w:cs="宋体"/>
                <w:sz w:val="24"/>
                <w:szCs w:val="24"/>
              </w:rPr>
              <w:t>份、开标一览表</w:t>
            </w:r>
            <w:r>
              <w:rPr>
                <w:rFonts w:hint="eastAsia" w:ascii="宋体" w:hAnsi="宋体" w:cs="宋体"/>
                <w:sz w:val="24"/>
                <w:szCs w:val="24"/>
                <w:u w:val="single"/>
              </w:rPr>
              <w:t>壹</w:t>
            </w:r>
            <w:r>
              <w:rPr>
                <w:rFonts w:hint="eastAsia" w:ascii="宋体" w:hAnsi="宋体" w:cs="宋体"/>
                <w:sz w:val="24"/>
                <w:szCs w:val="24"/>
              </w:rPr>
              <w:t>份、电子文档</w:t>
            </w:r>
            <w:r>
              <w:rPr>
                <w:rFonts w:hint="eastAsia" w:ascii="宋体" w:hAnsi="宋体" w:cs="宋体"/>
                <w:sz w:val="24"/>
                <w:szCs w:val="24"/>
                <w:u w:val="single"/>
              </w:rPr>
              <w:t>壹</w:t>
            </w:r>
            <w:r>
              <w:rPr>
                <w:rFonts w:hint="eastAsia" w:ascii="宋体" w:hAnsi="宋体" w:cs="宋体"/>
                <w:sz w:val="24"/>
                <w:szCs w:val="24"/>
              </w:rPr>
              <w:t>份；</w:t>
            </w:r>
          </w:p>
          <w:p>
            <w:pPr>
              <w:spacing w:line="360" w:lineRule="auto"/>
              <w:jc w:val="left"/>
              <w:rPr>
                <w:rFonts w:ascii="宋体" w:hAnsi="宋体" w:cs="宋体"/>
                <w:sz w:val="24"/>
                <w:szCs w:val="24"/>
              </w:rPr>
            </w:pPr>
            <w:r>
              <w:rPr>
                <w:rFonts w:hint="eastAsia" w:ascii="宋体" w:hAnsi="宋体" w:cs="宋体"/>
                <w:sz w:val="24"/>
                <w:szCs w:val="24"/>
              </w:rPr>
              <w:t>2、正、副本分别</w:t>
            </w:r>
            <w:r>
              <w:rPr>
                <w:rFonts w:hint="eastAsia" w:ascii="宋体" w:hAnsi="宋体" w:cs="宋体"/>
                <w:b/>
                <w:bCs/>
                <w:sz w:val="24"/>
                <w:szCs w:val="24"/>
              </w:rPr>
              <w:t>胶装装订成册</w:t>
            </w:r>
            <w:r>
              <w:rPr>
                <w:rFonts w:hint="eastAsia" w:ascii="宋体" w:hAnsi="宋体" w:cs="宋体"/>
                <w:sz w:val="24"/>
                <w:szCs w:val="24"/>
              </w:rPr>
              <w:t>，</w:t>
            </w:r>
            <w:r>
              <w:rPr>
                <w:rFonts w:hint="eastAsia" w:ascii="宋体" w:hAnsi="宋体" w:cs="宋体"/>
                <w:b/>
                <w:bCs/>
                <w:sz w:val="24"/>
                <w:szCs w:val="24"/>
              </w:rPr>
              <w:t>在书脊处标明项目名称、项目编号、供应商名称（机打或手写均可），</w:t>
            </w:r>
            <w:r>
              <w:rPr>
                <w:rFonts w:hint="eastAsia" w:ascii="宋体" w:hAnsi="宋体" w:cs="宋体"/>
                <w:sz w:val="24"/>
                <w:szCs w:val="24"/>
              </w:rPr>
              <w:t>逐页标注连页码，且封面须清楚地标明“正本”或“副本”；若正本和副本不符，以正本书面文件为准；同时提供与正本内容一致的电子版（U盘、电子文档应为PDF与WORD格式各一份，PDF版本需为正本签署盖章扫描件）、报价一览表（用于开标唱标单独提交的“报价一览表”应为原件）。</w:t>
            </w:r>
          </w:p>
          <w:p>
            <w:pPr>
              <w:spacing w:line="360" w:lineRule="auto"/>
              <w:jc w:val="left"/>
              <w:rPr>
                <w:rFonts w:ascii="宋体" w:hAnsi="宋体" w:cs="宋体"/>
                <w:sz w:val="24"/>
                <w:szCs w:val="24"/>
              </w:rPr>
            </w:pPr>
            <w:r>
              <w:rPr>
                <w:rFonts w:hint="eastAsia" w:ascii="宋体" w:hAnsi="宋体" w:cs="宋体"/>
                <w:sz w:val="24"/>
                <w:szCs w:val="24"/>
              </w:rPr>
              <w:t>3、所有的副本可以为正本的复印件。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07"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投标文件的签署</w:t>
            </w:r>
          </w:p>
        </w:tc>
        <w:tc>
          <w:tcPr>
            <w:tcW w:w="7219" w:type="dxa"/>
            <w:vAlign w:val="center"/>
          </w:tcPr>
          <w:p>
            <w:pPr>
              <w:numPr>
                <w:ilvl w:val="0"/>
                <w:numId w:val="8"/>
              </w:numPr>
              <w:spacing w:line="360" w:lineRule="auto"/>
              <w:ind w:firstLine="0"/>
              <w:jc w:val="left"/>
              <w:rPr>
                <w:rFonts w:ascii="宋体" w:hAnsi="宋体" w:cs="宋体"/>
                <w:sz w:val="24"/>
                <w:szCs w:val="24"/>
              </w:rPr>
            </w:pPr>
            <w:r>
              <w:rPr>
                <w:rFonts w:hint="eastAsia" w:ascii="宋体" w:hAnsi="宋体" w:cs="宋体"/>
                <w:sz w:val="24"/>
                <w:szCs w:val="24"/>
              </w:rPr>
              <w:t>供应商在投标文件中指定的页面的落款处，按招标文件要求由供应商的法定代表人或其授权代表在规定的签章处签字或盖章。</w:t>
            </w:r>
          </w:p>
          <w:p>
            <w:pPr>
              <w:numPr>
                <w:ilvl w:val="0"/>
                <w:numId w:val="8"/>
              </w:numPr>
              <w:spacing w:line="360" w:lineRule="auto"/>
              <w:ind w:firstLine="0"/>
              <w:jc w:val="left"/>
              <w:rPr>
                <w:rFonts w:ascii="宋体" w:hAnsi="宋体" w:cs="宋体"/>
                <w:sz w:val="24"/>
                <w:szCs w:val="24"/>
              </w:rPr>
            </w:pPr>
            <w:r>
              <w:rPr>
                <w:rFonts w:hint="eastAsia" w:ascii="宋体" w:hAnsi="宋体" w:cs="宋体"/>
                <w:sz w:val="24"/>
                <w:szCs w:val="24"/>
              </w:rPr>
              <w:t>投标文件应字迹清楚、内容齐全、不得涂改或增删。如有修改和增删，必须有供应商公章及法定代表人或其授权的供应商代表签字。</w:t>
            </w:r>
          </w:p>
          <w:p>
            <w:pPr>
              <w:spacing w:line="360" w:lineRule="auto"/>
              <w:jc w:val="left"/>
              <w:rPr>
                <w:rFonts w:ascii="宋体" w:hAnsi="宋体" w:cs="宋体"/>
                <w:b/>
                <w:bCs/>
                <w:color w:val="000000"/>
                <w:sz w:val="24"/>
                <w:szCs w:val="24"/>
              </w:rPr>
            </w:pPr>
            <w:r>
              <w:rPr>
                <w:rFonts w:hint="eastAsia" w:ascii="宋体" w:hAnsi="宋体" w:cs="宋体"/>
                <w:sz w:val="24"/>
                <w:szCs w:val="24"/>
              </w:rPr>
              <w:t>因投标文件字迹潦草或表达不清所引起的不利后果由供应商承担。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27"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投标文件的密封</w:t>
            </w:r>
          </w:p>
        </w:tc>
        <w:tc>
          <w:tcPr>
            <w:tcW w:w="7219" w:type="dxa"/>
            <w:vAlign w:val="center"/>
          </w:tcPr>
          <w:p>
            <w:pPr>
              <w:pStyle w:val="66"/>
              <w:spacing w:line="360" w:lineRule="auto"/>
              <w:rPr>
                <w:kern w:val="2"/>
              </w:rPr>
            </w:pPr>
            <w:r>
              <w:rPr>
                <w:rFonts w:hint="eastAsia"/>
                <w:kern w:val="2"/>
              </w:rPr>
              <w:t>1、密封要求：</w:t>
            </w:r>
          </w:p>
          <w:p>
            <w:pPr>
              <w:pStyle w:val="66"/>
              <w:spacing w:line="360" w:lineRule="auto"/>
              <w:rPr>
                <w:kern w:val="2"/>
              </w:rPr>
            </w:pPr>
            <w:r>
              <w:rPr>
                <w:rFonts w:hint="eastAsia"/>
                <w:kern w:val="2"/>
              </w:rPr>
              <w:t>开标一览表单独密封递交，</w:t>
            </w:r>
          </w:p>
          <w:p>
            <w:pPr>
              <w:pStyle w:val="66"/>
              <w:spacing w:line="360" w:lineRule="auto"/>
              <w:rPr>
                <w:kern w:val="2"/>
              </w:rPr>
            </w:pPr>
            <w:r>
              <w:rPr>
                <w:rFonts w:hint="eastAsia"/>
                <w:kern w:val="2"/>
              </w:rPr>
              <w:t>电子文档单独密封递交。</w:t>
            </w:r>
          </w:p>
          <w:p>
            <w:pPr>
              <w:spacing w:line="360" w:lineRule="auto"/>
              <w:ind w:right="158" w:rightChars="75"/>
              <w:rPr>
                <w:rFonts w:ascii="宋体" w:hAnsi="宋体" w:cs="宋体"/>
                <w:sz w:val="24"/>
                <w:szCs w:val="24"/>
              </w:rPr>
            </w:pPr>
            <w:r>
              <w:rPr>
                <w:rFonts w:hint="eastAsia" w:ascii="宋体" w:hAnsi="宋体" w:cs="宋体"/>
                <w:sz w:val="24"/>
                <w:szCs w:val="24"/>
              </w:rPr>
              <w:t>所有正本单独密封递交，也可分册密封递交；</w:t>
            </w:r>
          </w:p>
          <w:p>
            <w:pPr>
              <w:spacing w:line="360" w:lineRule="auto"/>
              <w:ind w:right="158" w:rightChars="75"/>
              <w:rPr>
                <w:rFonts w:ascii="宋体" w:hAnsi="宋体" w:cs="宋体"/>
                <w:sz w:val="24"/>
                <w:szCs w:val="24"/>
                <w:lang w:val="zh-CN"/>
              </w:rPr>
            </w:pPr>
            <w:r>
              <w:rPr>
                <w:rFonts w:hint="eastAsia" w:ascii="宋体" w:hAnsi="宋体" w:cs="宋体"/>
                <w:sz w:val="24"/>
                <w:szCs w:val="24"/>
              </w:rPr>
              <w:t>所有副本单独密封递交，</w:t>
            </w:r>
            <w:r>
              <w:rPr>
                <w:rFonts w:hint="eastAsia" w:ascii="宋体" w:hAnsi="宋体" w:cs="宋体"/>
                <w:sz w:val="24"/>
                <w:szCs w:val="24"/>
                <w:lang w:val="zh-CN"/>
              </w:rPr>
              <w:t>也可分册</w:t>
            </w:r>
            <w:r>
              <w:rPr>
                <w:rFonts w:hint="eastAsia" w:ascii="宋体" w:hAnsi="宋体" w:cs="宋体"/>
                <w:sz w:val="24"/>
                <w:szCs w:val="24"/>
              </w:rPr>
              <w:t>密封递交</w:t>
            </w:r>
            <w:r>
              <w:rPr>
                <w:rFonts w:hint="eastAsia" w:ascii="宋体" w:hAnsi="宋体" w:cs="宋体"/>
                <w:sz w:val="24"/>
                <w:szCs w:val="24"/>
                <w:lang w:val="zh-CN"/>
              </w:rPr>
              <w:t>；</w:t>
            </w:r>
          </w:p>
          <w:p>
            <w:pPr>
              <w:spacing w:line="360" w:lineRule="auto"/>
              <w:jc w:val="left"/>
              <w:rPr>
                <w:rFonts w:ascii="宋体" w:hAnsi="宋体" w:cs="宋体"/>
                <w:sz w:val="24"/>
                <w:szCs w:val="24"/>
              </w:rPr>
            </w:pPr>
            <w:r>
              <w:rPr>
                <w:rFonts w:hint="eastAsia" w:ascii="宋体" w:hAnsi="宋体" w:cs="宋体"/>
                <w:sz w:val="24"/>
                <w:szCs w:val="24"/>
              </w:rPr>
              <w:t>2、在封袋正面标明“正本”“副本”“电子版”“开标一览表”字样。封袋应密封完整（密封以不泄露供应商商业机密、投标文件内容为标准，封面标识见招标文件附件一），如果未按上述规定进行密封，供应商的投标文件有权被拒绝。</w:t>
            </w:r>
          </w:p>
          <w:p>
            <w:pPr>
              <w:spacing w:line="360" w:lineRule="auto"/>
              <w:jc w:val="left"/>
              <w:rPr>
                <w:rFonts w:ascii="宋体" w:hAnsi="宋体" w:cs="宋体"/>
                <w:sz w:val="24"/>
                <w:szCs w:val="24"/>
              </w:rPr>
            </w:pPr>
            <w:r>
              <w:rPr>
                <w:rFonts w:hint="eastAsia" w:ascii="宋体" w:hAnsi="宋体" w:cs="宋体"/>
                <w:sz w:val="24"/>
                <w:szCs w:val="24"/>
              </w:rPr>
              <w:t>3、如果供应商未按上述要求密封，误投或过早启封的投标文件，将自行承担其投标文件被视为无效投标文件的风险。</w:t>
            </w:r>
          </w:p>
          <w:p>
            <w:pPr>
              <w:spacing w:line="360" w:lineRule="auto"/>
              <w:jc w:val="left"/>
              <w:rPr>
                <w:rFonts w:ascii="宋体" w:hAnsi="宋体" w:cs="宋体"/>
                <w:sz w:val="24"/>
                <w:szCs w:val="24"/>
              </w:rPr>
            </w:pPr>
            <w:r>
              <w:rPr>
                <w:rFonts w:hint="eastAsia" w:ascii="宋体" w:hAnsi="宋体" w:cs="宋体"/>
                <w:sz w:val="24"/>
                <w:szCs w:val="24"/>
              </w:rPr>
              <w:t>4、本次招标只接受简体中文文字的投标文件；如投标文件中出现外文资料，需配以中文译文。否则，由此引发的一切责任由供应商自负。</w:t>
            </w:r>
          </w:p>
          <w:p>
            <w:pPr>
              <w:spacing w:line="360" w:lineRule="auto"/>
              <w:jc w:val="left"/>
              <w:rPr>
                <w:rFonts w:ascii="宋体" w:hAnsi="宋体" w:cs="宋体"/>
                <w:color w:val="FF0000"/>
                <w:sz w:val="24"/>
                <w:szCs w:val="24"/>
              </w:rPr>
            </w:pPr>
            <w:r>
              <w:rPr>
                <w:rFonts w:hint="eastAsia" w:ascii="宋体" w:hAnsi="宋体" w:cs="宋体"/>
                <w:sz w:val="24"/>
                <w:szCs w:val="24"/>
              </w:rPr>
              <w:t>5、拒绝接受以电话、传真、电子邮件形式的投标。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color w:val="FF0000"/>
                <w:sz w:val="24"/>
                <w:szCs w:val="24"/>
              </w:rPr>
            </w:pPr>
            <w:r>
              <w:rPr>
                <w:rFonts w:hint="eastAsia" w:ascii="宋体" w:hAnsi="宋体" w:cs="宋体"/>
                <w:sz w:val="24"/>
                <w:szCs w:val="24"/>
              </w:rPr>
              <w:t>10</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评分标准</w:t>
            </w:r>
          </w:p>
        </w:tc>
        <w:tc>
          <w:tcPr>
            <w:tcW w:w="7219" w:type="dxa"/>
            <w:vAlign w:val="center"/>
          </w:tcPr>
          <w:p>
            <w:pPr>
              <w:spacing w:line="360" w:lineRule="auto"/>
              <w:rPr>
                <w:rFonts w:ascii="宋体" w:hAnsi="宋体" w:cs="宋体"/>
                <w:sz w:val="24"/>
                <w:szCs w:val="24"/>
              </w:rPr>
            </w:pPr>
            <w:r>
              <w:rPr>
                <w:rFonts w:hint="eastAsia" w:ascii="宋体" w:hAnsi="宋体" w:cs="宋体"/>
                <w:sz w:val="24"/>
                <w:szCs w:val="24"/>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505" w:type="dxa"/>
            <w:vAlign w:val="center"/>
          </w:tcPr>
          <w:p>
            <w:pPr>
              <w:spacing w:line="360" w:lineRule="auto"/>
              <w:jc w:val="center"/>
              <w:rPr>
                <w:rFonts w:ascii="宋体" w:hAnsi="宋体" w:cs="宋体"/>
                <w:color w:val="000000"/>
                <w:sz w:val="24"/>
                <w:szCs w:val="24"/>
              </w:rPr>
            </w:pPr>
            <w:r>
              <w:rPr>
                <w:rFonts w:hint="eastAsia" w:ascii="宋体" w:hAnsi="宋体" w:cs="宋体"/>
                <w:sz w:val="24"/>
                <w:szCs w:val="24"/>
              </w:rPr>
              <w:t>11</w:t>
            </w:r>
          </w:p>
        </w:tc>
        <w:tc>
          <w:tcPr>
            <w:tcW w:w="1494"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是否采购进口产品</w:t>
            </w:r>
          </w:p>
        </w:tc>
        <w:tc>
          <w:tcPr>
            <w:tcW w:w="7219" w:type="dxa"/>
            <w:vAlign w:val="center"/>
          </w:tcPr>
          <w:p>
            <w:pPr>
              <w:spacing w:line="360" w:lineRule="auto"/>
              <w:rPr>
                <w:rFonts w:ascii="宋体" w:hAnsi="宋体" w:cs="宋体"/>
                <w:sz w:val="24"/>
                <w:szCs w:val="24"/>
              </w:rPr>
            </w:pPr>
            <w:r>
              <w:rPr>
                <w:rFonts w:hint="eastAsia" w:ascii="宋体" w:hAnsi="宋体" w:cs="宋体"/>
                <w:sz w:val="24"/>
                <w:szCs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1494"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现场勘查</w:t>
            </w:r>
          </w:p>
        </w:tc>
        <w:tc>
          <w:tcPr>
            <w:tcW w:w="7219" w:type="dxa"/>
            <w:vAlign w:val="center"/>
          </w:tcPr>
          <w:p>
            <w:pPr>
              <w:spacing w:line="360" w:lineRule="auto"/>
              <w:rPr>
                <w:rFonts w:ascii="宋体" w:hAnsi="宋体" w:cs="宋体"/>
                <w:sz w:val="24"/>
                <w:szCs w:val="24"/>
              </w:rPr>
            </w:pPr>
            <w:r>
              <w:rPr>
                <w:rFonts w:hint="eastAsia" w:ascii="宋体" w:hAnsi="宋体" w:cs="宋体"/>
                <w:sz w:val="24"/>
                <w:szCs w:val="24"/>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1494" w:type="dxa"/>
            <w:vAlign w:val="center"/>
          </w:tcPr>
          <w:p>
            <w:pPr>
              <w:spacing w:line="360" w:lineRule="auto"/>
              <w:jc w:val="center"/>
              <w:rPr>
                <w:rFonts w:ascii="宋体" w:hAnsi="宋体" w:cs="宋体"/>
                <w:sz w:val="24"/>
                <w:szCs w:val="24"/>
              </w:rPr>
            </w:pPr>
            <w:r>
              <w:rPr>
                <w:rFonts w:hint="eastAsia" w:ascii="宋体" w:hAnsi="宋体" w:cs="宋体"/>
                <w:b/>
                <w:bCs/>
                <w:sz w:val="24"/>
                <w:szCs w:val="24"/>
              </w:rPr>
              <w:t>代理服务费</w:t>
            </w:r>
          </w:p>
        </w:tc>
        <w:tc>
          <w:tcPr>
            <w:tcW w:w="7219" w:type="dxa"/>
            <w:vAlign w:val="center"/>
          </w:tcPr>
          <w:p>
            <w:pPr>
              <w:spacing w:line="360" w:lineRule="auto"/>
              <w:rPr>
                <w:rFonts w:ascii="宋体" w:hAnsi="宋体" w:cs="宋体"/>
                <w:sz w:val="24"/>
                <w:szCs w:val="24"/>
              </w:rPr>
            </w:pPr>
            <w:r>
              <w:rPr>
                <w:rFonts w:hint="eastAsia" w:ascii="宋体" w:hAnsi="宋体" w:cs="宋体"/>
                <w:sz w:val="24"/>
                <w:szCs w:val="24"/>
              </w:rPr>
              <w:t xml:space="preserve"> 参照国家计委颁布的《招标代理服务收费管理暂行办法》（计价格[2002]1980号）和发改办价格[2003]857号文件等法律法规规定的计价标准收取（含税），按照中标金额差额定率累进法计算，由中标/成交单位一次性支付给乙方。</w:t>
            </w:r>
          </w:p>
          <w:p>
            <w:pPr>
              <w:spacing w:line="360" w:lineRule="auto"/>
            </w:pPr>
            <w:r>
              <w:rPr>
                <w:rFonts w:hint="eastAsia" w:ascii="宋体" w:hAnsi="宋体" w:cs="宋体"/>
                <w:sz w:val="24"/>
                <w:szCs w:val="24"/>
              </w:rPr>
              <w:t>供应商将招标代理服务费计入投标报价但不单独列明，中标单位在领取中标通知书前，须向采购代理机构一次性支付招标代理服务费；代理服务费以转账、电汇或现金等形式交纳。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14</w:t>
            </w:r>
          </w:p>
        </w:tc>
        <w:tc>
          <w:tcPr>
            <w:tcW w:w="1494"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项目属性</w:t>
            </w:r>
          </w:p>
        </w:tc>
        <w:tc>
          <w:tcPr>
            <w:tcW w:w="7219" w:type="dxa"/>
            <w:vAlign w:val="center"/>
          </w:tcPr>
          <w:p>
            <w:pPr>
              <w:pStyle w:val="21"/>
              <w:rPr>
                <w:rFonts w:ascii="仿宋" w:hAnsi="仿宋" w:cs="Courier New"/>
                <w:color w:val="000000"/>
                <w:sz w:val="24"/>
                <w:szCs w:val="24"/>
              </w:rPr>
            </w:pPr>
            <w:r>
              <w:rPr>
                <w:rFonts w:hint="eastAsia" w:ascii="仿宋" w:hAnsi="仿宋" w:cs="Courier New"/>
                <w:color w:val="000000"/>
                <w:sz w:val="24"/>
                <w:szCs w:val="24"/>
              </w:rPr>
              <w:t>货物招标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1494"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所属行业</w:t>
            </w:r>
          </w:p>
        </w:tc>
        <w:tc>
          <w:tcPr>
            <w:tcW w:w="7219" w:type="dxa"/>
            <w:vAlign w:val="center"/>
          </w:tcPr>
          <w:p>
            <w:pPr>
              <w:pStyle w:val="21"/>
              <w:rPr>
                <w:rFonts w:ascii="仿宋" w:hAnsi="仿宋" w:cs="Courier New"/>
                <w:color w:val="000000"/>
                <w:sz w:val="24"/>
                <w:szCs w:val="24"/>
              </w:rPr>
            </w:pPr>
            <w:r>
              <w:rPr>
                <w:rFonts w:hint="eastAsia" w:ascii="仿宋" w:hAnsi="仿宋" w:cs="Courier New"/>
                <w:color w:val="000000"/>
                <w:sz w:val="24"/>
                <w:szCs w:val="24"/>
              </w:rPr>
              <w:t>所有标的所属行业为工业。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3" w:hRule="atLeast"/>
        </w:trPr>
        <w:tc>
          <w:tcPr>
            <w:tcW w:w="50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16</w:t>
            </w:r>
          </w:p>
        </w:tc>
        <w:tc>
          <w:tcPr>
            <w:tcW w:w="1494" w:type="dxa"/>
            <w:vAlign w:val="center"/>
          </w:tcPr>
          <w:p>
            <w:pPr>
              <w:pStyle w:val="21"/>
              <w:jc w:val="center"/>
              <w:rPr>
                <w:rFonts w:hint="eastAsia" w:ascii="仿宋" w:hAnsi="仿宋" w:cs="Courier New"/>
                <w:b/>
                <w:bCs/>
                <w:color w:val="000000"/>
                <w:sz w:val="24"/>
                <w:szCs w:val="24"/>
                <w:lang w:val="en-US" w:eastAsia="zh-CN"/>
              </w:rPr>
            </w:pPr>
            <w:r>
              <w:rPr>
                <w:rFonts w:hint="eastAsia" w:ascii="仿宋" w:hAnsi="仿宋" w:cs="Courier New"/>
                <w:b/>
                <w:bCs/>
                <w:color w:val="000000"/>
                <w:sz w:val="24"/>
                <w:szCs w:val="24"/>
                <w:lang w:val="en-US" w:eastAsia="zh-CN"/>
              </w:rPr>
              <w:t>核心产品</w:t>
            </w:r>
          </w:p>
        </w:tc>
        <w:tc>
          <w:tcPr>
            <w:tcW w:w="7219" w:type="dxa"/>
            <w:vAlign w:val="center"/>
          </w:tcPr>
          <w:p>
            <w:pPr>
              <w:pStyle w:val="21"/>
              <w:rPr>
                <w:rFonts w:hint="eastAsia" w:ascii="仿宋" w:hAnsi="仿宋" w:cs="Courier New"/>
                <w:b/>
                <w:bCs/>
                <w:color w:val="000000"/>
                <w:sz w:val="24"/>
                <w:szCs w:val="24"/>
                <w:lang w:val="en-US" w:eastAsia="zh-CN"/>
              </w:rPr>
            </w:pPr>
            <w:r>
              <w:rPr>
                <w:rFonts w:hint="eastAsia" w:ascii="仿宋" w:hAnsi="仿宋" w:cs="Courier New"/>
                <w:b/>
                <w:bCs/>
                <w:color w:val="000000"/>
                <w:sz w:val="24"/>
                <w:szCs w:val="24"/>
                <w:lang w:val="en-US" w:eastAsia="zh-CN"/>
              </w:rPr>
              <w:t>合同包1：教学触摸互动一体机</w:t>
            </w:r>
          </w:p>
          <w:p>
            <w:pPr>
              <w:pStyle w:val="21"/>
              <w:rPr>
                <w:rFonts w:hint="eastAsia" w:ascii="仿宋" w:hAnsi="仿宋" w:cs="Courier New"/>
                <w:b/>
                <w:bCs/>
                <w:color w:val="000000"/>
                <w:sz w:val="24"/>
                <w:szCs w:val="24"/>
                <w:lang w:val="en-US" w:eastAsia="zh-CN"/>
              </w:rPr>
            </w:pPr>
            <w:r>
              <w:rPr>
                <w:rFonts w:hint="eastAsia" w:ascii="仿宋" w:hAnsi="仿宋" w:cs="Courier New"/>
                <w:b/>
                <w:bCs/>
                <w:color w:val="000000"/>
                <w:sz w:val="24"/>
                <w:szCs w:val="24"/>
                <w:lang w:val="en-US" w:eastAsia="zh-CN"/>
              </w:rPr>
              <w:t>合同包2：</w:t>
            </w:r>
            <w:r>
              <w:rPr>
                <w:rFonts w:hint="eastAsia" w:ascii="仿宋" w:hAnsi="仿宋" w:cs="Courier New"/>
                <w:b/>
                <w:bCs/>
                <w:color w:val="000000"/>
                <w:sz w:val="24"/>
                <w:szCs w:val="24"/>
                <w:lang w:eastAsia="zh-CN"/>
              </w:rPr>
              <w:t>智慧黑板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17</w:t>
            </w:r>
          </w:p>
        </w:tc>
        <w:tc>
          <w:tcPr>
            <w:tcW w:w="1494" w:type="dxa"/>
            <w:vAlign w:val="center"/>
          </w:tcPr>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是否专门面向中小企业</w:t>
            </w:r>
          </w:p>
        </w:tc>
        <w:tc>
          <w:tcPr>
            <w:tcW w:w="7219" w:type="dxa"/>
            <w:vAlign w:val="center"/>
          </w:tcPr>
          <w:p>
            <w:pPr>
              <w:ind w:right="158" w:rightChars="75"/>
              <w:rPr>
                <w:sz w:val="24"/>
                <w:szCs w:val="24"/>
                <w:highlight w:val="none"/>
              </w:rPr>
            </w:pPr>
            <w:r>
              <w:rPr>
                <w:rFonts w:hint="eastAsia"/>
                <w:b/>
                <w:bCs/>
                <w:sz w:val="24"/>
                <w:szCs w:val="24"/>
                <w:highlight w:val="none"/>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18</w:t>
            </w:r>
          </w:p>
        </w:tc>
        <w:tc>
          <w:tcPr>
            <w:tcW w:w="1494" w:type="dxa"/>
            <w:vAlign w:val="center"/>
          </w:tcPr>
          <w:p>
            <w:pPr>
              <w:spacing w:line="360" w:lineRule="auto"/>
              <w:jc w:val="center"/>
              <w:rPr>
                <w:rFonts w:ascii="宋体" w:hAnsi="宋体" w:cs="宋体"/>
                <w:sz w:val="24"/>
                <w:szCs w:val="24"/>
                <w:lang w:val="zh-CN"/>
              </w:rPr>
            </w:pPr>
            <w:r>
              <w:rPr>
                <w:rFonts w:hint="eastAsia" w:ascii="宋体" w:hAnsi="宋体" w:cs="宋体"/>
                <w:sz w:val="24"/>
                <w:szCs w:val="24"/>
                <w:lang w:val="zh-CN"/>
              </w:rPr>
              <w:t>供应商</w:t>
            </w:r>
          </w:p>
          <w:p>
            <w:pPr>
              <w:spacing w:line="360" w:lineRule="auto"/>
              <w:jc w:val="center"/>
              <w:rPr>
                <w:rFonts w:ascii="宋体" w:hAnsi="宋体" w:cs="宋体"/>
                <w:sz w:val="24"/>
                <w:szCs w:val="24"/>
                <w:lang w:val="zh-CN"/>
              </w:rPr>
            </w:pPr>
            <w:r>
              <w:rPr>
                <w:rFonts w:hint="eastAsia" w:ascii="宋体" w:hAnsi="宋体" w:cs="宋体"/>
                <w:sz w:val="24"/>
                <w:szCs w:val="24"/>
                <w:lang w:val="zh-CN"/>
              </w:rPr>
              <w:t>提出质疑的时间、形式</w:t>
            </w:r>
          </w:p>
        </w:tc>
        <w:tc>
          <w:tcPr>
            <w:tcW w:w="7219" w:type="dxa"/>
            <w:vAlign w:val="center"/>
          </w:tcPr>
          <w:p>
            <w:pPr>
              <w:spacing w:line="360" w:lineRule="auto"/>
              <w:jc w:val="left"/>
              <w:rPr>
                <w:rFonts w:ascii="宋体" w:hAnsi="宋体" w:cs="宋体"/>
                <w:sz w:val="24"/>
                <w:szCs w:val="24"/>
                <w:lang w:val="zh-CN"/>
              </w:rPr>
            </w:pPr>
            <w:r>
              <w:rPr>
                <w:rFonts w:hint="eastAsia" w:ascii="宋体" w:hAnsi="宋体" w:cs="宋体"/>
                <w:sz w:val="24"/>
                <w:szCs w:val="24"/>
                <w:lang w:val="zh-CN"/>
              </w:rPr>
              <w:t>时间：供应商认为采购文件、采购过程和中标、成交结果使自己的权益受到损害的，可以在知道或者应知其权益受到损害之日起七个工作日内，超过期限的采购人或采购代理机构不再受理</w:t>
            </w:r>
          </w:p>
          <w:p>
            <w:pPr>
              <w:spacing w:line="360" w:lineRule="auto"/>
              <w:jc w:val="left"/>
              <w:rPr>
                <w:rFonts w:ascii="宋体" w:hAnsi="宋体" w:cs="宋体"/>
                <w:sz w:val="24"/>
                <w:szCs w:val="24"/>
                <w:lang w:val="zh-CN"/>
              </w:rPr>
            </w:pPr>
            <w:r>
              <w:rPr>
                <w:rFonts w:hint="eastAsia" w:ascii="宋体" w:hAnsi="宋体" w:cs="宋体"/>
                <w:sz w:val="24"/>
                <w:szCs w:val="24"/>
                <w:lang w:val="zh-CN"/>
              </w:rPr>
              <w:t>形式：书面；</w:t>
            </w:r>
          </w:p>
          <w:p>
            <w:pPr>
              <w:spacing w:line="360" w:lineRule="auto"/>
              <w:jc w:val="left"/>
            </w:pPr>
            <w:r>
              <w:rPr>
                <w:rFonts w:hint="eastAsia" w:ascii="宋体" w:hAnsi="宋体" w:cs="宋体"/>
                <w:sz w:val="24"/>
                <w:szCs w:val="24"/>
              </w:rPr>
              <w:t>环节：</w:t>
            </w:r>
            <w:r>
              <w:rPr>
                <w:rFonts w:hint="eastAsia" w:ascii="宋体" w:hAnsi="宋体" w:cs="宋体"/>
                <w:sz w:val="24"/>
                <w:szCs w:val="24"/>
                <w:lang w:val="zh-CN"/>
              </w:rPr>
              <w:t>供应商应当在法定质疑期内一次性提出针对同一采购程序环节的质疑。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1494" w:type="dxa"/>
            <w:vAlign w:val="center"/>
          </w:tcPr>
          <w:p>
            <w:pPr>
              <w:spacing w:line="360" w:lineRule="auto"/>
              <w:jc w:val="center"/>
              <w:rPr>
                <w:rFonts w:ascii="宋体" w:hAnsi="宋体" w:cs="宋体"/>
                <w:sz w:val="24"/>
                <w:szCs w:val="24"/>
                <w:lang w:val="zh-CN"/>
              </w:rPr>
            </w:pPr>
            <w:r>
              <w:rPr>
                <w:rFonts w:hint="eastAsia" w:ascii="宋体" w:hAnsi="宋体" w:cs="宋体"/>
                <w:sz w:val="24"/>
                <w:szCs w:val="24"/>
                <w:lang w:val="zh-CN"/>
              </w:rPr>
              <w:t>对供应商提出质疑答复时间、形式</w:t>
            </w:r>
          </w:p>
        </w:tc>
        <w:tc>
          <w:tcPr>
            <w:tcW w:w="7219" w:type="dxa"/>
            <w:vAlign w:val="center"/>
          </w:tcPr>
          <w:p>
            <w:pPr>
              <w:spacing w:line="360" w:lineRule="auto"/>
              <w:jc w:val="left"/>
              <w:rPr>
                <w:rFonts w:ascii="宋体" w:hAnsi="宋体" w:cs="宋体"/>
                <w:sz w:val="24"/>
                <w:szCs w:val="24"/>
                <w:lang w:val="zh-CN"/>
              </w:rPr>
            </w:pPr>
            <w:r>
              <w:rPr>
                <w:rFonts w:hint="eastAsia" w:ascii="宋体" w:hAnsi="宋体" w:cs="宋体"/>
                <w:sz w:val="24"/>
                <w:szCs w:val="24"/>
                <w:lang w:val="zh-CN"/>
              </w:rPr>
              <w:t>时间：自收到供应商质疑函之日起7个工作日内</w:t>
            </w:r>
          </w:p>
          <w:p>
            <w:pPr>
              <w:spacing w:line="360" w:lineRule="auto"/>
              <w:jc w:val="left"/>
              <w:rPr>
                <w:rFonts w:ascii="宋体" w:hAnsi="宋体" w:cs="宋体"/>
                <w:sz w:val="24"/>
                <w:szCs w:val="24"/>
                <w:lang w:val="zh-CN"/>
              </w:rPr>
            </w:pPr>
            <w:r>
              <w:rPr>
                <w:rFonts w:hint="eastAsia" w:ascii="宋体" w:hAnsi="宋体" w:cs="宋体"/>
                <w:sz w:val="24"/>
                <w:szCs w:val="24"/>
                <w:lang w:val="zh-CN"/>
              </w:rPr>
              <w:t>形式：书面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20</w:t>
            </w:r>
          </w:p>
        </w:tc>
        <w:tc>
          <w:tcPr>
            <w:tcW w:w="1494" w:type="dxa"/>
            <w:vAlign w:val="center"/>
          </w:tcPr>
          <w:p>
            <w:pPr>
              <w:spacing w:line="360" w:lineRule="auto"/>
              <w:jc w:val="center"/>
              <w:rPr>
                <w:rFonts w:ascii="宋体" w:hAnsi="宋体" w:cs="宋体"/>
                <w:sz w:val="24"/>
                <w:szCs w:val="24"/>
                <w:lang w:val="zh-CN"/>
              </w:rPr>
            </w:pPr>
            <w:r>
              <w:rPr>
                <w:rFonts w:hint="eastAsia" w:ascii="宋体" w:hAnsi="宋体" w:cs="宋体"/>
                <w:sz w:val="24"/>
                <w:szCs w:val="24"/>
                <w:lang w:val="zh-CN"/>
              </w:rPr>
              <w:t>供应商信用信息查询</w:t>
            </w:r>
            <w:r>
              <w:rPr>
                <w:rFonts w:hint="eastAsia" w:ascii="宋体" w:hAnsi="宋体" w:cs="宋体"/>
                <w:sz w:val="24"/>
                <w:szCs w:val="24"/>
              </w:rPr>
              <w:t>截止</w:t>
            </w:r>
            <w:r>
              <w:rPr>
                <w:rFonts w:hint="eastAsia" w:ascii="宋体" w:hAnsi="宋体" w:cs="宋体"/>
                <w:sz w:val="24"/>
                <w:szCs w:val="24"/>
                <w:lang w:val="zh-CN"/>
              </w:rPr>
              <w:t>时点</w:t>
            </w:r>
          </w:p>
        </w:tc>
        <w:tc>
          <w:tcPr>
            <w:tcW w:w="7219" w:type="dxa"/>
            <w:vAlign w:val="center"/>
          </w:tcPr>
          <w:p>
            <w:pPr>
              <w:spacing w:line="360" w:lineRule="auto"/>
              <w:rPr>
                <w:rFonts w:ascii="宋体" w:hAnsi="宋体" w:cs="宋体"/>
                <w:sz w:val="24"/>
                <w:szCs w:val="24"/>
                <w:lang w:val="zh-CN"/>
              </w:rPr>
            </w:pPr>
            <w:r>
              <w:rPr>
                <w:rFonts w:hint="eastAsia" w:ascii="宋体" w:hAnsi="宋体" w:cs="宋体"/>
                <w:sz w:val="24"/>
                <w:szCs w:val="24"/>
              </w:rPr>
              <w:t>投标文件递交截止日，由采购人和采购代理机构共同查询。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21</w:t>
            </w:r>
          </w:p>
        </w:tc>
        <w:tc>
          <w:tcPr>
            <w:tcW w:w="1494" w:type="dxa"/>
            <w:vAlign w:val="center"/>
          </w:tcPr>
          <w:p>
            <w:pPr>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弃标须知</w:t>
            </w:r>
          </w:p>
        </w:tc>
        <w:tc>
          <w:tcPr>
            <w:tcW w:w="7219" w:type="dxa"/>
            <w:vAlign w:val="center"/>
          </w:tcPr>
          <w:p>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市财函〔2021〕431号文第16条规定：供应商登记免费领取采购文件的，如不参与项目投标，应在递交投标（或响应）文件截止时间前一日以书面形式告知采购代理机构。否则，采购代理机构可以向财政部门反应情况并提供佐证。供应商一年内累计出现三次该情形，将被监管部门记录为失信行为。</w:t>
            </w:r>
          </w:p>
          <w:p>
            <w:pPr>
              <w:pStyle w:val="1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确认通知格式</w:t>
            </w:r>
            <w:r>
              <w:rPr>
                <w:rFonts w:hint="eastAsia" w:asciiTheme="minorEastAsia" w:hAnsiTheme="minorEastAsia" w:cstheme="minorEastAsia"/>
                <w:b/>
                <w:bCs/>
                <w:sz w:val="24"/>
                <w:szCs w:val="24"/>
              </w:rPr>
              <w:t>下附</w:t>
            </w:r>
            <w:r>
              <w:rPr>
                <w:rFonts w:hint="eastAsia" w:asciiTheme="minorEastAsia" w:hAnsiTheme="minorEastAsia" w:eastAsiaTheme="minorEastAsia" w:cstheme="minorEastAsia"/>
                <w:b/>
                <w:bCs/>
                <w:sz w:val="24"/>
                <w:szCs w:val="24"/>
              </w:rPr>
              <w:t>，供应商无论是否参与本项目投标，均需在递交响应文件截止时间前一日以书面形式告知采购代理机构。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22</w:t>
            </w:r>
          </w:p>
        </w:tc>
        <w:tc>
          <w:tcPr>
            <w:tcW w:w="1494" w:type="dxa"/>
            <w:vAlign w:val="center"/>
          </w:tcPr>
          <w:p>
            <w:pPr>
              <w:jc w:val="center"/>
              <w:rPr>
                <w:rFonts w:ascii="宋体" w:cs="宋体" w:eastAsiaTheme="minorEastAsia"/>
                <w:sz w:val="24"/>
                <w:szCs w:val="24"/>
                <w:lang w:val="zh-CN"/>
              </w:rPr>
            </w:pPr>
            <w:r>
              <w:rPr>
                <w:rFonts w:hint="eastAsia" w:ascii="宋体" w:cs="宋体"/>
                <w:sz w:val="24"/>
                <w:szCs w:val="24"/>
              </w:rPr>
              <w:t>确认通知</w:t>
            </w:r>
          </w:p>
        </w:tc>
        <w:tc>
          <w:tcPr>
            <w:tcW w:w="7219" w:type="dxa"/>
            <w:vAlign w:val="center"/>
          </w:tcPr>
          <w:tbl>
            <w:tblPr>
              <w:tblStyle w:val="30"/>
              <w:tblW w:w="6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80" w:type="dxa"/>
                </w:tcPr>
                <w:p>
                  <w:pPr>
                    <w:spacing w:line="360" w:lineRule="auto"/>
                    <w:jc w:val="center"/>
                    <w:rPr>
                      <w:rFonts w:hAnsi="宋体" w:cs="宋体"/>
                      <w:b/>
                      <w:sz w:val="24"/>
                      <w:szCs w:val="24"/>
                    </w:rPr>
                  </w:pPr>
                  <w:r>
                    <w:rPr>
                      <w:rFonts w:hint="eastAsia" w:hAnsi="宋体" w:cs="宋体"/>
                      <w:b/>
                      <w:sz w:val="24"/>
                      <w:szCs w:val="24"/>
                    </w:rPr>
                    <w:t>确认通知（格式）</w:t>
                  </w:r>
                </w:p>
                <w:p>
                  <w:pPr>
                    <w:spacing w:line="360" w:lineRule="auto"/>
                    <w:rPr>
                      <w:rFonts w:hAnsi="宋体" w:cs="宋体" w:eastAsiaTheme="minorEastAsia"/>
                      <w:sz w:val="24"/>
                      <w:szCs w:val="24"/>
                    </w:rPr>
                  </w:pPr>
                  <w:r>
                    <w:rPr>
                      <w:rFonts w:hint="eastAsia" w:hAnsi="宋体" w:cs="宋体"/>
                      <w:sz w:val="24"/>
                      <w:szCs w:val="24"/>
                      <w:u w:val="single"/>
                    </w:rPr>
                    <w:t xml:space="preserve">                         </w:t>
                  </w:r>
                  <w:r>
                    <w:rPr>
                      <w:rFonts w:hint="eastAsia" w:hAnsi="宋体" w:cs="宋体"/>
                      <w:sz w:val="24"/>
                      <w:szCs w:val="24"/>
                    </w:rPr>
                    <w:t>（采购人/采购代理机构）</w:t>
                  </w:r>
                </w:p>
                <w:p>
                  <w:pPr>
                    <w:spacing w:line="360" w:lineRule="auto"/>
                    <w:ind w:firstLine="480" w:firstLineChars="200"/>
                    <w:rPr>
                      <w:rFonts w:hAnsi="宋体" w:cs="宋体"/>
                      <w:sz w:val="24"/>
                      <w:szCs w:val="24"/>
                    </w:rPr>
                  </w:pPr>
                  <w:r>
                    <w:rPr>
                      <w:rFonts w:hint="eastAsia" w:hAnsi="宋体" w:cs="宋体"/>
                      <w:sz w:val="24"/>
                      <w:szCs w:val="24"/>
                    </w:rPr>
                    <w:t>我方已于</w:t>
                  </w:r>
                  <w:r>
                    <w:rPr>
                      <w:rFonts w:hint="eastAsia" w:hAnsi="宋体" w:cs="宋体"/>
                      <w:sz w:val="24"/>
                      <w:szCs w:val="24"/>
                      <w:u w:val="single"/>
                    </w:rPr>
                    <w:t>2022</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日收到你方</w:t>
                  </w:r>
                  <w:r>
                    <w:rPr>
                      <w:rFonts w:hint="eastAsia" w:hAnsi="宋体" w:cs="宋体"/>
                      <w:sz w:val="24"/>
                      <w:szCs w:val="24"/>
                      <w:u w:val="single"/>
                    </w:rPr>
                    <w:t>2022</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日发出的</w:t>
                  </w:r>
                  <w:r>
                    <w:rPr>
                      <w:rFonts w:hint="eastAsia" w:hAnsi="宋体" w:cs="宋体"/>
                      <w:sz w:val="24"/>
                      <w:szCs w:val="24"/>
                      <w:u w:val="single"/>
                      <w:lang w:eastAsia="zh-CN"/>
                    </w:rPr>
                    <w:t>西安市灞桥区教育局（本级）秋季开学应急设备采购项目（包</w:t>
                  </w:r>
                  <w:r>
                    <w:rPr>
                      <w:rFonts w:hint="eastAsia" w:hAnsi="宋体" w:cs="宋体"/>
                      <w:sz w:val="24"/>
                      <w:szCs w:val="24"/>
                      <w:u w:val="single"/>
                      <w:lang w:val="en-US" w:eastAsia="zh-CN"/>
                    </w:rPr>
                    <w:t>X</w:t>
                  </w:r>
                  <w:r>
                    <w:rPr>
                      <w:rFonts w:hint="eastAsia" w:hAnsi="宋体" w:cs="宋体"/>
                      <w:sz w:val="24"/>
                      <w:szCs w:val="24"/>
                      <w:u w:val="single"/>
                      <w:lang w:eastAsia="zh-CN"/>
                    </w:rPr>
                    <w:t>）</w:t>
                  </w:r>
                  <w:r>
                    <w:rPr>
                      <w:rFonts w:hint="eastAsia" w:hAnsi="宋体" w:cs="宋体"/>
                      <w:sz w:val="24"/>
                      <w:szCs w:val="24"/>
                      <w:lang w:eastAsia="zh-CN"/>
                    </w:rPr>
                    <w:t>公开招标</w:t>
                  </w:r>
                  <w:r>
                    <w:rPr>
                      <w:rFonts w:hint="eastAsia" w:hAnsi="宋体" w:cs="宋体"/>
                      <w:sz w:val="24"/>
                      <w:szCs w:val="24"/>
                    </w:rPr>
                    <w:t>文件，并确认</w:t>
                  </w:r>
                  <w:r>
                    <w:rPr>
                      <w:rFonts w:hint="eastAsia" w:hAnsi="宋体" w:cs="宋体"/>
                      <w:sz w:val="24"/>
                      <w:szCs w:val="24"/>
                      <w:u w:val="single"/>
                    </w:rPr>
                    <w:t>（参加/不参加）</w:t>
                  </w:r>
                  <w:r>
                    <w:rPr>
                      <w:rFonts w:hint="eastAsia" w:hAnsi="宋体" w:cs="宋体"/>
                      <w:sz w:val="24"/>
                      <w:szCs w:val="24"/>
                    </w:rPr>
                    <w:t>本项目投标。</w:t>
                  </w:r>
                </w:p>
                <w:p>
                  <w:pPr>
                    <w:spacing w:line="360" w:lineRule="auto"/>
                    <w:ind w:firstLine="480" w:firstLineChars="200"/>
                    <w:rPr>
                      <w:rFonts w:hAnsi="宋体" w:cs="宋体"/>
                      <w:sz w:val="24"/>
                      <w:szCs w:val="24"/>
                    </w:rPr>
                  </w:pPr>
                  <w:r>
                    <w:rPr>
                      <w:rFonts w:hint="eastAsia" w:hAnsi="宋体" w:cs="宋体"/>
                      <w:sz w:val="24"/>
                      <w:szCs w:val="24"/>
                    </w:rPr>
                    <w:t>特此确认。</w:t>
                  </w:r>
                </w:p>
                <w:p>
                  <w:pPr>
                    <w:spacing w:line="360" w:lineRule="auto"/>
                    <w:rPr>
                      <w:rFonts w:hAnsi="宋体" w:cs="宋体"/>
                      <w:sz w:val="24"/>
                      <w:szCs w:val="24"/>
                    </w:rPr>
                  </w:pPr>
                  <w:r>
                    <w:rPr>
                      <w:rFonts w:hint="eastAsia" w:hAnsi="宋体" w:cs="宋体"/>
                      <w:sz w:val="24"/>
                      <w:szCs w:val="24"/>
                    </w:rPr>
                    <w:t xml:space="preserve">                                 供应商名称：（加盖公章）</w:t>
                  </w:r>
                </w:p>
                <w:p>
                  <w:pPr>
                    <w:spacing w:line="360" w:lineRule="auto"/>
                    <w:rPr>
                      <w:rFonts w:hAnsi="宋体" w:cs="宋体"/>
                      <w:sz w:val="24"/>
                      <w:szCs w:val="24"/>
                    </w:rPr>
                  </w:pPr>
                  <w:r>
                    <w:rPr>
                      <w:rFonts w:hint="eastAsia" w:hAnsi="宋体" w:cs="宋体"/>
                      <w:sz w:val="24"/>
                      <w:szCs w:val="24"/>
                    </w:rPr>
                    <w:t xml:space="preserve">                                 法定代表人：（签字或盖章）</w:t>
                  </w:r>
                </w:p>
                <w:p>
                  <w:pPr>
                    <w:spacing w:line="360" w:lineRule="auto"/>
                    <w:jc w:val="center"/>
                    <w:rPr>
                      <w:rFonts w:hAnsi="宋体" w:cs="宋体"/>
                      <w:b/>
                      <w:sz w:val="24"/>
                      <w:szCs w:val="24"/>
                    </w:rPr>
                  </w:pPr>
                  <w:r>
                    <w:rPr>
                      <w:rFonts w:hint="eastAsia" w:hAnsi="宋体" w:cs="宋体"/>
                      <w:sz w:val="24"/>
                      <w:szCs w:val="24"/>
                    </w:rPr>
                    <w:t xml:space="preserve">                            日期：   年   月   日</w:t>
                  </w:r>
                </w:p>
              </w:tc>
            </w:tr>
          </w:tbl>
          <w:p>
            <w:pPr>
              <w:spacing w:line="360" w:lineRule="auto"/>
              <w:ind w:firstLine="480" w:firstLineChars="200"/>
              <w:jc w:val="left"/>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23</w:t>
            </w:r>
          </w:p>
        </w:tc>
        <w:tc>
          <w:tcPr>
            <w:tcW w:w="1494" w:type="dxa"/>
            <w:vAlign w:val="center"/>
          </w:tcPr>
          <w:p>
            <w:pPr>
              <w:spacing w:line="360" w:lineRule="auto"/>
              <w:jc w:val="center"/>
              <w:rPr>
                <w:rFonts w:ascii="宋体" w:hAnsi="宋体" w:cs="宋体"/>
                <w:sz w:val="24"/>
                <w:szCs w:val="24"/>
                <w:lang w:val="zh-CN"/>
              </w:rPr>
            </w:pPr>
            <w:r>
              <w:rPr>
                <w:rFonts w:hint="eastAsia" w:ascii="宋体" w:hAnsi="宋体" w:cs="宋体"/>
                <w:sz w:val="24"/>
                <w:szCs w:val="24"/>
                <w:lang w:val="zh-CN"/>
              </w:rPr>
              <w:t>非实质性偏离</w:t>
            </w:r>
          </w:p>
        </w:tc>
        <w:tc>
          <w:tcPr>
            <w:tcW w:w="7219" w:type="dxa"/>
            <w:vAlign w:val="center"/>
          </w:tcPr>
          <w:p>
            <w:pPr>
              <w:spacing w:line="360" w:lineRule="auto"/>
              <w:rPr>
                <w:rFonts w:ascii="宋体" w:hAnsi="宋体" w:cs="宋体"/>
                <w:sz w:val="24"/>
                <w:szCs w:val="24"/>
              </w:rPr>
            </w:pPr>
            <w:r>
              <w:rPr>
                <w:rFonts w:hint="eastAsia" w:ascii="宋体" w:hAnsi="宋体" w:cs="宋体"/>
                <w:sz w:val="24"/>
                <w:szCs w:val="24"/>
                <w:lang w:val="zh-CN"/>
              </w:rPr>
              <w:t>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24</w:t>
            </w:r>
          </w:p>
        </w:tc>
        <w:tc>
          <w:tcPr>
            <w:tcW w:w="1494" w:type="dxa"/>
            <w:vAlign w:val="center"/>
          </w:tcPr>
          <w:p>
            <w:pPr>
              <w:pStyle w:val="15"/>
              <w:spacing w:line="336" w:lineRule="auto"/>
              <w:jc w:val="center"/>
              <w:rPr>
                <w:rFonts w:hAnsi="宋体" w:cs="宋体"/>
                <w:sz w:val="24"/>
                <w:szCs w:val="24"/>
                <w:lang w:val="zh-CN"/>
              </w:rPr>
            </w:pPr>
            <w:r>
              <w:rPr>
                <w:rFonts w:hint="eastAsia" w:ascii="仿宋" w:hAnsi="仿宋"/>
                <w:color w:val="000000"/>
                <w:sz w:val="24"/>
                <w:szCs w:val="24"/>
              </w:rPr>
              <w:t>其他</w:t>
            </w:r>
          </w:p>
        </w:tc>
        <w:tc>
          <w:tcPr>
            <w:tcW w:w="7219" w:type="dxa"/>
            <w:vAlign w:val="center"/>
          </w:tcPr>
          <w:p>
            <w:pPr>
              <w:pStyle w:val="15"/>
              <w:spacing w:line="336" w:lineRule="auto"/>
              <w:jc w:val="left"/>
            </w:pPr>
            <w:r>
              <w:rPr>
                <w:rFonts w:hint="eastAsia" w:ascii="仿宋" w:hAnsi="仿宋"/>
                <w:color w:val="000000"/>
                <w:sz w:val="24"/>
                <w:szCs w:val="24"/>
              </w:rPr>
              <w:t>采购文件与媒体发布的采购公告不一致时，以公告为准，正文与前附表表述不一致时，以供应商须知前附表为准，</w:t>
            </w:r>
          </w:p>
        </w:tc>
      </w:tr>
    </w:tbl>
    <w:p>
      <w:pPr>
        <w:spacing w:before="312" w:beforeLines="100" w:after="312" w:afterLines="100" w:line="500" w:lineRule="exact"/>
        <w:rPr>
          <w:rFonts w:ascii="宋体" w:hAnsi="宋体" w:cs="宋体"/>
          <w:sz w:val="36"/>
          <w:szCs w:val="36"/>
        </w:rPr>
      </w:pPr>
      <w:bookmarkStart w:id="6" w:name="_Toc19272"/>
      <w:r>
        <w:rPr>
          <w:rFonts w:hint="eastAsia" w:ascii="宋体" w:hAnsi="宋体" w:cs="宋体"/>
          <w:sz w:val="36"/>
          <w:szCs w:val="36"/>
        </w:rPr>
        <w:br w:type="page"/>
      </w:r>
    </w:p>
    <w:p>
      <w:pPr>
        <w:pStyle w:val="3"/>
        <w:keepLines w:val="0"/>
        <w:spacing w:before="312" w:beforeLines="100" w:after="312" w:afterLines="100" w:line="500" w:lineRule="exact"/>
        <w:rPr>
          <w:rFonts w:ascii="宋体" w:hAnsi="宋体" w:cs="宋体"/>
          <w:sz w:val="36"/>
          <w:szCs w:val="36"/>
        </w:rPr>
      </w:pPr>
      <w:bookmarkStart w:id="7" w:name="_Toc25330"/>
      <w:r>
        <w:rPr>
          <w:rFonts w:hint="eastAsia" w:ascii="宋体" w:hAnsi="宋体" w:cs="宋体"/>
          <w:sz w:val="36"/>
          <w:szCs w:val="36"/>
        </w:rPr>
        <w:t>第三部分  供应商须知</w:t>
      </w:r>
      <w:bookmarkEnd w:id="6"/>
      <w:bookmarkEnd w:id="7"/>
    </w:p>
    <w:p>
      <w:pPr>
        <w:pStyle w:val="4"/>
        <w:ind w:firstLine="562" w:firstLineChars="200"/>
        <w:jc w:val="center"/>
        <w:rPr>
          <w:rFonts w:ascii="宋体" w:hAnsi="宋体" w:cs="宋体"/>
        </w:rPr>
      </w:pPr>
      <w:bookmarkStart w:id="8" w:name="_Toc26739"/>
      <w:bookmarkStart w:id="9" w:name="_Toc32760"/>
      <w:r>
        <w:rPr>
          <w:rFonts w:hint="eastAsia" w:ascii="宋体" w:hAnsi="宋体" w:cs="宋体"/>
        </w:rPr>
        <w:t>一、总 则</w:t>
      </w:r>
      <w:bookmarkEnd w:id="8"/>
      <w:bookmarkEnd w:id="9"/>
    </w:p>
    <w:p>
      <w:pPr>
        <w:pStyle w:val="5"/>
        <w:numPr>
          <w:ilvl w:val="0"/>
          <w:numId w:val="9"/>
        </w:numPr>
        <w:spacing w:line="500" w:lineRule="exact"/>
        <w:ind w:firstLine="562" w:firstLineChars="200"/>
        <w:rPr>
          <w:rFonts w:ascii="宋体" w:hAnsi="宋体" w:cs="宋体"/>
          <w:szCs w:val="28"/>
        </w:rPr>
      </w:pPr>
      <w:bookmarkStart w:id="10" w:name="_Toc380336725"/>
      <w:bookmarkStart w:id="11" w:name="_Toc6742"/>
      <w:bookmarkStart w:id="12" w:name="_Toc9257"/>
      <w:bookmarkStart w:id="13" w:name="_Toc358364319"/>
      <w:r>
        <w:rPr>
          <w:rFonts w:hint="eastAsia" w:ascii="宋体" w:hAnsi="宋体" w:cs="宋体"/>
          <w:szCs w:val="28"/>
        </w:rPr>
        <w:t>适用范围</w:t>
      </w:r>
      <w:bookmarkEnd w:id="10"/>
      <w:bookmarkEnd w:id="11"/>
      <w:bookmarkEnd w:id="12"/>
      <w:bookmarkEnd w:id="13"/>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本招标文件适用于本次招标活动的全过程。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本次采购采购人、采购代理机构、供应商、评标委员会的相关行为均受《中华人民共和国政府采购法》及实施条例、财政部规章及政府采购项目所在地有关法规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pPr>
        <w:pStyle w:val="5"/>
        <w:numPr>
          <w:ilvl w:val="0"/>
          <w:numId w:val="9"/>
        </w:numPr>
        <w:spacing w:line="500" w:lineRule="exact"/>
        <w:ind w:firstLine="562" w:firstLineChars="200"/>
        <w:rPr>
          <w:rFonts w:ascii="宋体" w:hAnsi="宋体" w:cs="宋体"/>
          <w:szCs w:val="28"/>
        </w:rPr>
      </w:pPr>
      <w:bookmarkStart w:id="14" w:name="_Toc17676"/>
      <w:bookmarkStart w:id="15" w:name="_Toc358364321"/>
      <w:bookmarkStart w:id="16" w:name="_Toc23781"/>
      <w:bookmarkStart w:id="17" w:name="_Toc380336727"/>
      <w:r>
        <w:rPr>
          <w:rFonts w:hint="eastAsia" w:ascii="宋体" w:hAnsi="宋体" w:cs="宋体"/>
          <w:szCs w:val="28"/>
        </w:rPr>
        <w:t>合格的</w:t>
      </w:r>
      <w:bookmarkEnd w:id="14"/>
      <w:bookmarkEnd w:id="15"/>
      <w:bookmarkEnd w:id="16"/>
      <w:bookmarkEnd w:id="17"/>
      <w:r>
        <w:rPr>
          <w:rFonts w:hint="eastAsia" w:ascii="宋体" w:hAnsi="宋体" w:cs="宋体"/>
          <w:szCs w:val="28"/>
        </w:rPr>
        <w:t>供应商</w:t>
      </w:r>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2.1供应商应遵守有关的国家法律、法规和条例，具备《中华人民共和国政府采购法》和本文件中规定的条件：</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2.2供应商应独立于采购人，不得直接或间接地与采购人为采购本次招标的货物进行设计、编制技术规格和其它文件所委托的咨询公司或其附属机构有任何关联。</w:t>
      </w:r>
    </w:p>
    <w:p>
      <w:pPr>
        <w:tabs>
          <w:tab w:val="left" w:pos="0"/>
        </w:tabs>
        <w:spacing w:line="500" w:lineRule="exact"/>
        <w:ind w:left="420" w:leftChars="200"/>
        <w:jc w:val="left"/>
        <w:rPr>
          <w:rFonts w:ascii="宋体" w:hAnsi="宋体" w:cs="宋体"/>
          <w:kern w:val="0"/>
          <w:sz w:val="24"/>
          <w:szCs w:val="24"/>
        </w:rPr>
      </w:pPr>
      <w:r>
        <w:rPr>
          <w:rFonts w:hint="eastAsia" w:ascii="宋体" w:hAnsi="宋体" w:cs="宋体"/>
          <w:kern w:val="0"/>
          <w:sz w:val="24"/>
          <w:szCs w:val="24"/>
        </w:rPr>
        <w:t>2.3供应商存在下列情形之一，其投标文件按无效文件处理。</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（1）与采购人采购代理机构存在隶属关系或者其他利害关系；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（2）与参与同一合同项下的其他供应商的法定代表人（或者负责人）为同一人，或者与其他供应商存在直接控股、管理关系；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cs="宋体"/>
          <w:kern w:val="0"/>
          <w:sz w:val="24"/>
          <w:szCs w:val="24"/>
        </w:rPr>
        <w:t>。</w:t>
      </w:r>
    </w:p>
    <w:p>
      <w:pPr>
        <w:tabs>
          <w:tab w:val="left" w:pos="0"/>
        </w:tabs>
        <w:spacing w:line="5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在投标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9"/>
        </w:numPr>
        <w:spacing w:line="500" w:lineRule="exact"/>
        <w:ind w:firstLine="562" w:firstLineChars="200"/>
        <w:rPr>
          <w:rFonts w:ascii="宋体" w:hAnsi="宋体" w:cs="宋体"/>
          <w:szCs w:val="28"/>
        </w:rPr>
      </w:pPr>
      <w:bookmarkStart w:id="18" w:name="_Toc22444"/>
      <w:bookmarkStart w:id="19" w:name="_Toc540"/>
      <w:bookmarkStart w:id="20" w:name="_Toc358364322"/>
      <w:bookmarkStart w:id="21" w:name="_Toc380336728"/>
      <w:r>
        <w:rPr>
          <w:rFonts w:hint="eastAsia" w:ascii="宋体" w:hAnsi="宋体" w:cs="宋体"/>
          <w:szCs w:val="28"/>
        </w:rPr>
        <w:t>费用</w:t>
      </w:r>
      <w:bookmarkEnd w:id="18"/>
      <w:bookmarkEnd w:id="19"/>
      <w:bookmarkEnd w:id="20"/>
      <w:bookmarkEnd w:id="21"/>
    </w:p>
    <w:p>
      <w:pPr>
        <w:widowControl/>
        <w:spacing w:line="500" w:lineRule="exact"/>
        <w:ind w:firstLine="480" w:firstLineChars="200"/>
        <w:jc w:val="left"/>
        <w:rPr>
          <w:rFonts w:ascii="宋体" w:hAnsi="宋体" w:cs="宋体"/>
          <w:sz w:val="24"/>
          <w:szCs w:val="24"/>
        </w:rPr>
      </w:pPr>
      <w:bookmarkStart w:id="22" w:name="_Toc5801"/>
      <w:bookmarkStart w:id="23" w:name="_Toc17817"/>
      <w:r>
        <w:rPr>
          <w:rFonts w:hint="eastAsia" w:ascii="宋体" w:hAnsi="宋体" w:cs="宋体"/>
          <w:sz w:val="24"/>
          <w:szCs w:val="24"/>
        </w:rPr>
        <w:t>供应商必须从代理机构获取招标文件，供应商自行转让或复制招标文件视为无效。</w:t>
      </w:r>
    </w:p>
    <w:p>
      <w:pPr>
        <w:spacing w:line="360" w:lineRule="auto"/>
        <w:ind w:firstLine="480" w:firstLineChars="200"/>
        <w:jc w:val="left"/>
        <w:rPr>
          <w:rFonts w:ascii="宋体" w:hAnsi="宋体" w:cs="宋体"/>
          <w:sz w:val="24"/>
        </w:rPr>
      </w:pPr>
      <w:r>
        <w:rPr>
          <w:rFonts w:hint="eastAsia" w:ascii="宋体" w:hAnsi="宋体" w:cs="宋体"/>
          <w:sz w:val="24"/>
        </w:rPr>
        <w:t>无论投标过程和结果如何，供应商自行承担与投标有关的全部费用。</w:t>
      </w:r>
    </w:p>
    <w:p>
      <w:pPr>
        <w:pStyle w:val="5"/>
        <w:numPr>
          <w:ilvl w:val="0"/>
          <w:numId w:val="9"/>
        </w:numPr>
        <w:spacing w:line="500" w:lineRule="exact"/>
        <w:ind w:firstLine="562" w:firstLineChars="200"/>
        <w:rPr>
          <w:rFonts w:ascii="宋体" w:hAnsi="宋体" w:cs="宋体"/>
          <w:szCs w:val="28"/>
        </w:rPr>
      </w:pPr>
      <w:r>
        <w:rPr>
          <w:rFonts w:hint="eastAsia" w:ascii="宋体" w:hAnsi="宋体" w:cs="宋体"/>
          <w:szCs w:val="28"/>
        </w:rPr>
        <w:t>实质性偏离</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投标文件应当对招标文件实质性要求和条件作出满足性或有利于采购人的响应，否则，供应商的投标无效。</w:t>
      </w:r>
    </w:p>
    <w:p>
      <w:pPr>
        <w:pStyle w:val="5"/>
        <w:numPr>
          <w:ilvl w:val="0"/>
          <w:numId w:val="9"/>
        </w:numPr>
        <w:spacing w:line="500" w:lineRule="exact"/>
        <w:ind w:firstLine="562" w:firstLineChars="200"/>
        <w:rPr>
          <w:rFonts w:ascii="宋体" w:hAnsi="宋体" w:cs="宋体"/>
          <w:szCs w:val="28"/>
        </w:rPr>
      </w:pPr>
      <w:bookmarkStart w:id="24" w:name="_Toc217446047"/>
      <w:r>
        <w:rPr>
          <w:rFonts w:hint="eastAsia" w:ascii="宋体" w:hAnsi="宋体" w:cs="宋体"/>
          <w:szCs w:val="28"/>
        </w:rPr>
        <w:t>知识产权</w:t>
      </w:r>
      <w:bookmarkEnd w:id="24"/>
    </w:p>
    <w:p>
      <w:pPr>
        <w:pStyle w:val="13"/>
        <w:spacing w:line="360" w:lineRule="auto"/>
        <w:ind w:left="0" w:leftChars="0" w:firstLine="480" w:firstLineChars="200"/>
        <w:rPr>
          <w:rFonts w:ascii="宋体" w:hAnsi="宋体" w:cs="宋体"/>
          <w:sz w:val="24"/>
          <w:szCs w:val="24"/>
        </w:rPr>
      </w:pPr>
      <w:r>
        <w:rPr>
          <w:rFonts w:hint="eastAsia" w:ascii="宋体" w:hAnsi="宋体" w:cs="宋体"/>
          <w:sz w:val="24"/>
          <w:szCs w:val="24"/>
        </w:rPr>
        <w:t>供应商应当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3"/>
        <w:spacing w:line="360" w:lineRule="auto"/>
        <w:ind w:left="0" w:leftChars="0" w:firstLine="480" w:firstLineChars="200"/>
        <w:rPr>
          <w:rFonts w:ascii="宋体" w:hAnsi="宋体" w:cs="宋体"/>
          <w:sz w:val="24"/>
          <w:szCs w:val="24"/>
        </w:rPr>
      </w:pPr>
      <w:r>
        <w:rPr>
          <w:rFonts w:hint="eastAsia" w:ascii="宋体" w:hAnsi="宋体" w:cs="宋体"/>
          <w:sz w:val="24"/>
          <w:szCs w:val="24"/>
        </w:rPr>
        <w:t>采购人享有本项目实施过程中产生的知识成果及知识产权。</w:t>
      </w:r>
    </w:p>
    <w:p>
      <w:pPr>
        <w:spacing w:line="360" w:lineRule="auto"/>
        <w:ind w:firstLine="480" w:firstLineChars="200"/>
        <w:rPr>
          <w:rFonts w:ascii="宋体" w:hAnsi="宋体" w:cs="宋体"/>
          <w:sz w:val="24"/>
          <w:szCs w:val="24"/>
        </w:rPr>
      </w:pPr>
      <w:r>
        <w:rPr>
          <w:rFonts w:hint="eastAsia" w:ascii="宋体" w:hAnsi="宋体" w:cs="宋体"/>
          <w:sz w:val="24"/>
          <w:szCs w:val="24"/>
        </w:rPr>
        <w:t>供应商如欲在项目实施过程中采用自有知识成果，需在投标文件中声明，并提供相关知识产权证明文件。使用该知识成果后，供应商需提供开发接口和开发手册等技术文档，并承诺提供无限期技术支持，采购人享有永久使用权。</w:t>
      </w:r>
    </w:p>
    <w:p>
      <w:pPr>
        <w:spacing w:line="360" w:lineRule="auto"/>
        <w:ind w:firstLine="480" w:firstLineChars="200"/>
        <w:rPr>
          <w:rFonts w:ascii="宋体" w:hAnsi="宋体" w:cs="宋体"/>
          <w:sz w:val="24"/>
          <w:szCs w:val="24"/>
        </w:rPr>
      </w:pPr>
      <w:r>
        <w:rPr>
          <w:rFonts w:hint="eastAsia" w:ascii="宋体" w:hAnsi="宋体" w:cs="宋体"/>
          <w:sz w:val="24"/>
          <w:szCs w:val="24"/>
        </w:rPr>
        <w:t>如采用供应商所不拥有的知识产权，则在投标报价中必须包括合法获取该知识产权的相关费用。</w:t>
      </w:r>
    </w:p>
    <w:p>
      <w:pPr>
        <w:pStyle w:val="28"/>
      </w:pPr>
    </w:p>
    <w:p>
      <w:pPr>
        <w:pStyle w:val="28"/>
      </w:pPr>
    </w:p>
    <w:bookmarkEnd w:id="22"/>
    <w:bookmarkEnd w:id="23"/>
    <w:p>
      <w:pPr>
        <w:spacing w:line="360" w:lineRule="auto"/>
        <w:jc w:val="left"/>
        <w:rPr>
          <w:rFonts w:ascii="宋体" w:hAnsi="宋体" w:cs="宋体"/>
          <w:kern w:val="0"/>
          <w:sz w:val="24"/>
          <w:szCs w:val="24"/>
        </w:rPr>
      </w:pPr>
      <w:bookmarkStart w:id="25" w:name="_Toc7144"/>
    </w:p>
    <w:p>
      <w:pPr>
        <w:rPr>
          <w:rFonts w:ascii="宋体" w:hAnsi="宋体" w:cs="宋体"/>
        </w:rPr>
      </w:pPr>
      <w:r>
        <w:rPr>
          <w:rFonts w:hint="eastAsia" w:ascii="宋体" w:hAnsi="宋体" w:cs="宋体"/>
        </w:rPr>
        <w:br w:type="page"/>
      </w:r>
    </w:p>
    <w:p>
      <w:pPr>
        <w:pStyle w:val="4"/>
        <w:numPr>
          <w:ilvl w:val="0"/>
          <w:numId w:val="11"/>
        </w:numPr>
        <w:jc w:val="center"/>
        <w:rPr>
          <w:rFonts w:ascii="宋体" w:hAnsi="宋体" w:cs="宋体"/>
          <w:sz w:val="36"/>
          <w:szCs w:val="28"/>
        </w:rPr>
      </w:pPr>
      <w:bookmarkStart w:id="26" w:name="_Toc4244"/>
      <w:r>
        <w:rPr>
          <w:rFonts w:hint="eastAsia" w:ascii="宋体" w:hAnsi="宋体" w:cs="宋体"/>
          <w:sz w:val="36"/>
          <w:szCs w:val="28"/>
        </w:rPr>
        <w:t>招标文件</w:t>
      </w:r>
      <w:bookmarkEnd w:id="25"/>
      <w:bookmarkEnd w:id="26"/>
    </w:p>
    <w:p>
      <w:pPr>
        <w:pStyle w:val="5"/>
        <w:keepNext w:val="0"/>
        <w:keepLines w:val="0"/>
        <w:numPr>
          <w:ilvl w:val="0"/>
          <w:numId w:val="12"/>
        </w:numPr>
        <w:spacing w:line="500" w:lineRule="exact"/>
        <w:ind w:firstLine="562" w:firstLineChars="200"/>
        <w:rPr>
          <w:rFonts w:ascii="宋体" w:hAnsi="宋体" w:cs="宋体"/>
          <w:szCs w:val="28"/>
        </w:rPr>
      </w:pPr>
      <w:r>
        <w:rPr>
          <w:rFonts w:hint="eastAsia" w:ascii="宋体" w:hAnsi="宋体" w:cs="宋体"/>
          <w:szCs w:val="28"/>
        </w:rPr>
        <w:t>招标文件的构成</w:t>
      </w:r>
    </w:p>
    <w:p>
      <w:pPr>
        <w:tabs>
          <w:tab w:val="left" w:pos="0"/>
        </w:tabs>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1.1 招标文件是供应商准备投标文件和参加投标的依据，同时也是评标的重要依据，具有准法律文件性质。本招标文件包括以下内容：</w:t>
      </w:r>
    </w:p>
    <w:p>
      <w:pPr>
        <w:numPr>
          <w:ilvl w:val="0"/>
          <w:numId w:val="13"/>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公开招标公告；</w:t>
      </w:r>
    </w:p>
    <w:p>
      <w:pPr>
        <w:numPr>
          <w:ilvl w:val="0"/>
          <w:numId w:val="13"/>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供应商须知前附表；</w:t>
      </w:r>
    </w:p>
    <w:p>
      <w:pPr>
        <w:numPr>
          <w:ilvl w:val="0"/>
          <w:numId w:val="13"/>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供应商须知；</w:t>
      </w:r>
    </w:p>
    <w:p>
      <w:pPr>
        <w:numPr>
          <w:ilvl w:val="0"/>
          <w:numId w:val="13"/>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评标方法；</w:t>
      </w:r>
    </w:p>
    <w:p>
      <w:pPr>
        <w:numPr>
          <w:ilvl w:val="0"/>
          <w:numId w:val="13"/>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采购要求；</w:t>
      </w:r>
    </w:p>
    <w:p>
      <w:pPr>
        <w:numPr>
          <w:ilvl w:val="0"/>
          <w:numId w:val="13"/>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合同条款；</w:t>
      </w:r>
    </w:p>
    <w:p>
      <w:pPr>
        <w:numPr>
          <w:ilvl w:val="0"/>
          <w:numId w:val="13"/>
        </w:numPr>
        <w:tabs>
          <w:tab w:val="left" w:pos="0"/>
        </w:tabs>
        <w:adjustRightInd w:val="0"/>
        <w:snapToGrid w:val="0"/>
        <w:spacing w:line="500" w:lineRule="exact"/>
        <w:jc w:val="left"/>
        <w:rPr>
          <w:rFonts w:ascii="宋体" w:hAnsi="宋体" w:cs="宋体"/>
          <w:sz w:val="24"/>
          <w:szCs w:val="24"/>
        </w:rPr>
      </w:pPr>
      <w:r>
        <w:rPr>
          <w:rFonts w:hint="eastAsia" w:ascii="宋体" w:hAnsi="宋体" w:cs="宋体"/>
          <w:sz w:val="24"/>
          <w:szCs w:val="24"/>
        </w:rPr>
        <w:t>投标文件格式。</w:t>
      </w:r>
    </w:p>
    <w:p>
      <w:pPr>
        <w:tabs>
          <w:tab w:val="left" w:pos="0"/>
        </w:tabs>
        <w:adjustRightInd w:val="0"/>
        <w:snapToGrid w:val="0"/>
        <w:spacing w:line="500" w:lineRule="exact"/>
        <w:ind w:firstLine="480" w:firstLineChars="200"/>
        <w:jc w:val="left"/>
        <w:rPr>
          <w:rFonts w:ascii="宋体" w:hAnsi="宋体" w:cs="宋体"/>
          <w:sz w:val="24"/>
          <w:szCs w:val="24"/>
        </w:rPr>
      </w:pPr>
      <w:r>
        <w:rPr>
          <w:rFonts w:hint="eastAsia" w:ascii="宋体" w:hAnsi="宋体" w:cs="宋体"/>
          <w:color w:val="000000"/>
          <w:sz w:val="24"/>
          <w:szCs w:val="24"/>
        </w:rPr>
        <w:t>1.2</w:t>
      </w:r>
      <w:r>
        <w:rPr>
          <w:rFonts w:hint="eastAsia" w:ascii="宋体" w:hAnsi="宋体" w:cs="宋体"/>
          <w:sz w:val="24"/>
          <w:szCs w:val="24"/>
        </w:rPr>
        <w:t>供应商应认真阅读招标文件中所有的条款、事项、格式和技术规范、参数及要求等。供应商没有按照招标文件要求提交全部资料，或者没有对招标文件在各方面都作出实质性响应，将导致其投标被拒绝或被认定为无效投标。</w:t>
      </w:r>
    </w:p>
    <w:p>
      <w:pPr>
        <w:pStyle w:val="5"/>
        <w:keepNext w:val="0"/>
        <w:keepLines w:val="0"/>
        <w:numPr>
          <w:ilvl w:val="0"/>
          <w:numId w:val="12"/>
        </w:numPr>
        <w:spacing w:line="500" w:lineRule="exact"/>
        <w:ind w:firstLine="562" w:firstLineChars="200"/>
        <w:rPr>
          <w:rFonts w:ascii="宋体" w:hAnsi="宋体" w:cs="宋体"/>
          <w:szCs w:val="28"/>
        </w:rPr>
      </w:pPr>
      <w:bookmarkStart w:id="27" w:name="_Toc19797"/>
      <w:r>
        <w:rPr>
          <w:rFonts w:hint="eastAsia" w:ascii="宋体" w:hAnsi="宋体" w:cs="宋体"/>
          <w:szCs w:val="28"/>
        </w:rPr>
        <w:t>招标文件的澄清</w:t>
      </w:r>
      <w:bookmarkEnd w:id="27"/>
    </w:p>
    <w:p>
      <w:pPr>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2.1 供应商应认真阅读和充分理解招标文件中所有的事项，如有问题或疑义请及时函告。否则，视为同意招标文件的一切条款和要求并承担由此引起的一切法律责任。凡因供应商对招标文件阅读不深、理解不透、误解、疏漏、或因市场行情了解不清造成的后果和风险均由供应商自行承担。</w:t>
      </w:r>
    </w:p>
    <w:p>
      <w:pPr>
        <w:tabs>
          <w:tab w:val="left" w:pos="0"/>
        </w:tabs>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2.2 任何对招标文件进行询问或要求进行澄清的供应商，均应在收到招标文件后七个工作日内按公开招标文件中的通讯地址以书面形式递交代理机构，采购人或代理机构对收到的任何询问或澄清要求将作出书面答复。</w:t>
      </w:r>
    </w:p>
    <w:p>
      <w:pPr>
        <w:pStyle w:val="5"/>
        <w:keepNext w:val="0"/>
        <w:keepLines w:val="0"/>
        <w:numPr>
          <w:ilvl w:val="0"/>
          <w:numId w:val="12"/>
        </w:numPr>
        <w:spacing w:line="500" w:lineRule="exact"/>
        <w:ind w:firstLine="562" w:firstLineChars="200"/>
        <w:rPr>
          <w:rFonts w:ascii="宋体" w:hAnsi="宋体" w:cs="宋体"/>
          <w:szCs w:val="28"/>
        </w:rPr>
      </w:pPr>
      <w:bookmarkStart w:id="28" w:name="_Toc6390"/>
      <w:r>
        <w:rPr>
          <w:rFonts w:hint="eastAsia" w:ascii="宋体" w:hAnsi="宋体" w:cs="宋体"/>
          <w:szCs w:val="28"/>
        </w:rPr>
        <w:t>招标文件的修改</w:t>
      </w:r>
      <w:bookmarkEnd w:id="28"/>
    </w:p>
    <w:p>
      <w:pPr>
        <w:tabs>
          <w:tab w:val="left" w:pos="0"/>
        </w:tabs>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3.1 在投标截止时间十五日前，无论出于何种原因，代理机构可主动地或在解答供应商提出的澄清问题时，对招标文件进行修改。招标文件的澄清和修改将以书面形式通知所有供应商，并作为招标文件的补充，与其具有同等法律效力。</w:t>
      </w:r>
    </w:p>
    <w:p>
      <w:pPr>
        <w:tabs>
          <w:tab w:val="left" w:pos="0"/>
        </w:tabs>
        <w:adjustRightInd w:val="0"/>
        <w:snapToGrid w:val="0"/>
        <w:spacing w:line="500" w:lineRule="exact"/>
        <w:ind w:firstLine="480" w:firstLineChars="200"/>
        <w:jc w:val="left"/>
        <w:rPr>
          <w:rFonts w:ascii="宋体" w:hAnsi="宋体" w:cs="宋体"/>
          <w:b/>
          <w:bCs/>
          <w:color w:val="FF0000"/>
          <w:sz w:val="24"/>
          <w:szCs w:val="24"/>
        </w:rPr>
      </w:pPr>
      <w:r>
        <w:rPr>
          <w:rFonts w:hint="eastAsia" w:ascii="宋体" w:hAnsi="宋体" w:cs="宋体"/>
          <w:sz w:val="24"/>
          <w:szCs w:val="24"/>
        </w:rPr>
        <w:t>3.2 为方便供应商对招标文件修改或澄清内容有充分的时间进行补充修改，代理机构可适当延长投标截止时间和开标时间，在招标文件要求提交投标文件的截止日期前，将变更时间书面通知所有购买招标文件的供应商。</w:t>
      </w:r>
    </w:p>
    <w:p>
      <w:pPr>
        <w:pStyle w:val="5"/>
        <w:numPr>
          <w:ilvl w:val="0"/>
          <w:numId w:val="12"/>
        </w:numPr>
        <w:spacing w:line="500" w:lineRule="exact"/>
        <w:ind w:firstLine="562" w:firstLineChars="200"/>
        <w:rPr>
          <w:rFonts w:ascii="宋体" w:hAnsi="宋体" w:cs="宋体"/>
          <w:szCs w:val="28"/>
        </w:rPr>
      </w:pPr>
      <w:bookmarkStart w:id="29" w:name="_Toc5095"/>
      <w:r>
        <w:rPr>
          <w:rFonts w:hint="eastAsia" w:ascii="宋体" w:hAnsi="宋体" w:cs="宋体"/>
          <w:szCs w:val="28"/>
        </w:rPr>
        <w:t>招标文件的解释权归代理机构</w:t>
      </w:r>
      <w:bookmarkEnd w:id="29"/>
    </w:p>
    <w:p>
      <w:pPr>
        <w:pStyle w:val="5"/>
        <w:numPr>
          <w:ilvl w:val="0"/>
          <w:numId w:val="12"/>
        </w:numPr>
        <w:spacing w:line="360" w:lineRule="auto"/>
        <w:ind w:firstLine="562" w:firstLineChars="200"/>
        <w:rPr>
          <w:rFonts w:ascii="宋体" w:hAnsi="宋体" w:cs="宋体"/>
          <w:szCs w:val="28"/>
        </w:rPr>
      </w:pPr>
      <w:r>
        <w:rPr>
          <w:rFonts w:hint="eastAsia" w:ascii="宋体" w:hAnsi="宋体" w:cs="宋体"/>
          <w:szCs w:val="28"/>
        </w:rPr>
        <w:t>落实的政府采购政策</w:t>
      </w:r>
    </w:p>
    <w:p>
      <w:pPr>
        <w:tabs>
          <w:tab w:val="left" w:pos="0"/>
        </w:tabs>
        <w:adjustRightInd w:val="0"/>
        <w:snapToGrid w:val="0"/>
        <w:spacing w:line="500" w:lineRule="exact"/>
        <w:ind w:firstLine="480" w:firstLineChars="200"/>
        <w:jc w:val="left"/>
        <w:rPr>
          <w:rFonts w:hAnsi="宋体" w:cs="宋体"/>
          <w:sz w:val="24"/>
          <w:szCs w:val="24"/>
        </w:rPr>
      </w:pPr>
      <w:r>
        <w:rPr>
          <w:rFonts w:hint="eastAsia" w:hAnsi="宋体" w:cs="宋体"/>
          <w:sz w:val="24"/>
          <w:szCs w:val="24"/>
        </w:rPr>
        <w:t>5.1节能产品、环境标志产品</w:t>
      </w:r>
    </w:p>
    <w:p>
      <w:pPr>
        <w:tabs>
          <w:tab w:val="left" w:pos="0"/>
        </w:tabs>
        <w:adjustRightInd w:val="0"/>
        <w:snapToGrid w:val="0"/>
        <w:spacing w:line="500" w:lineRule="exact"/>
        <w:ind w:firstLine="480" w:firstLineChars="200"/>
        <w:jc w:val="left"/>
        <w:rPr>
          <w:rFonts w:hAnsi="宋体" w:cs="宋体"/>
          <w:sz w:val="24"/>
          <w:szCs w:val="24"/>
        </w:rPr>
      </w:pPr>
      <w:r>
        <w:rPr>
          <w:rFonts w:hint="eastAsia" w:hAnsi="宋体" w:cs="宋体"/>
          <w:sz w:val="24"/>
          <w:szCs w:val="24"/>
        </w:rPr>
        <w:t xml:space="preserve"> 供应商所投产品，将依据《节能产品、环境标志产品品目清单》和认证证书实施政府优先采购和强制采购。</w:t>
      </w:r>
    </w:p>
    <w:p>
      <w:pPr>
        <w:tabs>
          <w:tab w:val="left" w:pos="0"/>
        </w:tabs>
        <w:adjustRightInd w:val="0"/>
        <w:snapToGrid w:val="0"/>
        <w:spacing w:line="500" w:lineRule="exact"/>
        <w:ind w:firstLine="480" w:firstLineChars="200"/>
        <w:jc w:val="left"/>
        <w:rPr>
          <w:rFonts w:hAnsi="宋体" w:cs="宋体"/>
          <w:sz w:val="24"/>
          <w:szCs w:val="24"/>
        </w:rPr>
      </w:pPr>
      <w:r>
        <w:rPr>
          <w:rFonts w:hint="eastAsia" w:hAnsi="宋体" w:cs="宋体"/>
          <w:sz w:val="24"/>
          <w:szCs w:val="24"/>
        </w:rPr>
        <w:t>供应商可以提供所投产品经国家确定的认证机构出具的、处于有效期之内的节能产品、环境标志产品认证证书复印件。采购代理机构通过中国政府采购网（http：//www.ccgp.gov.cn/）对获证产品信息进行核对。</w:t>
      </w:r>
    </w:p>
    <w:p>
      <w:pPr>
        <w:tabs>
          <w:tab w:val="left" w:pos="0"/>
        </w:tabs>
        <w:adjustRightInd w:val="0"/>
        <w:snapToGrid w:val="0"/>
        <w:spacing w:line="500" w:lineRule="exact"/>
        <w:ind w:firstLine="480" w:firstLineChars="200"/>
        <w:jc w:val="left"/>
        <w:rPr>
          <w:rFonts w:hAnsi="宋体" w:cs="宋体"/>
          <w:sz w:val="24"/>
          <w:szCs w:val="24"/>
        </w:rPr>
      </w:pPr>
      <w:r>
        <w:rPr>
          <w:rFonts w:hint="eastAsia" w:hAnsi="宋体" w:cs="宋体"/>
          <w:sz w:val="24"/>
          <w:szCs w:val="24"/>
        </w:rPr>
        <w:t>5.2中小企业</w:t>
      </w:r>
    </w:p>
    <w:p>
      <w:pPr>
        <w:tabs>
          <w:tab w:val="left" w:pos="0"/>
        </w:tabs>
        <w:adjustRightInd w:val="0"/>
        <w:snapToGrid w:val="0"/>
        <w:spacing w:line="500" w:lineRule="exact"/>
        <w:ind w:firstLine="480" w:firstLineChars="200"/>
        <w:jc w:val="left"/>
        <w:rPr>
          <w:rFonts w:hAnsi="宋体" w:cs="宋体"/>
          <w:sz w:val="24"/>
          <w:szCs w:val="24"/>
        </w:rPr>
      </w:pPr>
      <w:r>
        <w:rPr>
          <w:rFonts w:hint="eastAsia" w:hAnsi="宋体" w:cs="宋体"/>
          <w:sz w:val="24"/>
          <w:szCs w:val="24"/>
        </w:rPr>
        <w:t>如项目专门面向中小企业，在货物采购项目中，货物由中小企业制造，即货物由中小企业生产且使用该中小企业商号或者注册商标，无论供应商本身是否属于中小企业，视为中小企业；在工程采购项目中，工程由中小企业承建，即工程施工单位为中小企业；在服务采购项目中，服务由中小企业承接，视为中小企业。符合中小企业政策条件的供应商参加政府采购活动，应当提供《中小企业声明函》（见附件二）。</w:t>
      </w:r>
    </w:p>
    <w:p>
      <w:pPr>
        <w:tabs>
          <w:tab w:val="left" w:pos="0"/>
        </w:tabs>
        <w:adjustRightInd w:val="0"/>
        <w:snapToGrid w:val="0"/>
        <w:spacing w:line="50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如项目非专门面向中小企业，在货物采购项目中，货物由小微企业制造，即货物由小微企业生产且使用该小微企业商号或者注册商标，无论供应商本身是否属于小微企业，符合小微企业政策条件。在工程采购项目中，工程由小微企业承建，即工程施工单位为小微企业，符合小微企业政策条件；在服务采购项目中，服务由小微企业承接，视为小微企业。符合中小企业政策条件的供应商参加政府采购活动，应当提供《中小企业声明函》（见附件二），不提供的在评标时不享受价格扣除优惠政策。货物和服务项目，对小型和微型企业的价格给予</w:t>
      </w:r>
      <w:r>
        <w:rPr>
          <w:rFonts w:hint="eastAsia" w:hAnsi="宋体" w:cs="宋体"/>
          <w:sz w:val="24"/>
          <w:szCs w:val="24"/>
          <w:lang w:val="en-US" w:eastAsia="zh-CN"/>
        </w:rPr>
        <w:t>10</w:t>
      </w:r>
      <w:r>
        <w:rPr>
          <w:rFonts w:hint="eastAsia" w:hAnsi="宋体" w:cs="宋体"/>
          <w:sz w:val="24"/>
          <w:szCs w:val="24"/>
        </w:rPr>
        <w:t>%～</w:t>
      </w:r>
      <w:r>
        <w:rPr>
          <w:rFonts w:hint="eastAsia" w:hAnsi="宋体" w:cs="宋体"/>
          <w:sz w:val="24"/>
          <w:szCs w:val="24"/>
          <w:lang w:val="en-US" w:eastAsia="zh-CN"/>
        </w:rPr>
        <w:t>2</w:t>
      </w:r>
      <w:r>
        <w:rPr>
          <w:rFonts w:hint="eastAsia" w:hAnsi="宋体" w:cs="宋体"/>
          <w:sz w:val="24"/>
          <w:szCs w:val="24"/>
        </w:rPr>
        <w:t>0%的扣除，用扣除后的价格参与评审</w:t>
      </w:r>
      <w:r>
        <w:rPr>
          <w:rFonts w:hint="eastAsia" w:hAnsi="宋体" w:cs="宋体"/>
          <w:b/>
          <w:bCs/>
          <w:sz w:val="24"/>
          <w:szCs w:val="24"/>
        </w:rPr>
        <w:t>。</w:t>
      </w:r>
      <w:r>
        <w:rPr>
          <w:rFonts w:hint="eastAsia" w:hAnsi="宋体" w:cs="宋体"/>
          <w:b w:val="0"/>
          <w:bCs w:val="0"/>
          <w:sz w:val="24"/>
          <w:szCs w:val="24"/>
        </w:rPr>
        <w:t>工程项目，</w:t>
      </w:r>
      <w:r>
        <w:rPr>
          <w:rFonts w:hint="eastAsia" w:hAnsi="宋体" w:cs="宋体"/>
          <w:sz w:val="24"/>
          <w:szCs w:val="24"/>
        </w:rPr>
        <w:t>对小型和微型企业的价格给予3%～5%的扣除，用扣除后的价格参与评审。</w:t>
      </w:r>
      <w:r>
        <w:rPr>
          <w:rFonts w:hint="eastAsia" w:hAnsi="宋体" w:cs="宋体"/>
          <w:b/>
          <w:bCs/>
          <w:sz w:val="24"/>
          <w:szCs w:val="24"/>
        </w:rPr>
        <w:t xml:space="preserve"> </w:t>
      </w:r>
      <w:r>
        <w:rPr>
          <w:rFonts w:hint="eastAsia" w:hAnsi="宋体" w:cs="宋体"/>
          <w:b/>
          <w:bCs/>
          <w:sz w:val="24"/>
          <w:szCs w:val="24"/>
          <w:lang w:eastAsia="zh-CN"/>
        </w:rPr>
        <w:t>本项目价格扣除比例为</w:t>
      </w:r>
      <w:r>
        <w:rPr>
          <w:rFonts w:hint="eastAsia" w:hAnsi="宋体" w:cs="宋体"/>
          <w:b/>
          <w:bCs/>
          <w:sz w:val="24"/>
          <w:szCs w:val="24"/>
          <w:lang w:val="en-US" w:eastAsia="zh-CN"/>
        </w:rPr>
        <w:t>10%。</w:t>
      </w:r>
    </w:p>
    <w:p>
      <w:pPr>
        <w:tabs>
          <w:tab w:val="left" w:pos="0"/>
        </w:tabs>
        <w:adjustRightInd w:val="0"/>
        <w:snapToGrid w:val="0"/>
        <w:spacing w:line="500" w:lineRule="exact"/>
        <w:ind w:firstLine="480" w:firstLineChars="200"/>
        <w:jc w:val="left"/>
        <w:rPr>
          <w:rFonts w:hAnsi="宋体" w:cs="宋体"/>
          <w:sz w:val="24"/>
          <w:szCs w:val="24"/>
        </w:rPr>
      </w:pPr>
      <w:r>
        <w:rPr>
          <w:rFonts w:hint="eastAsia" w:hAnsi="宋体" w:cs="宋体"/>
          <w:sz w:val="24"/>
          <w:szCs w:val="24"/>
        </w:rPr>
        <w:t>5.2依据《财政部、司法部关于政府采购支持监狱企业发展有关问题的通知》（财库〔2014〕68号）之规定，监狱企业参加政府采购活动，视同小微企业。应当提供由省级以上监狱管理局、戒毒管理局出具的属于监狱企业的证明文件，在评审时享受小微企业政策。未提供或出具证明文件的单位不符合相关要求的，不视为小微企业。</w:t>
      </w:r>
    </w:p>
    <w:p>
      <w:pPr>
        <w:tabs>
          <w:tab w:val="left" w:pos="0"/>
        </w:tabs>
        <w:adjustRightInd w:val="0"/>
        <w:snapToGrid w:val="0"/>
        <w:spacing w:line="500" w:lineRule="exact"/>
        <w:ind w:firstLine="480" w:firstLineChars="200"/>
        <w:jc w:val="left"/>
        <w:rPr>
          <w:rFonts w:hAnsi="宋体" w:cs="宋体"/>
          <w:sz w:val="24"/>
          <w:szCs w:val="24"/>
        </w:rPr>
      </w:pPr>
      <w:r>
        <w:rPr>
          <w:rFonts w:hint="eastAsia" w:hAnsi="宋体" w:cs="宋体"/>
          <w:sz w:val="24"/>
          <w:szCs w:val="24"/>
        </w:rPr>
        <w:t>5.3依据《财政部、民政部、中国残疾人联合会关于促进残疾人就业政府采购政策的通知》（财库〔2017〕141号）之规定，残疾人福利性单位参加政府采购活动，视同小微企业，应当提供《残疾人福利性单位声明函》，在评审时享受小微企业政策。未提供的不视为小微企业。</w:t>
      </w:r>
    </w:p>
    <w:p>
      <w:pPr>
        <w:tabs>
          <w:tab w:val="left" w:pos="0"/>
        </w:tabs>
        <w:adjustRightInd w:val="0"/>
        <w:snapToGrid w:val="0"/>
        <w:spacing w:line="500" w:lineRule="exact"/>
        <w:ind w:firstLine="480" w:firstLineChars="200"/>
        <w:jc w:val="left"/>
        <w:rPr>
          <w:rFonts w:hAnsi="宋体" w:cs="宋体"/>
          <w:sz w:val="24"/>
          <w:szCs w:val="24"/>
        </w:rPr>
      </w:pPr>
      <w:r>
        <w:rPr>
          <w:rFonts w:hint="eastAsia" w:hAnsi="宋体" w:cs="宋体"/>
          <w:sz w:val="24"/>
          <w:szCs w:val="24"/>
        </w:rPr>
        <w:t>残疾人福利性单位属于小微企业的，不重复享受政策。</w:t>
      </w:r>
    </w:p>
    <w:p>
      <w:pPr>
        <w:tabs>
          <w:tab w:val="left" w:pos="0"/>
        </w:tabs>
        <w:adjustRightInd w:val="0"/>
        <w:snapToGrid w:val="0"/>
        <w:spacing w:line="500" w:lineRule="exact"/>
        <w:ind w:firstLine="480" w:firstLineChars="200"/>
        <w:jc w:val="left"/>
        <w:rPr>
          <w:rFonts w:hAnsi="宋体" w:cs="宋体"/>
          <w:sz w:val="24"/>
          <w:szCs w:val="24"/>
        </w:rPr>
      </w:pPr>
      <w:r>
        <w:rPr>
          <w:rFonts w:hint="eastAsia" w:hAnsi="宋体" w:cs="宋体"/>
          <w:sz w:val="24"/>
          <w:szCs w:val="24"/>
        </w:rPr>
        <w:t>供应商提供的《中小企业声明函》或者《残疾人福利性单位声明函》存在明显错误的，评标委员会可以要求供应商作出澄清；澄清后，符合小微企业条件的，供应商可以享受价格扣除优惠政策；否则，不享受价格扣除优惠政策。</w:t>
      </w:r>
    </w:p>
    <w:p>
      <w:pPr>
        <w:tabs>
          <w:tab w:val="left" w:pos="0"/>
        </w:tabs>
        <w:adjustRightInd w:val="0"/>
        <w:snapToGrid w:val="0"/>
        <w:spacing w:line="500" w:lineRule="exact"/>
        <w:ind w:firstLine="480" w:firstLineChars="200"/>
        <w:jc w:val="left"/>
        <w:rPr>
          <w:rFonts w:hAnsi="宋体" w:cs="宋体"/>
          <w:sz w:val="24"/>
          <w:szCs w:val="24"/>
        </w:rPr>
      </w:pPr>
      <w:r>
        <w:rPr>
          <w:rFonts w:hint="eastAsia" w:hAnsi="宋体" w:cs="宋体"/>
          <w:sz w:val="24"/>
          <w:szCs w:val="24"/>
        </w:rPr>
        <w:t>享受中小企业扶持政策的供应商可以同时享受节能产品、环境标志产品优先采购政策。</w:t>
      </w:r>
    </w:p>
    <w:p>
      <w:pPr>
        <w:tabs>
          <w:tab w:val="left" w:pos="0"/>
        </w:tabs>
        <w:adjustRightInd w:val="0"/>
        <w:snapToGrid w:val="0"/>
        <w:spacing w:line="500" w:lineRule="exact"/>
        <w:ind w:firstLine="480" w:firstLineChars="200"/>
        <w:jc w:val="left"/>
        <w:rPr>
          <w:rFonts w:hAnsi="宋体" w:cs="宋体"/>
          <w:sz w:val="24"/>
          <w:szCs w:val="24"/>
        </w:rPr>
      </w:pPr>
      <w:r>
        <w:rPr>
          <w:rFonts w:hint="eastAsia" w:hAnsi="宋体" w:cs="宋体"/>
          <w:sz w:val="24"/>
          <w:szCs w:val="24"/>
        </w:rPr>
        <w:t>政府采购监督检查、投诉处理及政府采购行政处罚中对中小企业的认定，由货物制造商注册登记所在地的县级以上人民政府中小企业主管部门负责。</w:t>
      </w:r>
    </w:p>
    <w:p>
      <w:pPr>
        <w:tabs>
          <w:tab w:val="left" w:pos="0"/>
        </w:tabs>
        <w:adjustRightInd w:val="0"/>
        <w:snapToGrid w:val="0"/>
        <w:spacing w:line="500" w:lineRule="exact"/>
        <w:ind w:firstLine="480" w:firstLineChars="200"/>
        <w:jc w:val="left"/>
        <w:rPr>
          <w:sz w:val="24"/>
          <w:szCs w:val="24"/>
        </w:rPr>
        <w:sectPr>
          <w:footerReference r:id="rId8" w:type="default"/>
          <w:pgSz w:w="11906" w:h="16838"/>
          <w:pgMar w:top="1440" w:right="1706" w:bottom="1440" w:left="1800" w:header="851" w:footer="992" w:gutter="0"/>
          <w:pgNumType w:fmt="decimal"/>
          <w:cols w:space="720" w:num="1"/>
          <w:docGrid w:type="lines" w:linePitch="312" w:charSpace="0"/>
        </w:sectPr>
      </w:pPr>
      <w:r>
        <w:rPr>
          <w:rFonts w:hint="eastAsia" w:ascii="宋体" w:hAnsi="宋体" w:cs="宋体"/>
          <w:sz w:val="24"/>
          <w:szCs w:val="24"/>
        </w:rPr>
        <w:t>5.4供应商有融资、担保需求的，具体办理流程按照财政部门及相关政策执行（陕西省财政厅关于印发《陕西省中小企业政府采购信用融资办法》（陕财办采〔2018〕23号））。</w:t>
      </w:r>
    </w:p>
    <w:p>
      <w:pPr>
        <w:pStyle w:val="4"/>
        <w:jc w:val="center"/>
        <w:rPr>
          <w:rFonts w:ascii="宋体" w:hAnsi="宋体" w:cs="宋体"/>
          <w:sz w:val="36"/>
          <w:szCs w:val="28"/>
        </w:rPr>
      </w:pPr>
      <w:bookmarkStart w:id="30" w:name="_Toc15601"/>
      <w:bookmarkStart w:id="31" w:name="_Toc25188"/>
      <w:r>
        <w:rPr>
          <w:rFonts w:hint="eastAsia" w:ascii="宋体" w:hAnsi="宋体" w:cs="宋体"/>
          <w:sz w:val="36"/>
          <w:szCs w:val="28"/>
        </w:rPr>
        <w:t>三、投标文件</w:t>
      </w:r>
      <w:bookmarkEnd w:id="30"/>
      <w:bookmarkEnd w:id="31"/>
    </w:p>
    <w:p>
      <w:pPr>
        <w:pStyle w:val="5"/>
        <w:numPr>
          <w:ilvl w:val="0"/>
          <w:numId w:val="14"/>
        </w:numPr>
        <w:spacing w:line="500" w:lineRule="exact"/>
        <w:ind w:firstLine="562" w:firstLineChars="200"/>
        <w:rPr>
          <w:rFonts w:ascii="宋体" w:hAnsi="宋体" w:cs="宋体"/>
          <w:szCs w:val="28"/>
        </w:rPr>
      </w:pPr>
      <w:bookmarkStart w:id="32" w:name="_Toc17549"/>
      <w:r>
        <w:rPr>
          <w:rFonts w:hint="eastAsia" w:ascii="宋体" w:hAnsi="宋体" w:cs="宋体"/>
          <w:szCs w:val="28"/>
        </w:rPr>
        <w:t>投标文件的编制</w:t>
      </w:r>
      <w:bookmarkEnd w:id="32"/>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 xml:space="preserve"> 供应商需依据招标文件内容和投标文件格式的要求编制投标文件，具体内容参见“第七部分 投标文件格式”。</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投标文件规格幅面（A4），</w:t>
      </w:r>
      <w:r>
        <w:rPr>
          <w:rFonts w:hint="eastAsia" w:ascii="宋体" w:hAnsi="宋体" w:cs="宋体"/>
          <w:b/>
          <w:bCs/>
          <w:sz w:val="24"/>
          <w:szCs w:val="24"/>
        </w:rPr>
        <w:t>推荐采用双面打印</w:t>
      </w:r>
      <w:r>
        <w:rPr>
          <w:rFonts w:hint="eastAsia" w:ascii="宋体" w:hAnsi="宋体" w:cs="宋体"/>
          <w:sz w:val="24"/>
          <w:szCs w:val="24"/>
        </w:rPr>
        <w:t>，按照招标文件所规定的内容顺序，统一编目、编页码装订，由于编排混乱导致投标文件被误读或查找不到，其责任应当由供应商承担。装订必须采用胶装形式，不得采用活页装订，必须编排页码。</w:t>
      </w:r>
    </w:p>
    <w:p>
      <w:pPr>
        <w:pStyle w:val="5"/>
        <w:numPr>
          <w:ilvl w:val="0"/>
          <w:numId w:val="14"/>
        </w:numPr>
        <w:spacing w:line="500" w:lineRule="exact"/>
        <w:ind w:firstLine="482" w:firstLineChars="200"/>
        <w:rPr>
          <w:rFonts w:ascii="宋体" w:hAnsi="宋体" w:cs="宋体"/>
          <w:sz w:val="24"/>
          <w:szCs w:val="24"/>
        </w:rPr>
      </w:pPr>
      <w:bookmarkStart w:id="33" w:name="_Toc27646"/>
      <w:bookmarkStart w:id="34" w:name="_Toc1311"/>
      <w:r>
        <w:rPr>
          <w:rFonts w:hint="eastAsia" w:ascii="宋体" w:hAnsi="宋体" w:cs="宋体"/>
          <w:sz w:val="24"/>
          <w:szCs w:val="24"/>
        </w:rPr>
        <w:t>投标报价</w:t>
      </w:r>
      <w:bookmarkEnd w:id="33"/>
    </w:p>
    <w:p>
      <w:pPr>
        <w:spacing w:line="360" w:lineRule="auto"/>
        <w:ind w:firstLine="482" w:firstLineChars="200"/>
        <w:rPr>
          <w:rFonts w:ascii="宋体" w:hAnsi="宋体" w:cs="宋体"/>
        </w:rPr>
      </w:pPr>
      <w:r>
        <w:rPr>
          <w:rFonts w:hint="eastAsia" w:ascii="宋体" w:hAnsi="宋体" w:cs="宋体"/>
          <w:b/>
          <w:bCs/>
          <w:sz w:val="24"/>
          <w:szCs w:val="24"/>
        </w:rPr>
        <w:t>详见供应商须知前附表。</w:t>
      </w:r>
    </w:p>
    <w:p>
      <w:pPr>
        <w:pStyle w:val="5"/>
        <w:numPr>
          <w:ilvl w:val="0"/>
          <w:numId w:val="14"/>
        </w:numPr>
        <w:spacing w:line="500" w:lineRule="exact"/>
        <w:ind w:firstLine="482" w:firstLineChars="200"/>
        <w:rPr>
          <w:rFonts w:ascii="宋体" w:hAnsi="宋体" w:cs="宋体"/>
          <w:sz w:val="24"/>
          <w:szCs w:val="24"/>
        </w:rPr>
      </w:pPr>
      <w:bookmarkStart w:id="35" w:name="_Toc29200"/>
      <w:r>
        <w:rPr>
          <w:rFonts w:hint="eastAsia" w:ascii="宋体" w:hAnsi="宋体" w:cs="宋体"/>
          <w:sz w:val="24"/>
          <w:szCs w:val="24"/>
        </w:rPr>
        <w:t>投标货币</w:t>
      </w:r>
      <w:bookmarkEnd w:id="35"/>
    </w:p>
    <w:p>
      <w:pPr>
        <w:spacing w:line="360" w:lineRule="auto"/>
        <w:ind w:firstLine="482" w:firstLineChars="200"/>
        <w:rPr>
          <w:rFonts w:ascii="宋体" w:hAnsi="宋体" w:cs="宋体"/>
        </w:rPr>
      </w:pPr>
      <w:r>
        <w:rPr>
          <w:rFonts w:hint="eastAsia" w:ascii="宋体" w:hAnsi="宋体" w:cs="宋体"/>
          <w:b/>
          <w:bCs/>
          <w:sz w:val="24"/>
          <w:szCs w:val="24"/>
        </w:rPr>
        <w:t>详见供应商须知前附表。</w:t>
      </w:r>
    </w:p>
    <w:bookmarkEnd w:id="34"/>
    <w:p>
      <w:pPr>
        <w:pStyle w:val="5"/>
        <w:numPr>
          <w:ilvl w:val="0"/>
          <w:numId w:val="14"/>
        </w:numPr>
        <w:spacing w:line="500" w:lineRule="exact"/>
        <w:ind w:firstLine="562" w:firstLineChars="200"/>
        <w:rPr>
          <w:rFonts w:ascii="宋体" w:hAnsi="宋体" w:cs="宋体"/>
          <w:szCs w:val="28"/>
        </w:rPr>
      </w:pPr>
      <w:bookmarkStart w:id="36" w:name="_Toc19668"/>
      <w:r>
        <w:rPr>
          <w:rFonts w:hint="eastAsia" w:ascii="宋体" w:hAnsi="宋体" w:cs="宋体"/>
          <w:szCs w:val="28"/>
        </w:rPr>
        <w:t>投标有效期</w:t>
      </w:r>
      <w:bookmarkEnd w:id="36"/>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投标有效期见供应商须知前附表，无投标有效期或投标有效期短于此规定期限的投标文件，视为无效文件，其投标将被拒绝。</w:t>
      </w:r>
    </w:p>
    <w:p>
      <w:pPr>
        <w:pStyle w:val="5"/>
        <w:numPr>
          <w:ilvl w:val="0"/>
          <w:numId w:val="14"/>
        </w:numPr>
        <w:spacing w:line="500" w:lineRule="exact"/>
        <w:ind w:firstLine="562" w:firstLineChars="200"/>
        <w:rPr>
          <w:rFonts w:ascii="宋体" w:hAnsi="宋体" w:cs="宋体"/>
          <w:szCs w:val="28"/>
        </w:rPr>
      </w:pPr>
      <w:bookmarkStart w:id="37" w:name="_Toc24827"/>
      <w:r>
        <w:rPr>
          <w:rFonts w:hint="eastAsia" w:ascii="宋体" w:hAnsi="宋体" w:cs="宋体"/>
          <w:szCs w:val="28"/>
        </w:rPr>
        <w:t>投标文件的装订、签署和</w:t>
      </w:r>
      <w:bookmarkEnd w:id="37"/>
      <w:r>
        <w:rPr>
          <w:rFonts w:hint="eastAsia" w:ascii="宋体" w:hAnsi="宋体" w:cs="宋体"/>
          <w:szCs w:val="28"/>
        </w:rPr>
        <w:t>密封</w:t>
      </w:r>
    </w:p>
    <w:p>
      <w:pPr>
        <w:tabs>
          <w:tab w:val="left" w:pos="0"/>
        </w:tabs>
        <w:spacing w:line="500" w:lineRule="exact"/>
        <w:ind w:firstLine="480" w:firstLineChars="200"/>
        <w:rPr>
          <w:rFonts w:ascii="宋体" w:hAnsi="宋体" w:cs="宋体"/>
          <w:sz w:val="24"/>
          <w:szCs w:val="24"/>
        </w:rPr>
      </w:pPr>
      <w:bookmarkStart w:id="38" w:name="_Toc22752"/>
      <w:r>
        <w:rPr>
          <w:rFonts w:hint="eastAsia" w:ascii="宋体" w:hAnsi="宋体" w:cs="宋体"/>
          <w:sz w:val="24"/>
          <w:szCs w:val="24"/>
        </w:rPr>
        <w:t>5.1 投标文件的装订</w:t>
      </w:r>
    </w:p>
    <w:p>
      <w:pPr>
        <w:spacing w:line="500" w:lineRule="exact"/>
        <w:ind w:firstLine="482" w:firstLineChars="200"/>
        <w:jc w:val="left"/>
        <w:rPr>
          <w:rFonts w:ascii="宋体" w:hAnsi="宋体" w:cs="宋体"/>
          <w:b/>
          <w:bCs/>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5.2 投标文件的签署</w:t>
      </w:r>
    </w:p>
    <w:p>
      <w:pPr>
        <w:spacing w:line="500" w:lineRule="exact"/>
        <w:ind w:firstLine="482" w:firstLineChars="200"/>
        <w:jc w:val="left"/>
        <w:rPr>
          <w:rFonts w:ascii="宋体" w:hAnsi="宋体" w:cs="宋体"/>
          <w:kern w:val="0"/>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5.3 投标文件的密封</w:t>
      </w:r>
    </w:p>
    <w:p>
      <w:pPr>
        <w:spacing w:line="500" w:lineRule="exact"/>
        <w:ind w:firstLine="482" w:firstLineChars="200"/>
        <w:jc w:val="left"/>
        <w:rPr>
          <w:rFonts w:ascii="宋体" w:hAnsi="宋体" w:cs="宋体"/>
        </w:rPr>
      </w:pPr>
      <w:r>
        <w:rPr>
          <w:rFonts w:hint="eastAsia" w:ascii="宋体" w:hAnsi="宋体" w:cs="宋体"/>
          <w:b/>
          <w:bCs/>
          <w:sz w:val="24"/>
          <w:szCs w:val="24"/>
        </w:rPr>
        <w:t>详见供应商须知前附表。</w:t>
      </w:r>
    </w:p>
    <w:bookmarkEnd w:id="38"/>
    <w:p>
      <w:pPr>
        <w:widowControl/>
        <w:numPr>
          <w:ilvl w:val="0"/>
          <w:numId w:val="15"/>
        </w:numPr>
        <w:spacing w:line="500" w:lineRule="exact"/>
        <w:ind w:firstLine="482" w:firstLineChars="200"/>
        <w:jc w:val="center"/>
        <w:outlineLvl w:val="1"/>
        <w:rPr>
          <w:rFonts w:ascii="宋体" w:hAnsi="宋体" w:cs="宋体"/>
          <w:b/>
          <w:bCs/>
          <w:kern w:val="0"/>
          <w:sz w:val="24"/>
          <w:szCs w:val="24"/>
        </w:rPr>
        <w:sectPr>
          <w:pgSz w:w="11906" w:h="16838"/>
          <w:pgMar w:top="1440" w:right="1706" w:bottom="1440" w:left="1800" w:header="851" w:footer="992" w:gutter="0"/>
          <w:pgNumType w:fmt="decimal"/>
          <w:cols w:space="720" w:num="1"/>
          <w:docGrid w:type="lines" w:linePitch="312" w:charSpace="0"/>
        </w:sectPr>
      </w:pPr>
      <w:bookmarkStart w:id="39" w:name="_Toc3736"/>
    </w:p>
    <w:p>
      <w:pPr>
        <w:widowControl/>
        <w:spacing w:before="159" w:beforeLines="50" w:after="159" w:afterLines="50" w:line="500" w:lineRule="exact"/>
        <w:jc w:val="center"/>
        <w:outlineLvl w:val="1"/>
        <w:rPr>
          <w:rFonts w:ascii="宋体" w:hAnsi="宋体" w:cs="宋体"/>
          <w:b/>
          <w:bCs/>
          <w:kern w:val="0"/>
          <w:sz w:val="32"/>
          <w:szCs w:val="28"/>
        </w:rPr>
      </w:pPr>
      <w:bookmarkStart w:id="40" w:name="_Toc3565"/>
      <w:bookmarkStart w:id="41" w:name="_Toc17493"/>
      <w:r>
        <w:rPr>
          <w:rFonts w:hint="eastAsia" w:ascii="宋体" w:hAnsi="宋体" w:cs="宋体"/>
          <w:b/>
          <w:bCs/>
          <w:kern w:val="0"/>
          <w:sz w:val="32"/>
          <w:szCs w:val="28"/>
        </w:rPr>
        <w:t>四、投标文件的递交</w:t>
      </w:r>
      <w:bookmarkEnd w:id="40"/>
      <w:bookmarkEnd w:id="41"/>
    </w:p>
    <w:bookmarkEnd w:id="39"/>
    <w:p>
      <w:pPr>
        <w:pStyle w:val="5"/>
        <w:keepNext w:val="0"/>
        <w:keepLines w:val="0"/>
        <w:numPr>
          <w:ilvl w:val="0"/>
          <w:numId w:val="16"/>
        </w:numPr>
        <w:spacing w:line="500" w:lineRule="exact"/>
        <w:ind w:firstLine="562" w:firstLineChars="200"/>
        <w:rPr>
          <w:rFonts w:ascii="宋体" w:hAnsi="宋体" w:cs="宋体"/>
          <w:szCs w:val="28"/>
        </w:rPr>
      </w:pPr>
      <w:bookmarkStart w:id="42" w:name="_Toc3685"/>
      <w:r>
        <w:rPr>
          <w:rFonts w:hint="eastAsia" w:ascii="宋体" w:hAnsi="宋体" w:cs="宋体"/>
          <w:szCs w:val="28"/>
        </w:rPr>
        <w:t>投标文件递交</w:t>
      </w:r>
      <w:bookmarkEnd w:id="42"/>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1.1 供应商应当在招标文件要求提交投标文件的截止时间前，将投标文件密封送达投标地点。采购代理机构收到投标文件后，应当如实记载投标文件的送达时间和密封情况，签收保存，并向供应商出具签收回执。任何单位和个人不得在开标前开启投标文件。代理机构项目承办人在招标文件规定的投标文件递交截止时间前，只负责投标文件的接收、清点、造册登记工作，并请供应商代表签字确认，对其有效性不负任何责任。</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1.2逾期送达或者未按照招标文件要求密封的投标文件，采购代理机构应当拒收。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1.3代理机构不接受邮寄的投标文件。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1.4 无论供应商中标与否，其投标文件恕不退还。</w:t>
      </w:r>
    </w:p>
    <w:p>
      <w:pPr>
        <w:pStyle w:val="5"/>
        <w:keepNext w:val="0"/>
        <w:keepLines w:val="0"/>
        <w:numPr>
          <w:ilvl w:val="0"/>
          <w:numId w:val="16"/>
        </w:numPr>
        <w:spacing w:line="500" w:lineRule="exact"/>
        <w:ind w:firstLine="562" w:firstLineChars="200"/>
        <w:rPr>
          <w:rFonts w:ascii="宋体" w:hAnsi="宋体" w:cs="宋体"/>
          <w:szCs w:val="28"/>
        </w:rPr>
      </w:pPr>
      <w:bookmarkStart w:id="43" w:name="_Toc12741"/>
      <w:r>
        <w:rPr>
          <w:rFonts w:hint="eastAsia" w:ascii="宋体" w:hAnsi="宋体" w:cs="宋体"/>
          <w:szCs w:val="28"/>
        </w:rPr>
        <w:t>投标文件的修改和撤回</w:t>
      </w:r>
      <w:bookmarkEnd w:id="43"/>
    </w:p>
    <w:p>
      <w:pPr>
        <w:spacing w:line="500" w:lineRule="exact"/>
        <w:ind w:firstLine="480" w:firstLineChars="200"/>
        <w:jc w:val="left"/>
        <w:rPr>
          <w:rFonts w:ascii="宋体" w:hAnsi="宋体" w:cs="宋体"/>
          <w:sz w:val="24"/>
          <w:szCs w:val="24"/>
        </w:rPr>
      </w:pPr>
      <w:r>
        <w:rPr>
          <w:rFonts w:hint="eastAsia" w:ascii="宋体" w:hAnsi="宋体" w:cs="宋体"/>
          <w:sz w:val="24"/>
          <w:szCs w:val="24"/>
        </w:rPr>
        <w:t>2.1 供应商可以在投标截止时间前，对所递交的投标文件进行补充、修改或者撤回，并以书面形式通知采购代理机构（或采购人)。</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2.2 供应商撤回投标的要求应由供应商法定代表人或供应商代表签署，补充、修改投标文件的书面材料，应当按照招标文件要求签署、盖章、密封，作为投标文件的组成部分，在投标截止时间前密封送达开标地点，同时应在封套上标明“修改投标文件(并注明项目编号)”字样。</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2.3 在投标截止时间之后，供应商不得对其投标文件进行补充、修改或撤回。</w:t>
      </w:r>
    </w:p>
    <w:p>
      <w:pPr>
        <w:widowControl/>
        <w:spacing w:before="159" w:beforeLines="50" w:after="159" w:afterLines="50" w:line="500" w:lineRule="exact"/>
        <w:jc w:val="center"/>
        <w:outlineLvl w:val="1"/>
        <w:rPr>
          <w:rFonts w:ascii="宋体" w:hAnsi="宋体" w:cs="宋体"/>
          <w:b/>
          <w:bCs/>
          <w:kern w:val="0"/>
          <w:sz w:val="32"/>
          <w:szCs w:val="28"/>
        </w:rPr>
      </w:pPr>
      <w:bookmarkStart w:id="44" w:name="_Toc14415"/>
      <w:bookmarkStart w:id="45" w:name="_Toc27066"/>
      <w:bookmarkStart w:id="46" w:name="_Toc22877"/>
      <w:r>
        <w:rPr>
          <w:rFonts w:hint="eastAsia" w:ascii="宋体" w:hAnsi="宋体" w:cs="宋体"/>
          <w:b/>
          <w:bCs/>
          <w:kern w:val="0"/>
          <w:sz w:val="32"/>
          <w:szCs w:val="28"/>
        </w:rPr>
        <w:t>五、 开标、评审、定标</w:t>
      </w:r>
      <w:bookmarkEnd w:id="44"/>
      <w:bookmarkEnd w:id="45"/>
      <w:bookmarkEnd w:id="46"/>
    </w:p>
    <w:p>
      <w:pPr>
        <w:pStyle w:val="5"/>
        <w:keepNext w:val="0"/>
        <w:keepLines w:val="0"/>
        <w:numPr>
          <w:ilvl w:val="0"/>
          <w:numId w:val="17"/>
        </w:numPr>
        <w:spacing w:line="500" w:lineRule="exact"/>
        <w:ind w:firstLine="562"/>
        <w:rPr>
          <w:rFonts w:ascii="宋体" w:hAnsi="宋体" w:cs="宋体"/>
          <w:szCs w:val="28"/>
        </w:rPr>
      </w:pPr>
      <w:bookmarkStart w:id="47" w:name="_Toc27216"/>
      <w:r>
        <w:rPr>
          <w:rFonts w:hint="eastAsia" w:ascii="宋体" w:hAnsi="宋体" w:cs="宋体"/>
          <w:szCs w:val="28"/>
        </w:rPr>
        <w:t>开标</w:t>
      </w:r>
      <w:bookmarkEnd w:id="47"/>
    </w:p>
    <w:p>
      <w:pPr>
        <w:widowControl/>
        <w:tabs>
          <w:tab w:val="left" w:pos="0"/>
        </w:tabs>
        <w:spacing w:line="500" w:lineRule="exact"/>
        <w:ind w:firstLine="480" w:firstLineChars="200"/>
        <w:jc w:val="left"/>
        <w:rPr>
          <w:rFonts w:ascii="宋体" w:hAnsi="宋体" w:cs="宋体"/>
          <w:color w:val="000000"/>
          <w:sz w:val="24"/>
          <w:szCs w:val="24"/>
        </w:rPr>
      </w:pPr>
      <w:r>
        <w:rPr>
          <w:rFonts w:hint="eastAsia" w:ascii="宋体" w:hAnsi="宋体" w:cs="宋体"/>
          <w:sz w:val="24"/>
          <w:szCs w:val="24"/>
        </w:rPr>
        <w:t>1.1 采购代理机构按招标公告中规定的时间和地点接收供应商递交的投标文件，主持开标会议，邀请供应商参加</w:t>
      </w:r>
      <w:r>
        <w:rPr>
          <w:rFonts w:hint="eastAsia" w:ascii="宋体" w:hAnsi="宋体" w:cs="宋体"/>
          <w:color w:val="000000"/>
          <w:sz w:val="24"/>
          <w:szCs w:val="24"/>
        </w:rPr>
        <w:t>，评标委员会成员不得参加开标活动。</w:t>
      </w:r>
    </w:p>
    <w:p>
      <w:pPr>
        <w:widowControl/>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1.2开标时，由供应商或者其推选的代表检查投标文件的密封情况；经确认无误后，由采购代理机构工作人员当众拆封，宣布供应商名称、投标价格和招标文件规定的需要宣布的其他内容。代理机构指定专人负责将供应商的名称、投标项目名称、投标价格等进行记录，并存档备案；所有投标唱标完毕，如供应商代表对宣读的“报价一览表”上的内容有异议的，应在获得开标会议主持人同意后当场提出。如确实属于唱标人员宣读错误，经供应商代表核实后，当场予以更正，不属于唱标人员宣读错误的，以单独密封的报价一览表为准。</w:t>
      </w:r>
    </w:p>
    <w:p>
      <w:pPr>
        <w:widowControl/>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1.3开标时，投标文件中出现下列情况，修正原则为：</w:t>
      </w:r>
    </w:p>
    <w:p>
      <w:pPr>
        <w:numPr>
          <w:ilvl w:val="0"/>
          <w:numId w:val="18"/>
        </w:numPr>
        <w:spacing w:line="500" w:lineRule="exact"/>
        <w:jc w:val="left"/>
        <w:rPr>
          <w:rFonts w:ascii="宋体" w:hAnsi="宋体" w:cs="宋体"/>
          <w:sz w:val="24"/>
          <w:szCs w:val="24"/>
        </w:rPr>
      </w:pPr>
      <w:r>
        <w:rPr>
          <w:rFonts w:hint="eastAsia" w:ascii="宋体" w:hAnsi="宋体" w:cs="宋体"/>
          <w:sz w:val="24"/>
          <w:szCs w:val="24"/>
        </w:rPr>
        <w:t>投标文件中报价一览表（报价表）内容与投标文件中相应内容不一致的，以报价一览表（报价表）为准；</w:t>
      </w:r>
    </w:p>
    <w:p>
      <w:pPr>
        <w:numPr>
          <w:ilvl w:val="0"/>
          <w:numId w:val="18"/>
        </w:numPr>
        <w:spacing w:line="500" w:lineRule="exact"/>
        <w:jc w:val="left"/>
        <w:rPr>
          <w:rFonts w:ascii="宋体" w:hAnsi="宋体" w:cs="宋体"/>
          <w:sz w:val="24"/>
          <w:szCs w:val="24"/>
        </w:rPr>
      </w:pPr>
      <w:r>
        <w:rPr>
          <w:rFonts w:hint="eastAsia" w:ascii="宋体" w:hAnsi="宋体" w:cs="宋体"/>
          <w:sz w:val="24"/>
          <w:szCs w:val="24"/>
        </w:rPr>
        <w:t>大写金额和小写金额不一致的，以大写金额为准；</w:t>
      </w:r>
    </w:p>
    <w:p>
      <w:pPr>
        <w:numPr>
          <w:ilvl w:val="0"/>
          <w:numId w:val="18"/>
        </w:numPr>
        <w:spacing w:line="500" w:lineRule="exact"/>
        <w:jc w:val="left"/>
        <w:rPr>
          <w:rFonts w:ascii="宋体" w:hAnsi="宋体" w:cs="宋体"/>
          <w:sz w:val="24"/>
          <w:szCs w:val="24"/>
        </w:rPr>
      </w:pPr>
      <w:r>
        <w:rPr>
          <w:rFonts w:hint="eastAsia" w:ascii="宋体" w:hAnsi="宋体" w:cs="宋体"/>
          <w:sz w:val="24"/>
          <w:szCs w:val="24"/>
        </w:rPr>
        <w:t>单价金额小数点或者百分比有明显错位的，以报价一览表的总价为准，并修改单价；</w:t>
      </w:r>
    </w:p>
    <w:p>
      <w:pPr>
        <w:numPr>
          <w:ilvl w:val="0"/>
          <w:numId w:val="18"/>
        </w:numPr>
        <w:spacing w:line="500" w:lineRule="exact"/>
        <w:jc w:val="left"/>
        <w:rPr>
          <w:rFonts w:ascii="宋体" w:hAnsi="宋体" w:cs="宋体"/>
          <w:sz w:val="24"/>
          <w:szCs w:val="24"/>
        </w:rPr>
      </w:pPr>
      <w:r>
        <w:rPr>
          <w:rFonts w:hint="eastAsia" w:ascii="宋体" w:hAnsi="宋体" w:cs="宋体"/>
          <w:sz w:val="24"/>
          <w:szCs w:val="24"/>
        </w:rPr>
        <w:t xml:space="preserve">总价金额与按单价汇总金额不一致的，以单价金额计算结果为准；报价金额精确到小数点后两位，不进行四舍五入；  </w:t>
      </w:r>
    </w:p>
    <w:p>
      <w:pPr>
        <w:numPr>
          <w:ilvl w:val="0"/>
          <w:numId w:val="18"/>
        </w:numPr>
        <w:spacing w:line="500" w:lineRule="exact"/>
        <w:jc w:val="left"/>
        <w:rPr>
          <w:rFonts w:ascii="宋体" w:hAnsi="宋体" w:cs="宋体"/>
          <w:sz w:val="24"/>
          <w:szCs w:val="24"/>
        </w:rPr>
      </w:pPr>
      <w:r>
        <w:rPr>
          <w:rFonts w:hint="eastAsia" w:ascii="宋体" w:hAnsi="宋体" w:cs="宋体"/>
          <w:sz w:val="24"/>
          <w:szCs w:val="24"/>
        </w:rPr>
        <w:t>投标文件正本与副本不一致的，以正本为准；</w:t>
      </w:r>
    </w:p>
    <w:p>
      <w:pPr>
        <w:numPr>
          <w:ilvl w:val="0"/>
          <w:numId w:val="18"/>
        </w:numPr>
        <w:spacing w:line="500" w:lineRule="exact"/>
        <w:jc w:val="left"/>
        <w:rPr>
          <w:rFonts w:ascii="宋体" w:hAnsi="宋体" w:cs="宋体"/>
          <w:sz w:val="24"/>
          <w:szCs w:val="24"/>
        </w:rPr>
      </w:pPr>
      <w:r>
        <w:rPr>
          <w:rFonts w:hint="eastAsia" w:ascii="宋体" w:hAnsi="宋体" w:cs="宋体"/>
          <w:sz w:val="24"/>
          <w:szCs w:val="24"/>
        </w:rPr>
        <w:t>投标文件单独密封递交的报价一览表与正本不一致的，以单独密封递交的报价一览表为准；</w:t>
      </w:r>
    </w:p>
    <w:p>
      <w:pPr>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同时出现两种以上不一致的，按照前款规定的顺序修正。修正后的报价按照《政府采购货物和服务招标投标管理办法》第五十一条第二款的规定经供应商确认后产生约束力，供应商不确认的，其投标无效。</w:t>
      </w:r>
    </w:p>
    <w:p>
      <w:pPr>
        <w:pStyle w:val="5"/>
        <w:keepNext w:val="0"/>
        <w:keepLines w:val="0"/>
        <w:numPr>
          <w:ilvl w:val="0"/>
          <w:numId w:val="17"/>
        </w:numPr>
        <w:spacing w:line="500" w:lineRule="exact"/>
        <w:ind w:firstLine="562"/>
        <w:rPr>
          <w:rFonts w:ascii="宋体" w:hAnsi="宋体" w:cs="宋体"/>
          <w:szCs w:val="28"/>
        </w:rPr>
      </w:pPr>
      <w:bookmarkStart w:id="48" w:name="_Toc358364344"/>
      <w:bookmarkStart w:id="49" w:name="_Toc20569"/>
      <w:bookmarkStart w:id="50" w:name="_Toc801"/>
      <w:bookmarkStart w:id="51" w:name="_Toc380336750"/>
      <w:r>
        <w:rPr>
          <w:rFonts w:hint="eastAsia" w:ascii="宋体" w:hAnsi="宋体" w:cs="宋体"/>
          <w:szCs w:val="28"/>
        </w:rPr>
        <w:t>评标委员会</w:t>
      </w:r>
      <w:bookmarkEnd w:id="48"/>
      <w:bookmarkEnd w:id="49"/>
      <w:bookmarkEnd w:id="50"/>
      <w:bookmarkEnd w:id="51"/>
    </w:p>
    <w:p>
      <w:pPr>
        <w:widowControl/>
        <w:spacing w:line="460" w:lineRule="exact"/>
        <w:ind w:firstLine="420" w:firstLineChars="175"/>
        <w:jc w:val="left"/>
        <w:rPr>
          <w:rFonts w:ascii="宋体" w:hAnsi="宋体" w:cs="宋体"/>
          <w:sz w:val="24"/>
          <w:szCs w:val="24"/>
        </w:rPr>
      </w:pPr>
      <w:r>
        <w:rPr>
          <w:rFonts w:hint="eastAsia" w:ascii="宋体" w:hAnsi="宋体" w:cs="宋体"/>
          <w:kern w:val="0"/>
          <w:sz w:val="24"/>
          <w:szCs w:val="24"/>
        </w:rPr>
        <w:t>2.1</w:t>
      </w:r>
      <w:r>
        <w:rPr>
          <w:rFonts w:hint="eastAsia" w:ascii="宋体" w:hAnsi="宋体" w:cs="宋体"/>
          <w:sz w:val="24"/>
          <w:szCs w:val="24"/>
        </w:rPr>
        <w:t>为确保评标工作公开、公平、公正，依法成立评标委员会。 评标委员会由采购人代表和评审专家组成，成员人数应当为5人以上单数，其中评审专家不得少于成员总数的三分之二。评标委员会成员应当遵守并履行下列责任和义务：</w:t>
      </w:r>
    </w:p>
    <w:p>
      <w:pPr>
        <w:spacing w:line="360" w:lineRule="auto"/>
        <w:ind w:firstLine="420" w:firstLineChars="175"/>
        <w:jc w:val="left"/>
        <w:rPr>
          <w:rFonts w:ascii="宋体" w:hAnsi="宋体" w:cs="宋体"/>
          <w:sz w:val="24"/>
          <w:szCs w:val="24"/>
        </w:rPr>
      </w:pPr>
      <w:r>
        <w:rPr>
          <w:rFonts w:hint="eastAsia" w:ascii="宋体" w:hAnsi="宋体" w:cs="宋体"/>
          <w:sz w:val="24"/>
          <w:szCs w:val="24"/>
        </w:rPr>
        <w:t>2.1.1遵纪守法，客观、公正、认真负责地履行职责，审查投标文件是否符合招标文件的要求，并做出评价；</w:t>
      </w:r>
    </w:p>
    <w:p>
      <w:pPr>
        <w:spacing w:line="360" w:lineRule="auto"/>
        <w:ind w:left="420"/>
        <w:jc w:val="left"/>
        <w:rPr>
          <w:rFonts w:ascii="宋体" w:hAnsi="宋体" w:cs="宋体"/>
          <w:sz w:val="24"/>
          <w:szCs w:val="24"/>
        </w:rPr>
      </w:pPr>
      <w:r>
        <w:rPr>
          <w:rFonts w:hint="eastAsia" w:ascii="宋体" w:hAnsi="宋体" w:cs="宋体"/>
          <w:sz w:val="24"/>
          <w:szCs w:val="24"/>
        </w:rPr>
        <w:t>2.1.2要求供应商对投标文件有关事项作出解释或澄清；</w:t>
      </w:r>
    </w:p>
    <w:p>
      <w:pPr>
        <w:spacing w:line="360" w:lineRule="auto"/>
        <w:ind w:firstLine="420" w:firstLineChars="175"/>
        <w:jc w:val="left"/>
        <w:rPr>
          <w:rFonts w:ascii="宋体" w:hAnsi="宋体" w:cs="宋体"/>
          <w:sz w:val="24"/>
          <w:szCs w:val="24"/>
        </w:rPr>
      </w:pPr>
      <w:r>
        <w:rPr>
          <w:rFonts w:hint="eastAsia" w:ascii="宋体" w:hAnsi="宋体" w:cs="宋体"/>
          <w:sz w:val="24"/>
          <w:szCs w:val="24"/>
        </w:rPr>
        <w:t>2.1.3按照招标文件的要求和评审办法进行评标，推荐中标候选单位名单，对评审意见承担个人责任；</w:t>
      </w:r>
    </w:p>
    <w:p>
      <w:pPr>
        <w:spacing w:line="360" w:lineRule="auto"/>
        <w:ind w:left="420"/>
        <w:jc w:val="left"/>
        <w:rPr>
          <w:rFonts w:ascii="宋体" w:hAnsi="宋体" w:cs="宋体"/>
          <w:sz w:val="24"/>
          <w:szCs w:val="24"/>
        </w:rPr>
      </w:pPr>
      <w:r>
        <w:rPr>
          <w:rFonts w:hint="eastAsia" w:ascii="宋体" w:hAnsi="宋体" w:cs="宋体"/>
          <w:sz w:val="24"/>
          <w:szCs w:val="24"/>
        </w:rPr>
        <w:t>2.1.4对评标过程和结果以及供应商的商业秘密保密；</w:t>
      </w:r>
    </w:p>
    <w:p>
      <w:pPr>
        <w:spacing w:line="360" w:lineRule="auto"/>
        <w:ind w:left="420"/>
        <w:jc w:val="left"/>
        <w:rPr>
          <w:rFonts w:ascii="宋体" w:hAnsi="宋体" w:cs="宋体"/>
          <w:sz w:val="24"/>
          <w:szCs w:val="24"/>
        </w:rPr>
      </w:pPr>
      <w:r>
        <w:rPr>
          <w:rFonts w:hint="eastAsia" w:ascii="宋体" w:hAnsi="宋体" w:cs="宋体"/>
          <w:sz w:val="24"/>
          <w:szCs w:val="24"/>
        </w:rPr>
        <w:t>2.1.5参与评标结果报告的起草；</w:t>
      </w:r>
    </w:p>
    <w:p>
      <w:pPr>
        <w:spacing w:line="360" w:lineRule="auto"/>
        <w:ind w:left="420"/>
        <w:jc w:val="left"/>
        <w:rPr>
          <w:rFonts w:ascii="宋体" w:hAnsi="宋体" w:cs="宋体"/>
          <w:sz w:val="24"/>
          <w:szCs w:val="24"/>
        </w:rPr>
      </w:pPr>
      <w:r>
        <w:rPr>
          <w:rFonts w:hint="eastAsia" w:ascii="宋体" w:hAnsi="宋体" w:cs="宋体"/>
          <w:sz w:val="24"/>
          <w:szCs w:val="24"/>
        </w:rPr>
        <w:t>2.1.6配合采购人、代理机构答复供应商提出的质疑；</w:t>
      </w:r>
    </w:p>
    <w:p>
      <w:pPr>
        <w:spacing w:line="360" w:lineRule="auto"/>
        <w:ind w:left="420"/>
        <w:jc w:val="left"/>
        <w:rPr>
          <w:rFonts w:ascii="宋体" w:hAnsi="宋体" w:cs="宋体"/>
          <w:kern w:val="0"/>
          <w:sz w:val="24"/>
          <w:szCs w:val="24"/>
        </w:rPr>
      </w:pPr>
      <w:r>
        <w:rPr>
          <w:rFonts w:hint="eastAsia" w:ascii="宋体" w:hAnsi="宋体" w:cs="宋体"/>
          <w:sz w:val="24"/>
          <w:szCs w:val="24"/>
        </w:rPr>
        <w:t>2.1.7配合财政部门处理投诉工作；</w:t>
      </w:r>
    </w:p>
    <w:p>
      <w:pPr>
        <w:pStyle w:val="5"/>
        <w:numPr>
          <w:ilvl w:val="0"/>
          <w:numId w:val="17"/>
        </w:numPr>
        <w:spacing w:line="500" w:lineRule="exact"/>
        <w:ind w:firstLine="562"/>
        <w:rPr>
          <w:rFonts w:ascii="宋体" w:hAnsi="宋体" w:cs="宋体"/>
          <w:szCs w:val="28"/>
        </w:rPr>
      </w:pPr>
      <w:bookmarkStart w:id="52" w:name="_Toc386129876"/>
      <w:bookmarkStart w:id="53" w:name="_Toc27940"/>
      <w:bookmarkStart w:id="54" w:name="_Toc28085"/>
      <w:bookmarkStart w:id="55" w:name="_Toc385958808"/>
      <w:r>
        <w:rPr>
          <w:rFonts w:hint="eastAsia" w:ascii="宋体" w:hAnsi="宋体" w:cs="宋体"/>
          <w:szCs w:val="28"/>
        </w:rPr>
        <w:t>投标文件初审</w:t>
      </w:r>
      <w:bookmarkEnd w:id="52"/>
      <w:bookmarkEnd w:id="53"/>
      <w:bookmarkEnd w:id="54"/>
      <w:bookmarkEnd w:id="55"/>
    </w:p>
    <w:p>
      <w:pPr>
        <w:overflowPunct w:val="0"/>
        <w:adjustRightInd w:val="0"/>
        <w:snapToGrid w:val="0"/>
        <w:spacing w:line="500" w:lineRule="exact"/>
        <w:ind w:left="420"/>
        <w:rPr>
          <w:rFonts w:ascii="宋体" w:hAnsi="宋体" w:cs="宋体"/>
          <w:kern w:val="0"/>
          <w:sz w:val="24"/>
          <w:szCs w:val="24"/>
        </w:rPr>
      </w:pPr>
      <w:r>
        <w:rPr>
          <w:rFonts w:hint="eastAsia" w:ascii="宋体" w:hAnsi="宋体" w:cs="宋体"/>
          <w:kern w:val="0"/>
          <w:sz w:val="24"/>
          <w:szCs w:val="24"/>
        </w:rPr>
        <w:t xml:space="preserve"> 3.1 供应商的资格性审查</w:t>
      </w:r>
    </w:p>
    <w:p>
      <w:pPr>
        <w:overflowPunct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依据法律法规和招标文件的规</w:t>
      </w:r>
      <w:r>
        <w:rPr>
          <w:rFonts w:hint="eastAsia" w:ascii="宋体" w:hAnsi="宋体" w:cs="宋体"/>
          <w:color w:val="000000"/>
          <w:kern w:val="0"/>
          <w:sz w:val="24"/>
          <w:szCs w:val="24"/>
        </w:rPr>
        <w:t>定，由采购人或代理机构对供应商的</w:t>
      </w:r>
      <w:r>
        <w:rPr>
          <w:rFonts w:hint="eastAsia" w:ascii="宋体" w:hAnsi="宋体" w:cs="宋体"/>
          <w:kern w:val="0"/>
          <w:sz w:val="24"/>
          <w:szCs w:val="24"/>
        </w:rPr>
        <w:t>资格证明文件进行审查，以确保供应商是否具备相应资格，资格审查内容详见供应商须知前附表。</w:t>
      </w:r>
    </w:p>
    <w:p>
      <w:pPr>
        <w:overflowPunct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 投标文件符合性审查</w:t>
      </w:r>
    </w:p>
    <w:p>
      <w:pPr>
        <w:pStyle w:val="15"/>
        <w:snapToGrid w:val="0"/>
        <w:spacing w:line="360" w:lineRule="auto"/>
        <w:ind w:firstLine="480" w:firstLineChars="200"/>
        <w:rPr>
          <w:rFonts w:hAnsi="宋体" w:cs="宋体"/>
          <w:kern w:val="0"/>
          <w:sz w:val="24"/>
          <w:szCs w:val="24"/>
        </w:rPr>
      </w:pPr>
      <w:r>
        <w:rPr>
          <w:rFonts w:hint="eastAsia" w:hAnsi="宋体" w:cs="宋体"/>
          <w:color w:val="000000"/>
          <w:kern w:val="0"/>
          <w:sz w:val="24"/>
          <w:szCs w:val="24"/>
        </w:rPr>
        <w:t>评标委员会应当对符合资格的供应商的投标文件进行符合性审查，以确定其是否满足招标文件的实质性要求。符合性审查内容详见供应商须知前附表。</w:t>
      </w:r>
    </w:p>
    <w:p>
      <w:pPr>
        <w:overflowPunct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3.3有下列情形之一的，视为供应商串通投标，其投标无效：</w:t>
      </w:r>
    </w:p>
    <w:p>
      <w:pPr>
        <w:pStyle w:val="25"/>
        <w:spacing w:after="210" w:afterAutospacing="0" w:line="27" w:lineRule="atLeast"/>
        <w:jc w:val="both"/>
      </w:pPr>
      <w:r>
        <w:rPr>
          <w:rFonts w:hint="eastAsia"/>
        </w:rPr>
        <w:t>　　（一）不同供应商的投标文件由同一单位或者个人编制；</w:t>
      </w:r>
    </w:p>
    <w:p>
      <w:pPr>
        <w:pStyle w:val="25"/>
        <w:spacing w:after="210" w:afterAutospacing="0" w:line="27" w:lineRule="atLeast"/>
        <w:jc w:val="both"/>
      </w:pPr>
      <w:r>
        <w:rPr>
          <w:rFonts w:hint="eastAsia"/>
        </w:rPr>
        <w:t>　　（二）不同供应商委托同一单位或者个人办理投标事宜；</w:t>
      </w:r>
    </w:p>
    <w:p>
      <w:pPr>
        <w:pStyle w:val="25"/>
        <w:spacing w:after="210" w:afterAutospacing="0" w:line="27" w:lineRule="atLeast"/>
        <w:jc w:val="both"/>
      </w:pPr>
      <w:r>
        <w:rPr>
          <w:rFonts w:hint="eastAsia"/>
        </w:rPr>
        <w:t>　　（三）不同供应商的投标文件载明的项目管理成员或者联系人员为同一人；</w:t>
      </w:r>
    </w:p>
    <w:p>
      <w:pPr>
        <w:pStyle w:val="25"/>
        <w:spacing w:after="210" w:afterAutospacing="0" w:line="27" w:lineRule="atLeast"/>
        <w:jc w:val="both"/>
      </w:pPr>
      <w:r>
        <w:rPr>
          <w:rFonts w:hint="eastAsia"/>
        </w:rPr>
        <w:t>　　（四）不同供应商的投标文件异常一致或者投标报价呈规律性差异；</w:t>
      </w:r>
    </w:p>
    <w:p>
      <w:pPr>
        <w:pStyle w:val="25"/>
        <w:spacing w:after="210" w:afterAutospacing="0" w:line="27" w:lineRule="atLeast"/>
        <w:jc w:val="both"/>
      </w:pPr>
      <w:r>
        <w:rPr>
          <w:rFonts w:hint="eastAsia"/>
        </w:rPr>
        <w:t>　　（五）不同供应商的投标文件相互混装；</w:t>
      </w:r>
    </w:p>
    <w:p>
      <w:pPr>
        <w:overflowPunct w:val="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（六）不同供应商的投标保证金从同一单位或者个人的账户转出。</w:t>
      </w:r>
    </w:p>
    <w:p>
      <w:p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3.4对通过审查的，被认为其投标文件完整、合格，投标有效，可进入下阶段的评标。</w:t>
      </w:r>
    </w:p>
    <w:p>
      <w:pPr>
        <w:pStyle w:val="5"/>
        <w:numPr>
          <w:ilvl w:val="0"/>
          <w:numId w:val="17"/>
        </w:numPr>
        <w:spacing w:line="500" w:lineRule="exact"/>
        <w:ind w:firstLine="562"/>
        <w:rPr>
          <w:rFonts w:ascii="宋体" w:hAnsi="宋体" w:cs="宋体"/>
          <w:szCs w:val="28"/>
        </w:rPr>
      </w:pPr>
      <w:bookmarkStart w:id="56" w:name="_Toc17705"/>
      <w:r>
        <w:rPr>
          <w:rFonts w:hint="eastAsia" w:ascii="宋体" w:hAnsi="宋体" w:cs="宋体"/>
          <w:szCs w:val="28"/>
        </w:rPr>
        <w:t>投标文件澄清</w:t>
      </w:r>
      <w:bookmarkEnd w:id="56"/>
    </w:p>
    <w:p>
      <w:pPr>
        <w:overflowPunct w:val="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4.1 在评标期间,采购代理机构可根据评标委员会对其投标文件有疑义不清楚的内容，要求供应商对其投标文件进行澄清。</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 xml:space="preserve">4.2 供应商必须按照评标委员会通知的内容和时间作出书面答复，该答复经法定代表人或供应商代表的签字认可，将作为投标文件内容的一部分。澄清、说明或者补正不得超出投标文件的范围或者改变投标文件的实质性内容。供应商拒不按照要求对投标文件进行澄清、说明或者补正的，供应商将自行承担评标委员会视其投标无效的风险。 </w:t>
      </w:r>
    </w:p>
    <w:p>
      <w:pPr>
        <w:spacing w:line="500" w:lineRule="exact"/>
        <w:ind w:firstLine="480" w:firstLineChars="200"/>
        <w:rPr>
          <w:rFonts w:ascii="宋体" w:hAnsi="宋体" w:cs="宋体"/>
          <w:color w:val="000000"/>
          <w:kern w:val="0"/>
          <w:sz w:val="24"/>
          <w:szCs w:val="24"/>
        </w:rPr>
      </w:pPr>
      <w:r>
        <w:rPr>
          <w:rFonts w:hint="eastAsia" w:ascii="宋体" w:hAnsi="宋体" w:cs="宋体"/>
          <w:kern w:val="0"/>
          <w:sz w:val="24"/>
          <w:szCs w:val="24"/>
        </w:rPr>
        <w:t xml:space="preserve">4.3 </w:t>
      </w:r>
      <w:r>
        <w:rPr>
          <w:rFonts w:hint="eastAsia" w:ascii="宋体" w:hAnsi="宋体" w:cs="宋体"/>
          <w:color w:val="000000"/>
          <w:kern w:val="0"/>
          <w:sz w:val="24"/>
          <w:szCs w:val="24"/>
        </w:rPr>
        <w:t>评标委员会认为供应商的报价明显低于</w:t>
      </w:r>
      <w:r>
        <w:rPr>
          <w:rFonts w:hint="eastAsia" w:ascii="宋体" w:hAnsi="宋体" w:cs="宋体"/>
          <w:color w:val="000000"/>
          <w:sz w:val="24"/>
          <w:szCs w:val="24"/>
        </w:rPr>
        <w:t>其他通过符合性审查供应商的报价，有可能影响产品质量或者不能诚信履约的，将要求该供应商在评标现场合理的时间内提供书面说明，必要时提交相关证明材料；供应商不能证明其报价合理性的，评标委员会应当将其作为无效投标处理。</w:t>
      </w:r>
    </w:p>
    <w:p>
      <w:pPr>
        <w:pStyle w:val="5"/>
        <w:numPr>
          <w:ilvl w:val="0"/>
          <w:numId w:val="17"/>
        </w:numPr>
        <w:spacing w:line="500" w:lineRule="exact"/>
        <w:ind w:firstLine="562"/>
        <w:rPr>
          <w:rFonts w:ascii="宋体" w:hAnsi="宋体" w:cs="宋体"/>
          <w:szCs w:val="28"/>
        </w:rPr>
      </w:pPr>
      <w:bookmarkStart w:id="57" w:name="_Toc8353"/>
      <w:r>
        <w:rPr>
          <w:rFonts w:hint="eastAsia" w:ascii="宋体" w:hAnsi="宋体" w:cs="宋体"/>
          <w:szCs w:val="28"/>
        </w:rPr>
        <w:t>评标</w:t>
      </w:r>
      <w:bookmarkEnd w:id="57"/>
    </w:p>
    <w:p>
      <w:pPr>
        <w:spacing w:line="500" w:lineRule="exact"/>
        <w:ind w:firstLine="480" w:firstLineChars="200"/>
        <w:jc w:val="left"/>
        <w:rPr>
          <w:rFonts w:ascii="宋体" w:hAnsi="宋体" w:cs="宋体"/>
          <w:sz w:val="24"/>
          <w:szCs w:val="24"/>
        </w:rPr>
      </w:pPr>
      <w:r>
        <w:rPr>
          <w:rFonts w:hint="eastAsia" w:ascii="宋体" w:hAnsi="宋体" w:cs="宋体"/>
          <w:sz w:val="24"/>
          <w:szCs w:val="24"/>
        </w:rPr>
        <w:t>5.1评标委员会有权对在开标、评标过程中出现的一切问题，根据《中华人民共和国政府采购法》及实施条例和《政府采购货物和服务招标投标管理办法》的条款，本着公开、公平、公正的原则进行处理。</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5.2采用综合评分法：采取逐项分步评审方式，每一步评审不符合者，不进入下一步评审，全部评审合格的供应商由评标委员会按照公开招标文件中第四部分评分标准规定的各项因素进行比较、自主打分、综合评审。评标委员会将评审得分汇总后，按评标总得分由高到低汇总排序，推荐1～3名中标候选人；若有两个或两个以上供应商得分相同，供应商名次按报价得分高低排序；得分且投标报价相同的，按技术指标优劣顺序排列，并填报评标报告。</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根据《政府采购货物和服务招标投标管理办法》相关规定，单一产品采购项目提供相同品牌产品或非单一产品采购项目多家供应商提供的核心产品品牌完全相同的且通过资格审查、符合性审查的不同供应商参加同一合同项下投标的，按一家供应商计算，评审后得分最高的同品牌供应商获得中标供应商推荐资格；评审得分相同的，由采购人或者采购人委托评标委员会按照报价得分最高的方式确定一个供应商获得中标供应商推荐资格。</w:t>
      </w:r>
    </w:p>
    <w:p>
      <w:pPr>
        <w:spacing w:line="500" w:lineRule="exact"/>
        <w:ind w:firstLine="480" w:firstLineChars="200"/>
        <w:jc w:val="left"/>
        <w:rPr>
          <w:rFonts w:ascii="宋体" w:hAnsi="宋体" w:cs="宋体"/>
          <w:sz w:val="28"/>
          <w:szCs w:val="28"/>
        </w:rPr>
      </w:pPr>
      <w:r>
        <w:rPr>
          <w:rFonts w:hint="eastAsia" w:ascii="宋体" w:hAnsi="宋体" w:cs="宋体"/>
          <w:sz w:val="24"/>
          <w:szCs w:val="24"/>
        </w:rPr>
        <w:t>5.3评标委员会只对实质上响应招标文件的投标进行评价和比较；评审应严格按照招标文件的要求和条件进行；具体评审原则和中标条件详见招标文件第四部分“评标办法”。</w:t>
      </w:r>
    </w:p>
    <w:p>
      <w:pPr>
        <w:pStyle w:val="5"/>
        <w:numPr>
          <w:ilvl w:val="0"/>
          <w:numId w:val="17"/>
        </w:numPr>
        <w:spacing w:line="500" w:lineRule="exact"/>
        <w:ind w:firstLine="562"/>
        <w:rPr>
          <w:rFonts w:ascii="宋体" w:hAnsi="宋体" w:cs="宋体"/>
          <w:szCs w:val="28"/>
        </w:rPr>
      </w:pPr>
      <w:bookmarkStart w:id="58" w:name="_Toc12947"/>
      <w:r>
        <w:rPr>
          <w:rFonts w:hint="eastAsia" w:ascii="宋体" w:hAnsi="宋体" w:cs="宋体"/>
          <w:szCs w:val="28"/>
        </w:rPr>
        <w:t>定标</w:t>
      </w:r>
      <w:bookmarkEnd w:id="58"/>
    </w:p>
    <w:p>
      <w:pPr>
        <w:spacing w:line="500" w:lineRule="exact"/>
        <w:ind w:firstLine="480" w:firstLineChars="200"/>
        <w:jc w:val="left"/>
        <w:rPr>
          <w:rFonts w:ascii="宋体" w:hAnsi="宋体" w:cs="宋体"/>
          <w:sz w:val="24"/>
          <w:szCs w:val="24"/>
        </w:rPr>
      </w:pPr>
      <w:bookmarkStart w:id="59" w:name="_Toc19972"/>
      <w:bookmarkStart w:id="60" w:name="_Toc25308"/>
      <w:r>
        <w:rPr>
          <w:rFonts w:hint="eastAsia" w:ascii="宋体" w:hAnsi="宋体" w:cs="宋体"/>
          <w:sz w:val="24"/>
          <w:szCs w:val="24"/>
        </w:rPr>
        <w:t>6.1代理机构在评标结束后2个工作日内将评标报告送达采购单位，采购单位在收到评标报告后5个工作日内，按照评标报告中推荐的中标候选人顺序确认第一中标候选人为中标单位，同时书面复函代理机构；</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6.2代理机构收到采购单位“定标复函”后2个工作日内，在财政部门指定的政府采购信息媒体上发布公告，并向中标人发出“中标通知书”。</w:t>
      </w:r>
    </w:p>
    <w:p>
      <w:pPr>
        <w:widowControl/>
        <w:spacing w:before="159" w:beforeLines="50" w:after="159" w:afterLines="50" w:line="500" w:lineRule="exact"/>
        <w:jc w:val="center"/>
        <w:outlineLvl w:val="1"/>
        <w:rPr>
          <w:rFonts w:ascii="宋体" w:hAnsi="宋体" w:cs="宋体"/>
          <w:b/>
          <w:bCs/>
          <w:kern w:val="0"/>
          <w:sz w:val="32"/>
          <w:szCs w:val="28"/>
        </w:rPr>
      </w:pPr>
      <w:bookmarkStart w:id="61" w:name="_Toc1964"/>
      <w:r>
        <w:rPr>
          <w:rFonts w:hint="eastAsia" w:ascii="宋体" w:hAnsi="宋体" w:cs="宋体"/>
          <w:b/>
          <w:bCs/>
          <w:kern w:val="0"/>
          <w:sz w:val="32"/>
          <w:szCs w:val="28"/>
        </w:rPr>
        <w:t>六、签订合同</w:t>
      </w:r>
      <w:bookmarkEnd w:id="59"/>
      <w:bookmarkEnd w:id="60"/>
      <w:bookmarkEnd w:id="61"/>
    </w:p>
    <w:p>
      <w:pPr>
        <w:pStyle w:val="8"/>
        <w:spacing w:line="360" w:lineRule="auto"/>
        <w:rPr>
          <w:rFonts w:ascii="宋体" w:hAnsi="宋体" w:cs="宋体"/>
          <w:sz w:val="24"/>
          <w:szCs w:val="24"/>
        </w:rPr>
      </w:pPr>
      <w:r>
        <w:rPr>
          <w:rFonts w:hint="eastAsia" w:ascii="宋体" w:hAnsi="宋体" w:cs="宋体"/>
          <w:sz w:val="24"/>
          <w:szCs w:val="24"/>
        </w:rPr>
        <w:t>采购人与中标、成交供应商应当在中标、成交通知书发出之日起三十日内，按照采购文件确定的事项签订政府采购合同。</w:t>
      </w:r>
    </w:p>
    <w:p>
      <w:pPr>
        <w:widowControl/>
        <w:spacing w:before="159" w:beforeLines="50" w:after="159" w:afterLines="50" w:line="500" w:lineRule="exact"/>
        <w:jc w:val="center"/>
        <w:outlineLvl w:val="1"/>
        <w:rPr>
          <w:rFonts w:ascii="宋体" w:hAnsi="宋体" w:cs="宋体"/>
          <w:b/>
          <w:bCs/>
          <w:kern w:val="0"/>
          <w:sz w:val="32"/>
          <w:szCs w:val="28"/>
        </w:rPr>
      </w:pPr>
      <w:bookmarkStart w:id="62" w:name="_Toc16254"/>
      <w:r>
        <w:rPr>
          <w:rFonts w:hint="eastAsia" w:ascii="宋体" w:hAnsi="宋体" w:cs="宋体"/>
          <w:b/>
          <w:bCs/>
          <w:kern w:val="0"/>
          <w:sz w:val="32"/>
          <w:szCs w:val="28"/>
        </w:rPr>
        <w:t>七、质疑和投诉</w:t>
      </w:r>
      <w:bookmarkEnd w:id="62"/>
    </w:p>
    <w:p>
      <w:pPr>
        <w:widowControl/>
        <w:spacing w:line="360" w:lineRule="auto"/>
        <w:ind w:firstLine="480" w:firstLineChars="200"/>
        <w:rPr>
          <w:rFonts w:ascii="宋体" w:hAnsi="宋体" w:cs="宋体"/>
          <w:sz w:val="24"/>
          <w:szCs w:val="24"/>
        </w:rPr>
      </w:pPr>
      <w:r>
        <w:rPr>
          <w:rFonts w:hint="eastAsia" w:ascii="宋体" w:hAnsi="宋体" w:cs="宋体"/>
          <w:sz w:val="24"/>
          <w:szCs w:val="24"/>
        </w:rPr>
        <w:t>质疑或投诉的接收和处理应当按照《中华人民共和国政府采购法》及其实施条例、《政府采购质疑和投诉办法》、《财政部关于加强政府采购供应商投诉受理审查工作的通知》等的相关规定办理。</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1）对采购文件提出质疑的，为收到采购文件之日或者采购文件公告期限届满之日；</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2）对采购过程提出质疑的，为各采购程序环节结束之日；</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3）对中标或者成交结果提出质疑的，为中标或者成交结果公告期限届满之日。</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2、供应商应当在法定质疑期内一次性提出针对同一采购程序环节的质疑。</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 、质疑函应当包括下列主要内容：</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1）供应商的姓名或者名称、地址、邮编、联系人及联系电话；</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 xml:space="preserve">  2）质疑项目的名称、编号；</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3）具体、明确的质疑事项和与质疑事项相关的请求；</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4）事实依据；</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5）必要的法律依据；</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6）提出质疑的日期。</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代理人提出质疑和投诉，应当提交供应商签署的授权委托书。</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 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 xml:space="preserve">6、 质疑函接收方式：由自然人本人或法定代表人或者其授权代表携带书面原件及身份证明原件到现场递交，否则不予受理 。 </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7、质疑受理部门：陕西卓佲项目管理有限公司。</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 xml:space="preserve">    质疑受理电话：029-88440695。</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8、提交质疑函地点：西安市雁塔区科技路10号华奥大厦A座20层2002室。</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9、本次采购活动中，采购代理机构对质疑函回复的书面文件的送达方式为现场取件。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如所质疑的问题比较复杂，采购人或者采购代理机构在规定的答复时间内无法回复，应事先告知提出质疑的供应商，同时向同级政府采购监督管理部门报告。</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10、质疑供应商对采购人、采购代理机构的答复不满意，或者采购人、采购代理机构未在规定的时间内作出答复的，可以在答复期满后15个工作日内向采购人的同级政府采购监督管理部门投诉。</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11、质疑函应当使用中文。质疑函范本详见财政部制定的范本即招标文件附件六。</w:t>
      </w:r>
    </w:p>
    <w:p>
      <w:pPr>
        <w:rPr>
          <w:rFonts w:ascii="宋体" w:hAnsi="宋体" w:cs="宋体"/>
        </w:rPr>
      </w:pPr>
    </w:p>
    <w:p>
      <w:pPr>
        <w:pStyle w:val="3"/>
        <w:pageBreakBefore/>
        <w:numPr>
          <w:ilvl w:val="0"/>
          <w:numId w:val="19"/>
        </w:numPr>
        <w:spacing w:before="319" w:beforeLines="100" w:after="319" w:afterLines="100" w:line="500" w:lineRule="exact"/>
        <w:rPr>
          <w:rFonts w:ascii="宋体" w:hAnsi="宋体" w:cs="宋体"/>
          <w:color w:val="000000"/>
          <w:sz w:val="36"/>
          <w:szCs w:val="36"/>
        </w:rPr>
      </w:pPr>
      <w:bookmarkStart w:id="63" w:name="_Toc3298"/>
      <w:bookmarkEnd w:id="63"/>
      <w:r>
        <w:rPr>
          <w:rFonts w:hint="eastAsia" w:ascii="宋体" w:hAnsi="宋体" w:cs="宋体"/>
          <w:color w:val="000000"/>
          <w:sz w:val="36"/>
          <w:szCs w:val="36"/>
        </w:rPr>
        <w:t xml:space="preserve">  </w:t>
      </w:r>
      <w:bookmarkStart w:id="64" w:name="_Toc28413"/>
      <w:r>
        <w:rPr>
          <w:rFonts w:hint="eastAsia" w:ascii="宋体" w:hAnsi="宋体" w:cs="宋体"/>
          <w:color w:val="000000"/>
          <w:sz w:val="36"/>
          <w:szCs w:val="36"/>
        </w:rPr>
        <w:t>评标方法</w:t>
      </w:r>
      <w:bookmarkEnd w:id="64"/>
    </w:p>
    <w:p>
      <w:pPr>
        <w:jc w:val="center"/>
        <w:outlineLvl w:val="2"/>
        <w:rPr>
          <w:rFonts w:hint="default" w:eastAsia="宋体"/>
          <w:lang w:val="en-US" w:eastAsia="zh-CN"/>
        </w:rPr>
      </w:pPr>
      <w:r>
        <w:rPr>
          <w:rFonts w:hint="eastAsia" w:ascii="宋体" w:hAnsi="宋体" w:cs="宋体"/>
          <w:color w:val="000000"/>
          <w:sz w:val="36"/>
          <w:szCs w:val="36"/>
          <w:lang w:eastAsia="zh-CN"/>
        </w:rPr>
        <w:t>合同包</w:t>
      </w:r>
      <w:r>
        <w:rPr>
          <w:rFonts w:hint="eastAsia" w:ascii="宋体" w:hAnsi="宋体" w:cs="宋体"/>
          <w:color w:val="000000"/>
          <w:sz w:val="36"/>
          <w:szCs w:val="36"/>
          <w:lang w:val="en-US" w:eastAsia="zh-CN"/>
        </w:rPr>
        <w:t>1</w:t>
      </w:r>
    </w:p>
    <w:tbl>
      <w:tblPr>
        <w:tblStyle w:val="30"/>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62"/>
        <w:gridCol w:w="709"/>
        <w:gridCol w:w="527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bookmarkStart w:id="65" w:name="_Toc262"/>
            <w:r>
              <w:rPr>
                <w:rFonts w:hint="eastAsia" w:ascii="宋体" w:hAnsi="宋体" w:eastAsia="宋体" w:cs="宋体"/>
                <w:sz w:val="24"/>
                <w:szCs w:val="24"/>
              </w:rPr>
              <w:t>序号</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评分因素及权重</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分值</w:t>
            </w:r>
          </w:p>
        </w:tc>
        <w:tc>
          <w:tcPr>
            <w:tcW w:w="5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评分标准</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报价30%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30</w:t>
            </w:r>
          </w:p>
        </w:tc>
        <w:tc>
          <w:tcPr>
            <w:tcW w:w="5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经初审合格的供应商，其投标报价为有效报价。</w:t>
            </w:r>
          </w:p>
          <w:p>
            <w:pPr>
              <w:rPr>
                <w:rFonts w:hint="eastAsia" w:ascii="宋体" w:hAnsi="宋体" w:eastAsia="宋体" w:cs="宋体"/>
                <w:sz w:val="24"/>
                <w:szCs w:val="24"/>
              </w:rPr>
            </w:pPr>
            <w:r>
              <w:rPr>
                <w:rFonts w:hint="eastAsia" w:ascii="宋体" w:hAnsi="宋体" w:eastAsia="宋体" w:cs="宋体"/>
                <w:sz w:val="24"/>
                <w:szCs w:val="24"/>
              </w:rPr>
              <w:t>评审基准价：满足招标文件要求且报价最低的供应商的价格为评审基准价，其价格分为满分。其他供应商的价格分统一按照下列公式计算：报价得分=(评审基准价／投标报价)×30。</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政策性优惠详见评审标准备注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技术指标和配置</w:t>
            </w:r>
            <w:r>
              <w:rPr>
                <w:rFonts w:hint="eastAsia" w:ascii="宋体" w:hAnsi="宋体" w:cs="宋体"/>
                <w:sz w:val="24"/>
                <w:szCs w:val="24"/>
                <w:lang w:val="en-US" w:eastAsia="zh-CN"/>
              </w:rPr>
              <w:t>35</w:t>
            </w:r>
            <w:r>
              <w:rPr>
                <w:rFonts w:hint="eastAsia" w:ascii="宋体" w:hAnsi="宋体" w:eastAsia="宋体" w:cs="宋体"/>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35</w:t>
            </w:r>
          </w:p>
        </w:tc>
        <w:tc>
          <w:tcPr>
            <w:tcW w:w="5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根据供应商提供的技术偏离表及技术指标（参数）的相应的证明材料（包括但不限于产品彩页、测试报告和功能截图等技术支持性文件（资料），并经评审专家审定方可得分。</w:t>
            </w:r>
          </w:p>
          <w:p>
            <w:pPr>
              <w:rPr>
                <w:rFonts w:hint="eastAsia" w:ascii="宋体" w:hAnsi="宋体" w:eastAsia="宋体" w:cs="宋体"/>
                <w:sz w:val="24"/>
                <w:szCs w:val="24"/>
              </w:rPr>
            </w:pPr>
            <w:r>
              <w:rPr>
                <w:rFonts w:hint="eastAsia" w:ascii="宋体" w:hAnsi="宋体" w:eastAsia="宋体" w:cs="宋体"/>
                <w:sz w:val="24"/>
                <w:szCs w:val="24"/>
              </w:rPr>
              <w:t>基本分（</w:t>
            </w:r>
            <w:r>
              <w:rPr>
                <w:rFonts w:hint="eastAsia" w:ascii="宋体" w:hAnsi="宋体" w:cs="宋体"/>
                <w:sz w:val="24"/>
                <w:szCs w:val="24"/>
                <w:lang w:val="en-US" w:eastAsia="zh-CN"/>
              </w:rPr>
              <w:t>35</w:t>
            </w:r>
            <w:r>
              <w:rPr>
                <w:rFonts w:hint="eastAsia" w:ascii="宋体" w:hAnsi="宋体" w:eastAsia="宋体" w:cs="宋体"/>
                <w:sz w:val="24"/>
                <w:szCs w:val="24"/>
              </w:rPr>
              <w:t>分）：完全符合、响应招标文件要求，没有负偏离的计</w:t>
            </w:r>
            <w:r>
              <w:rPr>
                <w:rFonts w:hint="eastAsia" w:ascii="宋体" w:hAnsi="宋体" w:cs="宋体"/>
                <w:sz w:val="24"/>
                <w:szCs w:val="24"/>
                <w:lang w:val="en-US" w:eastAsia="zh-CN"/>
              </w:rPr>
              <w:t>35</w:t>
            </w:r>
            <w:r>
              <w:rPr>
                <w:rFonts w:hint="eastAsia" w:ascii="宋体" w:hAnsi="宋体" w:eastAsia="宋体" w:cs="宋体"/>
                <w:sz w:val="24"/>
                <w:szCs w:val="24"/>
              </w:rPr>
              <w:t>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sz w:val="24"/>
                <w:szCs w:val="24"/>
              </w:rPr>
              <w:t>”号项参数负偏离一项扣</w:t>
            </w:r>
            <w:r>
              <w:rPr>
                <w:rFonts w:hint="eastAsia" w:ascii="宋体" w:hAnsi="宋体" w:cs="宋体"/>
                <w:sz w:val="24"/>
                <w:szCs w:val="24"/>
                <w:lang w:val="en-US" w:eastAsia="zh-CN"/>
              </w:rPr>
              <w:t>2</w:t>
            </w:r>
            <w:r>
              <w:rPr>
                <w:rFonts w:hint="eastAsia" w:ascii="宋体" w:hAnsi="宋体" w:eastAsia="宋体" w:cs="宋体"/>
                <w:sz w:val="24"/>
                <w:szCs w:val="24"/>
              </w:rPr>
              <w:t>分，非“</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sz w:val="24"/>
                <w:szCs w:val="24"/>
              </w:rPr>
              <w:t>”号项参数负偏离一项扣</w:t>
            </w:r>
            <w:r>
              <w:rPr>
                <w:rFonts w:hint="eastAsia" w:ascii="宋体" w:hAnsi="宋体" w:cs="宋体"/>
                <w:sz w:val="24"/>
                <w:szCs w:val="24"/>
                <w:lang w:val="en-US" w:eastAsia="zh-CN"/>
              </w:rPr>
              <w:t>1</w:t>
            </w:r>
            <w:r>
              <w:rPr>
                <w:rFonts w:hint="eastAsia" w:ascii="宋体" w:hAnsi="宋体" w:eastAsia="宋体" w:cs="宋体"/>
                <w:sz w:val="24"/>
                <w:szCs w:val="24"/>
              </w:rPr>
              <w:t>分，扣完为止。</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cs="宋体"/>
                <w:sz w:val="24"/>
                <w:szCs w:val="24"/>
                <w:lang w:eastAsia="zh-CN"/>
              </w:rPr>
              <w:t>采购文件要求提供但</w:t>
            </w:r>
            <w:r>
              <w:rPr>
                <w:rFonts w:hint="eastAsia" w:ascii="宋体" w:hAnsi="宋体" w:eastAsia="宋体" w:cs="宋体"/>
                <w:sz w:val="24"/>
                <w:szCs w:val="24"/>
              </w:rPr>
              <w:t>未提供证明材料或提供材料不满足要求按负偏离处理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质量保证</w:t>
            </w:r>
            <w:r>
              <w:rPr>
                <w:rFonts w:hint="eastAsia" w:ascii="宋体" w:hAnsi="宋体" w:cs="宋体"/>
                <w:sz w:val="24"/>
                <w:szCs w:val="24"/>
                <w:lang w:val="en-US" w:eastAsia="zh-CN"/>
              </w:rPr>
              <w:t>4</w:t>
            </w:r>
            <w:r>
              <w:rPr>
                <w:rFonts w:hint="eastAsia" w:ascii="宋体" w:hAnsi="宋体" w:eastAsia="宋体" w:cs="宋体"/>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5274" w:type="dxa"/>
            <w:tcBorders>
              <w:top w:val="single" w:color="auto" w:sz="4" w:space="0"/>
              <w:left w:val="single" w:color="auto" w:sz="4" w:space="0"/>
              <w:bottom w:val="single" w:color="auto" w:sz="4" w:space="0"/>
              <w:right w:val="single" w:color="auto" w:sz="4" w:space="0"/>
            </w:tcBorders>
          </w:tcPr>
          <w:p>
            <w:pPr>
              <w:numPr>
                <w:ilvl w:val="0"/>
                <w:numId w:val="0"/>
              </w:numPr>
              <w:rPr>
                <w:rFonts w:hint="eastAsia" w:ascii="宋体" w:hAnsi="宋体" w:eastAsia="宋体" w:cs="宋体"/>
                <w:sz w:val="24"/>
                <w:szCs w:val="24"/>
              </w:rPr>
            </w:pPr>
            <w:r>
              <w:rPr>
                <w:rFonts w:hint="eastAsia" w:ascii="宋体" w:hAnsi="宋体" w:eastAsia="宋体" w:cs="宋体"/>
                <w:sz w:val="24"/>
                <w:szCs w:val="24"/>
              </w:rPr>
              <w:t>提供投标产品（</w:t>
            </w:r>
            <w:r>
              <w:rPr>
                <w:rFonts w:hint="eastAsia" w:ascii="宋体" w:hAnsi="宋体" w:cs="宋体"/>
                <w:sz w:val="24"/>
                <w:szCs w:val="24"/>
                <w:lang w:eastAsia="zh-CN"/>
              </w:rPr>
              <w:t>钢琴、</w:t>
            </w:r>
            <w:r>
              <w:rPr>
                <w:rFonts w:hint="eastAsia" w:ascii="宋体" w:hAnsi="宋体" w:eastAsia="宋体" w:cs="宋体"/>
                <w:sz w:val="24"/>
                <w:szCs w:val="24"/>
              </w:rPr>
              <w:t>教学触摸互动液晶一体机</w:t>
            </w:r>
            <w:r>
              <w:rPr>
                <w:rFonts w:hint="eastAsia" w:ascii="宋体" w:hAnsi="宋体" w:cs="宋体"/>
                <w:sz w:val="24"/>
                <w:szCs w:val="24"/>
                <w:lang w:eastAsia="zh-CN"/>
              </w:rPr>
              <w:t>、木质幼儿家具、益智区材料（大中小）</w:t>
            </w:r>
            <w:r>
              <w:rPr>
                <w:rFonts w:hint="eastAsia" w:ascii="宋体" w:hAnsi="宋体" w:eastAsia="宋体" w:cs="宋体"/>
                <w:sz w:val="24"/>
                <w:szCs w:val="24"/>
              </w:rPr>
              <w:t>）来源渠道合法的证明文件（包括但不限于销售协议、代理协议、原厂授权等），每提供一个计</w:t>
            </w:r>
            <w:r>
              <w:rPr>
                <w:rFonts w:hint="eastAsia" w:ascii="宋体" w:hAnsi="宋体" w:cs="宋体"/>
                <w:sz w:val="24"/>
                <w:szCs w:val="24"/>
                <w:lang w:val="en-US" w:eastAsia="zh-CN"/>
              </w:rPr>
              <w:t>1</w:t>
            </w:r>
            <w:r>
              <w:rPr>
                <w:rFonts w:hint="eastAsia" w:ascii="宋体" w:hAnsi="宋体" w:eastAsia="宋体" w:cs="宋体"/>
                <w:sz w:val="24"/>
                <w:szCs w:val="24"/>
              </w:rPr>
              <w:t>分，最高计</w:t>
            </w:r>
            <w:r>
              <w:rPr>
                <w:rFonts w:hint="eastAsia" w:ascii="宋体" w:hAnsi="宋体" w:cs="宋体"/>
                <w:sz w:val="24"/>
                <w:szCs w:val="24"/>
                <w:lang w:val="en-US" w:eastAsia="zh-CN"/>
              </w:rPr>
              <w:t>4</w:t>
            </w:r>
            <w:r>
              <w:rPr>
                <w:rFonts w:hint="eastAsia" w:ascii="宋体" w:hAnsi="宋体" w:eastAsia="宋体" w:cs="宋体"/>
                <w:sz w:val="24"/>
                <w:szCs w:val="24"/>
              </w:rPr>
              <w:t>分，未提供不计分。</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技术方案</w:t>
            </w:r>
            <w:r>
              <w:rPr>
                <w:rFonts w:hint="eastAsia" w:ascii="宋体" w:hAnsi="宋体" w:cs="宋体"/>
                <w:sz w:val="24"/>
                <w:szCs w:val="24"/>
                <w:lang w:val="en-US" w:eastAsia="zh-CN"/>
              </w:rPr>
              <w:t>9</w:t>
            </w:r>
            <w:r>
              <w:rPr>
                <w:rFonts w:hint="eastAsia" w:ascii="宋体" w:hAnsi="宋体" w:eastAsia="宋体" w:cs="宋体"/>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527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 w:val="24"/>
                <w:szCs w:val="24"/>
              </w:rPr>
            </w:pPr>
            <w:r>
              <w:rPr>
                <w:rFonts w:hint="eastAsia" w:ascii="宋体" w:hAnsi="宋体" w:eastAsia="宋体" w:cs="宋体"/>
                <w:kern w:val="0"/>
                <w:sz w:val="24"/>
                <w:szCs w:val="24"/>
              </w:rPr>
              <w:t>根据供应商提供的技术方案包含产品选型合理性、产品兼容性、产品的可扩展性、产品设计规范的先进性、产品性能的安全可靠性、技术方案的可行性；符合当前教育信息化发展方向，方案制定内容齐全，各类措施健全，完全满足采购需求并符合本项目实施特点的</w:t>
            </w:r>
            <w:r>
              <w:rPr>
                <w:rFonts w:hint="eastAsia" w:ascii="宋体" w:hAnsi="宋体" w:cs="宋体"/>
                <w:kern w:val="0"/>
                <w:sz w:val="24"/>
                <w:szCs w:val="24"/>
                <w:lang w:val="en-US" w:eastAsia="zh-CN"/>
              </w:rPr>
              <w:t>9</w:t>
            </w:r>
            <w:r>
              <w:rPr>
                <w:rFonts w:hint="eastAsia" w:ascii="宋体" w:hAnsi="宋体" w:eastAsia="宋体" w:cs="宋体"/>
                <w:kern w:val="0"/>
                <w:sz w:val="24"/>
                <w:szCs w:val="24"/>
              </w:rPr>
              <w:t>分；以上方面中每缺少一方面内容扣1</w:t>
            </w:r>
            <w:r>
              <w:rPr>
                <w:rFonts w:hint="eastAsia" w:ascii="宋体" w:hAnsi="宋体" w:cs="宋体"/>
                <w:kern w:val="0"/>
                <w:sz w:val="24"/>
                <w:szCs w:val="24"/>
                <w:lang w:val="en-US" w:eastAsia="zh-CN"/>
              </w:rPr>
              <w:t>.5</w:t>
            </w:r>
            <w:r>
              <w:rPr>
                <w:rFonts w:hint="eastAsia" w:ascii="宋体" w:hAnsi="宋体" w:eastAsia="宋体" w:cs="宋体"/>
                <w:kern w:val="0"/>
                <w:sz w:val="24"/>
                <w:szCs w:val="24"/>
              </w:rPr>
              <w:t>分；每有一处内容与实际需求不符或不满足要求或与本项目需求不匹配或直接套用其他项目内容的扣</w:t>
            </w:r>
            <w:r>
              <w:rPr>
                <w:rFonts w:hint="eastAsia" w:ascii="宋体" w:hAnsi="宋体" w:cs="宋体"/>
                <w:kern w:val="0"/>
                <w:sz w:val="24"/>
                <w:szCs w:val="24"/>
                <w:lang w:val="en-US" w:eastAsia="zh-CN"/>
              </w:rPr>
              <w:t>0.5-1</w:t>
            </w:r>
            <w:r>
              <w:rPr>
                <w:rFonts w:hint="eastAsia" w:ascii="宋体" w:hAnsi="宋体" w:eastAsia="宋体" w:cs="宋体"/>
                <w:kern w:val="0"/>
                <w:sz w:val="24"/>
                <w:szCs w:val="24"/>
              </w:rPr>
              <w:t>分，扣完为止。</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实施方案</w:t>
            </w:r>
            <w:r>
              <w:rPr>
                <w:rFonts w:hint="eastAsia" w:ascii="宋体" w:hAnsi="宋体" w:cs="宋体"/>
                <w:kern w:val="0"/>
                <w:sz w:val="24"/>
                <w:szCs w:val="24"/>
                <w:lang w:val="en-US" w:eastAsia="zh-CN"/>
              </w:rPr>
              <w:t>6</w:t>
            </w:r>
            <w:r>
              <w:rPr>
                <w:rFonts w:hint="eastAsia" w:ascii="宋体" w:hAnsi="宋体" w:eastAsia="宋体" w:cs="宋体"/>
                <w:kern w:val="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rPr>
              <w:t>6</w:t>
            </w:r>
          </w:p>
        </w:tc>
        <w:tc>
          <w:tcPr>
            <w:tcW w:w="527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具有完整的项目实施方案，包括</w:t>
            </w:r>
            <w:r>
              <w:rPr>
                <w:rFonts w:hint="eastAsia" w:ascii="宋体" w:hAnsi="宋体" w:eastAsia="宋体" w:cs="宋体"/>
                <w:sz w:val="24"/>
                <w:szCs w:val="24"/>
              </w:rPr>
              <w:t>项目总体实施方案、</w:t>
            </w:r>
            <w:r>
              <w:rPr>
                <w:rFonts w:hint="eastAsia" w:ascii="宋体" w:hAnsi="宋体" w:eastAsia="宋体" w:cs="宋体"/>
                <w:kern w:val="0"/>
                <w:sz w:val="24"/>
                <w:szCs w:val="24"/>
              </w:rPr>
              <w:t>项目供货方案、</w:t>
            </w:r>
            <w:r>
              <w:rPr>
                <w:rFonts w:hint="eastAsia" w:ascii="宋体" w:hAnsi="宋体" w:eastAsia="宋体" w:cs="宋体"/>
                <w:sz w:val="24"/>
                <w:szCs w:val="24"/>
              </w:rPr>
              <w:t>项目组织及协调方案、系统安装调试方案、应急预案、项目验收方案</w:t>
            </w:r>
            <w:r>
              <w:rPr>
                <w:rFonts w:hint="eastAsia" w:ascii="宋体" w:hAnsi="宋体" w:eastAsia="宋体" w:cs="宋体"/>
                <w:kern w:val="0"/>
                <w:sz w:val="24"/>
                <w:szCs w:val="24"/>
              </w:rPr>
              <w:t>内容。</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方案制定内容齐全，各类措施健全，完全满足采购需求并符合本项目实施特点的</w:t>
            </w:r>
            <w:r>
              <w:rPr>
                <w:rFonts w:hint="eastAsia" w:ascii="宋体" w:hAnsi="宋体" w:cs="宋体"/>
                <w:kern w:val="0"/>
                <w:sz w:val="24"/>
                <w:szCs w:val="24"/>
                <w:lang w:val="en-US" w:eastAsia="zh-CN"/>
              </w:rPr>
              <w:t>6</w:t>
            </w:r>
            <w:r>
              <w:rPr>
                <w:rFonts w:hint="eastAsia" w:ascii="宋体" w:hAnsi="宋体" w:eastAsia="宋体" w:cs="宋体"/>
                <w:kern w:val="0"/>
                <w:sz w:val="24"/>
                <w:szCs w:val="24"/>
              </w:rPr>
              <w:t>分；以上方面中每缺少一方面内容扣</w:t>
            </w:r>
            <w:r>
              <w:rPr>
                <w:rFonts w:hint="eastAsia" w:ascii="宋体" w:hAnsi="宋体" w:cs="宋体"/>
                <w:kern w:val="0"/>
                <w:sz w:val="24"/>
                <w:szCs w:val="24"/>
                <w:lang w:val="en-US" w:eastAsia="zh-CN"/>
              </w:rPr>
              <w:t>1</w:t>
            </w:r>
            <w:r>
              <w:rPr>
                <w:rFonts w:hint="eastAsia" w:ascii="宋体" w:hAnsi="宋体" w:eastAsia="宋体" w:cs="宋体"/>
                <w:kern w:val="0"/>
                <w:sz w:val="24"/>
                <w:szCs w:val="24"/>
              </w:rPr>
              <w:t>分；每有一处内容与实际需求不符或不满足要求或与本项目需求不匹配或直接套用其他项目内容的扣</w:t>
            </w:r>
            <w:r>
              <w:rPr>
                <w:rFonts w:hint="eastAsia" w:ascii="宋体" w:hAnsi="宋体" w:cs="宋体"/>
                <w:kern w:val="0"/>
                <w:sz w:val="24"/>
                <w:szCs w:val="24"/>
                <w:lang w:val="en-US" w:eastAsia="zh-CN"/>
              </w:rPr>
              <w:t>0.1-0.5</w:t>
            </w:r>
            <w:r>
              <w:rPr>
                <w:rFonts w:hint="eastAsia" w:ascii="宋体" w:hAnsi="宋体" w:eastAsia="宋体" w:cs="宋体"/>
                <w:kern w:val="0"/>
                <w:sz w:val="24"/>
                <w:szCs w:val="24"/>
              </w:rPr>
              <w:t>分，扣完为止。</w:t>
            </w:r>
          </w:p>
        </w:tc>
        <w:tc>
          <w:tcPr>
            <w:tcW w:w="1435" w:type="dxa"/>
            <w:tcBorders>
              <w:top w:val="single" w:color="auto" w:sz="4" w:space="0"/>
              <w:left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售后服务</w:t>
            </w:r>
            <w:r>
              <w:rPr>
                <w:rFonts w:hint="eastAsia" w:ascii="宋体" w:hAnsi="宋体" w:cs="宋体"/>
                <w:kern w:val="0"/>
                <w:sz w:val="24"/>
                <w:szCs w:val="24"/>
                <w:lang w:val="en-US" w:eastAsia="zh-CN"/>
              </w:rPr>
              <w:t>9</w:t>
            </w:r>
            <w:r>
              <w:rPr>
                <w:rFonts w:hint="eastAsia" w:ascii="宋体" w:hAnsi="宋体" w:eastAsia="宋体" w:cs="宋体"/>
                <w:kern w:val="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rPr>
              <w:t>9</w:t>
            </w:r>
          </w:p>
        </w:tc>
        <w:tc>
          <w:tcPr>
            <w:tcW w:w="527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投标人提供完善的售后服务方案，包括</w:t>
            </w:r>
            <w:r>
              <w:rPr>
                <w:rFonts w:hint="eastAsia" w:ascii="宋体" w:hAnsi="宋体" w:eastAsia="宋体" w:cs="宋体"/>
                <w:sz w:val="24"/>
                <w:szCs w:val="24"/>
              </w:rPr>
              <w:t>售后服务承诺及保障措施、售后服务人员配置及响应计划、故障处理预案、</w:t>
            </w:r>
            <w:r>
              <w:rPr>
                <w:rFonts w:hint="eastAsia" w:ascii="宋体" w:hAnsi="宋体" w:eastAsia="宋体" w:cs="宋体"/>
                <w:kern w:val="0"/>
                <w:sz w:val="24"/>
                <w:szCs w:val="24"/>
              </w:rPr>
              <w:t>质量保证期限、质量保证的范围承诺、本地化售后方案，售后服务方案完整且具有符合实际需求的得</w:t>
            </w:r>
            <w:r>
              <w:rPr>
                <w:rFonts w:hint="eastAsia" w:ascii="宋体" w:hAnsi="宋体" w:cs="宋体"/>
                <w:kern w:val="0"/>
                <w:sz w:val="24"/>
                <w:szCs w:val="24"/>
                <w:lang w:val="en-US" w:eastAsia="zh-CN"/>
              </w:rPr>
              <w:t>9</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以上方面中每缺少一方面内容扣</w:t>
            </w:r>
            <w:r>
              <w:rPr>
                <w:rFonts w:hint="eastAsia" w:ascii="宋体" w:hAnsi="宋体" w:cs="宋体"/>
                <w:kern w:val="0"/>
                <w:sz w:val="24"/>
                <w:szCs w:val="24"/>
                <w:lang w:val="en-US" w:eastAsia="zh-CN"/>
              </w:rPr>
              <w:t>1.5</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每有一处内容与实际需求不符或不满足要求或与本项目需求不匹配或直接套用其他项目内容的扣</w:t>
            </w:r>
            <w:r>
              <w:rPr>
                <w:rFonts w:hint="eastAsia" w:ascii="宋体" w:hAnsi="宋体" w:cs="宋体"/>
                <w:kern w:val="0"/>
                <w:sz w:val="24"/>
                <w:szCs w:val="24"/>
                <w:lang w:val="en-US" w:eastAsia="zh-CN"/>
              </w:rPr>
              <w:t>0.5-1</w:t>
            </w:r>
            <w:r>
              <w:rPr>
                <w:rFonts w:hint="eastAsia" w:ascii="宋体" w:hAnsi="宋体" w:eastAsia="宋体" w:cs="宋体"/>
                <w:kern w:val="0"/>
                <w:sz w:val="24"/>
                <w:szCs w:val="24"/>
              </w:rPr>
              <w:t>分，扣完为止。</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7</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培训方案</w:t>
            </w:r>
            <w:r>
              <w:rPr>
                <w:rFonts w:hint="eastAsia" w:ascii="宋体" w:hAnsi="宋体" w:cs="宋体"/>
                <w:kern w:val="0"/>
                <w:sz w:val="24"/>
                <w:szCs w:val="24"/>
                <w:lang w:val="en-US" w:eastAsia="zh-CN"/>
              </w:rPr>
              <w:t>4</w:t>
            </w:r>
            <w:r>
              <w:rPr>
                <w:rFonts w:hint="eastAsia" w:ascii="宋体" w:hAnsi="宋体" w:eastAsia="宋体" w:cs="宋体"/>
                <w:kern w:val="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rPr>
              <w:t>4</w:t>
            </w:r>
          </w:p>
        </w:tc>
        <w:tc>
          <w:tcPr>
            <w:tcW w:w="527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根据供应商提供完善的培训方案，包括培训目标、培训对象、培训内容</w:t>
            </w:r>
            <w:r>
              <w:rPr>
                <w:rFonts w:hint="eastAsia" w:ascii="宋体" w:hAnsi="宋体" w:cs="宋体"/>
                <w:kern w:val="0"/>
                <w:sz w:val="24"/>
                <w:szCs w:val="24"/>
                <w:lang w:eastAsia="zh-CN"/>
              </w:rPr>
              <w:t>及</w:t>
            </w:r>
            <w:r>
              <w:rPr>
                <w:rFonts w:hint="eastAsia" w:ascii="宋体" w:hAnsi="宋体" w:eastAsia="宋体" w:cs="宋体"/>
                <w:kern w:val="0"/>
                <w:sz w:val="24"/>
                <w:szCs w:val="24"/>
              </w:rPr>
              <w:t>计划、培训组织安排。培训方案完整且具有符合实际需求的得</w:t>
            </w:r>
            <w:r>
              <w:rPr>
                <w:rFonts w:hint="eastAsia" w:ascii="宋体" w:hAnsi="宋体" w:cs="宋体"/>
                <w:kern w:val="0"/>
                <w:sz w:val="24"/>
                <w:szCs w:val="24"/>
                <w:lang w:val="en-US" w:eastAsia="zh-CN"/>
              </w:rPr>
              <w:t>4</w:t>
            </w:r>
            <w:r>
              <w:rPr>
                <w:rFonts w:hint="eastAsia" w:ascii="宋体" w:hAnsi="宋体" w:eastAsia="宋体" w:cs="宋体"/>
                <w:kern w:val="0"/>
                <w:sz w:val="24"/>
                <w:szCs w:val="24"/>
              </w:rPr>
              <w:t>分，以上方面中每缺少一方面内容扣1分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每有一处内容与实际需求不符或不满足要求或与本项目需求不匹配或直接套用其他项目内容的扣</w:t>
            </w:r>
            <w:r>
              <w:rPr>
                <w:rFonts w:hint="eastAsia" w:ascii="宋体" w:hAnsi="宋体" w:eastAsia="宋体" w:cs="宋体"/>
                <w:kern w:val="0"/>
                <w:sz w:val="24"/>
                <w:szCs w:val="24"/>
                <w:lang w:val="en-US" w:eastAsia="zh-CN"/>
              </w:rPr>
              <w:t>0.1-0.5</w:t>
            </w:r>
            <w:r>
              <w:rPr>
                <w:rFonts w:hint="eastAsia" w:ascii="宋体" w:hAnsi="宋体" w:eastAsia="宋体" w:cs="宋体"/>
                <w:kern w:val="0"/>
                <w:sz w:val="24"/>
                <w:szCs w:val="24"/>
              </w:rPr>
              <w:t>分，扣完为止。</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8</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业绩</w:t>
            </w:r>
            <w:r>
              <w:rPr>
                <w:rFonts w:hint="eastAsia" w:ascii="宋体" w:hAnsi="宋体" w:cs="宋体"/>
                <w:sz w:val="24"/>
                <w:szCs w:val="24"/>
                <w:lang w:val="en-US" w:eastAsia="zh-CN"/>
              </w:rPr>
              <w:t>2%</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5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评标委员会根据提供的2019年1月1日至今，（以合同签订日期为准，</w:t>
            </w:r>
            <w:r>
              <w:rPr>
                <w:rFonts w:hint="eastAsia" w:ascii="宋体" w:hAnsi="宋体" w:eastAsia="宋体" w:cs="宋体"/>
                <w:sz w:val="24"/>
                <w:szCs w:val="24"/>
                <w:lang w:eastAsia="zh-CN"/>
              </w:rPr>
              <w:t>仅</w:t>
            </w:r>
            <w:r>
              <w:rPr>
                <w:rFonts w:hint="eastAsia" w:ascii="宋体" w:hAnsi="宋体" w:eastAsia="宋体" w:cs="宋体"/>
                <w:sz w:val="24"/>
                <w:szCs w:val="24"/>
              </w:rPr>
              <w:t>限供应商，提供完整合同）进行评定，每份计1分，最高计</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9</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节能环保产品</w:t>
            </w:r>
            <w:r>
              <w:rPr>
                <w:rFonts w:hint="eastAsia" w:ascii="宋体" w:hAnsi="宋体" w:cs="宋体"/>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5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供应商所投产品中每有一项经国家认证机构认定为节能产品的计0.5分，每有一项为环境标志产品的计0.5分，供应商所投产品中每有一项产品即为节能产品又是环境标志产品计1分（产品不重复计分，如某一产品计到1分，不能再计节能或环境标志产品的0.5分），最多计</w:t>
            </w:r>
            <w:r>
              <w:rPr>
                <w:rFonts w:hint="eastAsia" w:ascii="宋体" w:hAnsi="宋体" w:cs="宋体"/>
                <w:sz w:val="24"/>
                <w:szCs w:val="24"/>
                <w:lang w:val="en-US" w:eastAsia="zh-CN"/>
              </w:rPr>
              <w:t>1</w:t>
            </w:r>
            <w:r>
              <w:rPr>
                <w:rFonts w:hint="eastAsia" w:ascii="宋体" w:hAnsi="宋体" w:eastAsia="宋体" w:cs="宋体"/>
                <w:sz w:val="24"/>
                <w:szCs w:val="24"/>
              </w:rPr>
              <w:t>分。</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以国家确定的认证机构出具的、处于有效期内的节能产品、环境标志产品认证证书为准。</w:t>
            </w:r>
          </w:p>
        </w:tc>
      </w:tr>
      <w:bookmarkEnd w:id="65"/>
    </w:tbl>
    <w:p>
      <w:pPr>
        <w:spacing w:line="360" w:lineRule="auto"/>
        <w:jc w:val="center"/>
        <w:outlineLvl w:val="2"/>
        <w:rPr>
          <w:rFonts w:hint="eastAsia" w:ascii="宋体" w:hAnsi="宋体" w:cs="宋体"/>
          <w:b w:val="0"/>
          <w:bCs w:val="0"/>
          <w:sz w:val="28"/>
          <w:szCs w:val="24"/>
          <w:lang w:eastAsia="zh-CN"/>
        </w:rPr>
        <w:sectPr>
          <w:pgSz w:w="11906" w:h="16838"/>
          <w:pgMar w:top="1440" w:right="1803" w:bottom="1440" w:left="1803" w:header="851" w:footer="992" w:gutter="0"/>
          <w:pgNumType w:fmt="decimal"/>
          <w:cols w:space="720" w:num="1"/>
          <w:docGrid w:type="lines" w:linePitch="319" w:charSpace="0"/>
        </w:sectPr>
      </w:pPr>
    </w:p>
    <w:p>
      <w:pPr>
        <w:spacing w:line="360" w:lineRule="auto"/>
        <w:jc w:val="center"/>
        <w:outlineLvl w:val="2"/>
        <w:rPr>
          <w:rFonts w:hint="eastAsia" w:ascii="宋体" w:hAnsi="宋体" w:cs="宋体"/>
          <w:b w:val="0"/>
          <w:bCs w:val="0"/>
          <w:sz w:val="28"/>
          <w:szCs w:val="24"/>
          <w:lang w:val="en-US" w:eastAsia="zh-CN"/>
        </w:rPr>
      </w:pPr>
      <w:r>
        <w:rPr>
          <w:rFonts w:hint="eastAsia" w:ascii="宋体" w:hAnsi="宋体" w:cs="宋体"/>
          <w:b w:val="0"/>
          <w:bCs w:val="0"/>
          <w:sz w:val="28"/>
          <w:szCs w:val="24"/>
          <w:lang w:eastAsia="zh-CN"/>
        </w:rPr>
        <w:t>合同包</w:t>
      </w:r>
      <w:r>
        <w:rPr>
          <w:rFonts w:hint="eastAsia" w:ascii="宋体" w:hAnsi="宋体" w:cs="宋体"/>
          <w:b w:val="0"/>
          <w:bCs w:val="0"/>
          <w:sz w:val="28"/>
          <w:szCs w:val="24"/>
          <w:lang w:val="en-US" w:eastAsia="zh-CN"/>
        </w:rPr>
        <w:t>2</w:t>
      </w:r>
    </w:p>
    <w:tbl>
      <w:tblPr>
        <w:tblStyle w:val="30"/>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62"/>
        <w:gridCol w:w="709"/>
        <w:gridCol w:w="527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序号</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评分因素及权重</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分值</w:t>
            </w:r>
          </w:p>
        </w:tc>
        <w:tc>
          <w:tcPr>
            <w:tcW w:w="5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评分标准</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报价30%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30</w:t>
            </w:r>
          </w:p>
        </w:tc>
        <w:tc>
          <w:tcPr>
            <w:tcW w:w="5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经初审合格的供应商，其投标报价为有效报价。</w:t>
            </w:r>
          </w:p>
          <w:p>
            <w:pPr>
              <w:rPr>
                <w:rFonts w:hint="eastAsia" w:ascii="宋体" w:hAnsi="宋体" w:eastAsia="宋体" w:cs="宋体"/>
                <w:sz w:val="24"/>
                <w:szCs w:val="24"/>
              </w:rPr>
            </w:pPr>
            <w:r>
              <w:rPr>
                <w:rFonts w:hint="eastAsia" w:ascii="宋体" w:hAnsi="宋体" w:eastAsia="宋体" w:cs="宋体"/>
                <w:sz w:val="24"/>
                <w:szCs w:val="24"/>
              </w:rPr>
              <w:t>评审基准价：满足招标文件要求且报价最低的供应商的价格为评审基准价，其价格分为满分。其他供应商的价格分统一按照下列公式计算：报价得分=(评审基准价／投标报价)×30。</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政策性优惠详见评审标准备注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技术指标和配置</w:t>
            </w:r>
            <w:r>
              <w:rPr>
                <w:rFonts w:hint="eastAsia" w:ascii="宋体" w:hAnsi="宋体" w:cs="宋体"/>
                <w:sz w:val="24"/>
                <w:szCs w:val="24"/>
                <w:lang w:val="en-US" w:eastAsia="zh-CN"/>
              </w:rPr>
              <w:t>30</w:t>
            </w:r>
            <w:r>
              <w:rPr>
                <w:rFonts w:hint="eastAsia" w:ascii="宋体" w:hAnsi="宋体" w:eastAsia="宋体" w:cs="宋体"/>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5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根据供应商提供的技术偏离表及技术指标（参数）的相应的证明材料（包括但不限于产品彩页、测试报告和功能截图等技术支持性文件（资料），并经评审专家审定方可得分。</w:t>
            </w:r>
          </w:p>
          <w:p>
            <w:pPr>
              <w:rPr>
                <w:rFonts w:hint="eastAsia" w:ascii="宋体" w:hAnsi="宋体" w:eastAsia="宋体" w:cs="宋体"/>
                <w:sz w:val="24"/>
                <w:szCs w:val="24"/>
              </w:rPr>
            </w:pPr>
            <w:r>
              <w:rPr>
                <w:rFonts w:hint="eastAsia" w:ascii="宋体" w:hAnsi="宋体" w:eastAsia="宋体" w:cs="宋体"/>
                <w:sz w:val="24"/>
                <w:szCs w:val="24"/>
              </w:rPr>
              <w:t>基本分（</w:t>
            </w:r>
            <w:r>
              <w:rPr>
                <w:rFonts w:hint="eastAsia" w:ascii="宋体" w:hAnsi="宋体" w:cs="宋体"/>
                <w:sz w:val="24"/>
                <w:szCs w:val="24"/>
                <w:lang w:val="en-US" w:eastAsia="zh-CN"/>
              </w:rPr>
              <w:t>30</w:t>
            </w:r>
            <w:r>
              <w:rPr>
                <w:rFonts w:hint="eastAsia" w:ascii="宋体" w:hAnsi="宋体" w:eastAsia="宋体" w:cs="宋体"/>
                <w:sz w:val="24"/>
                <w:szCs w:val="24"/>
              </w:rPr>
              <w:t>分）：完全符合、响应招标文件要求，没有负偏离的计</w:t>
            </w:r>
            <w:r>
              <w:rPr>
                <w:rFonts w:hint="eastAsia" w:ascii="宋体" w:hAnsi="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sz w:val="24"/>
                <w:szCs w:val="24"/>
              </w:rPr>
              <w:t>”号项参数负偏离一项扣</w:t>
            </w:r>
            <w:r>
              <w:rPr>
                <w:rFonts w:hint="eastAsia" w:ascii="宋体" w:hAnsi="宋体" w:cs="宋体"/>
                <w:sz w:val="24"/>
                <w:szCs w:val="24"/>
                <w:lang w:val="en-US" w:eastAsia="zh-CN"/>
              </w:rPr>
              <w:t>2</w:t>
            </w:r>
            <w:r>
              <w:rPr>
                <w:rFonts w:hint="eastAsia" w:ascii="宋体" w:hAnsi="宋体" w:eastAsia="宋体" w:cs="宋体"/>
                <w:sz w:val="24"/>
                <w:szCs w:val="24"/>
              </w:rPr>
              <w:t>分，非“</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sz w:val="24"/>
                <w:szCs w:val="24"/>
              </w:rPr>
              <w:t>”号项参数负偏离一项扣</w:t>
            </w:r>
            <w:r>
              <w:rPr>
                <w:rFonts w:hint="eastAsia" w:ascii="宋体" w:hAnsi="宋体" w:cs="宋体"/>
                <w:sz w:val="24"/>
                <w:szCs w:val="24"/>
                <w:lang w:val="en-US" w:eastAsia="zh-CN"/>
              </w:rPr>
              <w:t>1</w:t>
            </w:r>
            <w:r>
              <w:rPr>
                <w:rFonts w:hint="eastAsia" w:ascii="宋体" w:hAnsi="宋体" w:eastAsia="宋体" w:cs="宋体"/>
                <w:sz w:val="24"/>
                <w:szCs w:val="24"/>
              </w:rPr>
              <w:t>分，扣完为止。</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cs="宋体"/>
                <w:sz w:val="24"/>
                <w:szCs w:val="24"/>
                <w:lang w:eastAsia="zh-CN"/>
              </w:rPr>
              <w:t>采购文件要求提供但</w:t>
            </w:r>
            <w:r>
              <w:rPr>
                <w:rFonts w:hint="eastAsia" w:ascii="宋体" w:hAnsi="宋体" w:eastAsia="宋体" w:cs="宋体"/>
                <w:sz w:val="24"/>
                <w:szCs w:val="24"/>
              </w:rPr>
              <w:t>未提供证明材料或提供材料不满足要求按负偏离处理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质量保证</w:t>
            </w:r>
            <w:r>
              <w:rPr>
                <w:rFonts w:hint="eastAsia" w:ascii="宋体" w:hAnsi="宋体" w:cs="宋体"/>
                <w:sz w:val="24"/>
                <w:szCs w:val="24"/>
                <w:lang w:val="en-US" w:eastAsia="zh-CN"/>
              </w:rPr>
              <w:t>3</w:t>
            </w:r>
            <w:r>
              <w:rPr>
                <w:rFonts w:hint="eastAsia" w:ascii="宋体" w:hAnsi="宋体" w:eastAsia="宋体" w:cs="宋体"/>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5274" w:type="dxa"/>
            <w:tcBorders>
              <w:top w:val="single" w:color="auto" w:sz="4" w:space="0"/>
              <w:left w:val="single" w:color="auto" w:sz="4" w:space="0"/>
              <w:bottom w:val="single" w:color="auto" w:sz="4" w:space="0"/>
              <w:right w:val="single" w:color="auto" w:sz="4" w:space="0"/>
            </w:tcBorders>
          </w:tcPr>
          <w:p>
            <w:pPr>
              <w:numPr>
                <w:ilvl w:val="0"/>
                <w:numId w:val="0"/>
              </w:numPr>
              <w:rPr>
                <w:rFonts w:hint="eastAsia" w:ascii="宋体" w:hAnsi="宋体" w:eastAsia="宋体" w:cs="宋体"/>
                <w:sz w:val="24"/>
                <w:szCs w:val="24"/>
              </w:rPr>
            </w:pPr>
            <w:r>
              <w:rPr>
                <w:rFonts w:hint="eastAsia" w:ascii="宋体" w:hAnsi="宋体" w:eastAsia="宋体" w:cs="宋体"/>
                <w:sz w:val="24"/>
                <w:szCs w:val="24"/>
              </w:rPr>
              <w:t>提供投标产品（智慧黑板、白板软件、集控管理平台、教学数据分析管理平台</w:t>
            </w:r>
            <w:r>
              <w:rPr>
                <w:rFonts w:hint="eastAsia" w:ascii="宋体" w:hAnsi="宋体" w:cs="宋体"/>
                <w:sz w:val="24"/>
                <w:szCs w:val="24"/>
                <w:lang w:eastAsia="zh-CN"/>
              </w:rPr>
              <w:t>、视频展台、音响</w:t>
            </w:r>
            <w:r>
              <w:rPr>
                <w:rFonts w:hint="eastAsia" w:ascii="宋体" w:hAnsi="宋体" w:eastAsia="宋体" w:cs="宋体"/>
                <w:sz w:val="24"/>
                <w:szCs w:val="24"/>
              </w:rPr>
              <w:t>）来源渠道合法的证明文件（包括但不限于销售协议、代理协议、原厂授权等），每提供一个计</w:t>
            </w:r>
            <w:r>
              <w:rPr>
                <w:rFonts w:hint="eastAsia" w:ascii="宋体" w:hAnsi="宋体" w:cs="宋体"/>
                <w:sz w:val="24"/>
                <w:szCs w:val="24"/>
                <w:lang w:val="en-US" w:eastAsia="zh-CN"/>
              </w:rPr>
              <w:t>0.5</w:t>
            </w:r>
            <w:r>
              <w:rPr>
                <w:rFonts w:hint="eastAsia" w:ascii="宋体" w:hAnsi="宋体" w:eastAsia="宋体" w:cs="宋体"/>
                <w:sz w:val="24"/>
                <w:szCs w:val="24"/>
              </w:rPr>
              <w:t>分，最高计</w:t>
            </w:r>
            <w:r>
              <w:rPr>
                <w:rFonts w:hint="eastAsia" w:ascii="宋体" w:hAnsi="宋体" w:cs="宋体"/>
                <w:sz w:val="24"/>
                <w:szCs w:val="24"/>
                <w:lang w:val="en-US" w:eastAsia="zh-CN"/>
              </w:rPr>
              <w:t>3</w:t>
            </w:r>
            <w:r>
              <w:rPr>
                <w:rFonts w:hint="eastAsia" w:ascii="宋体" w:hAnsi="宋体" w:eastAsia="宋体" w:cs="宋体"/>
                <w:sz w:val="24"/>
                <w:szCs w:val="24"/>
              </w:rPr>
              <w:t>分，未提供不计分。</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技术方案</w:t>
            </w:r>
            <w:r>
              <w:rPr>
                <w:rFonts w:hint="eastAsia" w:ascii="宋体" w:hAnsi="宋体" w:cs="宋体"/>
                <w:sz w:val="24"/>
                <w:szCs w:val="24"/>
                <w:lang w:val="en-US" w:eastAsia="zh-CN"/>
              </w:rPr>
              <w:t>10</w:t>
            </w:r>
            <w:r>
              <w:rPr>
                <w:rFonts w:hint="eastAsia" w:ascii="宋体" w:hAnsi="宋体" w:eastAsia="宋体" w:cs="宋体"/>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527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 w:val="24"/>
                <w:szCs w:val="24"/>
              </w:rPr>
            </w:pPr>
            <w:r>
              <w:rPr>
                <w:rFonts w:hint="eastAsia" w:ascii="宋体" w:hAnsi="宋体" w:eastAsia="宋体" w:cs="宋体"/>
                <w:kern w:val="0"/>
                <w:sz w:val="24"/>
                <w:szCs w:val="24"/>
              </w:rPr>
              <w:t>根据供应商提供的技术方案包含产品选型合理性</w:t>
            </w:r>
            <w:r>
              <w:rPr>
                <w:rFonts w:hint="eastAsia" w:ascii="宋体" w:hAnsi="宋体" w:cs="宋体"/>
                <w:kern w:val="0"/>
                <w:sz w:val="24"/>
                <w:szCs w:val="24"/>
                <w:lang w:eastAsia="zh-CN"/>
              </w:rPr>
              <w:t>及</w:t>
            </w:r>
            <w:r>
              <w:rPr>
                <w:rFonts w:hint="eastAsia" w:ascii="宋体" w:hAnsi="宋体" w:eastAsia="宋体" w:cs="宋体"/>
                <w:kern w:val="0"/>
                <w:sz w:val="24"/>
                <w:szCs w:val="24"/>
              </w:rPr>
              <w:t>兼容性、产品的可扩展性、产品设计规范的先进性、产品性能的安全可靠性、技术方案的可行性；符合当前教育信息化发展方向，方案制定内容齐全，各类措施健全，完全满足采购需求并符合本项目实施特点的</w:t>
            </w:r>
            <w:r>
              <w:rPr>
                <w:rFonts w:hint="eastAsia" w:ascii="宋体" w:hAnsi="宋体" w:cs="宋体"/>
                <w:kern w:val="0"/>
                <w:sz w:val="24"/>
                <w:szCs w:val="24"/>
                <w:lang w:val="en-US" w:eastAsia="zh-CN"/>
              </w:rPr>
              <w:t>10</w:t>
            </w:r>
            <w:r>
              <w:rPr>
                <w:rFonts w:hint="eastAsia" w:ascii="宋体" w:hAnsi="宋体" w:eastAsia="宋体" w:cs="宋体"/>
                <w:kern w:val="0"/>
                <w:sz w:val="24"/>
                <w:szCs w:val="24"/>
              </w:rPr>
              <w:t>分；以上方面中每缺少一方面内容扣</w:t>
            </w:r>
            <w:r>
              <w:rPr>
                <w:rFonts w:hint="eastAsia" w:ascii="宋体" w:hAnsi="宋体" w:cs="宋体"/>
                <w:kern w:val="0"/>
                <w:sz w:val="24"/>
                <w:szCs w:val="24"/>
                <w:lang w:val="en-US" w:eastAsia="zh-CN"/>
              </w:rPr>
              <w:t>2</w:t>
            </w:r>
            <w:r>
              <w:rPr>
                <w:rFonts w:hint="eastAsia" w:ascii="宋体" w:hAnsi="宋体" w:eastAsia="宋体" w:cs="宋体"/>
                <w:kern w:val="0"/>
                <w:sz w:val="24"/>
                <w:szCs w:val="24"/>
              </w:rPr>
              <w:t>分；每有一处内容与实际需求不符或不满足要求或与本项目需求不匹配或直接套用其他项目内容的扣</w:t>
            </w:r>
            <w:r>
              <w:rPr>
                <w:rFonts w:hint="eastAsia" w:ascii="宋体" w:hAnsi="宋体" w:cs="宋体"/>
                <w:kern w:val="0"/>
                <w:sz w:val="24"/>
                <w:szCs w:val="24"/>
                <w:lang w:val="en-US" w:eastAsia="zh-CN"/>
              </w:rPr>
              <w:t>0.5-1.5</w:t>
            </w:r>
            <w:r>
              <w:rPr>
                <w:rFonts w:hint="eastAsia" w:ascii="宋体" w:hAnsi="宋体" w:eastAsia="宋体" w:cs="宋体"/>
                <w:kern w:val="0"/>
                <w:sz w:val="24"/>
                <w:szCs w:val="24"/>
              </w:rPr>
              <w:t>分，扣完为止。</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实施方案</w:t>
            </w:r>
            <w:r>
              <w:rPr>
                <w:rFonts w:hint="eastAsia" w:ascii="宋体" w:hAnsi="宋体" w:cs="宋体"/>
                <w:kern w:val="0"/>
                <w:sz w:val="24"/>
                <w:szCs w:val="24"/>
                <w:lang w:val="en-US" w:eastAsia="zh-CN"/>
              </w:rPr>
              <w:t>10</w:t>
            </w:r>
            <w:r>
              <w:rPr>
                <w:rFonts w:hint="eastAsia" w:ascii="宋体" w:hAnsi="宋体" w:eastAsia="宋体" w:cs="宋体"/>
                <w:kern w:val="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2"/>
                <w:sz w:val="24"/>
                <w:szCs w:val="24"/>
                <w:lang w:val="en-US" w:eastAsia="zh-CN" w:bidi="ar-SA"/>
              </w:rPr>
            </w:pPr>
            <w:r>
              <w:rPr>
                <w:rFonts w:hint="eastAsia" w:ascii="宋体" w:hAnsi="宋体" w:cs="宋体"/>
                <w:kern w:val="0"/>
                <w:sz w:val="24"/>
                <w:szCs w:val="24"/>
                <w:lang w:val="en-US" w:eastAsia="zh-CN"/>
              </w:rPr>
              <w:t>10</w:t>
            </w:r>
          </w:p>
        </w:tc>
        <w:tc>
          <w:tcPr>
            <w:tcW w:w="527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具有完整的项目实施方案，包括</w:t>
            </w:r>
            <w:r>
              <w:rPr>
                <w:rFonts w:hint="eastAsia" w:ascii="宋体" w:hAnsi="宋体" w:eastAsia="宋体" w:cs="宋体"/>
                <w:sz w:val="24"/>
                <w:szCs w:val="24"/>
              </w:rPr>
              <w:t>项目总体实施方案、</w:t>
            </w:r>
            <w:r>
              <w:rPr>
                <w:rFonts w:hint="eastAsia" w:ascii="宋体" w:hAnsi="宋体" w:eastAsia="宋体" w:cs="宋体"/>
                <w:kern w:val="0"/>
                <w:sz w:val="24"/>
                <w:szCs w:val="24"/>
              </w:rPr>
              <w:t>项目供货方案、</w:t>
            </w:r>
            <w:r>
              <w:rPr>
                <w:rFonts w:hint="eastAsia" w:ascii="宋体" w:hAnsi="宋体" w:eastAsia="宋体" w:cs="宋体"/>
                <w:sz w:val="24"/>
                <w:szCs w:val="24"/>
              </w:rPr>
              <w:t>项目组织及协调方案、系统安装调试方案、应急预案</w:t>
            </w:r>
            <w:r>
              <w:rPr>
                <w:rFonts w:hint="eastAsia" w:ascii="宋体" w:hAnsi="宋体" w:cs="宋体"/>
                <w:sz w:val="24"/>
                <w:szCs w:val="24"/>
                <w:lang w:eastAsia="zh-CN"/>
              </w:rPr>
              <w:t>及</w:t>
            </w:r>
            <w:r>
              <w:rPr>
                <w:rFonts w:hint="eastAsia" w:ascii="宋体" w:hAnsi="宋体" w:eastAsia="宋体" w:cs="宋体"/>
                <w:sz w:val="24"/>
                <w:szCs w:val="24"/>
              </w:rPr>
              <w:t>项目验收方案</w:t>
            </w:r>
            <w:r>
              <w:rPr>
                <w:rFonts w:hint="eastAsia" w:ascii="宋体" w:hAnsi="宋体" w:eastAsia="宋体" w:cs="宋体"/>
                <w:kern w:val="0"/>
                <w:sz w:val="24"/>
                <w:szCs w:val="24"/>
              </w:rPr>
              <w:t>内容。</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方案制定内容齐全，各类措施健全，完全满足采购需求并符合本项目实施特点的</w:t>
            </w:r>
            <w:r>
              <w:rPr>
                <w:rFonts w:hint="eastAsia" w:ascii="宋体" w:hAnsi="宋体" w:cs="宋体"/>
                <w:kern w:val="0"/>
                <w:sz w:val="24"/>
                <w:szCs w:val="24"/>
                <w:lang w:val="en-US" w:eastAsia="zh-CN"/>
              </w:rPr>
              <w:t>10</w:t>
            </w:r>
            <w:r>
              <w:rPr>
                <w:rFonts w:hint="eastAsia" w:ascii="宋体" w:hAnsi="宋体" w:eastAsia="宋体" w:cs="宋体"/>
                <w:kern w:val="0"/>
                <w:sz w:val="24"/>
                <w:szCs w:val="24"/>
              </w:rPr>
              <w:t>分；以上方面中每缺少一方面内容扣</w:t>
            </w:r>
            <w:r>
              <w:rPr>
                <w:rFonts w:hint="eastAsia" w:ascii="宋体" w:hAnsi="宋体" w:cs="宋体"/>
                <w:kern w:val="0"/>
                <w:sz w:val="24"/>
                <w:szCs w:val="24"/>
                <w:lang w:val="en-US" w:eastAsia="zh-CN"/>
              </w:rPr>
              <w:t>2</w:t>
            </w:r>
            <w:r>
              <w:rPr>
                <w:rFonts w:hint="eastAsia" w:ascii="宋体" w:hAnsi="宋体" w:eastAsia="宋体" w:cs="宋体"/>
                <w:kern w:val="0"/>
                <w:sz w:val="24"/>
                <w:szCs w:val="24"/>
              </w:rPr>
              <w:t>分；每有一处内容与实际需求不符或不满足要求或与本项目需求不匹配或直接套用其他项目内容的扣</w:t>
            </w:r>
            <w:r>
              <w:rPr>
                <w:rFonts w:hint="eastAsia" w:ascii="宋体" w:hAnsi="宋体" w:cs="宋体"/>
                <w:kern w:val="0"/>
                <w:sz w:val="24"/>
                <w:szCs w:val="24"/>
                <w:lang w:val="en-US" w:eastAsia="zh-CN"/>
              </w:rPr>
              <w:t>0.5-1.5</w:t>
            </w:r>
            <w:r>
              <w:rPr>
                <w:rFonts w:hint="eastAsia" w:ascii="宋体" w:hAnsi="宋体" w:eastAsia="宋体" w:cs="宋体"/>
                <w:kern w:val="0"/>
                <w:sz w:val="24"/>
                <w:szCs w:val="24"/>
              </w:rPr>
              <w:t>分，扣完为止。</w:t>
            </w:r>
          </w:p>
        </w:tc>
        <w:tc>
          <w:tcPr>
            <w:tcW w:w="1435" w:type="dxa"/>
            <w:tcBorders>
              <w:top w:val="single" w:color="auto" w:sz="4" w:space="0"/>
              <w:left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售后服务</w:t>
            </w:r>
            <w:r>
              <w:rPr>
                <w:rFonts w:hint="eastAsia" w:ascii="宋体" w:hAnsi="宋体" w:cs="宋体"/>
                <w:kern w:val="0"/>
                <w:sz w:val="24"/>
                <w:szCs w:val="24"/>
                <w:lang w:val="en-US" w:eastAsia="zh-CN"/>
              </w:rPr>
              <w:t>9</w:t>
            </w:r>
            <w:r>
              <w:rPr>
                <w:rFonts w:hint="eastAsia" w:ascii="宋体" w:hAnsi="宋体" w:eastAsia="宋体" w:cs="宋体"/>
                <w:kern w:val="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rPr>
              <w:t>9</w:t>
            </w:r>
          </w:p>
        </w:tc>
        <w:tc>
          <w:tcPr>
            <w:tcW w:w="527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投标人提供完善的售后服务方案，包括</w:t>
            </w:r>
            <w:r>
              <w:rPr>
                <w:rFonts w:hint="eastAsia" w:ascii="宋体" w:hAnsi="宋体" w:eastAsia="宋体" w:cs="宋体"/>
                <w:sz w:val="24"/>
                <w:szCs w:val="24"/>
              </w:rPr>
              <w:t>售后服务承诺及保障措施、售后服务人员配置及响应计划、故障处理预案、</w:t>
            </w:r>
            <w:r>
              <w:rPr>
                <w:rFonts w:hint="eastAsia" w:ascii="宋体" w:hAnsi="宋体" w:eastAsia="宋体" w:cs="宋体"/>
                <w:kern w:val="0"/>
                <w:sz w:val="24"/>
                <w:szCs w:val="24"/>
              </w:rPr>
              <w:t>质量保证期限、质量保证的范围承诺、本地化售后方案，售后服务方案完整且具有符合实际需求的得</w:t>
            </w:r>
            <w:r>
              <w:rPr>
                <w:rFonts w:hint="eastAsia" w:ascii="宋体" w:hAnsi="宋体" w:cs="宋体"/>
                <w:kern w:val="0"/>
                <w:sz w:val="24"/>
                <w:szCs w:val="24"/>
                <w:lang w:val="en-US" w:eastAsia="zh-CN"/>
              </w:rPr>
              <w:t>9</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以上方面中每缺少一方面内容扣</w:t>
            </w:r>
            <w:r>
              <w:rPr>
                <w:rFonts w:hint="eastAsia" w:ascii="宋体" w:hAnsi="宋体" w:cs="宋体"/>
                <w:kern w:val="0"/>
                <w:sz w:val="24"/>
                <w:szCs w:val="24"/>
                <w:lang w:val="en-US" w:eastAsia="zh-CN"/>
              </w:rPr>
              <w:t>1.5</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每有一处内容与实际需求不符或不满足要求或与本项目需求不匹配或直接套用其他项目内容的扣</w:t>
            </w:r>
            <w:r>
              <w:rPr>
                <w:rFonts w:hint="eastAsia" w:ascii="宋体" w:hAnsi="宋体" w:cs="宋体"/>
                <w:kern w:val="0"/>
                <w:sz w:val="24"/>
                <w:szCs w:val="24"/>
                <w:lang w:val="en-US" w:eastAsia="zh-CN"/>
              </w:rPr>
              <w:t>0.5-1</w:t>
            </w:r>
            <w:r>
              <w:rPr>
                <w:rFonts w:hint="eastAsia" w:ascii="宋体" w:hAnsi="宋体" w:eastAsia="宋体" w:cs="宋体"/>
                <w:kern w:val="0"/>
                <w:sz w:val="24"/>
                <w:szCs w:val="24"/>
              </w:rPr>
              <w:t>分，扣完为止。</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7</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培训方案</w:t>
            </w:r>
            <w:r>
              <w:rPr>
                <w:rFonts w:hint="eastAsia" w:ascii="宋体" w:hAnsi="宋体" w:cs="宋体"/>
                <w:kern w:val="0"/>
                <w:sz w:val="24"/>
                <w:szCs w:val="24"/>
                <w:lang w:val="en-US" w:eastAsia="zh-CN"/>
              </w:rPr>
              <w:t>4</w:t>
            </w:r>
            <w:r>
              <w:rPr>
                <w:rFonts w:hint="eastAsia" w:ascii="宋体" w:hAnsi="宋体" w:eastAsia="宋体" w:cs="宋体"/>
                <w:kern w:val="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rPr>
              <w:t>4</w:t>
            </w:r>
          </w:p>
        </w:tc>
        <w:tc>
          <w:tcPr>
            <w:tcW w:w="527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根据供应商提供完善的培训方案，包括培训目标、培训对象、培训内容</w:t>
            </w:r>
            <w:r>
              <w:rPr>
                <w:rFonts w:hint="eastAsia" w:ascii="宋体" w:hAnsi="宋体" w:cs="宋体"/>
                <w:kern w:val="0"/>
                <w:sz w:val="24"/>
                <w:szCs w:val="24"/>
                <w:lang w:eastAsia="zh-CN"/>
              </w:rPr>
              <w:t>及</w:t>
            </w:r>
            <w:r>
              <w:rPr>
                <w:rFonts w:hint="eastAsia" w:ascii="宋体" w:hAnsi="宋体" w:eastAsia="宋体" w:cs="宋体"/>
                <w:kern w:val="0"/>
                <w:sz w:val="24"/>
                <w:szCs w:val="24"/>
              </w:rPr>
              <w:t>培训计划、培训组织安排。培训方案完整且具有符合实际需求的得</w:t>
            </w:r>
            <w:r>
              <w:rPr>
                <w:rFonts w:hint="eastAsia" w:ascii="宋体" w:hAnsi="宋体" w:cs="宋体"/>
                <w:kern w:val="0"/>
                <w:sz w:val="24"/>
                <w:szCs w:val="24"/>
                <w:lang w:val="en-US" w:eastAsia="zh-CN"/>
              </w:rPr>
              <w:t>4</w:t>
            </w:r>
            <w:r>
              <w:rPr>
                <w:rFonts w:hint="eastAsia" w:ascii="宋体" w:hAnsi="宋体" w:eastAsia="宋体" w:cs="宋体"/>
                <w:kern w:val="0"/>
                <w:sz w:val="24"/>
                <w:szCs w:val="24"/>
              </w:rPr>
              <w:t>分，以上方面中每缺少一方面内容扣1分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每有一处内容与实际需求不符或不满足要求或与本项目需求不匹配或直接套用其他项目内容的扣</w:t>
            </w:r>
            <w:r>
              <w:rPr>
                <w:rFonts w:hint="eastAsia" w:ascii="宋体" w:hAnsi="宋体" w:eastAsia="宋体" w:cs="宋体"/>
                <w:kern w:val="0"/>
                <w:sz w:val="24"/>
                <w:szCs w:val="24"/>
                <w:lang w:val="en-US" w:eastAsia="zh-CN"/>
              </w:rPr>
              <w:t>0.1-0.5</w:t>
            </w:r>
            <w:r>
              <w:rPr>
                <w:rFonts w:hint="eastAsia" w:ascii="宋体" w:hAnsi="宋体" w:eastAsia="宋体" w:cs="宋体"/>
                <w:kern w:val="0"/>
                <w:sz w:val="24"/>
                <w:szCs w:val="24"/>
              </w:rPr>
              <w:t>分，扣完为止。</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8</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业绩</w:t>
            </w:r>
            <w:r>
              <w:rPr>
                <w:rFonts w:hint="eastAsia" w:ascii="宋体" w:hAnsi="宋体" w:cs="宋体"/>
                <w:sz w:val="24"/>
                <w:szCs w:val="24"/>
                <w:lang w:val="en-US" w:eastAsia="zh-CN"/>
              </w:rPr>
              <w:t>3%</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c>
          <w:tcPr>
            <w:tcW w:w="5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评标委员会根据提供的2019年1月1日至今，（以合同签订日期为准，</w:t>
            </w:r>
            <w:r>
              <w:rPr>
                <w:rFonts w:hint="eastAsia" w:ascii="宋体" w:hAnsi="宋体" w:eastAsia="宋体" w:cs="宋体"/>
                <w:sz w:val="24"/>
                <w:szCs w:val="24"/>
                <w:lang w:eastAsia="zh-CN"/>
              </w:rPr>
              <w:t>仅</w:t>
            </w:r>
            <w:r>
              <w:rPr>
                <w:rFonts w:hint="eastAsia" w:ascii="宋体" w:hAnsi="宋体" w:eastAsia="宋体" w:cs="宋体"/>
                <w:sz w:val="24"/>
                <w:szCs w:val="24"/>
              </w:rPr>
              <w:t>限供应商，提供完整合同）进行评定，每份计1分，最高计</w:t>
            </w: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9</w:t>
            </w:r>
          </w:p>
        </w:tc>
        <w:tc>
          <w:tcPr>
            <w:tcW w:w="116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节能环保产品</w:t>
            </w:r>
            <w:r>
              <w:rPr>
                <w:rFonts w:hint="eastAsia" w:ascii="宋体" w:hAnsi="宋体" w:cs="宋体"/>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5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供应商所投产品中每有一项经国家认证机构认定为节能产品的计0.5分，每有一项为环境标志产品的计0.5分，供应商所投产品中每有一项产品即为节能产品又是环境标志产品计1分（产品不重复计分，如某一产品计到1分，不能再计节能或环境标志产品的0.5分），最多计</w:t>
            </w:r>
            <w:r>
              <w:rPr>
                <w:rFonts w:hint="eastAsia" w:ascii="宋体" w:hAnsi="宋体" w:cs="宋体"/>
                <w:sz w:val="24"/>
                <w:szCs w:val="24"/>
                <w:lang w:val="en-US" w:eastAsia="zh-CN"/>
              </w:rPr>
              <w:t>1</w:t>
            </w:r>
            <w:r>
              <w:rPr>
                <w:rFonts w:hint="eastAsia" w:ascii="宋体" w:hAnsi="宋体" w:eastAsia="宋体" w:cs="宋体"/>
                <w:sz w:val="24"/>
                <w:szCs w:val="24"/>
              </w:rPr>
              <w:t>分。</w:t>
            </w:r>
          </w:p>
        </w:tc>
        <w:tc>
          <w:tcPr>
            <w:tcW w:w="14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以国家确定的认证机构出具的、处于有效期内的节能产品、环境标志产品认证证书为准。</w:t>
            </w:r>
          </w:p>
        </w:tc>
      </w:tr>
    </w:tbl>
    <w:p>
      <w:pPr>
        <w:spacing w:line="360" w:lineRule="auto"/>
        <w:ind w:firstLine="442" w:firstLineChars="200"/>
        <w:rPr>
          <w:rFonts w:hint="eastAsia" w:ascii="宋体" w:hAnsi="宋体" w:cs="宋体"/>
          <w:b/>
          <w:bCs/>
          <w:sz w:val="22"/>
          <w:szCs w:val="21"/>
        </w:rPr>
      </w:pPr>
      <w:bookmarkStart w:id="66" w:name="_Toc2536"/>
      <w:bookmarkStart w:id="67" w:name="_Toc15647"/>
      <w:bookmarkStart w:id="68" w:name="_Toc6835"/>
      <w:r>
        <w:rPr>
          <w:rFonts w:hint="eastAsia" w:ascii="宋体" w:hAnsi="宋体" w:cs="宋体"/>
          <w:b/>
          <w:bCs/>
          <w:sz w:val="22"/>
          <w:szCs w:val="21"/>
        </w:rPr>
        <w:t xml:space="preserve"> 1.对于非专门面向中小企业的项目、残疾人福利性单位的项目，对小型和微型企业，残疾人福利性单位产品的价格给予10%的扣除，用扣除后的价格参与评审，残疾人福利性单位属于小型、微型企业的，不重复享受政策；</w:t>
      </w:r>
    </w:p>
    <w:p>
      <w:pPr>
        <w:spacing w:line="360" w:lineRule="auto"/>
        <w:ind w:firstLine="442" w:firstLineChars="200"/>
        <w:rPr>
          <w:rFonts w:hint="eastAsia" w:ascii="宋体" w:hAnsi="宋体" w:cs="宋体"/>
          <w:b/>
          <w:bCs/>
          <w:sz w:val="22"/>
          <w:szCs w:val="21"/>
        </w:rPr>
      </w:pPr>
      <w:r>
        <w:rPr>
          <w:rFonts w:hint="eastAsia" w:ascii="宋体" w:hAnsi="宋体" w:cs="宋体"/>
          <w:b/>
          <w:bCs/>
          <w:sz w:val="22"/>
          <w:szCs w:val="21"/>
        </w:rPr>
        <w:t>2.在政府采购活动中，监狱企业视同小型、微型企业。监狱企业参加政府采购活动时，须提供由省级以上监狱管理局、戒毒管理局（含新疆生产建设兵团）出具的属于监狱企业的证明文件，否则按无效响应处理。</w:t>
      </w:r>
    </w:p>
    <w:p>
      <w:pPr>
        <w:spacing w:line="360" w:lineRule="auto"/>
        <w:ind w:firstLine="442" w:firstLineChars="200"/>
        <w:rPr>
          <w:rFonts w:hint="eastAsia" w:ascii="宋体" w:hAnsi="宋体" w:cs="宋体"/>
          <w:b/>
          <w:bCs/>
          <w:sz w:val="22"/>
          <w:szCs w:val="21"/>
        </w:rPr>
      </w:pPr>
      <w:r>
        <w:rPr>
          <w:rFonts w:hint="eastAsia" w:ascii="宋体" w:hAnsi="宋体" w:cs="宋体"/>
          <w:b/>
          <w:bCs/>
          <w:sz w:val="22"/>
          <w:szCs w:val="21"/>
        </w:rPr>
        <w:t>3.在政府采购活动中，残疾人福利性单位视同小型、微型企业。残疾人福利性单位参加政府采购活动时，须出具三部门联合发布关于促进残疾人就业政府采购政策的通知财库〔2017〕141号规定的残疾人福利性单位声明函，否则按无效响应处理。</w:t>
      </w:r>
    </w:p>
    <w:p>
      <w:pPr>
        <w:spacing w:line="360" w:lineRule="auto"/>
        <w:ind w:firstLine="442" w:firstLineChars="200"/>
        <w:rPr>
          <w:rFonts w:hint="eastAsia" w:ascii="宋体" w:hAnsi="宋体" w:cs="宋体"/>
          <w:b/>
          <w:bCs/>
          <w:sz w:val="22"/>
          <w:szCs w:val="21"/>
        </w:rPr>
      </w:pPr>
      <w:bookmarkStart w:id="69" w:name="_Toc6123"/>
      <w:r>
        <w:rPr>
          <w:rFonts w:hint="eastAsia" w:ascii="宋体" w:hAnsi="宋体" w:cs="宋体"/>
          <w:b/>
          <w:bCs/>
          <w:sz w:val="22"/>
          <w:szCs w:val="21"/>
        </w:rPr>
        <w:t>4.节能环保产品以节能产品、环境标志产品认证证书为准；</w:t>
      </w:r>
      <w:bookmarkEnd w:id="69"/>
    </w:p>
    <w:p>
      <w:pPr>
        <w:spacing w:line="360" w:lineRule="auto"/>
        <w:ind w:firstLine="442" w:firstLineChars="200"/>
        <w:rPr>
          <w:rFonts w:hint="eastAsia" w:ascii="宋体" w:hAnsi="宋体" w:cs="宋体"/>
          <w:b/>
          <w:bCs/>
          <w:sz w:val="22"/>
          <w:szCs w:val="21"/>
        </w:rPr>
      </w:pPr>
      <w:r>
        <w:rPr>
          <w:rFonts w:hint="eastAsia" w:ascii="宋体" w:hAnsi="宋体" w:cs="宋体"/>
          <w:b/>
          <w:bCs/>
          <w:sz w:val="22"/>
          <w:szCs w:val="21"/>
        </w:rPr>
        <w:t>5.技术参数正偏离须在技术响应表中注明正偏离的理由和佐证材料的页码；</w:t>
      </w:r>
    </w:p>
    <w:p>
      <w:pPr>
        <w:spacing w:line="360" w:lineRule="auto"/>
        <w:ind w:firstLine="442" w:firstLineChars="200"/>
        <w:rPr>
          <w:rFonts w:ascii="宋体" w:hAnsi="宋体" w:cs="宋体"/>
          <w:b/>
          <w:bCs/>
          <w:sz w:val="24"/>
        </w:rPr>
        <w:sectPr>
          <w:pgSz w:w="11906" w:h="16838"/>
          <w:pgMar w:top="1440" w:right="1803" w:bottom="1440" w:left="1803" w:header="851" w:footer="992" w:gutter="0"/>
          <w:pgNumType w:fmt="decimal"/>
          <w:cols w:space="720" w:num="1"/>
          <w:docGrid w:type="lines" w:linePitch="319" w:charSpace="0"/>
        </w:sectPr>
      </w:pPr>
      <w:bookmarkStart w:id="70" w:name="_Toc1339"/>
      <w:r>
        <w:rPr>
          <w:rFonts w:hint="eastAsia" w:ascii="宋体" w:hAnsi="宋体" w:cs="宋体"/>
          <w:b/>
          <w:bCs/>
          <w:sz w:val="22"/>
          <w:szCs w:val="21"/>
        </w:rPr>
        <w:t>6.评审指标出现漏项的最低得分为零分</w:t>
      </w:r>
      <w:bookmarkEnd w:id="70"/>
      <w:r>
        <w:rPr>
          <w:rFonts w:hint="eastAsia" w:ascii="宋体" w:hAnsi="宋体" w:cs="宋体"/>
          <w:b/>
          <w:bCs/>
          <w:sz w:val="24"/>
        </w:rPr>
        <w:t>。</w:t>
      </w:r>
    </w:p>
    <w:p>
      <w:pPr>
        <w:pStyle w:val="3"/>
        <w:pageBreakBefore/>
        <w:numPr>
          <w:ilvl w:val="0"/>
          <w:numId w:val="19"/>
        </w:numPr>
        <w:spacing w:before="319" w:beforeLines="100" w:after="319" w:afterLines="100" w:line="500" w:lineRule="exact"/>
        <w:rPr>
          <w:rFonts w:ascii="宋体" w:hAnsi="宋体" w:cs="宋体"/>
          <w:color w:val="000000"/>
          <w:sz w:val="36"/>
          <w:szCs w:val="36"/>
        </w:rPr>
      </w:pPr>
      <w:r>
        <w:rPr>
          <w:rFonts w:hint="eastAsia" w:ascii="宋体" w:hAnsi="宋体" w:cs="宋体"/>
          <w:color w:val="000000"/>
          <w:sz w:val="36"/>
          <w:szCs w:val="36"/>
        </w:rPr>
        <w:t xml:space="preserve">  </w:t>
      </w:r>
      <w:bookmarkStart w:id="71" w:name="_Toc15885"/>
      <w:r>
        <w:rPr>
          <w:rFonts w:hint="eastAsia" w:ascii="宋体" w:hAnsi="宋体" w:cs="宋体"/>
          <w:color w:val="000000"/>
          <w:sz w:val="36"/>
          <w:szCs w:val="36"/>
        </w:rPr>
        <w:t>采购要求</w:t>
      </w:r>
      <w:bookmarkEnd w:id="71"/>
    </w:p>
    <w:p>
      <w:pPr>
        <w:jc w:val="left"/>
        <w:outlineLvl w:val="2"/>
        <w:rPr>
          <w:rFonts w:hint="eastAsia" w:ascii="宋体" w:hAnsi="宋体" w:cs="宋体"/>
          <w:color w:val="000000"/>
          <w:sz w:val="36"/>
          <w:szCs w:val="36"/>
          <w:lang w:val="en-US" w:eastAsia="zh-CN"/>
        </w:rPr>
      </w:pPr>
      <w:r>
        <w:rPr>
          <w:rFonts w:hint="eastAsia" w:ascii="宋体" w:hAnsi="宋体" w:cs="宋体"/>
          <w:color w:val="000000"/>
          <w:sz w:val="36"/>
          <w:szCs w:val="36"/>
          <w:lang w:eastAsia="zh-CN"/>
        </w:rPr>
        <w:t>合同包</w:t>
      </w:r>
      <w:r>
        <w:rPr>
          <w:rFonts w:hint="eastAsia" w:ascii="宋体" w:hAnsi="宋体" w:cs="宋体"/>
          <w:color w:val="000000"/>
          <w:sz w:val="36"/>
          <w:szCs w:val="36"/>
          <w:lang w:val="en-US" w:eastAsia="zh-CN"/>
        </w:rPr>
        <w:t>1</w:t>
      </w:r>
    </w:p>
    <w:tbl>
      <w:tblPr>
        <w:tblStyle w:val="30"/>
        <w:tblW w:w="52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750"/>
        <w:gridCol w:w="6035"/>
        <w:gridCol w:w="469"/>
        <w:gridCol w:w="586"/>
        <w:gridCol w:w="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灞桥区第四幼儿园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木制桌</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lang w:eastAsia="zh-CN"/>
              </w:rPr>
              <w:t>参考</w:t>
            </w:r>
            <w:r>
              <w:rPr>
                <w:rFonts w:hint="eastAsia" w:ascii="宋体" w:hAnsi="宋体" w:eastAsia="宋体" w:cs="宋体"/>
                <w:i w:val="0"/>
                <w:iCs w:val="0"/>
                <w:color w:val="000000"/>
                <w:kern w:val="0"/>
                <w:sz w:val="21"/>
                <w:szCs w:val="21"/>
                <w:u w:val="none"/>
                <w:lang w:val="en-US" w:eastAsia="zh-CN" w:bidi="ar"/>
              </w:rPr>
              <w:t xml:space="preserve">尺寸：120*60*56cm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面采用优质橡胶木指接板，厚度1.8cm，采用双面AA级板材，桌脚采用优质橡胶木5x5cm料，围板采用优质橡胶木7x2.2cm，所有边角做圆处理。整体拆装式，桌脚底部装有软胶垫，防止对地板产生划痕。采用优质金属合金件，五金配件连接。产品无锈，无氧化膜脱落，无刀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3.油漆采用</w:t>
            </w:r>
            <w:r>
              <w:rPr>
                <w:rFonts w:hint="eastAsia" w:ascii="宋体" w:hAnsi="宋体" w:cs="宋体"/>
                <w:i w:val="0"/>
                <w:iCs w:val="0"/>
                <w:color w:val="000000"/>
                <w:kern w:val="0"/>
                <w:sz w:val="21"/>
                <w:szCs w:val="21"/>
                <w:u w:val="none"/>
                <w:lang w:val="en-US" w:eastAsia="zh-CN" w:bidi="ar"/>
              </w:rPr>
              <w:t>环保水性漆</w:t>
            </w:r>
            <w:r>
              <w:rPr>
                <w:rFonts w:hint="eastAsia" w:ascii="宋体" w:hAnsi="宋体" w:eastAsia="宋体" w:cs="宋体"/>
                <w:i w:val="0"/>
                <w:iCs w:val="0"/>
                <w:color w:val="000000"/>
                <w:kern w:val="0"/>
                <w:sz w:val="21"/>
                <w:szCs w:val="21"/>
                <w:u w:val="none"/>
                <w:lang w:val="en-US" w:eastAsia="zh-CN" w:bidi="ar"/>
              </w:rPr>
              <w:t>，三底二面，产品表面光滑无毛刺，整体牢固，环保无毒</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木制椅</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lang w:eastAsia="zh-CN"/>
              </w:rPr>
              <w:t>参考</w:t>
            </w:r>
            <w:r>
              <w:rPr>
                <w:rFonts w:hint="eastAsia" w:ascii="宋体" w:hAnsi="宋体" w:eastAsia="宋体" w:cs="宋体"/>
                <w:i w:val="0"/>
                <w:iCs w:val="0"/>
                <w:color w:val="000000"/>
                <w:kern w:val="0"/>
                <w:sz w:val="21"/>
                <w:szCs w:val="21"/>
                <w:u w:val="none"/>
                <w:lang w:val="en-US" w:eastAsia="zh-CN" w:bidi="ar"/>
              </w:rPr>
              <w:t>尺寸：座面高29cm，宽30cm，背高55cm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椅面采用优质橡胶木指接板，厚度1.8cm，采用双面AA级板材。椅脚采用优质橡胶木4.7x2.4cm料，围板采用橡胶木4.7x2.4cm料，底部有三根2.5x3cm支撑条，椅脚底部装有软胶垫，防止对地面产生划痕，所有边角做圆处理，产品全部采用榫头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3.采用优质金属合金件，五金配件连接。产品无锈，无氧化膜脱落，无刀口。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漆膜材质为</w:t>
            </w:r>
            <w:r>
              <w:rPr>
                <w:rFonts w:hint="eastAsia" w:ascii="宋体" w:hAnsi="宋体" w:cs="宋体"/>
                <w:i w:val="0"/>
                <w:iCs w:val="0"/>
                <w:color w:val="000000"/>
                <w:kern w:val="0"/>
                <w:sz w:val="21"/>
                <w:szCs w:val="21"/>
                <w:u w:val="none"/>
                <w:lang w:val="en-US" w:eastAsia="zh-CN" w:bidi="ar"/>
              </w:rPr>
              <w:t>环保</w:t>
            </w:r>
            <w:r>
              <w:rPr>
                <w:rFonts w:hint="eastAsia" w:ascii="宋体" w:hAnsi="宋体" w:eastAsia="宋体" w:cs="宋体"/>
                <w:i w:val="0"/>
                <w:iCs w:val="0"/>
                <w:color w:val="000000"/>
                <w:kern w:val="0"/>
                <w:sz w:val="21"/>
                <w:szCs w:val="21"/>
                <w:u w:val="none"/>
                <w:lang w:val="en-US" w:eastAsia="zh-CN" w:bidi="ar"/>
              </w:rPr>
              <w:t>水性漆。产品加工流程经粉尘处理，自动填补腻子。UV辊涂激光底漆，UV自动烘干，自动底漆打磨，砂光。自动UV激光面漆，烘干等全自动流水线生产工艺制作。产品表面光滑无毛刺，环保健康，整体美观，牢固。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木制床</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lang w:eastAsia="zh-CN"/>
              </w:rPr>
              <w:t>参考</w:t>
            </w:r>
            <w:r>
              <w:rPr>
                <w:rFonts w:hint="eastAsia" w:ascii="宋体" w:hAnsi="宋体" w:eastAsia="宋体" w:cs="宋体"/>
                <w:i w:val="0"/>
                <w:iCs w:val="0"/>
                <w:color w:val="000000"/>
                <w:kern w:val="0"/>
                <w:sz w:val="21"/>
                <w:szCs w:val="21"/>
                <w:u w:val="none"/>
                <w:lang w:val="en-US" w:eastAsia="zh-CN" w:bidi="ar"/>
              </w:rPr>
              <w:t>尺寸：135*60*20cm；</w:t>
            </w:r>
          </w:p>
          <w:p>
            <w:pPr>
              <w:keepNext w:val="0"/>
              <w:keepLines w:val="0"/>
              <w:widowControl/>
              <w:numPr>
                <w:ilvl w:val="-1"/>
                <w:numId w:val="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材质：采用厚度≥18mm床边；优质松木；床板厚度不得低于10mm；采用圆榫头工艺；油漆：漆膜材质为</w:t>
            </w:r>
            <w:r>
              <w:rPr>
                <w:rFonts w:hint="eastAsia" w:ascii="宋体" w:hAnsi="宋体" w:cs="宋体"/>
                <w:i w:val="0"/>
                <w:iCs w:val="0"/>
                <w:color w:val="000000"/>
                <w:kern w:val="0"/>
                <w:sz w:val="21"/>
                <w:szCs w:val="21"/>
                <w:u w:val="none"/>
                <w:lang w:val="en-US" w:eastAsia="zh-CN" w:bidi="ar"/>
              </w:rPr>
              <w:t>环保</w:t>
            </w:r>
            <w:r>
              <w:rPr>
                <w:rFonts w:hint="eastAsia" w:ascii="宋体" w:hAnsi="宋体" w:eastAsia="宋体" w:cs="宋体"/>
                <w:i w:val="0"/>
                <w:iCs w:val="0"/>
                <w:color w:val="000000"/>
                <w:kern w:val="0"/>
                <w:sz w:val="21"/>
                <w:szCs w:val="21"/>
                <w:u w:val="none"/>
                <w:lang w:val="en-US" w:eastAsia="zh-CN" w:bidi="ar"/>
              </w:rPr>
              <w:t>水性漆。产品加工流程经粉尘处理，自动填补腻子。UV辊涂激光底漆，UV自动烘干，自动底漆打磨，砂光。自动UV激光面漆，烘干等全自动流水线生产工艺制作。产品表面光滑无毛刺，环保健康，整体美观，牢固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3、五金件：采用环保五金，安全无毒，连接稳固着地平衡。底部配以耐磨塑胶PP脚钉，防滑，保护地板减少噪音。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 可触及的边角均采用倒圆角处理，最大程度的避免儿童磕碰伤害。成品无毛刺，无裂纹，接缝自然，无明显缺口和缝隙，喷漆均匀，表面漆膜平整光亮，无皱皮，发粘和漏漆现象。产品外表面和内表面以及儿童手指可触及处无毛刺及尖锐的棱角，保护幼儿安全。</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幼儿衣帽柜</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eastAsia="zh-CN"/>
              </w:rPr>
              <w:t>参考</w:t>
            </w:r>
            <w:r>
              <w:rPr>
                <w:rFonts w:hint="eastAsia" w:ascii="宋体" w:hAnsi="宋体" w:eastAsia="宋体" w:cs="宋体"/>
                <w:i w:val="0"/>
                <w:iCs w:val="0"/>
                <w:color w:val="000000"/>
                <w:kern w:val="0"/>
                <w:sz w:val="21"/>
                <w:szCs w:val="21"/>
                <w:u w:val="none"/>
                <w:lang w:val="en-US" w:eastAsia="zh-CN" w:bidi="ar"/>
              </w:rPr>
              <w:t>尺寸规格：≥120*40*120cm；材质：采用厚度≥18mm，产品: 可触及的边角均采用倒圆角处理，最大程度的避免儿童磕碰伤害。成品无毛刺，无裂纹，接缝自然，无明显缺口和缝隙，喷漆均匀，表面漆膜平整光亮，无皱皮，发粘和漏漆现象。产品外表面和内表面以及儿童手指可触及处无毛刺及尖锐的棱角，保护幼儿安全</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1.工作条件： 成品应放在室内保管。相对湿度为40％－70的条件下应能正常工作。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2.技术性能指标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w:t>
            </w:r>
            <w:r>
              <w:rPr>
                <w:rFonts w:hint="eastAsia"/>
                <w:lang w:eastAsia="zh-CN"/>
              </w:rPr>
              <w:t>参考</w:t>
            </w:r>
            <w:r>
              <w:rPr>
                <w:rFonts w:hint="eastAsia" w:ascii="宋体" w:hAnsi="宋体" w:eastAsia="宋体" w:cs="宋体"/>
                <w:i w:val="0"/>
                <w:iCs w:val="0"/>
                <w:color w:val="000000"/>
                <w:kern w:val="0"/>
                <w:sz w:val="21"/>
                <w:szCs w:val="21"/>
                <w:u w:val="none"/>
                <w:lang w:val="en-US" w:eastAsia="zh-CN" w:bidi="ar"/>
              </w:rPr>
              <w:t>尺寸和重量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2.1.1高度:：1180mm。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2.1.2长度：1515mm。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2.1.3宽度：588mm。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2.1.4重量：220/257。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 琴弦：低音弦长度：1150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2.1.6弦槌：重量：约6－10克。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2.1.7音板：采用复合音板，上下两层白松实木木皮加强音板的抗拉张力，使音板在任何环境下都能保持稳定状态，不会变形和开裂。为了保证音源系统的稳定性和良好的共振性，采用了世界上最先进的五轴联动设备加工音板框，尺寸：1441×942m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2.2.1弦轴板：采用钢琴专用色木多层板，使音的稳定性和持久性更有保证，实木顶杆。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2.2.2弦码：采用钢琴专用色木多层板，上面贴色木实板，硬度高、不开裂、音波阻抗小，具有良好的导音性能。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2.2.3弦轴：45＃钢（调质处理）。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2.2.4中踏瓣：专用钢丝拉线。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2.2.5活动杆：特种金属。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2.2.6 干燥处理：木制件经过两年以上的自然风干，再根据不同的部件采用不同的烘干方式释放木材的内应力，呢毡经过防潮、防蛀、防霉处理。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2.2.7 键盘盖：带缓降装置。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2.2.8  键盘：全音域88键，采用优质红松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2.2.9 踏板：全功能三瓣式。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2.2.10外观及涂装：底层为高密度聚脂板，再涂饰底漆及高硬度防裂亮光面漆。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售后服务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 产品质量按中华人民共和国有关质量标准实行“三包”服务。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4.质量标准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提供相关证明材料（包括但不限于测试报告、官网和功能截图等）</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玩具柜</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lang w:eastAsia="zh-CN"/>
              </w:rPr>
              <w:t>参考</w:t>
            </w:r>
            <w:r>
              <w:rPr>
                <w:rFonts w:hint="eastAsia" w:ascii="宋体" w:hAnsi="宋体" w:eastAsia="宋体" w:cs="宋体"/>
                <w:i w:val="0"/>
                <w:iCs w:val="0"/>
                <w:color w:val="000000"/>
                <w:kern w:val="0"/>
                <w:sz w:val="21"/>
                <w:szCs w:val="21"/>
                <w:u w:val="none"/>
                <w:lang w:val="en-US" w:eastAsia="zh-CN" w:bidi="ar"/>
              </w:rPr>
              <w:t>尺寸：120*30*80cm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2.柜体采用松木1.7cm厚，边角做圆处理。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3.采用优质金属合金件，五金配件连接。产品无锈，无氧化膜脱落，无刃口。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4.漆膜材质为</w:t>
            </w:r>
            <w:r>
              <w:rPr>
                <w:rFonts w:hint="eastAsia" w:ascii="宋体" w:hAnsi="宋体" w:cs="宋体"/>
                <w:i w:val="0"/>
                <w:iCs w:val="0"/>
                <w:color w:val="000000"/>
                <w:kern w:val="0"/>
                <w:sz w:val="21"/>
                <w:szCs w:val="21"/>
                <w:u w:val="none"/>
                <w:lang w:val="en-US" w:eastAsia="zh-CN" w:bidi="ar"/>
              </w:rPr>
              <w:t>环保</w:t>
            </w:r>
            <w:r>
              <w:rPr>
                <w:rFonts w:hint="eastAsia" w:ascii="宋体" w:hAnsi="宋体" w:eastAsia="宋体" w:cs="宋体"/>
                <w:i w:val="0"/>
                <w:iCs w:val="0"/>
                <w:color w:val="000000"/>
                <w:kern w:val="0"/>
                <w:sz w:val="21"/>
                <w:szCs w:val="21"/>
                <w:u w:val="none"/>
                <w:lang w:val="en-US" w:eastAsia="zh-CN" w:bidi="ar"/>
              </w:rPr>
              <w:t>水性漆。产品加工流程经粉尘处理，自动填补腻子。UV辊涂激光底漆，UV自动烘干，自动底漆打磨，砂光。自动UV激光面漆，烘干等全自动流水线生产工艺制作。产品表面光滑无毛刺，环保健康，整体美观，牢固。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造型毛巾架</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t>：90*87*30</w:t>
            </w:r>
            <w:r>
              <w:rPr>
                <w:rFonts w:hint="eastAsia" w:ascii="宋体" w:hAnsi="宋体" w:cs="宋体"/>
                <w:i w:val="0"/>
                <w:iCs w:val="0"/>
                <w:color w:val="000000"/>
                <w:kern w:val="0"/>
                <w:sz w:val="21"/>
                <w:szCs w:val="21"/>
                <w:u w:val="none"/>
                <w:lang w:val="en-US" w:eastAsia="zh-CN" w:bidi="ar"/>
              </w:rPr>
              <w:t>cm</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2.采用樟子松制作而成；</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3.配36个钩挂；挂钩采用ABS树脂制作；环保无毛刺；</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4.采用优质金属合金件，五金配件连接。产品无锈，无氧化膜脱落，无刃口。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5.漆膜材质为</w:t>
            </w:r>
            <w:r>
              <w:rPr>
                <w:rFonts w:hint="eastAsia" w:ascii="宋体" w:hAnsi="宋体" w:cs="宋体"/>
                <w:i w:val="0"/>
                <w:iCs w:val="0"/>
                <w:color w:val="000000"/>
                <w:kern w:val="0"/>
                <w:sz w:val="21"/>
                <w:szCs w:val="21"/>
                <w:u w:val="none"/>
                <w:lang w:val="en-US" w:eastAsia="zh-CN" w:bidi="ar"/>
              </w:rPr>
              <w:t>环保</w:t>
            </w:r>
            <w:r>
              <w:rPr>
                <w:rFonts w:hint="eastAsia" w:ascii="宋体" w:hAnsi="宋体" w:eastAsia="宋体" w:cs="宋体"/>
                <w:i w:val="0"/>
                <w:iCs w:val="0"/>
                <w:color w:val="000000"/>
                <w:kern w:val="0"/>
                <w:sz w:val="21"/>
                <w:szCs w:val="21"/>
                <w:u w:val="none"/>
                <w:lang w:val="en-US" w:eastAsia="zh-CN" w:bidi="ar"/>
              </w:rPr>
              <w:t>水性漆。产品加工流程经粉尘处理，自动填补腻子。UV辊涂激光底漆，UV自动烘干，自动底漆打磨，砂光。自动UV激光面漆，烘干等全自动流水线生产工艺制作。产品表面光滑无毛刺，环保健康，整体美观，牢固。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教学触摸互动液晶一体机</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1.产品不应有危险锐利边缘及危险锐利尖端，转角及边框部位都应经倒圆或者倒角处理，且倒圆半径不小于10mm或者倒圆弧长不小于15mm，符合幼儿园家具设备技术条件要求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2.显示尺寸：65英寸UHD超高清LED 液晶屏，显示比例：16：9，具备防眩光效果，屏幕图像分辨率达3840*2160。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★3.屏幕显示灰度分辨等级达到256灰阶以上。提供相应的功能证明材料（包括但不限于测试报告、官网和功能截图等）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4.采用红外触控技术，可进行20点或以上触控。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★5.同一物理按键完成Android系统和Windows系统的节能熄屏操作，通过轻按按键实现节能熄屏/唤醒，长按按键实现关机。提供相应的功能证明材料（包括但不限于测试报告、官网和功能截图等）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标准、柔和、动态、智能；智能模式下，整机根据显示内容的差异，自动在标准，柔和和动态模式中切换，以保证最佳观看效果，此模式可以开关。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★7.整机内置2.1声道音响，前朝向2个不低于8W中高音扬声器，后朝向1个不低于15W低音扬声器，额定总功率不低于30W。提供相应的功能证明材料（包括但不限于测试报告、官网和功能截图等）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★8.整机开机过程中，长按电源键10s，可以进入BIOS还原模式，实现一键还原功能。</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9.前置接口≥USB3.0*2，侧置接口：≥1路HDMI In ；≥1路PC Audio IN；；≥1路Audio out；≥1路touch USB;≥1路RS232，≥1路VGA 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二、主要功能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★10.整机视网膜蓝光危害（蓝光加权辐射亮度LB）符合IEC62471标准，LB限值范围≤0.55。</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★11.搭配与整机外观风格一致的卡通摄像头，摄像头像素不低于800W，视场角不小于71.8度；摄像头集成内置麦克风拾音，拾音距离不小于3米，摄像头底座预留孔位，可直接手拧，确保后装方便及设备稳定摄录。</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12.幼教专用相机拍照及录像的开始、保存、重拍、取消等操作均支持智能语音操控，快速记录课堂瞬间和活动视频。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13.在任意通道下支持手势识别调出板擦工具擦除批注内容，且看根据手与屏幕的接触面积自动调整板擦工具的大小。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14.定位分辨率：32768*32768。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15.搭载 i5或以上配置CPU，内存：4GB  DDR4笔记本内存或以上配置。硬盘：256GB或以上SSD固态硬盘。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★16.采用抽拉内置式模块化电脑，抽拉内置式，PC模块可插入整机。采用按压式卡扣，无需工具就可快速拆卸电脑模块。</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17.具有独立非外扩展的电脑USB接口：电脑上至少提供3个USB3.0 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18.具有独立非外扩展的视频输出接口：≥1路HDMI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四、教学白板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1.备授课一体化，具有备课模式及授课模式，且操作界面根据备课和授课使用场景不同而区别设计，符合用户使用需求。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★2.为使用方全体教师配备个人账号，形成一体的信息化教学账号体系；根据教师账号信息将教师云空间匹配至对应学校、学科校本资源库。</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★3.支持通过数字账号、微信二维码、硬件密钥方式登录教师个人账号。</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4.提供在线云课堂功能，无需额外安装部署直播软件，可实现语音直播、课件同步、互动工具等远程教学功能。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5.教师可一键生成云课堂课程海报，学生扫描课程海报微信二维码即可加入直播课堂，无需额外安装APP。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★6.为老师提供可扩展，易于学校管理，安全可靠的云存储空间，根据教师使用时长与教学资料制作频率提供可扩展升级至不小于200G的个人云空间。</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★8.支持快速录制胶囊式微课，微课可录制保存音频和课件的互动操作。</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★9.系统后台自动统计胶囊式微课的观看次数，便于教师做教研管理。</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10.支持课件内嵌图片、音视频等多媒体文件，兼容以下格式：mp3\wav\wma\ogg\aac\mp4\rmvb\wmv\avi\rm\3gp\mkv\flv\mov\bmp\jpg\jpeg\gif\svg\swf\ppt\pptx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11.板中板：支持授课过程中调用板中板辅助教学，可进行批注、加页及背景色切换；板中板支持插入图片、音视频素材进行独立讲解，不影响课件主画面。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12.提供多种翻页按键布局，翻页按键可分布于屏幕单侧或左右两侧，支持上下翻页、课件页面预览及页面非线性跳转。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★13.汉字生字卡：支持在田字格上手写输入汉字并自动识别为印刷体，可展示该汉字的部首、读音、笔画顺序、笔画数量等。</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14.可一键为课件文本、图片、形状等对象添加蒙层将其隐藏，授课模式下可擦除蒙层展现隐藏内容，丰富课件互动展示效果。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15.内置专用美术画板工具，提供铅笔、毛笔、油画笔等笔触，具备符合绘画调色教学需求的模拟调色盘，可选择不同颜色混合调色，便于学生理解调色合成过程。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★16.智能纠错：软件内置的AI智能语义分析模块，可对输入的英文文本的拼写、句型、语法进行错误检查，并支持一键纠错。</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★17.配置英语学科听写工具，覆盖不少于4500个英语单词，支持自定义选择单词。自定义听写频率和次数，一键生成听写卡；授课模式支持一键开启听写朗读。</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提供古诗词、古文教学资源：包含原文、翻译、背景介绍、作者介绍、原文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多学科课件库：提供语文、数学、英语、物理、化学等学科全部教学章节的交互式课件。课件支持直接预览并下载，预览时支持拖动课堂活动、形状、几何、文本等元素；下载时课件可同步至教师个人云课件存储空间；课件支持教师在线评分。</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五、学生行为评价软件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20.手机学生行为评价系统集成学校管理、教师管理、课堂表现评价、家校互联互通功能，所有功能同一软件平台的同一账户实现。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21.支持通过数字账号、微信二维码、硬件密钥方式登录教师个人账号。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22.兼容多平台系统，可在PC、Web、安卓、iOS等系统使用，且各终端数据互通，教师可多场景下对学生进行管理与评价。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23.移动端支持教师/家长双重身份无缝切换，软件内可直接切换账户类型，无需安装多个APP应用或退出账号重新登录。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24.支持汇总查看校内的班级评价排名，可以列表形式查看班主任、班级学生数、家长数、班级代码等信息。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25.提供TBL\PBL分组教学评价功能，教师可自由创建多个学生小组，支持对单个小组成员进行换组调整。同时提供快速随机分组功能，可快速将班级学生按照教师需求的组别数量进行随机分组。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26.支持考勤功能，可对学生的出勤、迟到、缺勤、请假状态进行记录，并支持查看课堂考勤统计报表，可详细查看班级考勤概览数据。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27.支持网页端、PC授课端查看学生成长统计报表，按饼状图形式展现学生课堂表现情况，支持查看班级或学生个人情况，并可追溯每条评价的原因、对象、分值，便于教师进行精准评价。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★28.系统根据学生日常行为评价情况，通过AI学生能力模型进行智能分析，为每个学生生成定制化评语，评语可支持教师二次编辑修改并推送至家长端。</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29.教师可通过多终端对学生、小组及班级进行行为量化评价、文字点评、图片点评。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30.系统内置头像类型不少于10种，支持教师自定义设置学生头像。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31.支持课堂评价分数清零重置，可选择对个别学生和全班学生进行分数重置。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32.支持教师与其他教师及家长进行文字、语音、图片交流，且教师可设置免打扰时间段，非工作时间内消息不会发生提醒。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33.支持教师创建打卡任务，打卡支持超过200字的文本、图片、语音、视频和外部网页链接等形式，发布后老师可以看到学生打卡情况统计表。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六、教学数据分分析管理平台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34.后台采用B/S架构设计，支持学校管理者在Windows、Linux、Android、IOS等多种不同的操作系统上通过网页浏览器登陆进行操作，可统计全校教师软件活跃数据、学生点评及课件上传等数据。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35.支持管理员及教师使用网页端、移动端登录，移动端支持查看网页端数据信息，教师榜单，并定期推送数据分析报表，帮助学校检验信息化教学成果。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★36.信息化数据雷达图：将信息化教学数据分五个维度进行评估，分别为课件制作、听课评课、师生互动、互动教学、家校沟通，并与全省均值对比，学校信息化教学情况一目了然。</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38.教研结构：支持管理者按照学段-学科-年级快速创建教师的教研组织结构，方便教师信息的分类管理。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39.信息管理：支持修改管理员、教师的账户信息，支持管理员上传校徽，并对本校内管理者账户都可见。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为学校提供教研全流程管理服务，包含教学计划、电子教案、听课评课、校本资源、班级氛围的流程管理和数据分析，方便学校统筹管理教学、教研活动进展，收集数据反馈和评价，了解全校教师的教学教研产出。</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41.教案模板管理：支持管理者自定义学校的教案模板，可以设置必填项和选填项，有效规范教师教案的编写。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★42.班级氛围数据概况：支持查看不同时间段班级氛围数据的概况，数据包含家长入班率，教师对学生的新增点评数，教师参与度，表现突出的教师前三名。 </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44.电子教案：教师可以在个人空间直接编写教案，编写教案时可以关联课件，支持教师在个人空间、配套备授课工具查看课件以及教案，方便教师进行教学设计。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45.习题使用：教师可以选择习题插入课件使用。支持在云空间中创建习题，包括选择题、填空题、解答题，支持批量导入习题，将习题分享至校本资源库。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七、幼教资源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46.系统资源严格依据《3-6岁儿童学习与发展指南》与《幼儿园指导纲要》编制而成，资源内容涵盖健康、语言、社会、科学、艺术等五个领域。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47.系统主要分为资源和应用两大特色教学功能：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48.资源包括：儿童普通读物动画和视频资源列表（2600个及以上）；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49.应用包括：“主题课程、特色课堂、电子白板、工具”等。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50.系统提供相对成体系的课程，不仅仅是课件，老师授课一键调用资源及其方便简单。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51.系统提供：主题绘本，礼仪与安全，国学经典，幼儿才艺，剑桥主题英语，剑桥互动英语，经典童话故事，行为习惯故事，多元主题活动，潜能互动课程，手指操，蒙氏快乐阅读12类五大领域教育资源。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52.幼教系统</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2900条1080P高清视频和高清动画资源。</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带门口杯架（无底座）</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36个口杯、内部放置水杯的格档尺寸：9×13×10cm。柜门上安装不锈钢网防止蚊蝇进入，保证安全卫生。柜体：采用有背板连接结构。</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幼儿班级消毒柜</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138L不锈钢，红外线消毒</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三门更衣柜</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eastAsia="zh-CN"/>
              </w:rPr>
              <w:t>参考尺寸：</w:t>
            </w:r>
            <w:r>
              <w:rPr>
                <w:rFonts w:hint="eastAsia" w:ascii="宋体" w:hAnsi="宋体" w:eastAsia="宋体" w:cs="宋体"/>
                <w:i w:val="0"/>
                <w:iCs w:val="0"/>
                <w:color w:val="000000"/>
                <w:kern w:val="0"/>
                <w:sz w:val="21"/>
                <w:szCs w:val="21"/>
                <w:u w:val="none"/>
                <w:lang w:val="en-US" w:eastAsia="zh-CN" w:bidi="ar"/>
              </w:rPr>
              <w:t>900*500*1850</w:t>
            </w:r>
            <w:r>
              <w:rPr>
                <w:rFonts w:hint="eastAsia" w:ascii="宋体" w:hAnsi="宋体" w:cs="宋体"/>
                <w:i w:val="0"/>
                <w:iCs w:val="0"/>
                <w:color w:val="000000"/>
                <w:kern w:val="0"/>
                <w:sz w:val="21"/>
                <w:szCs w:val="21"/>
                <w:u w:val="none"/>
                <w:lang w:val="en-US" w:eastAsia="zh-CN" w:bidi="ar"/>
              </w:rPr>
              <w:t>mm</w:t>
            </w:r>
            <w:r>
              <w:rPr>
                <w:rFonts w:hint="eastAsia" w:ascii="宋体" w:hAnsi="宋体" w:eastAsia="宋体" w:cs="宋体"/>
                <w:i w:val="0"/>
                <w:iCs w:val="0"/>
                <w:color w:val="000000"/>
                <w:kern w:val="0"/>
                <w:sz w:val="21"/>
                <w:szCs w:val="21"/>
                <w:u w:val="none"/>
                <w:lang w:val="en-US" w:eastAsia="zh-CN" w:bidi="ar"/>
              </w:rPr>
              <w:t>，基材采用0.8mm优质加厚冷轧板，经过无磷环保静电喷塑，具有表面光滑，附着性好，不以掉漆，坚固耐用防滑无异味的特性。门内活动隔板高度可调节，根据所需自由分配空间，层板下面采用冷轧钢加强筋，从而使柜子承重力增强，层板坚固耐用，不易变形，开启灵活，防盗系数高！</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黑板</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120*80cm白绿，可移动支架</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班级盥洗室吊柜</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eastAsia="zh-CN"/>
              </w:rPr>
              <w:t>参考尺寸</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90*60*30cm，材质12mm密度板</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遮光窗帘</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平米</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餐车</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eastAsia="zh-CN"/>
              </w:rPr>
              <w:t>参考尺寸：</w:t>
            </w:r>
            <w:r>
              <w:rPr>
                <w:rFonts w:hint="eastAsia" w:ascii="宋体" w:hAnsi="宋体" w:eastAsia="宋体" w:cs="宋体"/>
                <w:i w:val="0"/>
                <w:iCs w:val="0"/>
                <w:color w:val="000000"/>
                <w:kern w:val="0"/>
                <w:sz w:val="21"/>
                <w:szCs w:val="21"/>
                <w:u w:val="none"/>
                <w:lang w:val="en-US" w:eastAsia="zh-CN" w:bidi="ar"/>
              </w:rPr>
              <w:t>95*50*95cm不锈钢，双层</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床罩</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eastAsia="zh-CN"/>
              </w:rPr>
              <w:t>参考尺寸：</w:t>
            </w:r>
            <w:r>
              <w:rPr>
                <w:rFonts w:hint="eastAsia" w:ascii="宋体" w:hAnsi="宋体" w:eastAsia="宋体" w:cs="宋体"/>
                <w:i w:val="0"/>
                <w:iCs w:val="0"/>
                <w:color w:val="000000"/>
                <w:kern w:val="0"/>
                <w:sz w:val="21"/>
                <w:szCs w:val="21"/>
                <w:u w:val="none"/>
                <w:lang w:val="en-US" w:eastAsia="zh-CN" w:bidi="ar"/>
              </w:rPr>
              <w:t>140*60*120cm</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不锈钢双槽洗碗池</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eastAsia="zh-CN"/>
              </w:rPr>
              <w:t>参考尺寸：</w:t>
            </w:r>
            <w:r>
              <w:rPr>
                <w:rFonts w:hint="eastAsia" w:ascii="宋体" w:hAnsi="宋体" w:eastAsia="宋体" w:cs="宋体"/>
                <w:i w:val="0"/>
                <w:iCs w:val="0"/>
                <w:color w:val="000000"/>
                <w:kern w:val="0"/>
                <w:sz w:val="21"/>
                <w:szCs w:val="21"/>
                <w:u w:val="none"/>
                <w:lang w:val="en-US" w:eastAsia="zh-CN" w:bidi="ar"/>
              </w:rPr>
              <w:t>1450*600*800</w:t>
            </w:r>
            <w:r>
              <w:rPr>
                <w:rFonts w:hint="eastAsia" w:ascii="宋体" w:hAnsi="宋体" w:cs="宋体"/>
                <w:i w:val="0"/>
                <w:iCs w:val="0"/>
                <w:color w:val="000000"/>
                <w:kern w:val="0"/>
                <w:sz w:val="21"/>
                <w:szCs w:val="21"/>
                <w:u w:val="none"/>
                <w:lang w:val="en-US" w:eastAsia="zh-CN" w:bidi="ar"/>
              </w:rPr>
              <w:t>mm</w:t>
            </w:r>
            <w:r>
              <w:rPr>
                <w:rFonts w:hint="eastAsia" w:ascii="宋体" w:hAnsi="宋体" w:eastAsia="宋体" w:cs="宋体"/>
                <w:i w:val="0"/>
                <w:iCs w:val="0"/>
                <w:color w:val="000000"/>
                <w:kern w:val="0"/>
                <w:sz w:val="21"/>
                <w:szCs w:val="21"/>
                <w:u w:val="none"/>
                <w:lang w:val="en-US" w:eastAsia="zh-CN" w:bidi="ar"/>
              </w:rPr>
              <w:t>采用优质201不锈钢板材制作；台面厚0.8mm；加强处理；盆池0.8mm厚不锈钢板制作；通脚为Φ38×1.2mm不锈钢管；加装优质不锈钢可调子弹脚；</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单星水池</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eastAsia="zh-CN"/>
              </w:rPr>
              <w:t>参考尺寸：</w:t>
            </w:r>
            <w:r>
              <w:rPr>
                <w:rFonts w:hint="eastAsia" w:ascii="宋体" w:hAnsi="宋体" w:eastAsia="宋体" w:cs="宋体"/>
                <w:i w:val="0"/>
                <w:iCs w:val="0"/>
                <w:color w:val="000000"/>
                <w:kern w:val="0"/>
                <w:sz w:val="21"/>
                <w:szCs w:val="21"/>
                <w:u w:val="none"/>
                <w:lang w:val="en-US" w:eastAsia="zh-CN" w:bidi="ar"/>
              </w:rPr>
              <w:t>600*600*800</w:t>
            </w:r>
            <w:r>
              <w:rPr>
                <w:rFonts w:hint="eastAsia" w:ascii="宋体" w:hAnsi="宋体" w:cs="宋体"/>
                <w:i w:val="0"/>
                <w:iCs w:val="0"/>
                <w:color w:val="000000"/>
                <w:kern w:val="0"/>
                <w:sz w:val="21"/>
                <w:szCs w:val="21"/>
                <w:u w:val="none"/>
                <w:lang w:val="en-US" w:eastAsia="zh-CN" w:bidi="ar"/>
              </w:rPr>
              <w:t>mm</w:t>
            </w:r>
            <w:r>
              <w:rPr>
                <w:rFonts w:hint="eastAsia" w:ascii="宋体" w:hAnsi="宋体" w:eastAsia="宋体" w:cs="宋体"/>
                <w:i w:val="0"/>
                <w:iCs w:val="0"/>
                <w:color w:val="000000"/>
                <w:kern w:val="0"/>
                <w:sz w:val="21"/>
                <w:szCs w:val="21"/>
                <w:u w:val="none"/>
                <w:lang w:val="en-US" w:eastAsia="zh-CN" w:bidi="ar"/>
              </w:rPr>
              <w:t>采用优质201不锈钢板材制作；台面厚0.8mm；加强处理；盆池0.8mm厚不锈钢板制作；通脚为Φ38×1.2mm不锈钢管；加装优质不锈钢可调子弹脚</w:t>
            </w:r>
            <w:r>
              <w:rPr>
                <w:rFonts w:hint="eastAsia" w:ascii="宋体" w:hAnsi="宋体" w:cs="宋体"/>
                <w:i w:val="0"/>
                <w:iCs w:val="0"/>
                <w:color w:val="000000"/>
                <w:kern w:val="0"/>
                <w:sz w:val="21"/>
                <w:szCs w:val="21"/>
                <w:u w:val="none"/>
                <w:lang w:val="en-US" w:eastAsia="zh-CN" w:bidi="ar"/>
              </w:rPr>
              <w:t>。</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多功能复印机</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涵盖功能 打印/复印/扫描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最大处理幅面 A3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耗材类型 鼓粉分离式硒鼓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黑白打印速度 黑白(正常模式，A4)：高达22页/分钟，黑白(正常模式，letter)：高达22页/分钟，黑白(正常模式，A3)：高达12页/分钟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打印分辨率 1200×1200dpi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首页打印时间 黑白(A4，就绪状态)：最快9.2秒，黑白(A4，休眠状态)：最快22.2秒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复印功能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复印速度 黑白(正常模式，A4)：高达22页/分钟，黑白(正常模式，letter)：高达22页/分钟，黑白(正常模式，A3)：高达12页/分钟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复印分辨率 600×600dpi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首页复印时间 黑白(A4)：最快7.7秒，黑白(A4，休眠状态)：最快22.2秒，黑白(信纸)：最快7.7秒，黑白(信纸，休眠状态)：最快22.2秒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连续复印 1-999页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复印其它性能 复印类型：平板式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复印比例：25%到400%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扫描速度 普通(A4)：高达33面/分钟(黑白)，高达33面/分钟(彩色)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光学分辨率 600×600dpi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最大分辨率 4800×4800dpi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其它参数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电源电压 AC 220-240V，50/60Hz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耗电量 打印时：550，就绪状态：80W，休眠：0.7W，关机：0.2W</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图书柜</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eastAsia="zh-CN"/>
              </w:rPr>
              <w:t>参考尺寸：</w:t>
            </w:r>
            <w:r>
              <w:rPr>
                <w:rFonts w:hint="eastAsia" w:ascii="宋体" w:hAnsi="宋体" w:eastAsia="宋体" w:cs="宋体"/>
                <w:i w:val="0"/>
                <w:iCs w:val="0"/>
                <w:color w:val="000000"/>
                <w:kern w:val="0"/>
                <w:sz w:val="21"/>
                <w:szCs w:val="21"/>
                <w:u w:val="none"/>
                <w:lang w:val="en-US" w:eastAsia="zh-CN" w:bidi="ar"/>
              </w:rPr>
              <w:t>80*40*90cmcm 松木直立图书架；用优质金属合金件，五金配件连接。产品无锈，无氧化膜脱落，无刃口。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漆膜材质为</w:t>
            </w:r>
            <w:r>
              <w:rPr>
                <w:rFonts w:hint="eastAsia" w:ascii="宋体" w:hAnsi="宋体" w:cs="宋体"/>
                <w:i w:val="0"/>
                <w:iCs w:val="0"/>
                <w:color w:val="000000"/>
                <w:kern w:val="0"/>
                <w:sz w:val="21"/>
                <w:szCs w:val="21"/>
                <w:u w:val="none"/>
                <w:lang w:val="en-US" w:eastAsia="zh-CN" w:bidi="ar"/>
              </w:rPr>
              <w:t>环保</w:t>
            </w:r>
            <w:r>
              <w:rPr>
                <w:rFonts w:hint="eastAsia" w:ascii="宋体" w:hAnsi="宋体" w:eastAsia="宋体" w:cs="宋体"/>
                <w:i w:val="0"/>
                <w:iCs w:val="0"/>
                <w:color w:val="000000"/>
                <w:kern w:val="0"/>
                <w:sz w:val="21"/>
                <w:szCs w:val="21"/>
                <w:u w:val="none"/>
                <w:lang w:val="en-US" w:eastAsia="zh-CN" w:bidi="ar"/>
              </w:rPr>
              <w:t>水性漆。产品加工流程经粉尘处理，自动填补腻子。UV辊涂激光底漆，UV自动烘干，自动底漆打磨，砂光。自动UV激光面漆，烘干等全自动流水线生产工艺制作。产品表面光滑无毛刺，环保健康，整体美观，牢固。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教具框</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eastAsia="zh-CN"/>
              </w:rPr>
              <w:t>参考尺寸：</w:t>
            </w:r>
            <w:r>
              <w:rPr>
                <w:rFonts w:hint="eastAsia" w:ascii="宋体" w:hAnsi="宋体" w:eastAsia="宋体" w:cs="宋体"/>
                <w:i w:val="0"/>
                <w:iCs w:val="0"/>
                <w:color w:val="000000"/>
                <w:kern w:val="0"/>
                <w:sz w:val="21"/>
                <w:szCs w:val="21"/>
                <w:u w:val="none"/>
                <w:lang w:val="en-US" w:eastAsia="zh-CN" w:bidi="ar"/>
              </w:rPr>
              <w:t>35*26*8.5cm，塑料白色</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幼儿桌面玩具</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管道积木、聪明棒、数字雪花片、磁力片、基础大颗粒</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毛巾热风消毒柜</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800L双门4层，热风循环，电压220v，功率225w，温度≥60℃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仰卧起坐体育垫</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eastAsia="zh-CN"/>
              </w:rPr>
              <w:t>参考尺寸：</w:t>
            </w:r>
            <w:r>
              <w:rPr>
                <w:rFonts w:hint="eastAsia" w:ascii="宋体" w:hAnsi="宋体" w:eastAsia="宋体" w:cs="宋体"/>
                <w:i w:val="0"/>
                <w:iCs w:val="0"/>
                <w:color w:val="000000"/>
                <w:kern w:val="0"/>
                <w:sz w:val="21"/>
                <w:szCs w:val="21"/>
                <w:u w:val="none"/>
                <w:lang w:val="en-US" w:eastAsia="zh-CN" w:bidi="ar"/>
              </w:rPr>
              <w:t>120*60*5cm，pu珍珠棉</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班级收纳箱</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200L加厚收纳箱</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平衡木</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4桥5墩</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低建构木质积木</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398粒松木积木</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pStyle w:val="29"/>
        <w:rPr>
          <w:rFonts w:hint="default"/>
          <w:lang w:val="en-US" w:eastAsia="zh-CN"/>
        </w:rPr>
      </w:pPr>
    </w:p>
    <w:p/>
    <w:p>
      <w:pPr>
        <w:jc w:val="center"/>
        <w:outlineLvl w:val="2"/>
        <w:rPr>
          <w:rFonts w:hint="eastAsia" w:ascii="宋体" w:hAnsi="宋体" w:cs="宋体"/>
          <w:color w:val="000000"/>
          <w:sz w:val="36"/>
          <w:szCs w:val="36"/>
          <w:lang w:eastAsia="zh-CN"/>
        </w:rPr>
        <w:sectPr>
          <w:headerReference r:id="rId9" w:type="default"/>
          <w:footerReference r:id="rId10" w:type="default"/>
          <w:pgSz w:w="11906" w:h="16838"/>
          <w:pgMar w:top="1440" w:right="1803" w:bottom="1440" w:left="1803" w:header="851" w:footer="992" w:gutter="0"/>
          <w:pgNumType w:fmt="decimal"/>
          <w:cols w:space="720" w:num="1"/>
          <w:docGrid w:type="lines" w:linePitch="319" w:charSpace="0"/>
        </w:sectPr>
      </w:pP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
        <w:gridCol w:w="876"/>
        <w:gridCol w:w="5983"/>
        <w:gridCol w:w="358"/>
        <w:gridCol w:w="428"/>
        <w:gridCol w:w="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灞桥区第九幼儿园设施设备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木制桌</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 xml:space="preserve">尺寸：120*60*56cm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面采用优质橡胶木指接板，厚度1.8cm，采用双面AA级板材，桌脚采用优质橡胶木5x5cm料，围板采用优质橡胶木7x2.2cm，所有边角做圆处理。整体拆装式，桌脚底部装有软胶垫，防止对地板产生划痕。采用优质金属合金件，五金配件连接。产品无锈，无氧化膜脱落，无刀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3.油漆采用</w:t>
            </w:r>
            <w:r>
              <w:rPr>
                <w:rFonts w:hint="eastAsia" w:ascii="宋体" w:hAnsi="宋体" w:cs="宋体"/>
                <w:i w:val="0"/>
                <w:iCs w:val="0"/>
                <w:color w:val="000000"/>
                <w:kern w:val="0"/>
                <w:sz w:val="21"/>
                <w:szCs w:val="21"/>
                <w:u w:val="none"/>
                <w:lang w:val="en-US" w:eastAsia="zh-CN" w:bidi="ar"/>
              </w:rPr>
              <w:t>环保水性</w:t>
            </w:r>
            <w:r>
              <w:rPr>
                <w:rFonts w:hint="eastAsia" w:ascii="宋体" w:hAnsi="宋体" w:eastAsia="宋体" w:cs="宋体"/>
                <w:i w:val="0"/>
                <w:iCs w:val="0"/>
                <w:color w:val="000000"/>
                <w:kern w:val="0"/>
                <w:sz w:val="21"/>
                <w:szCs w:val="21"/>
                <w:u w:val="none"/>
                <w:lang w:val="en-US" w:eastAsia="zh-CN" w:bidi="ar"/>
              </w:rPr>
              <w:t>漆，三底二面，产品表面光滑无毛刺，整体牢固，环保无毒</w:t>
            </w:r>
            <w:r>
              <w:rPr>
                <w:rFonts w:hint="eastAsia" w:ascii="宋体" w:hAnsi="宋体" w:cs="宋体"/>
                <w:i w:val="0"/>
                <w:iCs w:val="0"/>
                <w:color w:val="000000"/>
                <w:kern w:val="0"/>
                <w:sz w:val="21"/>
                <w:szCs w:val="21"/>
                <w:u w:val="none"/>
                <w:lang w:val="en-US" w:eastAsia="zh-CN" w:bidi="ar"/>
              </w:rPr>
              <w:t>。（提供产品检测报告）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木制椅</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1.产品尺寸：座面高29cm，宽30cm，背高55cm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椅面采用优质橡胶木指接板，厚度1.8cm，采用双面AA级板材。椅脚采用优质橡胶木4.7x2.4cm料，围板采用橡胶木4.7x2.4cm料，底部有三根2.5x3cm支撑条，椅脚底部装有软胶垫，防止对地面产生划痕，所有边角做圆处理，产品全部采用榫头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3.采用优质金属合金件，五金配件连接。产品无锈，无氧化膜脱落，无刀口。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4.漆膜材质为</w:t>
            </w:r>
            <w:r>
              <w:rPr>
                <w:rFonts w:hint="eastAsia" w:ascii="宋体" w:hAnsi="宋体" w:cs="宋体"/>
                <w:i w:val="0"/>
                <w:iCs w:val="0"/>
                <w:color w:val="000000"/>
                <w:kern w:val="0"/>
                <w:sz w:val="21"/>
                <w:szCs w:val="21"/>
                <w:u w:val="none"/>
                <w:lang w:val="en-US" w:eastAsia="zh-CN" w:bidi="ar"/>
              </w:rPr>
              <w:t>环保</w:t>
            </w:r>
            <w:r>
              <w:rPr>
                <w:rFonts w:hint="eastAsia" w:ascii="宋体" w:hAnsi="宋体" w:eastAsia="宋体" w:cs="宋体"/>
                <w:i w:val="0"/>
                <w:iCs w:val="0"/>
                <w:color w:val="000000"/>
                <w:kern w:val="0"/>
                <w:sz w:val="21"/>
                <w:szCs w:val="21"/>
                <w:u w:val="none"/>
                <w:lang w:val="en-US" w:eastAsia="zh-CN" w:bidi="ar"/>
              </w:rPr>
              <w:t>水性漆。产品加工流程经粉尘处理，自动填补腻子。UV辊涂激光底漆，UV自动烘干，自动底漆打磨，砂光。自动UV激光面漆，烘干等全自动流水线生产工艺制作。产品表面光滑无毛刺，环保健康，整体美观，牢固。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木制床</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2"/>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t>：≥135*60*20cm；</w:t>
            </w:r>
          </w:p>
          <w:p>
            <w:pPr>
              <w:keepNext w:val="0"/>
              <w:keepLines w:val="0"/>
              <w:widowControl/>
              <w:numPr>
                <w:ilvl w:val="0"/>
                <w:numId w:val="22"/>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材质：采用厚度≥18mm床边；优质松木；床板厚度不得低于10mm；采用圆榫头工艺；油漆：漆膜材质为</w:t>
            </w:r>
            <w:r>
              <w:rPr>
                <w:rFonts w:hint="eastAsia" w:ascii="宋体" w:hAnsi="宋体" w:cs="宋体"/>
                <w:i w:val="0"/>
                <w:iCs w:val="0"/>
                <w:color w:val="000000"/>
                <w:kern w:val="0"/>
                <w:sz w:val="21"/>
                <w:szCs w:val="21"/>
                <w:u w:val="none"/>
                <w:lang w:val="en-US" w:eastAsia="zh-CN" w:bidi="ar"/>
              </w:rPr>
              <w:t>环保</w:t>
            </w:r>
            <w:r>
              <w:rPr>
                <w:rFonts w:hint="eastAsia" w:ascii="宋体" w:hAnsi="宋体" w:eastAsia="宋体" w:cs="宋体"/>
                <w:i w:val="0"/>
                <w:iCs w:val="0"/>
                <w:color w:val="000000"/>
                <w:kern w:val="0"/>
                <w:sz w:val="21"/>
                <w:szCs w:val="21"/>
                <w:u w:val="none"/>
                <w:lang w:val="en-US" w:eastAsia="zh-CN" w:bidi="ar"/>
              </w:rPr>
              <w:t>水性漆。产品加工流程经粉尘处理，自动填补腻子。UV辊涂激光底漆，UV自动烘干，自动底漆打磨，砂光。自动UV激光面漆，烘干等全自动流水线生产工艺制作。产品表面光滑无毛刺，环保健康，整体美观，牢固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3、五金件：采用环保五金，安全无毒，连接稳固着地平衡。底部配以耐磨塑胶PP脚钉，防滑，保护地板减少噪音。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 可触及的边角均采用倒圆角处理，最大程度的避免儿童磕碰伤害。成品无毛刺，无裂纹，接缝自然，无明显缺口和缝隙，喷漆均匀，表面漆膜平整光亮，无皱皮，发粘和漏漆现象。产品外表面和内表面以及儿童手指可触及处无毛刺及尖锐的棱角，保护幼儿安全。</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1.工作条件： 成品应放在室内保管。相对湿度为40％－70的条件下应能正常工作。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2.技术性能指标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w:t>
            </w: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尺寸和重量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2.1.1高度:：1180mm。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2.1.2长度：1515mm。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2.1.3宽度：588mm。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2.1.4重量：220/257。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 琴弦：低音弦长度：1150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2.1.6弦槌：重量：约6－10克。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2.1.7音板：采用复合音板，上下两层白松实木木皮加强音板的抗拉张力，使音板在任何环境下都能保持稳定状态，不会变形和开裂。为了保证音源系统的稳定性和良好的共振性，采用了世界上最先进的五轴联动设备加工音板框，尺寸：1441×942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2.2.1弦轴板：采用钢琴专用色木多层板，使音的稳定性和持久性更有保证，实木顶杆。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2.2.2弦码：采用钢琴专用色木多层板，上面贴色木实板，硬度高、不开裂、音波阻抗小，具有良好的导音性能。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2.2.3弦轴：45＃钢（调质处理）。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2.2.4中踏瓣：专用钢丝拉线。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2.2.5活动杆：特种金属。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2.2.6 干燥处理：木制件经过两年以上的自然风干，再根据不同的部件采用不同的烘干方式释放木材的内应力，呢毡经过防潮、防蛀、防霉处理。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2.2.7 键盘盖：带缓降装置。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2.2.8  键盘：全音域88键，采用优质红松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2.2.9 踏板：全功能三瓣式。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2.2.10外观及涂装：底层为高密度聚脂板，再涂饰底漆及高硬度防裂亮光面漆。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售后服务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 产品质量按中华人民共和国有关质量标准实行“三包”服务。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质量标准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提供相关证明材料（包括但不限于测试报告、官网和功能截图等）</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玩具柜</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尺寸：120*30*80cm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2.柜体采用优质松木1.7cm厚，边角做圆处理。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3.采用优质金属合金件，五金配件连接。产品无锈，无氧化膜脱落，无刃口。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4.漆膜材质为</w:t>
            </w:r>
            <w:r>
              <w:rPr>
                <w:rFonts w:hint="eastAsia" w:ascii="宋体" w:hAnsi="宋体" w:cs="宋体"/>
                <w:i w:val="0"/>
                <w:iCs w:val="0"/>
                <w:color w:val="000000"/>
                <w:kern w:val="0"/>
                <w:sz w:val="21"/>
                <w:szCs w:val="21"/>
                <w:u w:val="none"/>
                <w:lang w:val="en-US" w:eastAsia="zh-CN" w:bidi="ar"/>
              </w:rPr>
              <w:t>环保</w:t>
            </w:r>
            <w:r>
              <w:rPr>
                <w:rFonts w:hint="eastAsia" w:ascii="宋体" w:hAnsi="宋体" w:eastAsia="宋体" w:cs="宋体"/>
                <w:i w:val="0"/>
                <w:iCs w:val="0"/>
                <w:color w:val="000000"/>
                <w:kern w:val="0"/>
                <w:sz w:val="21"/>
                <w:szCs w:val="21"/>
                <w:u w:val="none"/>
                <w:lang w:val="en-US" w:eastAsia="zh-CN" w:bidi="ar"/>
              </w:rPr>
              <w:t>水性漆。产品加工流程经粉尘处理，自动填补腻子。UV辊涂激光底漆，UV自动烘干，自动底漆打磨，砂光。自动UV激光面漆，烘干等全自动流水线生产工艺制作。产品表面光滑无毛刺，环保健康，整体美观，牢固。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造型毛巾架</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t>：90*87*30CM，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2.采用樟子松制作而成；</w:t>
            </w:r>
          </w:p>
          <w:p>
            <w:pPr>
              <w:keepNext w:val="0"/>
              <w:keepLines w:val="0"/>
              <w:widowControl/>
              <w:numPr>
                <w:ilvl w:val="0"/>
                <w:numId w:val="22"/>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配36个钩挂；挂钩采用ABS树脂制作；环保无毛刺；</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4.采用优质金属合金件，五金配件连接。产品无锈，无氧化膜脱落，无刃口。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5.漆膜材质为</w:t>
            </w:r>
            <w:r>
              <w:rPr>
                <w:rFonts w:hint="eastAsia" w:ascii="宋体" w:hAnsi="宋体" w:cs="宋体"/>
                <w:i w:val="0"/>
                <w:iCs w:val="0"/>
                <w:color w:val="000000"/>
                <w:kern w:val="0"/>
                <w:sz w:val="21"/>
                <w:szCs w:val="21"/>
                <w:u w:val="none"/>
                <w:lang w:val="en-US" w:eastAsia="zh-CN" w:bidi="ar"/>
              </w:rPr>
              <w:t>环保</w:t>
            </w:r>
            <w:r>
              <w:rPr>
                <w:rFonts w:hint="eastAsia" w:ascii="宋体" w:hAnsi="宋体" w:eastAsia="宋体" w:cs="宋体"/>
                <w:i w:val="0"/>
                <w:iCs w:val="0"/>
                <w:color w:val="000000"/>
                <w:kern w:val="0"/>
                <w:sz w:val="21"/>
                <w:szCs w:val="21"/>
                <w:u w:val="none"/>
                <w:lang w:val="en-US" w:eastAsia="zh-CN" w:bidi="ar"/>
              </w:rPr>
              <w:t>水性漆。产品加工流程经粉尘处理，自动填补腻子。UV辊涂激光底漆，UV自动烘干，自动底漆打磨，砂光。自动UV激光面漆，烘干等全自动流水线生产工艺制作。产品表面光滑无毛刺，环保健康，整体美观，牢固。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教学触摸互动液晶一体机</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1.产品不应有危险锐利边缘及危险锐利尖端，转角及边框部位都应经倒圆或者倒角处理，且倒圆半径不小于10mm或者倒圆弧长不小于15mm，符合幼儿园家具设备技术条件要求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2.显示尺寸：65英寸UHD超高清LED 液晶屏，显示比例：16：9，具备防眩光效果，屏幕图像分辨率达3840*2160。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★3.屏幕显示灰度分辨等级达到256灰阶以上。</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4.采用红外触控技术，可进行20点或以上触控。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★5.同一物理按键完成Android系统和Windows系统的节能熄屏操作，通过轻按按键实现节能熄屏/唤醒，长按按键实现关机。</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★6.标准、柔和、动态、智能；智能模式下，整机根据显示内容的差异，自动在标准，柔和和动态模式中切换，以保证最佳观看效果，此模式可以开关。</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★7.整机内置2.1声道音响，前朝向2个不低于8W中高音扬声器，后朝向1个不低于15W低音扬声器，额定总功率不低于30W。</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★8.整机开机过程中，长按电源键10s，可以进入BIOS还原模式，实现一键还原功能。</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9.前置接口≥USB3.0*2，侧置接口：≥1路HDMI In ；≥1路PC Audio IN；；≥1路Audio out；≥1路touch USB;≥1路RS232，≥1路VGA 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二、主要功能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★10.整机视网膜蓝光危害（蓝光加权辐射亮度LB）符合IEC62471标准，LB限值范围≤0.55。</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★11.搭配与整机外观风格一致的卡通摄像头，摄像头像素不低于800W，视场角不小于71.8度；摄像头集成内置麦克风拾音，拾音距离不小于3米，摄像头底座预留孔位，可直接手拧，确保后装方便及设备稳定摄录。</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12.幼教专用相机拍照及录像的开始、保存、重拍、取消等操作均支持智能语音操控，快速记录课堂瞬间和活动视频。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13.在任意通道下支持手势识别调出板擦工具擦除批注内容，且看根据手与屏幕的接触面积自动调整板擦工具的大小。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14.定位分辨率：32768*32768。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15.搭载 i5或以上配置CPU，内存：4GB  DDR4笔记本内存或以上配置。硬盘：256GB或以上SSD固态硬盘。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★16.采用抽拉内置式模块化电脑，抽拉内置式，PC模块可插入整机。采用按压式卡扣，无需工具就可快速拆卸电脑模块。</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17.具有独立非外扩展的电脑USB接口：电脑上至少提供3个USB3.0 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18.具有独立非外扩展的视频输出接口：≥1路HDMI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四、教学白板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1.备授课一体化，具有备课模式及授课模式，且操作界面根据备课和授课使用场景不同而区别设计，符合用户使用需求。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★2.为使用方全体教师配备个人账号，形成一体的信息化教学账号体系；根据教师账号信息将教师云空间匹配至对应学校、学科校本资源库。</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★3.支持通过数字账号、微信二维码、硬件密钥方式登录教师个人账号。</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4.提供在线云课堂功能，无需额外安装部署直播软件，可实现语音直播、课件同步、互动工具等远程教学功能。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5.教师可一键生成云课堂课程海报，学生扫描课程海报微信二维码即可加入直播课堂，无需额外安装APP。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★6.为老师提供可扩展，易于学校管理，安全可靠的云存储空间，根据教师使用时长与教学资料制作频率提供可扩展升级至不小于200G的个人云空间。</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★8.支持快速录制胶囊式微课，微课可录制保存音频和课件的互动操作。</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★9.系统后台自动统计胶囊式微课的观看次数，便于教师做教研管理。</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10.支持课件内嵌图片、音视频等多媒体文件，兼容以下格式：mp3\wav\wma\ogg\aac\mp4\rmvb\wmv\avi\rm\3gp\mkv\flv\mov\bmp\jpg\jpeg\gif\svg\swf\ppt\pptx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11.板中板：支持授课过程中调用板中板辅助教学，可进行批注、加页及背景色切换；板中板支持插入图片、音视频素材进行独立讲解，不影响课件主画面。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12.提供多种翻页按键布局，翻页按键可分布于屏幕单侧或左右两侧，支持上下翻页、课件页面预览及页面非线性跳转。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★13.汉字生字卡：支持在田字格上手写输入汉字并自动识别为印刷体，可展示该汉字的部首、读音、笔画顺序、笔画数量等。</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14.可一键为课件文本、图片、形状等对象添加蒙层将其隐藏，授课模式下可擦除蒙层展现隐藏内容，丰富课件互动展示效果。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15.内置专用美术画板工具，提供铅笔、毛笔、油画笔等笔触，具备符合绘画调色教学需求的模拟调色盘，可选择不同颜色混合调色，便于学生理解调色合成过程。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★16.智能纠错：软件内置的AI智能语义分析模块，可对输入的英文文本的拼写、句型、语法进行错误检查，并支持一键纠错。</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★17.配置英语学科听写工具，覆盖不少于4500个英语单词，支持自定义选择单词。自定义听写频率和次数，一键生成听写卡；授课模式支持一键开启听写朗读。</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提供古诗词、古文教学资源：包含原文、翻译、背景介绍、作者介绍、原文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多学科课件库：提供语文、数学、英语、物理、化学等学科全部教学章节的交互式课件。课件支持直接预览并下载，预览时支持拖动课堂活动、形状、几何、文本等元素；下载时课件可同步至教师个人云课件存储空间；课件支持教师在线评分。</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五、学生行为评价软件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20.手机学生行为评价系统集成学校管理、教师管理、课堂表现评价、家校互联互通功能，所有功能同一软件平台的同一账户实现。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21.支持通过数字账号、微信二维码、硬件密钥方式登录教师个人账号。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22.兼容多平台系统，可在PC、Web、安卓、iOS等系统使用，且各终端数据互通，教师可多场景下对学生进行管理与评价。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23.移动端支持教师/家长双重身份无缝切换，软件内可直接切换账户类型，无需安装多个APP应用或退出账号重新登录。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24.支持汇总查看校内的班级评价排名，可以列表形式查看班主任、班级学生数、家长数、班级代码等信息。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25.提供TBL\PBL分组教学评价功能，教师可自由创建多个学生小组，支持对单个小组成员进行换组调整。同时提供快速随机分组功能，可快速将班级学生按照教师需求的组别数量进行随机分组。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26.支持考勤功能，可对学生的出勤、迟到、缺勤、请假状态进行记录，并支持查看课堂考勤统计报表，可详细查看班级考勤概览数据。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27.支持网页端、PC授课端查看学生成长统计报表，按饼状图形式展现学生课堂表现情况，支持查看班级或学生个人情况，并可追溯每条评价的原因、对象、分值，便于教师进行精准评价。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★28.系统根据学生日常行为评价情况，通过AI学生能力模型进行智能分析，为每个学生生成定制化评语，评语可支持教师二次编辑修改并推送至家长端。</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29.教师可通过多终端对学生、小组及班级进行行为量化评价、文字点评、图片点评。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30.系统内置头像类型不少于10种，支持教师自定义设置学生头像。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31.支持课堂评价分数清零重置，可选择对个别学生和全班学生进行分数重置。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32.支持教师与其他教师及家长进行文字、语音、图片交流，且教师可设置免打扰时间段，非工作时间内消息不会发生提醒。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33.支持教师创建打卡任务，打卡支持超过200字的文本、图片、语音、视频和外部网页链接等形式，发布后老师可以看到学生打卡情况统计表。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六、教学数据分分析管理平台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34.后台采用B/S架构设计，支持学校管理者在Windows、Linux、Android、IOS等多种不同的操作系统上通过网页浏览器登陆进行操作，可统计全校教师软件活跃数据、学生点评及课件上传等数据。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35.支持管理员及教师使用网页端、移动端登录，移动端支持查看网页端数据信息，教师榜单，并定期推送数据分析报表，帮助学校检验信息化教学成果。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★36.信息化数据雷达图：将信息化教学数据分五个维度进行评估，分别为课件制作、听课评课、师生互动、互动教学、家校沟通，并与全省均值对比，学校信息化教学情况一目了然。</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38.教研结构：支持管理者按照学段-学科-年级快速创建教师的教研组织结构，方便教师信息的分类管理。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39.信息管理：支持修改管理员、教师的账户信息，支持管理员上传校徽，并对本校内管理者账户都可见。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为学校提供教研全流程管理服务，包含教学计划、电子教案、听课评课、校本资源、班级氛围的流程管理和数据分析，方便学校统筹管理教学、教研活动进展，收集数据反馈和评价，了解全校教师的教学教研产出。</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41.教案模板管理：支持管理者自定义学校的教案模板，可以设置必填项和选填项，有效规范教师教案的编写。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★42.班级氛围数据概况：支持查看不同时间段班级氛围数据的概况，数据包含家长入班率，教师对学生的新增点评数，教师参与度，表现突出的教师前三名。 </w:t>
            </w:r>
            <w:r>
              <w:rPr>
                <w:rFonts w:hint="eastAsia" w:ascii="宋体" w:hAnsi="宋体" w:cs="宋体"/>
                <w:i w:val="0"/>
                <w:iCs w:val="0"/>
                <w:color w:val="000000"/>
                <w:kern w:val="0"/>
                <w:sz w:val="21"/>
                <w:szCs w:val="21"/>
                <w:u w:val="none"/>
                <w:lang w:val="en-US" w:eastAsia="zh-CN" w:bidi="ar"/>
              </w:rPr>
              <w:t>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44.电子教案：教师可以在个人空间直接编写教案，编写教案时可以关联课件，支持教师在个人空间、配套备授课工具查看课件以及教案，方便教师进行教学设计。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45.习题使用：教师可以选择习题插入课件使用。支持在云空间中创建习题，包括选择题、填空题、解答题，支持批量导入习题，将习题分享至校本资源库。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七、幼教资源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46.系统资源严格依据《3-6岁儿童学习与发展指南》与《幼儿园指导纲要》编制而成，资源内容涵盖健康、语言、社会、科学、艺术等五个领域。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47.系统主要分为资源和应用两大特色教学功能：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48.资源包括：儿童普通读物动画和视频资源列表（2600个及以上）；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49.应用包括：“主题课程、特色课堂、电子白板、工具”等。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50.系统提供相对成体系的课程，不仅仅是课件，老师授课一键调用资源及其方便简单。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51.系统提供：主题绘本，礼仪与安全，国学经典，幼儿才艺，剑桥主题英语，剑桥互动英语，经典童话故事，行为习惯故事，多元主题活动，潜能互动课程，手指操，蒙氏快乐阅读12类五大领域教育资源。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52.幼教系统不低于2900条1080P高清视频和高清动画资源。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带门口杯架（无底座）</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36个口杯、内部放置水杯的格档尺寸：9×13×10cm。柜门上安装不锈钢网防止蚊蝇进入，保证安全卫生。柜体：采用有背板连接结构。</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幼儿班级消毒柜</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198L不锈钢，红外线消毒，功率：700W</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黑板</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t>120*80cm白绿，可移动支架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台式电脑</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≥i5-11500  CPU6核12线程主频4.6GHz，≥8G内存，最大支持≥64G内存容量，硬盘：≥1t机械+128G固态硬盘，集成显卡，USB有线键鼠，显示器：≥23.8英寸16:9宽屏液晶显示器（1920x1080，低蓝光，VGA+HDMI双接口）。</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笔记本电脑</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 i7-1195G7 4核8线程 主频≥ 2.9GHz；≥16G 内存，最大支持 24G 内存容量；硬盘：≥512G 固态硬盘；内置扬声器， 摄像头，麦克风，WiFi，≥14 英寸屏幕，分辨率≥1920X1080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办公桌</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尺寸1200*600*750，柜子带锁。</w:t>
            </w:r>
          </w:p>
          <w:p>
            <w:pPr>
              <w:keepNext w:val="0"/>
              <w:keepLines w:val="0"/>
              <w:widowControl/>
              <w:numPr>
                <w:ilvl w:val="0"/>
                <w:numId w:val="2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基材：采用优质环保刨花板，甲醛释放量≤0.124mg/m³。</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面材：采用三聚氰胺饰面板</w:t>
            </w:r>
            <w:r>
              <w:rPr>
                <w:rFonts w:hint="eastAsia" w:ascii="宋体" w:hAnsi="宋体" w:cs="宋体"/>
                <w:i w:val="0"/>
                <w:iCs w:val="0"/>
                <w:color w:val="000000"/>
                <w:kern w:val="0"/>
                <w:sz w:val="21"/>
                <w:szCs w:val="21"/>
                <w:u w:val="none"/>
                <w:lang w:val="en-US" w:eastAsia="zh-CN" w:bidi="ar"/>
              </w:rPr>
              <w:t>。</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办公椅</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Ø320黑色PP脚过1000KG静压测试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50MM黑色尼龙轮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80黑色拉深5CM气杆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2.5加厚中班蝴蝶底盘（可原位锁定和逍遥功能）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固定腰垫和黑色PP玻纤背筐和扶手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42密度中软高弹切割海绵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背加密加厚H系列网饰面</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餐车</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t>95*50*95cm不锈钢，双层</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幼儿桌面玩具</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包含：管道积木*3，小车拼拼拼*3，多米诺骨牌*3，几何雪花片*3，穿线积木*3，聪明棒*3，几何穿线*3，扣环*3，磁力片*3，吸吸乐玩具*3.</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洗涤/脱水容量</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40kg，额定电压/频率220V/50Hz，全自动</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文件柜</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尺寸：900*400*1850</w:t>
            </w:r>
            <w:r>
              <w:rPr>
                <w:rFonts w:hint="eastAsia" w:ascii="宋体" w:hAnsi="宋体" w:cs="宋体"/>
                <w:i w:val="0"/>
                <w:iCs w:val="0"/>
                <w:color w:val="000000"/>
                <w:kern w:val="0"/>
                <w:sz w:val="21"/>
                <w:szCs w:val="21"/>
                <w:u w:val="none"/>
                <w:lang w:val="en-US" w:eastAsia="zh-CN" w:bidi="ar"/>
              </w:rPr>
              <w:t>mm</w:t>
            </w:r>
            <w:r>
              <w:rPr>
                <w:rFonts w:hint="eastAsia" w:ascii="宋体" w:hAnsi="宋体" w:eastAsia="宋体" w:cs="宋体"/>
                <w:i w:val="0"/>
                <w:iCs w:val="0"/>
                <w:color w:val="000000"/>
                <w:kern w:val="0"/>
                <w:sz w:val="21"/>
                <w:szCs w:val="21"/>
                <w:u w:val="none"/>
                <w:lang w:val="en-US" w:eastAsia="zh-CN" w:bidi="ar"/>
              </w:rPr>
              <w:t>。基材采用0.8mm优质加厚冷轧板，经过无磷环保静电喷塑，具有表面光滑，附着性好，不以掉漆，坚固耐用防滑无异味的特性。门内活动隔板高度可调节，根据所需自由分配空间，层板下面采用冷轧钢加强筋，从而使柜子承重力增强，层板坚固耐用，不易变形，开启灵活，防盗系数高</w:t>
            </w:r>
            <w:r>
              <w:rPr>
                <w:rFonts w:hint="eastAsia" w:ascii="宋体" w:hAnsi="宋体" w:cs="宋体"/>
                <w:i w:val="0"/>
                <w:iCs w:val="0"/>
                <w:color w:val="000000"/>
                <w:kern w:val="0"/>
                <w:sz w:val="21"/>
                <w:szCs w:val="21"/>
                <w:u w:val="none"/>
                <w:lang w:val="en-US" w:eastAsia="zh-CN" w:bidi="ar"/>
              </w:rPr>
              <w:t>。</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区角收纳筐</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t>35*26*8.5cm，塑料蓝色</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益智区材料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（小中大）</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小班：喂熊宝宝，数字找朋友，看谁放得稳，形状大集合，数来数趣，可爱的毛毛虫，过大年，雨中世界，我爱接龙，小卡片找家，动物配一配，水果排排乐，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快乐植树，穿衣搭配，方位说一说，乐思维，游戏实施方案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班：瓢虫大变装，配对小行家，小熊排排乐，我的地盘，九宫棋，我秀你拼，我在第几个，美味旅程，记忆挑战王，寻宝之旅，拼搭小能手，穿针引线，叠叠乐，收集海陆空，趣味接龙，乐思维，益智区游戏实施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班：小小编织家，分合难不倒，彩棒平衡木，小狗本领大，筷子夹夹乐，创意拼，小小园林工，四季变换，邮票大兑换，魔法空间，颜色记忆棋，现在几点钟，棒环造型秀，迷宫天地，生肖排排队，乐思维，益智区B5游戏实施方案</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建构区材料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（中大）</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中班：大型雪花片*1，积木轨道迷宫滚珠*1，拼接轨道*1，交通标志牌积木*1，彩色形状积木*1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大班：滚珠轨道积木*1，吸管积木*1，积木砖头*1，拼接轨道*1，交通标志牌积木*1</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幼儿图书柜</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t>：80*40*90cm 松木直立图书架；用优质金属合金件，五金配件连接。产品无锈，无氧化膜脱落，无刃口。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漆膜材质为</w:t>
            </w:r>
            <w:r>
              <w:rPr>
                <w:rFonts w:hint="eastAsia"/>
                <w:lang w:eastAsia="zh-CN"/>
              </w:rPr>
              <w:t>环保</w:t>
            </w:r>
            <w:r>
              <w:rPr>
                <w:rFonts w:hint="eastAsia" w:ascii="宋体" w:hAnsi="宋体" w:eastAsia="宋体" w:cs="宋体"/>
                <w:i w:val="0"/>
                <w:iCs w:val="0"/>
                <w:color w:val="000000"/>
                <w:kern w:val="0"/>
                <w:sz w:val="21"/>
                <w:szCs w:val="21"/>
                <w:u w:val="none"/>
                <w:lang w:val="en-US" w:eastAsia="zh-CN" w:bidi="ar"/>
              </w:rPr>
              <w:t>水性漆。产品加工流程经粉尘处理，自动填补腻子。UV辊涂激光底漆，UV自动烘干，自动底漆打磨，砂光。自动UV激光面漆，烘干等全自动流水线生产工艺制作。产品表面光滑无毛刺，环保健康，整体美观，牢固。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（提供产品检测报告）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保洁箱</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t>49*36*27cm，塑料透明</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剂R32，电压/频率220V/50Hz，扫风方式上下扫风，制冷功率615W，支持低温启动，内机最大噪音41dB(A)，支持智能分区送风，制热功率1130W，电辅加热功率1000W，制冷量2600W，制热量4100W，睡眠模式按键调节，内机自动清洁，外机最大噪音51dB(A)，循环风量620m3/h，支持高温制冷，电辅加热</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小冰箱</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综合耗电量≤0.29（hw·h24h），制冷剂R600a，制冷方式直冷，1级能效，总容量93L</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演讲台</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尺寸：600*420*1100CM。</w:t>
            </w:r>
          </w:p>
          <w:p>
            <w:pPr>
              <w:keepNext w:val="0"/>
              <w:keepLines w:val="0"/>
              <w:widowControl/>
              <w:numPr>
                <w:ilvl w:val="0"/>
                <w:numId w:val="2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基材：采用优质环保刨花板，甲醛释放量≤0.124mg/m³。达到国家环保标准，并经过防虫、防腐等化学处理。</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3.面材：采用三聚氰胺饰面板。</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pStyle w:val="29"/>
        <w:rPr>
          <w:rFonts w:hint="eastAsia"/>
          <w:lang w:eastAsia="zh-CN"/>
        </w:rPr>
        <w:sectPr>
          <w:pgSz w:w="11906" w:h="16838"/>
          <w:pgMar w:top="1440" w:right="1803" w:bottom="1440" w:left="1803" w:header="851" w:footer="992" w:gutter="0"/>
          <w:pgNumType w:fmt="decimal"/>
          <w:cols w:space="720" w:num="1"/>
          <w:docGrid w:type="lines" w:linePitch="319" w:charSpace="0"/>
        </w:sectPr>
      </w:pPr>
    </w:p>
    <w:tbl>
      <w:tblPr>
        <w:tblStyle w:val="30"/>
        <w:tblW w:w="50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770"/>
        <w:gridCol w:w="5427"/>
        <w:gridCol w:w="601"/>
        <w:gridCol w:w="509"/>
        <w:gridCol w:w="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灞桥区第十幼儿园设施设备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木制桌</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 xml:space="preserve">尺寸：120*60*56cm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面采用优质橡胶木指接板，厚度1.8cm，采用双面AA级板材，桌脚采用优质橡胶木5x5cm料，围板采用优质橡胶木7x2.2cm，所有边角做圆处理。整体拆装式，桌脚底部装有软胶垫，防止对地板产生划痕。采用优质金属合金件，五金配件连接。产品无锈，无氧化膜脱落，无刀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3.油漆采用</w:t>
            </w:r>
            <w:r>
              <w:rPr>
                <w:rFonts w:hint="eastAsia" w:ascii="宋体" w:hAnsi="宋体" w:cs="宋体"/>
                <w:i w:val="0"/>
                <w:iCs w:val="0"/>
                <w:color w:val="000000"/>
                <w:kern w:val="0"/>
                <w:sz w:val="21"/>
                <w:szCs w:val="21"/>
                <w:u w:val="none"/>
                <w:lang w:val="en-US" w:eastAsia="zh-CN" w:bidi="ar"/>
              </w:rPr>
              <w:t>环保水性</w:t>
            </w:r>
            <w:r>
              <w:rPr>
                <w:rFonts w:hint="eastAsia" w:ascii="宋体" w:hAnsi="宋体" w:eastAsia="宋体" w:cs="宋体"/>
                <w:i w:val="0"/>
                <w:iCs w:val="0"/>
                <w:color w:val="000000"/>
                <w:kern w:val="0"/>
                <w:sz w:val="21"/>
                <w:szCs w:val="21"/>
                <w:u w:val="none"/>
                <w:lang w:val="en-US" w:eastAsia="zh-CN" w:bidi="ar"/>
              </w:rPr>
              <w:t>漆，三底二面，产品表面光滑无毛刺，整体牢固，环保无毒</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木质椅</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尺寸：座面高29cm，宽30cm，背高55cm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椅面采用优质橡胶木指接板，厚度1.8cm，采用双面AA级板材。椅脚采用优质橡胶木4.7x2.4cm料，围板采用橡胶木4.7x2.4cm料，底部有三根2.5x3cm支撑条，椅脚底部装有软胶垫，防止对地面产生划痕，所有边角做圆处理，产品全部采用榫头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3.采用优质金属合金件，五金配件连接。产品无锈，无氧化膜脱落，无刀口。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4.漆膜材质为</w:t>
            </w:r>
            <w:r>
              <w:rPr>
                <w:rFonts w:hint="eastAsia" w:ascii="宋体" w:hAnsi="宋体" w:cs="宋体"/>
                <w:i w:val="0"/>
                <w:iCs w:val="0"/>
                <w:color w:val="000000"/>
                <w:kern w:val="0"/>
                <w:sz w:val="21"/>
                <w:szCs w:val="21"/>
                <w:u w:val="none"/>
                <w:lang w:val="en-US" w:eastAsia="zh-CN" w:bidi="ar"/>
              </w:rPr>
              <w:t>环保水性</w:t>
            </w:r>
            <w:r>
              <w:rPr>
                <w:rFonts w:hint="eastAsia" w:ascii="宋体" w:hAnsi="宋体" w:eastAsia="宋体" w:cs="宋体"/>
                <w:i w:val="0"/>
                <w:iCs w:val="0"/>
                <w:color w:val="000000"/>
                <w:kern w:val="0"/>
                <w:sz w:val="21"/>
                <w:szCs w:val="21"/>
                <w:u w:val="none"/>
                <w:lang w:val="en-US" w:eastAsia="zh-CN" w:bidi="ar"/>
              </w:rPr>
              <w:t>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毛巾架</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1"/>
                <w:numId w:val="0"/>
              </w:numPr>
              <w:suppressLineNumbers w:val="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t>：90*87*30CM，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2.采用樟子松制作而成；</w:t>
            </w:r>
          </w:p>
          <w:p>
            <w:pPr>
              <w:keepNext w:val="0"/>
              <w:keepLines w:val="0"/>
              <w:widowControl/>
              <w:numPr>
                <w:ilvl w:val="-1"/>
                <w:numId w:val="0"/>
              </w:numPr>
              <w:suppressLineNumbers w:val="0"/>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3.配36个钩挂；挂钩采用ABS树脂制作；环保无毛刺；4.采用优质金属合金件，五金配件连接。产品无锈，无氧化膜脱落，无刃口。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5.漆膜材质为</w:t>
            </w:r>
            <w:r>
              <w:rPr>
                <w:rFonts w:hint="eastAsia" w:ascii="宋体" w:hAnsi="宋体" w:cs="宋体"/>
                <w:i w:val="0"/>
                <w:iCs w:val="0"/>
                <w:color w:val="000000"/>
                <w:kern w:val="0"/>
                <w:sz w:val="21"/>
                <w:szCs w:val="21"/>
                <w:u w:val="none"/>
                <w:lang w:val="en-US" w:eastAsia="zh-CN" w:bidi="ar"/>
              </w:rPr>
              <w:t>环保水性</w:t>
            </w:r>
            <w:r>
              <w:rPr>
                <w:rFonts w:hint="eastAsia" w:ascii="宋体" w:hAnsi="宋体" w:eastAsia="宋体" w:cs="宋体"/>
                <w:i w:val="0"/>
                <w:iCs w:val="0"/>
                <w:color w:val="000000"/>
                <w:kern w:val="0"/>
                <w:sz w:val="21"/>
                <w:szCs w:val="21"/>
                <w:u w:val="none"/>
                <w:lang w:val="en-US" w:eastAsia="zh-CN" w:bidi="ar"/>
              </w:rPr>
              <w:t>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提供产品检测报告</w:t>
            </w:r>
            <w:r>
              <w:rPr>
                <w:rFonts w:hint="eastAsia" w:ascii="宋体" w:hAnsi="宋体" w:cs="宋体"/>
                <w:i w:val="0"/>
                <w:iCs w:val="0"/>
                <w:color w:val="000000"/>
                <w:kern w:val="0"/>
                <w:sz w:val="21"/>
                <w:szCs w:val="21"/>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口杯架</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36个口杯、内部放置水杯的格档</w:t>
            </w: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尺寸：9×13×10cm。柜门上安装不锈钢网防止蚊蝇进入，保证安全卫生。柜体：采用有背板连接结构。</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幼儿班级壁挂消毒柜</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尺寸：80cm*33cm*445cm  额定电压：220v额定容积：</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108L  额定功率：550w  高温消毒温度：125℃</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图书架</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6"/>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t>：80*40*90cmcm 松木直立图书架；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2.用优质金属合金件，五金配件连接。产品无锈，无氧化膜脱落，无刃口。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3.漆膜材质为</w:t>
            </w:r>
            <w:r>
              <w:rPr>
                <w:rFonts w:hint="eastAsia" w:ascii="宋体" w:hAnsi="宋体" w:cs="宋体"/>
                <w:i w:val="0"/>
                <w:iCs w:val="0"/>
                <w:color w:val="000000"/>
                <w:kern w:val="0"/>
                <w:sz w:val="21"/>
                <w:szCs w:val="21"/>
                <w:u w:val="none"/>
                <w:lang w:val="en-US" w:eastAsia="zh-CN" w:bidi="ar"/>
              </w:rPr>
              <w:t>环保</w:t>
            </w:r>
            <w:r>
              <w:rPr>
                <w:rFonts w:hint="eastAsia" w:ascii="宋体" w:hAnsi="宋体" w:eastAsia="宋体" w:cs="宋体"/>
                <w:i w:val="0"/>
                <w:iCs w:val="0"/>
                <w:color w:val="000000"/>
                <w:kern w:val="0"/>
                <w:sz w:val="21"/>
                <w:szCs w:val="21"/>
                <w:u w:val="none"/>
                <w:lang w:val="en-US" w:eastAsia="zh-CN" w:bidi="ar"/>
              </w:rPr>
              <w:t>水性漆。产品加工流程经粉尘处理，自动填补腻子。UV辊涂激光底漆，UV自动烘干，自动底漆打磨，砂光。自动UV激光面漆，烘干等全自动流水线生产工艺制作。产品表面光滑无毛刺，环保健康，整体美观，牢固。</w:t>
            </w:r>
            <w:r>
              <w:rPr>
                <w:rFonts w:hint="eastAsia" w:ascii="宋体" w:hAnsi="宋体" w:cs="宋体"/>
                <w:i w:val="0"/>
                <w:iCs w:val="0"/>
                <w:color w:val="000000"/>
                <w:kern w:val="0"/>
                <w:sz w:val="21"/>
                <w:szCs w:val="21"/>
                <w:u w:val="none"/>
                <w:lang w:val="en-US" w:eastAsia="zh-CN" w:bidi="ar"/>
              </w:rPr>
              <w:t>（提供产品检测报告）</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教师衣帽柜</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120*40*200cm</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办公桌</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尺寸1200*600*750，柜子带锁</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切菜机</w:t>
            </w:r>
          </w:p>
          <w:p/>
        </w:tc>
        <w:tc>
          <w:tcPr>
            <w:tcW w:w="3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eastAsia="zh-CN"/>
              </w:rPr>
              <w:t>切片切丝</w:t>
            </w:r>
            <w:r>
              <w:rPr>
                <w:rFonts w:hint="eastAsia" w:ascii="宋体" w:hAnsi="宋体" w:cs="宋体"/>
                <w:i w:val="0"/>
                <w:iCs w:val="0"/>
                <w:color w:val="000000"/>
                <w:sz w:val="21"/>
                <w:szCs w:val="21"/>
                <w:u w:val="none"/>
                <w:lang w:val="en-US" w:eastAsia="zh-CN"/>
              </w:rPr>
              <w:t>30型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7"/>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尺寸1200*600*450mm,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2.板材：优质品牌胡桃木皮饰面，木皮厚度0.6㎜以上；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3.基材：优质品牌高密度板，优质绿色环保产品，甲醛含量   0.1mg/L密度   760㎏/m3，静曲张度   51.2Mpa，吸水膨胀率   8.1%；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4.油漆：优质品牌PU聚脂油漆</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餐车</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t>95*50*95cm不锈钢，双层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资料柜</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尺寸：900*400*1850</w:t>
            </w:r>
            <w:r>
              <w:rPr>
                <w:rFonts w:hint="eastAsia" w:ascii="宋体" w:hAnsi="宋体" w:cs="宋体"/>
                <w:i w:val="0"/>
                <w:iCs w:val="0"/>
                <w:color w:val="000000"/>
                <w:kern w:val="0"/>
                <w:sz w:val="21"/>
                <w:szCs w:val="21"/>
                <w:u w:val="none"/>
                <w:lang w:val="en-US" w:eastAsia="zh-CN" w:bidi="ar"/>
              </w:rPr>
              <w:t>mm</w:t>
            </w:r>
            <w:r>
              <w:rPr>
                <w:rFonts w:hint="eastAsia" w:ascii="宋体" w:hAnsi="宋体" w:eastAsia="宋体" w:cs="宋体"/>
                <w:i w:val="0"/>
                <w:iCs w:val="0"/>
                <w:color w:val="000000"/>
                <w:kern w:val="0"/>
                <w:sz w:val="21"/>
                <w:szCs w:val="21"/>
                <w:u w:val="none"/>
                <w:lang w:val="en-US" w:eastAsia="zh-CN" w:bidi="ar"/>
              </w:rPr>
              <w:t>。基材采用0.8mm优质加厚冷轧板，经过无磷环保静电喷塑，具有表面光滑，附着性好，不以掉漆，坚固耐用防滑无异味的特性。门内活动隔板高度可调节，根据所需自由分配空间，层板下面采用冷轧钢加强筋，从而使柜子承重力增强，层板坚固耐用，不易变形，开启灵活，防盗系数高！</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双门消毒柜</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1310*670*2050消毒温度：30℃-130℃；消毒时间：0-120分钟；自动控温高温热风循环消毒系统，全钢结构，承载力强，历久耐用，活动推拉篮收送方便。不锈钢远红外线电热管，耗电少，工作寿命长功率：3060w/220v/50HZ</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6个班监控及分屏显示器</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400W半球摄像机*18，24口交换机*1，NVR录像机32路*1，硬盘6T*4，55寸显示器*1，六类网线、电源线、辅材、PVC管材25、管件、跳线、电源插板、扎带等</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乐高专用柜</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尺寸：156*101*40CM，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2、采用樟子松制作而成</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乐高专用桌</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尺寸：108*57*50CM，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2、采用樟子松制作而成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3、大颗粒底板4张</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陶泥机</w:t>
            </w:r>
          </w:p>
        </w:tc>
        <w:tc>
          <w:tcPr>
            <w:tcW w:w="3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250w，无极变速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烧陶窑炉</w:t>
            </w:r>
          </w:p>
        </w:tc>
        <w:tc>
          <w:tcPr>
            <w:tcW w:w="3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0.01立方全自动智能曲线升温</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教玩具</w:t>
            </w:r>
          </w:p>
        </w:tc>
        <w:tc>
          <w:tcPr>
            <w:tcW w:w="3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包含：车族积木、几何积木、EVA益智积木、EVA泡塑积木、弯变滚珠、过山车轨道、几何雪花片、磁性积木、管道积木、磁力片、巨型EVA益智积木、穿线积木、表情套装、塔型重叠积木、七巧板、多米诺骨牌等</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jc w:val="left"/>
        <w:outlineLvl w:val="2"/>
        <w:rPr>
          <w:rFonts w:hint="eastAsia" w:ascii="宋体" w:hAnsi="宋体" w:cs="宋体"/>
          <w:color w:val="000000"/>
          <w:sz w:val="36"/>
          <w:szCs w:val="36"/>
          <w:lang w:eastAsia="zh-CN"/>
        </w:rPr>
        <w:sectPr>
          <w:pgSz w:w="11906" w:h="16838"/>
          <w:pgMar w:top="1440" w:right="1803" w:bottom="1440" w:left="1803" w:header="851" w:footer="992" w:gutter="0"/>
          <w:pgNumType w:fmt="decimal"/>
          <w:cols w:space="720" w:num="1"/>
          <w:docGrid w:type="lines" w:linePitch="319" w:charSpace="0"/>
        </w:sectPr>
      </w:pPr>
    </w:p>
    <w:p>
      <w:pPr>
        <w:jc w:val="left"/>
        <w:outlineLvl w:val="2"/>
        <w:rPr>
          <w:rFonts w:hint="eastAsia" w:ascii="宋体" w:hAnsi="宋体" w:eastAsia="宋体" w:cs="宋体"/>
          <w:color w:val="000000"/>
          <w:sz w:val="36"/>
          <w:szCs w:val="36"/>
          <w:lang w:eastAsia="zh-CN"/>
        </w:rPr>
      </w:pPr>
      <w:r>
        <w:rPr>
          <w:rFonts w:hint="eastAsia" w:ascii="宋体" w:hAnsi="宋体" w:cs="宋体"/>
          <w:color w:val="000000"/>
          <w:sz w:val="36"/>
          <w:szCs w:val="36"/>
          <w:lang w:eastAsia="zh-CN"/>
        </w:rPr>
        <w:t>合同</w:t>
      </w:r>
      <w:r>
        <w:rPr>
          <w:rFonts w:hint="eastAsia" w:ascii="宋体" w:hAnsi="宋体" w:eastAsia="宋体" w:cs="宋体"/>
          <w:color w:val="000000"/>
          <w:sz w:val="36"/>
          <w:szCs w:val="36"/>
          <w:lang w:eastAsia="zh-CN"/>
        </w:rPr>
        <w:t>包</w:t>
      </w:r>
      <w:r>
        <w:rPr>
          <w:rFonts w:hint="eastAsia" w:ascii="宋体" w:hAnsi="宋体" w:cs="宋体"/>
          <w:color w:val="000000"/>
          <w:sz w:val="36"/>
          <w:szCs w:val="36"/>
          <w:lang w:val="en-US" w:eastAsia="zh-CN"/>
        </w:rPr>
        <w:t>2</w:t>
      </w:r>
    </w:p>
    <w:p>
      <w:pPr>
        <w:pStyle w:val="12"/>
      </w:pPr>
    </w:p>
    <w:tbl>
      <w:tblPr>
        <w:tblStyle w:val="30"/>
        <w:tblW w:w="79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2099"/>
        <w:gridCol w:w="3232"/>
        <w:gridCol w:w="1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98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2022年秋季开学应急设备购置统计表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10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9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智慧黑板数量</w:t>
            </w:r>
          </w:p>
        </w:tc>
        <w:tc>
          <w:tcPr>
            <w:tcW w:w="1597" w:type="dxa"/>
            <w:tcBorders>
              <w:top w:val="single" w:color="000000"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东城六小</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五环中学</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东城一中</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keepLines/>
        <w:tabs>
          <w:tab w:val="left" w:pos="2410"/>
          <w:tab w:val="center" w:pos="4212"/>
        </w:tabs>
        <w:spacing w:line="360" w:lineRule="auto"/>
        <w:ind w:firstLine="723" w:firstLineChars="200"/>
        <w:jc w:val="center"/>
        <w:outlineLvl w:val="0"/>
        <w:rPr>
          <w:rFonts w:hint="eastAsia" w:ascii="宋体" w:hAnsi="宋体" w:cs="宋体"/>
          <w:b/>
          <w:bCs/>
          <w:sz w:val="36"/>
          <w:szCs w:val="36"/>
        </w:rPr>
        <w:sectPr>
          <w:pgSz w:w="11906" w:h="16838"/>
          <w:pgMar w:top="1440" w:right="1803" w:bottom="1440" w:left="1803" w:header="851" w:footer="992" w:gutter="0"/>
          <w:pgNumType w:fmt="decimal"/>
          <w:cols w:space="720" w:num="1"/>
          <w:docGrid w:type="lines" w:linePitch="319" w:charSpace="0"/>
        </w:sectPr>
      </w:pPr>
    </w:p>
    <w:tbl>
      <w:tblPr>
        <w:tblStyle w:val="3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1002"/>
        <w:gridCol w:w="5279"/>
        <w:gridCol w:w="744"/>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58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w:t>
            </w:r>
          </w:p>
        </w:tc>
        <w:tc>
          <w:tcPr>
            <w:tcW w:w="309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w:t>
            </w:r>
          </w:p>
        </w:tc>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8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智慧黑板</w:t>
            </w:r>
          </w:p>
        </w:tc>
        <w:tc>
          <w:tcPr>
            <w:tcW w:w="3099" w:type="pct"/>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一、整体设计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1.整机采用三拼接平面一体化设计，无推拉式结构及外露连接线，外观简洁。整机尺寸宽度≥4200mm，高度≥1200mm。整机屏幕边缘采用金属圆角包边防护。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2.整机中间主屏及两侧副屏可支持多种媒介（普通粉笔、液体粉笔、水溶性粉笔等）进行板书书写，便于老师完整书写教学内容。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3.中央主屏幕显示采用86英寸UHD超高清LED液晶屏，显示比例16:9，屏幕分辨率不低于3840*2160，具备防眩光效果。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4.整机屏幕与屏幕保护层紧密贴合，减少显示面板与玻璃间的偏光、散射，画面显示更加清晰通透、可视角度更广。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5.机身具备防盐雾锈蚀特性，且满足GB4943.1-2011标准中的防火要求。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6.屏幕显示灰度分辨等级达到256灰阶以上，保证画面显示效果细腻。提供</w:t>
            </w:r>
            <w:r>
              <w:rPr>
                <w:rFonts w:hint="eastAsia" w:ascii="宋体" w:hAnsi="宋体" w:eastAsia="宋体" w:cs="宋体"/>
                <w:i w:val="0"/>
                <w:iCs w:val="0"/>
                <w:color w:val="000000"/>
                <w:kern w:val="0"/>
                <w:sz w:val="21"/>
                <w:szCs w:val="21"/>
                <w:highlight w:val="none"/>
                <w:u w:val="none"/>
                <w:lang w:val="en-US" w:eastAsia="zh-CN" w:bidi="ar"/>
              </w:rPr>
              <w:t>相应的功能</w:t>
            </w:r>
            <w:r>
              <w:rPr>
                <w:rFonts w:hint="eastAsia" w:ascii="宋体" w:hAnsi="宋体" w:eastAsia="宋体" w:cs="宋体"/>
                <w:i w:val="0"/>
                <w:iCs w:val="0"/>
                <w:color w:val="000000"/>
                <w:kern w:val="0"/>
                <w:sz w:val="21"/>
                <w:szCs w:val="21"/>
                <w:u w:val="none"/>
                <w:lang w:val="en-US" w:eastAsia="zh-CN" w:bidi="ar"/>
              </w:rPr>
              <w:t>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二、电视系统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1.整机内置2.2声道扬声器，位于设备上边框，顶置朝前发声，前朝向10W高音扬声器2个，上朝向20W中低音扬声器2个，额定总功率不小于60W。提供</w:t>
            </w:r>
            <w:r>
              <w:rPr>
                <w:rFonts w:hint="eastAsia" w:ascii="宋体" w:hAnsi="宋体" w:eastAsia="宋体" w:cs="宋体"/>
                <w:i w:val="0"/>
                <w:iCs w:val="0"/>
                <w:color w:val="000000"/>
                <w:kern w:val="0"/>
                <w:sz w:val="21"/>
                <w:szCs w:val="21"/>
                <w:highlight w:val="none"/>
                <w:u w:val="none"/>
                <w:lang w:val="en-US" w:eastAsia="zh-CN" w:bidi="ar"/>
              </w:rPr>
              <w:t>相应的功能</w:t>
            </w:r>
            <w:r>
              <w:rPr>
                <w:rFonts w:hint="eastAsia" w:ascii="宋体" w:hAnsi="宋体" w:eastAsia="宋体" w:cs="宋体"/>
                <w:i w:val="0"/>
                <w:iCs w:val="0"/>
                <w:color w:val="000000"/>
                <w:kern w:val="0"/>
                <w:sz w:val="21"/>
                <w:szCs w:val="21"/>
                <w:u w:val="none"/>
                <w:lang w:val="en-US" w:eastAsia="zh-CN" w:bidi="ar"/>
              </w:rPr>
              <w:t>证明材料（包括但不限于测试报告、官网和功能截图）。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2.整机扬声器在100%音量下，可做到1米处声压级≥88db，10米处声压级≥73dB。提供相应的功能证明材料（包括但不限于测试报告、官网和功能截图）。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3.整机具备不少于2路前置双系统USB3.0接口,双系统USB3.0接口支持Android系统、Windows系统读取外接移动存储设备,即插即用无需区分接口对应系统。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具备不少于1路前置Typec接口，外接电脑设备通过标准TypeC线连接至整机TypeC口，可直接调用整机内置的摄像头、麦克风、扬声器，在外接电脑即可拍摄教室画面。提供相应的功能证明材料（包括但不限于测试报告、官网和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三、整机功能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1.整机具有减滤蓝光功能，可通过前置面板物理功能按键一键启用护眼模式，让师生视力健康得到保障。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2.整机支持色彩空间可选，包含标准模式和sRGB模式，在sRGB模式下可做到高色准△E≤1.5。提供相应的功能证明材料（包括但不限于测试报告、官网和功能截图）。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3.设备支持通过前置物理按键一键启动录屏功能， 可将屏幕中显示的课件、音频内容与老师人声同时录制。提供相应的功能证明材料（包括但不限于测试报告、官网和功能截图）。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4.整机内置非独立外扩展的摄像头，支持二维码扫码识别，方便用户使用在线资源，可拍摄不低于1300万像素的照片，支持远程巡课等应用，为保证摄像头稳定性，不接受外接摄像头。提供</w:t>
            </w:r>
            <w:r>
              <w:rPr>
                <w:rFonts w:hint="eastAsia" w:ascii="宋体" w:hAnsi="宋体" w:eastAsia="宋体" w:cs="宋体"/>
                <w:i w:val="0"/>
                <w:iCs w:val="0"/>
                <w:color w:val="000000"/>
                <w:kern w:val="0"/>
                <w:sz w:val="21"/>
                <w:szCs w:val="21"/>
                <w:highlight w:val="none"/>
                <w:u w:val="none"/>
                <w:lang w:val="en-US" w:eastAsia="zh-CN" w:bidi="ar"/>
              </w:rPr>
              <w:t>相应的功能</w:t>
            </w:r>
            <w:r>
              <w:rPr>
                <w:rFonts w:hint="eastAsia" w:ascii="宋体" w:hAnsi="宋体" w:eastAsia="宋体" w:cs="宋体"/>
                <w:i w:val="0"/>
                <w:iCs w:val="0"/>
                <w:color w:val="000000"/>
                <w:kern w:val="0"/>
                <w:sz w:val="21"/>
                <w:szCs w:val="21"/>
                <w:u w:val="none"/>
                <w:lang w:val="en-US" w:eastAsia="zh-CN" w:bidi="ar"/>
              </w:rPr>
              <w:t>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5.整机内置非独立外扩展的麦克风，可用于录屏对音频进行采集。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6.整机无需外接无线网卡，在Windows系统下可实现WiFi无线上网连接、AP无线热点发射、BT蓝牙连接功能。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7.整机支持蓝牙Bluetooth 5.2标准。提供相应的功能证明材料（包括但不限于测试报告、官网和功能截图等）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8.在任意信号源通道下，支持十指长按屏幕5秒和遥控器两种方式实现触摸锁定及解锁，触摸锁定时整机无法被触控操作。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9.支持自定义开机通道，用户可设置默认通道，开机自动进入无需手动切换。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10.电子产品三键合一：同一物理按键完成Android系统、Windows系统和节能熄屏操作，通过轻按按键实现节能熄屏/唤醒，长按按键实现关机。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11.整机关机状态下，通过长按电源键进入设置界面后，可点击屏幕选择恢复整机系统及Windows操作系统到出厂默认状态，无需额外工具辅助。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设备支持自定义前置“设置"按键，可通过自定义设置实现前置面板功能按键一键启用任一全局小工具（批注、截屏、计时、降半屏、放大镜、倒数日、日历）、快捷开关（节能模式、纸质护眼模式、经典护眼模式、自动亮度模式）。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13.不用借助PC，整机可一键进行硬件自检，包括对系统硬盘、系统内存、触摸框、PC模块、光感系统等模块进行检测，并针对不同模块给出问题原因提示，支持直接扫描系统提供的二维码进行在线客服问题保修。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四、安卓系统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1.系统版本不低于Android 11.0。提供相应的功能证明材料（包括但不限于测试报告、官网和功能截图等）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2.在安卓操作系统下，能对TV多媒体USB所读取到的课件文件进行自动归类，可快速分类查找文档、板书、图片、音视频，检索后可直接在界面中打开。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3.安卓系统内置互动白板支持全局漫游，并能在工具栏中对全局内容进行预览和移动。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五、电脑配置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抽拉内置式模块化电脑，抽拉内置式，PC模块可插入整机，可实现无单独接线的插拔。按压式卡扣方式，无需工具即可快速拆卸电脑模块。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2.搭载Intel 10代酷睿 i5CPU。内存：4GB DDR4笔记本内存或以上配置。硬盘：256GB SSD固态硬盘或以上配置。</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8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白板软件</w:t>
            </w:r>
          </w:p>
        </w:tc>
        <w:tc>
          <w:tcPr>
            <w:tcW w:w="3099" w:type="pct"/>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（一）主要功能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1.采用备授课一体化框架设计，教师可根据教学场景自由切换类PPT界面的备课模式与触控交互教学模式，适用于教室、办公室等不同教学环境，便于教师教学使用。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全校教师提供可扩展，易于学校管理，安全可靠的云存储空间，根据每名教师使用时长与教学资料制作频率提供可扩展升级至不小于150G的个人云空间。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3.为使用方全体教师配备个人账号，形成一体的信息化教学账号体系。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4.★根据教师账号信息将教师云空间匹配至对应学校、学科校本资源库。提供相应的功能证明材料（包括但不限于测试报告、官网和功能截图等）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5.上传下载一体化云存储：备课时支持将云空间中存储图片、音频、视频、Flash等素材插入课件，同时支持将课件中的图片、音频、视频、Flash、PPT等素材右键上传至云空间。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6.接收方通过web链接或二维码的课件分享入口可预览互动课件内容并可触控课件互动元素。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7.可自由调节课件画面的显示比例，可适配各类显示设备。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8.路径动画：支持任意对象自定义路径动画设置，可绘制任意的移动轨迹并让对象沿着轨迹路径进行移动，可单独设置该动画通过翻页或单击对象本身进行触发。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9.内置微课工具，支持快速录制胶囊式微课，微课可录制保存音频和课件的互动操作。提供相应的功能证明材料（包括但不限于测试报告、官网和功能截图等）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10.无课件录制：支持教师在空白页面录制胶囊式微课，支持自主添加不低于一百页电子草稿进行讲解。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11.微课听课方式：微课录制结束后自动生成分享海报，学生扫码在即可在微信观看。提供相应的功能证明材料（包括但不限于测试报告、官网和功能截图等）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12.全文快速搜索：支持在课件中通过快捷键调用搜索控件，输入文本即可查找课件内文本框、形状、表格中对应的文本匹配项。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（二）学科工具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13.★AI智能纠错：软件内置的AI智能语义分析模块，可对输入的英文文本的拼写、句型、语法进行错误检查，并支持一键纠错。提供相应的功能证明材料（包括但不限于测试报告、官网和功能截图等）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配置英语学科听写工具，覆盖不少于4800个英语单词，支持自定义选择单词。自定义听写频率和次数，一键生成听写卡；授课模式支持一键开启听写朗读。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提供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16.内置专用美术画板工具，具备符合绘画调色教学需求的模拟调色盘，可选择不同颜色混合调色，便于学生理解调色合成过程。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17.内置元素周期表，并且提供多种展示样式，至少包括常规样式、原子序数、相对原子质量等。提供相应的功能证明材料（包括但不限于测试报告、官网和功能截图等）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多学科课件库：提供涵盖语文、数学、英语等学科全部教学章节的不少于2800份的交互式课件。课件支持直接预览并下载，预览时支持拖动课堂活动、形状、几何、文本等元素；下载时课件可同步至教师个人云课件存储空间；课件支持教师在线评分。提供相应的功能证明材料（包括但不限于测试报告、官网和功能截图等）</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8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集控管理平台</w:t>
            </w:r>
          </w:p>
        </w:tc>
        <w:tc>
          <w:tcPr>
            <w:tcW w:w="3099"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1.B/S混合云架构设计，无需本地额外部署服务器等设备即可实现对教学信息化设备运行数据的监测。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indows、Linux、Android、IOS等多种操作系统通过网页浏览器登陆操作，具有多种智能身份识别方式：通过账号登录、手机扫码登录等方式。管理平台提供管理员移动管理平台，免安装并可在Android、IOS等多种移动操作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3.移动系统采用Mini Program设计，无需下载单独安装APP即可使用；兼容Android、IOS等多种移动操作系统，便于远程管理及告警信息通知。提供相应的功能证明材料（包括但不限于测试报告、官网和功能截图等）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4.平台具备对全校智慧教室的教学信息化设备进行集中运维管理和策略部署。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5.具备多设备接入，与交互智能教学设备、学生智能终端等教学设备的底层系统无缝对接。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6.为学校提供专属识别代码，可具备交互智能设备在广域网环境下，输入专属代码接入管理平台即可在通过管理平台可开启或关闭指定交互智能设备的任意磁盘分区数据还原（冰点）保护。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实时监测已连接的交互智能设备状态，具备不少于10台设备的略缩预览以及单设备全屏查看；可远程监测交互智能设备开关机状态、CPU温度、CPU使用率、硬盘空间、硬盘使用状况、内存容量、内存使用率、受控端系统版本、设备ID等设备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8.可提供昨日、近7日、近30日、自定义筛选时间段内的校内所有设备的软件累计使用时长分析、软件活跃情况分析及单台设备的具体使用情况分布查询。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在移动端按日\周\月周期以图表形式快速查看设备日均开机时长分布、设备活跃趋势分析、软件使用时长排行、软件使用次数排行、设备健康度排行等；并自动生成运维解析策略。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10.可对局域网内的交互智能终端进行远程实时控制，能够监测设备当前运行界面，并远程对设备操作界面进行控制。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11.可控制连接广域网的交互智能设备整机关机、开机和重启；可批量设定智能设备开关机的执行时间，自定义日循环执行，预约定时执行。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12.可远程对选定的交互智能设备推送动态文字滚动公告，可对公告文字的颜色、粗体以及播放次数、推送时间进行设置。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13.可批量对交互智能设备进行软件远程部署，配套专用教学软件批量部署可静默安装。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14.具有巡课值守模式，自动轮循所有的受控设备使用界面。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15.显示设备使用情况数据报表，包括实时在线设备数、今日活跃人数、使用学科数、异常条数、设备使用时段、设备使用时长分布、软件使用次数、用户活跃数、不同学科使用频次占比等。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16.管理操作日志实时反馈远程控制及信息发布等指令状态。操作日志具备按照指令类型筛选查看。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17.多层级权限管理，可将多类型的设备管理权限分配给多个管理员，由多个管理员共同管理；顶级管理员可添加普通管理员并修改普通管理员的权限。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18.移动管理平台可查看已连接设备运行异常数据，异常类型包含温度过高、CPU占用率过高、待机时间过长等，具备按年级筛选查看设备异常数据并对异常设备进行管控。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19.交互智能设备发生异常时，移动管理平台自动发送异常信息提醒管理员，包括设备超过4小时无人使用异常、未准点关机异常。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20.为学校提供专属识别代码，广域网环境下的交互智能设备输入专属代码接入管理平台即可在通过管理平台对设备进行远程管理。可按照年级、班级自定义交互智能设备名称，方便管理员对应管理。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22.提供教学专用广告屏蔽工具。具备高强度屏蔽拦截，对全部软件应用弹窗进行无差别拦截。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23.以上所有功能操作需在同一软件平台上实现，且需保证数据分析平台集控管理平台与智慧黑板为同一品牌。提供相应的功能证明材料（包括但不限于测试报告、官网和功能截图等）</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8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教学数据分析管理平台</w:t>
            </w:r>
          </w:p>
        </w:tc>
        <w:tc>
          <w:tcPr>
            <w:tcW w:w="3099"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1.后台采用B/S架构设计，支持学校管理者在Windows、Linux、Android、IOS等多种不同的操作系统上通过网页浏览器登陆进行操作，可统计全校教师软件活跃数据、学生点评及课件上传等数据。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2.支持管理员及教师使用网页端、移动端登录，移动端支持查看网页端数据信息，教师榜单，并定期推送数据分析报表，帮助学校检验信息化教学成果。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信息化数据雷达图：将信息化教学数据分五个维度进行评估，分别为课件制作、听课评课、师生互动、互动教学、家校沟通，并与全省均值对比，学校信息化教学情况一目了然。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升实力：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6.教研结构：支持管理者按照学段-学科-年级快速创建教师的教研组织结构，方便教师信息的分类管理。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7.信息管理：支持修改管理员、教师的账户信息，支持管理员上传校徽，并对本校内管理者账户都可见。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为学校提供教研全流程管理服务，包含教学计划、电子教案、听课评课、校本资源、班级氛围的流程管理和数据分析，方便学校统筹管理教学、教研活动进展，收集数据反馈和评价，了解全体教师的教学、教研产出。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9.教案模板管理：支持管理者自定义学校的教案模板，可以设置必填项和选填项，有效规范教师教案的编写。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10.班级氛围数据概况：支持查看不同时间段班级氛围数据的概况，数据包含家长入班率，教师对学生的新增点评数。提供相应的功能证明材料（包括但不限于测试报告、官网和功能截图等）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12.电子教案：教师可以在个人空间直接编写教案，编写教案时可以关联课件，支持教师在个人空间、配套备授课工具查看课件以及教案，方便教师进行教学设计。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13.习题使用：教师可以选择习题插入课件使用。支持在云空间中创建习题，包括选择题、填空题、解答题，支持批量导入习题，将习题分享至校本资源库。</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8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视频展台</w:t>
            </w:r>
          </w:p>
        </w:tc>
        <w:tc>
          <w:tcPr>
            <w:tcW w:w="3099"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4.展示托板正上方具备LED补光灯，保证展示区域的亮度及展示效果；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5.为保证视频展台稳定性，需与一体机为同一品牌。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6.支持对展台画面进行放大、缩小、旋转、自适应、冻结画面等操作。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8.支持故障自动检测，在软件无法出现展台拍摄画面时，自动出现检测链接，帮助用户检测“无画面”的原因，并给出引导性解决方案。可判断硬件连接、显卡驱动、摄像头占用、软件版本等问题。</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8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音响</w:t>
            </w:r>
          </w:p>
        </w:tc>
        <w:tc>
          <w:tcPr>
            <w:tcW w:w="3099"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集无线话筒、功放、音箱一体的有源音箱，采用双声道高保真全频带功率放大系统； 一组立体声音源输入，一路有线话筒输入（插口带DC+6V极相电源），一路USB数字无线话筒输入，内置一路数字无线话筒，一组副箱功率输出； UHF全国通用的免许可证 ISM 绿色频段，可在大于30 米开阔地带范围内稳定接收音频数据；同一话筒可在任意教室使用,且互不干扰;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自动对频方式;驱动器:5寸全频 驱动器 频率响应:线路输入20Hz-20KHz;话筒60Hz-18KHz话筒音调控制:高音 3KHz±12dB  低音 100Hz±12dB额定输入电平:话筒,20mV（非平衡） 线路:300mV失真度:≤0.5%信噪比: ≥76dB(A计权)输出功率: 2×40W 喇叭:5寸同轴全频单元最大消耗功率:100W电源:交流220V±10％ /50Hz</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8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麦克风</w:t>
            </w:r>
          </w:p>
        </w:tc>
        <w:tc>
          <w:tcPr>
            <w:tcW w:w="3099"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内置麦克风和3.5MM音频输入和麦克风输入；激光笔教鞭功能；PPT翻页和一键黑屏/恢复功能；OLED显示屏，清晰显示系统状态及参数；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内置可充式高性能3.7V聚合物锂电池，电池容量：750mA，带保护电路，安全可靠，充足电可持续续航时间≥12h；调制方式：FM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配对方式：DSP智能扫描，自动匹配 或红外对频;使用频率：1GHz以下  ;语音频响：30－14kHz ;动态范围：70dB;失真：≤0.08% ;信噪比：≥82dB;</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43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58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3099"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43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安装调试</w:t>
            </w:r>
          </w:p>
        </w:tc>
        <w:tc>
          <w:tcPr>
            <w:tcW w:w="30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负责产品安装调试，达到使用需求</w:t>
            </w:r>
          </w:p>
        </w:tc>
        <w:tc>
          <w:tcPr>
            <w:tcW w:w="4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4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bl>
    <w:p>
      <w:pPr>
        <w:pStyle w:val="29"/>
        <w:rPr>
          <w:rFonts w:hint="eastAsia"/>
        </w:rPr>
        <w:sectPr>
          <w:pgSz w:w="11906" w:h="16838"/>
          <w:pgMar w:top="1440" w:right="1803" w:bottom="1440" w:left="1803" w:header="851" w:footer="992" w:gutter="0"/>
          <w:pgNumType w:fmt="decimal"/>
          <w:cols w:space="720" w:num="1"/>
          <w:docGrid w:type="lines" w:linePitch="319" w:charSpace="0"/>
        </w:sectPr>
      </w:pPr>
    </w:p>
    <w:p>
      <w:pPr>
        <w:keepNext/>
        <w:keepLines/>
        <w:tabs>
          <w:tab w:val="left" w:pos="2410"/>
          <w:tab w:val="center" w:pos="4212"/>
        </w:tabs>
        <w:spacing w:line="360" w:lineRule="auto"/>
        <w:ind w:firstLine="723" w:firstLineChars="200"/>
        <w:jc w:val="center"/>
        <w:outlineLvl w:val="0"/>
        <w:rPr>
          <w:rFonts w:ascii="宋体" w:hAnsi="宋体" w:cs="宋体"/>
          <w:b/>
          <w:bCs/>
          <w:sz w:val="36"/>
          <w:szCs w:val="36"/>
        </w:rPr>
      </w:pPr>
      <w:bookmarkStart w:id="72" w:name="_Toc20705"/>
      <w:r>
        <w:rPr>
          <w:rFonts w:hint="eastAsia" w:ascii="宋体" w:hAnsi="宋体" w:cs="宋体"/>
          <w:b/>
          <w:bCs/>
          <w:sz w:val="36"/>
          <w:szCs w:val="36"/>
        </w:rPr>
        <w:t>第六部分  合同条款</w:t>
      </w:r>
      <w:bookmarkEnd w:id="72"/>
    </w:p>
    <w:p>
      <w:pPr>
        <w:kinsoku w:val="0"/>
        <w:spacing w:line="400" w:lineRule="exact"/>
        <w:ind w:firstLine="600" w:firstLineChars="250"/>
        <w:rPr>
          <w:rFonts w:hint="eastAsia" w:ascii="宋体" w:hAnsi="宋体" w:eastAsia="宋体" w:cs="宋体"/>
          <w:sz w:val="24"/>
          <w:lang w:eastAsia="zh-CN"/>
        </w:rPr>
      </w:pPr>
      <w:r>
        <w:rPr>
          <w:rFonts w:hint="eastAsia" w:ascii="宋体" w:hAnsi="宋体" w:cs="宋体"/>
          <w:sz w:val="24"/>
        </w:rPr>
        <w:t>甲方：</w:t>
      </w:r>
      <w:r>
        <w:rPr>
          <w:rFonts w:hint="eastAsia" w:ascii="宋体" w:hAnsi="宋体" w:cs="宋体"/>
          <w:sz w:val="24"/>
          <w:lang w:eastAsia="zh-CN"/>
        </w:rPr>
        <w:t>西安市灞桥区教育局</w:t>
      </w:r>
    </w:p>
    <w:p>
      <w:pPr>
        <w:kinsoku w:val="0"/>
        <w:spacing w:line="400" w:lineRule="exact"/>
        <w:ind w:firstLine="600" w:firstLineChars="25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p>
    <w:p>
      <w:pPr>
        <w:kinsoku w:val="0"/>
        <w:spacing w:line="400" w:lineRule="exact"/>
        <w:ind w:firstLine="600" w:firstLineChars="250"/>
        <w:rPr>
          <w:rFonts w:ascii="宋体" w:hAnsi="宋体" w:cs="宋体"/>
          <w:sz w:val="24"/>
        </w:rPr>
      </w:pPr>
      <w:r>
        <w:rPr>
          <w:rFonts w:hint="eastAsia" w:ascii="宋体" w:hAnsi="宋体" w:cs="宋体"/>
          <w:sz w:val="24"/>
        </w:rPr>
        <w:t>根据《中华人民共和国政府采购法》、《中华人民共和国民法典》等法律法规，甲方通过公开招标，选定乙方为中标单位。甲、乙双方在平等基础上协商一致，达成如下合同条款：</w:t>
      </w:r>
    </w:p>
    <w:p>
      <w:pPr>
        <w:kinsoku w:val="0"/>
        <w:spacing w:line="400" w:lineRule="exact"/>
        <w:ind w:firstLine="600" w:firstLineChars="250"/>
        <w:rPr>
          <w:rFonts w:ascii="宋体" w:hAnsi="宋体" w:cs="宋体"/>
          <w:sz w:val="24"/>
        </w:rPr>
      </w:pPr>
      <w:r>
        <w:rPr>
          <w:rFonts w:hint="eastAsia" w:ascii="宋体" w:hAnsi="宋体" w:cs="宋体"/>
          <w:sz w:val="24"/>
        </w:rPr>
        <w:t>一、</w:t>
      </w:r>
      <w:r>
        <w:rPr>
          <w:rFonts w:hint="eastAsia" w:ascii="宋体" w:hAnsi="宋体" w:cs="宋体"/>
          <w:b/>
          <w:sz w:val="24"/>
        </w:rPr>
        <w:t>合同内容</w:t>
      </w:r>
    </w:p>
    <w:tbl>
      <w:tblPr>
        <w:tblStyle w:val="30"/>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20"/>
        <w:gridCol w:w="1260"/>
        <w:gridCol w:w="900"/>
        <w:gridCol w:w="900"/>
        <w:gridCol w:w="900"/>
        <w:gridCol w:w="894"/>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786" w:type="dxa"/>
            <w:vAlign w:val="center"/>
          </w:tcPr>
          <w:p>
            <w:pPr>
              <w:spacing w:line="400" w:lineRule="exact"/>
              <w:jc w:val="center"/>
              <w:rPr>
                <w:rFonts w:ascii="宋体" w:hAnsi="宋体" w:cs="宋体"/>
                <w:b/>
                <w:color w:val="000000"/>
                <w:sz w:val="24"/>
              </w:rPr>
            </w:pPr>
            <w:r>
              <w:rPr>
                <w:rFonts w:hint="eastAsia" w:ascii="宋体" w:hAnsi="宋体" w:cs="宋体"/>
                <w:b/>
                <w:color w:val="000000"/>
                <w:sz w:val="24"/>
              </w:rPr>
              <w:t>序号</w:t>
            </w:r>
          </w:p>
        </w:tc>
        <w:tc>
          <w:tcPr>
            <w:tcW w:w="1620" w:type="dxa"/>
            <w:vAlign w:val="center"/>
          </w:tcPr>
          <w:p>
            <w:pPr>
              <w:spacing w:line="400" w:lineRule="exact"/>
              <w:jc w:val="center"/>
              <w:rPr>
                <w:rFonts w:ascii="宋体" w:hAnsi="宋体" w:cs="宋体"/>
                <w:b/>
                <w:color w:val="000000"/>
                <w:sz w:val="24"/>
              </w:rPr>
            </w:pPr>
            <w:r>
              <w:rPr>
                <w:rFonts w:hint="eastAsia" w:ascii="宋体" w:hAnsi="宋体" w:cs="宋体"/>
                <w:b/>
                <w:color w:val="000000"/>
                <w:sz w:val="24"/>
              </w:rPr>
              <w:t>设备名称</w:t>
            </w:r>
          </w:p>
        </w:tc>
        <w:tc>
          <w:tcPr>
            <w:tcW w:w="1260" w:type="dxa"/>
            <w:vAlign w:val="center"/>
          </w:tcPr>
          <w:p>
            <w:pPr>
              <w:spacing w:line="400" w:lineRule="exact"/>
              <w:jc w:val="center"/>
              <w:rPr>
                <w:rFonts w:ascii="宋体" w:hAnsi="宋体" w:cs="宋体"/>
                <w:b/>
                <w:color w:val="000000"/>
                <w:sz w:val="24"/>
              </w:rPr>
            </w:pPr>
            <w:r>
              <w:rPr>
                <w:rFonts w:hint="eastAsia" w:ascii="宋体" w:hAnsi="宋体" w:cs="宋体"/>
                <w:b/>
                <w:color w:val="000000"/>
                <w:sz w:val="24"/>
              </w:rPr>
              <w:t>型号</w:t>
            </w:r>
          </w:p>
        </w:tc>
        <w:tc>
          <w:tcPr>
            <w:tcW w:w="900" w:type="dxa"/>
            <w:vAlign w:val="center"/>
          </w:tcPr>
          <w:p>
            <w:pPr>
              <w:spacing w:line="400" w:lineRule="exact"/>
              <w:jc w:val="center"/>
              <w:rPr>
                <w:rFonts w:ascii="宋体" w:hAnsi="宋体" w:cs="宋体"/>
                <w:b/>
                <w:color w:val="000000"/>
                <w:sz w:val="24"/>
              </w:rPr>
            </w:pPr>
            <w:r>
              <w:rPr>
                <w:rFonts w:hint="eastAsia" w:ascii="宋体" w:hAnsi="宋体" w:cs="宋体"/>
                <w:b/>
                <w:color w:val="000000"/>
                <w:sz w:val="24"/>
              </w:rPr>
              <w:t>产地</w:t>
            </w:r>
          </w:p>
        </w:tc>
        <w:tc>
          <w:tcPr>
            <w:tcW w:w="900" w:type="dxa"/>
            <w:vAlign w:val="center"/>
          </w:tcPr>
          <w:p>
            <w:pPr>
              <w:spacing w:line="400" w:lineRule="exact"/>
              <w:jc w:val="center"/>
              <w:rPr>
                <w:rFonts w:ascii="宋体" w:hAnsi="宋体" w:cs="宋体"/>
                <w:b/>
                <w:color w:val="000000"/>
                <w:sz w:val="24"/>
              </w:rPr>
            </w:pPr>
            <w:r>
              <w:rPr>
                <w:rFonts w:hint="eastAsia" w:ascii="宋体" w:hAnsi="宋体" w:cs="宋体"/>
                <w:b/>
                <w:color w:val="000000"/>
                <w:sz w:val="24"/>
              </w:rPr>
              <w:t>数量</w:t>
            </w:r>
          </w:p>
        </w:tc>
        <w:tc>
          <w:tcPr>
            <w:tcW w:w="900" w:type="dxa"/>
            <w:vAlign w:val="center"/>
          </w:tcPr>
          <w:p>
            <w:pPr>
              <w:spacing w:line="400" w:lineRule="exact"/>
              <w:jc w:val="center"/>
              <w:rPr>
                <w:rFonts w:ascii="宋体" w:hAnsi="宋体" w:cs="宋体"/>
                <w:b/>
                <w:color w:val="000000"/>
                <w:sz w:val="24"/>
              </w:rPr>
            </w:pPr>
            <w:r>
              <w:rPr>
                <w:rFonts w:hint="eastAsia" w:ascii="宋体" w:hAnsi="宋体" w:cs="宋体"/>
                <w:b/>
                <w:color w:val="000000"/>
                <w:sz w:val="24"/>
              </w:rPr>
              <w:t>单价</w:t>
            </w:r>
          </w:p>
        </w:tc>
        <w:tc>
          <w:tcPr>
            <w:tcW w:w="894" w:type="dxa"/>
            <w:vAlign w:val="center"/>
          </w:tcPr>
          <w:p>
            <w:pPr>
              <w:spacing w:line="400" w:lineRule="exact"/>
              <w:jc w:val="center"/>
              <w:rPr>
                <w:rFonts w:ascii="宋体" w:hAnsi="宋体" w:cs="宋体"/>
                <w:b/>
                <w:color w:val="000000"/>
                <w:sz w:val="24"/>
              </w:rPr>
            </w:pPr>
            <w:r>
              <w:rPr>
                <w:rFonts w:hint="eastAsia" w:ascii="宋体" w:hAnsi="宋体" w:cs="宋体"/>
                <w:b/>
                <w:color w:val="000000"/>
                <w:sz w:val="24"/>
              </w:rPr>
              <w:t>总价</w:t>
            </w:r>
          </w:p>
        </w:tc>
        <w:tc>
          <w:tcPr>
            <w:tcW w:w="839" w:type="dxa"/>
            <w:vAlign w:val="center"/>
          </w:tcPr>
          <w:p>
            <w:pPr>
              <w:spacing w:line="400" w:lineRule="exact"/>
              <w:jc w:val="center"/>
              <w:rPr>
                <w:rFonts w:ascii="宋体" w:hAnsi="宋体" w:cs="宋体"/>
                <w:b/>
                <w:color w:val="000000"/>
                <w:sz w:val="24"/>
              </w:rPr>
            </w:pPr>
            <w:r>
              <w:rPr>
                <w:rFonts w:hint="eastAsia" w:ascii="宋体" w:hAnsi="宋体" w:cs="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1</w:t>
            </w:r>
          </w:p>
        </w:tc>
        <w:tc>
          <w:tcPr>
            <w:tcW w:w="1620" w:type="dxa"/>
            <w:vAlign w:val="center"/>
          </w:tcPr>
          <w:p>
            <w:pPr>
              <w:adjustRightInd w:val="0"/>
              <w:snapToGrid w:val="0"/>
              <w:jc w:val="center"/>
              <w:rPr>
                <w:rFonts w:ascii="宋体" w:hAnsi="宋体" w:cs="宋体"/>
                <w:color w:val="000000"/>
                <w:szCs w:val="21"/>
              </w:rPr>
            </w:pPr>
          </w:p>
        </w:tc>
        <w:tc>
          <w:tcPr>
            <w:tcW w:w="1260" w:type="dxa"/>
            <w:vAlign w:val="center"/>
          </w:tcPr>
          <w:p>
            <w:pPr>
              <w:spacing w:line="400" w:lineRule="exact"/>
              <w:jc w:val="center"/>
              <w:rPr>
                <w:rFonts w:ascii="宋体" w:hAnsi="宋体" w:cs="宋体"/>
                <w:color w:val="000000"/>
                <w:szCs w:val="21"/>
              </w:rPr>
            </w:pPr>
          </w:p>
        </w:tc>
        <w:tc>
          <w:tcPr>
            <w:tcW w:w="900" w:type="dxa"/>
            <w:vAlign w:val="center"/>
          </w:tcPr>
          <w:p>
            <w:pPr>
              <w:spacing w:line="400" w:lineRule="exact"/>
              <w:jc w:val="center"/>
              <w:rPr>
                <w:rFonts w:ascii="宋体" w:hAnsi="宋体" w:cs="宋体"/>
                <w:color w:val="000000"/>
                <w:szCs w:val="21"/>
              </w:rPr>
            </w:pPr>
          </w:p>
        </w:tc>
        <w:tc>
          <w:tcPr>
            <w:tcW w:w="900" w:type="dxa"/>
            <w:vAlign w:val="center"/>
          </w:tcPr>
          <w:p>
            <w:pPr>
              <w:adjustRightInd w:val="0"/>
              <w:snapToGrid w:val="0"/>
              <w:jc w:val="center"/>
              <w:rPr>
                <w:rFonts w:ascii="宋体" w:hAnsi="宋体" w:cs="宋体"/>
                <w:color w:val="000000"/>
                <w:szCs w:val="21"/>
              </w:rPr>
            </w:pPr>
          </w:p>
        </w:tc>
        <w:tc>
          <w:tcPr>
            <w:tcW w:w="900" w:type="dxa"/>
            <w:vAlign w:val="center"/>
          </w:tcPr>
          <w:p>
            <w:pPr>
              <w:autoSpaceDN w:val="0"/>
              <w:jc w:val="center"/>
              <w:textAlignment w:val="center"/>
              <w:rPr>
                <w:rFonts w:ascii="宋体" w:hAnsi="宋体" w:cs="宋体"/>
                <w:color w:val="000000"/>
                <w:szCs w:val="21"/>
              </w:rPr>
            </w:pPr>
          </w:p>
        </w:tc>
        <w:tc>
          <w:tcPr>
            <w:tcW w:w="894" w:type="dxa"/>
            <w:vAlign w:val="center"/>
          </w:tcPr>
          <w:p>
            <w:pPr>
              <w:autoSpaceDN w:val="0"/>
              <w:jc w:val="center"/>
              <w:textAlignment w:val="center"/>
              <w:rPr>
                <w:rFonts w:ascii="宋体" w:hAnsi="宋体" w:cs="宋体"/>
                <w:color w:val="000000"/>
                <w:szCs w:val="21"/>
              </w:rPr>
            </w:pPr>
          </w:p>
        </w:tc>
        <w:tc>
          <w:tcPr>
            <w:tcW w:w="839" w:type="dxa"/>
            <w:vAlign w:val="center"/>
          </w:tcPr>
          <w:p>
            <w:pPr>
              <w:autoSpaceDN w:val="0"/>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ascii="宋体" w:hAnsi="宋体" w:cs="宋体"/>
                <w:color w:val="000000"/>
                <w:szCs w:val="21"/>
              </w:rPr>
            </w:pPr>
          </w:p>
        </w:tc>
        <w:tc>
          <w:tcPr>
            <w:tcW w:w="1620" w:type="dxa"/>
            <w:vAlign w:val="center"/>
          </w:tcPr>
          <w:p>
            <w:pPr>
              <w:adjustRightInd w:val="0"/>
              <w:snapToGrid w:val="0"/>
              <w:jc w:val="center"/>
              <w:rPr>
                <w:rFonts w:ascii="宋体" w:hAnsi="宋体" w:cs="宋体"/>
                <w:color w:val="000000"/>
                <w:szCs w:val="21"/>
              </w:rPr>
            </w:pPr>
          </w:p>
        </w:tc>
        <w:tc>
          <w:tcPr>
            <w:tcW w:w="1260" w:type="dxa"/>
            <w:vAlign w:val="center"/>
          </w:tcPr>
          <w:p>
            <w:pPr>
              <w:spacing w:line="400" w:lineRule="exact"/>
              <w:jc w:val="center"/>
              <w:rPr>
                <w:rFonts w:ascii="宋体" w:hAnsi="宋体" w:cs="宋体"/>
                <w:color w:val="000000"/>
                <w:szCs w:val="21"/>
              </w:rPr>
            </w:pPr>
          </w:p>
        </w:tc>
        <w:tc>
          <w:tcPr>
            <w:tcW w:w="900" w:type="dxa"/>
            <w:vAlign w:val="center"/>
          </w:tcPr>
          <w:p>
            <w:pPr>
              <w:spacing w:line="400" w:lineRule="exact"/>
              <w:jc w:val="center"/>
              <w:rPr>
                <w:rFonts w:ascii="宋体" w:hAnsi="宋体" w:cs="宋体"/>
                <w:color w:val="000000"/>
                <w:szCs w:val="21"/>
              </w:rPr>
            </w:pPr>
          </w:p>
        </w:tc>
        <w:tc>
          <w:tcPr>
            <w:tcW w:w="900" w:type="dxa"/>
            <w:vAlign w:val="center"/>
          </w:tcPr>
          <w:p>
            <w:pPr>
              <w:adjustRightInd w:val="0"/>
              <w:snapToGrid w:val="0"/>
              <w:jc w:val="center"/>
              <w:rPr>
                <w:rFonts w:ascii="宋体" w:hAnsi="宋体" w:cs="宋体"/>
                <w:color w:val="000000"/>
                <w:szCs w:val="21"/>
              </w:rPr>
            </w:pPr>
          </w:p>
        </w:tc>
        <w:tc>
          <w:tcPr>
            <w:tcW w:w="900" w:type="dxa"/>
            <w:vAlign w:val="center"/>
          </w:tcPr>
          <w:p>
            <w:pPr>
              <w:autoSpaceDN w:val="0"/>
              <w:jc w:val="center"/>
              <w:textAlignment w:val="center"/>
              <w:rPr>
                <w:rFonts w:ascii="宋体" w:hAnsi="宋体" w:cs="宋体"/>
                <w:color w:val="000000"/>
                <w:szCs w:val="21"/>
              </w:rPr>
            </w:pPr>
          </w:p>
        </w:tc>
        <w:tc>
          <w:tcPr>
            <w:tcW w:w="894" w:type="dxa"/>
            <w:vAlign w:val="center"/>
          </w:tcPr>
          <w:p>
            <w:pPr>
              <w:autoSpaceDN w:val="0"/>
              <w:jc w:val="center"/>
              <w:textAlignment w:val="center"/>
              <w:rPr>
                <w:rFonts w:ascii="宋体" w:hAnsi="宋体" w:cs="宋体"/>
                <w:color w:val="000000"/>
                <w:szCs w:val="21"/>
              </w:rPr>
            </w:pPr>
          </w:p>
        </w:tc>
        <w:tc>
          <w:tcPr>
            <w:tcW w:w="839" w:type="dxa"/>
            <w:vAlign w:val="center"/>
          </w:tcPr>
          <w:p>
            <w:pPr>
              <w:autoSpaceDN w:val="0"/>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ascii="宋体" w:hAnsi="宋体" w:cs="宋体"/>
                <w:color w:val="000000"/>
                <w:szCs w:val="21"/>
              </w:rPr>
            </w:pPr>
          </w:p>
        </w:tc>
        <w:tc>
          <w:tcPr>
            <w:tcW w:w="1620" w:type="dxa"/>
            <w:vAlign w:val="center"/>
          </w:tcPr>
          <w:p>
            <w:pPr>
              <w:adjustRightInd w:val="0"/>
              <w:snapToGrid w:val="0"/>
              <w:jc w:val="center"/>
              <w:rPr>
                <w:rFonts w:ascii="宋体" w:hAnsi="宋体" w:cs="宋体"/>
                <w:color w:val="000000"/>
                <w:szCs w:val="21"/>
              </w:rPr>
            </w:pPr>
          </w:p>
        </w:tc>
        <w:tc>
          <w:tcPr>
            <w:tcW w:w="1260" w:type="dxa"/>
            <w:vAlign w:val="center"/>
          </w:tcPr>
          <w:p>
            <w:pPr>
              <w:jc w:val="center"/>
              <w:rPr>
                <w:rFonts w:ascii="宋体" w:hAnsi="宋体" w:cs="宋体"/>
                <w:color w:val="000000"/>
                <w:szCs w:val="21"/>
              </w:rPr>
            </w:pPr>
          </w:p>
        </w:tc>
        <w:tc>
          <w:tcPr>
            <w:tcW w:w="900" w:type="dxa"/>
            <w:vAlign w:val="center"/>
          </w:tcPr>
          <w:p>
            <w:pPr>
              <w:spacing w:line="400" w:lineRule="exact"/>
              <w:jc w:val="center"/>
              <w:rPr>
                <w:rFonts w:ascii="宋体" w:hAnsi="宋体" w:cs="宋体"/>
                <w:color w:val="000000"/>
                <w:szCs w:val="21"/>
              </w:rPr>
            </w:pPr>
          </w:p>
        </w:tc>
        <w:tc>
          <w:tcPr>
            <w:tcW w:w="900" w:type="dxa"/>
            <w:vAlign w:val="center"/>
          </w:tcPr>
          <w:p>
            <w:pPr>
              <w:adjustRightInd w:val="0"/>
              <w:snapToGrid w:val="0"/>
              <w:jc w:val="center"/>
              <w:rPr>
                <w:rFonts w:ascii="宋体" w:hAnsi="宋体" w:cs="宋体"/>
                <w:color w:val="000000"/>
                <w:szCs w:val="21"/>
              </w:rPr>
            </w:pPr>
          </w:p>
        </w:tc>
        <w:tc>
          <w:tcPr>
            <w:tcW w:w="900" w:type="dxa"/>
            <w:vAlign w:val="center"/>
          </w:tcPr>
          <w:p>
            <w:pPr>
              <w:autoSpaceDN w:val="0"/>
              <w:jc w:val="center"/>
              <w:textAlignment w:val="center"/>
              <w:rPr>
                <w:rFonts w:ascii="宋体" w:hAnsi="宋体" w:cs="宋体"/>
                <w:color w:val="000000"/>
                <w:szCs w:val="21"/>
              </w:rPr>
            </w:pPr>
          </w:p>
        </w:tc>
        <w:tc>
          <w:tcPr>
            <w:tcW w:w="894" w:type="dxa"/>
            <w:vAlign w:val="center"/>
          </w:tcPr>
          <w:p>
            <w:pPr>
              <w:autoSpaceDN w:val="0"/>
              <w:jc w:val="center"/>
              <w:textAlignment w:val="center"/>
              <w:rPr>
                <w:rFonts w:ascii="宋体" w:hAnsi="宋体" w:cs="宋体"/>
                <w:color w:val="000000"/>
                <w:szCs w:val="21"/>
              </w:rPr>
            </w:pPr>
          </w:p>
        </w:tc>
        <w:tc>
          <w:tcPr>
            <w:tcW w:w="839" w:type="dxa"/>
            <w:vAlign w:val="center"/>
          </w:tcPr>
          <w:p>
            <w:pPr>
              <w:autoSpaceDN w:val="0"/>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2406" w:type="dxa"/>
            <w:gridSpan w:val="2"/>
            <w:vAlign w:val="center"/>
          </w:tcPr>
          <w:p>
            <w:pPr>
              <w:adjustRightInd w:val="0"/>
              <w:snapToGrid w:val="0"/>
              <w:jc w:val="center"/>
              <w:rPr>
                <w:rFonts w:ascii="宋体" w:hAnsi="宋体" w:cs="宋体"/>
                <w:b/>
                <w:color w:val="000000"/>
                <w:sz w:val="24"/>
              </w:rPr>
            </w:pPr>
            <w:r>
              <w:rPr>
                <w:rFonts w:hint="eastAsia" w:ascii="宋体" w:hAnsi="宋体" w:cs="宋体"/>
                <w:b/>
                <w:color w:val="000000"/>
                <w:sz w:val="24"/>
              </w:rPr>
              <w:t>总计（人民币/元）</w:t>
            </w:r>
          </w:p>
        </w:tc>
        <w:tc>
          <w:tcPr>
            <w:tcW w:w="5693" w:type="dxa"/>
            <w:gridSpan w:val="6"/>
            <w:vAlign w:val="center"/>
          </w:tcPr>
          <w:p>
            <w:pPr>
              <w:adjustRightInd w:val="0"/>
              <w:snapToGrid w:val="0"/>
              <w:rPr>
                <w:rFonts w:ascii="宋体" w:hAnsi="宋体" w:cs="宋体"/>
                <w:b/>
                <w:color w:val="000000"/>
                <w:sz w:val="24"/>
              </w:rPr>
            </w:pPr>
            <w:r>
              <w:rPr>
                <w:rFonts w:hint="eastAsia" w:ascii="宋体" w:hAnsi="宋体" w:cs="宋体"/>
                <w:b/>
                <w:color w:val="000000"/>
                <w:sz w:val="24"/>
              </w:rPr>
              <w:t>¥：       （大写）</w:t>
            </w:r>
          </w:p>
        </w:tc>
      </w:tr>
    </w:tbl>
    <w:p>
      <w:pPr>
        <w:pStyle w:val="12"/>
        <w:spacing w:before="2" w:line="364" w:lineRule="auto"/>
        <w:ind w:right="200" w:firstLine="480"/>
        <w:rPr>
          <w:rFonts w:ascii="宋体" w:hAnsi="宋体" w:cs="宋体"/>
          <w:color w:val="auto"/>
          <w:kern w:val="2"/>
          <w:szCs w:val="22"/>
        </w:rPr>
      </w:pPr>
      <w:r>
        <w:rPr>
          <w:rFonts w:hint="eastAsia" w:ascii="宋体" w:hAnsi="宋体" w:cs="宋体"/>
          <w:color w:val="auto"/>
          <w:kern w:val="2"/>
          <w:szCs w:val="22"/>
        </w:rPr>
        <w:t>乙方负责按合同中确定内容进行服务；按时完成甲方</w:t>
      </w:r>
      <w:r>
        <w:rPr>
          <w:rFonts w:hint="eastAsia" w:ascii="宋体" w:hAnsi="宋体" w:cs="宋体"/>
          <w:color w:val="auto"/>
          <w:kern w:val="2"/>
          <w:szCs w:val="22"/>
          <w:lang w:eastAsia="zh-CN"/>
        </w:rPr>
        <w:t>西安市灞桥区教育局（本级）秋季开学应急设备采购项目</w:t>
      </w:r>
      <w:r>
        <w:rPr>
          <w:rFonts w:hint="eastAsia" w:ascii="宋体" w:hAnsi="宋体" w:cs="宋体"/>
          <w:color w:val="auto"/>
          <w:kern w:val="2"/>
          <w:szCs w:val="22"/>
        </w:rPr>
        <w:t>工作，达到甲方要求；负责为甲方培训操作、维护人员，做好售后服务工作。</w:t>
      </w:r>
    </w:p>
    <w:p>
      <w:pPr>
        <w:spacing w:line="400" w:lineRule="exact"/>
        <w:ind w:firstLine="482" w:firstLineChars="200"/>
        <w:rPr>
          <w:rFonts w:ascii="宋体" w:hAnsi="宋体" w:cs="宋体"/>
          <w:b/>
          <w:sz w:val="24"/>
          <w:szCs w:val="24"/>
        </w:rPr>
      </w:pPr>
      <w:r>
        <w:rPr>
          <w:rFonts w:hint="eastAsia" w:ascii="宋体" w:hAnsi="宋体" w:cs="宋体"/>
          <w:b/>
          <w:sz w:val="24"/>
          <w:szCs w:val="24"/>
        </w:rPr>
        <w:t>二、合同价格</w:t>
      </w:r>
    </w:p>
    <w:p>
      <w:pPr>
        <w:kinsoku w:val="0"/>
        <w:spacing w:line="400" w:lineRule="exact"/>
        <w:ind w:firstLine="480" w:firstLineChars="200"/>
        <w:rPr>
          <w:rFonts w:ascii="宋体" w:hAnsi="宋体" w:cs="宋体"/>
          <w:sz w:val="24"/>
          <w:szCs w:val="24"/>
        </w:rPr>
      </w:pPr>
      <w:r>
        <w:rPr>
          <w:rFonts w:hint="eastAsia" w:ascii="宋体" w:hAnsi="宋体" w:cs="宋体"/>
          <w:sz w:val="24"/>
          <w:szCs w:val="24"/>
        </w:rPr>
        <w:t>合同总价：人民币大写：</w:t>
      </w:r>
      <w:r>
        <w:rPr>
          <w:rFonts w:hint="eastAsia" w:ascii="宋体" w:hAnsi="宋体" w:cs="宋体"/>
          <w:b/>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元。</w:t>
      </w:r>
    </w:p>
    <w:p>
      <w:pPr>
        <w:kinsoku w:val="0"/>
        <w:spacing w:line="400" w:lineRule="exact"/>
        <w:ind w:firstLine="480" w:firstLineChars="200"/>
        <w:rPr>
          <w:rFonts w:ascii="宋体" w:hAnsi="宋体" w:cs="宋体"/>
          <w:sz w:val="24"/>
        </w:rPr>
      </w:pPr>
      <w:r>
        <w:rPr>
          <w:rFonts w:hint="eastAsia" w:ascii="宋体" w:hAnsi="宋体" w:cs="宋体"/>
          <w:sz w:val="24"/>
        </w:rPr>
        <w:t>合同总价包括：技术培训费、人工费、税金及国家按现行税收政策征收的一切税费等</w:t>
      </w:r>
      <w:r>
        <w:rPr>
          <w:rFonts w:hint="eastAsia" w:ascii="宋体" w:hAnsi="宋体" w:cs="宋体"/>
          <w:sz w:val="24"/>
          <w:szCs w:val="24"/>
        </w:rPr>
        <w:t>。</w:t>
      </w:r>
      <w:r>
        <w:rPr>
          <w:rFonts w:hint="eastAsia" w:ascii="宋体" w:hAnsi="宋体" w:cs="宋体"/>
          <w:sz w:val="24"/>
        </w:rPr>
        <w:t>合同总价不可变更，不受市场价变化的影响，不受实际数量变化的影响。</w:t>
      </w:r>
    </w:p>
    <w:p>
      <w:pPr>
        <w:spacing w:line="400" w:lineRule="exact"/>
        <w:ind w:firstLine="482" w:firstLineChars="200"/>
        <w:rPr>
          <w:rFonts w:ascii="宋体" w:hAnsi="宋体" w:cs="宋体"/>
          <w:b/>
          <w:sz w:val="24"/>
          <w:szCs w:val="24"/>
        </w:rPr>
      </w:pPr>
      <w:r>
        <w:rPr>
          <w:rFonts w:hint="eastAsia" w:ascii="宋体" w:hAnsi="宋体" w:cs="宋体"/>
          <w:b/>
          <w:sz w:val="24"/>
          <w:szCs w:val="24"/>
        </w:rPr>
        <w:t>三、交货条件</w:t>
      </w:r>
    </w:p>
    <w:p>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1、交货</w:t>
      </w:r>
      <w:r>
        <w:rPr>
          <w:rFonts w:hint="eastAsia" w:ascii="宋体" w:hAnsi="宋体" w:cs="宋体"/>
          <w:sz w:val="24"/>
          <w:szCs w:val="24"/>
        </w:rPr>
        <w:t>条件</w:t>
      </w:r>
      <w:r>
        <w:rPr>
          <w:rFonts w:hint="eastAsia" w:ascii="宋体" w:hAnsi="宋体" w:cs="宋体"/>
          <w:sz w:val="24"/>
          <w:szCs w:val="24"/>
          <w:lang w:val="zh-CN"/>
        </w:rPr>
        <w:t>：乙方负责按合同中确定内容进行服务；按时完成甲方西安市灞桥区教育局（本级）秋季开学应急设备采购项目工作，达到甲方要求；负责为甲方培训操作、维护人员，做好售后服务工作。交付的货物、服务与投标文件、招标文件等所指明的，或者与本合同所指明的内容相一致。</w:t>
      </w:r>
    </w:p>
    <w:p>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2、交货日期：</w:t>
      </w:r>
    </w:p>
    <w:p>
      <w:pPr>
        <w:spacing w:line="400" w:lineRule="exact"/>
        <w:ind w:firstLine="482" w:firstLineChars="200"/>
        <w:rPr>
          <w:rFonts w:ascii="宋体" w:hAnsi="宋体" w:cs="宋体"/>
          <w:b/>
          <w:sz w:val="24"/>
          <w:szCs w:val="24"/>
        </w:rPr>
      </w:pPr>
      <w:r>
        <w:rPr>
          <w:rFonts w:hint="eastAsia" w:cs="宋体"/>
          <w:b/>
          <w:sz w:val="24"/>
          <w:szCs w:val="24"/>
        </w:rPr>
        <w:t>四、</w:t>
      </w:r>
      <w:r>
        <w:rPr>
          <w:rFonts w:hint="eastAsia" w:ascii="宋体" w:hAnsi="宋体" w:cs="宋体"/>
          <w:b/>
          <w:sz w:val="24"/>
          <w:szCs w:val="24"/>
        </w:rPr>
        <w:t>付款方式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（1）全部产品安装调试完毕并验收合格</w:t>
      </w:r>
      <w:r>
        <w:rPr>
          <w:rFonts w:hint="eastAsia" w:ascii="宋体" w:hAnsi="宋体" w:eastAsia="宋体" w:cs="宋体"/>
          <w:sz w:val="24"/>
          <w:szCs w:val="24"/>
          <w:highlight w:val="none"/>
        </w:rPr>
        <w:t>后，甲</w:t>
      </w:r>
      <w:r>
        <w:rPr>
          <w:rFonts w:hint="eastAsia" w:ascii="宋体" w:hAnsi="宋体" w:eastAsia="宋体" w:cs="宋体"/>
          <w:sz w:val="24"/>
          <w:szCs w:val="24"/>
        </w:rPr>
        <w:t>方向乙方支付合同总价9</w:t>
      </w:r>
      <w:r>
        <w:rPr>
          <w:rFonts w:hint="eastAsia" w:ascii="宋体" w:hAnsi="宋体" w:cs="宋体"/>
          <w:sz w:val="24"/>
          <w:szCs w:val="24"/>
          <w:lang w:val="en-US" w:eastAsia="zh-CN"/>
        </w:rPr>
        <w:t>5</w:t>
      </w:r>
      <w:r>
        <w:rPr>
          <w:rFonts w:hint="eastAsia" w:ascii="宋体" w:hAnsi="宋体" w:eastAsia="宋体" w:cs="宋体"/>
          <w:sz w:val="24"/>
          <w:szCs w:val="24"/>
        </w:rPr>
        <w:t>%的价款。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（2）留合同总价的</w:t>
      </w:r>
      <w:r>
        <w:rPr>
          <w:rFonts w:hint="eastAsia" w:ascii="宋体" w:hAnsi="宋体" w:cs="宋体"/>
          <w:sz w:val="24"/>
          <w:szCs w:val="24"/>
          <w:lang w:val="en-US" w:eastAsia="zh-CN"/>
        </w:rPr>
        <w:t>5</w:t>
      </w:r>
      <w:r>
        <w:rPr>
          <w:rFonts w:hint="eastAsia" w:ascii="宋体" w:hAnsi="宋体" w:eastAsia="宋体" w:cs="宋体"/>
          <w:sz w:val="24"/>
          <w:szCs w:val="24"/>
        </w:rPr>
        <w:t>%在质保期满一年后一次付清。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（3）结算方式：银行转账。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（4）结算单位：由采购人负责结算，乙方开具合同总价数的全额发票交采购人。</w:t>
      </w:r>
    </w:p>
    <w:p>
      <w:pPr>
        <w:tabs>
          <w:tab w:val="left" w:pos="840"/>
        </w:tabs>
        <w:spacing w:line="360" w:lineRule="auto"/>
        <w:ind w:firstLine="422" w:firstLineChars="175"/>
        <w:rPr>
          <w:rFonts w:ascii="宋体" w:hAnsi="宋体"/>
          <w:b/>
          <w:sz w:val="24"/>
        </w:rPr>
      </w:pPr>
      <w:r>
        <w:rPr>
          <w:rFonts w:hint="eastAsia" w:ascii="宋体" w:hAnsi="宋体"/>
          <w:b/>
          <w:sz w:val="24"/>
        </w:rPr>
        <w:t>五、双方的权利和义务</w:t>
      </w:r>
    </w:p>
    <w:p>
      <w:pPr>
        <w:tabs>
          <w:tab w:val="left" w:pos="840"/>
        </w:tabs>
        <w:spacing w:line="360" w:lineRule="auto"/>
        <w:ind w:firstLine="420" w:firstLineChars="175"/>
        <w:rPr>
          <w:rFonts w:hAnsi="宋体"/>
          <w:sz w:val="24"/>
        </w:rPr>
      </w:pPr>
      <w:r>
        <w:rPr>
          <w:rFonts w:hint="eastAsia" w:hAnsi="宋体"/>
          <w:sz w:val="24"/>
        </w:rPr>
        <w:t>1、甲方责任</w:t>
      </w:r>
    </w:p>
    <w:p>
      <w:pPr>
        <w:tabs>
          <w:tab w:val="left" w:pos="840"/>
        </w:tabs>
        <w:spacing w:line="360" w:lineRule="auto"/>
        <w:ind w:firstLine="420" w:firstLineChars="175"/>
        <w:rPr>
          <w:rFonts w:hAnsi="宋体"/>
          <w:sz w:val="24"/>
        </w:rPr>
      </w:pPr>
      <w:r>
        <w:rPr>
          <w:rFonts w:hint="eastAsia" w:hAnsi="宋体"/>
          <w:sz w:val="24"/>
        </w:rPr>
        <w:t>负责核准、认定本项目相关技术资料文档；监督、参与项目执行的整个过程为乙方提供必要的工作条件，并提供产品及服务所必需的运行环境；按照合同约定支付合同款项。</w:t>
      </w:r>
    </w:p>
    <w:p>
      <w:pPr>
        <w:tabs>
          <w:tab w:val="left" w:pos="840"/>
        </w:tabs>
        <w:spacing w:line="360" w:lineRule="auto"/>
        <w:ind w:firstLine="420" w:firstLineChars="175"/>
        <w:rPr>
          <w:rFonts w:hAnsi="宋体"/>
          <w:sz w:val="24"/>
        </w:rPr>
      </w:pPr>
      <w:r>
        <w:rPr>
          <w:rFonts w:hint="eastAsia" w:hAnsi="宋体"/>
          <w:sz w:val="24"/>
        </w:rPr>
        <w:t>2、乙方责任</w:t>
      </w:r>
    </w:p>
    <w:p>
      <w:pPr>
        <w:tabs>
          <w:tab w:val="left" w:pos="840"/>
        </w:tabs>
        <w:spacing w:line="360" w:lineRule="auto"/>
        <w:ind w:firstLine="420" w:firstLineChars="175"/>
      </w:pPr>
      <w:r>
        <w:rPr>
          <w:rFonts w:hint="eastAsia" w:hAnsi="宋体"/>
          <w:sz w:val="24"/>
        </w:rPr>
        <w:t>项目的交接；按时完成本合同所涉及产品及服务项目的验收工作；协助配合甲方完成</w:t>
      </w:r>
      <w:r>
        <w:rPr>
          <w:rFonts w:hint="eastAsia" w:hAnsi="宋体"/>
          <w:sz w:val="24"/>
          <w:lang w:eastAsia="zh-CN"/>
        </w:rPr>
        <w:t>西安市灞桥区教育局（本级）秋季开学应急设备采购项目</w:t>
      </w:r>
      <w:r>
        <w:rPr>
          <w:rFonts w:hint="eastAsia" w:hAnsi="宋体"/>
          <w:sz w:val="24"/>
        </w:rPr>
        <w:t>；做好整个项目的售后服务技术支持工作。</w:t>
      </w:r>
    </w:p>
    <w:p>
      <w:pPr>
        <w:tabs>
          <w:tab w:val="left" w:pos="840"/>
        </w:tabs>
        <w:spacing w:line="360" w:lineRule="auto"/>
        <w:ind w:firstLine="422" w:firstLineChars="175"/>
        <w:rPr>
          <w:rFonts w:ascii="宋体" w:hAnsi="宋体"/>
          <w:b/>
          <w:sz w:val="24"/>
        </w:rPr>
      </w:pPr>
      <w:r>
        <w:rPr>
          <w:rFonts w:hint="eastAsia"/>
          <w:b/>
          <w:sz w:val="24"/>
        </w:rPr>
        <w:t>六</w:t>
      </w:r>
      <w:r>
        <w:rPr>
          <w:rFonts w:hint="eastAsia" w:ascii="宋体" w:hAnsi="宋体"/>
          <w:b/>
          <w:sz w:val="24"/>
        </w:rPr>
        <w:t>、质量保证</w:t>
      </w:r>
    </w:p>
    <w:p>
      <w:pPr>
        <w:pStyle w:val="12"/>
        <w:spacing w:before="172" w:line="374" w:lineRule="auto"/>
        <w:ind w:firstLine="420" w:firstLineChars="175"/>
        <w:rPr>
          <w:rFonts w:ascii="宋体" w:hAnsi="宋体" w:cs="宋体"/>
          <w:color w:val="000000"/>
          <w:szCs w:val="22"/>
          <w:lang w:val="zh-CN" w:bidi="zh-CN"/>
        </w:rPr>
      </w:pPr>
      <w:r>
        <w:rPr>
          <w:rFonts w:hint="eastAsia" w:ascii="宋体" w:hAnsi="宋体" w:cs="宋体"/>
          <w:color w:val="000000"/>
          <w:szCs w:val="22"/>
          <w:lang w:val="zh-CN" w:bidi="zh-CN"/>
        </w:rPr>
        <w:t>1、本次西安市灞桥区教育局（本级）秋季开学应急设备采购项目应符合国家有关规范， 确保达到最佳状态。</w:t>
      </w:r>
    </w:p>
    <w:p>
      <w:pPr>
        <w:pStyle w:val="12"/>
        <w:spacing w:before="1" w:line="374" w:lineRule="auto"/>
        <w:ind w:firstLine="420" w:firstLineChars="175"/>
        <w:rPr>
          <w:rFonts w:ascii="宋体" w:hAnsi="宋体" w:cs="宋体"/>
          <w:color w:val="000000"/>
          <w:szCs w:val="22"/>
          <w:lang w:val="zh-CN" w:bidi="zh-CN"/>
        </w:rPr>
      </w:pPr>
      <w:r>
        <w:rPr>
          <w:rFonts w:hint="eastAsia" w:ascii="宋体" w:hAnsi="宋体" w:cs="宋体"/>
          <w:color w:val="000000"/>
          <w:szCs w:val="22"/>
          <w:lang w:val="zh-CN" w:bidi="zh-CN"/>
        </w:rPr>
        <w:t>2、成交供应商应根据服务方案规范及质量要求进行服务工作，并在质保期内、外应对由于产品设计、工艺或材料的缺陷而产生的质量问题负责，采购人在服务过程中起到配合、监督及管理的作用。</w:t>
      </w:r>
    </w:p>
    <w:p>
      <w:pPr>
        <w:pStyle w:val="12"/>
        <w:tabs>
          <w:tab w:val="left" w:pos="7560"/>
        </w:tabs>
        <w:spacing w:before="1" w:line="374" w:lineRule="auto"/>
        <w:ind w:firstLine="420" w:firstLineChars="175"/>
        <w:rPr>
          <w:rFonts w:ascii="宋体" w:hAnsi="宋体" w:cs="宋体"/>
          <w:color w:val="000000"/>
          <w:szCs w:val="22"/>
          <w:lang w:val="zh-CN" w:bidi="zh-CN"/>
        </w:rPr>
      </w:pPr>
      <w:r>
        <w:rPr>
          <w:rFonts w:hint="eastAsia" w:ascii="宋体" w:hAnsi="宋体" w:cs="宋体"/>
          <w:color w:val="000000"/>
          <w:szCs w:val="22"/>
          <w:lang w:val="zh-CN" w:bidi="zh-CN"/>
        </w:rPr>
        <w:t>3、在质保期内，如果发现服务范围、内容和服务质量等存在与合同中任何一项不符，采购人应在最短时间内，以书面形式向成交供应商提出索赔，同时通告采购代理机构。</w:t>
      </w:r>
    </w:p>
    <w:p>
      <w:pPr>
        <w:spacing w:before="1"/>
        <w:ind w:firstLine="422" w:firstLineChars="175"/>
        <w:rPr>
          <w:rFonts w:ascii="宋体" w:hAnsi="宋体" w:cs="宋体"/>
          <w:b/>
          <w:sz w:val="24"/>
          <w:lang w:bidi="zh-CN"/>
        </w:rPr>
      </w:pPr>
      <w:r>
        <w:rPr>
          <w:rFonts w:hint="eastAsia" w:ascii="宋体" w:hAnsi="宋体" w:cs="宋体"/>
          <w:b/>
          <w:sz w:val="24"/>
          <w:lang w:bidi="zh-CN"/>
        </w:rPr>
        <w:t>七、售后服务</w:t>
      </w:r>
    </w:p>
    <w:p>
      <w:pPr>
        <w:pStyle w:val="12"/>
        <w:spacing w:before="1" w:line="374" w:lineRule="auto"/>
        <w:ind w:firstLine="420" w:firstLineChars="175"/>
        <w:rPr>
          <w:rFonts w:hint="eastAsia" w:ascii="宋体" w:hAnsi="宋体" w:eastAsia="宋体" w:cs="宋体"/>
          <w:color w:val="auto"/>
          <w:szCs w:val="22"/>
          <w:highlight w:val="none"/>
          <w:lang w:val="zh-CN" w:bidi="zh-CN"/>
        </w:rPr>
      </w:pPr>
      <w:r>
        <w:rPr>
          <w:rFonts w:hint="eastAsia" w:ascii="宋体" w:hAnsi="宋体" w:eastAsia="宋体" w:cs="宋体"/>
          <w:color w:val="auto"/>
          <w:szCs w:val="22"/>
          <w:highlight w:val="none"/>
          <w:lang w:val="zh-CN" w:bidi="zh-CN"/>
        </w:rPr>
        <w:t>以招标文件、投标文件、中标单位澄清表（函）为准。</w:t>
      </w:r>
    </w:p>
    <w:p>
      <w:pPr>
        <w:pStyle w:val="12"/>
        <w:spacing w:before="1" w:line="374" w:lineRule="auto"/>
        <w:ind w:firstLine="420" w:firstLineChars="175"/>
        <w:rPr>
          <w:rFonts w:hint="eastAsia" w:ascii="宋体" w:hAnsi="宋体" w:eastAsia="宋体" w:cs="宋体"/>
          <w:color w:val="auto"/>
          <w:szCs w:val="22"/>
          <w:highlight w:val="none"/>
          <w:lang w:val="en-US" w:bidi="zh-CN"/>
        </w:rPr>
      </w:pPr>
      <w:r>
        <w:rPr>
          <w:rFonts w:hint="eastAsia" w:ascii="宋体" w:hAnsi="宋体" w:eastAsia="宋体" w:cs="宋体"/>
          <w:color w:val="auto"/>
          <w:szCs w:val="22"/>
          <w:highlight w:val="none"/>
          <w:lang w:val="en-US" w:bidi="zh-CN"/>
        </w:rPr>
        <w:t>1、</w:t>
      </w:r>
      <w:r>
        <w:rPr>
          <w:rFonts w:hint="eastAsia" w:ascii="宋体" w:hAnsi="宋体" w:eastAsia="宋体" w:cs="宋体"/>
          <w:color w:val="auto"/>
          <w:szCs w:val="22"/>
          <w:highlight w:val="none"/>
          <w:lang w:val="zh-CN" w:bidi="zh-CN"/>
        </w:rPr>
        <w:t>属于保修范围和内容的项目，承包人应在接到维修通知后，15 天内派人维修。发生紧急抢修事故（如上水管跑水、爆裂，供电设施漏、断电等），承包人应在接到事故通知后 24 小时内到达事故现场并于 72 小时内完成应急维修。</w:t>
      </w:r>
      <w:r>
        <w:rPr>
          <w:rFonts w:hint="eastAsia" w:ascii="宋体" w:hAnsi="宋体" w:eastAsia="宋体" w:cs="宋体"/>
          <w:color w:val="auto"/>
          <w:szCs w:val="22"/>
          <w:highlight w:val="none"/>
          <w:lang w:val="en-US" w:bidi="zh-CN"/>
        </w:rPr>
        <w:t xml:space="preserve">     </w:t>
      </w:r>
    </w:p>
    <w:p>
      <w:pPr>
        <w:pStyle w:val="12"/>
        <w:spacing w:before="1" w:line="374" w:lineRule="auto"/>
        <w:ind w:firstLine="420" w:firstLineChars="175"/>
        <w:rPr>
          <w:rFonts w:hint="eastAsia" w:ascii="宋体" w:hAnsi="宋体" w:eastAsia="宋体" w:cs="宋体"/>
          <w:color w:val="auto"/>
          <w:szCs w:val="22"/>
          <w:highlight w:val="none"/>
          <w:lang w:val="zh-CN" w:bidi="zh-CN"/>
        </w:rPr>
      </w:pPr>
      <w:r>
        <w:rPr>
          <w:rFonts w:hint="eastAsia" w:ascii="宋体" w:hAnsi="宋体" w:eastAsia="宋体" w:cs="宋体"/>
          <w:color w:val="auto"/>
          <w:szCs w:val="22"/>
          <w:highlight w:val="none"/>
          <w:lang w:val="en-US" w:bidi="zh-CN"/>
        </w:rPr>
        <w:t>2</w:t>
      </w:r>
      <w:r>
        <w:rPr>
          <w:rFonts w:hint="eastAsia" w:ascii="宋体" w:hAnsi="宋体" w:eastAsia="宋体" w:cs="宋体"/>
          <w:color w:val="auto"/>
          <w:szCs w:val="22"/>
          <w:highlight w:val="none"/>
          <w:lang w:val="zh-CN" w:bidi="zh-CN"/>
        </w:rPr>
        <w:t>、7*24小时电话、QQ/微信、电子邮件、现场等多种方式的售后服务。</w:t>
      </w:r>
    </w:p>
    <w:p>
      <w:pPr>
        <w:pStyle w:val="12"/>
        <w:spacing w:before="1" w:line="374" w:lineRule="auto"/>
        <w:ind w:firstLine="420" w:firstLineChars="175"/>
        <w:rPr>
          <w:rFonts w:hint="eastAsia" w:ascii="宋体" w:hAnsi="宋体" w:eastAsia="宋体" w:cs="宋体"/>
          <w:color w:val="auto"/>
          <w:szCs w:val="22"/>
          <w:highlight w:val="none"/>
          <w:lang w:val="zh-CN" w:bidi="zh-CN"/>
        </w:rPr>
      </w:pPr>
      <w:r>
        <w:rPr>
          <w:rFonts w:hint="eastAsia" w:ascii="宋体" w:hAnsi="宋体" w:eastAsia="宋体" w:cs="宋体"/>
          <w:color w:val="auto"/>
          <w:szCs w:val="22"/>
          <w:highlight w:val="none"/>
          <w:lang w:val="en-US" w:bidi="zh-CN"/>
        </w:rPr>
        <w:t>3</w:t>
      </w:r>
      <w:r>
        <w:rPr>
          <w:rFonts w:hint="eastAsia" w:ascii="宋体" w:hAnsi="宋体" w:eastAsia="宋体" w:cs="宋体"/>
          <w:color w:val="auto"/>
          <w:szCs w:val="22"/>
          <w:highlight w:val="none"/>
          <w:lang w:val="zh-CN" w:bidi="zh-CN"/>
        </w:rPr>
        <w:t>、质保期内免费维修，质保期外收取更换配件成本费。</w:t>
      </w:r>
    </w:p>
    <w:p>
      <w:pPr>
        <w:pStyle w:val="12"/>
        <w:spacing w:before="1" w:line="374" w:lineRule="auto"/>
        <w:ind w:firstLine="420" w:firstLineChars="175"/>
        <w:rPr>
          <w:rFonts w:hint="eastAsia" w:ascii="宋体" w:hAnsi="宋体" w:eastAsia="宋体" w:cs="宋体"/>
          <w:color w:val="auto"/>
          <w:szCs w:val="22"/>
          <w:highlight w:val="none"/>
          <w:lang w:val="zh-CN" w:bidi="zh-CN"/>
        </w:rPr>
      </w:pPr>
      <w:r>
        <w:rPr>
          <w:rFonts w:hint="eastAsia" w:ascii="宋体" w:hAnsi="宋体" w:eastAsia="宋体" w:cs="宋体"/>
          <w:color w:val="auto"/>
          <w:szCs w:val="22"/>
          <w:highlight w:val="none"/>
          <w:lang w:val="en-US" w:bidi="zh-CN"/>
        </w:rPr>
        <w:t>4</w:t>
      </w:r>
      <w:r>
        <w:rPr>
          <w:rFonts w:hint="eastAsia" w:ascii="宋体" w:hAnsi="宋体" w:eastAsia="宋体" w:cs="宋体"/>
          <w:color w:val="auto"/>
          <w:szCs w:val="22"/>
          <w:highlight w:val="none"/>
          <w:lang w:val="zh-CN" w:bidi="zh-CN"/>
        </w:rPr>
        <w:t>、每年不少于2次定期上门检查维护设备。</w:t>
      </w:r>
    </w:p>
    <w:p>
      <w:pPr>
        <w:pStyle w:val="12"/>
        <w:spacing w:before="1" w:line="374" w:lineRule="auto"/>
        <w:ind w:firstLine="420" w:firstLineChars="175"/>
        <w:rPr>
          <w:rFonts w:hint="eastAsia" w:ascii="宋体" w:hAnsi="宋体" w:eastAsia="宋体" w:cs="宋体"/>
          <w:color w:val="auto"/>
          <w:szCs w:val="22"/>
          <w:highlight w:val="none"/>
          <w:lang w:val="zh-CN" w:bidi="zh-CN"/>
        </w:rPr>
      </w:pPr>
      <w:r>
        <w:rPr>
          <w:rFonts w:hint="eastAsia" w:ascii="宋体" w:hAnsi="宋体" w:eastAsia="宋体" w:cs="宋体"/>
          <w:color w:val="auto"/>
          <w:szCs w:val="22"/>
          <w:highlight w:val="none"/>
          <w:lang w:val="en-US" w:bidi="zh-CN"/>
        </w:rPr>
        <w:t>5</w:t>
      </w:r>
      <w:r>
        <w:rPr>
          <w:rFonts w:hint="eastAsia" w:ascii="宋体" w:hAnsi="宋体" w:eastAsia="宋体" w:cs="宋体"/>
          <w:color w:val="auto"/>
          <w:szCs w:val="22"/>
          <w:highlight w:val="none"/>
          <w:lang w:val="zh-CN" w:bidi="zh-CN"/>
        </w:rPr>
        <w:t>、举行重大活动期间可安排专业技术人员进行现场保障。</w:t>
      </w:r>
    </w:p>
    <w:p>
      <w:pPr>
        <w:pStyle w:val="12"/>
        <w:spacing w:before="1" w:line="374" w:lineRule="auto"/>
        <w:ind w:firstLine="422" w:firstLineChars="175"/>
        <w:rPr>
          <w:rFonts w:ascii="宋体" w:hAnsi="宋体" w:cs="宋体"/>
          <w:b/>
          <w:bCs/>
          <w:color w:val="000000"/>
          <w:szCs w:val="22"/>
          <w:highlight w:val="none"/>
          <w:lang w:val="zh-CN" w:bidi="zh-CN"/>
        </w:rPr>
      </w:pPr>
      <w:r>
        <w:rPr>
          <w:rFonts w:hint="eastAsia" w:ascii="宋体" w:hAnsi="宋体" w:cs="宋体"/>
          <w:b/>
          <w:bCs/>
          <w:color w:val="000000"/>
          <w:szCs w:val="22"/>
          <w:highlight w:val="none"/>
          <w:lang w:bidi="zh-CN"/>
        </w:rPr>
        <w:t>八</w:t>
      </w:r>
      <w:r>
        <w:rPr>
          <w:rFonts w:hint="eastAsia" w:ascii="宋体" w:hAnsi="宋体" w:cs="宋体"/>
          <w:b/>
          <w:bCs/>
          <w:color w:val="000000"/>
          <w:szCs w:val="22"/>
          <w:highlight w:val="none"/>
          <w:lang w:val="zh-CN" w:bidi="zh-CN"/>
        </w:rPr>
        <w:t>、违约责任</w:t>
      </w:r>
    </w:p>
    <w:p>
      <w:pPr>
        <w:pStyle w:val="95"/>
        <w:spacing w:line="360" w:lineRule="auto"/>
        <w:ind w:firstLine="480"/>
        <w:rPr>
          <w:rFonts w:hint="eastAsia" w:ascii="宋体" w:hAnsi="宋体" w:cs="宋体"/>
          <w:color w:val="000000"/>
          <w:szCs w:val="22"/>
          <w:highlight w:val="none"/>
          <w:lang w:val="zh-CN" w:bidi="zh-CN"/>
        </w:rPr>
      </w:pPr>
      <w:r>
        <w:rPr>
          <w:rFonts w:hint="eastAsia" w:ascii="宋体" w:hAnsi="宋体" w:cs="宋体"/>
          <w:color w:val="000000"/>
          <w:szCs w:val="22"/>
          <w:highlight w:val="none"/>
          <w:lang w:val="zh-CN" w:bidi="zh-CN"/>
        </w:rPr>
        <w:t>依据《中华人民共和国民法典》、《中华人民共和国政府采购法》的相关条款和本合同约定，成交供应商未全面履行合同义务或者发生违约，采购人会同采购代理机构有权终止合同，依法向成交供应商要求经济索赔，并报请政府采购监督管理机关进行相应的行政处罚。采购人违约的，应当赔偿给成交供应商造成的经济损失。</w:t>
      </w:r>
    </w:p>
    <w:p>
      <w:pPr>
        <w:pStyle w:val="95"/>
        <w:spacing w:line="360" w:lineRule="auto"/>
        <w:ind w:firstLine="480"/>
        <w:rPr>
          <w:rFonts w:hint="eastAsia" w:ascii="宋体" w:hAnsi="宋体" w:eastAsia="宋体" w:cs="宋体"/>
          <w:color w:val="auto"/>
          <w:szCs w:val="22"/>
          <w:highlight w:val="none"/>
          <w:lang w:val="zh-CN" w:bidi="zh-CN"/>
        </w:rPr>
      </w:pPr>
      <w:r>
        <w:rPr>
          <w:rFonts w:hint="eastAsia" w:ascii="宋体" w:hAnsi="宋体" w:eastAsia="宋体" w:cs="宋体"/>
          <w:color w:val="auto"/>
          <w:szCs w:val="22"/>
          <w:highlight w:val="none"/>
          <w:lang w:val="zh-CN" w:bidi="zh-CN"/>
        </w:rPr>
        <w:t>1.采购方违约责任</w:t>
      </w:r>
    </w:p>
    <w:p>
      <w:pPr>
        <w:pStyle w:val="95"/>
        <w:spacing w:line="360" w:lineRule="auto"/>
        <w:ind w:firstLine="480"/>
        <w:rPr>
          <w:rFonts w:hint="eastAsia" w:ascii="宋体" w:hAnsi="宋体" w:eastAsia="宋体" w:cs="宋体"/>
          <w:color w:val="auto"/>
          <w:szCs w:val="22"/>
          <w:highlight w:val="none"/>
          <w:lang w:val="zh-CN" w:bidi="zh-CN"/>
        </w:rPr>
      </w:pPr>
      <w:r>
        <w:rPr>
          <w:rFonts w:hint="eastAsia" w:ascii="宋体" w:hAnsi="宋体" w:eastAsia="宋体" w:cs="宋体"/>
          <w:color w:val="auto"/>
          <w:szCs w:val="22"/>
          <w:highlight w:val="none"/>
          <w:lang w:val="zh-CN" w:bidi="zh-CN"/>
        </w:rPr>
        <w:t>（1）采购方无正当理由拒收货物的，采购方应偿付供货方合同总价 5 %的违约金；</w:t>
      </w:r>
    </w:p>
    <w:p>
      <w:pPr>
        <w:pStyle w:val="95"/>
        <w:spacing w:line="360" w:lineRule="auto"/>
        <w:ind w:firstLine="480"/>
        <w:rPr>
          <w:rFonts w:hint="eastAsia" w:ascii="宋体" w:hAnsi="宋体" w:eastAsia="宋体" w:cs="宋体"/>
          <w:color w:val="auto"/>
          <w:szCs w:val="22"/>
          <w:highlight w:val="none"/>
          <w:lang w:val="zh-CN" w:bidi="zh-CN"/>
        </w:rPr>
      </w:pPr>
      <w:r>
        <w:rPr>
          <w:rFonts w:hint="eastAsia" w:ascii="宋体" w:hAnsi="宋体" w:eastAsia="宋体" w:cs="宋体"/>
          <w:color w:val="auto"/>
          <w:szCs w:val="22"/>
          <w:highlight w:val="none"/>
          <w:lang w:val="zh-CN" w:bidi="zh-CN"/>
        </w:rPr>
        <w:t>（2）采购方逾期支付货款的，除应及时付足货款外，应向供货方每天支付欠款总额  5％的滞纳金；</w:t>
      </w:r>
    </w:p>
    <w:p>
      <w:pPr>
        <w:pStyle w:val="95"/>
        <w:spacing w:line="360" w:lineRule="auto"/>
        <w:ind w:firstLine="480"/>
        <w:rPr>
          <w:rFonts w:hint="eastAsia" w:ascii="宋体" w:hAnsi="宋体" w:eastAsia="宋体" w:cs="宋体"/>
          <w:color w:val="auto"/>
          <w:szCs w:val="22"/>
          <w:highlight w:val="none"/>
          <w:lang w:val="zh-CN" w:bidi="zh-CN"/>
        </w:rPr>
      </w:pPr>
      <w:r>
        <w:rPr>
          <w:rFonts w:hint="eastAsia" w:ascii="宋体" w:hAnsi="宋体" w:eastAsia="宋体" w:cs="宋体"/>
          <w:color w:val="auto"/>
          <w:szCs w:val="22"/>
          <w:highlight w:val="none"/>
          <w:lang w:val="zh-CN" w:bidi="zh-CN"/>
        </w:rPr>
        <w:t>2.供货方违约责任</w:t>
      </w:r>
    </w:p>
    <w:p>
      <w:pPr>
        <w:pStyle w:val="95"/>
        <w:spacing w:line="360" w:lineRule="auto"/>
        <w:ind w:firstLine="480"/>
        <w:rPr>
          <w:rFonts w:hint="eastAsia" w:ascii="宋体" w:hAnsi="宋体" w:eastAsia="宋体" w:cs="宋体"/>
          <w:color w:val="auto"/>
          <w:szCs w:val="22"/>
          <w:highlight w:val="none"/>
          <w:lang w:val="zh-CN" w:bidi="zh-CN"/>
        </w:rPr>
      </w:pPr>
      <w:r>
        <w:rPr>
          <w:rFonts w:hint="eastAsia" w:ascii="宋体" w:hAnsi="宋体" w:eastAsia="宋体" w:cs="宋体"/>
          <w:color w:val="auto"/>
          <w:szCs w:val="22"/>
          <w:highlight w:val="none"/>
          <w:lang w:val="zh-CN" w:bidi="zh-CN"/>
        </w:rPr>
        <w:t>（1）如供货方不能交付货物，供货方应向采购方支付合同总价5％的违约金；</w:t>
      </w:r>
    </w:p>
    <w:p>
      <w:pPr>
        <w:pStyle w:val="95"/>
        <w:spacing w:line="360" w:lineRule="auto"/>
        <w:ind w:firstLine="480"/>
        <w:rPr>
          <w:rFonts w:ascii="仿宋" w:hAnsi="仿宋" w:eastAsia="仿宋" w:cs="仿宋"/>
          <w:sz w:val="24"/>
          <w:szCs w:val="24"/>
          <w:highlight w:val="none"/>
        </w:rPr>
      </w:pPr>
      <w:r>
        <w:rPr>
          <w:rFonts w:hint="eastAsia" w:ascii="宋体" w:hAnsi="宋体" w:eastAsia="宋体" w:cs="宋体"/>
          <w:color w:val="auto"/>
          <w:szCs w:val="22"/>
          <w:highlight w:val="none"/>
          <w:lang w:val="zh-CN" w:bidi="zh-CN"/>
        </w:rPr>
        <w:t>（2）供货方逾期交付货物的，每逾期1天，供货方向采购方偿付逾期交货部分货款总额的</w:t>
      </w:r>
      <w:r>
        <w:rPr>
          <w:rFonts w:hint="eastAsia" w:ascii="宋体" w:hAnsi="宋体" w:cs="宋体"/>
          <w:color w:val="auto"/>
          <w:szCs w:val="22"/>
          <w:highlight w:val="none"/>
          <w:lang w:val="en-US" w:bidi="zh-CN"/>
        </w:rPr>
        <w:t>5</w:t>
      </w:r>
      <w:r>
        <w:rPr>
          <w:rFonts w:hint="eastAsia" w:ascii="宋体" w:hAnsi="宋体" w:eastAsia="宋体" w:cs="宋体"/>
          <w:color w:val="auto"/>
          <w:szCs w:val="22"/>
          <w:highlight w:val="none"/>
          <w:lang w:val="zh-CN" w:bidi="zh-CN"/>
        </w:rPr>
        <w:t>％的滞纳金</w:t>
      </w:r>
      <w:r>
        <w:rPr>
          <w:rFonts w:hint="eastAsia" w:ascii="仿宋" w:hAnsi="仿宋" w:eastAsia="仿宋" w:cs="仿宋"/>
          <w:sz w:val="24"/>
          <w:szCs w:val="24"/>
          <w:highlight w:val="none"/>
        </w:rPr>
        <w:t>。</w:t>
      </w:r>
    </w:p>
    <w:p>
      <w:pPr>
        <w:pStyle w:val="12"/>
        <w:spacing w:before="1" w:line="374" w:lineRule="auto"/>
        <w:ind w:firstLine="422" w:firstLineChars="175"/>
        <w:rPr>
          <w:rFonts w:ascii="宋体" w:hAnsi="宋体" w:cs="宋体"/>
          <w:b/>
          <w:bCs/>
          <w:color w:val="000000"/>
          <w:szCs w:val="22"/>
          <w:lang w:val="zh-CN" w:bidi="zh-CN"/>
        </w:rPr>
      </w:pPr>
      <w:r>
        <w:rPr>
          <w:rFonts w:hint="eastAsia" w:ascii="宋体" w:hAnsi="宋体" w:cs="宋体"/>
          <w:b/>
          <w:bCs/>
          <w:color w:val="000000"/>
          <w:szCs w:val="22"/>
          <w:lang w:bidi="zh-CN"/>
        </w:rPr>
        <w:t>九</w:t>
      </w:r>
      <w:r>
        <w:rPr>
          <w:rFonts w:hint="eastAsia" w:ascii="宋体" w:hAnsi="宋体" w:cs="宋体"/>
          <w:b/>
          <w:bCs/>
          <w:color w:val="000000"/>
          <w:szCs w:val="22"/>
          <w:lang w:val="zh-CN" w:bidi="zh-CN"/>
        </w:rPr>
        <w:t>、验收</w:t>
      </w:r>
    </w:p>
    <w:p>
      <w:pPr>
        <w:pStyle w:val="12"/>
        <w:spacing w:before="1" w:line="374" w:lineRule="auto"/>
        <w:ind w:firstLine="420" w:firstLineChars="175"/>
        <w:rPr>
          <w:rFonts w:ascii="宋体" w:hAnsi="宋体" w:cs="宋体"/>
          <w:color w:val="000000"/>
          <w:szCs w:val="22"/>
          <w:lang w:val="zh-CN" w:bidi="zh-CN"/>
        </w:rPr>
      </w:pPr>
      <w:r>
        <w:rPr>
          <w:rFonts w:hint="eastAsia" w:ascii="宋体" w:hAnsi="宋体" w:cs="宋体"/>
          <w:color w:val="000000"/>
          <w:szCs w:val="22"/>
          <w:lang w:val="zh-CN" w:bidi="zh-CN"/>
        </w:rPr>
        <w:t>验收：验收须以合同、招标文件、投标文件、澄清、及国家相应的标准、规范等为依据进行验收。</w:t>
      </w:r>
    </w:p>
    <w:p>
      <w:pPr>
        <w:pStyle w:val="12"/>
        <w:spacing w:before="1" w:line="374" w:lineRule="auto"/>
        <w:ind w:firstLine="422" w:firstLineChars="175"/>
        <w:rPr>
          <w:rFonts w:ascii="宋体" w:hAnsi="宋体" w:cs="宋体"/>
          <w:b/>
          <w:bCs/>
          <w:color w:val="000000"/>
          <w:szCs w:val="22"/>
          <w:lang w:val="zh-CN" w:bidi="zh-CN"/>
        </w:rPr>
      </w:pPr>
      <w:r>
        <w:rPr>
          <w:rFonts w:hint="eastAsia" w:ascii="宋体" w:hAnsi="宋体" w:cs="宋体"/>
          <w:b/>
          <w:bCs/>
          <w:color w:val="000000"/>
          <w:szCs w:val="22"/>
          <w:lang w:val="zh-CN" w:bidi="zh-CN"/>
        </w:rPr>
        <w:t>十、合同争议解决的方式</w:t>
      </w:r>
    </w:p>
    <w:p>
      <w:pPr>
        <w:pStyle w:val="12"/>
        <w:spacing w:before="1" w:line="374" w:lineRule="auto"/>
        <w:ind w:firstLine="420" w:firstLineChars="175"/>
        <w:rPr>
          <w:rFonts w:ascii="宋体" w:hAnsi="宋体" w:cs="宋体"/>
          <w:color w:val="000000"/>
          <w:szCs w:val="22"/>
          <w:lang w:val="zh-CN" w:bidi="zh-CN"/>
        </w:rPr>
      </w:pPr>
      <w:r>
        <w:rPr>
          <w:rFonts w:hint="eastAsia" w:ascii="宋体" w:hAnsi="宋体" w:cs="宋体"/>
          <w:color w:val="000000"/>
          <w:szCs w:val="22"/>
          <w:lang w:val="zh-CN" w:bidi="zh-CN"/>
        </w:rPr>
        <w:t>合同执行中发生争议的，当事人双方应协商解决，协商达不成一致时，可向人民法院提请诉讼。</w:t>
      </w:r>
    </w:p>
    <w:p>
      <w:pPr>
        <w:pStyle w:val="12"/>
        <w:spacing w:before="1" w:line="374" w:lineRule="auto"/>
        <w:ind w:firstLine="482" w:firstLineChars="200"/>
        <w:rPr>
          <w:rFonts w:ascii="宋体" w:hAnsi="宋体" w:cs="宋体"/>
          <w:b/>
          <w:bCs/>
          <w:color w:val="000000"/>
          <w:szCs w:val="22"/>
          <w:lang w:val="zh-CN" w:bidi="zh-CN"/>
        </w:rPr>
      </w:pPr>
      <w:r>
        <w:rPr>
          <w:rFonts w:hint="eastAsia" w:ascii="宋体" w:hAnsi="宋体" w:cs="宋体"/>
          <w:b/>
          <w:bCs/>
          <w:color w:val="000000"/>
          <w:szCs w:val="22"/>
          <w:lang w:val="zh-CN" w:bidi="zh-CN"/>
        </w:rPr>
        <w:t>十</w:t>
      </w:r>
      <w:r>
        <w:rPr>
          <w:rFonts w:hint="eastAsia" w:ascii="宋体" w:hAnsi="宋体" w:cs="宋体"/>
          <w:b/>
          <w:bCs/>
          <w:color w:val="000000"/>
          <w:szCs w:val="22"/>
          <w:lang w:bidi="zh-CN"/>
        </w:rPr>
        <w:t>一</w:t>
      </w:r>
      <w:r>
        <w:rPr>
          <w:rFonts w:hint="eastAsia" w:ascii="宋体" w:hAnsi="宋体" w:cs="宋体"/>
          <w:b/>
          <w:bCs/>
          <w:color w:val="000000"/>
          <w:szCs w:val="22"/>
          <w:lang w:val="zh-CN" w:bidi="zh-CN"/>
        </w:rPr>
        <w:t>、其他事项</w:t>
      </w:r>
    </w:p>
    <w:p>
      <w:pPr>
        <w:pStyle w:val="12"/>
        <w:spacing w:before="1" w:line="374" w:lineRule="auto"/>
        <w:ind w:firstLine="480" w:firstLineChars="200"/>
        <w:rPr>
          <w:rFonts w:ascii="宋体" w:hAnsi="宋体" w:cs="宋体"/>
          <w:color w:val="000000"/>
          <w:szCs w:val="22"/>
          <w:lang w:val="zh-CN" w:bidi="zh-CN"/>
        </w:rPr>
      </w:pPr>
      <w:bookmarkStart w:id="73" w:name="第四章__竞争性磋商内容及服务要求"/>
      <w:bookmarkEnd w:id="73"/>
      <w:bookmarkStart w:id="74" w:name="_bookmark3"/>
      <w:bookmarkEnd w:id="74"/>
      <w:r>
        <w:rPr>
          <w:rFonts w:hint="eastAsia" w:ascii="宋体" w:hAnsi="宋体" w:cs="宋体"/>
          <w:color w:val="000000"/>
          <w:szCs w:val="22"/>
          <w:lang w:bidi="zh-CN"/>
        </w:rPr>
        <w:t>1、</w:t>
      </w:r>
      <w:r>
        <w:rPr>
          <w:rFonts w:hint="eastAsia" w:ascii="宋体" w:hAnsi="宋体" w:cs="宋体"/>
          <w:color w:val="000000"/>
          <w:szCs w:val="22"/>
          <w:lang w:val="zh-CN" w:bidi="zh-CN"/>
        </w:rPr>
        <w:t>本合同乙方在任何情况下都不得全部或部分转让其应履行的合同义务，乙方不得将本合同分包给他人。</w:t>
      </w:r>
    </w:p>
    <w:p>
      <w:pPr>
        <w:pStyle w:val="12"/>
        <w:spacing w:before="1" w:line="374" w:lineRule="auto"/>
        <w:ind w:firstLine="480" w:firstLineChars="200"/>
        <w:rPr>
          <w:rFonts w:ascii="宋体" w:hAnsi="宋体" w:cs="宋体"/>
          <w:color w:val="000000"/>
          <w:szCs w:val="22"/>
          <w:lang w:val="zh-CN" w:bidi="zh-CN"/>
        </w:rPr>
      </w:pPr>
      <w:r>
        <w:rPr>
          <w:rFonts w:hint="eastAsia" w:ascii="宋体" w:hAnsi="宋体" w:cs="宋体"/>
          <w:color w:val="000000"/>
          <w:szCs w:val="22"/>
          <w:lang w:bidi="zh-CN"/>
        </w:rPr>
        <w:t>2、</w:t>
      </w:r>
      <w:r>
        <w:rPr>
          <w:rFonts w:hint="eastAsia" w:ascii="宋体" w:hAnsi="宋体" w:cs="宋体"/>
          <w:color w:val="000000"/>
          <w:szCs w:val="22"/>
          <w:lang w:val="zh-CN" w:bidi="zh-CN"/>
        </w:rPr>
        <w:t>在执行本合同的过程中，所有经双方签署确认的文件（包括会议纪要、补充合同、合同修改书、往来信函等）均为本合同的有效组成部分，其生效日期为双方签字盖章或确认之日期。</w:t>
      </w:r>
    </w:p>
    <w:p>
      <w:pPr>
        <w:pStyle w:val="12"/>
        <w:spacing w:before="1" w:line="374" w:lineRule="auto"/>
        <w:ind w:firstLine="480" w:firstLineChars="200"/>
        <w:rPr>
          <w:rFonts w:ascii="宋体" w:hAnsi="宋体" w:cs="宋体"/>
          <w:color w:val="000000"/>
          <w:szCs w:val="22"/>
          <w:lang w:val="zh-CN" w:bidi="zh-CN"/>
        </w:rPr>
      </w:pPr>
      <w:r>
        <w:rPr>
          <w:rFonts w:hint="eastAsia" w:ascii="宋体" w:hAnsi="宋体" w:cs="宋体"/>
          <w:color w:val="000000"/>
          <w:szCs w:val="22"/>
          <w:lang w:bidi="zh-CN"/>
        </w:rPr>
        <w:t>3、</w:t>
      </w:r>
      <w:r>
        <w:rPr>
          <w:rFonts w:hint="eastAsia" w:ascii="宋体" w:hAnsi="宋体" w:cs="宋体"/>
          <w:color w:val="000000"/>
          <w:szCs w:val="22"/>
          <w:lang w:val="zh-CN" w:bidi="zh-CN"/>
        </w:rPr>
        <w:t>合</w:t>
      </w:r>
      <w:r>
        <w:rPr>
          <w:rFonts w:ascii="宋体" w:hAnsi="宋体" w:cs="宋体"/>
          <w:color w:val="000000"/>
          <w:szCs w:val="22"/>
          <w:lang w:val="zh-CN" w:bidi="zh-CN"/>
        </w:rPr>
        <w:t>同一式</w:t>
      </w:r>
      <w:r>
        <w:rPr>
          <w:rFonts w:hint="eastAsia" w:ascii="宋体" w:hAnsi="宋体" w:cs="宋体"/>
          <w:color w:val="000000"/>
          <w:szCs w:val="22"/>
          <w:lang w:bidi="zh-CN"/>
        </w:rPr>
        <w:t>捌</w:t>
      </w:r>
      <w:r>
        <w:rPr>
          <w:rFonts w:ascii="宋体" w:hAnsi="宋体" w:cs="宋体"/>
          <w:color w:val="000000"/>
          <w:szCs w:val="22"/>
          <w:lang w:val="zh-CN" w:bidi="zh-CN"/>
        </w:rPr>
        <w:t>份，采购人</w:t>
      </w:r>
      <w:r>
        <w:rPr>
          <w:rFonts w:hint="eastAsia" w:ascii="宋体" w:hAnsi="宋体" w:cs="宋体"/>
          <w:color w:val="000000"/>
          <w:szCs w:val="22"/>
          <w:lang w:val="zh-CN" w:bidi="zh-CN"/>
        </w:rPr>
        <w:t>肆</w:t>
      </w:r>
      <w:r>
        <w:rPr>
          <w:rFonts w:ascii="宋体" w:hAnsi="宋体" w:cs="宋体"/>
          <w:color w:val="000000"/>
          <w:szCs w:val="22"/>
          <w:lang w:val="zh-CN" w:bidi="zh-CN"/>
        </w:rPr>
        <w:t>份，中标供应商</w:t>
      </w:r>
      <w:r>
        <w:rPr>
          <w:rFonts w:hint="eastAsia" w:ascii="宋体" w:hAnsi="宋体" w:cs="宋体"/>
          <w:color w:val="000000"/>
          <w:szCs w:val="22"/>
          <w:lang w:val="zh-CN" w:bidi="zh-CN"/>
        </w:rPr>
        <w:t>贰份</w:t>
      </w:r>
      <w:r>
        <w:rPr>
          <w:rFonts w:ascii="宋体" w:hAnsi="宋体" w:cs="宋体"/>
          <w:color w:val="000000"/>
          <w:szCs w:val="22"/>
          <w:lang w:val="zh-CN" w:bidi="zh-CN"/>
        </w:rPr>
        <w:t>、</w:t>
      </w:r>
      <w:r>
        <w:rPr>
          <w:rFonts w:hint="eastAsia" w:ascii="宋体" w:hAnsi="宋体" w:cs="宋体"/>
          <w:color w:val="000000"/>
          <w:szCs w:val="22"/>
          <w:lang w:val="zh-CN" w:bidi="zh-CN"/>
        </w:rPr>
        <w:t>招标代理机构壹</w:t>
      </w:r>
      <w:r>
        <w:rPr>
          <w:rFonts w:ascii="宋体" w:hAnsi="宋体" w:cs="宋体"/>
          <w:color w:val="000000"/>
          <w:szCs w:val="22"/>
          <w:lang w:val="zh-CN" w:bidi="zh-CN"/>
        </w:rPr>
        <w:t>份；政府采购监管机构备案一份</w:t>
      </w:r>
    </w:p>
    <w:p>
      <w:pPr>
        <w:pStyle w:val="12"/>
        <w:spacing w:before="1" w:line="374" w:lineRule="auto"/>
        <w:ind w:firstLine="480" w:firstLineChars="200"/>
        <w:rPr>
          <w:rFonts w:ascii="宋体" w:hAnsi="宋体" w:cs="宋体"/>
          <w:color w:val="000000"/>
          <w:szCs w:val="22"/>
          <w:lang w:val="zh-CN" w:bidi="zh-CN"/>
        </w:rPr>
      </w:pPr>
      <w:r>
        <w:rPr>
          <w:rFonts w:hint="eastAsia" w:ascii="宋体" w:hAnsi="宋体" w:cs="宋体"/>
          <w:color w:val="000000"/>
          <w:szCs w:val="22"/>
          <w:lang w:bidi="zh-CN"/>
        </w:rPr>
        <w:t>4、</w:t>
      </w:r>
      <w:r>
        <w:rPr>
          <w:rFonts w:hint="eastAsia" w:ascii="宋体" w:hAnsi="宋体" w:cs="宋体"/>
          <w:color w:val="000000"/>
          <w:szCs w:val="22"/>
          <w:lang w:val="zh-CN" w:bidi="zh-CN"/>
        </w:rPr>
        <w:t>合同经双方授权代表签字、盖章后生效，生效日以签字日期为准。</w:t>
      </w:r>
    </w:p>
    <w:p>
      <w:pPr>
        <w:pStyle w:val="12"/>
        <w:spacing w:before="1" w:line="374" w:lineRule="auto"/>
        <w:ind w:firstLine="480" w:firstLineChars="200"/>
        <w:rPr>
          <w:rFonts w:ascii="宋体" w:hAnsi="宋体" w:cs="宋体"/>
          <w:color w:val="000000"/>
          <w:szCs w:val="22"/>
          <w:lang w:val="zh-CN" w:bidi="zh-CN"/>
        </w:rPr>
      </w:pPr>
      <w:r>
        <w:rPr>
          <w:rFonts w:hint="eastAsia" w:ascii="宋体" w:hAnsi="宋体" w:cs="宋体"/>
          <w:color w:val="000000"/>
          <w:szCs w:val="22"/>
          <w:lang w:bidi="zh-CN"/>
        </w:rPr>
        <w:t>5、</w:t>
      </w:r>
      <w:r>
        <w:rPr>
          <w:rFonts w:hint="eastAsia" w:ascii="宋体" w:hAnsi="宋体" w:cs="宋体"/>
          <w:color w:val="000000"/>
          <w:szCs w:val="22"/>
          <w:lang w:val="zh-CN" w:bidi="zh-CN"/>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pStyle w:val="12"/>
        <w:spacing w:before="1" w:line="374" w:lineRule="auto"/>
        <w:ind w:firstLine="480" w:firstLineChars="200"/>
        <w:rPr>
          <w:rFonts w:ascii="宋体" w:hAnsi="宋体" w:cs="宋体"/>
          <w:color w:val="000000"/>
          <w:szCs w:val="22"/>
          <w:lang w:val="zh-CN" w:bidi="zh-CN"/>
        </w:rPr>
      </w:pPr>
      <w:r>
        <w:rPr>
          <w:rFonts w:hint="eastAsia" w:ascii="宋体" w:hAnsi="宋体" w:cs="宋体"/>
          <w:color w:val="000000"/>
          <w:szCs w:val="22"/>
          <w:lang w:bidi="zh-CN"/>
        </w:rPr>
        <w:t>6、</w:t>
      </w:r>
      <w:r>
        <w:rPr>
          <w:rFonts w:hint="eastAsia" w:ascii="宋体" w:hAnsi="宋体" w:cs="宋体"/>
          <w:color w:val="000000"/>
          <w:szCs w:val="22"/>
          <w:lang w:val="zh-CN" w:bidi="zh-CN"/>
        </w:rPr>
        <w:t>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pStyle w:val="12"/>
        <w:spacing w:before="1" w:line="374" w:lineRule="auto"/>
        <w:ind w:firstLine="480" w:firstLineChars="200"/>
        <w:rPr>
          <w:rFonts w:ascii="宋体" w:hAnsi="宋体" w:cs="宋体"/>
          <w:color w:val="000000"/>
          <w:szCs w:val="22"/>
          <w:lang w:val="zh-CN" w:bidi="zh-CN"/>
        </w:rPr>
      </w:pPr>
      <w:r>
        <w:rPr>
          <w:rFonts w:hint="eastAsia" w:ascii="宋体" w:hAnsi="宋体" w:cs="宋体"/>
          <w:color w:val="000000"/>
          <w:szCs w:val="22"/>
          <w:lang w:bidi="zh-CN"/>
        </w:rPr>
        <w:t>7、</w:t>
      </w:r>
      <w:r>
        <w:rPr>
          <w:rFonts w:hint="eastAsia" w:ascii="宋体" w:hAnsi="宋体" w:cs="宋体"/>
          <w:color w:val="000000"/>
          <w:szCs w:val="22"/>
          <w:lang w:val="zh-CN" w:bidi="zh-CN"/>
        </w:rPr>
        <w:t>未详尽之处双方协商解决。</w:t>
      </w:r>
    </w:p>
    <w:tbl>
      <w:tblPr>
        <w:tblStyle w:val="30"/>
        <w:tblW w:w="97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0"/>
        <w:gridCol w:w="51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4590" w:type="dxa"/>
            <w:vAlign w:val="center"/>
          </w:tcPr>
          <w:p>
            <w:pPr>
              <w:rPr>
                <w:rFonts w:ascii="宋体" w:hAnsi="宋体" w:cs="宋体"/>
                <w:color w:val="000000"/>
                <w:sz w:val="24"/>
                <w:szCs w:val="24"/>
              </w:rPr>
            </w:pPr>
            <w:r>
              <w:rPr>
                <w:rFonts w:hint="eastAsia" w:ascii="宋体" w:hAnsi="宋体" w:cs="宋体"/>
                <w:color w:val="000000"/>
                <w:sz w:val="24"/>
                <w:szCs w:val="24"/>
              </w:rPr>
              <w:t>甲  方</w:t>
            </w:r>
          </w:p>
        </w:tc>
        <w:tc>
          <w:tcPr>
            <w:tcW w:w="5129" w:type="dxa"/>
            <w:vAlign w:val="center"/>
          </w:tcPr>
          <w:p>
            <w:pPr>
              <w:rPr>
                <w:rFonts w:ascii="宋体" w:hAnsi="宋体" w:cs="宋体"/>
                <w:color w:val="000000"/>
                <w:sz w:val="24"/>
                <w:szCs w:val="24"/>
              </w:rPr>
            </w:pPr>
            <w:r>
              <w:rPr>
                <w:rFonts w:hint="eastAsia" w:ascii="宋体" w:hAnsi="宋体" w:cs="宋体"/>
                <w:color w:val="000000"/>
                <w:sz w:val="24"/>
                <w:szCs w:val="24"/>
              </w:rPr>
              <w:t>乙  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 w:hRule="atLeast"/>
          <w:jc w:val="center"/>
        </w:trPr>
        <w:tc>
          <w:tcPr>
            <w:tcW w:w="4590" w:type="dxa"/>
            <w:vAlign w:val="center"/>
          </w:tcPr>
          <w:p>
            <w:pPr>
              <w:rPr>
                <w:rFonts w:ascii="宋体" w:hAnsi="宋体" w:cs="宋体"/>
                <w:color w:val="000000"/>
                <w:sz w:val="24"/>
                <w:szCs w:val="24"/>
              </w:rPr>
            </w:pPr>
            <w:r>
              <w:rPr>
                <w:rFonts w:hint="eastAsia" w:ascii="宋体" w:hAnsi="宋体" w:cs="宋体"/>
                <w:color w:val="000000"/>
                <w:sz w:val="24"/>
                <w:szCs w:val="24"/>
                <w:lang w:eastAsia="zh-CN"/>
              </w:rPr>
              <w:t>西安市灞桥区教育局</w:t>
            </w:r>
            <w:r>
              <w:rPr>
                <w:rFonts w:hint="eastAsia" w:ascii="宋体" w:hAnsi="宋体" w:cs="宋体"/>
                <w:color w:val="000000"/>
                <w:sz w:val="24"/>
                <w:szCs w:val="24"/>
              </w:rPr>
              <w:t>（盖章）</w:t>
            </w:r>
          </w:p>
        </w:tc>
        <w:tc>
          <w:tcPr>
            <w:tcW w:w="5129" w:type="dxa"/>
            <w:vAlign w:val="center"/>
          </w:tcPr>
          <w:p>
            <w:pPr>
              <w:jc w:val="right"/>
              <w:rPr>
                <w:rFonts w:ascii="宋体" w:hAnsi="宋体" w:cs="宋体"/>
                <w:color w:val="FF0000"/>
                <w:szCs w:val="21"/>
              </w:rPr>
            </w:pPr>
            <w:r>
              <w:rPr>
                <w:rFonts w:hint="eastAsia" w:ascii="宋体" w:hAnsi="宋体" w:cs="宋体"/>
                <w:snapToGrid w:val="0"/>
                <w:sz w:val="24"/>
                <w:szCs w:val="24"/>
              </w:rPr>
              <w:t xml:space="preserve">   </w:t>
            </w:r>
            <w:r>
              <w:rPr>
                <w:rFonts w:hint="eastAsia" w:ascii="宋体" w:hAnsi="宋体" w:cs="宋体"/>
                <w:color w:val="000000"/>
                <w:sz w:val="24"/>
                <w:szCs w:val="24"/>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vAlign w:val="center"/>
          </w:tcPr>
          <w:p>
            <w:pPr>
              <w:spacing w:line="360" w:lineRule="auto"/>
              <w:rPr>
                <w:rFonts w:ascii="宋体" w:hAnsi="宋体" w:cs="宋体"/>
                <w:sz w:val="24"/>
              </w:rPr>
            </w:pPr>
            <w:r>
              <w:rPr>
                <w:rFonts w:hint="eastAsia" w:ascii="宋体" w:hAnsi="宋体" w:cs="宋体"/>
                <w:sz w:val="24"/>
              </w:rPr>
              <w:t>地址：</w:t>
            </w:r>
          </w:p>
        </w:tc>
        <w:tc>
          <w:tcPr>
            <w:tcW w:w="5129" w:type="dxa"/>
            <w:vAlign w:val="center"/>
          </w:tcPr>
          <w:p>
            <w:pPr>
              <w:spacing w:line="360" w:lineRule="auto"/>
              <w:rPr>
                <w:rFonts w:ascii="宋体" w:hAnsi="宋体" w:cs="宋体"/>
                <w:sz w:val="24"/>
              </w:rPr>
            </w:pPr>
            <w:r>
              <w:rPr>
                <w:rFonts w:hint="eastAsia" w:ascii="宋体" w:hAnsi="宋体" w:cs="宋体"/>
                <w:sz w:val="24"/>
              </w:rPr>
              <w:t>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vAlign w:val="center"/>
          </w:tcPr>
          <w:p>
            <w:pPr>
              <w:spacing w:line="360" w:lineRule="auto"/>
              <w:rPr>
                <w:rFonts w:ascii="宋体" w:hAnsi="宋体" w:cs="宋体"/>
                <w:sz w:val="24"/>
              </w:rPr>
            </w:pPr>
            <w:r>
              <w:rPr>
                <w:rFonts w:hint="eastAsia" w:ascii="宋体" w:hAnsi="宋体" w:cs="宋体"/>
                <w:sz w:val="24"/>
              </w:rPr>
              <w:t>邮编：</w:t>
            </w:r>
          </w:p>
        </w:tc>
        <w:tc>
          <w:tcPr>
            <w:tcW w:w="5129" w:type="dxa"/>
            <w:vAlign w:val="center"/>
          </w:tcPr>
          <w:p>
            <w:pPr>
              <w:spacing w:line="360" w:lineRule="auto"/>
              <w:rPr>
                <w:rFonts w:ascii="宋体" w:hAnsi="宋体" w:cs="宋体"/>
                <w:sz w:val="24"/>
              </w:rPr>
            </w:pPr>
            <w:r>
              <w:rPr>
                <w:rFonts w:hint="eastAsia" w:ascii="宋体" w:hAnsi="宋体" w:cs="宋体"/>
                <w:sz w:val="24"/>
              </w:rPr>
              <w:t>邮编：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bottom w:val="single" w:color="auto" w:sz="4" w:space="0"/>
            </w:tcBorders>
            <w:vAlign w:val="center"/>
          </w:tcPr>
          <w:p>
            <w:pPr>
              <w:spacing w:line="360" w:lineRule="auto"/>
              <w:rPr>
                <w:rFonts w:ascii="宋体" w:hAnsi="宋体" w:cs="宋体"/>
                <w:sz w:val="24"/>
              </w:rPr>
            </w:pPr>
            <w:r>
              <w:rPr>
                <w:rFonts w:hint="eastAsia" w:ascii="宋体" w:hAnsi="宋体" w:cs="宋体"/>
                <w:sz w:val="24"/>
              </w:rPr>
              <w:t>法定代表人：</w:t>
            </w:r>
          </w:p>
        </w:tc>
        <w:tc>
          <w:tcPr>
            <w:tcW w:w="5129" w:type="dxa"/>
            <w:vAlign w:val="center"/>
          </w:tcPr>
          <w:p>
            <w:pPr>
              <w:spacing w:line="360" w:lineRule="auto"/>
              <w:rPr>
                <w:rFonts w:ascii="宋体" w:hAnsi="宋体" w:cs="宋体"/>
                <w:sz w:val="24"/>
              </w:rPr>
            </w:pPr>
            <w:r>
              <w:rPr>
                <w:rFonts w:hint="eastAsia" w:ascii="宋体" w:hAnsi="宋体" w:cs="宋体"/>
                <w:sz w:val="24"/>
              </w:rPr>
              <w:t>法定代表人：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top w:val="single" w:color="auto" w:sz="4" w:space="0"/>
            </w:tcBorders>
            <w:vAlign w:val="center"/>
          </w:tcPr>
          <w:p>
            <w:pPr>
              <w:spacing w:line="360" w:lineRule="auto"/>
              <w:rPr>
                <w:rFonts w:ascii="宋体" w:hAnsi="宋体" w:cs="宋体"/>
                <w:sz w:val="24"/>
              </w:rPr>
            </w:pPr>
            <w:r>
              <w:rPr>
                <w:rFonts w:hint="eastAsia" w:ascii="宋体" w:hAnsi="宋体" w:cs="宋体"/>
                <w:sz w:val="24"/>
              </w:rPr>
              <w:t>被授权代表：（签字）</w:t>
            </w:r>
          </w:p>
        </w:tc>
        <w:tc>
          <w:tcPr>
            <w:tcW w:w="5129" w:type="dxa"/>
            <w:vAlign w:val="center"/>
          </w:tcPr>
          <w:p>
            <w:pPr>
              <w:spacing w:line="360" w:lineRule="auto"/>
              <w:rPr>
                <w:rFonts w:ascii="宋体" w:hAnsi="宋体" w:cs="宋体"/>
                <w:sz w:val="24"/>
              </w:rPr>
            </w:pPr>
            <w:r>
              <w:rPr>
                <w:rFonts w:hint="eastAsia" w:ascii="宋体" w:hAnsi="宋体" w:cs="宋体"/>
                <w:sz w:val="24"/>
              </w:rPr>
              <w:t>被授权代表：（签字）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vAlign w:val="center"/>
          </w:tcPr>
          <w:p>
            <w:pPr>
              <w:spacing w:line="360" w:lineRule="auto"/>
              <w:rPr>
                <w:rFonts w:ascii="宋体" w:hAnsi="宋体" w:cs="宋体"/>
                <w:sz w:val="24"/>
              </w:rPr>
            </w:pPr>
            <w:r>
              <w:rPr>
                <w:rFonts w:hint="eastAsia" w:ascii="宋体" w:hAnsi="宋体" w:cs="宋体"/>
                <w:sz w:val="24"/>
              </w:rPr>
              <w:t>电话：</w:t>
            </w:r>
          </w:p>
        </w:tc>
        <w:tc>
          <w:tcPr>
            <w:tcW w:w="5129" w:type="dxa"/>
            <w:vAlign w:val="center"/>
          </w:tcPr>
          <w:p>
            <w:pPr>
              <w:spacing w:line="360" w:lineRule="auto"/>
              <w:rPr>
                <w:rFonts w:ascii="宋体" w:hAnsi="宋体" w:cs="宋体"/>
                <w:sz w:val="24"/>
              </w:rPr>
            </w:pPr>
            <w:r>
              <w:rPr>
                <w:rFonts w:hint="eastAsia" w:ascii="宋体" w:hAnsi="宋体" w:cs="宋体"/>
                <w:sz w:val="24"/>
              </w:rPr>
              <w:t>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bottom w:val="single" w:color="auto" w:sz="4" w:space="0"/>
            </w:tcBorders>
            <w:vAlign w:val="center"/>
          </w:tcPr>
          <w:p>
            <w:pPr>
              <w:spacing w:line="360" w:lineRule="auto"/>
              <w:rPr>
                <w:rFonts w:ascii="宋体" w:hAnsi="宋体" w:cs="宋体"/>
                <w:sz w:val="24"/>
              </w:rPr>
            </w:pPr>
            <w:r>
              <w:rPr>
                <w:rFonts w:hint="eastAsia" w:ascii="宋体" w:hAnsi="宋体" w:cs="宋体"/>
                <w:sz w:val="24"/>
              </w:rPr>
              <w:t>传真：</w:t>
            </w:r>
          </w:p>
        </w:tc>
        <w:tc>
          <w:tcPr>
            <w:tcW w:w="5129" w:type="dxa"/>
            <w:vAlign w:val="center"/>
          </w:tcPr>
          <w:p>
            <w:pPr>
              <w:spacing w:line="360" w:lineRule="auto"/>
              <w:rPr>
                <w:rFonts w:ascii="宋体" w:hAnsi="宋体" w:cs="宋体"/>
                <w:sz w:val="24"/>
              </w:rPr>
            </w:pPr>
            <w:r>
              <w:rPr>
                <w:rFonts w:hint="eastAsia" w:ascii="宋体" w:hAnsi="宋体" w:cs="宋体"/>
                <w:sz w:val="24"/>
              </w:rPr>
              <w:t>传真：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开户银行：</w:t>
            </w:r>
          </w:p>
        </w:tc>
        <w:tc>
          <w:tcPr>
            <w:tcW w:w="5129" w:type="dxa"/>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账户名称：</w:t>
            </w:r>
          </w:p>
        </w:tc>
        <w:tc>
          <w:tcPr>
            <w:tcW w:w="5129" w:type="dxa"/>
            <w:tcBorders>
              <w:bottom w:val="single" w:color="auto" w:sz="4" w:space="0"/>
            </w:tcBorders>
            <w:vAlign w:val="center"/>
          </w:tcPr>
          <w:p>
            <w:pPr>
              <w:spacing w:line="360" w:lineRule="auto"/>
              <w:rPr>
                <w:rFonts w:ascii="宋体" w:hAnsi="宋体" w:cs="宋体"/>
                <w:sz w:val="24"/>
              </w:rPr>
            </w:pPr>
            <w:r>
              <w:rPr>
                <w:rFonts w:hint="eastAsia" w:ascii="宋体" w:hAnsi="宋体" w:cs="宋体"/>
                <w:sz w:val="24"/>
              </w:rPr>
              <w:t>账户名称：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459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账号:  </w:t>
            </w:r>
          </w:p>
        </w:tc>
        <w:tc>
          <w:tcPr>
            <w:tcW w:w="512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账号: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9719" w:type="dxa"/>
            <w:gridSpan w:val="2"/>
            <w:tcBorders>
              <w:top w:val="single" w:color="auto" w:sz="4" w:space="0"/>
              <w:bottom w:val="single" w:color="auto" w:sz="4" w:space="0"/>
            </w:tcBorders>
            <w:vAlign w:val="center"/>
          </w:tcPr>
          <w:p>
            <w:pPr>
              <w:rPr>
                <w:rFonts w:ascii="宋体" w:hAnsi="宋体" w:cs="宋体"/>
                <w:sz w:val="24"/>
                <w:lang w:val="zh-CN" w:bidi="zh-CN"/>
              </w:rPr>
            </w:pPr>
            <w:bookmarkStart w:id="75" w:name="_Toc30893"/>
            <w:r>
              <w:rPr>
                <w:rFonts w:hint="eastAsia" w:ascii="宋体" w:hAnsi="宋体" w:cs="Tahoma"/>
                <w:b/>
                <w:sz w:val="24"/>
              </w:rPr>
              <w:t>陕西</w:t>
            </w:r>
            <w:r>
              <w:rPr>
                <w:rFonts w:hint="eastAsia" w:cs="Tahoma"/>
                <w:b/>
                <w:sz w:val="24"/>
              </w:rPr>
              <w:t>卓佲项目管理有限公司</w:t>
            </w:r>
            <w:r>
              <w:rPr>
                <w:rFonts w:hint="eastAsia" w:ascii="宋体" w:hAnsi="宋体" w:cs="宋体"/>
                <w:sz w:val="24"/>
              </w:rPr>
              <w:t>（盖章）</w:t>
            </w:r>
            <w:bookmarkEnd w:id="7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9719" w:type="dxa"/>
            <w:gridSpan w:val="2"/>
            <w:tcBorders>
              <w:top w:val="single" w:color="auto" w:sz="4" w:space="0"/>
              <w:bottom w:val="single" w:color="auto" w:sz="4" w:space="0"/>
            </w:tcBorders>
            <w:vAlign w:val="center"/>
          </w:tcPr>
          <w:p>
            <w:pPr>
              <w:spacing w:line="360" w:lineRule="auto"/>
              <w:rPr>
                <w:rFonts w:ascii="宋体" w:hAnsi="宋体" w:cs="宋体"/>
                <w:sz w:val="24"/>
                <w:lang w:val="zh-CN" w:bidi="zh-CN"/>
              </w:rPr>
            </w:pPr>
            <w:r>
              <w:rPr>
                <w:rFonts w:hint="eastAsia" w:ascii="宋体" w:hAnsi="宋体" w:cs="宋体"/>
                <w:sz w:val="24"/>
              </w:rPr>
              <w:t>地址：西安市雁塔区科技路10号华奥大厦A座20层2002室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9719" w:type="dxa"/>
            <w:gridSpan w:val="2"/>
            <w:tcBorders>
              <w:top w:val="single" w:color="auto" w:sz="4" w:space="0"/>
              <w:bottom w:val="single" w:color="auto" w:sz="4" w:space="0"/>
            </w:tcBorders>
            <w:vAlign w:val="center"/>
          </w:tcPr>
          <w:p>
            <w:pPr>
              <w:spacing w:line="360" w:lineRule="auto"/>
              <w:rPr>
                <w:rFonts w:ascii="宋体" w:hAnsi="宋体" w:cs="宋体"/>
                <w:sz w:val="24"/>
                <w:lang w:bidi="zh-CN"/>
              </w:rPr>
            </w:pPr>
            <w:r>
              <w:rPr>
                <w:rFonts w:hint="eastAsia" w:ascii="宋体" w:hAnsi="宋体" w:cs="宋体"/>
                <w:sz w:val="24"/>
              </w:rPr>
              <w:t>被授权代表：（签字）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9719" w:type="dxa"/>
            <w:gridSpan w:val="2"/>
            <w:tcBorders>
              <w:top w:val="single" w:color="auto" w:sz="4" w:space="0"/>
              <w:bottom w:val="single" w:color="auto" w:sz="4" w:space="0"/>
            </w:tcBorders>
            <w:vAlign w:val="center"/>
          </w:tcPr>
          <w:p>
            <w:pPr>
              <w:spacing w:line="360" w:lineRule="auto"/>
              <w:rPr>
                <w:rFonts w:ascii="宋体" w:hAnsi="宋体" w:cs="宋体"/>
                <w:sz w:val="24"/>
                <w:lang w:bidi="zh-CN"/>
              </w:rPr>
            </w:pPr>
            <w:r>
              <w:rPr>
                <w:rFonts w:hint="eastAsia" w:ascii="宋体" w:hAnsi="宋体" w:cs="宋体"/>
                <w:sz w:val="24"/>
              </w:rPr>
              <w:t>电话：029-88440695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9719" w:type="dxa"/>
            <w:gridSpan w:val="2"/>
            <w:tcBorders>
              <w:top w:val="single" w:color="auto" w:sz="4" w:space="0"/>
              <w:bottom w:val="single" w:color="auto" w:sz="4" w:space="0"/>
            </w:tcBorders>
            <w:vAlign w:val="center"/>
          </w:tcPr>
          <w:p>
            <w:pPr>
              <w:spacing w:line="360" w:lineRule="auto"/>
              <w:rPr>
                <w:rFonts w:ascii="宋体" w:hAnsi="宋体" w:cs="宋体"/>
                <w:sz w:val="24"/>
                <w:lang w:val="zh-CN" w:bidi="zh-CN"/>
              </w:rPr>
            </w:pPr>
            <w:r>
              <w:rPr>
                <w:rFonts w:hint="eastAsia" w:ascii="宋体" w:hAnsi="宋体" w:cs="宋体"/>
                <w:sz w:val="24"/>
              </w:rPr>
              <w:t xml:space="preserve">传真： </w:t>
            </w:r>
            <w:r>
              <w:rPr>
                <w:rFonts w:ascii="宋体" w:hAnsi="宋体" w:cs="Helvetica"/>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9719" w:type="dxa"/>
            <w:gridSpan w:val="2"/>
            <w:tcBorders>
              <w:top w:val="single" w:color="auto" w:sz="4" w:space="0"/>
            </w:tcBorders>
            <w:vAlign w:val="center"/>
          </w:tcPr>
          <w:p>
            <w:pPr>
              <w:spacing w:line="360" w:lineRule="auto"/>
              <w:ind w:firstLine="5760" w:firstLineChars="2400"/>
              <w:rPr>
                <w:rFonts w:ascii="宋体" w:hAnsi="宋体" w:cs="宋体"/>
                <w:sz w:val="24"/>
                <w:lang w:val="zh-CN" w:bidi="zh-CN"/>
              </w:rPr>
            </w:pPr>
            <w:r>
              <w:rPr>
                <w:rFonts w:hint="eastAsia" w:ascii="宋体" w:hAnsi="宋体" w:cs="宋体"/>
                <w:sz w:val="24"/>
              </w:rPr>
              <w:t>日期：     年   月   日</w:t>
            </w:r>
          </w:p>
        </w:tc>
      </w:tr>
    </w:tbl>
    <w:p>
      <w:pPr>
        <w:pStyle w:val="3"/>
        <w:keepNext w:val="0"/>
        <w:pageBreakBefore/>
        <w:spacing w:before="319" w:beforeLines="100" w:after="478" w:afterLines="150" w:line="500" w:lineRule="exact"/>
        <w:rPr>
          <w:rFonts w:ascii="宋体" w:hAnsi="宋体" w:cs="宋体"/>
        </w:rPr>
      </w:pPr>
      <w:bookmarkStart w:id="76" w:name="_Toc2234"/>
      <w:bookmarkStart w:id="77" w:name="_Toc3656"/>
      <w:r>
        <w:rPr>
          <w:rFonts w:hint="eastAsia" w:ascii="宋体" w:hAnsi="宋体" w:cs="宋体"/>
          <w:sz w:val="36"/>
          <w:szCs w:val="36"/>
        </w:rPr>
        <w:t>第七部分  投标文件格式</w:t>
      </w:r>
      <w:bookmarkEnd w:id="76"/>
      <w:bookmarkEnd w:id="77"/>
    </w:p>
    <w:p>
      <w:pPr>
        <w:adjustRightInd w:val="0"/>
        <w:snapToGrid w:val="0"/>
        <w:spacing w:line="360" w:lineRule="auto"/>
        <w:jc w:val="left"/>
        <w:rPr>
          <w:rFonts w:ascii="宋体" w:hAnsi="宋体" w:cs="宋体"/>
          <w:b/>
          <w:w w:val="120"/>
          <w:sz w:val="28"/>
          <w:szCs w:val="28"/>
        </w:rPr>
      </w:pPr>
    </w:p>
    <w:p>
      <w:pPr>
        <w:adjustRightInd w:val="0"/>
        <w:snapToGrid w:val="0"/>
        <w:spacing w:line="360" w:lineRule="auto"/>
        <w:jc w:val="left"/>
        <w:rPr>
          <w:rFonts w:ascii="宋体" w:hAnsi="宋体" w:cs="宋体"/>
          <w:b/>
          <w:w w:val="120"/>
          <w:sz w:val="28"/>
          <w:szCs w:val="28"/>
        </w:rPr>
      </w:pPr>
      <w:r>
        <w:rPr>
          <w:rFonts w:hint="eastAsia" w:ascii="宋体" w:hAnsi="宋体" w:cs="宋体"/>
          <w:b/>
          <w:w w:val="120"/>
          <w:sz w:val="28"/>
          <w:szCs w:val="28"/>
        </w:rPr>
        <w:t>项目编号：</w:t>
      </w:r>
      <w:r>
        <w:rPr>
          <w:rFonts w:hint="eastAsia" w:ascii="宋体" w:hAnsi="宋体" w:cs="宋体"/>
          <w:b/>
          <w:w w:val="120"/>
          <w:sz w:val="28"/>
          <w:szCs w:val="28"/>
          <w:lang w:eastAsia="zh-CN"/>
        </w:rPr>
        <w:t>ZMZB2022BQJYJ-255</w:t>
      </w:r>
      <w:r>
        <w:rPr>
          <w:rFonts w:hint="eastAsia" w:ascii="宋体" w:hAnsi="宋体" w:cs="宋体"/>
          <w:b/>
          <w:w w:val="120"/>
          <w:sz w:val="28"/>
          <w:szCs w:val="28"/>
        </w:rPr>
        <w:t xml:space="preserve">      （正本或副本）</w:t>
      </w:r>
    </w:p>
    <w:p/>
    <w:p>
      <w:pPr>
        <w:pStyle w:val="8"/>
        <w:rPr>
          <w:rFonts w:ascii="宋体" w:hAnsi="宋体" w:cs="宋体"/>
        </w:rPr>
      </w:pPr>
    </w:p>
    <w:p>
      <w:pPr>
        <w:adjustRightInd w:val="0"/>
        <w:snapToGrid w:val="0"/>
        <w:spacing w:line="360" w:lineRule="auto"/>
        <w:jc w:val="center"/>
        <w:rPr>
          <w:rFonts w:hint="eastAsia" w:ascii="宋体" w:hAnsi="宋体" w:eastAsia="宋体" w:cs="宋体"/>
          <w:b/>
          <w:sz w:val="56"/>
          <w:szCs w:val="56"/>
          <w:lang w:eastAsia="zh-CN"/>
        </w:rPr>
      </w:pPr>
      <w:r>
        <w:rPr>
          <w:rFonts w:hint="eastAsia" w:ascii="宋体" w:hAnsi="宋体" w:cs="宋体"/>
          <w:b/>
          <w:sz w:val="56"/>
          <w:szCs w:val="56"/>
          <w:lang w:eastAsia="zh-CN"/>
        </w:rPr>
        <w:t>西安市灞桥区教育局（本级）</w:t>
      </w:r>
    </w:p>
    <w:p>
      <w:pPr>
        <w:adjustRightInd w:val="0"/>
        <w:snapToGrid w:val="0"/>
        <w:spacing w:line="360" w:lineRule="auto"/>
        <w:jc w:val="center"/>
        <w:rPr>
          <w:rFonts w:hint="eastAsia" w:ascii="宋体" w:hAnsi="宋体" w:eastAsia="宋体" w:cs="宋体"/>
          <w:b/>
          <w:sz w:val="56"/>
          <w:szCs w:val="56"/>
          <w:lang w:eastAsia="zh-CN"/>
        </w:rPr>
      </w:pPr>
      <w:r>
        <w:rPr>
          <w:rFonts w:hint="eastAsia" w:ascii="宋体" w:hAnsi="宋体" w:cs="宋体"/>
          <w:b/>
          <w:sz w:val="56"/>
          <w:szCs w:val="56"/>
          <w:lang w:eastAsia="zh-CN"/>
        </w:rPr>
        <w:t>秋季开学应急设备采购项目</w:t>
      </w:r>
    </w:p>
    <w:p>
      <w:pPr>
        <w:snapToGrid w:val="0"/>
        <w:spacing w:line="480" w:lineRule="auto"/>
        <w:ind w:firstLine="2891" w:firstLineChars="400"/>
        <w:rPr>
          <w:rFonts w:hint="eastAsia" w:ascii="宋体" w:hAnsi="宋体" w:cs="宋体"/>
          <w:b/>
          <w:bCs/>
          <w:sz w:val="72"/>
          <w:szCs w:val="72"/>
        </w:rPr>
      </w:pPr>
    </w:p>
    <w:p>
      <w:pPr>
        <w:snapToGrid w:val="0"/>
        <w:spacing w:line="480" w:lineRule="auto"/>
        <w:ind w:firstLine="2891" w:firstLineChars="400"/>
        <w:rPr>
          <w:rFonts w:ascii="宋体" w:hAnsi="宋体" w:cs="宋体"/>
          <w:b/>
          <w:bCs/>
          <w:sz w:val="72"/>
          <w:szCs w:val="72"/>
        </w:rPr>
      </w:pPr>
      <w:r>
        <w:rPr>
          <w:rFonts w:hint="eastAsia" w:ascii="宋体" w:hAnsi="宋体" w:cs="宋体"/>
          <w:b/>
          <w:bCs/>
          <w:sz w:val="72"/>
          <w:szCs w:val="72"/>
        </w:rPr>
        <w:t>投标文件</w:t>
      </w:r>
    </w:p>
    <w:p>
      <w:pPr>
        <w:spacing w:line="360" w:lineRule="auto"/>
        <w:rPr>
          <w:lang w:val="zh-CN"/>
        </w:rPr>
      </w:pPr>
      <w:r>
        <w:rPr>
          <w:rFonts w:hint="eastAsia" w:ascii="宋体" w:hAnsi="宋体" w:cs="宋体"/>
          <w:kern w:val="2"/>
          <w:sz w:val="32"/>
          <w:szCs w:val="32"/>
          <w:lang w:val="zh-CN" w:eastAsia="zh-CN" w:bidi="ar-SA"/>
        </w:rPr>
        <w:t>合同包号：合同包</w:t>
      </w:r>
      <w:r>
        <w:rPr>
          <w:rFonts w:hint="eastAsia" w:ascii="宋体" w:hAnsi="宋体" w:cs="宋体"/>
          <w:sz w:val="32"/>
          <w:szCs w:val="32"/>
        </w:rPr>
        <w:t>_____</w:t>
      </w:r>
    </w:p>
    <w:p>
      <w:pPr>
        <w:snapToGrid w:val="0"/>
        <w:spacing w:line="360" w:lineRule="auto"/>
        <w:jc w:val="left"/>
        <w:rPr>
          <w:rFonts w:ascii="宋体" w:hAnsi="宋体" w:cs="宋体"/>
          <w:sz w:val="32"/>
          <w:szCs w:val="32"/>
        </w:rPr>
      </w:pPr>
      <w:r>
        <w:rPr>
          <w:rFonts w:hint="eastAsia" w:ascii="宋体" w:hAnsi="宋体" w:cs="宋体"/>
          <w:sz w:val="32"/>
          <w:szCs w:val="32"/>
          <w:lang w:val="zh-CN"/>
        </w:rPr>
        <w:t>供应商（单位名称）：</w:t>
      </w:r>
      <w:r>
        <w:rPr>
          <w:rFonts w:hint="eastAsia" w:ascii="宋体" w:hAnsi="宋体" w:cs="宋体"/>
          <w:sz w:val="32"/>
          <w:szCs w:val="32"/>
        </w:rPr>
        <w:t>___________</w:t>
      </w:r>
    </w:p>
    <w:p>
      <w:pPr>
        <w:snapToGrid w:val="0"/>
        <w:spacing w:line="480" w:lineRule="auto"/>
        <w:jc w:val="left"/>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r>
        <w:rPr>
          <w:rFonts w:hint="eastAsia" w:ascii="宋体" w:hAnsi="宋体" w:cs="宋体"/>
          <w:sz w:val="32"/>
          <w:szCs w:val="32"/>
        </w:rPr>
        <w:t>__________________</w:t>
      </w:r>
    </w:p>
    <w:p>
      <w:pPr>
        <w:pageBreakBefore/>
        <w:spacing w:before="319" w:beforeLines="100" w:after="478" w:afterLines="150" w:line="500" w:lineRule="exact"/>
        <w:ind w:firstLine="723" w:firstLineChars="200"/>
        <w:jc w:val="center"/>
        <w:rPr>
          <w:rFonts w:ascii="宋体" w:hAnsi="宋体" w:cs="宋体"/>
          <w:b/>
          <w:sz w:val="50"/>
        </w:rPr>
      </w:pPr>
      <w:r>
        <w:rPr>
          <w:rFonts w:hint="eastAsia" w:ascii="宋体" w:hAnsi="宋体" w:cs="宋体"/>
          <w:b/>
          <w:sz w:val="36"/>
          <w:szCs w:val="36"/>
        </w:rPr>
        <w:t>目 录</w:t>
      </w:r>
    </w:p>
    <w:p>
      <w:pPr>
        <w:pStyle w:val="15"/>
        <w:snapToGrid w:val="0"/>
        <w:spacing w:line="480" w:lineRule="auto"/>
        <w:ind w:firstLine="562" w:firstLineChars="200"/>
        <w:jc w:val="left"/>
        <w:rPr>
          <w:rFonts w:hAnsi="宋体" w:cs="宋体"/>
          <w:b/>
          <w:bCs/>
          <w:sz w:val="28"/>
          <w:szCs w:val="28"/>
        </w:rPr>
      </w:pPr>
      <w:r>
        <w:rPr>
          <w:rFonts w:hint="eastAsia" w:hAnsi="宋体" w:cs="宋体"/>
          <w:b/>
          <w:bCs/>
          <w:sz w:val="28"/>
          <w:szCs w:val="28"/>
        </w:rPr>
        <w:t>第一部分   投标函</w:t>
      </w:r>
    </w:p>
    <w:p>
      <w:pPr>
        <w:snapToGrid w:val="0"/>
        <w:spacing w:line="480" w:lineRule="auto"/>
        <w:ind w:firstLine="562" w:firstLineChars="200"/>
        <w:jc w:val="left"/>
        <w:rPr>
          <w:rFonts w:ascii="宋体" w:hAnsi="宋体" w:cs="宋体"/>
          <w:b/>
          <w:sz w:val="28"/>
          <w:szCs w:val="28"/>
        </w:rPr>
      </w:pPr>
      <w:r>
        <w:rPr>
          <w:rFonts w:hint="eastAsia" w:ascii="宋体" w:hAnsi="宋体" w:cs="宋体"/>
          <w:b/>
          <w:sz w:val="28"/>
          <w:szCs w:val="28"/>
        </w:rPr>
        <w:t>第二部分   报价一览表</w:t>
      </w:r>
    </w:p>
    <w:p>
      <w:pPr>
        <w:pStyle w:val="15"/>
        <w:snapToGrid w:val="0"/>
        <w:spacing w:line="480" w:lineRule="auto"/>
        <w:ind w:firstLine="562" w:firstLineChars="200"/>
        <w:jc w:val="left"/>
        <w:rPr>
          <w:rFonts w:hAnsi="宋体" w:cs="宋体"/>
          <w:b/>
          <w:kern w:val="0"/>
          <w:sz w:val="28"/>
          <w:szCs w:val="28"/>
        </w:rPr>
      </w:pPr>
      <w:r>
        <w:rPr>
          <w:rFonts w:hint="eastAsia" w:hAnsi="宋体" w:cs="宋体"/>
          <w:b/>
          <w:bCs/>
          <w:sz w:val="28"/>
          <w:szCs w:val="28"/>
        </w:rPr>
        <w:t xml:space="preserve">第三部分   </w:t>
      </w:r>
      <w:r>
        <w:rPr>
          <w:rFonts w:hint="eastAsia" w:hAnsi="宋体" w:cs="宋体"/>
          <w:b/>
          <w:kern w:val="0"/>
          <w:sz w:val="28"/>
          <w:szCs w:val="28"/>
        </w:rPr>
        <w:t>商务及技术响应说明</w:t>
      </w:r>
    </w:p>
    <w:p>
      <w:pPr>
        <w:pStyle w:val="15"/>
        <w:snapToGrid w:val="0"/>
        <w:spacing w:line="480" w:lineRule="auto"/>
        <w:ind w:firstLine="562" w:firstLineChars="200"/>
        <w:jc w:val="left"/>
        <w:rPr>
          <w:rFonts w:hAnsi="宋体" w:cs="宋体"/>
          <w:b/>
          <w:bCs/>
          <w:sz w:val="28"/>
          <w:szCs w:val="28"/>
        </w:rPr>
      </w:pPr>
      <w:r>
        <w:rPr>
          <w:rFonts w:hint="eastAsia" w:hAnsi="宋体" w:cs="宋体"/>
          <w:b/>
          <w:bCs/>
          <w:sz w:val="28"/>
          <w:szCs w:val="28"/>
        </w:rPr>
        <w:t xml:space="preserve">第四部分   </w:t>
      </w:r>
      <w:r>
        <w:rPr>
          <w:rFonts w:hint="eastAsia" w:hAnsi="宋体" w:cs="宋体"/>
          <w:b/>
          <w:sz w:val="28"/>
          <w:szCs w:val="28"/>
        </w:rPr>
        <w:t>供应商资格要求</w:t>
      </w:r>
    </w:p>
    <w:p>
      <w:pPr>
        <w:pStyle w:val="15"/>
        <w:snapToGrid w:val="0"/>
        <w:spacing w:line="480" w:lineRule="auto"/>
        <w:ind w:firstLine="562" w:firstLineChars="200"/>
        <w:jc w:val="left"/>
        <w:rPr>
          <w:rFonts w:hAnsi="宋体" w:cs="宋体"/>
          <w:b/>
          <w:sz w:val="28"/>
          <w:szCs w:val="28"/>
        </w:rPr>
      </w:pPr>
      <w:r>
        <w:rPr>
          <w:rFonts w:hint="eastAsia" w:hAnsi="宋体" w:cs="宋体"/>
          <w:b/>
          <w:sz w:val="28"/>
          <w:szCs w:val="28"/>
        </w:rPr>
        <w:t>第五部分   技术与服务方案</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第六部分   服务承诺</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第七部分   业绩一览表</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第八部分   供应商认为有必要说明的其他问题</w:t>
      </w:r>
    </w:p>
    <w:p>
      <w:pPr>
        <w:rPr>
          <w:rFonts w:ascii="宋体" w:hAnsi="宋体" w:cs="宋体"/>
        </w:rPr>
      </w:pPr>
    </w:p>
    <w:p>
      <w:pPr>
        <w:pStyle w:val="4"/>
        <w:pageBreakBefore/>
        <w:spacing w:before="319" w:beforeLines="100" w:after="478" w:afterLines="150" w:line="500" w:lineRule="exact"/>
        <w:jc w:val="center"/>
        <w:rPr>
          <w:rFonts w:ascii="宋体" w:hAnsi="宋体" w:cs="宋体"/>
          <w:sz w:val="36"/>
          <w:szCs w:val="36"/>
        </w:rPr>
      </w:pPr>
      <w:bookmarkStart w:id="78" w:name="_Toc21150"/>
      <w:r>
        <w:rPr>
          <w:rFonts w:hint="eastAsia" w:ascii="宋体" w:hAnsi="宋体" w:cs="宋体"/>
          <w:sz w:val="36"/>
          <w:szCs w:val="36"/>
        </w:rPr>
        <w:t>第一部分  投标函</w:t>
      </w:r>
      <w:bookmarkEnd w:id="66"/>
      <w:bookmarkEnd w:id="78"/>
    </w:p>
    <w:p>
      <w:pPr>
        <w:adjustRightInd w:val="0"/>
        <w:snapToGrid w:val="0"/>
        <w:spacing w:line="276" w:lineRule="auto"/>
        <w:jc w:val="left"/>
        <w:rPr>
          <w:rFonts w:ascii="宋体" w:hAnsi="宋体" w:cs="宋体"/>
          <w:bCs/>
          <w:sz w:val="28"/>
          <w:szCs w:val="28"/>
        </w:rPr>
      </w:pPr>
      <w:r>
        <w:rPr>
          <w:rFonts w:hint="eastAsia" w:ascii="宋体" w:hAnsi="宋体" w:cs="宋体"/>
          <w:b/>
          <w:bCs/>
          <w:sz w:val="28"/>
          <w:szCs w:val="28"/>
        </w:rPr>
        <w:t>陕西卓佲项目管理有限公司</w:t>
      </w:r>
      <w:r>
        <w:rPr>
          <w:rFonts w:hint="eastAsia" w:ascii="宋体" w:hAnsi="宋体" w:cs="宋体"/>
          <w:bCs/>
          <w:sz w:val="28"/>
          <w:szCs w:val="28"/>
        </w:rPr>
        <w:t>：</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我单位收到编号为： </w:t>
      </w:r>
      <w:r>
        <w:rPr>
          <w:rFonts w:hint="eastAsia" w:ascii="宋体" w:hAnsi="宋体" w:cs="宋体"/>
          <w:sz w:val="24"/>
          <w:szCs w:val="24"/>
          <w:u w:val="single"/>
          <w:lang w:eastAsia="zh-CN"/>
        </w:rPr>
        <w:t>ZMZB2022BQJYJ-255合同包</w:t>
      </w:r>
      <w:r>
        <w:rPr>
          <w:rFonts w:hint="eastAsia" w:ascii="宋体" w:hAnsi="宋体" w:cs="宋体"/>
          <w:sz w:val="24"/>
          <w:szCs w:val="24"/>
          <w:u w:val="single"/>
          <w:lang w:val="en-US" w:eastAsia="zh-CN"/>
        </w:rPr>
        <w:t xml:space="preserve">X </w:t>
      </w:r>
      <w:r>
        <w:rPr>
          <w:rFonts w:hint="eastAsia" w:ascii="宋体" w:hAnsi="宋体" w:cs="宋体"/>
          <w:sz w:val="24"/>
          <w:szCs w:val="24"/>
        </w:rPr>
        <w:t xml:space="preserve"> 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2、我方提交的投标文件正本______份、副本_______份，电子文档_____份、报价一览表_____份。</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3、我们已详细阅读了招标文件，完全理解并同意放弃提出含糊不清和误解问题的权力。</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4、如果我方在投标后到规定的投标有效期内撤回投标文件及承诺，我们自愿承担不利后果。</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5、同意向贵方提供贵方可能要求的、与本次投标有关的任何证据资料。</w:t>
      </w:r>
    </w:p>
    <w:p>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6、我方承诺投标有效期为开标后________日历日内有效。</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7、所有关于本次投标的函电，请按下列地址联系：</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 w:val="24"/>
        </w:rPr>
        <w:t>____________________</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    址：</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开户银行：</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帐    号：</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传    真：</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邮    编：</w:t>
      </w:r>
      <w:r>
        <w:rPr>
          <w:rFonts w:hint="eastAsia" w:ascii="宋体" w:hAnsi="宋体" w:cs="宋体"/>
          <w:sz w:val="24"/>
        </w:rPr>
        <w:t>____________________</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日    期： </w:t>
      </w:r>
      <w:r>
        <w:rPr>
          <w:rFonts w:hint="eastAsia" w:ascii="宋体" w:hAnsi="宋体" w:cs="宋体"/>
          <w:sz w:val="24"/>
        </w:rPr>
        <w:t>_____</w:t>
      </w:r>
      <w:r>
        <w:rPr>
          <w:rFonts w:hint="eastAsia" w:ascii="宋体" w:hAnsi="宋体" w:cs="宋体"/>
          <w:sz w:val="24"/>
          <w:szCs w:val="24"/>
        </w:rPr>
        <w:t xml:space="preserve"> 年 </w:t>
      </w:r>
      <w:r>
        <w:rPr>
          <w:rFonts w:hint="eastAsia" w:ascii="宋体" w:hAnsi="宋体" w:cs="宋体"/>
          <w:sz w:val="24"/>
        </w:rPr>
        <w:t>_____</w:t>
      </w:r>
      <w:r>
        <w:rPr>
          <w:rFonts w:hint="eastAsia" w:ascii="宋体" w:hAnsi="宋体" w:cs="宋体"/>
          <w:sz w:val="24"/>
          <w:szCs w:val="24"/>
        </w:rPr>
        <w:t xml:space="preserve">  月</w:t>
      </w:r>
      <w:r>
        <w:rPr>
          <w:rFonts w:hint="eastAsia" w:ascii="宋体" w:hAnsi="宋体" w:cs="宋体"/>
          <w:sz w:val="24"/>
        </w:rPr>
        <w:t>_____</w:t>
      </w:r>
      <w:r>
        <w:rPr>
          <w:rFonts w:hint="eastAsia" w:ascii="宋体" w:hAnsi="宋体" w:cs="宋体"/>
          <w:sz w:val="24"/>
          <w:szCs w:val="24"/>
        </w:rPr>
        <w:t xml:space="preserve"> 日</w:t>
      </w:r>
    </w:p>
    <w:p>
      <w:pPr>
        <w:pStyle w:val="4"/>
        <w:numPr>
          <w:ilvl w:val="0"/>
          <w:numId w:val="28"/>
        </w:numPr>
        <w:spacing w:before="319" w:beforeLines="100" w:after="478" w:afterLines="150" w:line="500" w:lineRule="exact"/>
        <w:jc w:val="center"/>
        <w:rPr>
          <w:rFonts w:ascii="宋体" w:hAnsi="宋体" w:cs="宋体"/>
          <w:sz w:val="36"/>
          <w:szCs w:val="36"/>
        </w:rPr>
        <w:sectPr>
          <w:pgSz w:w="11906" w:h="16838"/>
          <w:pgMar w:top="1440" w:right="1803" w:bottom="1440" w:left="1803" w:header="851" w:footer="992" w:gutter="0"/>
          <w:pgNumType w:fmt="decimal"/>
          <w:cols w:space="720" w:num="1"/>
          <w:docGrid w:type="lines" w:linePitch="319" w:charSpace="0"/>
        </w:sectPr>
      </w:pPr>
      <w:bookmarkStart w:id="79" w:name="_Toc28494"/>
    </w:p>
    <w:p>
      <w:pPr>
        <w:pStyle w:val="4"/>
        <w:numPr>
          <w:ilvl w:val="0"/>
          <w:numId w:val="28"/>
        </w:numPr>
        <w:spacing w:before="319" w:beforeLines="100" w:after="478" w:afterLines="150" w:line="500" w:lineRule="exact"/>
        <w:jc w:val="center"/>
        <w:rPr>
          <w:rFonts w:ascii="宋体" w:hAnsi="宋体" w:cs="宋体"/>
          <w:sz w:val="36"/>
          <w:szCs w:val="36"/>
        </w:rPr>
      </w:pPr>
      <w:r>
        <w:rPr>
          <w:rFonts w:hint="eastAsia" w:ascii="宋体" w:hAnsi="宋体" w:cs="宋体"/>
          <w:sz w:val="36"/>
          <w:szCs w:val="36"/>
        </w:rPr>
        <w:t xml:space="preserve">  </w:t>
      </w:r>
      <w:bookmarkEnd w:id="79"/>
      <w:bookmarkStart w:id="80" w:name="_Toc19774"/>
      <w:r>
        <w:rPr>
          <w:rFonts w:hint="eastAsia" w:ascii="宋体" w:hAnsi="宋体" w:cs="宋体"/>
          <w:sz w:val="36"/>
          <w:szCs w:val="36"/>
        </w:rPr>
        <w:t>报价一览表</w:t>
      </w:r>
      <w:bookmarkEnd w:id="80"/>
    </w:p>
    <w:p>
      <w:pPr>
        <w:kinsoku w:val="0"/>
        <w:spacing w:line="360" w:lineRule="auto"/>
        <w:jc w:val="left"/>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西安市灞桥区教育局（本级）秋季开学应急设备采购项目</w:t>
      </w:r>
      <w:r>
        <w:rPr>
          <w:rFonts w:hint="eastAsia" w:ascii="宋体" w:hAnsi="宋体" w:cs="宋体"/>
          <w:sz w:val="24"/>
          <w:szCs w:val="24"/>
        </w:rPr>
        <w:t xml:space="preserve">                      </w:t>
      </w:r>
    </w:p>
    <w:p>
      <w:pPr>
        <w:rPr>
          <w:rFonts w:ascii="宋体" w:hAnsi="宋体" w:cs="宋体"/>
        </w:rPr>
      </w:pPr>
      <w:r>
        <w:rPr>
          <w:rFonts w:hint="eastAsia" w:ascii="宋体" w:hAnsi="宋体" w:cs="宋体"/>
          <w:sz w:val="24"/>
          <w:szCs w:val="24"/>
        </w:rPr>
        <w:t xml:space="preserve">单  位：元   </w:t>
      </w:r>
      <w:r>
        <w:rPr>
          <w:rFonts w:hint="eastAsia" w:ascii="宋体" w:hAnsi="宋体" w:cs="宋体"/>
          <w:sz w:val="24"/>
          <w:szCs w:val="24"/>
          <w:lang w:val="en-US" w:eastAsia="zh-CN"/>
        </w:rPr>
        <w:t xml:space="preserve">                                     合同包号：合同包</w:t>
      </w:r>
      <w:r>
        <w:rPr>
          <w:rFonts w:hint="eastAsia" w:ascii="宋体" w:hAnsi="宋体" w:cs="宋体"/>
          <w:sz w:val="24"/>
        </w:rPr>
        <w:t>___</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w:t>
      </w:r>
      <w:r>
        <w:rPr>
          <w:rFonts w:hint="eastAsia" w:ascii="宋体" w:hAnsi="宋体" w:cs="宋体"/>
          <w:sz w:val="28"/>
          <w:szCs w:val="28"/>
        </w:rPr>
        <w:t xml:space="preserve">             </w:t>
      </w:r>
    </w:p>
    <w:tbl>
      <w:tblPr>
        <w:tblStyle w:val="30"/>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1978"/>
        <w:gridCol w:w="2086"/>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2980" w:type="dxa"/>
            <w:tcBorders>
              <w:tl2br w:val="single" w:color="auto" w:sz="4" w:space="0"/>
            </w:tcBorders>
            <w:vAlign w:val="center"/>
          </w:tcPr>
          <w:p>
            <w:pPr>
              <w:kinsoku w:val="0"/>
              <w:spacing w:line="360" w:lineRule="auto"/>
              <w:jc w:val="center"/>
              <w:rPr>
                <w:rFonts w:ascii="宋体" w:cs="宋体"/>
                <w:sz w:val="24"/>
                <w:szCs w:val="24"/>
              </w:rPr>
            </w:pPr>
            <w:r>
              <w:rPr>
                <w:rFonts w:hint="eastAsia" w:ascii="宋体" w:cs="宋体"/>
                <w:sz w:val="24"/>
                <w:szCs w:val="24"/>
              </w:rPr>
              <w:t xml:space="preserve">       报价内容</w:t>
            </w:r>
          </w:p>
          <w:p>
            <w:pPr>
              <w:kinsoku w:val="0"/>
              <w:spacing w:line="360" w:lineRule="auto"/>
              <w:jc w:val="center"/>
              <w:rPr>
                <w:rFonts w:ascii="宋体" w:cs="宋体"/>
                <w:sz w:val="24"/>
                <w:szCs w:val="24"/>
              </w:rPr>
            </w:pPr>
          </w:p>
          <w:p>
            <w:pPr>
              <w:kinsoku w:val="0"/>
              <w:spacing w:line="360" w:lineRule="auto"/>
              <w:rPr>
                <w:rFonts w:ascii="宋体" w:cs="宋体"/>
                <w:szCs w:val="21"/>
              </w:rPr>
            </w:pPr>
            <w:r>
              <w:rPr>
                <w:rFonts w:hint="eastAsia" w:ascii="宋体" w:cs="宋体"/>
                <w:sz w:val="24"/>
                <w:szCs w:val="24"/>
              </w:rPr>
              <w:t>投标内容</w:t>
            </w:r>
          </w:p>
        </w:tc>
        <w:tc>
          <w:tcPr>
            <w:tcW w:w="1978" w:type="dxa"/>
            <w:vAlign w:val="center"/>
          </w:tcPr>
          <w:p>
            <w:pPr>
              <w:kinsoku w:val="0"/>
              <w:spacing w:line="360" w:lineRule="auto"/>
              <w:jc w:val="center"/>
              <w:rPr>
                <w:rFonts w:ascii="宋体" w:cs="宋体"/>
                <w:sz w:val="24"/>
                <w:szCs w:val="24"/>
              </w:rPr>
            </w:pPr>
            <w:r>
              <w:rPr>
                <w:rFonts w:hint="eastAsia" w:ascii="宋体" w:cs="宋体"/>
                <w:sz w:val="24"/>
                <w:szCs w:val="24"/>
              </w:rPr>
              <w:t>投标总报价</w:t>
            </w:r>
          </w:p>
          <w:p>
            <w:pPr>
              <w:kinsoku w:val="0"/>
              <w:spacing w:line="360" w:lineRule="auto"/>
              <w:jc w:val="center"/>
              <w:rPr>
                <w:rFonts w:ascii="宋体" w:cs="宋体"/>
                <w:sz w:val="24"/>
                <w:szCs w:val="24"/>
              </w:rPr>
            </w:pPr>
            <w:r>
              <w:rPr>
                <w:rFonts w:hint="eastAsia" w:ascii="宋体" w:cs="宋体"/>
                <w:sz w:val="24"/>
                <w:szCs w:val="24"/>
              </w:rPr>
              <w:t>（元）</w:t>
            </w:r>
          </w:p>
        </w:tc>
        <w:tc>
          <w:tcPr>
            <w:tcW w:w="2086" w:type="dxa"/>
            <w:vAlign w:val="center"/>
          </w:tcPr>
          <w:p>
            <w:pPr>
              <w:kinsoku w:val="0"/>
              <w:spacing w:line="360" w:lineRule="auto"/>
              <w:jc w:val="center"/>
              <w:rPr>
                <w:rFonts w:ascii="宋体" w:cs="宋体"/>
                <w:sz w:val="24"/>
                <w:szCs w:val="24"/>
              </w:rPr>
            </w:pPr>
            <w:r>
              <w:rPr>
                <w:rFonts w:hint="eastAsia" w:ascii="宋体" w:cs="宋体"/>
                <w:sz w:val="24"/>
                <w:szCs w:val="24"/>
              </w:rPr>
              <w:t>交货期</w:t>
            </w:r>
          </w:p>
        </w:tc>
        <w:tc>
          <w:tcPr>
            <w:tcW w:w="1916" w:type="dxa"/>
            <w:vAlign w:val="center"/>
          </w:tcPr>
          <w:p>
            <w:pPr>
              <w:kinsoku w:val="0"/>
              <w:spacing w:line="360" w:lineRule="auto"/>
              <w:jc w:val="center"/>
              <w:rPr>
                <w:rFonts w:ascii="宋体" w:cs="宋体"/>
                <w:sz w:val="24"/>
                <w:szCs w:val="24"/>
              </w:rPr>
            </w:pPr>
            <w:r>
              <w:rPr>
                <w:rFonts w:hint="eastAsia" w:ascii="宋体" w:cs="宋体"/>
                <w:sz w:val="24"/>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2980" w:type="dxa"/>
            <w:vAlign w:val="center"/>
          </w:tcPr>
          <w:p>
            <w:pPr>
              <w:kinsoku w:val="0"/>
              <w:spacing w:line="480" w:lineRule="auto"/>
              <w:jc w:val="left"/>
              <w:rPr>
                <w:rFonts w:hint="eastAsia" w:ascii="宋体" w:eastAsia="宋体" w:cs="宋体"/>
                <w:szCs w:val="21"/>
                <w:lang w:eastAsia="zh-CN"/>
              </w:rPr>
            </w:pPr>
            <w:r>
              <w:rPr>
                <w:rFonts w:hint="eastAsia" w:ascii="宋体" w:cs="宋体"/>
                <w:szCs w:val="21"/>
                <w:lang w:eastAsia="zh-CN"/>
              </w:rPr>
              <w:t>西安市灞桥区教育局（本级）秋季开学应急设备采购项目</w:t>
            </w:r>
          </w:p>
        </w:tc>
        <w:tc>
          <w:tcPr>
            <w:tcW w:w="1978" w:type="dxa"/>
            <w:vAlign w:val="center"/>
          </w:tcPr>
          <w:p>
            <w:pPr>
              <w:kinsoku w:val="0"/>
              <w:spacing w:line="480" w:lineRule="auto"/>
              <w:jc w:val="left"/>
              <w:rPr>
                <w:rFonts w:ascii="宋体" w:cs="宋体"/>
                <w:szCs w:val="21"/>
              </w:rPr>
            </w:pPr>
          </w:p>
        </w:tc>
        <w:tc>
          <w:tcPr>
            <w:tcW w:w="2086" w:type="dxa"/>
            <w:vAlign w:val="center"/>
          </w:tcPr>
          <w:p>
            <w:pPr>
              <w:kinsoku w:val="0"/>
              <w:spacing w:line="480" w:lineRule="auto"/>
              <w:jc w:val="left"/>
              <w:rPr>
                <w:rFonts w:ascii="宋体" w:cs="宋体"/>
                <w:szCs w:val="21"/>
              </w:rPr>
            </w:pPr>
          </w:p>
        </w:tc>
        <w:tc>
          <w:tcPr>
            <w:tcW w:w="1916" w:type="dxa"/>
            <w:vAlign w:val="center"/>
          </w:tcPr>
          <w:p>
            <w:pPr>
              <w:kinsoku w:val="0"/>
              <w:spacing w:line="480" w:lineRule="auto"/>
              <w:ind w:firstLine="420" w:firstLineChars="200"/>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960" w:type="dxa"/>
            <w:gridSpan w:val="4"/>
            <w:vAlign w:val="center"/>
          </w:tcPr>
          <w:p>
            <w:pPr>
              <w:kinsoku w:val="0"/>
              <w:spacing w:line="480" w:lineRule="auto"/>
              <w:jc w:val="left"/>
              <w:rPr>
                <w:rFonts w:ascii="宋体" w:cs="宋体"/>
                <w:szCs w:val="21"/>
              </w:rPr>
            </w:pPr>
            <w:r>
              <w:rPr>
                <w:rFonts w:hint="eastAsia" w:ascii="宋体" w:cs="宋体"/>
                <w:szCs w:val="21"/>
              </w:rPr>
              <w:t>投标总报价：（大写）</w:t>
            </w:r>
            <w:r>
              <w:rPr>
                <w:rFonts w:hint="eastAsia" w:ascii="宋体" w:cs="宋体"/>
                <w:szCs w:val="21"/>
                <w:u w:val="single"/>
              </w:rPr>
              <w:t xml:space="preserve">                   </w:t>
            </w:r>
            <w:r>
              <w:rPr>
                <w:rFonts w:hint="eastAsia" w:ascii="宋体" w:cs="宋体"/>
                <w:szCs w:val="21"/>
              </w:rPr>
              <w:t xml:space="preserve"> （小写）¥</w:t>
            </w:r>
            <w:r>
              <w:rPr>
                <w:rFonts w:hint="eastAsia" w:ascii="宋体" w:cs="宋体"/>
                <w:szCs w:val="21"/>
                <w:u w:val="single"/>
              </w:rPr>
              <w:t xml:space="preserve">          </w:t>
            </w:r>
            <w:r>
              <w:rPr>
                <w:rFonts w:hint="eastAsia" w:asci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960" w:type="dxa"/>
            <w:gridSpan w:val="4"/>
            <w:vAlign w:val="center"/>
          </w:tcPr>
          <w:p>
            <w:pPr>
              <w:kinsoku w:val="0"/>
              <w:spacing w:line="480" w:lineRule="auto"/>
              <w:jc w:val="left"/>
              <w:rPr>
                <w:rFonts w:ascii="宋体" w:cs="宋体"/>
                <w:szCs w:val="21"/>
              </w:rPr>
            </w:pPr>
            <w:r>
              <w:rPr>
                <w:rFonts w:hint="eastAsia" w:ascii="宋体" w:cs="宋体"/>
              </w:rPr>
              <w:t>备注：表内报价内容以元为单位，精确到小数点后两位；</w:t>
            </w:r>
          </w:p>
        </w:tc>
      </w:tr>
    </w:tbl>
    <w:p>
      <w:pPr>
        <w:widowControl/>
        <w:tabs>
          <w:tab w:val="left" w:pos="4000"/>
        </w:tabs>
        <w:snapToGrid w:val="0"/>
        <w:spacing w:line="300" w:lineRule="auto"/>
        <w:jc w:val="left"/>
        <w:rPr>
          <w:rFonts w:ascii="宋体" w:hAnsi="宋体" w:cs="宋体"/>
          <w:b/>
          <w:bCs/>
          <w:spacing w:val="20"/>
          <w:kern w:val="0"/>
          <w:sz w:val="28"/>
          <w:szCs w:val="28"/>
        </w:rPr>
      </w:pPr>
    </w:p>
    <w:p>
      <w:pPr>
        <w:widowControl/>
        <w:tabs>
          <w:tab w:val="left" w:pos="4000"/>
        </w:tabs>
        <w:snapToGrid w:val="0"/>
        <w:spacing w:line="300" w:lineRule="auto"/>
        <w:jc w:val="left"/>
        <w:rPr>
          <w:rFonts w:ascii="宋体" w:hAnsi="宋体" w:cs="宋体"/>
          <w:b/>
          <w:bCs/>
          <w:spacing w:val="20"/>
          <w:kern w:val="0"/>
          <w:sz w:val="28"/>
          <w:szCs w:val="28"/>
        </w:rPr>
      </w:pPr>
      <w:r>
        <w:rPr>
          <w:rFonts w:hint="eastAsia" w:ascii="宋体" w:hAnsi="宋体" w:cs="宋体"/>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宋体" w:hAnsi="宋体" w:cs="宋体"/>
          <w:b/>
          <w:bCs/>
          <w:spacing w:val="20"/>
          <w:kern w:val="0"/>
          <w:sz w:val="28"/>
          <w:szCs w:val="28"/>
        </w:rPr>
      </w:pPr>
      <w:r>
        <w:rPr>
          <w:rFonts w:hint="eastAsia" w:ascii="宋体" w:hAnsi="宋体" w:cs="宋体"/>
          <w:b/>
          <w:bCs/>
          <w:spacing w:val="20"/>
          <w:kern w:val="0"/>
          <w:sz w:val="28"/>
          <w:szCs w:val="28"/>
        </w:rPr>
        <w:t xml:space="preserve">    请写明大写、小写。</w:t>
      </w:r>
    </w:p>
    <w:p>
      <w:pPr>
        <w:adjustRightInd w:val="0"/>
        <w:snapToGrid w:val="0"/>
        <w:spacing w:line="480" w:lineRule="auto"/>
        <w:jc w:val="left"/>
        <w:rPr>
          <w:rFonts w:ascii="宋体" w:hAnsi="宋体" w:cs="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供应商（单位名称及公章）：</w:t>
      </w:r>
      <w:r>
        <w:rPr>
          <w:rFonts w:hint="eastAsia" w:ascii="宋体" w:hAnsi="宋体" w:cs="宋体"/>
          <w:sz w:val="24"/>
        </w:rPr>
        <w:t>____________________</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法定代表人或被授权人（签字或盖章）：</w:t>
      </w:r>
      <w:r>
        <w:rPr>
          <w:rFonts w:hint="eastAsia" w:ascii="宋体" w:hAnsi="宋体" w:cs="宋体"/>
          <w:sz w:val="24"/>
        </w:rPr>
        <w:t>____________________</w:t>
      </w:r>
    </w:p>
    <w:p>
      <w:pPr>
        <w:adjustRightInd w:val="0"/>
        <w:snapToGrid w:val="0"/>
        <w:spacing w:line="480" w:lineRule="auto"/>
        <w:rPr>
          <w:rFonts w:ascii="宋体" w:hAnsi="宋体" w:cs="宋体"/>
          <w:b/>
          <w:sz w:val="32"/>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sz w:val="28"/>
          <w:szCs w:val="28"/>
        </w:rPr>
        <w:t xml:space="preserve">日    期：  </w:t>
      </w:r>
      <w:r>
        <w:rPr>
          <w:rFonts w:hint="eastAsia" w:ascii="宋体" w:hAnsi="宋体" w:cs="宋体"/>
          <w:sz w:val="24"/>
        </w:rPr>
        <w:t>_____</w:t>
      </w:r>
      <w:r>
        <w:rPr>
          <w:rFonts w:hint="eastAsia" w:ascii="宋体" w:hAnsi="宋体" w:cs="宋体"/>
          <w:sz w:val="28"/>
          <w:szCs w:val="28"/>
        </w:rPr>
        <w:t>年</w:t>
      </w:r>
      <w:r>
        <w:rPr>
          <w:rFonts w:hint="eastAsia" w:ascii="宋体" w:hAnsi="宋体" w:cs="宋体"/>
          <w:sz w:val="24"/>
        </w:rPr>
        <w:t>_____</w:t>
      </w:r>
      <w:r>
        <w:rPr>
          <w:rFonts w:hint="eastAsia" w:ascii="宋体" w:hAnsi="宋体" w:cs="宋体"/>
          <w:sz w:val="28"/>
          <w:szCs w:val="28"/>
        </w:rPr>
        <w:t xml:space="preserve">  月</w:t>
      </w:r>
      <w:r>
        <w:rPr>
          <w:rFonts w:hint="eastAsia" w:ascii="宋体" w:hAnsi="宋体" w:cs="宋体"/>
          <w:sz w:val="24"/>
        </w:rPr>
        <w:t>_____</w:t>
      </w:r>
    </w:p>
    <w:p>
      <w:pPr>
        <w:pStyle w:val="8"/>
        <w:ind w:firstLine="0"/>
        <w:jc w:val="center"/>
        <w:rPr>
          <w:rFonts w:ascii="宋体" w:hAnsi="宋体" w:cs="宋体"/>
          <w:b/>
          <w:bCs/>
          <w:sz w:val="36"/>
          <w:szCs w:val="36"/>
        </w:rPr>
      </w:pPr>
      <w:bookmarkStart w:id="81" w:name="_Toc3356"/>
      <w:bookmarkStart w:id="82" w:name="_Toc9034"/>
      <w:bookmarkStart w:id="83" w:name="_Toc10126"/>
      <w:r>
        <w:rPr>
          <w:rFonts w:hint="eastAsia" w:ascii="宋体" w:hAnsi="宋体" w:cs="宋体"/>
          <w:b/>
          <w:bCs/>
          <w:sz w:val="36"/>
          <w:szCs w:val="36"/>
        </w:rPr>
        <w:t>分项报价表</w:t>
      </w:r>
    </w:p>
    <w:p>
      <w:pPr>
        <w:spacing w:after="120"/>
        <w:jc w:val="left"/>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西安市灞桥区教育局（本级）秋季开学应急设备采购项目</w:t>
      </w:r>
    </w:p>
    <w:p>
      <w:pPr>
        <w:spacing w:after="120"/>
        <w:jc w:val="left"/>
        <w:rPr>
          <w:rFonts w:hint="eastAsia" w:ascii="宋体" w:hAnsi="宋体" w:eastAsia="宋体" w:cs="宋体"/>
          <w:sz w:val="24"/>
          <w:szCs w:val="24"/>
          <w:lang w:eastAsia="zh-CN"/>
        </w:rPr>
      </w:pPr>
      <w:r>
        <w:rPr>
          <w:rFonts w:hint="eastAsia" w:ascii="宋体" w:hAnsi="宋体" w:cs="宋体"/>
          <w:sz w:val="24"/>
          <w:szCs w:val="24"/>
        </w:rPr>
        <w:t xml:space="preserve">项目编号： </w:t>
      </w:r>
      <w:r>
        <w:rPr>
          <w:rFonts w:hint="eastAsia" w:ascii="宋体" w:hAnsi="宋体" w:cs="宋体"/>
          <w:sz w:val="24"/>
          <w:szCs w:val="24"/>
          <w:lang w:eastAsia="zh-CN"/>
        </w:rPr>
        <w:t>ZMZB2022BQJYJ-255</w:t>
      </w:r>
    </w:p>
    <w:tbl>
      <w:tblPr>
        <w:tblStyle w:val="30"/>
        <w:tblpPr w:leftFromText="180" w:rightFromText="180" w:vertAnchor="text" w:horzAnchor="page" w:tblpX="1534" w:tblpY="373"/>
        <w:tblOverlap w:val="never"/>
        <w:tblW w:w="9060" w:type="dxa"/>
        <w:tblInd w:w="0" w:type="dxa"/>
        <w:tblLayout w:type="fixed"/>
        <w:tblCellMar>
          <w:top w:w="0" w:type="dxa"/>
          <w:left w:w="28" w:type="dxa"/>
          <w:bottom w:w="0" w:type="dxa"/>
          <w:right w:w="28" w:type="dxa"/>
        </w:tblCellMar>
      </w:tblPr>
      <w:tblGrid>
        <w:gridCol w:w="1148"/>
        <w:gridCol w:w="530"/>
        <w:gridCol w:w="789"/>
        <w:gridCol w:w="862"/>
        <w:gridCol w:w="988"/>
        <w:gridCol w:w="1271"/>
        <w:gridCol w:w="966"/>
        <w:gridCol w:w="1353"/>
        <w:gridCol w:w="1153"/>
      </w:tblGrid>
      <w:tr>
        <w:tblPrEx>
          <w:tblCellMar>
            <w:top w:w="0" w:type="dxa"/>
            <w:left w:w="28" w:type="dxa"/>
            <w:bottom w:w="0" w:type="dxa"/>
            <w:right w:w="28" w:type="dxa"/>
          </w:tblCellMar>
        </w:tblPrEx>
        <w:trPr>
          <w:trHeight w:val="875" w:hRule="atLeast"/>
        </w:trPr>
        <w:tc>
          <w:tcPr>
            <w:tcW w:w="1148" w:type="dxa"/>
            <w:vMerge w:val="restart"/>
            <w:tcBorders>
              <w:top w:val="single" w:color="auto" w:sz="6" w:space="0"/>
              <w:left w:val="single" w:color="auto" w:sz="6" w:space="0"/>
              <w:bottom w:val="nil"/>
              <w:right w:val="single" w:color="auto" w:sz="4" w:space="0"/>
            </w:tcBorders>
            <w:vAlign w:val="center"/>
          </w:tcPr>
          <w:p>
            <w:pPr>
              <w:jc w:val="left"/>
              <w:rPr>
                <w:rFonts w:ascii="宋体" w:cs="宋体"/>
                <w:sz w:val="22"/>
              </w:rPr>
            </w:pPr>
            <w:r>
              <w:rPr>
                <w:rFonts w:hint="eastAsia" w:ascii="宋体" w:cs="宋体"/>
                <w:sz w:val="22"/>
              </w:rPr>
              <w:t>分项费用</w:t>
            </w:r>
          </w:p>
        </w:tc>
        <w:tc>
          <w:tcPr>
            <w:tcW w:w="530" w:type="dxa"/>
            <w:tcBorders>
              <w:top w:val="single" w:color="auto" w:sz="6" w:space="0"/>
              <w:left w:val="single" w:color="auto" w:sz="4" w:space="0"/>
              <w:bottom w:val="single" w:color="auto" w:sz="6" w:space="0"/>
              <w:right w:val="nil"/>
            </w:tcBorders>
            <w:vAlign w:val="center"/>
          </w:tcPr>
          <w:p>
            <w:pPr>
              <w:spacing w:after="120"/>
              <w:jc w:val="center"/>
              <w:rPr>
                <w:rFonts w:ascii="宋体" w:cs="宋体"/>
                <w:sz w:val="22"/>
              </w:rPr>
            </w:pPr>
            <w:r>
              <w:rPr>
                <w:rFonts w:hint="eastAsia" w:ascii="宋体" w:cs="宋体"/>
                <w:sz w:val="22"/>
              </w:rPr>
              <w:t>序号</w:t>
            </w:r>
          </w:p>
        </w:tc>
        <w:tc>
          <w:tcPr>
            <w:tcW w:w="789"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sz w:val="22"/>
              </w:rPr>
            </w:pPr>
            <w:r>
              <w:rPr>
                <w:rFonts w:hint="eastAsia" w:ascii="宋体" w:cs="宋体"/>
                <w:sz w:val="22"/>
              </w:rPr>
              <w:t>名称</w:t>
            </w:r>
          </w:p>
        </w:tc>
        <w:tc>
          <w:tcPr>
            <w:tcW w:w="862"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cs="宋体"/>
                <w:sz w:val="22"/>
              </w:rPr>
            </w:pPr>
            <w:r>
              <w:rPr>
                <w:rFonts w:hint="eastAsia" w:ascii="宋体" w:cs="宋体"/>
                <w:sz w:val="22"/>
              </w:rPr>
              <w:t>品牌</w:t>
            </w:r>
          </w:p>
        </w:tc>
        <w:tc>
          <w:tcPr>
            <w:tcW w:w="98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cs="宋体"/>
                <w:sz w:val="22"/>
              </w:rPr>
            </w:pPr>
            <w:r>
              <w:rPr>
                <w:rFonts w:hint="eastAsia" w:ascii="宋体" w:cs="宋体"/>
                <w:sz w:val="22"/>
              </w:rPr>
              <w:t>型号或规格</w:t>
            </w:r>
          </w:p>
        </w:tc>
        <w:tc>
          <w:tcPr>
            <w:tcW w:w="1271" w:type="dxa"/>
            <w:tcBorders>
              <w:top w:val="single" w:color="auto" w:sz="6" w:space="0"/>
              <w:left w:val="single" w:color="auto" w:sz="6" w:space="0"/>
              <w:bottom w:val="single" w:color="auto" w:sz="6" w:space="0"/>
              <w:right w:val="single" w:color="auto" w:sz="6" w:space="0"/>
            </w:tcBorders>
            <w:vAlign w:val="center"/>
          </w:tcPr>
          <w:p>
            <w:pPr>
              <w:spacing w:before="159" w:after="120"/>
              <w:jc w:val="center"/>
              <w:rPr>
                <w:rFonts w:ascii="宋体" w:cs="宋体"/>
                <w:sz w:val="22"/>
              </w:rPr>
            </w:pPr>
            <w:r>
              <w:rPr>
                <w:rFonts w:hint="eastAsia" w:ascii="宋体" w:cs="宋体"/>
                <w:sz w:val="22"/>
              </w:rPr>
              <w:t>原产地及制造厂名</w:t>
            </w:r>
          </w:p>
        </w:tc>
        <w:tc>
          <w:tcPr>
            <w:tcW w:w="966"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sz w:val="22"/>
              </w:rPr>
            </w:pPr>
            <w:r>
              <w:rPr>
                <w:rFonts w:hint="eastAsia" w:ascii="宋体" w:cs="宋体"/>
                <w:sz w:val="22"/>
              </w:rPr>
              <w:t>数量</w:t>
            </w:r>
          </w:p>
        </w:tc>
        <w:tc>
          <w:tcPr>
            <w:tcW w:w="13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sz w:val="22"/>
              </w:rPr>
            </w:pPr>
            <w:r>
              <w:rPr>
                <w:rFonts w:hint="eastAsia" w:ascii="宋体" w:cs="宋体"/>
                <w:sz w:val="22"/>
              </w:rPr>
              <w:t>单价</w:t>
            </w:r>
          </w:p>
          <w:p>
            <w:pPr>
              <w:spacing w:after="120"/>
              <w:jc w:val="center"/>
              <w:rPr>
                <w:rFonts w:ascii="宋体" w:cs="宋体"/>
                <w:bCs/>
                <w:sz w:val="22"/>
              </w:rPr>
            </w:pPr>
            <w:r>
              <w:rPr>
                <w:rFonts w:hint="eastAsia" w:ascii="宋体" w:cs="宋体"/>
                <w:sz w:val="22"/>
              </w:rPr>
              <w:t>（元）</w:t>
            </w:r>
          </w:p>
        </w:tc>
        <w:tc>
          <w:tcPr>
            <w:tcW w:w="11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bCs/>
                <w:sz w:val="22"/>
              </w:rPr>
            </w:pPr>
            <w:r>
              <w:rPr>
                <w:rFonts w:hint="eastAsia" w:ascii="宋体" w:cs="宋体"/>
                <w:bCs/>
                <w:sz w:val="22"/>
              </w:rPr>
              <w:t>总价</w:t>
            </w:r>
          </w:p>
          <w:p>
            <w:pPr>
              <w:spacing w:after="120"/>
              <w:jc w:val="center"/>
              <w:rPr>
                <w:rFonts w:ascii="宋体" w:cs="宋体"/>
                <w:bCs/>
                <w:sz w:val="22"/>
              </w:rPr>
            </w:pPr>
            <w:r>
              <w:rPr>
                <w:rFonts w:hint="eastAsia" w:ascii="宋体" w:cs="宋体"/>
                <w:bCs/>
                <w:sz w:val="22"/>
              </w:rPr>
              <w:t>（元）</w:t>
            </w: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vAlign w:val="center"/>
          </w:tcPr>
          <w:p/>
        </w:tc>
        <w:tc>
          <w:tcPr>
            <w:tcW w:w="530" w:type="dxa"/>
            <w:tcBorders>
              <w:top w:val="single" w:color="auto" w:sz="6" w:space="0"/>
              <w:left w:val="single" w:color="auto" w:sz="4" w:space="0"/>
              <w:bottom w:val="single" w:color="auto" w:sz="4" w:space="0"/>
              <w:right w:val="nil"/>
            </w:tcBorders>
            <w:vAlign w:val="center"/>
          </w:tcPr>
          <w:p>
            <w:pPr>
              <w:spacing w:before="319"/>
              <w:jc w:val="center"/>
              <w:rPr>
                <w:rFonts w:ascii="宋体" w:cs="宋体"/>
                <w:sz w:val="22"/>
              </w:rPr>
            </w:pPr>
            <w:r>
              <w:rPr>
                <w:rFonts w:hint="eastAsia" w:ascii="宋体" w:cs="宋体"/>
                <w:sz w:val="22"/>
              </w:rPr>
              <w:t>1</w:t>
            </w:r>
          </w:p>
        </w:tc>
        <w:tc>
          <w:tcPr>
            <w:tcW w:w="789"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rPr>
            </w:pPr>
          </w:p>
        </w:tc>
        <w:tc>
          <w:tcPr>
            <w:tcW w:w="862" w:type="dxa"/>
            <w:tcBorders>
              <w:top w:val="single" w:color="auto" w:sz="6" w:space="0"/>
              <w:left w:val="single" w:color="auto" w:sz="6" w:space="0"/>
              <w:bottom w:val="single" w:color="auto" w:sz="4" w:space="0"/>
              <w:right w:val="single" w:color="auto" w:sz="4" w:space="0"/>
            </w:tcBorders>
            <w:vAlign w:val="center"/>
          </w:tcPr>
          <w:p>
            <w:pPr>
              <w:spacing w:before="159"/>
              <w:jc w:val="center"/>
              <w:rPr>
                <w:rFonts w:ascii="宋体" w:cs="宋体"/>
                <w:sz w:val="22"/>
              </w:rPr>
            </w:pPr>
          </w:p>
        </w:tc>
        <w:tc>
          <w:tcPr>
            <w:tcW w:w="988" w:type="dxa"/>
            <w:tcBorders>
              <w:top w:val="single" w:color="auto" w:sz="6" w:space="0"/>
              <w:left w:val="single" w:color="auto" w:sz="4" w:space="0"/>
              <w:bottom w:val="single" w:color="auto" w:sz="4" w:space="0"/>
              <w:right w:val="single" w:color="auto" w:sz="6" w:space="0"/>
            </w:tcBorders>
            <w:vAlign w:val="center"/>
          </w:tcPr>
          <w:p>
            <w:pPr>
              <w:spacing w:before="159"/>
              <w:jc w:val="center"/>
              <w:rPr>
                <w:rFonts w:ascii="宋体" w:cs="宋体"/>
                <w:sz w:val="22"/>
              </w:rPr>
            </w:pPr>
          </w:p>
        </w:tc>
        <w:tc>
          <w:tcPr>
            <w:tcW w:w="1271"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rPr>
            </w:pPr>
          </w:p>
        </w:tc>
        <w:tc>
          <w:tcPr>
            <w:tcW w:w="966"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rPr>
            </w:pPr>
          </w:p>
        </w:tc>
        <w:tc>
          <w:tcPr>
            <w:tcW w:w="1353"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rPr>
            </w:pPr>
          </w:p>
        </w:tc>
        <w:tc>
          <w:tcPr>
            <w:tcW w:w="1153"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608" w:hRule="atLeast"/>
        </w:trPr>
        <w:tc>
          <w:tcPr>
            <w:tcW w:w="1148" w:type="dxa"/>
            <w:vMerge w:val="continue"/>
            <w:tcBorders>
              <w:top w:val="nil"/>
              <w:left w:val="single" w:color="auto" w:sz="6" w:space="0"/>
              <w:bottom w:val="nil"/>
              <w:right w:val="single" w:color="auto" w:sz="4" w:space="0"/>
            </w:tcBorders>
            <w:vAlign w:val="center"/>
          </w:tc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rPr>
            </w:pPr>
            <w:r>
              <w:rPr>
                <w:rFonts w:hint="eastAsia" w:ascii="宋体" w:cs="宋体"/>
                <w:sz w:val="22"/>
              </w:rPr>
              <w:t>2</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319"/>
              <w:jc w:val="center"/>
              <w:rPr>
                <w:rFonts w:ascii="宋体" w:cs="宋体"/>
                <w:sz w:val="22"/>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vAlign w:val="center"/>
          </w:tc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rPr>
            </w:pPr>
            <w:r>
              <w:rPr>
                <w:rFonts w:hint="eastAsia" w:ascii="宋体" w:cs="宋体"/>
                <w:sz w:val="22"/>
              </w:rPr>
              <w:t>3</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319"/>
              <w:jc w:val="center"/>
              <w:rPr>
                <w:rFonts w:ascii="宋体" w:cs="宋体"/>
                <w:sz w:val="22"/>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nil"/>
              <w:right w:val="single" w:color="auto" w:sz="4" w:space="0"/>
            </w:tcBorders>
            <w:vAlign w:val="center"/>
          </w:tc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rPr>
            </w:pPr>
            <w:r>
              <w:rPr>
                <w:rFonts w:hint="eastAsia" w:ascii="宋体" w:cs="宋体"/>
                <w:sz w:val="22"/>
              </w:rPr>
              <w:t>4</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nil"/>
              <w:right w:val="single" w:color="auto" w:sz="4" w:space="0"/>
            </w:tcBorders>
            <w:vAlign w:val="center"/>
          </w:tc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b/>
                <w:sz w:val="22"/>
              </w:rPr>
            </w:pPr>
            <w:r>
              <w:rPr>
                <w:rFonts w:hint="eastAsia" w:ascii="宋体" w:cs="宋体"/>
                <w:sz w:val="22"/>
              </w:rPr>
              <w:t>5</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single" w:color="auto" w:sz="6" w:space="0"/>
              <w:right w:val="single" w:color="auto" w:sz="4" w:space="0"/>
            </w:tcBorders>
            <w:vAlign w:val="center"/>
          </w:tc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rPr>
            </w:pPr>
            <w:r>
              <w:rPr>
                <w:rFonts w:hint="eastAsia" w:ascii="宋体" w:cs="宋体"/>
                <w:sz w:val="22"/>
              </w:rPr>
              <w:t>...</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r>
              <w:rPr>
                <w:rFonts w:hint="eastAsia" w:ascii="宋体" w:cs="宋体"/>
                <w:sz w:val="22"/>
              </w:rPr>
              <w:t>...</w:t>
            </w: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rPr>
            </w:pPr>
            <w:r>
              <w:rPr>
                <w:rFonts w:hint="eastAsia" w:ascii="宋体" w:cs="宋体"/>
                <w:sz w:val="22"/>
              </w:rPr>
              <w:t>其他费用</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rPr>
            </w:pPr>
            <w:r>
              <w:rPr>
                <w:rFonts w:hint="eastAsia" w:ascii="宋体" w:cs="宋体"/>
                <w:sz w:val="22"/>
              </w:rPr>
              <w:t>……</w:t>
            </w: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rPr>
            </w:pPr>
            <w:r>
              <w:rPr>
                <w:rFonts w:hint="eastAsia" w:ascii="宋体" w:cs="宋体"/>
                <w:sz w:val="22"/>
              </w:rPr>
              <w:t>……</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rPr>
            </w:pPr>
            <w:r>
              <w:rPr>
                <w:rFonts w:hint="eastAsia" w:ascii="宋体" w:cs="宋体"/>
                <w:sz w:val="22"/>
              </w:rPr>
              <w:t>……</w:t>
            </w:r>
          </w:p>
        </w:tc>
      </w:tr>
      <w:tr>
        <w:tblPrEx>
          <w:tblCellMar>
            <w:top w:w="0" w:type="dxa"/>
            <w:left w:w="28" w:type="dxa"/>
            <w:bottom w:w="0" w:type="dxa"/>
            <w:right w:w="28" w:type="dxa"/>
          </w:tblCellMar>
        </w:tblPrEx>
        <w:trPr>
          <w:trHeight w:val="515" w:hRule="atLeast"/>
        </w:trPr>
        <w:tc>
          <w:tcPr>
            <w:tcW w:w="1678" w:type="dxa"/>
            <w:gridSpan w:val="2"/>
            <w:tcBorders>
              <w:top w:val="single" w:color="auto" w:sz="4" w:space="0"/>
              <w:left w:val="single" w:color="auto" w:sz="6" w:space="0"/>
              <w:bottom w:val="single" w:color="auto" w:sz="6" w:space="0"/>
              <w:right w:val="nil"/>
            </w:tcBorders>
            <w:vAlign w:val="center"/>
          </w:tcPr>
          <w:p>
            <w:pPr>
              <w:jc w:val="center"/>
              <w:rPr>
                <w:rFonts w:ascii="宋体" w:cs="宋体"/>
                <w:sz w:val="22"/>
              </w:rPr>
            </w:pPr>
            <w:r>
              <w:rPr>
                <w:rFonts w:hint="eastAsia" w:ascii="宋体" w:cs="宋体"/>
                <w:sz w:val="22"/>
              </w:rPr>
              <w:t>投标总报价</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159"/>
              <w:jc w:val="left"/>
              <w:rPr>
                <w:rFonts w:ascii="宋体" w:cs="宋体"/>
                <w:sz w:val="22"/>
              </w:rPr>
            </w:pPr>
            <w:r>
              <w:rPr>
                <w:rFonts w:hint="eastAsia" w:ascii="宋体" w:cs="宋体"/>
                <w:sz w:val="22"/>
              </w:rPr>
              <w:t>大写：</w:t>
            </w:r>
            <w:r>
              <w:rPr>
                <w:rFonts w:hint="eastAsia" w:ascii="宋体" w:cs="宋体"/>
                <w:sz w:val="22"/>
                <w:u w:val="single"/>
              </w:rPr>
              <w:t xml:space="preserve">                  </w:t>
            </w:r>
            <w:r>
              <w:rPr>
                <w:rFonts w:hint="eastAsia" w:ascii="宋体" w:cs="宋体"/>
                <w:sz w:val="22"/>
              </w:rPr>
              <w:t xml:space="preserve"> 小写：</w:t>
            </w:r>
            <w:r>
              <w:rPr>
                <w:rFonts w:hint="eastAsia" w:ascii="宋体" w:cs="宋体"/>
                <w:sz w:val="22"/>
                <w:u w:val="single"/>
              </w:rPr>
              <w:t xml:space="preserve">    </w:t>
            </w:r>
            <w:r>
              <w:rPr>
                <w:rFonts w:hint="eastAsia" w:ascii="宋体" w:cs="宋体"/>
                <w:sz w:val="22"/>
              </w:rPr>
              <w:t xml:space="preserve"> 元</w:t>
            </w:r>
          </w:p>
        </w:tc>
      </w:tr>
      <w:tr>
        <w:tblPrEx>
          <w:tblCellMar>
            <w:top w:w="0" w:type="dxa"/>
            <w:left w:w="28" w:type="dxa"/>
            <w:bottom w:w="0" w:type="dxa"/>
            <w:right w:w="28" w:type="dxa"/>
          </w:tblCellMar>
        </w:tblPrEx>
        <w:trPr>
          <w:trHeight w:val="577" w:hRule="atLeast"/>
        </w:trPr>
        <w:tc>
          <w:tcPr>
            <w:tcW w:w="1678" w:type="dxa"/>
            <w:gridSpan w:val="2"/>
            <w:tcBorders>
              <w:top w:val="single" w:color="auto" w:sz="4" w:space="0"/>
              <w:left w:val="single" w:color="auto" w:sz="6" w:space="0"/>
              <w:bottom w:val="single" w:color="auto" w:sz="6" w:space="0"/>
              <w:right w:val="nil"/>
            </w:tcBorders>
            <w:vAlign w:val="center"/>
          </w:tcPr>
          <w:p>
            <w:pPr>
              <w:jc w:val="center"/>
              <w:rPr>
                <w:rFonts w:ascii="宋体" w:cs="宋体"/>
                <w:sz w:val="22"/>
              </w:rPr>
            </w:pPr>
            <w:r>
              <w:rPr>
                <w:rFonts w:hint="eastAsia" w:ascii="宋体" w:cs="宋体"/>
                <w:sz w:val="22"/>
              </w:rPr>
              <w:t>备注</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r>
              <w:rPr>
                <w:rFonts w:hint="eastAsia" w:ascii="宋体" w:cs="宋体"/>
                <w:spacing w:val="-6"/>
                <w:sz w:val="22"/>
              </w:rPr>
              <w:t>保留小数点后两位。</w:t>
            </w:r>
          </w:p>
        </w:tc>
      </w:tr>
    </w:tbl>
    <w:p>
      <w:pPr>
        <w:adjustRightInd w:val="0"/>
        <w:snapToGrid w:val="0"/>
        <w:spacing w:line="480" w:lineRule="auto"/>
        <w:jc w:val="left"/>
        <w:rPr>
          <w:rFonts w:ascii="宋体" w:hAnsi="宋体" w:cs="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供应商（单位名称及公章）：</w:t>
      </w:r>
      <w:r>
        <w:rPr>
          <w:rFonts w:hint="eastAsia" w:ascii="宋体" w:hAnsi="宋体" w:cs="宋体"/>
          <w:sz w:val="24"/>
        </w:rPr>
        <w:t>____________________</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法定代表人或被授权人（签字或盖章）：</w:t>
      </w:r>
      <w:r>
        <w:rPr>
          <w:rFonts w:hint="eastAsia" w:ascii="宋体" w:hAnsi="宋体" w:cs="宋体"/>
          <w:sz w:val="24"/>
        </w:rPr>
        <w:t>____________________</w:t>
      </w:r>
    </w:p>
    <w:p>
      <w:pPr>
        <w:adjustRightInd w:val="0"/>
        <w:snapToGrid w:val="0"/>
        <w:spacing w:line="480" w:lineRule="auto"/>
        <w:rPr>
          <w:rFonts w:ascii="宋体" w:hAnsi="宋体" w:cs="宋体"/>
          <w:b/>
          <w:sz w:val="32"/>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sz w:val="28"/>
          <w:szCs w:val="28"/>
        </w:rPr>
        <w:t xml:space="preserve">日    期：  </w:t>
      </w:r>
      <w:r>
        <w:rPr>
          <w:rFonts w:hint="eastAsia" w:ascii="宋体" w:hAnsi="宋体" w:cs="宋体"/>
          <w:sz w:val="24"/>
        </w:rPr>
        <w:t>_________</w:t>
      </w:r>
    </w:p>
    <w:p>
      <w:pPr>
        <w:pStyle w:val="4"/>
        <w:jc w:val="center"/>
        <w:rPr>
          <w:rFonts w:ascii="宋体" w:hAnsi="宋体" w:cs="宋体"/>
        </w:rPr>
      </w:pPr>
      <w:bookmarkStart w:id="84" w:name="_Toc5630"/>
      <w:r>
        <w:rPr>
          <w:rFonts w:hint="eastAsia" w:ascii="宋体" w:hAnsi="宋体" w:cs="宋体"/>
        </w:rPr>
        <w:t>第三部分</w:t>
      </w:r>
      <w:bookmarkEnd w:id="81"/>
      <w:r>
        <w:rPr>
          <w:rFonts w:hint="eastAsia" w:ascii="宋体" w:hAnsi="宋体" w:cs="宋体"/>
          <w:sz w:val="36"/>
          <w:szCs w:val="36"/>
        </w:rPr>
        <w:t xml:space="preserve">  </w:t>
      </w:r>
      <w:r>
        <w:rPr>
          <w:rFonts w:hint="eastAsia" w:ascii="宋体" w:hAnsi="宋体" w:cs="宋体"/>
        </w:rPr>
        <w:t>商务及技术响应说明</w:t>
      </w:r>
      <w:bookmarkEnd w:id="84"/>
    </w:p>
    <w:p>
      <w:pPr>
        <w:pStyle w:val="8"/>
        <w:ind w:firstLine="0"/>
        <w:rPr>
          <w:rFonts w:ascii="宋体" w:hAnsi="宋体" w:cs="宋体"/>
        </w:rPr>
      </w:pPr>
    </w:p>
    <w:p>
      <w:pPr>
        <w:jc w:val="center"/>
        <w:rPr>
          <w:rFonts w:ascii="宋体" w:hAnsi="宋体" w:cs="宋体"/>
          <w:b/>
          <w:bCs/>
          <w:sz w:val="28"/>
          <w:szCs w:val="32"/>
        </w:rPr>
      </w:pPr>
      <w:r>
        <w:rPr>
          <w:rFonts w:hint="eastAsia" w:ascii="宋体" w:hAnsi="宋体" w:cs="宋体"/>
          <w:b/>
          <w:bCs/>
          <w:sz w:val="28"/>
          <w:szCs w:val="32"/>
        </w:rPr>
        <w:t>商务偏离表</w:t>
      </w:r>
    </w:p>
    <w:tbl>
      <w:tblPr>
        <w:tblStyle w:val="30"/>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pStyle w:val="15"/>
              <w:spacing w:line="360" w:lineRule="auto"/>
              <w:jc w:val="center"/>
              <w:rPr>
                <w:rFonts w:hAnsi="宋体" w:cs="宋体"/>
                <w:sz w:val="24"/>
                <w:szCs w:val="24"/>
              </w:rPr>
            </w:pPr>
            <w:r>
              <w:rPr>
                <w:rFonts w:hint="eastAsia" w:hAnsi="宋体" w:cs="宋体"/>
                <w:sz w:val="24"/>
                <w:szCs w:val="24"/>
              </w:rPr>
              <w:t>序号</w:t>
            </w:r>
          </w:p>
        </w:tc>
        <w:tc>
          <w:tcPr>
            <w:tcW w:w="1521" w:type="dxa"/>
            <w:vAlign w:val="center"/>
          </w:tcPr>
          <w:p>
            <w:pPr>
              <w:pStyle w:val="15"/>
              <w:spacing w:line="360" w:lineRule="auto"/>
              <w:jc w:val="center"/>
              <w:rPr>
                <w:rFonts w:hAnsi="宋体" w:cs="宋体"/>
                <w:sz w:val="24"/>
                <w:szCs w:val="24"/>
              </w:rPr>
            </w:pPr>
            <w:r>
              <w:rPr>
                <w:rFonts w:hint="eastAsia" w:hAnsi="宋体" w:cs="宋体"/>
                <w:sz w:val="24"/>
                <w:szCs w:val="24"/>
              </w:rPr>
              <w:t>商务条款</w:t>
            </w:r>
          </w:p>
        </w:tc>
        <w:tc>
          <w:tcPr>
            <w:tcW w:w="1600" w:type="dxa"/>
            <w:vAlign w:val="center"/>
          </w:tcPr>
          <w:p>
            <w:pPr>
              <w:pStyle w:val="15"/>
              <w:spacing w:line="360" w:lineRule="auto"/>
              <w:jc w:val="center"/>
              <w:rPr>
                <w:rFonts w:hAnsi="宋体" w:cs="宋体"/>
                <w:sz w:val="24"/>
                <w:szCs w:val="24"/>
              </w:rPr>
            </w:pPr>
            <w:r>
              <w:rPr>
                <w:rFonts w:hint="eastAsia" w:hAnsi="宋体" w:cs="宋体"/>
                <w:sz w:val="24"/>
                <w:szCs w:val="24"/>
              </w:rPr>
              <w:t>商务要求</w:t>
            </w:r>
          </w:p>
          <w:p>
            <w:pPr>
              <w:pStyle w:val="15"/>
              <w:spacing w:line="360" w:lineRule="auto"/>
              <w:jc w:val="center"/>
              <w:rPr>
                <w:rFonts w:hAnsi="宋体" w:cs="宋体"/>
                <w:sz w:val="24"/>
                <w:szCs w:val="24"/>
              </w:rPr>
            </w:pPr>
            <w:r>
              <w:rPr>
                <w:rFonts w:hint="eastAsia" w:hAnsi="宋体" w:cs="宋体"/>
                <w:sz w:val="24"/>
                <w:szCs w:val="24"/>
              </w:rPr>
              <w:t>内容</w:t>
            </w:r>
          </w:p>
        </w:tc>
        <w:tc>
          <w:tcPr>
            <w:tcW w:w="1938" w:type="dxa"/>
            <w:vAlign w:val="center"/>
          </w:tcPr>
          <w:p>
            <w:pPr>
              <w:pStyle w:val="15"/>
              <w:spacing w:line="360" w:lineRule="auto"/>
              <w:jc w:val="center"/>
              <w:rPr>
                <w:rFonts w:hAnsi="宋体" w:cs="宋体"/>
                <w:sz w:val="24"/>
                <w:szCs w:val="24"/>
              </w:rPr>
            </w:pPr>
            <w:r>
              <w:rPr>
                <w:rFonts w:hint="eastAsia" w:hAnsi="宋体" w:cs="宋体"/>
                <w:sz w:val="24"/>
                <w:szCs w:val="24"/>
              </w:rPr>
              <w:t>投标文件</w:t>
            </w:r>
          </w:p>
          <w:p>
            <w:pPr>
              <w:pStyle w:val="15"/>
              <w:spacing w:line="360" w:lineRule="auto"/>
              <w:jc w:val="center"/>
              <w:rPr>
                <w:rFonts w:hAnsi="宋体" w:cs="宋体"/>
                <w:sz w:val="24"/>
                <w:szCs w:val="24"/>
              </w:rPr>
            </w:pPr>
            <w:r>
              <w:rPr>
                <w:rFonts w:hint="eastAsia" w:hAnsi="宋体" w:cs="宋体"/>
                <w:sz w:val="24"/>
                <w:szCs w:val="24"/>
              </w:rPr>
              <w:t>响应商务内容</w:t>
            </w:r>
          </w:p>
        </w:tc>
        <w:tc>
          <w:tcPr>
            <w:tcW w:w="1410" w:type="dxa"/>
            <w:vAlign w:val="center"/>
          </w:tcPr>
          <w:p>
            <w:pPr>
              <w:pStyle w:val="15"/>
              <w:spacing w:line="360" w:lineRule="auto"/>
              <w:jc w:val="center"/>
              <w:rPr>
                <w:rFonts w:hAnsi="宋体" w:cs="宋体"/>
                <w:sz w:val="24"/>
                <w:szCs w:val="24"/>
              </w:rPr>
            </w:pPr>
            <w:r>
              <w:rPr>
                <w:rFonts w:hint="eastAsia" w:hAnsi="宋体" w:cs="宋体"/>
                <w:sz w:val="24"/>
                <w:szCs w:val="24"/>
              </w:rPr>
              <w:t>偏离情况</w:t>
            </w:r>
          </w:p>
        </w:tc>
        <w:tc>
          <w:tcPr>
            <w:tcW w:w="1356" w:type="dxa"/>
            <w:vAlign w:val="center"/>
          </w:tcPr>
          <w:p>
            <w:pPr>
              <w:pStyle w:val="15"/>
              <w:spacing w:line="360" w:lineRule="auto"/>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vAlign w:val="center"/>
          </w:tcPr>
          <w:p>
            <w:pPr>
              <w:pStyle w:val="15"/>
              <w:spacing w:line="480" w:lineRule="auto"/>
              <w:ind w:firstLine="480" w:firstLineChars="200"/>
              <w:jc w:val="left"/>
              <w:rPr>
                <w:rFonts w:hAnsi="宋体" w:cs="宋体"/>
                <w:sz w:val="24"/>
                <w:szCs w:val="24"/>
              </w:rPr>
            </w:pPr>
          </w:p>
        </w:tc>
        <w:tc>
          <w:tcPr>
            <w:tcW w:w="1938" w:type="dxa"/>
            <w:vAlign w:val="center"/>
          </w:tcPr>
          <w:p>
            <w:pPr>
              <w:pStyle w:val="15"/>
              <w:spacing w:line="480" w:lineRule="auto"/>
              <w:ind w:firstLine="480" w:firstLineChars="200"/>
              <w:jc w:val="left"/>
              <w:rPr>
                <w:rFonts w:hAnsi="宋体" w:cs="宋体"/>
                <w:sz w:val="24"/>
                <w:szCs w:val="24"/>
              </w:rPr>
            </w:pPr>
          </w:p>
        </w:tc>
        <w:tc>
          <w:tcPr>
            <w:tcW w:w="1410" w:type="dxa"/>
            <w:vAlign w:val="center"/>
          </w:tcPr>
          <w:p>
            <w:pPr>
              <w:pStyle w:val="15"/>
              <w:spacing w:line="480" w:lineRule="auto"/>
              <w:ind w:firstLine="480" w:firstLineChars="200"/>
              <w:jc w:val="left"/>
              <w:rPr>
                <w:rFonts w:hAnsi="宋体" w:cs="宋体"/>
                <w:sz w:val="24"/>
                <w:szCs w:val="24"/>
              </w:rPr>
            </w:pPr>
          </w:p>
        </w:tc>
        <w:tc>
          <w:tcPr>
            <w:tcW w:w="1356" w:type="dxa"/>
            <w:vAlign w:val="center"/>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33" w:type="dxa"/>
          </w:tcPr>
          <w:p>
            <w:pPr>
              <w:pStyle w:val="15"/>
              <w:spacing w:line="480" w:lineRule="auto"/>
              <w:jc w:val="left"/>
              <w:rPr>
                <w:rFonts w:hAnsi="宋体" w:cs="宋体"/>
                <w:sz w:val="24"/>
                <w:szCs w:val="24"/>
              </w:rPr>
            </w:pPr>
          </w:p>
        </w:tc>
        <w:tc>
          <w:tcPr>
            <w:tcW w:w="1521" w:type="dxa"/>
          </w:tcPr>
          <w:p>
            <w:pPr>
              <w:pStyle w:val="15"/>
              <w:spacing w:line="480" w:lineRule="auto"/>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bl>
    <w:p>
      <w:pPr>
        <w:pStyle w:val="8"/>
        <w:numPr>
          <w:ilvl w:val="0"/>
          <w:numId w:val="29"/>
        </w:numPr>
        <w:spacing w:line="360" w:lineRule="auto"/>
        <w:rPr>
          <w:rFonts w:ascii="宋体" w:hAnsi="宋体" w:cs="宋体"/>
          <w:b/>
          <w:bCs/>
          <w:sz w:val="24"/>
          <w:szCs w:val="24"/>
        </w:rPr>
      </w:pPr>
      <w:r>
        <w:rPr>
          <w:rFonts w:hint="eastAsia" w:ascii="宋体" w:hAnsi="宋体" w:cs="宋体"/>
          <w:b/>
          <w:bCs/>
          <w:sz w:val="24"/>
          <w:szCs w:val="24"/>
        </w:rPr>
        <w:t>本表须按“供应商须知前附表”中所列商务条款进行比较和响应；</w:t>
      </w:r>
    </w:p>
    <w:p>
      <w:pPr>
        <w:pStyle w:val="8"/>
        <w:numPr>
          <w:ilvl w:val="0"/>
          <w:numId w:val="29"/>
        </w:numPr>
        <w:spacing w:line="360" w:lineRule="auto"/>
        <w:rPr>
          <w:rFonts w:ascii="宋体" w:hAnsi="宋体" w:cs="宋体"/>
          <w:b/>
          <w:bCs/>
          <w:sz w:val="24"/>
          <w:szCs w:val="24"/>
        </w:rPr>
      </w:pPr>
      <w:r>
        <w:rPr>
          <w:rFonts w:hint="eastAsia" w:ascii="宋体" w:hAnsi="宋体" w:cs="宋体"/>
          <w:b/>
          <w:bCs/>
          <w:sz w:val="24"/>
          <w:szCs w:val="24"/>
        </w:rPr>
        <w:t>该表必须按照招标文件要求逐条如实填写，根据情况在“偏离情况”项填写正偏离或负偏离或无偏离，在“说明”项填写正偏离或负偏离原因。</w:t>
      </w:r>
    </w:p>
    <w:p>
      <w:pPr>
        <w:pStyle w:val="8"/>
        <w:numPr>
          <w:ilvl w:val="0"/>
          <w:numId w:val="29"/>
        </w:numPr>
        <w:spacing w:line="360" w:lineRule="auto"/>
        <w:rPr>
          <w:rFonts w:ascii="宋体" w:hAnsi="宋体" w:cs="宋体"/>
          <w:b/>
          <w:bCs/>
          <w:sz w:val="24"/>
          <w:szCs w:val="24"/>
        </w:rPr>
      </w:pPr>
      <w:r>
        <w:rPr>
          <w:rFonts w:hint="eastAsia" w:ascii="宋体" w:hAnsi="宋体" w:cs="宋体"/>
          <w:b/>
          <w:bCs/>
          <w:sz w:val="24"/>
          <w:szCs w:val="24"/>
        </w:rPr>
        <w:t>该表可扩展。</w:t>
      </w:r>
    </w:p>
    <w:p>
      <w:pPr>
        <w:pStyle w:val="8"/>
        <w:spacing w:line="360" w:lineRule="auto"/>
        <w:ind w:left="140" w:firstLine="0"/>
        <w:rPr>
          <w:rFonts w:ascii="宋体" w:hAnsi="宋体" w:cs="宋体"/>
          <w:b/>
          <w:bCs/>
          <w:sz w:val="28"/>
          <w:szCs w:val="28"/>
        </w:rPr>
      </w:pPr>
      <w:r>
        <w:rPr>
          <w:rFonts w:hint="eastAsia" w:ascii="宋体" w:hAnsi="宋体" w:cs="宋体"/>
          <w:b/>
          <w:bCs/>
          <w:sz w:val="24"/>
          <w:szCs w:val="24"/>
        </w:rPr>
        <w:t>商务条款不允许负偏离；</w:t>
      </w:r>
    </w:p>
    <w:p>
      <w:pPr>
        <w:pStyle w:val="8"/>
        <w:ind w:firstLine="0"/>
        <w:rPr>
          <w:rFonts w:ascii="宋体" w:hAnsi="宋体" w:cs="宋体"/>
          <w:sz w:val="28"/>
          <w:szCs w:val="28"/>
        </w:rPr>
      </w:pP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8"/>
          <w:szCs w:val="28"/>
        </w:rPr>
        <w:t>______________________</w:t>
      </w:r>
    </w:p>
    <w:p>
      <w:pPr>
        <w:adjustRightInd w:val="0"/>
        <w:snapToGrid w:val="0"/>
        <w:spacing w:line="480" w:lineRule="auto"/>
        <w:rPr>
          <w:rFonts w:ascii="宋体" w:hAnsi="宋体" w:cs="宋体"/>
          <w:sz w:val="28"/>
          <w:szCs w:val="28"/>
        </w:rPr>
        <w:sectPr>
          <w:headerReference r:id="rId11" w:type="default"/>
          <w:footerReference r:id="rId12" w:type="default"/>
          <w:pgSz w:w="11906" w:h="16838"/>
          <w:pgMar w:top="1440" w:right="1803" w:bottom="1440" w:left="1803" w:header="851" w:footer="992" w:gutter="0"/>
          <w:pgNumType w:fmt="decimal"/>
          <w:cols w:space="720" w:num="1"/>
          <w:docGrid w:type="lines" w:linePitch="319" w:charSpace="0"/>
        </w:sectPr>
      </w:pPr>
      <w:r>
        <w:rPr>
          <w:rFonts w:hint="eastAsia" w:ascii="宋体" w:hAnsi="宋体" w:cs="宋体"/>
          <w:sz w:val="24"/>
          <w:szCs w:val="24"/>
        </w:rPr>
        <w:t xml:space="preserve">日    期： </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p>
    <w:p>
      <w:pPr>
        <w:jc w:val="center"/>
        <w:rPr>
          <w:rFonts w:ascii="宋体" w:hAnsi="宋体" w:cs="宋体"/>
          <w:b/>
          <w:bCs/>
          <w:sz w:val="28"/>
          <w:szCs w:val="32"/>
        </w:rPr>
      </w:pPr>
      <w:r>
        <w:rPr>
          <w:rFonts w:hint="eastAsia" w:ascii="宋体" w:hAnsi="宋体" w:cs="宋体"/>
          <w:b/>
          <w:bCs/>
          <w:sz w:val="28"/>
          <w:szCs w:val="32"/>
        </w:rPr>
        <w:t>技术偏离表</w:t>
      </w:r>
    </w:p>
    <w:p>
      <w:pPr>
        <w:pStyle w:val="8"/>
        <w:ind w:firstLine="0"/>
        <w:rPr>
          <w:rFonts w:ascii="宋体" w:hAnsi="宋体" w:cs="宋体"/>
        </w:rPr>
      </w:pPr>
    </w:p>
    <w:p>
      <w:pPr>
        <w:rPr>
          <w:rFonts w:ascii="宋体" w:hAnsi="宋体" w:cs="宋体"/>
          <w:sz w:val="24"/>
          <w:szCs w:val="24"/>
        </w:rPr>
      </w:pPr>
    </w:p>
    <w:tbl>
      <w:tblPr>
        <w:tblStyle w:val="30"/>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pStyle w:val="15"/>
              <w:spacing w:line="360" w:lineRule="auto"/>
              <w:jc w:val="center"/>
              <w:rPr>
                <w:rFonts w:hAnsi="宋体" w:cs="宋体"/>
                <w:sz w:val="24"/>
                <w:szCs w:val="24"/>
              </w:rPr>
            </w:pPr>
            <w:r>
              <w:rPr>
                <w:rFonts w:hint="eastAsia" w:hAnsi="宋体" w:cs="宋体"/>
                <w:sz w:val="24"/>
                <w:szCs w:val="24"/>
              </w:rPr>
              <w:t>序号</w:t>
            </w:r>
          </w:p>
        </w:tc>
        <w:tc>
          <w:tcPr>
            <w:tcW w:w="1521" w:type="dxa"/>
            <w:vAlign w:val="center"/>
          </w:tcPr>
          <w:p>
            <w:pPr>
              <w:pStyle w:val="15"/>
              <w:spacing w:line="360" w:lineRule="auto"/>
              <w:jc w:val="center"/>
              <w:rPr>
                <w:rFonts w:hAnsi="宋体" w:cs="宋体"/>
                <w:sz w:val="24"/>
                <w:szCs w:val="24"/>
              </w:rPr>
            </w:pPr>
            <w:r>
              <w:rPr>
                <w:rFonts w:hint="eastAsia" w:hAnsi="宋体" w:cs="宋体"/>
                <w:sz w:val="24"/>
              </w:rPr>
              <w:t>产品名称</w:t>
            </w:r>
          </w:p>
        </w:tc>
        <w:tc>
          <w:tcPr>
            <w:tcW w:w="1600" w:type="dxa"/>
            <w:vAlign w:val="center"/>
          </w:tcPr>
          <w:p>
            <w:pPr>
              <w:spacing w:line="500" w:lineRule="exact"/>
              <w:jc w:val="center"/>
              <w:rPr>
                <w:rFonts w:ascii="宋体" w:hAnsi="宋体" w:cs="宋体"/>
                <w:sz w:val="24"/>
              </w:rPr>
            </w:pPr>
            <w:r>
              <w:rPr>
                <w:rFonts w:hint="eastAsia" w:ascii="宋体" w:hAnsi="宋体" w:cs="宋体"/>
                <w:sz w:val="24"/>
              </w:rPr>
              <w:t>标书要求</w:t>
            </w:r>
          </w:p>
          <w:p>
            <w:pPr>
              <w:spacing w:line="500" w:lineRule="exact"/>
              <w:jc w:val="center"/>
              <w:rPr>
                <w:rFonts w:ascii="宋体" w:hAnsi="宋体" w:cs="宋体"/>
                <w:sz w:val="24"/>
                <w:szCs w:val="24"/>
              </w:rPr>
            </w:pPr>
            <w:r>
              <w:rPr>
                <w:rFonts w:hint="eastAsia" w:ascii="宋体" w:hAnsi="宋体" w:cs="宋体"/>
                <w:sz w:val="24"/>
              </w:rPr>
              <w:t>技术指标</w:t>
            </w:r>
          </w:p>
        </w:tc>
        <w:tc>
          <w:tcPr>
            <w:tcW w:w="1938" w:type="dxa"/>
            <w:vAlign w:val="center"/>
          </w:tcPr>
          <w:p>
            <w:pPr>
              <w:spacing w:line="500" w:lineRule="exact"/>
              <w:jc w:val="center"/>
              <w:rPr>
                <w:rFonts w:ascii="宋体" w:hAnsi="宋体" w:cs="宋体"/>
                <w:sz w:val="24"/>
              </w:rPr>
            </w:pPr>
            <w:r>
              <w:rPr>
                <w:rFonts w:hint="eastAsia" w:ascii="宋体" w:hAnsi="宋体" w:cs="宋体"/>
                <w:sz w:val="24"/>
              </w:rPr>
              <w:t>投标产品</w:t>
            </w:r>
          </w:p>
          <w:p>
            <w:pPr>
              <w:spacing w:line="500" w:lineRule="exact"/>
              <w:jc w:val="center"/>
              <w:rPr>
                <w:rFonts w:ascii="宋体" w:hAnsi="宋体" w:cs="宋体"/>
                <w:sz w:val="24"/>
                <w:szCs w:val="24"/>
              </w:rPr>
            </w:pPr>
            <w:r>
              <w:rPr>
                <w:rFonts w:hint="eastAsia" w:ascii="宋体" w:hAnsi="宋体" w:cs="宋体"/>
                <w:sz w:val="24"/>
              </w:rPr>
              <w:t>技术指标</w:t>
            </w:r>
          </w:p>
        </w:tc>
        <w:tc>
          <w:tcPr>
            <w:tcW w:w="1410" w:type="dxa"/>
            <w:vAlign w:val="center"/>
          </w:tcPr>
          <w:p>
            <w:pPr>
              <w:spacing w:line="500" w:lineRule="exact"/>
              <w:jc w:val="center"/>
              <w:rPr>
                <w:rFonts w:ascii="宋体" w:hAnsi="宋体" w:cs="宋体"/>
                <w:sz w:val="24"/>
                <w:szCs w:val="24"/>
              </w:rPr>
            </w:pPr>
            <w:r>
              <w:rPr>
                <w:rFonts w:hint="eastAsia" w:ascii="宋体" w:hAnsi="宋体" w:cs="宋体"/>
                <w:sz w:val="24"/>
              </w:rPr>
              <w:t>偏离情况</w:t>
            </w:r>
          </w:p>
        </w:tc>
        <w:tc>
          <w:tcPr>
            <w:tcW w:w="1356" w:type="dxa"/>
            <w:vAlign w:val="center"/>
          </w:tcPr>
          <w:p>
            <w:pPr>
              <w:pStyle w:val="15"/>
              <w:spacing w:line="360" w:lineRule="auto"/>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vAlign w:val="center"/>
          </w:tcPr>
          <w:p>
            <w:pPr>
              <w:pStyle w:val="15"/>
              <w:spacing w:line="480" w:lineRule="auto"/>
              <w:ind w:firstLine="480" w:firstLineChars="200"/>
              <w:jc w:val="left"/>
              <w:rPr>
                <w:rFonts w:hAnsi="宋体" w:cs="宋体"/>
                <w:sz w:val="24"/>
                <w:szCs w:val="24"/>
              </w:rPr>
            </w:pPr>
          </w:p>
        </w:tc>
        <w:tc>
          <w:tcPr>
            <w:tcW w:w="1938" w:type="dxa"/>
            <w:vAlign w:val="center"/>
          </w:tcPr>
          <w:p>
            <w:pPr>
              <w:pStyle w:val="15"/>
              <w:spacing w:line="480" w:lineRule="auto"/>
              <w:ind w:firstLine="480" w:firstLineChars="200"/>
              <w:jc w:val="left"/>
              <w:rPr>
                <w:rFonts w:hAnsi="宋体" w:cs="宋体"/>
                <w:sz w:val="24"/>
                <w:szCs w:val="24"/>
              </w:rPr>
            </w:pPr>
          </w:p>
        </w:tc>
        <w:tc>
          <w:tcPr>
            <w:tcW w:w="1410" w:type="dxa"/>
            <w:vAlign w:val="center"/>
          </w:tcPr>
          <w:p>
            <w:pPr>
              <w:pStyle w:val="15"/>
              <w:spacing w:line="480" w:lineRule="auto"/>
              <w:ind w:firstLine="480" w:firstLineChars="200"/>
              <w:jc w:val="left"/>
              <w:rPr>
                <w:rFonts w:hAnsi="宋体" w:cs="宋体"/>
                <w:sz w:val="24"/>
                <w:szCs w:val="24"/>
              </w:rPr>
            </w:pPr>
          </w:p>
        </w:tc>
        <w:tc>
          <w:tcPr>
            <w:tcW w:w="1356" w:type="dxa"/>
            <w:vAlign w:val="center"/>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tcPr>
          <w:p>
            <w:pPr>
              <w:pStyle w:val="15"/>
              <w:spacing w:line="480" w:lineRule="auto"/>
              <w:ind w:firstLine="480" w:firstLineChars="200"/>
              <w:jc w:val="left"/>
              <w:rPr>
                <w:rFonts w:hAnsi="宋体" w:cs="宋体"/>
                <w:sz w:val="24"/>
                <w:szCs w:val="24"/>
              </w:rPr>
            </w:pPr>
          </w:p>
        </w:tc>
        <w:tc>
          <w:tcPr>
            <w:tcW w:w="1521" w:type="dxa"/>
          </w:tcPr>
          <w:p>
            <w:pPr>
              <w:pStyle w:val="15"/>
              <w:spacing w:line="480" w:lineRule="auto"/>
              <w:ind w:firstLine="480" w:firstLineChars="200"/>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33" w:type="dxa"/>
          </w:tcPr>
          <w:p>
            <w:pPr>
              <w:pStyle w:val="15"/>
              <w:spacing w:line="480" w:lineRule="auto"/>
              <w:jc w:val="left"/>
              <w:rPr>
                <w:rFonts w:hAnsi="宋体" w:cs="宋体"/>
                <w:sz w:val="24"/>
                <w:szCs w:val="24"/>
              </w:rPr>
            </w:pPr>
          </w:p>
        </w:tc>
        <w:tc>
          <w:tcPr>
            <w:tcW w:w="1521" w:type="dxa"/>
          </w:tcPr>
          <w:p>
            <w:pPr>
              <w:pStyle w:val="15"/>
              <w:spacing w:line="480" w:lineRule="auto"/>
              <w:jc w:val="left"/>
              <w:rPr>
                <w:rFonts w:hAnsi="宋体" w:cs="宋体"/>
                <w:sz w:val="24"/>
                <w:szCs w:val="24"/>
              </w:rPr>
            </w:pPr>
          </w:p>
        </w:tc>
        <w:tc>
          <w:tcPr>
            <w:tcW w:w="1600" w:type="dxa"/>
          </w:tcPr>
          <w:p>
            <w:pPr>
              <w:pStyle w:val="15"/>
              <w:spacing w:line="480" w:lineRule="auto"/>
              <w:ind w:firstLine="480" w:firstLineChars="200"/>
              <w:jc w:val="left"/>
              <w:rPr>
                <w:rFonts w:hAnsi="宋体" w:cs="宋体"/>
                <w:sz w:val="24"/>
                <w:szCs w:val="24"/>
              </w:rPr>
            </w:pPr>
          </w:p>
        </w:tc>
        <w:tc>
          <w:tcPr>
            <w:tcW w:w="1938" w:type="dxa"/>
          </w:tcPr>
          <w:p>
            <w:pPr>
              <w:pStyle w:val="15"/>
              <w:spacing w:line="480" w:lineRule="auto"/>
              <w:ind w:firstLine="480" w:firstLineChars="200"/>
              <w:jc w:val="left"/>
              <w:rPr>
                <w:rFonts w:hAnsi="宋体" w:cs="宋体"/>
                <w:sz w:val="24"/>
                <w:szCs w:val="24"/>
              </w:rPr>
            </w:pPr>
          </w:p>
        </w:tc>
        <w:tc>
          <w:tcPr>
            <w:tcW w:w="1410" w:type="dxa"/>
          </w:tcPr>
          <w:p>
            <w:pPr>
              <w:pStyle w:val="15"/>
              <w:spacing w:line="480" w:lineRule="auto"/>
              <w:ind w:firstLine="480" w:firstLineChars="200"/>
              <w:jc w:val="left"/>
              <w:rPr>
                <w:rFonts w:hAnsi="宋体" w:cs="宋体"/>
                <w:sz w:val="24"/>
                <w:szCs w:val="24"/>
              </w:rPr>
            </w:pPr>
          </w:p>
        </w:tc>
        <w:tc>
          <w:tcPr>
            <w:tcW w:w="1356" w:type="dxa"/>
          </w:tcPr>
          <w:p>
            <w:pPr>
              <w:pStyle w:val="15"/>
              <w:spacing w:line="480" w:lineRule="auto"/>
              <w:ind w:firstLine="480" w:firstLineChars="200"/>
              <w:jc w:val="left"/>
              <w:rPr>
                <w:rFonts w:hAnsi="宋体" w:cs="宋体"/>
                <w:sz w:val="24"/>
                <w:szCs w:val="24"/>
              </w:rPr>
            </w:pPr>
          </w:p>
        </w:tc>
      </w:tr>
    </w:tbl>
    <w:p>
      <w:pPr>
        <w:pStyle w:val="8"/>
        <w:spacing w:line="360" w:lineRule="auto"/>
        <w:ind w:left="140" w:firstLine="0"/>
        <w:rPr>
          <w:rFonts w:ascii="宋体" w:hAnsi="宋体" w:cs="宋体"/>
          <w:b/>
          <w:bCs/>
          <w:sz w:val="24"/>
          <w:szCs w:val="24"/>
        </w:rPr>
      </w:pPr>
      <w:r>
        <w:rPr>
          <w:rFonts w:hint="eastAsia" w:ascii="宋体" w:hAnsi="宋体" w:cs="宋体"/>
          <w:b/>
          <w:bCs/>
          <w:sz w:val="24"/>
          <w:szCs w:val="24"/>
        </w:rPr>
        <w:t>1、本表须按“第五部分采购要求”中所列技术要求进行比较和响应；</w:t>
      </w:r>
    </w:p>
    <w:p>
      <w:pPr>
        <w:pStyle w:val="8"/>
        <w:spacing w:line="360" w:lineRule="auto"/>
        <w:ind w:left="140" w:firstLine="0"/>
        <w:rPr>
          <w:rFonts w:ascii="宋体" w:hAnsi="宋体" w:cs="宋体"/>
          <w:sz w:val="24"/>
          <w:szCs w:val="24"/>
        </w:rPr>
      </w:pPr>
      <w:r>
        <w:rPr>
          <w:rFonts w:hint="eastAsia" w:ascii="宋体" w:hAnsi="宋体" w:cs="宋体"/>
          <w:b/>
          <w:bCs/>
          <w:sz w:val="24"/>
          <w:szCs w:val="24"/>
        </w:rPr>
        <w:t>2、该表必须按照招标文件要求逐条如实填写，根据情况在“偏离情况”项填写正偏离或负偏离或无偏离，在“说明”项填写正偏离或负偏离原因。</w:t>
      </w:r>
    </w:p>
    <w:p>
      <w:pPr>
        <w:pStyle w:val="8"/>
        <w:spacing w:line="360" w:lineRule="auto"/>
        <w:ind w:left="140" w:firstLine="0"/>
        <w:rPr>
          <w:rFonts w:ascii="宋体" w:hAnsi="宋体" w:cs="宋体"/>
          <w:sz w:val="24"/>
          <w:szCs w:val="24"/>
        </w:rPr>
      </w:pPr>
      <w:r>
        <w:rPr>
          <w:rFonts w:hint="eastAsia" w:ascii="宋体" w:hAnsi="宋体" w:cs="宋体"/>
          <w:b/>
          <w:bCs/>
          <w:sz w:val="24"/>
          <w:szCs w:val="24"/>
        </w:rPr>
        <w:t>3、该表可扩展。</w:t>
      </w:r>
    </w:p>
    <w:p>
      <w:pPr>
        <w:pStyle w:val="8"/>
        <w:ind w:firstLine="0"/>
        <w:rPr>
          <w:rFonts w:ascii="宋体" w:hAnsi="宋体" w:cs="宋体"/>
          <w:sz w:val="28"/>
          <w:szCs w:val="28"/>
        </w:rPr>
      </w:pP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8"/>
          <w:szCs w:val="28"/>
        </w:rPr>
        <w:t>______________________</w:t>
      </w:r>
    </w:p>
    <w:p>
      <w:pPr>
        <w:adjustRightInd w:val="0"/>
        <w:snapToGrid w:val="0"/>
        <w:spacing w:line="480" w:lineRule="auto"/>
        <w:rPr>
          <w:rFonts w:ascii="宋体" w:hAnsi="宋体" w:cs="宋体"/>
          <w:sz w:val="28"/>
          <w:szCs w:val="28"/>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sz w:val="24"/>
          <w:szCs w:val="24"/>
        </w:rPr>
        <w:t xml:space="preserve">日    期： </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p>
    <w:bookmarkEnd w:id="82"/>
    <w:bookmarkEnd w:id="83"/>
    <w:p>
      <w:pPr>
        <w:rPr>
          <w:rFonts w:ascii="宋体" w:hAnsi="宋体" w:cs="宋体"/>
        </w:rPr>
      </w:pPr>
      <w:bookmarkStart w:id="85" w:name="OLE_LINK1"/>
      <w:bookmarkStart w:id="86" w:name="_Toc31390"/>
    </w:p>
    <w:bookmarkEnd w:id="85"/>
    <w:p>
      <w:pPr>
        <w:pStyle w:val="4"/>
        <w:jc w:val="center"/>
        <w:rPr>
          <w:rFonts w:ascii="宋体" w:hAnsi="宋体" w:cs="宋体"/>
          <w:sz w:val="36"/>
          <w:szCs w:val="36"/>
        </w:rPr>
      </w:pPr>
      <w:bookmarkStart w:id="87" w:name="_Toc8621"/>
      <w:bookmarkStart w:id="88" w:name="_Toc6356"/>
      <w:bookmarkStart w:id="89" w:name="_Toc22616"/>
      <w:r>
        <w:rPr>
          <w:rFonts w:hint="eastAsia" w:ascii="宋体" w:hAnsi="宋体" w:cs="宋体"/>
          <w:sz w:val="36"/>
          <w:szCs w:val="36"/>
        </w:rPr>
        <w:t>第四部分  供应商资格要求</w:t>
      </w:r>
      <w:bookmarkEnd w:id="87"/>
      <w:bookmarkEnd w:id="88"/>
      <w:bookmarkEnd w:id="89"/>
    </w:p>
    <w:p>
      <w:pPr>
        <w:rPr>
          <w:rFonts w:ascii="宋体" w:hAnsi="宋体" w:cs="宋体"/>
        </w:rPr>
      </w:pPr>
    </w:p>
    <w:p>
      <w:pPr>
        <w:snapToGrid w:val="0"/>
        <w:spacing w:line="360" w:lineRule="auto"/>
        <w:ind w:right="-199" w:rightChars="-95"/>
        <w:jc w:val="left"/>
        <w:rPr>
          <w:rFonts w:ascii="宋体" w:hAnsi="宋体" w:cs="宋体"/>
          <w:kern w:val="0"/>
          <w:sz w:val="24"/>
          <w:szCs w:val="24"/>
        </w:rPr>
      </w:pPr>
      <w:r>
        <w:rPr>
          <w:rFonts w:hint="eastAsia" w:ascii="宋体" w:hAnsi="宋体" w:cs="宋体"/>
          <w:kern w:val="0"/>
          <w:sz w:val="24"/>
          <w:szCs w:val="24"/>
        </w:rPr>
        <w:t>供应商根据招标文件公告资质要求内容附资质证明文件。</w:t>
      </w:r>
    </w:p>
    <w:p>
      <w:pPr>
        <w:pStyle w:val="12"/>
        <w:rPr>
          <w:rFonts w:ascii="宋体" w:hAnsi="宋体" w:cs="宋体"/>
        </w:rPr>
        <w:sectPr>
          <w:headerReference r:id="rId13" w:type="default"/>
          <w:pgSz w:w="11906" w:h="16838"/>
          <w:pgMar w:top="1440" w:right="1803" w:bottom="1440" w:left="1803" w:header="851" w:footer="992" w:gutter="0"/>
          <w:pgNumType w:fmt="decimal"/>
          <w:cols w:space="720" w:num="1"/>
          <w:docGrid w:type="lines" w:linePitch="319" w:charSpace="0"/>
        </w:sectPr>
      </w:pPr>
      <w:r>
        <w:rPr>
          <w:rFonts w:hint="eastAsia" w:ascii="宋体" w:hAnsi="宋体" w:cs="宋体"/>
        </w:rPr>
        <w:t xml:space="preserve">                       </w:t>
      </w:r>
    </w:p>
    <w:p>
      <w:pPr>
        <w:rPr>
          <w:rFonts w:ascii="宋体" w:hAnsi="宋体" w:cs="宋体"/>
          <w:sz w:val="24"/>
          <w:szCs w:val="24"/>
        </w:rPr>
      </w:pPr>
      <w:r>
        <w:rPr>
          <w:rFonts w:hint="eastAsia" w:ascii="宋体" w:hAnsi="宋体" w:cs="宋体"/>
          <w:sz w:val="24"/>
          <w:szCs w:val="24"/>
        </w:rPr>
        <w:t>（一）基本资格条件</w:t>
      </w:r>
    </w:p>
    <w:p>
      <w:pPr>
        <w:rPr>
          <w:rFonts w:ascii="宋体" w:hAnsi="宋体" w:cs="宋体"/>
          <w:sz w:val="24"/>
          <w:szCs w:val="24"/>
        </w:rPr>
      </w:pPr>
    </w:p>
    <w:p>
      <w:pPr>
        <w:pStyle w:val="12"/>
        <w:rPr>
          <w:rFonts w:ascii="宋体" w:hAnsi="宋体" w:cs="宋体"/>
          <w:color w:val="auto"/>
          <w:sz w:val="32"/>
          <w:szCs w:val="32"/>
        </w:rPr>
      </w:pPr>
      <w:r>
        <w:rPr>
          <w:rFonts w:hint="eastAsia" w:ascii="宋体" w:hAnsi="宋体" w:cs="宋体"/>
          <w:color w:val="auto"/>
          <w:sz w:val="32"/>
          <w:szCs w:val="32"/>
        </w:rPr>
        <w:t>满足《中华人民共和国政府采购法》第二十二条规定的</w:t>
      </w:r>
    </w:p>
    <w:p>
      <w:pPr>
        <w:pStyle w:val="12"/>
        <w:jc w:val="center"/>
        <w:rPr>
          <w:rFonts w:ascii="宋体" w:hAnsi="宋体" w:cs="宋体"/>
          <w:color w:val="auto"/>
          <w:sz w:val="32"/>
          <w:szCs w:val="32"/>
        </w:rPr>
      </w:pPr>
      <w:r>
        <w:rPr>
          <w:rFonts w:hint="eastAsia" w:ascii="宋体" w:hAnsi="宋体" w:cs="宋体"/>
          <w:color w:val="auto"/>
          <w:sz w:val="32"/>
          <w:szCs w:val="32"/>
        </w:rPr>
        <w:t>资格承诺（格式）</w:t>
      </w: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我单位参与陕西卓佲项目管理有限公司组织________________________(项目名称)公开招标，我公司符合《中华人民共和国政府采购法》规定的供应商资格条件：</w:t>
      </w:r>
    </w:p>
    <w:p>
      <w:pPr>
        <w:numPr>
          <w:ilvl w:val="0"/>
          <w:numId w:val="30"/>
        </w:numPr>
        <w:spacing w:line="500" w:lineRule="exact"/>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30"/>
        </w:numPr>
        <w:spacing w:line="500" w:lineRule="exact"/>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30"/>
        </w:numPr>
        <w:spacing w:line="500" w:lineRule="exact"/>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30"/>
        </w:numPr>
        <w:spacing w:line="500" w:lineRule="exact"/>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30"/>
        </w:numPr>
        <w:spacing w:line="500" w:lineRule="exact"/>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30"/>
        </w:numPr>
        <w:spacing w:line="500" w:lineRule="exact"/>
        <w:jc w:val="left"/>
        <w:rPr>
          <w:rFonts w:ascii="宋体" w:hAnsi="宋体" w:cs="宋体"/>
          <w:sz w:val="24"/>
          <w:szCs w:val="24"/>
        </w:rPr>
      </w:pPr>
      <w:r>
        <w:rPr>
          <w:rFonts w:hint="eastAsia" w:ascii="宋体" w:hAnsi="宋体" w:cs="宋体"/>
          <w:sz w:val="24"/>
          <w:szCs w:val="24"/>
        </w:rPr>
        <w:t>法律、行政法规规定的其他条件。</w:t>
      </w:r>
    </w:p>
    <w:p>
      <w:pPr>
        <w:pStyle w:val="12"/>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我方对此声明负全部法律责任。</w:t>
      </w:r>
    </w:p>
    <w:p>
      <w:pPr>
        <w:pStyle w:val="15"/>
        <w:spacing w:line="500" w:lineRule="exact"/>
        <w:jc w:val="left"/>
        <w:rPr>
          <w:rFonts w:hAnsi="宋体" w:cs="宋体"/>
          <w:sz w:val="24"/>
          <w:szCs w:val="24"/>
        </w:rPr>
      </w:pPr>
    </w:p>
    <w:p>
      <w:pPr>
        <w:pStyle w:val="15"/>
        <w:spacing w:line="480" w:lineRule="auto"/>
        <w:jc w:val="left"/>
        <w:rPr>
          <w:rFonts w:hAnsi="宋体" w:cs="宋体"/>
          <w:sz w:val="24"/>
        </w:rPr>
      </w:pPr>
    </w:p>
    <w:p>
      <w:pPr>
        <w:pStyle w:val="15"/>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15"/>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pacing w:line="360" w:lineRule="auto"/>
        <w:rPr>
          <w:rFonts w:ascii="宋体" w:hAnsi="宋体" w:cs="宋体"/>
          <w:sz w:val="24"/>
          <w:szCs w:val="24"/>
          <w:u w:val="single"/>
        </w:rPr>
      </w:pPr>
    </w:p>
    <w:p>
      <w:pPr>
        <w:spacing w:line="360" w:lineRule="auto"/>
        <w:rPr>
          <w:rFonts w:ascii="宋体" w:hAnsi="宋体" w:cs="宋体"/>
          <w:sz w:val="24"/>
          <w:szCs w:val="24"/>
          <w:u w:val="single"/>
        </w:rPr>
      </w:pPr>
    </w:p>
    <w:p>
      <w:pPr>
        <w:spacing w:line="360" w:lineRule="auto"/>
        <w:rPr>
          <w:rFonts w:ascii="宋体" w:hAnsi="宋体" w:cs="宋体"/>
          <w:sz w:val="24"/>
          <w:szCs w:val="24"/>
          <w:u w:val="single"/>
        </w:rPr>
      </w:pPr>
    </w:p>
    <w:p>
      <w:pPr>
        <w:spacing w:line="360" w:lineRule="auto"/>
        <w:rPr>
          <w:rFonts w:ascii="宋体" w:hAnsi="宋体" w:cs="宋体"/>
          <w:sz w:val="24"/>
          <w:szCs w:val="24"/>
          <w:u w:val="single"/>
        </w:rPr>
      </w:pPr>
    </w:p>
    <w:p>
      <w:pPr>
        <w:spacing w:line="360" w:lineRule="auto"/>
        <w:rPr>
          <w:rFonts w:ascii="宋体" w:hAnsi="宋体" w:cs="宋体"/>
          <w:sz w:val="24"/>
          <w:szCs w:val="24"/>
          <w:u w:val="single"/>
        </w:rPr>
      </w:pPr>
    </w:p>
    <w:p>
      <w:pPr>
        <w:spacing w:line="360" w:lineRule="auto"/>
        <w:rPr>
          <w:rFonts w:ascii="宋体" w:hAnsi="宋体" w:cs="宋体"/>
          <w:sz w:val="28"/>
          <w:szCs w:val="32"/>
        </w:rPr>
      </w:pPr>
      <w:r>
        <w:rPr>
          <w:rFonts w:hint="eastAsia" w:ascii="宋体" w:hAnsi="宋体" w:cs="宋体"/>
          <w:sz w:val="28"/>
          <w:szCs w:val="32"/>
        </w:rPr>
        <w:t>（二）特定资格条件</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spacing w:line="360" w:lineRule="auto"/>
        <w:ind w:firstLine="480" w:firstLineChars="200"/>
        <w:rPr>
          <w:rFonts w:ascii="宋体" w:hAnsi="宋体" w:cs="宋体"/>
          <w:sz w:val="24"/>
          <w:szCs w:val="24"/>
        </w:rPr>
      </w:pPr>
      <w:r>
        <w:rPr>
          <w:rFonts w:hint="eastAsia" w:ascii="宋体" w:hAnsi="宋体" w:cs="宋体"/>
          <w:sz w:val="24"/>
          <w:szCs w:val="24"/>
        </w:rPr>
        <w:t>2、财务状况证明：</w:t>
      </w:r>
      <w:r>
        <w:rPr>
          <w:rFonts w:hint="eastAsia" w:ascii="宋体" w:hAnsi="宋体" w:cs="宋体"/>
          <w:sz w:val="24"/>
        </w:rPr>
        <w:t>供应商提供2021年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r>
        <w:rPr>
          <w:rFonts w:hint="eastAsia" w:ascii="宋体" w:hAnsi="宋体" w:cs="宋体"/>
          <w:sz w:val="24"/>
          <w:szCs w:val="24"/>
        </w:rPr>
        <w:t>；</w:t>
      </w:r>
    </w:p>
    <w:p>
      <w:pPr>
        <w:keepNext/>
        <w:keepLines/>
        <w:spacing w:line="413" w:lineRule="auto"/>
        <w:jc w:val="center"/>
        <w:rPr>
          <w:rFonts w:ascii="宋体" w:hAnsi="宋体" w:cs="宋体"/>
          <w:sz w:val="32"/>
          <w:szCs w:val="24"/>
        </w:rPr>
        <w:sectPr>
          <w:headerReference r:id="rId14" w:type="default"/>
          <w:pgSz w:w="11906" w:h="16838"/>
          <w:pgMar w:top="1440" w:right="1803" w:bottom="1440" w:left="1803" w:header="851" w:footer="992" w:gutter="0"/>
          <w:pgNumType w:fmt="decimal"/>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rPr>
        <w:t>3、履行合同所必需的设备和专业技术能力声明（格式）</w:t>
      </w:r>
    </w:p>
    <w:p>
      <w:pPr>
        <w:rPr>
          <w:rFonts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720" w:firstLineChars="300"/>
        <w:jc w:val="left"/>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我单位参与陕西卓佲项目管理有限公司组织的____________________(项目名称)，我单位郑重声明：我方</w:t>
      </w:r>
      <w:r>
        <w:rPr>
          <w:rFonts w:hint="eastAsia" w:ascii="宋体" w:hAnsi="宋体" w:cs="宋体"/>
          <w:b/>
          <w:bCs/>
          <w:sz w:val="24"/>
          <w:szCs w:val="24"/>
        </w:rPr>
        <w:t>具有履行合同所必需的设备和专业技术能力</w:t>
      </w:r>
      <w:r>
        <w:rPr>
          <w:rFonts w:hint="eastAsia" w:ascii="宋体" w:hAnsi="宋体" w:cs="宋体"/>
          <w:kern w:val="0"/>
          <w:sz w:val="24"/>
          <w:szCs w:val="24"/>
        </w:rPr>
        <w:t>，符合《中华人民共和国政府采购法》规定的供应商资格条件，我方对此声明负全部法律责任。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15"/>
        <w:spacing w:line="500" w:lineRule="exact"/>
        <w:jc w:val="left"/>
        <w:rPr>
          <w:rFonts w:hAnsi="宋体" w:cs="宋体"/>
          <w:sz w:val="24"/>
          <w:szCs w:val="24"/>
        </w:rPr>
      </w:pPr>
    </w:p>
    <w:p>
      <w:pPr>
        <w:pStyle w:val="15"/>
        <w:spacing w:line="480" w:lineRule="auto"/>
        <w:jc w:val="left"/>
        <w:rPr>
          <w:rFonts w:hAnsi="宋体" w:cs="宋体"/>
          <w:sz w:val="24"/>
        </w:rPr>
      </w:pPr>
    </w:p>
    <w:p>
      <w:pPr>
        <w:pStyle w:val="15"/>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15"/>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pacing w:line="360" w:lineRule="auto"/>
        <w:ind w:firstLine="480" w:firstLineChars="200"/>
        <w:rPr>
          <w:rFonts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spacing w:line="360" w:lineRule="auto"/>
        <w:ind w:firstLine="480" w:firstLineChars="200"/>
        <w:rPr>
          <w:rFonts w:ascii="宋体" w:hAnsi="宋体" w:cs="宋体"/>
          <w:sz w:val="24"/>
          <w:szCs w:val="24"/>
        </w:rPr>
      </w:pPr>
      <w:r>
        <w:rPr>
          <w:rFonts w:hint="eastAsia" w:ascii="宋体" w:hAnsi="宋体" w:cs="宋体"/>
          <w:sz w:val="24"/>
          <w:szCs w:val="24"/>
        </w:rPr>
        <w:t>4、社会保障资金缴纳证明：提供202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p>
    <w:p>
      <w:pPr>
        <w:spacing w:line="360" w:lineRule="auto"/>
        <w:ind w:firstLine="480" w:firstLineChars="200"/>
        <w:rPr>
          <w:rFonts w:ascii="宋体" w:hAnsi="宋体" w:cs="宋体"/>
          <w:sz w:val="24"/>
          <w:szCs w:val="24"/>
        </w:rPr>
      </w:pPr>
      <w:r>
        <w:rPr>
          <w:rFonts w:hint="eastAsia" w:ascii="宋体" w:hAnsi="宋体" w:cs="宋体"/>
          <w:sz w:val="24"/>
          <w:szCs w:val="24"/>
        </w:rPr>
        <w:t>5、税收缴纳证明：提供202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月以来至少一个月的纳税证明或完税证明，依法免税的单位应提供相关证明材料；</w:t>
      </w: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tabs>
          <w:tab w:val="left" w:pos="2850"/>
        </w:tabs>
        <w:jc w:val="left"/>
        <w:rPr>
          <w:rFonts w:ascii="宋体" w:hAnsi="宋体" w:cs="宋体"/>
          <w:sz w:val="28"/>
          <w:szCs w:val="32"/>
        </w:rPr>
      </w:pPr>
      <w:r>
        <w:rPr>
          <w:rFonts w:hint="eastAsia" w:ascii="宋体" w:hAnsi="宋体" w:cs="宋体"/>
          <w:sz w:val="28"/>
          <w:szCs w:val="32"/>
        </w:rPr>
        <w:tab/>
      </w:r>
    </w:p>
    <w:p>
      <w:pPr>
        <w:pStyle w:val="8"/>
      </w:pPr>
    </w:p>
    <w:p>
      <w:pPr>
        <w:tabs>
          <w:tab w:val="left" w:pos="2235"/>
        </w:tabs>
        <w:jc w:val="left"/>
        <w:rPr>
          <w:rFonts w:ascii="宋体" w:hAnsi="宋体" w:cs="宋体"/>
          <w:sz w:val="28"/>
          <w:szCs w:val="32"/>
        </w:rPr>
      </w:pPr>
      <w:r>
        <w:rPr>
          <w:rFonts w:hint="eastAsia" w:ascii="宋体" w:hAnsi="宋体" w:cs="宋体"/>
          <w:sz w:val="28"/>
          <w:szCs w:val="32"/>
        </w:rPr>
        <w:tab/>
      </w:r>
    </w:p>
    <w:p>
      <w:pPr>
        <w:pStyle w:val="8"/>
        <w:rPr>
          <w:rFonts w:ascii="宋体" w:hAnsi="宋体" w:cs="宋体"/>
          <w:sz w:val="28"/>
          <w:szCs w:val="32"/>
        </w:rPr>
      </w:pPr>
    </w:p>
    <w:p>
      <w:pPr>
        <w:pStyle w:val="15"/>
        <w:rPr>
          <w:rFonts w:hAnsi="宋体" w:cs="宋体"/>
          <w:sz w:val="28"/>
          <w:szCs w:val="32"/>
        </w:rPr>
      </w:pPr>
    </w:p>
    <w:p>
      <w:pPr>
        <w:pStyle w:val="15"/>
        <w:rPr>
          <w:rFonts w:hAnsi="宋体" w:cs="宋体"/>
          <w:sz w:val="28"/>
          <w:szCs w:val="32"/>
        </w:rPr>
      </w:pPr>
    </w:p>
    <w:p>
      <w:pPr>
        <w:pStyle w:val="15"/>
        <w:rPr>
          <w:rFonts w:hAnsi="宋体" w:cs="宋体"/>
          <w:sz w:val="28"/>
          <w:szCs w:val="32"/>
        </w:rPr>
      </w:pPr>
    </w:p>
    <w:p>
      <w:pPr>
        <w:pStyle w:val="15"/>
        <w:rPr>
          <w:rFonts w:hAnsi="宋体" w:cs="宋体"/>
          <w:sz w:val="28"/>
          <w:szCs w:val="32"/>
        </w:rPr>
      </w:pPr>
    </w:p>
    <w:p>
      <w:pPr>
        <w:pStyle w:val="15"/>
        <w:rPr>
          <w:rFonts w:hAnsi="宋体" w:cs="宋体"/>
          <w:sz w:val="28"/>
          <w:szCs w:val="32"/>
        </w:rPr>
      </w:pPr>
    </w:p>
    <w:p>
      <w:pPr>
        <w:jc w:val="center"/>
        <w:rPr>
          <w:rFonts w:ascii="宋体" w:hAnsi="宋体" w:cs="宋体"/>
          <w:sz w:val="28"/>
          <w:szCs w:val="32"/>
        </w:rPr>
      </w:pPr>
    </w:p>
    <w:p>
      <w:pPr>
        <w:keepNext/>
        <w:keepLines/>
        <w:spacing w:line="413" w:lineRule="auto"/>
        <w:jc w:val="center"/>
        <w:rPr>
          <w:rFonts w:ascii="宋体" w:hAnsi="宋体" w:cs="宋体"/>
          <w:sz w:val="32"/>
          <w:szCs w:val="24"/>
        </w:rPr>
      </w:pPr>
      <w:r>
        <w:rPr>
          <w:rFonts w:hint="eastAsia" w:ascii="宋体" w:hAnsi="宋体" w:cs="宋体"/>
          <w:sz w:val="32"/>
          <w:szCs w:val="24"/>
        </w:rPr>
        <w:t>6、无重大违法记录声明（格式）</w:t>
      </w:r>
    </w:p>
    <w:p>
      <w:pPr>
        <w:rPr>
          <w:rFonts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__(项目名称)公开招标，我单位郑重声明：我方参加本项目公开招标工作前三年内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15"/>
        <w:spacing w:line="500" w:lineRule="exact"/>
        <w:jc w:val="left"/>
        <w:rPr>
          <w:rFonts w:hAnsi="宋体" w:cs="宋体"/>
          <w:sz w:val="24"/>
          <w:szCs w:val="24"/>
        </w:rPr>
      </w:pPr>
    </w:p>
    <w:p>
      <w:pPr>
        <w:pStyle w:val="15"/>
        <w:spacing w:line="480" w:lineRule="auto"/>
        <w:jc w:val="left"/>
        <w:rPr>
          <w:rFonts w:hAnsi="宋体" w:cs="宋体"/>
          <w:sz w:val="24"/>
        </w:rPr>
      </w:pPr>
    </w:p>
    <w:p>
      <w:pPr>
        <w:pStyle w:val="15"/>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15"/>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p>
    <w:p>
      <w:pPr>
        <w:jc w:val="center"/>
        <w:rPr>
          <w:rFonts w:ascii="宋体" w:hAnsi="宋体" w:cs="宋体"/>
          <w:sz w:val="28"/>
          <w:szCs w:val="32"/>
        </w:rPr>
      </w:pPr>
      <w:r>
        <w:rPr>
          <w:rFonts w:hint="eastAsia" w:ascii="宋体" w:hAnsi="宋体" w:cs="宋体"/>
          <w:sz w:val="28"/>
          <w:szCs w:val="32"/>
        </w:rPr>
        <w:t>7-1法定代表人证明书（格式）</w:t>
      </w:r>
    </w:p>
    <w:tbl>
      <w:tblPr>
        <w:tblStyle w:val="30"/>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vAlign w:val="center"/>
          </w:tcPr>
          <w:p>
            <w:pPr>
              <w:tabs>
                <w:tab w:val="left" w:pos="210"/>
              </w:tabs>
              <w:spacing w:line="360" w:lineRule="auto"/>
              <w:jc w:val="left"/>
              <w:rPr>
                <w:rFonts w:ascii="宋体" w:hAnsi="宋体" w:cs="宋体"/>
                <w:kern w:val="0"/>
              </w:rPr>
            </w:pPr>
            <w:r>
              <w:rPr>
                <w:rFonts w:hint="eastAsia" w:ascii="宋体" w:hAnsi="宋体" w:cs="宋体"/>
                <w:kern w:val="0"/>
              </w:rPr>
              <w:t>致：陕西卓佲项目管理有限公司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rPr>
            </w:pPr>
            <w:r>
              <w:rPr>
                <w:rFonts w:hint="eastAsia" w:ascii="宋体" w:hAnsi="宋体" w:cs="宋体"/>
                <w:kern w:val="0"/>
              </w:rPr>
              <w:t>企</w:t>
            </w:r>
          </w:p>
          <w:p>
            <w:pPr>
              <w:tabs>
                <w:tab w:val="left" w:pos="210"/>
              </w:tabs>
              <w:spacing w:line="360" w:lineRule="auto"/>
              <w:jc w:val="center"/>
              <w:rPr>
                <w:rFonts w:ascii="宋体" w:hAnsi="宋体" w:cs="宋体"/>
                <w:kern w:val="0"/>
              </w:rPr>
            </w:pPr>
            <w:r>
              <w:rPr>
                <w:rFonts w:hint="eastAsia" w:ascii="宋体" w:hAnsi="宋体" w:cs="宋体"/>
                <w:kern w:val="0"/>
              </w:rPr>
              <w:t>业</w:t>
            </w:r>
          </w:p>
          <w:p>
            <w:pPr>
              <w:tabs>
                <w:tab w:val="left" w:pos="210"/>
              </w:tabs>
              <w:spacing w:line="360" w:lineRule="auto"/>
              <w:jc w:val="center"/>
              <w:rPr>
                <w:rFonts w:ascii="宋体" w:hAnsi="宋体" w:cs="宋体"/>
                <w:kern w:val="0"/>
              </w:rPr>
            </w:pPr>
            <w:r>
              <w:rPr>
                <w:rFonts w:hint="eastAsia" w:ascii="宋体" w:hAnsi="宋体" w:cs="宋体"/>
                <w:kern w:val="0"/>
              </w:rPr>
              <w:t>法</w:t>
            </w:r>
          </w:p>
          <w:p>
            <w:pPr>
              <w:tabs>
                <w:tab w:val="left" w:pos="210"/>
              </w:tabs>
              <w:spacing w:line="360" w:lineRule="auto"/>
              <w:jc w:val="center"/>
              <w:rPr>
                <w:rFonts w:ascii="宋体" w:hAnsi="宋体" w:cs="宋体"/>
                <w:kern w:val="0"/>
              </w:rPr>
            </w:pPr>
            <w:r>
              <w:rPr>
                <w:rFonts w:hint="eastAsia" w:ascii="宋体" w:hAnsi="宋体" w:cs="宋体"/>
                <w:kern w:val="0"/>
              </w:rPr>
              <w:t>人</w:t>
            </w:r>
          </w:p>
        </w:tc>
        <w:tc>
          <w:tcPr>
            <w:tcW w:w="2160" w:type="dxa"/>
            <w:vAlign w:val="center"/>
          </w:tcPr>
          <w:p>
            <w:pPr>
              <w:tabs>
                <w:tab w:val="left" w:pos="210"/>
              </w:tabs>
              <w:spacing w:line="360" w:lineRule="auto"/>
              <w:rPr>
                <w:rFonts w:ascii="宋体" w:hAnsi="宋体" w:cs="宋体"/>
                <w:kern w:val="0"/>
              </w:rPr>
            </w:pPr>
            <w:r>
              <w:rPr>
                <w:rFonts w:hint="eastAsia" w:ascii="宋体" w:hAnsi="宋体" w:cs="宋体"/>
                <w:kern w:val="0"/>
              </w:rPr>
              <w:t>企业名称</w:t>
            </w:r>
          </w:p>
        </w:tc>
        <w:tc>
          <w:tcPr>
            <w:tcW w:w="6656" w:type="dxa"/>
            <w:gridSpan w:val="4"/>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rPr>
            </w:pPr>
          </w:p>
        </w:tc>
        <w:tc>
          <w:tcPr>
            <w:tcW w:w="2160" w:type="dxa"/>
            <w:vAlign w:val="center"/>
          </w:tcPr>
          <w:p>
            <w:pPr>
              <w:tabs>
                <w:tab w:val="left" w:pos="210"/>
              </w:tabs>
              <w:spacing w:line="360" w:lineRule="auto"/>
              <w:rPr>
                <w:rFonts w:ascii="宋体" w:hAnsi="宋体" w:cs="宋体"/>
                <w:kern w:val="0"/>
              </w:rPr>
            </w:pPr>
            <w:r>
              <w:rPr>
                <w:rFonts w:hint="eastAsia" w:ascii="宋体" w:hAnsi="宋体" w:cs="宋体"/>
                <w:kern w:val="0"/>
              </w:rPr>
              <w:t>法定地址</w:t>
            </w:r>
          </w:p>
        </w:tc>
        <w:tc>
          <w:tcPr>
            <w:tcW w:w="6656" w:type="dxa"/>
            <w:gridSpan w:val="4"/>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rPr>
            </w:pPr>
          </w:p>
        </w:tc>
        <w:tc>
          <w:tcPr>
            <w:tcW w:w="2160" w:type="dxa"/>
            <w:vAlign w:val="center"/>
          </w:tcPr>
          <w:p>
            <w:pPr>
              <w:tabs>
                <w:tab w:val="left" w:pos="210"/>
              </w:tabs>
              <w:spacing w:line="360" w:lineRule="auto"/>
              <w:rPr>
                <w:rFonts w:ascii="宋体" w:hAnsi="宋体" w:cs="宋体"/>
                <w:kern w:val="0"/>
              </w:rPr>
            </w:pPr>
            <w:r>
              <w:rPr>
                <w:rFonts w:hint="eastAsia" w:ascii="宋体" w:hAnsi="宋体" w:cs="宋体"/>
                <w:kern w:val="0"/>
              </w:rPr>
              <w:t>邮政编码</w:t>
            </w:r>
          </w:p>
        </w:tc>
        <w:tc>
          <w:tcPr>
            <w:tcW w:w="6656" w:type="dxa"/>
            <w:gridSpan w:val="4"/>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rPr>
            </w:pPr>
          </w:p>
        </w:tc>
        <w:tc>
          <w:tcPr>
            <w:tcW w:w="2160" w:type="dxa"/>
            <w:vAlign w:val="center"/>
          </w:tcPr>
          <w:p>
            <w:pPr>
              <w:tabs>
                <w:tab w:val="left" w:pos="210"/>
              </w:tabs>
              <w:spacing w:line="360" w:lineRule="auto"/>
              <w:rPr>
                <w:rFonts w:ascii="宋体" w:hAnsi="宋体" w:cs="宋体"/>
                <w:kern w:val="0"/>
              </w:rPr>
            </w:pPr>
            <w:r>
              <w:rPr>
                <w:rFonts w:hint="eastAsia" w:ascii="宋体" w:hAnsi="宋体" w:cs="宋体"/>
                <w:kern w:val="0"/>
              </w:rPr>
              <w:t>工商登记机关</w:t>
            </w:r>
          </w:p>
        </w:tc>
        <w:tc>
          <w:tcPr>
            <w:tcW w:w="6656" w:type="dxa"/>
            <w:gridSpan w:val="4"/>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rPr>
            </w:pPr>
          </w:p>
        </w:tc>
        <w:tc>
          <w:tcPr>
            <w:tcW w:w="2160" w:type="dxa"/>
            <w:vAlign w:val="center"/>
          </w:tcPr>
          <w:p>
            <w:pPr>
              <w:tabs>
                <w:tab w:val="left" w:pos="210"/>
              </w:tabs>
              <w:spacing w:line="360" w:lineRule="auto"/>
              <w:rPr>
                <w:rFonts w:ascii="宋体" w:hAnsi="宋体" w:cs="宋体"/>
                <w:kern w:val="0"/>
              </w:rPr>
            </w:pPr>
            <w:r>
              <w:rPr>
                <w:rFonts w:hint="eastAsia" w:ascii="宋体" w:hAnsi="宋体" w:cs="宋体"/>
                <w:kern w:val="0"/>
              </w:rPr>
              <w:t>统一社会信用代码</w:t>
            </w:r>
          </w:p>
        </w:tc>
        <w:tc>
          <w:tcPr>
            <w:tcW w:w="6656" w:type="dxa"/>
            <w:gridSpan w:val="4"/>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rPr>
            </w:pPr>
            <w:r>
              <w:rPr>
                <w:rFonts w:hint="eastAsia" w:ascii="宋体" w:hAnsi="宋体" w:cs="宋体"/>
                <w:kern w:val="0"/>
              </w:rPr>
              <w:t>法</w:t>
            </w:r>
          </w:p>
          <w:p>
            <w:pPr>
              <w:tabs>
                <w:tab w:val="left" w:pos="210"/>
              </w:tabs>
              <w:spacing w:line="360" w:lineRule="auto"/>
              <w:jc w:val="center"/>
              <w:rPr>
                <w:rFonts w:ascii="宋体" w:hAnsi="宋体" w:cs="宋体"/>
                <w:kern w:val="0"/>
              </w:rPr>
            </w:pPr>
            <w:r>
              <w:rPr>
                <w:rFonts w:hint="eastAsia" w:ascii="宋体" w:hAnsi="宋体" w:cs="宋体"/>
                <w:kern w:val="0"/>
              </w:rPr>
              <w:t>定</w:t>
            </w:r>
          </w:p>
          <w:p>
            <w:pPr>
              <w:tabs>
                <w:tab w:val="left" w:pos="210"/>
              </w:tabs>
              <w:spacing w:line="360" w:lineRule="auto"/>
              <w:jc w:val="center"/>
              <w:rPr>
                <w:rFonts w:ascii="宋体" w:hAnsi="宋体" w:cs="宋体"/>
                <w:kern w:val="0"/>
              </w:rPr>
            </w:pPr>
            <w:r>
              <w:rPr>
                <w:rFonts w:hint="eastAsia" w:ascii="宋体" w:hAnsi="宋体" w:cs="宋体"/>
                <w:kern w:val="0"/>
              </w:rPr>
              <w:t>代</w:t>
            </w:r>
          </w:p>
          <w:p>
            <w:pPr>
              <w:tabs>
                <w:tab w:val="left" w:pos="210"/>
              </w:tabs>
              <w:spacing w:line="360" w:lineRule="auto"/>
              <w:jc w:val="center"/>
              <w:rPr>
                <w:rFonts w:ascii="宋体" w:hAnsi="宋体" w:cs="宋体"/>
                <w:kern w:val="0"/>
              </w:rPr>
            </w:pPr>
            <w:r>
              <w:rPr>
                <w:rFonts w:hint="eastAsia" w:ascii="宋体" w:hAnsi="宋体" w:cs="宋体"/>
                <w:kern w:val="0"/>
              </w:rPr>
              <w:t>表</w:t>
            </w:r>
          </w:p>
          <w:p>
            <w:pPr>
              <w:tabs>
                <w:tab w:val="left" w:pos="210"/>
              </w:tabs>
              <w:spacing w:line="360" w:lineRule="auto"/>
              <w:jc w:val="center"/>
              <w:rPr>
                <w:rFonts w:ascii="宋体" w:hAnsi="宋体" w:cs="宋体"/>
                <w:kern w:val="0"/>
              </w:rPr>
            </w:pPr>
            <w:r>
              <w:rPr>
                <w:rFonts w:hint="eastAsia" w:ascii="宋体" w:hAnsi="宋体" w:cs="宋体"/>
                <w:kern w:val="0"/>
              </w:rPr>
              <w:t>人</w:t>
            </w:r>
          </w:p>
        </w:tc>
        <w:tc>
          <w:tcPr>
            <w:tcW w:w="2160" w:type="dxa"/>
            <w:vAlign w:val="center"/>
          </w:tcPr>
          <w:p>
            <w:pPr>
              <w:tabs>
                <w:tab w:val="left" w:pos="210"/>
              </w:tabs>
              <w:spacing w:line="360" w:lineRule="auto"/>
              <w:rPr>
                <w:rFonts w:ascii="宋体" w:hAnsi="宋体" w:cs="宋体"/>
                <w:kern w:val="0"/>
              </w:rPr>
            </w:pPr>
            <w:r>
              <w:rPr>
                <w:rFonts w:hint="eastAsia" w:ascii="宋体" w:hAnsi="宋体" w:cs="宋体"/>
                <w:kern w:val="0"/>
              </w:rPr>
              <w:t>姓名</w:t>
            </w:r>
          </w:p>
        </w:tc>
        <w:tc>
          <w:tcPr>
            <w:tcW w:w="2340" w:type="dxa"/>
            <w:gridSpan w:val="2"/>
            <w:vAlign w:val="center"/>
          </w:tcPr>
          <w:p>
            <w:pPr>
              <w:tabs>
                <w:tab w:val="left" w:pos="210"/>
              </w:tabs>
              <w:spacing w:line="360" w:lineRule="auto"/>
              <w:ind w:firstLine="420" w:firstLineChars="200"/>
              <w:jc w:val="left"/>
              <w:rPr>
                <w:rFonts w:ascii="宋体" w:hAnsi="宋体" w:cs="宋体"/>
                <w:kern w:val="0"/>
              </w:rPr>
            </w:pPr>
          </w:p>
        </w:tc>
        <w:tc>
          <w:tcPr>
            <w:tcW w:w="2156" w:type="dxa"/>
            <w:vAlign w:val="center"/>
          </w:tcPr>
          <w:p>
            <w:pPr>
              <w:tabs>
                <w:tab w:val="left" w:pos="210"/>
              </w:tabs>
              <w:spacing w:line="360" w:lineRule="auto"/>
              <w:ind w:firstLine="420" w:firstLineChars="200"/>
              <w:jc w:val="left"/>
              <w:rPr>
                <w:rFonts w:ascii="宋体" w:hAnsi="宋体" w:cs="宋体"/>
                <w:kern w:val="0"/>
              </w:rPr>
            </w:pPr>
            <w:r>
              <w:rPr>
                <w:rFonts w:hint="eastAsia" w:ascii="宋体" w:hAnsi="宋体" w:cs="宋体"/>
                <w:kern w:val="0"/>
              </w:rPr>
              <w:t>性别</w:t>
            </w:r>
          </w:p>
        </w:tc>
        <w:tc>
          <w:tcPr>
            <w:tcW w:w="2160" w:type="dxa"/>
            <w:vAlign w:val="center"/>
          </w:tcPr>
          <w:p>
            <w:pPr>
              <w:tabs>
                <w:tab w:val="left" w:pos="210"/>
              </w:tabs>
              <w:spacing w:line="360" w:lineRule="auto"/>
              <w:ind w:firstLine="420" w:firstLineChars="200"/>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rPr>
            </w:pPr>
          </w:p>
        </w:tc>
        <w:tc>
          <w:tcPr>
            <w:tcW w:w="2160" w:type="dxa"/>
            <w:vAlign w:val="center"/>
          </w:tcPr>
          <w:p>
            <w:pPr>
              <w:tabs>
                <w:tab w:val="left" w:pos="210"/>
              </w:tabs>
              <w:spacing w:line="360" w:lineRule="auto"/>
              <w:rPr>
                <w:rFonts w:ascii="宋体" w:hAnsi="宋体" w:cs="宋体"/>
                <w:kern w:val="0"/>
              </w:rPr>
            </w:pPr>
            <w:r>
              <w:rPr>
                <w:rFonts w:hint="eastAsia" w:ascii="宋体" w:hAnsi="宋体" w:cs="宋体"/>
                <w:kern w:val="0"/>
              </w:rPr>
              <w:t>职务</w:t>
            </w:r>
          </w:p>
        </w:tc>
        <w:tc>
          <w:tcPr>
            <w:tcW w:w="2340" w:type="dxa"/>
            <w:gridSpan w:val="2"/>
            <w:vAlign w:val="center"/>
          </w:tcPr>
          <w:p>
            <w:pPr>
              <w:tabs>
                <w:tab w:val="left" w:pos="210"/>
              </w:tabs>
              <w:spacing w:line="360" w:lineRule="auto"/>
              <w:jc w:val="left"/>
              <w:rPr>
                <w:rFonts w:ascii="宋体" w:hAnsi="宋体" w:cs="宋体"/>
                <w:kern w:val="0"/>
              </w:rPr>
            </w:pPr>
          </w:p>
        </w:tc>
        <w:tc>
          <w:tcPr>
            <w:tcW w:w="2156" w:type="dxa"/>
            <w:vAlign w:val="center"/>
          </w:tcPr>
          <w:p>
            <w:pPr>
              <w:tabs>
                <w:tab w:val="left" w:pos="210"/>
              </w:tabs>
              <w:spacing w:line="360" w:lineRule="auto"/>
              <w:ind w:firstLine="420" w:firstLineChars="200"/>
              <w:jc w:val="left"/>
              <w:rPr>
                <w:rFonts w:ascii="宋体" w:hAnsi="宋体" w:cs="宋体"/>
                <w:kern w:val="0"/>
              </w:rPr>
            </w:pPr>
            <w:r>
              <w:rPr>
                <w:rFonts w:hint="eastAsia" w:ascii="宋体" w:hAnsi="宋体" w:cs="宋体"/>
                <w:kern w:val="0"/>
              </w:rPr>
              <w:t>联系电话</w:t>
            </w:r>
          </w:p>
        </w:tc>
        <w:tc>
          <w:tcPr>
            <w:tcW w:w="2160" w:type="dxa"/>
            <w:vAlign w:val="center"/>
          </w:tcPr>
          <w:p>
            <w:pPr>
              <w:tabs>
                <w:tab w:val="left" w:pos="210"/>
              </w:tabs>
              <w:spacing w:line="360" w:lineRule="auto"/>
              <w:ind w:firstLine="420" w:firstLineChars="200"/>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rPr>
            </w:pPr>
          </w:p>
        </w:tc>
        <w:tc>
          <w:tcPr>
            <w:tcW w:w="2160" w:type="dxa"/>
            <w:vAlign w:val="center"/>
          </w:tcPr>
          <w:p>
            <w:pPr>
              <w:tabs>
                <w:tab w:val="left" w:pos="210"/>
              </w:tabs>
              <w:spacing w:line="360" w:lineRule="auto"/>
              <w:rPr>
                <w:rFonts w:ascii="宋体" w:hAnsi="宋体" w:cs="宋体"/>
                <w:kern w:val="0"/>
              </w:rPr>
            </w:pPr>
            <w:r>
              <w:rPr>
                <w:rFonts w:hint="eastAsia" w:ascii="宋体" w:hAnsi="宋体" w:cs="宋体"/>
                <w:kern w:val="0"/>
              </w:rPr>
              <w:t>传真</w:t>
            </w:r>
          </w:p>
        </w:tc>
        <w:tc>
          <w:tcPr>
            <w:tcW w:w="6656" w:type="dxa"/>
            <w:gridSpan w:val="4"/>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kern w:val="0"/>
              </w:rPr>
            </w:pPr>
            <w:r>
              <w:rPr>
                <w:rFonts w:hint="eastAsia" w:ascii="宋体" w:hAnsi="宋体" w:cs="宋体"/>
                <w:kern w:val="0"/>
              </w:rPr>
              <w:t>法</w:t>
            </w:r>
          </w:p>
          <w:p>
            <w:pPr>
              <w:tabs>
                <w:tab w:val="left" w:pos="210"/>
              </w:tabs>
              <w:spacing w:line="360" w:lineRule="auto"/>
              <w:jc w:val="center"/>
              <w:rPr>
                <w:rFonts w:ascii="宋体" w:hAnsi="宋体" w:cs="宋体"/>
                <w:kern w:val="0"/>
              </w:rPr>
            </w:pPr>
            <w:r>
              <w:rPr>
                <w:rFonts w:hint="eastAsia" w:ascii="宋体" w:hAnsi="宋体" w:cs="宋体"/>
                <w:kern w:val="0"/>
              </w:rPr>
              <w:t>定</w:t>
            </w:r>
          </w:p>
          <w:p>
            <w:pPr>
              <w:tabs>
                <w:tab w:val="left" w:pos="210"/>
              </w:tabs>
              <w:spacing w:line="360" w:lineRule="auto"/>
              <w:jc w:val="center"/>
              <w:rPr>
                <w:rFonts w:ascii="宋体" w:hAnsi="宋体" w:cs="宋体"/>
                <w:kern w:val="0"/>
              </w:rPr>
            </w:pPr>
            <w:r>
              <w:rPr>
                <w:rFonts w:hint="eastAsia" w:ascii="宋体" w:hAnsi="宋体" w:cs="宋体"/>
                <w:kern w:val="0"/>
              </w:rPr>
              <w:t>代</w:t>
            </w:r>
          </w:p>
          <w:p>
            <w:pPr>
              <w:tabs>
                <w:tab w:val="left" w:pos="210"/>
              </w:tabs>
              <w:spacing w:line="360" w:lineRule="auto"/>
              <w:jc w:val="center"/>
              <w:rPr>
                <w:rFonts w:ascii="宋体" w:hAnsi="宋体" w:cs="宋体"/>
                <w:kern w:val="0"/>
              </w:rPr>
            </w:pPr>
            <w:r>
              <w:rPr>
                <w:rFonts w:hint="eastAsia" w:ascii="宋体" w:hAnsi="宋体" w:cs="宋体"/>
                <w:kern w:val="0"/>
              </w:rPr>
              <w:t>表</w:t>
            </w:r>
          </w:p>
          <w:p>
            <w:pPr>
              <w:tabs>
                <w:tab w:val="left" w:pos="210"/>
              </w:tabs>
              <w:spacing w:line="360" w:lineRule="auto"/>
              <w:jc w:val="center"/>
              <w:rPr>
                <w:rFonts w:ascii="宋体" w:hAnsi="宋体" w:cs="宋体"/>
                <w:kern w:val="0"/>
              </w:rPr>
            </w:pPr>
            <w:r>
              <w:rPr>
                <w:rFonts w:hint="eastAsia" w:ascii="宋体" w:hAnsi="宋体" w:cs="宋体"/>
                <w:kern w:val="0"/>
              </w:rPr>
              <w:t>人</w:t>
            </w:r>
          </w:p>
          <w:p>
            <w:pPr>
              <w:tabs>
                <w:tab w:val="left" w:pos="210"/>
              </w:tabs>
              <w:spacing w:line="360" w:lineRule="auto"/>
              <w:jc w:val="center"/>
              <w:rPr>
                <w:rFonts w:ascii="宋体" w:hAnsi="宋体" w:cs="宋体"/>
                <w:kern w:val="0"/>
              </w:rPr>
            </w:pPr>
            <w:r>
              <w:rPr>
                <w:rFonts w:hint="eastAsia" w:ascii="宋体" w:hAnsi="宋体" w:cs="宋体"/>
                <w:kern w:val="0"/>
              </w:rPr>
              <w:t>身</w:t>
            </w:r>
          </w:p>
          <w:p>
            <w:pPr>
              <w:tabs>
                <w:tab w:val="left" w:pos="210"/>
              </w:tabs>
              <w:spacing w:line="360" w:lineRule="auto"/>
              <w:jc w:val="center"/>
              <w:rPr>
                <w:rFonts w:ascii="宋体" w:hAnsi="宋体" w:cs="宋体"/>
                <w:kern w:val="0"/>
              </w:rPr>
            </w:pPr>
            <w:r>
              <w:rPr>
                <w:rFonts w:hint="eastAsia" w:ascii="宋体" w:hAnsi="宋体" w:cs="宋体"/>
                <w:kern w:val="0"/>
              </w:rPr>
              <w:t>份</w:t>
            </w:r>
          </w:p>
          <w:p>
            <w:pPr>
              <w:tabs>
                <w:tab w:val="left" w:pos="210"/>
              </w:tabs>
              <w:spacing w:line="360" w:lineRule="auto"/>
              <w:jc w:val="center"/>
              <w:rPr>
                <w:rFonts w:ascii="宋体" w:hAnsi="宋体" w:cs="宋体"/>
                <w:kern w:val="0"/>
              </w:rPr>
            </w:pPr>
            <w:r>
              <w:rPr>
                <w:rFonts w:hint="eastAsia" w:ascii="宋体" w:hAnsi="宋体" w:cs="宋体"/>
                <w:kern w:val="0"/>
              </w:rPr>
              <w:t>证</w:t>
            </w:r>
          </w:p>
          <w:p>
            <w:pPr>
              <w:tabs>
                <w:tab w:val="left" w:pos="210"/>
              </w:tabs>
              <w:spacing w:line="360" w:lineRule="auto"/>
              <w:jc w:val="center"/>
              <w:rPr>
                <w:rFonts w:ascii="宋体" w:hAnsi="宋体" w:cs="宋体"/>
                <w:kern w:val="0"/>
              </w:rPr>
            </w:pPr>
            <w:r>
              <w:rPr>
                <w:rFonts w:hint="eastAsia" w:ascii="宋体" w:hAnsi="宋体" w:cs="宋体"/>
                <w:kern w:val="0"/>
              </w:rPr>
              <w:t>复</w:t>
            </w:r>
          </w:p>
          <w:p>
            <w:pPr>
              <w:tabs>
                <w:tab w:val="left" w:pos="210"/>
              </w:tabs>
              <w:spacing w:line="360" w:lineRule="auto"/>
              <w:jc w:val="center"/>
              <w:rPr>
                <w:rFonts w:ascii="宋体" w:hAnsi="宋体" w:cs="宋体"/>
                <w:kern w:val="0"/>
              </w:rPr>
            </w:pPr>
            <w:r>
              <w:rPr>
                <w:rFonts w:hint="eastAsia" w:ascii="宋体" w:hAnsi="宋体" w:cs="宋体"/>
                <w:kern w:val="0"/>
              </w:rPr>
              <w:t>印</w:t>
            </w:r>
          </w:p>
          <w:p>
            <w:pPr>
              <w:tabs>
                <w:tab w:val="left" w:pos="210"/>
              </w:tabs>
              <w:spacing w:line="360" w:lineRule="auto"/>
              <w:jc w:val="center"/>
              <w:rPr>
                <w:rFonts w:ascii="宋体" w:hAnsi="宋体" w:cs="宋体"/>
                <w:kern w:val="0"/>
              </w:rPr>
            </w:pPr>
            <w:r>
              <w:rPr>
                <w:rFonts w:hint="eastAsia" w:ascii="宋体" w:hAnsi="宋体" w:cs="宋体"/>
                <w:kern w:val="0"/>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rPr>
            </w:pPr>
            <w:r>
              <w:rPr>
                <w:rFonts w:hint="eastAsia" w:ascii="宋体" w:hAnsi="宋体" w:cs="宋体"/>
                <w:kern w:val="0"/>
              </w:rPr>
              <w:t>（正反面）</w:t>
            </w:r>
          </w:p>
        </w:tc>
        <w:tc>
          <w:tcPr>
            <w:tcW w:w="4500" w:type="dxa"/>
            <w:gridSpan w:val="3"/>
            <w:vAlign w:val="center"/>
          </w:tcPr>
          <w:p>
            <w:pPr>
              <w:tabs>
                <w:tab w:val="left" w:pos="210"/>
              </w:tabs>
              <w:spacing w:line="360" w:lineRule="auto"/>
              <w:ind w:firstLine="420" w:firstLineChars="200"/>
              <w:jc w:val="left"/>
              <w:rPr>
                <w:rFonts w:ascii="宋体" w:hAnsi="宋体" w:cs="宋体"/>
                <w:kern w:val="0"/>
              </w:rPr>
            </w:pPr>
            <w:r>
              <w:rPr>
                <w:rFonts w:hint="eastAsia" w:ascii="宋体" w:hAnsi="宋体" w:cs="宋体"/>
                <w:kern w:val="0"/>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kern w:val="0"/>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rPr>
            </w:pPr>
          </w:p>
        </w:tc>
        <w:tc>
          <w:tcPr>
            <w:tcW w:w="4500" w:type="dxa"/>
            <w:gridSpan w:val="3"/>
            <w:vAlign w:val="bottom"/>
          </w:tcPr>
          <w:p>
            <w:pPr>
              <w:tabs>
                <w:tab w:val="left" w:pos="210"/>
              </w:tabs>
              <w:spacing w:line="360" w:lineRule="auto"/>
              <w:ind w:firstLine="420" w:firstLineChars="200"/>
              <w:jc w:val="left"/>
              <w:rPr>
                <w:rFonts w:ascii="宋体" w:hAnsi="宋体" w:cs="宋体"/>
                <w:kern w:val="0"/>
              </w:rPr>
            </w:pPr>
            <w:r>
              <w:rPr>
                <w:rFonts w:hint="eastAsia" w:ascii="宋体" w:hAnsi="宋体" w:cs="宋体"/>
                <w:kern w:val="0"/>
              </w:rPr>
              <w:t>（公章）</w:t>
            </w:r>
          </w:p>
          <w:p>
            <w:pPr>
              <w:tabs>
                <w:tab w:val="left" w:pos="210"/>
              </w:tabs>
              <w:spacing w:line="360" w:lineRule="auto"/>
              <w:jc w:val="left"/>
              <w:rPr>
                <w:rFonts w:ascii="宋体" w:hAnsi="宋体" w:cs="宋体"/>
                <w:kern w:val="0"/>
              </w:rPr>
            </w:pPr>
          </w:p>
          <w:p>
            <w:pPr>
              <w:tabs>
                <w:tab w:val="left" w:pos="210"/>
              </w:tabs>
              <w:spacing w:line="360" w:lineRule="auto"/>
              <w:jc w:val="left"/>
              <w:rPr>
                <w:rFonts w:ascii="宋体" w:hAnsi="宋体" w:cs="宋体"/>
                <w:kern w:val="0"/>
              </w:rPr>
            </w:pPr>
          </w:p>
          <w:p>
            <w:pPr>
              <w:tabs>
                <w:tab w:val="left" w:pos="210"/>
              </w:tabs>
              <w:spacing w:line="360" w:lineRule="auto"/>
              <w:jc w:val="left"/>
              <w:rPr>
                <w:rFonts w:ascii="宋体" w:hAnsi="宋体" w:cs="宋体"/>
                <w:kern w:val="0"/>
              </w:rPr>
            </w:pPr>
          </w:p>
          <w:p>
            <w:pPr>
              <w:adjustRightInd w:val="0"/>
              <w:snapToGrid w:val="0"/>
              <w:spacing w:line="480" w:lineRule="auto"/>
              <w:ind w:firstLine="480" w:firstLineChars="200"/>
              <w:jc w:val="right"/>
              <w:rPr>
                <w:rFonts w:ascii="宋体" w:hAnsi="宋体" w:cs="宋体"/>
                <w:kern w:val="0"/>
              </w:rPr>
            </w:pPr>
            <w:r>
              <w:rPr>
                <w:rFonts w:hint="eastAsia" w:ascii="宋体" w:hAnsi="宋体" w:cs="宋体"/>
                <w:sz w:val="24"/>
              </w:rPr>
              <w:t>_________年______月 _____日</w:t>
            </w:r>
          </w:p>
        </w:tc>
      </w:tr>
    </w:tbl>
    <w:p>
      <w:pPr>
        <w:pStyle w:val="15"/>
        <w:spacing w:line="500" w:lineRule="exact"/>
        <w:jc w:val="center"/>
        <w:rPr>
          <w:rFonts w:hAnsi="宋体" w:cs="宋体"/>
          <w:sz w:val="24"/>
          <w:szCs w:val="24"/>
        </w:rPr>
      </w:pPr>
      <w:r>
        <w:rPr>
          <w:rFonts w:hint="eastAsia" w:hAnsi="宋体" w:cs="宋体"/>
          <w:b/>
          <w:sz w:val="24"/>
          <w:szCs w:val="24"/>
        </w:rPr>
        <w:br w:type="page"/>
      </w:r>
      <w:r>
        <w:rPr>
          <w:rFonts w:hint="eastAsia" w:hAnsi="宋体" w:cs="宋体"/>
          <w:b/>
          <w:sz w:val="24"/>
          <w:szCs w:val="24"/>
        </w:rPr>
        <w:t>7-2法定代表人授权书（格式）</w:t>
      </w:r>
    </w:p>
    <w:p>
      <w:pPr>
        <w:pStyle w:val="15"/>
        <w:spacing w:line="500" w:lineRule="exact"/>
        <w:jc w:val="left"/>
        <w:rPr>
          <w:rFonts w:hAnsi="宋体" w:cs="宋体"/>
          <w:sz w:val="24"/>
          <w:szCs w:val="24"/>
        </w:rPr>
      </w:pPr>
      <w:r>
        <w:rPr>
          <w:rFonts w:hint="eastAsia" w:hAnsi="宋体" w:cs="宋体"/>
          <w:sz w:val="24"/>
          <w:szCs w:val="24"/>
        </w:rPr>
        <w:t>陕西卓佲项目管理有限公司：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（项目名称） （项目编号）</w:t>
      </w:r>
      <w:r>
        <w:rPr>
          <w:rFonts w:hint="eastAsia" w:ascii="宋体" w:hAnsi="宋体" w:cs="宋体"/>
          <w:sz w:val="24"/>
        </w:rPr>
        <w:t>的采购活动。以我方名义全权处理该项目有关招标、签订合同以及执行合同等一切事宜。</w:t>
      </w:r>
    </w:p>
    <w:p>
      <w:pPr>
        <w:spacing w:line="360" w:lineRule="auto"/>
        <w:ind w:firstLine="482" w:firstLineChars="200"/>
        <w:rPr>
          <w:rFonts w:ascii="宋体" w:hAnsi="宋体" w:cs="宋体"/>
          <w:b/>
          <w:bCs/>
          <w:sz w:val="24"/>
          <w:szCs w:val="24"/>
        </w:rPr>
      </w:pPr>
      <w:r>
        <w:rPr>
          <w:rFonts w:hint="eastAsia" w:ascii="宋体" w:hAnsi="宋体" w:cs="宋体"/>
          <w:b/>
          <w:bCs/>
          <w:sz w:val="24"/>
        </w:rPr>
        <w:t>本授权书自投标文件递交截止之日起生效，有效期与投标文件有效期一致，特此声明。</w:t>
      </w:r>
    </w:p>
    <w:p>
      <w:pPr>
        <w:pStyle w:val="15"/>
        <w:spacing w:line="500" w:lineRule="exact"/>
        <w:ind w:firstLine="480" w:firstLineChars="200"/>
        <w:jc w:val="left"/>
        <w:rPr>
          <w:rFonts w:hAnsi="宋体" w:cs="宋体"/>
          <w:sz w:val="24"/>
          <w:szCs w:val="24"/>
        </w:rPr>
      </w:pPr>
      <w:r>
        <w:rPr>
          <w:rFonts w:hint="eastAsia" w:hAnsi="宋体" w:cs="宋体"/>
          <w:sz w:val="24"/>
          <w:szCs w:val="24"/>
        </w:rPr>
        <w:t>供应商（单位名称及公章）：</w:t>
      </w:r>
      <w:r>
        <w:rPr>
          <w:rFonts w:hint="eastAsia" w:hAnsi="宋体" w:cs="宋体"/>
          <w:sz w:val="28"/>
          <w:szCs w:val="28"/>
        </w:rPr>
        <w:t>__________________</w:t>
      </w:r>
    </w:p>
    <w:p>
      <w:pPr>
        <w:pStyle w:val="15"/>
        <w:spacing w:line="500" w:lineRule="exact"/>
        <w:ind w:firstLine="480" w:firstLineChars="200"/>
        <w:jc w:val="left"/>
        <w:rPr>
          <w:rFonts w:hAnsi="宋体" w:cs="宋体"/>
          <w:sz w:val="24"/>
          <w:szCs w:val="24"/>
        </w:rPr>
      </w:pPr>
      <w:r>
        <w:rPr>
          <w:rFonts w:hint="eastAsia" w:hAnsi="宋体" w:cs="宋体"/>
          <w:sz w:val="24"/>
          <w:szCs w:val="24"/>
        </w:rPr>
        <w:t xml:space="preserve">法定代表人（签字或盖章）： </w:t>
      </w:r>
      <w:r>
        <w:rPr>
          <w:rFonts w:hint="eastAsia" w:hAnsi="宋体" w:cs="宋体"/>
          <w:sz w:val="28"/>
          <w:szCs w:val="28"/>
        </w:rPr>
        <w:t>__________________</w:t>
      </w:r>
    </w:p>
    <w:p>
      <w:pPr>
        <w:pStyle w:val="15"/>
        <w:spacing w:line="500" w:lineRule="exact"/>
        <w:ind w:firstLine="480" w:firstLineChars="200"/>
        <w:jc w:val="left"/>
        <w:rPr>
          <w:rFonts w:hAnsi="宋体" w:cs="宋体"/>
          <w:sz w:val="24"/>
          <w:szCs w:val="24"/>
          <w:u w:val="single"/>
        </w:rPr>
      </w:pPr>
      <w:r>
        <w:rPr>
          <w:rFonts w:hint="eastAsia" w:hAnsi="宋体" w:cs="宋体"/>
          <w:sz w:val="24"/>
          <w:szCs w:val="24"/>
        </w:rPr>
        <w:t>被授权人：</w:t>
      </w:r>
      <w:r>
        <w:rPr>
          <w:rFonts w:hint="eastAsia" w:hAnsi="宋体" w:cs="宋体"/>
          <w:sz w:val="28"/>
          <w:szCs w:val="28"/>
        </w:rPr>
        <w:t>_____________</w:t>
      </w:r>
      <w:r>
        <w:rPr>
          <w:rFonts w:hint="eastAsia" w:hAnsi="宋体" w:cs="宋体"/>
          <w:sz w:val="24"/>
          <w:szCs w:val="24"/>
        </w:rPr>
        <w:t>性别：</w:t>
      </w:r>
      <w:r>
        <w:rPr>
          <w:rFonts w:hint="eastAsia" w:hAnsi="宋体" w:cs="宋体"/>
          <w:sz w:val="28"/>
          <w:szCs w:val="28"/>
        </w:rPr>
        <w:t>____________</w:t>
      </w:r>
      <w:r>
        <w:rPr>
          <w:rFonts w:hint="eastAsia" w:hAnsi="宋体" w:cs="宋体"/>
          <w:sz w:val="24"/>
          <w:szCs w:val="24"/>
        </w:rPr>
        <w:t>职务：</w:t>
      </w:r>
      <w:r>
        <w:rPr>
          <w:rFonts w:hint="eastAsia" w:hAnsi="宋体" w:cs="宋体"/>
          <w:sz w:val="28"/>
          <w:szCs w:val="28"/>
        </w:rPr>
        <w:t>_________</w:t>
      </w:r>
    </w:p>
    <w:p>
      <w:pPr>
        <w:pStyle w:val="15"/>
        <w:spacing w:line="500" w:lineRule="exact"/>
        <w:ind w:firstLine="480" w:firstLineChars="200"/>
        <w:jc w:val="left"/>
        <w:rPr>
          <w:rFonts w:hAnsi="宋体" w:cs="宋体"/>
          <w:sz w:val="24"/>
          <w:szCs w:val="24"/>
          <w:u w:val="single"/>
        </w:rPr>
      </w:pPr>
      <w:r>
        <w:rPr>
          <w:rFonts w:hint="eastAsia" w:hAnsi="宋体" w:cs="宋体"/>
          <w:sz w:val="24"/>
          <w:szCs w:val="24"/>
        </w:rPr>
        <w:t xml:space="preserve">联系地址：  </w:t>
      </w:r>
      <w:r>
        <w:rPr>
          <w:rFonts w:hint="eastAsia" w:hAnsi="宋体" w:cs="宋体"/>
          <w:sz w:val="28"/>
          <w:szCs w:val="28"/>
        </w:rPr>
        <w:t>________________</w:t>
      </w:r>
    </w:p>
    <w:p>
      <w:pPr>
        <w:pStyle w:val="15"/>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8"/>
          <w:szCs w:val="28"/>
        </w:rPr>
        <w:t>________________</w:t>
      </w:r>
    </w:p>
    <w:p>
      <w:pPr>
        <w:pStyle w:val="15"/>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法定代表人及被授权人身份证复印件/扫描件</w:t>
      </w:r>
    </w:p>
    <w:tbl>
      <w:tblPr>
        <w:tblStyle w:val="30"/>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pPr>
              <w:pStyle w:val="15"/>
              <w:spacing w:line="500" w:lineRule="exact"/>
              <w:jc w:val="left"/>
              <w:rPr>
                <w:rFonts w:hAnsi="宋体" w:cs="宋体"/>
                <w:sz w:val="24"/>
                <w:szCs w:val="24"/>
                <w:shd w:val="pct10" w:color="auto" w:fill="FFFFFF"/>
              </w:rPr>
            </w:pPr>
            <w:r>
              <w:rPr>
                <w:rFonts w:hint="eastAsia" w:hAnsi="宋体" w:cs="宋体"/>
                <w:sz w:val="24"/>
                <w:szCs w:val="24"/>
                <w:shd w:val="pct10" w:color="auto" w:fill="FFFFFF"/>
              </w:rPr>
              <w:t>法定代表人身份证复印件（正反面）</w:t>
            </w:r>
          </w:p>
          <w:p>
            <w:pPr>
              <w:pStyle w:val="15"/>
              <w:spacing w:line="500" w:lineRule="exact"/>
              <w:jc w:val="left"/>
              <w:rPr>
                <w:rFonts w:hAnsi="宋体" w:cs="宋体"/>
                <w:sz w:val="24"/>
                <w:szCs w:val="24"/>
                <w:shd w:val="pct10" w:color="auto" w:fill="FFFFFF"/>
              </w:rPr>
            </w:pPr>
          </w:p>
        </w:tc>
        <w:tc>
          <w:tcPr>
            <w:tcW w:w="4546" w:type="dxa"/>
            <w:shd w:val="clear" w:color="auto" w:fill="D9D9D9"/>
            <w:vAlign w:val="center"/>
          </w:tcPr>
          <w:p>
            <w:pPr>
              <w:pStyle w:val="15"/>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被授权人身份证复印件（正反面）</w:t>
            </w:r>
          </w:p>
          <w:p>
            <w:pPr>
              <w:pStyle w:val="15"/>
              <w:spacing w:line="500" w:lineRule="exact"/>
              <w:ind w:firstLine="480" w:firstLineChars="200"/>
              <w:jc w:val="left"/>
              <w:rPr>
                <w:rFonts w:hAnsi="宋体" w:cs="宋体"/>
                <w:sz w:val="24"/>
                <w:szCs w:val="24"/>
                <w:shd w:val="pct10" w:color="auto" w:fill="FFFFFF"/>
              </w:rPr>
            </w:pPr>
          </w:p>
        </w:tc>
      </w:tr>
    </w:tbl>
    <w:p>
      <w:pPr>
        <w:pStyle w:val="4"/>
        <w:spacing w:before="319" w:beforeLines="100" w:after="478" w:afterLines="150" w:line="500" w:lineRule="exact"/>
        <w:rPr>
          <w:rFonts w:ascii="宋体" w:hAnsi="宋体" w:cs="宋体"/>
          <w:sz w:val="36"/>
          <w:szCs w:val="36"/>
        </w:rPr>
        <w:sectPr>
          <w:pgSz w:w="11906" w:h="16838"/>
          <w:pgMar w:top="1440" w:right="1803" w:bottom="1440" w:left="1803" w:header="851" w:footer="992" w:gutter="0"/>
          <w:pgNumType w:fmt="decimal"/>
          <w:cols w:space="720" w:num="1"/>
          <w:docGrid w:type="lines" w:linePitch="319" w:charSpace="0"/>
        </w:sectPr>
      </w:pPr>
      <w:bookmarkStart w:id="90" w:name="_Toc12851"/>
      <w:bookmarkStart w:id="91" w:name="_Toc9172"/>
      <w:bookmarkStart w:id="92" w:name="_Toc1803"/>
    </w:p>
    <w:bookmarkEnd w:id="90"/>
    <w:bookmarkEnd w:id="91"/>
    <w:p>
      <w:pPr>
        <w:widowControl/>
        <w:spacing w:line="360" w:lineRule="auto"/>
        <w:ind w:left="840"/>
        <w:jc w:val="center"/>
        <w:rPr>
          <w:rFonts w:ascii="宋体" w:hAnsi="宋体" w:cs="宋体"/>
          <w:sz w:val="32"/>
          <w:szCs w:val="32"/>
        </w:rPr>
      </w:pPr>
      <w:bookmarkStart w:id="93" w:name="_Toc18964"/>
      <w:bookmarkStart w:id="94" w:name="_Toc23165"/>
      <w:bookmarkStart w:id="95" w:name="_Toc19138"/>
      <w:r>
        <w:rPr>
          <w:rFonts w:hint="eastAsia" w:ascii="宋体" w:hAnsi="宋体" w:cs="宋体"/>
          <w:sz w:val="32"/>
          <w:szCs w:val="32"/>
          <w:lang w:val="en-US" w:eastAsia="zh-CN"/>
        </w:rPr>
        <w:t>8</w:t>
      </w:r>
      <w:r>
        <w:rPr>
          <w:rFonts w:hint="eastAsia" w:ascii="宋体" w:hAnsi="宋体" w:cs="宋体"/>
          <w:sz w:val="32"/>
          <w:szCs w:val="32"/>
        </w:rPr>
        <w:t>、本项目不接受联合体</w:t>
      </w:r>
    </w:p>
    <w:p>
      <w:pPr>
        <w:pStyle w:val="8"/>
        <w:ind w:left="420" w:leftChars="200" w:firstLine="0"/>
        <w:rPr>
          <w:rFonts w:ascii="宋体" w:hAnsi="宋体" w:cs="宋体"/>
        </w:rPr>
      </w:pPr>
    </w:p>
    <w:p>
      <w:pPr>
        <w:pStyle w:val="29"/>
        <w:rPr>
          <w:rFonts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我单位参与陕西卓佲项目管理有限公司组织的____________________(项目名称)，我单位郑重声明：我方非联合体，如有虚假，承担相应责任。</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特此声明！</w:t>
      </w:r>
    </w:p>
    <w:p>
      <w:pPr>
        <w:rPr>
          <w:rFonts w:ascii="宋体" w:hAnsi="宋体" w:cs="宋体"/>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15"/>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15"/>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pStyle w:val="4"/>
        <w:tabs>
          <w:tab w:val="left" w:pos="2096"/>
          <w:tab w:val="center" w:pos="5024"/>
        </w:tabs>
        <w:spacing w:before="319" w:beforeLines="100" w:after="478" w:afterLines="150" w:line="500" w:lineRule="exact"/>
        <w:ind w:firstLine="1084" w:firstLineChars="300"/>
        <w:rPr>
          <w:rFonts w:ascii="宋体" w:hAnsi="宋体" w:cs="宋体"/>
          <w:sz w:val="36"/>
          <w:szCs w:val="36"/>
        </w:rPr>
        <w:sectPr>
          <w:footerReference r:id="rId15" w:type="default"/>
          <w:pgSz w:w="11906" w:h="16838"/>
          <w:pgMar w:top="1440" w:right="1803" w:bottom="1440" w:left="1803" w:header="851" w:footer="992" w:gutter="0"/>
          <w:pgNumType w:fmt="decimal"/>
          <w:cols w:space="720" w:num="1"/>
          <w:docGrid w:type="lines" w:linePitch="319" w:charSpace="0"/>
        </w:sectPr>
      </w:pPr>
    </w:p>
    <w:p>
      <w:pPr>
        <w:pStyle w:val="4"/>
        <w:tabs>
          <w:tab w:val="left" w:pos="2096"/>
          <w:tab w:val="center" w:pos="5024"/>
        </w:tabs>
        <w:spacing w:before="319" w:beforeLines="100" w:after="478" w:afterLines="150" w:line="500" w:lineRule="exact"/>
        <w:jc w:val="center"/>
        <w:rPr>
          <w:rFonts w:ascii="宋体" w:hAnsi="宋体" w:cs="宋体"/>
          <w:sz w:val="36"/>
          <w:szCs w:val="36"/>
        </w:rPr>
      </w:pPr>
      <w:bookmarkStart w:id="96" w:name="_Toc4113"/>
      <w:r>
        <w:rPr>
          <w:rFonts w:hint="eastAsia" w:ascii="宋体" w:hAnsi="宋体" w:cs="宋体"/>
          <w:sz w:val="36"/>
          <w:szCs w:val="36"/>
        </w:rPr>
        <w:t xml:space="preserve">第五部分 </w:t>
      </w:r>
      <w:bookmarkEnd w:id="93"/>
      <w:bookmarkEnd w:id="94"/>
      <w:bookmarkEnd w:id="95"/>
      <w:r>
        <w:rPr>
          <w:rFonts w:hint="eastAsia" w:ascii="宋体" w:hAnsi="宋体" w:cs="宋体"/>
          <w:sz w:val="36"/>
          <w:szCs w:val="36"/>
        </w:rPr>
        <w:t xml:space="preserve"> 技术与服务方案</w:t>
      </w:r>
      <w:bookmarkEnd w:id="96"/>
    </w:p>
    <w:p>
      <w:pPr>
        <w:rPr>
          <w:rFonts w:ascii="宋体" w:hAnsi="宋体" w:cs="宋体"/>
          <w:b/>
          <w:bCs/>
          <w:sz w:val="20"/>
          <w:szCs w:val="20"/>
        </w:rPr>
      </w:pPr>
      <w:r>
        <w:rPr>
          <w:rFonts w:hint="eastAsia" w:ascii="宋体" w:hAnsi="宋体" w:cs="宋体"/>
          <w:b/>
          <w:bCs/>
          <w:sz w:val="24"/>
          <w:szCs w:val="24"/>
        </w:rPr>
        <w:t>由供应商自行编写，无具体格式。</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adjustRightInd w:val="0"/>
        <w:snapToGrid w:val="0"/>
        <w:spacing w:line="480" w:lineRule="auto"/>
        <w:rPr>
          <w:rFonts w:ascii="宋体" w:hAnsi="宋体" w:cs="宋体"/>
        </w:rPr>
        <w:sectPr>
          <w:pgSz w:w="11906" w:h="16838"/>
          <w:pgMar w:top="1440" w:right="1803" w:bottom="1440" w:left="1803" w:header="851" w:footer="992" w:gutter="0"/>
          <w:pgNumType w:fmt="decimal"/>
          <w:cols w:space="720" w:num="1"/>
          <w:docGrid w:type="lines" w:linePitch="319" w:charSpace="0"/>
        </w:sectPr>
      </w:pPr>
    </w:p>
    <w:bookmarkEnd w:id="92"/>
    <w:p>
      <w:pPr>
        <w:pStyle w:val="4"/>
        <w:spacing w:before="319" w:beforeLines="100" w:after="478" w:afterLines="150" w:line="500" w:lineRule="exact"/>
        <w:jc w:val="center"/>
        <w:rPr>
          <w:rFonts w:ascii="宋体" w:hAnsi="宋体" w:cs="宋体"/>
          <w:sz w:val="36"/>
          <w:szCs w:val="36"/>
        </w:rPr>
      </w:pPr>
      <w:bookmarkStart w:id="97" w:name="_Toc27522"/>
      <w:bookmarkStart w:id="98" w:name="_Toc26563"/>
      <w:bookmarkStart w:id="99" w:name="_Toc16328"/>
      <w:bookmarkStart w:id="100" w:name="_Toc11010"/>
      <w:bookmarkStart w:id="101" w:name="_Toc10667"/>
      <w:r>
        <w:rPr>
          <w:rFonts w:hint="eastAsia" w:ascii="宋体" w:hAnsi="宋体" w:cs="宋体"/>
          <w:sz w:val="36"/>
          <w:szCs w:val="36"/>
        </w:rPr>
        <w:t xml:space="preserve">第六部分  </w:t>
      </w:r>
      <w:bookmarkEnd w:id="97"/>
      <w:bookmarkEnd w:id="98"/>
      <w:bookmarkEnd w:id="99"/>
      <w:bookmarkStart w:id="102" w:name="_Toc21288"/>
      <w:bookmarkEnd w:id="102"/>
      <w:r>
        <w:rPr>
          <w:rFonts w:hint="eastAsia" w:ascii="宋体" w:hAnsi="宋体" w:cs="宋体"/>
          <w:sz w:val="36"/>
          <w:szCs w:val="36"/>
        </w:rPr>
        <w:t>服务承诺</w:t>
      </w:r>
      <w:bookmarkEnd w:id="100"/>
    </w:p>
    <w:p>
      <w:pPr>
        <w:spacing w:line="360" w:lineRule="auto"/>
        <w:jc w:val="left"/>
        <w:rPr>
          <w:rFonts w:ascii="宋体" w:hAnsi="宋体" w:cs="宋体"/>
          <w:b/>
          <w:bCs/>
          <w:sz w:val="24"/>
          <w:szCs w:val="24"/>
        </w:rPr>
      </w:pPr>
      <w:r>
        <w:rPr>
          <w:rFonts w:hint="eastAsia" w:ascii="宋体" w:hAnsi="宋体" w:cs="宋体"/>
          <w:b/>
          <w:bCs/>
          <w:sz w:val="24"/>
          <w:szCs w:val="24"/>
        </w:rPr>
        <w:t>服务承诺由供应商自行编写，无具体格式。</w:t>
      </w:r>
    </w:p>
    <w:p>
      <w:pPr>
        <w:pStyle w:val="4"/>
        <w:jc w:val="center"/>
        <w:rPr>
          <w:rFonts w:ascii="宋体" w:hAnsi="宋体" w:cs="宋体"/>
          <w:sz w:val="36"/>
          <w:szCs w:val="36"/>
        </w:rPr>
      </w:pPr>
      <w:bookmarkStart w:id="103" w:name="_Toc3945"/>
      <w:r>
        <w:rPr>
          <w:rFonts w:hint="eastAsia" w:ascii="宋体" w:hAnsi="宋体" w:cs="宋体"/>
          <w:sz w:val="36"/>
          <w:szCs w:val="36"/>
        </w:rPr>
        <w:br w:type="page"/>
      </w:r>
      <w:bookmarkStart w:id="104" w:name="_Toc2785"/>
      <w:bookmarkStart w:id="105" w:name="_Toc6167"/>
      <w:r>
        <w:rPr>
          <w:rFonts w:hint="eastAsia" w:ascii="宋体" w:hAnsi="宋体" w:cs="宋体"/>
          <w:sz w:val="36"/>
          <w:szCs w:val="36"/>
        </w:rPr>
        <w:t>第七部分  业绩一览表</w:t>
      </w:r>
      <w:bookmarkEnd w:id="103"/>
      <w:bookmarkEnd w:id="104"/>
      <w:bookmarkEnd w:id="105"/>
    </w:p>
    <w:tbl>
      <w:tblPr>
        <w:tblStyle w:val="30"/>
        <w:tblW w:w="81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07"/>
        <w:gridCol w:w="1614"/>
        <w:gridCol w:w="1479"/>
        <w:gridCol w:w="1496"/>
        <w:gridCol w:w="1589"/>
        <w:gridCol w:w="11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807" w:type="dxa"/>
            <w:tcBorders>
              <w:top w:val="single" w:color="auto" w:sz="4" w:space="0"/>
            </w:tcBorders>
            <w:vAlign w:val="center"/>
          </w:tcPr>
          <w:p>
            <w:pPr>
              <w:spacing w:line="400" w:lineRule="exact"/>
              <w:rPr>
                <w:rFonts w:ascii="宋体" w:hAnsi="宋体" w:cs="宋体"/>
              </w:rPr>
            </w:pPr>
            <w:r>
              <w:rPr>
                <w:rFonts w:hint="eastAsia" w:ascii="宋体" w:hAnsi="宋体" w:cs="宋体"/>
              </w:rPr>
              <w:t>年份</w:t>
            </w:r>
          </w:p>
        </w:tc>
        <w:tc>
          <w:tcPr>
            <w:tcW w:w="1614"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用户名称</w:t>
            </w:r>
          </w:p>
        </w:tc>
        <w:tc>
          <w:tcPr>
            <w:tcW w:w="1479"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项目名称</w:t>
            </w:r>
          </w:p>
        </w:tc>
        <w:tc>
          <w:tcPr>
            <w:tcW w:w="1496"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合同签订时间</w:t>
            </w:r>
          </w:p>
        </w:tc>
        <w:tc>
          <w:tcPr>
            <w:tcW w:w="1589" w:type="dxa"/>
            <w:tcBorders>
              <w:top w:val="single" w:color="auto" w:sz="4" w:space="0"/>
            </w:tcBorders>
            <w:vAlign w:val="center"/>
          </w:tcPr>
          <w:p>
            <w:pPr>
              <w:spacing w:line="400" w:lineRule="exact"/>
              <w:ind w:firstLine="105" w:firstLineChars="50"/>
              <w:rPr>
                <w:rFonts w:ascii="宋体" w:hAnsi="宋体" w:cs="宋体"/>
              </w:rPr>
            </w:pPr>
            <w:r>
              <w:rPr>
                <w:rFonts w:hint="eastAsia" w:ascii="宋体" w:hAnsi="宋体" w:cs="宋体"/>
              </w:rPr>
              <w:t>合同金额</w:t>
            </w:r>
          </w:p>
        </w:tc>
        <w:tc>
          <w:tcPr>
            <w:tcW w:w="1172"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pPr>
              <w:spacing w:line="400" w:lineRule="exact"/>
              <w:jc w:val="center"/>
              <w:rPr>
                <w:rFonts w:ascii="宋体" w:hAnsi="宋体" w:cs="宋体"/>
              </w:rPr>
            </w:pPr>
          </w:p>
        </w:tc>
        <w:tc>
          <w:tcPr>
            <w:tcW w:w="1614" w:type="dxa"/>
            <w:vAlign w:val="center"/>
          </w:tcPr>
          <w:p>
            <w:pPr>
              <w:spacing w:line="400" w:lineRule="exact"/>
              <w:jc w:val="center"/>
              <w:rPr>
                <w:rFonts w:ascii="宋体" w:hAnsi="宋体" w:cs="宋体"/>
              </w:rPr>
            </w:pPr>
          </w:p>
        </w:tc>
        <w:tc>
          <w:tcPr>
            <w:tcW w:w="1479" w:type="dxa"/>
            <w:vAlign w:val="center"/>
          </w:tcPr>
          <w:p>
            <w:pPr>
              <w:spacing w:line="400" w:lineRule="exact"/>
              <w:jc w:val="center"/>
              <w:rPr>
                <w:rFonts w:ascii="宋体" w:hAnsi="宋体" w:cs="宋体"/>
              </w:rPr>
            </w:pPr>
          </w:p>
        </w:tc>
        <w:tc>
          <w:tcPr>
            <w:tcW w:w="1496" w:type="dxa"/>
            <w:vAlign w:val="center"/>
          </w:tcPr>
          <w:p>
            <w:pPr>
              <w:spacing w:line="400" w:lineRule="exact"/>
              <w:jc w:val="center"/>
              <w:rPr>
                <w:rFonts w:ascii="宋体" w:hAnsi="宋体" w:cs="宋体"/>
              </w:rPr>
            </w:pPr>
          </w:p>
        </w:tc>
        <w:tc>
          <w:tcPr>
            <w:tcW w:w="1589" w:type="dxa"/>
            <w:vAlign w:val="center"/>
          </w:tcPr>
          <w:p>
            <w:pPr>
              <w:spacing w:line="400" w:lineRule="exact"/>
              <w:jc w:val="center"/>
              <w:rPr>
                <w:rFonts w:ascii="宋体" w:hAnsi="宋体" w:cs="宋体"/>
              </w:rPr>
            </w:pPr>
          </w:p>
        </w:tc>
        <w:tc>
          <w:tcPr>
            <w:tcW w:w="1172"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pPr>
              <w:spacing w:line="400" w:lineRule="exact"/>
              <w:jc w:val="center"/>
              <w:rPr>
                <w:rFonts w:ascii="宋体" w:hAnsi="宋体" w:cs="宋体"/>
              </w:rPr>
            </w:pPr>
          </w:p>
        </w:tc>
        <w:tc>
          <w:tcPr>
            <w:tcW w:w="1614" w:type="dxa"/>
            <w:vAlign w:val="center"/>
          </w:tcPr>
          <w:p>
            <w:pPr>
              <w:spacing w:line="400" w:lineRule="exact"/>
              <w:jc w:val="center"/>
              <w:rPr>
                <w:rFonts w:ascii="宋体" w:hAnsi="宋体" w:cs="宋体"/>
              </w:rPr>
            </w:pPr>
          </w:p>
        </w:tc>
        <w:tc>
          <w:tcPr>
            <w:tcW w:w="1479" w:type="dxa"/>
            <w:vAlign w:val="center"/>
          </w:tcPr>
          <w:p>
            <w:pPr>
              <w:spacing w:line="400" w:lineRule="exact"/>
              <w:jc w:val="center"/>
              <w:rPr>
                <w:rFonts w:ascii="宋体" w:hAnsi="宋体" w:cs="宋体"/>
              </w:rPr>
            </w:pPr>
          </w:p>
        </w:tc>
        <w:tc>
          <w:tcPr>
            <w:tcW w:w="1496" w:type="dxa"/>
            <w:vAlign w:val="center"/>
          </w:tcPr>
          <w:p>
            <w:pPr>
              <w:spacing w:line="400" w:lineRule="exact"/>
              <w:jc w:val="center"/>
              <w:rPr>
                <w:rFonts w:ascii="宋体" w:hAnsi="宋体" w:cs="宋体"/>
              </w:rPr>
            </w:pPr>
          </w:p>
        </w:tc>
        <w:tc>
          <w:tcPr>
            <w:tcW w:w="1589" w:type="dxa"/>
            <w:vAlign w:val="center"/>
          </w:tcPr>
          <w:p>
            <w:pPr>
              <w:spacing w:line="400" w:lineRule="exact"/>
              <w:jc w:val="center"/>
              <w:rPr>
                <w:rFonts w:ascii="宋体" w:hAnsi="宋体" w:cs="宋体"/>
              </w:rPr>
            </w:pPr>
          </w:p>
        </w:tc>
        <w:tc>
          <w:tcPr>
            <w:tcW w:w="1172"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pPr>
              <w:spacing w:line="400" w:lineRule="exact"/>
              <w:jc w:val="center"/>
              <w:rPr>
                <w:rFonts w:ascii="宋体" w:hAnsi="宋体" w:cs="宋体"/>
              </w:rPr>
            </w:pPr>
          </w:p>
        </w:tc>
        <w:tc>
          <w:tcPr>
            <w:tcW w:w="1614" w:type="dxa"/>
            <w:vAlign w:val="center"/>
          </w:tcPr>
          <w:p>
            <w:pPr>
              <w:spacing w:line="400" w:lineRule="exact"/>
              <w:jc w:val="center"/>
              <w:rPr>
                <w:rFonts w:ascii="宋体" w:hAnsi="宋体" w:cs="宋体"/>
              </w:rPr>
            </w:pPr>
          </w:p>
        </w:tc>
        <w:tc>
          <w:tcPr>
            <w:tcW w:w="1479" w:type="dxa"/>
            <w:vAlign w:val="center"/>
          </w:tcPr>
          <w:p>
            <w:pPr>
              <w:spacing w:line="400" w:lineRule="exact"/>
              <w:jc w:val="center"/>
              <w:rPr>
                <w:rFonts w:ascii="宋体" w:hAnsi="宋体" w:cs="宋体"/>
              </w:rPr>
            </w:pPr>
          </w:p>
        </w:tc>
        <w:tc>
          <w:tcPr>
            <w:tcW w:w="1496" w:type="dxa"/>
            <w:vAlign w:val="center"/>
          </w:tcPr>
          <w:p>
            <w:pPr>
              <w:spacing w:line="400" w:lineRule="exact"/>
              <w:jc w:val="center"/>
              <w:rPr>
                <w:rFonts w:ascii="宋体" w:hAnsi="宋体" w:cs="宋体"/>
              </w:rPr>
            </w:pPr>
          </w:p>
        </w:tc>
        <w:tc>
          <w:tcPr>
            <w:tcW w:w="1589" w:type="dxa"/>
            <w:vAlign w:val="center"/>
          </w:tcPr>
          <w:p>
            <w:pPr>
              <w:spacing w:line="400" w:lineRule="exact"/>
              <w:jc w:val="center"/>
              <w:rPr>
                <w:rFonts w:ascii="宋体" w:hAnsi="宋体" w:cs="宋体"/>
              </w:rPr>
            </w:pPr>
          </w:p>
        </w:tc>
        <w:tc>
          <w:tcPr>
            <w:tcW w:w="1172"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pPr>
              <w:spacing w:line="400" w:lineRule="exact"/>
              <w:jc w:val="center"/>
              <w:rPr>
                <w:rFonts w:ascii="宋体" w:hAnsi="宋体" w:cs="宋体"/>
              </w:rPr>
            </w:pPr>
          </w:p>
        </w:tc>
        <w:tc>
          <w:tcPr>
            <w:tcW w:w="1614" w:type="dxa"/>
            <w:tcBorders>
              <w:right w:val="single" w:color="auto" w:sz="4" w:space="0"/>
            </w:tcBorders>
            <w:vAlign w:val="center"/>
          </w:tcPr>
          <w:p>
            <w:pPr>
              <w:spacing w:line="400" w:lineRule="exact"/>
              <w:jc w:val="center"/>
              <w:rPr>
                <w:rFonts w:ascii="宋体" w:hAnsi="宋体" w:cs="宋体"/>
              </w:rPr>
            </w:pPr>
          </w:p>
        </w:tc>
        <w:tc>
          <w:tcPr>
            <w:tcW w:w="1479" w:type="dxa"/>
            <w:tcBorders>
              <w:left w:val="single" w:color="auto" w:sz="4" w:space="0"/>
            </w:tcBorders>
            <w:vAlign w:val="center"/>
          </w:tcPr>
          <w:p>
            <w:pPr>
              <w:spacing w:line="400" w:lineRule="exact"/>
              <w:jc w:val="center"/>
              <w:rPr>
                <w:rFonts w:ascii="宋体" w:hAnsi="宋体" w:cs="宋体"/>
              </w:rPr>
            </w:pPr>
          </w:p>
        </w:tc>
        <w:tc>
          <w:tcPr>
            <w:tcW w:w="1496" w:type="dxa"/>
            <w:vAlign w:val="center"/>
          </w:tcPr>
          <w:p>
            <w:pPr>
              <w:spacing w:line="400" w:lineRule="exact"/>
              <w:jc w:val="center"/>
              <w:rPr>
                <w:rFonts w:ascii="宋体" w:hAnsi="宋体" w:cs="宋体"/>
              </w:rPr>
            </w:pPr>
          </w:p>
        </w:tc>
        <w:tc>
          <w:tcPr>
            <w:tcW w:w="1589" w:type="dxa"/>
            <w:vAlign w:val="center"/>
          </w:tcPr>
          <w:p>
            <w:pPr>
              <w:spacing w:line="400" w:lineRule="exact"/>
              <w:jc w:val="center"/>
              <w:rPr>
                <w:rFonts w:ascii="宋体" w:hAnsi="宋体" w:cs="宋体"/>
              </w:rPr>
            </w:pPr>
          </w:p>
        </w:tc>
        <w:tc>
          <w:tcPr>
            <w:tcW w:w="1172"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tcBorders>
              <w:right w:val="single" w:color="auto" w:sz="4" w:space="0"/>
            </w:tcBorders>
            <w:vAlign w:val="center"/>
          </w:tcPr>
          <w:p>
            <w:pPr>
              <w:spacing w:line="400" w:lineRule="exact"/>
              <w:rPr>
                <w:rFonts w:ascii="宋体" w:hAnsi="宋体" w:cs="宋体"/>
              </w:rPr>
            </w:pPr>
          </w:p>
        </w:tc>
        <w:tc>
          <w:tcPr>
            <w:tcW w:w="1614" w:type="dxa"/>
            <w:tcBorders>
              <w:left w:val="single" w:color="auto" w:sz="4" w:space="0"/>
              <w:right w:val="single" w:color="auto" w:sz="4" w:space="0"/>
            </w:tcBorders>
            <w:vAlign w:val="center"/>
          </w:tcPr>
          <w:p>
            <w:pPr>
              <w:spacing w:line="400" w:lineRule="exact"/>
              <w:rPr>
                <w:rFonts w:ascii="宋体" w:hAnsi="宋体" w:cs="宋体"/>
              </w:rPr>
            </w:pPr>
          </w:p>
        </w:tc>
        <w:tc>
          <w:tcPr>
            <w:tcW w:w="1479" w:type="dxa"/>
            <w:tcBorders>
              <w:left w:val="single" w:color="auto" w:sz="4" w:space="0"/>
              <w:right w:val="single" w:color="auto" w:sz="4" w:space="0"/>
            </w:tcBorders>
            <w:vAlign w:val="center"/>
          </w:tcPr>
          <w:p>
            <w:pPr>
              <w:spacing w:line="400" w:lineRule="exact"/>
              <w:rPr>
                <w:rFonts w:ascii="宋体" w:hAnsi="宋体" w:cs="宋体"/>
              </w:rPr>
            </w:pPr>
          </w:p>
        </w:tc>
        <w:tc>
          <w:tcPr>
            <w:tcW w:w="1496" w:type="dxa"/>
            <w:tcBorders>
              <w:left w:val="single" w:color="auto" w:sz="4" w:space="0"/>
              <w:right w:val="single" w:color="auto" w:sz="4" w:space="0"/>
            </w:tcBorders>
            <w:vAlign w:val="center"/>
          </w:tcPr>
          <w:p>
            <w:pPr>
              <w:spacing w:line="400" w:lineRule="exact"/>
              <w:rPr>
                <w:rFonts w:ascii="宋体" w:hAnsi="宋体" w:cs="宋体"/>
              </w:rPr>
            </w:pPr>
          </w:p>
        </w:tc>
        <w:tc>
          <w:tcPr>
            <w:tcW w:w="1589" w:type="dxa"/>
            <w:tcBorders>
              <w:left w:val="single" w:color="auto" w:sz="4" w:space="0"/>
              <w:right w:val="single" w:color="auto" w:sz="4" w:space="0"/>
            </w:tcBorders>
            <w:vAlign w:val="center"/>
          </w:tcPr>
          <w:p>
            <w:pPr>
              <w:spacing w:line="400" w:lineRule="exact"/>
              <w:rPr>
                <w:rFonts w:ascii="宋体" w:hAnsi="宋体" w:cs="宋体"/>
              </w:rPr>
            </w:pPr>
          </w:p>
        </w:tc>
        <w:tc>
          <w:tcPr>
            <w:tcW w:w="1172" w:type="dxa"/>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pPr>
              <w:spacing w:line="400" w:lineRule="exact"/>
              <w:rPr>
                <w:rFonts w:ascii="宋体" w:hAnsi="宋体" w:cs="宋体"/>
              </w:rPr>
            </w:pPr>
          </w:p>
        </w:tc>
        <w:tc>
          <w:tcPr>
            <w:tcW w:w="1614" w:type="dxa"/>
            <w:vAlign w:val="center"/>
          </w:tcPr>
          <w:p>
            <w:pPr>
              <w:spacing w:line="400" w:lineRule="exact"/>
              <w:rPr>
                <w:rFonts w:ascii="宋体" w:hAnsi="宋体" w:cs="宋体"/>
              </w:rPr>
            </w:pPr>
          </w:p>
        </w:tc>
        <w:tc>
          <w:tcPr>
            <w:tcW w:w="1479" w:type="dxa"/>
            <w:vAlign w:val="center"/>
          </w:tcPr>
          <w:p>
            <w:pPr>
              <w:spacing w:line="400" w:lineRule="exact"/>
              <w:rPr>
                <w:rFonts w:ascii="宋体" w:hAnsi="宋体" w:cs="宋体"/>
              </w:rPr>
            </w:pPr>
          </w:p>
        </w:tc>
        <w:tc>
          <w:tcPr>
            <w:tcW w:w="1496" w:type="dxa"/>
            <w:vAlign w:val="center"/>
          </w:tcPr>
          <w:p>
            <w:pPr>
              <w:spacing w:line="400" w:lineRule="exact"/>
              <w:rPr>
                <w:rFonts w:ascii="宋体" w:hAnsi="宋体" w:cs="宋体"/>
              </w:rPr>
            </w:pPr>
          </w:p>
        </w:tc>
        <w:tc>
          <w:tcPr>
            <w:tcW w:w="1589" w:type="dxa"/>
            <w:tcBorders>
              <w:right w:val="single" w:color="auto" w:sz="4" w:space="0"/>
            </w:tcBorders>
            <w:vAlign w:val="center"/>
          </w:tcPr>
          <w:p>
            <w:pPr>
              <w:spacing w:line="400" w:lineRule="exact"/>
              <w:rPr>
                <w:rFonts w:ascii="宋体" w:hAnsi="宋体" w:cs="宋体"/>
              </w:rPr>
            </w:pPr>
          </w:p>
        </w:tc>
        <w:tc>
          <w:tcPr>
            <w:tcW w:w="1172" w:type="dxa"/>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807" w:type="dxa"/>
            <w:tcBorders>
              <w:bottom w:val="single" w:color="auto" w:sz="4" w:space="0"/>
            </w:tcBorders>
            <w:vAlign w:val="center"/>
          </w:tcPr>
          <w:p>
            <w:pPr>
              <w:spacing w:line="400" w:lineRule="exact"/>
              <w:jc w:val="center"/>
              <w:rPr>
                <w:rFonts w:ascii="宋体" w:hAnsi="宋体" w:cs="宋体"/>
              </w:rPr>
            </w:pPr>
          </w:p>
        </w:tc>
        <w:tc>
          <w:tcPr>
            <w:tcW w:w="1614" w:type="dxa"/>
            <w:tcBorders>
              <w:bottom w:val="single" w:color="auto" w:sz="4" w:space="0"/>
            </w:tcBorders>
            <w:vAlign w:val="center"/>
          </w:tcPr>
          <w:p>
            <w:pPr>
              <w:spacing w:line="400" w:lineRule="exact"/>
              <w:jc w:val="center"/>
              <w:rPr>
                <w:rFonts w:ascii="宋体" w:hAnsi="宋体" w:cs="宋体"/>
              </w:rPr>
            </w:pPr>
          </w:p>
        </w:tc>
        <w:tc>
          <w:tcPr>
            <w:tcW w:w="1479" w:type="dxa"/>
            <w:tcBorders>
              <w:bottom w:val="single" w:color="auto" w:sz="4" w:space="0"/>
            </w:tcBorders>
            <w:vAlign w:val="center"/>
          </w:tcPr>
          <w:p>
            <w:pPr>
              <w:spacing w:line="400" w:lineRule="exact"/>
              <w:jc w:val="center"/>
              <w:rPr>
                <w:rFonts w:ascii="宋体" w:hAnsi="宋体" w:cs="宋体"/>
              </w:rPr>
            </w:pPr>
          </w:p>
        </w:tc>
        <w:tc>
          <w:tcPr>
            <w:tcW w:w="1496" w:type="dxa"/>
            <w:tcBorders>
              <w:bottom w:val="single" w:color="auto" w:sz="4" w:space="0"/>
            </w:tcBorders>
            <w:vAlign w:val="center"/>
          </w:tcPr>
          <w:p>
            <w:pPr>
              <w:spacing w:line="400" w:lineRule="exact"/>
              <w:jc w:val="center"/>
              <w:rPr>
                <w:rFonts w:ascii="宋体" w:hAnsi="宋体" w:cs="宋体"/>
              </w:rPr>
            </w:pPr>
          </w:p>
        </w:tc>
        <w:tc>
          <w:tcPr>
            <w:tcW w:w="1589" w:type="dxa"/>
            <w:tcBorders>
              <w:bottom w:val="single" w:color="auto" w:sz="4" w:space="0"/>
              <w:right w:val="single" w:color="auto" w:sz="4" w:space="0"/>
            </w:tcBorders>
            <w:vAlign w:val="center"/>
          </w:tcPr>
          <w:p>
            <w:pPr>
              <w:spacing w:line="400" w:lineRule="exact"/>
              <w:jc w:val="center"/>
              <w:rPr>
                <w:rFonts w:ascii="宋体" w:hAnsi="宋体" w:cs="宋体"/>
              </w:rPr>
            </w:pPr>
          </w:p>
        </w:tc>
        <w:tc>
          <w:tcPr>
            <w:tcW w:w="1172" w:type="dxa"/>
            <w:tcBorders>
              <w:left w:val="single" w:color="auto" w:sz="4" w:space="0"/>
              <w:bottom w:val="single" w:color="auto" w:sz="4" w:space="0"/>
            </w:tcBorders>
            <w:vAlign w:val="center"/>
          </w:tcPr>
          <w:p>
            <w:pPr>
              <w:spacing w:line="400" w:lineRule="exact"/>
              <w:jc w:val="center"/>
              <w:rPr>
                <w:rFonts w:ascii="宋体" w:hAnsi="宋体" w:cs="宋体"/>
              </w:rPr>
            </w:pPr>
          </w:p>
        </w:tc>
      </w:tr>
    </w:tbl>
    <w:p>
      <w:pPr>
        <w:rPr>
          <w:rFonts w:ascii="宋体" w:hAnsi="宋体" w:cs="宋体"/>
        </w:rPr>
      </w:pPr>
    </w:p>
    <w:p>
      <w:pPr>
        <w:spacing w:line="360" w:lineRule="auto"/>
        <w:ind w:left="360"/>
        <w:jc w:val="left"/>
        <w:rPr>
          <w:rFonts w:ascii="宋体" w:hAnsi="宋体" w:cs="宋体"/>
          <w:sz w:val="24"/>
          <w:szCs w:val="24"/>
        </w:rPr>
      </w:pPr>
      <w:r>
        <w:rPr>
          <w:rFonts w:hint="eastAsia" w:ascii="宋体" w:hAnsi="宋体" w:cs="宋体"/>
          <w:sz w:val="24"/>
          <w:szCs w:val="24"/>
        </w:rPr>
        <w:t>后附合同复印件</w:t>
      </w:r>
    </w:p>
    <w:p>
      <w:pPr>
        <w:adjustRightInd w:val="0"/>
        <w:snapToGrid w:val="0"/>
        <w:spacing w:line="480" w:lineRule="auto"/>
        <w:jc w:val="left"/>
        <w:rPr>
          <w:rFonts w:ascii="宋体" w:hAnsi="宋体" w:cs="宋体"/>
          <w:sz w:val="24"/>
          <w:szCs w:val="24"/>
        </w:rPr>
      </w:pP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供应商（单位名称及公章）：_________________________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日    期：_____年_____月_____日</w:t>
      </w:r>
    </w:p>
    <w:p>
      <w:pPr>
        <w:pStyle w:val="4"/>
        <w:numPr>
          <w:ilvl w:val="0"/>
          <w:numId w:val="31"/>
        </w:numPr>
        <w:spacing w:before="319" w:beforeLines="100" w:after="478" w:afterLines="150" w:line="500" w:lineRule="exact"/>
        <w:jc w:val="center"/>
        <w:rPr>
          <w:rFonts w:ascii="宋体" w:hAnsi="宋体" w:cs="宋体"/>
          <w:sz w:val="36"/>
          <w:szCs w:val="36"/>
        </w:rPr>
      </w:pPr>
      <w:bookmarkStart w:id="106" w:name="_Toc19279"/>
      <w:r>
        <w:rPr>
          <w:rFonts w:hint="eastAsia" w:ascii="宋体" w:hAnsi="宋体" w:cs="宋体"/>
          <w:sz w:val="36"/>
          <w:szCs w:val="36"/>
        </w:rPr>
        <w:br w:type="page"/>
      </w:r>
      <w:bookmarkStart w:id="107" w:name="_Toc31275"/>
      <w:r>
        <w:rPr>
          <w:rFonts w:hint="eastAsia" w:ascii="宋体" w:hAnsi="宋体" w:cs="宋体"/>
          <w:sz w:val="36"/>
          <w:szCs w:val="36"/>
        </w:rPr>
        <w:t xml:space="preserve">  </w:t>
      </w:r>
      <w:bookmarkStart w:id="108" w:name="_Toc4750"/>
      <w:r>
        <w:rPr>
          <w:rFonts w:hint="eastAsia" w:ascii="宋体" w:hAnsi="宋体" w:cs="宋体"/>
          <w:sz w:val="36"/>
          <w:szCs w:val="36"/>
        </w:rPr>
        <w:t>供应商认为有必要说明的其他问题</w:t>
      </w:r>
      <w:bookmarkEnd w:id="106"/>
      <w:bookmarkEnd w:id="107"/>
      <w:bookmarkEnd w:id="108"/>
    </w:p>
    <w:bookmarkEnd w:id="101"/>
    <w:p>
      <w:pPr>
        <w:adjustRightInd w:val="0"/>
        <w:spacing w:line="416" w:lineRule="atLeast"/>
        <w:jc w:val="center"/>
        <w:textAlignment w:val="baseline"/>
        <w:rPr>
          <w:rFonts w:ascii="宋体" w:hAnsi="宋体" w:cs="宋体"/>
        </w:rPr>
      </w:pPr>
      <w:r>
        <w:rPr>
          <w:rFonts w:hint="eastAsia" w:ascii="宋体" w:hAnsi="宋体" w:cs="宋体"/>
        </w:rPr>
        <w:br w:type="page"/>
      </w:r>
    </w:p>
    <w:p>
      <w:pPr>
        <w:pStyle w:val="4"/>
        <w:adjustRightInd w:val="0"/>
        <w:spacing w:line="416" w:lineRule="atLeast"/>
        <w:jc w:val="center"/>
        <w:textAlignment w:val="baseline"/>
        <w:rPr>
          <w:rFonts w:ascii="宋体" w:hAnsi="宋体" w:cs="宋体"/>
        </w:rPr>
      </w:pPr>
      <w:bookmarkStart w:id="109" w:name="_Toc11188"/>
      <w:r>
        <w:rPr>
          <w:rFonts w:hint="eastAsia" w:ascii="宋体" w:hAnsi="宋体" w:cs="宋体"/>
        </w:rPr>
        <w:t>附件一、封袋正面标识式样</w:t>
      </w:r>
      <w:bookmarkEnd w:id="86"/>
      <w:bookmarkEnd w:id="109"/>
    </w:p>
    <w:p>
      <w:pPr>
        <w:spacing w:line="460" w:lineRule="exact"/>
        <w:ind w:firstLine="482" w:firstLineChars="200"/>
        <w:jc w:val="center"/>
        <w:rPr>
          <w:rFonts w:ascii="宋体" w:hAnsi="宋体" w:cs="宋体"/>
          <w:b/>
          <w:sz w:val="24"/>
        </w:rPr>
      </w:pPr>
      <w:r>
        <w:rPr>
          <w:rFonts w:hint="eastAsia" w:ascii="宋体" w:hAnsi="宋体" w:cs="宋体"/>
          <w:b/>
          <w:sz w:val="24"/>
        </w:rPr>
        <w:t>投标文件正本封袋正面标识式样</w:t>
      </w:r>
    </w:p>
    <w:p>
      <w:pPr>
        <w:spacing w:line="460" w:lineRule="exact"/>
        <w:ind w:firstLine="420" w:firstLineChars="200"/>
        <w:jc w:val="center"/>
        <w:rPr>
          <w:rFonts w:ascii="宋体" w:hAnsi="宋体" w:cs="宋体"/>
          <w:b/>
          <w:sz w:val="24"/>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-349885</wp:posOffset>
                </wp:positionH>
                <wp:positionV relativeFrom="paragraph">
                  <wp:posOffset>113030</wp:posOffset>
                </wp:positionV>
                <wp:extent cx="5847080" cy="3235325"/>
                <wp:effectExtent l="4445" t="4445" r="15875" b="17780"/>
                <wp:wrapNone/>
                <wp:docPr id="13" name="Text Box 3"/>
                <wp:cNvGraphicFramePr/>
                <a:graphic xmlns:a="http://schemas.openxmlformats.org/drawingml/2006/main">
                  <a:graphicData uri="http://schemas.microsoft.com/office/word/2010/wordprocessingShape">
                    <wps:wsp>
                      <wps:cNvSpPr txBox="1"/>
                      <wps:spPr>
                        <a:xfrm>
                          <a:off x="0" y="0"/>
                          <a:ext cx="5847080" cy="3235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致：陕西卓佲项目管理有限公司       项目编号：</w:t>
                            </w:r>
                            <w:r>
                              <w:rPr>
                                <w:rFonts w:hint="eastAsia"/>
                                <w:sz w:val="28"/>
                                <w:szCs w:val="28"/>
                                <w:lang w:eastAsia="zh-CN"/>
                              </w:rPr>
                              <w:t>ZMZB2022BQJYJ-255</w:t>
                            </w:r>
                          </w:p>
                          <w:p>
                            <w:pPr>
                              <w:rPr>
                                <w:rFonts w:hint="eastAsia" w:eastAsia="宋体"/>
                                <w:sz w:val="28"/>
                                <w:szCs w:val="28"/>
                                <w:lang w:eastAsia="zh-CN"/>
                              </w:rPr>
                            </w:pPr>
                            <w:r>
                              <w:rPr>
                                <w:rFonts w:hint="eastAsia"/>
                                <w:sz w:val="28"/>
                                <w:szCs w:val="28"/>
                              </w:rPr>
                              <w:t>项目名称：</w:t>
                            </w:r>
                            <w:r>
                              <w:rPr>
                                <w:rFonts w:hint="eastAsia"/>
                                <w:sz w:val="28"/>
                                <w:szCs w:val="28"/>
                                <w:lang w:eastAsia="zh-CN"/>
                              </w:rPr>
                              <w:t>西安市灞桥区教育局（本级）秋季开学应急设备采购项目</w:t>
                            </w:r>
                          </w:p>
                          <w:p>
                            <w:pPr>
                              <w:jc w:val="center"/>
                              <w:rPr>
                                <w:b/>
                                <w:sz w:val="44"/>
                                <w:szCs w:val="44"/>
                              </w:rPr>
                            </w:pPr>
                            <w:r>
                              <w:rPr>
                                <w:rFonts w:hint="eastAsia"/>
                                <w:b/>
                                <w:sz w:val="44"/>
                                <w:szCs w:val="44"/>
                              </w:rPr>
                              <w:t>投标文件（正本）</w:t>
                            </w:r>
                          </w:p>
                          <w:p>
                            <w:pPr>
                              <w:pStyle w:val="2"/>
                              <w:ind w:firstLine="3092" w:firstLineChars="1100"/>
                              <w:jc w:val="both"/>
                              <w:rPr>
                                <w:sz w:val="28"/>
                                <w:szCs w:val="28"/>
                              </w:rPr>
                            </w:pPr>
                            <w:r>
                              <w:rPr>
                                <w:sz w:val="28"/>
                                <w:szCs w:val="28"/>
                              </w:rPr>
                              <w:t>（非开标会议不得启封）</w:t>
                            </w:r>
                          </w:p>
                          <w:p>
                            <w:pPr>
                              <w:rPr>
                                <w:rFonts w:hint="eastAsia" w:ascii="宋体" w:hAnsi="宋体" w:cs="宋体"/>
                                <w:sz w:val="28"/>
                                <w:szCs w:val="28"/>
                              </w:rPr>
                            </w:pPr>
                            <w:r>
                              <w:rPr>
                                <w:rFonts w:hint="eastAsia"/>
                                <w:sz w:val="28"/>
                                <w:szCs w:val="28"/>
                                <w:lang w:eastAsia="zh-CN"/>
                              </w:rPr>
                              <w:t>合同包号：合同包</w:t>
                            </w:r>
                            <w:r>
                              <w:rPr>
                                <w:rFonts w:hint="eastAsia" w:ascii="宋体" w:hAnsi="宋体" w:cs="宋体"/>
                                <w:sz w:val="28"/>
                                <w:szCs w:val="28"/>
                              </w:rPr>
                              <w:t>_____</w:t>
                            </w:r>
                          </w:p>
                          <w:p>
                            <w:pPr>
                              <w:rPr>
                                <w:sz w:val="28"/>
                                <w:szCs w:val="28"/>
                                <w:u w:val="single"/>
                              </w:rPr>
                            </w:pPr>
                            <w:r>
                              <w:rPr>
                                <w:rFonts w:hint="eastAsia"/>
                                <w:sz w:val="28"/>
                                <w:szCs w:val="28"/>
                              </w:rPr>
                              <w:t>供应商（公章）：</w:t>
                            </w:r>
                            <w:r>
                              <w:rPr>
                                <w:rFonts w:hint="eastAsia" w:ascii="宋体" w:hAnsi="宋体" w:cs="宋体"/>
                                <w:sz w:val="28"/>
                                <w:szCs w:val="28"/>
                              </w:rPr>
                              <w:t>______________________</w:t>
                            </w:r>
                          </w:p>
                          <w:p>
                            <w:pPr>
                              <w:adjustRightInd w:val="0"/>
                              <w:snapToGrid w:val="0"/>
                              <w:rPr>
                                <w:sz w:val="28"/>
                                <w:szCs w:val="28"/>
                                <w:u w:val="single"/>
                              </w:rPr>
                            </w:pPr>
                            <w:r>
                              <w:rPr>
                                <w:rFonts w:hint="eastAsia" w:ascii="宋体" w:hAnsi="宋体" w:cs="宋体"/>
                                <w:sz w:val="28"/>
                                <w:szCs w:val="28"/>
                              </w:rPr>
                              <w:t>法定代表人或被授权人（签字或盖章）：______________________</w:t>
                            </w:r>
                          </w:p>
                          <w:p>
                            <w:pPr>
                              <w:rPr>
                                <w:sz w:val="28"/>
                                <w:szCs w:val="28"/>
                              </w:rPr>
                            </w:pPr>
                            <w:r>
                              <w:rPr>
                                <w:rFonts w:hint="eastAsia"/>
                                <w:sz w:val="28"/>
                                <w:szCs w:val="28"/>
                              </w:rPr>
                              <w:t>时          间：</w:t>
                            </w:r>
                            <w:r>
                              <w:rPr>
                                <w:rFonts w:hint="eastAsia"/>
                                <w:sz w:val="28"/>
                                <w:szCs w:val="28"/>
                                <w:u w:val="single"/>
                              </w:rPr>
                              <w:t xml:space="preserve">        年       月      日</w:t>
                            </w:r>
                          </w:p>
                        </w:txbxContent>
                      </wps:txbx>
                      <wps:bodyPr wrap="square" upright="1"/>
                    </wps:wsp>
                  </a:graphicData>
                </a:graphic>
              </wp:anchor>
            </w:drawing>
          </mc:Choice>
          <mc:Fallback>
            <w:pict>
              <v:shape id="Text Box 3" o:spid="_x0000_s1026" o:spt="202" type="#_x0000_t202" style="position:absolute;left:0pt;margin-left:-27.55pt;margin-top:8.9pt;height:254.75pt;width:460.4pt;z-index:251662336;mso-width-relative:page;mso-height-relative:page;" fillcolor="#FFFFFF" filled="t" stroked="t" coordsize="21600,21600" o:gfxdata="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rAf2QAAAAoBAAAPAAAAAAAAAAEAIAAA&#10;ACIAAABkcnMvZG93bnJldi54bWxQSwECFAAUAAAACACHTuJAReXTMAsCAABTBAAADgAAAAAAAAAB&#10;ACAAAAAoAQAAZHJzL2Uyb0RvYy54bWxQSwUGAAAAAAYABgBZAQAApQU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致：陕西卓佲项目管理有限公司       项目编号：</w:t>
                      </w:r>
                      <w:r>
                        <w:rPr>
                          <w:rFonts w:hint="eastAsia"/>
                          <w:sz w:val="28"/>
                          <w:szCs w:val="28"/>
                          <w:lang w:eastAsia="zh-CN"/>
                        </w:rPr>
                        <w:t>ZMZB2022BQJYJ-255</w:t>
                      </w:r>
                    </w:p>
                    <w:p>
                      <w:pPr>
                        <w:rPr>
                          <w:rFonts w:hint="eastAsia" w:eastAsia="宋体"/>
                          <w:sz w:val="28"/>
                          <w:szCs w:val="28"/>
                          <w:lang w:eastAsia="zh-CN"/>
                        </w:rPr>
                      </w:pPr>
                      <w:r>
                        <w:rPr>
                          <w:rFonts w:hint="eastAsia"/>
                          <w:sz w:val="28"/>
                          <w:szCs w:val="28"/>
                        </w:rPr>
                        <w:t>项目名称：</w:t>
                      </w:r>
                      <w:r>
                        <w:rPr>
                          <w:rFonts w:hint="eastAsia"/>
                          <w:sz w:val="28"/>
                          <w:szCs w:val="28"/>
                          <w:lang w:eastAsia="zh-CN"/>
                        </w:rPr>
                        <w:t>西安市灞桥区教育局（本级）秋季开学应急设备采购项目</w:t>
                      </w:r>
                    </w:p>
                    <w:p>
                      <w:pPr>
                        <w:jc w:val="center"/>
                        <w:rPr>
                          <w:b/>
                          <w:sz w:val="44"/>
                          <w:szCs w:val="44"/>
                        </w:rPr>
                      </w:pPr>
                      <w:r>
                        <w:rPr>
                          <w:rFonts w:hint="eastAsia"/>
                          <w:b/>
                          <w:sz w:val="44"/>
                          <w:szCs w:val="44"/>
                        </w:rPr>
                        <w:t>投标文件（正本）</w:t>
                      </w:r>
                    </w:p>
                    <w:p>
                      <w:pPr>
                        <w:pStyle w:val="2"/>
                        <w:ind w:firstLine="3092" w:firstLineChars="1100"/>
                        <w:jc w:val="both"/>
                        <w:rPr>
                          <w:sz w:val="28"/>
                          <w:szCs w:val="28"/>
                        </w:rPr>
                      </w:pPr>
                      <w:r>
                        <w:rPr>
                          <w:sz w:val="28"/>
                          <w:szCs w:val="28"/>
                        </w:rPr>
                        <w:t>（非开标会议不得启封）</w:t>
                      </w:r>
                    </w:p>
                    <w:p>
                      <w:pPr>
                        <w:rPr>
                          <w:rFonts w:hint="eastAsia" w:ascii="宋体" w:hAnsi="宋体" w:cs="宋体"/>
                          <w:sz w:val="28"/>
                          <w:szCs w:val="28"/>
                        </w:rPr>
                      </w:pPr>
                      <w:r>
                        <w:rPr>
                          <w:rFonts w:hint="eastAsia"/>
                          <w:sz w:val="28"/>
                          <w:szCs w:val="28"/>
                          <w:lang w:eastAsia="zh-CN"/>
                        </w:rPr>
                        <w:t>合同包号：合同包</w:t>
                      </w:r>
                      <w:r>
                        <w:rPr>
                          <w:rFonts w:hint="eastAsia" w:ascii="宋体" w:hAnsi="宋体" w:cs="宋体"/>
                          <w:sz w:val="28"/>
                          <w:szCs w:val="28"/>
                        </w:rPr>
                        <w:t>_____</w:t>
                      </w:r>
                    </w:p>
                    <w:p>
                      <w:pPr>
                        <w:rPr>
                          <w:sz w:val="28"/>
                          <w:szCs w:val="28"/>
                          <w:u w:val="single"/>
                        </w:rPr>
                      </w:pPr>
                      <w:r>
                        <w:rPr>
                          <w:rFonts w:hint="eastAsia"/>
                          <w:sz w:val="28"/>
                          <w:szCs w:val="28"/>
                        </w:rPr>
                        <w:t>供应商（公章）：</w:t>
                      </w:r>
                      <w:r>
                        <w:rPr>
                          <w:rFonts w:hint="eastAsia" w:ascii="宋体" w:hAnsi="宋体" w:cs="宋体"/>
                          <w:sz w:val="28"/>
                          <w:szCs w:val="28"/>
                        </w:rPr>
                        <w:t>______________________</w:t>
                      </w:r>
                    </w:p>
                    <w:p>
                      <w:pPr>
                        <w:adjustRightInd w:val="0"/>
                        <w:snapToGrid w:val="0"/>
                        <w:rPr>
                          <w:sz w:val="28"/>
                          <w:szCs w:val="28"/>
                          <w:u w:val="single"/>
                        </w:rPr>
                      </w:pPr>
                      <w:r>
                        <w:rPr>
                          <w:rFonts w:hint="eastAsia" w:ascii="宋体" w:hAnsi="宋体" w:cs="宋体"/>
                          <w:sz w:val="28"/>
                          <w:szCs w:val="28"/>
                        </w:rPr>
                        <w:t>法定代表人或被授权人（签字或盖章）：______________________</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pStyle w:val="8"/>
        <w:rPr>
          <w:rFonts w:ascii="宋体" w:hAnsi="宋体" w:cs="宋体"/>
        </w:rPr>
      </w:pPr>
    </w:p>
    <w:p>
      <w:pPr>
        <w:spacing w:line="460" w:lineRule="exact"/>
        <w:ind w:firstLine="482" w:firstLineChars="200"/>
        <w:jc w:val="center"/>
        <w:rPr>
          <w:rFonts w:ascii="宋体" w:hAnsi="宋体" w:cs="宋体"/>
          <w:b/>
          <w:sz w:val="24"/>
        </w:rPr>
      </w:pPr>
      <w:r>
        <w:rPr>
          <w:rFonts w:hint="eastAsia" w:ascii="宋体" w:hAnsi="宋体" w:cs="宋体"/>
          <w:b/>
          <w:sz w:val="24"/>
        </w:rPr>
        <w:t>投标文件副本封袋正面标识式样</w:t>
      </w:r>
    </w:p>
    <w:p>
      <w:pPr>
        <w:ind w:firstLine="420" w:firstLineChars="200"/>
        <w:jc w:val="center"/>
        <w:rPr>
          <w:rFonts w:ascii="宋体" w:hAnsi="宋体" w:cs="宋体"/>
        </w:rPr>
      </w:pPr>
      <w:r>
        <w:rPr>
          <w:rFonts w:hint="eastAsia"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-314325</wp:posOffset>
                </wp:positionH>
                <wp:positionV relativeFrom="paragraph">
                  <wp:posOffset>100330</wp:posOffset>
                </wp:positionV>
                <wp:extent cx="5870575" cy="3482340"/>
                <wp:effectExtent l="4445" t="5080" r="11430" b="17780"/>
                <wp:wrapNone/>
                <wp:docPr id="6" name="Text Box 4"/>
                <wp:cNvGraphicFramePr/>
                <a:graphic xmlns:a="http://schemas.openxmlformats.org/drawingml/2006/main">
                  <a:graphicData uri="http://schemas.microsoft.com/office/word/2010/wordprocessingShape">
                    <wps:wsp>
                      <wps:cNvSpPr txBox="1"/>
                      <wps:spPr>
                        <a:xfrm>
                          <a:off x="0" y="0"/>
                          <a:ext cx="5825490" cy="3482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致：陕西卓佲项目管理有限公司        项目编号：</w:t>
                            </w:r>
                            <w:r>
                              <w:rPr>
                                <w:rFonts w:hint="eastAsia"/>
                                <w:sz w:val="28"/>
                                <w:szCs w:val="28"/>
                                <w:lang w:eastAsia="zh-CN"/>
                              </w:rPr>
                              <w:t>ZMZB2022BQJYJ-255</w:t>
                            </w:r>
                          </w:p>
                          <w:p>
                            <w:pPr>
                              <w:rPr>
                                <w:rFonts w:hint="eastAsia" w:eastAsia="宋体"/>
                                <w:sz w:val="28"/>
                                <w:szCs w:val="28"/>
                                <w:lang w:eastAsia="zh-CN"/>
                              </w:rPr>
                            </w:pPr>
                            <w:r>
                              <w:rPr>
                                <w:rFonts w:hint="eastAsia"/>
                                <w:sz w:val="28"/>
                                <w:szCs w:val="28"/>
                              </w:rPr>
                              <w:t>项目名称：</w:t>
                            </w:r>
                            <w:r>
                              <w:rPr>
                                <w:rFonts w:hint="eastAsia"/>
                                <w:sz w:val="28"/>
                                <w:szCs w:val="28"/>
                                <w:lang w:eastAsia="zh-CN"/>
                              </w:rPr>
                              <w:t>西安市灞桥区教育局（本级）秋季开学应急设备采购项目</w:t>
                            </w:r>
                          </w:p>
                          <w:p>
                            <w:pPr>
                              <w:pStyle w:val="12"/>
                              <w:ind w:firstLine="2650" w:firstLineChars="600"/>
                              <w:jc w:val="left"/>
                              <w:rPr>
                                <w:sz w:val="28"/>
                                <w:szCs w:val="28"/>
                              </w:rPr>
                            </w:pPr>
                            <w:r>
                              <w:rPr>
                                <w:rFonts w:hint="eastAsia"/>
                                <w:b/>
                                <w:color w:val="auto"/>
                                <w:sz w:val="44"/>
                                <w:szCs w:val="44"/>
                              </w:rPr>
                              <w:t>投标文件（副本）</w:t>
                            </w:r>
                          </w:p>
                          <w:p>
                            <w:pPr>
                              <w:pStyle w:val="2"/>
                              <w:ind w:firstLine="3092" w:firstLineChars="1100"/>
                              <w:rPr>
                                <w:sz w:val="28"/>
                                <w:szCs w:val="28"/>
                              </w:rPr>
                            </w:pPr>
                            <w:r>
                              <w:rPr>
                                <w:sz w:val="28"/>
                                <w:szCs w:val="28"/>
                              </w:rPr>
                              <w:t>（非开标会议不得启封）</w:t>
                            </w:r>
                          </w:p>
                          <w:p>
                            <w:pPr>
                              <w:rPr>
                                <w:rFonts w:hint="eastAsia" w:ascii="宋体" w:hAnsi="宋体" w:cs="宋体"/>
                                <w:sz w:val="28"/>
                                <w:szCs w:val="28"/>
                              </w:rPr>
                            </w:pPr>
                            <w:r>
                              <w:rPr>
                                <w:rFonts w:hint="eastAsia"/>
                                <w:sz w:val="28"/>
                                <w:szCs w:val="28"/>
                                <w:lang w:eastAsia="zh-CN"/>
                              </w:rPr>
                              <w:t>合同包号：合同包</w:t>
                            </w:r>
                            <w:r>
                              <w:rPr>
                                <w:rFonts w:hint="eastAsia" w:ascii="宋体" w:hAnsi="宋体" w:cs="宋体"/>
                                <w:sz w:val="28"/>
                                <w:szCs w:val="28"/>
                              </w:rPr>
                              <w:t>_____</w:t>
                            </w:r>
                          </w:p>
                          <w:p>
                            <w:pPr>
                              <w:rPr>
                                <w:sz w:val="28"/>
                                <w:szCs w:val="28"/>
                                <w:u w:val="single"/>
                              </w:rPr>
                            </w:pPr>
                            <w:r>
                              <w:rPr>
                                <w:rFonts w:hint="eastAsia"/>
                                <w:sz w:val="28"/>
                                <w:szCs w:val="28"/>
                              </w:rPr>
                              <w:t>供应商（公章）：</w:t>
                            </w:r>
                            <w:r>
                              <w:rPr>
                                <w:rFonts w:hint="eastAsia" w:ascii="宋体" w:hAnsi="宋体" w:cs="宋体"/>
                                <w:sz w:val="28"/>
                                <w:szCs w:val="28"/>
                              </w:rPr>
                              <w:t>______________________</w:t>
                            </w:r>
                          </w:p>
                          <w:p>
                            <w:pPr>
                              <w:adjustRightInd w:val="0"/>
                              <w:snapToGrid w:val="0"/>
                              <w:rPr>
                                <w:sz w:val="28"/>
                                <w:szCs w:val="28"/>
                                <w:u w:val="single"/>
                              </w:rPr>
                            </w:pPr>
                            <w:r>
                              <w:rPr>
                                <w:rFonts w:hint="eastAsia" w:ascii="宋体" w:hAnsi="宋体" w:cs="宋体"/>
                                <w:sz w:val="28"/>
                                <w:szCs w:val="28"/>
                              </w:rPr>
                              <w:t>法定代表人或被授权人（签字或盖章）：______________________</w:t>
                            </w:r>
                          </w:p>
                          <w:p>
                            <w:pPr>
                              <w:rPr>
                                <w:sz w:val="28"/>
                                <w:szCs w:val="28"/>
                              </w:rPr>
                            </w:pPr>
                            <w:r>
                              <w:rPr>
                                <w:rFonts w:hint="eastAsia"/>
                                <w:sz w:val="28"/>
                                <w:szCs w:val="28"/>
                              </w:rPr>
                              <w:t>时          间：</w:t>
                            </w:r>
                            <w:r>
                              <w:rPr>
                                <w:rFonts w:hint="eastAsia"/>
                                <w:sz w:val="28"/>
                                <w:szCs w:val="28"/>
                                <w:u w:val="single"/>
                              </w:rPr>
                              <w:t xml:space="preserve">        年       月      日</w:t>
                            </w:r>
                          </w:p>
                        </w:txbxContent>
                      </wps:txbx>
                      <wps:bodyPr wrap="square" upright="1"/>
                    </wps:wsp>
                  </a:graphicData>
                </a:graphic>
              </wp:anchor>
            </w:drawing>
          </mc:Choice>
          <mc:Fallback>
            <w:pict>
              <v:shape id="Text Box 4" o:spid="_x0000_s1026" o:spt="202" type="#_x0000_t202" style="position:absolute;left:0pt;margin-left:-24.75pt;margin-top:7.9pt;height:274.2pt;width:462.25pt;z-index:251663360;mso-width-relative:page;mso-height-relative:page;" fillcolor="#FFFFFF" filled="t" stroked="t" coordsize="21600,21600" o:gfxdata="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sZAa9kAAAAKAQAADwAAAAAAAAAB&#10;ACAAAAAiAAAAZHJzL2Rvd25yZXYueG1sUEsBAhQAFAAAAAgAh07iQHGi3U8PAgAAUgQAAA4AAAAA&#10;AAAAAQAgAAAAKAEAAGRycy9lMm9Eb2MueG1sUEsFBgAAAAAGAAYAWQEAAKkFA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致：陕西卓佲项目管理有限公司        项目编号：</w:t>
                      </w:r>
                      <w:r>
                        <w:rPr>
                          <w:rFonts w:hint="eastAsia"/>
                          <w:sz w:val="28"/>
                          <w:szCs w:val="28"/>
                          <w:lang w:eastAsia="zh-CN"/>
                        </w:rPr>
                        <w:t>ZMZB2022BQJYJ-255</w:t>
                      </w:r>
                    </w:p>
                    <w:p>
                      <w:pPr>
                        <w:rPr>
                          <w:rFonts w:hint="eastAsia" w:eastAsia="宋体"/>
                          <w:sz w:val="28"/>
                          <w:szCs w:val="28"/>
                          <w:lang w:eastAsia="zh-CN"/>
                        </w:rPr>
                      </w:pPr>
                      <w:r>
                        <w:rPr>
                          <w:rFonts w:hint="eastAsia"/>
                          <w:sz w:val="28"/>
                          <w:szCs w:val="28"/>
                        </w:rPr>
                        <w:t>项目名称：</w:t>
                      </w:r>
                      <w:r>
                        <w:rPr>
                          <w:rFonts w:hint="eastAsia"/>
                          <w:sz w:val="28"/>
                          <w:szCs w:val="28"/>
                          <w:lang w:eastAsia="zh-CN"/>
                        </w:rPr>
                        <w:t>西安市灞桥区教育局（本级）秋季开学应急设备采购项目</w:t>
                      </w:r>
                    </w:p>
                    <w:p>
                      <w:pPr>
                        <w:pStyle w:val="12"/>
                        <w:ind w:firstLine="2650" w:firstLineChars="600"/>
                        <w:jc w:val="left"/>
                        <w:rPr>
                          <w:sz w:val="28"/>
                          <w:szCs w:val="28"/>
                        </w:rPr>
                      </w:pPr>
                      <w:r>
                        <w:rPr>
                          <w:rFonts w:hint="eastAsia"/>
                          <w:b/>
                          <w:color w:val="auto"/>
                          <w:sz w:val="44"/>
                          <w:szCs w:val="44"/>
                        </w:rPr>
                        <w:t>投标文件（副本）</w:t>
                      </w:r>
                    </w:p>
                    <w:p>
                      <w:pPr>
                        <w:pStyle w:val="2"/>
                        <w:ind w:firstLine="3092" w:firstLineChars="1100"/>
                        <w:rPr>
                          <w:sz w:val="28"/>
                          <w:szCs w:val="28"/>
                        </w:rPr>
                      </w:pPr>
                      <w:r>
                        <w:rPr>
                          <w:sz w:val="28"/>
                          <w:szCs w:val="28"/>
                        </w:rPr>
                        <w:t>（非开标会议不得启封）</w:t>
                      </w:r>
                    </w:p>
                    <w:p>
                      <w:pPr>
                        <w:rPr>
                          <w:rFonts w:hint="eastAsia" w:ascii="宋体" w:hAnsi="宋体" w:cs="宋体"/>
                          <w:sz w:val="28"/>
                          <w:szCs w:val="28"/>
                        </w:rPr>
                      </w:pPr>
                      <w:r>
                        <w:rPr>
                          <w:rFonts w:hint="eastAsia"/>
                          <w:sz w:val="28"/>
                          <w:szCs w:val="28"/>
                          <w:lang w:eastAsia="zh-CN"/>
                        </w:rPr>
                        <w:t>合同包号：合同包</w:t>
                      </w:r>
                      <w:r>
                        <w:rPr>
                          <w:rFonts w:hint="eastAsia" w:ascii="宋体" w:hAnsi="宋体" w:cs="宋体"/>
                          <w:sz w:val="28"/>
                          <w:szCs w:val="28"/>
                        </w:rPr>
                        <w:t>_____</w:t>
                      </w:r>
                    </w:p>
                    <w:p>
                      <w:pPr>
                        <w:rPr>
                          <w:sz w:val="28"/>
                          <w:szCs w:val="28"/>
                          <w:u w:val="single"/>
                        </w:rPr>
                      </w:pPr>
                      <w:r>
                        <w:rPr>
                          <w:rFonts w:hint="eastAsia"/>
                          <w:sz w:val="28"/>
                          <w:szCs w:val="28"/>
                        </w:rPr>
                        <w:t>供应商（公章）：</w:t>
                      </w:r>
                      <w:r>
                        <w:rPr>
                          <w:rFonts w:hint="eastAsia" w:ascii="宋体" w:hAnsi="宋体" w:cs="宋体"/>
                          <w:sz w:val="28"/>
                          <w:szCs w:val="28"/>
                        </w:rPr>
                        <w:t>______________________</w:t>
                      </w:r>
                    </w:p>
                    <w:p>
                      <w:pPr>
                        <w:adjustRightInd w:val="0"/>
                        <w:snapToGrid w:val="0"/>
                        <w:rPr>
                          <w:sz w:val="28"/>
                          <w:szCs w:val="28"/>
                          <w:u w:val="single"/>
                        </w:rPr>
                      </w:pPr>
                      <w:r>
                        <w:rPr>
                          <w:rFonts w:hint="eastAsia" w:ascii="宋体" w:hAnsi="宋体" w:cs="宋体"/>
                          <w:sz w:val="28"/>
                          <w:szCs w:val="28"/>
                        </w:rPr>
                        <w:t>法定代表人或被授权人（签字或盖章）：______________________</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widowControl/>
        <w:spacing w:line="460" w:lineRule="exact"/>
        <w:ind w:firstLine="480" w:firstLineChars="200"/>
        <w:jc w:val="center"/>
        <w:rPr>
          <w:rFonts w:ascii="宋体" w:hAnsi="宋体" w:cs="宋体"/>
          <w:sz w:val="24"/>
          <w:szCs w:val="28"/>
        </w:rPr>
        <w:sectPr>
          <w:footerReference r:id="rId16" w:type="default"/>
          <w:pgSz w:w="11906" w:h="16838"/>
          <w:pgMar w:top="1440" w:right="1803" w:bottom="1440" w:left="1803" w:header="851" w:footer="992" w:gutter="0"/>
          <w:pgNumType w:fmt="decimal"/>
          <w:cols w:space="720" w:num="1"/>
          <w:docGrid w:type="lines" w:linePitch="319" w:charSpace="0"/>
        </w:sectPr>
      </w:pPr>
    </w:p>
    <w:p>
      <w:pPr>
        <w:spacing w:line="460" w:lineRule="exact"/>
        <w:ind w:firstLine="482" w:firstLineChars="200"/>
        <w:jc w:val="center"/>
        <w:rPr>
          <w:rFonts w:ascii="宋体" w:hAnsi="宋体" w:cs="宋体"/>
          <w:b/>
          <w:sz w:val="24"/>
        </w:rPr>
      </w:pPr>
      <w:r>
        <w:rPr>
          <w:rFonts w:hint="eastAsia" w:ascii="宋体" w:hAnsi="宋体" w:cs="宋体"/>
          <w:b/>
          <w:sz w:val="24"/>
        </w:rPr>
        <w:t>报价一览表封袋正面标识式样</w:t>
      </w:r>
    </w:p>
    <w:p>
      <w:pPr>
        <w:spacing w:line="460" w:lineRule="exact"/>
        <w:ind w:firstLine="420" w:firstLineChars="200"/>
        <w:jc w:val="center"/>
        <w:rPr>
          <w:rFonts w:ascii="宋体" w:hAnsi="宋体" w:cs="宋体"/>
          <w:b/>
          <w:sz w:val="24"/>
        </w:rPr>
      </w:pPr>
      <w:r>
        <w:rPr>
          <w:rFonts w:hint="eastAsia"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-325755</wp:posOffset>
                </wp:positionH>
                <wp:positionV relativeFrom="paragraph">
                  <wp:posOffset>191135</wp:posOffset>
                </wp:positionV>
                <wp:extent cx="5760085" cy="3538220"/>
                <wp:effectExtent l="5080" t="4445" r="6985" b="19685"/>
                <wp:wrapNone/>
                <wp:docPr id="11" name="Text Box 3"/>
                <wp:cNvGraphicFramePr/>
                <a:graphic xmlns:a="http://schemas.openxmlformats.org/drawingml/2006/main">
                  <a:graphicData uri="http://schemas.microsoft.com/office/word/2010/wordprocessingShape">
                    <wps:wsp>
                      <wps:cNvSpPr txBox="1"/>
                      <wps:spPr>
                        <a:xfrm>
                          <a:off x="0" y="0"/>
                          <a:ext cx="5706745" cy="3538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致：陕西卓佲项目管理有限公司      项目编号：</w:t>
                            </w:r>
                            <w:r>
                              <w:rPr>
                                <w:rFonts w:hint="eastAsia"/>
                                <w:sz w:val="28"/>
                                <w:szCs w:val="28"/>
                                <w:lang w:eastAsia="zh-CN"/>
                              </w:rPr>
                              <w:t>ZMZB2022BQJYJ-255</w:t>
                            </w:r>
                          </w:p>
                          <w:p>
                            <w:pPr>
                              <w:rPr>
                                <w:rFonts w:hint="eastAsia" w:eastAsia="宋体"/>
                                <w:sz w:val="28"/>
                                <w:szCs w:val="28"/>
                                <w:lang w:eastAsia="zh-CN"/>
                              </w:rPr>
                            </w:pPr>
                            <w:r>
                              <w:rPr>
                                <w:rFonts w:hint="eastAsia"/>
                                <w:sz w:val="28"/>
                                <w:szCs w:val="28"/>
                              </w:rPr>
                              <w:t>项目名称：</w:t>
                            </w:r>
                            <w:r>
                              <w:rPr>
                                <w:rFonts w:hint="eastAsia"/>
                                <w:sz w:val="28"/>
                                <w:szCs w:val="28"/>
                                <w:lang w:eastAsia="zh-CN"/>
                              </w:rPr>
                              <w:t>西安市灞桥区教育局（本级）秋季开学应急设备采购项目</w:t>
                            </w:r>
                          </w:p>
                          <w:p>
                            <w:pPr>
                              <w:pStyle w:val="2"/>
                              <w:ind w:firstLine="3092" w:firstLineChars="700"/>
                              <w:jc w:val="both"/>
                              <w:rPr>
                                <w:rFonts w:hint="default"/>
                                <w:sz w:val="28"/>
                                <w:szCs w:val="28"/>
                              </w:rPr>
                            </w:pPr>
                            <w:r>
                              <w:rPr>
                                <w:sz w:val="44"/>
                                <w:szCs w:val="44"/>
                              </w:rPr>
                              <w:t>报价一览表</w:t>
                            </w:r>
                          </w:p>
                          <w:p>
                            <w:pPr>
                              <w:pStyle w:val="2"/>
                              <w:ind w:firstLine="2530" w:firstLineChars="900"/>
                              <w:jc w:val="both"/>
                              <w:rPr>
                                <w:sz w:val="28"/>
                                <w:szCs w:val="28"/>
                              </w:rPr>
                            </w:pPr>
                            <w:r>
                              <w:rPr>
                                <w:sz w:val="28"/>
                                <w:szCs w:val="28"/>
                              </w:rPr>
                              <w:t>（非开标会议不得启封）</w:t>
                            </w:r>
                          </w:p>
                          <w:p>
                            <w:pPr>
                              <w:rPr>
                                <w:rFonts w:hint="eastAsia" w:ascii="宋体" w:hAnsi="宋体" w:cs="宋体"/>
                                <w:sz w:val="28"/>
                                <w:szCs w:val="28"/>
                              </w:rPr>
                            </w:pPr>
                            <w:r>
                              <w:rPr>
                                <w:rFonts w:hint="eastAsia"/>
                                <w:sz w:val="28"/>
                                <w:szCs w:val="28"/>
                                <w:lang w:eastAsia="zh-CN"/>
                              </w:rPr>
                              <w:t>合同包号：合同包</w:t>
                            </w:r>
                            <w:r>
                              <w:rPr>
                                <w:rFonts w:hint="eastAsia" w:ascii="宋体" w:hAnsi="宋体" w:cs="宋体"/>
                                <w:sz w:val="28"/>
                                <w:szCs w:val="28"/>
                              </w:rPr>
                              <w:t>_____</w:t>
                            </w:r>
                          </w:p>
                          <w:p>
                            <w:pPr>
                              <w:rPr>
                                <w:sz w:val="28"/>
                                <w:szCs w:val="28"/>
                                <w:u w:val="single"/>
                              </w:rPr>
                            </w:pPr>
                            <w:r>
                              <w:rPr>
                                <w:rFonts w:hint="eastAsia"/>
                                <w:sz w:val="28"/>
                                <w:szCs w:val="28"/>
                              </w:rPr>
                              <w:t>供应商（公章）：</w:t>
                            </w:r>
                            <w:r>
                              <w:rPr>
                                <w:rFonts w:hint="eastAsia" w:ascii="宋体" w:hAnsi="宋体" w:cs="宋体"/>
                                <w:sz w:val="28"/>
                                <w:szCs w:val="28"/>
                              </w:rPr>
                              <w:t>______________________</w:t>
                            </w:r>
                          </w:p>
                          <w:p>
                            <w:pPr>
                              <w:adjustRightInd w:val="0"/>
                              <w:snapToGrid w:val="0"/>
                              <w:rPr>
                                <w:sz w:val="28"/>
                                <w:szCs w:val="28"/>
                                <w:u w:val="single"/>
                              </w:rPr>
                            </w:pPr>
                            <w:r>
                              <w:rPr>
                                <w:rFonts w:hint="eastAsia" w:ascii="宋体" w:hAnsi="宋体" w:cs="宋体"/>
                                <w:sz w:val="28"/>
                                <w:szCs w:val="28"/>
                              </w:rPr>
                              <w:t>法定代表人或被授权人（签字或盖章）：______________________</w:t>
                            </w:r>
                          </w:p>
                          <w:p>
                            <w:pPr>
                              <w:rPr>
                                <w:sz w:val="28"/>
                                <w:szCs w:val="28"/>
                              </w:rPr>
                            </w:pPr>
                            <w:r>
                              <w:rPr>
                                <w:rFonts w:hint="eastAsia"/>
                                <w:sz w:val="28"/>
                                <w:szCs w:val="28"/>
                              </w:rPr>
                              <w:t>时          间：</w:t>
                            </w:r>
                            <w:r>
                              <w:rPr>
                                <w:rFonts w:hint="eastAsia"/>
                                <w:sz w:val="28"/>
                                <w:szCs w:val="28"/>
                                <w:u w:val="single"/>
                              </w:rPr>
                              <w:t xml:space="preserve">        年       月      日</w:t>
                            </w:r>
                          </w:p>
                        </w:txbxContent>
                      </wps:txbx>
                      <wps:bodyPr wrap="square" upright="1"/>
                    </wps:wsp>
                  </a:graphicData>
                </a:graphic>
              </wp:anchor>
            </w:drawing>
          </mc:Choice>
          <mc:Fallback>
            <w:pict>
              <v:shape id="Text Box 3" o:spid="_x0000_s1026" o:spt="202" type="#_x0000_t202" style="position:absolute;left:0pt;margin-left:-25.65pt;margin-top:15.05pt;height:278.6pt;width:453.55pt;z-index:251664384;mso-width-relative:page;mso-height-relative:page;" fillcolor="#FFFFFF" filled="t" stroked="t" coordsize="21600,21600" o:gfxdata="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eil/zaAAAACgEAAA8AAAAAAAAA&#10;AQAgAAAAIgAAAGRycy9kb3ducmV2LnhtbFBLAQIUABQAAAAIAIdO4kBSgcv7DwIAAFMEAAAOAAAA&#10;AAAAAAEAIAAAACkBAABkcnMvZTJvRG9jLnhtbFBLBQYAAAAABgAGAFkBAACqBQ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致：陕西卓佲项目管理有限公司      项目编号：</w:t>
                      </w:r>
                      <w:r>
                        <w:rPr>
                          <w:rFonts w:hint="eastAsia"/>
                          <w:sz w:val="28"/>
                          <w:szCs w:val="28"/>
                          <w:lang w:eastAsia="zh-CN"/>
                        </w:rPr>
                        <w:t>ZMZB2022BQJYJ-255</w:t>
                      </w:r>
                    </w:p>
                    <w:p>
                      <w:pPr>
                        <w:rPr>
                          <w:rFonts w:hint="eastAsia" w:eastAsia="宋体"/>
                          <w:sz w:val="28"/>
                          <w:szCs w:val="28"/>
                          <w:lang w:eastAsia="zh-CN"/>
                        </w:rPr>
                      </w:pPr>
                      <w:r>
                        <w:rPr>
                          <w:rFonts w:hint="eastAsia"/>
                          <w:sz w:val="28"/>
                          <w:szCs w:val="28"/>
                        </w:rPr>
                        <w:t>项目名称：</w:t>
                      </w:r>
                      <w:r>
                        <w:rPr>
                          <w:rFonts w:hint="eastAsia"/>
                          <w:sz w:val="28"/>
                          <w:szCs w:val="28"/>
                          <w:lang w:eastAsia="zh-CN"/>
                        </w:rPr>
                        <w:t>西安市灞桥区教育局（本级）秋季开学应急设备采购项目</w:t>
                      </w:r>
                    </w:p>
                    <w:p>
                      <w:pPr>
                        <w:pStyle w:val="2"/>
                        <w:ind w:firstLine="3092" w:firstLineChars="700"/>
                        <w:jc w:val="both"/>
                        <w:rPr>
                          <w:rFonts w:hint="default"/>
                          <w:sz w:val="28"/>
                          <w:szCs w:val="28"/>
                        </w:rPr>
                      </w:pPr>
                      <w:r>
                        <w:rPr>
                          <w:sz w:val="44"/>
                          <w:szCs w:val="44"/>
                        </w:rPr>
                        <w:t>报价一览表</w:t>
                      </w:r>
                    </w:p>
                    <w:p>
                      <w:pPr>
                        <w:pStyle w:val="2"/>
                        <w:ind w:firstLine="2530" w:firstLineChars="900"/>
                        <w:jc w:val="both"/>
                        <w:rPr>
                          <w:sz w:val="28"/>
                          <w:szCs w:val="28"/>
                        </w:rPr>
                      </w:pPr>
                      <w:r>
                        <w:rPr>
                          <w:sz w:val="28"/>
                          <w:szCs w:val="28"/>
                        </w:rPr>
                        <w:t>（非开标会议不得启封）</w:t>
                      </w:r>
                    </w:p>
                    <w:p>
                      <w:pPr>
                        <w:rPr>
                          <w:rFonts w:hint="eastAsia" w:ascii="宋体" w:hAnsi="宋体" w:cs="宋体"/>
                          <w:sz w:val="28"/>
                          <w:szCs w:val="28"/>
                        </w:rPr>
                      </w:pPr>
                      <w:r>
                        <w:rPr>
                          <w:rFonts w:hint="eastAsia"/>
                          <w:sz w:val="28"/>
                          <w:szCs w:val="28"/>
                          <w:lang w:eastAsia="zh-CN"/>
                        </w:rPr>
                        <w:t>合同包号：合同包</w:t>
                      </w:r>
                      <w:r>
                        <w:rPr>
                          <w:rFonts w:hint="eastAsia" w:ascii="宋体" w:hAnsi="宋体" w:cs="宋体"/>
                          <w:sz w:val="28"/>
                          <w:szCs w:val="28"/>
                        </w:rPr>
                        <w:t>_____</w:t>
                      </w:r>
                    </w:p>
                    <w:p>
                      <w:pPr>
                        <w:rPr>
                          <w:sz w:val="28"/>
                          <w:szCs w:val="28"/>
                          <w:u w:val="single"/>
                        </w:rPr>
                      </w:pPr>
                      <w:r>
                        <w:rPr>
                          <w:rFonts w:hint="eastAsia"/>
                          <w:sz w:val="28"/>
                          <w:szCs w:val="28"/>
                        </w:rPr>
                        <w:t>供应商（公章）：</w:t>
                      </w:r>
                      <w:r>
                        <w:rPr>
                          <w:rFonts w:hint="eastAsia" w:ascii="宋体" w:hAnsi="宋体" w:cs="宋体"/>
                          <w:sz w:val="28"/>
                          <w:szCs w:val="28"/>
                        </w:rPr>
                        <w:t>______________________</w:t>
                      </w:r>
                    </w:p>
                    <w:p>
                      <w:pPr>
                        <w:adjustRightInd w:val="0"/>
                        <w:snapToGrid w:val="0"/>
                        <w:rPr>
                          <w:sz w:val="28"/>
                          <w:szCs w:val="28"/>
                          <w:u w:val="single"/>
                        </w:rPr>
                      </w:pPr>
                      <w:r>
                        <w:rPr>
                          <w:rFonts w:hint="eastAsia" w:ascii="宋体" w:hAnsi="宋体" w:cs="宋体"/>
                          <w:sz w:val="28"/>
                          <w:szCs w:val="28"/>
                        </w:rPr>
                        <w:t>法定代表人或被授权人（签字或盖章）：______________________</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r>
        <w:rPr>
          <w:rFonts w:hint="eastAsia" w:ascii="宋体" w:hAnsi="宋体" w:cs="宋体"/>
          <w:b/>
          <w:sz w:val="24"/>
        </w:rPr>
        <w:t>电子文档封袋正面标识式样</w:t>
      </w:r>
    </w:p>
    <w:p>
      <w:pPr>
        <w:tabs>
          <w:tab w:val="left" w:pos="8280"/>
        </w:tabs>
        <w:spacing w:line="460" w:lineRule="exact"/>
        <w:ind w:firstLine="420" w:firstLineChars="200"/>
        <w:jc w:val="center"/>
        <w:rPr>
          <w:rFonts w:ascii="宋体" w:hAnsi="宋体" w:cs="宋体"/>
          <w:b/>
          <w:sz w:val="24"/>
        </w:rPr>
      </w:pPr>
      <w:r>
        <w:rPr>
          <w:rFonts w:hint="eastAsia"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-331470</wp:posOffset>
                </wp:positionH>
                <wp:positionV relativeFrom="paragraph">
                  <wp:posOffset>142240</wp:posOffset>
                </wp:positionV>
                <wp:extent cx="5796280" cy="3637915"/>
                <wp:effectExtent l="4445" t="5080" r="9525" b="14605"/>
                <wp:wrapNone/>
                <wp:docPr id="10" name="Text Box 3"/>
                <wp:cNvGraphicFramePr/>
                <a:graphic xmlns:a="http://schemas.openxmlformats.org/drawingml/2006/main">
                  <a:graphicData uri="http://schemas.microsoft.com/office/word/2010/wordprocessingShape">
                    <wps:wsp>
                      <wps:cNvSpPr txBox="1"/>
                      <wps:spPr>
                        <a:xfrm>
                          <a:off x="0" y="0"/>
                          <a:ext cx="5750560" cy="36379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 xml:space="preserve">致：陕西卓佲项目管理有限公司      </w:t>
                            </w:r>
                            <w:r>
                              <w:rPr>
                                <w:rFonts w:hint="eastAsia"/>
                                <w:sz w:val="28"/>
                                <w:szCs w:val="28"/>
                                <w:lang w:val="en-US" w:eastAsia="zh-CN"/>
                              </w:rPr>
                              <w:t xml:space="preserve"> </w:t>
                            </w:r>
                            <w:r>
                              <w:rPr>
                                <w:rFonts w:hint="eastAsia"/>
                                <w:sz w:val="28"/>
                                <w:szCs w:val="28"/>
                              </w:rPr>
                              <w:t>项目编号：</w:t>
                            </w:r>
                            <w:r>
                              <w:rPr>
                                <w:rFonts w:hint="eastAsia"/>
                                <w:sz w:val="28"/>
                                <w:szCs w:val="28"/>
                                <w:lang w:eastAsia="zh-CN"/>
                              </w:rPr>
                              <w:t>ZMZB2022BQJYJ-255</w:t>
                            </w:r>
                          </w:p>
                          <w:p>
                            <w:pPr>
                              <w:rPr>
                                <w:rFonts w:hint="eastAsia" w:eastAsia="宋体"/>
                                <w:sz w:val="28"/>
                                <w:szCs w:val="28"/>
                                <w:lang w:eastAsia="zh-CN"/>
                              </w:rPr>
                            </w:pPr>
                            <w:r>
                              <w:rPr>
                                <w:rFonts w:hint="eastAsia"/>
                                <w:sz w:val="28"/>
                                <w:szCs w:val="28"/>
                              </w:rPr>
                              <w:t>项目名称：</w:t>
                            </w:r>
                            <w:r>
                              <w:rPr>
                                <w:rFonts w:hint="eastAsia"/>
                                <w:sz w:val="28"/>
                                <w:szCs w:val="28"/>
                                <w:lang w:eastAsia="zh-CN"/>
                              </w:rPr>
                              <w:t>西安市灞桥区教育局（本级）秋季开学应急设备采购项目</w:t>
                            </w:r>
                          </w:p>
                          <w:p>
                            <w:pPr>
                              <w:pStyle w:val="2"/>
                              <w:ind w:firstLine="3534" w:firstLineChars="800"/>
                              <w:jc w:val="both"/>
                              <w:rPr>
                                <w:rFonts w:hint="default"/>
                                <w:sz w:val="28"/>
                                <w:szCs w:val="28"/>
                              </w:rPr>
                            </w:pPr>
                            <w:r>
                              <w:rPr>
                                <w:sz w:val="44"/>
                                <w:szCs w:val="44"/>
                              </w:rPr>
                              <w:t>电子文档</w:t>
                            </w:r>
                          </w:p>
                          <w:p>
                            <w:pPr>
                              <w:ind w:firstLine="2800" w:firstLineChars="1000"/>
                              <w:rPr>
                                <w:rFonts w:hint="eastAsia"/>
                                <w:sz w:val="28"/>
                                <w:szCs w:val="28"/>
                              </w:rPr>
                            </w:pPr>
                            <w:r>
                              <w:rPr>
                                <w:rFonts w:hint="eastAsia"/>
                                <w:sz w:val="28"/>
                                <w:szCs w:val="28"/>
                              </w:rPr>
                              <w:t>（非开标会议不得启封）</w:t>
                            </w:r>
                          </w:p>
                          <w:p>
                            <w:pPr>
                              <w:rPr>
                                <w:rFonts w:hint="eastAsia" w:ascii="宋体" w:hAnsi="宋体" w:cs="宋体"/>
                                <w:sz w:val="28"/>
                                <w:szCs w:val="28"/>
                              </w:rPr>
                            </w:pPr>
                            <w:r>
                              <w:rPr>
                                <w:rFonts w:hint="eastAsia"/>
                                <w:sz w:val="28"/>
                                <w:szCs w:val="28"/>
                                <w:lang w:eastAsia="zh-CN"/>
                              </w:rPr>
                              <w:t>合同包号：合同包</w:t>
                            </w:r>
                            <w:r>
                              <w:rPr>
                                <w:rFonts w:hint="eastAsia" w:ascii="宋体" w:hAnsi="宋体" w:cs="宋体"/>
                                <w:sz w:val="28"/>
                                <w:szCs w:val="28"/>
                              </w:rPr>
                              <w:t>_____</w:t>
                            </w:r>
                          </w:p>
                          <w:p>
                            <w:pPr>
                              <w:rPr>
                                <w:sz w:val="28"/>
                                <w:szCs w:val="28"/>
                                <w:u w:val="single"/>
                              </w:rPr>
                            </w:pPr>
                            <w:r>
                              <w:rPr>
                                <w:rFonts w:hint="eastAsia"/>
                                <w:sz w:val="28"/>
                                <w:szCs w:val="28"/>
                              </w:rPr>
                              <w:t>供应商（公章）：</w:t>
                            </w:r>
                            <w:r>
                              <w:rPr>
                                <w:rFonts w:hint="eastAsia" w:ascii="宋体" w:hAnsi="宋体" w:cs="宋体"/>
                                <w:sz w:val="28"/>
                                <w:szCs w:val="28"/>
                              </w:rPr>
                              <w:t>______________________</w:t>
                            </w:r>
                          </w:p>
                          <w:p>
                            <w:pPr>
                              <w:adjustRightInd w:val="0"/>
                              <w:snapToGrid w:val="0"/>
                              <w:rPr>
                                <w:sz w:val="28"/>
                                <w:szCs w:val="28"/>
                                <w:u w:val="single"/>
                              </w:rPr>
                            </w:pPr>
                            <w:r>
                              <w:rPr>
                                <w:rFonts w:hint="eastAsia" w:ascii="宋体" w:hAnsi="宋体" w:cs="宋体"/>
                                <w:sz w:val="28"/>
                                <w:szCs w:val="28"/>
                              </w:rPr>
                              <w:t>法定代表人或被授权人（签字或盖章）：______________________</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wps:txbx>
                      <wps:bodyPr wrap="square" upright="1"/>
                    </wps:wsp>
                  </a:graphicData>
                </a:graphic>
              </wp:anchor>
            </w:drawing>
          </mc:Choice>
          <mc:Fallback>
            <w:pict>
              <v:shape id="Text Box 3" o:spid="_x0000_s1026" o:spt="202" type="#_x0000_t202" style="position:absolute;left:0pt;margin-left:-26.1pt;margin-top:11.2pt;height:286.45pt;width:456.4pt;z-index:251665408;mso-width-relative:page;mso-height-relative:page;" fillcolor="#FFFFFF" filled="t" stroked="t" coordsize="21600,21600" o:gfxdata="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sc3pLaAAAACgEAAA8AAAAAAAAAAQAg&#10;AAAAIgAAAGRycy9kb3ducmV2LnhtbFBLAQIUABQAAAAIAIdO4kB7COiXDAIAAFMEAAAOAAAAAAAA&#10;AAEAIAAAACkBAABkcnMvZTJvRG9jLnhtbFBLBQYAAAAABgAGAFkBAACnBQ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 xml:space="preserve">致：陕西卓佲项目管理有限公司      </w:t>
                      </w:r>
                      <w:r>
                        <w:rPr>
                          <w:rFonts w:hint="eastAsia"/>
                          <w:sz w:val="28"/>
                          <w:szCs w:val="28"/>
                          <w:lang w:val="en-US" w:eastAsia="zh-CN"/>
                        </w:rPr>
                        <w:t xml:space="preserve"> </w:t>
                      </w:r>
                      <w:r>
                        <w:rPr>
                          <w:rFonts w:hint="eastAsia"/>
                          <w:sz w:val="28"/>
                          <w:szCs w:val="28"/>
                        </w:rPr>
                        <w:t>项目编号：</w:t>
                      </w:r>
                      <w:r>
                        <w:rPr>
                          <w:rFonts w:hint="eastAsia"/>
                          <w:sz w:val="28"/>
                          <w:szCs w:val="28"/>
                          <w:lang w:eastAsia="zh-CN"/>
                        </w:rPr>
                        <w:t>ZMZB2022BQJYJ-255</w:t>
                      </w:r>
                    </w:p>
                    <w:p>
                      <w:pPr>
                        <w:rPr>
                          <w:rFonts w:hint="eastAsia" w:eastAsia="宋体"/>
                          <w:sz w:val="28"/>
                          <w:szCs w:val="28"/>
                          <w:lang w:eastAsia="zh-CN"/>
                        </w:rPr>
                      </w:pPr>
                      <w:r>
                        <w:rPr>
                          <w:rFonts w:hint="eastAsia"/>
                          <w:sz w:val="28"/>
                          <w:szCs w:val="28"/>
                        </w:rPr>
                        <w:t>项目名称：</w:t>
                      </w:r>
                      <w:r>
                        <w:rPr>
                          <w:rFonts w:hint="eastAsia"/>
                          <w:sz w:val="28"/>
                          <w:szCs w:val="28"/>
                          <w:lang w:eastAsia="zh-CN"/>
                        </w:rPr>
                        <w:t>西安市灞桥区教育局（本级）秋季开学应急设备采购项目</w:t>
                      </w:r>
                    </w:p>
                    <w:p>
                      <w:pPr>
                        <w:pStyle w:val="2"/>
                        <w:ind w:firstLine="3534" w:firstLineChars="800"/>
                        <w:jc w:val="both"/>
                        <w:rPr>
                          <w:rFonts w:hint="default"/>
                          <w:sz w:val="28"/>
                          <w:szCs w:val="28"/>
                        </w:rPr>
                      </w:pPr>
                      <w:r>
                        <w:rPr>
                          <w:sz w:val="44"/>
                          <w:szCs w:val="44"/>
                        </w:rPr>
                        <w:t>电子文档</w:t>
                      </w:r>
                    </w:p>
                    <w:p>
                      <w:pPr>
                        <w:ind w:firstLine="2800" w:firstLineChars="1000"/>
                        <w:rPr>
                          <w:rFonts w:hint="eastAsia"/>
                          <w:sz w:val="28"/>
                          <w:szCs w:val="28"/>
                        </w:rPr>
                      </w:pPr>
                      <w:r>
                        <w:rPr>
                          <w:rFonts w:hint="eastAsia"/>
                          <w:sz w:val="28"/>
                          <w:szCs w:val="28"/>
                        </w:rPr>
                        <w:t>（非开标会议不得启封）</w:t>
                      </w:r>
                    </w:p>
                    <w:p>
                      <w:pPr>
                        <w:rPr>
                          <w:rFonts w:hint="eastAsia" w:ascii="宋体" w:hAnsi="宋体" w:cs="宋体"/>
                          <w:sz w:val="28"/>
                          <w:szCs w:val="28"/>
                        </w:rPr>
                      </w:pPr>
                      <w:r>
                        <w:rPr>
                          <w:rFonts w:hint="eastAsia"/>
                          <w:sz w:val="28"/>
                          <w:szCs w:val="28"/>
                          <w:lang w:eastAsia="zh-CN"/>
                        </w:rPr>
                        <w:t>合同包号：合同包</w:t>
                      </w:r>
                      <w:r>
                        <w:rPr>
                          <w:rFonts w:hint="eastAsia" w:ascii="宋体" w:hAnsi="宋体" w:cs="宋体"/>
                          <w:sz w:val="28"/>
                          <w:szCs w:val="28"/>
                        </w:rPr>
                        <w:t>_____</w:t>
                      </w:r>
                    </w:p>
                    <w:p>
                      <w:pPr>
                        <w:rPr>
                          <w:sz w:val="28"/>
                          <w:szCs w:val="28"/>
                          <w:u w:val="single"/>
                        </w:rPr>
                      </w:pPr>
                      <w:r>
                        <w:rPr>
                          <w:rFonts w:hint="eastAsia"/>
                          <w:sz w:val="28"/>
                          <w:szCs w:val="28"/>
                        </w:rPr>
                        <w:t>供应商（公章）：</w:t>
                      </w:r>
                      <w:r>
                        <w:rPr>
                          <w:rFonts w:hint="eastAsia" w:ascii="宋体" w:hAnsi="宋体" w:cs="宋体"/>
                          <w:sz w:val="28"/>
                          <w:szCs w:val="28"/>
                        </w:rPr>
                        <w:t>______________________</w:t>
                      </w:r>
                    </w:p>
                    <w:p>
                      <w:pPr>
                        <w:adjustRightInd w:val="0"/>
                        <w:snapToGrid w:val="0"/>
                        <w:rPr>
                          <w:sz w:val="28"/>
                          <w:szCs w:val="28"/>
                          <w:u w:val="single"/>
                        </w:rPr>
                      </w:pPr>
                      <w:r>
                        <w:rPr>
                          <w:rFonts w:hint="eastAsia" w:ascii="宋体" w:hAnsi="宋体" w:cs="宋体"/>
                          <w:sz w:val="28"/>
                          <w:szCs w:val="28"/>
                        </w:rPr>
                        <w:t>法定代表人或被授权人（签字或盖章）：______________________</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pageBreakBefore/>
        <w:spacing w:line="420" w:lineRule="auto"/>
        <w:jc w:val="center"/>
        <w:rPr>
          <w:rFonts w:ascii="宋体" w:hAnsi="宋体" w:cs="宋体"/>
          <w:b/>
          <w:bCs/>
          <w:sz w:val="36"/>
          <w:szCs w:val="36"/>
        </w:rPr>
        <w:sectPr>
          <w:pgSz w:w="11906" w:h="16838"/>
          <w:pgMar w:top="1440" w:right="1803" w:bottom="1440" w:left="1803" w:header="851" w:footer="992" w:gutter="0"/>
          <w:pgNumType w:fmt="decimal"/>
          <w:cols w:space="720" w:num="1"/>
          <w:docGrid w:type="lines" w:linePitch="319" w:charSpace="0"/>
        </w:sectPr>
      </w:pPr>
    </w:p>
    <w:p>
      <w:pPr>
        <w:pStyle w:val="4"/>
        <w:adjustRightInd w:val="0"/>
        <w:spacing w:line="416" w:lineRule="atLeast"/>
        <w:textAlignment w:val="baseline"/>
        <w:rPr>
          <w:rFonts w:ascii="宋体" w:hAnsi="宋体" w:cs="宋体"/>
        </w:rPr>
      </w:pPr>
      <w:bookmarkStart w:id="110" w:name="_Toc18633"/>
      <w:bookmarkStart w:id="111" w:name="_Toc20088"/>
      <w:bookmarkStart w:id="112" w:name="_Toc11632"/>
      <w:bookmarkStart w:id="113" w:name="_Toc20374"/>
      <w:bookmarkStart w:id="114" w:name="_Toc30485"/>
      <w:bookmarkStart w:id="115" w:name="_Toc8177"/>
      <w:bookmarkStart w:id="116" w:name="_Toc1641"/>
      <w:bookmarkStart w:id="117" w:name="_Toc3008"/>
      <w:bookmarkStart w:id="118" w:name="_Toc2630"/>
      <w:bookmarkStart w:id="119" w:name="_Toc7574"/>
      <w:bookmarkStart w:id="120" w:name="_Toc30536"/>
      <w:bookmarkStart w:id="121" w:name="_Toc30870"/>
      <w:bookmarkStart w:id="122" w:name="_Toc15467"/>
      <w:r>
        <w:rPr>
          <w:rFonts w:hint="eastAsia" w:ascii="宋体" w:hAnsi="宋体" w:cs="宋体"/>
        </w:rPr>
        <w:t>附件二、中小企业</w:t>
      </w:r>
      <w:bookmarkEnd w:id="110"/>
      <w:bookmarkEnd w:id="111"/>
      <w:bookmarkEnd w:id="112"/>
      <w:bookmarkEnd w:id="113"/>
      <w:bookmarkEnd w:id="114"/>
      <w:bookmarkEnd w:id="115"/>
      <w:bookmarkEnd w:id="116"/>
      <w:bookmarkEnd w:id="117"/>
      <w:bookmarkEnd w:id="118"/>
      <w:r>
        <w:rPr>
          <w:rFonts w:hint="eastAsia" w:ascii="宋体" w:hAnsi="宋体" w:cs="宋体"/>
        </w:rPr>
        <w:t>声明函（货物）</w:t>
      </w:r>
      <w:bookmarkEnd w:id="119"/>
    </w:p>
    <w:p>
      <w:pPr>
        <w:spacing w:line="360" w:lineRule="auto"/>
        <w:ind w:right="140" w:firstLine="641"/>
        <w:rPr>
          <w:rFonts w:ascii="宋体" w:hAnsi="宋体" w:cs="宋体"/>
          <w:sz w:val="24"/>
          <w:szCs w:val="24"/>
        </w:rPr>
      </w:pPr>
      <w:bookmarkStart w:id="123" w:name="_Toc5814"/>
      <w:bookmarkStart w:id="124" w:name="_Toc32438"/>
      <w:bookmarkStart w:id="125" w:name="_Toc11896"/>
      <w:bookmarkStart w:id="126" w:name="_Toc10807"/>
      <w:bookmarkStart w:id="127" w:name="_Toc21117"/>
      <w:bookmarkStart w:id="128" w:name="_Toc12531"/>
      <w:bookmarkStart w:id="129" w:name="_Toc6022"/>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pStyle w:val="12"/>
        <w:numPr>
          <w:ilvl w:val="0"/>
          <w:numId w:val="32"/>
        </w:numPr>
        <w:spacing w:line="360" w:lineRule="auto"/>
        <w:rPr>
          <w:rFonts w:ascii="宋体" w:hAnsi="宋体" w:cs="宋体"/>
          <w:color w:val="auto"/>
          <w:w w:val="97"/>
        </w:rPr>
      </w:pPr>
      <w:r>
        <w:rPr>
          <w:rFonts w:hint="eastAsia" w:ascii="宋体" w:hAnsi="宋体" w:cs="宋体"/>
          <w:color w:val="auto"/>
          <w:w w:val="97"/>
          <w:u w:val="single"/>
        </w:rPr>
        <w:t xml:space="preserve">    （标的名称）</w:t>
      </w:r>
      <w:r>
        <w:rPr>
          <w:rFonts w:hint="eastAsia" w:ascii="宋体" w:hAnsi="宋体" w:cs="宋体"/>
          <w:color w:val="auto"/>
          <w:w w:val="97"/>
        </w:rPr>
        <w:t xml:space="preserve"> ，属于</w:t>
      </w:r>
      <w:r>
        <w:rPr>
          <w:rFonts w:hint="eastAsia" w:ascii="宋体" w:hAnsi="宋体" w:cs="宋体"/>
          <w:color w:val="auto"/>
          <w:w w:val="97"/>
          <w:u w:val="single"/>
        </w:rPr>
        <w:t xml:space="preserve">                （采购文件中明确的所属行业）            </w:t>
      </w:r>
    </w:p>
    <w:p>
      <w:pPr>
        <w:spacing w:line="360" w:lineRule="auto"/>
        <w:rPr>
          <w:rFonts w:ascii="宋体" w:hAnsi="宋体" w:cs="宋体"/>
          <w:w w:val="97"/>
          <w:sz w:val="24"/>
          <w:szCs w:val="24"/>
          <w:u w:val="single"/>
        </w:rPr>
      </w:pPr>
      <w:r>
        <w:rPr>
          <w:rFonts w:hint="eastAsia" w:ascii="宋体" w:hAnsi="宋体" w:cs="宋体"/>
          <w:w w:val="97"/>
          <w:sz w:val="24"/>
          <w:szCs w:val="24"/>
          <w:u w:val="single"/>
        </w:rPr>
        <w:t>行业；</w:t>
      </w:r>
      <w:r>
        <w:rPr>
          <w:rFonts w:hint="eastAsia" w:ascii="宋体" w:hAnsi="宋体" w:cs="宋体"/>
          <w:w w:val="97"/>
          <w:sz w:val="24"/>
          <w:szCs w:val="24"/>
        </w:rPr>
        <w:t xml:space="preserve">制造商为 </w:t>
      </w:r>
      <w:r>
        <w:rPr>
          <w:rFonts w:hint="eastAsia" w:ascii="宋体" w:hAnsi="宋体" w:cs="宋体"/>
          <w:w w:val="97"/>
          <w:sz w:val="24"/>
          <w:szCs w:val="24"/>
          <w:u w:val="single"/>
        </w:rPr>
        <w:t>（企业名称）      ，</w:t>
      </w:r>
      <w:r>
        <w:rPr>
          <w:rFonts w:hint="eastAsia" w:ascii="宋体" w:hAnsi="宋体" w:cs="宋体"/>
          <w:w w:val="97"/>
          <w:sz w:val="24"/>
          <w:szCs w:val="24"/>
        </w:rPr>
        <w:t>从业人员</w:t>
      </w:r>
      <w:r>
        <w:rPr>
          <w:rFonts w:hint="eastAsia" w:ascii="宋体" w:hAnsi="宋体" w:cs="宋体"/>
          <w:w w:val="97"/>
          <w:sz w:val="24"/>
          <w:szCs w:val="24"/>
          <w:u w:val="single"/>
        </w:rPr>
        <w:t xml:space="preserve">      </w:t>
      </w:r>
      <w:r>
        <w:rPr>
          <w:rFonts w:hint="eastAsia" w:ascii="宋体" w:hAnsi="宋体" w:cs="宋体"/>
          <w:w w:val="97"/>
          <w:sz w:val="24"/>
          <w:szCs w:val="24"/>
        </w:rPr>
        <w:t>人，营业收入为</w:t>
      </w:r>
      <w:r>
        <w:rPr>
          <w:rFonts w:hint="eastAsia" w:ascii="宋体" w:hAnsi="宋体" w:cs="宋体"/>
          <w:w w:val="97"/>
          <w:sz w:val="24"/>
          <w:szCs w:val="24"/>
          <w:u w:val="single"/>
        </w:rPr>
        <w:t xml:space="preserve">   </w:t>
      </w:r>
      <w:r>
        <w:rPr>
          <w:rFonts w:hint="eastAsia" w:ascii="宋体" w:hAnsi="宋体" w:cs="宋体"/>
          <w:w w:val="97"/>
          <w:sz w:val="24"/>
          <w:szCs w:val="24"/>
        </w:rPr>
        <w:t>万元，资产总额为</w:t>
      </w:r>
      <w:r>
        <w:rPr>
          <w:rFonts w:hint="eastAsia" w:ascii="宋体" w:hAnsi="宋体" w:cs="宋体"/>
          <w:w w:val="97"/>
          <w:sz w:val="24"/>
          <w:szCs w:val="24"/>
          <w:u w:val="single"/>
        </w:rPr>
        <w:t xml:space="preserve">     </w:t>
      </w:r>
      <w:r>
        <w:rPr>
          <w:rFonts w:hint="eastAsia" w:ascii="宋体" w:hAnsi="宋体" w:cs="宋体"/>
          <w:w w:val="97"/>
          <w:sz w:val="24"/>
          <w:szCs w:val="24"/>
        </w:rPr>
        <w:t>万元</w:t>
      </w:r>
      <w:r>
        <w:rPr>
          <w:rFonts w:hint="eastAsia" w:ascii="宋体" w:hAnsi="宋体" w:cs="宋体"/>
          <w:w w:val="97"/>
          <w:sz w:val="24"/>
          <w:szCs w:val="24"/>
          <w:vertAlign w:val="superscript"/>
        </w:rPr>
        <w:t>1</w:t>
      </w:r>
      <w:r>
        <w:rPr>
          <w:rFonts w:hint="eastAsia" w:ascii="宋体" w:hAnsi="宋体" w:cs="宋体"/>
          <w:w w:val="97"/>
          <w:sz w:val="24"/>
          <w:szCs w:val="24"/>
        </w:rPr>
        <w:t>，属于</w:t>
      </w:r>
      <w:r>
        <w:rPr>
          <w:rFonts w:hint="eastAsia" w:ascii="宋体" w:hAnsi="宋体" w:cs="宋体"/>
          <w:w w:val="97"/>
          <w:sz w:val="24"/>
          <w:szCs w:val="24"/>
          <w:u w:val="single"/>
        </w:rPr>
        <w:t>（中型企业、小型企业、微型企业）；</w:t>
      </w:r>
    </w:p>
    <w:p>
      <w:pPr>
        <w:pStyle w:val="12"/>
        <w:numPr>
          <w:ilvl w:val="0"/>
          <w:numId w:val="32"/>
        </w:numPr>
        <w:spacing w:line="360" w:lineRule="auto"/>
        <w:rPr>
          <w:rFonts w:ascii="宋体" w:hAnsi="宋体" w:cs="宋体"/>
          <w:color w:val="auto"/>
          <w:w w:val="97"/>
        </w:rPr>
      </w:pPr>
      <w:r>
        <w:rPr>
          <w:rFonts w:hint="eastAsia" w:ascii="宋体" w:hAnsi="宋体" w:cs="宋体"/>
          <w:color w:val="auto"/>
          <w:w w:val="97"/>
          <w:u w:val="single"/>
        </w:rPr>
        <w:t xml:space="preserve">    （标的名称）</w:t>
      </w:r>
      <w:r>
        <w:rPr>
          <w:rFonts w:hint="eastAsia" w:ascii="宋体" w:hAnsi="宋体" w:cs="宋体"/>
          <w:color w:val="auto"/>
          <w:w w:val="97"/>
        </w:rPr>
        <w:t xml:space="preserve"> ，属于</w:t>
      </w:r>
      <w:r>
        <w:rPr>
          <w:rFonts w:hint="eastAsia" w:ascii="宋体" w:hAnsi="宋体" w:cs="宋体"/>
          <w:color w:val="auto"/>
          <w:w w:val="97"/>
          <w:u w:val="single"/>
        </w:rPr>
        <w:t xml:space="preserve">                （采购文件中明确的所属行业）            </w:t>
      </w:r>
    </w:p>
    <w:p>
      <w:pPr>
        <w:spacing w:line="360" w:lineRule="auto"/>
        <w:rPr>
          <w:rFonts w:ascii="宋体" w:hAnsi="宋体" w:cs="宋体"/>
          <w:w w:val="97"/>
          <w:sz w:val="24"/>
          <w:szCs w:val="24"/>
          <w:u w:val="single"/>
        </w:rPr>
      </w:pPr>
      <w:r>
        <w:rPr>
          <w:rFonts w:hint="eastAsia" w:ascii="宋体" w:hAnsi="宋体" w:cs="宋体"/>
          <w:w w:val="97"/>
          <w:sz w:val="24"/>
          <w:szCs w:val="24"/>
          <w:u w:val="single"/>
        </w:rPr>
        <w:t>行业；</w:t>
      </w:r>
      <w:r>
        <w:rPr>
          <w:rFonts w:hint="eastAsia" w:ascii="宋体" w:hAnsi="宋体" w:cs="宋体"/>
          <w:w w:val="97"/>
          <w:sz w:val="24"/>
          <w:szCs w:val="24"/>
        </w:rPr>
        <w:t xml:space="preserve">制造商为 </w:t>
      </w:r>
      <w:r>
        <w:rPr>
          <w:rFonts w:hint="eastAsia" w:ascii="宋体" w:hAnsi="宋体" w:cs="宋体"/>
          <w:w w:val="97"/>
          <w:sz w:val="24"/>
          <w:szCs w:val="24"/>
          <w:u w:val="single"/>
        </w:rPr>
        <w:t>（企业名称）      ，</w:t>
      </w:r>
      <w:r>
        <w:rPr>
          <w:rFonts w:hint="eastAsia" w:ascii="宋体" w:hAnsi="宋体" w:cs="宋体"/>
          <w:w w:val="97"/>
          <w:sz w:val="24"/>
          <w:szCs w:val="24"/>
        </w:rPr>
        <w:t>从业人员</w:t>
      </w:r>
      <w:r>
        <w:rPr>
          <w:rFonts w:hint="eastAsia" w:ascii="宋体" w:hAnsi="宋体" w:cs="宋体"/>
          <w:w w:val="97"/>
          <w:sz w:val="24"/>
          <w:szCs w:val="24"/>
          <w:u w:val="single"/>
        </w:rPr>
        <w:t xml:space="preserve">      </w:t>
      </w:r>
      <w:r>
        <w:rPr>
          <w:rFonts w:hint="eastAsia" w:ascii="宋体" w:hAnsi="宋体" w:cs="宋体"/>
          <w:w w:val="97"/>
          <w:sz w:val="24"/>
          <w:szCs w:val="24"/>
        </w:rPr>
        <w:t>人，营业收入为</w:t>
      </w:r>
      <w:r>
        <w:rPr>
          <w:rFonts w:hint="eastAsia" w:ascii="宋体" w:hAnsi="宋体" w:cs="宋体"/>
          <w:w w:val="97"/>
          <w:sz w:val="24"/>
          <w:szCs w:val="24"/>
          <w:u w:val="single"/>
        </w:rPr>
        <w:t xml:space="preserve">   </w:t>
      </w:r>
      <w:r>
        <w:rPr>
          <w:rFonts w:hint="eastAsia" w:ascii="宋体" w:hAnsi="宋体" w:cs="宋体"/>
          <w:w w:val="97"/>
          <w:sz w:val="24"/>
          <w:szCs w:val="24"/>
        </w:rPr>
        <w:t>万元，资产总额为</w:t>
      </w:r>
      <w:r>
        <w:rPr>
          <w:rFonts w:hint="eastAsia" w:ascii="宋体" w:hAnsi="宋体" w:cs="宋体"/>
          <w:w w:val="97"/>
          <w:sz w:val="24"/>
          <w:szCs w:val="24"/>
          <w:u w:val="single"/>
        </w:rPr>
        <w:t xml:space="preserve">     </w:t>
      </w:r>
      <w:r>
        <w:rPr>
          <w:rFonts w:hint="eastAsia" w:ascii="宋体" w:hAnsi="宋体" w:cs="宋体"/>
          <w:w w:val="97"/>
          <w:sz w:val="24"/>
          <w:szCs w:val="24"/>
        </w:rPr>
        <w:t>万元</w:t>
      </w:r>
      <w:r>
        <w:rPr>
          <w:rFonts w:hint="eastAsia" w:ascii="宋体" w:hAnsi="宋体" w:cs="宋体"/>
          <w:w w:val="97"/>
          <w:sz w:val="24"/>
          <w:szCs w:val="24"/>
          <w:vertAlign w:val="superscript"/>
        </w:rPr>
        <w:t>1</w:t>
      </w:r>
      <w:r>
        <w:rPr>
          <w:rFonts w:hint="eastAsia" w:ascii="宋体" w:hAnsi="宋体" w:cs="宋体"/>
          <w:w w:val="97"/>
          <w:sz w:val="24"/>
          <w:szCs w:val="24"/>
        </w:rPr>
        <w:t>，属于</w:t>
      </w:r>
      <w:r>
        <w:rPr>
          <w:rFonts w:hint="eastAsia" w:ascii="宋体" w:hAnsi="宋体" w:cs="宋体"/>
          <w:w w:val="97"/>
          <w:sz w:val="24"/>
          <w:szCs w:val="24"/>
          <w:u w:val="single"/>
        </w:rPr>
        <w:t>（中型企业、小型企业、微型企业）；</w:t>
      </w:r>
    </w:p>
    <w:p>
      <w:pPr>
        <w:spacing w:line="360" w:lineRule="auto"/>
        <w:ind w:left="640"/>
        <w:rPr>
          <w:rFonts w:ascii="宋体" w:hAnsi="宋体" w:cs="宋体"/>
          <w:sz w:val="24"/>
          <w:szCs w:val="24"/>
        </w:rPr>
      </w:pPr>
      <w:r>
        <w:rPr>
          <w:rFonts w:hint="eastAsia" w:ascii="宋体" w:hAnsi="宋体" w:cs="宋体"/>
          <w:sz w:val="24"/>
          <w:szCs w:val="24"/>
        </w:rPr>
        <w:t>……</w:t>
      </w:r>
    </w:p>
    <w:p>
      <w:pPr>
        <w:spacing w:line="360" w:lineRule="auto"/>
        <w:ind w:right="160" w:firstLine="646"/>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360" w:lineRule="auto"/>
        <w:rPr>
          <w:rFonts w:ascii="宋体" w:hAnsi="宋体" w:cs="宋体"/>
          <w:sz w:val="24"/>
          <w:szCs w:val="24"/>
        </w:rPr>
      </w:pPr>
    </w:p>
    <w:p>
      <w:pPr>
        <w:spacing w:line="360" w:lineRule="auto"/>
        <w:ind w:right="160" w:firstLine="646"/>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360" w:lineRule="auto"/>
        <w:rPr>
          <w:rFonts w:ascii="宋体" w:hAnsi="宋体" w:cs="宋体"/>
          <w:sz w:val="24"/>
          <w:szCs w:val="24"/>
        </w:rPr>
      </w:pPr>
    </w:p>
    <w:p>
      <w:pPr>
        <w:spacing w:line="360" w:lineRule="auto"/>
        <w:ind w:left="3840" w:right="1900"/>
        <w:rPr>
          <w:rFonts w:ascii="宋体" w:hAnsi="宋体" w:cs="宋体"/>
          <w:sz w:val="24"/>
          <w:szCs w:val="24"/>
        </w:rPr>
      </w:pPr>
      <w:r>
        <w:rPr>
          <w:rFonts w:hint="eastAsia" w:ascii="宋体" w:hAnsi="宋体" w:cs="宋体"/>
          <w:sz w:val="24"/>
          <w:szCs w:val="24"/>
        </w:rPr>
        <w:t>企业名称（盖章）：日期：</w:t>
      </w:r>
    </w:p>
    <w:p>
      <w:pPr>
        <w:rPr>
          <w:rFonts w:ascii="宋体" w:hAnsi="宋体"/>
          <w:sz w:val="18"/>
        </w:rPr>
      </w:pPr>
      <w:r>
        <w:rPr>
          <w:rFonts w:ascii="仿宋" w:hAnsi="仿宋" w:eastAsia="仿宋"/>
          <w:sz w:val="32"/>
        </w:rPr>
        <w:drawing>
          <wp:anchor distT="0" distB="0" distL="114300" distR="114300" simplePos="0" relativeHeight="251660288" behindDoc="1" locked="0" layoutInCell="0" allowOverlap="1">
            <wp:simplePos x="0" y="0"/>
            <wp:positionH relativeFrom="column">
              <wp:posOffset>0</wp:posOffset>
            </wp:positionH>
            <wp:positionV relativeFrom="paragraph">
              <wp:posOffset>224790</wp:posOffset>
            </wp:positionV>
            <wp:extent cx="1828800" cy="127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2"/>
                    <a:stretch>
                      <a:fillRect/>
                    </a:stretch>
                  </pic:blipFill>
                  <pic:spPr>
                    <a:xfrm>
                      <a:off x="0" y="0"/>
                      <a:ext cx="1828800" cy="12700"/>
                    </a:xfrm>
                    <a:prstGeom prst="rect">
                      <a:avLst/>
                    </a:prstGeom>
                    <a:noFill/>
                    <a:ln>
                      <a:noFill/>
                    </a:ln>
                  </pic:spPr>
                </pic:pic>
              </a:graphicData>
            </a:graphic>
          </wp:anchor>
        </w:drawing>
      </w:r>
      <w:r>
        <w:rPr>
          <w:rFonts w:eastAsia="Times New Roman"/>
          <w:sz w:val="23"/>
          <w:vertAlign w:val="superscript"/>
        </w:rPr>
        <w:t>1</w:t>
      </w:r>
      <w:r>
        <w:rPr>
          <w:rFonts w:ascii="宋体" w:hAnsi="宋体"/>
          <w:sz w:val="18"/>
        </w:rPr>
        <w:t>从业人员、营业收入、资产总额填报上一年度数据，无上一年度数据的新成立企业可不填报。</w:t>
      </w:r>
    </w:p>
    <w:p>
      <w:pPr>
        <w:pStyle w:val="4"/>
        <w:rPr>
          <w:rFonts w:ascii="宋体" w:hAnsi="宋体" w:cs="宋体"/>
        </w:rPr>
        <w:sectPr>
          <w:footerReference r:id="rId17" w:type="default"/>
          <w:pgSz w:w="11906" w:h="16838"/>
          <w:pgMar w:top="1440" w:right="1803" w:bottom="1440" w:left="1803" w:header="851" w:footer="992" w:gutter="0"/>
          <w:pgNumType w:fmt="decimal"/>
          <w:cols w:space="720" w:num="1"/>
          <w:docGrid w:type="lines" w:linePitch="319" w:charSpace="0"/>
        </w:sectPr>
      </w:pPr>
    </w:p>
    <w:p>
      <w:pPr>
        <w:pStyle w:val="4"/>
        <w:keepNext w:val="0"/>
        <w:keepLines w:val="0"/>
        <w:widowControl/>
        <w:shd w:val="clear" w:color="auto"/>
        <w:spacing w:before="450" w:after="300" w:line="540" w:lineRule="atLeast"/>
        <w:jc w:val="center"/>
        <w:textAlignment w:val="baseline"/>
        <w:rPr>
          <w:rFonts w:ascii="微软雅黑" w:hAnsi="微软雅黑" w:eastAsia="微软雅黑" w:cs="微软雅黑"/>
          <w:color w:val="383940"/>
          <w:sz w:val="39"/>
          <w:szCs w:val="39"/>
        </w:rPr>
      </w:pPr>
      <w:bookmarkStart w:id="130" w:name="_Toc19233"/>
      <w:r>
        <w:rPr>
          <w:rFonts w:hint="eastAsia" w:ascii="微软雅黑" w:hAnsi="微软雅黑" w:eastAsia="微软雅黑" w:cs="微软雅黑"/>
          <w:color w:val="383940"/>
          <w:sz w:val="39"/>
          <w:szCs w:val="39"/>
          <w:shd w:val="clear" w:color="auto" w:fill="FFFFFF"/>
        </w:rPr>
        <w:t>关于印发中小企业划型标准规定的通知</w:t>
      </w:r>
      <w:bookmarkEnd w:id="130"/>
    </w:p>
    <w:p>
      <w:pPr>
        <w:pStyle w:val="25"/>
        <w:shd w:val="clear" w:color="auto"/>
        <w:rPr>
          <w:color w:val="000000"/>
        </w:rPr>
      </w:pPr>
      <w:r>
        <w:rPr>
          <w:rFonts w:hint="eastAsia"/>
          <w:color w:val="000000"/>
          <w:shd w:val="clear" w:color="auto" w:fill="FFFFFF"/>
        </w:rPr>
        <w:t>各省、自治区、直辖市人民政府，国务院各部委、各直属机构及有关单位：</w:t>
      </w:r>
      <w:r>
        <w:rPr>
          <w:rFonts w:hint="eastAsia"/>
          <w:color w:val="000000"/>
          <w:shd w:val="clear" w:color="auto" w:fill="FFFFFF"/>
        </w:rPr>
        <w:br w:type="textWrapping"/>
      </w:r>
      <w:r>
        <w:rPr>
          <w:rFonts w:hint="eastAsia"/>
          <w:color w:val="000000"/>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color w:val="000000"/>
          <w:shd w:val="clear" w:color="auto" w:fill="FFFFFF"/>
        </w:rPr>
        <w:br w:type="textWrapping"/>
      </w:r>
      <w:r>
        <w:rPr>
          <w:rFonts w:hint="eastAsia"/>
          <w:color w:val="000000"/>
          <w:shd w:val="clear" w:color="auto" w:fill="FFFFFF"/>
        </w:rPr>
        <w:t>　　　　　　　　　　　　　　　　　　　　　工业和信息化部　国家统计局</w:t>
      </w:r>
      <w:r>
        <w:rPr>
          <w:rFonts w:hint="eastAsia"/>
          <w:color w:val="000000"/>
          <w:shd w:val="clear" w:color="auto" w:fill="FFFFFF"/>
        </w:rPr>
        <w:br w:type="textWrapping"/>
      </w:r>
      <w:r>
        <w:rPr>
          <w:rFonts w:hint="eastAsia"/>
          <w:color w:val="000000"/>
          <w:shd w:val="clear" w:color="auto" w:fill="FFFFFF"/>
        </w:rPr>
        <w:t>　　　　　　　　　　　　　　　　　　　　国家发展和改革委员会　财政部</w:t>
      </w:r>
      <w:r>
        <w:rPr>
          <w:rFonts w:hint="eastAsia"/>
          <w:color w:val="000000"/>
          <w:shd w:val="clear" w:color="auto" w:fill="FFFFFF"/>
        </w:rPr>
        <w:br w:type="textWrapping"/>
      </w:r>
      <w:r>
        <w:rPr>
          <w:rFonts w:hint="eastAsia"/>
          <w:color w:val="000000"/>
          <w:shd w:val="clear" w:color="auto" w:fill="FFFFFF"/>
        </w:rPr>
        <w:t>　　　　　　　　　　　　　　　　　　　　　　　　二○一一年六月十八日</w:t>
      </w:r>
    </w:p>
    <w:p>
      <w:pPr>
        <w:pStyle w:val="25"/>
        <w:shd w:val="clear" w:color="auto"/>
        <w:rPr>
          <w:color w:val="000000"/>
        </w:rPr>
      </w:pPr>
      <w:r>
        <w:rPr>
          <w:rFonts w:hint="eastAsia"/>
          <w:color w:val="000000"/>
          <w:shd w:val="clear" w:color="auto" w:fill="FFFFFF"/>
        </w:rPr>
        <w:t> </w:t>
      </w:r>
    </w:p>
    <w:p>
      <w:pPr>
        <w:pStyle w:val="25"/>
        <w:shd w:val="clear" w:color="auto"/>
        <w:jc w:val="center"/>
        <w:rPr>
          <w:rStyle w:val="33"/>
          <w:color w:val="000000"/>
          <w:sz w:val="36"/>
          <w:szCs w:val="36"/>
          <w:shd w:val="clear" w:color="auto" w:fill="FFFFFF"/>
        </w:rPr>
      </w:pPr>
      <w:r>
        <w:rPr>
          <w:rStyle w:val="33"/>
          <w:rFonts w:hint="eastAsia"/>
          <w:color w:val="000000"/>
          <w:sz w:val="36"/>
          <w:szCs w:val="36"/>
          <w:shd w:val="clear" w:color="auto" w:fill="FFFFFF"/>
        </w:rPr>
        <w:t>中小企业划型标准规定</w:t>
      </w:r>
    </w:p>
    <w:p>
      <w:p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color w:val="000000"/>
          <w:sz w:val="24"/>
          <w:szCs w:val="24"/>
          <w:shd w:val="clear" w:color="auto" w:fill="FFFFFF"/>
        </w:rPr>
        <w:t>　　一、根据《中华人民共和国中小企业促进法》和《国务院关于进一步促进中小企业发展的若干意见》(国发〔2009〕36号)，制定本规定。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二、中小企业划分为中型、小型、微型三种类型，具体标准根据企业从业人员、营业收入、资产总额等指标，结合行业特点制定。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四、各行业划型标准为：</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五、企业类型的划分以统计部门的统计数据为依据。</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六、本规定适用于在中华人民共和国境内依法设立的各类所有制和各种组织形式的企业。个体工商户和本规定以外的行业，参照本规定进行划型。</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八、本规定由工业和信息化部、国家统计局会同有关部门根据《国民经济行业分类》修订情况和企业发展变化情况适时修订。</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九、本规定由工业和信息化部、国家统计局会同有关部门负责解释。</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　　十、本规定自发布之日起执行，原国家经贸委、原国家计委、财政部和国家统计局2003年颁布的《中小企业标准暂行规定》同时废止。</w:t>
      </w:r>
    </w:p>
    <w:p>
      <w:pPr>
        <w:pStyle w:val="4"/>
        <w:rPr>
          <w:rFonts w:ascii="宋体" w:hAnsi="宋体" w:cs="宋体"/>
        </w:rPr>
      </w:pPr>
      <w:bookmarkStart w:id="131" w:name="_Toc18270"/>
      <w:r>
        <w:rPr>
          <w:rFonts w:hint="eastAsia" w:ascii="宋体" w:hAnsi="宋体" w:cs="宋体"/>
        </w:rPr>
        <w:t>附件三、残疾人福利性单位声明</w:t>
      </w:r>
      <w:bookmarkEnd w:id="123"/>
      <w:bookmarkEnd w:id="124"/>
      <w:bookmarkEnd w:id="125"/>
      <w:bookmarkEnd w:id="126"/>
      <w:bookmarkEnd w:id="127"/>
      <w:bookmarkEnd w:id="128"/>
      <w:bookmarkEnd w:id="129"/>
      <w:bookmarkEnd w:id="131"/>
    </w:p>
    <w:p>
      <w:pPr>
        <w:spacing w:line="588" w:lineRule="exact"/>
        <w:ind w:firstLine="504" w:firstLineChars="200"/>
        <w:rPr>
          <w:rFonts w:ascii="宋体" w:hAnsi="宋体" w:cs="宋体"/>
          <w:spacing w:val="6"/>
          <w:sz w:val="24"/>
        </w:rPr>
      </w:pPr>
      <w:r>
        <w:rPr>
          <w:rFonts w:hint="eastAsia" w:ascii="宋体" w:hAnsi="宋体" w:cs="宋体"/>
          <w:spacing w:val="6"/>
          <w:sz w:val="24"/>
        </w:rPr>
        <w:t>根据《三部门联合发布关于促进残疾人就业政府采购政策的通知》（财库〔2017〕141号）的规定，由供应商自行申明，并对申明真实性负责。如有虚假，将依法承担相应责任。</w:t>
      </w:r>
    </w:p>
    <w:p>
      <w:pPr>
        <w:rPr>
          <w:rFonts w:ascii="宋体" w:hAnsi="宋体" w:cs="宋体"/>
        </w:rPr>
      </w:pPr>
    </w:p>
    <w:p>
      <w:pPr>
        <w:pStyle w:val="4"/>
        <w:rPr>
          <w:rFonts w:ascii="宋体" w:hAnsi="宋体" w:cs="宋体"/>
        </w:rPr>
      </w:pPr>
      <w:bookmarkStart w:id="132" w:name="_Toc2723"/>
      <w:bookmarkStart w:id="133" w:name="_Toc3053"/>
      <w:bookmarkStart w:id="134" w:name="_Toc22719"/>
      <w:r>
        <w:rPr>
          <w:rFonts w:hint="eastAsia" w:ascii="宋体" w:hAnsi="宋体" w:cs="宋体"/>
        </w:rPr>
        <w:t>附件四、监狱企业证明文件</w:t>
      </w:r>
      <w:bookmarkEnd w:id="120"/>
      <w:bookmarkEnd w:id="121"/>
      <w:bookmarkEnd w:id="122"/>
      <w:bookmarkEnd w:id="132"/>
      <w:bookmarkEnd w:id="133"/>
      <w:bookmarkEnd w:id="134"/>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cs="宋体"/>
        </w:rPr>
      </w:pPr>
      <w:bookmarkStart w:id="135" w:name="_Toc2126"/>
      <w:bookmarkStart w:id="136" w:name="_Toc11969"/>
      <w:bookmarkStart w:id="137" w:name="_Toc563"/>
      <w:bookmarkStart w:id="138" w:name="_Toc3267"/>
      <w:bookmarkStart w:id="139" w:name="_Toc13122"/>
      <w:bookmarkStart w:id="140" w:name="_Toc13303"/>
      <w:bookmarkStart w:id="141" w:name="_Toc5188"/>
      <w:r>
        <w:rPr>
          <w:rFonts w:hint="eastAsia" w:ascii="宋体" w:hAnsi="宋体" w:cs="宋体"/>
        </w:rPr>
        <w:t>附件五、“节能产品”，“环境标志产品”证明材料</w:t>
      </w:r>
      <w:bookmarkEnd w:id="135"/>
      <w:bookmarkEnd w:id="136"/>
      <w:bookmarkEnd w:id="137"/>
      <w:bookmarkEnd w:id="138"/>
      <w:bookmarkEnd w:id="139"/>
      <w:bookmarkEnd w:id="140"/>
      <w:bookmarkEnd w:id="141"/>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1、供应商提供的产品属于“节能产品”，“环境标志产品”，应提供产品列入“节能产品”，“环境标志产品”相应产品的国家确定的认证机构出具的、处于有效期内的节能产品、环境标志产品认证证书。</w:t>
      </w:r>
    </w:p>
    <w:p>
      <w:pPr>
        <w:widowControl/>
        <w:spacing w:line="360" w:lineRule="auto"/>
        <w:ind w:left="420" w:leftChars="200"/>
        <w:rPr>
          <w:rFonts w:ascii="宋体" w:hAnsi="宋体" w:cs="宋体"/>
          <w:sz w:val="24"/>
          <w:szCs w:val="24"/>
        </w:rPr>
      </w:pPr>
      <w:r>
        <w:rPr>
          <w:rFonts w:hint="eastAsia" w:ascii="宋体" w:hAnsi="宋体" w:cs="宋体"/>
          <w:sz w:val="24"/>
          <w:szCs w:val="24"/>
        </w:rPr>
        <w:t>2、未按照上述要求提供的，评审时不予以考虑。</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4"/>
        <w:adjustRightInd w:val="0"/>
        <w:spacing w:line="416" w:lineRule="atLeast"/>
        <w:textAlignment w:val="baseline"/>
        <w:rPr>
          <w:rFonts w:ascii="宋体" w:hAnsi="宋体" w:cs="宋体"/>
        </w:rPr>
        <w:sectPr>
          <w:pgSz w:w="11906" w:h="16838"/>
          <w:pgMar w:top="1440" w:right="1803" w:bottom="1440" w:left="1803" w:header="851" w:footer="992" w:gutter="0"/>
          <w:pgNumType w:fmt="decimal"/>
          <w:cols w:space="720" w:num="1"/>
          <w:docGrid w:type="lines" w:linePitch="319" w:charSpace="0"/>
        </w:sectPr>
      </w:pPr>
    </w:p>
    <w:p>
      <w:pPr>
        <w:pStyle w:val="4"/>
        <w:rPr>
          <w:rFonts w:ascii="宋体" w:hAnsi="宋体" w:cs="宋体"/>
        </w:rPr>
      </w:pPr>
      <w:bookmarkStart w:id="142" w:name="_Toc26351"/>
      <w:bookmarkStart w:id="143" w:name="_Toc23799"/>
      <w:bookmarkStart w:id="144" w:name="_Toc4414"/>
      <w:bookmarkStart w:id="145" w:name="_Toc24855"/>
      <w:bookmarkStart w:id="146" w:name="_Toc19691"/>
      <w:bookmarkStart w:id="147" w:name="_Toc10027"/>
      <w:bookmarkStart w:id="148" w:name="_Toc11924"/>
      <w:bookmarkStart w:id="149" w:name="_Toc5338"/>
      <w:r>
        <w:rPr>
          <w:rFonts w:hint="eastAsia" w:ascii="宋体" w:hAnsi="宋体" w:cs="宋体"/>
        </w:rPr>
        <w:t>附件六、质疑函范本</w:t>
      </w:r>
      <w:bookmarkEnd w:id="142"/>
      <w:bookmarkEnd w:id="143"/>
      <w:bookmarkEnd w:id="144"/>
      <w:bookmarkEnd w:id="145"/>
      <w:bookmarkEnd w:id="146"/>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rPr>
          <w:rFonts w:ascii="宋体" w:hAnsi="宋体" w:cs="宋体"/>
        </w:rPr>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pPr>
        <w:pStyle w:val="4"/>
        <w:adjustRightInd w:val="0"/>
        <w:spacing w:line="416" w:lineRule="atLeast"/>
        <w:jc w:val="both"/>
        <w:textAlignment w:val="baseline"/>
        <w:rPr>
          <w:rFonts w:ascii="宋体" w:hAnsi="宋体" w:cs="宋体"/>
        </w:rPr>
        <w:sectPr>
          <w:pgSz w:w="11906" w:h="16838"/>
          <w:pgMar w:top="1440" w:right="1803" w:bottom="1440" w:left="1803" w:header="851" w:footer="992" w:gutter="0"/>
          <w:pgNumType w:fmt="decimal"/>
          <w:cols w:space="720" w:num="1"/>
          <w:docGrid w:type="lines" w:linePitch="319" w:charSpace="0"/>
        </w:sectPr>
      </w:pPr>
    </w:p>
    <w:bookmarkEnd w:id="147"/>
    <w:bookmarkEnd w:id="148"/>
    <w:bookmarkEnd w:id="149"/>
    <w:p>
      <w:pPr>
        <w:ind w:firstLine="819" w:firstLineChars="100"/>
        <w:jc w:val="left"/>
        <w:rPr>
          <w:rFonts w:ascii="宋体" w:hAnsi="宋体" w:cs="宋体"/>
          <w:b/>
          <w:spacing w:val="48"/>
          <w:sz w:val="72"/>
          <w:szCs w:val="72"/>
        </w:rPr>
      </w:pPr>
      <w:r>
        <w:rPr>
          <w:rFonts w:hint="eastAsia" w:ascii="宋体" w:hAnsi="宋体" w:cs="宋体"/>
          <w:b/>
          <w:spacing w:val="48"/>
          <w:sz w:val="72"/>
          <w:szCs w:val="72"/>
        </w:rPr>
        <w:t>公平       公正</w:t>
      </w:r>
    </w:p>
    <w:p>
      <w:pPr>
        <w:jc w:val="left"/>
        <w:rPr>
          <w:rFonts w:ascii="宋体" w:hAnsi="宋体" w:cs="宋体"/>
          <w:b/>
          <w:spacing w:val="48"/>
          <w:sz w:val="72"/>
          <w:szCs w:val="72"/>
        </w:rPr>
      </w:pPr>
    </w:p>
    <w:p>
      <w:pPr>
        <w:rPr>
          <w:rFonts w:ascii="宋体" w:hAnsi="宋体" w:cs="宋体"/>
          <w:spacing w:val="48"/>
          <w:sz w:val="72"/>
          <w:szCs w:val="72"/>
        </w:rPr>
      </w:pPr>
    </w:p>
    <w:p>
      <w:pPr>
        <w:rPr>
          <w:rFonts w:ascii="宋体" w:hAnsi="宋体" w:cs="宋体"/>
        </w:rPr>
      </w:pPr>
    </w:p>
    <w:p>
      <w:pPr>
        <w:ind w:firstLine="819" w:firstLineChars="100"/>
        <w:rPr>
          <w:rFonts w:ascii="宋体" w:hAnsi="宋体" w:cs="宋体"/>
          <w:b/>
          <w:spacing w:val="48"/>
          <w:sz w:val="72"/>
          <w:szCs w:val="72"/>
        </w:rPr>
      </w:pPr>
      <w:r>
        <w:rPr>
          <w:rFonts w:hint="eastAsia" w:ascii="宋体" w:hAnsi="宋体" w:cs="宋体"/>
          <w:b/>
          <w:spacing w:val="48"/>
          <w:sz w:val="72"/>
          <w:szCs w:val="72"/>
        </w:rPr>
        <w:t>专业       高效</w:t>
      </w:r>
    </w:p>
    <w:p>
      <w:pPr>
        <w:rPr>
          <w:rFonts w:ascii="宋体" w:hAnsi="宋体" w:cs="宋体"/>
          <w:spacing w:val="48"/>
          <w:sz w:val="72"/>
          <w:szCs w:val="72"/>
        </w:rPr>
      </w:pPr>
    </w:p>
    <w:p>
      <w:pPr>
        <w:rPr>
          <w:rFonts w:ascii="宋体" w:hAnsi="宋体" w:cs="宋体"/>
          <w:b/>
          <w:spacing w:val="48"/>
          <w:sz w:val="72"/>
          <w:szCs w:val="72"/>
        </w:rPr>
      </w:pPr>
    </w:p>
    <w:p>
      <w:pPr>
        <w:rPr>
          <w:rFonts w:ascii="宋体" w:hAnsi="宋体" w:cs="宋体"/>
          <w:spacing w:val="48"/>
          <w:sz w:val="72"/>
          <w:szCs w:val="72"/>
        </w:rPr>
      </w:pPr>
    </w:p>
    <w:p>
      <w:pPr>
        <w:rPr>
          <w:rFonts w:ascii="宋体" w:hAnsi="宋体" w:cs="宋体"/>
          <w:b/>
          <w:spacing w:val="48"/>
          <w:sz w:val="72"/>
          <w:szCs w:val="72"/>
        </w:rPr>
      </w:pPr>
    </w:p>
    <w:p>
      <w:pPr>
        <w:rPr>
          <w:rFonts w:ascii="宋体" w:hAnsi="宋体" w:cs="宋体"/>
          <w:spacing w:val="48"/>
          <w:sz w:val="72"/>
          <w:szCs w:val="72"/>
        </w:rPr>
      </w:pPr>
    </w:p>
    <w:p>
      <w:pPr>
        <w:rPr>
          <w:rFonts w:ascii="宋体" w:hAnsi="宋体" w:cs="宋体"/>
        </w:rPr>
      </w:pPr>
    </w:p>
    <w:p>
      <w:pPr>
        <w:rPr>
          <w:rFonts w:ascii="宋体" w:hAnsi="宋体" w:cs="宋体"/>
          <w:b/>
          <w:sz w:val="30"/>
          <w:szCs w:val="30"/>
        </w:rPr>
      </w:pPr>
    </w:p>
    <w:p>
      <w:pPr>
        <w:rPr>
          <w:rFonts w:ascii="宋体" w:hAnsi="宋体" w:cs="宋体"/>
          <w:b/>
          <w:sz w:val="30"/>
          <w:szCs w:val="30"/>
        </w:rPr>
      </w:pPr>
      <w:r>
        <w:rPr>
          <w:rFonts w:hint="eastAsia" w:ascii="宋体" w:hAnsi="宋体" w:cs="宋体"/>
          <w:b/>
          <w:sz w:val="30"/>
          <w:szCs w:val="30"/>
        </w:rPr>
        <w:t>企业名称：陕西卓佲项目管理有限公司</w:t>
      </w:r>
    </w:p>
    <w:p>
      <w:pPr>
        <w:rPr>
          <w:rFonts w:ascii="宋体" w:hAnsi="宋体" w:cs="宋体"/>
          <w:b/>
          <w:sz w:val="30"/>
          <w:szCs w:val="30"/>
        </w:rPr>
      </w:pPr>
      <w:r>
        <w:rPr>
          <w:rFonts w:hint="eastAsia" w:ascii="宋体" w:hAnsi="宋体" w:cs="宋体"/>
          <w:b/>
          <w:sz w:val="30"/>
          <w:szCs w:val="30"/>
        </w:rPr>
        <w:t>地址：西安市雁塔区科技路十号华奥大厦A座20层2002室</w:t>
      </w:r>
    </w:p>
    <w:p>
      <w:pPr>
        <w:rPr>
          <w:rFonts w:ascii="宋体" w:hAnsi="宋体" w:cs="宋体"/>
          <w:b/>
          <w:sz w:val="30"/>
          <w:szCs w:val="30"/>
        </w:rPr>
      </w:pPr>
      <w:r>
        <w:rPr>
          <w:rFonts w:hint="eastAsia" w:ascii="宋体" w:hAnsi="宋体" w:cs="宋体"/>
          <w:b/>
          <w:sz w:val="30"/>
          <w:szCs w:val="30"/>
        </w:rPr>
        <w:t>邮政编码：710065</w:t>
      </w:r>
    </w:p>
    <w:p>
      <w:pPr>
        <w:rPr>
          <w:rFonts w:ascii="宋体" w:hAnsi="宋体" w:cs="宋体"/>
          <w:b/>
          <w:sz w:val="30"/>
          <w:szCs w:val="30"/>
        </w:rPr>
      </w:pPr>
      <w:r>
        <w:rPr>
          <w:rFonts w:hint="eastAsia" w:ascii="宋体" w:hAnsi="宋体" w:cs="宋体"/>
          <w:b/>
          <w:sz w:val="30"/>
          <w:szCs w:val="30"/>
        </w:rPr>
        <w:t>电话：029-88440695</w:t>
      </w:r>
    </w:p>
    <w:p>
      <w:pPr>
        <w:rPr>
          <w:rFonts w:ascii="宋体" w:hAnsi="宋体" w:cs="宋体"/>
        </w:rPr>
      </w:pPr>
      <w:r>
        <w:rPr>
          <w:rFonts w:hint="eastAsia" w:ascii="宋体" w:hAnsi="宋体" w:cs="宋体"/>
          <w:b/>
          <w:sz w:val="30"/>
          <w:szCs w:val="30"/>
        </w:rPr>
        <w:t>传真：029-88440695</w:t>
      </w:r>
    </w:p>
    <w:p>
      <w:pPr>
        <w:rPr>
          <w:rFonts w:ascii="宋体" w:hAnsi="宋体" w:cs="宋体"/>
        </w:rPr>
      </w:pPr>
    </w:p>
    <w:bookmarkEnd w:id="0"/>
    <w:bookmarkEnd w:id="67"/>
    <w:bookmarkEnd w:id="68"/>
    <w:p>
      <w:pPr>
        <w:rPr>
          <w:rFonts w:ascii="宋体" w:hAnsi="宋体" w:cs="宋体"/>
        </w:rPr>
      </w:pPr>
    </w:p>
    <w:sectPr>
      <w:headerReference r:id="rId18" w:type="default"/>
      <w:footerReference r:id="rId19"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PMingLiU">
    <w:panose1 w:val="02020500000000000000"/>
    <w:charset w:val="88"/>
    <w:family w:val="auto"/>
    <w:pitch w:val="default"/>
    <w:sig w:usb0="A00002FF" w:usb1="28CFFCFA" w:usb2="00000016"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宋体" w:hAnsi="宋体" w:cs="宋体"/>
      </w:rPr>
    </w:pPr>
    <w:r>
      <w:rPr>
        <w:rFonts w:hint="eastAsia" w:ascii="宋体" w:hAnsi="宋体" w:cs="宋体"/>
      </w:rPr>
      <w:t>陕西卓佲项目管理有限公司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0"/>
        <w:tab w:val="right" w:pos="8420"/>
        <w:tab w:val="clear" w:pos="4153"/>
      </w:tabs>
      <w:rPr>
        <w:rFonts w:ascii="宋体"/>
      </w:rPr>
    </w:pPr>
    <w:r>
      <w:rPr>
        <w:rFonts w:ascii="宋体"/>
      </w:rPr>
      <w:tab/>
    </w:r>
    <w:r>
      <w:rPr>
        <w:rFonts w:ascii="宋体"/>
      </w:rPr>
      <w:tab/>
    </w: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426"/>
      </w:tabs>
      <w:rPr>
        <w:rFonts w:ascii="宋体" w:hAnsi="宋体" w:cs="宋体"/>
      </w:rPr>
    </w:pPr>
    <w:r>
      <w:rPr>
        <w:rFonts w:hint="eastAsia" w:ascii="宋体" w:hAnsi="宋体" w:cs="宋体"/>
      </w:rPr>
      <w:tab/>
    </w:r>
    <w:r>
      <w:rPr>
        <w:rFonts w:hint="eastAsia" w:ascii="宋体" w:hAnsi="宋体" w:cs="宋体"/>
      </w:rPr>
      <w:tab/>
    </w: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0"/>
        <w:tab w:val="right" w:pos="8420"/>
        <w:tab w:val="clear" w:pos="4153"/>
      </w:tabs>
      <w:rPr>
        <w:rFonts w:asci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100</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宋体" w:cs="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102</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0"/>
        <w:tab w:val="right" w:pos="8420"/>
        <w:tab w:val="clear" w:pos="4153"/>
      </w:tabs>
      <w:rPr>
        <w:rFonts w:asci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107</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hAnsi="宋体" w:cs="宋体"/>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rPr>
      <w:t xml:space="preserve">西安外国语大学长安校区中心机房改造项目                                                      </w:t>
    </w:r>
    <w:bookmarkStart w:id="150" w:name="OLE_LINK16"/>
    <w:r>
      <w:rPr>
        <w:rFonts w:hint="eastAsia" w:ascii="宋体" w:hAnsi="宋体" w:cs="宋体"/>
        <w:sz w:val="15"/>
        <w:szCs w:val="15"/>
        <w:u w:val="single"/>
      </w:rPr>
      <w:t>SXWZ2017ZB-XAWGY-02</w:t>
    </w:r>
    <w:bookmarkEnd w:id="15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E2F81"/>
    <w:multiLevelType w:val="singleLevel"/>
    <w:tmpl w:val="821E2F81"/>
    <w:lvl w:ilvl="0" w:tentative="0">
      <w:start w:val="1"/>
      <w:numFmt w:val="decimal"/>
      <w:suff w:val="nothing"/>
      <w:lvlText w:val="%1、"/>
      <w:lvlJc w:val="left"/>
    </w:lvl>
  </w:abstractNum>
  <w:abstractNum w:abstractNumId="1">
    <w:nsid w:val="932ED3FA"/>
    <w:multiLevelType w:val="singleLevel"/>
    <w:tmpl w:val="932ED3FA"/>
    <w:lvl w:ilvl="0" w:tentative="0">
      <w:start w:val="1"/>
      <w:numFmt w:val="decimal"/>
      <w:suff w:val="nothing"/>
      <w:lvlText w:val="（%1）"/>
      <w:lvlJc w:val="left"/>
    </w:lvl>
  </w:abstractNum>
  <w:abstractNum w:abstractNumId="2">
    <w:nsid w:val="99C77327"/>
    <w:multiLevelType w:val="singleLevel"/>
    <w:tmpl w:val="99C77327"/>
    <w:lvl w:ilvl="0" w:tentative="0">
      <w:start w:val="1"/>
      <w:numFmt w:val="decimal"/>
      <w:lvlText w:val="%1."/>
      <w:lvlJc w:val="left"/>
      <w:pPr>
        <w:tabs>
          <w:tab w:val="left" w:pos="312"/>
        </w:tabs>
      </w:pPr>
    </w:lvl>
  </w:abstractNum>
  <w:abstractNum w:abstractNumId="3">
    <w:nsid w:val="9B7EEE12"/>
    <w:multiLevelType w:val="singleLevel"/>
    <w:tmpl w:val="9B7EEE12"/>
    <w:lvl w:ilvl="0" w:tentative="0">
      <w:start w:val="1"/>
      <w:numFmt w:val="decimal"/>
      <w:suff w:val="nothing"/>
      <w:lvlText w:val="（%1）"/>
      <w:lvlJc w:val="left"/>
    </w:lvl>
  </w:abstractNum>
  <w:abstractNum w:abstractNumId="4">
    <w:nsid w:val="9F442028"/>
    <w:multiLevelType w:val="singleLevel"/>
    <w:tmpl w:val="9F442028"/>
    <w:lvl w:ilvl="0" w:tentative="0">
      <w:start w:val="1"/>
      <w:numFmt w:val="decimal"/>
      <w:suff w:val="nothing"/>
      <w:lvlText w:val="%1、"/>
      <w:lvlJc w:val="left"/>
      <w:pPr>
        <w:ind w:firstLine="420"/>
      </w:pPr>
      <w:rPr>
        <w:rFonts w:hint="default" w:cs="Times New Roman"/>
      </w:rPr>
    </w:lvl>
  </w:abstractNum>
  <w:abstractNum w:abstractNumId="5">
    <w:nsid w:val="BE961A3F"/>
    <w:multiLevelType w:val="singleLevel"/>
    <w:tmpl w:val="BE961A3F"/>
    <w:lvl w:ilvl="0" w:tentative="0">
      <w:start w:val="1"/>
      <w:numFmt w:val="decimal"/>
      <w:lvlText w:val="%1."/>
      <w:lvlJc w:val="left"/>
      <w:pPr>
        <w:tabs>
          <w:tab w:val="left" w:pos="312"/>
        </w:tabs>
      </w:pPr>
    </w:lvl>
  </w:abstractNum>
  <w:abstractNum w:abstractNumId="6">
    <w:nsid w:val="C435DD92"/>
    <w:multiLevelType w:val="singleLevel"/>
    <w:tmpl w:val="C435DD92"/>
    <w:lvl w:ilvl="0" w:tentative="0">
      <w:start w:val="2"/>
      <w:numFmt w:val="chineseCounting"/>
      <w:suff w:val="nothing"/>
      <w:lvlText w:val="%1、"/>
      <w:lvlJc w:val="left"/>
      <w:rPr>
        <w:rFonts w:hint="eastAsia"/>
      </w:rPr>
    </w:lvl>
  </w:abstractNum>
  <w:abstractNum w:abstractNumId="7">
    <w:nsid w:val="C99BDCD1"/>
    <w:multiLevelType w:val="singleLevel"/>
    <w:tmpl w:val="C99BDCD1"/>
    <w:lvl w:ilvl="0" w:tentative="0">
      <w:start w:val="1"/>
      <w:numFmt w:val="chineseCounting"/>
      <w:suff w:val="nothing"/>
      <w:lvlText w:val="（%1）"/>
      <w:lvlJc w:val="left"/>
      <w:rPr>
        <w:rFonts w:hint="eastAsia"/>
      </w:rPr>
    </w:lvl>
  </w:abstractNum>
  <w:abstractNum w:abstractNumId="8">
    <w:nsid w:val="DF87DBDD"/>
    <w:multiLevelType w:val="singleLevel"/>
    <w:tmpl w:val="DF87DBDD"/>
    <w:lvl w:ilvl="0" w:tentative="0">
      <w:start w:val="1"/>
      <w:numFmt w:val="decimal"/>
      <w:suff w:val="nothing"/>
      <w:lvlText w:val="%1、"/>
      <w:lvlJc w:val="left"/>
      <w:pPr>
        <w:ind w:firstLine="420"/>
      </w:pPr>
      <w:rPr>
        <w:rFonts w:hint="default" w:cs="Times New Roman"/>
      </w:rPr>
    </w:lvl>
  </w:abstractNum>
  <w:abstractNum w:abstractNumId="9">
    <w:nsid w:val="F20ECAEB"/>
    <w:multiLevelType w:val="singleLevel"/>
    <w:tmpl w:val="F20ECAEB"/>
    <w:lvl w:ilvl="0" w:tentative="0">
      <w:start w:val="4"/>
      <w:numFmt w:val="chineseCounting"/>
      <w:suff w:val="space"/>
      <w:lvlText w:val="第%1部分"/>
      <w:lvlJc w:val="left"/>
      <w:rPr>
        <w:rFonts w:hint="eastAsia"/>
      </w:rPr>
    </w:lvl>
  </w:abstractNum>
  <w:abstractNum w:abstractNumId="10">
    <w:nsid w:val="FEA7D4D0"/>
    <w:multiLevelType w:val="singleLevel"/>
    <w:tmpl w:val="FEA7D4D0"/>
    <w:lvl w:ilvl="0" w:tentative="0">
      <w:start w:val="1"/>
      <w:numFmt w:val="decimal"/>
      <w:lvlText w:val="%1."/>
      <w:lvlJc w:val="left"/>
      <w:pPr>
        <w:tabs>
          <w:tab w:val="left" w:pos="312"/>
        </w:tabs>
      </w:pPr>
    </w:lvl>
  </w:abstractNum>
  <w:abstractNum w:abstractNumId="11">
    <w:nsid w:val="0EE9925E"/>
    <w:multiLevelType w:val="singleLevel"/>
    <w:tmpl w:val="0EE9925E"/>
    <w:lvl w:ilvl="0" w:tentative="0">
      <w:start w:val="1"/>
      <w:numFmt w:val="decimal"/>
      <w:suff w:val="nothing"/>
      <w:lvlText w:val="（%1）"/>
      <w:lvlJc w:val="left"/>
    </w:lvl>
  </w:abstractNum>
  <w:abstractNum w:abstractNumId="12">
    <w:nsid w:val="19B057FC"/>
    <w:multiLevelType w:val="singleLevel"/>
    <w:tmpl w:val="19B057FC"/>
    <w:lvl w:ilvl="0" w:tentative="0">
      <w:start w:val="1"/>
      <w:numFmt w:val="decimal"/>
      <w:suff w:val="nothing"/>
      <w:lvlText w:val="%1、"/>
      <w:lvlJc w:val="left"/>
      <w:pPr>
        <w:ind w:left="140" w:firstLine="0"/>
      </w:pPr>
    </w:lvl>
  </w:abstractNum>
  <w:abstractNum w:abstractNumId="13">
    <w:nsid w:val="207CB178"/>
    <w:multiLevelType w:val="singleLevel"/>
    <w:tmpl w:val="207CB178"/>
    <w:lvl w:ilvl="0" w:tentative="0">
      <w:start w:val="1"/>
      <w:numFmt w:val="decimal"/>
      <w:lvlText w:val="%1."/>
      <w:lvlJc w:val="left"/>
      <w:pPr>
        <w:tabs>
          <w:tab w:val="left" w:pos="312"/>
        </w:tabs>
      </w:pPr>
    </w:lvl>
  </w:abstractNum>
  <w:abstractNum w:abstractNumId="14">
    <w:nsid w:val="451D8B65"/>
    <w:multiLevelType w:val="singleLevel"/>
    <w:tmpl w:val="451D8B65"/>
    <w:lvl w:ilvl="0" w:tentative="0">
      <w:start w:val="1"/>
      <w:numFmt w:val="decimal"/>
      <w:suff w:val="nothing"/>
      <w:lvlText w:val="（%1）"/>
      <w:lvlJc w:val="left"/>
      <w:pPr>
        <w:ind w:left="0" w:firstLine="420"/>
      </w:pPr>
      <w:rPr>
        <w:rFonts w:hint="default"/>
      </w:rPr>
    </w:lvl>
  </w:abstractNum>
  <w:abstractNum w:abstractNumId="15">
    <w:nsid w:val="47AB9D7D"/>
    <w:multiLevelType w:val="singleLevel"/>
    <w:tmpl w:val="47AB9D7D"/>
    <w:lvl w:ilvl="0" w:tentative="0">
      <w:start w:val="1"/>
      <w:numFmt w:val="decimal"/>
      <w:suff w:val="nothing"/>
      <w:lvlText w:val="%1、"/>
      <w:lvlJc w:val="left"/>
    </w:lvl>
  </w:abstractNum>
  <w:abstractNum w:abstractNumId="16">
    <w:nsid w:val="5581758F"/>
    <w:multiLevelType w:val="singleLevel"/>
    <w:tmpl w:val="5581758F"/>
    <w:lvl w:ilvl="0" w:tentative="0">
      <w:start w:val="1"/>
      <w:numFmt w:val="decimal"/>
      <w:lvlText w:val="%1."/>
      <w:lvlJc w:val="left"/>
      <w:pPr>
        <w:tabs>
          <w:tab w:val="left" w:pos="312"/>
        </w:tabs>
      </w:pPr>
    </w:lvl>
  </w:abstractNum>
  <w:abstractNum w:abstractNumId="17">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18">
    <w:nsid w:val="5632B1DE"/>
    <w:multiLevelType w:val="singleLevel"/>
    <w:tmpl w:val="5632B1DE"/>
    <w:lvl w:ilvl="0" w:tentative="0">
      <w:start w:val="1"/>
      <w:numFmt w:val="decimal"/>
      <w:lvlText w:val="%1."/>
      <w:lvlJc w:val="left"/>
      <w:pPr>
        <w:tabs>
          <w:tab w:val="left" w:pos="312"/>
        </w:tabs>
      </w:pPr>
    </w:lvl>
  </w:abstractNum>
  <w:abstractNum w:abstractNumId="19">
    <w:nsid w:val="58BE4A74"/>
    <w:multiLevelType w:val="singleLevel"/>
    <w:tmpl w:val="58BE4A74"/>
    <w:lvl w:ilvl="0" w:tentative="0">
      <w:start w:val="1"/>
      <w:numFmt w:val="chineseCounting"/>
      <w:suff w:val="nothing"/>
      <w:lvlText w:val="%1、"/>
      <w:lvlJc w:val="left"/>
      <w:pPr>
        <w:ind w:left="0" w:firstLine="420"/>
      </w:pPr>
      <w:rPr>
        <w:rFonts w:hint="eastAsia"/>
      </w:rPr>
    </w:lvl>
  </w:abstractNum>
  <w:abstractNum w:abstractNumId="20">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21">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22">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23">
    <w:nsid w:val="58BE6519"/>
    <w:multiLevelType w:val="singleLevel"/>
    <w:tmpl w:val="58BE6519"/>
    <w:lvl w:ilvl="0" w:tentative="0">
      <w:start w:val="1"/>
      <w:numFmt w:val="decimal"/>
      <w:suff w:val="nothing"/>
      <w:lvlText w:val="%1、"/>
      <w:lvlJc w:val="left"/>
      <w:pPr>
        <w:ind w:left="200" w:firstLine="420"/>
      </w:pPr>
      <w:rPr>
        <w:rFonts w:hint="default"/>
      </w:rPr>
    </w:lvl>
  </w:abstractNum>
  <w:abstractNum w:abstractNumId="24">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25">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26">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27">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8">
    <w:nsid w:val="5902B6A7"/>
    <w:multiLevelType w:val="singleLevel"/>
    <w:tmpl w:val="5902B6A7"/>
    <w:lvl w:ilvl="0" w:tentative="0">
      <w:start w:val="1"/>
      <w:numFmt w:val="decimal"/>
      <w:pStyle w:val="7"/>
      <w:lvlText w:val="%1."/>
      <w:lvlJc w:val="left"/>
      <w:pPr>
        <w:tabs>
          <w:tab w:val="left" w:pos="360"/>
        </w:tabs>
        <w:ind w:left="360" w:hanging="360"/>
      </w:pPr>
    </w:lvl>
  </w:abstractNum>
  <w:abstractNum w:abstractNumId="29">
    <w:nsid w:val="604094DA"/>
    <w:multiLevelType w:val="singleLevel"/>
    <w:tmpl w:val="604094DA"/>
    <w:lvl w:ilvl="0" w:tentative="0">
      <w:start w:val="1"/>
      <w:numFmt w:val="decimal"/>
      <w:suff w:val="space"/>
      <w:lvlText w:val="%1."/>
      <w:lvlJc w:val="left"/>
    </w:lvl>
  </w:abstractNum>
  <w:abstractNum w:abstractNumId="30">
    <w:nsid w:val="61F7CCE3"/>
    <w:multiLevelType w:val="singleLevel"/>
    <w:tmpl w:val="61F7CCE3"/>
    <w:lvl w:ilvl="0" w:tentative="0">
      <w:start w:val="2"/>
      <w:numFmt w:val="chineseCounting"/>
      <w:suff w:val="space"/>
      <w:lvlText w:val="第%1部分"/>
      <w:lvlJc w:val="left"/>
      <w:rPr>
        <w:rFonts w:hint="eastAsia"/>
      </w:rPr>
    </w:lvl>
  </w:abstractNum>
  <w:abstractNum w:abstractNumId="31">
    <w:nsid w:val="64402E50"/>
    <w:multiLevelType w:val="singleLevel"/>
    <w:tmpl w:val="64402E50"/>
    <w:lvl w:ilvl="0" w:tentative="0">
      <w:start w:val="8"/>
      <w:numFmt w:val="chineseCounting"/>
      <w:suff w:val="space"/>
      <w:lvlText w:val="第%1部分"/>
      <w:lvlJc w:val="left"/>
      <w:rPr>
        <w:rFonts w:hint="eastAsia"/>
      </w:rPr>
    </w:lvl>
  </w:abstractNum>
  <w:num w:numId="1">
    <w:abstractNumId w:val="28"/>
  </w:num>
  <w:num w:numId="2">
    <w:abstractNumId w:val="1"/>
  </w:num>
  <w:num w:numId="3">
    <w:abstractNumId w:val="11"/>
  </w:num>
  <w:num w:numId="4">
    <w:abstractNumId w:val="3"/>
  </w:num>
  <w:num w:numId="5">
    <w:abstractNumId w:val="7"/>
  </w:num>
  <w:num w:numId="6">
    <w:abstractNumId w:val="27"/>
  </w:num>
  <w:num w:numId="7">
    <w:abstractNumId w:val="8"/>
  </w:num>
  <w:num w:numId="8">
    <w:abstractNumId w:val="4"/>
  </w:num>
  <w:num w:numId="9">
    <w:abstractNumId w:val="20"/>
  </w:num>
  <w:num w:numId="10">
    <w:abstractNumId w:val="17"/>
  </w:num>
  <w:num w:numId="11">
    <w:abstractNumId w:val="6"/>
  </w:num>
  <w:num w:numId="12">
    <w:abstractNumId w:val="24"/>
  </w:num>
  <w:num w:numId="13">
    <w:abstractNumId w:val="25"/>
  </w:num>
  <w:num w:numId="14">
    <w:abstractNumId w:val="21"/>
  </w:num>
  <w:num w:numId="15">
    <w:abstractNumId w:val="19"/>
  </w:num>
  <w:num w:numId="16">
    <w:abstractNumId w:val="22"/>
  </w:num>
  <w:num w:numId="17">
    <w:abstractNumId w:val="23"/>
  </w:num>
  <w:num w:numId="18">
    <w:abstractNumId w:val="26"/>
  </w:num>
  <w:num w:numId="19">
    <w:abstractNumId w:val="9"/>
  </w:num>
  <w:num w:numId="20">
    <w:abstractNumId w:val="18"/>
  </w:num>
  <w:num w:numId="21">
    <w:abstractNumId w:val="13"/>
  </w:num>
  <w:num w:numId="22">
    <w:abstractNumId w:val="16"/>
  </w:num>
  <w:num w:numId="23">
    <w:abstractNumId w:val="15"/>
  </w:num>
  <w:num w:numId="24">
    <w:abstractNumId w:val="0"/>
  </w:num>
  <w:num w:numId="25">
    <w:abstractNumId w:val="2"/>
  </w:num>
  <w:num w:numId="26">
    <w:abstractNumId w:val="5"/>
  </w:num>
  <w:num w:numId="27">
    <w:abstractNumId w:val="10"/>
  </w:num>
  <w:num w:numId="28">
    <w:abstractNumId w:val="30"/>
  </w:num>
  <w:num w:numId="29">
    <w:abstractNumId w:val="12"/>
  </w:num>
  <w:num w:numId="30">
    <w:abstractNumId w:val="14"/>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YTA0NjEzNzRiZjFlNmM3ZmM1ZDMxNzJjMjc3Y2MifQ=="/>
  </w:docVars>
  <w:rsids>
    <w:rsidRoot w:val="00172A27"/>
    <w:rsid w:val="00010D1C"/>
    <w:rsid w:val="00037E51"/>
    <w:rsid w:val="00042D40"/>
    <w:rsid w:val="00067B07"/>
    <w:rsid w:val="000743B6"/>
    <w:rsid w:val="0009265D"/>
    <w:rsid w:val="000A3AD6"/>
    <w:rsid w:val="000A6804"/>
    <w:rsid w:val="000B3DD4"/>
    <w:rsid w:val="000C0895"/>
    <w:rsid w:val="000C673D"/>
    <w:rsid w:val="000D7288"/>
    <w:rsid w:val="000E2734"/>
    <w:rsid w:val="000F3806"/>
    <w:rsid w:val="00102202"/>
    <w:rsid w:val="0011607E"/>
    <w:rsid w:val="00122D04"/>
    <w:rsid w:val="00126C11"/>
    <w:rsid w:val="00140E4D"/>
    <w:rsid w:val="00152CAF"/>
    <w:rsid w:val="00167A28"/>
    <w:rsid w:val="0017037F"/>
    <w:rsid w:val="00172A27"/>
    <w:rsid w:val="00192A67"/>
    <w:rsid w:val="00195B2A"/>
    <w:rsid w:val="001A00DF"/>
    <w:rsid w:val="001A439C"/>
    <w:rsid w:val="001A6727"/>
    <w:rsid w:val="001B0BC1"/>
    <w:rsid w:val="001B1459"/>
    <w:rsid w:val="001B3264"/>
    <w:rsid w:val="001C2786"/>
    <w:rsid w:val="001D74E8"/>
    <w:rsid w:val="001D76B9"/>
    <w:rsid w:val="001E1FE3"/>
    <w:rsid w:val="001E5E5C"/>
    <w:rsid w:val="001E7BD1"/>
    <w:rsid w:val="001E7E49"/>
    <w:rsid w:val="001F403A"/>
    <w:rsid w:val="00205EEF"/>
    <w:rsid w:val="00221202"/>
    <w:rsid w:val="002331D3"/>
    <w:rsid w:val="00244E6C"/>
    <w:rsid w:val="00247C1D"/>
    <w:rsid w:val="0025657F"/>
    <w:rsid w:val="002647A7"/>
    <w:rsid w:val="0026628D"/>
    <w:rsid w:val="00274C97"/>
    <w:rsid w:val="002766DD"/>
    <w:rsid w:val="002863B0"/>
    <w:rsid w:val="00287CC7"/>
    <w:rsid w:val="00290135"/>
    <w:rsid w:val="00295F6C"/>
    <w:rsid w:val="0029755A"/>
    <w:rsid w:val="002A2AC6"/>
    <w:rsid w:val="002A5E9A"/>
    <w:rsid w:val="002C54CF"/>
    <w:rsid w:val="002D2909"/>
    <w:rsid w:val="002D4DA4"/>
    <w:rsid w:val="002D7A6D"/>
    <w:rsid w:val="002E07BF"/>
    <w:rsid w:val="002F6FCA"/>
    <w:rsid w:val="003146F7"/>
    <w:rsid w:val="00326800"/>
    <w:rsid w:val="003322AB"/>
    <w:rsid w:val="00332CAB"/>
    <w:rsid w:val="00337601"/>
    <w:rsid w:val="0035235D"/>
    <w:rsid w:val="00360C09"/>
    <w:rsid w:val="00376929"/>
    <w:rsid w:val="003929E2"/>
    <w:rsid w:val="00395491"/>
    <w:rsid w:val="003A2D46"/>
    <w:rsid w:val="003A3201"/>
    <w:rsid w:val="003B290E"/>
    <w:rsid w:val="003C2DEE"/>
    <w:rsid w:val="003C2E0B"/>
    <w:rsid w:val="003C67F2"/>
    <w:rsid w:val="003D37C1"/>
    <w:rsid w:val="003E1DDF"/>
    <w:rsid w:val="003E65D8"/>
    <w:rsid w:val="003E7B81"/>
    <w:rsid w:val="003F04B9"/>
    <w:rsid w:val="003F3D18"/>
    <w:rsid w:val="003F5518"/>
    <w:rsid w:val="003F64A7"/>
    <w:rsid w:val="00402272"/>
    <w:rsid w:val="004057C8"/>
    <w:rsid w:val="00435D6D"/>
    <w:rsid w:val="004456E2"/>
    <w:rsid w:val="00450476"/>
    <w:rsid w:val="00480A2B"/>
    <w:rsid w:val="00482B14"/>
    <w:rsid w:val="004862AD"/>
    <w:rsid w:val="004A1B24"/>
    <w:rsid w:val="004A2796"/>
    <w:rsid w:val="004B0BF8"/>
    <w:rsid w:val="004C2AF8"/>
    <w:rsid w:val="004D70C5"/>
    <w:rsid w:val="004E4CF5"/>
    <w:rsid w:val="004E753C"/>
    <w:rsid w:val="00501EEF"/>
    <w:rsid w:val="0050491F"/>
    <w:rsid w:val="00513C7F"/>
    <w:rsid w:val="00517E36"/>
    <w:rsid w:val="00520C66"/>
    <w:rsid w:val="005217F8"/>
    <w:rsid w:val="00522064"/>
    <w:rsid w:val="00530399"/>
    <w:rsid w:val="00536870"/>
    <w:rsid w:val="00541724"/>
    <w:rsid w:val="00561B5B"/>
    <w:rsid w:val="00571D17"/>
    <w:rsid w:val="00572154"/>
    <w:rsid w:val="00576A5F"/>
    <w:rsid w:val="005923E3"/>
    <w:rsid w:val="005B0E59"/>
    <w:rsid w:val="005B3960"/>
    <w:rsid w:val="005B7D7A"/>
    <w:rsid w:val="005C1A4E"/>
    <w:rsid w:val="005C7704"/>
    <w:rsid w:val="005D7A12"/>
    <w:rsid w:val="005E1A4A"/>
    <w:rsid w:val="005F0772"/>
    <w:rsid w:val="005F5307"/>
    <w:rsid w:val="0060689C"/>
    <w:rsid w:val="00613B65"/>
    <w:rsid w:val="00616F2D"/>
    <w:rsid w:val="006177A7"/>
    <w:rsid w:val="006258BB"/>
    <w:rsid w:val="00641FD9"/>
    <w:rsid w:val="006472C5"/>
    <w:rsid w:val="0064781D"/>
    <w:rsid w:val="00662B94"/>
    <w:rsid w:val="006634A1"/>
    <w:rsid w:val="006657C9"/>
    <w:rsid w:val="0067149C"/>
    <w:rsid w:val="00680400"/>
    <w:rsid w:val="00681782"/>
    <w:rsid w:val="006849A6"/>
    <w:rsid w:val="00695476"/>
    <w:rsid w:val="00696FBA"/>
    <w:rsid w:val="006A0541"/>
    <w:rsid w:val="006A5684"/>
    <w:rsid w:val="006B535E"/>
    <w:rsid w:val="006C2460"/>
    <w:rsid w:val="006D761F"/>
    <w:rsid w:val="006E169C"/>
    <w:rsid w:val="006E46DF"/>
    <w:rsid w:val="006E7F0D"/>
    <w:rsid w:val="006E7F57"/>
    <w:rsid w:val="006F1FD6"/>
    <w:rsid w:val="007027C4"/>
    <w:rsid w:val="00711C0F"/>
    <w:rsid w:val="0071294E"/>
    <w:rsid w:val="007359DA"/>
    <w:rsid w:val="00736BCC"/>
    <w:rsid w:val="0074281E"/>
    <w:rsid w:val="00743051"/>
    <w:rsid w:val="007447C1"/>
    <w:rsid w:val="00754F21"/>
    <w:rsid w:val="00770871"/>
    <w:rsid w:val="0077254B"/>
    <w:rsid w:val="00792491"/>
    <w:rsid w:val="007A3A90"/>
    <w:rsid w:val="007A4E4B"/>
    <w:rsid w:val="007B5B95"/>
    <w:rsid w:val="007B5F39"/>
    <w:rsid w:val="007C08C3"/>
    <w:rsid w:val="007C2279"/>
    <w:rsid w:val="007D0BA4"/>
    <w:rsid w:val="007D15F9"/>
    <w:rsid w:val="007D308B"/>
    <w:rsid w:val="007E485E"/>
    <w:rsid w:val="00811783"/>
    <w:rsid w:val="00813B07"/>
    <w:rsid w:val="008168BC"/>
    <w:rsid w:val="00823C25"/>
    <w:rsid w:val="008259FA"/>
    <w:rsid w:val="00847A3B"/>
    <w:rsid w:val="008573C1"/>
    <w:rsid w:val="0086367E"/>
    <w:rsid w:val="00872924"/>
    <w:rsid w:val="00876C01"/>
    <w:rsid w:val="008866C0"/>
    <w:rsid w:val="00895737"/>
    <w:rsid w:val="008962A7"/>
    <w:rsid w:val="008A367A"/>
    <w:rsid w:val="008B3D72"/>
    <w:rsid w:val="008C650D"/>
    <w:rsid w:val="008D379A"/>
    <w:rsid w:val="008E455E"/>
    <w:rsid w:val="008E7C81"/>
    <w:rsid w:val="008F5E34"/>
    <w:rsid w:val="008F6EFE"/>
    <w:rsid w:val="00900E76"/>
    <w:rsid w:val="009325F4"/>
    <w:rsid w:val="00934062"/>
    <w:rsid w:val="0093477B"/>
    <w:rsid w:val="00954CF1"/>
    <w:rsid w:val="00970225"/>
    <w:rsid w:val="00974733"/>
    <w:rsid w:val="00980469"/>
    <w:rsid w:val="00986403"/>
    <w:rsid w:val="00987EB4"/>
    <w:rsid w:val="00992950"/>
    <w:rsid w:val="009B4326"/>
    <w:rsid w:val="009B6BFE"/>
    <w:rsid w:val="009C0319"/>
    <w:rsid w:val="009C319B"/>
    <w:rsid w:val="009C3D12"/>
    <w:rsid w:val="009E3BD2"/>
    <w:rsid w:val="009E7878"/>
    <w:rsid w:val="009F29DA"/>
    <w:rsid w:val="00A02D64"/>
    <w:rsid w:val="00A057C5"/>
    <w:rsid w:val="00A066C4"/>
    <w:rsid w:val="00A12A43"/>
    <w:rsid w:val="00A245C5"/>
    <w:rsid w:val="00A248F4"/>
    <w:rsid w:val="00A368E5"/>
    <w:rsid w:val="00A50E8F"/>
    <w:rsid w:val="00A51FDF"/>
    <w:rsid w:val="00A55ABC"/>
    <w:rsid w:val="00A62024"/>
    <w:rsid w:val="00A63494"/>
    <w:rsid w:val="00A73408"/>
    <w:rsid w:val="00A73B47"/>
    <w:rsid w:val="00A8343C"/>
    <w:rsid w:val="00A9028E"/>
    <w:rsid w:val="00A921BA"/>
    <w:rsid w:val="00A924AE"/>
    <w:rsid w:val="00AB0730"/>
    <w:rsid w:val="00AC0ACE"/>
    <w:rsid w:val="00AC33EA"/>
    <w:rsid w:val="00AC7625"/>
    <w:rsid w:val="00AD6709"/>
    <w:rsid w:val="00AE1E9D"/>
    <w:rsid w:val="00AF40F8"/>
    <w:rsid w:val="00B32079"/>
    <w:rsid w:val="00B356BE"/>
    <w:rsid w:val="00B420E2"/>
    <w:rsid w:val="00B51036"/>
    <w:rsid w:val="00B530E4"/>
    <w:rsid w:val="00B657CE"/>
    <w:rsid w:val="00B71E47"/>
    <w:rsid w:val="00B73E01"/>
    <w:rsid w:val="00B76303"/>
    <w:rsid w:val="00B76DB3"/>
    <w:rsid w:val="00BC1AB3"/>
    <w:rsid w:val="00BC6B73"/>
    <w:rsid w:val="00BD2757"/>
    <w:rsid w:val="00BD2877"/>
    <w:rsid w:val="00BF4AB5"/>
    <w:rsid w:val="00C003AB"/>
    <w:rsid w:val="00C01089"/>
    <w:rsid w:val="00C12CCF"/>
    <w:rsid w:val="00C21BE4"/>
    <w:rsid w:val="00C24C41"/>
    <w:rsid w:val="00C41E46"/>
    <w:rsid w:val="00C53048"/>
    <w:rsid w:val="00C5725C"/>
    <w:rsid w:val="00C7157F"/>
    <w:rsid w:val="00C72367"/>
    <w:rsid w:val="00C73C93"/>
    <w:rsid w:val="00C74D12"/>
    <w:rsid w:val="00C8216D"/>
    <w:rsid w:val="00C9521D"/>
    <w:rsid w:val="00C96F1D"/>
    <w:rsid w:val="00CA5BC4"/>
    <w:rsid w:val="00CB13A4"/>
    <w:rsid w:val="00CB53E0"/>
    <w:rsid w:val="00CC1096"/>
    <w:rsid w:val="00CE27E5"/>
    <w:rsid w:val="00CE65B1"/>
    <w:rsid w:val="00CE797B"/>
    <w:rsid w:val="00CF14E5"/>
    <w:rsid w:val="00D01247"/>
    <w:rsid w:val="00D053E1"/>
    <w:rsid w:val="00D101F6"/>
    <w:rsid w:val="00D17C17"/>
    <w:rsid w:val="00D26918"/>
    <w:rsid w:val="00D33A75"/>
    <w:rsid w:val="00D47F0C"/>
    <w:rsid w:val="00D55097"/>
    <w:rsid w:val="00D574E4"/>
    <w:rsid w:val="00D576EF"/>
    <w:rsid w:val="00D60EC1"/>
    <w:rsid w:val="00D67E55"/>
    <w:rsid w:val="00D73573"/>
    <w:rsid w:val="00D80A61"/>
    <w:rsid w:val="00D90775"/>
    <w:rsid w:val="00D961C4"/>
    <w:rsid w:val="00DA4229"/>
    <w:rsid w:val="00DA5E01"/>
    <w:rsid w:val="00DB5A77"/>
    <w:rsid w:val="00DC1986"/>
    <w:rsid w:val="00DC7FB0"/>
    <w:rsid w:val="00DD0388"/>
    <w:rsid w:val="00DE7E5C"/>
    <w:rsid w:val="00DF3984"/>
    <w:rsid w:val="00E04145"/>
    <w:rsid w:val="00E07442"/>
    <w:rsid w:val="00E122B7"/>
    <w:rsid w:val="00E12838"/>
    <w:rsid w:val="00E13657"/>
    <w:rsid w:val="00E20E24"/>
    <w:rsid w:val="00E2372B"/>
    <w:rsid w:val="00E24AFE"/>
    <w:rsid w:val="00E2696A"/>
    <w:rsid w:val="00E27FDA"/>
    <w:rsid w:val="00E310F2"/>
    <w:rsid w:val="00E3370B"/>
    <w:rsid w:val="00E42FF4"/>
    <w:rsid w:val="00E448F4"/>
    <w:rsid w:val="00E55BD3"/>
    <w:rsid w:val="00E604D4"/>
    <w:rsid w:val="00E631A6"/>
    <w:rsid w:val="00E65904"/>
    <w:rsid w:val="00E71508"/>
    <w:rsid w:val="00E736A5"/>
    <w:rsid w:val="00E809CE"/>
    <w:rsid w:val="00E921E3"/>
    <w:rsid w:val="00E96FE9"/>
    <w:rsid w:val="00E9724B"/>
    <w:rsid w:val="00EA1ECE"/>
    <w:rsid w:val="00EB6716"/>
    <w:rsid w:val="00EC1E3D"/>
    <w:rsid w:val="00EC6E7A"/>
    <w:rsid w:val="00ED35D5"/>
    <w:rsid w:val="00EE2BA1"/>
    <w:rsid w:val="00EE2BEF"/>
    <w:rsid w:val="00EE7A3A"/>
    <w:rsid w:val="00F01B7A"/>
    <w:rsid w:val="00F15049"/>
    <w:rsid w:val="00F16A08"/>
    <w:rsid w:val="00F20B01"/>
    <w:rsid w:val="00F213BC"/>
    <w:rsid w:val="00F234ED"/>
    <w:rsid w:val="00F26B97"/>
    <w:rsid w:val="00F41A9D"/>
    <w:rsid w:val="00F55CEC"/>
    <w:rsid w:val="00F57027"/>
    <w:rsid w:val="00F57524"/>
    <w:rsid w:val="00F75245"/>
    <w:rsid w:val="00F9354D"/>
    <w:rsid w:val="00F94DCB"/>
    <w:rsid w:val="00FB05DA"/>
    <w:rsid w:val="00FC12C0"/>
    <w:rsid w:val="00FC3301"/>
    <w:rsid w:val="00FC6694"/>
    <w:rsid w:val="00FE167F"/>
    <w:rsid w:val="00FE2720"/>
    <w:rsid w:val="00FF1D7C"/>
    <w:rsid w:val="00FF2A69"/>
    <w:rsid w:val="00FF4B45"/>
    <w:rsid w:val="00FF4F56"/>
    <w:rsid w:val="01351C73"/>
    <w:rsid w:val="013A223F"/>
    <w:rsid w:val="013F2FCF"/>
    <w:rsid w:val="014C6453"/>
    <w:rsid w:val="01623C08"/>
    <w:rsid w:val="01752AFE"/>
    <w:rsid w:val="017840A9"/>
    <w:rsid w:val="01813926"/>
    <w:rsid w:val="01920D21"/>
    <w:rsid w:val="01987351"/>
    <w:rsid w:val="01B36AC8"/>
    <w:rsid w:val="01CC662B"/>
    <w:rsid w:val="01D9531E"/>
    <w:rsid w:val="01F90F7C"/>
    <w:rsid w:val="02064B47"/>
    <w:rsid w:val="02092073"/>
    <w:rsid w:val="02132B87"/>
    <w:rsid w:val="02264FBE"/>
    <w:rsid w:val="022B6D52"/>
    <w:rsid w:val="023E4F05"/>
    <w:rsid w:val="026E269C"/>
    <w:rsid w:val="02701597"/>
    <w:rsid w:val="0277484A"/>
    <w:rsid w:val="02854F8C"/>
    <w:rsid w:val="0299229B"/>
    <w:rsid w:val="029C5E74"/>
    <w:rsid w:val="029D1C8E"/>
    <w:rsid w:val="02CE7259"/>
    <w:rsid w:val="02DB4DF7"/>
    <w:rsid w:val="02DB5E00"/>
    <w:rsid w:val="02F8646C"/>
    <w:rsid w:val="030A0C9E"/>
    <w:rsid w:val="03205381"/>
    <w:rsid w:val="036A1C71"/>
    <w:rsid w:val="036F1D46"/>
    <w:rsid w:val="037F6424"/>
    <w:rsid w:val="03802F70"/>
    <w:rsid w:val="039614B8"/>
    <w:rsid w:val="03A62FDF"/>
    <w:rsid w:val="03AD7A96"/>
    <w:rsid w:val="03B43B3F"/>
    <w:rsid w:val="03BE46A4"/>
    <w:rsid w:val="03C25B44"/>
    <w:rsid w:val="03FA6DFF"/>
    <w:rsid w:val="041378F5"/>
    <w:rsid w:val="04201F87"/>
    <w:rsid w:val="04316655"/>
    <w:rsid w:val="04922828"/>
    <w:rsid w:val="04970E19"/>
    <w:rsid w:val="04AC6CA5"/>
    <w:rsid w:val="04B351C5"/>
    <w:rsid w:val="04BF5AD0"/>
    <w:rsid w:val="04C3210C"/>
    <w:rsid w:val="04E350F9"/>
    <w:rsid w:val="04E5250D"/>
    <w:rsid w:val="04F209CD"/>
    <w:rsid w:val="05276AF8"/>
    <w:rsid w:val="05290726"/>
    <w:rsid w:val="0535429B"/>
    <w:rsid w:val="05402991"/>
    <w:rsid w:val="054E1CE0"/>
    <w:rsid w:val="057A7F6E"/>
    <w:rsid w:val="058469D6"/>
    <w:rsid w:val="0589504E"/>
    <w:rsid w:val="058C1707"/>
    <w:rsid w:val="05AC0A53"/>
    <w:rsid w:val="05AE40A3"/>
    <w:rsid w:val="05E740AF"/>
    <w:rsid w:val="05EF0793"/>
    <w:rsid w:val="05F66E7E"/>
    <w:rsid w:val="05FC494C"/>
    <w:rsid w:val="06007989"/>
    <w:rsid w:val="060454DB"/>
    <w:rsid w:val="0618781F"/>
    <w:rsid w:val="062A4F87"/>
    <w:rsid w:val="065F130A"/>
    <w:rsid w:val="06610A08"/>
    <w:rsid w:val="06686B0C"/>
    <w:rsid w:val="066D1D57"/>
    <w:rsid w:val="068D7620"/>
    <w:rsid w:val="06926006"/>
    <w:rsid w:val="06937EB7"/>
    <w:rsid w:val="06BE30D0"/>
    <w:rsid w:val="06EF35C6"/>
    <w:rsid w:val="070D73CC"/>
    <w:rsid w:val="072653F5"/>
    <w:rsid w:val="072852D5"/>
    <w:rsid w:val="07806CC6"/>
    <w:rsid w:val="07996308"/>
    <w:rsid w:val="079B0B7D"/>
    <w:rsid w:val="079C7ECA"/>
    <w:rsid w:val="07A86445"/>
    <w:rsid w:val="07E654DD"/>
    <w:rsid w:val="07EC334E"/>
    <w:rsid w:val="08061DBD"/>
    <w:rsid w:val="080B471B"/>
    <w:rsid w:val="08186ED9"/>
    <w:rsid w:val="083512EB"/>
    <w:rsid w:val="085B6064"/>
    <w:rsid w:val="08667849"/>
    <w:rsid w:val="086F12F7"/>
    <w:rsid w:val="087D5CEF"/>
    <w:rsid w:val="08970B55"/>
    <w:rsid w:val="08B828C6"/>
    <w:rsid w:val="08D5284D"/>
    <w:rsid w:val="08D97EBA"/>
    <w:rsid w:val="08ED0768"/>
    <w:rsid w:val="09070639"/>
    <w:rsid w:val="090A42F6"/>
    <w:rsid w:val="090B1FA9"/>
    <w:rsid w:val="090D2C56"/>
    <w:rsid w:val="091F7003"/>
    <w:rsid w:val="09545334"/>
    <w:rsid w:val="09583F4A"/>
    <w:rsid w:val="095F037B"/>
    <w:rsid w:val="096A27B4"/>
    <w:rsid w:val="096E6A8F"/>
    <w:rsid w:val="099B5A1C"/>
    <w:rsid w:val="09A6526C"/>
    <w:rsid w:val="09E86A45"/>
    <w:rsid w:val="09EA213D"/>
    <w:rsid w:val="0A073DB5"/>
    <w:rsid w:val="0A08744C"/>
    <w:rsid w:val="0A0976BB"/>
    <w:rsid w:val="0A1608E8"/>
    <w:rsid w:val="0A1763FE"/>
    <w:rsid w:val="0A3E3F88"/>
    <w:rsid w:val="0A3E7542"/>
    <w:rsid w:val="0A4D39C2"/>
    <w:rsid w:val="0A583CC6"/>
    <w:rsid w:val="0A5E3784"/>
    <w:rsid w:val="0A672A35"/>
    <w:rsid w:val="0A726026"/>
    <w:rsid w:val="0A981C9A"/>
    <w:rsid w:val="0AA72862"/>
    <w:rsid w:val="0AA74B6E"/>
    <w:rsid w:val="0AAC240E"/>
    <w:rsid w:val="0AB270A4"/>
    <w:rsid w:val="0ADF7AEC"/>
    <w:rsid w:val="0B167DBC"/>
    <w:rsid w:val="0B21105A"/>
    <w:rsid w:val="0B212724"/>
    <w:rsid w:val="0B2209A4"/>
    <w:rsid w:val="0B3323BB"/>
    <w:rsid w:val="0B483C08"/>
    <w:rsid w:val="0B5D1A85"/>
    <w:rsid w:val="0B6251C3"/>
    <w:rsid w:val="0B756EDB"/>
    <w:rsid w:val="0B834CF3"/>
    <w:rsid w:val="0B986F9F"/>
    <w:rsid w:val="0BBE458A"/>
    <w:rsid w:val="0BCF5E37"/>
    <w:rsid w:val="0BD74A5E"/>
    <w:rsid w:val="0BD928E6"/>
    <w:rsid w:val="0BE03D2B"/>
    <w:rsid w:val="0BE92434"/>
    <w:rsid w:val="0C090444"/>
    <w:rsid w:val="0C11352E"/>
    <w:rsid w:val="0C1D7DEF"/>
    <w:rsid w:val="0C2413F5"/>
    <w:rsid w:val="0C2C1105"/>
    <w:rsid w:val="0C4B1E57"/>
    <w:rsid w:val="0C545F5A"/>
    <w:rsid w:val="0C567D9E"/>
    <w:rsid w:val="0C606202"/>
    <w:rsid w:val="0C662702"/>
    <w:rsid w:val="0C7F3BFC"/>
    <w:rsid w:val="0C8949E4"/>
    <w:rsid w:val="0C997EBB"/>
    <w:rsid w:val="0CB6728F"/>
    <w:rsid w:val="0CC31335"/>
    <w:rsid w:val="0CC455C5"/>
    <w:rsid w:val="0CE32B9C"/>
    <w:rsid w:val="0CF14B0E"/>
    <w:rsid w:val="0CF5585C"/>
    <w:rsid w:val="0CFB6A75"/>
    <w:rsid w:val="0CFD25BD"/>
    <w:rsid w:val="0D0E5602"/>
    <w:rsid w:val="0D24297B"/>
    <w:rsid w:val="0D2D428B"/>
    <w:rsid w:val="0D34678D"/>
    <w:rsid w:val="0D3A39B1"/>
    <w:rsid w:val="0D4A02A6"/>
    <w:rsid w:val="0D4D794B"/>
    <w:rsid w:val="0D5F6505"/>
    <w:rsid w:val="0D607508"/>
    <w:rsid w:val="0D6B5B2F"/>
    <w:rsid w:val="0D8515F1"/>
    <w:rsid w:val="0D8F75BB"/>
    <w:rsid w:val="0D933F5C"/>
    <w:rsid w:val="0DA3517A"/>
    <w:rsid w:val="0DAB1B73"/>
    <w:rsid w:val="0E06783A"/>
    <w:rsid w:val="0E0C42FA"/>
    <w:rsid w:val="0E340C77"/>
    <w:rsid w:val="0E3656D6"/>
    <w:rsid w:val="0E387EC2"/>
    <w:rsid w:val="0E502C29"/>
    <w:rsid w:val="0E6B4E26"/>
    <w:rsid w:val="0E734739"/>
    <w:rsid w:val="0E847919"/>
    <w:rsid w:val="0E8B4F0A"/>
    <w:rsid w:val="0E9A15CB"/>
    <w:rsid w:val="0E9C201E"/>
    <w:rsid w:val="0EA727EB"/>
    <w:rsid w:val="0EE26BE2"/>
    <w:rsid w:val="0EF4456F"/>
    <w:rsid w:val="0F4D0852"/>
    <w:rsid w:val="0F5151EF"/>
    <w:rsid w:val="0F784044"/>
    <w:rsid w:val="0F823D5D"/>
    <w:rsid w:val="0F862A78"/>
    <w:rsid w:val="0F9937DA"/>
    <w:rsid w:val="0FA029A3"/>
    <w:rsid w:val="0FAB24D3"/>
    <w:rsid w:val="0FC00610"/>
    <w:rsid w:val="0FE973CA"/>
    <w:rsid w:val="10005F5F"/>
    <w:rsid w:val="10063AFE"/>
    <w:rsid w:val="100B449D"/>
    <w:rsid w:val="104B4EC7"/>
    <w:rsid w:val="105356D7"/>
    <w:rsid w:val="106252FB"/>
    <w:rsid w:val="107E5C87"/>
    <w:rsid w:val="108B226C"/>
    <w:rsid w:val="108E6DDE"/>
    <w:rsid w:val="109827F5"/>
    <w:rsid w:val="10B152EF"/>
    <w:rsid w:val="10D20FA3"/>
    <w:rsid w:val="10D54BEF"/>
    <w:rsid w:val="10FA43D2"/>
    <w:rsid w:val="10FD3277"/>
    <w:rsid w:val="112F26C0"/>
    <w:rsid w:val="113E52CA"/>
    <w:rsid w:val="114215F5"/>
    <w:rsid w:val="114542EA"/>
    <w:rsid w:val="1149117E"/>
    <w:rsid w:val="116B59DD"/>
    <w:rsid w:val="117C761C"/>
    <w:rsid w:val="11A56A4F"/>
    <w:rsid w:val="11B361D3"/>
    <w:rsid w:val="11CF66B5"/>
    <w:rsid w:val="11D83639"/>
    <w:rsid w:val="11E63FFF"/>
    <w:rsid w:val="11E75F2F"/>
    <w:rsid w:val="12137217"/>
    <w:rsid w:val="121E0F14"/>
    <w:rsid w:val="12415950"/>
    <w:rsid w:val="12440EBB"/>
    <w:rsid w:val="124A1C36"/>
    <w:rsid w:val="12650308"/>
    <w:rsid w:val="126E66D8"/>
    <w:rsid w:val="12766F68"/>
    <w:rsid w:val="12784E55"/>
    <w:rsid w:val="12863144"/>
    <w:rsid w:val="128A78E8"/>
    <w:rsid w:val="128C33F4"/>
    <w:rsid w:val="12993806"/>
    <w:rsid w:val="12BA218D"/>
    <w:rsid w:val="12BB4574"/>
    <w:rsid w:val="12BF6BA1"/>
    <w:rsid w:val="12CB0E85"/>
    <w:rsid w:val="12CB2C15"/>
    <w:rsid w:val="12CB3E6D"/>
    <w:rsid w:val="12E40295"/>
    <w:rsid w:val="12FB01C6"/>
    <w:rsid w:val="13063EC1"/>
    <w:rsid w:val="13336A4D"/>
    <w:rsid w:val="13365AD3"/>
    <w:rsid w:val="133F5E2F"/>
    <w:rsid w:val="13451BDF"/>
    <w:rsid w:val="13487675"/>
    <w:rsid w:val="134E7BFD"/>
    <w:rsid w:val="13783B8A"/>
    <w:rsid w:val="137F4EEC"/>
    <w:rsid w:val="138D11BC"/>
    <w:rsid w:val="13972080"/>
    <w:rsid w:val="139D2FCC"/>
    <w:rsid w:val="13A05A9F"/>
    <w:rsid w:val="13A160A4"/>
    <w:rsid w:val="13AB6434"/>
    <w:rsid w:val="13BC75DB"/>
    <w:rsid w:val="13C62E93"/>
    <w:rsid w:val="13C96DAF"/>
    <w:rsid w:val="13D63945"/>
    <w:rsid w:val="13D84C83"/>
    <w:rsid w:val="13F54EEA"/>
    <w:rsid w:val="14253493"/>
    <w:rsid w:val="1441058C"/>
    <w:rsid w:val="14565420"/>
    <w:rsid w:val="145E0E2B"/>
    <w:rsid w:val="14663755"/>
    <w:rsid w:val="14A91413"/>
    <w:rsid w:val="14B53C19"/>
    <w:rsid w:val="14B629C7"/>
    <w:rsid w:val="14E26901"/>
    <w:rsid w:val="14E72B42"/>
    <w:rsid w:val="15125E09"/>
    <w:rsid w:val="15265BC4"/>
    <w:rsid w:val="15285578"/>
    <w:rsid w:val="15550B09"/>
    <w:rsid w:val="155550C1"/>
    <w:rsid w:val="156234AA"/>
    <w:rsid w:val="156E26BA"/>
    <w:rsid w:val="157509B7"/>
    <w:rsid w:val="1588419E"/>
    <w:rsid w:val="15BE498C"/>
    <w:rsid w:val="15C56451"/>
    <w:rsid w:val="15C8772A"/>
    <w:rsid w:val="15ED5C46"/>
    <w:rsid w:val="160D697A"/>
    <w:rsid w:val="16162C58"/>
    <w:rsid w:val="1654287F"/>
    <w:rsid w:val="166B3507"/>
    <w:rsid w:val="166F313A"/>
    <w:rsid w:val="16832BBD"/>
    <w:rsid w:val="169754A7"/>
    <w:rsid w:val="16A5117D"/>
    <w:rsid w:val="16AA0B6A"/>
    <w:rsid w:val="16B25E6D"/>
    <w:rsid w:val="16BF6BE7"/>
    <w:rsid w:val="16DB3ACD"/>
    <w:rsid w:val="16E63F78"/>
    <w:rsid w:val="16F17C9B"/>
    <w:rsid w:val="172072CE"/>
    <w:rsid w:val="17411B66"/>
    <w:rsid w:val="17447531"/>
    <w:rsid w:val="17464982"/>
    <w:rsid w:val="17536E6E"/>
    <w:rsid w:val="17563FF8"/>
    <w:rsid w:val="177D7BBD"/>
    <w:rsid w:val="17821F33"/>
    <w:rsid w:val="17894CB2"/>
    <w:rsid w:val="178A477B"/>
    <w:rsid w:val="17907B2D"/>
    <w:rsid w:val="17B351C8"/>
    <w:rsid w:val="17CE0395"/>
    <w:rsid w:val="17E751D5"/>
    <w:rsid w:val="17F976EF"/>
    <w:rsid w:val="17FD76AA"/>
    <w:rsid w:val="17FF5B0F"/>
    <w:rsid w:val="180B3DC5"/>
    <w:rsid w:val="18170899"/>
    <w:rsid w:val="182D3C78"/>
    <w:rsid w:val="184008E1"/>
    <w:rsid w:val="18444CBC"/>
    <w:rsid w:val="18603535"/>
    <w:rsid w:val="18656CB7"/>
    <w:rsid w:val="186A63EF"/>
    <w:rsid w:val="186C201D"/>
    <w:rsid w:val="186E1A30"/>
    <w:rsid w:val="187152F8"/>
    <w:rsid w:val="18740800"/>
    <w:rsid w:val="18870D4A"/>
    <w:rsid w:val="188B1530"/>
    <w:rsid w:val="18921717"/>
    <w:rsid w:val="18E02502"/>
    <w:rsid w:val="18FA490E"/>
    <w:rsid w:val="191346B2"/>
    <w:rsid w:val="19275568"/>
    <w:rsid w:val="192F739D"/>
    <w:rsid w:val="19366E96"/>
    <w:rsid w:val="193D5954"/>
    <w:rsid w:val="194C04D8"/>
    <w:rsid w:val="19556FF9"/>
    <w:rsid w:val="195948F7"/>
    <w:rsid w:val="195E0E17"/>
    <w:rsid w:val="1971204D"/>
    <w:rsid w:val="19763B80"/>
    <w:rsid w:val="19805D37"/>
    <w:rsid w:val="19C639D9"/>
    <w:rsid w:val="19C82216"/>
    <w:rsid w:val="19CA4AD8"/>
    <w:rsid w:val="19D45248"/>
    <w:rsid w:val="1A105E9F"/>
    <w:rsid w:val="1A1C6F29"/>
    <w:rsid w:val="1A204DE8"/>
    <w:rsid w:val="1A324F2D"/>
    <w:rsid w:val="1A407579"/>
    <w:rsid w:val="1A462475"/>
    <w:rsid w:val="1A710808"/>
    <w:rsid w:val="1A745370"/>
    <w:rsid w:val="1A7A0EF6"/>
    <w:rsid w:val="1A8B389F"/>
    <w:rsid w:val="1A997EE2"/>
    <w:rsid w:val="1AA35F36"/>
    <w:rsid w:val="1AAD5B72"/>
    <w:rsid w:val="1ABE5C90"/>
    <w:rsid w:val="1AE37041"/>
    <w:rsid w:val="1AF67185"/>
    <w:rsid w:val="1B115D3C"/>
    <w:rsid w:val="1B1E0896"/>
    <w:rsid w:val="1B3E1F3A"/>
    <w:rsid w:val="1B464213"/>
    <w:rsid w:val="1B6A11E1"/>
    <w:rsid w:val="1B6A6896"/>
    <w:rsid w:val="1B6D6F30"/>
    <w:rsid w:val="1B785979"/>
    <w:rsid w:val="1B807337"/>
    <w:rsid w:val="1B99695D"/>
    <w:rsid w:val="1BA47A56"/>
    <w:rsid w:val="1BA47C58"/>
    <w:rsid w:val="1BB80F43"/>
    <w:rsid w:val="1BBD41CB"/>
    <w:rsid w:val="1BC170B5"/>
    <w:rsid w:val="1BC35954"/>
    <w:rsid w:val="1BC85289"/>
    <w:rsid w:val="1BD21379"/>
    <w:rsid w:val="1BDB5F9B"/>
    <w:rsid w:val="1BDC34D1"/>
    <w:rsid w:val="1BE64759"/>
    <w:rsid w:val="1BE84701"/>
    <w:rsid w:val="1BEC1D27"/>
    <w:rsid w:val="1BF010E9"/>
    <w:rsid w:val="1BF02765"/>
    <w:rsid w:val="1BF0529D"/>
    <w:rsid w:val="1C2E159D"/>
    <w:rsid w:val="1C326500"/>
    <w:rsid w:val="1C550846"/>
    <w:rsid w:val="1C60680C"/>
    <w:rsid w:val="1C63114B"/>
    <w:rsid w:val="1C6C08F4"/>
    <w:rsid w:val="1C763C77"/>
    <w:rsid w:val="1C7E1815"/>
    <w:rsid w:val="1C9B7F2C"/>
    <w:rsid w:val="1CC22D92"/>
    <w:rsid w:val="1CC31868"/>
    <w:rsid w:val="1CD54AE5"/>
    <w:rsid w:val="1CEF4C58"/>
    <w:rsid w:val="1D1A5AAC"/>
    <w:rsid w:val="1D2073F3"/>
    <w:rsid w:val="1D297226"/>
    <w:rsid w:val="1D385997"/>
    <w:rsid w:val="1D6B0D1C"/>
    <w:rsid w:val="1D714633"/>
    <w:rsid w:val="1D717C32"/>
    <w:rsid w:val="1D8E77C6"/>
    <w:rsid w:val="1D9E1ACD"/>
    <w:rsid w:val="1DB7132F"/>
    <w:rsid w:val="1DB74394"/>
    <w:rsid w:val="1DD4019E"/>
    <w:rsid w:val="1DF636F7"/>
    <w:rsid w:val="1DF97E9A"/>
    <w:rsid w:val="1E106418"/>
    <w:rsid w:val="1E1438E8"/>
    <w:rsid w:val="1E1A49CB"/>
    <w:rsid w:val="1E213710"/>
    <w:rsid w:val="1E240C9D"/>
    <w:rsid w:val="1E246195"/>
    <w:rsid w:val="1E2801FF"/>
    <w:rsid w:val="1E597123"/>
    <w:rsid w:val="1E635C85"/>
    <w:rsid w:val="1E6C291B"/>
    <w:rsid w:val="1E6D42C6"/>
    <w:rsid w:val="1E6E1C3C"/>
    <w:rsid w:val="1EAF03E7"/>
    <w:rsid w:val="1EB12D5B"/>
    <w:rsid w:val="1ECA20B1"/>
    <w:rsid w:val="1ECA48AD"/>
    <w:rsid w:val="1EE116A5"/>
    <w:rsid w:val="1EF350E8"/>
    <w:rsid w:val="1EFD2C6E"/>
    <w:rsid w:val="1F011883"/>
    <w:rsid w:val="1F177E2D"/>
    <w:rsid w:val="1F2540E6"/>
    <w:rsid w:val="1F3609F3"/>
    <w:rsid w:val="1F4716CF"/>
    <w:rsid w:val="1F6C04A6"/>
    <w:rsid w:val="1F733EF9"/>
    <w:rsid w:val="1F7E0B62"/>
    <w:rsid w:val="1F8C1AB1"/>
    <w:rsid w:val="1FB737DB"/>
    <w:rsid w:val="1FB818B3"/>
    <w:rsid w:val="1FC13F05"/>
    <w:rsid w:val="1FC4124F"/>
    <w:rsid w:val="1FC87E17"/>
    <w:rsid w:val="1FCB10F3"/>
    <w:rsid w:val="1FEA26D0"/>
    <w:rsid w:val="1FF44E35"/>
    <w:rsid w:val="1FFC0CD6"/>
    <w:rsid w:val="20477762"/>
    <w:rsid w:val="204E6680"/>
    <w:rsid w:val="205D49DE"/>
    <w:rsid w:val="20673EC4"/>
    <w:rsid w:val="206E1703"/>
    <w:rsid w:val="207D08E0"/>
    <w:rsid w:val="207E1154"/>
    <w:rsid w:val="208B64ED"/>
    <w:rsid w:val="20BD2B9D"/>
    <w:rsid w:val="20C47E79"/>
    <w:rsid w:val="20F40677"/>
    <w:rsid w:val="20FF648C"/>
    <w:rsid w:val="211D538B"/>
    <w:rsid w:val="214D7F75"/>
    <w:rsid w:val="21692402"/>
    <w:rsid w:val="217A5125"/>
    <w:rsid w:val="218F01B7"/>
    <w:rsid w:val="21AC6C50"/>
    <w:rsid w:val="21B04A82"/>
    <w:rsid w:val="21B53414"/>
    <w:rsid w:val="21CC25D2"/>
    <w:rsid w:val="21CF34D5"/>
    <w:rsid w:val="21D06BFB"/>
    <w:rsid w:val="21D278F8"/>
    <w:rsid w:val="21E17532"/>
    <w:rsid w:val="21E42164"/>
    <w:rsid w:val="21FE0428"/>
    <w:rsid w:val="220426D8"/>
    <w:rsid w:val="22292C54"/>
    <w:rsid w:val="223606BE"/>
    <w:rsid w:val="22736881"/>
    <w:rsid w:val="228826E5"/>
    <w:rsid w:val="22C17C41"/>
    <w:rsid w:val="22DC1101"/>
    <w:rsid w:val="22DD2076"/>
    <w:rsid w:val="22E26D93"/>
    <w:rsid w:val="22F84B62"/>
    <w:rsid w:val="22FC5224"/>
    <w:rsid w:val="23536B7C"/>
    <w:rsid w:val="23A31B76"/>
    <w:rsid w:val="23AF484A"/>
    <w:rsid w:val="23B417A6"/>
    <w:rsid w:val="23B91130"/>
    <w:rsid w:val="23CD6F18"/>
    <w:rsid w:val="23E303FA"/>
    <w:rsid w:val="23F33D54"/>
    <w:rsid w:val="23F34FB7"/>
    <w:rsid w:val="23FB1111"/>
    <w:rsid w:val="241E2177"/>
    <w:rsid w:val="2423604A"/>
    <w:rsid w:val="24292561"/>
    <w:rsid w:val="24373F6D"/>
    <w:rsid w:val="2448484C"/>
    <w:rsid w:val="24575A93"/>
    <w:rsid w:val="24673185"/>
    <w:rsid w:val="248255ED"/>
    <w:rsid w:val="248B56E2"/>
    <w:rsid w:val="24A32C9D"/>
    <w:rsid w:val="24A8288B"/>
    <w:rsid w:val="24BE2F37"/>
    <w:rsid w:val="24F50FAE"/>
    <w:rsid w:val="25030742"/>
    <w:rsid w:val="250A771D"/>
    <w:rsid w:val="251E7700"/>
    <w:rsid w:val="252614C9"/>
    <w:rsid w:val="252826CC"/>
    <w:rsid w:val="252E1698"/>
    <w:rsid w:val="25326A1A"/>
    <w:rsid w:val="25453397"/>
    <w:rsid w:val="25574B16"/>
    <w:rsid w:val="255F7AD2"/>
    <w:rsid w:val="2564493E"/>
    <w:rsid w:val="256D4FBD"/>
    <w:rsid w:val="257E226E"/>
    <w:rsid w:val="259127F9"/>
    <w:rsid w:val="25960536"/>
    <w:rsid w:val="259D3142"/>
    <w:rsid w:val="25D57A32"/>
    <w:rsid w:val="25F211DB"/>
    <w:rsid w:val="25F60C3B"/>
    <w:rsid w:val="25F65D0C"/>
    <w:rsid w:val="25FA3C32"/>
    <w:rsid w:val="25FA60CF"/>
    <w:rsid w:val="260C04D1"/>
    <w:rsid w:val="26145425"/>
    <w:rsid w:val="26230DF0"/>
    <w:rsid w:val="2627224F"/>
    <w:rsid w:val="263C4A01"/>
    <w:rsid w:val="263F5222"/>
    <w:rsid w:val="264B2FCC"/>
    <w:rsid w:val="26507C71"/>
    <w:rsid w:val="26541B7D"/>
    <w:rsid w:val="26657DD8"/>
    <w:rsid w:val="26794F20"/>
    <w:rsid w:val="26C03072"/>
    <w:rsid w:val="26CC079E"/>
    <w:rsid w:val="26D1505D"/>
    <w:rsid w:val="26E15169"/>
    <w:rsid w:val="26F267D1"/>
    <w:rsid w:val="270C7E7B"/>
    <w:rsid w:val="27180E6A"/>
    <w:rsid w:val="271E393C"/>
    <w:rsid w:val="2727416B"/>
    <w:rsid w:val="272D4984"/>
    <w:rsid w:val="27581696"/>
    <w:rsid w:val="276B26C0"/>
    <w:rsid w:val="278F4995"/>
    <w:rsid w:val="278F7628"/>
    <w:rsid w:val="279D08CA"/>
    <w:rsid w:val="27A872D6"/>
    <w:rsid w:val="27B92311"/>
    <w:rsid w:val="27CE4C4F"/>
    <w:rsid w:val="27DA6390"/>
    <w:rsid w:val="27E50D7B"/>
    <w:rsid w:val="27F513D0"/>
    <w:rsid w:val="281D1842"/>
    <w:rsid w:val="28223089"/>
    <w:rsid w:val="284B1AB0"/>
    <w:rsid w:val="28515969"/>
    <w:rsid w:val="28556900"/>
    <w:rsid w:val="287C52A9"/>
    <w:rsid w:val="287F71CF"/>
    <w:rsid w:val="289711B8"/>
    <w:rsid w:val="28AA44A4"/>
    <w:rsid w:val="28B34564"/>
    <w:rsid w:val="28C246A0"/>
    <w:rsid w:val="28DB07EC"/>
    <w:rsid w:val="28FA13D4"/>
    <w:rsid w:val="29184803"/>
    <w:rsid w:val="294409BC"/>
    <w:rsid w:val="29686931"/>
    <w:rsid w:val="29690D96"/>
    <w:rsid w:val="29746DFF"/>
    <w:rsid w:val="29783FB6"/>
    <w:rsid w:val="298076E2"/>
    <w:rsid w:val="29911DBB"/>
    <w:rsid w:val="299D5957"/>
    <w:rsid w:val="29B46D85"/>
    <w:rsid w:val="29C9235D"/>
    <w:rsid w:val="29CA3422"/>
    <w:rsid w:val="29DC316A"/>
    <w:rsid w:val="29E94C34"/>
    <w:rsid w:val="29F20DAE"/>
    <w:rsid w:val="29FB48F8"/>
    <w:rsid w:val="2A0D32E4"/>
    <w:rsid w:val="2A4A0382"/>
    <w:rsid w:val="2A4B34A7"/>
    <w:rsid w:val="2A604683"/>
    <w:rsid w:val="2A641987"/>
    <w:rsid w:val="2A745AF1"/>
    <w:rsid w:val="2A924103"/>
    <w:rsid w:val="2AA02867"/>
    <w:rsid w:val="2AB357E7"/>
    <w:rsid w:val="2ACD0A6A"/>
    <w:rsid w:val="2AF75E3F"/>
    <w:rsid w:val="2AF76423"/>
    <w:rsid w:val="2B035156"/>
    <w:rsid w:val="2B0747FE"/>
    <w:rsid w:val="2B096C7A"/>
    <w:rsid w:val="2B0F15B2"/>
    <w:rsid w:val="2B1431BE"/>
    <w:rsid w:val="2B2144A5"/>
    <w:rsid w:val="2B2A3AC8"/>
    <w:rsid w:val="2B2D17EA"/>
    <w:rsid w:val="2B3167F0"/>
    <w:rsid w:val="2B395A62"/>
    <w:rsid w:val="2B421606"/>
    <w:rsid w:val="2B467033"/>
    <w:rsid w:val="2B63494F"/>
    <w:rsid w:val="2B6E40C9"/>
    <w:rsid w:val="2B93610E"/>
    <w:rsid w:val="2B9F615B"/>
    <w:rsid w:val="2BB23B01"/>
    <w:rsid w:val="2BC206A6"/>
    <w:rsid w:val="2BC22732"/>
    <w:rsid w:val="2BC537D3"/>
    <w:rsid w:val="2BC80E7B"/>
    <w:rsid w:val="2BE212BA"/>
    <w:rsid w:val="2BE43FF8"/>
    <w:rsid w:val="2BF64BF9"/>
    <w:rsid w:val="2C006AC9"/>
    <w:rsid w:val="2C1C5425"/>
    <w:rsid w:val="2C295B44"/>
    <w:rsid w:val="2C485018"/>
    <w:rsid w:val="2C594A5D"/>
    <w:rsid w:val="2CA07757"/>
    <w:rsid w:val="2CAC46BC"/>
    <w:rsid w:val="2CC9536F"/>
    <w:rsid w:val="2CD32354"/>
    <w:rsid w:val="2CE90C19"/>
    <w:rsid w:val="2CF617E0"/>
    <w:rsid w:val="2D1F08A9"/>
    <w:rsid w:val="2D341634"/>
    <w:rsid w:val="2D354A38"/>
    <w:rsid w:val="2D560F91"/>
    <w:rsid w:val="2D5807DA"/>
    <w:rsid w:val="2D59741D"/>
    <w:rsid w:val="2D61222D"/>
    <w:rsid w:val="2D6A3083"/>
    <w:rsid w:val="2D767628"/>
    <w:rsid w:val="2DB0725B"/>
    <w:rsid w:val="2DBB723B"/>
    <w:rsid w:val="2DC37DF1"/>
    <w:rsid w:val="2DD560C3"/>
    <w:rsid w:val="2DDD4AFC"/>
    <w:rsid w:val="2DE43DE4"/>
    <w:rsid w:val="2DE72CC0"/>
    <w:rsid w:val="2E0D173F"/>
    <w:rsid w:val="2E825B76"/>
    <w:rsid w:val="2EB433C6"/>
    <w:rsid w:val="2ECB5D09"/>
    <w:rsid w:val="2EEC509E"/>
    <w:rsid w:val="2EF57EBC"/>
    <w:rsid w:val="2EFC5749"/>
    <w:rsid w:val="2F0036B2"/>
    <w:rsid w:val="2F0B25ED"/>
    <w:rsid w:val="2F306712"/>
    <w:rsid w:val="2F4A1FBC"/>
    <w:rsid w:val="2F8932A3"/>
    <w:rsid w:val="2F984ABB"/>
    <w:rsid w:val="2FA74539"/>
    <w:rsid w:val="2FB154F2"/>
    <w:rsid w:val="2FCD489F"/>
    <w:rsid w:val="2FD91952"/>
    <w:rsid w:val="2FE32412"/>
    <w:rsid w:val="2FFB1CEA"/>
    <w:rsid w:val="300266BB"/>
    <w:rsid w:val="30237284"/>
    <w:rsid w:val="30323073"/>
    <w:rsid w:val="30346EAA"/>
    <w:rsid w:val="30561692"/>
    <w:rsid w:val="305E4689"/>
    <w:rsid w:val="306E03FB"/>
    <w:rsid w:val="307D7DB5"/>
    <w:rsid w:val="308A1A0F"/>
    <w:rsid w:val="309218B2"/>
    <w:rsid w:val="30981D92"/>
    <w:rsid w:val="309B6B2B"/>
    <w:rsid w:val="30AA13BF"/>
    <w:rsid w:val="30C20FF2"/>
    <w:rsid w:val="30CA54D9"/>
    <w:rsid w:val="30EF353D"/>
    <w:rsid w:val="30F10891"/>
    <w:rsid w:val="30F13338"/>
    <w:rsid w:val="310C4A4C"/>
    <w:rsid w:val="311444A1"/>
    <w:rsid w:val="31195802"/>
    <w:rsid w:val="314F19DE"/>
    <w:rsid w:val="315757AE"/>
    <w:rsid w:val="31742E4E"/>
    <w:rsid w:val="31864EB8"/>
    <w:rsid w:val="31892206"/>
    <w:rsid w:val="31926D16"/>
    <w:rsid w:val="31974ED2"/>
    <w:rsid w:val="31A1306B"/>
    <w:rsid w:val="31AA13C8"/>
    <w:rsid w:val="31B242B9"/>
    <w:rsid w:val="31DF6482"/>
    <w:rsid w:val="32000348"/>
    <w:rsid w:val="320423B2"/>
    <w:rsid w:val="32396CA7"/>
    <w:rsid w:val="32406CFD"/>
    <w:rsid w:val="324E226E"/>
    <w:rsid w:val="326B1A60"/>
    <w:rsid w:val="327B0EE3"/>
    <w:rsid w:val="32842723"/>
    <w:rsid w:val="32B15F25"/>
    <w:rsid w:val="32B82304"/>
    <w:rsid w:val="32B871AC"/>
    <w:rsid w:val="32C57B5B"/>
    <w:rsid w:val="32CB3041"/>
    <w:rsid w:val="32D4454C"/>
    <w:rsid w:val="32F341BB"/>
    <w:rsid w:val="32FE6DB5"/>
    <w:rsid w:val="32FF588D"/>
    <w:rsid w:val="330A5D26"/>
    <w:rsid w:val="3341058C"/>
    <w:rsid w:val="33434A04"/>
    <w:rsid w:val="335C0F0C"/>
    <w:rsid w:val="338F5AA2"/>
    <w:rsid w:val="33CA38C0"/>
    <w:rsid w:val="33DC601A"/>
    <w:rsid w:val="33F62CD1"/>
    <w:rsid w:val="33FE76D9"/>
    <w:rsid w:val="3404140F"/>
    <w:rsid w:val="342B427E"/>
    <w:rsid w:val="344A3B15"/>
    <w:rsid w:val="344A5CAF"/>
    <w:rsid w:val="344D559D"/>
    <w:rsid w:val="34627E84"/>
    <w:rsid w:val="346678FC"/>
    <w:rsid w:val="34700CE5"/>
    <w:rsid w:val="34724319"/>
    <w:rsid w:val="34761B3D"/>
    <w:rsid w:val="34B70E92"/>
    <w:rsid w:val="34BC38A3"/>
    <w:rsid w:val="34BC47EE"/>
    <w:rsid w:val="34D33456"/>
    <w:rsid w:val="34ED2EF3"/>
    <w:rsid w:val="34FB6280"/>
    <w:rsid w:val="35096656"/>
    <w:rsid w:val="351274ED"/>
    <w:rsid w:val="35413CA8"/>
    <w:rsid w:val="35523A36"/>
    <w:rsid w:val="35552533"/>
    <w:rsid w:val="355C608F"/>
    <w:rsid w:val="35884C5D"/>
    <w:rsid w:val="358B16A6"/>
    <w:rsid w:val="359114B6"/>
    <w:rsid w:val="35DA1085"/>
    <w:rsid w:val="35F8503E"/>
    <w:rsid w:val="36065048"/>
    <w:rsid w:val="360E3D96"/>
    <w:rsid w:val="360F3340"/>
    <w:rsid w:val="36100B60"/>
    <w:rsid w:val="363A6CD2"/>
    <w:rsid w:val="36504388"/>
    <w:rsid w:val="366F798B"/>
    <w:rsid w:val="36845E45"/>
    <w:rsid w:val="36860188"/>
    <w:rsid w:val="3687528F"/>
    <w:rsid w:val="369E1856"/>
    <w:rsid w:val="369F5F8F"/>
    <w:rsid w:val="36AB53A8"/>
    <w:rsid w:val="36BF7024"/>
    <w:rsid w:val="36CB2A00"/>
    <w:rsid w:val="36D71B6D"/>
    <w:rsid w:val="36D72354"/>
    <w:rsid w:val="36D954F0"/>
    <w:rsid w:val="370666E5"/>
    <w:rsid w:val="370C60A4"/>
    <w:rsid w:val="370F5BFD"/>
    <w:rsid w:val="371B6273"/>
    <w:rsid w:val="37323C4D"/>
    <w:rsid w:val="374375AF"/>
    <w:rsid w:val="374E58D6"/>
    <w:rsid w:val="376B6B46"/>
    <w:rsid w:val="377B22EA"/>
    <w:rsid w:val="37801AA2"/>
    <w:rsid w:val="3782361C"/>
    <w:rsid w:val="3797682D"/>
    <w:rsid w:val="37A14BD7"/>
    <w:rsid w:val="37B70D55"/>
    <w:rsid w:val="37B91CA7"/>
    <w:rsid w:val="37C7765B"/>
    <w:rsid w:val="37E234BF"/>
    <w:rsid w:val="380C7B3D"/>
    <w:rsid w:val="381730CC"/>
    <w:rsid w:val="383A131B"/>
    <w:rsid w:val="3849652C"/>
    <w:rsid w:val="384C04DE"/>
    <w:rsid w:val="385C1B20"/>
    <w:rsid w:val="385F1A9D"/>
    <w:rsid w:val="38645417"/>
    <w:rsid w:val="386B0171"/>
    <w:rsid w:val="387979F1"/>
    <w:rsid w:val="387C2795"/>
    <w:rsid w:val="38881EBB"/>
    <w:rsid w:val="38942AAD"/>
    <w:rsid w:val="389712F2"/>
    <w:rsid w:val="38A57403"/>
    <w:rsid w:val="38BC5D6B"/>
    <w:rsid w:val="38C63D66"/>
    <w:rsid w:val="38CA4FC5"/>
    <w:rsid w:val="38D26913"/>
    <w:rsid w:val="38D93327"/>
    <w:rsid w:val="38E21DE2"/>
    <w:rsid w:val="39191059"/>
    <w:rsid w:val="39215CC3"/>
    <w:rsid w:val="3935437F"/>
    <w:rsid w:val="393973DB"/>
    <w:rsid w:val="395550D1"/>
    <w:rsid w:val="39656909"/>
    <w:rsid w:val="398630C2"/>
    <w:rsid w:val="399805D2"/>
    <w:rsid w:val="39A03524"/>
    <w:rsid w:val="39B32851"/>
    <w:rsid w:val="39B611DA"/>
    <w:rsid w:val="39BB476A"/>
    <w:rsid w:val="39C70DF7"/>
    <w:rsid w:val="39CD7D12"/>
    <w:rsid w:val="39E21628"/>
    <w:rsid w:val="39E901AB"/>
    <w:rsid w:val="39E91C6F"/>
    <w:rsid w:val="39FD40D4"/>
    <w:rsid w:val="3A0462CC"/>
    <w:rsid w:val="3A1B3636"/>
    <w:rsid w:val="3A2959B1"/>
    <w:rsid w:val="3A466C85"/>
    <w:rsid w:val="3A8D3267"/>
    <w:rsid w:val="3A8E4793"/>
    <w:rsid w:val="3A920B69"/>
    <w:rsid w:val="3AB2321F"/>
    <w:rsid w:val="3AB32333"/>
    <w:rsid w:val="3ABB31FD"/>
    <w:rsid w:val="3ACC6A5F"/>
    <w:rsid w:val="3AD07C99"/>
    <w:rsid w:val="3AD30754"/>
    <w:rsid w:val="3AE267C9"/>
    <w:rsid w:val="3AE42D07"/>
    <w:rsid w:val="3AF67989"/>
    <w:rsid w:val="3B0F5D78"/>
    <w:rsid w:val="3B291F18"/>
    <w:rsid w:val="3B35149A"/>
    <w:rsid w:val="3B4F12B2"/>
    <w:rsid w:val="3B730A2C"/>
    <w:rsid w:val="3B8D15A9"/>
    <w:rsid w:val="3BBD3970"/>
    <w:rsid w:val="3BD13837"/>
    <w:rsid w:val="3BD43349"/>
    <w:rsid w:val="3C0A04BB"/>
    <w:rsid w:val="3C1134A9"/>
    <w:rsid w:val="3C1278E0"/>
    <w:rsid w:val="3C2B2044"/>
    <w:rsid w:val="3C555015"/>
    <w:rsid w:val="3C583D72"/>
    <w:rsid w:val="3C6524E5"/>
    <w:rsid w:val="3C691DB4"/>
    <w:rsid w:val="3C7057AE"/>
    <w:rsid w:val="3C71272F"/>
    <w:rsid w:val="3CA8627B"/>
    <w:rsid w:val="3CA97F92"/>
    <w:rsid w:val="3CB07A2D"/>
    <w:rsid w:val="3CF177EF"/>
    <w:rsid w:val="3CF87315"/>
    <w:rsid w:val="3D1E45E5"/>
    <w:rsid w:val="3D3712B0"/>
    <w:rsid w:val="3D4B442E"/>
    <w:rsid w:val="3D7263EA"/>
    <w:rsid w:val="3D7B54EF"/>
    <w:rsid w:val="3D7D48B2"/>
    <w:rsid w:val="3D86267D"/>
    <w:rsid w:val="3D8B6E52"/>
    <w:rsid w:val="3DA70962"/>
    <w:rsid w:val="3DAF4BE0"/>
    <w:rsid w:val="3DB724DE"/>
    <w:rsid w:val="3DC70F93"/>
    <w:rsid w:val="3DE628EA"/>
    <w:rsid w:val="3DF41F1A"/>
    <w:rsid w:val="3E183724"/>
    <w:rsid w:val="3E22369C"/>
    <w:rsid w:val="3E2258E7"/>
    <w:rsid w:val="3E2D7D23"/>
    <w:rsid w:val="3E2E431B"/>
    <w:rsid w:val="3E3660A4"/>
    <w:rsid w:val="3E4D5D4B"/>
    <w:rsid w:val="3E572AA3"/>
    <w:rsid w:val="3E5F3821"/>
    <w:rsid w:val="3E662C4E"/>
    <w:rsid w:val="3E6836C3"/>
    <w:rsid w:val="3E74486F"/>
    <w:rsid w:val="3E9D7D6C"/>
    <w:rsid w:val="3EA271E9"/>
    <w:rsid w:val="3EBE544B"/>
    <w:rsid w:val="3EC7628C"/>
    <w:rsid w:val="3EC774ED"/>
    <w:rsid w:val="3ECE646B"/>
    <w:rsid w:val="3ED309C1"/>
    <w:rsid w:val="3ED545DB"/>
    <w:rsid w:val="3ED613E3"/>
    <w:rsid w:val="3EDC2981"/>
    <w:rsid w:val="3EE4471D"/>
    <w:rsid w:val="3EF75F01"/>
    <w:rsid w:val="3F0C2C0C"/>
    <w:rsid w:val="3F23004F"/>
    <w:rsid w:val="3F3C71CB"/>
    <w:rsid w:val="3F4F184E"/>
    <w:rsid w:val="3F597C70"/>
    <w:rsid w:val="3F5A50A4"/>
    <w:rsid w:val="3F86322C"/>
    <w:rsid w:val="3F8F2F70"/>
    <w:rsid w:val="3FA10922"/>
    <w:rsid w:val="3FA115F0"/>
    <w:rsid w:val="3FA46EF8"/>
    <w:rsid w:val="3FBF69C8"/>
    <w:rsid w:val="3FD4031B"/>
    <w:rsid w:val="3FDA0AC6"/>
    <w:rsid w:val="3FE47F77"/>
    <w:rsid w:val="3FFE53E9"/>
    <w:rsid w:val="40164160"/>
    <w:rsid w:val="40170374"/>
    <w:rsid w:val="4019218E"/>
    <w:rsid w:val="40270EDB"/>
    <w:rsid w:val="403F5839"/>
    <w:rsid w:val="40596BBF"/>
    <w:rsid w:val="406A433E"/>
    <w:rsid w:val="40841FFE"/>
    <w:rsid w:val="40BD6A2F"/>
    <w:rsid w:val="40E517EC"/>
    <w:rsid w:val="40E724CE"/>
    <w:rsid w:val="41181D29"/>
    <w:rsid w:val="412E6723"/>
    <w:rsid w:val="41303C39"/>
    <w:rsid w:val="413D1880"/>
    <w:rsid w:val="414B2E3E"/>
    <w:rsid w:val="414F74CB"/>
    <w:rsid w:val="4152668D"/>
    <w:rsid w:val="415B6654"/>
    <w:rsid w:val="417371BA"/>
    <w:rsid w:val="417C2EE6"/>
    <w:rsid w:val="418515F9"/>
    <w:rsid w:val="41A0365E"/>
    <w:rsid w:val="41A5316F"/>
    <w:rsid w:val="41C92B51"/>
    <w:rsid w:val="41D301C3"/>
    <w:rsid w:val="41D623AF"/>
    <w:rsid w:val="41E618AB"/>
    <w:rsid w:val="41EB47F2"/>
    <w:rsid w:val="41EC095F"/>
    <w:rsid w:val="41FB53EF"/>
    <w:rsid w:val="421F1BB6"/>
    <w:rsid w:val="422F49B3"/>
    <w:rsid w:val="425372A2"/>
    <w:rsid w:val="426A0418"/>
    <w:rsid w:val="426A1898"/>
    <w:rsid w:val="426C23E2"/>
    <w:rsid w:val="427330DF"/>
    <w:rsid w:val="427D7873"/>
    <w:rsid w:val="42802614"/>
    <w:rsid w:val="428B7594"/>
    <w:rsid w:val="42A853C7"/>
    <w:rsid w:val="42B01704"/>
    <w:rsid w:val="42CC4106"/>
    <w:rsid w:val="42E068CB"/>
    <w:rsid w:val="430274F1"/>
    <w:rsid w:val="432146BD"/>
    <w:rsid w:val="43287BCC"/>
    <w:rsid w:val="43330CA7"/>
    <w:rsid w:val="433858A5"/>
    <w:rsid w:val="433E126A"/>
    <w:rsid w:val="433F10B4"/>
    <w:rsid w:val="43606EA0"/>
    <w:rsid w:val="43920E07"/>
    <w:rsid w:val="43951B04"/>
    <w:rsid w:val="43A7649F"/>
    <w:rsid w:val="43B41E3E"/>
    <w:rsid w:val="43BC110E"/>
    <w:rsid w:val="43D32426"/>
    <w:rsid w:val="43EE6D65"/>
    <w:rsid w:val="43FC7E87"/>
    <w:rsid w:val="4413050A"/>
    <w:rsid w:val="44210A17"/>
    <w:rsid w:val="44256396"/>
    <w:rsid w:val="44271441"/>
    <w:rsid w:val="4465559E"/>
    <w:rsid w:val="44712172"/>
    <w:rsid w:val="447734D9"/>
    <w:rsid w:val="447C1550"/>
    <w:rsid w:val="44833414"/>
    <w:rsid w:val="4491600F"/>
    <w:rsid w:val="44984355"/>
    <w:rsid w:val="44A8226D"/>
    <w:rsid w:val="44C80955"/>
    <w:rsid w:val="44CC2C4F"/>
    <w:rsid w:val="44E27A7E"/>
    <w:rsid w:val="44F24AC8"/>
    <w:rsid w:val="44F71504"/>
    <w:rsid w:val="44FB7340"/>
    <w:rsid w:val="45127D1A"/>
    <w:rsid w:val="451A55B3"/>
    <w:rsid w:val="451E0828"/>
    <w:rsid w:val="451E2AD9"/>
    <w:rsid w:val="4524498B"/>
    <w:rsid w:val="45461523"/>
    <w:rsid w:val="454817C9"/>
    <w:rsid w:val="454F0C0F"/>
    <w:rsid w:val="456909A8"/>
    <w:rsid w:val="456D3D22"/>
    <w:rsid w:val="457A14A2"/>
    <w:rsid w:val="457E1251"/>
    <w:rsid w:val="458804C8"/>
    <w:rsid w:val="45995BB4"/>
    <w:rsid w:val="45B93063"/>
    <w:rsid w:val="45C23361"/>
    <w:rsid w:val="45CA18A8"/>
    <w:rsid w:val="45CC3056"/>
    <w:rsid w:val="45FB5A7C"/>
    <w:rsid w:val="45FD3E50"/>
    <w:rsid w:val="4601483F"/>
    <w:rsid w:val="46163E05"/>
    <w:rsid w:val="462569BC"/>
    <w:rsid w:val="464E3334"/>
    <w:rsid w:val="4650702B"/>
    <w:rsid w:val="466D6B73"/>
    <w:rsid w:val="46760020"/>
    <w:rsid w:val="468F7B5E"/>
    <w:rsid w:val="469D3DE5"/>
    <w:rsid w:val="46A34E08"/>
    <w:rsid w:val="46A7659A"/>
    <w:rsid w:val="46C24284"/>
    <w:rsid w:val="46C853F2"/>
    <w:rsid w:val="46CE53B7"/>
    <w:rsid w:val="46F722E3"/>
    <w:rsid w:val="472B3FFD"/>
    <w:rsid w:val="472E7B5B"/>
    <w:rsid w:val="4734684B"/>
    <w:rsid w:val="47353DAC"/>
    <w:rsid w:val="4740541B"/>
    <w:rsid w:val="47427099"/>
    <w:rsid w:val="47542182"/>
    <w:rsid w:val="476A5FE9"/>
    <w:rsid w:val="477251CE"/>
    <w:rsid w:val="4780564D"/>
    <w:rsid w:val="478610F4"/>
    <w:rsid w:val="47A05C69"/>
    <w:rsid w:val="47A92D09"/>
    <w:rsid w:val="47CC1367"/>
    <w:rsid w:val="47D54BA7"/>
    <w:rsid w:val="47F962F6"/>
    <w:rsid w:val="48017210"/>
    <w:rsid w:val="48087FE3"/>
    <w:rsid w:val="481A3E81"/>
    <w:rsid w:val="482C5D39"/>
    <w:rsid w:val="4859404B"/>
    <w:rsid w:val="485B1902"/>
    <w:rsid w:val="48626892"/>
    <w:rsid w:val="489B7B1D"/>
    <w:rsid w:val="48AF419F"/>
    <w:rsid w:val="48D75B88"/>
    <w:rsid w:val="48DB7360"/>
    <w:rsid w:val="48E33E5F"/>
    <w:rsid w:val="48FF5525"/>
    <w:rsid w:val="49001E86"/>
    <w:rsid w:val="490647BE"/>
    <w:rsid w:val="493618EF"/>
    <w:rsid w:val="494C4436"/>
    <w:rsid w:val="495F5D36"/>
    <w:rsid w:val="49734683"/>
    <w:rsid w:val="497E5010"/>
    <w:rsid w:val="499250A4"/>
    <w:rsid w:val="499D2E08"/>
    <w:rsid w:val="49DF3A58"/>
    <w:rsid w:val="49EC0086"/>
    <w:rsid w:val="49F64E88"/>
    <w:rsid w:val="4A234FEC"/>
    <w:rsid w:val="4A2D2C3E"/>
    <w:rsid w:val="4A2F090E"/>
    <w:rsid w:val="4A320278"/>
    <w:rsid w:val="4A467DEA"/>
    <w:rsid w:val="4A480B48"/>
    <w:rsid w:val="4A8307F4"/>
    <w:rsid w:val="4A8A57B2"/>
    <w:rsid w:val="4AA31EB3"/>
    <w:rsid w:val="4AB30EDE"/>
    <w:rsid w:val="4ABA38FB"/>
    <w:rsid w:val="4AFA1E51"/>
    <w:rsid w:val="4B242129"/>
    <w:rsid w:val="4B341F77"/>
    <w:rsid w:val="4B4A7CA4"/>
    <w:rsid w:val="4B543C59"/>
    <w:rsid w:val="4B6828A2"/>
    <w:rsid w:val="4B730590"/>
    <w:rsid w:val="4B7D207A"/>
    <w:rsid w:val="4B875EB6"/>
    <w:rsid w:val="4BA731AA"/>
    <w:rsid w:val="4BAD1EF1"/>
    <w:rsid w:val="4BAF7C51"/>
    <w:rsid w:val="4BB2318A"/>
    <w:rsid w:val="4BB961D0"/>
    <w:rsid w:val="4BBA6469"/>
    <w:rsid w:val="4BD73847"/>
    <w:rsid w:val="4BE136FC"/>
    <w:rsid w:val="4C000FEE"/>
    <w:rsid w:val="4C0E3A68"/>
    <w:rsid w:val="4C160901"/>
    <w:rsid w:val="4C26189E"/>
    <w:rsid w:val="4C2A27C2"/>
    <w:rsid w:val="4C3F1AD6"/>
    <w:rsid w:val="4C621735"/>
    <w:rsid w:val="4C6514B0"/>
    <w:rsid w:val="4C670BA8"/>
    <w:rsid w:val="4C6C0D90"/>
    <w:rsid w:val="4C6F4DDF"/>
    <w:rsid w:val="4C7D1FFD"/>
    <w:rsid w:val="4C7E7777"/>
    <w:rsid w:val="4CB7716D"/>
    <w:rsid w:val="4CE21E5B"/>
    <w:rsid w:val="4CED4287"/>
    <w:rsid w:val="4CF5763E"/>
    <w:rsid w:val="4D035F30"/>
    <w:rsid w:val="4D361E73"/>
    <w:rsid w:val="4D3F7CBF"/>
    <w:rsid w:val="4D48482F"/>
    <w:rsid w:val="4D62389D"/>
    <w:rsid w:val="4D8B6E28"/>
    <w:rsid w:val="4DA8223C"/>
    <w:rsid w:val="4DBB5850"/>
    <w:rsid w:val="4DC46301"/>
    <w:rsid w:val="4DF60896"/>
    <w:rsid w:val="4DFD5ECA"/>
    <w:rsid w:val="4DFE3CC8"/>
    <w:rsid w:val="4E025DB2"/>
    <w:rsid w:val="4E1630B6"/>
    <w:rsid w:val="4E25354C"/>
    <w:rsid w:val="4E4B405F"/>
    <w:rsid w:val="4E4E418E"/>
    <w:rsid w:val="4E655042"/>
    <w:rsid w:val="4E8D19A7"/>
    <w:rsid w:val="4EA345E7"/>
    <w:rsid w:val="4EB03F47"/>
    <w:rsid w:val="4EB25C55"/>
    <w:rsid w:val="4EB66AEE"/>
    <w:rsid w:val="4EB9175E"/>
    <w:rsid w:val="4ED22709"/>
    <w:rsid w:val="4EDE7DE7"/>
    <w:rsid w:val="4EF6108D"/>
    <w:rsid w:val="4EF727D8"/>
    <w:rsid w:val="4EF8347E"/>
    <w:rsid w:val="4EFA23C6"/>
    <w:rsid w:val="4F0A7123"/>
    <w:rsid w:val="4F0F7608"/>
    <w:rsid w:val="4F1C1A77"/>
    <w:rsid w:val="4F2A3762"/>
    <w:rsid w:val="4F2E0DB1"/>
    <w:rsid w:val="4F3517A8"/>
    <w:rsid w:val="4F422CA5"/>
    <w:rsid w:val="4F43009A"/>
    <w:rsid w:val="4F553F62"/>
    <w:rsid w:val="4F7119FF"/>
    <w:rsid w:val="4F756C5E"/>
    <w:rsid w:val="4F7A5394"/>
    <w:rsid w:val="4F992590"/>
    <w:rsid w:val="4FD412A3"/>
    <w:rsid w:val="4FD41C1D"/>
    <w:rsid w:val="4FD54DAA"/>
    <w:rsid w:val="4FD64014"/>
    <w:rsid w:val="4FE17A31"/>
    <w:rsid w:val="4FE311D6"/>
    <w:rsid w:val="4FED2322"/>
    <w:rsid w:val="4FFD53C6"/>
    <w:rsid w:val="500B0D4B"/>
    <w:rsid w:val="501A4614"/>
    <w:rsid w:val="501F4A64"/>
    <w:rsid w:val="5030543D"/>
    <w:rsid w:val="503D1B16"/>
    <w:rsid w:val="5074268E"/>
    <w:rsid w:val="508E47DC"/>
    <w:rsid w:val="50A940E7"/>
    <w:rsid w:val="50AE3F83"/>
    <w:rsid w:val="50AE699A"/>
    <w:rsid w:val="50AF63AC"/>
    <w:rsid w:val="50B14097"/>
    <w:rsid w:val="50B32A80"/>
    <w:rsid w:val="50CF7A4B"/>
    <w:rsid w:val="50DE4A3D"/>
    <w:rsid w:val="51022777"/>
    <w:rsid w:val="510C092F"/>
    <w:rsid w:val="51162402"/>
    <w:rsid w:val="511D028B"/>
    <w:rsid w:val="512B1EE0"/>
    <w:rsid w:val="5137564E"/>
    <w:rsid w:val="5146011D"/>
    <w:rsid w:val="51545EBF"/>
    <w:rsid w:val="51585972"/>
    <w:rsid w:val="515C0CB9"/>
    <w:rsid w:val="516473A7"/>
    <w:rsid w:val="5165226A"/>
    <w:rsid w:val="516C1A4D"/>
    <w:rsid w:val="517721D1"/>
    <w:rsid w:val="51781492"/>
    <w:rsid w:val="517A5728"/>
    <w:rsid w:val="517E61CE"/>
    <w:rsid w:val="51A846EE"/>
    <w:rsid w:val="51C07C63"/>
    <w:rsid w:val="51C606E4"/>
    <w:rsid w:val="51C72B2F"/>
    <w:rsid w:val="51D22D16"/>
    <w:rsid w:val="51F10280"/>
    <w:rsid w:val="520923F4"/>
    <w:rsid w:val="5211020B"/>
    <w:rsid w:val="521117AA"/>
    <w:rsid w:val="52187918"/>
    <w:rsid w:val="5241154F"/>
    <w:rsid w:val="524467AD"/>
    <w:rsid w:val="52550EE8"/>
    <w:rsid w:val="52592B52"/>
    <w:rsid w:val="527543BE"/>
    <w:rsid w:val="527B1047"/>
    <w:rsid w:val="52885691"/>
    <w:rsid w:val="529E7DC9"/>
    <w:rsid w:val="52A1157D"/>
    <w:rsid w:val="52A13940"/>
    <w:rsid w:val="52B7492F"/>
    <w:rsid w:val="52C276E1"/>
    <w:rsid w:val="52F30525"/>
    <w:rsid w:val="530418F1"/>
    <w:rsid w:val="53143DBE"/>
    <w:rsid w:val="532452B2"/>
    <w:rsid w:val="533D3764"/>
    <w:rsid w:val="53560A73"/>
    <w:rsid w:val="535B4CF0"/>
    <w:rsid w:val="537323E7"/>
    <w:rsid w:val="538C7D2A"/>
    <w:rsid w:val="539A7F34"/>
    <w:rsid w:val="53A53D5A"/>
    <w:rsid w:val="53E37C63"/>
    <w:rsid w:val="53E4696D"/>
    <w:rsid w:val="53E8598B"/>
    <w:rsid w:val="53EB7EF9"/>
    <w:rsid w:val="53F11E92"/>
    <w:rsid w:val="53F34C98"/>
    <w:rsid w:val="53F90D5A"/>
    <w:rsid w:val="5400093A"/>
    <w:rsid w:val="540D2227"/>
    <w:rsid w:val="543E150A"/>
    <w:rsid w:val="545B6041"/>
    <w:rsid w:val="54640DD5"/>
    <w:rsid w:val="546829F9"/>
    <w:rsid w:val="5473410F"/>
    <w:rsid w:val="54811A0B"/>
    <w:rsid w:val="549D2F6A"/>
    <w:rsid w:val="54DC31F3"/>
    <w:rsid w:val="54DE453A"/>
    <w:rsid w:val="54FD05CF"/>
    <w:rsid w:val="550E2018"/>
    <w:rsid w:val="551C0949"/>
    <w:rsid w:val="55245AF4"/>
    <w:rsid w:val="55332140"/>
    <w:rsid w:val="553515CF"/>
    <w:rsid w:val="5535226D"/>
    <w:rsid w:val="55411377"/>
    <w:rsid w:val="55684380"/>
    <w:rsid w:val="5569348D"/>
    <w:rsid w:val="556F0C82"/>
    <w:rsid w:val="55992746"/>
    <w:rsid w:val="55A8783C"/>
    <w:rsid w:val="55B70080"/>
    <w:rsid w:val="55C019F9"/>
    <w:rsid w:val="55C22D99"/>
    <w:rsid w:val="55C34875"/>
    <w:rsid w:val="55DA0671"/>
    <w:rsid w:val="55DE462D"/>
    <w:rsid w:val="56600C3C"/>
    <w:rsid w:val="566C6AAD"/>
    <w:rsid w:val="567D2EE4"/>
    <w:rsid w:val="569549B7"/>
    <w:rsid w:val="569B59A6"/>
    <w:rsid w:val="569E768C"/>
    <w:rsid w:val="56D026DA"/>
    <w:rsid w:val="56F00AC2"/>
    <w:rsid w:val="56FF02B9"/>
    <w:rsid w:val="57030085"/>
    <w:rsid w:val="570407FA"/>
    <w:rsid w:val="5707087A"/>
    <w:rsid w:val="57132F95"/>
    <w:rsid w:val="572D56F6"/>
    <w:rsid w:val="57300244"/>
    <w:rsid w:val="57416FDD"/>
    <w:rsid w:val="574B6AFB"/>
    <w:rsid w:val="5757511D"/>
    <w:rsid w:val="57633E93"/>
    <w:rsid w:val="5764383E"/>
    <w:rsid w:val="576D6289"/>
    <w:rsid w:val="57797419"/>
    <w:rsid w:val="57817915"/>
    <w:rsid w:val="57BA76D9"/>
    <w:rsid w:val="57CA2EE6"/>
    <w:rsid w:val="57D069E1"/>
    <w:rsid w:val="57DE551D"/>
    <w:rsid w:val="580A08CC"/>
    <w:rsid w:val="580C23E4"/>
    <w:rsid w:val="58191B0C"/>
    <w:rsid w:val="58203BE3"/>
    <w:rsid w:val="5827740E"/>
    <w:rsid w:val="58315B21"/>
    <w:rsid w:val="58424C7E"/>
    <w:rsid w:val="58430210"/>
    <w:rsid w:val="585320E4"/>
    <w:rsid w:val="5863214C"/>
    <w:rsid w:val="58717162"/>
    <w:rsid w:val="587B41B2"/>
    <w:rsid w:val="587E2FB0"/>
    <w:rsid w:val="587F4E33"/>
    <w:rsid w:val="587F6BA5"/>
    <w:rsid w:val="58915138"/>
    <w:rsid w:val="589A70FA"/>
    <w:rsid w:val="58A228DA"/>
    <w:rsid w:val="58B8618D"/>
    <w:rsid w:val="58F663EC"/>
    <w:rsid w:val="593740EF"/>
    <w:rsid w:val="5939592A"/>
    <w:rsid w:val="59520D8E"/>
    <w:rsid w:val="59536DE1"/>
    <w:rsid w:val="595C4CF9"/>
    <w:rsid w:val="59703EC5"/>
    <w:rsid w:val="5972415D"/>
    <w:rsid w:val="597F2884"/>
    <w:rsid w:val="598B393C"/>
    <w:rsid w:val="59CE222A"/>
    <w:rsid w:val="59CE6281"/>
    <w:rsid w:val="59D022CD"/>
    <w:rsid w:val="59DF31C4"/>
    <w:rsid w:val="59EE59EE"/>
    <w:rsid w:val="5A2B0D3B"/>
    <w:rsid w:val="5A341255"/>
    <w:rsid w:val="5A3571BF"/>
    <w:rsid w:val="5A400973"/>
    <w:rsid w:val="5A44572C"/>
    <w:rsid w:val="5A455381"/>
    <w:rsid w:val="5A8A6ADB"/>
    <w:rsid w:val="5A936EBE"/>
    <w:rsid w:val="5AA549B2"/>
    <w:rsid w:val="5ADF3379"/>
    <w:rsid w:val="5AFA6CD0"/>
    <w:rsid w:val="5B0416C7"/>
    <w:rsid w:val="5B1A400E"/>
    <w:rsid w:val="5B316F94"/>
    <w:rsid w:val="5B45691B"/>
    <w:rsid w:val="5B46631F"/>
    <w:rsid w:val="5B5104F9"/>
    <w:rsid w:val="5B5442DE"/>
    <w:rsid w:val="5B562BF6"/>
    <w:rsid w:val="5B6950AB"/>
    <w:rsid w:val="5B6A7A00"/>
    <w:rsid w:val="5B6B014D"/>
    <w:rsid w:val="5B823CDC"/>
    <w:rsid w:val="5B8857E6"/>
    <w:rsid w:val="5B8F4879"/>
    <w:rsid w:val="5B936B9D"/>
    <w:rsid w:val="5BAC4E3A"/>
    <w:rsid w:val="5BC73276"/>
    <w:rsid w:val="5BC849D6"/>
    <w:rsid w:val="5BF32F12"/>
    <w:rsid w:val="5BF7148A"/>
    <w:rsid w:val="5C2D1687"/>
    <w:rsid w:val="5C362AF4"/>
    <w:rsid w:val="5C3E4720"/>
    <w:rsid w:val="5C4668A9"/>
    <w:rsid w:val="5C526BB4"/>
    <w:rsid w:val="5C620538"/>
    <w:rsid w:val="5C7A7CF8"/>
    <w:rsid w:val="5C802FB3"/>
    <w:rsid w:val="5C8243D0"/>
    <w:rsid w:val="5CB033FC"/>
    <w:rsid w:val="5CC34110"/>
    <w:rsid w:val="5D024954"/>
    <w:rsid w:val="5D033745"/>
    <w:rsid w:val="5D05489E"/>
    <w:rsid w:val="5D0A579A"/>
    <w:rsid w:val="5D28094E"/>
    <w:rsid w:val="5D4741D2"/>
    <w:rsid w:val="5D4A7B65"/>
    <w:rsid w:val="5D5515B5"/>
    <w:rsid w:val="5D577585"/>
    <w:rsid w:val="5D6871F6"/>
    <w:rsid w:val="5D7727EC"/>
    <w:rsid w:val="5D7C1CCD"/>
    <w:rsid w:val="5D7D0FC2"/>
    <w:rsid w:val="5D806973"/>
    <w:rsid w:val="5D8E4670"/>
    <w:rsid w:val="5DAD3F76"/>
    <w:rsid w:val="5DB22A59"/>
    <w:rsid w:val="5DB30A1E"/>
    <w:rsid w:val="5DD07349"/>
    <w:rsid w:val="5DD3167F"/>
    <w:rsid w:val="5DE47236"/>
    <w:rsid w:val="5DE95B3D"/>
    <w:rsid w:val="5DEF4402"/>
    <w:rsid w:val="5DFC469C"/>
    <w:rsid w:val="5E074110"/>
    <w:rsid w:val="5E1C0FFA"/>
    <w:rsid w:val="5E203806"/>
    <w:rsid w:val="5E401FD5"/>
    <w:rsid w:val="5E430067"/>
    <w:rsid w:val="5E58634F"/>
    <w:rsid w:val="5E7A4A4B"/>
    <w:rsid w:val="5E7B4EF1"/>
    <w:rsid w:val="5E890E26"/>
    <w:rsid w:val="5EC52109"/>
    <w:rsid w:val="5EDC6635"/>
    <w:rsid w:val="5EDF242A"/>
    <w:rsid w:val="5EEC4CC9"/>
    <w:rsid w:val="5F025C16"/>
    <w:rsid w:val="5F2C5614"/>
    <w:rsid w:val="5F334632"/>
    <w:rsid w:val="5F387DD8"/>
    <w:rsid w:val="5F3A2D7B"/>
    <w:rsid w:val="5F3D46C8"/>
    <w:rsid w:val="5F3F3A92"/>
    <w:rsid w:val="5F610F9A"/>
    <w:rsid w:val="5F723B9C"/>
    <w:rsid w:val="5F740D96"/>
    <w:rsid w:val="5FAB1E22"/>
    <w:rsid w:val="5FAE7B2D"/>
    <w:rsid w:val="5FEF51B4"/>
    <w:rsid w:val="5FFD47CB"/>
    <w:rsid w:val="600F713A"/>
    <w:rsid w:val="60295475"/>
    <w:rsid w:val="602976E5"/>
    <w:rsid w:val="602B5CAC"/>
    <w:rsid w:val="60352928"/>
    <w:rsid w:val="604069C8"/>
    <w:rsid w:val="60442474"/>
    <w:rsid w:val="605308B8"/>
    <w:rsid w:val="60536876"/>
    <w:rsid w:val="606C21F5"/>
    <w:rsid w:val="606E421F"/>
    <w:rsid w:val="607A502C"/>
    <w:rsid w:val="608B55D8"/>
    <w:rsid w:val="608D3579"/>
    <w:rsid w:val="609B3534"/>
    <w:rsid w:val="609C3B6D"/>
    <w:rsid w:val="60A50722"/>
    <w:rsid w:val="60CA7929"/>
    <w:rsid w:val="60D31A6F"/>
    <w:rsid w:val="60D325C8"/>
    <w:rsid w:val="6116450B"/>
    <w:rsid w:val="611651BB"/>
    <w:rsid w:val="61196AA8"/>
    <w:rsid w:val="613E1355"/>
    <w:rsid w:val="61902044"/>
    <w:rsid w:val="61A83C0D"/>
    <w:rsid w:val="61AD0E69"/>
    <w:rsid w:val="61AE2894"/>
    <w:rsid w:val="61B42655"/>
    <w:rsid w:val="61B64AE6"/>
    <w:rsid w:val="61B95A3D"/>
    <w:rsid w:val="61DD55E6"/>
    <w:rsid w:val="61E30170"/>
    <w:rsid w:val="61E5752D"/>
    <w:rsid w:val="61EB04E9"/>
    <w:rsid w:val="621D2EA2"/>
    <w:rsid w:val="622F4266"/>
    <w:rsid w:val="62462A72"/>
    <w:rsid w:val="624B3781"/>
    <w:rsid w:val="625F13E8"/>
    <w:rsid w:val="62602CF8"/>
    <w:rsid w:val="6275441F"/>
    <w:rsid w:val="62A565F5"/>
    <w:rsid w:val="62B93485"/>
    <w:rsid w:val="62E21A96"/>
    <w:rsid w:val="62F673DB"/>
    <w:rsid w:val="62F76DDA"/>
    <w:rsid w:val="6301006C"/>
    <w:rsid w:val="63030F14"/>
    <w:rsid w:val="635E40F3"/>
    <w:rsid w:val="636173F7"/>
    <w:rsid w:val="6384416F"/>
    <w:rsid w:val="638B7104"/>
    <w:rsid w:val="639076DF"/>
    <w:rsid w:val="63923F11"/>
    <w:rsid w:val="63D20FF4"/>
    <w:rsid w:val="63DD7C86"/>
    <w:rsid w:val="63F427DF"/>
    <w:rsid w:val="63FB1C28"/>
    <w:rsid w:val="640C3504"/>
    <w:rsid w:val="64121615"/>
    <w:rsid w:val="641341B5"/>
    <w:rsid w:val="642011FC"/>
    <w:rsid w:val="643125C3"/>
    <w:rsid w:val="64323CBE"/>
    <w:rsid w:val="645513CC"/>
    <w:rsid w:val="64553B73"/>
    <w:rsid w:val="645B5B40"/>
    <w:rsid w:val="645C0EE4"/>
    <w:rsid w:val="64797C89"/>
    <w:rsid w:val="648B66BA"/>
    <w:rsid w:val="64A036C7"/>
    <w:rsid w:val="64A04E14"/>
    <w:rsid w:val="64AE2DC0"/>
    <w:rsid w:val="64EC5F80"/>
    <w:rsid w:val="65037271"/>
    <w:rsid w:val="651E6389"/>
    <w:rsid w:val="65312AB4"/>
    <w:rsid w:val="653A1465"/>
    <w:rsid w:val="653F66A9"/>
    <w:rsid w:val="654235AD"/>
    <w:rsid w:val="654E6126"/>
    <w:rsid w:val="656B6764"/>
    <w:rsid w:val="6577447A"/>
    <w:rsid w:val="657A65E0"/>
    <w:rsid w:val="657C4F3A"/>
    <w:rsid w:val="65870560"/>
    <w:rsid w:val="65A12770"/>
    <w:rsid w:val="65B070B7"/>
    <w:rsid w:val="65BD72CE"/>
    <w:rsid w:val="65F14EE8"/>
    <w:rsid w:val="661462F7"/>
    <w:rsid w:val="66167837"/>
    <w:rsid w:val="663A65CE"/>
    <w:rsid w:val="66474639"/>
    <w:rsid w:val="666274B9"/>
    <w:rsid w:val="667128E4"/>
    <w:rsid w:val="66740D91"/>
    <w:rsid w:val="669C6912"/>
    <w:rsid w:val="66A85798"/>
    <w:rsid w:val="66E30E48"/>
    <w:rsid w:val="66EA4259"/>
    <w:rsid w:val="66F26EF2"/>
    <w:rsid w:val="67010AE3"/>
    <w:rsid w:val="67075894"/>
    <w:rsid w:val="672112E1"/>
    <w:rsid w:val="672659F3"/>
    <w:rsid w:val="67293668"/>
    <w:rsid w:val="67420EC9"/>
    <w:rsid w:val="67465655"/>
    <w:rsid w:val="67545C6E"/>
    <w:rsid w:val="676778F6"/>
    <w:rsid w:val="67685576"/>
    <w:rsid w:val="67686F27"/>
    <w:rsid w:val="67740C3E"/>
    <w:rsid w:val="6781543A"/>
    <w:rsid w:val="67983015"/>
    <w:rsid w:val="679A3440"/>
    <w:rsid w:val="679D7A01"/>
    <w:rsid w:val="67A75C44"/>
    <w:rsid w:val="67C119C7"/>
    <w:rsid w:val="67C373D8"/>
    <w:rsid w:val="67E70630"/>
    <w:rsid w:val="68002120"/>
    <w:rsid w:val="6804255B"/>
    <w:rsid w:val="680D1350"/>
    <w:rsid w:val="68347656"/>
    <w:rsid w:val="683977E8"/>
    <w:rsid w:val="683A2EED"/>
    <w:rsid w:val="6842615A"/>
    <w:rsid w:val="68450B02"/>
    <w:rsid w:val="684E3240"/>
    <w:rsid w:val="68555008"/>
    <w:rsid w:val="68556588"/>
    <w:rsid w:val="68A42834"/>
    <w:rsid w:val="68CE58E6"/>
    <w:rsid w:val="68CF2A69"/>
    <w:rsid w:val="68E814B4"/>
    <w:rsid w:val="68F91EAB"/>
    <w:rsid w:val="69142EFB"/>
    <w:rsid w:val="69154D60"/>
    <w:rsid w:val="692B56B7"/>
    <w:rsid w:val="692F6F57"/>
    <w:rsid w:val="694A6DBA"/>
    <w:rsid w:val="696F09AF"/>
    <w:rsid w:val="69752697"/>
    <w:rsid w:val="698E764A"/>
    <w:rsid w:val="69915568"/>
    <w:rsid w:val="69951D6A"/>
    <w:rsid w:val="69A770E9"/>
    <w:rsid w:val="69C64C75"/>
    <w:rsid w:val="69CD7FDE"/>
    <w:rsid w:val="69CF6EC4"/>
    <w:rsid w:val="69D05FDB"/>
    <w:rsid w:val="69DA551E"/>
    <w:rsid w:val="69DE5E8A"/>
    <w:rsid w:val="69E00D11"/>
    <w:rsid w:val="69E5416A"/>
    <w:rsid w:val="69F0389C"/>
    <w:rsid w:val="69F453FE"/>
    <w:rsid w:val="6A1849B7"/>
    <w:rsid w:val="6A3828E1"/>
    <w:rsid w:val="6A3E49CA"/>
    <w:rsid w:val="6A6468A5"/>
    <w:rsid w:val="6A727EED"/>
    <w:rsid w:val="6A783CBE"/>
    <w:rsid w:val="6A8255C7"/>
    <w:rsid w:val="6A8755D3"/>
    <w:rsid w:val="6AA54025"/>
    <w:rsid w:val="6AC9111D"/>
    <w:rsid w:val="6ADD40D7"/>
    <w:rsid w:val="6AE2354A"/>
    <w:rsid w:val="6AE91398"/>
    <w:rsid w:val="6AED7E18"/>
    <w:rsid w:val="6AF80E24"/>
    <w:rsid w:val="6AFA140D"/>
    <w:rsid w:val="6AFD5ED6"/>
    <w:rsid w:val="6B0914DC"/>
    <w:rsid w:val="6B0F3217"/>
    <w:rsid w:val="6B1529A0"/>
    <w:rsid w:val="6B22477C"/>
    <w:rsid w:val="6B2B6B35"/>
    <w:rsid w:val="6B320A31"/>
    <w:rsid w:val="6B3525D9"/>
    <w:rsid w:val="6B467AE6"/>
    <w:rsid w:val="6B491DA4"/>
    <w:rsid w:val="6B563D11"/>
    <w:rsid w:val="6B5D28FD"/>
    <w:rsid w:val="6B5E4D2E"/>
    <w:rsid w:val="6B6508C2"/>
    <w:rsid w:val="6B6B0456"/>
    <w:rsid w:val="6B837812"/>
    <w:rsid w:val="6B9F033A"/>
    <w:rsid w:val="6BBE7BEB"/>
    <w:rsid w:val="6BDC2B08"/>
    <w:rsid w:val="6BE116D3"/>
    <w:rsid w:val="6BFE01CD"/>
    <w:rsid w:val="6C084F5B"/>
    <w:rsid w:val="6C27645D"/>
    <w:rsid w:val="6C2A7865"/>
    <w:rsid w:val="6C2D715B"/>
    <w:rsid w:val="6C5207BE"/>
    <w:rsid w:val="6C562931"/>
    <w:rsid w:val="6C5D5B6B"/>
    <w:rsid w:val="6C625544"/>
    <w:rsid w:val="6C6A54FD"/>
    <w:rsid w:val="6C7D01C0"/>
    <w:rsid w:val="6C7D32EB"/>
    <w:rsid w:val="6C82426E"/>
    <w:rsid w:val="6C98158A"/>
    <w:rsid w:val="6CC21518"/>
    <w:rsid w:val="6CE06EE3"/>
    <w:rsid w:val="6D0E0C03"/>
    <w:rsid w:val="6D0E3D03"/>
    <w:rsid w:val="6D1E0EC9"/>
    <w:rsid w:val="6D1F6156"/>
    <w:rsid w:val="6D257859"/>
    <w:rsid w:val="6D301B26"/>
    <w:rsid w:val="6D3549DB"/>
    <w:rsid w:val="6D4123A1"/>
    <w:rsid w:val="6D555633"/>
    <w:rsid w:val="6D572015"/>
    <w:rsid w:val="6D5864F7"/>
    <w:rsid w:val="6D805F6C"/>
    <w:rsid w:val="6D9B002E"/>
    <w:rsid w:val="6DA301E3"/>
    <w:rsid w:val="6DB166DC"/>
    <w:rsid w:val="6DB70CB4"/>
    <w:rsid w:val="6DE242AA"/>
    <w:rsid w:val="6DFC6FEC"/>
    <w:rsid w:val="6E094352"/>
    <w:rsid w:val="6E0B0643"/>
    <w:rsid w:val="6E200223"/>
    <w:rsid w:val="6E3E2358"/>
    <w:rsid w:val="6E424BD5"/>
    <w:rsid w:val="6E6A27E1"/>
    <w:rsid w:val="6EC266E7"/>
    <w:rsid w:val="6ECB70B1"/>
    <w:rsid w:val="6F077F6F"/>
    <w:rsid w:val="6F1041B8"/>
    <w:rsid w:val="6F1C37FF"/>
    <w:rsid w:val="6F7209F9"/>
    <w:rsid w:val="6F815117"/>
    <w:rsid w:val="6F8C3D1F"/>
    <w:rsid w:val="6FB04A52"/>
    <w:rsid w:val="6FBA66BD"/>
    <w:rsid w:val="6FBC2C44"/>
    <w:rsid w:val="6FD67F20"/>
    <w:rsid w:val="6FD9564E"/>
    <w:rsid w:val="6FDB0700"/>
    <w:rsid w:val="6FF65032"/>
    <w:rsid w:val="70222F03"/>
    <w:rsid w:val="702A2DF0"/>
    <w:rsid w:val="70385CF1"/>
    <w:rsid w:val="704A1802"/>
    <w:rsid w:val="706F095A"/>
    <w:rsid w:val="70702B1B"/>
    <w:rsid w:val="708F3F4F"/>
    <w:rsid w:val="70AF29BB"/>
    <w:rsid w:val="70CD73A6"/>
    <w:rsid w:val="70D17379"/>
    <w:rsid w:val="70E34A11"/>
    <w:rsid w:val="70EC1752"/>
    <w:rsid w:val="70FA6A76"/>
    <w:rsid w:val="71016664"/>
    <w:rsid w:val="71144AD3"/>
    <w:rsid w:val="71165FE2"/>
    <w:rsid w:val="71173E45"/>
    <w:rsid w:val="71250A55"/>
    <w:rsid w:val="7131211A"/>
    <w:rsid w:val="7137018B"/>
    <w:rsid w:val="7137369D"/>
    <w:rsid w:val="713C67EF"/>
    <w:rsid w:val="719E503F"/>
    <w:rsid w:val="71AC3D91"/>
    <w:rsid w:val="71BB1304"/>
    <w:rsid w:val="71BF09ED"/>
    <w:rsid w:val="71C13A31"/>
    <w:rsid w:val="71D62B72"/>
    <w:rsid w:val="71ED03B4"/>
    <w:rsid w:val="71EE1491"/>
    <w:rsid w:val="71FF0740"/>
    <w:rsid w:val="71FF0BB1"/>
    <w:rsid w:val="7205522D"/>
    <w:rsid w:val="72247F14"/>
    <w:rsid w:val="723A4899"/>
    <w:rsid w:val="72506C47"/>
    <w:rsid w:val="72521192"/>
    <w:rsid w:val="725A2C12"/>
    <w:rsid w:val="72660F67"/>
    <w:rsid w:val="728733AE"/>
    <w:rsid w:val="728A466C"/>
    <w:rsid w:val="729A404B"/>
    <w:rsid w:val="72CB47D7"/>
    <w:rsid w:val="72D3059A"/>
    <w:rsid w:val="73013FCC"/>
    <w:rsid w:val="7305661E"/>
    <w:rsid w:val="730967FD"/>
    <w:rsid w:val="730B40D5"/>
    <w:rsid w:val="730C18EF"/>
    <w:rsid w:val="73147453"/>
    <w:rsid w:val="73547991"/>
    <w:rsid w:val="736938A6"/>
    <w:rsid w:val="736B7CB7"/>
    <w:rsid w:val="737A60D5"/>
    <w:rsid w:val="737A7FF3"/>
    <w:rsid w:val="73891BFD"/>
    <w:rsid w:val="73904D90"/>
    <w:rsid w:val="739169F9"/>
    <w:rsid w:val="73A93B13"/>
    <w:rsid w:val="73B76D83"/>
    <w:rsid w:val="73C347BF"/>
    <w:rsid w:val="73F328B4"/>
    <w:rsid w:val="740E561C"/>
    <w:rsid w:val="74324CC1"/>
    <w:rsid w:val="7433686E"/>
    <w:rsid w:val="74375F03"/>
    <w:rsid w:val="743A39BF"/>
    <w:rsid w:val="74523D2E"/>
    <w:rsid w:val="746B439E"/>
    <w:rsid w:val="746E5CAF"/>
    <w:rsid w:val="7471367E"/>
    <w:rsid w:val="7474255D"/>
    <w:rsid w:val="749E119A"/>
    <w:rsid w:val="749F7F31"/>
    <w:rsid w:val="74AE17EE"/>
    <w:rsid w:val="74BB3D0A"/>
    <w:rsid w:val="74C508AE"/>
    <w:rsid w:val="74D33EF6"/>
    <w:rsid w:val="7505631A"/>
    <w:rsid w:val="75317252"/>
    <w:rsid w:val="753D0120"/>
    <w:rsid w:val="7545306E"/>
    <w:rsid w:val="75645C23"/>
    <w:rsid w:val="756F79DE"/>
    <w:rsid w:val="75887F63"/>
    <w:rsid w:val="75925EFC"/>
    <w:rsid w:val="75992D53"/>
    <w:rsid w:val="75A2439F"/>
    <w:rsid w:val="75A91967"/>
    <w:rsid w:val="75C32B15"/>
    <w:rsid w:val="75C56AEC"/>
    <w:rsid w:val="75D94171"/>
    <w:rsid w:val="75E12807"/>
    <w:rsid w:val="75EE6F1B"/>
    <w:rsid w:val="75FB22F9"/>
    <w:rsid w:val="76023178"/>
    <w:rsid w:val="760836BA"/>
    <w:rsid w:val="760A68D4"/>
    <w:rsid w:val="761A6A1B"/>
    <w:rsid w:val="763165DE"/>
    <w:rsid w:val="76346F66"/>
    <w:rsid w:val="76390822"/>
    <w:rsid w:val="76404F46"/>
    <w:rsid w:val="76661857"/>
    <w:rsid w:val="76784C8D"/>
    <w:rsid w:val="767A50C2"/>
    <w:rsid w:val="7698243C"/>
    <w:rsid w:val="769D4442"/>
    <w:rsid w:val="76AF515A"/>
    <w:rsid w:val="76B80C7F"/>
    <w:rsid w:val="76C75DB3"/>
    <w:rsid w:val="76E85855"/>
    <w:rsid w:val="76EC12E2"/>
    <w:rsid w:val="76F658FD"/>
    <w:rsid w:val="76F6644C"/>
    <w:rsid w:val="772B3F12"/>
    <w:rsid w:val="772D0C87"/>
    <w:rsid w:val="772F7338"/>
    <w:rsid w:val="773D64AD"/>
    <w:rsid w:val="774A4881"/>
    <w:rsid w:val="77616EF2"/>
    <w:rsid w:val="77663478"/>
    <w:rsid w:val="777703EE"/>
    <w:rsid w:val="777E2C3B"/>
    <w:rsid w:val="777F21C3"/>
    <w:rsid w:val="7789020C"/>
    <w:rsid w:val="778C3F53"/>
    <w:rsid w:val="778F32FA"/>
    <w:rsid w:val="77972A00"/>
    <w:rsid w:val="7798025B"/>
    <w:rsid w:val="77CA5641"/>
    <w:rsid w:val="77D46871"/>
    <w:rsid w:val="77D51D10"/>
    <w:rsid w:val="77D86A80"/>
    <w:rsid w:val="77DD019D"/>
    <w:rsid w:val="77F16BB1"/>
    <w:rsid w:val="77F82B38"/>
    <w:rsid w:val="780C3DBA"/>
    <w:rsid w:val="780D4DDE"/>
    <w:rsid w:val="78203AD8"/>
    <w:rsid w:val="78307537"/>
    <w:rsid w:val="783A582F"/>
    <w:rsid w:val="78636907"/>
    <w:rsid w:val="78780CEE"/>
    <w:rsid w:val="78807E7F"/>
    <w:rsid w:val="788A489C"/>
    <w:rsid w:val="7899691A"/>
    <w:rsid w:val="78A37D7C"/>
    <w:rsid w:val="78C83AD2"/>
    <w:rsid w:val="794037B5"/>
    <w:rsid w:val="79455F0D"/>
    <w:rsid w:val="7945643C"/>
    <w:rsid w:val="795C6137"/>
    <w:rsid w:val="795E77E1"/>
    <w:rsid w:val="79746DD5"/>
    <w:rsid w:val="79755663"/>
    <w:rsid w:val="797845D9"/>
    <w:rsid w:val="797D5665"/>
    <w:rsid w:val="798A5C60"/>
    <w:rsid w:val="79A07515"/>
    <w:rsid w:val="79A1229B"/>
    <w:rsid w:val="7A00729F"/>
    <w:rsid w:val="7A135A7D"/>
    <w:rsid w:val="7A1B2D1C"/>
    <w:rsid w:val="7A2E15EF"/>
    <w:rsid w:val="7A374B1F"/>
    <w:rsid w:val="7A382897"/>
    <w:rsid w:val="7A392CE7"/>
    <w:rsid w:val="7A3E2F80"/>
    <w:rsid w:val="7A7C38B0"/>
    <w:rsid w:val="7A9861CB"/>
    <w:rsid w:val="7AAE3E65"/>
    <w:rsid w:val="7AB73AC8"/>
    <w:rsid w:val="7AB861F9"/>
    <w:rsid w:val="7AC115AD"/>
    <w:rsid w:val="7ACA5466"/>
    <w:rsid w:val="7AD45C10"/>
    <w:rsid w:val="7AD537D1"/>
    <w:rsid w:val="7ADC5436"/>
    <w:rsid w:val="7AE3328E"/>
    <w:rsid w:val="7AE959D4"/>
    <w:rsid w:val="7B0077C8"/>
    <w:rsid w:val="7B0A6A9B"/>
    <w:rsid w:val="7B0D2818"/>
    <w:rsid w:val="7B1254BB"/>
    <w:rsid w:val="7B1306E3"/>
    <w:rsid w:val="7B2750E0"/>
    <w:rsid w:val="7B795F0A"/>
    <w:rsid w:val="7B81556A"/>
    <w:rsid w:val="7B8D4E9E"/>
    <w:rsid w:val="7B8E1EA6"/>
    <w:rsid w:val="7B94060C"/>
    <w:rsid w:val="7B994E29"/>
    <w:rsid w:val="7BA73227"/>
    <w:rsid w:val="7BA838BD"/>
    <w:rsid w:val="7BB75777"/>
    <w:rsid w:val="7BC266AD"/>
    <w:rsid w:val="7BCC6F60"/>
    <w:rsid w:val="7BD41347"/>
    <w:rsid w:val="7BD63B6E"/>
    <w:rsid w:val="7BDF3902"/>
    <w:rsid w:val="7BE45584"/>
    <w:rsid w:val="7BF22378"/>
    <w:rsid w:val="7C291216"/>
    <w:rsid w:val="7C2B048D"/>
    <w:rsid w:val="7C362CAE"/>
    <w:rsid w:val="7C44237D"/>
    <w:rsid w:val="7C460013"/>
    <w:rsid w:val="7C66565C"/>
    <w:rsid w:val="7C884F07"/>
    <w:rsid w:val="7C8D43AB"/>
    <w:rsid w:val="7C8F1DDB"/>
    <w:rsid w:val="7C99511D"/>
    <w:rsid w:val="7C996138"/>
    <w:rsid w:val="7CA879AC"/>
    <w:rsid w:val="7CB82DCD"/>
    <w:rsid w:val="7CBD31D9"/>
    <w:rsid w:val="7CC26966"/>
    <w:rsid w:val="7CE3614E"/>
    <w:rsid w:val="7CFB2AE8"/>
    <w:rsid w:val="7CFD06A4"/>
    <w:rsid w:val="7D635745"/>
    <w:rsid w:val="7D6D0647"/>
    <w:rsid w:val="7D984607"/>
    <w:rsid w:val="7DA9460F"/>
    <w:rsid w:val="7DAA32A9"/>
    <w:rsid w:val="7DB02E07"/>
    <w:rsid w:val="7DB351A4"/>
    <w:rsid w:val="7DC6049B"/>
    <w:rsid w:val="7DDF08AD"/>
    <w:rsid w:val="7DE65FBE"/>
    <w:rsid w:val="7DFD3D7D"/>
    <w:rsid w:val="7DFF6F70"/>
    <w:rsid w:val="7E0B4334"/>
    <w:rsid w:val="7E1640FB"/>
    <w:rsid w:val="7E1D725E"/>
    <w:rsid w:val="7E232692"/>
    <w:rsid w:val="7E345DFF"/>
    <w:rsid w:val="7E3B2283"/>
    <w:rsid w:val="7E4B0118"/>
    <w:rsid w:val="7E5871FA"/>
    <w:rsid w:val="7E5B49B5"/>
    <w:rsid w:val="7E6C6EF8"/>
    <w:rsid w:val="7E7145B3"/>
    <w:rsid w:val="7E7B3986"/>
    <w:rsid w:val="7E826950"/>
    <w:rsid w:val="7E9064E4"/>
    <w:rsid w:val="7E9E2C4F"/>
    <w:rsid w:val="7E9F4D2C"/>
    <w:rsid w:val="7EA30CDC"/>
    <w:rsid w:val="7EC30BBA"/>
    <w:rsid w:val="7ED8373F"/>
    <w:rsid w:val="7EDD57F4"/>
    <w:rsid w:val="7EED0F0A"/>
    <w:rsid w:val="7EF82D86"/>
    <w:rsid w:val="7EFB1E9B"/>
    <w:rsid w:val="7F096F96"/>
    <w:rsid w:val="7F182FE7"/>
    <w:rsid w:val="7F220E8A"/>
    <w:rsid w:val="7F5828CA"/>
    <w:rsid w:val="7F651FE6"/>
    <w:rsid w:val="7F7405C7"/>
    <w:rsid w:val="7F8A7F3B"/>
    <w:rsid w:val="7F8B15A9"/>
    <w:rsid w:val="7F925810"/>
    <w:rsid w:val="7FA07679"/>
    <w:rsid w:val="7FDD3A87"/>
    <w:rsid w:val="7FF45605"/>
    <w:rsid w:val="7FFA2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1"/>
    <w:qFormat/>
    <w:uiPriority w:val="0"/>
    <w:pPr>
      <w:keepNext/>
      <w:keepLines/>
      <w:spacing w:line="576" w:lineRule="auto"/>
      <w:jc w:val="center"/>
      <w:outlineLvl w:val="0"/>
    </w:pPr>
    <w:rPr>
      <w:b/>
      <w:kern w:val="44"/>
      <w:sz w:val="32"/>
      <w:szCs w:val="20"/>
    </w:rPr>
  </w:style>
  <w:style w:type="paragraph" w:styleId="4">
    <w:name w:val="heading 2"/>
    <w:basedOn w:val="1"/>
    <w:next w:val="1"/>
    <w:qFormat/>
    <w:uiPriority w:val="0"/>
    <w:pPr>
      <w:keepNext/>
      <w:keepLines/>
      <w:spacing w:line="413" w:lineRule="auto"/>
      <w:jc w:val="left"/>
      <w:outlineLvl w:val="1"/>
    </w:pPr>
    <w:rPr>
      <w:rFonts w:ascii="Arial" w:hAnsi="Arial"/>
      <w:b/>
      <w:sz w:val="28"/>
    </w:rPr>
  </w:style>
  <w:style w:type="paragraph" w:styleId="5">
    <w:name w:val="heading 3"/>
    <w:basedOn w:val="1"/>
    <w:next w:val="1"/>
    <w:qFormat/>
    <w:uiPriority w:val="0"/>
    <w:pPr>
      <w:keepNext/>
      <w:keepLines/>
      <w:spacing w:line="413" w:lineRule="auto"/>
      <w:outlineLvl w:val="2"/>
    </w:pPr>
    <w:rPr>
      <w:b/>
      <w:sz w:val="28"/>
    </w:rPr>
  </w:style>
  <w:style w:type="paragraph" w:styleId="2">
    <w:name w:val="heading 4"/>
    <w:basedOn w:val="1"/>
    <w:next w:val="1"/>
    <w:qFormat/>
    <w:uiPriority w:val="0"/>
    <w:pPr>
      <w:keepNext/>
      <w:keepLines/>
      <w:jc w:val="left"/>
      <w:outlineLvl w:val="3"/>
    </w:pPr>
    <w:rPr>
      <w:rFonts w:hint="eastAsia" w:ascii="Arial" w:hAnsi="Arial"/>
      <w:b/>
      <w:sz w:val="32"/>
    </w:rPr>
  </w:style>
  <w:style w:type="paragraph" w:styleId="6">
    <w:name w:val="heading 6"/>
    <w:basedOn w:val="1"/>
    <w:next w:val="1"/>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1"/>
      </w:numPr>
    </w:pPr>
  </w:style>
  <w:style w:type="paragraph" w:styleId="8">
    <w:name w:val="Normal Indent"/>
    <w:basedOn w:val="1"/>
    <w:next w:val="9"/>
    <w:qFormat/>
    <w:uiPriority w:val="0"/>
    <w:pPr>
      <w:ind w:firstLine="420"/>
    </w:pPr>
    <w:rPr>
      <w:szCs w:val="20"/>
    </w:rPr>
  </w:style>
  <w:style w:type="paragraph" w:styleId="9">
    <w:name w:val="toc 4"/>
    <w:basedOn w:val="1"/>
    <w:next w:val="1"/>
    <w:unhideWhenUsed/>
    <w:qFormat/>
    <w:uiPriority w:val="39"/>
    <w:pPr>
      <w:ind w:left="1260" w:leftChars="600"/>
    </w:pPr>
  </w:style>
  <w:style w:type="paragraph" w:styleId="10">
    <w:name w:val="Document Map"/>
    <w:basedOn w:val="1"/>
    <w:link w:val="43"/>
    <w:qFormat/>
    <w:uiPriority w:val="0"/>
    <w:rPr>
      <w:rFonts w:ascii="宋体" w:hAnsi="Calibri"/>
      <w:sz w:val="18"/>
      <w:szCs w:val="18"/>
    </w:rPr>
  </w:style>
  <w:style w:type="paragraph" w:styleId="11">
    <w:name w:val="annotation text"/>
    <w:basedOn w:val="1"/>
    <w:link w:val="44"/>
    <w:qFormat/>
    <w:uiPriority w:val="0"/>
    <w:pPr>
      <w:jc w:val="left"/>
    </w:pPr>
    <w:rPr>
      <w:rFonts w:ascii="宋体" w:hAnsi="Calibri"/>
      <w:kern w:val="0"/>
      <w:sz w:val="34"/>
    </w:rPr>
  </w:style>
  <w:style w:type="paragraph" w:styleId="12">
    <w:name w:val="Body Text"/>
    <w:basedOn w:val="1"/>
    <w:next w:val="1"/>
    <w:link w:val="42"/>
    <w:qFormat/>
    <w:uiPriority w:val="0"/>
    <w:rPr>
      <w:color w:val="993300"/>
      <w:kern w:val="0"/>
      <w:sz w:val="24"/>
      <w:szCs w:val="24"/>
    </w:rPr>
  </w:style>
  <w:style w:type="paragraph" w:styleId="13">
    <w:name w:val="Body Text Indent"/>
    <w:basedOn w:val="1"/>
    <w:qFormat/>
    <w:uiPriority w:val="0"/>
    <w:pPr>
      <w:ind w:left="420" w:leftChars="200"/>
    </w:pPr>
  </w:style>
  <w:style w:type="paragraph" w:styleId="14">
    <w:name w:val="toc 3"/>
    <w:basedOn w:val="1"/>
    <w:next w:val="1"/>
    <w:qFormat/>
    <w:uiPriority w:val="0"/>
    <w:pPr>
      <w:ind w:left="840" w:leftChars="400"/>
    </w:pPr>
  </w:style>
  <w:style w:type="paragraph" w:styleId="15">
    <w:name w:val="Plain Text"/>
    <w:basedOn w:val="1"/>
    <w:qFormat/>
    <w:uiPriority w:val="0"/>
    <w:pPr>
      <w:spacing w:line="324" w:lineRule="auto"/>
    </w:pPr>
    <w:rPr>
      <w:rFonts w:ascii="宋体" w:hAnsi="Courier New" w:cs="Courier New"/>
      <w:szCs w:val="21"/>
    </w:rPr>
  </w:style>
  <w:style w:type="paragraph" w:styleId="16">
    <w:name w:val="Date"/>
    <w:basedOn w:val="1"/>
    <w:next w:val="1"/>
    <w:qFormat/>
    <w:uiPriority w:val="0"/>
    <w:rPr>
      <w:rFonts w:ascii="Copperplate Gothic Bold" w:hAnsi="Copperplate Gothic Bold"/>
      <w:sz w:val="32"/>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45"/>
    <w:qFormat/>
    <w:uiPriority w:val="0"/>
    <w:rPr>
      <w:rFonts w:ascii="Calibri" w:hAnsi="Calibri"/>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2"/>
    <w:basedOn w:val="1"/>
    <w:next w:val="1"/>
    <w:qFormat/>
    <w:uiPriority w:val="0"/>
    <w:pPr>
      <w:ind w:left="420" w:leftChars="200"/>
    </w:pPr>
  </w:style>
  <w:style w:type="paragraph" w:styleId="23">
    <w:name w:val="toc 9"/>
    <w:basedOn w:val="1"/>
    <w:next w:val="1"/>
    <w:qFormat/>
    <w:uiPriority w:val="0"/>
    <w:pPr>
      <w:wordWrap w:val="0"/>
      <w:ind w:left="2975"/>
    </w:pPr>
  </w:style>
  <w:style w:type="paragraph" w:styleId="24">
    <w:name w:val="Body Text 2"/>
    <w:basedOn w:val="1"/>
    <w:qFormat/>
    <w:uiPriority w:val="0"/>
    <w:pPr>
      <w:jc w:val="center"/>
    </w:pPr>
    <w:rPr>
      <w:b/>
      <w:spacing w:val="-20"/>
      <w:w w:val="130"/>
      <w:sz w:val="48"/>
      <w:szCs w:val="20"/>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qFormat/>
    <w:uiPriority w:val="0"/>
    <w:pPr>
      <w:jc w:val="center"/>
    </w:pPr>
    <w:rPr>
      <w:sz w:val="30"/>
      <w:szCs w:val="24"/>
    </w:rPr>
  </w:style>
  <w:style w:type="paragraph" w:styleId="27">
    <w:name w:val="annotation subject"/>
    <w:basedOn w:val="11"/>
    <w:next w:val="11"/>
    <w:link w:val="46"/>
    <w:qFormat/>
    <w:uiPriority w:val="0"/>
    <w:rPr>
      <w:rFonts w:ascii="Calibri"/>
      <w:b/>
      <w:bCs/>
      <w:kern w:val="2"/>
      <w:sz w:val="21"/>
    </w:rPr>
  </w:style>
  <w:style w:type="paragraph" w:styleId="28">
    <w:name w:val="Body Text First Indent"/>
    <w:basedOn w:val="12"/>
    <w:next w:val="1"/>
    <w:qFormat/>
    <w:uiPriority w:val="0"/>
    <w:rPr>
      <w:rFonts w:hAnsi="宋体"/>
      <w:sz w:val="18"/>
      <w:szCs w:val="18"/>
    </w:rPr>
  </w:style>
  <w:style w:type="paragraph" w:styleId="29">
    <w:name w:val="Body Text First Indent 2"/>
    <w:basedOn w:val="13"/>
    <w:unhideWhenUsed/>
    <w:qFormat/>
    <w:uiPriority w:val="0"/>
    <w:pPr>
      <w:ind w:firstLine="420" w:firstLineChars="200"/>
    </w:pPr>
    <w:rPr>
      <w:szCs w:val="20"/>
    </w:rPr>
  </w:style>
  <w:style w:type="table" w:styleId="31">
    <w:name w:val="Table Grid"/>
    <w:basedOn w:val="3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sz w:val="24"/>
      <w:szCs w:val="24"/>
    </w:rPr>
  </w:style>
  <w:style w:type="character" w:styleId="34">
    <w:name w:val="page number"/>
    <w:qFormat/>
    <w:uiPriority w:val="0"/>
  </w:style>
  <w:style w:type="character" w:styleId="35">
    <w:name w:val="FollowedHyperlink"/>
    <w:qFormat/>
    <w:uiPriority w:val="0"/>
    <w:rPr>
      <w:rFonts w:hint="eastAsia" w:ascii="宋体" w:hAnsi="宋体" w:eastAsia="宋体" w:cs="宋体"/>
      <w:color w:val="000000"/>
      <w:sz w:val="18"/>
      <w:szCs w:val="18"/>
      <w:u w:val="none"/>
    </w:rPr>
  </w:style>
  <w:style w:type="character" w:styleId="36">
    <w:name w:val="Emphasis"/>
    <w:qFormat/>
    <w:uiPriority w:val="0"/>
    <w:rPr>
      <w:i/>
      <w:iCs/>
    </w:rPr>
  </w:style>
  <w:style w:type="character" w:styleId="37">
    <w:name w:val="Hyperlink"/>
    <w:qFormat/>
    <w:uiPriority w:val="0"/>
    <w:rPr>
      <w:color w:val="0000FF"/>
      <w:u w:val="single"/>
    </w:rPr>
  </w:style>
  <w:style w:type="character" w:styleId="38">
    <w:name w:val="annotation reference"/>
    <w:qFormat/>
    <w:uiPriority w:val="99"/>
    <w:rPr>
      <w:sz w:val="21"/>
      <w:szCs w:val="21"/>
    </w:rPr>
  </w:style>
  <w:style w:type="character" w:styleId="39">
    <w:name w:val="HTML Cite"/>
    <w:qFormat/>
    <w:uiPriority w:val="0"/>
    <w:rPr>
      <w:sz w:val="24"/>
      <w:szCs w:val="24"/>
    </w:rPr>
  </w:style>
  <w:style w:type="paragraph" w:styleId="40">
    <w:name w:val="List Paragraph"/>
    <w:basedOn w:val="1"/>
    <w:unhideWhenUsed/>
    <w:qFormat/>
    <w:uiPriority w:val="99"/>
    <w:pPr>
      <w:ind w:firstLine="420" w:firstLineChars="200"/>
    </w:pPr>
  </w:style>
  <w:style w:type="character" w:customStyle="1" w:styleId="41">
    <w:name w:val="标题 1 Char"/>
    <w:link w:val="3"/>
    <w:qFormat/>
    <w:uiPriority w:val="0"/>
    <w:rPr>
      <w:rFonts w:ascii="Times New Roman" w:hAnsi="Times New Roman" w:eastAsia="宋体"/>
      <w:b/>
      <w:kern w:val="44"/>
      <w:sz w:val="32"/>
    </w:rPr>
  </w:style>
  <w:style w:type="character" w:customStyle="1" w:styleId="42">
    <w:name w:val="正文文本 Char"/>
    <w:link w:val="12"/>
    <w:qFormat/>
    <w:uiPriority w:val="0"/>
    <w:rPr>
      <w:rFonts w:hint="default" w:ascii="Times New Roman" w:hAnsi="Times New Roman" w:eastAsia="宋体" w:cs="Times New Roman"/>
      <w:color w:val="993300"/>
      <w:sz w:val="24"/>
      <w:szCs w:val="24"/>
    </w:rPr>
  </w:style>
  <w:style w:type="character" w:customStyle="1" w:styleId="43">
    <w:name w:val="文档结构图 Char"/>
    <w:link w:val="10"/>
    <w:qFormat/>
    <w:uiPriority w:val="0"/>
    <w:rPr>
      <w:rFonts w:ascii="宋体" w:hAnsi="Calibri" w:cs="Times New Roman"/>
      <w:kern w:val="2"/>
      <w:sz w:val="18"/>
      <w:szCs w:val="18"/>
    </w:rPr>
  </w:style>
  <w:style w:type="character" w:customStyle="1" w:styleId="44">
    <w:name w:val="批注文字 Char"/>
    <w:link w:val="11"/>
    <w:qFormat/>
    <w:uiPriority w:val="99"/>
    <w:rPr>
      <w:rFonts w:ascii="宋体" w:hAnsi="Calibri" w:eastAsia="宋体" w:cs="Times New Roman"/>
      <w:sz w:val="34"/>
      <w:szCs w:val="22"/>
    </w:rPr>
  </w:style>
  <w:style w:type="character" w:customStyle="1" w:styleId="45">
    <w:name w:val="批注框文本 Char"/>
    <w:link w:val="18"/>
    <w:qFormat/>
    <w:uiPriority w:val="0"/>
    <w:rPr>
      <w:rFonts w:ascii="Calibri" w:hAnsi="Calibri" w:eastAsia="宋体" w:cs="Times New Roman"/>
      <w:kern w:val="2"/>
      <w:sz w:val="18"/>
      <w:szCs w:val="18"/>
    </w:rPr>
  </w:style>
  <w:style w:type="character" w:customStyle="1" w:styleId="46">
    <w:name w:val="批注主题 Char"/>
    <w:link w:val="27"/>
    <w:qFormat/>
    <w:uiPriority w:val="0"/>
    <w:rPr>
      <w:rFonts w:ascii="Calibri" w:hAnsi="Calibri" w:eastAsia="宋体" w:cs="Times New Roman"/>
      <w:b/>
      <w:bCs/>
      <w:kern w:val="2"/>
      <w:sz w:val="21"/>
      <w:szCs w:val="22"/>
    </w:rPr>
  </w:style>
  <w:style w:type="character" w:customStyle="1" w:styleId="47">
    <w:name w:val="font11"/>
    <w:qFormat/>
    <w:uiPriority w:val="0"/>
    <w:rPr>
      <w:rFonts w:hint="eastAsia" w:ascii="宋体" w:hAnsi="宋体" w:eastAsia="宋体" w:cs="宋体"/>
      <w:color w:val="000000"/>
      <w:sz w:val="22"/>
      <w:szCs w:val="22"/>
      <w:u w:val="none"/>
    </w:rPr>
  </w:style>
  <w:style w:type="character" w:customStyle="1" w:styleId="48">
    <w:name w:val="del3"/>
    <w:qFormat/>
    <w:uiPriority w:val="0"/>
    <w:rPr>
      <w:vanish/>
    </w:rPr>
  </w:style>
  <w:style w:type="character" w:customStyle="1" w:styleId="49">
    <w:name w:val="15"/>
    <w:qFormat/>
    <w:uiPriority w:val="0"/>
    <w:rPr>
      <w:rFonts w:hint="default" w:ascii="Calibri" w:hAnsi="Calibri"/>
      <w:i/>
      <w:iCs/>
    </w:rPr>
  </w:style>
  <w:style w:type="character" w:customStyle="1" w:styleId="50">
    <w:name w:val="font01"/>
    <w:qFormat/>
    <w:uiPriority w:val="0"/>
    <w:rPr>
      <w:rFonts w:hint="eastAsia" w:ascii="宋体" w:hAnsi="宋体" w:eastAsia="宋体" w:cs="宋体"/>
      <w:b/>
      <w:color w:val="000000"/>
      <w:sz w:val="24"/>
      <w:szCs w:val="24"/>
      <w:u w:val="none"/>
    </w:rPr>
  </w:style>
  <w:style w:type="character" w:customStyle="1" w:styleId="51">
    <w:name w:val="del2"/>
    <w:qFormat/>
    <w:uiPriority w:val="0"/>
    <w:rPr>
      <w:vanish/>
    </w:rPr>
  </w:style>
  <w:style w:type="character" w:customStyle="1" w:styleId="52">
    <w:name w:val="apple-style-span"/>
    <w:qFormat/>
    <w:uiPriority w:val="0"/>
  </w:style>
  <w:style w:type="character" w:customStyle="1" w:styleId="53">
    <w:name w:val="font61"/>
    <w:qFormat/>
    <w:uiPriority w:val="0"/>
    <w:rPr>
      <w:rFonts w:hint="default" w:ascii="Tahoma" w:hAnsi="Tahoma" w:eastAsia="Tahoma" w:cs="Tahoma"/>
      <w:color w:val="000000"/>
      <w:sz w:val="22"/>
      <w:szCs w:val="22"/>
      <w:u w:val="none"/>
    </w:rPr>
  </w:style>
  <w:style w:type="character" w:customStyle="1" w:styleId="54">
    <w:name w:val="del"/>
    <w:qFormat/>
    <w:uiPriority w:val="0"/>
  </w:style>
  <w:style w:type="character" w:customStyle="1" w:styleId="55">
    <w:name w:val="10"/>
    <w:qFormat/>
    <w:uiPriority w:val="0"/>
    <w:rPr>
      <w:rFonts w:hint="default" w:ascii="Calibri" w:hAnsi="Calibri"/>
    </w:rPr>
  </w:style>
  <w:style w:type="character" w:customStyle="1" w:styleId="56">
    <w:name w:val="del1"/>
    <w:qFormat/>
    <w:uiPriority w:val="0"/>
    <w:rPr>
      <w:vanish/>
      <w:color w:val="666666"/>
      <w:sz w:val="18"/>
      <w:szCs w:val="18"/>
      <w:u w:val="single"/>
    </w:rPr>
  </w:style>
  <w:style w:type="paragraph" w:customStyle="1" w:styleId="57">
    <w:name w:val="样式 宋体 小四 首行缩进:  0.93 厘米 段前: 11.15 磅 段后: 11.15 磅1"/>
    <w:basedOn w:val="1"/>
    <w:qFormat/>
    <w:uiPriority w:val="0"/>
    <w:pPr>
      <w:ind w:left="200"/>
    </w:pPr>
    <w:rPr>
      <w:rFonts w:hint="eastAsia" w:ascii="宋体" w:hAnsi="宋体"/>
      <w:color w:val="000000"/>
      <w:kern w:val="1"/>
      <w:sz w:val="24"/>
      <w:szCs w:val="20"/>
    </w:rPr>
  </w:style>
  <w:style w:type="paragraph" w:customStyle="1" w:styleId="58">
    <w:name w:val="List Paragraph1"/>
    <w:basedOn w:val="1"/>
    <w:qFormat/>
    <w:uiPriority w:val="99"/>
    <w:pPr>
      <w:ind w:firstLine="420" w:firstLineChars="200"/>
    </w:pPr>
  </w:style>
  <w:style w:type="paragraph" w:customStyle="1" w:styleId="59">
    <w:name w:val="列出段落11"/>
    <w:basedOn w:val="1"/>
    <w:qFormat/>
    <w:uiPriority w:val="99"/>
    <w:pPr>
      <w:ind w:firstLine="420" w:firstLineChars="200"/>
    </w:pPr>
  </w:style>
  <w:style w:type="paragraph" w:customStyle="1" w:styleId="60">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6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列出段落3"/>
    <w:basedOn w:val="1"/>
    <w:qFormat/>
    <w:uiPriority w:val="0"/>
    <w:pPr>
      <w:ind w:firstLine="420" w:firstLineChars="200"/>
    </w:pPr>
    <w:rPr>
      <w:rFonts w:ascii="宋体"/>
      <w:sz w:val="28"/>
    </w:rPr>
  </w:style>
  <w:style w:type="paragraph" w:customStyle="1" w:styleId="6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表格内文字"/>
    <w:basedOn w:val="1"/>
    <w:qFormat/>
    <w:uiPriority w:val="0"/>
    <w:pPr>
      <w:keepLines/>
      <w:widowControl/>
      <w:spacing w:before="40" w:after="40"/>
    </w:pPr>
    <w:rPr>
      <w:rFonts w:ascii="Arial" w:hAnsi="Arial" w:cs="宋体"/>
      <w:color w:val="008ED3"/>
      <w:kern w:val="0"/>
      <w:sz w:val="18"/>
      <w:szCs w:val="18"/>
    </w:rPr>
  </w:style>
  <w:style w:type="paragraph" w:customStyle="1" w:styleId="6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列出段落6"/>
    <w:basedOn w:val="1"/>
    <w:qFormat/>
    <w:uiPriority w:val="34"/>
    <w:pPr>
      <w:widowControl/>
      <w:spacing w:after="200" w:line="276" w:lineRule="auto"/>
      <w:ind w:left="720"/>
      <w:contextualSpacing/>
      <w:jc w:val="left"/>
    </w:pPr>
    <w:rPr>
      <w:kern w:val="0"/>
      <w:sz w:val="22"/>
    </w:rPr>
  </w:style>
  <w:style w:type="paragraph" w:customStyle="1" w:styleId="68">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69">
    <w:name w:val="No Spacing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70">
    <w:name w:val="小标题"/>
    <w:next w:val="1"/>
    <w:qFormat/>
    <w:uiPriority w:val="0"/>
    <w:pPr>
      <w:keepNext/>
      <w:outlineLvl w:val="0"/>
    </w:pPr>
    <w:rPr>
      <w:rFonts w:ascii="Helvetica Neue" w:hAnsi="Helvetica Neue" w:eastAsia="Helvetica Neue" w:cs="Helvetica Neue"/>
      <w:b/>
      <w:bCs/>
      <w:color w:val="000000"/>
      <w:sz w:val="36"/>
      <w:szCs w:val="36"/>
      <w:lang w:val="en-US" w:eastAsia="zh-CN" w:bidi="ar-SA"/>
    </w:rPr>
  </w:style>
  <w:style w:type="paragraph" w:customStyle="1" w:styleId="71">
    <w:name w:val="表格样式 2"/>
    <w:qFormat/>
    <w:uiPriority w:val="0"/>
    <w:rPr>
      <w:rFonts w:ascii="Helvetica Neue" w:hAnsi="Helvetica Neue" w:eastAsia="Helvetica Neue" w:cs="Helvetica Neue"/>
      <w:color w:val="000000"/>
      <w:lang w:val="en-US" w:eastAsia="zh-CN" w:bidi="ar-SA"/>
    </w:rPr>
  </w:style>
  <w:style w:type="paragraph" w:customStyle="1" w:styleId="72">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73">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74">
    <w:name w:val="列出段落4"/>
    <w:basedOn w:val="1"/>
    <w:qFormat/>
    <w:uiPriority w:val="34"/>
    <w:pPr>
      <w:ind w:firstLine="420" w:firstLineChars="200"/>
    </w:pPr>
  </w:style>
  <w:style w:type="paragraph" w:customStyle="1" w:styleId="75">
    <w:name w:val="正文框"/>
    <w:basedOn w:val="1"/>
    <w:qFormat/>
    <w:uiPriority w:val="0"/>
    <w:pPr>
      <w:widowControl/>
      <w:adjustRightInd w:val="0"/>
      <w:spacing w:line="312" w:lineRule="atLeast"/>
      <w:jc w:val="left"/>
      <w:textAlignment w:val="baseline"/>
    </w:pPr>
    <w:rPr>
      <w:sz w:val="24"/>
    </w:rPr>
  </w:style>
  <w:style w:type="paragraph" w:customStyle="1" w:styleId="76">
    <w:name w:val="列出段落1"/>
    <w:basedOn w:val="1"/>
    <w:qFormat/>
    <w:uiPriority w:val="99"/>
    <w:pPr>
      <w:ind w:firstLine="420" w:firstLineChars="200"/>
    </w:pPr>
  </w:style>
  <w:style w:type="paragraph" w:customStyle="1" w:styleId="77">
    <w:name w:val="列出段落12"/>
    <w:basedOn w:val="1"/>
    <w:unhideWhenUsed/>
    <w:qFormat/>
    <w:uiPriority w:val="99"/>
    <w:pPr>
      <w:ind w:firstLine="420" w:firstLineChars="200"/>
    </w:pPr>
  </w:style>
  <w:style w:type="paragraph" w:customStyle="1" w:styleId="78">
    <w:name w:val="表格样式 1"/>
    <w:qFormat/>
    <w:uiPriority w:val="0"/>
    <w:rPr>
      <w:rFonts w:ascii="Helvetica Neue" w:hAnsi="Helvetica Neue" w:eastAsia="Helvetica Neue" w:cs="Helvetica Neue"/>
      <w:b/>
      <w:bCs/>
      <w:color w:val="000000"/>
      <w:lang w:val="en-US" w:eastAsia="zh-CN" w:bidi="ar-SA"/>
    </w:rPr>
  </w:style>
  <w:style w:type="paragraph" w:customStyle="1" w:styleId="79">
    <w:name w:val="Char"/>
    <w:basedOn w:val="10"/>
    <w:next w:val="5"/>
    <w:qFormat/>
    <w:uiPriority w:val="0"/>
    <w:pPr>
      <w:jc w:val="left"/>
    </w:pPr>
    <w:rPr>
      <w:rFonts w:ascii="Tahoma" w:hAnsi="Tahoma"/>
      <w:sz w:val="24"/>
      <w:szCs w:val="20"/>
    </w:rPr>
  </w:style>
  <w:style w:type="paragraph" w:customStyle="1" w:styleId="80">
    <w:name w:val="列出段落61"/>
    <w:basedOn w:val="1"/>
    <w:qFormat/>
    <w:uiPriority w:val="34"/>
    <w:pPr>
      <w:widowControl/>
      <w:spacing w:after="200" w:line="276" w:lineRule="auto"/>
      <w:ind w:left="720"/>
      <w:contextualSpacing/>
      <w:jc w:val="left"/>
    </w:pPr>
    <w:rPr>
      <w:kern w:val="0"/>
      <w:sz w:val="22"/>
    </w:rPr>
  </w:style>
  <w:style w:type="paragraph" w:customStyle="1" w:styleId="81">
    <w:name w:val="Char2 Char Char Char"/>
    <w:basedOn w:val="1"/>
    <w:qFormat/>
    <w:uiPriority w:val="0"/>
    <w:rPr>
      <w:rFonts w:ascii="Tahoma" w:hAnsi="Tahoma"/>
      <w:sz w:val="24"/>
      <w:szCs w:val="20"/>
    </w:rPr>
  </w:style>
  <w:style w:type="paragraph" w:customStyle="1" w:styleId="82">
    <w:name w:val="列出段落2"/>
    <w:basedOn w:val="1"/>
    <w:qFormat/>
    <w:uiPriority w:val="0"/>
    <w:pPr>
      <w:ind w:firstLine="420" w:firstLineChars="200"/>
    </w:pPr>
    <w:rPr>
      <w:rFonts w:ascii="宋体"/>
      <w:sz w:val="28"/>
    </w:rPr>
  </w:style>
  <w:style w:type="paragraph" w:customStyle="1" w:styleId="83">
    <w:name w:val="_Style 2"/>
    <w:basedOn w:val="1"/>
    <w:qFormat/>
    <w:uiPriority w:val="34"/>
    <w:pPr>
      <w:ind w:firstLine="420" w:firstLineChars="200"/>
    </w:pPr>
  </w:style>
  <w:style w:type="paragraph" w:customStyle="1" w:styleId="84">
    <w:name w:val="list number ＋left spaceing"/>
    <w:basedOn w:val="7"/>
    <w:qFormat/>
    <w:uiPriority w:val="0"/>
    <w:pPr>
      <w:widowControl/>
      <w:tabs>
        <w:tab w:val="left" w:pos="839"/>
      </w:tabs>
      <w:ind w:left="0" w:firstLine="0"/>
      <w:jc w:val="left"/>
    </w:pPr>
    <w:rPr>
      <w:kern w:val="0"/>
    </w:rPr>
  </w:style>
  <w:style w:type="paragraph" w:customStyle="1" w:styleId="85">
    <w:name w:val="Body text|21"/>
    <w:basedOn w:val="1"/>
    <w:qFormat/>
    <w:uiPriority w:val="0"/>
    <w:pPr>
      <w:shd w:val="clear" w:color="auto" w:fill="FFFFFF"/>
      <w:spacing w:before="240" w:after="340" w:line="200" w:lineRule="exact"/>
      <w:ind w:hanging="480"/>
      <w:jc w:val="left"/>
    </w:pPr>
    <w:rPr>
      <w:rFonts w:ascii="PMingLiU" w:hAnsi="PMingLiU" w:eastAsia="PMingLiU" w:cs="PMingLiU"/>
      <w:spacing w:val="10"/>
      <w:kern w:val="0"/>
      <w:sz w:val="20"/>
      <w:szCs w:val="20"/>
    </w:rPr>
  </w:style>
  <w:style w:type="paragraph" w:customStyle="1" w:styleId="86">
    <w:name w:val="列出段落5"/>
    <w:basedOn w:val="1"/>
    <w:unhideWhenUsed/>
    <w:qFormat/>
    <w:uiPriority w:val="99"/>
    <w:pPr>
      <w:ind w:firstLine="420" w:firstLineChars="200"/>
    </w:pPr>
  </w:style>
  <w:style w:type="paragraph" w:customStyle="1" w:styleId="87">
    <w:name w:val="Default"/>
    <w:qFormat/>
    <w:uiPriority w:val="0"/>
    <w:pPr>
      <w:widowControl w:val="0"/>
      <w:autoSpaceDE w:val="0"/>
      <w:autoSpaceDN w:val="0"/>
      <w:adjustRightInd w:val="0"/>
    </w:pPr>
    <w:rPr>
      <w:rFonts w:ascii="华文仿宋" w:hAnsi="华文仿宋" w:eastAsia="宋体" w:cs="华文仿宋"/>
      <w:color w:val="000000"/>
      <w:sz w:val="24"/>
      <w:szCs w:val="24"/>
      <w:lang w:val="en-US" w:eastAsia="zh-CN" w:bidi="ar-SA"/>
    </w:rPr>
  </w:style>
  <w:style w:type="paragraph" w:customStyle="1" w:styleId="88">
    <w:name w:val="Table Paragraph"/>
    <w:basedOn w:val="1"/>
    <w:qFormat/>
    <w:uiPriority w:val="0"/>
    <w:pPr>
      <w:autoSpaceDE w:val="0"/>
      <w:autoSpaceDN w:val="0"/>
      <w:jc w:val="left"/>
    </w:pPr>
    <w:rPr>
      <w:rFonts w:hint="eastAsia" w:ascii="宋体" w:hAnsi="宋体"/>
      <w:kern w:val="0"/>
      <w:sz w:val="22"/>
    </w:rPr>
  </w:style>
  <w:style w:type="table" w:customStyle="1" w:styleId="89">
    <w:name w:val="Table Normal"/>
    <w:qFormat/>
    <w:uiPriority w:val="0"/>
    <w:tblPr>
      <w:tblCellMar>
        <w:top w:w="0" w:type="dxa"/>
        <w:left w:w="0" w:type="dxa"/>
        <w:bottom w:w="0" w:type="dxa"/>
        <w:right w:w="0" w:type="dxa"/>
      </w:tblCellMar>
    </w:tblPr>
  </w:style>
  <w:style w:type="character" w:customStyle="1" w:styleId="90">
    <w:name w:val="font21"/>
    <w:qFormat/>
    <w:uiPriority w:val="0"/>
    <w:rPr>
      <w:rFonts w:hint="eastAsia" w:ascii="宋体" w:hAnsi="宋体" w:eastAsia="宋体" w:cs="宋体"/>
      <w:color w:val="000000"/>
      <w:sz w:val="21"/>
      <w:szCs w:val="21"/>
      <w:u w:val="none"/>
    </w:rPr>
  </w:style>
  <w:style w:type="paragraph" w:customStyle="1" w:styleId="91">
    <w:name w:val="_Style 87"/>
    <w:unhideWhenUsed/>
    <w:qFormat/>
    <w:uiPriority w:val="99"/>
    <w:rPr>
      <w:rFonts w:ascii="Times New Roman" w:hAnsi="Times New Roman" w:eastAsia="宋体" w:cs="Times New Roman"/>
      <w:kern w:val="2"/>
      <w:sz w:val="21"/>
      <w:szCs w:val="22"/>
      <w:lang w:val="en-US" w:eastAsia="zh-CN" w:bidi="ar-SA"/>
    </w:rPr>
  </w:style>
  <w:style w:type="character" w:customStyle="1" w:styleId="92">
    <w:name w:val="font41"/>
    <w:basedOn w:val="32"/>
    <w:qFormat/>
    <w:uiPriority w:val="0"/>
    <w:rPr>
      <w:rFonts w:hint="eastAsia" w:ascii="宋体" w:hAnsi="宋体" w:eastAsia="宋体" w:cs="宋体"/>
      <w:b/>
      <w:bCs/>
      <w:color w:val="000000"/>
      <w:sz w:val="22"/>
      <w:szCs w:val="22"/>
      <w:u w:val="none"/>
    </w:rPr>
  </w:style>
  <w:style w:type="character" w:customStyle="1" w:styleId="93">
    <w:name w:val="font51"/>
    <w:basedOn w:val="32"/>
    <w:qFormat/>
    <w:uiPriority w:val="0"/>
    <w:rPr>
      <w:rFonts w:hint="eastAsia" w:ascii="宋体" w:hAnsi="宋体" w:eastAsia="宋体" w:cs="宋体"/>
      <w:color w:val="000000"/>
      <w:sz w:val="22"/>
      <w:szCs w:val="22"/>
      <w:u w:val="none"/>
    </w:rPr>
  </w:style>
  <w:style w:type="paragraph" w:customStyle="1" w:styleId="94">
    <w:name w:val="列出段落7"/>
    <w:basedOn w:val="1"/>
    <w:qFormat/>
    <w:uiPriority w:val="34"/>
    <w:pPr>
      <w:ind w:firstLine="420" w:firstLineChars="200"/>
    </w:pPr>
  </w:style>
  <w:style w:type="paragraph" w:customStyle="1" w:styleId="95">
    <w:name w:val="样式 首行缩进:  2 字符"/>
    <w:basedOn w:val="1"/>
    <w:qFormat/>
    <w:uiPriority w:val="0"/>
    <w:pPr>
      <w:spacing w:line="400" w:lineRule="exact"/>
      <w:ind w:firstLine="200" w:firstLineChars="200"/>
    </w:pPr>
    <w:rPr>
      <w:rFonts w:cs="宋体"/>
      <w:sz w:val="24"/>
    </w:rPr>
  </w:style>
  <w:style w:type="character" w:customStyle="1" w:styleId="96">
    <w:name w:val="font81"/>
    <w:basedOn w:val="32"/>
    <w:qFormat/>
    <w:uiPriority w:val="0"/>
    <w:rPr>
      <w:rFonts w:hint="eastAsia" w:ascii="宋体" w:hAnsi="宋体" w:eastAsia="宋体" w:cs="宋体"/>
      <w:color w:val="000000"/>
      <w:sz w:val="24"/>
      <w:szCs w:val="24"/>
      <w:u w:val="none"/>
    </w:rPr>
  </w:style>
  <w:style w:type="character" w:customStyle="1" w:styleId="97">
    <w:name w:val="font121"/>
    <w:basedOn w:val="3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120</Pages>
  <Words>64941</Words>
  <Characters>71088</Characters>
  <Lines>390</Lines>
  <Paragraphs>109</Paragraphs>
  <TotalTime>0</TotalTime>
  <ScaleCrop>false</ScaleCrop>
  <LinksUpToDate>false</LinksUpToDate>
  <CharactersWithSpaces>74545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2022-03-28T09:59:00Z</dcterms:created>
  <dc:creator>xb21cn</dc:creator>
  <cp:lastModifiedBy>じ☆veSunny</cp:lastModifiedBy>
  <cp:lastPrinted>2022-04-21T09:22:00Z</cp:lastPrinted>
  <dcterms:modified xsi:type="dcterms:W3CDTF">2022-10-08T06:11:24Z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5A98F9C5AF7C4026B9140578315CA343</vt:lpwstr>
  </property>
  <property fmtid="{D5CDD505-2E9C-101B-9397-08002B2CF9AE}" pid="4" name="commondata">
    <vt:lpwstr>eyJoZGlkIjoiMjBlZTRhYWYzMzlkNWJjMDZmOWE2MDk2MmQ0M2IyM2EifQ==</vt:lpwstr>
  </property>
</Properties>
</file>