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竞争性谈判内容及技术要求</w:t>
      </w:r>
    </w:p>
    <w:p>
      <w:pPr>
        <w:numPr>
          <w:ilvl w:val="0"/>
          <w:numId w:val="0"/>
        </w:numPr>
        <w:spacing w:line="360" w:lineRule="auto"/>
        <w:rPr>
          <w:rFonts w:hint="eastAsia" w:ascii="仿宋" w:hAnsi="仿宋" w:eastAsia="仿宋" w:cs="仿宋"/>
          <w:b/>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bCs/>
          <w:color w:val="auto"/>
          <w:sz w:val="28"/>
          <w:szCs w:val="28"/>
          <w:highlight w:val="none"/>
          <w:lang w:eastAsia="zh-CN"/>
        </w:rPr>
      </w:pPr>
      <w:bookmarkStart w:id="0" w:name="_Toc423973078"/>
      <w:bookmarkStart w:id="1" w:name="_Toc13146"/>
      <w:r>
        <w:rPr>
          <w:rFonts w:hint="eastAsia" w:ascii="仿宋" w:hAnsi="仿宋" w:eastAsia="仿宋" w:cs="仿宋"/>
          <w:b/>
          <w:bCs/>
          <w:color w:val="auto"/>
          <w:sz w:val="28"/>
          <w:szCs w:val="28"/>
          <w:highlight w:val="none"/>
          <w:lang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莲湖区市民中心原有设备的接入能力和存储能力已经无法满足现有工作和系统扩展的要求，根据现有系统和设备实际情况进行计算和分析，对数据中心视讯采集接入存储设备进行升级，对接入数量、存储时间等进行整体升级。此次升级必须与原平台无缝对接、预留与数据中心对接的接口。</w:t>
      </w:r>
    </w:p>
    <w:bookmarkEnd w:id="0"/>
    <w:bookmarkEnd w:id="1"/>
    <w:p>
      <w:pPr>
        <w:pStyle w:val="3"/>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w:t>
      </w:r>
      <w:r>
        <w:rPr>
          <w:rFonts w:hint="eastAsia" w:ascii="仿宋" w:hAnsi="仿宋" w:eastAsia="仿宋"/>
          <w:b/>
          <w:color w:val="auto"/>
          <w:sz w:val="28"/>
          <w:szCs w:val="28"/>
          <w:highlight w:val="none"/>
        </w:rPr>
        <w:t>采购内容</w:t>
      </w:r>
    </w:p>
    <w:tbl>
      <w:tblPr>
        <w:tblStyle w:val="5"/>
        <w:tblW w:w="9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559"/>
        <w:gridCol w:w="5251"/>
        <w:gridCol w:w="982"/>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9" w:hRule="atLeast"/>
        </w:trPr>
        <w:tc>
          <w:tcPr>
            <w:tcW w:w="68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序号</w:t>
            </w:r>
          </w:p>
        </w:tc>
        <w:tc>
          <w:tcPr>
            <w:tcW w:w="1559"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产品类别</w:t>
            </w:r>
          </w:p>
        </w:tc>
        <w:tc>
          <w:tcPr>
            <w:tcW w:w="5251"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技术规格</w:t>
            </w:r>
          </w:p>
        </w:tc>
        <w:tc>
          <w:tcPr>
            <w:tcW w:w="98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单位</w:t>
            </w:r>
          </w:p>
        </w:tc>
        <w:tc>
          <w:tcPr>
            <w:tcW w:w="613"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10" w:hRule="atLeast"/>
        </w:trPr>
        <w:tc>
          <w:tcPr>
            <w:tcW w:w="684"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559"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接入存储设备</w:t>
            </w:r>
          </w:p>
        </w:tc>
        <w:tc>
          <w:tcPr>
            <w:tcW w:w="5251" w:type="dxa"/>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单设备应配置64位多核处理器，</w:t>
            </w:r>
            <w:r>
              <w:rPr>
                <w:rFonts w:hint="eastAsia" w:ascii="仿宋" w:hAnsi="仿宋" w:eastAsia="仿宋" w:cs="仿宋"/>
                <w:color w:val="auto"/>
                <w:sz w:val="24"/>
                <w:szCs w:val="24"/>
                <w:highlight w:val="none"/>
                <w:lang w:eastAsia="zh-CN"/>
              </w:rPr>
              <w:t>高速缓存≥</w:t>
            </w:r>
            <w:r>
              <w:rPr>
                <w:rFonts w:hint="eastAsia" w:ascii="仿宋" w:hAnsi="仿宋" w:eastAsia="仿宋" w:cs="仿宋"/>
                <w:color w:val="auto"/>
                <w:sz w:val="24"/>
                <w:szCs w:val="24"/>
                <w:highlight w:val="none"/>
                <w:lang w:val="en-US" w:eastAsia="zh-CN"/>
              </w:rPr>
              <w:t>4GB</w:t>
            </w:r>
            <w:r>
              <w:rPr>
                <w:rFonts w:hint="eastAsia" w:ascii="仿宋" w:hAnsi="仿宋" w:eastAsia="仿宋" w:cs="仿宋"/>
                <w:color w:val="auto"/>
                <w:sz w:val="24"/>
                <w:szCs w:val="24"/>
                <w:highlight w:val="none"/>
              </w:rPr>
              <w:t>，内存支持扩展到≥64GB，需配置冗余金牌电源，支持双系统</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单设备应标配≥2个千兆网口，可增扩≥4个万兆口或≥8个光纤接口或增配≥4个HDMI接口或≥2个SAS3.0接口，可扩展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2个SSD固态硬盘</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应支持FCSAN、IPSAN、NAS存储功能</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可接入2T/3T/4T/6T/8T/10TSATA磁盘，支持磁盘交错启动和漫游，并支持在线热插拔；</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可接入硬盘≥72块，支持SATA和SAS混插，并支持≥12级扩展柜级联扩展，出厂自带72块6T企业级硬盘；</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应能提供RAID0、1、3、5、6、10、50，60、JBOD、RAIDErasingCode、Raid5EE模式，支持全局、局部等多种热备选择，支持坏盘自动重构；</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应能接入并存储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1880Mbps视频图像，同时转发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1880Mbps的视频图像；同时回放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512Mbps的视频图像；</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支持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600MBps图片并发输入，同时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600MBps图片并发输出</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在RAID内丢失2块（含）以上硬盘但至少有1块正常磁盘时，无需等待丢失盘恢复，保留的硬盘中的数据可正常读出，且新数据可正常写入</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设备可同时支持视频、图片、智能流和文件直写存储</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支持多路文件采用非NAS方式直接上传存储，且速度可设置</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具有ONVIF、PSIA、TCP/IP、UDP、SIP、RTSP、RTP、RTCP、iSCSI、CIFS(SMB)、NFS、FTP、HTTP、AFP、RSYNC、SNMP、IPV4、IPV6设置选项，支持IP组播</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可对指定的录像段或指定事件的1个或多个前端的不同时间段的录像段添加标签，并自动备份到存档卷中，使之不会被覆盖删除</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可根据事件名称查询所有相关联的不同前端或时间的录像段并进行回放和下载</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可通过浏览器对一台、多台样机或扩展柜中的磁盘进行定位，使对应的磁盘指示灯闪烁，闪烁的时长可设</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仿宋" w:hAnsi="仿宋" w:eastAsia="仿宋" w:cs="仿宋"/>
                <w:i w:val="0"/>
                <w:color w:val="auto"/>
                <w:sz w:val="24"/>
                <w:szCs w:val="24"/>
                <w:highlight w:val="none"/>
                <w:u w:val="none"/>
                <w:lang w:eastAsia="zh-CN"/>
              </w:rPr>
            </w:pPr>
            <w:r>
              <w:rPr>
                <w:rFonts w:hint="eastAsia" w:ascii="仿宋" w:hAnsi="仿宋" w:eastAsia="仿宋" w:cs="仿宋"/>
                <w:color w:val="auto"/>
                <w:sz w:val="24"/>
                <w:szCs w:val="24"/>
                <w:highlight w:val="none"/>
              </w:rPr>
              <w:t>为保证系统的稳定性，要求新增加的设备和原系统可以无缝对接</w:t>
            </w:r>
            <w:r>
              <w:rPr>
                <w:rFonts w:hint="eastAsia" w:ascii="仿宋" w:hAnsi="仿宋" w:eastAsia="仿宋" w:cs="仿宋"/>
                <w:color w:val="auto"/>
                <w:sz w:val="24"/>
                <w:szCs w:val="24"/>
                <w:highlight w:val="none"/>
                <w:lang w:eastAsia="zh-CN"/>
              </w:rPr>
              <w:t>。</w:t>
            </w:r>
          </w:p>
        </w:tc>
        <w:tc>
          <w:tcPr>
            <w:tcW w:w="98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c>
          <w:tcPr>
            <w:tcW w:w="613"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684" w:type="dxa"/>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559"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辅材及数据连接</w:t>
            </w:r>
          </w:p>
        </w:tc>
        <w:tc>
          <w:tcPr>
            <w:tcW w:w="5251"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default" w:ascii="仿宋" w:hAnsi="仿宋" w:eastAsia="仿宋" w:cs="仿宋"/>
                <w:i w:val="0"/>
                <w:color w:val="auto"/>
                <w:sz w:val="24"/>
                <w:szCs w:val="24"/>
                <w:highlight w:val="none"/>
                <w:u w:val="none"/>
                <w:lang w:val="en-US"/>
              </w:rPr>
            </w:pPr>
            <w:r>
              <w:rPr>
                <w:rFonts w:hint="eastAsia" w:ascii="仿宋" w:hAnsi="仿宋" w:eastAsia="仿宋" w:cs="仿宋"/>
                <w:i w:val="0"/>
                <w:color w:val="auto"/>
                <w:kern w:val="0"/>
                <w:sz w:val="24"/>
                <w:szCs w:val="24"/>
                <w:highlight w:val="none"/>
                <w:u w:val="none"/>
                <w:lang w:val="en-US" w:eastAsia="zh-CN" w:bidi="ar"/>
              </w:rPr>
              <w:t>电源线、网线、数据线等\光纤\以及横纵向数据汇总；以及针对原有和新增存储设备统一分配管理驻场运维服务1年。</w:t>
            </w:r>
          </w:p>
        </w:tc>
        <w:tc>
          <w:tcPr>
            <w:tcW w:w="982"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w:t>
            </w:r>
          </w:p>
        </w:tc>
        <w:tc>
          <w:tcPr>
            <w:tcW w:w="613" w:type="dxa"/>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r>
    </w:tbl>
    <w:p>
      <w:pPr>
        <w:pStyle w:val="3"/>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三、</w:t>
      </w:r>
      <w:r>
        <w:rPr>
          <w:rFonts w:hint="eastAsia" w:ascii="仿宋" w:hAnsi="仿宋" w:eastAsia="仿宋" w:cs="仿宋"/>
          <w:b/>
          <w:bCs/>
          <w:color w:val="auto"/>
          <w:sz w:val="28"/>
          <w:szCs w:val="28"/>
          <w:highlight w:val="none"/>
          <w:lang w:val="en-US" w:eastAsia="zh-CN"/>
        </w:rPr>
        <w:t>技术</w:t>
      </w:r>
      <w:r>
        <w:rPr>
          <w:rFonts w:hint="eastAsia" w:ascii="仿宋" w:hAnsi="仿宋" w:eastAsia="仿宋" w:cs="仿宋"/>
          <w:b/>
          <w:bCs/>
          <w:color w:val="auto"/>
          <w:sz w:val="28"/>
          <w:szCs w:val="28"/>
          <w:highlight w:val="none"/>
          <w:lang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1、对原有网络接入和存储设备数据进行梳理和配置优化，重新分配存储计划和配额。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2、新增设备，将原有存储设备并入配额序列，重新分配接入数据的存储计划，达到存储要求。所有新增网络存储设备接入原有平台统一管理，并支持平台原有接入数据的导入存储。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3、对原有存储接入线路进行优化，提升稳定性和数据传输速度。</w:t>
      </w:r>
    </w:p>
    <w:p>
      <w:pPr>
        <w:pStyle w:val="3"/>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四、服务要求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1.供应商提供完整、可行的培训方案，明确具体培训方式、时间、地点、教员、对象以及培训内容。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2.供应商售后服务承诺详细、具体，满足用户要求，明确项目技术支持人员、免费服务年限、故障处理时限、现场服务条件及到位时间。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3.在合同执行过程中需要供应商应执行货物标准或应当履行的相关货物售后义务。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五、其他要求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w:t>
      </w:r>
      <w:r>
        <w:rPr>
          <w:rFonts w:hint="default" w:ascii="仿宋" w:hAnsi="仿宋" w:eastAsia="仿宋" w:cs="仿宋"/>
          <w:b w:val="0"/>
          <w:bCs w:val="0"/>
          <w:color w:val="auto"/>
          <w:sz w:val="24"/>
          <w:szCs w:val="24"/>
          <w:highlight w:val="none"/>
          <w:lang w:val="en-US" w:eastAsia="zh-CN"/>
        </w:rPr>
        <w:t>根据服务内容要求，确定</w:t>
      </w:r>
      <w:r>
        <w:rPr>
          <w:rFonts w:hint="eastAsia" w:ascii="仿宋" w:hAnsi="仿宋" w:eastAsia="仿宋" w:cs="仿宋"/>
          <w:b w:val="0"/>
          <w:bCs w:val="0"/>
          <w:color w:val="auto"/>
          <w:sz w:val="24"/>
          <w:szCs w:val="24"/>
          <w:highlight w:val="none"/>
          <w:lang w:val="en-US" w:eastAsia="zh-CN"/>
        </w:rPr>
        <w:t>供货</w:t>
      </w:r>
      <w:r>
        <w:rPr>
          <w:rFonts w:hint="default" w:ascii="仿宋" w:hAnsi="仿宋" w:eastAsia="仿宋" w:cs="仿宋"/>
          <w:b w:val="0"/>
          <w:bCs w:val="0"/>
          <w:color w:val="auto"/>
          <w:sz w:val="24"/>
          <w:szCs w:val="24"/>
          <w:highlight w:val="none"/>
          <w:lang w:val="en-US" w:eastAsia="zh-CN"/>
        </w:rPr>
        <w:t>期为25个日历日</w:t>
      </w:r>
      <w:r>
        <w:rPr>
          <w:rFonts w:hint="eastAsia" w:ascii="仿宋" w:hAnsi="仿宋" w:eastAsia="仿宋" w:cs="仿宋"/>
          <w:b w:val="0"/>
          <w:bCs w:val="0"/>
          <w:color w:val="auto"/>
          <w:sz w:val="24"/>
          <w:szCs w:val="24"/>
          <w:highlight w:val="none"/>
          <w:lang w:val="en-US" w:eastAsia="zh-CN"/>
        </w:rPr>
        <w:t>（签订合同后）</w:t>
      </w:r>
      <w:r>
        <w:rPr>
          <w:rFonts w:hint="default" w:ascii="仿宋" w:hAnsi="仿宋" w:eastAsia="仿宋" w:cs="仿宋"/>
          <w:b w:val="0"/>
          <w:bCs w:val="0"/>
          <w:color w:val="auto"/>
          <w:sz w:val="24"/>
          <w:szCs w:val="24"/>
          <w:highlight w:val="none"/>
          <w:lang w:val="en-US" w:eastAsia="zh-CN"/>
        </w:rPr>
        <w:t>，项目完工后进入合同验收和办理竣工验收手续。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w:t>
      </w:r>
      <w:r>
        <w:rPr>
          <w:rFonts w:hint="default" w:ascii="仿宋" w:hAnsi="仿宋" w:eastAsia="仿宋" w:cs="仿宋"/>
          <w:b w:val="0"/>
          <w:bCs w:val="0"/>
          <w:color w:val="auto"/>
          <w:sz w:val="24"/>
          <w:szCs w:val="24"/>
          <w:highlight w:val="none"/>
          <w:lang w:val="en-US" w:eastAsia="zh-CN"/>
        </w:rPr>
        <w:t>质保期自验收合格之日起一年，质保期内免费上门维修，终身维护。</w:t>
      </w:r>
      <w:r>
        <w:rPr>
          <w:rFonts w:hint="eastAsia" w:ascii="仿宋" w:hAnsi="仿宋" w:eastAsia="仿宋" w:cs="仿宋"/>
          <w:b w:val="0"/>
          <w:bCs w:val="0"/>
          <w:color w:val="auto"/>
          <w:sz w:val="24"/>
          <w:szCs w:val="24"/>
          <w:highlight w:val="none"/>
          <w:lang w:val="en-US" w:eastAsia="zh-CN"/>
        </w:rPr>
        <w:t>供应商</w:t>
      </w:r>
      <w:r>
        <w:rPr>
          <w:rFonts w:hint="default" w:ascii="仿宋" w:hAnsi="仿宋" w:eastAsia="仿宋" w:cs="仿宋"/>
          <w:b w:val="0"/>
          <w:bCs w:val="0"/>
          <w:color w:val="auto"/>
          <w:sz w:val="24"/>
          <w:szCs w:val="24"/>
          <w:highlight w:val="none"/>
          <w:lang w:val="en-US" w:eastAsia="zh-CN"/>
        </w:rPr>
        <w:t>在此项目后期的维护中，若出现系统故障，服务商应4小时内响应，48小时内到场排除故障并保证系统正常运行</w:t>
      </w:r>
      <w:r>
        <w:rPr>
          <w:rFonts w:hint="eastAsia" w:ascii="仿宋" w:hAnsi="仿宋" w:eastAsia="仿宋" w:cs="仿宋"/>
          <w:b w:val="0"/>
          <w:bCs w:val="0"/>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hint="default" w:ascii="仿宋" w:hAnsi="仿宋" w:eastAsia="仿宋" w:cs="仿宋"/>
          <w:b w:val="0"/>
          <w:bCs w:val="0"/>
          <w:color w:val="auto"/>
          <w:sz w:val="24"/>
          <w:szCs w:val="24"/>
          <w:highlight w:val="none"/>
          <w:lang w:val="en-US" w:eastAsia="zh-CN"/>
        </w:rPr>
        <w:t>供应商在维护期内对采购方技术人员提供操作和维护培训，提供技术咨询服务。保修期外设备出现故障，厂家提供优于市场价的备品备件等内容的服务条款详细方案。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w:t>
      </w:r>
      <w:r>
        <w:rPr>
          <w:rFonts w:hint="default" w:ascii="仿宋" w:hAnsi="仿宋" w:eastAsia="仿宋" w:cs="仿宋"/>
          <w:b w:val="0"/>
          <w:bCs w:val="0"/>
          <w:color w:val="auto"/>
          <w:sz w:val="24"/>
          <w:szCs w:val="24"/>
          <w:highlight w:val="none"/>
          <w:lang w:val="en-US" w:eastAsia="zh-CN"/>
        </w:rPr>
        <w:t>提供现场技术培训服务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w:t>
      </w:r>
      <w:r>
        <w:rPr>
          <w:rFonts w:hint="default" w:ascii="仿宋" w:hAnsi="仿宋" w:eastAsia="仿宋" w:cs="仿宋"/>
          <w:b w:val="0"/>
          <w:bCs w:val="0"/>
          <w:color w:val="auto"/>
          <w:sz w:val="24"/>
          <w:szCs w:val="24"/>
          <w:highlight w:val="none"/>
          <w:lang w:val="en-US" w:eastAsia="zh-CN"/>
        </w:rPr>
        <w:t>质量验收标准或规范</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仿宋" w:hAnsi="仿宋" w:eastAsia="仿宋" w:cs="仿宋"/>
          <w:b w:val="0"/>
          <w:bCs w:val="0"/>
          <w:color w:val="auto"/>
          <w:sz w:val="24"/>
          <w:szCs w:val="24"/>
          <w:highlight w:val="none"/>
          <w:lang w:val="en-US" w:eastAsia="zh-CN"/>
        </w:rPr>
      </w:pPr>
      <w:r>
        <w:rPr>
          <w:rFonts w:hint="default" w:ascii="仿宋" w:hAnsi="仿宋" w:eastAsia="仿宋" w:cs="仿宋"/>
          <w:b w:val="0"/>
          <w:bCs w:val="0"/>
          <w:color w:val="auto"/>
          <w:sz w:val="24"/>
          <w:szCs w:val="24"/>
          <w:highlight w:val="none"/>
          <w:lang w:val="en-US" w:eastAsia="zh-CN"/>
        </w:rPr>
        <w:t>依据现行的国家标准或国家行政部门颁布的法律法规、规章制度等。没有国家标准的，可以参考行业标准。</w:t>
      </w:r>
      <w:bookmarkStart w:id="2" w:name="_GoBack"/>
      <w:bookmarkEnd w:id="2"/>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D25C6"/>
    <w:rsid w:val="4CED2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jc w:val="center"/>
      <w:outlineLvl w:val="0"/>
    </w:pPr>
    <w:rPr>
      <w:sz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rFonts w:ascii="宋体"/>
    </w:rPr>
  </w:style>
  <w:style w:type="paragraph" w:styleId="3">
    <w:name w:val="Body Text"/>
    <w:basedOn w:val="1"/>
    <w:next w:val="1"/>
    <w:qFormat/>
    <w:uiPriority w:val="0"/>
    <w:pPr>
      <w:spacing w:after="120" w:afterLines="0"/>
    </w:pPr>
    <w:rPr>
      <w:rFonts w:ascii="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2022-10-20T11:20:00Z</dcterms:created>
  <dc:creator>Administrator</dc:creator>
  <cp:lastModifiedBy>Administrator</cp:lastModifiedBy>
  <dcterms:modified xsi:type="dcterms:W3CDTF">2022-10-20T11:21:34Z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