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rPr>
          <w:rFonts w:asciiTheme="minorEastAsia" w:hAnsiTheme="minorEastAsia" w:eastAsiaTheme="minorEastAsia"/>
          <w:b/>
          <w:bCs/>
          <w:sz w:val="30"/>
          <w:szCs w:val="30"/>
          <w:lang w:val="zh-CN"/>
        </w:rPr>
      </w:pPr>
    </w:p>
    <w:p>
      <w:pPr>
        <w:autoSpaceDE w:val="0"/>
        <w:autoSpaceDN w:val="0"/>
        <w:adjustRightInd w:val="0"/>
        <w:snapToGrid w:val="0"/>
        <w:spacing w:line="360" w:lineRule="auto"/>
        <w:rPr>
          <w:rFonts w:asciiTheme="minorEastAsia" w:hAnsiTheme="minorEastAsia" w:eastAsiaTheme="minorEastAsia"/>
        </w:rPr>
      </w:pPr>
      <w:r>
        <w:rPr>
          <w:rFonts w:asciiTheme="minorEastAsia" w:hAnsiTheme="minorEastAsia" w:eastAsiaTheme="minorEastAsia"/>
          <w:b/>
          <w:bCs/>
          <w:sz w:val="30"/>
          <w:szCs w:val="30"/>
          <w:lang w:val="zh-CN"/>
        </w:rPr>
        <w:t>政府采购项目</w:t>
      </w:r>
    </w:p>
    <w:p>
      <w:pPr>
        <w:autoSpaceDE w:val="0"/>
        <w:autoSpaceDN w:val="0"/>
        <w:adjustRightInd w:val="0"/>
        <w:snapToGrid w:val="0"/>
        <w:spacing w:line="360" w:lineRule="auto"/>
        <w:rPr>
          <w:rFonts w:asciiTheme="minorEastAsia" w:hAnsiTheme="minorEastAsia" w:eastAsiaTheme="minorEastAsia"/>
          <w:b/>
          <w:bCs/>
          <w:sz w:val="30"/>
          <w:szCs w:val="30"/>
          <w:lang w:val="zh-CN"/>
        </w:rPr>
      </w:pPr>
      <w:r>
        <w:rPr>
          <w:rFonts w:asciiTheme="minorEastAsia" w:hAnsiTheme="minorEastAsia" w:eastAsiaTheme="minorEastAsia"/>
          <w:b/>
          <w:bCs/>
          <w:sz w:val="30"/>
          <w:szCs w:val="30"/>
          <w:lang w:val="zh-CN"/>
        </w:rPr>
        <w:t>采购项目编号：</w:t>
      </w:r>
      <w:r>
        <w:rPr>
          <w:rFonts w:hint="eastAsia" w:asciiTheme="minorEastAsia" w:hAnsiTheme="minorEastAsia" w:eastAsiaTheme="minorEastAsia"/>
          <w:b/>
          <w:bCs/>
          <w:sz w:val="30"/>
          <w:szCs w:val="30"/>
          <w:lang w:val="zh-CN"/>
        </w:rPr>
        <w:t>NEXXMGL2023-GK1020</w:t>
      </w:r>
    </w:p>
    <w:p>
      <w:pPr>
        <w:spacing w:line="240" w:lineRule="atLeast"/>
        <w:ind w:left="1079" w:leftChars="257" w:hanging="540"/>
        <w:jc w:val="center"/>
        <w:rPr>
          <w:rFonts w:asciiTheme="minorEastAsia" w:hAnsiTheme="minorEastAsia" w:eastAsiaTheme="minorEastAsia"/>
          <w:b/>
          <w:sz w:val="52"/>
          <w:szCs w:val="52"/>
        </w:rPr>
      </w:pPr>
    </w:p>
    <w:p>
      <w:pPr>
        <w:spacing w:line="240" w:lineRule="atLeast"/>
        <w:ind w:left="1079" w:leftChars="257" w:hanging="540"/>
        <w:jc w:val="center"/>
        <w:rPr>
          <w:rFonts w:asciiTheme="minorEastAsia" w:hAnsiTheme="minorEastAsia" w:eastAsiaTheme="minorEastAsia"/>
          <w:b/>
          <w:sz w:val="52"/>
          <w:szCs w:val="52"/>
        </w:rPr>
      </w:pPr>
    </w:p>
    <w:p>
      <w:pPr>
        <w:autoSpaceDE w:val="0"/>
        <w:autoSpaceDN w:val="0"/>
        <w:adjustRightInd w:val="0"/>
        <w:snapToGrid w:val="0"/>
        <w:spacing w:line="360" w:lineRule="auto"/>
        <w:jc w:val="center"/>
        <w:rPr>
          <w:rFonts w:asciiTheme="minorEastAsia" w:hAnsiTheme="minorEastAsia" w:eastAsiaTheme="minorEastAsia"/>
          <w:b/>
          <w:bCs/>
          <w:sz w:val="44"/>
          <w:szCs w:val="44"/>
        </w:rPr>
      </w:pPr>
      <w:r>
        <w:rPr>
          <w:rFonts w:hint="eastAsia" w:asciiTheme="minorEastAsia" w:hAnsiTheme="minorEastAsia" w:eastAsiaTheme="minorEastAsia"/>
          <w:b/>
          <w:bCs/>
          <w:sz w:val="36"/>
          <w:szCs w:val="36"/>
        </w:rPr>
        <w:t>2023年莲湖疾控区域中心实验室仪器设备采购项目</w:t>
      </w:r>
    </w:p>
    <w:p>
      <w:pPr>
        <w:pStyle w:val="12"/>
        <w:rPr>
          <w:rFonts w:asciiTheme="minorEastAsia" w:hAnsiTheme="minorEastAsia" w:eastAsiaTheme="minorEastAsia"/>
        </w:rPr>
      </w:pPr>
    </w:p>
    <w:p/>
    <w:p>
      <w:pPr>
        <w:tabs>
          <w:tab w:val="left" w:pos="5670"/>
        </w:tabs>
        <w:autoSpaceDE w:val="0"/>
        <w:autoSpaceDN w:val="0"/>
        <w:adjustRightInd w:val="0"/>
        <w:snapToGrid w:val="0"/>
        <w:spacing w:line="360" w:lineRule="auto"/>
        <w:jc w:val="center"/>
        <w:rPr>
          <w:rFonts w:asciiTheme="minorEastAsia" w:hAnsiTheme="minorEastAsia" w:eastAsiaTheme="minorEastAsia"/>
          <w:b/>
          <w:bCs/>
          <w:sz w:val="36"/>
          <w:szCs w:val="36"/>
          <w:lang w:val="zh-CN"/>
        </w:rPr>
      </w:pPr>
    </w:p>
    <w:p>
      <w:pPr>
        <w:pStyle w:val="51"/>
        <w:rPr>
          <w:rFonts w:asciiTheme="minorEastAsia" w:hAnsiTheme="minorEastAsia" w:eastAsiaTheme="minorEastAsia"/>
          <w:b/>
          <w:bCs/>
          <w:sz w:val="36"/>
          <w:szCs w:val="36"/>
          <w:lang w:val="zh-CN"/>
        </w:rPr>
      </w:pPr>
    </w:p>
    <w:p>
      <w:pPr>
        <w:pStyle w:val="51"/>
        <w:rPr>
          <w:rFonts w:asciiTheme="minorEastAsia" w:hAnsiTheme="minorEastAsia" w:eastAsiaTheme="minorEastAsia"/>
          <w:b/>
          <w:bCs/>
          <w:sz w:val="36"/>
          <w:szCs w:val="36"/>
          <w:lang w:val="zh-CN"/>
        </w:rPr>
      </w:pPr>
    </w:p>
    <w:p>
      <w:pPr>
        <w:tabs>
          <w:tab w:val="left" w:pos="5670"/>
        </w:tabs>
        <w:autoSpaceDE w:val="0"/>
        <w:autoSpaceDN w:val="0"/>
        <w:adjustRightInd w:val="0"/>
        <w:snapToGrid w:val="0"/>
        <w:spacing w:line="360" w:lineRule="auto"/>
        <w:jc w:val="center"/>
        <w:rPr>
          <w:rFonts w:asciiTheme="minorEastAsia" w:hAnsiTheme="minorEastAsia" w:eastAsiaTheme="minorEastAsia"/>
          <w:b/>
          <w:bCs/>
          <w:sz w:val="84"/>
          <w:szCs w:val="84"/>
          <w:lang w:val="zh-CN"/>
        </w:rPr>
      </w:pPr>
      <w:r>
        <w:rPr>
          <w:rFonts w:asciiTheme="minorEastAsia" w:hAnsiTheme="minorEastAsia" w:eastAsiaTheme="minorEastAsia"/>
          <w:b/>
          <w:bCs/>
          <w:sz w:val="84"/>
          <w:szCs w:val="84"/>
          <w:lang w:val="zh-CN"/>
        </w:rPr>
        <w:t>招 标 文 件</w:t>
      </w:r>
    </w:p>
    <w:p>
      <w:pPr>
        <w:spacing w:line="240" w:lineRule="atLeast"/>
        <w:ind w:left="1079" w:leftChars="257" w:hanging="540"/>
        <w:jc w:val="center"/>
        <w:rPr>
          <w:rFonts w:asciiTheme="minorEastAsia" w:hAnsiTheme="minorEastAsia" w:eastAsiaTheme="minorEastAsia"/>
          <w:b/>
          <w:sz w:val="32"/>
          <w:szCs w:val="32"/>
        </w:rPr>
      </w:pPr>
    </w:p>
    <w:p>
      <w:pPr>
        <w:spacing w:line="240" w:lineRule="atLeast"/>
        <w:ind w:left="1079" w:leftChars="257" w:hanging="540"/>
        <w:jc w:val="center"/>
        <w:rPr>
          <w:rFonts w:asciiTheme="minorEastAsia" w:hAnsiTheme="minorEastAsia" w:eastAsiaTheme="minorEastAsia"/>
          <w:b/>
          <w:sz w:val="32"/>
          <w:szCs w:val="32"/>
        </w:rPr>
      </w:pPr>
    </w:p>
    <w:p>
      <w:pPr>
        <w:spacing w:line="240" w:lineRule="atLeast"/>
        <w:ind w:left="1079" w:leftChars="257" w:hanging="540"/>
        <w:rPr>
          <w:rFonts w:asciiTheme="minorEastAsia" w:hAnsiTheme="minorEastAsia" w:eastAsiaTheme="minorEastAsia"/>
          <w:b/>
          <w:sz w:val="28"/>
        </w:rPr>
      </w:pPr>
    </w:p>
    <w:p>
      <w:pPr>
        <w:pStyle w:val="12"/>
        <w:rPr>
          <w:rFonts w:asciiTheme="minorEastAsia" w:hAnsiTheme="minorEastAsia" w:eastAsiaTheme="minorEastAsia"/>
          <w:b/>
          <w:sz w:val="52"/>
        </w:rPr>
      </w:pPr>
    </w:p>
    <w:p>
      <w:pPr>
        <w:pStyle w:val="51"/>
        <w:rPr>
          <w:rFonts w:asciiTheme="minorEastAsia" w:hAnsiTheme="minorEastAsia" w:eastAsiaTheme="minorEastAsia"/>
          <w:b/>
          <w:sz w:val="52"/>
        </w:rPr>
      </w:pPr>
    </w:p>
    <w:p>
      <w:pPr>
        <w:pStyle w:val="51"/>
      </w:pPr>
    </w:p>
    <w:p>
      <w:pPr>
        <w:tabs>
          <w:tab w:val="left" w:pos="5670"/>
        </w:tabs>
        <w:autoSpaceDE w:val="0"/>
        <w:autoSpaceDN w:val="0"/>
        <w:adjustRightInd w:val="0"/>
        <w:snapToGrid w:val="0"/>
        <w:spacing w:line="360" w:lineRule="auto"/>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lang w:val="zh-CN"/>
        </w:rPr>
        <w:t>陕西诺尔信项目管理有限公司</w:t>
      </w:r>
    </w:p>
    <w:p>
      <w:pPr>
        <w:tabs>
          <w:tab w:val="left" w:pos="5460"/>
        </w:tabs>
        <w:autoSpaceDE w:val="0"/>
        <w:autoSpaceDN w:val="0"/>
        <w:adjustRightInd w:val="0"/>
        <w:snapToGrid w:val="0"/>
        <w:spacing w:line="360" w:lineRule="auto"/>
        <w:jc w:val="center"/>
        <w:rPr>
          <w:rFonts w:asciiTheme="minorEastAsia" w:hAnsiTheme="minorEastAsia" w:eastAsiaTheme="minorEastAsia"/>
          <w:b/>
          <w:bCs/>
          <w:sz w:val="32"/>
          <w:szCs w:val="32"/>
          <w:lang w:val="zh-CN"/>
        </w:rPr>
      </w:pPr>
      <w:r>
        <w:rPr>
          <w:rFonts w:asciiTheme="minorEastAsia" w:hAnsiTheme="minorEastAsia" w:eastAsiaTheme="minorEastAsia"/>
          <w:b/>
          <w:bCs/>
          <w:sz w:val="32"/>
          <w:szCs w:val="32"/>
          <w:lang w:val="zh-CN"/>
        </w:rPr>
        <w:t>二〇</w:t>
      </w:r>
      <w:r>
        <w:rPr>
          <w:rFonts w:hint="eastAsia" w:asciiTheme="minorEastAsia" w:hAnsiTheme="minorEastAsia" w:eastAsiaTheme="minorEastAsia"/>
          <w:b/>
          <w:bCs/>
          <w:sz w:val="32"/>
          <w:szCs w:val="32"/>
        </w:rPr>
        <w:t>二三</w:t>
      </w:r>
      <w:r>
        <w:rPr>
          <w:rFonts w:asciiTheme="minorEastAsia" w:hAnsiTheme="minorEastAsia" w:eastAsiaTheme="minorEastAsia"/>
          <w:b/>
          <w:bCs/>
          <w:sz w:val="32"/>
          <w:szCs w:val="32"/>
          <w:lang w:val="zh-CN"/>
        </w:rPr>
        <w:t>年</w:t>
      </w:r>
      <w:r>
        <w:rPr>
          <w:rFonts w:hint="eastAsia" w:cs="宋体" w:asciiTheme="minorEastAsia" w:hAnsiTheme="minorEastAsia" w:eastAsiaTheme="minorEastAsia"/>
          <w:b/>
          <w:bCs/>
          <w:sz w:val="32"/>
          <w:szCs w:val="32"/>
          <w:lang w:val="en-US" w:eastAsia="zh-CN"/>
        </w:rPr>
        <w:t>四</w:t>
      </w:r>
      <w:r>
        <w:rPr>
          <w:rFonts w:asciiTheme="minorEastAsia" w:hAnsiTheme="minorEastAsia" w:eastAsiaTheme="minorEastAsia"/>
          <w:b/>
          <w:bCs/>
          <w:sz w:val="32"/>
          <w:szCs w:val="32"/>
          <w:lang w:val="zh-CN"/>
        </w:rPr>
        <w:t>月</w:t>
      </w:r>
    </w:p>
    <w:p>
      <w:pPr>
        <w:tabs>
          <w:tab w:val="left" w:pos="5460"/>
        </w:tabs>
        <w:autoSpaceDE w:val="0"/>
        <w:autoSpaceDN w:val="0"/>
        <w:adjustRightInd w:val="0"/>
        <w:snapToGrid w:val="0"/>
        <w:spacing w:line="360" w:lineRule="auto"/>
        <w:jc w:val="center"/>
        <w:rPr>
          <w:rFonts w:asciiTheme="minorEastAsia" w:hAnsiTheme="minorEastAsia" w:eastAsiaTheme="minorEastAsia"/>
          <w:b/>
          <w:bCs/>
          <w:sz w:val="32"/>
          <w:szCs w:val="32"/>
          <w:lang w:val="zh-CN"/>
        </w:rPr>
        <w:sectPr>
          <w:headerReference r:id="rId3" w:type="default"/>
          <w:footerReference r:id="rId4" w:type="default"/>
          <w:pgSz w:w="11906" w:h="16838"/>
          <w:pgMar w:top="1418" w:right="1418" w:bottom="1418" w:left="1418" w:header="851" w:footer="992" w:gutter="0"/>
          <w:pgNumType w:fmt="upperRoman"/>
          <w:cols w:space="720" w:num="1"/>
          <w:docGrid w:type="linesAndChars" w:linePitch="312" w:charSpace="0"/>
        </w:sectPr>
      </w:pPr>
    </w:p>
    <w:p>
      <w:pPr>
        <w:tabs>
          <w:tab w:val="left" w:pos="5460"/>
        </w:tabs>
        <w:autoSpaceDE w:val="0"/>
        <w:autoSpaceDN w:val="0"/>
        <w:adjustRightInd w:val="0"/>
        <w:snapToGrid w:val="0"/>
        <w:spacing w:line="360" w:lineRule="auto"/>
        <w:jc w:val="center"/>
        <w:rPr>
          <w:rFonts w:asciiTheme="minorEastAsia" w:hAnsiTheme="minorEastAsia" w:eastAsiaTheme="minorEastAsia"/>
          <w:b/>
          <w:sz w:val="32"/>
        </w:rPr>
      </w:pPr>
      <w:r>
        <w:rPr>
          <w:rFonts w:asciiTheme="minorEastAsia" w:hAnsiTheme="minorEastAsia" w:eastAsiaTheme="minorEastAsia"/>
          <w:b/>
          <w:sz w:val="32"/>
        </w:rPr>
        <w:t>目  录</w:t>
      </w:r>
    </w:p>
    <w:sdt>
      <w:sdtPr>
        <w:rPr>
          <w:rFonts w:ascii="宋体" w:hAnsi="宋体"/>
        </w:rPr>
        <w:id w:val="147473745"/>
        <w:docPartObj>
          <w:docPartGallery w:val="Table of Contents"/>
          <w:docPartUnique/>
        </w:docPartObj>
      </w:sdtPr>
      <w:sdtEndPr>
        <w:rPr>
          <w:rFonts w:hint="eastAsia" w:cs="宋体" w:asciiTheme="minorEastAsia" w:hAnsiTheme="minorEastAsia" w:eastAsiaTheme="minorEastAsia"/>
          <w:sz w:val="24"/>
        </w:rPr>
      </w:sdtEndPr>
      <w:sdtContent>
        <w:p>
          <w:pPr>
            <w:jc w:val="center"/>
          </w:pPr>
        </w:p>
        <w:p>
          <w:pPr>
            <w:pStyle w:val="23"/>
            <w:tabs>
              <w:tab w:val="right" w:leader="dot" w:pos="9070"/>
            </w:tabs>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TOC \o "1-1" \h \u </w:instrText>
          </w:r>
          <w:r>
            <w:rPr>
              <w:rFonts w:hint="eastAsia" w:ascii="宋体" w:hAnsi="宋体" w:cs="宋体"/>
              <w:sz w:val="28"/>
              <w:szCs w:val="28"/>
            </w:rPr>
            <w:fldChar w:fldCharType="separate"/>
          </w:r>
          <w:r>
            <w:fldChar w:fldCharType="begin"/>
          </w:r>
          <w:r>
            <w:instrText xml:space="preserve"> HYPERLINK \l "_Toc22472" </w:instrText>
          </w:r>
          <w:r>
            <w:fldChar w:fldCharType="separate"/>
          </w:r>
          <w:r>
            <w:rPr>
              <w:rFonts w:hint="eastAsia" w:ascii="宋体" w:hAnsi="宋体" w:cs="宋体"/>
              <w:sz w:val="28"/>
              <w:szCs w:val="28"/>
            </w:rPr>
            <w:t>第一章  招标公告</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_Toc22472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23"/>
            <w:tabs>
              <w:tab w:val="right" w:leader="dot" w:pos="9070"/>
            </w:tabs>
            <w:rPr>
              <w:rFonts w:ascii="宋体" w:hAnsi="宋体" w:cs="宋体"/>
              <w:sz w:val="28"/>
              <w:szCs w:val="28"/>
            </w:rPr>
          </w:pPr>
          <w:r>
            <w:fldChar w:fldCharType="begin"/>
          </w:r>
          <w:r>
            <w:instrText xml:space="preserve"> HYPERLINK \l "_Toc1236" </w:instrText>
          </w:r>
          <w:r>
            <w:fldChar w:fldCharType="separate"/>
          </w:r>
          <w:r>
            <w:rPr>
              <w:rFonts w:hint="eastAsia" w:ascii="宋体" w:hAnsi="宋体" w:cs="宋体"/>
              <w:sz w:val="28"/>
              <w:szCs w:val="28"/>
            </w:rPr>
            <w:t>第二章  投标人须知</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_Toc1236 \h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fldChar w:fldCharType="end"/>
          </w:r>
        </w:p>
        <w:p>
          <w:pPr>
            <w:pStyle w:val="23"/>
            <w:tabs>
              <w:tab w:val="right" w:leader="dot" w:pos="9070"/>
            </w:tabs>
            <w:rPr>
              <w:rFonts w:ascii="宋体" w:hAnsi="宋体" w:cs="宋体"/>
              <w:sz w:val="28"/>
              <w:szCs w:val="28"/>
            </w:rPr>
          </w:pPr>
          <w:r>
            <w:fldChar w:fldCharType="begin"/>
          </w:r>
          <w:r>
            <w:instrText xml:space="preserve"> HYPERLINK \l "_Toc23814" </w:instrText>
          </w:r>
          <w:r>
            <w:fldChar w:fldCharType="separate"/>
          </w:r>
          <w:r>
            <w:rPr>
              <w:rFonts w:hint="eastAsia" w:ascii="宋体" w:hAnsi="宋体" w:cs="宋体"/>
              <w:sz w:val="28"/>
              <w:szCs w:val="28"/>
            </w:rPr>
            <w:t>第三章  评标方法和标准</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_Toc23814 \h </w:instrText>
          </w:r>
          <w:r>
            <w:rPr>
              <w:rFonts w:hint="eastAsia" w:ascii="宋体" w:hAnsi="宋体" w:cs="宋体"/>
              <w:sz w:val="28"/>
              <w:szCs w:val="28"/>
            </w:rPr>
            <w:fldChar w:fldCharType="separate"/>
          </w:r>
          <w:r>
            <w:rPr>
              <w:rFonts w:hint="eastAsia" w:ascii="宋体" w:hAnsi="宋体" w:cs="宋体"/>
              <w:sz w:val="28"/>
              <w:szCs w:val="28"/>
            </w:rPr>
            <w:t>29</w:t>
          </w:r>
          <w:r>
            <w:rPr>
              <w:rFonts w:hint="eastAsia" w:ascii="宋体" w:hAnsi="宋体" w:cs="宋体"/>
              <w:sz w:val="28"/>
              <w:szCs w:val="28"/>
            </w:rPr>
            <w:fldChar w:fldCharType="end"/>
          </w:r>
          <w:r>
            <w:rPr>
              <w:rFonts w:hint="eastAsia" w:ascii="宋体" w:hAnsi="宋体" w:cs="宋体"/>
              <w:sz w:val="28"/>
              <w:szCs w:val="28"/>
            </w:rPr>
            <w:fldChar w:fldCharType="end"/>
          </w:r>
        </w:p>
        <w:p>
          <w:pPr>
            <w:pStyle w:val="23"/>
            <w:tabs>
              <w:tab w:val="right" w:leader="dot" w:pos="9070"/>
            </w:tabs>
            <w:rPr>
              <w:rFonts w:ascii="宋体" w:hAnsi="宋体" w:cs="宋体"/>
              <w:sz w:val="28"/>
              <w:szCs w:val="28"/>
            </w:rPr>
          </w:pPr>
          <w:r>
            <w:fldChar w:fldCharType="begin"/>
          </w:r>
          <w:r>
            <w:instrText xml:space="preserve"> HYPERLINK \l "_Toc23716" </w:instrText>
          </w:r>
          <w:r>
            <w:fldChar w:fldCharType="separate"/>
          </w:r>
          <w:r>
            <w:rPr>
              <w:rFonts w:hint="eastAsia" w:ascii="宋体" w:hAnsi="宋体" w:cs="宋体"/>
              <w:sz w:val="28"/>
              <w:szCs w:val="28"/>
            </w:rPr>
            <w:t>第四章  拟签订的合同文本</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_Toc23716 \h </w:instrText>
          </w:r>
          <w:r>
            <w:rPr>
              <w:rFonts w:hint="eastAsia" w:ascii="宋体" w:hAnsi="宋体" w:cs="宋体"/>
              <w:sz w:val="28"/>
              <w:szCs w:val="28"/>
            </w:rPr>
            <w:fldChar w:fldCharType="separate"/>
          </w:r>
          <w:r>
            <w:rPr>
              <w:rFonts w:hint="eastAsia" w:ascii="宋体" w:hAnsi="宋体" w:cs="宋体"/>
              <w:sz w:val="28"/>
              <w:szCs w:val="28"/>
            </w:rPr>
            <w:t>36</w:t>
          </w:r>
          <w:r>
            <w:rPr>
              <w:rFonts w:hint="eastAsia" w:ascii="宋体" w:hAnsi="宋体" w:cs="宋体"/>
              <w:sz w:val="28"/>
              <w:szCs w:val="28"/>
            </w:rPr>
            <w:fldChar w:fldCharType="end"/>
          </w:r>
          <w:r>
            <w:rPr>
              <w:rFonts w:hint="eastAsia" w:ascii="宋体" w:hAnsi="宋体" w:cs="宋体"/>
              <w:sz w:val="28"/>
              <w:szCs w:val="28"/>
            </w:rPr>
            <w:fldChar w:fldCharType="end"/>
          </w:r>
        </w:p>
        <w:p>
          <w:pPr>
            <w:pStyle w:val="23"/>
            <w:tabs>
              <w:tab w:val="right" w:leader="dot" w:pos="9070"/>
            </w:tabs>
            <w:rPr>
              <w:rFonts w:ascii="宋体" w:hAnsi="宋体" w:cs="宋体"/>
              <w:sz w:val="28"/>
              <w:szCs w:val="28"/>
            </w:rPr>
          </w:pPr>
          <w:r>
            <w:fldChar w:fldCharType="begin"/>
          </w:r>
          <w:r>
            <w:instrText xml:space="preserve"> HYPERLINK \l "_Toc4762" </w:instrText>
          </w:r>
          <w:r>
            <w:fldChar w:fldCharType="separate"/>
          </w:r>
          <w:r>
            <w:rPr>
              <w:rFonts w:hint="eastAsia" w:ascii="宋体" w:hAnsi="宋体" w:cs="宋体"/>
              <w:sz w:val="28"/>
              <w:szCs w:val="28"/>
            </w:rPr>
            <w:t>第五章  采购需求及要求</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_Toc4762 \h </w:instrText>
          </w:r>
          <w:r>
            <w:rPr>
              <w:rFonts w:hint="eastAsia" w:ascii="宋体" w:hAnsi="宋体" w:cs="宋体"/>
              <w:sz w:val="28"/>
              <w:szCs w:val="28"/>
            </w:rPr>
            <w:fldChar w:fldCharType="separate"/>
          </w:r>
          <w:r>
            <w:rPr>
              <w:rFonts w:hint="eastAsia" w:ascii="宋体" w:hAnsi="宋体" w:cs="宋体"/>
              <w:sz w:val="28"/>
              <w:szCs w:val="28"/>
            </w:rPr>
            <w:t>43</w:t>
          </w:r>
          <w:r>
            <w:rPr>
              <w:rFonts w:hint="eastAsia" w:ascii="宋体" w:hAnsi="宋体" w:cs="宋体"/>
              <w:sz w:val="28"/>
              <w:szCs w:val="28"/>
            </w:rPr>
            <w:fldChar w:fldCharType="end"/>
          </w:r>
          <w:r>
            <w:rPr>
              <w:rFonts w:hint="eastAsia" w:ascii="宋体" w:hAnsi="宋体" w:cs="宋体"/>
              <w:sz w:val="28"/>
              <w:szCs w:val="28"/>
            </w:rPr>
            <w:fldChar w:fldCharType="end"/>
          </w:r>
        </w:p>
        <w:p>
          <w:pPr>
            <w:pStyle w:val="23"/>
            <w:tabs>
              <w:tab w:val="right" w:leader="dot" w:pos="9070"/>
            </w:tabs>
            <w:rPr>
              <w:rFonts w:ascii="宋体" w:hAnsi="宋体" w:cs="宋体"/>
              <w:sz w:val="28"/>
              <w:szCs w:val="28"/>
            </w:rPr>
          </w:pPr>
          <w:r>
            <w:fldChar w:fldCharType="begin"/>
          </w:r>
          <w:r>
            <w:instrText xml:space="preserve"> HYPERLINK \l "_Toc10739" </w:instrText>
          </w:r>
          <w:r>
            <w:fldChar w:fldCharType="separate"/>
          </w:r>
          <w:r>
            <w:rPr>
              <w:rFonts w:hint="eastAsia" w:ascii="宋体" w:hAnsi="宋体" w:cs="宋体"/>
              <w:sz w:val="28"/>
              <w:szCs w:val="28"/>
            </w:rPr>
            <w:t>第六章  投标文件格式</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_Toc10739 \h </w:instrText>
          </w:r>
          <w:r>
            <w:rPr>
              <w:rFonts w:hint="eastAsia" w:ascii="宋体" w:hAnsi="宋体" w:cs="宋体"/>
              <w:sz w:val="28"/>
              <w:szCs w:val="28"/>
            </w:rPr>
            <w:fldChar w:fldCharType="separate"/>
          </w:r>
          <w:r>
            <w:rPr>
              <w:rFonts w:hint="eastAsia" w:ascii="宋体" w:hAnsi="宋体" w:cs="宋体"/>
              <w:sz w:val="28"/>
              <w:szCs w:val="28"/>
            </w:rPr>
            <w:t>61</w:t>
          </w:r>
          <w:r>
            <w:rPr>
              <w:rFonts w:hint="eastAsia" w:ascii="宋体" w:hAnsi="宋体" w:cs="宋体"/>
              <w:sz w:val="28"/>
              <w:szCs w:val="28"/>
            </w:rPr>
            <w:fldChar w:fldCharType="end"/>
          </w:r>
          <w:r>
            <w:rPr>
              <w:rFonts w:hint="eastAsia" w:ascii="宋体" w:hAnsi="宋体" w:cs="宋体"/>
              <w:sz w:val="28"/>
              <w:szCs w:val="28"/>
            </w:rPr>
            <w:fldChar w:fldCharType="end"/>
          </w:r>
        </w:p>
        <w:p>
          <w:pPr>
            <w:pStyle w:val="52"/>
            <w:rPr>
              <w:rFonts w:cs="宋体" w:asciiTheme="minorEastAsia" w:hAnsiTheme="minorEastAsia" w:eastAsiaTheme="minorEastAsia"/>
              <w:szCs w:val="24"/>
            </w:rPr>
            <w:sectPr>
              <w:headerReference r:id="rId5" w:type="default"/>
              <w:footerReference r:id="rId6" w:type="default"/>
              <w:pgSz w:w="11906" w:h="16838"/>
              <w:pgMar w:top="1418" w:right="1418" w:bottom="1418" w:left="1418" w:header="1077" w:footer="992" w:gutter="0"/>
              <w:pgNumType w:start="1"/>
              <w:cols w:space="720" w:num="1"/>
              <w:docGrid w:type="linesAndChars" w:linePitch="312" w:charSpace="0"/>
            </w:sectPr>
          </w:pPr>
          <w:r>
            <w:rPr>
              <w:rFonts w:hint="eastAsia" w:hAnsi="宋体" w:cs="宋体"/>
              <w:sz w:val="28"/>
              <w:szCs w:val="28"/>
            </w:rPr>
            <w:fldChar w:fldCharType="end"/>
          </w:r>
        </w:p>
      </w:sdtContent>
    </w:sdt>
    <w:p>
      <w:pPr>
        <w:pStyle w:val="31"/>
        <w:rPr>
          <w:rFonts w:asciiTheme="minorEastAsia" w:hAnsiTheme="minorEastAsia" w:eastAsiaTheme="minorEastAsia"/>
        </w:rPr>
      </w:pPr>
      <w:bookmarkStart w:id="0" w:name="_Toc22472"/>
      <w:bookmarkStart w:id="1" w:name="_Toc108721078"/>
      <w:bookmarkStart w:id="2" w:name="_Toc17230"/>
      <w:bookmarkStart w:id="3" w:name="_Toc216582804"/>
      <w:bookmarkStart w:id="4" w:name="_Toc22782"/>
      <w:r>
        <w:rPr>
          <w:rFonts w:asciiTheme="minorEastAsia" w:hAnsiTheme="minorEastAsia" w:eastAsiaTheme="minorEastAsia"/>
        </w:rPr>
        <w:t>第一章  招标公告</w:t>
      </w:r>
      <w:bookmarkEnd w:id="0"/>
      <w:bookmarkEnd w:id="1"/>
    </w:p>
    <w:p>
      <w:pPr>
        <w:spacing w:line="520" w:lineRule="exact"/>
        <w:ind w:firstLine="560" w:firstLineChars="200"/>
        <w:jc w:val="center"/>
        <w:rPr>
          <w:rFonts w:asciiTheme="minorEastAsia" w:hAnsiTheme="minorEastAsia" w:eastAsiaTheme="minorEastAsia"/>
          <w:b/>
          <w:sz w:val="28"/>
          <w:szCs w:val="28"/>
        </w:rPr>
      </w:pPr>
      <w:bookmarkStart w:id="5" w:name="OLE_LINK1"/>
      <w:r>
        <w:rPr>
          <w:rFonts w:hint="eastAsia" w:asciiTheme="minorEastAsia" w:hAnsiTheme="minorEastAsia" w:eastAsiaTheme="minorEastAsia"/>
          <w:b/>
          <w:sz w:val="28"/>
          <w:szCs w:val="28"/>
        </w:rPr>
        <w:t>2023年莲湖疾控区域中心实验室仪器设备采购项目招标公告</w:t>
      </w:r>
    </w:p>
    <w:p>
      <w:pPr>
        <w:shd w:val="clear" w:color="auto" w:fill="FFFFFF"/>
        <w:spacing w:line="480" w:lineRule="exact"/>
        <w:rPr>
          <w:rFonts w:asciiTheme="minorEastAsia" w:hAnsiTheme="minorEastAsia" w:eastAsiaTheme="minorEastAsia"/>
        </w:rPr>
      </w:pPr>
      <w:r>
        <w:rPr>
          <w:rStyle w:val="38"/>
          <w:rFonts w:hint="eastAsia" w:asciiTheme="minorEastAsia" w:hAnsiTheme="minorEastAsia" w:eastAsiaTheme="minorEastAsia"/>
        </w:rPr>
        <w:t>项目概况</w:t>
      </w:r>
    </w:p>
    <w:p>
      <w:pPr>
        <w:pStyle w:val="29"/>
        <w:shd w:val="clear" w:color="auto" w:fill="FFFFFF"/>
        <w:spacing w:before="0" w:beforeAutospacing="0" w:after="0" w:afterAutospacing="0" w:line="480" w:lineRule="exact"/>
        <w:ind w:firstLine="480"/>
        <w:jc w:val="both"/>
        <w:rPr>
          <w:rFonts w:asciiTheme="minorEastAsia" w:hAnsiTheme="minorEastAsia" w:eastAsiaTheme="minorEastAsia"/>
          <w:highlight w:val="none"/>
        </w:rPr>
      </w:pPr>
      <w:r>
        <w:rPr>
          <w:rFonts w:hint="eastAsia" w:cs="Times New Roman" w:asciiTheme="minorEastAsia" w:hAnsiTheme="minorEastAsia" w:eastAsiaTheme="minorEastAsia"/>
          <w:kern w:val="2"/>
        </w:rPr>
        <w:t>2023年莲湖疾控区域中心实验室仪器设备采购项目的潜在投标人应在西安市莲湖区光远路16号新世纪大厦7 层B区获取招标文件，并于2023年</w:t>
      </w:r>
      <w:r>
        <w:rPr>
          <w:rFonts w:hint="eastAsia" w:cs="Times New Roman" w:asciiTheme="minorEastAsia" w:hAnsiTheme="minorEastAsia" w:eastAsiaTheme="minorEastAsia"/>
          <w:kern w:val="2"/>
          <w:highlight w:val="none"/>
          <w:lang w:val="en-US" w:eastAsia="zh-CN"/>
        </w:rPr>
        <w:t>05</w:t>
      </w:r>
      <w:r>
        <w:rPr>
          <w:rFonts w:hint="eastAsia" w:cs="Times New Roman" w:asciiTheme="minorEastAsia" w:hAnsiTheme="minorEastAsia" w:eastAsiaTheme="minorEastAsia"/>
          <w:kern w:val="2"/>
          <w:highlight w:val="none"/>
        </w:rPr>
        <w:t>月</w:t>
      </w:r>
      <w:r>
        <w:rPr>
          <w:rFonts w:hint="eastAsia" w:cs="Times New Roman" w:asciiTheme="minorEastAsia" w:hAnsiTheme="minorEastAsia" w:eastAsiaTheme="minorEastAsia"/>
          <w:kern w:val="2"/>
          <w:highlight w:val="none"/>
          <w:lang w:val="en-US" w:eastAsia="zh-CN"/>
        </w:rPr>
        <w:t>18</w:t>
      </w:r>
      <w:r>
        <w:rPr>
          <w:rFonts w:hint="eastAsia" w:cs="Times New Roman" w:asciiTheme="minorEastAsia" w:hAnsiTheme="minorEastAsia" w:eastAsiaTheme="minorEastAsia"/>
          <w:kern w:val="2"/>
          <w:highlight w:val="none"/>
        </w:rPr>
        <w:t>日</w:t>
      </w:r>
      <w:r>
        <w:rPr>
          <w:rFonts w:hint="eastAsia" w:cs="Times New Roman" w:asciiTheme="minorEastAsia" w:hAnsiTheme="minorEastAsia" w:eastAsiaTheme="minorEastAsia"/>
          <w:kern w:val="2"/>
          <w:highlight w:val="none"/>
          <w:lang w:val="en-US" w:eastAsia="zh-CN"/>
        </w:rPr>
        <w:t>14</w:t>
      </w:r>
      <w:r>
        <w:rPr>
          <w:rFonts w:hint="eastAsia" w:cs="Times New Roman" w:asciiTheme="minorEastAsia" w:hAnsiTheme="minorEastAsia" w:eastAsiaTheme="minorEastAsia"/>
          <w:kern w:val="2"/>
          <w:highlight w:val="none"/>
        </w:rPr>
        <w:t>时30分（北京时间）前递交投标文件。</w:t>
      </w:r>
    </w:p>
    <w:p>
      <w:pPr>
        <w:shd w:val="clear" w:color="auto" w:fill="FFFFFF"/>
        <w:spacing w:line="480" w:lineRule="exact"/>
        <w:rPr>
          <w:rFonts w:asciiTheme="minorEastAsia" w:hAnsiTheme="minorEastAsia" w:eastAsiaTheme="minorEastAsia"/>
          <w:highlight w:val="none"/>
        </w:rPr>
      </w:pPr>
      <w:bookmarkStart w:id="6" w:name="_Toc108721087"/>
      <w:r>
        <w:rPr>
          <w:rStyle w:val="38"/>
          <w:rFonts w:hint="eastAsia" w:asciiTheme="minorEastAsia" w:hAnsiTheme="minorEastAsia" w:eastAsiaTheme="minorEastAsia"/>
          <w:b w:val="0"/>
          <w:highlight w:val="none"/>
        </w:rPr>
        <w:t>一、项目基本情况</w:t>
      </w:r>
    </w:p>
    <w:p>
      <w:pPr>
        <w:pStyle w:val="29"/>
        <w:shd w:val="clear" w:color="auto" w:fill="FFFFFF"/>
        <w:spacing w:before="0" w:beforeAutospacing="0" w:after="0" w:afterAutospacing="0" w:line="480" w:lineRule="atLeast"/>
        <w:ind w:firstLine="480"/>
        <w:jc w:val="both"/>
        <w:rPr>
          <w:rFonts w:hint="eastAsia" w:asciiTheme="minorEastAsia" w:hAnsiTheme="minorEastAsia" w:eastAsiaTheme="minorEastAsia"/>
          <w:kern w:val="2"/>
          <w:highlight w:val="none"/>
          <w:lang w:eastAsia="zh-CN"/>
        </w:rPr>
      </w:pPr>
      <w:r>
        <w:rPr>
          <w:rFonts w:hint="eastAsia" w:asciiTheme="minorEastAsia" w:hAnsiTheme="minorEastAsia" w:eastAsiaTheme="minorEastAsia"/>
          <w:kern w:val="2"/>
        </w:rPr>
        <w:t>项目编</w:t>
      </w:r>
      <w:r>
        <w:rPr>
          <w:rFonts w:hint="eastAsia" w:asciiTheme="minorEastAsia" w:hAnsiTheme="minorEastAsia" w:eastAsiaTheme="minorEastAsia"/>
          <w:kern w:val="2"/>
          <w:highlight w:val="none"/>
        </w:rPr>
        <w:t>号：</w:t>
      </w:r>
      <w:r>
        <w:rPr>
          <w:rFonts w:hint="eastAsia" w:asciiTheme="minorEastAsia" w:hAnsiTheme="minorEastAsia" w:eastAsiaTheme="minorEastAsia"/>
          <w:kern w:val="2"/>
          <w:highlight w:val="none"/>
          <w:lang w:eastAsia="zh-CN"/>
        </w:rPr>
        <w:t>NEXXMGL2023-GK1020</w:t>
      </w:r>
    </w:p>
    <w:p>
      <w:pPr>
        <w:pStyle w:val="29"/>
        <w:shd w:val="clear" w:color="auto" w:fill="FFFFFF"/>
        <w:spacing w:before="0" w:beforeAutospacing="0" w:after="0" w:afterAutospacing="0" w:line="480" w:lineRule="atLeast"/>
        <w:ind w:firstLine="480"/>
        <w:jc w:val="both"/>
        <w:rPr>
          <w:rFonts w:asciiTheme="minorEastAsia" w:hAnsiTheme="minorEastAsia" w:eastAsiaTheme="minorEastAsia"/>
          <w:kern w:val="2"/>
          <w:highlight w:val="none"/>
        </w:rPr>
      </w:pPr>
      <w:r>
        <w:rPr>
          <w:rFonts w:hint="eastAsia" w:asciiTheme="minorEastAsia" w:hAnsiTheme="minorEastAsia" w:eastAsiaTheme="minorEastAsia"/>
          <w:kern w:val="2"/>
          <w:highlight w:val="none"/>
        </w:rPr>
        <w:t>项目名称：2023年莲湖疾控区域中心实验室仪器设备采购项目</w:t>
      </w:r>
    </w:p>
    <w:p>
      <w:pPr>
        <w:pStyle w:val="29"/>
        <w:shd w:val="clear" w:color="auto" w:fill="FFFFFF"/>
        <w:spacing w:before="0" w:beforeAutospacing="0" w:after="0" w:afterAutospacing="0" w:line="480" w:lineRule="atLeast"/>
        <w:ind w:firstLine="480"/>
        <w:jc w:val="both"/>
        <w:rPr>
          <w:rFonts w:asciiTheme="minorEastAsia" w:hAnsiTheme="minorEastAsia" w:eastAsiaTheme="minorEastAsia"/>
          <w:kern w:val="2"/>
          <w:highlight w:val="none"/>
        </w:rPr>
      </w:pPr>
      <w:r>
        <w:rPr>
          <w:rFonts w:hint="eastAsia" w:asciiTheme="minorEastAsia" w:hAnsiTheme="minorEastAsia" w:eastAsiaTheme="minorEastAsia"/>
          <w:kern w:val="2"/>
          <w:highlight w:val="none"/>
        </w:rPr>
        <w:t>采购方式：公开招标</w:t>
      </w:r>
    </w:p>
    <w:p>
      <w:pPr>
        <w:pStyle w:val="29"/>
        <w:shd w:val="clear" w:color="auto" w:fill="FFFFFF"/>
        <w:spacing w:before="0" w:beforeAutospacing="0" w:after="0" w:afterAutospacing="0" w:line="480" w:lineRule="atLeast"/>
        <w:ind w:firstLine="480"/>
        <w:jc w:val="both"/>
        <w:rPr>
          <w:rFonts w:asciiTheme="minorEastAsia" w:hAnsiTheme="minorEastAsia" w:eastAsiaTheme="minorEastAsia"/>
          <w:kern w:val="2"/>
          <w:highlight w:val="none"/>
        </w:rPr>
      </w:pPr>
      <w:r>
        <w:rPr>
          <w:rFonts w:hint="eastAsia" w:asciiTheme="minorEastAsia" w:hAnsiTheme="minorEastAsia" w:eastAsiaTheme="minorEastAsia"/>
          <w:kern w:val="2"/>
          <w:highlight w:val="none"/>
        </w:rPr>
        <w:t>预算金额：2,267,000.00元</w:t>
      </w:r>
    </w:p>
    <w:p>
      <w:pPr>
        <w:pStyle w:val="29"/>
        <w:shd w:val="clear" w:color="auto" w:fill="FFFFFF"/>
        <w:spacing w:before="0" w:beforeAutospacing="0" w:after="0" w:afterAutospacing="0" w:line="480" w:lineRule="atLeast"/>
        <w:ind w:firstLine="480"/>
        <w:jc w:val="both"/>
        <w:rPr>
          <w:rFonts w:asciiTheme="minorEastAsia" w:hAnsiTheme="minorEastAsia" w:eastAsiaTheme="minorEastAsia"/>
          <w:kern w:val="2"/>
          <w:highlight w:val="none"/>
        </w:rPr>
      </w:pPr>
      <w:r>
        <w:rPr>
          <w:rFonts w:hint="eastAsia" w:asciiTheme="minorEastAsia" w:hAnsiTheme="minorEastAsia" w:eastAsiaTheme="minorEastAsia"/>
          <w:kern w:val="2"/>
          <w:highlight w:val="none"/>
        </w:rPr>
        <w:t>采购需求：</w:t>
      </w:r>
    </w:p>
    <w:p>
      <w:pPr>
        <w:spacing w:line="520" w:lineRule="exact"/>
        <w:ind w:firstLine="480" w:firstLineChars="200"/>
        <w:rPr>
          <w:rFonts w:asciiTheme="minorEastAsia" w:hAnsiTheme="minorEastAsia" w:eastAsiaTheme="minorEastAsia"/>
          <w:sz w:val="24"/>
          <w:highlight w:val="none"/>
        </w:rPr>
      </w:pPr>
      <w:bookmarkStart w:id="7" w:name="_Toc114840400"/>
      <w:r>
        <w:rPr>
          <w:rFonts w:hint="eastAsia" w:asciiTheme="minorEastAsia" w:hAnsiTheme="minorEastAsia" w:eastAsiaTheme="minorEastAsia"/>
          <w:sz w:val="24"/>
          <w:highlight w:val="none"/>
        </w:rPr>
        <w:t>合同包1(气相色谱-质谱联用仪等仪器设备):</w:t>
      </w:r>
      <w:bookmarkEnd w:id="7"/>
    </w:p>
    <w:p>
      <w:pPr>
        <w:pStyle w:val="29"/>
        <w:shd w:val="clear" w:color="auto" w:fill="FFFFFF"/>
        <w:spacing w:before="0" w:beforeAutospacing="0" w:after="0" w:afterAutospacing="0" w:line="480" w:lineRule="atLeast"/>
        <w:ind w:firstLine="480"/>
        <w:jc w:val="both"/>
        <w:rPr>
          <w:rFonts w:asciiTheme="minorEastAsia" w:hAnsiTheme="minorEastAsia" w:eastAsiaTheme="minorEastAsia"/>
          <w:kern w:val="2"/>
          <w:highlight w:val="none"/>
        </w:rPr>
      </w:pPr>
      <w:r>
        <w:rPr>
          <w:rFonts w:hint="eastAsia" w:asciiTheme="minorEastAsia" w:hAnsiTheme="minorEastAsia" w:eastAsiaTheme="minorEastAsia"/>
          <w:kern w:val="2"/>
          <w:highlight w:val="none"/>
        </w:rPr>
        <w:t>合同包预算金额：1,189,000.00元</w:t>
      </w:r>
    </w:p>
    <w:p>
      <w:pPr>
        <w:pStyle w:val="29"/>
        <w:shd w:val="clear" w:color="auto" w:fill="FFFFFF"/>
        <w:spacing w:before="0" w:beforeAutospacing="0" w:after="0" w:afterAutospacing="0" w:line="480" w:lineRule="atLeast"/>
        <w:ind w:firstLine="480"/>
        <w:jc w:val="both"/>
        <w:rPr>
          <w:rFonts w:asciiTheme="minorEastAsia" w:hAnsiTheme="minorEastAsia" w:eastAsiaTheme="minorEastAsia"/>
          <w:color w:val="FF0000"/>
          <w:kern w:val="2"/>
          <w:highlight w:val="none"/>
        </w:rPr>
      </w:pPr>
      <w:r>
        <w:rPr>
          <w:rFonts w:hint="eastAsia" w:asciiTheme="minorEastAsia" w:hAnsiTheme="minorEastAsia" w:eastAsiaTheme="minorEastAsia"/>
          <w:kern w:val="2"/>
          <w:highlight w:val="none"/>
        </w:rPr>
        <w:t>合同包最高限价：1,189,000.00元</w:t>
      </w:r>
    </w:p>
    <w:tbl>
      <w:tblPr>
        <w:tblStyle w:val="35"/>
        <w:tblW w:w="4916" w:type="pct"/>
        <w:tblInd w:w="188" w:type="dxa"/>
        <w:shd w:val="clear" w:color="auto" w:fill="FFFFFF"/>
        <w:tblLayout w:type="fixed"/>
        <w:tblCellMar>
          <w:top w:w="0" w:type="dxa"/>
          <w:left w:w="0" w:type="dxa"/>
          <w:bottom w:w="0" w:type="dxa"/>
          <w:right w:w="0" w:type="dxa"/>
        </w:tblCellMar>
      </w:tblPr>
      <w:tblGrid>
        <w:gridCol w:w="880"/>
        <w:gridCol w:w="916"/>
        <w:gridCol w:w="1020"/>
        <w:gridCol w:w="1063"/>
        <w:gridCol w:w="1767"/>
        <w:gridCol w:w="1635"/>
        <w:gridCol w:w="1873"/>
      </w:tblGrid>
      <w:tr>
        <w:tblPrEx>
          <w:shd w:val="clear" w:color="auto" w:fill="FFFFFF"/>
          <w:tblCellMar>
            <w:top w:w="0" w:type="dxa"/>
            <w:left w:w="0" w:type="dxa"/>
            <w:bottom w:w="0" w:type="dxa"/>
            <w:right w:w="0" w:type="dxa"/>
          </w:tblCellMar>
        </w:tblPrEx>
        <w:trPr>
          <w:trHeight w:val="728" w:hRule="atLeast"/>
          <w:tblHeader/>
        </w:trPr>
        <w:tc>
          <w:tcPr>
            <w:tcW w:w="88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80" w:lineRule="exact"/>
              <w:jc w:val="center"/>
              <w:rPr>
                <w:rFonts w:cs="宋体" w:asciiTheme="minorEastAsia" w:hAnsiTheme="minorEastAsia" w:eastAsiaTheme="minorEastAsia"/>
                <w:b/>
                <w:bCs/>
                <w:kern w:val="0"/>
                <w:szCs w:val="21"/>
                <w:highlight w:val="none"/>
              </w:rPr>
            </w:pPr>
            <w:r>
              <w:rPr>
                <w:rFonts w:cs="宋体" w:asciiTheme="minorEastAsia" w:hAnsiTheme="minorEastAsia" w:eastAsiaTheme="minorEastAsia"/>
                <w:b/>
                <w:bCs/>
                <w:kern w:val="0"/>
                <w:szCs w:val="21"/>
                <w:highlight w:val="none"/>
              </w:rPr>
              <w:t>品目号</w:t>
            </w:r>
          </w:p>
        </w:tc>
        <w:tc>
          <w:tcPr>
            <w:tcW w:w="91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80" w:lineRule="exact"/>
              <w:jc w:val="center"/>
              <w:rPr>
                <w:rFonts w:cs="宋体" w:asciiTheme="minorEastAsia" w:hAnsiTheme="minorEastAsia" w:eastAsiaTheme="minorEastAsia"/>
                <w:b/>
                <w:bCs/>
                <w:kern w:val="0"/>
                <w:szCs w:val="21"/>
                <w:highlight w:val="none"/>
              </w:rPr>
            </w:pPr>
            <w:r>
              <w:rPr>
                <w:rFonts w:cs="宋体" w:asciiTheme="minorEastAsia" w:hAnsiTheme="minorEastAsia" w:eastAsiaTheme="minorEastAsia"/>
                <w:b/>
                <w:bCs/>
                <w:kern w:val="0"/>
                <w:szCs w:val="21"/>
                <w:highlight w:val="none"/>
              </w:rPr>
              <w:t>品目名称</w:t>
            </w:r>
          </w:p>
        </w:tc>
        <w:tc>
          <w:tcPr>
            <w:tcW w:w="102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80" w:lineRule="exact"/>
              <w:jc w:val="center"/>
              <w:rPr>
                <w:rFonts w:cs="宋体" w:asciiTheme="minorEastAsia" w:hAnsiTheme="minorEastAsia" w:eastAsiaTheme="minorEastAsia"/>
                <w:b/>
                <w:bCs/>
                <w:kern w:val="0"/>
                <w:szCs w:val="21"/>
                <w:highlight w:val="none"/>
              </w:rPr>
            </w:pPr>
            <w:r>
              <w:rPr>
                <w:rFonts w:cs="宋体" w:asciiTheme="minorEastAsia" w:hAnsiTheme="minorEastAsia" w:eastAsiaTheme="minorEastAsia"/>
                <w:b/>
                <w:bCs/>
                <w:kern w:val="0"/>
                <w:szCs w:val="21"/>
                <w:highlight w:val="none"/>
              </w:rPr>
              <w:t>采购标的</w:t>
            </w:r>
          </w:p>
        </w:tc>
        <w:tc>
          <w:tcPr>
            <w:tcW w:w="106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80" w:lineRule="exact"/>
              <w:jc w:val="center"/>
              <w:rPr>
                <w:rFonts w:cs="宋体" w:asciiTheme="minorEastAsia" w:hAnsiTheme="minorEastAsia" w:eastAsiaTheme="minorEastAsia"/>
                <w:b/>
                <w:bCs/>
                <w:kern w:val="0"/>
                <w:szCs w:val="21"/>
                <w:highlight w:val="none"/>
              </w:rPr>
            </w:pPr>
            <w:r>
              <w:rPr>
                <w:rFonts w:cs="宋体" w:asciiTheme="minorEastAsia" w:hAnsiTheme="minorEastAsia" w:eastAsiaTheme="minorEastAsia"/>
                <w:b/>
                <w:bCs/>
                <w:kern w:val="0"/>
                <w:szCs w:val="21"/>
                <w:highlight w:val="none"/>
              </w:rPr>
              <w:t>数量（单位）</w:t>
            </w:r>
          </w:p>
        </w:tc>
        <w:tc>
          <w:tcPr>
            <w:tcW w:w="1767"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80" w:lineRule="exact"/>
              <w:jc w:val="center"/>
              <w:rPr>
                <w:rFonts w:cs="宋体" w:asciiTheme="minorEastAsia" w:hAnsiTheme="minorEastAsia" w:eastAsiaTheme="minorEastAsia"/>
                <w:b/>
                <w:bCs/>
                <w:kern w:val="0"/>
                <w:szCs w:val="21"/>
                <w:highlight w:val="none"/>
              </w:rPr>
            </w:pPr>
            <w:r>
              <w:rPr>
                <w:rFonts w:cs="宋体" w:asciiTheme="minorEastAsia" w:hAnsiTheme="minorEastAsia" w:eastAsiaTheme="minorEastAsia"/>
                <w:b/>
                <w:bCs/>
                <w:kern w:val="0"/>
                <w:szCs w:val="21"/>
                <w:highlight w:val="none"/>
              </w:rPr>
              <w:t>技术规格、参数及要求</w:t>
            </w:r>
          </w:p>
        </w:tc>
        <w:tc>
          <w:tcPr>
            <w:tcW w:w="163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80" w:lineRule="exact"/>
              <w:jc w:val="center"/>
              <w:rPr>
                <w:rFonts w:cs="宋体" w:asciiTheme="minorEastAsia" w:hAnsiTheme="minorEastAsia" w:eastAsiaTheme="minorEastAsia"/>
                <w:b/>
                <w:bCs/>
                <w:kern w:val="0"/>
                <w:szCs w:val="21"/>
                <w:highlight w:val="none"/>
              </w:rPr>
            </w:pPr>
            <w:r>
              <w:rPr>
                <w:rFonts w:cs="宋体" w:asciiTheme="minorEastAsia" w:hAnsiTheme="minorEastAsia" w:eastAsiaTheme="minorEastAsia"/>
                <w:b/>
                <w:bCs/>
                <w:kern w:val="0"/>
                <w:szCs w:val="21"/>
                <w:highlight w:val="none"/>
              </w:rPr>
              <w:t>品目预算(元)</w:t>
            </w:r>
          </w:p>
        </w:tc>
        <w:tc>
          <w:tcPr>
            <w:tcW w:w="187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80" w:lineRule="exact"/>
              <w:jc w:val="center"/>
              <w:rPr>
                <w:rFonts w:cs="宋体" w:asciiTheme="minorEastAsia" w:hAnsiTheme="minorEastAsia" w:eastAsiaTheme="minorEastAsia"/>
                <w:b/>
                <w:bCs/>
                <w:kern w:val="0"/>
                <w:szCs w:val="21"/>
                <w:highlight w:val="none"/>
              </w:rPr>
            </w:pPr>
            <w:r>
              <w:rPr>
                <w:rFonts w:hint="eastAsia" w:cs="宋体" w:asciiTheme="minorEastAsia" w:hAnsiTheme="minorEastAsia" w:eastAsiaTheme="minorEastAsia"/>
                <w:b/>
                <w:bCs/>
                <w:kern w:val="0"/>
                <w:szCs w:val="21"/>
                <w:highlight w:val="none"/>
              </w:rPr>
              <w:t>最高限价</w:t>
            </w:r>
          </w:p>
        </w:tc>
      </w:tr>
      <w:tr>
        <w:tblPrEx>
          <w:shd w:val="clear" w:color="auto" w:fill="FFFFFF"/>
          <w:tblCellMar>
            <w:top w:w="0" w:type="dxa"/>
            <w:left w:w="0" w:type="dxa"/>
            <w:bottom w:w="0" w:type="dxa"/>
            <w:right w:w="0" w:type="dxa"/>
          </w:tblCellMar>
        </w:tblPrEx>
        <w:trPr>
          <w:trHeight w:val="480" w:hRule="atLeast"/>
        </w:trPr>
        <w:tc>
          <w:tcPr>
            <w:tcW w:w="88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80" w:lineRule="exact"/>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1-1</w:t>
            </w:r>
          </w:p>
        </w:tc>
        <w:tc>
          <w:tcPr>
            <w:tcW w:w="91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80" w:lineRule="exact"/>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医疗设备</w:t>
            </w:r>
          </w:p>
        </w:tc>
        <w:tc>
          <w:tcPr>
            <w:tcW w:w="102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80" w:lineRule="exact"/>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气相色谱-质谱联用仪等仪器设备</w:t>
            </w:r>
          </w:p>
        </w:tc>
        <w:tc>
          <w:tcPr>
            <w:tcW w:w="106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80" w:lineRule="exact"/>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1 批</w:t>
            </w:r>
          </w:p>
        </w:tc>
        <w:tc>
          <w:tcPr>
            <w:tcW w:w="1767"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80" w:lineRule="exact"/>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详见采购文件</w:t>
            </w:r>
          </w:p>
        </w:tc>
        <w:tc>
          <w:tcPr>
            <w:tcW w:w="163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spacing w:line="280" w:lineRule="exact"/>
              <w:jc w:val="center"/>
              <w:rPr>
                <w:rFonts w:cs="宋体" w:asciiTheme="minorEastAsia" w:hAnsiTheme="minorEastAsia" w:eastAsiaTheme="minorEastAsia"/>
                <w:kern w:val="0"/>
                <w:szCs w:val="21"/>
                <w:highlight w:val="none"/>
              </w:rPr>
            </w:pPr>
            <w:r>
              <w:rPr>
                <w:rFonts w:hint="eastAsia" w:asciiTheme="minorEastAsia" w:hAnsiTheme="minorEastAsia" w:eastAsiaTheme="minorEastAsia"/>
                <w:highlight w:val="none"/>
              </w:rPr>
              <w:t>1,189,000.00</w:t>
            </w:r>
            <w:r>
              <w:rPr>
                <w:rFonts w:hint="eastAsia" w:cs="宋体" w:asciiTheme="minorEastAsia" w:hAnsiTheme="minorEastAsia" w:eastAsiaTheme="minorEastAsia"/>
                <w:kern w:val="0"/>
                <w:szCs w:val="21"/>
                <w:highlight w:val="none"/>
              </w:rPr>
              <w:t xml:space="preserve"> </w:t>
            </w:r>
          </w:p>
        </w:tc>
        <w:tc>
          <w:tcPr>
            <w:tcW w:w="187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80" w:lineRule="exact"/>
              <w:jc w:val="center"/>
              <w:rPr>
                <w:rFonts w:cs="宋体" w:asciiTheme="minorEastAsia" w:hAnsiTheme="minorEastAsia" w:eastAsiaTheme="minorEastAsia"/>
                <w:kern w:val="0"/>
                <w:szCs w:val="21"/>
                <w:highlight w:val="none"/>
              </w:rPr>
            </w:pPr>
            <w:r>
              <w:rPr>
                <w:rFonts w:hint="eastAsia" w:asciiTheme="minorEastAsia" w:hAnsiTheme="minorEastAsia" w:eastAsiaTheme="minorEastAsia"/>
                <w:highlight w:val="none"/>
              </w:rPr>
              <w:t>1,189,000.00</w:t>
            </w:r>
            <w:r>
              <w:rPr>
                <w:rFonts w:hint="eastAsia" w:cs="宋体" w:asciiTheme="minorEastAsia" w:hAnsiTheme="minorEastAsia" w:eastAsiaTheme="minorEastAsia"/>
                <w:kern w:val="0"/>
                <w:szCs w:val="21"/>
                <w:highlight w:val="none"/>
              </w:rPr>
              <w:t xml:space="preserve"> </w:t>
            </w:r>
          </w:p>
        </w:tc>
      </w:tr>
    </w:tbl>
    <w:p>
      <w:pPr>
        <w:widowControl/>
        <w:shd w:val="clear" w:color="auto" w:fill="FFFFFF"/>
        <w:spacing w:line="480" w:lineRule="atLeast"/>
        <w:ind w:firstLine="630"/>
        <w:textAlignment w:val="baseline"/>
        <w:rPr>
          <w:rFonts w:asciiTheme="minorEastAsia" w:hAnsiTheme="minorEastAsia" w:eastAsiaTheme="minorEastAsia"/>
          <w:sz w:val="24"/>
          <w:highlight w:val="none"/>
        </w:rPr>
      </w:pPr>
      <w:r>
        <w:rPr>
          <w:rFonts w:asciiTheme="minorEastAsia" w:hAnsiTheme="minorEastAsia" w:eastAsiaTheme="minorEastAsia"/>
          <w:sz w:val="24"/>
          <w:highlight w:val="none"/>
        </w:rPr>
        <w:t>本合同包不接受联合体投标</w:t>
      </w:r>
    </w:p>
    <w:p>
      <w:pPr>
        <w:widowControl/>
        <w:shd w:val="clear" w:color="auto" w:fill="FFFFFF"/>
        <w:spacing w:line="480" w:lineRule="atLeast"/>
        <w:ind w:firstLine="630"/>
        <w:textAlignment w:val="baseline"/>
        <w:rPr>
          <w:rFonts w:asciiTheme="minorEastAsia" w:hAnsiTheme="minorEastAsia" w:eastAsiaTheme="minorEastAsia"/>
          <w:sz w:val="24"/>
          <w:highlight w:val="none"/>
        </w:rPr>
      </w:pPr>
      <w:r>
        <w:rPr>
          <w:rFonts w:asciiTheme="minorEastAsia" w:hAnsiTheme="minorEastAsia" w:eastAsiaTheme="minorEastAsia"/>
          <w:sz w:val="24"/>
          <w:highlight w:val="none"/>
        </w:rPr>
        <w:t>合同履行期限：</w:t>
      </w:r>
      <w:r>
        <w:rPr>
          <w:rFonts w:hint="eastAsia" w:asciiTheme="minorEastAsia" w:hAnsiTheme="minorEastAsia" w:eastAsiaTheme="minorEastAsia"/>
          <w:sz w:val="24"/>
          <w:highlight w:val="none"/>
        </w:rPr>
        <w:t>合同签订后</w:t>
      </w:r>
      <w:r>
        <w:rPr>
          <w:rFonts w:hint="eastAsia" w:asciiTheme="minorEastAsia" w:hAnsiTheme="minorEastAsia" w:eastAsiaTheme="minorEastAsia"/>
          <w:sz w:val="24"/>
          <w:highlight w:val="none"/>
          <w:lang w:val="en-US" w:eastAsia="zh-CN"/>
        </w:rPr>
        <w:t>60</w:t>
      </w:r>
      <w:r>
        <w:rPr>
          <w:rFonts w:hint="eastAsia" w:asciiTheme="minorEastAsia" w:hAnsiTheme="minorEastAsia" w:eastAsiaTheme="minorEastAsia"/>
          <w:sz w:val="24"/>
          <w:highlight w:val="none"/>
        </w:rPr>
        <w:t>个日历日完成产品的安装调试并正常运行。</w:t>
      </w:r>
    </w:p>
    <w:p>
      <w:pPr>
        <w:spacing w:line="52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合同包2(离子色谱仪等仪器设备):</w:t>
      </w:r>
    </w:p>
    <w:p>
      <w:pPr>
        <w:pStyle w:val="29"/>
        <w:shd w:val="clear" w:color="auto" w:fill="FFFFFF"/>
        <w:spacing w:before="0" w:beforeAutospacing="0" w:after="0" w:afterAutospacing="0" w:line="480" w:lineRule="atLeast"/>
        <w:ind w:firstLine="480"/>
        <w:jc w:val="both"/>
        <w:rPr>
          <w:rFonts w:asciiTheme="minorEastAsia" w:hAnsiTheme="minorEastAsia" w:eastAsiaTheme="minorEastAsia"/>
          <w:kern w:val="2"/>
          <w:highlight w:val="none"/>
        </w:rPr>
      </w:pPr>
      <w:r>
        <w:rPr>
          <w:rFonts w:hint="eastAsia" w:asciiTheme="minorEastAsia" w:hAnsiTheme="minorEastAsia" w:eastAsiaTheme="minorEastAsia"/>
          <w:kern w:val="2"/>
          <w:highlight w:val="none"/>
        </w:rPr>
        <w:t>合同包预算金额：1,078,000.00元</w:t>
      </w:r>
    </w:p>
    <w:p>
      <w:pPr>
        <w:pStyle w:val="29"/>
        <w:shd w:val="clear" w:color="auto" w:fill="FFFFFF"/>
        <w:spacing w:before="0" w:beforeAutospacing="0" w:after="0" w:afterAutospacing="0" w:line="480" w:lineRule="atLeast"/>
        <w:ind w:firstLine="480"/>
        <w:jc w:val="both"/>
        <w:rPr>
          <w:rFonts w:asciiTheme="minorEastAsia" w:hAnsiTheme="minorEastAsia" w:eastAsiaTheme="minorEastAsia"/>
          <w:color w:val="FF0000"/>
          <w:kern w:val="2"/>
          <w:highlight w:val="none"/>
        </w:rPr>
      </w:pPr>
      <w:r>
        <w:rPr>
          <w:rFonts w:hint="eastAsia" w:asciiTheme="minorEastAsia" w:hAnsiTheme="minorEastAsia" w:eastAsiaTheme="minorEastAsia"/>
          <w:kern w:val="2"/>
          <w:highlight w:val="none"/>
        </w:rPr>
        <w:t>合同包最高限价：1,078,000.00元</w:t>
      </w:r>
    </w:p>
    <w:tbl>
      <w:tblPr>
        <w:tblStyle w:val="35"/>
        <w:tblW w:w="4916" w:type="pct"/>
        <w:tblInd w:w="122" w:type="dxa"/>
        <w:shd w:val="clear" w:color="auto" w:fill="FFFFFF"/>
        <w:tblLayout w:type="fixed"/>
        <w:tblCellMar>
          <w:top w:w="0" w:type="dxa"/>
          <w:left w:w="0" w:type="dxa"/>
          <w:bottom w:w="0" w:type="dxa"/>
          <w:right w:w="0" w:type="dxa"/>
        </w:tblCellMar>
      </w:tblPr>
      <w:tblGrid>
        <w:gridCol w:w="880"/>
        <w:gridCol w:w="916"/>
        <w:gridCol w:w="1020"/>
        <w:gridCol w:w="1063"/>
        <w:gridCol w:w="1767"/>
        <w:gridCol w:w="1635"/>
        <w:gridCol w:w="1873"/>
      </w:tblGrid>
      <w:tr>
        <w:tblPrEx>
          <w:shd w:val="clear" w:color="auto" w:fill="FFFFFF"/>
          <w:tblCellMar>
            <w:top w:w="0" w:type="dxa"/>
            <w:left w:w="0" w:type="dxa"/>
            <w:bottom w:w="0" w:type="dxa"/>
            <w:right w:w="0" w:type="dxa"/>
          </w:tblCellMar>
        </w:tblPrEx>
        <w:trPr>
          <w:trHeight w:val="728" w:hRule="atLeast"/>
          <w:tblHeader/>
        </w:trPr>
        <w:tc>
          <w:tcPr>
            <w:tcW w:w="88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80" w:lineRule="exact"/>
              <w:jc w:val="center"/>
              <w:rPr>
                <w:rFonts w:cs="宋体" w:asciiTheme="minorEastAsia" w:hAnsiTheme="minorEastAsia" w:eastAsiaTheme="minorEastAsia"/>
                <w:b/>
                <w:bCs/>
                <w:kern w:val="0"/>
                <w:szCs w:val="21"/>
                <w:highlight w:val="none"/>
              </w:rPr>
            </w:pPr>
            <w:r>
              <w:rPr>
                <w:rFonts w:cs="宋体" w:asciiTheme="minorEastAsia" w:hAnsiTheme="minorEastAsia" w:eastAsiaTheme="minorEastAsia"/>
                <w:b/>
                <w:bCs/>
                <w:kern w:val="0"/>
                <w:szCs w:val="21"/>
                <w:highlight w:val="none"/>
              </w:rPr>
              <w:t>品目号</w:t>
            </w:r>
          </w:p>
        </w:tc>
        <w:tc>
          <w:tcPr>
            <w:tcW w:w="91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80" w:lineRule="exact"/>
              <w:jc w:val="center"/>
              <w:rPr>
                <w:rFonts w:cs="宋体" w:asciiTheme="minorEastAsia" w:hAnsiTheme="minorEastAsia" w:eastAsiaTheme="minorEastAsia"/>
                <w:b/>
                <w:bCs/>
                <w:kern w:val="0"/>
                <w:szCs w:val="21"/>
                <w:highlight w:val="none"/>
              </w:rPr>
            </w:pPr>
            <w:r>
              <w:rPr>
                <w:rFonts w:cs="宋体" w:asciiTheme="minorEastAsia" w:hAnsiTheme="minorEastAsia" w:eastAsiaTheme="minorEastAsia"/>
                <w:b/>
                <w:bCs/>
                <w:kern w:val="0"/>
                <w:szCs w:val="21"/>
                <w:highlight w:val="none"/>
              </w:rPr>
              <w:t>品目名称</w:t>
            </w:r>
          </w:p>
        </w:tc>
        <w:tc>
          <w:tcPr>
            <w:tcW w:w="102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80" w:lineRule="exact"/>
              <w:jc w:val="center"/>
              <w:rPr>
                <w:rFonts w:cs="宋体" w:asciiTheme="minorEastAsia" w:hAnsiTheme="minorEastAsia" w:eastAsiaTheme="minorEastAsia"/>
                <w:b/>
                <w:bCs/>
                <w:kern w:val="0"/>
                <w:szCs w:val="21"/>
                <w:highlight w:val="none"/>
              </w:rPr>
            </w:pPr>
            <w:r>
              <w:rPr>
                <w:rFonts w:cs="宋体" w:asciiTheme="minorEastAsia" w:hAnsiTheme="minorEastAsia" w:eastAsiaTheme="minorEastAsia"/>
                <w:b/>
                <w:bCs/>
                <w:kern w:val="0"/>
                <w:szCs w:val="21"/>
                <w:highlight w:val="none"/>
              </w:rPr>
              <w:t>采购标的</w:t>
            </w:r>
          </w:p>
        </w:tc>
        <w:tc>
          <w:tcPr>
            <w:tcW w:w="106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80" w:lineRule="exact"/>
              <w:jc w:val="center"/>
              <w:rPr>
                <w:rFonts w:cs="宋体" w:asciiTheme="minorEastAsia" w:hAnsiTheme="minorEastAsia" w:eastAsiaTheme="minorEastAsia"/>
                <w:b/>
                <w:bCs/>
                <w:kern w:val="0"/>
                <w:szCs w:val="21"/>
                <w:highlight w:val="none"/>
              </w:rPr>
            </w:pPr>
            <w:r>
              <w:rPr>
                <w:rFonts w:cs="宋体" w:asciiTheme="minorEastAsia" w:hAnsiTheme="minorEastAsia" w:eastAsiaTheme="minorEastAsia"/>
                <w:b/>
                <w:bCs/>
                <w:kern w:val="0"/>
                <w:szCs w:val="21"/>
                <w:highlight w:val="none"/>
              </w:rPr>
              <w:t>数量（单位）</w:t>
            </w:r>
          </w:p>
        </w:tc>
        <w:tc>
          <w:tcPr>
            <w:tcW w:w="1767"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80" w:lineRule="exact"/>
              <w:jc w:val="center"/>
              <w:rPr>
                <w:rFonts w:cs="宋体" w:asciiTheme="minorEastAsia" w:hAnsiTheme="minorEastAsia" w:eastAsiaTheme="minorEastAsia"/>
                <w:b/>
                <w:bCs/>
                <w:kern w:val="0"/>
                <w:szCs w:val="21"/>
                <w:highlight w:val="none"/>
              </w:rPr>
            </w:pPr>
            <w:r>
              <w:rPr>
                <w:rFonts w:cs="宋体" w:asciiTheme="minorEastAsia" w:hAnsiTheme="minorEastAsia" w:eastAsiaTheme="minorEastAsia"/>
                <w:b/>
                <w:bCs/>
                <w:kern w:val="0"/>
                <w:szCs w:val="21"/>
                <w:highlight w:val="none"/>
              </w:rPr>
              <w:t>技术规格、参数及要求</w:t>
            </w:r>
          </w:p>
        </w:tc>
        <w:tc>
          <w:tcPr>
            <w:tcW w:w="163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80" w:lineRule="exact"/>
              <w:jc w:val="center"/>
              <w:rPr>
                <w:rFonts w:cs="宋体" w:asciiTheme="minorEastAsia" w:hAnsiTheme="minorEastAsia" w:eastAsiaTheme="minorEastAsia"/>
                <w:b/>
                <w:bCs/>
                <w:kern w:val="0"/>
                <w:szCs w:val="21"/>
                <w:highlight w:val="none"/>
              </w:rPr>
            </w:pPr>
            <w:r>
              <w:rPr>
                <w:rFonts w:cs="宋体" w:asciiTheme="minorEastAsia" w:hAnsiTheme="minorEastAsia" w:eastAsiaTheme="minorEastAsia"/>
                <w:b/>
                <w:bCs/>
                <w:kern w:val="0"/>
                <w:szCs w:val="21"/>
                <w:highlight w:val="none"/>
              </w:rPr>
              <w:t>品目预算(元)</w:t>
            </w:r>
          </w:p>
        </w:tc>
        <w:tc>
          <w:tcPr>
            <w:tcW w:w="187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80" w:lineRule="exact"/>
              <w:jc w:val="center"/>
              <w:rPr>
                <w:rFonts w:cs="宋体" w:asciiTheme="minorEastAsia" w:hAnsiTheme="minorEastAsia" w:eastAsiaTheme="minorEastAsia"/>
                <w:b/>
                <w:bCs/>
                <w:kern w:val="0"/>
                <w:szCs w:val="21"/>
                <w:highlight w:val="none"/>
              </w:rPr>
            </w:pPr>
            <w:r>
              <w:rPr>
                <w:rFonts w:hint="eastAsia" w:cs="宋体" w:asciiTheme="minorEastAsia" w:hAnsiTheme="minorEastAsia" w:eastAsiaTheme="minorEastAsia"/>
                <w:b/>
                <w:bCs/>
                <w:kern w:val="0"/>
                <w:szCs w:val="21"/>
                <w:highlight w:val="none"/>
              </w:rPr>
              <w:t>最高限价</w:t>
            </w:r>
          </w:p>
        </w:tc>
      </w:tr>
      <w:tr>
        <w:tblPrEx>
          <w:shd w:val="clear" w:color="auto" w:fill="FFFFFF"/>
          <w:tblCellMar>
            <w:top w:w="0" w:type="dxa"/>
            <w:left w:w="0" w:type="dxa"/>
            <w:bottom w:w="0" w:type="dxa"/>
            <w:right w:w="0" w:type="dxa"/>
          </w:tblCellMar>
        </w:tblPrEx>
        <w:trPr>
          <w:trHeight w:val="480" w:hRule="atLeast"/>
        </w:trPr>
        <w:tc>
          <w:tcPr>
            <w:tcW w:w="88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80" w:lineRule="exact"/>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2-1</w:t>
            </w:r>
          </w:p>
        </w:tc>
        <w:tc>
          <w:tcPr>
            <w:tcW w:w="91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80" w:lineRule="exact"/>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医疗设备</w:t>
            </w:r>
          </w:p>
        </w:tc>
        <w:tc>
          <w:tcPr>
            <w:tcW w:w="102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80" w:lineRule="exact"/>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离子色谱仪等仪器设备</w:t>
            </w:r>
          </w:p>
        </w:tc>
        <w:tc>
          <w:tcPr>
            <w:tcW w:w="106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80" w:lineRule="exact"/>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1 批</w:t>
            </w:r>
          </w:p>
        </w:tc>
        <w:tc>
          <w:tcPr>
            <w:tcW w:w="1767"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80" w:lineRule="exact"/>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详见采购文件</w:t>
            </w:r>
          </w:p>
        </w:tc>
        <w:tc>
          <w:tcPr>
            <w:tcW w:w="163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spacing w:line="280" w:lineRule="exact"/>
              <w:jc w:val="center"/>
              <w:rPr>
                <w:rFonts w:cs="宋体" w:asciiTheme="minorEastAsia" w:hAnsiTheme="minorEastAsia" w:eastAsiaTheme="minorEastAsia"/>
                <w:kern w:val="0"/>
                <w:szCs w:val="21"/>
                <w:highlight w:val="none"/>
              </w:rPr>
            </w:pPr>
            <w:r>
              <w:rPr>
                <w:rFonts w:hint="eastAsia" w:asciiTheme="minorEastAsia" w:hAnsiTheme="minorEastAsia" w:eastAsiaTheme="minorEastAsia"/>
                <w:highlight w:val="none"/>
              </w:rPr>
              <w:t>1,078,000.00</w:t>
            </w:r>
          </w:p>
        </w:tc>
        <w:tc>
          <w:tcPr>
            <w:tcW w:w="187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80" w:lineRule="exact"/>
              <w:jc w:val="center"/>
              <w:rPr>
                <w:rFonts w:cs="宋体" w:asciiTheme="minorEastAsia" w:hAnsiTheme="minorEastAsia" w:eastAsiaTheme="minorEastAsia"/>
                <w:kern w:val="0"/>
                <w:szCs w:val="21"/>
                <w:highlight w:val="none"/>
              </w:rPr>
            </w:pPr>
            <w:r>
              <w:rPr>
                <w:rFonts w:hint="eastAsia" w:asciiTheme="minorEastAsia" w:hAnsiTheme="minorEastAsia" w:eastAsiaTheme="minorEastAsia"/>
                <w:highlight w:val="none"/>
              </w:rPr>
              <w:t>1,078,000.00</w:t>
            </w:r>
          </w:p>
        </w:tc>
      </w:tr>
    </w:tbl>
    <w:p>
      <w:pPr>
        <w:widowControl/>
        <w:shd w:val="clear" w:color="auto" w:fill="FFFFFF"/>
        <w:spacing w:line="480" w:lineRule="atLeast"/>
        <w:ind w:firstLine="630"/>
        <w:textAlignment w:val="baseline"/>
        <w:rPr>
          <w:rFonts w:asciiTheme="minorEastAsia" w:hAnsiTheme="minorEastAsia" w:eastAsiaTheme="minorEastAsia"/>
          <w:sz w:val="24"/>
          <w:highlight w:val="none"/>
        </w:rPr>
      </w:pPr>
      <w:r>
        <w:rPr>
          <w:rFonts w:asciiTheme="minorEastAsia" w:hAnsiTheme="minorEastAsia" w:eastAsiaTheme="minorEastAsia"/>
          <w:sz w:val="24"/>
          <w:highlight w:val="none"/>
        </w:rPr>
        <w:t>本合同包不接受联合体投标</w:t>
      </w:r>
    </w:p>
    <w:p>
      <w:pPr>
        <w:widowControl/>
        <w:shd w:val="clear" w:color="auto" w:fill="FFFFFF"/>
        <w:spacing w:line="480" w:lineRule="atLeast"/>
        <w:ind w:firstLine="630"/>
        <w:textAlignment w:val="baseline"/>
        <w:rPr>
          <w:rFonts w:asciiTheme="minorEastAsia" w:hAnsiTheme="minorEastAsia" w:eastAsiaTheme="minorEastAsia"/>
          <w:sz w:val="24"/>
          <w:highlight w:val="none"/>
        </w:rPr>
      </w:pPr>
      <w:r>
        <w:rPr>
          <w:rFonts w:asciiTheme="minorEastAsia" w:hAnsiTheme="minorEastAsia" w:eastAsiaTheme="minorEastAsia"/>
          <w:sz w:val="24"/>
          <w:highlight w:val="none"/>
        </w:rPr>
        <w:t>合同履行期限：</w:t>
      </w:r>
      <w:r>
        <w:rPr>
          <w:rFonts w:hint="eastAsia" w:asciiTheme="minorEastAsia" w:hAnsiTheme="minorEastAsia" w:eastAsiaTheme="minorEastAsia"/>
          <w:sz w:val="24"/>
          <w:highlight w:val="none"/>
        </w:rPr>
        <w:t>合同签订后</w:t>
      </w:r>
      <w:r>
        <w:rPr>
          <w:rFonts w:hint="eastAsia" w:asciiTheme="minorEastAsia" w:hAnsiTheme="minorEastAsia" w:eastAsiaTheme="minorEastAsia"/>
          <w:sz w:val="24"/>
          <w:highlight w:val="none"/>
          <w:lang w:val="en-US" w:eastAsia="zh-CN"/>
        </w:rPr>
        <w:t>60</w:t>
      </w:r>
      <w:r>
        <w:rPr>
          <w:rFonts w:hint="eastAsia" w:asciiTheme="minorEastAsia" w:hAnsiTheme="minorEastAsia" w:eastAsiaTheme="minorEastAsia"/>
          <w:sz w:val="24"/>
          <w:highlight w:val="none"/>
        </w:rPr>
        <w:t>个日历日完成产品的安装调试并正常运行</w:t>
      </w:r>
    </w:p>
    <w:p>
      <w:pPr>
        <w:shd w:val="clear" w:color="auto" w:fill="FFFFFF"/>
        <w:spacing w:line="480" w:lineRule="exact"/>
        <w:rPr>
          <w:rFonts w:asciiTheme="minorEastAsia" w:hAnsiTheme="minorEastAsia" w:eastAsiaTheme="minorEastAsia"/>
          <w:highlight w:val="none"/>
        </w:rPr>
      </w:pPr>
      <w:r>
        <w:rPr>
          <w:rStyle w:val="38"/>
          <w:rFonts w:hint="eastAsia" w:asciiTheme="minorEastAsia" w:hAnsiTheme="minorEastAsia" w:eastAsiaTheme="minorEastAsia"/>
          <w:b w:val="0"/>
          <w:highlight w:val="none"/>
        </w:rPr>
        <w:t>二、申请人的资格要求：</w:t>
      </w:r>
    </w:p>
    <w:p>
      <w:pPr>
        <w:pStyle w:val="29"/>
        <w:shd w:val="clear" w:color="auto" w:fill="FFFFFF"/>
        <w:spacing w:before="0" w:beforeAutospacing="0" w:after="0" w:afterAutospacing="0" w:line="480" w:lineRule="exact"/>
        <w:ind w:firstLine="480"/>
        <w:jc w:val="both"/>
        <w:rPr>
          <w:rFonts w:asciiTheme="minorEastAsia" w:hAnsiTheme="minorEastAsia" w:eastAsiaTheme="minorEastAsia"/>
          <w:highlight w:val="none"/>
        </w:rPr>
      </w:pPr>
      <w:r>
        <w:rPr>
          <w:rFonts w:hint="eastAsia" w:asciiTheme="minorEastAsia" w:hAnsiTheme="minorEastAsia" w:eastAsiaTheme="minorEastAsia"/>
          <w:highlight w:val="none"/>
        </w:rPr>
        <w:t>1.满足《中华人民共和国政府采购法》第二十二条规定;</w:t>
      </w:r>
    </w:p>
    <w:p>
      <w:pPr>
        <w:pStyle w:val="29"/>
        <w:shd w:val="clear" w:color="auto" w:fill="FFFFFF"/>
        <w:spacing w:before="0" w:beforeAutospacing="0" w:after="0" w:afterAutospacing="0" w:line="480" w:lineRule="exact"/>
        <w:ind w:firstLine="480"/>
        <w:jc w:val="both"/>
        <w:rPr>
          <w:rFonts w:asciiTheme="minorEastAsia" w:hAnsiTheme="minorEastAsia" w:eastAsiaTheme="minorEastAsia"/>
        </w:rPr>
      </w:pPr>
      <w:r>
        <w:rPr>
          <w:rFonts w:hint="eastAsia" w:asciiTheme="minorEastAsia" w:hAnsiTheme="minorEastAsia" w:eastAsiaTheme="minorEastAsia"/>
        </w:rPr>
        <w:t>2.落实政府采购政策需满足的资格要求：</w:t>
      </w:r>
    </w:p>
    <w:p>
      <w:pPr>
        <w:pStyle w:val="29"/>
        <w:shd w:val="clear" w:color="auto" w:fill="FFFFFF"/>
        <w:spacing w:before="0" w:beforeAutospacing="0" w:after="0" w:afterAutospacing="0" w:line="480" w:lineRule="exact"/>
        <w:ind w:firstLine="480"/>
        <w:jc w:val="both"/>
        <w:rPr>
          <w:rFonts w:asciiTheme="minorEastAsia" w:hAnsiTheme="minorEastAsia" w:eastAsiaTheme="minorEastAsia"/>
        </w:rPr>
      </w:pPr>
      <w:r>
        <w:rPr>
          <w:rFonts w:hint="eastAsia" w:asciiTheme="minorEastAsia" w:hAnsiTheme="minorEastAsia" w:eastAsiaTheme="minorEastAsia"/>
        </w:rPr>
        <w:t>合同包1(气相色谱-质谱联用仪等仪器设备)落实政府采购政策需满足的资格要求如下:</w:t>
      </w:r>
    </w:p>
    <w:p>
      <w:pPr>
        <w:pStyle w:val="29"/>
        <w:shd w:val="clear" w:color="auto" w:fill="FFFFFF"/>
        <w:spacing w:before="0" w:beforeAutospacing="0" w:after="0" w:afterAutospacing="0" w:line="480" w:lineRule="exact"/>
        <w:ind w:firstLine="480" w:firstLineChars="200"/>
        <w:jc w:val="both"/>
        <w:rPr>
          <w:rFonts w:asciiTheme="minorEastAsia" w:hAnsiTheme="minorEastAsia" w:eastAsiaTheme="minorEastAsia"/>
          <w:highlight w:val="none"/>
        </w:rPr>
      </w:pPr>
      <w:r>
        <w:rPr>
          <w:rFonts w:hint="eastAsia" w:asciiTheme="minorEastAsia" w:hAnsiTheme="minorEastAsia" w:eastAsiaTheme="minorEastAsia"/>
          <w:highlight w:val="none"/>
          <w:lang w:val="en-US" w:eastAsia="zh-CN"/>
        </w:rPr>
        <w:t>无</w:t>
      </w:r>
      <w:r>
        <w:rPr>
          <w:rFonts w:hint="eastAsia" w:asciiTheme="minorEastAsia" w:hAnsiTheme="minorEastAsia" w:eastAsiaTheme="minorEastAsia"/>
          <w:highlight w:val="none"/>
        </w:rPr>
        <w:t>。</w:t>
      </w:r>
    </w:p>
    <w:p>
      <w:pPr>
        <w:pStyle w:val="29"/>
        <w:shd w:val="clear" w:color="auto" w:fill="FFFFFF"/>
        <w:spacing w:before="0" w:beforeAutospacing="0" w:after="0" w:afterAutospacing="0" w:line="480" w:lineRule="exact"/>
        <w:ind w:firstLine="480"/>
        <w:jc w:val="both"/>
        <w:rPr>
          <w:rFonts w:asciiTheme="minorEastAsia" w:hAnsiTheme="minorEastAsia" w:eastAsiaTheme="minorEastAsia"/>
        </w:rPr>
      </w:pPr>
      <w:r>
        <w:rPr>
          <w:rFonts w:hint="eastAsia" w:asciiTheme="minorEastAsia" w:hAnsiTheme="minorEastAsia" w:eastAsiaTheme="minorEastAsia"/>
        </w:rPr>
        <w:t>合同包2(离子色谱仪等仪器设备)落实政府采购政策需满足的资格要求如下:</w:t>
      </w:r>
    </w:p>
    <w:p>
      <w:pPr>
        <w:pStyle w:val="29"/>
        <w:shd w:val="clear" w:color="auto" w:fill="FFFFFF"/>
        <w:spacing w:before="0" w:beforeAutospacing="0" w:after="0" w:afterAutospacing="0" w:line="480" w:lineRule="exact"/>
        <w:ind w:firstLine="480" w:firstLineChars="200"/>
        <w:jc w:val="both"/>
        <w:rPr>
          <w:rFonts w:asciiTheme="minorEastAsia" w:hAnsiTheme="minorEastAsia" w:eastAsiaTheme="minorEastAsia"/>
          <w:highlight w:val="none"/>
        </w:rPr>
      </w:pPr>
      <w:r>
        <w:rPr>
          <w:rFonts w:hint="eastAsia" w:asciiTheme="minorEastAsia" w:hAnsiTheme="minorEastAsia" w:eastAsiaTheme="minorEastAsia"/>
          <w:highlight w:val="none"/>
          <w:lang w:val="en-US" w:eastAsia="zh-CN"/>
        </w:rPr>
        <w:t>无</w:t>
      </w:r>
      <w:r>
        <w:rPr>
          <w:rFonts w:hint="eastAsia" w:asciiTheme="minorEastAsia" w:hAnsiTheme="minorEastAsia" w:eastAsiaTheme="minorEastAsia"/>
          <w:highlight w:val="none"/>
        </w:rPr>
        <w:t>。</w:t>
      </w:r>
    </w:p>
    <w:p>
      <w:pPr>
        <w:pStyle w:val="29"/>
        <w:shd w:val="clear" w:color="auto" w:fill="FFFFFF"/>
        <w:spacing w:before="0" w:beforeAutospacing="0" w:after="0" w:afterAutospacing="0" w:line="480" w:lineRule="exact"/>
        <w:ind w:firstLine="480"/>
        <w:jc w:val="both"/>
        <w:rPr>
          <w:rFonts w:asciiTheme="minorEastAsia" w:hAnsiTheme="minorEastAsia" w:eastAsiaTheme="minorEastAsia"/>
        </w:rPr>
      </w:pPr>
      <w:r>
        <w:rPr>
          <w:rFonts w:hint="eastAsia" w:asciiTheme="minorEastAsia" w:hAnsiTheme="minorEastAsia" w:eastAsiaTheme="minorEastAsia"/>
        </w:rPr>
        <w:t>3.本项目的特定资格要求：</w:t>
      </w:r>
    </w:p>
    <w:p>
      <w:pPr>
        <w:pStyle w:val="29"/>
        <w:shd w:val="clear" w:color="auto" w:fill="FFFFFF"/>
        <w:spacing w:before="0" w:beforeAutospacing="0" w:after="0" w:afterAutospacing="0" w:line="480" w:lineRule="exact"/>
        <w:ind w:firstLine="480"/>
        <w:jc w:val="both"/>
        <w:rPr>
          <w:rFonts w:asciiTheme="minorEastAsia" w:hAnsiTheme="minorEastAsia" w:eastAsiaTheme="minorEastAsia"/>
        </w:rPr>
      </w:pPr>
      <w:r>
        <w:rPr>
          <w:rFonts w:hint="eastAsia" w:asciiTheme="minorEastAsia" w:hAnsiTheme="minorEastAsia" w:eastAsiaTheme="minorEastAsia"/>
        </w:rPr>
        <w:t>合同包1(气相色谱-质谱联用仪等仪器设备)特定资格要求如下:</w:t>
      </w:r>
    </w:p>
    <w:p>
      <w:pPr>
        <w:spacing w:line="5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投标人未被列入“中国执行信息公开网”（http://zxgk.court.gov.cn/shixin/）失信被执行人名单，未被列入“信用中国”网站（www.creditchina.gov.cn）重大税收违法失信主体，未被列入“中国政府采购网”（www.ccgp.gov.cn）政府采购严重违法失信行为记录名单</w:t>
      </w:r>
      <w:r>
        <w:rPr>
          <w:rFonts w:asciiTheme="minorEastAsia" w:hAnsiTheme="minorEastAsia" w:eastAsiaTheme="minorEastAsia"/>
          <w:sz w:val="24"/>
        </w:rPr>
        <w:t>；</w:t>
      </w:r>
    </w:p>
    <w:p>
      <w:pPr>
        <w:pStyle w:val="29"/>
        <w:shd w:val="clear" w:color="auto" w:fill="FFFFFF"/>
        <w:spacing w:before="0" w:beforeAutospacing="0" w:after="0" w:afterAutospacing="0" w:line="480" w:lineRule="exact"/>
        <w:ind w:firstLine="480"/>
        <w:jc w:val="both"/>
        <w:rPr>
          <w:rFonts w:hint="eastAsia" w:cs="仿宋" w:asciiTheme="minorEastAsia" w:hAnsiTheme="minorEastAsia" w:eastAsiaTheme="minorEastAsia"/>
          <w:lang w:val="en-US" w:eastAsia="zh-CN"/>
        </w:rPr>
      </w:pPr>
      <w:r>
        <w:rPr>
          <w:rFonts w:hint="eastAsia" w:cs="仿宋" w:asciiTheme="minorEastAsia" w:hAnsiTheme="minorEastAsia" w:eastAsiaTheme="minorEastAsia"/>
          <w:lang w:val="en-US" w:eastAsia="zh-CN"/>
        </w:rPr>
        <w:t>2</w:t>
      </w:r>
      <w:r>
        <w:rPr>
          <w:rFonts w:hint="eastAsia" w:cs="仿宋" w:asciiTheme="minorEastAsia" w:hAnsiTheme="minorEastAsia" w:eastAsiaTheme="minorEastAsia"/>
        </w:rPr>
        <w:t>.法定代表人（或单位负责人）直接参加投标的，须出具法定代表人（或单位负责人）身份证，非法定代表人（或单位负责人）参加投标，须出具法定代表人（或单位负责人）授权书及被授权人身份证</w:t>
      </w:r>
      <w:r>
        <w:rPr>
          <w:rFonts w:hint="eastAsia" w:cs="仿宋" w:asciiTheme="minorEastAsia" w:hAnsiTheme="minorEastAsia" w:eastAsiaTheme="minorEastAsia"/>
          <w:lang w:eastAsia="zh-CN"/>
        </w:rPr>
        <w:t>。</w:t>
      </w:r>
    </w:p>
    <w:p>
      <w:pPr>
        <w:pStyle w:val="29"/>
        <w:shd w:val="clear" w:color="auto" w:fill="FFFFFF"/>
        <w:spacing w:before="0" w:beforeAutospacing="0" w:after="0" w:afterAutospacing="0" w:line="480" w:lineRule="exact"/>
        <w:ind w:firstLine="480"/>
        <w:jc w:val="both"/>
        <w:rPr>
          <w:rFonts w:asciiTheme="minorEastAsia" w:hAnsiTheme="minorEastAsia" w:eastAsiaTheme="minorEastAsia"/>
        </w:rPr>
      </w:pPr>
      <w:r>
        <w:rPr>
          <w:rFonts w:hint="eastAsia" w:asciiTheme="minorEastAsia" w:hAnsiTheme="minorEastAsia" w:eastAsiaTheme="minorEastAsia"/>
        </w:rPr>
        <w:t>合同包2(离子色谱仪等仪器设备)特定资格要求如下:</w:t>
      </w:r>
    </w:p>
    <w:p>
      <w:pPr>
        <w:spacing w:line="5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投标人未被列入“中国执行信息公开网”（http://zxgk.court.gov.cn/shixin/）失信被执行人名单，未被列入“信用中国”网站（www.creditchina.gov.cn）重大税收违法失信主体，未被列入“中国政府采购网”（www.ccgp.gov.cn）政府采购严重违法失信行为记录名单</w:t>
      </w:r>
      <w:r>
        <w:rPr>
          <w:rFonts w:asciiTheme="minorEastAsia" w:hAnsiTheme="minorEastAsia" w:eastAsiaTheme="minorEastAsia"/>
          <w:sz w:val="24"/>
        </w:rPr>
        <w:t>；</w:t>
      </w:r>
    </w:p>
    <w:p>
      <w:pPr>
        <w:spacing w:line="52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lang w:val="en-US" w:eastAsia="zh-CN"/>
        </w:rPr>
        <w:t>2</w:t>
      </w:r>
      <w:r>
        <w:rPr>
          <w:rFonts w:hint="eastAsia" w:cs="仿宋" w:asciiTheme="minorEastAsia" w:hAnsiTheme="minorEastAsia" w:eastAsiaTheme="minorEastAsia"/>
          <w:sz w:val="24"/>
        </w:rPr>
        <w:t>.法定代表人（或单位负责人）直接参加投标的，须出具法定代表人（或单位负责人）身份证，非法定代表人（或单位负责人）参加投标，须出具法定代表人（或单位负责人）授权书及被授权人身份证。</w:t>
      </w:r>
    </w:p>
    <w:p>
      <w:pPr>
        <w:shd w:val="clear" w:color="auto" w:fill="FFFFFF"/>
        <w:spacing w:line="480" w:lineRule="exact"/>
        <w:rPr>
          <w:rFonts w:asciiTheme="minorEastAsia" w:hAnsiTheme="minorEastAsia" w:eastAsiaTheme="minorEastAsia"/>
        </w:rPr>
      </w:pPr>
      <w:r>
        <w:rPr>
          <w:rStyle w:val="38"/>
          <w:rFonts w:hint="eastAsia" w:asciiTheme="minorEastAsia" w:hAnsiTheme="minorEastAsia" w:eastAsiaTheme="minorEastAsia"/>
          <w:b w:val="0"/>
        </w:rPr>
        <w:t>三、获取招标文件</w:t>
      </w:r>
    </w:p>
    <w:p>
      <w:pPr>
        <w:pStyle w:val="29"/>
        <w:shd w:val="clear" w:color="auto" w:fill="FFFFFF"/>
        <w:spacing w:before="0" w:beforeAutospacing="0" w:after="0" w:afterAutospacing="0" w:line="480" w:lineRule="exact"/>
        <w:ind w:firstLine="480"/>
        <w:jc w:val="both"/>
        <w:rPr>
          <w:rFonts w:asciiTheme="minorEastAsia" w:hAnsiTheme="minorEastAsia" w:eastAsiaTheme="minorEastAsia"/>
          <w:highlight w:val="none"/>
        </w:rPr>
      </w:pPr>
      <w:r>
        <w:rPr>
          <w:rFonts w:hint="eastAsia" w:asciiTheme="minorEastAsia" w:hAnsiTheme="minorEastAsia" w:eastAsiaTheme="minorEastAsia"/>
        </w:rPr>
        <w:t>时间：202</w:t>
      </w:r>
      <w:r>
        <w:rPr>
          <w:rFonts w:hint="eastAsia" w:asciiTheme="minorEastAsia" w:hAnsiTheme="minorEastAsia" w:eastAsiaTheme="minorEastAsia"/>
          <w:highlight w:val="none"/>
        </w:rPr>
        <w:t>3年</w:t>
      </w:r>
      <w:r>
        <w:rPr>
          <w:rFonts w:hint="eastAsia" w:asciiTheme="minorEastAsia" w:hAnsiTheme="minorEastAsia" w:eastAsiaTheme="minorEastAsia"/>
          <w:highlight w:val="none"/>
          <w:lang w:val="en-US" w:eastAsia="zh-CN"/>
        </w:rPr>
        <w:t>04</w:t>
      </w:r>
      <w:r>
        <w:rPr>
          <w:rFonts w:hint="eastAsia" w:asciiTheme="minorEastAsia" w:hAnsiTheme="minorEastAsia" w:eastAsiaTheme="minorEastAsia"/>
          <w:highlight w:val="none"/>
        </w:rPr>
        <w:t>月</w:t>
      </w:r>
      <w:r>
        <w:rPr>
          <w:rFonts w:hint="eastAsia" w:asciiTheme="minorEastAsia" w:hAnsiTheme="minorEastAsia" w:eastAsiaTheme="minorEastAsia"/>
          <w:highlight w:val="none"/>
          <w:lang w:val="en-US" w:eastAsia="zh-CN"/>
        </w:rPr>
        <w:t>27</w:t>
      </w:r>
      <w:r>
        <w:rPr>
          <w:rFonts w:hint="eastAsia" w:asciiTheme="minorEastAsia" w:hAnsiTheme="minorEastAsia" w:eastAsiaTheme="minorEastAsia"/>
          <w:highlight w:val="none"/>
        </w:rPr>
        <w:t>日至2023年</w:t>
      </w:r>
      <w:r>
        <w:rPr>
          <w:rFonts w:hint="eastAsia" w:asciiTheme="minorEastAsia" w:hAnsiTheme="minorEastAsia" w:eastAsiaTheme="minorEastAsia"/>
          <w:highlight w:val="none"/>
          <w:lang w:val="en-US" w:eastAsia="zh-CN"/>
        </w:rPr>
        <w:t>05</w:t>
      </w:r>
      <w:r>
        <w:rPr>
          <w:rFonts w:hint="eastAsia" w:asciiTheme="minorEastAsia" w:hAnsiTheme="minorEastAsia" w:eastAsiaTheme="minorEastAsia"/>
          <w:highlight w:val="none"/>
        </w:rPr>
        <w:t>月</w:t>
      </w:r>
      <w:r>
        <w:rPr>
          <w:rFonts w:hint="eastAsia" w:asciiTheme="minorEastAsia" w:hAnsiTheme="minorEastAsia" w:eastAsiaTheme="minorEastAsia"/>
          <w:highlight w:val="none"/>
          <w:lang w:val="en-US" w:eastAsia="zh-CN"/>
        </w:rPr>
        <w:t>08</w:t>
      </w:r>
      <w:r>
        <w:rPr>
          <w:rFonts w:hint="eastAsia" w:asciiTheme="minorEastAsia" w:hAnsiTheme="minorEastAsia" w:eastAsiaTheme="minorEastAsia"/>
          <w:highlight w:val="none"/>
        </w:rPr>
        <w:t>日，每天上午9:00至12:00，下午14:00至17:00（北京时间,法定节假日除外）</w:t>
      </w:r>
    </w:p>
    <w:p>
      <w:pPr>
        <w:spacing w:line="520" w:lineRule="exact"/>
        <w:ind w:firstLine="480" w:firstLineChars="200"/>
        <w:rPr>
          <w:rFonts w:cs="仿宋"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rPr>
        <w:t>地点：</w:t>
      </w:r>
      <w:r>
        <w:rPr>
          <w:rFonts w:hint="eastAsia" w:cs="仿宋" w:asciiTheme="minorEastAsia" w:hAnsiTheme="minorEastAsia" w:eastAsiaTheme="minorEastAsia"/>
          <w:sz w:val="24"/>
          <w:highlight w:val="none"/>
        </w:rPr>
        <w:t>西安市莲湖区光远路16号新世纪大厦7 层B区</w:t>
      </w:r>
    </w:p>
    <w:p>
      <w:pPr>
        <w:pStyle w:val="29"/>
        <w:shd w:val="clear" w:color="auto" w:fill="FFFFFF"/>
        <w:spacing w:before="0" w:beforeAutospacing="0" w:after="0" w:afterAutospacing="0" w:line="480" w:lineRule="exact"/>
        <w:ind w:firstLine="480"/>
        <w:jc w:val="both"/>
        <w:rPr>
          <w:rFonts w:asciiTheme="minorEastAsia" w:hAnsiTheme="minorEastAsia" w:eastAsiaTheme="minorEastAsia"/>
          <w:highlight w:val="none"/>
        </w:rPr>
      </w:pPr>
      <w:r>
        <w:rPr>
          <w:rFonts w:hint="eastAsia" w:asciiTheme="minorEastAsia" w:hAnsiTheme="minorEastAsia" w:eastAsiaTheme="minorEastAsia"/>
          <w:highlight w:val="none"/>
        </w:rPr>
        <w:t>方式：现场获取</w:t>
      </w:r>
    </w:p>
    <w:p>
      <w:pPr>
        <w:pStyle w:val="29"/>
        <w:shd w:val="clear" w:color="auto" w:fill="FFFFFF"/>
        <w:spacing w:before="0" w:beforeAutospacing="0" w:after="0" w:afterAutospacing="0" w:line="480" w:lineRule="exact"/>
        <w:ind w:firstLine="480"/>
        <w:jc w:val="both"/>
        <w:rPr>
          <w:rFonts w:asciiTheme="minorEastAsia" w:hAnsiTheme="minorEastAsia" w:eastAsiaTheme="minorEastAsia"/>
          <w:highlight w:val="none"/>
        </w:rPr>
      </w:pPr>
      <w:r>
        <w:rPr>
          <w:rFonts w:hint="eastAsia" w:asciiTheme="minorEastAsia" w:hAnsiTheme="minorEastAsia" w:eastAsiaTheme="minorEastAsia"/>
          <w:highlight w:val="none"/>
        </w:rPr>
        <w:t>售价：0元</w:t>
      </w:r>
    </w:p>
    <w:p>
      <w:pPr>
        <w:shd w:val="clear" w:color="auto" w:fill="FFFFFF"/>
        <w:spacing w:line="480" w:lineRule="exact"/>
        <w:rPr>
          <w:rFonts w:asciiTheme="minorEastAsia" w:hAnsiTheme="minorEastAsia" w:eastAsiaTheme="minorEastAsia"/>
          <w:highlight w:val="none"/>
        </w:rPr>
      </w:pPr>
      <w:r>
        <w:rPr>
          <w:rStyle w:val="38"/>
          <w:rFonts w:hint="eastAsia" w:asciiTheme="minorEastAsia" w:hAnsiTheme="minorEastAsia" w:eastAsiaTheme="minorEastAsia"/>
          <w:b w:val="0"/>
          <w:highlight w:val="none"/>
        </w:rPr>
        <w:t>四、提交投标文件截止时间、开标时间和地点</w:t>
      </w:r>
    </w:p>
    <w:p>
      <w:pPr>
        <w:pStyle w:val="29"/>
        <w:shd w:val="clear" w:color="auto" w:fill="FFFFFF"/>
        <w:spacing w:before="0" w:beforeAutospacing="0" w:after="0" w:afterAutospacing="0" w:line="480" w:lineRule="exact"/>
        <w:ind w:firstLine="480"/>
        <w:jc w:val="both"/>
        <w:rPr>
          <w:rFonts w:asciiTheme="minorEastAsia" w:hAnsiTheme="minorEastAsia" w:eastAsiaTheme="minorEastAsia"/>
        </w:rPr>
      </w:pPr>
      <w:r>
        <w:rPr>
          <w:rFonts w:hint="eastAsia" w:asciiTheme="minorEastAsia" w:hAnsiTheme="minorEastAsia" w:eastAsiaTheme="minorEastAsia"/>
          <w:highlight w:val="none"/>
        </w:rPr>
        <w:t>时间：2023年</w:t>
      </w:r>
      <w:r>
        <w:rPr>
          <w:rFonts w:hint="eastAsia" w:asciiTheme="minorEastAsia" w:hAnsiTheme="minorEastAsia" w:eastAsiaTheme="minorEastAsia"/>
          <w:highlight w:val="none"/>
          <w:lang w:val="en-US" w:eastAsia="zh-CN"/>
        </w:rPr>
        <w:t>05</w:t>
      </w:r>
      <w:r>
        <w:rPr>
          <w:rFonts w:hint="eastAsia" w:asciiTheme="minorEastAsia" w:hAnsiTheme="minorEastAsia" w:eastAsiaTheme="minorEastAsia"/>
          <w:highlight w:val="none"/>
        </w:rPr>
        <w:t>月</w:t>
      </w:r>
      <w:r>
        <w:rPr>
          <w:rFonts w:hint="eastAsia" w:asciiTheme="minorEastAsia" w:hAnsiTheme="minorEastAsia" w:eastAsiaTheme="minorEastAsia"/>
          <w:highlight w:val="none"/>
          <w:lang w:val="en-US" w:eastAsia="zh-CN"/>
        </w:rPr>
        <w:t>18</w:t>
      </w:r>
      <w:r>
        <w:rPr>
          <w:rFonts w:hint="eastAsia" w:asciiTheme="minorEastAsia" w:hAnsiTheme="minorEastAsia" w:eastAsiaTheme="minorEastAsia"/>
          <w:highlight w:val="none"/>
        </w:rPr>
        <w:t>日</w:t>
      </w:r>
      <w:r>
        <w:rPr>
          <w:rFonts w:hint="eastAsia" w:asciiTheme="minorEastAsia" w:hAnsiTheme="minorEastAsia" w:eastAsiaTheme="minorEastAsia"/>
          <w:highlight w:val="none"/>
          <w:lang w:val="en-US" w:eastAsia="zh-CN"/>
        </w:rPr>
        <w:t>14</w:t>
      </w:r>
      <w:r>
        <w:rPr>
          <w:rFonts w:hint="eastAsia" w:asciiTheme="minorEastAsia" w:hAnsiTheme="minorEastAsia" w:eastAsiaTheme="minorEastAsia"/>
          <w:highlight w:val="none"/>
        </w:rPr>
        <w:t>时</w:t>
      </w:r>
      <w:r>
        <w:rPr>
          <w:rFonts w:hint="eastAsia" w:asciiTheme="minorEastAsia" w:hAnsiTheme="minorEastAsia" w:eastAsiaTheme="minorEastAsia"/>
          <w:highlight w:val="none"/>
          <w:lang w:val="en-US" w:eastAsia="zh-CN"/>
        </w:rPr>
        <w:t>30</w:t>
      </w:r>
      <w:r>
        <w:rPr>
          <w:rFonts w:hint="eastAsia" w:asciiTheme="minorEastAsia" w:hAnsiTheme="minorEastAsia" w:eastAsiaTheme="minorEastAsia"/>
          <w:highlight w:val="none"/>
        </w:rPr>
        <w:t>分00</w:t>
      </w:r>
      <w:r>
        <w:rPr>
          <w:rFonts w:hint="eastAsia" w:asciiTheme="minorEastAsia" w:hAnsiTheme="minorEastAsia" w:eastAsiaTheme="minorEastAsia"/>
        </w:rPr>
        <w:t>秒 （北京时间）</w:t>
      </w:r>
    </w:p>
    <w:p>
      <w:pPr>
        <w:pStyle w:val="29"/>
        <w:shd w:val="clear" w:color="auto" w:fill="FFFFFF"/>
        <w:spacing w:before="0" w:beforeAutospacing="0" w:after="0" w:afterAutospacing="0" w:line="480" w:lineRule="exact"/>
        <w:ind w:firstLine="480"/>
        <w:jc w:val="both"/>
        <w:rPr>
          <w:rFonts w:asciiTheme="minorEastAsia" w:hAnsiTheme="minorEastAsia" w:eastAsiaTheme="minorEastAsia"/>
        </w:rPr>
      </w:pPr>
      <w:r>
        <w:rPr>
          <w:rFonts w:hint="eastAsia" w:asciiTheme="minorEastAsia" w:hAnsiTheme="minorEastAsia" w:eastAsiaTheme="minorEastAsia"/>
        </w:rPr>
        <w:t>提交投标文件地点：西安市莲湖区光远路16号新世纪大厦7 层B区会议室。</w:t>
      </w:r>
    </w:p>
    <w:p>
      <w:pPr>
        <w:pStyle w:val="29"/>
        <w:shd w:val="clear" w:color="auto" w:fill="FFFFFF"/>
        <w:spacing w:before="0" w:beforeAutospacing="0" w:after="0" w:afterAutospacing="0" w:line="480" w:lineRule="exact"/>
        <w:ind w:firstLine="480"/>
        <w:jc w:val="both"/>
        <w:rPr>
          <w:rFonts w:asciiTheme="minorEastAsia" w:hAnsiTheme="minorEastAsia" w:eastAsiaTheme="minorEastAsia"/>
        </w:rPr>
      </w:pPr>
      <w:r>
        <w:rPr>
          <w:rFonts w:hint="eastAsia" w:asciiTheme="minorEastAsia" w:hAnsiTheme="minorEastAsia" w:eastAsiaTheme="minorEastAsia"/>
        </w:rPr>
        <w:t>开标地点：西安市莲湖区光远路16号新世纪大厦7 层B区会议室。</w:t>
      </w:r>
    </w:p>
    <w:p>
      <w:pPr>
        <w:shd w:val="clear" w:color="auto" w:fill="FFFFFF"/>
        <w:spacing w:line="480" w:lineRule="exact"/>
        <w:rPr>
          <w:rFonts w:asciiTheme="minorEastAsia" w:hAnsiTheme="minorEastAsia" w:eastAsiaTheme="minorEastAsia"/>
        </w:rPr>
      </w:pPr>
      <w:r>
        <w:rPr>
          <w:rStyle w:val="38"/>
          <w:rFonts w:hint="eastAsia" w:asciiTheme="minorEastAsia" w:hAnsiTheme="minorEastAsia" w:eastAsiaTheme="minorEastAsia"/>
          <w:b w:val="0"/>
        </w:rPr>
        <w:t>五、公告期限</w:t>
      </w:r>
    </w:p>
    <w:p>
      <w:pPr>
        <w:pStyle w:val="29"/>
        <w:shd w:val="clear" w:color="auto" w:fill="FFFFFF"/>
        <w:spacing w:before="0" w:beforeAutospacing="0" w:after="0" w:afterAutospacing="0" w:line="480" w:lineRule="exact"/>
        <w:ind w:firstLine="480"/>
        <w:jc w:val="both"/>
        <w:rPr>
          <w:rFonts w:asciiTheme="minorEastAsia" w:hAnsiTheme="minorEastAsia" w:eastAsiaTheme="minorEastAsia"/>
        </w:rPr>
      </w:pPr>
      <w:r>
        <w:rPr>
          <w:rFonts w:hint="eastAsia" w:asciiTheme="minorEastAsia" w:hAnsiTheme="minorEastAsia" w:eastAsiaTheme="minorEastAsia"/>
        </w:rPr>
        <w:t>自本公告发布之日起</w:t>
      </w:r>
      <w:r>
        <w:rPr>
          <w:rStyle w:val="202"/>
          <w:rFonts w:hint="eastAsia" w:asciiTheme="minorEastAsia" w:hAnsiTheme="minorEastAsia" w:eastAsiaTheme="minorEastAsia"/>
        </w:rPr>
        <w:t>5</w:t>
      </w:r>
      <w:r>
        <w:rPr>
          <w:rFonts w:hint="eastAsia" w:asciiTheme="minorEastAsia" w:hAnsiTheme="minorEastAsia" w:eastAsiaTheme="minorEastAsia"/>
        </w:rPr>
        <w:t>个工作日。</w:t>
      </w:r>
    </w:p>
    <w:p>
      <w:pPr>
        <w:shd w:val="clear" w:color="auto" w:fill="FFFFFF"/>
        <w:spacing w:line="480" w:lineRule="exact"/>
        <w:rPr>
          <w:rFonts w:asciiTheme="minorEastAsia" w:hAnsiTheme="minorEastAsia" w:eastAsiaTheme="minorEastAsia"/>
        </w:rPr>
      </w:pPr>
      <w:r>
        <w:rPr>
          <w:rStyle w:val="38"/>
          <w:rFonts w:hint="eastAsia" w:asciiTheme="minorEastAsia" w:hAnsiTheme="minorEastAsia" w:eastAsiaTheme="minorEastAsia"/>
          <w:b w:val="0"/>
        </w:rPr>
        <w:t>六、其他补充事宜</w:t>
      </w:r>
    </w:p>
    <w:p>
      <w:pPr>
        <w:pStyle w:val="29"/>
        <w:shd w:val="clear" w:color="auto" w:fill="FFFFFF"/>
        <w:spacing w:before="0" w:beforeAutospacing="0" w:after="0" w:afterAutospacing="0" w:line="480" w:lineRule="exact"/>
        <w:jc w:val="both"/>
        <w:rPr>
          <w:rFonts w:cs="Arial" w:asciiTheme="minorEastAsia" w:hAnsiTheme="minorEastAsia" w:eastAsiaTheme="minorEastAsia"/>
        </w:rPr>
      </w:pPr>
      <w:r>
        <w:rPr>
          <w:rFonts w:hint="eastAsia" w:cs="Arial" w:asciiTheme="minorEastAsia" w:hAnsiTheme="minorEastAsia" w:eastAsiaTheme="minorEastAsia"/>
        </w:rPr>
        <w:t>1.获取招标文件请携带单位介绍信、</w:t>
      </w:r>
      <w:r>
        <w:rPr>
          <w:rFonts w:hint="eastAsia" w:cs="Arial" w:asciiTheme="minorEastAsia" w:hAnsiTheme="minorEastAsia" w:eastAsiaTheme="minorEastAsia"/>
          <w:lang w:val="en-US" w:eastAsia="zh-CN"/>
        </w:rPr>
        <w:t>授权人</w:t>
      </w:r>
      <w:r>
        <w:rPr>
          <w:rFonts w:hint="eastAsia" w:cs="Arial" w:asciiTheme="minorEastAsia" w:hAnsiTheme="minorEastAsia" w:eastAsiaTheme="minorEastAsia"/>
        </w:rPr>
        <w:t>身份证原件及加盖公章的复印件，谢绝邮寄。</w:t>
      </w:r>
    </w:p>
    <w:p>
      <w:pPr>
        <w:pStyle w:val="29"/>
        <w:shd w:val="clear" w:color="auto" w:fill="FFFFFF"/>
        <w:spacing w:before="0" w:beforeAutospacing="0" w:after="0" w:afterAutospacing="0" w:line="480" w:lineRule="exact"/>
        <w:jc w:val="both"/>
        <w:rPr>
          <w:rFonts w:cs="Arial" w:asciiTheme="minorEastAsia" w:hAnsiTheme="minorEastAsia" w:eastAsiaTheme="minorEastAsia"/>
        </w:rPr>
      </w:pPr>
      <w:r>
        <w:rPr>
          <w:rFonts w:hint="eastAsia" w:cs="Arial" w:asciiTheme="minorEastAsia" w:hAnsiTheme="minorEastAsia" w:eastAsiaTheme="minorEastAsia"/>
        </w:rPr>
        <w:t>2.需要落实的政府采购政策：（1）《财政部国家发展改革委关于印发〈节能产品政府采购实施意见〉的通知》（财库〔2004〕185号）；（2）《国务院办公厅关于建立政府强制采购节能产品制度的通知》（国办发〔2007〕51号）；（3）《财政部环保总局关于环境标志产品政府采购实施的意见》（财库〔2006〕90号）;（4）《关于印发〈政府采购促进中小企业发展管理办法〉的通知》（财库[2020]46号）；(5)《财政部司法部关于政府采购支持监狱企业发展有关问题的通知》（财库〔2014〕68号）；(6)《三部门联合发布关于促进残疾人就业政府采购政策的通知》（财库〔2017〕141号）；(7)《财政部发展改革委生态环境部市场监管总局关于调整优化节能产品、环境标志产品政府采购执行机制的通知》（财库〔2019〕9号）；（8）《财政部 国务院扶贫办关于运用政府采购政策支持脱贫攻坚的通知》（财库〔2019〕27号）；（9）《关于陕西省中小企业政府采购信用融资政策》（陕财办采〔2018〕23号）；（10）《关于进一步加大政府采购支持中小企业力度的通知》财库〔2022〕19号；（11）《关于运用政府采购政策支持乡村产业振兴的通知》财库〔2021〕19号。</w:t>
      </w:r>
    </w:p>
    <w:p>
      <w:pPr>
        <w:shd w:val="clear" w:color="auto" w:fill="FFFFFF"/>
        <w:spacing w:line="480" w:lineRule="exact"/>
        <w:rPr>
          <w:rFonts w:hint="eastAsia" w:cs="Arial" w:asciiTheme="minorEastAsia" w:hAnsiTheme="minorEastAsia" w:eastAsiaTheme="minorEastAsia"/>
          <w:kern w:val="0"/>
          <w:sz w:val="24"/>
          <w:szCs w:val="24"/>
          <w:lang w:val="en-US" w:eastAsia="zh-CN" w:bidi="ar-SA"/>
        </w:rPr>
      </w:pPr>
      <w:r>
        <w:rPr>
          <w:rFonts w:hint="eastAsia" w:cs="Arial" w:asciiTheme="minorEastAsia" w:hAnsiTheme="minorEastAsia" w:eastAsiaTheme="minorEastAsia"/>
          <w:kern w:val="0"/>
          <w:sz w:val="24"/>
          <w:szCs w:val="24"/>
          <w:lang w:val="en-US" w:eastAsia="zh-CN" w:bidi="ar-SA"/>
        </w:rPr>
        <w:t>七、对本次招标提出询问，请按以下方式联系。</w:t>
      </w:r>
    </w:p>
    <w:p>
      <w:pPr>
        <w:shd w:val="clear" w:color="auto" w:fill="FFFFFF"/>
        <w:spacing w:line="480" w:lineRule="exact"/>
        <w:rPr>
          <w:rFonts w:asciiTheme="minorEastAsia" w:hAnsiTheme="minorEastAsia" w:eastAsiaTheme="minorEastAsia"/>
        </w:rPr>
      </w:pPr>
      <w:r>
        <w:rPr>
          <w:rFonts w:hint="eastAsia" w:asciiTheme="minorEastAsia" w:hAnsiTheme="minorEastAsia" w:eastAsiaTheme="minorEastAsia"/>
        </w:rPr>
        <w:t>1.采购人信息</w:t>
      </w:r>
    </w:p>
    <w:p>
      <w:pPr>
        <w:pStyle w:val="29"/>
        <w:shd w:val="clear" w:color="auto" w:fill="FFFFFF"/>
        <w:spacing w:before="0" w:beforeAutospacing="0" w:after="0" w:afterAutospacing="0" w:line="480" w:lineRule="exact"/>
        <w:ind w:firstLine="480"/>
        <w:jc w:val="both"/>
        <w:rPr>
          <w:rFonts w:asciiTheme="minorEastAsia" w:hAnsiTheme="minorEastAsia" w:eastAsiaTheme="minorEastAsia"/>
        </w:rPr>
      </w:pPr>
      <w:r>
        <w:rPr>
          <w:rFonts w:hint="eastAsia" w:asciiTheme="minorEastAsia" w:hAnsiTheme="minorEastAsia" w:eastAsiaTheme="minorEastAsia"/>
        </w:rPr>
        <w:t>名称：西安市莲湖区疾病预防控制中心</w:t>
      </w:r>
    </w:p>
    <w:p>
      <w:pPr>
        <w:pStyle w:val="29"/>
        <w:shd w:val="clear" w:color="auto" w:fill="FFFFFF"/>
        <w:spacing w:before="0" w:beforeAutospacing="0" w:after="0" w:afterAutospacing="0" w:line="480" w:lineRule="exact"/>
        <w:ind w:firstLine="480"/>
        <w:jc w:val="both"/>
        <w:rPr>
          <w:rFonts w:asciiTheme="minorEastAsia" w:hAnsiTheme="minorEastAsia" w:eastAsiaTheme="minorEastAsia"/>
        </w:rPr>
      </w:pPr>
      <w:r>
        <w:rPr>
          <w:rFonts w:hint="eastAsia" w:asciiTheme="minorEastAsia" w:hAnsiTheme="minorEastAsia" w:eastAsiaTheme="minorEastAsia"/>
        </w:rPr>
        <w:t>地址：</w:t>
      </w:r>
      <w:r>
        <w:rPr>
          <w:rFonts w:hint="eastAsia" w:asciiTheme="minorEastAsia" w:hAnsiTheme="minorEastAsia" w:eastAsiaTheme="minorEastAsia"/>
          <w:sz w:val="24"/>
          <w:highlight w:val="none"/>
        </w:rPr>
        <w:t>西安市</w:t>
      </w:r>
      <w:r>
        <w:rPr>
          <w:rFonts w:hint="eastAsia" w:asciiTheme="minorEastAsia" w:hAnsiTheme="minorEastAsia" w:eastAsiaTheme="minorEastAsia"/>
          <w:sz w:val="24"/>
          <w:highlight w:val="none"/>
          <w:lang w:val="en-US" w:eastAsia="zh-CN"/>
        </w:rPr>
        <w:t>莲湖区李家楼路</w:t>
      </w:r>
    </w:p>
    <w:p>
      <w:pPr>
        <w:pStyle w:val="29"/>
        <w:shd w:val="clear" w:color="auto" w:fill="FFFFFF"/>
        <w:spacing w:before="0" w:beforeAutospacing="0" w:after="0" w:afterAutospacing="0" w:line="480" w:lineRule="exact"/>
        <w:ind w:firstLine="480"/>
        <w:jc w:val="both"/>
        <w:rPr>
          <w:rFonts w:asciiTheme="minorEastAsia" w:hAnsiTheme="minorEastAsia" w:eastAsiaTheme="minorEastAsia"/>
        </w:rPr>
      </w:pPr>
      <w:r>
        <w:rPr>
          <w:rFonts w:hint="eastAsia" w:asciiTheme="minorEastAsia" w:hAnsiTheme="minorEastAsia" w:eastAsiaTheme="minorEastAsia"/>
        </w:rPr>
        <w:t>联系人：王老师</w:t>
      </w:r>
    </w:p>
    <w:p>
      <w:pPr>
        <w:pStyle w:val="29"/>
        <w:shd w:val="clear" w:color="auto" w:fill="FFFFFF"/>
        <w:spacing w:before="0" w:beforeAutospacing="0" w:after="0" w:afterAutospacing="0" w:line="480" w:lineRule="exact"/>
        <w:ind w:firstLine="480"/>
        <w:jc w:val="both"/>
        <w:rPr>
          <w:rFonts w:hint="eastAsia" w:asciiTheme="minorEastAsia" w:hAnsiTheme="minorEastAsia" w:eastAsiaTheme="minorEastAsia"/>
          <w:lang w:eastAsia="zh-CN"/>
        </w:rPr>
      </w:pPr>
      <w:r>
        <w:rPr>
          <w:rFonts w:hint="eastAsia" w:asciiTheme="minorEastAsia" w:hAnsiTheme="minorEastAsia" w:eastAsiaTheme="minorEastAsia"/>
        </w:rPr>
        <w:t>联系方式：</w:t>
      </w:r>
      <w:r>
        <w:rPr>
          <w:rFonts w:hint="eastAsia" w:asciiTheme="minorEastAsia" w:hAnsiTheme="minorEastAsia" w:eastAsiaTheme="minorEastAsia"/>
          <w:lang w:eastAsia="zh-CN"/>
        </w:rPr>
        <w:t>029-81513352</w:t>
      </w:r>
    </w:p>
    <w:p>
      <w:pPr>
        <w:shd w:val="clear" w:color="auto" w:fill="FFFFFF"/>
        <w:spacing w:line="480" w:lineRule="exact"/>
        <w:rPr>
          <w:rFonts w:asciiTheme="minorEastAsia" w:hAnsiTheme="minorEastAsia" w:eastAsiaTheme="minorEastAsia"/>
        </w:rPr>
      </w:pPr>
      <w:r>
        <w:rPr>
          <w:rFonts w:hint="eastAsia" w:asciiTheme="minorEastAsia" w:hAnsiTheme="minorEastAsia" w:eastAsiaTheme="minorEastAsia"/>
        </w:rPr>
        <w:t>2.采购代理机构信息</w:t>
      </w:r>
    </w:p>
    <w:p>
      <w:pPr>
        <w:pStyle w:val="29"/>
        <w:shd w:val="clear" w:color="auto" w:fill="FFFFFF"/>
        <w:spacing w:before="0" w:beforeAutospacing="0" w:after="0" w:afterAutospacing="0" w:line="480" w:lineRule="exact"/>
        <w:ind w:firstLine="480"/>
        <w:jc w:val="both"/>
        <w:rPr>
          <w:rFonts w:asciiTheme="minorEastAsia" w:hAnsiTheme="minorEastAsia" w:eastAsiaTheme="minorEastAsia"/>
        </w:rPr>
      </w:pPr>
      <w:r>
        <w:rPr>
          <w:rFonts w:hint="eastAsia" w:asciiTheme="minorEastAsia" w:hAnsiTheme="minorEastAsia" w:eastAsiaTheme="minorEastAsia"/>
        </w:rPr>
        <w:t>名称：</w:t>
      </w:r>
      <w:r>
        <w:rPr>
          <w:rStyle w:val="202"/>
          <w:rFonts w:hint="eastAsia" w:asciiTheme="minorEastAsia" w:hAnsiTheme="minorEastAsia" w:eastAsiaTheme="minorEastAsia"/>
        </w:rPr>
        <w:t>陕西诺尔信项目管理有限公司</w:t>
      </w:r>
    </w:p>
    <w:p>
      <w:pPr>
        <w:pStyle w:val="29"/>
        <w:shd w:val="clear" w:color="auto" w:fill="FFFFFF"/>
        <w:spacing w:before="0" w:beforeAutospacing="0" w:after="0" w:afterAutospacing="0" w:line="480" w:lineRule="exact"/>
        <w:ind w:firstLine="480"/>
        <w:jc w:val="both"/>
        <w:rPr>
          <w:rFonts w:asciiTheme="minorEastAsia" w:hAnsiTheme="minorEastAsia" w:eastAsiaTheme="minorEastAsia"/>
        </w:rPr>
      </w:pPr>
      <w:r>
        <w:rPr>
          <w:rFonts w:hint="eastAsia" w:asciiTheme="minorEastAsia" w:hAnsiTheme="minorEastAsia" w:eastAsiaTheme="minorEastAsia"/>
        </w:rPr>
        <w:t>地址：</w:t>
      </w:r>
      <w:r>
        <w:rPr>
          <w:rStyle w:val="202"/>
          <w:rFonts w:hint="eastAsia" w:asciiTheme="minorEastAsia" w:hAnsiTheme="minorEastAsia" w:eastAsiaTheme="minorEastAsia"/>
        </w:rPr>
        <w:t>西安市莲湖区光远路16号新世纪大厦7 层B区</w:t>
      </w:r>
    </w:p>
    <w:p>
      <w:pPr>
        <w:pStyle w:val="29"/>
        <w:shd w:val="clear" w:color="auto" w:fill="FFFFFF"/>
        <w:spacing w:before="0" w:beforeAutospacing="0" w:after="0" w:afterAutospacing="0" w:line="480" w:lineRule="exact"/>
        <w:ind w:firstLine="480"/>
        <w:jc w:val="both"/>
        <w:rPr>
          <w:rFonts w:asciiTheme="minorEastAsia" w:hAnsiTheme="minorEastAsia" w:eastAsiaTheme="minorEastAsia"/>
        </w:rPr>
      </w:pPr>
      <w:r>
        <w:rPr>
          <w:rFonts w:hint="eastAsia" w:asciiTheme="minorEastAsia" w:hAnsiTheme="minorEastAsia" w:eastAsiaTheme="minorEastAsia"/>
        </w:rPr>
        <w:t>联系方式：</w:t>
      </w:r>
      <w:r>
        <w:rPr>
          <w:rStyle w:val="202"/>
          <w:rFonts w:hint="eastAsia" w:asciiTheme="minorEastAsia" w:hAnsiTheme="minorEastAsia" w:eastAsiaTheme="minorEastAsia"/>
        </w:rPr>
        <w:t xml:space="preserve">029-88851617-813 </w:t>
      </w:r>
    </w:p>
    <w:p>
      <w:pPr>
        <w:shd w:val="clear" w:color="auto" w:fill="FFFFFF"/>
        <w:spacing w:line="480" w:lineRule="exact"/>
        <w:rPr>
          <w:rFonts w:asciiTheme="minorEastAsia" w:hAnsiTheme="minorEastAsia" w:eastAsiaTheme="minorEastAsia"/>
        </w:rPr>
      </w:pPr>
      <w:r>
        <w:rPr>
          <w:rFonts w:hint="eastAsia" w:asciiTheme="minorEastAsia" w:hAnsiTheme="minorEastAsia" w:eastAsiaTheme="minorEastAsia"/>
        </w:rPr>
        <w:t>3.项目联系方式</w:t>
      </w:r>
    </w:p>
    <w:p>
      <w:pPr>
        <w:pStyle w:val="29"/>
        <w:shd w:val="clear" w:color="auto" w:fill="FFFFFF"/>
        <w:spacing w:before="0" w:beforeAutospacing="0" w:after="0" w:afterAutospacing="0" w:line="480" w:lineRule="exact"/>
        <w:ind w:firstLine="480"/>
        <w:jc w:val="both"/>
        <w:rPr>
          <w:rFonts w:hint="default" w:asciiTheme="minorEastAsia" w:hAnsiTheme="minorEastAsia" w:eastAsiaTheme="minorEastAsia"/>
          <w:lang w:val="en-US" w:eastAsia="zh-CN"/>
        </w:rPr>
      </w:pPr>
      <w:r>
        <w:rPr>
          <w:rFonts w:hint="eastAsia" w:asciiTheme="minorEastAsia" w:hAnsiTheme="minorEastAsia" w:eastAsiaTheme="minorEastAsia"/>
        </w:rPr>
        <w:t>项目联系人：潘工</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薛工</w:t>
      </w:r>
    </w:p>
    <w:p>
      <w:pPr>
        <w:pStyle w:val="29"/>
        <w:shd w:val="clear" w:color="auto" w:fill="FFFFFF"/>
        <w:spacing w:before="0" w:beforeAutospacing="0" w:after="0" w:afterAutospacing="0" w:line="480" w:lineRule="exact"/>
        <w:ind w:firstLine="480"/>
        <w:jc w:val="both"/>
        <w:rPr>
          <w:rStyle w:val="202"/>
          <w:rFonts w:asciiTheme="minorEastAsia" w:hAnsiTheme="minorEastAsia" w:eastAsiaTheme="minorEastAsia"/>
        </w:rPr>
      </w:pPr>
      <w:r>
        <w:rPr>
          <w:rFonts w:hint="eastAsia" w:asciiTheme="minorEastAsia" w:hAnsiTheme="minorEastAsia" w:eastAsiaTheme="minorEastAsia"/>
        </w:rPr>
        <w:t>电话：</w:t>
      </w:r>
      <w:r>
        <w:rPr>
          <w:rStyle w:val="202"/>
          <w:rFonts w:hint="eastAsia" w:asciiTheme="minorEastAsia" w:hAnsiTheme="minorEastAsia" w:eastAsiaTheme="minorEastAsia"/>
        </w:rPr>
        <w:t xml:space="preserve">029-88851617-813 </w:t>
      </w:r>
    </w:p>
    <w:bookmarkEnd w:id="5"/>
    <w:p>
      <w:pPr>
        <w:pStyle w:val="31"/>
        <w:rPr>
          <w:rFonts w:asciiTheme="minorEastAsia" w:hAnsiTheme="minorEastAsia" w:eastAsiaTheme="minorEastAsia"/>
        </w:rPr>
      </w:pPr>
      <w:r>
        <w:rPr>
          <w:rFonts w:asciiTheme="minorEastAsia" w:hAnsiTheme="minorEastAsia" w:eastAsiaTheme="minorEastAsia"/>
        </w:rPr>
        <w:br w:type="page"/>
      </w:r>
      <w:bookmarkStart w:id="8" w:name="_Toc1236"/>
      <w:r>
        <w:rPr>
          <w:rFonts w:asciiTheme="minorEastAsia" w:hAnsiTheme="minorEastAsia" w:eastAsiaTheme="minorEastAsia"/>
        </w:rPr>
        <w:t xml:space="preserve">第二章  </w:t>
      </w:r>
      <w:bookmarkStart w:id="9" w:name="_Toc515647756"/>
      <w:bookmarkStart w:id="10" w:name="_Toc532473448"/>
      <w:r>
        <w:rPr>
          <w:rFonts w:asciiTheme="minorEastAsia" w:hAnsiTheme="minorEastAsia" w:eastAsiaTheme="minorEastAsia"/>
        </w:rPr>
        <w:t>投标人须知</w:t>
      </w:r>
      <w:bookmarkEnd w:id="2"/>
      <w:bookmarkEnd w:id="3"/>
      <w:bookmarkEnd w:id="4"/>
      <w:bookmarkEnd w:id="6"/>
      <w:bookmarkEnd w:id="8"/>
      <w:bookmarkEnd w:id="9"/>
      <w:bookmarkEnd w:id="10"/>
    </w:p>
    <w:p>
      <w:pPr>
        <w:jc w:val="center"/>
        <w:rPr>
          <w:rFonts w:asciiTheme="minorEastAsia" w:hAnsiTheme="minorEastAsia" w:eastAsiaTheme="minorEastAsia"/>
          <w:sz w:val="28"/>
          <w:szCs w:val="28"/>
        </w:rPr>
      </w:pPr>
      <w:bookmarkStart w:id="11" w:name="_Toc108721088"/>
      <w:r>
        <w:rPr>
          <w:rFonts w:asciiTheme="minorEastAsia" w:hAnsiTheme="minorEastAsia" w:eastAsiaTheme="minorEastAsia"/>
          <w:sz w:val="28"/>
          <w:szCs w:val="28"/>
        </w:rPr>
        <w:t>（一）投标人须知前附表</w:t>
      </w:r>
      <w:bookmarkEnd w:id="11"/>
    </w:p>
    <w:p>
      <w:pPr>
        <w:spacing w:line="360" w:lineRule="auto"/>
        <w:rPr>
          <w:rFonts w:asciiTheme="minorEastAsia" w:hAnsiTheme="minorEastAsia" w:eastAsiaTheme="minorEastAsia"/>
          <w:sz w:val="24"/>
        </w:rPr>
      </w:pPr>
      <w:r>
        <w:rPr>
          <w:rFonts w:asciiTheme="minorEastAsia" w:hAnsiTheme="minorEastAsia" w:eastAsiaTheme="minorEastAsia"/>
          <w:sz w:val="24"/>
        </w:rPr>
        <w:t>本表是对投标人须知的具体补充和修改，如有矛盾，应以本资料表为准。</w:t>
      </w:r>
    </w:p>
    <w:tbl>
      <w:tblPr>
        <w:tblStyle w:val="35"/>
        <w:tblW w:w="952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68"/>
        <w:gridCol w:w="80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条款号</w:t>
            </w:r>
          </w:p>
        </w:tc>
        <w:tc>
          <w:tcPr>
            <w:tcW w:w="805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96" w:hRule="atLeast"/>
        </w:trPr>
        <w:tc>
          <w:tcPr>
            <w:tcW w:w="1468" w:type="dxa"/>
            <w:vAlign w:val="center"/>
          </w:tcPr>
          <w:p>
            <w:pPr>
              <w:spacing w:line="360" w:lineRule="auto"/>
              <w:rPr>
                <w:rFonts w:hint="eastAsia" w:asciiTheme="minorEastAsia" w:hAnsiTheme="minorEastAsia" w:eastAsiaTheme="minorEastAsia"/>
                <w:sz w:val="24"/>
              </w:rPr>
            </w:pPr>
            <w:r>
              <w:rPr>
                <w:rFonts w:hint="eastAsia" w:asciiTheme="minorEastAsia" w:hAnsiTheme="minorEastAsia" w:eastAsiaTheme="minorEastAsia"/>
                <w:sz w:val="24"/>
              </w:rPr>
              <w:t>1.1</w:t>
            </w:r>
          </w:p>
        </w:tc>
        <w:tc>
          <w:tcPr>
            <w:tcW w:w="8058" w:type="dxa"/>
            <w:vAlign w:val="center"/>
          </w:tcPr>
          <w:p>
            <w:pPr>
              <w:spacing w:line="360" w:lineRule="auto"/>
              <w:rPr>
                <w:rFonts w:hint="eastAsia" w:asciiTheme="minorEastAsia" w:hAnsiTheme="minorEastAsia" w:eastAsiaTheme="minorEastAsia"/>
                <w:sz w:val="24"/>
              </w:rPr>
            </w:pPr>
            <w:r>
              <w:rPr>
                <w:rFonts w:hint="eastAsia" w:asciiTheme="minorEastAsia" w:hAnsiTheme="minorEastAsia" w:eastAsiaTheme="minorEastAsia"/>
                <w:sz w:val="24"/>
              </w:rPr>
              <w:t>名称：西安市莲湖区疾病预防控制中心</w:t>
            </w:r>
          </w:p>
          <w:p>
            <w:pPr>
              <w:spacing w:line="360" w:lineRule="auto"/>
              <w:rPr>
                <w:rFonts w:hint="default" w:asciiTheme="minorEastAsia" w:hAnsiTheme="minorEastAsia" w:eastAsiaTheme="minorEastAsia"/>
                <w:sz w:val="24"/>
                <w:lang w:val="en-US" w:eastAsia="zh-CN"/>
              </w:rPr>
            </w:pPr>
            <w:r>
              <w:rPr>
                <w:rFonts w:hint="eastAsia" w:asciiTheme="minorEastAsia" w:hAnsiTheme="minorEastAsia" w:eastAsiaTheme="minorEastAsia"/>
                <w:sz w:val="24"/>
              </w:rPr>
              <w:t>地址：</w:t>
            </w:r>
            <w:r>
              <w:rPr>
                <w:rFonts w:hint="eastAsia" w:asciiTheme="minorEastAsia" w:hAnsiTheme="minorEastAsia" w:eastAsiaTheme="minorEastAsia"/>
                <w:sz w:val="24"/>
                <w:highlight w:val="none"/>
              </w:rPr>
              <w:t>西安市</w:t>
            </w:r>
            <w:r>
              <w:rPr>
                <w:rFonts w:hint="eastAsia" w:asciiTheme="minorEastAsia" w:hAnsiTheme="minorEastAsia" w:eastAsiaTheme="minorEastAsia"/>
                <w:sz w:val="24"/>
                <w:highlight w:val="none"/>
                <w:lang w:val="en-US" w:eastAsia="zh-CN"/>
              </w:rPr>
              <w:t>莲湖区李家楼路与丰镐西路交叉口南260米</w:t>
            </w:r>
          </w:p>
          <w:p>
            <w:pPr>
              <w:spacing w:line="360" w:lineRule="auto"/>
              <w:rPr>
                <w:rFonts w:hint="eastAsia" w:asciiTheme="minorEastAsia" w:hAnsiTheme="minorEastAsia" w:eastAsiaTheme="minorEastAsia"/>
                <w:sz w:val="24"/>
              </w:rPr>
            </w:pPr>
            <w:r>
              <w:rPr>
                <w:rFonts w:hint="eastAsia" w:asciiTheme="minorEastAsia" w:hAnsiTheme="minorEastAsia" w:eastAsiaTheme="minorEastAsia"/>
                <w:sz w:val="24"/>
              </w:rPr>
              <w:t>联系人：王老师</w:t>
            </w:r>
          </w:p>
          <w:p>
            <w:pPr>
              <w:spacing w:line="360" w:lineRule="auto"/>
              <w:rPr>
                <w:rFonts w:hint="eastAsia" w:asciiTheme="minorEastAsia" w:hAnsiTheme="minorEastAsia" w:eastAsiaTheme="minorEastAsia"/>
                <w:sz w:val="24"/>
                <w:lang w:eastAsia="zh-CN"/>
              </w:rPr>
            </w:pPr>
            <w:r>
              <w:rPr>
                <w:rFonts w:hint="eastAsia" w:asciiTheme="minorEastAsia" w:hAnsiTheme="minorEastAsia" w:eastAsiaTheme="minorEastAsia"/>
                <w:sz w:val="24"/>
              </w:rPr>
              <w:t>联系方式：</w:t>
            </w:r>
            <w:r>
              <w:rPr>
                <w:rFonts w:hint="eastAsia" w:asciiTheme="minorEastAsia" w:hAnsiTheme="minorEastAsia" w:eastAsiaTheme="minorEastAsia"/>
                <w:sz w:val="24"/>
                <w:lang w:eastAsia="zh-CN"/>
              </w:rPr>
              <w:t>029-81513352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694" w:hRule="atLeast"/>
        </w:trPr>
        <w:tc>
          <w:tcPr>
            <w:tcW w:w="1468" w:type="dxa"/>
            <w:vAlign w:val="center"/>
          </w:tcPr>
          <w:p>
            <w:pPr>
              <w:spacing w:line="360" w:lineRule="auto"/>
              <w:ind w:left="1417" w:leftChars="203" w:hanging="991"/>
              <w:rPr>
                <w:rFonts w:asciiTheme="minorEastAsia" w:hAnsiTheme="minorEastAsia" w:eastAsiaTheme="minorEastAsia"/>
                <w:sz w:val="24"/>
              </w:rPr>
            </w:pPr>
            <w:r>
              <w:rPr>
                <w:rFonts w:asciiTheme="minorEastAsia" w:hAnsiTheme="minorEastAsia" w:eastAsiaTheme="minorEastAsia"/>
                <w:sz w:val="24"/>
              </w:rPr>
              <w:t>1.2</w:t>
            </w:r>
          </w:p>
        </w:tc>
        <w:tc>
          <w:tcPr>
            <w:tcW w:w="8058"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采购代理机构：陕西诺尔信项目管理有限公司</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地址：西安市莲湖区光远路16号新世纪大厦7 层B区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联系人：潘工</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电话：</w:t>
            </w:r>
            <w:r>
              <w:rPr>
                <w:rStyle w:val="202"/>
                <w:rFonts w:hint="eastAsia" w:asciiTheme="minorEastAsia" w:hAnsiTheme="minorEastAsia" w:eastAsiaTheme="minorEastAsia"/>
                <w:sz w:val="24"/>
              </w:rPr>
              <w:t xml:space="preserve">029-88851617-813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360" w:lineRule="auto"/>
              <w:ind w:left="1417" w:leftChars="203" w:hanging="991"/>
              <w:rPr>
                <w:rFonts w:asciiTheme="minorEastAsia" w:hAnsiTheme="minorEastAsia" w:eastAsiaTheme="minorEastAsia"/>
                <w:sz w:val="24"/>
              </w:rPr>
            </w:pPr>
            <w:r>
              <w:rPr>
                <w:rFonts w:asciiTheme="minorEastAsia" w:hAnsiTheme="minorEastAsia" w:eastAsiaTheme="minorEastAsia"/>
                <w:sz w:val="24"/>
              </w:rPr>
              <w:t>1.3.3</w:t>
            </w:r>
          </w:p>
        </w:tc>
        <w:tc>
          <w:tcPr>
            <w:tcW w:w="8058"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第1包：1、投标人具备《中华人民共和国政府采购法》第二十二条规定之资格条件。须提供的证明材料有：</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1.1提供有效合格的具有社会统一信用代码的营业执照，其他组织经营的须提供合法凭证，自然人提供身份证明文件;</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1.2财务状况报告：提供2021年度</w:t>
            </w:r>
            <w:r>
              <w:rPr>
                <w:rFonts w:hint="eastAsia" w:asciiTheme="minorEastAsia" w:hAnsiTheme="minorEastAsia" w:eastAsiaTheme="minorEastAsia"/>
                <w:sz w:val="24"/>
                <w:lang w:val="en-US" w:eastAsia="zh-CN"/>
              </w:rPr>
              <w:t>或2022年度</w:t>
            </w:r>
            <w:r>
              <w:rPr>
                <w:rFonts w:hint="eastAsia" w:asciiTheme="minorEastAsia" w:hAnsiTheme="minorEastAsia" w:eastAsiaTheme="minorEastAsia"/>
                <w:sz w:val="24"/>
              </w:rPr>
              <w:t>经审计的财务报告或开标日期前三个月内其基本存款账户开户银行出具的资信证明及基本存款账户开户许可证（基本账户信息表）或财政部门认可的政府采购专业担保机构出具的投标担保函；</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1.3税收缴纳证明：提供2022年10月至今已缴纳的至少一个月的纳税证明</w:t>
            </w:r>
            <w:r>
              <w:rPr>
                <w:rFonts w:hint="eastAsia" w:asciiTheme="minorEastAsia" w:hAnsiTheme="minorEastAsia" w:eastAsiaTheme="minorEastAsia"/>
                <w:sz w:val="24"/>
                <w:lang w:val="en-US" w:eastAsia="zh-CN"/>
              </w:rPr>
              <w:t>(任意税种）</w:t>
            </w:r>
            <w:r>
              <w:rPr>
                <w:rFonts w:hint="eastAsia" w:asciiTheme="minorEastAsia" w:hAnsiTheme="minorEastAsia" w:eastAsiaTheme="minorEastAsia"/>
                <w:sz w:val="24"/>
              </w:rPr>
              <w:t>，依法免税的单位应提供相关证明材料；</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1.4社会保障资金缴纳证明：提供2022年10月至今已缴存的至少一个月的社会保障资金缴存单据或社保机构开具的社会保险参保缴费情况证明，依法不需要缴纳社会保障资金的单位应提供相关证明材料；</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1.5具备履行合同所必须的设备和专业技术能力的书面声明;</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1.6参加政府采购活动前三年内，在经营活动中没有重大违法记录的书面声明；</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2、特定资格条件</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2.1投标人未被列入“中国执行信息公开网”（http://zxgk.court.gov.cn/shixin/）失信被执行人名单，未被列入“信用中国”网站（www.creditchina.gov.cn）重大税收违法失信主体，未被列入“中国政府采购网”（www.ccgp.gov.cn）政府采购严重违法失信行为记录名单；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法定代表人（或单位负责人）直接参加投标的，须出具法定代表人（或单位负责人）身份证，非法定代表人（或单位负责人）参加投标，须出具法定代表人（或单位负责人）授权书及被授权人身份证</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投标单位负责人为同一人或者存在控股、管理关系的不同单位，不得参加同一合同项下的政府采购活动；</w:t>
            </w:r>
          </w:p>
          <w:p>
            <w:pPr>
              <w:spacing w:line="360" w:lineRule="auto"/>
              <w:rPr>
                <w:rFonts w:hint="eastAsia" w:asciiTheme="minorEastAsia" w:hAnsiTheme="minorEastAsia" w:eastAsiaTheme="minorEastAsia"/>
                <w:sz w:val="24"/>
                <w:lang w:eastAsia="zh-CN"/>
              </w:rPr>
            </w:pPr>
            <w:r>
              <w:rPr>
                <w:rFonts w:hint="eastAsia" w:asciiTheme="minorEastAsia" w:hAnsiTheme="minorEastAsia" w:eastAsiaTheme="minorEastAsia"/>
                <w:sz w:val="24"/>
              </w:rPr>
              <w:t>2.</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本项目不允许联合体投标</w:t>
            </w:r>
            <w:r>
              <w:rPr>
                <w:rFonts w:hint="eastAsia" w:asciiTheme="minorEastAsia" w:hAnsiTheme="minorEastAsia" w:eastAsiaTheme="minorEastAsia"/>
                <w:sz w:val="24"/>
                <w:lang w:eastAsia="zh-CN"/>
              </w:rPr>
              <w:t>。</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第2包：1、投标人具备《中华人民共和国政府采购法》第二十二条规定之资格条件。须提供的证明材料有：</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1.1提供有效合格的具有社会统一信用代码的营业执照，其他组织经营的须提供合法凭证，自然人提供身份证明文件;</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1.2财务状况报告：</w:t>
            </w:r>
            <w:r>
              <w:rPr>
                <w:rFonts w:hint="eastAsia" w:asciiTheme="minorEastAsia" w:hAnsiTheme="minorEastAsia" w:eastAsiaTheme="minorEastAsia"/>
                <w:sz w:val="24"/>
                <w:lang w:eastAsia="zh-CN"/>
              </w:rPr>
              <w:t>提供2021年度或2022年度经审计的财务报告</w:t>
            </w:r>
            <w:r>
              <w:rPr>
                <w:rFonts w:hint="eastAsia" w:asciiTheme="minorEastAsia" w:hAnsiTheme="minorEastAsia" w:eastAsiaTheme="minorEastAsia"/>
                <w:sz w:val="24"/>
              </w:rPr>
              <w:t>或开标日期前三个月内其基本存款账户开户银行出具的资信证明及基本存款账户开户许可证（基本账户信息表）或财政部门认可的政府采购专业担保机构出具的投标担保函；</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1.3税收缴纳证明：提供2022年10月至今已缴纳的至少一个月的纳税证明</w:t>
            </w:r>
            <w:r>
              <w:rPr>
                <w:rFonts w:hint="eastAsia" w:asciiTheme="minorEastAsia" w:hAnsiTheme="minorEastAsia" w:eastAsiaTheme="minorEastAsia"/>
                <w:sz w:val="24"/>
                <w:lang w:val="en-US" w:eastAsia="zh-CN"/>
              </w:rPr>
              <w:t>(任意税种）</w:t>
            </w:r>
            <w:r>
              <w:rPr>
                <w:rFonts w:hint="eastAsia" w:asciiTheme="minorEastAsia" w:hAnsiTheme="minorEastAsia" w:eastAsiaTheme="minorEastAsia"/>
                <w:sz w:val="24"/>
              </w:rPr>
              <w:t>，依法免税的单位应提供相关证明材料；</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1.4社会保障资金缴纳证明：提供2022年10月至今已缴存的至少一个月的社会保障资金缴存单据或社保机构开具的社会保险参保缴费情况证明，依法不需要缴纳社会保障资金的单位应提供相关证明材料；</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1.5具备履行合同所必须的设备和专业技术能力的书面声明;</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1.6参加政府采购活动前三年内，在经营活动中没有重大违法记录的书面声明；</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2、特定资格条件</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2.1投标人未被列入“中国执行信息公开网”（http://zxgk.court.gov.cn/shixin/）失信被执行人名单，未被列入“信用中国”网站（www.creditchina.gov.cn）重大税收违法失信主体，未被列入“中国政府采购网”（www.ccgp.gov.cn）政府采购严重违法失信行为记录名单；</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法定代表人（或单位负责人）直接参加投标的，须出具法定代表人（或单位负责人）身份证，非法定代表人（或单位负责人）参加投标，须出具法定代表人（或单位负责人）授权书及被授权人身份证</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投标单位负责人为同一人或者存在控股、管理关系的不同单位，不得参加同一合同项下的政府采购活动；</w:t>
            </w:r>
          </w:p>
          <w:p>
            <w:pPr>
              <w:spacing w:line="360" w:lineRule="auto"/>
              <w:rPr>
                <w:rFonts w:hint="eastAsia" w:eastAsiaTheme="minorEastAsia"/>
                <w:lang w:eastAsia="zh-CN"/>
              </w:rPr>
            </w:pPr>
            <w:r>
              <w:rPr>
                <w:rFonts w:hint="eastAsia" w:asciiTheme="minorEastAsia" w:hAnsiTheme="minorEastAsia" w:eastAsiaTheme="minorEastAsia"/>
                <w:sz w:val="24"/>
              </w:rPr>
              <w:t>2.</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本项目不允许联合体投标</w:t>
            </w:r>
            <w:r>
              <w:rPr>
                <w:rFonts w:hint="eastAsia" w:asciiTheme="minorEastAsia" w:hAnsiTheme="minorEastAsia" w:eastAsiaTheme="minorEastAsia"/>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468" w:type="dxa"/>
            <w:vAlign w:val="center"/>
          </w:tcPr>
          <w:p>
            <w:pPr>
              <w:spacing w:line="360" w:lineRule="auto"/>
              <w:ind w:left="1417" w:leftChars="203" w:hanging="991"/>
              <w:rPr>
                <w:rFonts w:asciiTheme="minorEastAsia" w:hAnsiTheme="minorEastAsia" w:eastAsiaTheme="minorEastAsia"/>
                <w:sz w:val="24"/>
              </w:rPr>
            </w:pPr>
            <w:r>
              <w:rPr>
                <w:rFonts w:asciiTheme="minorEastAsia" w:hAnsiTheme="minorEastAsia" w:eastAsiaTheme="minorEastAsia"/>
                <w:sz w:val="24"/>
              </w:rPr>
              <w:t>1.3.4</w:t>
            </w:r>
          </w:p>
        </w:tc>
        <w:tc>
          <w:tcPr>
            <w:tcW w:w="8058" w:type="dxa"/>
            <w:vAlign w:val="center"/>
          </w:tcPr>
          <w:p>
            <w:pPr>
              <w:spacing w:line="360" w:lineRule="auto"/>
              <w:rPr>
                <w:rFonts w:asciiTheme="minorEastAsia" w:hAnsiTheme="minorEastAsia" w:eastAsiaTheme="minorEastAsia"/>
                <w:sz w:val="24"/>
              </w:rPr>
            </w:pPr>
            <w:r>
              <w:rPr>
                <w:rFonts w:asciiTheme="minorEastAsia" w:hAnsiTheme="minorEastAsia" w:eastAsiaTheme="minorEastAsia"/>
                <w:sz w:val="24"/>
              </w:rPr>
              <w:t>是否为专门面向中小企业采购：</w:t>
            </w:r>
            <w:r>
              <w:rPr>
                <w:rFonts w:hint="eastAsia" w:asciiTheme="minorEastAsia" w:hAnsiTheme="minorEastAsia" w:eastAsiaTheme="minorEastAsia"/>
                <w:sz w:val="24"/>
                <w:highlight w:val="none"/>
                <w:u w:val="single"/>
                <w:lang w:val="en-US" w:eastAsia="zh-CN"/>
              </w:rPr>
              <w:t>否</w:t>
            </w:r>
            <w:r>
              <w:rPr>
                <w:rFonts w:hint="eastAsia" w:asciiTheme="minorEastAsia" w:hAnsiTheme="minorEastAsia" w:eastAsiaTheme="minorEastAsia"/>
                <w:sz w:val="24"/>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468" w:type="dxa"/>
            <w:vAlign w:val="center"/>
          </w:tcPr>
          <w:p>
            <w:pPr>
              <w:spacing w:line="360" w:lineRule="auto"/>
              <w:ind w:left="1417" w:leftChars="203" w:hanging="991"/>
              <w:rPr>
                <w:rFonts w:asciiTheme="minorEastAsia" w:hAnsiTheme="minorEastAsia" w:eastAsiaTheme="minorEastAsia"/>
                <w:sz w:val="24"/>
              </w:rPr>
            </w:pPr>
            <w:r>
              <w:rPr>
                <w:rFonts w:asciiTheme="minorEastAsia" w:hAnsiTheme="minorEastAsia" w:eastAsiaTheme="minorEastAsia"/>
                <w:sz w:val="24"/>
              </w:rPr>
              <w:t>1.3.5</w:t>
            </w:r>
          </w:p>
        </w:tc>
        <w:tc>
          <w:tcPr>
            <w:tcW w:w="8058" w:type="dxa"/>
            <w:vAlign w:val="center"/>
          </w:tcPr>
          <w:p>
            <w:pPr>
              <w:spacing w:line="360" w:lineRule="auto"/>
              <w:rPr>
                <w:rFonts w:asciiTheme="minorEastAsia" w:hAnsiTheme="minorEastAsia" w:eastAsiaTheme="minorEastAsia"/>
                <w:sz w:val="24"/>
              </w:rPr>
            </w:pPr>
            <w:r>
              <w:rPr>
                <w:rFonts w:asciiTheme="minorEastAsia" w:hAnsiTheme="minorEastAsia" w:eastAsiaTheme="minorEastAsia"/>
                <w:sz w:val="24"/>
              </w:rPr>
              <w:t>是否</w:t>
            </w:r>
            <w:r>
              <w:rPr>
                <w:rFonts w:hint="eastAsia" w:cs="宋体" w:asciiTheme="minorEastAsia" w:hAnsiTheme="minorEastAsia" w:eastAsiaTheme="minorEastAsia"/>
                <w:sz w:val="24"/>
              </w:rPr>
              <w:t>允</w:t>
            </w:r>
            <w:r>
              <w:rPr>
                <w:rFonts w:hint="eastAsia" w:asciiTheme="minorEastAsia" w:hAnsiTheme="minorEastAsia" w:eastAsiaTheme="minorEastAsia"/>
                <w:sz w:val="24"/>
              </w:rPr>
              <w:t>许采购进口产品</w:t>
            </w:r>
            <w:r>
              <w:rPr>
                <w:rFonts w:hint="eastAsia" w:cs="___WRD_EMBED_SUB_39" w:asciiTheme="minorEastAsia" w:hAnsiTheme="minorEastAsia" w:eastAsiaTheme="minorEastAsia"/>
                <w:sz w:val="24"/>
              </w:rPr>
              <w:t>：</w:t>
            </w:r>
            <w:r>
              <w:rPr>
                <w:rFonts w:hint="eastAsia" w:asciiTheme="minorEastAsia" w:hAnsiTheme="minorEastAsia" w:eastAsiaTheme="minorEastAsia"/>
                <w:sz w:val="24"/>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468" w:type="dxa"/>
            <w:vAlign w:val="center"/>
          </w:tcPr>
          <w:p>
            <w:pPr>
              <w:spacing w:line="360" w:lineRule="auto"/>
              <w:ind w:left="1417" w:leftChars="203" w:hanging="991"/>
              <w:rPr>
                <w:rFonts w:asciiTheme="minorEastAsia" w:hAnsiTheme="minorEastAsia" w:eastAsiaTheme="minorEastAsia"/>
                <w:sz w:val="24"/>
              </w:rPr>
            </w:pPr>
            <w:r>
              <w:rPr>
                <w:rFonts w:asciiTheme="minorEastAsia" w:hAnsiTheme="minorEastAsia" w:eastAsiaTheme="minorEastAsia"/>
                <w:sz w:val="24"/>
              </w:rPr>
              <w:t>1.4</w:t>
            </w:r>
          </w:p>
        </w:tc>
        <w:tc>
          <w:tcPr>
            <w:tcW w:w="8058" w:type="dxa"/>
            <w:vAlign w:val="center"/>
          </w:tcPr>
          <w:p>
            <w:pPr>
              <w:spacing w:line="360" w:lineRule="auto"/>
              <w:rPr>
                <w:rFonts w:asciiTheme="minorEastAsia" w:hAnsiTheme="minorEastAsia" w:eastAsiaTheme="minorEastAsia"/>
                <w:sz w:val="24"/>
              </w:rPr>
            </w:pPr>
            <w:r>
              <w:rPr>
                <w:rFonts w:asciiTheme="minorEastAsia" w:hAnsiTheme="minorEastAsia" w:eastAsiaTheme="minorEastAsia"/>
                <w:sz w:val="24"/>
              </w:rPr>
              <w:t>是否</w:t>
            </w:r>
            <w:r>
              <w:rPr>
                <w:rFonts w:hint="eastAsia" w:cs="宋体" w:asciiTheme="minorEastAsia" w:hAnsiTheme="minorEastAsia" w:eastAsiaTheme="minorEastAsia"/>
                <w:sz w:val="24"/>
              </w:rPr>
              <w:t>允</w:t>
            </w:r>
            <w:r>
              <w:rPr>
                <w:rFonts w:hint="eastAsia" w:asciiTheme="minorEastAsia" w:hAnsiTheme="minorEastAsia" w:eastAsiaTheme="minorEastAsia"/>
                <w:sz w:val="24"/>
              </w:rPr>
              <w:t>许联合体投标</w:t>
            </w:r>
            <w:r>
              <w:rPr>
                <w:rFonts w:hint="eastAsia" w:cs="___WRD_EMBED_SUB_39" w:asciiTheme="minorEastAsia" w:hAnsiTheme="minorEastAsia" w:eastAsiaTheme="minorEastAsia"/>
                <w:sz w:val="24"/>
              </w:rPr>
              <w:t>：</w:t>
            </w:r>
            <w:r>
              <w:rPr>
                <w:rFonts w:hint="eastAsia" w:asciiTheme="minorEastAsia" w:hAnsiTheme="minorEastAsia" w:eastAsiaTheme="minorEastAsia"/>
                <w:sz w:val="24"/>
                <w:u w:val="single"/>
              </w:rPr>
              <w:t>否</w:t>
            </w:r>
            <w:r>
              <w:rPr>
                <w:rFonts w:asciiTheme="minorEastAsia" w:hAnsiTheme="minorEastAsia" w:eastAsiaTheme="minorEastAsia"/>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68" w:type="dxa"/>
            <w:vAlign w:val="center"/>
          </w:tcPr>
          <w:p>
            <w:pPr>
              <w:spacing w:line="360" w:lineRule="auto"/>
              <w:ind w:left="1417" w:leftChars="203" w:hanging="991"/>
              <w:rPr>
                <w:rFonts w:asciiTheme="minorEastAsia" w:hAnsiTheme="minorEastAsia" w:eastAsiaTheme="minorEastAsia"/>
                <w:sz w:val="24"/>
              </w:rPr>
            </w:pPr>
            <w:r>
              <w:rPr>
                <w:rFonts w:asciiTheme="minorEastAsia" w:hAnsiTheme="minorEastAsia" w:eastAsiaTheme="minorEastAsia"/>
                <w:sz w:val="24"/>
              </w:rPr>
              <w:t>1.4.7</w:t>
            </w:r>
          </w:p>
        </w:tc>
        <w:tc>
          <w:tcPr>
            <w:tcW w:w="8058" w:type="dxa"/>
            <w:vAlign w:val="center"/>
          </w:tcPr>
          <w:p>
            <w:pPr>
              <w:spacing w:line="360" w:lineRule="auto"/>
              <w:rPr>
                <w:rFonts w:cs="宋体" w:asciiTheme="minorEastAsia" w:hAnsiTheme="minorEastAsia" w:eastAsiaTheme="minorEastAsia"/>
                <w:sz w:val="24"/>
              </w:rPr>
            </w:pPr>
            <w:r>
              <w:rPr>
                <w:rFonts w:asciiTheme="minorEastAsia" w:hAnsiTheme="minorEastAsia" w:eastAsiaTheme="minorEastAsia"/>
                <w:sz w:val="24"/>
              </w:rPr>
              <w:t>联合体的其他资格要求：</w:t>
            </w:r>
            <w:r>
              <w:rPr>
                <w:rFonts w:hint="eastAsia" w:cs="宋体" w:asciiTheme="minorEastAsia" w:hAnsiTheme="minorEastAsia" w:eastAsiaTheme="minorEastAsia"/>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68" w:type="dxa"/>
            <w:vAlign w:val="center"/>
          </w:tcPr>
          <w:p>
            <w:pPr>
              <w:spacing w:line="360" w:lineRule="auto"/>
              <w:ind w:left="1417" w:leftChars="203" w:hanging="991"/>
              <w:rPr>
                <w:rFonts w:asciiTheme="minorEastAsia" w:hAnsiTheme="minorEastAsia" w:eastAsiaTheme="minorEastAsia"/>
                <w:sz w:val="24"/>
              </w:rPr>
            </w:pPr>
            <w:r>
              <w:rPr>
                <w:rFonts w:asciiTheme="minorEastAsia" w:hAnsiTheme="minorEastAsia" w:eastAsiaTheme="minorEastAsia"/>
                <w:sz w:val="24"/>
              </w:rPr>
              <w:t>1.7</w:t>
            </w:r>
          </w:p>
        </w:tc>
        <w:tc>
          <w:tcPr>
            <w:tcW w:w="8058" w:type="dxa"/>
            <w:vAlign w:val="center"/>
          </w:tcPr>
          <w:p>
            <w:pPr>
              <w:spacing w:line="360" w:lineRule="auto"/>
              <w:rPr>
                <w:rFonts w:asciiTheme="minorEastAsia" w:hAnsiTheme="minorEastAsia" w:eastAsiaTheme="minorEastAsia"/>
                <w:sz w:val="24"/>
                <w:u w:val="single"/>
              </w:rPr>
            </w:pPr>
            <w:r>
              <w:rPr>
                <w:rFonts w:asciiTheme="minorEastAsia" w:hAnsiTheme="minorEastAsia" w:eastAsiaTheme="minorEastAsia"/>
                <w:sz w:val="24"/>
              </w:rPr>
              <w:t>项目所属行业</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u w:val="single"/>
                <w:lang w:val="en-US" w:eastAsia="zh-CN"/>
              </w:rPr>
              <w:t>工</w:t>
            </w:r>
            <w:r>
              <w:rPr>
                <w:rFonts w:hint="eastAsia" w:asciiTheme="minorEastAsia" w:hAnsiTheme="minorEastAsia" w:eastAsiaTheme="minorEastAsia"/>
                <w:sz w:val="24"/>
                <w:highlight w:val="none"/>
                <w:u w:val="single"/>
              </w:rPr>
              <w:t>业</w:t>
            </w:r>
            <w:r>
              <w:rPr>
                <w:rFonts w:asciiTheme="minorEastAsia" w:hAnsiTheme="minorEastAsia" w:eastAsiaTheme="minorEastAsia"/>
                <w:sz w:val="24"/>
                <w:highlight w:val="none"/>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68" w:type="dxa"/>
            <w:vAlign w:val="center"/>
          </w:tcPr>
          <w:p>
            <w:pPr>
              <w:spacing w:line="360" w:lineRule="auto"/>
              <w:ind w:left="1417" w:leftChars="203" w:hanging="991"/>
              <w:rPr>
                <w:rFonts w:asciiTheme="minorEastAsia" w:hAnsiTheme="minorEastAsia" w:eastAsiaTheme="minorEastAsia"/>
                <w:sz w:val="24"/>
              </w:rPr>
            </w:pPr>
            <w:r>
              <w:rPr>
                <w:rFonts w:asciiTheme="minorEastAsia" w:hAnsiTheme="minorEastAsia" w:eastAsiaTheme="minorEastAsia"/>
                <w:sz w:val="24"/>
              </w:rPr>
              <w:t>2.2</w:t>
            </w:r>
          </w:p>
        </w:tc>
        <w:tc>
          <w:tcPr>
            <w:tcW w:w="8058"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项目总预算金额：2,267,000.00元；</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第一包项目预算金额：1,189,000.00元 ；最高限价：1,189,000.00元 </w:t>
            </w:r>
          </w:p>
          <w:p>
            <w:pPr>
              <w:spacing w:line="360" w:lineRule="auto"/>
            </w:pPr>
            <w:r>
              <w:rPr>
                <w:rFonts w:hint="eastAsia" w:asciiTheme="minorEastAsia" w:hAnsiTheme="minorEastAsia" w:eastAsiaTheme="minorEastAsia"/>
                <w:sz w:val="24"/>
              </w:rPr>
              <w:t>第二包项目预算金额：1,078,000.00元 ；最高限价：1,078,000.00元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468" w:type="dxa"/>
            <w:vAlign w:val="center"/>
          </w:tcPr>
          <w:p>
            <w:pPr>
              <w:spacing w:line="360" w:lineRule="auto"/>
              <w:ind w:left="1417" w:leftChars="203" w:hanging="991"/>
              <w:rPr>
                <w:rFonts w:asciiTheme="minorEastAsia" w:hAnsiTheme="minorEastAsia" w:eastAsiaTheme="minorEastAsia"/>
                <w:sz w:val="24"/>
              </w:rPr>
            </w:pPr>
            <w:r>
              <w:rPr>
                <w:rFonts w:asciiTheme="minorEastAsia" w:hAnsiTheme="minorEastAsia" w:eastAsiaTheme="minorEastAsia"/>
                <w:sz w:val="24"/>
              </w:rPr>
              <w:t>5.4</w:t>
            </w:r>
          </w:p>
        </w:tc>
        <w:tc>
          <w:tcPr>
            <w:tcW w:w="8058" w:type="dxa"/>
            <w:vAlign w:val="center"/>
          </w:tcPr>
          <w:p>
            <w:pPr>
              <w:spacing w:line="360" w:lineRule="auto"/>
              <w:rPr>
                <w:rFonts w:asciiTheme="minorEastAsia" w:hAnsiTheme="minorEastAsia" w:eastAsiaTheme="minorEastAsia"/>
                <w:sz w:val="24"/>
              </w:rPr>
            </w:pPr>
            <w:r>
              <w:rPr>
                <w:rFonts w:asciiTheme="minorEastAsia" w:hAnsiTheme="minorEastAsia" w:eastAsiaTheme="minorEastAsia"/>
                <w:sz w:val="24"/>
              </w:rPr>
              <w:t>是否组织现场</w:t>
            </w:r>
            <w:r>
              <w:rPr>
                <w:rFonts w:hint="eastAsia" w:cs="宋体" w:asciiTheme="minorEastAsia" w:hAnsiTheme="minorEastAsia" w:eastAsiaTheme="minorEastAsia"/>
                <w:sz w:val="24"/>
              </w:rPr>
              <w:t>考察</w:t>
            </w:r>
            <w:r>
              <w:rPr>
                <w:rFonts w:hint="eastAsia" w:cs="___WRD_EMBED_SUB_39" w:asciiTheme="minorEastAsia" w:hAnsiTheme="minorEastAsia" w:eastAsiaTheme="minorEastAsia"/>
                <w:sz w:val="24"/>
              </w:rPr>
              <w:t>或者</w:t>
            </w:r>
            <w:r>
              <w:rPr>
                <w:rFonts w:hint="eastAsia" w:cs="宋体" w:asciiTheme="minorEastAsia" w:hAnsiTheme="minorEastAsia" w:eastAsiaTheme="minorEastAsia"/>
                <w:sz w:val="24"/>
              </w:rPr>
              <w:t>召</w:t>
            </w:r>
            <w:r>
              <w:rPr>
                <w:rFonts w:hint="eastAsia" w:cs="___WRD_EMBED_SUB_39" w:asciiTheme="minorEastAsia" w:hAnsiTheme="minorEastAsia" w:eastAsiaTheme="minorEastAsia"/>
                <w:sz w:val="24"/>
              </w:rPr>
              <w:t>开</w:t>
            </w:r>
            <w:r>
              <w:rPr>
                <w:rFonts w:hint="eastAsia" w:cs="宋体" w:asciiTheme="minorEastAsia" w:hAnsiTheme="minorEastAsia" w:eastAsiaTheme="minorEastAsia"/>
                <w:sz w:val="24"/>
              </w:rPr>
              <w:t>答疑</w:t>
            </w:r>
            <w:r>
              <w:rPr>
                <w:rFonts w:hint="eastAsia" w:cs="___WRD_EMBED_SUB_39" w:asciiTheme="minorEastAsia" w:hAnsiTheme="minorEastAsia" w:eastAsiaTheme="minorEastAsia"/>
                <w:sz w:val="24"/>
              </w:rPr>
              <w:t>会：</w:t>
            </w:r>
            <w:r>
              <w:rPr>
                <w:rFonts w:hint="eastAsia" w:asciiTheme="minorEastAsia" w:hAnsiTheme="minorEastAsia" w:eastAsiaTheme="minorEastAsia"/>
                <w:sz w:val="24"/>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468" w:type="dxa"/>
            <w:vAlign w:val="center"/>
          </w:tcPr>
          <w:p>
            <w:pPr>
              <w:spacing w:line="360" w:lineRule="auto"/>
              <w:ind w:left="1417" w:leftChars="203" w:hanging="991"/>
              <w:rPr>
                <w:rFonts w:asciiTheme="minorEastAsia" w:hAnsiTheme="minorEastAsia" w:eastAsiaTheme="minorEastAsia"/>
                <w:sz w:val="24"/>
              </w:rPr>
            </w:pPr>
            <w:r>
              <w:rPr>
                <w:rFonts w:hint="eastAsia" w:asciiTheme="minorEastAsia" w:hAnsiTheme="minorEastAsia" w:eastAsiaTheme="minorEastAsia"/>
                <w:sz w:val="24"/>
              </w:rPr>
              <w:t>8.1</w:t>
            </w:r>
          </w:p>
        </w:tc>
        <w:tc>
          <w:tcPr>
            <w:tcW w:w="8058"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如投标人对多个包进行投标，可以中标</w:t>
            </w:r>
            <w:r>
              <w:rPr>
                <w:rFonts w:hint="eastAsia" w:asciiTheme="minorEastAsia" w:hAnsiTheme="minorEastAsia" w:eastAsiaTheme="minorEastAsia"/>
                <w:sz w:val="24"/>
                <w:u w:val="single"/>
              </w:rPr>
              <w:t xml:space="preserve"> 1 个</w:t>
            </w:r>
            <w:r>
              <w:rPr>
                <w:rFonts w:hint="eastAsia" w:asciiTheme="minorEastAsia" w:hAnsiTheme="minorEastAsia" w:eastAsiaTheme="minorEastAsia"/>
                <w:sz w:val="24"/>
              </w:rPr>
              <w:t>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468" w:type="dxa"/>
            <w:vAlign w:val="center"/>
          </w:tcPr>
          <w:p>
            <w:pPr>
              <w:spacing w:line="360" w:lineRule="auto"/>
              <w:ind w:left="1417" w:leftChars="203" w:hanging="991"/>
              <w:rPr>
                <w:rFonts w:asciiTheme="minorEastAsia" w:hAnsiTheme="minorEastAsia" w:eastAsiaTheme="minorEastAsia"/>
                <w:sz w:val="24"/>
              </w:rPr>
            </w:pPr>
            <w:r>
              <w:rPr>
                <w:rFonts w:asciiTheme="minorEastAsia" w:hAnsiTheme="minorEastAsia" w:eastAsiaTheme="minorEastAsia"/>
                <w:sz w:val="24"/>
              </w:rPr>
              <w:t>12.1</w:t>
            </w:r>
          </w:p>
        </w:tc>
        <w:tc>
          <w:tcPr>
            <w:tcW w:w="8058"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投标保证金</w:t>
            </w:r>
            <w:r>
              <w:rPr>
                <w:rFonts w:asciiTheme="minorEastAsia" w:hAnsiTheme="minorEastAsia" w:eastAsiaTheme="minorEastAsia"/>
                <w:sz w:val="24"/>
              </w:rPr>
              <w:t>：</w:t>
            </w:r>
            <w:r>
              <w:rPr>
                <w:rFonts w:hint="eastAsia" w:asciiTheme="minorEastAsia" w:hAnsiTheme="minorEastAsia" w:eastAsiaTheme="minorEastAsia"/>
                <w:sz w:val="24"/>
              </w:rPr>
              <w:t>本项目不收取投标保证金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trPr>
        <w:tc>
          <w:tcPr>
            <w:tcW w:w="1468" w:type="dxa"/>
            <w:vAlign w:val="center"/>
          </w:tcPr>
          <w:p>
            <w:pPr>
              <w:spacing w:line="360" w:lineRule="auto"/>
              <w:ind w:left="1417" w:leftChars="203" w:hanging="991"/>
              <w:rPr>
                <w:rFonts w:asciiTheme="minorEastAsia" w:hAnsiTheme="minorEastAsia" w:eastAsiaTheme="minorEastAsia"/>
                <w:sz w:val="24"/>
              </w:rPr>
            </w:pPr>
            <w:r>
              <w:rPr>
                <w:rFonts w:asciiTheme="minorEastAsia" w:hAnsiTheme="minorEastAsia" w:eastAsiaTheme="minorEastAsia"/>
                <w:sz w:val="24"/>
              </w:rPr>
              <w:t>14.1</w:t>
            </w:r>
          </w:p>
        </w:tc>
        <w:tc>
          <w:tcPr>
            <w:tcW w:w="8058" w:type="dxa"/>
            <w:vAlign w:val="center"/>
          </w:tcPr>
          <w:p>
            <w:pPr>
              <w:spacing w:line="360" w:lineRule="auto"/>
              <w:rPr>
                <w:rFonts w:cs="___WRD_EMBED_SUB_39" w:asciiTheme="minorEastAsia" w:hAnsiTheme="minorEastAsia" w:eastAsiaTheme="minorEastAsia"/>
                <w:sz w:val="24"/>
              </w:rPr>
            </w:pPr>
            <w:r>
              <w:rPr>
                <w:rFonts w:hint="eastAsia" w:cs="___WRD_EMBED_SUB_39" w:asciiTheme="minorEastAsia" w:hAnsiTheme="minorEastAsia" w:eastAsiaTheme="minorEastAsia"/>
                <w:sz w:val="24"/>
              </w:rPr>
              <w:t>正本的份数：壹份；</w:t>
            </w:r>
          </w:p>
          <w:p>
            <w:pPr>
              <w:spacing w:line="360" w:lineRule="auto"/>
              <w:rPr>
                <w:rFonts w:cs="___WRD_EMBED_SUB_39" w:asciiTheme="minorEastAsia" w:hAnsiTheme="minorEastAsia" w:eastAsiaTheme="minorEastAsia"/>
                <w:sz w:val="24"/>
              </w:rPr>
            </w:pPr>
            <w:r>
              <w:rPr>
                <w:rFonts w:hint="eastAsia" w:cs="___WRD_EMBED_SUB_39" w:asciiTheme="minorEastAsia" w:hAnsiTheme="minorEastAsia" w:eastAsiaTheme="minorEastAsia"/>
                <w:sz w:val="24"/>
              </w:rPr>
              <w:t>副本的份数：贰份；</w:t>
            </w:r>
          </w:p>
          <w:p>
            <w:pPr>
              <w:spacing w:line="360" w:lineRule="auto"/>
              <w:rPr>
                <w:rFonts w:asciiTheme="minorEastAsia" w:hAnsiTheme="minorEastAsia" w:eastAsiaTheme="minorEastAsia"/>
                <w:sz w:val="24"/>
              </w:rPr>
            </w:pPr>
            <w:r>
              <w:rPr>
                <w:rFonts w:hint="eastAsia" w:cs="___WRD_EMBED_SUB_39" w:asciiTheme="minorEastAsia" w:hAnsiTheme="minorEastAsia" w:eastAsiaTheme="minorEastAsia"/>
                <w:sz w:val="24"/>
              </w:rPr>
              <w:t>电子版（U盘）：壹份（电子版与纸质正本投标文件的内容应保持一致，为正本盖章后的扫描件，电子版应注明项目名称、项目编号、包号及单位名称）。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1468" w:type="dxa"/>
            <w:vAlign w:val="center"/>
          </w:tcPr>
          <w:p>
            <w:pPr>
              <w:spacing w:line="360" w:lineRule="auto"/>
              <w:ind w:left="1417" w:leftChars="203" w:hanging="991"/>
              <w:rPr>
                <w:rFonts w:asciiTheme="minorEastAsia" w:hAnsiTheme="minorEastAsia" w:eastAsiaTheme="minorEastAsia"/>
                <w:sz w:val="24"/>
              </w:rPr>
            </w:pPr>
            <w:r>
              <w:rPr>
                <w:rFonts w:asciiTheme="minorEastAsia" w:hAnsiTheme="minorEastAsia" w:eastAsiaTheme="minorEastAsia"/>
                <w:sz w:val="24"/>
              </w:rPr>
              <w:t>16.1</w:t>
            </w:r>
          </w:p>
        </w:tc>
        <w:tc>
          <w:tcPr>
            <w:tcW w:w="8058" w:type="dxa"/>
            <w:vAlign w:val="center"/>
          </w:tcPr>
          <w:p>
            <w:pPr>
              <w:spacing w:line="360" w:lineRule="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投标截止时间：</w:t>
            </w:r>
            <w:r>
              <w:rPr>
                <w:rFonts w:hint="eastAsia" w:asciiTheme="minorEastAsia" w:hAnsiTheme="minorEastAsia" w:eastAsiaTheme="minorEastAsia"/>
                <w:sz w:val="24"/>
                <w:highlight w:val="none"/>
                <w:u w:val="single"/>
              </w:rPr>
              <w:t>2023年</w:t>
            </w:r>
            <w:r>
              <w:rPr>
                <w:rFonts w:hint="eastAsia" w:asciiTheme="minorEastAsia" w:hAnsiTheme="minorEastAsia" w:eastAsiaTheme="minorEastAsia"/>
                <w:sz w:val="24"/>
                <w:highlight w:val="none"/>
                <w:u w:val="single"/>
                <w:lang w:val="en-US" w:eastAsia="zh-CN"/>
              </w:rPr>
              <w:t>05</w:t>
            </w:r>
            <w:r>
              <w:rPr>
                <w:rFonts w:hint="eastAsia" w:asciiTheme="minorEastAsia" w:hAnsiTheme="minorEastAsia" w:eastAsiaTheme="minorEastAsia"/>
                <w:sz w:val="24"/>
                <w:highlight w:val="none"/>
                <w:u w:val="single"/>
              </w:rPr>
              <w:t>月</w:t>
            </w:r>
            <w:r>
              <w:rPr>
                <w:rFonts w:hint="eastAsia" w:asciiTheme="minorEastAsia" w:hAnsiTheme="minorEastAsia" w:eastAsiaTheme="minorEastAsia"/>
                <w:sz w:val="24"/>
                <w:highlight w:val="none"/>
                <w:u w:val="single"/>
                <w:lang w:val="en-US" w:eastAsia="zh-CN"/>
              </w:rPr>
              <w:t>18</w:t>
            </w:r>
            <w:r>
              <w:rPr>
                <w:rFonts w:hint="eastAsia" w:asciiTheme="minorEastAsia" w:hAnsiTheme="minorEastAsia" w:eastAsiaTheme="minorEastAsia"/>
                <w:sz w:val="24"/>
                <w:highlight w:val="none"/>
                <w:u w:val="single"/>
              </w:rPr>
              <w:t>日</w:t>
            </w:r>
            <w:r>
              <w:rPr>
                <w:rFonts w:hint="eastAsia" w:asciiTheme="minorEastAsia" w:hAnsiTheme="minorEastAsia" w:eastAsiaTheme="minorEastAsia"/>
                <w:sz w:val="24"/>
                <w:highlight w:val="none"/>
                <w:u w:val="single"/>
                <w:lang w:val="en-US" w:eastAsia="zh-CN"/>
              </w:rPr>
              <w:t>14</w:t>
            </w:r>
            <w:r>
              <w:rPr>
                <w:rFonts w:hint="eastAsia" w:asciiTheme="minorEastAsia" w:hAnsiTheme="minorEastAsia" w:eastAsiaTheme="minorEastAsia"/>
                <w:sz w:val="24"/>
                <w:highlight w:val="none"/>
                <w:u w:val="single"/>
              </w:rPr>
              <w:t>时30分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468" w:type="dxa"/>
            <w:vAlign w:val="center"/>
          </w:tcPr>
          <w:p>
            <w:pPr>
              <w:spacing w:line="360" w:lineRule="auto"/>
              <w:ind w:left="1417" w:leftChars="203" w:hanging="991"/>
              <w:rPr>
                <w:rFonts w:asciiTheme="minorEastAsia" w:hAnsiTheme="minorEastAsia" w:eastAsiaTheme="minorEastAsia"/>
                <w:sz w:val="24"/>
              </w:rPr>
            </w:pPr>
            <w:r>
              <w:rPr>
                <w:rFonts w:asciiTheme="minorEastAsia" w:hAnsiTheme="minorEastAsia" w:eastAsiaTheme="minorEastAsia"/>
                <w:sz w:val="24"/>
              </w:rPr>
              <w:t>18.1</w:t>
            </w:r>
          </w:p>
        </w:tc>
        <w:tc>
          <w:tcPr>
            <w:tcW w:w="8058" w:type="dxa"/>
            <w:vAlign w:val="center"/>
          </w:tcPr>
          <w:p>
            <w:pPr>
              <w:spacing w:line="360" w:lineRule="auto"/>
              <w:rPr>
                <w:rFonts w:cs="仿宋" w:asciiTheme="minorEastAsia" w:hAnsiTheme="minorEastAsia" w:eastAsiaTheme="minorEastAsia"/>
                <w:sz w:val="24"/>
                <w:highlight w:val="none"/>
                <w:u w:val="single"/>
              </w:rPr>
            </w:pPr>
            <w:r>
              <w:rPr>
                <w:rFonts w:hint="eastAsia" w:cs="仿宋" w:asciiTheme="minorEastAsia" w:hAnsiTheme="minorEastAsia" w:eastAsiaTheme="minorEastAsia"/>
                <w:sz w:val="24"/>
                <w:highlight w:val="none"/>
              </w:rPr>
              <w:t>开标时间：</w:t>
            </w:r>
            <w:r>
              <w:rPr>
                <w:rFonts w:hint="eastAsia" w:asciiTheme="minorEastAsia" w:hAnsiTheme="minorEastAsia" w:eastAsiaTheme="minorEastAsia"/>
                <w:sz w:val="24"/>
                <w:highlight w:val="none"/>
                <w:u w:val="single"/>
              </w:rPr>
              <w:t>2023年</w:t>
            </w:r>
            <w:r>
              <w:rPr>
                <w:rFonts w:hint="eastAsia" w:asciiTheme="minorEastAsia" w:hAnsiTheme="minorEastAsia" w:eastAsiaTheme="minorEastAsia"/>
                <w:sz w:val="24"/>
                <w:highlight w:val="none"/>
                <w:u w:val="single"/>
                <w:lang w:val="en-US" w:eastAsia="zh-CN"/>
              </w:rPr>
              <w:t>05</w:t>
            </w:r>
            <w:r>
              <w:rPr>
                <w:rFonts w:hint="eastAsia" w:asciiTheme="minorEastAsia" w:hAnsiTheme="minorEastAsia" w:eastAsiaTheme="minorEastAsia"/>
                <w:sz w:val="24"/>
                <w:highlight w:val="none"/>
                <w:u w:val="single"/>
              </w:rPr>
              <w:t>月</w:t>
            </w:r>
            <w:r>
              <w:rPr>
                <w:rFonts w:hint="eastAsia" w:asciiTheme="minorEastAsia" w:hAnsiTheme="minorEastAsia" w:eastAsiaTheme="minorEastAsia"/>
                <w:sz w:val="24"/>
                <w:highlight w:val="none"/>
                <w:u w:val="single"/>
                <w:lang w:val="en-US" w:eastAsia="zh-CN"/>
              </w:rPr>
              <w:t>18</w:t>
            </w:r>
            <w:r>
              <w:rPr>
                <w:rFonts w:hint="eastAsia" w:asciiTheme="minorEastAsia" w:hAnsiTheme="minorEastAsia" w:eastAsiaTheme="minorEastAsia"/>
                <w:sz w:val="24"/>
                <w:highlight w:val="none"/>
                <w:u w:val="single"/>
              </w:rPr>
              <w:t>日</w:t>
            </w:r>
            <w:r>
              <w:rPr>
                <w:rFonts w:hint="eastAsia" w:asciiTheme="minorEastAsia" w:hAnsiTheme="minorEastAsia" w:eastAsiaTheme="minorEastAsia"/>
                <w:sz w:val="24"/>
                <w:highlight w:val="none"/>
                <w:u w:val="single"/>
                <w:lang w:val="en-US" w:eastAsia="zh-CN"/>
              </w:rPr>
              <w:t>14</w:t>
            </w:r>
            <w:r>
              <w:rPr>
                <w:rFonts w:hint="eastAsia" w:asciiTheme="minorEastAsia" w:hAnsiTheme="minorEastAsia" w:eastAsiaTheme="minorEastAsia"/>
                <w:sz w:val="24"/>
                <w:highlight w:val="none"/>
                <w:u w:val="single"/>
              </w:rPr>
              <w:t>时30分</w:t>
            </w:r>
          </w:p>
          <w:p>
            <w:pPr>
              <w:spacing w:line="360" w:lineRule="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开标地点：西安市莲湖区光远路16号新世纪大厦7 层B区会议室。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468" w:type="dxa"/>
            <w:vAlign w:val="center"/>
          </w:tcPr>
          <w:p>
            <w:pPr>
              <w:spacing w:line="360" w:lineRule="auto"/>
              <w:ind w:left="1417" w:leftChars="203" w:hanging="991"/>
              <w:rPr>
                <w:rFonts w:asciiTheme="minorEastAsia" w:hAnsiTheme="minorEastAsia" w:eastAsiaTheme="minorEastAsia"/>
                <w:sz w:val="24"/>
              </w:rPr>
            </w:pPr>
            <w:r>
              <w:rPr>
                <w:rFonts w:asciiTheme="minorEastAsia" w:hAnsiTheme="minorEastAsia" w:eastAsiaTheme="minorEastAsia"/>
                <w:sz w:val="24"/>
              </w:rPr>
              <w:t>19.2</w:t>
            </w:r>
          </w:p>
        </w:tc>
        <w:tc>
          <w:tcPr>
            <w:tcW w:w="8058" w:type="dxa"/>
            <w:vAlign w:val="center"/>
          </w:tcPr>
          <w:p>
            <w:pPr>
              <w:spacing w:line="360" w:lineRule="auto"/>
              <w:rPr>
                <w:rFonts w:asciiTheme="minorEastAsia" w:hAnsiTheme="minorEastAsia" w:eastAsiaTheme="minorEastAsia"/>
                <w:sz w:val="24"/>
              </w:rPr>
            </w:pPr>
            <w:r>
              <w:rPr>
                <w:rFonts w:asciiTheme="minorEastAsia" w:hAnsiTheme="minorEastAsia" w:eastAsiaTheme="minorEastAsia"/>
                <w:sz w:val="24"/>
              </w:rPr>
              <w:t>信用查询时间:为招标文件发售时间至资格审查工作结束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0" w:hRule="atLeast"/>
        </w:trPr>
        <w:tc>
          <w:tcPr>
            <w:tcW w:w="1468" w:type="dxa"/>
            <w:vAlign w:val="center"/>
          </w:tcPr>
          <w:p>
            <w:pPr>
              <w:spacing w:line="360" w:lineRule="auto"/>
              <w:ind w:left="1417" w:leftChars="203" w:hanging="991"/>
              <w:rPr>
                <w:rFonts w:asciiTheme="minorEastAsia" w:hAnsiTheme="minorEastAsia" w:eastAsiaTheme="minorEastAsia"/>
                <w:sz w:val="24"/>
              </w:rPr>
            </w:pPr>
            <w:r>
              <w:rPr>
                <w:rFonts w:asciiTheme="minorEastAsia" w:hAnsiTheme="minorEastAsia" w:eastAsiaTheme="minorEastAsia"/>
                <w:sz w:val="24"/>
              </w:rPr>
              <w:t>23.2</w:t>
            </w:r>
          </w:p>
        </w:tc>
        <w:tc>
          <w:tcPr>
            <w:tcW w:w="8058" w:type="dxa"/>
            <w:vAlign w:val="center"/>
          </w:tcPr>
          <w:p>
            <w:pPr>
              <w:spacing w:line="360" w:lineRule="auto"/>
              <w:rPr>
                <w:rFonts w:asciiTheme="minorEastAsia" w:hAnsiTheme="minorEastAsia" w:eastAsiaTheme="minorEastAsia"/>
                <w:sz w:val="24"/>
              </w:rPr>
            </w:pPr>
            <w:r>
              <w:rPr>
                <w:rFonts w:asciiTheme="minorEastAsia" w:hAnsiTheme="minorEastAsia" w:eastAsiaTheme="minorEastAsia"/>
                <w:sz w:val="24"/>
              </w:rPr>
              <w:t>评标方法：适用</w:t>
            </w:r>
            <w:r>
              <w:rPr>
                <w:rFonts w:hint="eastAsia" w:cs="宋体" w:asciiTheme="minorEastAsia" w:hAnsiTheme="minorEastAsia" w:eastAsiaTheme="minorEastAsia"/>
                <w:sz w:val="24"/>
                <w:u w:val="single"/>
              </w:rPr>
              <w:t>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468" w:type="dxa"/>
            <w:vAlign w:val="center"/>
          </w:tcPr>
          <w:p>
            <w:pPr>
              <w:spacing w:line="360" w:lineRule="auto"/>
              <w:ind w:left="1417" w:leftChars="203" w:hanging="991"/>
              <w:rPr>
                <w:rFonts w:asciiTheme="minorEastAsia" w:hAnsiTheme="minorEastAsia" w:eastAsiaTheme="minorEastAsia"/>
                <w:sz w:val="24"/>
              </w:rPr>
            </w:pPr>
            <w:r>
              <w:rPr>
                <w:rFonts w:asciiTheme="minorEastAsia" w:hAnsiTheme="minorEastAsia" w:eastAsiaTheme="minorEastAsia"/>
                <w:sz w:val="24"/>
              </w:rPr>
              <w:t>27.1</w:t>
            </w:r>
          </w:p>
        </w:tc>
        <w:tc>
          <w:tcPr>
            <w:tcW w:w="8058" w:type="dxa"/>
            <w:vAlign w:val="center"/>
          </w:tcPr>
          <w:p>
            <w:pPr>
              <w:spacing w:line="360" w:lineRule="auto"/>
              <w:rPr>
                <w:rFonts w:asciiTheme="minorEastAsia" w:hAnsiTheme="minorEastAsia" w:eastAsiaTheme="minorEastAsia"/>
                <w:sz w:val="24"/>
              </w:rPr>
            </w:pPr>
            <w:r>
              <w:rPr>
                <w:rFonts w:asciiTheme="minorEastAsia" w:hAnsiTheme="minorEastAsia" w:eastAsiaTheme="minorEastAsia"/>
                <w:sz w:val="24"/>
              </w:rPr>
              <w:t>推荐中标候选人的数量：</w:t>
            </w:r>
            <w:r>
              <w:rPr>
                <w:rFonts w:hint="eastAsia" w:asciiTheme="minorEastAsia" w:hAnsiTheme="minorEastAsia" w:eastAsiaTheme="minorEastAsia"/>
                <w:sz w:val="24"/>
                <w:u w:val="single"/>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468" w:type="dxa"/>
            <w:vAlign w:val="center"/>
          </w:tcPr>
          <w:p>
            <w:pPr>
              <w:spacing w:line="360" w:lineRule="auto"/>
              <w:ind w:left="1417" w:leftChars="203" w:hanging="991"/>
              <w:rPr>
                <w:rFonts w:asciiTheme="minorEastAsia" w:hAnsiTheme="minorEastAsia" w:eastAsiaTheme="minorEastAsia"/>
                <w:sz w:val="24"/>
              </w:rPr>
            </w:pPr>
            <w:r>
              <w:rPr>
                <w:rFonts w:asciiTheme="minorEastAsia" w:hAnsiTheme="minorEastAsia" w:eastAsiaTheme="minorEastAsia"/>
                <w:sz w:val="24"/>
              </w:rPr>
              <w:t>27.2</w:t>
            </w:r>
          </w:p>
        </w:tc>
        <w:tc>
          <w:tcPr>
            <w:tcW w:w="8058" w:type="dxa"/>
            <w:vAlign w:val="center"/>
          </w:tcPr>
          <w:p>
            <w:pPr>
              <w:spacing w:line="360" w:lineRule="auto"/>
              <w:rPr>
                <w:rFonts w:asciiTheme="minorEastAsia" w:hAnsiTheme="minorEastAsia" w:eastAsiaTheme="minorEastAsia"/>
                <w:sz w:val="24"/>
              </w:rPr>
            </w:pPr>
            <w:r>
              <w:rPr>
                <w:rFonts w:asciiTheme="minorEastAsia" w:hAnsiTheme="minorEastAsia" w:eastAsiaTheme="minorEastAsia"/>
                <w:sz w:val="24"/>
              </w:rPr>
              <w:t>招标人是否委托评标委员会直接确定中标人：</w:t>
            </w:r>
            <w:r>
              <w:rPr>
                <w:rFonts w:hint="eastAsia" w:asciiTheme="minorEastAsia" w:hAnsiTheme="minorEastAsia" w:eastAsiaTheme="minorEastAsia"/>
                <w:sz w:val="24"/>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468" w:type="dxa"/>
            <w:vAlign w:val="center"/>
          </w:tcPr>
          <w:p>
            <w:pPr>
              <w:spacing w:line="360" w:lineRule="auto"/>
              <w:ind w:left="1417" w:leftChars="203" w:hanging="991"/>
              <w:rPr>
                <w:rFonts w:asciiTheme="minorEastAsia" w:hAnsiTheme="minorEastAsia" w:eastAsiaTheme="minorEastAsia"/>
                <w:sz w:val="24"/>
              </w:rPr>
            </w:pPr>
            <w:r>
              <w:rPr>
                <w:rFonts w:asciiTheme="minorEastAsia" w:hAnsiTheme="minorEastAsia" w:eastAsiaTheme="minorEastAsia"/>
                <w:sz w:val="24"/>
              </w:rPr>
              <w:t>31.1</w:t>
            </w:r>
          </w:p>
        </w:tc>
        <w:tc>
          <w:tcPr>
            <w:tcW w:w="8058" w:type="dxa"/>
            <w:vAlign w:val="center"/>
          </w:tcPr>
          <w:p>
            <w:pPr>
              <w:spacing w:line="360" w:lineRule="auto"/>
              <w:rPr>
                <w:rFonts w:asciiTheme="minorEastAsia" w:hAnsiTheme="minorEastAsia" w:eastAsiaTheme="minorEastAsia"/>
                <w:sz w:val="24"/>
              </w:rPr>
            </w:pPr>
            <w:r>
              <w:rPr>
                <w:rFonts w:asciiTheme="minorEastAsia" w:hAnsiTheme="minorEastAsia" w:eastAsiaTheme="minorEastAsia"/>
                <w:sz w:val="24"/>
              </w:rPr>
              <w:t>是否提交履约保证金：</w:t>
            </w:r>
            <w:r>
              <w:rPr>
                <w:rFonts w:hint="eastAsia" w:asciiTheme="minorEastAsia" w:hAnsiTheme="minorEastAsia" w:eastAsiaTheme="minorEastAsia"/>
                <w:sz w:val="24"/>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vAlign w:val="center"/>
          </w:tcPr>
          <w:p>
            <w:pPr>
              <w:spacing w:line="360" w:lineRule="auto"/>
              <w:ind w:left="1417" w:leftChars="203" w:hanging="991"/>
              <w:rPr>
                <w:rFonts w:asciiTheme="minorEastAsia" w:hAnsiTheme="minorEastAsia" w:eastAsiaTheme="minorEastAsia"/>
                <w:sz w:val="24"/>
              </w:rPr>
            </w:pPr>
            <w:r>
              <w:rPr>
                <w:rFonts w:asciiTheme="minorEastAsia" w:hAnsiTheme="minorEastAsia" w:eastAsiaTheme="minorEastAsia"/>
                <w:sz w:val="24"/>
              </w:rPr>
              <w:t>33</w:t>
            </w:r>
          </w:p>
        </w:tc>
        <w:tc>
          <w:tcPr>
            <w:tcW w:w="8058" w:type="dxa"/>
            <w:vAlign w:val="center"/>
          </w:tcPr>
          <w:p>
            <w:pPr>
              <w:spacing w:line="360" w:lineRule="auto"/>
              <w:rPr>
                <w:rFonts w:asciiTheme="minorEastAsia" w:hAnsiTheme="minorEastAsia" w:eastAsiaTheme="minorEastAsia"/>
                <w:sz w:val="24"/>
              </w:rPr>
            </w:pPr>
            <w:r>
              <w:rPr>
                <w:rFonts w:asciiTheme="minorEastAsia" w:hAnsiTheme="minorEastAsia" w:eastAsiaTheme="minorEastAsia"/>
                <w:sz w:val="24"/>
              </w:rPr>
              <w:t>中标单位在领取中标通知书前，须向采购代理机构支付招标代理服务费，招标代理服务费由采购人与采购代理机构约定：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eastAsiaTheme="minorEastAsia"/>
                <w:sz w:val="24"/>
              </w:rPr>
            </w:pPr>
            <w:r>
              <w:rPr>
                <w:rFonts w:asciiTheme="minorEastAsia" w:hAnsiTheme="minorEastAsia" w:eastAsiaTheme="minorEastAsia"/>
                <w:sz w:val="24"/>
              </w:rPr>
              <w:t>参照原国家计委计价格〔2002〕1980号文和国家发改委发改办价格〔2003〕857号文的计算方法收取。</w:t>
            </w:r>
          </w:p>
          <w:p>
            <w:pPr>
              <w:snapToGrid w:val="0"/>
              <w:spacing w:line="360" w:lineRule="auto"/>
              <w:rPr>
                <w:rFonts w:asciiTheme="minorEastAsia" w:hAnsiTheme="minorEastAsia" w:eastAsiaTheme="minorEastAsia"/>
                <w:sz w:val="24"/>
              </w:rPr>
            </w:pPr>
            <w:r>
              <w:rPr>
                <w:rFonts w:asciiTheme="minorEastAsia" w:hAnsiTheme="minorEastAsia" w:eastAsiaTheme="minorEastAsia"/>
                <w:sz w:val="24"/>
              </w:rPr>
              <w:t>中标单位的招标代理服务费交纳信息</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银行户名：</w:t>
            </w:r>
            <w:r>
              <w:rPr>
                <w:rFonts w:hint="eastAsia" w:asciiTheme="minorEastAsia" w:hAnsiTheme="minorEastAsia" w:eastAsiaTheme="minorEastAsia"/>
                <w:sz w:val="24"/>
              </w:rPr>
              <w:t>陕西诺尔信项目管理有限公司</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开户银行：</w:t>
            </w:r>
            <w:r>
              <w:rPr>
                <w:rFonts w:hint="eastAsia" w:asciiTheme="minorEastAsia" w:hAnsiTheme="minorEastAsia" w:eastAsiaTheme="minorEastAsia"/>
                <w:sz w:val="24"/>
              </w:rPr>
              <w:t>上海浦东发展银行股份有限公司西安艺术大街支行</w:t>
            </w:r>
          </w:p>
          <w:p>
            <w:pPr>
              <w:autoSpaceDE w:val="0"/>
              <w:autoSpaceDN w:val="0"/>
              <w:adjustRightInd w:val="0"/>
              <w:snapToGrid w:val="0"/>
              <w:spacing w:line="360" w:lineRule="auto"/>
              <w:ind w:firstLine="480" w:firstLineChars="200"/>
              <w:rPr>
                <w:rFonts w:asciiTheme="minorEastAsia" w:hAnsiTheme="minorEastAsia" w:eastAsiaTheme="minorEastAsia"/>
                <w:sz w:val="24"/>
                <w:highlight w:val="yellow"/>
              </w:rPr>
            </w:pPr>
            <w:r>
              <w:rPr>
                <w:rFonts w:asciiTheme="minorEastAsia" w:hAnsiTheme="minorEastAsia" w:eastAsiaTheme="minorEastAsia"/>
                <w:sz w:val="24"/>
              </w:rPr>
              <w:t>账    号：</w:t>
            </w:r>
            <w:r>
              <w:rPr>
                <w:rFonts w:hint="eastAsia" w:asciiTheme="minorEastAsia" w:hAnsiTheme="minorEastAsia" w:eastAsiaTheme="minorEastAsia"/>
                <w:sz w:val="24"/>
              </w:rPr>
              <w:t>72160078801900000038</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联 系 人：</w:t>
            </w:r>
            <w:r>
              <w:rPr>
                <w:rFonts w:hint="eastAsia" w:asciiTheme="minorEastAsia" w:hAnsiTheme="minorEastAsia" w:eastAsiaTheme="minorEastAsia"/>
                <w:sz w:val="24"/>
              </w:rPr>
              <w:t>高工</w:t>
            </w:r>
            <w:r>
              <w:rPr>
                <w:rFonts w:asciiTheme="minorEastAsia" w:hAnsiTheme="minorEastAsia" w:eastAsiaTheme="minorEastAsia"/>
                <w:sz w:val="24"/>
              </w:rPr>
              <w:t xml:space="preserve">   联系电话：</w:t>
            </w:r>
            <w:r>
              <w:rPr>
                <w:rStyle w:val="202"/>
                <w:rFonts w:hint="eastAsia" w:asciiTheme="minorEastAsia" w:hAnsiTheme="minorEastAsia" w:eastAsiaTheme="minorEastAsia"/>
                <w:sz w:val="24"/>
              </w:rPr>
              <w:t>029-88851617-803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vAlign w:val="center"/>
          </w:tcPr>
          <w:p>
            <w:pPr>
              <w:spacing w:line="360" w:lineRule="auto"/>
              <w:ind w:left="1417" w:leftChars="203" w:hanging="991"/>
              <w:rPr>
                <w:rFonts w:asciiTheme="minorEastAsia" w:hAnsiTheme="minorEastAsia" w:eastAsiaTheme="minorEastAsia"/>
                <w:sz w:val="24"/>
              </w:rPr>
            </w:pPr>
            <w:r>
              <w:rPr>
                <w:rFonts w:asciiTheme="minorEastAsia" w:hAnsiTheme="minorEastAsia" w:eastAsiaTheme="minorEastAsia"/>
                <w:sz w:val="24"/>
              </w:rPr>
              <w:t>37.2</w:t>
            </w:r>
          </w:p>
        </w:tc>
        <w:tc>
          <w:tcPr>
            <w:tcW w:w="8058" w:type="dxa"/>
            <w:vAlign w:val="center"/>
          </w:tcPr>
          <w:p>
            <w:pPr>
              <w:spacing w:line="360" w:lineRule="auto"/>
              <w:ind w:left="706" w:leftChars="-1" w:hanging="708" w:hangingChars="295"/>
              <w:rPr>
                <w:rFonts w:asciiTheme="minorEastAsia" w:hAnsiTheme="minorEastAsia" w:eastAsiaTheme="minorEastAsia"/>
                <w:sz w:val="24"/>
              </w:rPr>
            </w:pPr>
            <w:r>
              <w:rPr>
                <w:rFonts w:asciiTheme="minorEastAsia" w:hAnsiTheme="minorEastAsia" w:eastAsiaTheme="minorEastAsia"/>
                <w:sz w:val="24"/>
              </w:rPr>
              <w:t>针对同一采购程序环节的质疑次数：一次性提出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vAlign w:val="center"/>
          </w:tcPr>
          <w:p>
            <w:pPr>
              <w:spacing w:line="360" w:lineRule="auto"/>
              <w:ind w:left="1417" w:leftChars="203" w:hanging="991"/>
              <w:rPr>
                <w:rFonts w:asciiTheme="minorEastAsia" w:hAnsiTheme="minorEastAsia" w:eastAsiaTheme="minorEastAsia"/>
                <w:sz w:val="24"/>
              </w:rPr>
            </w:pPr>
            <w:r>
              <w:rPr>
                <w:rFonts w:asciiTheme="minorEastAsia" w:hAnsiTheme="minorEastAsia" w:eastAsiaTheme="minorEastAsia"/>
                <w:sz w:val="24"/>
              </w:rPr>
              <w:t>37.4</w:t>
            </w:r>
          </w:p>
        </w:tc>
        <w:tc>
          <w:tcPr>
            <w:tcW w:w="8058" w:type="dxa"/>
            <w:vAlign w:val="center"/>
          </w:tcPr>
          <w:p>
            <w:pPr>
              <w:spacing w:line="360" w:lineRule="auto"/>
              <w:rPr>
                <w:rFonts w:asciiTheme="minorEastAsia" w:hAnsiTheme="minorEastAsia" w:eastAsiaTheme="minorEastAsia"/>
                <w:sz w:val="24"/>
              </w:rPr>
            </w:pPr>
            <w:r>
              <w:rPr>
                <w:rFonts w:asciiTheme="minorEastAsia" w:hAnsiTheme="minorEastAsia" w:eastAsiaTheme="minorEastAsia"/>
                <w:sz w:val="24"/>
              </w:rPr>
              <w:t>联系单位：</w:t>
            </w:r>
            <w:r>
              <w:rPr>
                <w:rFonts w:hint="eastAsia" w:asciiTheme="minorEastAsia" w:hAnsiTheme="minorEastAsia" w:eastAsiaTheme="minorEastAsia"/>
                <w:sz w:val="24"/>
              </w:rPr>
              <w:t>陕西诺尔信项目管理有限公司</w:t>
            </w:r>
          </w:p>
          <w:p>
            <w:pPr>
              <w:spacing w:line="360" w:lineRule="auto"/>
              <w:ind w:left="710" w:leftChars="-23" w:hanging="758" w:hangingChars="316"/>
              <w:rPr>
                <w:rFonts w:hint="default" w:asciiTheme="minorEastAsia" w:hAnsiTheme="minorEastAsia" w:eastAsiaTheme="minorEastAsia"/>
                <w:sz w:val="24"/>
                <w:lang w:val="en-US" w:eastAsia="zh-CN"/>
              </w:rPr>
            </w:pPr>
            <w:r>
              <w:rPr>
                <w:rFonts w:asciiTheme="minorEastAsia" w:hAnsiTheme="minorEastAsia" w:eastAsiaTheme="minorEastAsia"/>
                <w:sz w:val="24"/>
              </w:rPr>
              <w:t>联 系 人：</w:t>
            </w:r>
            <w:r>
              <w:rPr>
                <w:rFonts w:hint="eastAsia" w:asciiTheme="minorEastAsia" w:hAnsiTheme="minorEastAsia" w:eastAsiaTheme="minorEastAsia"/>
                <w:sz w:val="24"/>
              </w:rPr>
              <w:t>潘工</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薛工</w:t>
            </w:r>
          </w:p>
          <w:p>
            <w:pPr>
              <w:spacing w:line="360" w:lineRule="auto"/>
              <w:ind w:left="710" w:leftChars="-23" w:hanging="758" w:hangingChars="316"/>
              <w:rPr>
                <w:rFonts w:asciiTheme="minorEastAsia" w:hAnsiTheme="minorEastAsia" w:eastAsiaTheme="minorEastAsia"/>
                <w:sz w:val="24"/>
              </w:rPr>
            </w:pPr>
            <w:r>
              <w:rPr>
                <w:rFonts w:asciiTheme="minorEastAsia" w:hAnsiTheme="minorEastAsia" w:eastAsiaTheme="minorEastAsia"/>
                <w:sz w:val="24"/>
              </w:rPr>
              <w:t>联系电话：</w:t>
            </w:r>
            <w:r>
              <w:rPr>
                <w:rFonts w:hint="eastAsia" w:asciiTheme="minorEastAsia" w:hAnsiTheme="minorEastAsia" w:eastAsiaTheme="minorEastAsia"/>
                <w:sz w:val="24"/>
              </w:rPr>
              <w:t xml:space="preserve"> 029-88851617-813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1" w:hRule="atLeast"/>
        </w:trPr>
        <w:tc>
          <w:tcPr>
            <w:tcW w:w="9526" w:type="dxa"/>
            <w:gridSpan w:val="2"/>
            <w:tcBorders>
              <w:top w:val="single" w:color="auto" w:sz="12" w:space="0"/>
              <w:left w:val="single" w:color="auto" w:sz="12" w:space="0"/>
              <w:bottom w:val="single" w:color="auto" w:sz="12" w:space="0"/>
              <w:right w:val="single" w:color="auto" w:sz="12" w:space="0"/>
            </w:tcBorders>
            <w:vAlign w:val="center"/>
          </w:tcPr>
          <w:p>
            <w:pPr>
              <w:spacing w:line="360" w:lineRule="auto"/>
              <w:ind w:left="1417" w:leftChars="203" w:hanging="991"/>
              <w:rPr>
                <w:rFonts w:asciiTheme="minorEastAsia" w:hAnsiTheme="minorEastAsia" w:eastAsiaTheme="minorEastAsia"/>
                <w:sz w:val="24"/>
              </w:rPr>
            </w:pPr>
            <w:r>
              <w:rPr>
                <w:rFonts w:asciiTheme="minorEastAsia" w:hAnsiTheme="minorEastAsia" w:eastAsiaTheme="minorEastAsia"/>
                <w:sz w:val="24"/>
              </w:rPr>
              <w:t>适用于本投标人须知的额外增加的变动：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trPr>
        <w:tc>
          <w:tcPr>
            <w:tcW w:w="146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8058" w:type="dxa"/>
            <w:vAlign w:val="center"/>
          </w:tcPr>
          <w:p>
            <w:pPr>
              <w:spacing w:line="360" w:lineRule="auto"/>
              <w:rPr>
                <w:rFonts w:asciiTheme="minorEastAsia" w:hAnsiTheme="minorEastAsia" w:eastAsiaTheme="minorEastAsia"/>
                <w:sz w:val="24"/>
              </w:rPr>
            </w:pPr>
            <w:r>
              <w:rPr>
                <w:rFonts w:asciiTheme="minorEastAsia" w:hAnsiTheme="minorEastAsia" w:eastAsiaTheme="minorEastAsia"/>
                <w:sz w:val="24"/>
              </w:rPr>
              <w:t>投标人应提交的其他文件：</w:t>
            </w:r>
            <w:r>
              <w:rPr>
                <w:rFonts w:hint="eastAsia" w:cs="仿宋" w:asciiTheme="minorEastAsia" w:hAnsiTheme="minorEastAsia" w:eastAsiaTheme="minorEastAsia"/>
                <w:sz w:val="24"/>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trPr>
        <w:tc>
          <w:tcPr>
            <w:tcW w:w="1468"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2</w:t>
            </w:r>
          </w:p>
        </w:tc>
        <w:tc>
          <w:tcPr>
            <w:tcW w:w="8058" w:type="dxa"/>
            <w:vAlign w:val="center"/>
          </w:tcPr>
          <w:p>
            <w:pPr>
              <w:adjustRightInd w:val="0"/>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投标文件的密封和标记：</w:t>
            </w:r>
          </w:p>
          <w:p>
            <w:pPr>
              <w:adjustRightInd w:val="0"/>
              <w:snapToGrid w:val="0"/>
              <w:spacing w:line="360" w:lineRule="auto"/>
              <w:rPr>
                <w:rFonts w:cs="仿宋" w:asciiTheme="minorEastAsia" w:hAnsiTheme="minorEastAsia" w:eastAsiaTheme="minorEastAsia"/>
                <w:sz w:val="24"/>
                <w:highlight w:val="none"/>
              </w:rPr>
            </w:pPr>
            <w:r>
              <w:rPr>
                <w:rFonts w:hint="eastAsia" w:cs="仿宋" w:asciiTheme="minorEastAsia" w:hAnsiTheme="minorEastAsia" w:eastAsiaTheme="minorEastAsia"/>
                <w:sz w:val="24"/>
              </w:rPr>
              <w:t>1、</w:t>
            </w:r>
            <w:r>
              <w:rPr>
                <w:rFonts w:hint="eastAsia" w:cs="仿宋" w:asciiTheme="minorEastAsia" w:hAnsiTheme="minorEastAsia" w:eastAsiaTheme="minorEastAsia"/>
                <w:sz w:val="24"/>
                <w:highlight w:val="none"/>
              </w:rPr>
              <w:t>投标文件（资格证明文件）</w:t>
            </w:r>
          </w:p>
          <w:p>
            <w:pPr>
              <w:adjustRightInd w:val="0"/>
              <w:snapToGrid w:val="0"/>
              <w:spacing w:line="360" w:lineRule="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投标文件（资格证明文件）的所有正本、副本应密封包装在1个密封袋内。</w:t>
            </w:r>
          </w:p>
          <w:p>
            <w:pPr>
              <w:adjustRightInd w:val="0"/>
              <w:snapToGrid w:val="0"/>
              <w:spacing w:line="360" w:lineRule="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2、投标文件（商务及技术文件）</w:t>
            </w:r>
          </w:p>
          <w:p>
            <w:pPr>
              <w:adjustRightInd w:val="0"/>
              <w:snapToGrid w:val="0"/>
              <w:spacing w:line="360" w:lineRule="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投标文件（商务及技术文件）的所有正本、副本应密封包装在1个密封袋内。</w:t>
            </w:r>
          </w:p>
          <w:p>
            <w:pPr>
              <w:adjustRightInd w:val="0"/>
              <w:snapToGrid w:val="0"/>
              <w:spacing w:line="360" w:lineRule="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3、投标文件电子版</w:t>
            </w:r>
          </w:p>
          <w:p>
            <w:pPr>
              <w:adjustRightInd w:val="0"/>
              <w:snapToGrid w:val="0"/>
              <w:spacing w:line="360" w:lineRule="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投标文件电子版（U盘1个）单独密封包装。</w:t>
            </w:r>
          </w:p>
          <w:p>
            <w:pPr>
              <w:adjustRightInd w:val="0"/>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4、投标文件的密封和标记</w:t>
            </w:r>
          </w:p>
          <w:p>
            <w:pPr>
              <w:adjustRightInd w:val="0"/>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（1）投标文件应密封包装，并在封套的封口处加盖投标人单位章及由投标人的法定代表人（负责人）（或单位负责人）或其授权代理人签字</w:t>
            </w:r>
            <w:r>
              <w:rPr>
                <w:rFonts w:hint="eastAsia" w:cs="仿宋" w:asciiTheme="minorEastAsia" w:hAnsiTheme="minorEastAsia" w:eastAsiaTheme="minorEastAsia"/>
                <w:sz w:val="24"/>
                <w:lang w:val="en-US" w:eastAsia="zh-CN"/>
              </w:rPr>
              <w:t>或盖章</w:t>
            </w:r>
            <w:r>
              <w:rPr>
                <w:rFonts w:hint="eastAsia" w:cs="仿宋" w:asciiTheme="minorEastAsia" w:hAnsiTheme="minorEastAsia" w:eastAsiaTheme="minorEastAsia"/>
                <w:sz w:val="24"/>
              </w:rPr>
              <w:t>。</w:t>
            </w:r>
          </w:p>
          <w:p>
            <w:pPr>
              <w:adjustRightInd w:val="0"/>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（2）投标文件封套要求：</w:t>
            </w:r>
          </w:p>
          <w:p>
            <w:pPr>
              <w:adjustRightInd w:val="0"/>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招标人名称：</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 xml:space="preserve">              </w:t>
            </w:r>
          </w:p>
          <w:p>
            <w:pPr>
              <w:adjustRightInd w:val="0"/>
              <w:snapToGrid w:val="0"/>
              <w:spacing w:line="360" w:lineRule="auto"/>
              <w:rPr>
                <w:rFonts w:hint="eastAsia" w:cs="仿宋" w:asciiTheme="minorEastAsia" w:hAnsiTheme="minorEastAsia" w:eastAsiaTheme="minorEastAsia"/>
                <w:sz w:val="24"/>
                <w:lang w:val="en-US" w:eastAsia="zh-CN"/>
              </w:rPr>
            </w:pP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（项目名称）</w:t>
            </w:r>
            <w:r>
              <w:rPr>
                <w:rFonts w:hint="eastAsia" w:cs="仿宋" w:asciiTheme="minorEastAsia" w:hAnsiTheme="minorEastAsia" w:eastAsiaTheme="minorEastAsia"/>
                <w:sz w:val="24"/>
                <w:highlight w:val="none"/>
              </w:rPr>
              <w:t>第</w:t>
            </w:r>
            <w:r>
              <w:rPr>
                <w:rFonts w:hint="eastAsia" w:cs="仿宋" w:asciiTheme="minorEastAsia" w:hAnsiTheme="minorEastAsia" w:eastAsiaTheme="minorEastAsia"/>
                <w:sz w:val="24"/>
                <w:highlight w:val="none"/>
                <w:u w:val="single"/>
              </w:rPr>
              <w:t xml:space="preserve">    包</w:t>
            </w:r>
            <w:r>
              <w:rPr>
                <w:rFonts w:hint="eastAsia" w:cs="仿宋" w:asciiTheme="minorEastAsia" w:hAnsiTheme="minorEastAsia" w:eastAsiaTheme="minorEastAsia"/>
                <w:sz w:val="24"/>
              </w:rPr>
              <w:t>投标文件</w:t>
            </w:r>
            <w:r>
              <w:rPr>
                <w:rFonts w:hint="eastAsia" w:cs="仿宋" w:asciiTheme="minorEastAsia" w:hAnsiTheme="minorEastAsia" w:eastAsiaTheme="minorEastAsia"/>
                <w:sz w:val="24"/>
                <w:lang w:val="en-US" w:eastAsia="zh-CN"/>
              </w:rPr>
              <w:t xml:space="preserve">  </w:t>
            </w:r>
          </w:p>
          <w:p>
            <w:pPr>
              <w:adjustRightInd w:val="0"/>
              <w:snapToGrid w:val="0"/>
              <w:spacing w:line="360" w:lineRule="auto"/>
              <w:rPr>
                <w:rFonts w:hint="eastAsia" w:eastAsiaTheme="minorEastAsia"/>
                <w:lang w:val="en-US" w:eastAsia="zh-CN"/>
              </w:rPr>
            </w:pPr>
            <w:r>
              <w:rPr>
                <w:rFonts w:hint="eastAsia" w:cs="仿宋" w:asciiTheme="minorEastAsia" w:hAnsiTheme="minorEastAsia" w:eastAsiaTheme="minorEastAsia"/>
                <w:sz w:val="24"/>
                <w:u w:val="single"/>
                <w:lang w:eastAsia="zh-CN"/>
              </w:rPr>
              <w:t>（</w:t>
            </w:r>
            <w:r>
              <w:rPr>
                <w:rFonts w:hint="eastAsia" w:cs="仿宋" w:asciiTheme="minorEastAsia" w:hAnsiTheme="minorEastAsia" w:eastAsiaTheme="minorEastAsia"/>
                <w:sz w:val="24"/>
                <w:u w:val="single"/>
              </w:rPr>
              <w:t>资格证明文件</w:t>
            </w:r>
            <w:r>
              <w:rPr>
                <w:rFonts w:hint="eastAsia" w:cs="仿宋" w:asciiTheme="minorEastAsia" w:hAnsiTheme="minorEastAsia" w:eastAsiaTheme="minorEastAsia"/>
                <w:sz w:val="24"/>
                <w:u w:val="single"/>
                <w:lang w:val="en-US" w:eastAsia="zh-CN"/>
              </w:rPr>
              <w:t>/</w:t>
            </w:r>
            <w:r>
              <w:rPr>
                <w:rFonts w:hint="eastAsia" w:cs="仿宋" w:asciiTheme="minorEastAsia" w:hAnsiTheme="minorEastAsia" w:eastAsiaTheme="minorEastAsia"/>
                <w:sz w:val="24"/>
                <w:highlight w:val="none"/>
                <w:u w:val="single"/>
              </w:rPr>
              <w:t>商务及技术文件</w:t>
            </w:r>
            <w:r>
              <w:rPr>
                <w:rFonts w:hint="eastAsia" w:cs="仿宋" w:asciiTheme="minorEastAsia" w:hAnsiTheme="minorEastAsia" w:eastAsiaTheme="minorEastAsia"/>
                <w:sz w:val="24"/>
                <w:highlight w:val="none"/>
                <w:u w:val="single"/>
                <w:lang w:val="en-US" w:eastAsia="zh-CN"/>
              </w:rPr>
              <w:t>/电子版）</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u w:val="none"/>
                <w:lang w:val="en-US" w:eastAsia="zh-CN"/>
              </w:rPr>
              <w:t>文件</w:t>
            </w:r>
          </w:p>
          <w:p>
            <w:pPr>
              <w:adjustRightInd w:val="0"/>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在</w:t>
            </w:r>
            <w:r>
              <w:rPr>
                <w:rFonts w:hint="eastAsia" w:cs="仿宋" w:asciiTheme="minorEastAsia" w:hAnsiTheme="minorEastAsia" w:eastAsiaTheme="minorEastAsia"/>
                <w:sz w:val="24"/>
                <w:u w:val="single"/>
              </w:rPr>
              <w:t xml:space="preserve">    年    月    日    时   分</w:t>
            </w:r>
            <w:r>
              <w:rPr>
                <w:rFonts w:hint="eastAsia" w:cs="仿宋" w:asciiTheme="minorEastAsia" w:hAnsiTheme="minorEastAsia" w:eastAsiaTheme="minorEastAsia"/>
                <w:sz w:val="24"/>
              </w:rPr>
              <w:t>前不得开启</w:t>
            </w:r>
          </w:p>
          <w:p>
            <w:pPr>
              <w:snapToGrid w:val="0"/>
              <w:spacing w:line="360" w:lineRule="auto"/>
              <w:rPr>
                <w:rFonts w:cs="仿宋" w:asciiTheme="minorEastAsia" w:hAnsiTheme="minorEastAsia" w:eastAsiaTheme="minorEastAsia"/>
                <w:sz w:val="24"/>
              </w:rPr>
            </w:pP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（加盖公章）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trPr>
        <w:tc>
          <w:tcPr>
            <w:tcW w:w="1468" w:type="dxa"/>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3</w:t>
            </w:r>
          </w:p>
        </w:tc>
        <w:tc>
          <w:tcPr>
            <w:tcW w:w="8058" w:type="dxa"/>
            <w:vAlign w:val="center"/>
          </w:tcPr>
          <w:p>
            <w:pPr>
              <w:adjustRightInd w:val="0"/>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供应商登记免费领取采购文件的，如不参与项目投标，应在递交投标文件截止时间前一日以书面形式告知采购代理机构。否则，采购代理机构可以向财政部门反映情况并提供相应的佐证。供应商一年内累计出现三次该情形，将被监管部门记录为失信行为。</w:t>
            </w:r>
          </w:p>
        </w:tc>
      </w:tr>
    </w:tbl>
    <w:p>
      <w:pPr>
        <w:jc w:val="center"/>
        <w:rPr>
          <w:rFonts w:asciiTheme="minorEastAsia" w:hAnsiTheme="minorEastAsia" w:eastAsiaTheme="minorEastAsia"/>
          <w:sz w:val="36"/>
          <w:szCs w:val="36"/>
        </w:rPr>
      </w:pPr>
      <w:r>
        <w:rPr>
          <w:rFonts w:asciiTheme="minorEastAsia" w:hAnsiTheme="minorEastAsia" w:eastAsiaTheme="minorEastAsia"/>
        </w:rPr>
        <w:br w:type="page"/>
      </w:r>
      <w:bookmarkStart w:id="12" w:name="_Toc108721089"/>
      <w:r>
        <w:rPr>
          <w:rFonts w:asciiTheme="minorEastAsia" w:hAnsiTheme="minorEastAsia" w:eastAsiaTheme="minorEastAsia"/>
          <w:sz w:val="36"/>
          <w:szCs w:val="36"/>
        </w:rPr>
        <w:t>（二）投标人须知</w:t>
      </w:r>
      <w:bookmarkEnd w:id="12"/>
    </w:p>
    <w:p>
      <w:pPr>
        <w:pStyle w:val="4"/>
        <w:rPr>
          <w:rFonts w:asciiTheme="minorEastAsia" w:hAnsiTheme="minorEastAsia" w:eastAsiaTheme="minorEastAsia"/>
          <w:sz w:val="28"/>
          <w:szCs w:val="18"/>
        </w:rPr>
      </w:pPr>
      <w:bookmarkStart w:id="13" w:name="_Toc216582805"/>
      <w:bookmarkStart w:id="14" w:name="_Toc515647757"/>
      <w:bookmarkStart w:id="15" w:name="_Toc520356143"/>
      <w:bookmarkStart w:id="16" w:name="_Toc108721090"/>
      <w:bookmarkStart w:id="17" w:name="_Toc21215"/>
      <w:bookmarkStart w:id="18" w:name="_Toc532473449"/>
      <w:bookmarkStart w:id="19" w:name="_Toc21015"/>
      <w:r>
        <w:rPr>
          <w:rFonts w:asciiTheme="minorEastAsia" w:hAnsiTheme="minorEastAsia" w:eastAsiaTheme="minorEastAsia"/>
          <w:sz w:val="28"/>
          <w:szCs w:val="18"/>
        </w:rPr>
        <w:t>一、</w:t>
      </w:r>
      <w:bookmarkEnd w:id="13"/>
      <w:bookmarkEnd w:id="14"/>
      <w:bookmarkEnd w:id="15"/>
      <w:r>
        <w:rPr>
          <w:rFonts w:asciiTheme="minorEastAsia" w:hAnsiTheme="minorEastAsia" w:eastAsiaTheme="minorEastAsia"/>
          <w:sz w:val="28"/>
          <w:szCs w:val="18"/>
        </w:rPr>
        <w:t>总  则</w:t>
      </w:r>
      <w:bookmarkEnd w:id="16"/>
      <w:bookmarkEnd w:id="17"/>
      <w:bookmarkEnd w:id="18"/>
      <w:bookmarkEnd w:id="19"/>
    </w:p>
    <w:p>
      <w:pPr>
        <w:pStyle w:val="5"/>
        <w:ind w:firstLine="0" w:firstLineChars="0"/>
        <w:jc w:val="both"/>
        <w:rPr>
          <w:rFonts w:asciiTheme="minorEastAsia" w:hAnsiTheme="minorEastAsia" w:eastAsiaTheme="minorEastAsia"/>
          <w:sz w:val="24"/>
          <w:szCs w:val="24"/>
        </w:rPr>
      </w:pPr>
      <w:bookmarkStart w:id="20" w:name="_Toc520356144"/>
      <w:bookmarkStart w:id="21" w:name="_Toc532473450"/>
      <w:bookmarkStart w:id="22" w:name="_Toc515647758"/>
      <w:bookmarkStart w:id="23" w:name="_Toc32623"/>
      <w:bookmarkStart w:id="24" w:name="_Toc108721091"/>
      <w:bookmarkStart w:id="25" w:name="_Toc32189"/>
      <w:r>
        <w:rPr>
          <w:rFonts w:asciiTheme="minorEastAsia" w:hAnsiTheme="minorEastAsia" w:eastAsiaTheme="minorEastAsia"/>
          <w:sz w:val="24"/>
          <w:szCs w:val="24"/>
        </w:rPr>
        <w:t>1.     采购人、采购代理机构及</w:t>
      </w:r>
      <w:bookmarkEnd w:id="20"/>
      <w:r>
        <w:rPr>
          <w:rFonts w:asciiTheme="minorEastAsia" w:hAnsiTheme="minorEastAsia" w:eastAsiaTheme="minorEastAsia"/>
          <w:sz w:val="24"/>
          <w:szCs w:val="24"/>
        </w:rPr>
        <w:t>投标人</w:t>
      </w:r>
      <w:bookmarkEnd w:id="21"/>
      <w:bookmarkEnd w:id="22"/>
      <w:bookmarkEnd w:id="23"/>
      <w:bookmarkEnd w:id="24"/>
      <w:bookmarkEnd w:id="25"/>
    </w:p>
    <w:p>
      <w:pPr>
        <w:tabs>
          <w:tab w:val="left" w:pos="0"/>
        </w:tabs>
        <w:spacing w:line="360" w:lineRule="auto"/>
        <w:rPr>
          <w:rFonts w:asciiTheme="minorEastAsia" w:hAnsiTheme="minorEastAsia" w:eastAsiaTheme="minorEastAsia"/>
          <w:sz w:val="24"/>
        </w:rPr>
      </w:pPr>
      <w:r>
        <w:rPr>
          <w:rFonts w:asciiTheme="minorEastAsia" w:hAnsiTheme="minorEastAsia" w:eastAsiaTheme="minorEastAsia"/>
          <w:sz w:val="24"/>
        </w:rPr>
        <w:t>1.1    采购人：是指依法进行政府采购的国家机关、事业单位、团体组织。</w:t>
      </w:r>
    </w:p>
    <w:p>
      <w:pPr>
        <w:tabs>
          <w:tab w:val="left" w:pos="0"/>
        </w:tabs>
        <w:spacing w:line="360" w:lineRule="auto"/>
        <w:ind w:firstLine="840" w:firstLineChars="350"/>
        <w:rPr>
          <w:rFonts w:asciiTheme="minorEastAsia" w:hAnsiTheme="minorEastAsia" w:eastAsiaTheme="minorEastAsia"/>
          <w:sz w:val="24"/>
        </w:rPr>
      </w:pPr>
      <w:r>
        <w:rPr>
          <w:rFonts w:asciiTheme="minorEastAsia" w:hAnsiTheme="minorEastAsia" w:eastAsiaTheme="minorEastAsia"/>
          <w:sz w:val="24"/>
        </w:rPr>
        <w:t>本项目的采购人见</w:t>
      </w:r>
      <w:r>
        <w:rPr>
          <w:rFonts w:asciiTheme="minorEastAsia" w:hAnsiTheme="minorEastAsia" w:eastAsiaTheme="minorEastAsia"/>
          <w:sz w:val="24"/>
          <w:u w:val="single"/>
        </w:rPr>
        <w:t>投标人须知前附表</w:t>
      </w:r>
      <w:r>
        <w:rPr>
          <w:rFonts w:asciiTheme="minorEastAsia" w:hAnsiTheme="minorEastAsia" w:eastAsiaTheme="minorEastAsia"/>
          <w:sz w:val="24"/>
        </w:rPr>
        <w:t>。</w:t>
      </w:r>
    </w:p>
    <w:p>
      <w:pPr>
        <w:tabs>
          <w:tab w:val="left" w:pos="142"/>
        </w:tabs>
        <w:spacing w:line="360" w:lineRule="auto"/>
        <w:ind w:left="828" w:hanging="828" w:hangingChars="345"/>
        <w:rPr>
          <w:rFonts w:asciiTheme="minorEastAsia" w:hAnsiTheme="minorEastAsia" w:eastAsiaTheme="minorEastAsia"/>
          <w:sz w:val="24"/>
        </w:rPr>
      </w:pPr>
      <w:r>
        <w:rPr>
          <w:rFonts w:asciiTheme="minorEastAsia" w:hAnsiTheme="minorEastAsia" w:eastAsiaTheme="minorEastAsia"/>
          <w:sz w:val="24"/>
        </w:rPr>
        <w:t>1.2    采购代理机构：本项目的采购代理机构为</w:t>
      </w:r>
      <w:r>
        <w:rPr>
          <w:rFonts w:hint="eastAsia" w:asciiTheme="minorEastAsia" w:hAnsiTheme="minorEastAsia" w:eastAsiaTheme="minorEastAsia"/>
          <w:sz w:val="24"/>
        </w:rPr>
        <w:t>陕西诺尔信项目管理有限公司</w:t>
      </w:r>
      <w:r>
        <w:rPr>
          <w:rFonts w:asciiTheme="minorEastAsia" w:hAnsiTheme="minorEastAsia" w:eastAsiaTheme="minorEastAsia"/>
          <w:sz w:val="24"/>
        </w:rPr>
        <w:t>，见</w:t>
      </w:r>
      <w:r>
        <w:rPr>
          <w:rFonts w:asciiTheme="minorEastAsia" w:hAnsiTheme="minorEastAsia" w:eastAsiaTheme="minorEastAsia"/>
          <w:sz w:val="24"/>
          <w:u w:val="single"/>
        </w:rPr>
        <w:t>投标人须知前附表。</w:t>
      </w:r>
    </w:p>
    <w:p>
      <w:pPr>
        <w:tabs>
          <w:tab w:val="left" w:pos="142"/>
        </w:tabs>
        <w:spacing w:line="360" w:lineRule="auto"/>
        <w:ind w:left="828" w:hanging="828" w:hangingChars="345"/>
        <w:rPr>
          <w:rFonts w:asciiTheme="minorEastAsia" w:hAnsiTheme="minorEastAsia" w:eastAsiaTheme="minorEastAsia"/>
          <w:sz w:val="24"/>
        </w:rPr>
      </w:pPr>
      <w:r>
        <w:rPr>
          <w:rFonts w:asciiTheme="minorEastAsia" w:hAnsiTheme="minorEastAsia" w:eastAsiaTheme="minorEastAsia"/>
          <w:sz w:val="24"/>
        </w:rPr>
        <w:t>1.3    投标人：是指响应招标、参加投标竞争的法人、其他组织或者自然人。潜在投标人：以招标文件规定的方式获取本项目招标文件的法人、其他组织或者自然人。</w:t>
      </w:r>
    </w:p>
    <w:p>
      <w:pPr>
        <w:spacing w:line="360" w:lineRule="auto"/>
        <w:ind w:firstLine="720" w:firstLineChars="300"/>
        <w:rPr>
          <w:rFonts w:asciiTheme="minorEastAsia" w:hAnsiTheme="minorEastAsia" w:eastAsiaTheme="minorEastAsia"/>
          <w:sz w:val="24"/>
        </w:rPr>
      </w:pPr>
      <w:r>
        <w:rPr>
          <w:rFonts w:asciiTheme="minorEastAsia" w:hAnsiTheme="minorEastAsia" w:eastAsiaTheme="minorEastAsia"/>
          <w:sz w:val="24"/>
        </w:rPr>
        <w:t>本项目的投标人须满足以下条件：</w:t>
      </w:r>
    </w:p>
    <w:p>
      <w:pPr>
        <w:spacing w:line="360" w:lineRule="auto"/>
        <w:ind w:left="838" w:hanging="837" w:hangingChars="349"/>
        <w:rPr>
          <w:rFonts w:asciiTheme="minorEastAsia" w:hAnsiTheme="minorEastAsia" w:eastAsiaTheme="minorEastAsia"/>
          <w:sz w:val="24"/>
        </w:rPr>
      </w:pPr>
      <w:r>
        <w:rPr>
          <w:rFonts w:asciiTheme="minorEastAsia" w:hAnsiTheme="minorEastAsia" w:eastAsiaTheme="minorEastAsia"/>
          <w:sz w:val="24"/>
        </w:rPr>
        <w:t>1.3.1  具备《中华人民共和国政府采购法》第二十二条关于供应商条件的规定，遵守本项目采购人和财政部门政府采购的有关规定。</w:t>
      </w:r>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1.3.2  以招标文件规定的方式获得了本项目的招标文件。</w:t>
      </w:r>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1.3.3  符合</w:t>
      </w:r>
      <w:r>
        <w:rPr>
          <w:rFonts w:asciiTheme="minorEastAsia" w:hAnsiTheme="minorEastAsia" w:eastAsiaTheme="minorEastAsia"/>
          <w:sz w:val="24"/>
          <w:u w:val="single"/>
        </w:rPr>
        <w:t>投标人须知前附表</w:t>
      </w:r>
      <w:r>
        <w:rPr>
          <w:rFonts w:asciiTheme="minorEastAsia" w:hAnsiTheme="minorEastAsia" w:eastAsiaTheme="minorEastAsia"/>
          <w:sz w:val="24"/>
        </w:rPr>
        <w:t>中规定的合格投标人的其他资格要求。</w:t>
      </w:r>
    </w:p>
    <w:p>
      <w:pPr>
        <w:spacing w:line="360" w:lineRule="auto"/>
        <w:ind w:left="838" w:hanging="837" w:hangingChars="349"/>
        <w:rPr>
          <w:rFonts w:asciiTheme="minorEastAsia" w:hAnsiTheme="minorEastAsia" w:eastAsiaTheme="minorEastAsia"/>
          <w:sz w:val="24"/>
        </w:rPr>
      </w:pPr>
      <w:r>
        <w:rPr>
          <w:rFonts w:asciiTheme="minorEastAsia" w:hAnsiTheme="minorEastAsia" w:eastAsiaTheme="minorEastAsia"/>
          <w:sz w:val="24"/>
        </w:rPr>
        <w:t>1.3.4  若</w:t>
      </w:r>
      <w:r>
        <w:rPr>
          <w:rFonts w:asciiTheme="minorEastAsia" w:hAnsiTheme="minorEastAsia" w:eastAsiaTheme="minorEastAsia"/>
          <w:sz w:val="24"/>
          <w:u w:val="single"/>
        </w:rPr>
        <w:t>投标人须知前附表</w:t>
      </w:r>
      <w:r>
        <w:rPr>
          <w:rFonts w:asciiTheme="minorEastAsia" w:hAnsiTheme="minorEastAsia" w:eastAsiaTheme="minorEastAsia"/>
          <w:sz w:val="24"/>
        </w:rPr>
        <w:t>中写明专门面向中小企业采购的，如投标人未出具《中小企业声明函》，其投标将被认定为</w:t>
      </w:r>
      <w:r>
        <w:rPr>
          <w:rFonts w:asciiTheme="minorEastAsia" w:hAnsiTheme="minorEastAsia" w:eastAsiaTheme="minorEastAsia"/>
          <w:b/>
          <w:bCs/>
          <w:sz w:val="24"/>
        </w:rPr>
        <w:t>投标无效</w:t>
      </w:r>
      <w:r>
        <w:rPr>
          <w:rFonts w:asciiTheme="minorEastAsia" w:hAnsiTheme="minorEastAsia" w:eastAsiaTheme="minorEastAsia"/>
          <w:sz w:val="24"/>
        </w:rPr>
        <w:t>。</w:t>
      </w:r>
    </w:p>
    <w:p>
      <w:pPr>
        <w:spacing w:line="360" w:lineRule="auto"/>
        <w:ind w:left="838" w:hanging="837" w:hangingChars="349"/>
        <w:rPr>
          <w:rFonts w:asciiTheme="minorEastAsia" w:hAnsiTheme="minorEastAsia" w:eastAsiaTheme="minorEastAsia"/>
          <w:sz w:val="24"/>
        </w:rPr>
      </w:pPr>
      <w:r>
        <w:rPr>
          <w:rFonts w:asciiTheme="minorEastAsia" w:hAnsiTheme="minorEastAsia" w:eastAsiaTheme="minorEastAsia"/>
          <w:sz w:val="24"/>
        </w:rPr>
        <w:t>1.3.5  若投标人须知前附表中写明允许采购进口产品，投标人应保证所投产品可履行合法报通关手续进入中国关境内。</w:t>
      </w:r>
    </w:p>
    <w:p>
      <w:pPr>
        <w:spacing w:line="360" w:lineRule="auto"/>
        <w:ind w:left="840" w:leftChars="400"/>
        <w:rPr>
          <w:rFonts w:asciiTheme="minorEastAsia" w:hAnsiTheme="minorEastAsia" w:eastAsiaTheme="minorEastAsia"/>
          <w:sz w:val="24"/>
        </w:rPr>
      </w:pPr>
      <w:r>
        <w:rPr>
          <w:rFonts w:asciiTheme="minorEastAsia" w:hAnsiTheme="minorEastAsia" w:eastAsiaTheme="minorEastAsia"/>
          <w:sz w:val="24"/>
        </w:rPr>
        <w:t>若投标人须知前附表中不允许采购进口产品，如投标人所投产品为进口产品，其投标将被认定为</w:t>
      </w:r>
      <w:r>
        <w:rPr>
          <w:rFonts w:asciiTheme="minorEastAsia" w:hAnsiTheme="minorEastAsia" w:eastAsiaTheme="minorEastAsia"/>
          <w:b/>
          <w:bCs/>
          <w:sz w:val="24"/>
        </w:rPr>
        <w:t>投标无效</w:t>
      </w:r>
      <w:r>
        <w:rPr>
          <w:rFonts w:asciiTheme="minorEastAsia" w:hAnsiTheme="minorEastAsia" w:eastAsiaTheme="minorEastAsia"/>
          <w:sz w:val="24"/>
        </w:rPr>
        <w:t>。</w:t>
      </w:r>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1.4    如</w:t>
      </w:r>
      <w:r>
        <w:rPr>
          <w:rFonts w:asciiTheme="minorEastAsia" w:hAnsiTheme="minorEastAsia" w:eastAsiaTheme="minorEastAsia"/>
          <w:sz w:val="24"/>
          <w:u w:val="single"/>
        </w:rPr>
        <w:t>投标人须知前附表</w:t>
      </w:r>
      <w:r>
        <w:rPr>
          <w:rFonts w:asciiTheme="minorEastAsia" w:hAnsiTheme="minorEastAsia" w:eastAsiaTheme="minorEastAsia"/>
          <w:sz w:val="24"/>
        </w:rPr>
        <w:t>中允许联合体投标，对联合体规定如下：</w:t>
      </w:r>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1.4.1  两个及以上供应商可以组成一个投标联合体，以一个投标人的身份投标。</w:t>
      </w:r>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1.4.2  联合体各方均应符合本须知规定。</w:t>
      </w:r>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1.4.3  采购人根据采购项目对投标人的特殊要求，联合体中至少应当有一方符合相关规定。</w:t>
      </w:r>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1.4.4  联合体各方应签订共同投标协议，明确约定联合体各方承担的工作和相应的责任，并将共同投标协议作为投标文件</w:t>
      </w:r>
      <w:r>
        <w:rPr>
          <w:rFonts w:hint="eastAsia" w:asciiTheme="minorEastAsia" w:hAnsiTheme="minorEastAsia" w:eastAsiaTheme="minorEastAsia"/>
          <w:sz w:val="24"/>
        </w:rPr>
        <w:t>资格证明文件</w:t>
      </w:r>
      <w:r>
        <w:rPr>
          <w:rFonts w:asciiTheme="minorEastAsia" w:hAnsiTheme="minorEastAsia" w:eastAsiaTheme="minorEastAsia"/>
          <w:sz w:val="24"/>
        </w:rPr>
        <w:t>的内容提交。</w:t>
      </w:r>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1.4.5  大中型企业、其他自然人、法人或者其他组织与小型、微型企业组成联合体共同参加投标，共同投标协议中应写明小型、微型企业的协议合同金额占到共同投标协议投标总金额的比例。</w:t>
      </w:r>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1.4.6  以联合体形式参加政府采购活动的，联合体各方不得再单独参加或者与其他供应商另外组成联合体参加本项目同一合同项下的投标，否则相关投标将被认定为</w:t>
      </w:r>
      <w:r>
        <w:rPr>
          <w:rFonts w:asciiTheme="minorEastAsia" w:hAnsiTheme="minorEastAsia" w:eastAsiaTheme="minorEastAsia"/>
          <w:b/>
          <w:sz w:val="24"/>
        </w:rPr>
        <w:t>投标无效。</w:t>
      </w:r>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1.4.7  对联合体投标的其他资格要求见</w:t>
      </w:r>
      <w:r>
        <w:rPr>
          <w:rFonts w:asciiTheme="minorEastAsia" w:hAnsiTheme="minorEastAsia" w:eastAsiaTheme="minorEastAsia"/>
          <w:sz w:val="24"/>
          <w:u w:val="single"/>
        </w:rPr>
        <w:t>投标人须知前附表</w:t>
      </w:r>
      <w:r>
        <w:rPr>
          <w:rFonts w:asciiTheme="minorEastAsia" w:hAnsiTheme="minorEastAsia" w:eastAsiaTheme="minorEastAsia"/>
          <w:sz w:val="24"/>
        </w:rPr>
        <w:t>。</w:t>
      </w:r>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1.5    单位负责人为同一人或者存在直接控股、管理关系的不同供应商参与本项目同一合同项下的投标的，其相关投标将被认定为</w:t>
      </w:r>
      <w:r>
        <w:rPr>
          <w:rFonts w:asciiTheme="minorEastAsia" w:hAnsiTheme="minorEastAsia" w:eastAsiaTheme="minorEastAsia"/>
          <w:b/>
          <w:sz w:val="24"/>
        </w:rPr>
        <w:t>投标无效</w:t>
      </w:r>
      <w:r>
        <w:rPr>
          <w:rFonts w:asciiTheme="minorEastAsia" w:hAnsiTheme="minorEastAsia" w:eastAsiaTheme="minorEastAsia"/>
          <w:sz w:val="24"/>
        </w:rPr>
        <w:t>。</w:t>
      </w:r>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1.6    为本项目提供过整体设计、规范编制或者项目管理、监理、检测等服务的供应商，不得再参加本项目上述服务以外的其他采购活动。否则其投标将被认定为</w:t>
      </w:r>
      <w:r>
        <w:rPr>
          <w:rFonts w:asciiTheme="minorEastAsia" w:hAnsiTheme="minorEastAsia" w:eastAsiaTheme="minorEastAsia"/>
          <w:b/>
          <w:bCs/>
          <w:sz w:val="24"/>
        </w:rPr>
        <w:t>投标无效</w:t>
      </w:r>
      <w:r>
        <w:rPr>
          <w:rFonts w:asciiTheme="minorEastAsia" w:hAnsiTheme="minorEastAsia" w:eastAsiaTheme="minorEastAsia"/>
          <w:sz w:val="24"/>
        </w:rPr>
        <w:t>。</w:t>
      </w:r>
    </w:p>
    <w:p>
      <w:pPr>
        <w:pStyle w:val="12"/>
        <w:rPr>
          <w:rFonts w:asciiTheme="minorEastAsia" w:hAnsiTheme="minorEastAsia" w:eastAsiaTheme="minorEastAsia"/>
        </w:rPr>
      </w:pPr>
      <w:r>
        <w:rPr>
          <w:rFonts w:asciiTheme="minorEastAsia" w:hAnsiTheme="minorEastAsia" w:eastAsiaTheme="minorEastAsia"/>
        </w:rPr>
        <w:t>1.7    本项目所属行业见</w:t>
      </w:r>
      <w:r>
        <w:rPr>
          <w:rFonts w:asciiTheme="minorEastAsia" w:hAnsiTheme="minorEastAsia" w:eastAsiaTheme="minorEastAsia"/>
          <w:u w:val="single"/>
        </w:rPr>
        <w:t>投标人须知前附表</w:t>
      </w:r>
      <w:r>
        <w:rPr>
          <w:rFonts w:asciiTheme="minorEastAsia" w:hAnsiTheme="minorEastAsia" w:eastAsiaTheme="minorEastAsia"/>
        </w:rPr>
        <w:t>。</w:t>
      </w:r>
    </w:p>
    <w:p>
      <w:pPr>
        <w:pStyle w:val="5"/>
        <w:ind w:firstLine="0" w:firstLineChars="0"/>
        <w:jc w:val="both"/>
        <w:rPr>
          <w:rFonts w:asciiTheme="minorEastAsia" w:hAnsiTheme="minorEastAsia" w:eastAsiaTheme="minorEastAsia"/>
          <w:sz w:val="24"/>
          <w:szCs w:val="24"/>
        </w:rPr>
      </w:pPr>
      <w:bookmarkStart w:id="26" w:name="_Toc515647759"/>
      <w:bookmarkStart w:id="27" w:name="_Toc532473451"/>
      <w:bookmarkStart w:id="28" w:name="_Toc108721092"/>
      <w:bookmarkStart w:id="29" w:name="_Toc5286"/>
      <w:bookmarkStart w:id="30" w:name="_Toc12139"/>
      <w:r>
        <w:rPr>
          <w:rFonts w:asciiTheme="minorEastAsia" w:hAnsiTheme="minorEastAsia" w:eastAsiaTheme="minorEastAsia"/>
          <w:sz w:val="24"/>
          <w:szCs w:val="24"/>
        </w:rPr>
        <w:t>2.     资金来源</w:t>
      </w:r>
      <w:bookmarkEnd w:id="26"/>
      <w:bookmarkEnd w:id="27"/>
      <w:bookmarkEnd w:id="28"/>
      <w:bookmarkEnd w:id="29"/>
      <w:bookmarkEnd w:id="30"/>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2.1    本项目的采购资金已列入政府采购项目预算，具有开展政府采购活动的条件。</w:t>
      </w:r>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2.2    项目预算金额和最高限价（如有）见</w:t>
      </w:r>
      <w:r>
        <w:rPr>
          <w:rFonts w:asciiTheme="minorEastAsia" w:hAnsiTheme="minorEastAsia" w:eastAsiaTheme="minorEastAsia"/>
          <w:sz w:val="24"/>
          <w:u w:val="single"/>
        </w:rPr>
        <w:t>投标人须知前附表</w:t>
      </w:r>
      <w:r>
        <w:rPr>
          <w:rFonts w:asciiTheme="minorEastAsia" w:hAnsiTheme="minorEastAsia" w:eastAsiaTheme="minorEastAsia"/>
          <w:sz w:val="24"/>
        </w:rPr>
        <w:t>。</w:t>
      </w:r>
    </w:p>
    <w:p>
      <w:pPr>
        <w:spacing w:line="360" w:lineRule="auto"/>
        <w:ind w:left="835" w:hanging="835" w:hangingChars="348"/>
        <w:rPr>
          <w:rFonts w:asciiTheme="minorEastAsia" w:hAnsiTheme="minorEastAsia" w:eastAsiaTheme="minorEastAsia"/>
          <w:sz w:val="24"/>
        </w:rPr>
      </w:pPr>
      <w:r>
        <w:rPr>
          <w:rFonts w:asciiTheme="minorEastAsia" w:hAnsiTheme="minorEastAsia" w:eastAsiaTheme="minorEastAsia"/>
          <w:sz w:val="24"/>
        </w:rPr>
        <w:t>2.3    投标人报价超过招标文件规定的预算金额或者预算额度内最高限价的，其投标将被认定为</w:t>
      </w:r>
      <w:r>
        <w:rPr>
          <w:rFonts w:asciiTheme="minorEastAsia" w:hAnsiTheme="minorEastAsia" w:eastAsiaTheme="minorEastAsia"/>
          <w:b/>
          <w:bCs/>
          <w:sz w:val="24"/>
        </w:rPr>
        <w:t>投标无效</w:t>
      </w:r>
      <w:r>
        <w:rPr>
          <w:rFonts w:asciiTheme="minorEastAsia" w:hAnsiTheme="minorEastAsia" w:eastAsiaTheme="minorEastAsia"/>
          <w:sz w:val="24"/>
        </w:rPr>
        <w:t>。</w:t>
      </w:r>
    </w:p>
    <w:p>
      <w:pPr>
        <w:pStyle w:val="5"/>
        <w:ind w:firstLine="0" w:firstLineChars="0"/>
        <w:jc w:val="both"/>
        <w:rPr>
          <w:rFonts w:asciiTheme="minorEastAsia" w:hAnsiTheme="minorEastAsia" w:eastAsiaTheme="minorEastAsia"/>
          <w:sz w:val="24"/>
          <w:szCs w:val="24"/>
        </w:rPr>
      </w:pPr>
      <w:bookmarkStart w:id="31" w:name="_Toc532473452"/>
      <w:bookmarkStart w:id="32" w:name="_Toc515647760"/>
      <w:bookmarkStart w:id="33" w:name="_Toc108721093"/>
      <w:bookmarkStart w:id="34" w:name="_Toc20526"/>
      <w:bookmarkStart w:id="35" w:name="_Toc15936"/>
      <w:bookmarkStart w:id="36" w:name="_Toc520356145"/>
      <w:r>
        <w:rPr>
          <w:rFonts w:asciiTheme="minorEastAsia" w:hAnsiTheme="minorEastAsia" w:eastAsiaTheme="minorEastAsia"/>
          <w:sz w:val="24"/>
          <w:szCs w:val="24"/>
        </w:rPr>
        <w:t>3.     投标费用</w:t>
      </w:r>
      <w:bookmarkEnd w:id="31"/>
      <w:bookmarkEnd w:id="32"/>
      <w:bookmarkEnd w:id="33"/>
      <w:bookmarkEnd w:id="34"/>
      <w:bookmarkEnd w:id="35"/>
      <w:bookmarkEnd w:id="36"/>
    </w:p>
    <w:p>
      <w:pPr>
        <w:spacing w:line="360" w:lineRule="auto"/>
        <w:ind w:firstLine="840" w:firstLineChars="350"/>
        <w:rPr>
          <w:rFonts w:asciiTheme="minorEastAsia" w:hAnsiTheme="minorEastAsia" w:eastAsiaTheme="minorEastAsia"/>
          <w:sz w:val="24"/>
        </w:rPr>
      </w:pPr>
      <w:r>
        <w:rPr>
          <w:rFonts w:asciiTheme="minorEastAsia" w:hAnsiTheme="minorEastAsia" w:eastAsiaTheme="minorEastAsia"/>
          <w:sz w:val="24"/>
        </w:rPr>
        <w:t>不论投标的结果如何，投标人应承担所有与投标有关的费用。</w:t>
      </w:r>
    </w:p>
    <w:p>
      <w:pPr>
        <w:pStyle w:val="5"/>
        <w:ind w:firstLine="0" w:firstLineChars="0"/>
        <w:jc w:val="both"/>
        <w:rPr>
          <w:rFonts w:asciiTheme="minorEastAsia" w:hAnsiTheme="minorEastAsia" w:eastAsiaTheme="minorEastAsia"/>
          <w:sz w:val="24"/>
          <w:szCs w:val="24"/>
        </w:rPr>
      </w:pPr>
      <w:bookmarkStart w:id="37" w:name="_Toc108721094"/>
      <w:bookmarkStart w:id="38" w:name="_Toc6116"/>
      <w:bookmarkStart w:id="39" w:name="_Toc532473453"/>
      <w:bookmarkStart w:id="40" w:name="_Toc4463"/>
      <w:bookmarkStart w:id="41" w:name="_Toc515647761"/>
      <w:r>
        <w:rPr>
          <w:rFonts w:asciiTheme="minorEastAsia" w:hAnsiTheme="minorEastAsia" w:eastAsiaTheme="minorEastAsia"/>
          <w:sz w:val="24"/>
          <w:szCs w:val="24"/>
        </w:rPr>
        <w:t>4.     适用法律</w:t>
      </w:r>
      <w:bookmarkEnd w:id="37"/>
      <w:bookmarkEnd w:id="38"/>
      <w:bookmarkEnd w:id="39"/>
      <w:bookmarkEnd w:id="40"/>
      <w:bookmarkEnd w:id="41"/>
    </w:p>
    <w:p>
      <w:pPr>
        <w:spacing w:line="360" w:lineRule="auto"/>
        <w:ind w:left="833" w:leftChars="397" w:firstLine="3"/>
        <w:rPr>
          <w:rFonts w:asciiTheme="minorEastAsia" w:hAnsiTheme="minorEastAsia" w:eastAsiaTheme="minorEastAsia"/>
          <w:sz w:val="24"/>
        </w:rPr>
      </w:pPr>
      <w:r>
        <w:rPr>
          <w:rFonts w:asciiTheme="minorEastAsia" w:hAnsiTheme="minorEastAsia" w:eastAsiaTheme="minorEastAsia"/>
          <w:sz w:val="24"/>
        </w:rPr>
        <w:t>本项目采购人、采购代理机构、投标人、评标委员会的相关行为均受《中华人民共和国政府采购法》、《中华人民共和国政府采购法实施条例》及本项目本级和上级财政部门政府采购有关规定的约束和保护。</w:t>
      </w:r>
    </w:p>
    <w:p>
      <w:pPr>
        <w:pStyle w:val="4"/>
        <w:rPr>
          <w:rFonts w:asciiTheme="minorEastAsia" w:hAnsiTheme="minorEastAsia" w:eastAsiaTheme="minorEastAsia"/>
          <w:sz w:val="28"/>
          <w:szCs w:val="18"/>
        </w:rPr>
      </w:pPr>
      <w:bookmarkStart w:id="42" w:name="_Toc532473454"/>
      <w:bookmarkStart w:id="43" w:name="_Toc21566"/>
      <w:bookmarkStart w:id="44" w:name="_Toc108721095"/>
      <w:bookmarkStart w:id="45" w:name="_Toc216582806"/>
      <w:bookmarkStart w:id="46" w:name="_Toc4365"/>
      <w:bookmarkStart w:id="47" w:name="_Toc520356146"/>
      <w:bookmarkStart w:id="48" w:name="_Toc515647762"/>
      <w:r>
        <w:rPr>
          <w:rFonts w:asciiTheme="minorEastAsia" w:hAnsiTheme="minorEastAsia" w:eastAsiaTheme="minorEastAsia"/>
          <w:sz w:val="28"/>
          <w:szCs w:val="18"/>
        </w:rPr>
        <w:t>二、招标文件</w:t>
      </w:r>
      <w:bookmarkEnd w:id="42"/>
      <w:bookmarkEnd w:id="43"/>
      <w:bookmarkEnd w:id="44"/>
      <w:bookmarkEnd w:id="45"/>
      <w:bookmarkEnd w:id="46"/>
      <w:bookmarkEnd w:id="47"/>
      <w:bookmarkEnd w:id="48"/>
    </w:p>
    <w:p>
      <w:pPr>
        <w:pStyle w:val="5"/>
        <w:ind w:firstLine="0" w:firstLineChars="0"/>
        <w:rPr>
          <w:rFonts w:asciiTheme="minorEastAsia" w:hAnsiTheme="minorEastAsia" w:eastAsiaTheme="minorEastAsia"/>
          <w:sz w:val="24"/>
          <w:szCs w:val="24"/>
        </w:rPr>
      </w:pPr>
      <w:bookmarkStart w:id="49" w:name="_Toc25743"/>
      <w:bookmarkStart w:id="50" w:name="_Toc515647763"/>
      <w:bookmarkStart w:id="51" w:name="_Toc108721096"/>
      <w:bookmarkStart w:id="52" w:name="_Toc14084"/>
      <w:bookmarkStart w:id="53" w:name="_Toc520356147"/>
      <w:bookmarkStart w:id="54" w:name="_Toc532473455"/>
      <w:r>
        <w:rPr>
          <w:rFonts w:asciiTheme="minorEastAsia" w:hAnsiTheme="minorEastAsia" w:eastAsiaTheme="minorEastAsia"/>
          <w:sz w:val="24"/>
          <w:szCs w:val="24"/>
        </w:rPr>
        <w:t>5.     招标文件构成</w:t>
      </w:r>
      <w:bookmarkEnd w:id="49"/>
      <w:bookmarkEnd w:id="50"/>
      <w:bookmarkEnd w:id="51"/>
      <w:bookmarkEnd w:id="52"/>
      <w:bookmarkEnd w:id="53"/>
      <w:bookmarkEnd w:id="54"/>
    </w:p>
    <w:p>
      <w:pPr>
        <w:spacing w:line="360" w:lineRule="auto"/>
        <w:rPr>
          <w:rFonts w:asciiTheme="minorEastAsia" w:hAnsiTheme="minorEastAsia" w:eastAsiaTheme="minorEastAsia"/>
          <w:sz w:val="24"/>
        </w:rPr>
      </w:pPr>
      <w:r>
        <w:rPr>
          <w:rFonts w:asciiTheme="minorEastAsia" w:hAnsiTheme="minorEastAsia" w:eastAsiaTheme="minorEastAsia"/>
          <w:sz w:val="24"/>
        </w:rPr>
        <w:t>5.1    招标文件共六章，构成如下：</w:t>
      </w:r>
    </w:p>
    <w:p>
      <w:pPr>
        <w:spacing w:line="360" w:lineRule="auto"/>
        <w:ind w:firstLine="840" w:firstLineChars="350"/>
        <w:rPr>
          <w:rFonts w:asciiTheme="minorEastAsia" w:hAnsiTheme="minorEastAsia" w:eastAsiaTheme="minorEastAsia"/>
          <w:sz w:val="24"/>
        </w:rPr>
      </w:pPr>
      <w:r>
        <w:rPr>
          <w:rFonts w:asciiTheme="minorEastAsia" w:hAnsiTheme="minorEastAsia" w:eastAsiaTheme="minorEastAsia"/>
          <w:sz w:val="24"/>
        </w:rPr>
        <w:t>第一章  招标公告</w:t>
      </w:r>
    </w:p>
    <w:p>
      <w:pPr>
        <w:spacing w:line="360" w:lineRule="auto"/>
        <w:ind w:firstLine="840" w:firstLineChars="350"/>
        <w:rPr>
          <w:rFonts w:asciiTheme="minorEastAsia" w:hAnsiTheme="minorEastAsia" w:eastAsiaTheme="minorEastAsia"/>
          <w:sz w:val="24"/>
        </w:rPr>
      </w:pPr>
      <w:r>
        <w:rPr>
          <w:rFonts w:asciiTheme="minorEastAsia" w:hAnsiTheme="minorEastAsia" w:eastAsiaTheme="minorEastAsia"/>
          <w:sz w:val="24"/>
        </w:rPr>
        <w:t>第二章  投标人须知</w:t>
      </w:r>
    </w:p>
    <w:p>
      <w:pPr>
        <w:spacing w:line="360" w:lineRule="auto"/>
        <w:ind w:firstLine="840" w:firstLineChars="350"/>
        <w:rPr>
          <w:rFonts w:asciiTheme="minorEastAsia" w:hAnsiTheme="minorEastAsia" w:eastAsiaTheme="minorEastAsia"/>
          <w:sz w:val="24"/>
        </w:rPr>
      </w:pPr>
      <w:r>
        <w:rPr>
          <w:rFonts w:asciiTheme="minorEastAsia" w:hAnsiTheme="minorEastAsia" w:eastAsiaTheme="minorEastAsia"/>
          <w:sz w:val="24"/>
        </w:rPr>
        <w:t>第三章  评标方法和标准</w:t>
      </w:r>
    </w:p>
    <w:p>
      <w:pPr>
        <w:spacing w:line="360" w:lineRule="auto"/>
        <w:ind w:firstLine="840" w:firstLineChars="350"/>
        <w:rPr>
          <w:rFonts w:asciiTheme="minorEastAsia" w:hAnsiTheme="minorEastAsia" w:eastAsiaTheme="minorEastAsia"/>
          <w:sz w:val="24"/>
        </w:rPr>
      </w:pPr>
      <w:r>
        <w:rPr>
          <w:rFonts w:asciiTheme="minorEastAsia" w:hAnsiTheme="minorEastAsia" w:eastAsiaTheme="minorEastAsia"/>
          <w:sz w:val="24"/>
        </w:rPr>
        <w:t>第四章  拟签订的合同文本</w:t>
      </w:r>
    </w:p>
    <w:p>
      <w:pPr>
        <w:spacing w:line="360" w:lineRule="auto"/>
        <w:ind w:firstLine="840" w:firstLineChars="350"/>
        <w:rPr>
          <w:rFonts w:asciiTheme="minorEastAsia" w:hAnsiTheme="minorEastAsia" w:eastAsiaTheme="minorEastAsia"/>
          <w:sz w:val="24"/>
        </w:rPr>
      </w:pPr>
      <w:r>
        <w:rPr>
          <w:rFonts w:asciiTheme="minorEastAsia" w:hAnsiTheme="minorEastAsia" w:eastAsiaTheme="minorEastAsia"/>
          <w:sz w:val="24"/>
        </w:rPr>
        <w:t>第五章  采购需求及要求</w:t>
      </w:r>
    </w:p>
    <w:p>
      <w:pPr>
        <w:spacing w:line="360" w:lineRule="auto"/>
        <w:ind w:firstLine="840" w:firstLineChars="350"/>
        <w:rPr>
          <w:rFonts w:asciiTheme="minorEastAsia" w:hAnsiTheme="minorEastAsia" w:eastAsiaTheme="minorEastAsia"/>
          <w:sz w:val="24"/>
        </w:rPr>
      </w:pPr>
      <w:r>
        <w:rPr>
          <w:rFonts w:asciiTheme="minorEastAsia" w:hAnsiTheme="minorEastAsia" w:eastAsiaTheme="minorEastAsia"/>
          <w:sz w:val="24"/>
        </w:rPr>
        <w:t>第六章  投标文件格式</w:t>
      </w:r>
    </w:p>
    <w:p>
      <w:pPr>
        <w:spacing w:line="360" w:lineRule="auto"/>
        <w:ind w:left="840" w:hanging="840" w:hangingChars="350"/>
        <w:rPr>
          <w:rFonts w:asciiTheme="minorEastAsia" w:hAnsiTheme="minorEastAsia" w:eastAsiaTheme="minorEastAsia"/>
          <w:sz w:val="24"/>
        </w:rPr>
      </w:pPr>
      <w:r>
        <w:rPr>
          <w:rFonts w:asciiTheme="minorEastAsia" w:hAnsiTheme="minorEastAsia" w:eastAsiaTheme="minorEastAsia"/>
          <w:sz w:val="24"/>
        </w:rPr>
        <w:t>5.2    招标文件中如有不一致的，有澄清的部分以最终的澄清更正内容为准；未澄清的，以投标人须知前附表为准；投标人须知前附表不涉及的内容，以编排在后的最后描述为准。</w:t>
      </w:r>
    </w:p>
    <w:p>
      <w:pPr>
        <w:spacing w:line="360" w:lineRule="auto"/>
        <w:ind w:left="840" w:hanging="840" w:hangingChars="350"/>
        <w:rPr>
          <w:rFonts w:asciiTheme="minorEastAsia" w:hAnsiTheme="minorEastAsia" w:eastAsiaTheme="minorEastAsia"/>
          <w:sz w:val="24"/>
        </w:rPr>
      </w:pPr>
      <w:r>
        <w:rPr>
          <w:rFonts w:asciiTheme="minorEastAsia" w:hAnsiTheme="minorEastAsia" w:eastAsiaTheme="minorEastAsia"/>
          <w:sz w:val="24"/>
        </w:rPr>
        <w:t>5.3    投标人应认真阅读招标文件所有的事项、格式、条款和技术规范等。如投标人没有按照招标文件要求提交全部资料，或者投标文件没有对招标文件的实质性要求做出响应，其投标将被认定为</w:t>
      </w:r>
      <w:r>
        <w:rPr>
          <w:rFonts w:asciiTheme="minorEastAsia" w:hAnsiTheme="minorEastAsia" w:eastAsiaTheme="minorEastAsia"/>
          <w:b/>
          <w:bCs/>
          <w:sz w:val="24"/>
        </w:rPr>
        <w:t>投标无效</w:t>
      </w:r>
      <w:r>
        <w:rPr>
          <w:rFonts w:asciiTheme="minorEastAsia" w:hAnsiTheme="minorEastAsia" w:eastAsiaTheme="minorEastAsia"/>
          <w:sz w:val="24"/>
        </w:rPr>
        <w:t>。</w:t>
      </w:r>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5.4    现场考察或者答疑会及相关事项见</w:t>
      </w:r>
      <w:r>
        <w:rPr>
          <w:rFonts w:asciiTheme="minorEastAsia" w:hAnsiTheme="minorEastAsia" w:eastAsiaTheme="minorEastAsia"/>
          <w:sz w:val="24"/>
          <w:u w:val="single"/>
        </w:rPr>
        <w:t>投标人须知前附表</w:t>
      </w:r>
      <w:r>
        <w:rPr>
          <w:rFonts w:asciiTheme="minorEastAsia" w:hAnsiTheme="minorEastAsia" w:eastAsiaTheme="minorEastAsia"/>
          <w:sz w:val="24"/>
        </w:rPr>
        <w:t>。</w:t>
      </w:r>
    </w:p>
    <w:p>
      <w:pPr>
        <w:pStyle w:val="5"/>
        <w:ind w:firstLine="0" w:firstLineChars="0"/>
        <w:rPr>
          <w:rFonts w:asciiTheme="minorEastAsia" w:hAnsiTheme="minorEastAsia" w:eastAsiaTheme="minorEastAsia"/>
          <w:sz w:val="24"/>
          <w:szCs w:val="24"/>
        </w:rPr>
      </w:pPr>
      <w:bookmarkStart w:id="55" w:name="_Toc515904805"/>
      <w:bookmarkStart w:id="56" w:name="_Toc520356148"/>
      <w:bookmarkStart w:id="57" w:name="_Toc532473456"/>
      <w:bookmarkStart w:id="58" w:name="_Toc9232"/>
      <w:bookmarkStart w:id="59" w:name="_Toc108721097"/>
      <w:bookmarkStart w:id="60" w:name="_Toc26044"/>
      <w:r>
        <w:rPr>
          <w:rFonts w:asciiTheme="minorEastAsia" w:hAnsiTheme="minorEastAsia" w:eastAsiaTheme="minorEastAsia"/>
          <w:sz w:val="24"/>
          <w:szCs w:val="24"/>
        </w:rPr>
        <w:t>6.     招标文件的澄清</w:t>
      </w:r>
      <w:bookmarkEnd w:id="55"/>
      <w:bookmarkEnd w:id="56"/>
      <w:r>
        <w:rPr>
          <w:rFonts w:asciiTheme="minorEastAsia" w:hAnsiTheme="minorEastAsia" w:eastAsiaTheme="minorEastAsia"/>
          <w:sz w:val="24"/>
          <w:szCs w:val="24"/>
        </w:rPr>
        <w:t>与修改</w:t>
      </w:r>
      <w:bookmarkEnd w:id="57"/>
      <w:bookmarkEnd w:id="58"/>
      <w:bookmarkEnd w:id="59"/>
      <w:bookmarkEnd w:id="60"/>
    </w:p>
    <w:p>
      <w:pPr>
        <w:pStyle w:val="8"/>
        <w:spacing w:line="360" w:lineRule="auto"/>
        <w:ind w:left="840" w:hanging="840" w:hangingChars="350"/>
        <w:jc w:val="both"/>
        <w:rPr>
          <w:rFonts w:asciiTheme="minorEastAsia" w:hAnsiTheme="minorEastAsia" w:eastAsiaTheme="minorEastAsia"/>
          <w:szCs w:val="24"/>
        </w:rPr>
      </w:pPr>
      <w:bookmarkStart w:id="61" w:name="_Ref467378678"/>
      <w:bookmarkStart w:id="62" w:name="_Toc520356149"/>
      <w:bookmarkStart w:id="63" w:name="_Toc515904806"/>
      <w:r>
        <w:rPr>
          <w:rFonts w:asciiTheme="minorEastAsia" w:hAnsiTheme="minorEastAsia" w:eastAsiaTheme="minorEastAsia"/>
          <w:szCs w:val="24"/>
        </w:rPr>
        <w:t>6.1    采购人可主动地或在解答投标人提出的澄清问题时对招标文件进行澄清或修改。采购代理机构将以发布澄清（更正）公告的方式，澄清或修改招标文件，澄清或修改内容作为招标文件的组成部分。</w:t>
      </w:r>
    </w:p>
    <w:p>
      <w:pPr>
        <w:pStyle w:val="8"/>
        <w:spacing w:line="360" w:lineRule="auto"/>
        <w:ind w:left="840" w:hanging="840" w:hangingChars="350"/>
        <w:rPr>
          <w:rFonts w:asciiTheme="minorEastAsia" w:hAnsiTheme="minorEastAsia" w:eastAsiaTheme="minorEastAsia"/>
          <w:szCs w:val="24"/>
        </w:rPr>
      </w:pPr>
      <w:r>
        <w:rPr>
          <w:rFonts w:asciiTheme="minorEastAsia" w:hAnsiTheme="minorEastAsia" w:eastAsiaTheme="minorEastAsia"/>
          <w:szCs w:val="24"/>
        </w:rPr>
        <w:t>6.2    澄清或者修改的内容可能影响投标文件编制的，采购代理机构将以书面形式通知所有获取招标文件的潜在投标人，并对其具有约束力。投标人在收到上述通知后，应及时向采购代理机构确认。投标人未回复的，视同已知晓澄清或者修改的内容。</w:t>
      </w:r>
    </w:p>
    <w:p>
      <w:pPr>
        <w:pStyle w:val="8"/>
        <w:spacing w:line="360" w:lineRule="auto"/>
        <w:ind w:left="840" w:hanging="840" w:hangingChars="350"/>
        <w:rPr>
          <w:rFonts w:asciiTheme="minorEastAsia" w:hAnsiTheme="minorEastAsia" w:eastAsiaTheme="minorEastAsia"/>
          <w:szCs w:val="24"/>
        </w:rPr>
      </w:pPr>
      <w:r>
        <w:rPr>
          <w:rFonts w:asciiTheme="minorEastAsia" w:hAnsiTheme="minorEastAsia" w:eastAsiaTheme="minorEastAsia"/>
          <w:szCs w:val="24"/>
        </w:rPr>
        <w:t xml:space="preserve">       因潜在投标人原因或通讯线路故障导致通知逾期送达或无法送达，采购代理机构不因此承担任何责任，有关的招标采购活动可以继续有效进行。</w:t>
      </w:r>
    </w:p>
    <w:p>
      <w:pPr>
        <w:pStyle w:val="8"/>
        <w:spacing w:line="360" w:lineRule="auto"/>
        <w:ind w:left="840" w:hanging="840" w:hangingChars="350"/>
        <w:rPr>
          <w:rFonts w:asciiTheme="minorEastAsia" w:hAnsiTheme="minorEastAsia" w:eastAsiaTheme="minorEastAsia"/>
          <w:szCs w:val="24"/>
        </w:rPr>
      </w:pPr>
      <w:r>
        <w:rPr>
          <w:rFonts w:hint="eastAsia" w:cs="仿宋" w:asciiTheme="minorEastAsia" w:hAnsiTheme="minorEastAsia" w:eastAsiaTheme="minorEastAsia"/>
          <w:szCs w:val="24"/>
        </w:rPr>
        <w:t>6.3    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bookmarkEnd w:id="61"/>
    <w:bookmarkEnd w:id="62"/>
    <w:bookmarkEnd w:id="63"/>
    <w:p>
      <w:pPr>
        <w:pStyle w:val="5"/>
        <w:ind w:firstLine="0" w:firstLineChars="0"/>
        <w:rPr>
          <w:rFonts w:asciiTheme="minorEastAsia" w:hAnsiTheme="minorEastAsia" w:eastAsiaTheme="minorEastAsia"/>
          <w:sz w:val="24"/>
          <w:szCs w:val="24"/>
        </w:rPr>
      </w:pPr>
      <w:bookmarkStart w:id="64" w:name="_Toc532473457"/>
      <w:bookmarkStart w:id="65" w:name="_Toc14569"/>
      <w:bookmarkStart w:id="66" w:name="_Toc25635"/>
      <w:bookmarkStart w:id="67" w:name="_Toc108721098"/>
      <w:r>
        <w:rPr>
          <w:rFonts w:asciiTheme="minorEastAsia" w:hAnsiTheme="minorEastAsia" w:eastAsiaTheme="minorEastAsia"/>
          <w:sz w:val="24"/>
          <w:szCs w:val="24"/>
        </w:rPr>
        <w:t>7.     投标截止时间的顺延</w:t>
      </w:r>
      <w:bookmarkEnd w:id="64"/>
      <w:bookmarkEnd w:id="65"/>
      <w:bookmarkEnd w:id="66"/>
      <w:bookmarkEnd w:id="67"/>
    </w:p>
    <w:p>
      <w:pPr>
        <w:spacing w:line="360" w:lineRule="auto"/>
        <w:ind w:left="837" w:leftChars="399"/>
        <w:rPr>
          <w:rFonts w:asciiTheme="minorEastAsia" w:hAnsiTheme="minorEastAsia" w:eastAsiaTheme="minorEastAsia"/>
          <w:sz w:val="24"/>
        </w:rPr>
      </w:pPr>
      <w:r>
        <w:rPr>
          <w:rFonts w:asciiTheme="minorEastAsia" w:hAnsiTheme="minorEastAsia" w:eastAsiaTheme="minorEastAsia"/>
          <w:sz w:val="24"/>
        </w:rPr>
        <w:t>为使投标人有足够的时间对招标文件的澄清或者修改部分进行研究而准备投标或因其他原因，采购人将依法决定是否顺延投标截止时间。</w:t>
      </w:r>
    </w:p>
    <w:p>
      <w:pPr>
        <w:pStyle w:val="4"/>
        <w:rPr>
          <w:rFonts w:asciiTheme="minorEastAsia" w:hAnsiTheme="minorEastAsia" w:eastAsiaTheme="minorEastAsia"/>
          <w:sz w:val="28"/>
          <w:szCs w:val="18"/>
        </w:rPr>
      </w:pPr>
      <w:bookmarkStart w:id="68" w:name="_Toc516367020"/>
      <w:bookmarkStart w:id="69" w:name="_Toc532473458"/>
      <w:bookmarkStart w:id="70" w:name="_Toc108721099"/>
      <w:bookmarkStart w:id="71" w:name="_Toc520356150"/>
      <w:bookmarkStart w:id="72" w:name="_Toc216582807"/>
      <w:bookmarkStart w:id="73" w:name="_Toc515647766"/>
      <w:bookmarkStart w:id="74" w:name="_Toc30808"/>
      <w:bookmarkStart w:id="75" w:name="_Toc7636"/>
      <w:r>
        <w:rPr>
          <w:rFonts w:asciiTheme="minorEastAsia" w:hAnsiTheme="minorEastAsia" w:eastAsiaTheme="minorEastAsia"/>
          <w:sz w:val="28"/>
          <w:szCs w:val="18"/>
        </w:rPr>
        <w:t>三、投标文件</w:t>
      </w:r>
      <w:bookmarkEnd w:id="68"/>
      <w:r>
        <w:rPr>
          <w:rFonts w:asciiTheme="minorEastAsia" w:hAnsiTheme="minorEastAsia" w:eastAsiaTheme="minorEastAsia"/>
          <w:sz w:val="28"/>
          <w:szCs w:val="18"/>
        </w:rPr>
        <w:t>的编制</w:t>
      </w:r>
      <w:bookmarkEnd w:id="69"/>
      <w:bookmarkEnd w:id="70"/>
      <w:bookmarkEnd w:id="71"/>
      <w:bookmarkEnd w:id="72"/>
      <w:bookmarkEnd w:id="73"/>
      <w:bookmarkEnd w:id="74"/>
      <w:bookmarkEnd w:id="75"/>
    </w:p>
    <w:p>
      <w:pPr>
        <w:pStyle w:val="5"/>
        <w:ind w:firstLine="0" w:firstLineChars="0"/>
        <w:jc w:val="both"/>
        <w:rPr>
          <w:rFonts w:asciiTheme="minorEastAsia" w:hAnsiTheme="minorEastAsia" w:eastAsiaTheme="minorEastAsia"/>
          <w:sz w:val="24"/>
          <w:szCs w:val="24"/>
        </w:rPr>
      </w:pPr>
      <w:bookmarkStart w:id="76" w:name="_Toc3553"/>
      <w:bookmarkStart w:id="77" w:name="_Toc7786"/>
      <w:bookmarkStart w:id="78" w:name="_Toc515647767"/>
      <w:bookmarkStart w:id="79" w:name="_Toc516367021"/>
      <w:bookmarkStart w:id="80" w:name="_Toc520356151"/>
      <w:bookmarkStart w:id="81" w:name="_Toc108721100"/>
      <w:bookmarkStart w:id="82" w:name="_Toc532473459"/>
      <w:r>
        <w:rPr>
          <w:rFonts w:asciiTheme="minorEastAsia" w:hAnsiTheme="minorEastAsia" w:eastAsiaTheme="minorEastAsia"/>
          <w:sz w:val="24"/>
          <w:szCs w:val="24"/>
        </w:rPr>
        <w:t>8.     投标范围及投标文件中标准和计量单位的使用</w:t>
      </w:r>
      <w:bookmarkEnd w:id="76"/>
      <w:bookmarkEnd w:id="77"/>
      <w:bookmarkEnd w:id="78"/>
      <w:bookmarkEnd w:id="79"/>
      <w:bookmarkEnd w:id="80"/>
      <w:bookmarkEnd w:id="81"/>
      <w:bookmarkEnd w:id="82"/>
    </w:p>
    <w:p>
      <w:pPr>
        <w:spacing w:line="360" w:lineRule="auto"/>
        <w:ind w:left="840" w:hanging="840" w:hangingChars="350"/>
        <w:rPr>
          <w:rFonts w:asciiTheme="minorEastAsia" w:hAnsiTheme="minorEastAsia" w:eastAsiaTheme="minorEastAsia"/>
          <w:sz w:val="24"/>
        </w:rPr>
      </w:pPr>
      <w:r>
        <w:rPr>
          <w:rFonts w:asciiTheme="minorEastAsia" w:hAnsiTheme="minorEastAsia" w:eastAsiaTheme="minorEastAsia"/>
          <w:sz w:val="24"/>
        </w:rPr>
        <w:t>8.1    投标人可对招标文件中一个或多个标段进行投标或者中标，除非在</w:t>
      </w:r>
      <w:r>
        <w:rPr>
          <w:rFonts w:asciiTheme="minorEastAsia" w:hAnsiTheme="minorEastAsia" w:eastAsiaTheme="minorEastAsia"/>
          <w:sz w:val="24"/>
          <w:u w:val="single"/>
        </w:rPr>
        <w:t>投标人须知前附表</w:t>
      </w:r>
      <w:r>
        <w:rPr>
          <w:rFonts w:asciiTheme="minorEastAsia" w:hAnsiTheme="minorEastAsia" w:eastAsiaTheme="minorEastAsia"/>
          <w:sz w:val="24"/>
        </w:rPr>
        <w:t>中另有规定。</w:t>
      </w:r>
    </w:p>
    <w:p>
      <w:pPr>
        <w:spacing w:line="360" w:lineRule="auto"/>
        <w:ind w:left="840" w:hanging="840" w:hangingChars="350"/>
        <w:rPr>
          <w:rFonts w:asciiTheme="minorEastAsia" w:hAnsiTheme="minorEastAsia" w:eastAsiaTheme="minorEastAsia"/>
          <w:sz w:val="24"/>
        </w:rPr>
      </w:pPr>
      <w:r>
        <w:rPr>
          <w:rFonts w:asciiTheme="minorEastAsia" w:hAnsiTheme="minorEastAsia" w:eastAsiaTheme="minorEastAsia"/>
          <w:sz w:val="24"/>
        </w:rPr>
        <w:t>8.2    投标人应当对所投招标文件中“采购需求及要求”所列的所有内容进行投标，如仅响应部分内容，其该标段投标将被认定为</w:t>
      </w:r>
      <w:r>
        <w:rPr>
          <w:rFonts w:asciiTheme="minorEastAsia" w:hAnsiTheme="minorEastAsia" w:eastAsiaTheme="minorEastAsia"/>
          <w:b/>
          <w:bCs/>
          <w:sz w:val="24"/>
        </w:rPr>
        <w:t>投标无效</w:t>
      </w:r>
      <w:r>
        <w:rPr>
          <w:rFonts w:asciiTheme="minorEastAsia" w:hAnsiTheme="minorEastAsia" w:eastAsiaTheme="minorEastAsia"/>
          <w:sz w:val="24"/>
        </w:rPr>
        <w:t>。</w:t>
      </w:r>
    </w:p>
    <w:p>
      <w:pPr>
        <w:spacing w:line="360" w:lineRule="auto"/>
        <w:ind w:left="840" w:hanging="840" w:hangingChars="350"/>
        <w:rPr>
          <w:rFonts w:asciiTheme="minorEastAsia" w:hAnsiTheme="minorEastAsia" w:eastAsiaTheme="minorEastAsia"/>
          <w:sz w:val="24"/>
        </w:rPr>
      </w:pPr>
      <w:r>
        <w:rPr>
          <w:rFonts w:asciiTheme="minorEastAsia" w:hAnsiTheme="minorEastAsia" w:eastAsiaTheme="minorEastAsia"/>
          <w:sz w:val="24"/>
        </w:rPr>
        <w:t>8.3    无论招标文件中是否要求，投标人所投货物及伴随的服务和工程均应符合国家强制性标准。</w:t>
      </w:r>
    </w:p>
    <w:p>
      <w:pPr>
        <w:spacing w:line="360" w:lineRule="auto"/>
        <w:ind w:left="840" w:hanging="840" w:hangingChars="350"/>
        <w:rPr>
          <w:rFonts w:asciiTheme="minorEastAsia" w:hAnsiTheme="minorEastAsia" w:eastAsiaTheme="minorEastAsia"/>
          <w:sz w:val="24"/>
        </w:rPr>
      </w:pPr>
      <w:r>
        <w:rPr>
          <w:rFonts w:asciiTheme="minorEastAsia" w:hAnsiTheme="minorEastAsia" w:eastAsiaTheme="minorEastAsia"/>
          <w:sz w:val="24"/>
        </w:rPr>
        <w:t>8.4    除招标文件中有特殊要求外，投标文件中所使用的计量单位，应采用中华人民共和国法定计量单位。</w:t>
      </w:r>
    </w:p>
    <w:p>
      <w:pPr>
        <w:pStyle w:val="5"/>
        <w:ind w:firstLine="0" w:firstLineChars="0"/>
        <w:rPr>
          <w:rFonts w:asciiTheme="minorEastAsia" w:hAnsiTheme="minorEastAsia" w:eastAsiaTheme="minorEastAsia"/>
          <w:sz w:val="24"/>
          <w:szCs w:val="24"/>
        </w:rPr>
      </w:pPr>
      <w:bookmarkStart w:id="83" w:name="_Ref467306195"/>
      <w:bookmarkStart w:id="84" w:name="_Toc516367022"/>
      <w:bookmarkStart w:id="85" w:name="_Ref467306676"/>
      <w:bookmarkStart w:id="86" w:name="_Toc520356152"/>
      <w:bookmarkStart w:id="87" w:name="_Toc108721101"/>
      <w:bookmarkStart w:id="88" w:name="_Toc532473460"/>
      <w:bookmarkStart w:id="89" w:name="_Toc28307"/>
      <w:bookmarkStart w:id="90" w:name="_Toc515647768"/>
      <w:bookmarkStart w:id="91" w:name="_Toc10364"/>
      <w:r>
        <w:rPr>
          <w:rFonts w:asciiTheme="minorEastAsia" w:hAnsiTheme="minorEastAsia" w:eastAsiaTheme="minorEastAsia"/>
          <w:sz w:val="24"/>
          <w:szCs w:val="24"/>
        </w:rPr>
        <w:t>9.     投标文件</w:t>
      </w:r>
      <w:bookmarkEnd w:id="83"/>
      <w:bookmarkEnd w:id="84"/>
      <w:bookmarkEnd w:id="85"/>
      <w:r>
        <w:rPr>
          <w:rFonts w:asciiTheme="minorEastAsia" w:hAnsiTheme="minorEastAsia" w:eastAsiaTheme="minorEastAsia"/>
          <w:sz w:val="24"/>
          <w:szCs w:val="24"/>
        </w:rPr>
        <w:t>组成</w:t>
      </w:r>
      <w:bookmarkEnd w:id="86"/>
      <w:bookmarkEnd w:id="87"/>
      <w:bookmarkEnd w:id="88"/>
      <w:bookmarkEnd w:id="89"/>
      <w:bookmarkEnd w:id="90"/>
      <w:bookmarkEnd w:id="91"/>
    </w:p>
    <w:p>
      <w:pPr>
        <w:tabs>
          <w:tab w:val="left" w:pos="900"/>
          <w:tab w:val="left" w:pos="5580"/>
        </w:tabs>
        <w:spacing w:line="360" w:lineRule="auto"/>
        <w:ind w:left="840" w:hanging="840" w:hangingChars="350"/>
        <w:rPr>
          <w:rFonts w:asciiTheme="minorEastAsia" w:hAnsiTheme="minorEastAsia" w:eastAsiaTheme="minorEastAsia"/>
          <w:sz w:val="24"/>
        </w:rPr>
      </w:pPr>
      <w:bookmarkStart w:id="92" w:name="_Ref467052588"/>
      <w:r>
        <w:rPr>
          <w:rFonts w:asciiTheme="minorEastAsia" w:hAnsiTheme="minorEastAsia" w:eastAsiaTheme="minorEastAsia"/>
          <w:sz w:val="24"/>
        </w:rPr>
        <w:t>9.1    投标文件由“资格证明文件”和“商务及技术文件”组成。投标人应完整地按照招标文件提供的投标文件格式及要求编写投标文件。投标文件中资格审查和符合性审查涉及的事项不满足招标文件要求的，其投标将被认定为</w:t>
      </w:r>
      <w:r>
        <w:rPr>
          <w:rFonts w:asciiTheme="minorEastAsia" w:hAnsiTheme="minorEastAsia" w:eastAsiaTheme="minorEastAsia"/>
          <w:b/>
          <w:sz w:val="24"/>
        </w:rPr>
        <w:t>投标无效</w:t>
      </w:r>
      <w:r>
        <w:rPr>
          <w:rFonts w:asciiTheme="minorEastAsia" w:hAnsiTheme="minorEastAsia" w:eastAsiaTheme="minorEastAsia"/>
          <w:sz w:val="24"/>
        </w:rPr>
        <w:t>。</w:t>
      </w:r>
    </w:p>
    <w:p>
      <w:pPr>
        <w:spacing w:line="360" w:lineRule="auto"/>
        <w:ind w:left="840" w:hanging="840" w:hangingChars="350"/>
        <w:rPr>
          <w:rFonts w:asciiTheme="minorEastAsia" w:hAnsiTheme="minorEastAsia" w:eastAsiaTheme="minorEastAsia"/>
          <w:sz w:val="24"/>
        </w:rPr>
      </w:pPr>
      <w:r>
        <w:rPr>
          <w:rFonts w:hint="eastAsia" w:cs="仿宋" w:asciiTheme="minorEastAsia" w:hAnsiTheme="minorEastAsia" w:eastAsiaTheme="minorEastAsia"/>
          <w:sz w:val="24"/>
        </w:rPr>
        <w:t>9.2    上述文件应按照招标文件的规定签署</w:t>
      </w:r>
      <w:bookmarkStart w:id="93" w:name="_Hlk1734277"/>
      <w:r>
        <w:rPr>
          <w:rFonts w:hint="eastAsia" w:cs="仿宋" w:asciiTheme="minorEastAsia" w:hAnsiTheme="minorEastAsia" w:eastAsiaTheme="minorEastAsia"/>
          <w:sz w:val="24"/>
        </w:rPr>
        <w:t>和盖公章或经公章授权的其他单位章（以下统称公章）</w:t>
      </w:r>
      <w:bookmarkEnd w:id="93"/>
      <w:r>
        <w:rPr>
          <w:rFonts w:hint="eastAsia" w:cs="仿宋" w:asciiTheme="minorEastAsia" w:hAnsiTheme="minorEastAsia" w:eastAsiaTheme="minorEastAsia"/>
          <w:sz w:val="24"/>
        </w:rPr>
        <w:t>。采用公章授权方式的，应当在投标文件第一部分附公章授权书（格式自定）。</w:t>
      </w:r>
    </w:p>
    <w:bookmarkEnd w:id="92"/>
    <w:p>
      <w:pPr>
        <w:pStyle w:val="5"/>
        <w:ind w:firstLine="0" w:firstLineChars="0"/>
        <w:jc w:val="both"/>
        <w:rPr>
          <w:rFonts w:asciiTheme="minorEastAsia" w:hAnsiTheme="minorEastAsia" w:eastAsiaTheme="minorEastAsia"/>
          <w:sz w:val="24"/>
          <w:szCs w:val="24"/>
        </w:rPr>
      </w:pPr>
      <w:bookmarkStart w:id="94" w:name="_Toc532473461"/>
      <w:bookmarkStart w:id="95" w:name="_Toc108721102"/>
      <w:bookmarkStart w:id="96" w:name="_Toc520356153"/>
      <w:bookmarkStart w:id="97" w:name="_Toc4601"/>
      <w:bookmarkStart w:id="98" w:name="_Toc516367023"/>
      <w:bookmarkStart w:id="99" w:name="_Toc10379"/>
      <w:bookmarkStart w:id="100" w:name="_Toc515647769"/>
      <w:r>
        <w:rPr>
          <w:rFonts w:asciiTheme="minorEastAsia" w:hAnsiTheme="minorEastAsia" w:eastAsiaTheme="minorEastAsia"/>
          <w:sz w:val="24"/>
          <w:szCs w:val="24"/>
        </w:rPr>
        <w:t>10.    证明投标标的的合格性和符合招标文件规定的技术文件</w:t>
      </w:r>
      <w:bookmarkEnd w:id="94"/>
      <w:bookmarkEnd w:id="95"/>
      <w:bookmarkEnd w:id="96"/>
      <w:bookmarkEnd w:id="97"/>
      <w:bookmarkEnd w:id="98"/>
      <w:bookmarkEnd w:id="99"/>
      <w:bookmarkEnd w:id="100"/>
    </w:p>
    <w:p>
      <w:pPr>
        <w:spacing w:line="360" w:lineRule="auto"/>
        <w:ind w:left="878" w:hanging="878" w:hangingChars="366"/>
        <w:rPr>
          <w:rFonts w:asciiTheme="minorEastAsia" w:hAnsiTheme="minorEastAsia" w:eastAsiaTheme="minorEastAsia"/>
          <w:sz w:val="24"/>
        </w:rPr>
      </w:pPr>
      <w:r>
        <w:rPr>
          <w:rFonts w:asciiTheme="minorEastAsia" w:hAnsiTheme="minorEastAsia" w:eastAsiaTheme="minorEastAsia"/>
          <w:sz w:val="24"/>
        </w:rPr>
        <w:t>10.1   投标人应提交证明文件，证明其投标标的符合招标文件规定。该证明文件是投标文件的技术文件。</w:t>
      </w:r>
    </w:p>
    <w:p>
      <w:pPr>
        <w:spacing w:line="360" w:lineRule="auto"/>
        <w:ind w:left="900" w:hanging="900" w:hangingChars="375"/>
        <w:rPr>
          <w:rFonts w:asciiTheme="minorEastAsia" w:hAnsiTheme="minorEastAsia" w:eastAsiaTheme="minorEastAsia"/>
          <w:sz w:val="24"/>
        </w:rPr>
      </w:pPr>
      <w:bookmarkStart w:id="101" w:name="_Ref467306244"/>
      <w:r>
        <w:rPr>
          <w:rFonts w:asciiTheme="minorEastAsia" w:hAnsiTheme="minorEastAsia" w:eastAsiaTheme="minorEastAsia"/>
          <w:sz w:val="24"/>
        </w:rPr>
        <w:t>10.2   上款所述的证明文件，可以是文字资料、图纸和数据</w:t>
      </w:r>
      <w:bookmarkEnd w:id="101"/>
      <w:r>
        <w:rPr>
          <w:rFonts w:hint="eastAsia" w:asciiTheme="minorEastAsia" w:hAnsiTheme="minorEastAsia" w:eastAsiaTheme="minorEastAsia"/>
          <w:sz w:val="24"/>
        </w:rPr>
        <w:t>，包括：</w:t>
      </w:r>
    </w:p>
    <w:p>
      <w:pPr>
        <w:spacing w:line="360" w:lineRule="auto"/>
        <w:ind w:left="900" w:hanging="900" w:hangingChars="375"/>
        <w:rPr>
          <w:rFonts w:asciiTheme="minorEastAsia" w:hAnsiTheme="minorEastAsia" w:eastAsiaTheme="minorEastAsia"/>
          <w:sz w:val="24"/>
        </w:rPr>
      </w:pPr>
      <w:r>
        <w:rPr>
          <w:rFonts w:hint="eastAsia" w:asciiTheme="minorEastAsia" w:hAnsiTheme="minorEastAsia" w:eastAsiaTheme="minorEastAsia"/>
          <w:sz w:val="24"/>
        </w:rPr>
        <w:t>10.2.1</w:t>
      </w:r>
      <w:r>
        <w:rPr>
          <w:rFonts w:hint="eastAsia" w:asciiTheme="minorEastAsia" w:hAnsiTheme="minorEastAsia" w:eastAsiaTheme="minorEastAsia"/>
          <w:sz w:val="24"/>
        </w:rPr>
        <w:tab/>
      </w:r>
      <w:r>
        <w:rPr>
          <w:rFonts w:hint="eastAsia" w:asciiTheme="minorEastAsia" w:hAnsiTheme="minorEastAsia" w:eastAsiaTheme="minorEastAsia"/>
          <w:sz w:val="24"/>
        </w:rPr>
        <w:t>货物主要技术指标和性能的详细说明及实现的功能或者目标；</w:t>
      </w:r>
    </w:p>
    <w:p>
      <w:pPr>
        <w:spacing w:line="360" w:lineRule="auto"/>
        <w:ind w:left="900" w:hanging="900" w:hangingChars="375"/>
        <w:rPr>
          <w:rFonts w:asciiTheme="minorEastAsia" w:hAnsiTheme="minorEastAsia" w:eastAsiaTheme="minorEastAsia"/>
          <w:sz w:val="24"/>
        </w:rPr>
      </w:pPr>
      <w:r>
        <w:rPr>
          <w:rFonts w:hint="eastAsia" w:asciiTheme="minorEastAsia" w:hAnsiTheme="minorEastAsia" w:eastAsiaTheme="minorEastAsia"/>
          <w:sz w:val="24"/>
        </w:rPr>
        <w:t>10.2.2</w:t>
      </w:r>
      <w:r>
        <w:rPr>
          <w:rFonts w:hint="eastAsia" w:asciiTheme="minorEastAsia" w:hAnsiTheme="minorEastAsia" w:eastAsiaTheme="minorEastAsia"/>
          <w:sz w:val="24"/>
        </w:rPr>
        <w:tab/>
      </w:r>
      <w:r>
        <w:rPr>
          <w:rFonts w:hint="eastAsia" w:asciiTheme="minorEastAsia" w:hAnsiTheme="minorEastAsia" w:eastAsiaTheme="minorEastAsia"/>
          <w:sz w:val="24"/>
        </w:rPr>
        <w:t>货物从买方开始使用至招标文件规定的保质期内正常、连续地使用所必须的备件和专用工具清单，包括备件和专用工具的货源及现行价格；</w:t>
      </w:r>
    </w:p>
    <w:p>
      <w:pPr>
        <w:spacing w:line="360" w:lineRule="auto"/>
        <w:ind w:left="900" w:hanging="900" w:hangingChars="375"/>
        <w:rPr>
          <w:rFonts w:asciiTheme="minorEastAsia" w:hAnsiTheme="minorEastAsia" w:eastAsiaTheme="minorEastAsia"/>
          <w:sz w:val="24"/>
        </w:rPr>
      </w:pPr>
      <w:r>
        <w:rPr>
          <w:rFonts w:hint="eastAsia" w:asciiTheme="minorEastAsia" w:hAnsiTheme="minorEastAsia" w:eastAsiaTheme="minorEastAsia"/>
          <w:sz w:val="24"/>
        </w:rPr>
        <w:t>10.2.3</w:t>
      </w:r>
      <w:r>
        <w:rPr>
          <w:rFonts w:hint="eastAsia" w:asciiTheme="minorEastAsia" w:hAnsiTheme="minorEastAsia" w:eastAsiaTheme="minorEastAsia"/>
          <w:sz w:val="24"/>
        </w:rPr>
        <w:tab/>
      </w:r>
      <w:r>
        <w:rPr>
          <w:rFonts w:hint="eastAsia" w:asciiTheme="minorEastAsia" w:hAnsiTheme="minorEastAsia" w:eastAsiaTheme="minorEastAsia"/>
          <w:sz w:val="24"/>
        </w:rPr>
        <w:t>对照招标文件技术规格，逐条说明所提供货物及伴随的工程和服务已对招标文件的技术规格做出了实质性的响应，或申明与技术规格条文的偏差和例外。</w:t>
      </w:r>
    </w:p>
    <w:p>
      <w:pPr>
        <w:spacing w:line="360" w:lineRule="auto"/>
        <w:ind w:left="900" w:hanging="900" w:hangingChars="375"/>
        <w:rPr>
          <w:rFonts w:asciiTheme="minorEastAsia" w:hAnsiTheme="minorEastAsia" w:eastAsiaTheme="minorEastAsia"/>
          <w:sz w:val="24"/>
        </w:rPr>
      </w:pPr>
      <w:r>
        <w:rPr>
          <w:rFonts w:hint="eastAsia" w:asciiTheme="minorEastAsia" w:hAnsiTheme="minorEastAsia" w:eastAsiaTheme="minorEastAsia"/>
          <w:sz w:val="24"/>
        </w:rPr>
        <w:t>10.3</w:t>
      </w:r>
      <w:r>
        <w:rPr>
          <w:rFonts w:hint="eastAsia" w:asciiTheme="minorEastAsia" w:hAnsiTheme="minorEastAsia" w:eastAsiaTheme="minorEastAsia"/>
          <w:sz w:val="24"/>
        </w:rPr>
        <w:tab/>
      </w:r>
      <w:r>
        <w:rPr>
          <w:rFonts w:hint="eastAsia" w:asciiTheme="minorEastAsia" w:hAnsiTheme="minorEastAsia" w:eastAsiaTheme="minorEastAsia"/>
          <w:sz w:val="24"/>
        </w:rPr>
        <w:t>投标人应注意采购人在技术规格中指出的工艺、材料和设备的参照品牌型号仅起说明作用，并没有任何倾向性或限制性。采购人、采购代理机构承诺不以上述参照品牌型号作为评标时判定其投标是否有效的标准。任何品牌的供应商均可依法参加本项目的采购活动。</w:t>
      </w:r>
    </w:p>
    <w:p>
      <w:pPr>
        <w:spacing w:line="360" w:lineRule="auto"/>
        <w:ind w:left="900" w:hanging="900" w:hangingChars="375"/>
        <w:rPr>
          <w:rFonts w:asciiTheme="minorEastAsia" w:hAnsiTheme="minorEastAsia" w:eastAsiaTheme="minorEastAsia"/>
          <w:sz w:val="24"/>
        </w:rPr>
      </w:pPr>
      <w:r>
        <w:rPr>
          <w:rFonts w:hint="eastAsia" w:asciiTheme="minorEastAsia" w:hAnsiTheme="minorEastAsia" w:eastAsiaTheme="minorEastAsia"/>
          <w:sz w:val="24"/>
        </w:rPr>
        <w:t>10.4   本条所指证明文件不包括对招标文件相关部分的文字、图标的复制。</w:t>
      </w:r>
    </w:p>
    <w:p>
      <w:pPr>
        <w:pStyle w:val="5"/>
        <w:ind w:firstLine="0" w:firstLineChars="0"/>
        <w:rPr>
          <w:rFonts w:asciiTheme="minorEastAsia" w:hAnsiTheme="minorEastAsia" w:eastAsiaTheme="minorEastAsia"/>
          <w:sz w:val="24"/>
          <w:szCs w:val="24"/>
        </w:rPr>
      </w:pPr>
      <w:bookmarkStart w:id="102" w:name="_Toc520356155"/>
      <w:bookmarkStart w:id="103" w:name="_Toc23231"/>
      <w:bookmarkStart w:id="104" w:name="_Toc515647770"/>
      <w:bookmarkStart w:id="105" w:name="_Toc2248"/>
      <w:bookmarkStart w:id="106" w:name="_Toc532473462"/>
      <w:bookmarkStart w:id="107" w:name="_Toc108721103"/>
      <w:r>
        <w:rPr>
          <w:rFonts w:asciiTheme="minorEastAsia" w:hAnsiTheme="minorEastAsia" w:eastAsiaTheme="minorEastAsia"/>
          <w:sz w:val="24"/>
          <w:szCs w:val="24"/>
        </w:rPr>
        <w:t>11.    投标报价</w:t>
      </w:r>
      <w:bookmarkEnd w:id="102"/>
      <w:bookmarkEnd w:id="103"/>
      <w:bookmarkEnd w:id="104"/>
      <w:bookmarkEnd w:id="105"/>
      <w:bookmarkEnd w:id="106"/>
      <w:bookmarkEnd w:id="107"/>
    </w:p>
    <w:p>
      <w:pPr>
        <w:spacing w:line="360" w:lineRule="auto"/>
        <w:ind w:left="840" w:hanging="840" w:hangingChars="350"/>
        <w:rPr>
          <w:rFonts w:asciiTheme="minorEastAsia" w:hAnsiTheme="minorEastAsia" w:eastAsiaTheme="minorEastAsia"/>
          <w:sz w:val="24"/>
        </w:rPr>
      </w:pPr>
      <w:r>
        <w:rPr>
          <w:rFonts w:asciiTheme="minorEastAsia" w:hAnsiTheme="minorEastAsia" w:eastAsiaTheme="minorEastAsia"/>
          <w:sz w:val="24"/>
        </w:rPr>
        <w:t>11.1   投标人的报价应当包括满足本次招标全部采购需求所应提供的</w:t>
      </w:r>
      <w:r>
        <w:rPr>
          <w:rFonts w:hint="eastAsia" w:asciiTheme="minorEastAsia" w:hAnsiTheme="minorEastAsia" w:eastAsiaTheme="minorEastAsia"/>
          <w:sz w:val="24"/>
        </w:rPr>
        <w:t>货物</w:t>
      </w:r>
      <w:r>
        <w:rPr>
          <w:rFonts w:asciiTheme="minorEastAsia" w:hAnsiTheme="minorEastAsia" w:eastAsiaTheme="minorEastAsia"/>
          <w:sz w:val="24"/>
        </w:rPr>
        <w:t>，以及伴随的</w:t>
      </w:r>
      <w:r>
        <w:rPr>
          <w:rFonts w:hint="eastAsia" w:asciiTheme="minorEastAsia" w:hAnsiTheme="minorEastAsia" w:eastAsiaTheme="minorEastAsia"/>
          <w:sz w:val="24"/>
        </w:rPr>
        <w:t>服务</w:t>
      </w:r>
      <w:r>
        <w:rPr>
          <w:rFonts w:asciiTheme="minorEastAsia" w:hAnsiTheme="minorEastAsia" w:eastAsiaTheme="minorEastAsia"/>
          <w:sz w:val="24"/>
        </w:rPr>
        <w:t>和工程。所有投标均应以人民币报价。投标人的投标报价应遵守《中华人民共和国价格法》。</w:t>
      </w:r>
    </w:p>
    <w:p>
      <w:pPr>
        <w:spacing w:line="360" w:lineRule="auto"/>
        <w:ind w:left="840" w:hanging="840" w:hangingChars="350"/>
        <w:rPr>
          <w:rFonts w:asciiTheme="minorEastAsia" w:hAnsiTheme="minorEastAsia" w:eastAsiaTheme="minorEastAsia"/>
          <w:sz w:val="24"/>
        </w:rPr>
      </w:pPr>
      <w:r>
        <w:rPr>
          <w:rFonts w:asciiTheme="minorEastAsia" w:hAnsiTheme="minorEastAsia" w:eastAsiaTheme="minorEastAsia"/>
          <w:sz w:val="24"/>
        </w:rPr>
        <w:t>11.2   投标人应在投标分项报价表上标明分项</w:t>
      </w:r>
      <w:r>
        <w:rPr>
          <w:rFonts w:hint="eastAsia" w:asciiTheme="minorEastAsia" w:hAnsiTheme="minorEastAsia" w:eastAsiaTheme="minorEastAsia"/>
          <w:sz w:val="24"/>
        </w:rPr>
        <w:t>货物</w:t>
      </w:r>
      <w:r>
        <w:rPr>
          <w:rFonts w:asciiTheme="minorEastAsia" w:hAnsiTheme="minorEastAsia" w:eastAsiaTheme="minorEastAsia"/>
          <w:sz w:val="24"/>
        </w:rPr>
        <w:t>、伴随的</w:t>
      </w:r>
      <w:r>
        <w:rPr>
          <w:rFonts w:hint="eastAsia" w:asciiTheme="minorEastAsia" w:hAnsiTheme="minorEastAsia" w:eastAsiaTheme="minorEastAsia"/>
          <w:sz w:val="24"/>
        </w:rPr>
        <w:t>服务</w:t>
      </w:r>
      <w:r>
        <w:rPr>
          <w:rFonts w:asciiTheme="minorEastAsia" w:hAnsiTheme="minorEastAsia" w:eastAsiaTheme="minorEastAsia"/>
          <w:sz w:val="24"/>
        </w:rPr>
        <w:t>和工程的价格（如适用）和总价，并由法定代表人或其授权代表签署。</w:t>
      </w:r>
    </w:p>
    <w:p>
      <w:pPr>
        <w:spacing w:line="360" w:lineRule="auto"/>
        <w:ind w:left="840" w:hanging="840" w:hangingChars="350"/>
        <w:rPr>
          <w:rFonts w:asciiTheme="minorEastAsia" w:hAnsiTheme="minorEastAsia" w:eastAsiaTheme="minorEastAsia"/>
          <w:sz w:val="24"/>
        </w:rPr>
      </w:pPr>
      <w:r>
        <w:rPr>
          <w:rFonts w:asciiTheme="minorEastAsia" w:hAnsiTheme="minorEastAsia" w:eastAsiaTheme="minorEastAsia"/>
          <w:sz w:val="24"/>
        </w:rPr>
        <w:t>11.3   采购人不接受具有附加条件的报价或多个方案的报价。</w:t>
      </w:r>
    </w:p>
    <w:p>
      <w:pPr>
        <w:spacing w:line="360" w:lineRule="auto"/>
        <w:ind w:left="840" w:hanging="840" w:hangingChars="350"/>
        <w:rPr>
          <w:rFonts w:asciiTheme="minorEastAsia" w:hAnsiTheme="minorEastAsia" w:eastAsiaTheme="minorEastAsia"/>
          <w:sz w:val="24"/>
        </w:rPr>
      </w:pPr>
      <w:r>
        <w:rPr>
          <w:rFonts w:asciiTheme="minorEastAsia" w:hAnsiTheme="minorEastAsia" w:eastAsiaTheme="minorEastAsia"/>
          <w:sz w:val="24"/>
        </w:rPr>
        <w:t>11.4   投标人所报的投标报价在合同履行过程中是固定不变的，不得以任何理由予以变更。任何包含价格调整要求的投标，将被认定为</w:t>
      </w:r>
      <w:r>
        <w:rPr>
          <w:rFonts w:asciiTheme="minorEastAsia" w:hAnsiTheme="minorEastAsia" w:eastAsiaTheme="minorEastAsia"/>
          <w:b/>
          <w:sz w:val="24"/>
        </w:rPr>
        <w:t>投标无效</w:t>
      </w:r>
      <w:r>
        <w:rPr>
          <w:rFonts w:asciiTheme="minorEastAsia" w:hAnsiTheme="minorEastAsia" w:eastAsiaTheme="minorEastAsia"/>
          <w:sz w:val="24"/>
        </w:rPr>
        <w:t>。</w:t>
      </w:r>
    </w:p>
    <w:p>
      <w:pPr>
        <w:pStyle w:val="5"/>
        <w:ind w:firstLine="0" w:firstLineChars="0"/>
        <w:rPr>
          <w:rFonts w:asciiTheme="minorEastAsia" w:hAnsiTheme="minorEastAsia" w:eastAsiaTheme="minorEastAsia"/>
          <w:sz w:val="24"/>
          <w:szCs w:val="24"/>
        </w:rPr>
      </w:pPr>
      <w:bookmarkStart w:id="108" w:name="_Toc11514"/>
      <w:bookmarkStart w:id="109" w:name="_Toc108721104"/>
      <w:bookmarkStart w:id="110" w:name="_Toc532473463"/>
      <w:bookmarkStart w:id="111" w:name="_Toc520356156"/>
      <w:bookmarkStart w:id="112" w:name="_Ref467306513"/>
      <w:bookmarkStart w:id="113" w:name="_Toc17788"/>
      <w:bookmarkStart w:id="114" w:name="_Toc515647771"/>
      <w:r>
        <w:rPr>
          <w:rFonts w:asciiTheme="minorEastAsia" w:hAnsiTheme="minorEastAsia" w:eastAsiaTheme="minorEastAsia"/>
          <w:sz w:val="24"/>
          <w:szCs w:val="24"/>
        </w:rPr>
        <w:t>12.    投标保证金</w:t>
      </w:r>
      <w:bookmarkEnd w:id="108"/>
      <w:bookmarkEnd w:id="109"/>
      <w:bookmarkEnd w:id="110"/>
      <w:bookmarkEnd w:id="111"/>
      <w:bookmarkEnd w:id="112"/>
      <w:bookmarkEnd w:id="113"/>
      <w:bookmarkEnd w:id="114"/>
    </w:p>
    <w:p>
      <w:pPr>
        <w:spacing w:line="360" w:lineRule="auto"/>
        <w:ind w:left="900" w:hanging="900" w:hangingChars="375"/>
        <w:rPr>
          <w:rFonts w:asciiTheme="minorEastAsia" w:hAnsiTheme="minorEastAsia" w:eastAsiaTheme="minorEastAsia"/>
          <w:sz w:val="24"/>
          <w:lang w:val="zh-CN"/>
        </w:rPr>
      </w:pPr>
      <w:bookmarkStart w:id="115" w:name="_Ref467306302"/>
      <w:r>
        <w:rPr>
          <w:rFonts w:asciiTheme="minorEastAsia" w:hAnsiTheme="minorEastAsia" w:eastAsiaTheme="minorEastAsia"/>
          <w:sz w:val="24"/>
        </w:rPr>
        <w:t>12.1</w:t>
      </w:r>
      <w:bookmarkEnd w:id="115"/>
      <w:r>
        <w:rPr>
          <w:rFonts w:asciiTheme="minorEastAsia" w:hAnsiTheme="minorEastAsia" w:eastAsiaTheme="minorEastAsia"/>
          <w:sz w:val="24"/>
        </w:rPr>
        <w:t xml:space="preserve">   投标人应按照</w:t>
      </w:r>
      <w:r>
        <w:rPr>
          <w:rFonts w:asciiTheme="minorEastAsia" w:hAnsiTheme="minorEastAsia" w:eastAsiaTheme="minorEastAsia"/>
          <w:sz w:val="24"/>
          <w:u w:val="single"/>
        </w:rPr>
        <w:t>投标人须知前附表</w:t>
      </w:r>
      <w:r>
        <w:rPr>
          <w:rFonts w:asciiTheme="minorEastAsia" w:hAnsiTheme="minorEastAsia" w:eastAsiaTheme="minorEastAsia"/>
          <w:sz w:val="24"/>
        </w:rPr>
        <w:t>规定递交</w:t>
      </w:r>
      <w:r>
        <w:rPr>
          <w:rFonts w:asciiTheme="minorEastAsia" w:hAnsiTheme="minorEastAsia" w:eastAsiaTheme="minorEastAsia"/>
          <w:sz w:val="24"/>
          <w:lang w:val="zh-CN"/>
        </w:rPr>
        <w:t>投标保证金（</w:t>
      </w:r>
      <w:r>
        <w:rPr>
          <w:rFonts w:asciiTheme="minorEastAsia" w:hAnsiTheme="minorEastAsia" w:eastAsiaTheme="minorEastAsia"/>
          <w:sz w:val="24"/>
          <w:u w:val="single"/>
          <w:lang w:val="zh-CN"/>
        </w:rPr>
        <w:t>若分标段，应按标段交纳投标保证金</w:t>
      </w:r>
      <w:r>
        <w:rPr>
          <w:rFonts w:asciiTheme="minorEastAsia" w:hAnsiTheme="minorEastAsia" w:eastAsiaTheme="minorEastAsia"/>
          <w:sz w:val="24"/>
          <w:lang w:val="zh-CN"/>
        </w:rPr>
        <w:t>），投标保证金须在投标截止时间前</w:t>
      </w:r>
      <w:r>
        <w:rPr>
          <w:rFonts w:asciiTheme="minorEastAsia" w:hAnsiTheme="minorEastAsia" w:eastAsiaTheme="minorEastAsia"/>
          <w:sz w:val="24"/>
        </w:rPr>
        <w:t>到账</w:t>
      </w:r>
      <w:r>
        <w:rPr>
          <w:rFonts w:asciiTheme="minorEastAsia" w:hAnsiTheme="minorEastAsia" w:eastAsiaTheme="minorEastAsia"/>
          <w:sz w:val="24"/>
          <w:lang w:val="zh-CN"/>
        </w:rPr>
        <w:t>。</w:t>
      </w:r>
    </w:p>
    <w:p>
      <w:pPr>
        <w:autoSpaceDE w:val="0"/>
        <w:autoSpaceDN w:val="0"/>
        <w:adjustRightInd w:val="0"/>
        <w:snapToGrid w:val="0"/>
        <w:spacing w:line="360" w:lineRule="auto"/>
        <w:ind w:left="840" w:hanging="840" w:hangingChars="350"/>
        <w:rPr>
          <w:rFonts w:asciiTheme="minorEastAsia" w:hAnsiTheme="minorEastAsia" w:eastAsiaTheme="minorEastAsia"/>
          <w:sz w:val="24"/>
          <w:lang w:val="zh-CN"/>
        </w:rPr>
      </w:pPr>
      <w:r>
        <w:rPr>
          <w:rFonts w:asciiTheme="minorEastAsia" w:hAnsiTheme="minorEastAsia" w:eastAsiaTheme="minorEastAsia"/>
          <w:sz w:val="24"/>
        </w:rPr>
        <w:t xml:space="preserve">12.2   </w:t>
      </w:r>
      <w:r>
        <w:rPr>
          <w:rFonts w:asciiTheme="minorEastAsia" w:hAnsiTheme="minorEastAsia" w:eastAsiaTheme="minorEastAsia"/>
          <w:sz w:val="24"/>
          <w:lang w:val="zh-CN"/>
        </w:rPr>
        <w:t>投标保证金应用人民币，采用支票，汇票、本票、保函的任何一种非现金形式支付。</w:t>
      </w:r>
    </w:p>
    <w:p>
      <w:pPr>
        <w:autoSpaceDE w:val="0"/>
        <w:autoSpaceDN w:val="0"/>
        <w:adjustRightInd w:val="0"/>
        <w:snapToGrid w:val="0"/>
        <w:spacing w:line="360" w:lineRule="auto"/>
        <w:ind w:left="840" w:hanging="840" w:hangingChars="350"/>
        <w:rPr>
          <w:rFonts w:asciiTheme="minorEastAsia" w:hAnsiTheme="minorEastAsia" w:eastAsiaTheme="minorEastAsia"/>
          <w:sz w:val="24"/>
          <w:lang w:val="zh-CN"/>
        </w:rPr>
      </w:pPr>
      <w:r>
        <w:rPr>
          <w:rFonts w:asciiTheme="minorEastAsia" w:hAnsiTheme="minorEastAsia" w:eastAsiaTheme="minorEastAsia"/>
          <w:sz w:val="24"/>
          <w:lang w:val="zh-CN"/>
        </w:rPr>
        <w:t>12.3</w:t>
      </w:r>
      <w:r>
        <w:rPr>
          <w:rFonts w:asciiTheme="minorEastAsia" w:hAnsiTheme="minorEastAsia" w:eastAsiaTheme="minorEastAsia"/>
          <w:sz w:val="24"/>
        </w:rPr>
        <w:t xml:space="preserve">   </w:t>
      </w:r>
      <w:r>
        <w:rPr>
          <w:rFonts w:asciiTheme="minorEastAsia" w:hAnsiTheme="minorEastAsia" w:eastAsiaTheme="minorEastAsia"/>
          <w:sz w:val="24"/>
          <w:lang w:val="zh-CN"/>
        </w:rPr>
        <w:t>如投标保证金以保函形式交纳，投标人须按本章附件1格式和内容开具保函，并将保函原件附在投标文件中或随投标文件同时递交，否则视为无效投标。投标人违约，开具保函单位承担连带责任。</w:t>
      </w:r>
    </w:p>
    <w:p>
      <w:pPr>
        <w:autoSpaceDE w:val="0"/>
        <w:autoSpaceDN w:val="0"/>
        <w:adjustRightInd w:val="0"/>
        <w:snapToGrid w:val="0"/>
        <w:spacing w:line="360" w:lineRule="auto"/>
        <w:ind w:left="840" w:hanging="840" w:hangingChars="350"/>
        <w:rPr>
          <w:rFonts w:asciiTheme="minorEastAsia" w:hAnsiTheme="minorEastAsia" w:eastAsiaTheme="minorEastAsia"/>
          <w:sz w:val="24"/>
          <w:lang w:val="zh-CN"/>
        </w:rPr>
      </w:pPr>
      <w:r>
        <w:rPr>
          <w:rFonts w:asciiTheme="minorEastAsia" w:hAnsiTheme="minorEastAsia" w:eastAsiaTheme="minorEastAsia"/>
          <w:sz w:val="24"/>
        </w:rPr>
        <w:t xml:space="preserve">12.4   </w:t>
      </w:r>
      <w:r>
        <w:rPr>
          <w:rFonts w:asciiTheme="minorEastAsia" w:hAnsiTheme="minorEastAsia" w:eastAsiaTheme="minorEastAsia"/>
          <w:sz w:val="24"/>
          <w:lang w:val="zh-CN"/>
        </w:rPr>
        <w:t>联合体投标的，可以由联合体中的一方或者共同提交投标保证金，以一方提交投标保证金的，对联合体各方均具有约束力。</w:t>
      </w:r>
    </w:p>
    <w:p>
      <w:pPr>
        <w:tabs>
          <w:tab w:val="left" w:pos="0"/>
        </w:tabs>
        <w:snapToGrid w:val="0"/>
        <w:spacing w:line="360" w:lineRule="auto"/>
        <w:ind w:left="840" w:hanging="840" w:hangingChars="350"/>
        <w:rPr>
          <w:rFonts w:asciiTheme="minorEastAsia" w:hAnsiTheme="minorEastAsia" w:eastAsiaTheme="minorEastAsia"/>
          <w:sz w:val="24"/>
          <w:lang w:val="zh-CN"/>
        </w:rPr>
      </w:pPr>
      <w:r>
        <w:rPr>
          <w:rFonts w:asciiTheme="minorEastAsia" w:hAnsiTheme="minorEastAsia" w:eastAsiaTheme="minorEastAsia"/>
          <w:sz w:val="24"/>
        </w:rPr>
        <w:t xml:space="preserve">12.5   </w:t>
      </w:r>
      <w:r>
        <w:rPr>
          <w:rFonts w:asciiTheme="minorEastAsia" w:hAnsiTheme="minorEastAsia" w:eastAsiaTheme="minorEastAsia"/>
          <w:sz w:val="24"/>
          <w:lang w:val="zh-CN"/>
        </w:rPr>
        <w:t>投标人有下列情形之一的，采购代理机构不予退还其交纳的投标保证金，并在项目财政主管部门备案；情节严重的，由财政部门将其列入不良行为纪录名单予以通报，在一至三年内禁止参加政府采购活动：</w:t>
      </w:r>
    </w:p>
    <w:p>
      <w:pPr>
        <w:snapToGrid w:val="0"/>
        <w:spacing w:line="360" w:lineRule="auto"/>
        <w:ind w:left="835" w:leftChars="342" w:hanging="117" w:hangingChars="49"/>
        <w:rPr>
          <w:rFonts w:asciiTheme="minorEastAsia" w:hAnsiTheme="minorEastAsia" w:eastAsiaTheme="minorEastAsia"/>
          <w:sz w:val="24"/>
          <w:lang w:val="zh-CN"/>
        </w:rPr>
      </w:pPr>
      <w:r>
        <w:rPr>
          <w:rFonts w:asciiTheme="minorEastAsia" w:hAnsiTheme="minorEastAsia" w:eastAsiaTheme="minorEastAsia"/>
          <w:sz w:val="24"/>
        </w:rPr>
        <w:t>（1）</w:t>
      </w:r>
      <w:r>
        <w:rPr>
          <w:rFonts w:asciiTheme="minorEastAsia" w:hAnsiTheme="minorEastAsia" w:eastAsiaTheme="minorEastAsia"/>
          <w:sz w:val="24"/>
          <w:lang w:val="zh-CN"/>
        </w:rPr>
        <w:t>投标人在投标截止时间后撤销投标文件的；</w:t>
      </w:r>
    </w:p>
    <w:p>
      <w:pPr>
        <w:snapToGrid w:val="0"/>
        <w:spacing w:line="360" w:lineRule="auto"/>
        <w:ind w:firstLine="720" w:firstLineChars="300"/>
        <w:rPr>
          <w:rFonts w:asciiTheme="minorEastAsia" w:hAnsiTheme="minorEastAsia" w:eastAsiaTheme="minorEastAsia"/>
          <w:sz w:val="24"/>
          <w:lang w:val="zh-CN"/>
        </w:rPr>
      </w:pPr>
      <w:r>
        <w:rPr>
          <w:rFonts w:asciiTheme="minorEastAsia" w:hAnsiTheme="minorEastAsia" w:eastAsiaTheme="minorEastAsia"/>
          <w:sz w:val="24"/>
        </w:rPr>
        <w:t>（2）</w:t>
      </w:r>
      <w:r>
        <w:rPr>
          <w:rFonts w:asciiTheme="minorEastAsia" w:hAnsiTheme="minorEastAsia" w:eastAsiaTheme="minorEastAsia"/>
          <w:sz w:val="24"/>
          <w:lang w:val="zh-CN"/>
        </w:rPr>
        <w:t>投标人在投标文件中提供虚假材料的；</w:t>
      </w:r>
    </w:p>
    <w:p>
      <w:pPr>
        <w:snapToGrid w:val="0"/>
        <w:spacing w:line="360" w:lineRule="auto"/>
        <w:ind w:firstLine="720" w:firstLineChars="300"/>
        <w:rPr>
          <w:rFonts w:asciiTheme="minorEastAsia" w:hAnsiTheme="minorEastAsia" w:eastAsiaTheme="minorEastAsia"/>
          <w:sz w:val="24"/>
          <w:lang w:val="zh-CN"/>
        </w:rPr>
      </w:pPr>
      <w:r>
        <w:rPr>
          <w:rFonts w:asciiTheme="minorEastAsia" w:hAnsiTheme="minorEastAsia" w:eastAsiaTheme="minorEastAsia"/>
          <w:sz w:val="24"/>
        </w:rPr>
        <w:t>（3）</w:t>
      </w:r>
      <w:r>
        <w:rPr>
          <w:rFonts w:asciiTheme="minorEastAsia" w:hAnsiTheme="minorEastAsia" w:eastAsiaTheme="minorEastAsia"/>
          <w:sz w:val="24"/>
          <w:lang w:val="zh-CN"/>
        </w:rPr>
        <w:t>除因不可抗力或招标文件认可的情形以外，中标人不与采购人签订合同的；</w:t>
      </w:r>
    </w:p>
    <w:p>
      <w:pPr>
        <w:snapToGrid w:val="0"/>
        <w:spacing w:line="360" w:lineRule="auto"/>
        <w:ind w:firstLine="720" w:firstLineChars="300"/>
        <w:rPr>
          <w:rFonts w:asciiTheme="minorEastAsia" w:hAnsiTheme="minorEastAsia" w:eastAsiaTheme="minorEastAsia"/>
          <w:sz w:val="24"/>
          <w:lang w:val="zh-CN"/>
        </w:rPr>
      </w:pPr>
      <w:r>
        <w:rPr>
          <w:rFonts w:asciiTheme="minorEastAsia" w:hAnsiTheme="minorEastAsia" w:eastAsiaTheme="minorEastAsia"/>
          <w:sz w:val="24"/>
        </w:rPr>
        <w:t>（4）</w:t>
      </w:r>
      <w:r>
        <w:rPr>
          <w:rFonts w:asciiTheme="minorEastAsia" w:hAnsiTheme="minorEastAsia" w:eastAsiaTheme="minorEastAsia"/>
          <w:sz w:val="24"/>
          <w:lang w:val="zh-CN"/>
        </w:rPr>
        <w:t>投标人与采购人、其他投标人或者采购代理机构恶意串通的；</w:t>
      </w:r>
    </w:p>
    <w:p>
      <w:pPr>
        <w:snapToGrid w:val="0"/>
        <w:spacing w:line="360" w:lineRule="auto"/>
        <w:ind w:left="837" w:leftChars="370" w:hanging="60" w:hangingChars="25"/>
        <w:rPr>
          <w:rFonts w:asciiTheme="minorEastAsia" w:hAnsiTheme="minorEastAsia" w:eastAsiaTheme="minorEastAsia"/>
          <w:sz w:val="24"/>
          <w:lang w:val="zh-CN"/>
        </w:rPr>
      </w:pPr>
      <w:r>
        <w:rPr>
          <w:rFonts w:asciiTheme="minorEastAsia" w:hAnsiTheme="minorEastAsia" w:eastAsiaTheme="minorEastAsia"/>
          <w:sz w:val="24"/>
        </w:rPr>
        <w:t>（5）</w:t>
      </w:r>
      <w:r>
        <w:rPr>
          <w:rFonts w:asciiTheme="minorEastAsia" w:hAnsiTheme="minorEastAsia" w:eastAsiaTheme="minorEastAsia"/>
          <w:sz w:val="24"/>
          <w:lang w:val="zh-CN"/>
        </w:rPr>
        <w:t>中标人将中标项目转让给他人，或者在投标文件中未说明，且未经采购人同意，将中标项目分包给他人的；</w:t>
      </w:r>
    </w:p>
    <w:p>
      <w:pPr>
        <w:snapToGrid w:val="0"/>
        <w:spacing w:line="360" w:lineRule="auto"/>
        <w:ind w:firstLine="720" w:firstLineChars="300"/>
        <w:rPr>
          <w:rFonts w:asciiTheme="minorEastAsia" w:hAnsiTheme="minorEastAsia" w:eastAsiaTheme="minorEastAsia"/>
          <w:sz w:val="24"/>
          <w:lang w:val="zh-CN"/>
        </w:rPr>
      </w:pPr>
      <w:r>
        <w:rPr>
          <w:rFonts w:asciiTheme="minorEastAsia" w:hAnsiTheme="minorEastAsia" w:eastAsiaTheme="minorEastAsia"/>
          <w:sz w:val="24"/>
        </w:rPr>
        <w:t>（6）</w:t>
      </w:r>
      <w:r>
        <w:rPr>
          <w:rFonts w:asciiTheme="minorEastAsia" w:hAnsiTheme="minorEastAsia" w:eastAsiaTheme="minorEastAsia"/>
          <w:sz w:val="24"/>
          <w:lang w:val="zh-CN"/>
        </w:rPr>
        <w:t>中标人拒绝履行合同义务的。</w:t>
      </w:r>
    </w:p>
    <w:p>
      <w:pPr>
        <w:autoSpaceDE w:val="0"/>
        <w:autoSpaceDN w:val="0"/>
        <w:adjustRightInd w:val="0"/>
        <w:snapToGrid w:val="0"/>
        <w:spacing w:line="360" w:lineRule="auto"/>
        <w:ind w:left="835" w:hanging="835" w:hangingChars="348"/>
        <w:rPr>
          <w:rFonts w:asciiTheme="minorEastAsia" w:hAnsiTheme="minorEastAsia" w:eastAsiaTheme="minorEastAsia"/>
          <w:sz w:val="24"/>
          <w:lang w:val="zh-CN"/>
        </w:rPr>
      </w:pPr>
      <w:r>
        <w:rPr>
          <w:rFonts w:asciiTheme="minorEastAsia" w:hAnsiTheme="minorEastAsia" w:eastAsiaTheme="minorEastAsia"/>
          <w:sz w:val="24"/>
        </w:rPr>
        <w:t xml:space="preserve">12.6   </w:t>
      </w:r>
      <w:r>
        <w:rPr>
          <w:rFonts w:asciiTheme="minorEastAsia" w:hAnsiTheme="minorEastAsia" w:eastAsiaTheme="minorEastAsia"/>
          <w:sz w:val="24"/>
          <w:lang w:val="zh-CN"/>
        </w:rPr>
        <w:t>自中标通知书发出之日起五个工作日内退还未中标人的投标保证金，自采购合同签订之日起五个工作日内退还中标人的投标保证金或者转为中标人的履约保证金。</w:t>
      </w:r>
    </w:p>
    <w:p>
      <w:pPr>
        <w:spacing w:line="360" w:lineRule="auto"/>
        <w:ind w:left="840" w:hanging="840" w:hangingChars="350"/>
        <w:rPr>
          <w:rFonts w:asciiTheme="minorEastAsia" w:hAnsiTheme="minorEastAsia" w:eastAsiaTheme="minorEastAsia"/>
          <w:sz w:val="24"/>
        </w:rPr>
      </w:pPr>
      <w:r>
        <w:rPr>
          <w:rFonts w:asciiTheme="minorEastAsia" w:hAnsiTheme="minorEastAsia" w:eastAsiaTheme="minorEastAsia"/>
          <w:sz w:val="24"/>
        </w:rPr>
        <w:t>12.7   中标人需在合同签订后3日内持合同原件至采购代理机构办理投标保证金退还手续。</w:t>
      </w:r>
    </w:p>
    <w:p>
      <w:pPr>
        <w:pStyle w:val="5"/>
        <w:ind w:firstLine="0" w:firstLineChars="0"/>
        <w:rPr>
          <w:rFonts w:asciiTheme="minorEastAsia" w:hAnsiTheme="minorEastAsia" w:eastAsiaTheme="minorEastAsia"/>
          <w:sz w:val="24"/>
          <w:szCs w:val="24"/>
        </w:rPr>
      </w:pPr>
      <w:bookmarkStart w:id="116" w:name="_Toc520356157"/>
      <w:bookmarkStart w:id="117" w:name="_Toc108721105"/>
      <w:bookmarkStart w:id="118" w:name="_Toc532473464"/>
      <w:bookmarkStart w:id="119" w:name="_Toc515647772"/>
      <w:bookmarkStart w:id="120" w:name="_Toc23590"/>
      <w:bookmarkStart w:id="121" w:name="_Toc32569"/>
      <w:r>
        <w:rPr>
          <w:rFonts w:asciiTheme="minorEastAsia" w:hAnsiTheme="minorEastAsia" w:eastAsiaTheme="minorEastAsia"/>
          <w:sz w:val="24"/>
          <w:szCs w:val="24"/>
        </w:rPr>
        <w:t>13.    投标有效期</w:t>
      </w:r>
      <w:bookmarkEnd w:id="116"/>
      <w:bookmarkEnd w:id="117"/>
      <w:bookmarkEnd w:id="118"/>
      <w:bookmarkEnd w:id="119"/>
      <w:bookmarkEnd w:id="120"/>
      <w:bookmarkEnd w:id="121"/>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13.1   投标有效期为提交投标文件截止之日起90个日历日，投标应在投标有效期内保持有效。投标有效期不满足要求的投标，其投标将被认定为</w:t>
      </w:r>
      <w:r>
        <w:rPr>
          <w:rFonts w:asciiTheme="minorEastAsia" w:hAnsiTheme="minorEastAsia" w:eastAsiaTheme="minorEastAsia"/>
          <w:b/>
          <w:bCs/>
          <w:sz w:val="24"/>
        </w:rPr>
        <w:t>投标无效</w:t>
      </w:r>
      <w:r>
        <w:rPr>
          <w:rFonts w:asciiTheme="minorEastAsia" w:hAnsiTheme="minorEastAsia" w:eastAsiaTheme="minorEastAsia"/>
          <w:sz w:val="24"/>
        </w:rPr>
        <w:t>。</w:t>
      </w:r>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13.2   因特殊原因，采购人或采购代理机构可在原投标有效期截止之前，要求投标人延长投标文件的有效期。接受该要求的投标人将不会被要求和允许修正其投标。投标人也可以拒绝延长投标有效期的要求，且不承担任何责任。上述要求和答复都应以书面形式提交。</w:t>
      </w:r>
    </w:p>
    <w:p>
      <w:pPr>
        <w:pStyle w:val="5"/>
        <w:ind w:firstLine="0" w:firstLineChars="0"/>
        <w:rPr>
          <w:rFonts w:asciiTheme="minorEastAsia" w:hAnsiTheme="minorEastAsia" w:eastAsiaTheme="minorEastAsia"/>
          <w:sz w:val="24"/>
          <w:szCs w:val="24"/>
        </w:rPr>
      </w:pPr>
      <w:bookmarkStart w:id="122" w:name="_Toc515647773"/>
      <w:bookmarkStart w:id="123" w:name="_Toc520356158"/>
      <w:bookmarkStart w:id="124" w:name="_Toc17074"/>
      <w:bookmarkStart w:id="125" w:name="_Toc493"/>
      <w:bookmarkStart w:id="126" w:name="_Toc532473465"/>
      <w:bookmarkStart w:id="127" w:name="_Toc108721106"/>
      <w:r>
        <w:rPr>
          <w:rFonts w:asciiTheme="minorEastAsia" w:hAnsiTheme="minorEastAsia" w:eastAsiaTheme="minorEastAsia"/>
          <w:sz w:val="24"/>
          <w:szCs w:val="24"/>
        </w:rPr>
        <w:t>14.    投标文件的</w:t>
      </w:r>
      <w:bookmarkEnd w:id="122"/>
      <w:bookmarkEnd w:id="123"/>
      <w:bookmarkEnd w:id="124"/>
      <w:bookmarkEnd w:id="125"/>
      <w:bookmarkEnd w:id="126"/>
      <w:r>
        <w:rPr>
          <w:rFonts w:asciiTheme="minorEastAsia" w:hAnsiTheme="minorEastAsia" w:eastAsiaTheme="minorEastAsia"/>
          <w:sz w:val="24"/>
          <w:szCs w:val="24"/>
        </w:rPr>
        <w:t>制作</w:t>
      </w:r>
      <w:bookmarkEnd w:id="127"/>
    </w:p>
    <w:p>
      <w:pPr>
        <w:spacing w:line="360" w:lineRule="auto"/>
        <w:ind w:left="900" w:hanging="900" w:hangingChars="375"/>
        <w:rPr>
          <w:rFonts w:cs="仿宋" w:asciiTheme="minorEastAsia" w:hAnsiTheme="minorEastAsia" w:eastAsiaTheme="minorEastAsia"/>
          <w:sz w:val="24"/>
        </w:rPr>
      </w:pPr>
      <w:r>
        <w:rPr>
          <w:rFonts w:hint="eastAsia" w:cs="仿宋" w:asciiTheme="minorEastAsia" w:hAnsiTheme="minorEastAsia" w:eastAsiaTheme="minorEastAsia"/>
          <w:sz w:val="24"/>
        </w:rPr>
        <w:t>14.1   投标人应按投标须知前附表中的规定，准备和递交投标文件正本、副本和电子文档，每份投标文件封皮须清楚地标明“正本”或“副本”。投标文件的副本可采用正本的复印件，若正本和副本不一致，以正本为准。</w:t>
      </w:r>
    </w:p>
    <w:p>
      <w:pPr>
        <w:spacing w:line="360" w:lineRule="auto"/>
        <w:ind w:left="900" w:hanging="900" w:hangingChars="375"/>
        <w:rPr>
          <w:rFonts w:cs="仿宋" w:asciiTheme="minorEastAsia" w:hAnsiTheme="minorEastAsia" w:eastAsiaTheme="minorEastAsia"/>
          <w:sz w:val="24"/>
        </w:rPr>
      </w:pPr>
      <w:r>
        <w:rPr>
          <w:rFonts w:hint="eastAsia" w:cs="仿宋" w:asciiTheme="minorEastAsia" w:hAnsiTheme="minorEastAsia" w:eastAsiaTheme="minorEastAsia"/>
          <w:sz w:val="24"/>
        </w:rPr>
        <w:t>14.2   委托代理人须持有书面的“法定代表人授权委托书”，并将其附在投标文件中。如对投标文件进行了修改，则应由投标人的法定代表人或委托代理人在每一修改处签字。</w:t>
      </w:r>
    </w:p>
    <w:p>
      <w:pPr>
        <w:spacing w:line="360" w:lineRule="auto"/>
        <w:ind w:left="850" w:leftChars="405" w:firstLine="2" w:firstLineChars="1"/>
        <w:rPr>
          <w:rFonts w:cs="仿宋" w:asciiTheme="minorEastAsia" w:hAnsiTheme="minorEastAsia" w:eastAsiaTheme="minorEastAsia"/>
          <w:sz w:val="24"/>
        </w:rPr>
      </w:pPr>
      <w:r>
        <w:rPr>
          <w:rFonts w:hint="eastAsia" w:cs="仿宋" w:asciiTheme="minorEastAsia" w:hAnsiTheme="minorEastAsia" w:eastAsiaTheme="minorEastAsia"/>
          <w:sz w:val="24"/>
        </w:rPr>
        <w:t>未按招标文件要求签署和盖章的投标文件，其投标将被认定为</w:t>
      </w:r>
      <w:r>
        <w:rPr>
          <w:rFonts w:hint="eastAsia" w:cs="仿宋" w:asciiTheme="minorEastAsia" w:hAnsiTheme="minorEastAsia" w:eastAsiaTheme="minorEastAsia"/>
          <w:b/>
          <w:sz w:val="24"/>
        </w:rPr>
        <w:t>投标无效</w:t>
      </w:r>
      <w:r>
        <w:rPr>
          <w:rFonts w:hint="eastAsia" w:cs="仿宋" w:asciiTheme="minorEastAsia" w:hAnsiTheme="minorEastAsia" w:eastAsiaTheme="minorEastAsia"/>
          <w:sz w:val="24"/>
        </w:rPr>
        <w:t>。</w:t>
      </w:r>
    </w:p>
    <w:p>
      <w:pPr>
        <w:spacing w:line="360" w:lineRule="auto"/>
        <w:ind w:left="900" w:hanging="900" w:hangingChars="375"/>
        <w:rPr>
          <w:rFonts w:asciiTheme="minorEastAsia" w:hAnsiTheme="minorEastAsia" w:eastAsiaTheme="minorEastAsia"/>
          <w:sz w:val="24"/>
        </w:rPr>
      </w:pPr>
      <w:r>
        <w:rPr>
          <w:rFonts w:hint="eastAsia" w:cs="仿宋" w:asciiTheme="minorEastAsia" w:hAnsiTheme="minorEastAsia" w:eastAsiaTheme="minorEastAsia"/>
          <w:sz w:val="24"/>
        </w:rPr>
        <w:t>14.3   投标文件应按照“第六章”格式部分制作。</w:t>
      </w:r>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14.4   投标文件因字迹潦草、表达不清或装订不当所引起的后果由投标人负责。</w:t>
      </w:r>
    </w:p>
    <w:p>
      <w:pPr>
        <w:pStyle w:val="4"/>
        <w:rPr>
          <w:rFonts w:asciiTheme="minorEastAsia" w:hAnsiTheme="minorEastAsia" w:eastAsiaTheme="minorEastAsia"/>
          <w:sz w:val="28"/>
          <w:szCs w:val="18"/>
        </w:rPr>
      </w:pPr>
      <w:bookmarkStart w:id="128" w:name="_Toc108721107"/>
      <w:bookmarkStart w:id="129" w:name="_Toc520356159"/>
      <w:bookmarkStart w:id="130" w:name="_Toc532473466"/>
      <w:bookmarkStart w:id="131" w:name="_Toc515647774"/>
      <w:bookmarkStart w:id="132" w:name="_Toc16865"/>
      <w:bookmarkStart w:id="133" w:name="_Toc216582808"/>
      <w:bookmarkStart w:id="134" w:name="_Toc11179"/>
      <w:r>
        <w:rPr>
          <w:rFonts w:asciiTheme="minorEastAsia" w:hAnsiTheme="minorEastAsia" w:eastAsiaTheme="minorEastAsia"/>
          <w:sz w:val="28"/>
          <w:szCs w:val="18"/>
        </w:rPr>
        <w:t>四、投标文件的递交</w:t>
      </w:r>
      <w:bookmarkEnd w:id="128"/>
      <w:bookmarkEnd w:id="129"/>
      <w:bookmarkEnd w:id="130"/>
      <w:bookmarkEnd w:id="131"/>
      <w:bookmarkEnd w:id="132"/>
      <w:bookmarkEnd w:id="133"/>
      <w:bookmarkEnd w:id="134"/>
    </w:p>
    <w:p>
      <w:pPr>
        <w:pStyle w:val="5"/>
        <w:ind w:firstLine="0" w:firstLineChars="0"/>
        <w:rPr>
          <w:rFonts w:asciiTheme="minorEastAsia" w:hAnsiTheme="minorEastAsia" w:eastAsiaTheme="minorEastAsia"/>
          <w:sz w:val="24"/>
          <w:szCs w:val="24"/>
        </w:rPr>
      </w:pPr>
      <w:bookmarkStart w:id="135" w:name="_Toc108721108"/>
      <w:bookmarkStart w:id="136" w:name="_Toc520356160"/>
      <w:bookmarkStart w:id="137" w:name="_Toc532473467"/>
      <w:bookmarkStart w:id="138" w:name="_Toc515647775"/>
      <w:bookmarkStart w:id="139" w:name="_Toc21645"/>
      <w:bookmarkStart w:id="140" w:name="_Toc32337"/>
      <w:r>
        <w:rPr>
          <w:rFonts w:asciiTheme="minorEastAsia" w:hAnsiTheme="minorEastAsia" w:eastAsiaTheme="minorEastAsia"/>
          <w:sz w:val="24"/>
          <w:szCs w:val="24"/>
        </w:rPr>
        <w:t>15.    投标文件的密封和标记</w:t>
      </w:r>
      <w:bookmarkEnd w:id="135"/>
      <w:bookmarkEnd w:id="136"/>
      <w:bookmarkEnd w:id="137"/>
      <w:bookmarkEnd w:id="138"/>
      <w:bookmarkEnd w:id="139"/>
      <w:bookmarkEnd w:id="140"/>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15.1   密封要求：投标文件应当用不能被他人知悉或更换投标文件内容的方式密封。投标人应将投标文件的</w:t>
      </w:r>
      <w:r>
        <w:rPr>
          <w:rFonts w:asciiTheme="minorEastAsia" w:hAnsiTheme="minorEastAsia" w:eastAsiaTheme="minorEastAsia"/>
          <w:b/>
          <w:bCs/>
          <w:sz w:val="24"/>
        </w:rPr>
        <w:t>两个部分分开单独密封</w:t>
      </w:r>
      <w:r>
        <w:rPr>
          <w:rFonts w:asciiTheme="minorEastAsia" w:hAnsiTheme="minorEastAsia" w:eastAsiaTheme="minorEastAsia"/>
          <w:sz w:val="24"/>
        </w:rPr>
        <w:t>，并在封皮正面标明“资格证明文件”或“商务及技术文件”</w:t>
      </w:r>
      <w:r>
        <w:rPr>
          <w:rFonts w:hint="eastAsia" w:asciiTheme="minorEastAsia" w:hAnsiTheme="minorEastAsia" w:eastAsiaTheme="minorEastAsia"/>
          <w:sz w:val="24"/>
          <w:lang w:val="en-US" w:eastAsia="zh-CN"/>
        </w:rPr>
        <w:t>等</w:t>
      </w:r>
      <w:r>
        <w:rPr>
          <w:rFonts w:asciiTheme="minorEastAsia" w:hAnsiTheme="minorEastAsia" w:eastAsiaTheme="minorEastAsia"/>
          <w:sz w:val="24"/>
        </w:rPr>
        <w:t>字样。投标人应承担封装失误产生的任何后果</w:t>
      </w:r>
      <w:bookmarkStart w:id="141" w:name="_Hlk790626"/>
      <w:r>
        <w:rPr>
          <w:rFonts w:asciiTheme="minorEastAsia" w:hAnsiTheme="minorEastAsia" w:eastAsiaTheme="minorEastAsia"/>
          <w:sz w:val="24"/>
        </w:rPr>
        <w:t>。</w:t>
      </w:r>
      <w:bookmarkEnd w:id="141"/>
    </w:p>
    <w:p>
      <w:pPr>
        <w:spacing w:line="360" w:lineRule="auto"/>
        <w:rPr>
          <w:rFonts w:asciiTheme="minorEastAsia" w:hAnsiTheme="minorEastAsia" w:eastAsiaTheme="minorEastAsia"/>
          <w:sz w:val="24"/>
        </w:rPr>
      </w:pPr>
      <w:r>
        <w:rPr>
          <w:rFonts w:asciiTheme="minorEastAsia" w:hAnsiTheme="minorEastAsia" w:eastAsiaTheme="minorEastAsia"/>
          <w:sz w:val="24"/>
        </w:rPr>
        <w:t>15.2   标记要求：</w:t>
      </w:r>
      <w:r>
        <w:rPr>
          <w:rFonts w:hint="eastAsia" w:asciiTheme="minorEastAsia" w:hAnsiTheme="minorEastAsia" w:eastAsiaTheme="minorEastAsia"/>
          <w:sz w:val="24"/>
        </w:rPr>
        <w:t>见投标人须知前附表。</w:t>
      </w:r>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 xml:space="preserve">15.3   如果投标文件未进行密封，将被拒绝接收。   </w:t>
      </w:r>
    </w:p>
    <w:p>
      <w:pPr>
        <w:pStyle w:val="5"/>
        <w:ind w:firstLine="0" w:firstLineChars="0"/>
        <w:rPr>
          <w:rFonts w:asciiTheme="minorEastAsia" w:hAnsiTheme="minorEastAsia" w:eastAsiaTheme="minorEastAsia"/>
          <w:sz w:val="24"/>
          <w:szCs w:val="24"/>
        </w:rPr>
      </w:pPr>
      <w:bookmarkStart w:id="142" w:name="_Toc520356161"/>
      <w:bookmarkStart w:id="143" w:name="_Toc9840"/>
      <w:bookmarkStart w:id="144" w:name="_Toc12751"/>
      <w:bookmarkStart w:id="145" w:name="_Toc108721109"/>
      <w:bookmarkStart w:id="146" w:name="_Toc532473468"/>
      <w:bookmarkStart w:id="147" w:name="_Toc515647776"/>
      <w:r>
        <w:rPr>
          <w:rFonts w:asciiTheme="minorEastAsia" w:hAnsiTheme="minorEastAsia" w:eastAsiaTheme="minorEastAsia"/>
          <w:sz w:val="24"/>
          <w:szCs w:val="24"/>
        </w:rPr>
        <w:t>16.    投标截止</w:t>
      </w:r>
      <w:bookmarkEnd w:id="142"/>
      <w:bookmarkEnd w:id="143"/>
      <w:bookmarkEnd w:id="144"/>
      <w:bookmarkEnd w:id="145"/>
      <w:bookmarkEnd w:id="146"/>
      <w:bookmarkEnd w:id="147"/>
    </w:p>
    <w:p>
      <w:pPr>
        <w:spacing w:line="360" w:lineRule="auto"/>
        <w:ind w:left="840" w:hanging="840" w:hangingChars="350"/>
        <w:rPr>
          <w:rFonts w:asciiTheme="minorEastAsia" w:hAnsiTheme="minorEastAsia" w:eastAsiaTheme="minorEastAsia"/>
          <w:sz w:val="24"/>
        </w:rPr>
      </w:pPr>
      <w:r>
        <w:rPr>
          <w:rFonts w:asciiTheme="minorEastAsia" w:hAnsiTheme="minorEastAsia" w:eastAsiaTheme="minorEastAsia"/>
          <w:sz w:val="24"/>
        </w:rPr>
        <w:t>16.1   投标人应在</w:t>
      </w:r>
      <w:r>
        <w:rPr>
          <w:rFonts w:asciiTheme="minorEastAsia" w:hAnsiTheme="minorEastAsia" w:eastAsiaTheme="minorEastAsia"/>
          <w:sz w:val="24"/>
          <w:u w:val="single"/>
        </w:rPr>
        <w:t>投标人须知前附表中</w:t>
      </w:r>
      <w:r>
        <w:rPr>
          <w:rFonts w:asciiTheme="minorEastAsia" w:hAnsiTheme="minorEastAsia" w:eastAsiaTheme="minorEastAsia"/>
          <w:sz w:val="24"/>
        </w:rPr>
        <w:t>规定的截止时间前，将投标文件递交到招标公告中规定的地点。</w:t>
      </w:r>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16.2   采购人和采购代理机构将拒绝接收在投标截止时间后送达的投标文件。</w:t>
      </w:r>
    </w:p>
    <w:p>
      <w:pPr>
        <w:pStyle w:val="5"/>
        <w:ind w:firstLine="0" w:firstLineChars="0"/>
        <w:jc w:val="both"/>
        <w:rPr>
          <w:rFonts w:asciiTheme="minorEastAsia" w:hAnsiTheme="minorEastAsia" w:eastAsiaTheme="minorEastAsia"/>
          <w:sz w:val="24"/>
          <w:szCs w:val="24"/>
        </w:rPr>
      </w:pPr>
      <w:bookmarkStart w:id="148" w:name="_Toc24275"/>
      <w:bookmarkStart w:id="149" w:name="_Toc532473469"/>
      <w:bookmarkStart w:id="150" w:name="_Toc515647777"/>
      <w:bookmarkStart w:id="151" w:name="_Toc520356162"/>
      <w:bookmarkStart w:id="152" w:name="_Toc108721110"/>
      <w:bookmarkStart w:id="153" w:name="_Toc18537"/>
      <w:r>
        <w:rPr>
          <w:rFonts w:asciiTheme="minorEastAsia" w:hAnsiTheme="minorEastAsia" w:eastAsiaTheme="minorEastAsia"/>
          <w:sz w:val="24"/>
          <w:szCs w:val="24"/>
        </w:rPr>
        <w:t>17.    投标文件的接收、修改与撤回</w:t>
      </w:r>
      <w:bookmarkEnd w:id="148"/>
      <w:bookmarkEnd w:id="149"/>
      <w:bookmarkEnd w:id="150"/>
      <w:bookmarkEnd w:id="151"/>
      <w:bookmarkEnd w:id="152"/>
      <w:bookmarkEnd w:id="153"/>
    </w:p>
    <w:p>
      <w:pPr>
        <w:spacing w:line="360" w:lineRule="auto"/>
        <w:ind w:left="900" w:hanging="900" w:hangingChars="375"/>
        <w:rPr>
          <w:rFonts w:asciiTheme="minorEastAsia" w:hAnsiTheme="minorEastAsia" w:eastAsiaTheme="minorEastAsia"/>
        </w:rPr>
      </w:pPr>
      <w:r>
        <w:rPr>
          <w:rFonts w:asciiTheme="minorEastAsia" w:hAnsiTheme="minorEastAsia" w:eastAsiaTheme="minorEastAsia"/>
          <w:sz w:val="24"/>
        </w:rPr>
        <w:t>17.1   采购人和采购代理机构将按招标文件规定的时间和地点接收投标文件。</w:t>
      </w:r>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17.2   采购人或者采购代理机构收到投标文件后，将记载投标文件的送达时间和密封情况，并向投标人出具回执。</w:t>
      </w:r>
    </w:p>
    <w:p>
      <w:pPr>
        <w:spacing w:line="360" w:lineRule="auto"/>
        <w:ind w:left="840" w:hanging="840" w:hangingChars="350"/>
        <w:rPr>
          <w:rFonts w:asciiTheme="minorEastAsia" w:hAnsiTheme="minorEastAsia" w:eastAsiaTheme="minorEastAsia"/>
          <w:sz w:val="24"/>
        </w:rPr>
      </w:pPr>
      <w:r>
        <w:rPr>
          <w:rFonts w:asciiTheme="minorEastAsia" w:hAnsiTheme="minorEastAsia" w:eastAsiaTheme="minorEastAsia"/>
          <w:sz w:val="24"/>
        </w:rPr>
        <w:t>17.3   递交投标文件以后，如果投标人要进行修改，须提出书面申请并在投标截止时间前送达开标地点，投标人对投标文件的修改申请应按本须知规定编制、签署、密封、标记。采购人和采购代理机构将予以接收，并视为投标文件的组成部分。</w:t>
      </w:r>
    </w:p>
    <w:p>
      <w:pPr>
        <w:spacing w:line="360" w:lineRule="auto"/>
        <w:ind w:left="850" w:leftChars="405" w:firstLine="2" w:firstLineChars="1"/>
        <w:rPr>
          <w:rFonts w:asciiTheme="minorEastAsia" w:hAnsiTheme="minorEastAsia" w:eastAsiaTheme="minorEastAsia"/>
          <w:sz w:val="24"/>
        </w:rPr>
      </w:pPr>
      <w:r>
        <w:rPr>
          <w:rFonts w:asciiTheme="minorEastAsia" w:hAnsiTheme="minorEastAsia" w:eastAsiaTheme="minorEastAsia"/>
          <w:sz w:val="24"/>
        </w:rPr>
        <w:t>递交投标文件以后，如果投标人要进行撤回的，须提出书面申请并在投标截止时间前送达开标地点，采购人和采购代理机构将予以接受。</w:t>
      </w:r>
    </w:p>
    <w:p>
      <w:pPr>
        <w:spacing w:line="360" w:lineRule="auto"/>
        <w:ind w:left="850" w:hanging="849" w:hangingChars="354"/>
        <w:rPr>
          <w:rFonts w:asciiTheme="minorEastAsia" w:hAnsiTheme="minorEastAsia" w:eastAsiaTheme="minorEastAsia"/>
          <w:sz w:val="24"/>
        </w:rPr>
      </w:pPr>
      <w:r>
        <w:rPr>
          <w:rFonts w:asciiTheme="minorEastAsia" w:hAnsiTheme="minorEastAsia" w:eastAsiaTheme="minorEastAsia"/>
          <w:sz w:val="24"/>
        </w:rPr>
        <w:t>17.4   在投标截止时间之后，投标人不得对其投标文件做任何修改。</w:t>
      </w:r>
    </w:p>
    <w:p>
      <w:pPr>
        <w:spacing w:line="360" w:lineRule="auto"/>
        <w:ind w:left="850" w:hanging="849" w:hangingChars="354"/>
        <w:rPr>
          <w:rFonts w:asciiTheme="minorEastAsia" w:hAnsiTheme="minorEastAsia" w:eastAsiaTheme="minorEastAsia"/>
          <w:sz w:val="24"/>
        </w:rPr>
      </w:pPr>
      <w:r>
        <w:rPr>
          <w:rFonts w:asciiTheme="minorEastAsia" w:hAnsiTheme="minorEastAsia" w:eastAsiaTheme="minorEastAsia"/>
          <w:sz w:val="24"/>
        </w:rPr>
        <w:t>17.5   除投标人不足3家未开标外，采购人和采购代理机构对所接收投标文件概不退回。</w:t>
      </w:r>
    </w:p>
    <w:p>
      <w:pPr>
        <w:pStyle w:val="4"/>
        <w:rPr>
          <w:rFonts w:asciiTheme="minorEastAsia" w:hAnsiTheme="minorEastAsia" w:eastAsiaTheme="minorEastAsia"/>
          <w:sz w:val="28"/>
          <w:szCs w:val="18"/>
        </w:rPr>
      </w:pPr>
      <w:bookmarkStart w:id="154" w:name="_Toc216582809"/>
      <w:bookmarkStart w:id="155" w:name="_Toc532473470"/>
      <w:bookmarkStart w:id="156" w:name="_Toc108721111"/>
      <w:bookmarkStart w:id="157" w:name="_Toc520356163"/>
      <w:bookmarkStart w:id="158" w:name="_Toc515647778"/>
      <w:bookmarkStart w:id="159" w:name="_Toc28398"/>
      <w:bookmarkStart w:id="160" w:name="_Toc12436"/>
      <w:r>
        <w:rPr>
          <w:rFonts w:asciiTheme="minorEastAsia" w:hAnsiTheme="minorEastAsia" w:eastAsiaTheme="minorEastAsia"/>
          <w:sz w:val="28"/>
          <w:szCs w:val="18"/>
        </w:rPr>
        <w:t>五、开标及评标</w:t>
      </w:r>
      <w:bookmarkEnd w:id="154"/>
      <w:bookmarkEnd w:id="155"/>
      <w:bookmarkEnd w:id="156"/>
      <w:bookmarkEnd w:id="157"/>
      <w:bookmarkEnd w:id="158"/>
      <w:bookmarkEnd w:id="159"/>
      <w:bookmarkEnd w:id="160"/>
    </w:p>
    <w:p>
      <w:pPr>
        <w:pStyle w:val="5"/>
        <w:ind w:firstLine="0" w:firstLineChars="0"/>
        <w:jc w:val="both"/>
        <w:rPr>
          <w:rFonts w:asciiTheme="minorEastAsia" w:hAnsiTheme="minorEastAsia" w:eastAsiaTheme="minorEastAsia"/>
          <w:sz w:val="24"/>
          <w:szCs w:val="24"/>
        </w:rPr>
      </w:pPr>
      <w:bookmarkStart w:id="161" w:name="_Toc520356164"/>
      <w:bookmarkStart w:id="162" w:name="_Toc7186"/>
      <w:bookmarkStart w:id="163" w:name="_Toc25345"/>
      <w:bookmarkStart w:id="164" w:name="_Toc515647779"/>
      <w:bookmarkStart w:id="165" w:name="_Toc532473471"/>
      <w:bookmarkStart w:id="166" w:name="_Toc108721112"/>
      <w:r>
        <w:rPr>
          <w:rFonts w:asciiTheme="minorEastAsia" w:hAnsiTheme="minorEastAsia" w:eastAsiaTheme="minorEastAsia"/>
          <w:sz w:val="24"/>
          <w:szCs w:val="24"/>
        </w:rPr>
        <w:t>18.    开标</w:t>
      </w:r>
      <w:bookmarkEnd w:id="161"/>
      <w:bookmarkEnd w:id="162"/>
      <w:bookmarkEnd w:id="163"/>
      <w:bookmarkEnd w:id="164"/>
      <w:bookmarkEnd w:id="165"/>
      <w:bookmarkEnd w:id="166"/>
    </w:p>
    <w:p>
      <w:pPr>
        <w:spacing w:line="360" w:lineRule="auto"/>
        <w:ind w:left="840" w:hanging="840" w:hangingChars="350"/>
        <w:rPr>
          <w:rFonts w:asciiTheme="minorEastAsia" w:hAnsiTheme="minorEastAsia" w:eastAsiaTheme="minorEastAsia"/>
          <w:sz w:val="24"/>
        </w:rPr>
      </w:pPr>
      <w:r>
        <w:rPr>
          <w:rFonts w:asciiTheme="minorEastAsia" w:hAnsiTheme="minorEastAsia" w:eastAsiaTheme="minorEastAsia"/>
          <w:sz w:val="24"/>
        </w:rPr>
        <w:t>18.1   采购人和采购代理机构将按</w:t>
      </w:r>
      <w:r>
        <w:rPr>
          <w:rFonts w:asciiTheme="minorEastAsia" w:hAnsiTheme="minorEastAsia" w:eastAsiaTheme="minorEastAsia"/>
          <w:sz w:val="24"/>
          <w:u w:val="single"/>
        </w:rPr>
        <w:t>投标人须知前附表</w:t>
      </w:r>
      <w:r>
        <w:rPr>
          <w:rFonts w:asciiTheme="minorEastAsia" w:hAnsiTheme="minorEastAsia" w:eastAsiaTheme="minorEastAsia"/>
          <w:sz w:val="24"/>
        </w:rPr>
        <w:t>中规定的开标时间和地点组织开标，并邀请所有投标人代表参加。</w:t>
      </w:r>
    </w:p>
    <w:p>
      <w:pPr>
        <w:spacing w:line="360" w:lineRule="auto"/>
        <w:ind w:left="833" w:leftChars="397" w:firstLine="19" w:firstLineChars="8"/>
        <w:rPr>
          <w:rFonts w:asciiTheme="minorEastAsia" w:hAnsiTheme="minorEastAsia" w:eastAsiaTheme="minorEastAsia"/>
          <w:sz w:val="24"/>
        </w:rPr>
      </w:pPr>
      <w:r>
        <w:rPr>
          <w:rFonts w:asciiTheme="minorEastAsia" w:hAnsiTheme="minorEastAsia" w:eastAsiaTheme="minorEastAsia"/>
          <w:sz w:val="24"/>
        </w:rPr>
        <w:t>投标人不足3家的，不予开标。</w:t>
      </w:r>
    </w:p>
    <w:p>
      <w:pPr>
        <w:spacing w:line="360" w:lineRule="auto"/>
        <w:ind w:left="960" w:hanging="960" w:hangingChars="400"/>
        <w:rPr>
          <w:rFonts w:cs="仿宋" w:asciiTheme="minorEastAsia" w:hAnsiTheme="minorEastAsia" w:eastAsiaTheme="minorEastAsia"/>
          <w:sz w:val="24"/>
        </w:rPr>
      </w:pPr>
      <w:r>
        <w:rPr>
          <w:rFonts w:hint="eastAsia" w:cs="仿宋" w:asciiTheme="minorEastAsia" w:hAnsiTheme="minorEastAsia" w:eastAsiaTheme="minorEastAsia"/>
          <w:sz w:val="24"/>
        </w:rPr>
        <w:t>18.2   开标时，由投标人或其推选的代表检查自己或所代表的投标文件的密封情况，经记录后，由采购人或采购代理机构当众拆封投标文件，宣读投标人在开标一览表中所填写的全部内容。对于投标人在投标截止时间前递交的投标声明，在开标时当众宣读，评标时有效。</w:t>
      </w:r>
    </w:p>
    <w:p>
      <w:pPr>
        <w:spacing w:line="360" w:lineRule="auto"/>
        <w:ind w:left="1078" w:leftChars="428" w:hanging="180" w:hangingChars="75"/>
        <w:rPr>
          <w:rFonts w:cs="仿宋" w:asciiTheme="minorEastAsia" w:hAnsiTheme="minorEastAsia" w:eastAsiaTheme="minorEastAsia"/>
          <w:sz w:val="24"/>
        </w:rPr>
      </w:pPr>
      <w:r>
        <w:rPr>
          <w:rFonts w:hint="eastAsia" w:cs="仿宋" w:asciiTheme="minorEastAsia" w:hAnsiTheme="minorEastAsia" w:eastAsiaTheme="minorEastAsia"/>
          <w:sz w:val="24"/>
        </w:rPr>
        <w:t>未宣读的投标价格、价格折扣等实质内容，评标时不予承认。</w:t>
      </w:r>
    </w:p>
    <w:p>
      <w:pPr>
        <w:spacing w:line="360" w:lineRule="auto"/>
        <w:ind w:left="850" w:hanging="849" w:hangingChars="354"/>
        <w:rPr>
          <w:rFonts w:asciiTheme="minorEastAsia" w:hAnsiTheme="minorEastAsia" w:eastAsiaTheme="minorEastAsia"/>
          <w:sz w:val="24"/>
        </w:rPr>
      </w:pPr>
      <w:r>
        <w:rPr>
          <w:rFonts w:asciiTheme="minorEastAsia" w:hAnsiTheme="minorEastAsia" w:eastAsiaTheme="minorEastAsia"/>
          <w:sz w:val="24"/>
        </w:rPr>
        <w:t>18.3   采购人或采购代理机构将对开标过程进行记录</w:t>
      </w:r>
      <w:bookmarkStart w:id="167" w:name="_Toc520356165"/>
      <w:r>
        <w:rPr>
          <w:rFonts w:asciiTheme="minorEastAsia" w:hAnsiTheme="minorEastAsia" w:eastAsiaTheme="minorEastAsia"/>
          <w:sz w:val="24"/>
        </w:rPr>
        <w:t>，由参加开标的各投标人代表和相关工作人员签字确认，并存档备查。</w:t>
      </w:r>
    </w:p>
    <w:p>
      <w:pPr>
        <w:spacing w:line="360" w:lineRule="auto"/>
        <w:ind w:left="898" w:leftChars="428"/>
        <w:rPr>
          <w:rFonts w:asciiTheme="minorEastAsia" w:hAnsiTheme="minorEastAsia" w:eastAsiaTheme="minorEastAsia"/>
          <w:sz w:val="24"/>
        </w:rPr>
      </w:pPr>
      <w:r>
        <w:rPr>
          <w:rFonts w:asciiTheme="minorEastAsia" w:hAnsiTheme="minorEastAsia" w:eastAsiaTheme="minorEastAsia"/>
          <w:sz w:val="24"/>
        </w:rPr>
        <w:t>投标人未派代表参加开标的，视同投标人认可开标结果。</w:t>
      </w:r>
    </w:p>
    <w:p>
      <w:pPr>
        <w:spacing w:line="360" w:lineRule="auto"/>
        <w:ind w:left="850" w:hanging="849" w:hangingChars="354"/>
        <w:rPr>
          <w:rFonts w:asciiTheme="minorEastAsia" w:hAnsiTheme="minorEastAsia" w:eastAsiaTheme="minorEastAsia"/>
          <w:sz w:val="24"/>
        </w:rPr>
      </w:pPr>
      <w:r>
        <w:rPr>
          <w:rFonts w:asciiTheme="minorEastAsia" w:hAnsiTheme="minorEastAsia" w:eastAsiaTheme="minorEastAsia"/>
          <w:sz w:val="24"/>
        </w:rPr>
        <w:t>18.4   投标人代表对开标过程和开标记录有疑义，以及认为开标现场采购人、采购代理机构相关工作人员有需要回避的情形的，应当场提出询问或者回避申请。</w:t>
      </w:r>
    </w:p>
    <w:p>
      <w:pPr>
        <w:pStyle w:val="5"/>
        <w:ind w:firstLine="0" w:firstLineChars="0"/>
        <w:jc w:val="both"/>
        <w:rPr>
          <w:rFonts w:asciiTheme="minorEastAsia" w:hAnsiTheme="minorEastAsia" w:eastAsiaTheme="minorEastAsia"/>
          <w:sz w:val="24"/>
          <w:szCs w:val="24"/>
        </w:rPr>
      </w:pPr>
      <w:bookmarkStart w:id="168" w:name="_Toc19296"/>
      <w:bookmarkStart w:id="169" w:name="_Toc21372"/>
      <w:bookmarkStart w:id="170" w:name="_Toc532473472"/>
      <w:bookmarkStart w:id="171" w:name="_Toc515647780"/>
      <w:bookmarkStart w:id="172" w:name="_Toc108721113"/>
      <w:r>
        <w:rPr>
          <w:rFonts w:asciiTheme="minorEastAsia" w:hAnsiTheme="minorEastAsia" w:eastAsiaTheme="minorEastAsia"/>
          <w:sz w:val="24"/>
          <w:szCs w:val="24"/>
        </w:rPr>
        <w:t>19.</w:t>
      </w:r>
      <w:bookmarkEnd w:id="167"/>
      <w:r>
        <w:rPr>
          <w:rFonts w:asciiTheme="minorEastAsia" w:hAnsiTheme="minorEastAsia" w:eastAsiaTheme="minorEastAsia"/>
          <w:sz w:val="24"/>
          <w:szCs w:val="24"/>
        </w:rPr>
        <w:t xml:space="preserve">    资格审查及组建评标委员会</w:t>
      </w:r>
      <w:bookmarkEnd w:id="168"/>
      <w:bookmarkEnd w:id="169"/>
      <w:bookmarkEnd w:id="170"/>
      <w:bookmarkEnd w:id="171"/>
      <w:bookmarkEnd w:id="172"/>
    </w:p>
    <w:p>
      <w:pPr>
        <w:spacing w:line="360" w:lineRule="auto"/>
        <w:ind w:left="850" w:hanging="849" w:hangingChars="354"/>
        <w:rPr>
          <w:rFonts w:asciiTheme="minorEastAsia" w:hAnsiTheme="minorEastAsia" w:eastAsiaTheme="minorEastAsia"/>
          <w:sz w:val="24"/>
        </w:rPr>
      </w:pPr>
      <w:r>
        <w:rPr>
          <w:rFonts w:asciiTheme="minorEastAsia" w:hAnsiTheme="minorEastAsia" w:eastAsiaTheme="minorEastAsia"/>
          <w:sz w:val="24"/>
        </w:rPr>
        <w:t>19.1   采购人或采购代理机构依据法律法规和招标文件中规定的内容，对投标人及其投标标的物的资格进行审查，未通过资格审查的投标人不进入评标；资格证明文件未装在“资格证明文件”中的，将被认定为未通过资格审查。</w:t>
      </w:r>
    </w:p>
    <w:p>
      <w:pPr>
        <w:spacing w:line="360" w:lineRule="auto"/>
        <w:ind w:left="840" w:leftChars="400"/>
        <w:rPr>
          <w:rFonts w:asciiTheme="minorEastAsia" w:hAnsiTheme="minorEastAsia" w:eastAsiaTheme="minorEastAsia"/>
          <w:sz w:val="24"/>
        </w:rPr>
      </w:pPr>
      <w:r>
        <w:rPr>
          <w:rFonts w:asciiTheme="minorEastAsia" w:hAnsiTheme="minorEastAsia" w:eastAsiaTheme="minorEastAsia"/>
          <w:sz w:val="24"/>
        </w:rPr>
        <w:t>通过资格审查的投标人不足三家的，不得评标。</w:t>
      </w:r>
    </w:p>
    <w:p>
      <w:pPr>
        <w:spacing w:line="360" w:lineRule="auto"/>
        <w:ind w:left="857" w:leftChars="2" w:hanging="853"/>
        <w:rPr>
          <w:rFonts w:asciiTheme="minorEastAsia" w:hAnsiTheme="minorEastAsia" w:eastAsiaTheme="minorEastAsia"/>
          <w:sz w:val="24"/>
        </w:rPr>
      </w:pPr>
      <w:r>
        <w:rPr>
          <w:rFonts w:asciiTheme="minorEastAsia" w:hAnsiTheme="minorEastAsia" w:eastAsiaTheme="minorEastAsia"/>
          <w:sz w:val="24"/>
        </w:rPr>
        <w:t>19.2   采购人或采购代理机构将按投标人须知前附表中规定的时间查询投标人的信用记录。</w:t>
      </w:r>
    </w:p>
    <w:p>
      <w:pPr>
        <w:spacing w:line="360" w:lineRule="auto"/>
        <w:ind w:left="709" w:hanging="709"/>
        <w:rPr>
          <w:rFonts w:ascii="宋体" w:hAnsi="宋体" w:cs="宋体"/>
          <w:sz w:val="24"/>
        </w:rPr>
      </w:pPr>
      <w:r>
        <w:rPr>
          <w:rFonts w:asciiTheme="minorEastAsia" w:hAnsiTheme="minorEastAsia" w:eastAsiaTheme="minorEastAsia"/>
          <w:sz w:val="24"/>
        </w:rPr>
        <w:t xml:space="preserve">19.2.1 </w:t>
      </w:r>
      <w:r>
        <w:rPr>
          <w:rFonts w:hint="eastAsia" w:ascii="宋体" w:hAnsi="宋体" w:cs="宋体"/>
          <w:sz w:val="24"/>
        </w:rPr>
        <w:t>投标人在“中国执行信息公开网”（http://zxgk.court.gov.cn/shixin/）被列入失信被执行人名单、中国政府采购网（www.ccgp.gov.cn）被列入政府采购严重违法失信行为记录名单、在“信用中国”网站（www.creditchina.gov.cn）重大税收违法案件当事人名单以及存在《中华人民共和国政府采购法实施条例》第十九条规定的行政处罚记录，投标将被认定为</w:t>
      </w:r>
      <w:r>
        <w:rPr>
          <w:rFonts w:hint="eastAsia" w:ascii="宋体" w:hAnsi="宋体" w:cs="宋体"/>
          <w:b/>
          <w:sz w:val="24"/>
        </w:rPr>
        <w:t>投标无效</w:t>
      </w:r>
      <w:r>
        <w:rPr>
          <w:rFonts w:hint="eastAsia" w:ascii="宋体" w:hAnsi="宋体" w:cs="宋体"/>
          <w:sz w:val="24"/>
        </w:rPr>
        <w:t>。</w:t>
      </w:r>
    </w:p>
    <w:p>
      <w:pPr>
        <w:spacing w:line="360" w:lineRule="auto"/>
        <w:ind w:left="707" w:leftChars="337" w:firstLine="1"/>
        <w:rPr>
          <w:rFonts w:ascii="宋体" w:hAnsi="宋体" w:cs="宋体"/>
          <w:sz w:val="24"/>
        </w:rPr>
      </w:pPr>
      <w:r>
        <w:rPr>
          <w:rFonts w:hint="eastAsia" w:ascii="宋体" w:hAnsi="宋体" w:cs="宋体"/>
          <w:sz w:val="24"/>
        </w:rPr>
        <w:t>以联合体形式参加投标的，联合体任何成员存在以上不良信用记录的，联合体投标将被认定为</w:t>
      </w:r>
      <w:r>
        <w:rPr>
          <w:rFonts w:hint="eastAsia" w:ascii="宋体" w:hAnsi="宋体" w:cs="宋体"/>
          <w:b/>
          <w:bCs/>
          <w:sz w:val="24"/>
        </w:rPr>
        <w:t>投标无效</w:t>
      </w:r>
      <w:r>
        <w:rPr>
          <w:rFonts w:hint="eastAsia" w:ascii="宋体" w:hAnsi="宋体" w:cs="宋体"/>
          <w:sz w:val="24"/>
        </w:rPr>
        <w:t>。</w:t>
      </w:r>
    </w:p>
    <w:p>
      <w:pPr>
        <w:pStyle w:val="8"/>
        <w:spacing w:line="360" w:lineRule="auto"/>
        <w:ind w:left="960" w:hanging="960" w:hangingChars="400"/>
        <w:jc w:val="both"/>
        <w:rPr>
          <w:rFonts w:asciiTheme="minorEastAsia" w:hAnsiTheme="minorEastAsia" w:eastAsiaTheme="minorEastAsia"/>
        </w:rPr>
      </w:pPr>
      <w:r>
        <w:rPr>
          <w:rFonts w:asciiTheme="minorEastAsia" w:hAnsiTheme="minorEastAsia" w:eastAsiaTheme="minorEastAsia"/>
        </w:rPr>
        <w:t>19.2.2 投标人不良信用记录以采购人或采购代理机构查询结果为准。投标人自行提供的与网站信息不一致的其他证明材料亦不作为资格审查依据。</w:t>
      </w:r>
    </w:p>
    <w:p>
      <w:pPr>
        <w:pStyle w:val="8"/>
        <w:spacing w:line="360" w:lineRule="auto"/>
        <w:ind w:left="850" w:leftChars="405" w:firstLine="0"/>
        <w:jc w:val="both"/>
        <w:rPr>
          <w:rFonts w:asciiTheme="minorEastAsia" w:hAnsiTheme="minorEastAsia" w:eastAsiaTheme="minorEastAsia"/>
        </w:rPr>
      </w:pPr>
      <w:r>
        <w:rPr>
          <w:rFonts w:asciiTheme="minorEastAsia" w:hAnsiTheme="minorEastAsia" w:eastAsiaTheme="minorEastAsia"/>
        </w:rPr>
        <w:t>在本招标文件规定的查询时间之外，网站信息发生的任何变更均不作为资格审查依据。</w:t>
      </w:r>
    </w:p>
    <w:p>
      <w:pPr>
        <w:spacing w:line="360" w:lineRule="auto"/>
        <w:ind w:left="850" w:hanging="849" w:hangingChars="354"/>
        <w:rPr>
          <w:rFonts w:asciiTheme="minorEastAsia" w:hAnsiTheme="minorEastAsia" w:eastAsiaTheme="minorEastAsia"/>
          <w:sz w:val="24"/>
        </w:rPr>
      </w:pPr>
      <w:r>
        <w:rPr>
          <w:rFonts w:asciiTheme="minorEastAsia" w:hAnsiTheme="minorEastAsia" w:eastAsiaTheme="minorEastAsia"/>
          <w:sz w:val="24"/>
        </w:rPr>
        <w:t>19.3   按照《中华人民共和国政府采购法》、《中华人民共和国政府采购法实施条例》及本项目本级和上级财政部门的有关规定依法组建的评标委员会，负责评标工作。</w:t>
      </w:r>
      <w:bookmarkStart w:id="173" w:name="_Toc520356166"/>
    </w:p>
    <w:p>
      <w:pPr>
        <w:pStyle w:val="5"/>
        <w:ind w:firstLine="0" w:firstLineChars="0"/>
        <w:jc w:val="both"/>
        <w:rPr>
          <w:rFonts w:asciiTheme="minorEastAsia" w:hAnsiTheme="minorEastAsia" w:eastAsiaTheme="minorEastAsia"/>
          <w:bCs/>
          <w:sz w:val="24"/>
          <w:szCs w:val="24"/>
          <w:bdr w:val="single" w:color="auto" w:sz="4" w:space="0"/>
        </w:rPr>
      </w:pPr>
      <w:bookmarkStart w:id="174" w:name="_Toc532473473"/>
      <w:bookmarkStart w:id="175" w:name="_Toc515647781"/>
      <w:bookmarkStart w:id="176" w:name="_Toc108721114"/>
      <w:bookmarkStart w:id="177" w:name="_Toc19949"/>
      <w:bookmarkStart w:id="178" w:name="_Toc28479"/>
      <w:r>
        <w:rPr>
          <w:rFonts w:asciiTheme="minorEastAsia" w:hAnsiTheme="minorEastAsia" w:eastAsiaTheme="minorEastAsia"/>
          <w:sz w:val="24"/>
          <w:szCs w:val="24"/>
        </w:rPr>
        <w:t>20.    投标文件</w:t>
      </w:r>
      <w:bookmarkEnd w:id="173"/>
      <w:r>
        <w:rPr>
          <w:rFonts w:asciiTheme="minorEastAsia" w:hAnsiTheme="minorEastAsia" w:eastAsiaTheme="minorEastAsia"/>
          <w:sz w:val="24"/>
          <w:szCs w:val="24"/>
        </w:rPr>
        <w:t>符合性审查与澄清</w:t>
      </w:r>
      <w:bookmarkEnd w:id="174"/>
      <w:bookmarkEnd w:id="175"/>
      <w:bookmarkEnd w:id="176"/>
      <w:bookmarkEnd w:id="177"/>
      <w:bookmarkEnd w:id="178"/>
    </w:p>
    <w:p>
      <w:pPr>
        <w:spacing w:line="360" w:lineRule="auto"/>
        <w:ind w:left="850" w:hanging="849" w:hangingChars="354"/>
        <w:rPr>
          <w:rFonts w:asciiTheme="minorEastAsia" w:hAnsiTheme="minorEastAsia" w:eastAsiaTheme="minorEastAsia"/>
          <w:sz w:val="24"/>
        </w:rPr>
      </w:pPr>
      <w:r>
        <w:rPr>
          <w:rFonts w:asciiTheme="minorEastAsia" w:hAnsiTheme="minorEastAsia" w:eastAsiaTheme="minorEastAsia"/>
          <w:sz w:val="24"/>
        </w:rPr>
        <w:t xml:space="preserve">20.1   </w:t>
      </w:r>
      <w:bookmarkStart w:id="179" w:name="_Hlt522424701"/>
      <w:bookmarkEnd w:id="179"/>
      <w:bookmarkStart w:id="180" w:name="_Toc520356167"/>
      <w:r>
        <w:rPr>
          <w:rFonts w:asciiTheme="minorEastAsia" w:hAnsiTheme="minorEastAsia" w:eastAsiaTheme="minorEastAsia"/>
          <w:sz w:val="24"/>
        </w:rPr>
        <w:t>符合性审查是指依据招标文件的规定，从商务和技术角度对投标文件的有效性和完整性进行审查，以确定是否对招标文件的实质性要求做出响应。</w:t>
      </w:r>
    </w:p>
    <w:p>
      <w:pPr>
        <w:spacing w:line="360" w:lineRule="auto"/>
        <w:ind w:left="840" w:hanging="840" w:hangingChars="350"/>
        <w:rPr>
          <w:rFonts w:asciiTheme="minorEastAsia" w:hAnsiTheme="minorEastAsia" w:eastAsiaTheme="minorEastAsia"/>
          <w:sz w:val="24"/>
        </w:rPr>
      </w:pPr>
      <w:r>
        <w:rPr>
          <w:rFonts w:asciiTheme="minorEastAsia" w:hAnsiTheme="minorEastAsia" w:eastAsiaTheme="minorEastAsia"/>
          <w:sz w:val="24"/>
        </w:rPr>
        <w:t>20.2   投标文件的澄清</w:t>
      </w:r>
    </w:p>
    <w:p>
      <w:pPr>
        <w:spacing w:line="360" w:lineRule="auto"/>
        <w:ind w:left="840" w:hanging="840" w:hangingChars="350"/>
        <w:rPr>
          <w:rFonts w:asciiTheme="minorEastAsia" w:hAnsiTheme="minorEastAsia" w:eastAsiaTheme="minorEastAsia"/>
          <w:sz w:val="24"/>
        </w:rPr>
      </w:pPr>
      <w:r>
        <w:rPr>
          <w:rFonts w:asciiTheme="minorEastAsia" w:hAnsiTheme="minorEastAsia" w:eastAsiaTheme="minorEastAsia"/>
          <w:sz w:val="24"/>
        </w:rPr>
        <w:t>20.2.1 在评标期间，评标委员会将以书面方式要求投标人对其投标文件中含义不明确、对同类问题表述不一致或者有明显文字和计算错误的内容，以及评标委员会认为投标人的报价明显低于其他通过符合性审查投标人的报价，有可能影响履约的情况作必要的澄清、说明或补正。投标人的澄清、说明或补正应在评标委员会规定的时间内以书面方式进行，并不得超出投标文件范围或者改变投标文件的实质性内容。</w:t>
      </w:r>
    </w:p>
    <w:p>
      <w:pPr>
        <w:spacing w:line="360" w:lineRule="auto"/>
        <w:ind w:left="840" w:hanging="840" w:hangingChars="350"/>
        <w:rPr>
          <w:rFonts w:asciiTheme="minorEastAsia" w:hAnsiTheme="minorEastAsia" w:eastAsiaTheme="minorEastAsia"/>
          <w:sz w:val="24"/>
        </w:rPr>
      </w:pPr>
      <w:r>
        <w:rPr>
          <w:rFonts w:asciiTheme="minorEastAsia" w:hAnsiTheme="minorEastAsia" w:eastAsiaTheme="minorEastAsia"/>
          <w:sz w:val="24"/>
        </w:rPr>
        <w:t>20.2.2 投标人的澄清、说明或补正将作为投标文件的一部分。</w:t>
      </w:r>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20.3   投标文件报价出现前后不一致的，按照下列规定修正：</w:t>
      </w:r>
    </w:p>
    <w:p>
      <w:pPr>
        <w:spacing w:line="360" w:lineRule="auto"/>
        <w:ind w:left="850" w:hanging="849" w:hangingChars="354"/>
        <w:rPr>
          <w:rFonts w:asciiTheme="minorEastAsia" w:hAnsiTheme="minorEastAsia" w:eastAsiaTheme="minorEastAsia"/>
          <w:sz w:val="24"/>
        </w:rPr>
      </w:pPr>
      <w:r>
        <w:rPr>
          <w:rFonts w:asciiTheme="minorEastAsia" w:hAnsiTheme="minorEastAsia" w:eastAsiaTheme="minorEastAsia"/>
          <w:sz w:val="24"/>
        </w:rPr>
        <w:t>　　  （1）投标文件中开标一览表（报价表）内容与投标文件中相应内容不一致的，以开标一览表（报价表）为准；</w:t>
      </w:r>
    </w:p>
    <w:p>
      <w:pPr>
        <w:spacing w:line="360" w:lineRule="auto"/>
        <w:ind w:left="850" w:hanging="849" w:hangingChars="354"/>
        <w:rPr>
          <w:rFonts w:asciiTheme="minorEastAsia" w:hAnsiTheme="minorEastAsia" w:eastAsiaTheme="minorEastAsia"/>
          <w:sz w:val="24"/>
        </w:rPr>
      </w:pPr>
      <w:r>
        <w:rPr>
          <w:rFonts w:asciiTheme="minorEastAsia" w:hAnsiTheme="minorEastAsia" w:eastAsiaTheme="minorEastAsia"/>
          <w:sz w:val="24"/>
        </w:rPr>
        <w:t>　　  （2）大写金额和小写金额不一致的，以大写金额为准；</w:t>
      </w:r>
    </w:p>
    <w:p>
      <w:pPr>
        <w:spacing w:line="360" w:lineRule="auto"/>
        <w:ind w:left="850" w:hanging="849" w:hangingChars="354"/>
        <w:rPr>
          <w:rFonts w:asciiTheme="minorEastAsia" w:hAnsiTheme="minorEastAsia" w:eastAsiaTheme="minorEastAsia"/>
          <w:sz w:val="24"/>
        </w:rPr>
      </w:pPr>
      <w:r>
        <w:rPr>
          <w:rFonts w:asciiTheme="minorEastAsia" w:hAnsiTheme="minorEastAsia" w:eastAsiaTheme="minorEastAsia"/>
          <w:sz w:val="24"/>
        </w:rPr>
        <w:t>　    （3）单价金额小数点或者百分比有明显错位的，以开标一览表的总价为准，并修改单价；</w:t>
      </w:r>
    </w:p>
    <w:p>
      <w:pPr>
        <w:spacing w:line="360" w:lineRule="auto"/>
        <w:ind w:left="850" w:hanging="849" w:hangingChars="354"/>
        <w:rPr>
          <w:rFonts w:asciiTheme="minorEastAsia" w:hAnsiTheme="minorEastAsia" w:eastAsiaTheme="minorEastAsia"/>
          <w:sz w:val="24"/>
        </w:rPr>
      </w:pPr>
      <w:r>
        <w:rPr>
          <w:rFonts w:asciiTheme="minorEastAsia" w:hAnsiTheme="minorEastAsia" w:eastAsiaTheme="minorEastAsia"/>
          <w:sz w:val="24"/>
        </w:rPr>
        <w:t>　    （4）总价金额与按单价汇总金额不一致的，以单价金额计算结果为准。</w:t>
      </w:r>
    </w:p>
    <w:p>
      <w:pPr>
        <w:spacing w:line="360" w:lineRule="auto"/>
        <w:ind w:left="850" w:hanging="849" w:hangingChars="354"/>
        <w:rPr>
          <w:rFonts w:asciiTheme="minorEastAsia" w:hAnsiTheme="minorEastAsia" w:eastAsiaTheme="minorEastAsia"/>
          <w:sz w:val="24"/>
        </w:rPr>
      </w:pPr>
      <w:r>
        <w:rPr>
          <w:rFonts w:asciiTheme="minorEastAsia" w:hAnsiTheme="minorEastAsia" w:eastAsiaTheme="minorEastAsia"/>
          <w:sz w:val="24"/>
        </w:rPr>
        <w:t>　　   同时出现两种以上不一致的，按照前款规定的顺序修正。修正后的报价按照第20.2条的规定经投标人确认后产生约束力，投标人不确认的，其投标将被认定为</w:t>
      </w:r>
      <w:r>
        <w:rPr>
          <w:rFonts w:asciiTheme="minorEastAsia" w:hAnsiTheme="minorEastAsia" w:eastAsiaTheme="minorEastAsia"/>
          <w:b/>
          <w:bCs/>
          <w:sz w:val="24"/>
        </w:rPr>
        <w:t>投标无效</w:t>
      </w:r>
      <w:r>
        <w:rPr>
          <w:rFonts w:asciiTheme="minorEastAsia" w:hAnsiTheme="minorEastAsia" w:eastAsiaTheme="minorEastAsia"/>
          <w:sz w:val="24"/>
        </w:rPr>
        <w:t>。</w:t>
      </w:r>
    </w:p>
    <w:p>
      <w:pPr>
        <w:spacing w:line="360" w:lineRule="auto"/>
        <w:ind w:left="735" w:leftChars="350" w:firstLine="120" w:firstLineChars="50"/>
        <w:rPr>
          <w:rFonts w:asciiTheme="minorEastAsia" w:hAnsiTheme="minorEastAsia" w:eastAsiaTheme="minorEastAsia"/>
          <w:sz w:val="24"/>
        </w:rPr>
      </w:pPr>
      <w:r>
        <w:rPr>
          <w:rFonts w:asciiTheme="minorEastAsia" w:hAnsiTheme="minorEastAsia" w:eastAsiaTheme="minorEastAsia"/>
          <w:sz w:val="24"/>
        </w:rPr>
        <w:t>对不同文字文本投标文件的解释发生异议的，以中文文本为准。</w:t>
      </w:r>
    </w:p>
    <w:p>
      <w:pPr>
        <w:spacing w:line="360" w:lineRule="auto"/>
        <w:ind w:left="900" w:hanging="900" w:hangingChars="375"/>
        <w:rPr>
          <w:rFonts w:ascii="宋体" w:hAnsi="宋体" w:cs="宋体"/>
          <w:sz w:val="24"/>
        </w:rPr>
      </w:pPr>
      <w:bookmarkStart w:id="181" w:name="_Toc515647782"/>
      <w:bookmarkStart w:id="182" w:name="_Toc9469"/>
      <w:bookmarkStart w:id="183" w:name="_Toc532473474"/>
      <w:bookmarkStart w:id="184" w:name="_Toc108721115"/>
      <w:bookmarkStart w:id="185" w:name="_Toc6364"/>
      <w:r>
        <w:rPr>
          <w:rFonts w:hint="eastAsia" w:ascii="宋体" w:hAnsi="宋体" w:cs="宋体"/>
          <w:sz w:val="24"/>
        </w:rPr>
        <w:t>20.4   如一个标段内只有一种产品，不同投标人所投产品为同一品牌的，按如下方式处理：</w:t>
      </w:r>
    </w:p>
    <w:p>
      <w:pPr>
        <w:spacing w:line="360" w:lineRule="auto"/>
        <w:ind w:left="900" w:hanging="900" w:hangingChars="375"/>
        <w:rPr>
          <w:rFonts w:ascii="宋体" w:hAnsi="宋体" w:cs="宋体"/>
          <w:sz w:val="24"/>
        </w:rPr>
      </w:pPr>
      <w:r>
        <w:rPr>
          <w:rFonts w:hint="eastAsia" w:ascii="宋体" w:hAnsi="宋体" w:cs="宋体"/>
          <w:sz w:val="24"/>
        </w:rPr>
        <w:t>20.4.1  如本项目使用最低评标价法，提供相同品牌产品的不同投标人以其中通过资格审查、符合性审查且报价最低的参加评标；报价相同的，由采购人或者采购人委托评标委员会按照招标文件中评标办法规定的方式确定一个参加评标的投标人；未规定的采取随机抽取方式确定。其他投标将被认定为</w:t>
      </w:r>
      <w:r>
        <w:rPr>
          <w:rFonts w:hint="eastAsia" w:ascii="宋体" w:hAnsi="宋体" w:cs="宋体"/>
          <w:b/>
          <w:bCs/>
          <w:sz w:val="24"/>
        </w:rPr>
        <w:t>投标无效</w:t>
      </w:r>
      <w:r>
        <w:rPr>
          <w:rFonts w:hint="eastAsia" w:ascii="宋体" w:hAnsi="宋体" w:cs="宋体"/>
          <w:sz w:val="24"/>
        </w:rPr>
        <w:t>。</w:t>
      </w:r>
    </w:p>
    <w:p>
      <w:pPr>
        <w:spacing w:line="360" w:lineRule="auto"/>
        <w:ind w:left="900" w:hanging="900" w:hangingChars="375"/>
        <w:rPr>
          <w:rFonts w:ascii="宋体" w:hAnsi="宋体" w:cs="宋体"/>
          <w:sz w:val="24"/>
        </w:rPr>
      </w:pPr>
      <w:r>
        <w:rPr>
          <w:rFonts w:hint="eastAsia" w:ascii="宋体" w:hAnsi="宋体" w:cs="宋体"/>
          <w:sz w:val="24"/>
        </w:rPr>
        <w:t>20.4.2  如本项目使用综合评分法，提供相同品牌产品且通过资格审查、符合性审查的不同投标人，按一家投标人计算，评审后得分最高的同品牌投标人获得中标人推荐资格；评审得分相同的，由采购人或者采购人委托评标委员会按照招标文件中评标办法规定的方式确定一个投标人获得中标人推荐资格；未规定的采取随机抽取方式确定，其他同品牌投标人不作为中标候选人。</w:t>
      </w:r>
    </w:p>
    <w:p>
      <w:pPr>
        <w:spacing w:line="360" w:lineRule="auto"/>
        <w:ind w:left="900" w:hanging="900" w:hangingChars="375"/>
        <w:rPr>
          <w:rFonts w:ascii="宋体" w:hAnsi="宋体" w:cs="宋体"/>
          <w:sz w:val="24"/>
        </w:rPr>
      </w:pPr>
      <w:r>
        <w:rPr>
          <w:rFonts w:hint="eastAsia" w:ascii="宋体" w:hAnsi="宋体" w:cs="宋体"/>
          <w:sz w:val="24"/>
        </w:rPr>
        <w:t>20.5   如一个标段内包含多种产品的，采购人或采购代理机构将在招标文件中载明核心产品，相关投标人提供的核心产品品牌相同的，按第20.4条规定处理。</w:t>
      </w:r>
    </w:p>
    <w:p>
      <w:pPr>
        <w:spacing w:line="360" w:lineRule="auto"/>
        <w:ind w:left="900" w:hanging="900" w:hangingChars="375"/>
        <w:rPr>
          <w:rFonts w:ascii="宋体" w:hAnsi="宋体" w:cs="宋体"/>
          <w:sz w:val="24"/>
        </w:rPr>
      </w:pPr>
      <w:r>
        <w:rPr>
          <w:rFonts w:hint="eastAsia" w:ascii="宋体" w:hAnsi="宋体" w:cs="宋体"/>
          <w:sz w:val="24"/>
        </w:rPr>
        <w:t>20.6   投标人所投产品如被列入财政部与国家主管部门颁发的节能产品或环境标志产品的，应提供处于有效期之内认证证书等相关证明，在评标时予以优先采购，具体优先采购办法见第3章评标方法和标准。</w:t>
      </w:r>
    </w:p>
    <w:p>
      <w:pPr>
        <w:spacing w:line="360" w:lineRule="auto"/>
        <w:ind w:left="900" w:hanging="900" w:hangingChars="375"/>
        <w:rPr>
          <w:rFonts w:ascii="宋体" w:hAnsi="宋体" w:cs="宋体"/>
          <w:sz w:val="24"/>
        </w:rPr>
      </w:pPr>
      <w:r>
        <w:rPr>
          <w:rFonts w:hint="eastAsia" w:ascii="宋体" w:hAnsi="宋体" w:cs="宋体"/>
          <w:sz w:val="24"/>
        </w:rPr>
        <w:t xml:space="preserve">        如采购人所采购产品为政府强制采购的产品，投标人所投产品应属于品目清单的强制采购部分。投标人应提供有效期内的认证证书，否则其投标将被认定为</w:t>
      </w:r>
      <w:r>
        <w:rPr>
          <w:rFonts w:hint="eastAsia" w:ascii="宋体" w:hAnsi="宋体" w:cs="宋体"/>
          <w:b/>
          <w:sz w:val="24"/>
        </w:rPr>
        <w:t>投标无效</w:t>
      </w:r>
      <w:r>
        <w:rPr>
          <w:rFonts w:hint="eastAsia" w:ascii="宋体" w:hAnsi="宋体" w:cs="宋体"/>
          <w:sz w:val="24"/>
        </w:rPr>
        <w:t>。</w:t>
      </w:r>
    </w:p>
    <w:p>
      <w:pPr>
        <w:spacing w:line="360" w:lineRule="auto"/>
        <w:ind w:left="957" w:leftChars="456" w:firstLine="60" w:firstLineChars="25"/>
        <w:rPr>
          <w:rFonts w:ascii="宋体" w:hAnsi="宋体" w:cs="宋体"/>
          <w:sz w:val="24"/>
        </w:rPr>
      </w:pPr>
      <w:r>
        <w:rPr>
          <w:rFonts w:hint="eastAsia" w:ascii="宋体" w:hAnsi="宋体" w:cs="宋体"/>
          <w:sz w:val="24"/>
        </w:rPr>
        <w:t>如采购人所采购产品属于信息安全产品的，投标人所投产品应为经国家认证的信息安全产品，并提供由中国信息安全认证中心按国家标准认证颁发的有效认证证书，否则其投标将被认定为投标无效。</w:t>
      </w:r>
    </w:p>
    <w:p>
      <w:pPr>
        <w:pStyle w:val="5"/>
        <w:ind w:firstLine="0" w:firstLineChars="0"/>
        <w:jc w:val="both"/>
        <w:rPr>
          <w:rFonts w:asciiTheme="minorEastAsia" w:hAnsiTheme="minorEastAsia" w:eastAsiaTheme="minorEastAsia"/>
          <w:kern w:val="2"/>
          <w:sz w:val="24"/>
          <w:szCs w:val="24"/>
        </w:rPr>
      </w:pPr>
      <w:r>
        <w:rPr>
          <w:rFonts w:asciiTheme="minorEastAsia" w:hAnsiTheme="minorEastAsia" w:eastAsiaTheme="minorEastAsia"/>
          <w:kern w:val="2"/>
          <w:sz w:val="24"/>
          <w:szCs w:val="24"/>
        </w:rPr>
        <w:t>21.    投标偏离</w:t>
      </w:r>
      <w:bookmarkEnd w:id="181"/>
      <w:bookmarkEnd w:id="182"/>
      <w:bookmarkEnd w:id="183"/>
      <w:bookmarkEnd w:id="184"/>
      <w:bookmarkEnd w:id="185"/>
    </w:p>
    <w:p>
      <w:pPr>
        <w:spacing w:line="360" w:lineRule="auto"/>
        <w:ind w:firstLine="840" w:firstLineChars="350"/>
        <w:rPr>
          <w:rFonts w:asciiTheme="minorEastAsia" w:hAnsiTheme="minorEastAsia" w:eastAsiaTheme="minorEastAsia"/>
          <w:sz w:val="24"/>
        </w:rPr>
      </w:pPr>
      <w:r>
        <w:rPr>
          <w:rFonts w:asciiTheme="minorEastAsia" w:hAnsiTheme="minorEastAsia" w:eastAsiaTheme="minorEastAsia"/>
          <w:sz w:val="24"/>
        </w:rPr>
        <w:t>投标文件中存在对招标文件的实质性负偏离，其投标将被认定为</w:t>
      </w:r>
      <w:r>
        <w:rPr>
          <w:rFonts w:asciiTheme="minorEastAsia" w:hAnsiTheme="minorEastAsia" w:eastAsiaTheme="minorEastAsia"/>
          <w:b/>
          <w:bCs/>
          <w:sz w:val="24"/>
        </w:rPr>
        <w:t>投标无效</w:t>
      </w:r>
      <w:r>
        <w:rPr>
          <w:rFonts w:asciiTheme="minorEastAsia" w:hAnsiTheme="minorEastAsia" w:eastAsiaTheme="minorEastAsia"/>
          <w:sz w:val="24"/>
        </w:rPr>
        <w:t>。</w:t>
      </w:r>
    </w:p>
    <w:p>
      <w:pPr>
        <w:pStyle w:val="5"/>
        <w:ind w:firstLine="0" w:firstLineChars="0"/>
        <w:jc w:val="both"/>
        <w:rPr>
          <w:rFonts w:asciiTheme="minorEastAsia" w:hAnsiTheme="minorEastAsia" w:eastAsiaTheme="minorEastAsia"/>
          <w:sz w:val="24"/>
          <w:szCs w:val="24"/>
        </w:rPr>
      </w:pPr>
      <w:bookmarkStart w:id="186" w:name="_Toc515647783"/>
      <w:bookmarkStart w:id="187" w:name="_Toc532473475"/>
      <w:bookmarkStart w:id="188" w:name="_Toc4950"/>
      <w:bookmarkStart w:id="189" w:name="_Toc6092"/>
      <w:bookmarkStart w:id="190" w:name="_Toc108721116"/>
      <w:r>
        <w:rPr>
          <w:rFonts w:asciiTheme="minorEastAsia" w:hAnsiTheme="minorEastAsia" w:eastAsiaTheme="minorEastAsia"/>
          <w:sz w:val="24"/>
          <w:szCs w:val="24"/>
        </w:rPr>
        <w:t>22.    投标</w:t>
      </w:r>
      <w:bookmarkEnd w:id="186"/>
      <w:r>
        <w:rPr>
          <w:rFonts w:asciiTheme="minorEastAsia" w:hAnsiTheme="minorEastAsia" w:eastAsiaTheme="minorEastAsia"/>
          <w:sz w:val="24"/>
          <w:szCs w:val="24"/>
        </w:rPr>
        <w:t>无效</w:t>
      </w:r>
      <w:bookmarkEnd w:id="187"/>
      <w:bookmarkEnd w:id="188"/>
      <w:bookmarkEnd w:id="189"/>
      <w:bookmarkEnd w:id="190"/>
    </w:p>
    <w:p>
      <w:pPr>
        <w:spacing w:line="360" w:lineRule="auto"/>
        <w:ind w:left="852" w:leftChars="-23" w:hanging="900" w:hangingChars="375"/>
        <w:rPr>
          <w:rFonts w:asciiTheme="minorEastAsia" w:hAnsiTheme="minorEastAsia" w:eastAsiaTheme="minorEastAsia"/>
          <w:sz w:val="24"/>
        </w:rPr>
      </w:pPr>
      <w:r>
        <w:rPr>
          <w:rFonts w:asciiTheme="minorEastAsia" w:hAnsiTheme="minorEastAsia" w:eastAsiaTheme="minorEastAsia"/>
          <w:sz w:val="24"/>
        </w:rPr>
        <w:t>22.1   在比较与评价之前，根据招标文件的规定，评标委员会要审查每份投标文件是否响应了招标文件的要求。投标人不得通过修正或撤销不符合要求的偏离，从而使其投标成为实质上响应的投标。</w:t>
      </w:r>
    </w:p>
    <w:p>
      <w:pPr>
        <w:spacing w:line="360" w:lineRule="auto"/>
        <w:ind w:left="791" w:leftChars="377"/>
        <w:rPr>
          <w:rFonts w:asciiTheme="minorEastAsia" w:hAnsiTheme="minorEastAsia" w:eastAsiaTheme="minorEastAsia"/>
          <w:sz w:val="24"/>
        </w:rPr>
      </w:pPr>
      <w:r>
        <w:rPr>
          <w:rFonts w:asciiTheme="minorEastAsia" w:hAnsiTheme="minorEastAsia" w:eastAsiaTheme="minorEastAsia"/>
          <w:sz w:val="24"/>
        </w:rPr>
        <w:t>评标委员会决定投标的响应性只根据招标文件要求和投标文件内容。</w:t>
      </w:r>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22.2   如发现下列情况之一的，其投标将被认定为</w:t>
      </w:r>
      <w:r>
        <w:rPr>
          <w:rFonts w:asciiTheme="minorEastAsia" w:hAnsiTheme="minorEastAsia" w:eastAsiaTheme="minorEastAsia"/>
          <w:b/>
          <w:bCs/>
          <w:sz w:val="24"/>
        </w:rPr>
        <w:t>投标无效</w:t>
      </w:r>
      <w:r>
        <w:rPr>
          <w:rFonts w:asciiTheme="minorEastAsia" w:hAnsiTheme="minorEastAsia" w:eastAsiaTheme="minorEastAsia"/>
          <w:sz w:val="24"/>
        </w:rPr>
        <w:t>：</w:t>
      </w:r>
    </w:p>
    <w:p>
      <w:pPr>
        <w:spacing w:line="360" w:lineRule="auto"/>
        <w:ind w:left="840"/>
        <w:rPr>
          <w:rFonts w:asciiTheme="minorEastAsia" w:hAnsiTheme="minorEastAsia" w:eastAsiaTheme="minorEastAsia"/>
          <w:sz w:val="24"/>
        </w:rPr>
      </w:pPr>
      <w:r>
        <w:rPr>
          <w:rFonts w:asciiTheme="minorEastAsia" w:hAnsiTheme="minorEastAsia" w:eastAsiaTheme="minorEastAsia"/>
          <w:sz w:val="24"/>
        </w:rPr>
        <w:t>（1）未按照招标文件规定要求签署、盖章的；</w:t>
      </w:r>
    </w:p>
    <w:p>
      <w:pPr>
        <w:spacing w:line="360" w:lineRule="auto"/>
        <w:ind w:left="840"/>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2</w:t>
      </w:r>
      <w:r>
        <w:rPr>
          <w:rFonts w:asciiTheme="minorEastAsia" w:hAnsiTheme="minorEastAsia" w:eastAsiaTheme="minorEastAsia"/>
          <w:sz w:val="24"/>
        </w:rPr>
        <w:t>）未满足招标文件中商务和技术条款的实质性要求；</w:t>
      </w:r>
    </w:p>
    <w:p>
      <w:pPr>
        <w:spacing w:line="360" w:lineRule="auto"/>
        <w:ind w:left="840"/>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3</w:t>
      </w:r>
      <w:r>
        <w:rPr>
          <w:rFonts w:asciiTheme="minorEastAsia" w:hAnsiTheme="minorEastAsia" w:eastAsiaTheme="minorEastAsia"/>
          <w:sz w:val="24"/>
        </w:rPr>
        <w:t>）属于串通投标，或者依法被视为串通投标；</w:t>
      </w:r>
    </w:p>
    <w:p>
      <w:pPr>
        <w:spacing w:line="360" w:lineRule="auto"/>
        <w:ind w:left="840"/>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）评标委员会认为投标人的报价明显低于其他通过符合性审查投标人的报价，有可能影响履约的，且投标人未按照规定证明其报价合理性的；</w:t>
      </w:r>
    </w:p>
    <w:p>
      <w:pPr>
        <w:spacing w:line="360" w:lineRule="auto"/>
        <w:ind w:left="840"/>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）投标文件含有采购人不能接受的附加条件的；</w:t>
      </w:r>
    </w:p>
    <w:p>
      <w:pPr>
        <w:spacing w:line="360" w:lineRule="auto"/>
        <w:ind w:left="840"/>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6</w:t>
      </w:r>
      <w:r>
        <w:rPr>
          <w:rFonts w:asciiTheme="minorEastAsia" w:hAnsiTheme="minorEastAsia" w:eastAsiaTheme="minorEastAsia"/>
          <w:sz w:val="24"/>
        </w:rPr>
        <w:t>）属于招标文件规定的其他投标无效情形；</w:t>
      </w:r>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7</w:t>
      </w:r>
      <w:r>
        <w:rPr>
          <w:rFonts w:asciiTheme="minorEastAsia" w:hAnsiTheme="minorEastAsia" w:eastAsiaTheme="minorEastAsia"/>
          <w:sz w:val="24"/>
        </w:rPr>
        <w:t>）不符合法规和招标文件中规定的其他实质性要求的。</w:t>
      </w:r>
    </w:p>
    <w:p>
      <w:pPr>
        <w:spacing w:line="360" w:lineRule="auto"/>
        <w:ind w:left="900" w:hanging="900" w:hangingChars="375"/>
        <w:rPr>
          <w:rFonts w:ascii="宋体" w:hAnsi="宋体" w:cs="宋体"/>
          <w:sz w:val="24"/>
        </w:rPr>
      </w:pPr>
      <w:r>
        <w:rPr>
          <w:rFonts w:hint="eastAsia" w:ascii="宋体" w:hAnsi="宋体" w:cs="宋体"/>
          <w:sz w:val="24"/>
        </w:rPr>
        <w:t>22.3</w:t>
      </w:r>
      <w:r>
        <w:rPr>
          <w:rFonts w:hint="eastAsia" w:ascii="宋体" w:hAnsi="宋体" w:cs="宋体"/>
          <w:sz w:val="24"/>
        </w:rPr>
        <w:tab/>
      </w:r>
      <w:r>
        <w:rPr>
          <w:rFonts w:hint="eastAsia" w:ascii="宋体" w:hAnsi="宋体" w:cs="宋体"/>
          <w:sz w:val="24"/>
        </w:rPr>
        <w:t>有下列情形之一的，视为投标人串通投标，其</w:t>
      </w:r>
      <w:r>
        <w:rPr>
          <w:rFonts w:hint="eastAsia" w:ascii="宋体" w:hAnsi="宋体" w:cs="宋体"/>
          <w:b/>
          <w:bCs/>
          <w:sz w:val="24"/>
        </w:rPr>
        <w:t>投标无效</w:t>
      </w:r>
      <w:r>
        <w:rPr>
          <w:rFonts w:hint="eastAsia" w:ascii="宋体" w:hAnsi="宋体" w:cs="宋体"/>
          <w:sz w:val="24"/>
        </w:rPr>
        <w:t>：</w:t>
      </w:r>
    </w:p>
    <w:p>
      <w:pPr>
        <w:numPr>
          <w:ilvl w:val="0"/>
          <w:numId w:val="2"/>
        </w:numPr>
        <w:spacing w:line="360" w:lineRule="auto"/>
        <w:rPr>
          <w:rFonts w:ascii="宋体" w:hAnsi="宋体" w:cs="宋体"/>
          <w:sz w:val="24"/>
        </w:rPr>
      </w:pPr>
      <w:r>
        <w:rPr>
          <w:rFonts w:hint="eastAsia" w:ascii="宋体" w:hAnsi="宋体" w:cs="宋体"/>
          <w:sz w:val="24"/>
        </w:rPr>
        <w:t>不同投标人的投标文件由同一单位或者个人编制；</w:t>
      </w:r>
    </w:p>
    <w:p>
      <w:pPr>
        <w:numPr>
          <w:ilvl w:val="0"/>
          <w:numId w:val="2"/>
        </w:numPr>
        <w:spacing w:line="360" w:lineRule="auto"/>
        <w:rPr>
          <w:rFonts w:ascii="宋体" w:hAnsi="宋体" w:cs="宋体"/>
          <w:sz w:val="24"/>
        </w:rPr>
      </w:pPr>
      <w:r>
        <w:rPr>
          <w:rFonts w:hint="eastAsia" w:ascii="宋体" w:hAnsi="宋体" w:cs="宋体"/>
          <w:sz w:val="24"/>
        </w:rPr>
        <w:t>不同投标人委托同一单位或者个人办理投标事宜；</w:t>
      </w:r>
    </w:p>
    <w:p>
      <w:pPr>
        <w:numPr>
          <w:ilvl w:val="0"/>
          <w:numId w:val="2"/>
        </w:numPr>
        <w:spacing w:line="360" w:lineRule="auto"/>
        <w:rPr>
          <w:rFonts w:ascii="宋体" w:hAnsi="宋体" w:cs="宋体"/>
          <w:sz w:val="24"/>
        </w:rPr>
      </w:pPr>
      <w:r>
        <w:rPr>
          <w:rFonts w:hint="eastAsia" w:ascii="宋体" w:hAnsi="宋体" w:cs="宋体"/>
          <w:sz w:val="24"/>
        </w:rPr>
        <w:t>不同投标人的投标文件载明的项目管理成员或者联系人员为同一人；</w:t>
      </w:r>
    </w:p>
    <w:p>
      <w:pPr>
        <w:numPr>
          <w:ilvl w:val="0"/>
          <w:numId w:val="2"/>
        </w:numPr>
        <w:spacing w:line="360" w:lineRule="auto"/>
        <w:rPr>
          <w:rFonts w:ascii="宋体" w:hAnsi="宋体" w:cs="宋体"/>
          <w:sz w:val="24"/>
        </w:rPr>
      </w:pPr>
      <w:r>
        <w:rPr>
          <w:rFonts w:hint="eastAsia" w:ascii="宋体" w:hAnsi="宋体" w:cs="宋体"/>
          <w:sz w:val="24"/>
        </w:rPr>
        <w:t>不同投标人的投标文件异常一致或者投标报价呈规律性差异；</w:t>
      </w:r>
    </w:p>
    <w:p>
      <w:pPr>
        <w:numPr>
          <w:ilvl w:val="0"/>
          <w:numId w:val="2"/>
        </w:numPr>
        <w:spacing w:line="360" w:lineRule="auto"/>
        <w:rPr>
          <w:rFonts w:ascii="宋体" w:hAnsi="宋体" w:cs="宋体"/>
          <w:sz w:val="24"/>
        </w:rPr>
      </w:pPr>
      <w:r>
        <w:rPr>
          <w:rFonts w:hint="eastAsia" w:ascii="宋体" w:hAnsi="宋体" w:cs="宋体"/>
          <w:sz w:val="24"/>
        </w:rPr>
        <w:t>不同投标人的投标文件相互混装；</w:t>
      </w:r>
    </w:p>
    <w:p>
      <w:pPr>
        <w:spacing w:line="360" w:lineRule="auto"/>
        <w:ind w:left="840"/>
        <w:rPr>
          <w:rFonts w:ascii="宋体" w:hAnsi="宋体" w:cs="宋体"/>
          <w:sz w:val="24"/>
        </w:rPr>
      </w:pPr>
      <w:r>
        <w:rPr>
          <w:rFonts w:hint="eastAsia" w:ascii="宋体" w:hAnsi="宋体" w:cs="宋体"/>
          <w:sz w:val="24"/>
        </w:rPr>
        <w:t>（6）不同投标人的投标保证金从同一单位或者个人的账户转出。</w:t>
      </w:r>
    </w:p>
    <w:bookmarkEnd w:id="180"/>
    <w:p>
      <w:pPr>
        <w:pStyle w:val="5"/>
        <w:ind w:firstLine="0" w:firstLineChars="0"/>
        <w:jc w:val="both"/>
        <w:rPr>
          <w:rFonts w:asciiTheme="minorEastAsia" w:hAnsiTheme="minorEastAsia" w:eastAsiaTheme="minorEastAsia"/>
          <w:sz w:val="24"/>
          <w:szCs w:val="24"/>
        </w:rPr>
      </w:pPr>
      <w:bookmarkStart w:id="191" w:name="_Toc532473476"/>
      <w:bookmarkStart w:id="192" w:name="_Toc515647784"/>
      <w:bookmarkStart w:id="193" w:name="_Toc22941"/>
      <w:bookmarkStart w:id="194" w:name="_Toc108721117"/>
      <w:bookmarkStart w:id="195" w:name="_Toc13652"/>
      <w:r>
        <w:rPr>
          <w:rFonts w:asciiTheme="minorEastAsia" w:hAnsiTheme="minorEastAsia" w:eastAsiaTheme="minorEastAsia"/>
          <w:sz w:val="24"/>
          <w:szCs w:val="24"/>
        </w:rPr>
        <w:t>23.    比较与评价</w:t>
      </w:r>
      <w:bookmarkEnd w:id="191"/>
      <w:bookmarkEnd w:id="192"/>
      <w:bookmarkEnd w:id="193"/>
      <w:bookmarkEnd w:id="194"/>
      <w:bookmarkEnd w:id="195"/>
    </w:p>
    <w:p>
      <w:pPr>
        <w:spacing w:line="360" w:lineRule="auto"/>
        <w:ind w:left="840" w:hanging="840" w:hangingChars="350"/>
        <w:rPr>
          <w:rFonts w:asciiTheme="minorEastAsia" w:hAnsiTheme="minorEastAsia" w:eastAsiaTheme="minorEastAsia"/>
          <w:sz w:val="24"/>
        </w:rPr>
      </w:pPr>
      <w:r>
        <w:rPr>
          <w:rFonts w:asciiTheme="minorEastAsia" w:hAnsiTheme="minorEastAsia" w:eastAsiaTheme="minorEastAsia"/>
          <w:sz w:val="24"/>
        </w:rPr>
        <w:t>23.1   经符合性审查合格的投标文件，评标委员会将根据招标文件确定的评标方法和标准，对其技术部分和商务部分作进一步的比较和评价。</w:t>
      </w:r>
    </w:p>
    <w:p>
      <w:pPr>
        <w:spacing w:line="360" w:lineRule="auto"/>
        <w:ind w:left="840" w:hanging="840" w:hangingChars="350"/>
        <w:rPr>
          <w:rFonts w:asciiTheme="minorEastAsia" w:hAnsiTheme="minorEastAsia" w:eastAsiaTheme="minorEastAsia"/>
          <w:sz w:val="24"/>
        </w:rPr>
      </w:pPr>
      <w:r>
        <w:rPr>
          <w:rFonts w:asciiTheme="minorEastAsia" w:hAnsiTheme="minorEastAsia" w:eastAsiaTheme="minorEastAsia"/>
          <w:sz w:val="24"/>
        </w:rPr>
        <w:t>23.2   评标严格按照招标文件的要求和条件进行。根据实际情况，在</w:t>
      </w:r>
      <w:r>
        <w:rPr>
          <w:rFonts w:asciiTheme="minorEastAsia" w:hAnsiTheme="minorEastAsia" w:eastAsiaTheme="minorEastAsia"/>
          <w:sz w:val="24"/>
          <w:u w:val="single"/>
        </w:rPr>
        <w:t>投标人须知前附表</w:t>
      </w:r>
      <w:r>
        <w:rPr>
          <w:rFonts w:asciiTheme="minorEastAsia" w:hAnsiTheme="minorEastAsia" w:eastAsiaTheme="minorEastAsia"/>
          <w:sz w:val="24"/>
        </w:rPr>
        <w:t>中规定采用下列一种评标方法，详细评标标准见招标文件第三章：</w:t>
      </w:r>
    </w:p>
    <w:p>
      <w:pPr>
        <w:pStyle w:val="16"/>
        <w:spacing w:line="360" w:lineRule="auto"/>
        <w:ind w:left="840" w:leftChars="400"/>
        <w:rPr>
          <w:rFonts w:asciiTheme="minorEastAsia" w:hAnsiTheme="minorEastAsia" w:eastAsiaTheme="minorEastAsia"/>
          <w:sz w:val="24"/>
          <w:szCs w:val="24"/>
        </w:rPr>
      </w:pPr>
      <w:r>
        <w:rPr>
          <w:rFonts w:asciiTheme="minorEastAsia" w:hAnsiTheme="minorEastAsia" w:eastAsiaTheme="minorEastAsia"/>
          <w:sz w:val="24"/>
          <w:szCs w:val="24"/>
        </w:rPr>
        <w:t>（1）最低评标价法，是指投标文件满足招标文件全部要求，且投标报价最低的投标人为中标候选人的评标方法。</w:t>
      </w:r>
    </w:p>
    <w:p>
      <w:pPr>
        <w:pStyle w:val="16"/>
        <w:spacing w:line="360" w:lineRule="auto"/>
        <w:ind w:left="840" w:leftChars="400"/>
        <w:rPr>
          <w:rFonts w:asciiTheme="minorEastAsia" w:hAnsiTheme="minorEastAsia" w:eastAsiaTheme="minorEastAsia"/>
          <w:sz w:val="24"/>
          <w:szCs w:val="24"/>
        </w:rPr>
      </w:pPr>
      <w:r>
        <w:rPr>
          <w:rFonts w:asciiTheme="minorEastAsia" w:hAnsiTheme="minorEastAsia" w:eastAsiaTheme="minorEastAsia"/>
          <w:sz w:val="24"/>
          <w:szCs w:val="24"/>
        </w:rPr>
        <w:t>（2）综合评分法，是指投标文件满足招标文件全部要求，且按照评审因素的量</w:t>
      </w:r>
    </w:p>
    <w:p>
      <w:pPr>
        <w:pStyle w:val="16"/>
        <w:spacing w:line="360" w:lineRule="auto"/>
        <w:ind w:left="840" w:leftChars="400"/>
        <w:rPr>
          <w:rFonts w:asciiTheme="minorEastAsia" w:hAnsiTheme="minorEastAsia" w:eastAsiaTheme="minorEastAsia"/>
          <w:sz w:val="24"/>
          <w:szCs w:val="24"/>
        </w:rPr>
      </w:pPr>
      <w:r>
        <w:rPr>
          <w:rFonts w:asciiTheme="minorEastAsia" w:hAnsiTheme="minorEastAsia" w:eastAsiaTheme="minorEastAsia"/>
          <w:sz w:val="24"/>
          <w:szCs w:val="24"/>
        </w:rPr>
        <w:t>化指标评审得分最高的投标人为中标候选人的评标方法。</w:t>
      </w:r>
    </w:p>
    <w:p>
      <w:pPr>
        <w:pStyle w:val="16"/>
        <w:spacing w:line="360" w:lineRule="auto"/>
        <w:ind w:left="900" w:hanging="900" w:hangingChars="375"/>
        <w:rPr>
          <w:rFonts w:asciiTheme="minorEastAsia" w:hAnsiTheme="minorEastAsia" w:eastAsiaTheme="minorEastAsia"/>
          <w:sz w:val="24"/>
          <w:szCs w:val="24"/>
        </w:rPr>
      </w:pPr>
      <w:r>
        <w:rPr>
          <w:rFonts w:asciiTheme="minorEastAsia" w:hAnsiTheme="minorEastAsia" w:eastAsiaTheme="minorEastAsia"/>
          <w:sz w:val="24"/>
          <w:szCs w:val="24"/>
        </w:rPr>
        <w:t>23.3   根据《关于进一步加大政府采购支持中小企业力度的通知》（财库〔2022〕19号）、《政府采购促进中小企业发展办法》（财库〔2020〕46号）、《财政部司法部关于政府采购支持监狱企业发展有关问题的通知》（财库〔2014〕68号）和《三部门联合发布关于促进残疾人就业政府采购政策的通知》（</w:t>
      </w:r>
      <w:bookmarkStart w:id="196" w:name="sendNo"/>
      <w:r>
        <w:rPr>
          <w:rFonts w:asciiTheme="minorEastAsia" w:hAnsiTheme="minorEastAsia" w:eastAsiaTheme="minorEastAsia"/>
          <w:bCs/>
          <w:sz w:val="24"/>
          <w:szCs w:val="24"/>
        </w:rPr>
        <w:t>财库〔</w:t>
      </w:r>
      <w:bookmarkEnd w:id="196"/>
      <w:r>
        <w:rPr>
          <w:rFonts w:asciiTheme="minorEastAsia" w:hAnsiTheme="minorEastAsia" w:eastAsiaTheme="minorEastAsia"/>
          <w:bCs/>
          <w:sz w:val="24"/>
          <w:szCs w:val="24"/>
        </w:rPr>
        <w:t>2017〕141号</w:t>
      </w:r>
      <w:r>
        <w:rPr>
          <w:rFonts w:asciiTheme="minorEastAsia" w:hAnsiTheme="minorEastAsia" w:eastAsiaTheme="minorEastAsia"/>
          <w:sz w:val="24"/>
          <w:szCs w:val="24"/>
        </w:rPr>
        <w:t>）的规定，对满足价格扣除条件且在投标文件中提交了《投标人企业类型声明函》、《残疾人福利性单位声明函》或省级以上监狱管理局、戒毒管理局（含新疆生产建设兵团）出具的属于监狱企业的证明文件的投标人，</w:t>
      </w:r>
      <w:r>
        <w:rPr>
          <w:rFonts w:asciiTheme="minorEastAsia" w:hAnsiTheme="minorEastAsia" w:eastAsiaTheme="minorEastAsia"/>
          <w:sz w:val="24"/>
        </w:rPr>
        <w:t>其投标报价按规定扣除后参与评审</w:t>
      </w:r>
      <w:r>
        <w:rPr>
          <w:rFonts w:hint="eastAsia" w:asciiTheme="minorEastAsia" w:hAnsiTheme="minorEastAsia" w:eastAsiaTheme="minorEastAsia"/>
          <w:sz w:val="24"/>
          <w:szCs w:val="24"/>
        </w:rPr>
        <w:t>(如为专门面向中小企业的采购项目（或采购包），不执行价格扣除或加分)</w:t>
      </w:r>
      <w:r>
        <w:rPr>
          <w:rFonts w:asciiTheme="minorEastAsia" w:hAnsiTheme="minorEastAsia" w:eastAsiaTheme="minorEastAsia"/>
          <w:sz w:val="24"/>
          <w:szCs w:val="24"/>
        </w:rPr>
        <w:t>。具体办法详见招标文件第三章。</w:t>
      </w:r>
    </w:p>
    <w:p>
      <w:pPr>
        <w:pStyle w:val="16"/>
        <w:spacing w:line="360" w:lineRule="auto"/>
        <w:ind w:left="900" w:hanging="900" w:hangingChars="375"/>
        <w:rPr>
          <w:rFonts w:asciiTheme="minorEastAsia" w:hAnsiTheme="minorEastAsia" w:eastAsiaTheme="minorEastAsia"/>
          <w:sz w:val="24"/>
          <w:szCs w:val="24"/>
        </w:rPr>
      </w:pPr>
      <w:r>
        <w:rPr>
          <w:rFonts w:asciiTheme="minorEastAsia" w:hAnsiTheme="minorEastAsia" w:eastAsiaTheme="minorEastAsia"/>
          <w:sz w:val="24"/>
          <w:szCs w:val="24"/>
        </w:rPr>
        <w:t>23.4   落实其他政府采购政策条款。具体办法详见招标文件第三章。</w:t>
      </w:r>
    </w:p>
    <w:p>
      <w:pPr>
        <w:pStyle w:val="5"/>
        <w:ind w:firstLine="0" w:firstLineChars="0"/>
        <w:jc w:val="both"/>
        <w:rPr>
          <w:rFonts w:asciiTheme="minorEastAsia" w:hAnsiTheme="minorEastAsia" w:eastAsiaTheme="minorEastAsia"/>
          <w:sz w:val="24"/>
          <w:szCs w:val="24"/>
        </w:rPr>
      </w:pPr>
      <w:bookmarkStart w:id="197" w:name="_Toc520356168"/>
      <w:bookmarkStart w:id="198" w:name="_Toc532473477"/>
      <w:bookmarkStart w:id="199" w:name="_Toc108721118"/>
      <w:bookmarkStart w:id="200" w:name="_Toc515647785"/>
      <w:bookmarkStart w:id="201" w:name="_Toc9378"/>
      <w:bookmarkStart w:id="202" w:name="_Toc20227"/>
      <w:r>
        <w:rPr>
          <w:rFonts w:asciiTheme="minorEastAsia" w:hAnsiTheme="minorEastAsia" w:eastAsiaTheme="minorEastAsia"/>
          <w:sz w:val="24"/>
          <w:szCs w:val="24"/>
        </w:rPr>
        <w:t>24</w:t>
      </w:r>
      <w:bookmarkEnd w:id="197"/>
      <w:r>
        <w:rPr>
          <w:rFonts w:asciiTheme="minorEastAsia" w:hAnsiTheme="minorEastAsia" w:eastAsiaTheme="minorEastAsia"/>
          <w:sz w:val="24"/>
          <w:szCs w:val="24"/>
        </w:rPr>
        <w:t>.    废标</w:t>
      </w:r>
      <w:bookmarkEnd w:id="198"/>
      <w:bookmarkEnd w:id="199"/>
      <w:bookmarkEnd w:id="200"/>
      <w:bookmarkEnd w:id="201"/>
      <w:bookmarkEnd w:id="202"/>
    </w:p>
    <w:p>
      <w:pPr>
        <w:spacing w:line="360" w:lineRule="auto"/>
        <w:ind w:left="897" w:leftChars="399" w:hanging="60" w:hangingChars="25"/>
        <w:rPr>
          <w:rFonts w:asciiTheme="minorEastAsia" w:hAnsiTheme="minorEastAsia" w:eastAsiaTheme="minorEastAsia"/>
          <w:sz w:val="24"/>
        </w:rPr>
      </w:pPr>
      <w:r>
        <w:rPr>
          <w:rFonts w:asciiTheme="minorEastAsia" w:hAnsiTheme="minorEastAsia" w:eastAsiaTheme="minorEastAsia"/>
          <w:sz w:val="24"/>
        </w:rPr>
        <w:t>出现下列情形之一，将导致项目废标：</w:t>
      </w:r>
    </w:p>
    <w:p>
      <w:pPr>
        <w:spacing w:line="360" w:lineRule="auto"/>
        <w:ind w:left="837" w:leftChars="399"/>
        <w:rPr>
          <w:rFonts w:asciiTheme="minorEastAsia" w:hAnsiTheme="minorEastAsia" w:eastAsiaTheme="minorEastAsia"/>
          <w:sz w:val="24"/>
        </w:rPr>
      </w:pPr>
      <w:r>
        <w:rPr>
          <w:rFonts w:asciiTheme="minorEastAsia" w:hAnsiTheme="minorEastAsia" w:eastAsiaTheme="minorEastAsia"/>
          <w:sz w:val="24"/>
        </w:rPr>
        <w:t>（1）符合专业条件的供应商或者对招标文件做实质性响应的供应商不足三家；</w:t>
      </w:r>
    </w:p>
    <w:p>
      <w:pPr>
        <w:spacing w:line="360" w:lineRule="auto"/>
        <w:ind w:left="837" w:leftChars="399"/>
        <w:rPr>
          <w:rFonts w:asciiTheme="minorEastAsia" w:hAnsiTheme="minorEastAsia" w:eastAsiaTheme="minorEastAsia"/>
          <w:sz w:val="24"/>
        </w:rPr>
      </w:pPr>
      <w:r>
        <w:rPr>
          <w:rFonts w:asciiTheme="minorEastAsia" w:hAnsiTheme="minorEastAsia" w:eastAsiaTheme="minorEastAsia"/>
          <w:sz w:val="24"/>
        </w:rPr>
        <w:t>（2）出现影响采购公正的违法、违规行为的；</w:t>
      </w:r>
    </w:p>
    <w:p>
      <w:pPr>
        <w:spacing w:line="360" w:lineRule="auto"/>
        <w:ind w:left="837" w:leftChars="399"/>
        <w:rPr>
          <w:rFonts w:asciiTheme="minorEastAsia" w:hAnsiTheme="minorEastAsia" w:eastAsiaTheme="minorEastAsia"/>
          <w:sz w:val="24"/>
        </w:rPr>
      </w:pPr>
      <w:r>
        <w:rPr>
          <w:rFonts w:asciiTheme="minorEastAsia" w:hAnsiTheme="minorEastAsia" w:eastAsiaTheme="minorEastAsia"/>
          <w:sz w:val="24"/>
        </w:rPr>
        <w:t>（3）投标人的报价均超过了采购预算，采购人不能支付的；</w:t>
      </w:r>
    </w:p>
    <w:p>
      <w:pPr>
        <w:spacing w:line="360" w:lineRule="auto"/>
        <w:ind w:left="837" w:leftChars="399"/>
        <w:rPr>
          <w:rFonts w:asciiTheme="minorEastAsia" w:hAnsiTheme="minorEastAsia" w:eastAsiaTheme="minorEastAsia"/>
          <w:sz w:val="24"/>
        </w:rPr>
      </w:pPr>
      <w:r>
        <w:rPr>
          <w:rFonts w:asciiTheme="minorEastAsia" w:hAnsiTheme="minorEastAsia" w:eastAsiaTheme="minorEastAsia"/>
          <w:sz w:val="24"/>
        </w:rPr>
        <w:t>（4）因重大变故，采购任务取消的。</w:t>
      </w:r>
    </w:p>
    <w:p>
      <w:pPr>
        <w:pStyle w:val="5"/>
        <w:ind w:firstLine="0" w:firstLineChars="0"/>
        <w:jc w:val="both"/>
        <w:rPr>
          <w:rFonts w:asciiTheme="minorEastAsia" w:hAnsiTheme="minorEastAsia" w:eastAsiaTheme="minorEastAsia"/>
          <w:sz w:val="24"/>
          <w:szCs w:val="24"/>
        </w:rPr>
      </w:pPr>
      <w:bookmarkStart w:id="203" w:name="_Toc515647786"/>
      <w:bookmarkStart w:id="204" w:name="_Toc31289"/>
      <w:bookmarkStart w:id="205" w:name="_Toc24972"/>
      <w:bookmarkStart w:id="206" w:name="_Toc532473478"/>
      <w:bookmarkStart w:id="207" w:name="_Toc108721119"/>
      <w:bookmarkStart w:id="208" w:name="_Toc520356169"/>
      <w:r>
        <w:rPr>
          <w:rFonts w:asciiTheme="minorEastAsia" w:hAnsiTheme="minorEastAsia" w:eastAsiaTheme="minorEastAsia"/>
          <w:sz w:val="24"/>
          <w:szCs w:val="24"/>
        </w:rPr>
        <w:t>25.    保密</w:t>
      </w:r>
      <w:bookmarkEnd w:id="203"/>
      <w:bookmarkEnd w:id="204"/>
      <w:bookmarkEnd w:id="205"/>
      <w:r>
        <w:rPr>
          <w:rFonts w:asciiTheme="minorEastAsia" w:hAnsiTheme="minorEastAsia" w:eastAsiaTheme="minorEastAsia"/>
          <w:sz w:val="24"/>
          <w:szCs w:val="24"/>
        </w:rPr>
        <w:t>要求</w:t>
      </w:r>
      <w:bookmarkEnd w:id="206"/>
      <w:bookmarkEnd w:id="207"/>
    </w:p>
    <w:p>
      <w:pPr>
        <w:spacing w:line="360" w:lineRule="auto"/>
        <w:ind w:left="840" w:hanging="840" w:hangingChars="350"/>
        <w:rPr>
          <w:rFonts w:asciiTheme="minorEastAsia" w:hAnsiTheme="minorEastAsia" w:eastAsiaTheme="minorEastAsia"/>
          <w:sz w:val="24"/>
        </w:rPr>
      </w:pPr>
      <w:r>
        <w:rPr>
          <w:rFonts w:asciiTheme="minorEastAsia" w:hAnsiTheme="minorEastAsia" w:eastAsiaTheme="minorEastAsia"/>
          <w:sz w:val="24"/>
        </w:rPr>
        <w:t>25.1   评标将在严格保密的情况下进行。</w:t>
      </w:r>
    </w:p>
    <w:p>
      <w:pPr>
        <w:spacing w:line="360" w:lineRule="auto"/>
        <w:ind w:left="840" w:hanging="840" w:hangingChars="350"/>
        <w:rPr>
          <w:rFonts w:asciiTheme="minorEastAsia" w:hAnsiTheme="minorEastAsia" w:eastAsiaTheme="minorEastAsia"/>
          <w:sz w:val="24"/>
        </w:rPr>
      </w:pPr>
      <w:r>
        <w:rPr>
          <w:rFonts w:asciiTheme="minorEastAsia" w:hAnsiTheme="minorEastAsia" w:eastAsiaTheme="minorEastAsia"/>
          <w:sz w:val="24"/>
        </w:rPr>
        <w:t>25.2   有关人员应当遵守评标工作纪律，不得泄露评标文件、评标情况和评标中获悉的国家秘密、商业秘密。</w:t>
      </w:r>
    </w:p>
    <w:p>
      <w:pPr>
        <w:pStyle w:val="4"/>
        <w:rPr>
          <w:rFonts w:asciiTheme="minorEastAsia" w:hAnsiTheme="minorEastAsia" w:eastAsiaTheme="minorEastAsia"/>
          <w:sz w:val="28"/>
          <w:szCs w:val="18"/>
        </w:rPr>
      </w:pPr>
      <w:bookmarkStart w:id="209" w:name="_Toc108721120"/>
      <w:bookmarkStart w:id="210" w:name="_Toc23904"/>
      <w:bookmarkStart w:id="211" w:name="_Toc515647787"/>
      <w:bookmarkStart w:id="212" w:name="_Toc12143"/>
      <w:bookmarkStart w:id="213" w:name="_Toc532473479"/>
      <w:bookmarkStart w:id="214" w:name="_Toc216582810"/>
      <w:r>
        <w:rPr>
          <w:rFonts w:asciiTheme="minorEastAsia" w:hAnsiTheme="minorEastAsia" w:eastAsiaTheme="minorEastAsia"/>
          <w:sz w:val="28"/>
          <w:szCs w:val="18"/>
        </w:rPr>
        <w:t>六</w:t>
      </w:r>
      <w:bookmarkEnd w:id="208"/>
      <w:r>
        <w:rPr>
          <w:rFonts w:asciiTheme="minorEastAsia" w:hAnsiTheme="minorEastAsia" w:eastAsiaTheme="minorEastAsia"/>
          <w:sz w:val="28"/>
          <w:szCs w:val="18"/>
        </w:rPr>
        <w:t>、确定中标</w:t>
      </w:r>
      <w:bookmarkEnd w:id="209"/>
      <w:bookmarkEnd w:id="210"/>
      <w:bookmarkEnd w:id="211"/>
      <w:bookmarkEnd w:id="212"/>
      <w:bookmarkEnd w:id="213"/>
      <w:bookmarkEnd w:id="214"/>
    </w:p>
    <w:p>
      <w:pPr>
        <w:pStyle w:val="5"/>
        <w:ind w:firstLine="0" w:firstLineChars="0"/>
        <w:jc w:val="both"/>
        <w:rPr>
          <w:rFonts w:asciiTheme="minorEastAsia" w:hAnsiTheme="minorEastAsia" w:eastAsiaTheme="minorEastAsia"/>
          <w:sz w:val="24"/>
          <w:szCs w:val="24"/>
        </w:rPr>
      </w:pPr>
      <w:bookmarkStart w:id="215" w:name="_Toc532473480"/>
      <w:bookmarkStart w:id="216" w:name="_Ref467307010"/>
      <w:bookmarkStart w:id="217" w:name="_Toc108721121"/>
      <w:bookmarkStart w:id="218" w:name="_Toc520356170"/>
      <w:bookmarkStart w:id="219" w:name="_Toc23762"/>
      <w:bookmarkStart w:id="220" w:name="_Toc515647788"/>
      <w:bookmarkStart w:id="221" w:name="_Toc23617"/>
      <w:r>
        <w:rPr>
          <w:rFonts w:asciiTheme="minorEastAsia" w:hAnsiTheme="minorEastAsia" w:eastAsiaTheme="minorEastAsia"/>
          <w:sz w:val="24"/>
          <w:szCs w:val="24"/>
        </w:rPr>
        <w:t>26.    中标候选人的确定原则及标准</w:t>
      </w:r>
      <w:bookmarkEnd w:id="215"/>
      <w:bookmarkEnd w:id="216"/>
      <w:bookmarkEnd w:id="217"/>
      <w:bookmarkEnd w:id="218"/>
      <w:bookmarkEnd w:id="219"/>
      <w:bookmarkEnd w:id="220"/>
      <w:bookmarkEnd w:id="221"/>
    </w:p>
    <w:p>
      <w:pPr>
        <w:spacing w:line="360" w:lineRule="auto"/>
        <w:ind w:left="840" w:leftChars="400"/>
        <w:rPr>
          <w:rFonts w:asciiTheme="minorEastAsia" w:hAnsiTheme="minorEastAsia" w:eastAsiaTheme="minorEastAsia"/>
          <w:sz w:val="24"/>
        </w:rPr>
      </w:pPr>
      <w:r>
        <w:rPr>
          <w:rFonts w:asciiTheme="minorEastAsia" w:hAnsiTheme="minorEastAsia" w:eastAsiaTheme="minorEastAsia"/>
          <w:sz w:val="24"/>
        </w:rPr>
        <w:t>除评标委员会受采购人委托直接确定中标人的情形外，对实质上响应招标文件的投标人按下列方法进行排序，确定中标候选人：</w:t>
      </w:r>
    </w:p>
    <w:p>
      <w:pPr>
        <w:spacing w:line="360" w:lineRule="auto"/>
        <w:ind w:left="840" w:leftChars="400"/>
        <w:rPr>
          <w:rFonts w:asciiTheme="minorEastAsia" w:hAnsiTheme="minorEastAsia" w:eastAsiaTheme="minorEastAsia"/>
          <w:sz w:val="24"/>
        </w:rPr>
      </w:pPr>
      <w:bookmarkStart w:id="222" w:name="_Toc520356171"/>
      <w:bookmarkStart w:id="223" w:name="_Toc515647789"/>
      <w:r>
        <w:rPr>
          <w:rFonts w:asciiTheme="minorEastAsia" w:hAnsiTheme="minorEastAsia" w:eastAsiaTheme="minorEastAsia"/>
          <w:sz w:val="24"/>
        </w:rPr>
        <w:t>（1）采用最低评标价法的，除了算术修正和落实政府采购政策需进行的价格扣除外，不对投标人的投标价格进行任何调整。评标结果按修正和扣除后的投标报价由低到高顺序排列。报价相同的处理方式详见招标文件第三章。</w:t>
      </w:r>
    </w:p>
    <w:p>
      <w:pPr>
        <w:spacing w:line="360" w:lineRule="auto"/>
        <w:ind w:left="840" w:leftChars="400"/>
        <w:rPr>
          <w:rFonts w:asciiTheme="minorEastAsia" w:hAnsiTheme="minorEastAsia" w:eastAsiaTheme="minorEastAsia"/>
          <w:sz w:val="24"/>
        </w:rPr>
      </w:pPr>
      <w:r>
        <w:rPr>
          <w:rFonts w:asciiTheme="minorEastAsia" w:hAnsiTheme="minorEastAsia" w:eastAsiaTheme="minorEastAsia"/>
          <w:sz w:val="24"/>
        </w:rPr>
        <w:t>（2）采用综合评分法的，评标结果按评审后得分由高到低顺序排列。得分相同的，按修正和扣除后的投标报价由低到高顺序排列。得分与投标报价均相同的处理方式详见招标文件第三章。</w:t>
      </w:r>
    </w:p>
    <w:p>
      <w:pPr>
        <w:pStyle w:val="5"/>
        <w:ind w:left="843" w:hanging="840" w:hangingChars="350"/>
        <w:jc w:val="both"/>
        <w:rPr>
          <w:rFonts w:asciiTheme="minorEastAsia" w:hAnsiTheme="minorEastAsia" w:eastAsiaTheme="minorEastAsia"/>
          <w:sz w:val="24"/>
          <w:szCs w:val="24"/>
        </w:rPr>
      </w:pPr>
      <w:bookmarkStart w:id="224" w:name="_Toc23951"/>
      <w:bookmarkStart w:id="225" w:name="_Toc9653"/>
      <w:bookmarkStart w:id="226" w:name="_Toc532473481"/>
      <w:bookmarkStart w:id="227" w:name="_Toc108721122"/>
      <w:r>
        <w:rPr>
          <w:rFonts w:asciiTheme="minorEastAsia" w:hAnsiTheme="minorEastAsia" w:eastAsiaTheme="minorEastAsia"/>
          <w:sz w:val="24"/>
          <w:szCs w:val="24"/>
        </w:rPr>
        <w:t>27</w:t>
      </w:r>
      <w:bookmarkEnd w:id="222"/>
      <w:r>
        <w:rPr>
          <w:rFonts w:asciiTheme="minorEastAsia" w:hAnsiTheme="minorEastAsia" w:eastAsiaTheme="minorEastAsia"/>
          <w:sz w:val="24"/>
          <w:szCs w:val="24"/>
        </w:rPr>
        <w:t>.</w:t>
      </w:r>
      <w:bookmarkEnd w:id="223"/>
      <w:bookmarkEnd w:id="224"/>
      <w:bookmarkEnd w:id="225"/>
      <w:bookmarkEnd w:id="226"/>
      <w:r>
        <w:rPr>
          <w:rFonts w:asciiTheme="minorEastAsia" w:hAnsiTheme="minorEastAsia" w:eastAsiaTheme="minorEastAsia"/>
          <w:sz w:val="24"/>
          <w:szCs w:val="24"/>
        </w:rPr>
        <w:t xml:space="preserve">    确定中标候选人和中标人</w:t>
      </w:r>
      <w:bookmarkEnd w:id="227"/>
    </w:p>
    <w:p>
      <w:pPr>
        <w:spacing w:line="360" w:lineRule="auto"/>
        <w:ind w:left="840" w:hanging="840" w:hangingChars="350"/>
        <w:rPr>
          <w:rFonts w:asciiTheme="minorEastAsia" w:hAnsiTheme="minorEastAsia" w:eastAsiaTheme="minorEastAsia"/>
          <w:sz w:val="24"/>
        </w:rPr>
      </w:pPr>
      <w:r>
        <w:rPr>
          <w:rFonts w:asciiTheme="minorEastAsia" w:hAnsiTheme="minorEastAsia" w:eastAsiaTheme="minorEastAsia"/>
          <w:sz w:val="24"/>
        </w:rPr>
        <w:t>27.1   评标委员会将根据评标标准，按</w:t>
      </w:r>
      <w:r>
        <w:rPr>
          <w:rFonts w:asciiTheme="minorEastAsia" w:hAnsiTheme="minorEastAsia" w:eastAsiaTheme="minorEastAsia"/>
          <w:sz w:val="24"/>
          <w:u w:val="single"/>
        </w:rPr>
        <w:t>投标人须知前附表</w:t>
      </w:r>
      <w:r>
        <w:rPr>
          <w:rFonts w:asciiTheme="minorEastAsia" w:hAnsiTheme="minorEastAsia" w:eastAsiaTheme="minorEastAsia"/>
          <w:sz w:val="24"/>
        </w:rPr>
        <w:t>中规定数量推荐中标候选人。</w:t>
      </w:r>
    </w:p>
    <w:p>
      <w:pPr>
        <w:spacing w:line="360" w:lineRule="auto"/>
        <w:ind w:left="840" w:hanging="840" w:hangingChars="350"/>
        <w:rPr>
          <w:rFonts w:asciiTheme="minorEastAsia" w:hAnsiTheme="minorEastAsia" w:eastAsiaTheme="minorEastAsia"/>
          <w:sz w:val="24"/>
        </w:rPr>
      </w:pPr>
      <w:r>
        <w:rPr>
          <w:rFonts w:asciiTheme="minorEastAsia" w:hAnsiTheme="minorEastAsia" w:eastAsiaTheme="minorEastAsia"/>
          <w:sz w:val="24"/>
        </w:rPr>
        <w:t>27.2   按</w:t>
      </w:r>
      <w:r>
        <w:rPr>
          <w:rFonts w:asciiTheme="minorEastAsia" w:hAnsiTheme="minorEastAsia" w:eastAsiaTheme="minorEastAsia"/>
          <w:sz w:val="24"/>
          <w:u w:val="single"/>
        </w:rPr>
        <w:t>投标人须知前附表</w:t>
      </w:r>
      <w:r>
        <w:rPr>
          <w:rFonts w:asciiTheme="minorEastAsia" w:hAnsiTheme="minorEastAsia" w:eastAsiaTheme="minorEastAsia"/>
          <w:sz w:val="24"/>
        </w:rPr>
        <w:t>中规定，由评标委员会直接确定中标人。</w:t>
      </w:r>
    </w:p>
    <w:p>
      <w:pPr>
        <w:pStyle w:val="5"/>
        <w:ind w:firstLine="0" w:firstLineChars="0"/>
        <w:jc w:val="both"/>
        <w:rPr>
          <w:rFonts w:asciiTheme="minorEastAsia" w:hAnsiTheme="minorEastAsia" w:eastAsiaTheme="minorEastAsia"/>
          <w:sz w:val="24"/>
          <w:szCs w:val="24"/>
        </w:rPr>
      </w:pPr>
      <w:bookmarkStart w:id="228" w:name="_Toc108721123"/>
      <w:bookmarkStart w:id="229" w:name="_Toc532473483"/>
      <w:bookmarkStart w:id="230" w:name="_Toc515647791"/>
      <w:bookmarkStart w:id="231" w:name="_Toc520356174"/>
      <w:bookmarkStart w:id="232" w:name="_Toc30170"/>
      <w:bookmarkStart w:id="233" w:name="_Toc31099"/>
      <w:r>
        <w:rPr>
          <w:rFonts w:asciiTheme="minorEastAsia" w:hAnsiTheme="minorEastAsia" w:eastAsiaTheme="minorEastAsia"/>
          <w:sz w:val="24"/>
          <w:szCs w:val="24"/>
        </w:rPr>
        <w:t>28.    发出中标通知书</w:t>
      </w:r>
      <w:bookmarkEnd w:id="228"/>
    </w:p>
    <w:p>
      <w:pPr>
        <w:spacing w:line="360" w:lineRule="auto"/>
        <w:ind w:left="831" w:leftChars="396" w:firstLine="7"/>
        <w:rPr>
          <w:rFonts w:asciiTheme="minorEastAsia" w:hAnsiTheme="minorEastAsia" w:eastAsiaTheme="minorEastAsia"/>
          <w:sz w:val="24"/>
        </w:rPr>
      </w:pPr>
      <w:r>
        <w:rPr>
          <w:rFonts w:asciiTheme="minorEastAsia" w:hAnsiTheme="minorEastAsia" w:eastAsiaTheme="minorEastAsia"/>
          <w:sz w:val="24"/>
        </w:rPr>
        <w:t>在投标有效期内，中标人确定后，采购人或者采购代理机构发布中标公告。在公告中标结果的同时，向中标人发出中标通知书，中标通知书是合同的组成部分。</w:t>
      </w:r>
    </w:p>
    <w:p>
      <w:pPr>
        <w:pStyle w:val="5"/>
        <w:ind w:firstLine="0" w:firstLineChars="0"/>
        <w:jc w:val="both"/>
        <w:rPr>
          <w:rFonts w:asciiTheme="minorEastAsia" w:hAnsiTheme="minorEastAsia" w:eastAsiaTheme="minorEastAsia"/>
          <w:sz w:val="24"/>
          <w:szCs w:val="24"/>
        </w:rPr>
      </w:pPr>
      <w:bookmarkStart w:id="234" w:name="_Toc108721124"/>
      <w:r>
        <w:rPr>
          <w:rFonts w:asciiTheme="minorEastAsia" w:hAnsiTheme="minorEastAsia" w:eastAsiaTheme="minorEastAsia"/>
          <w:sz w:val="24"/>
          <w:szCs w:val="24"/>
        </w:rPr>
        <w:t>29.    告知招标结果</w:t>
      </w:r>
      <w:bookmarkEnd w:id="234"/>
    </w:p>
    <w:p>
      <w:pPr>
        <w:pStyle w:val="16"/>
        <w:spacing w:line="360" w:lineRule="auto"/>
        <w:ind w:left="854" w:leftChars="400" w:hanging="14" w:hangingChars="6"/>
        <w:rPr>
          <w:rFonts w:asciiTheme="minorEastAsia" w:hAnsiTheme="minorEastAsia" w:eastAsiaTheme="minorEastAsia"/>
          <w:sz w:val="24"/>
        </w:rPr>
      </w:pPr>
      <w:r>
        <w:rPr>
          <w:rFonts w:asciiTheme="minorEastAsia" w:hAnsiTheme="minorEastAsia" w:eastAsiaTheme="minorEastAsia"/>
          <w:sz w:val="24"/>
        </w:rPr>
        <w:t>在公告中标结果的同时，告知未通过资格审查投标人未通过的原因；采用综合评分法评审的，还将告知未中标人本人的评审得分和排序。</w:t>
      </w:r>
      <w:bookmarkEnd w:id="229"/>
      <w:bookmarkEnd w:id="230"/>
      <w:bookmarkEnd w:id="231"/>
      <w:bookmarkEnd w:id="232"/>
      <w:bookmarkEnd w:id="233"/>
    </w:p>
    <w:p>
      <w:pPr>
        <w:pStyle w:val="5"/>
        <w:ind w:firstLine="0" w:firstLineChars="0"/>
        <w:jc w:val="both"/>
        <w:rPr>
          <w:rFonts w:asciiTheme="minorEastAsia" w:hAnsiTheme="minorEastAsia" w:eastAsiaTheme="minorEastAsia"/>
          <w:sz w:val="24"/>
          <w:szCs w:val="24"/>
        </w:rPr>
      </w:pPr>
      <w:bookmarkStart w:id="235" w:name="_Toc515647792"/>
      <w:bookmarkStart w:id="236" w:name="_Ref467306377"/>
      <w:bookmarkStart w:id="237" w:name="_Toc7779"/>
      <w:bookmarkStart w:id="238" w:name="_Toc790"/>
      <w:bookmarkStart w:id="239" w:name="_Ref467307204"/>
      <w:bookmarkStart w:id="240" w:name="_Ref467306978"/>
      <w:bookmarkStart w:id="241" w:name="_Toc108721125"/>
      <w:bookmarkStart w:id="242" w:name="_Toc532473484"/>
      <w:bookmarkStart w:id="243" w:name="_Toc520356175"/>
      <w:bookmarkStart w:id="244" w:name="_Ref467307062"/>
      <w:r>
        <w:rPr>
          <w:rFonts w:asciiTheme="minorEastAsia" w:hAnsiTheme="minorEastAsia" w:eastAsiaTheme="minorEastAsia"/>
          <w:sz w:val="24"/>
          <w:szCs w:val="24"/>
        </w:rPr>
        <w:t>30.    签订合同</w:t>
      </w:r>
      <w:bookmarkEnd w:id="235"/>
      <w:bookmarkEnd w:id="236"/>
      <w:bookmarkEnd w:id="237"/>
      <w:bookmarkEnd w:id="238"/>
      <w:bookmarkEnd w:id="239"/>
      <w:bookmarkEnd w:id="240"/>
      <w:bookmarkEnd w:id="241"/>
      <w:bookmarkEnd w:id="242"/>
      <w:bookmarkEnd w:id="243"/>
      <w:bookmarkEnd w:id="244"/>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30.1   中标人应当自发出中标通知书之日起30日内，与采购人签订合同。</w:t>
      </w:r>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30</w:t>
      </w:r>
      <w:bookmarkStart w:id="245" w:name="_Ref467307090"/>
      <w:bookmarkStart w:id="246" w:name="_Ref467306425"/>
      <w:bookmarkStart w:id="247" w:name="_Toc520356176"/>
      <w:r>
        <w:rPr>
          <w:rFonts w:asciiTheme="minorEastAsia" w:hAnsiTheme="minorEastAsia" w:eastAsiaTheme="minorEastAsia"/>
          <w:sz w:val="24"/>
        </w:rPr>
        <w:t>.2   招标文件、中标人的投标文件及其澄清文件等，均为签订合同的依据。</w:t>
      </w:r>
    </w:p>
    <w:p>
      <w:pPr>
        <w:spacing w:line="360" w:lineRule="auto"/>
        <w:ind w:left="840" w:hanging="840" w:hangingChars="350"/>
        <w:rPr>
          <w:rFonts w:asciiTheme="minorEastAsia" w:hAnsiTheme="minorEastAsia" w:eastAsiaTheme="minorEastAsia"/>
          <w:sz w:val="24"/>
        </w:rPr>
      </w:pPr>
      <w:r>
        <w:rPr>
          <w:rFonts w:asciiTheme="minorEastAsia" w:hAnsiTheme="minorEastAsia" w:eastAsiaTheme="minorEastAsia"/>
          <w:sz w:val="24"/>
        </w:rPr>
        <w:t>30.3   如中标人拒绝与采购人签订合同的，采购人或者采购代理机构可以不退还其投标保证金，并上报行政监督管理部门记入不良行为记录；采购人可以按照评标报告推荐的中标候选人排序，确定下一中标候选人为中标人，也可以重新开展采购活动。</w:t>
      </w:r>
    </w:p>
    <w:p>
      <w:pPr>
        <w:spacing w:line="360" w:lineRule="auto"/>
        <w:ind w:left="840" w:hanging="840" w:hangingChars="350"/>
        <w:rPr>
          <w:rFonts w:asciiTheme="minorEastAsia" w:hAnsiTheme="minorEastAsia" w:eastAsiaTheme="minorEastAsia"/>
          <w:sz w:val="24"/>
        </w:rPr>
      </w:pPr>
      <w:r>
        <w:rPr>
          <w:rFonts w:asciiTheme="minorEastAsia" w:hAnsiTheme="minorEastAsia" w:eastAsiaTheme="minorEastAsia"/>
          <w:sz w:val="24"/>
        </w:rPr>
        <w:t>30.4   当出现法规规定的中标无效或中标结果无效情形时，采购人可与排名下一位的中标候选人另行签订合同，或依法重新开展采购活动。</w:t>
      </w:r>
    </w:p>
    <w:p>
      <w:pPr>
        <w:pStyle w:val="5"/>
        <w:ind w:firstLine="0" w:firstLineChars="0"/>
        <w:rPr>
          <w:rFonts w:asciiTheme="minorEastAsia" w:hAnsiTheme="minorEastAsia" w:eastAsiaTheme="minorEastAsia"/>
          <w:sz w:val="24"/>
          <w:szCs w:val="24"/>
        </w:rPr>
      </w:pPr>
      <w:bookmarkStart w:id="248" w:name="_Toc515647793"/>
      <w:bookmarkStart w:id="249" w:name="_Toc532473485"/>
      <w:bookmarkStart w:id="250" w:name="_Toc14080"/>
      <w:bookmarkStart w:id="251" w:name="_Toc108721126"/>
      <w:bookmarkStart w:id="252" w:name="_Toc22555"/>
      <w:r>
        <w:rPr>
          <w:rFonts w:asciiTheme="minorEastAsia" w:hAnsiTheme="minorEastAsia" w:eastAsiaTheme="minorEastAsia"/>
          <w:sz w:val="24"/>
          <w:szCs w:val="24"/>
        </w:rPr>
        <w:t>31.    履约保证金</w:t>
      </w:r>
      <w:bookmarkEnd w:id="245"/>
      <w:bookmarkEnd w:id="246"/>
      <w:bookmarkEnd w:id="247"/>
      <w:bookmarkEnd w:id="248"/>
      <w:bookmarkEnd w:id="249"/>
      <w:bookmarkEnd w:id="250"/>
      <w:bookmarkEnd w:id="251"/>
      <w:bookmarkEnd w:id="252"/>
    </w:p>
    <w:p>
      <w:pPr>
        <w:spacing w:line="360" w:lineRule="auto"/>
        <w:ind w:left="840" w:hanging="840" w:hangingChars="350"/>
        <w:rPr>
          <w:rFonts w:asciiTheme="minorEastAsia" w:hAnsiTheme="minorEastAsia" w:eastAsiaTheme="minorEastAsia"/>
          <w:sz w:val="24"/>
        </w:rPr>
      </w:pPr>
      <w:r>
        <w:rPr>
          <w:rFonts w:asciiTheme="minorEastAsia" w:hAnsiTheme="minorEastAsia" w:eastAsiaTheme="minorEastAsia"/>
          <w:sz w:val="24"/>
        </w:rPr>
        <w:t>31.1   如果需要履约保证金，中标人应按照</w:t>
      </w:r>
      <w:r>
        <w:rPr>
          <w:rFonts w:asciiTheme="minorEastAsia" w:hAnsiTheme="minorEastAsia" w:eastAsiaTheme="minorEastAsia"/>
          <w:sz w:val="24"/>
          <w:u w:val="single"/>
        </w:rPr>
        <w:t>投标人须知前附表</w:t>
      </w:r>
      <w:r>
        <w:rPr>
          <w:rFonts w:asciiTheme="minorEastAsia" w:hAnsiTheme="minorEastAsia" w:eastAsiaTheme="minorEastAsia"/>
          <w:sz w:val="24"/>
        </w:rPr>
        <w:t>规定向采购人提交履约保证金保函（如格式见本章附件2）。经采购人同意，中标人也可以自愿采用其他履约保证金的提供方式。</w:t>
      </w:r>
    </w:p>
    <w:p>
      <w:pPr>
        <w:spacing w:line="360" w:lineRule="auto"/>
        <w:ind w:left="840" w:hanging="840" w:hangingChars="350"/>
        <w:rPr>
          <w:rFonts w:asciiTheme="minorEastAsia" w:hAnsiTheme="minorEastAsia" w:eastAsiaTheme="minorEastAsia"/>
          <w:sz w:val="24"/>
        </w:rPr>
      </w:pPr>
      <w:r>
        <w:rPr>
          <w:rFonts w:asciiTheme="minorEastAsia" w:hAnsiTheme="minorEastAsia" w:eastAsiaTheme="minorEastAsia"/>
          <w:sz w:val="24"/>
        </w:rPr>
        <w:t>31.2   政府采购利用担保试点范围内的项目，除31.1规定的情形外，中标人也可以按照财政部门的规定，向采购人提供合格的履约担保函。</w:t>
      </w:r>
    </w:p>
    <w:p>
      <w:pPr>
        <w:spacing w:line="360" w:lineRule="auto"/>
        <w:ind w:left="840" w:hanging="840" w:hangingChars="350"/>
        <w:rPr>
          <w:rFonts w:asciiTheme="minorEastAsia" w:hAnsiTheme="minorEastAsia" w:eastAsiaTheme="minorEastAsia"/>
          <w:sz w:val="24"/>
        </w:rPr>
      </w:pPr>
      <w:r>
        <w:rPr>
          <w:rFonts w:asciiTheme="minorEastAsia" w:hAnsiTheme="minorEastAsia" w:eastAsiaTheme="minorEastAsia"/>
          <w:sz w:val="24"/>
        </w:rPr>
        <w:t>31.3   如果中标人没有按照上述履约保证金的规定执行，将被视为放弃中标资格，采购人或者采购代理机构可以不退还其投标保证金，并上报行政监督管理部门记入不良行为记录。在此情况下，采购人可确定下一候选人为中标人，也可以重新开展采购活动。</w:t>
      </w:r>
    </w:p>
    <w:p>
      <w:pPr>
        <w:pStyle w:val="5"/>
        <w:ind w:firstLine="0" w:firstLineChars="0"/>
        <w:rPr>
          <w:rFonts w:asciiTheme="minorEastAsia" w:hAnsiTheme="minorEastAsia" w:eastAsiaTheme="minorEastAsia"/>
          <w:sz w:val="24"/>
          <w:szCs w:val="24"/>
        </w:rPr>
      </w:pPr>
      <w:bookmarkStart w:id="253" w:name="_Toc518923098"/>
      <w:bookmarkStart w:id="254" w:name="_Toc108721127"/>
      <w:bookmarkStart w:id="255" w:name="_Toc2583659"/>
      <w:bookmarkStart w:id="256" w:name="_Toc532473486"/>
      <w:bookmarkStart w:id="257" w:name="_Toc2582300"/>
      <w:bookmarkStart w:id="258" w:name="_Toc3090"/>
      <w:bookmarkStart w:id="259" w:name="_Toc29408"/>
      <w:bookmarkStart w:id="260" w:name="_Toc515647794"/>
      <w:r>
        <w:rPr>
          <w:rFonts w:asciiTheme="minorEastAsia" w:hAnsiTheme="minorEastAsia" w:eastAsiaTheme="minorEastAsia"/>
          <w:sz w:val="24"/>
          <w:szCs w:val="24"/>
        </w:rPr>
        <w:t>32.</w:t>
      </w:r>
      <w:bookmarkEnd w:id="253"/>
      <w:r>
        <w:rPr>
          <w:rFonts w:asciiTheme="minorEastAsia" w:hAnsiTheme="minorEastAsia" w:eastAsiaTheme="minorEastAsia"/>
          <w:sz w:val="24"/>
          <w:szCs w:val="24"/>
        </w:rPr>
        <w:t xml:space="preserve">    预付款</w:t>
      </w:r>
      <w:bookmarkEnd w:id="254"/>
      <w:r>
        <w:rPr>
          <w:rFonts w:hint="eastAsia" w:asciiTheme="minorEastAsia" w:hAnsiTheme="minorEastAsia" w:eastAsiaTheme="minorEastAsia"/>
          <w:sz w:val="24"/>
          <w:szCs w:val="24"/>
        </w:rPr>
        <w:t>（如有）</w:t>
      </w:r>
    </w:p>
    <w:p>
      <w:pPr>
        <w:spacing w:line="360" w:lineRule="auto"/>
        <w:ind w:left="847" w:hanging="847" w:hangingChars="353"/>
        <w:rPr>
          <w:rFonts w:asciiTheme="minorEastAsia" w:hAnsiTheme="minorEastAsia" w:eastAsiaTheme="minorEastAsia"/>
          <w:sz w:val="24"/>
        </w:rPr>
      </w:pPr>
      <w:r>
        <w:rPr>
          <w:rFonts w:asciiTheme="minorEastAsia" w:hAnsiTheme="minorEastAsia" w:eastAsiaTheme="minorEastAsia"/>
          <w:sz w:val="24"/>
        </w:rPr>
        <w:t>32.1   预付款是在指政府采购合同签订后、履行前，采购人向中标人预先支付部分合同款项，预付款比例按照投标人须知前附表规定执行。</w:t>
      </w:r>
    </w:p>
    <w:p>
      <w:pPr>
        <w:spacing w:line="360" w:lineRule="auto"/>
        <w:ind w:left="850" w:hanging="849" w:hangingChars="354"/>
        <w:rPr>
          <w:rFonts w:asciiTheme="minorEastAsia" w:hAnsiTheme="minorEastAsia" w:eastAsiaTheme="minorEastAsia"/>
          <w:sz w:val="24"/>
        </w:rPr>
      </w:pPr>
      <w:r>
        <w:rPr>
          <w:rFonts w:asciiTheme="minorEastAsia" w:hAnsiTheme="minorEastAsia" w:eastAsiaTheme="minorEastAsia"/>
          <w:sz w:val="24"/>
        </w:rPr>
        <w:t>32.2   如采购人要求，中标人在收到预付款前，需向采购人提供预付款保函。预付款保函是指中标人向银行或者有资质的专业的担保机构申请，由其向采购人出具的确保预付款直接或者间接用于政府采购合同履约或者保障政府采购履约质量的银行保函或者担保保函等。</w:t>
      </w:r>
    </w:p>
    <w:p>
      <w:pPr>
        <w:spacing w:line="360" w:lineRule="auto"/>
        <w:ind w:left="850" w:hanging="849" w:hangingChars="354"/>
        <w:rPr>
          <w:rFonts w:asciiTheme="minorEastAsia" w:hAnsiTheme="minorEastAsia" w:eastAsiaTheme="minorEastAsia"/>
          <w:sz w:val="24"/>
          <w:u w:val="single"/>
        </w:rPr>
      </w:pPr>
      <w:r>
        <w:rPr>
          <w:rFonts w:asciiTheme="minorEastAsia" w:hAnsiTheme="minorEastAsia" w:eastAsiaTheme="minorEastAsia"/>
          <w:sz w:val="24"/>
        </w:rPr>
        <w:t>32.3   本项目采购人不需要支付预付款的情形，见</w:t>
      </w:r>
      <w:r>
        <w:rPr>
          <w:rFonts w:asciiTheme="minorEastAsia" w:hAnsiTheme="minorEastAsia" w:eastAsiaTheme="minorEastAsia"/>
          <w:sz w:val="24"/>
          <w:u w:val="single"/>
        </w:rPr>
        <w:t>投标人须知前附表。</w:t>
      </w:r>
    </w:p>
    <w:p>
      <w:pPr>
        <w:pStyle w:val="5"/>
        <w:ind w:firstLine="0" w:firstLineChars="0"/>
        <w:rPr>
          <w:rFonts w:asciiTheme="minorEastAsia" w:hAnsiTheme="minorEastAsia" w:eastAsiaTheme="minorEastAsia"/>
          <w:sz w:val="24"/>
          <w:szCs w:val="24"/>
        </w:rPr>
      </w:pPr>
      <w:bookmarkStart w:id="261" w:name="_Toc108721128"/>
      <w:r>
        <w:rPr>
          <w:rFonts w:asciiTheme="minorEastAsia" w:hAnsiTheme="minorEastAsia" w:eastAsiaTheme="minorEastAsia"/>
          <w:sz w:val="24"/>
          <w:szCs w:val="24"/>
        </w:rPr>
        <w:t>33.    招标代理服务费</w:t>
      </w:r>
      <w:bookmarkEnd w:id="255"/>
      <w:bookmarkEnd w:id="261"/>
    </w:p>
    <w:p>
      <w:pPr>
        <w:spacing w:line="360" w:lineRule="auto"/>
        <w:ind w:left="840" w:leftChars="400"/>
        <w:rPr>
          <w:rFonts w:asciiTheme="minorEastAsia" w:hAnsiTheme="minorEastAsia" w:eastAsiaTheme="minorEastAsia"/>
          <w:sz w:val="24"/>
        </w:rPr>
      </w:pPr>
      <w:r>
        <w:rPr>
          <w:rFonts w:asciiTheme="minorEastAsia" w:hAnsiTheme="minorEastAsia" w:eastAsiaTheme="minorEastAsia"/>
          <w:sz w:val="24"/>
        </w:rPr>
        <w:t>本项目向采购代理机构支付招标代理服务费，按照</w:t>
      </w:r>
      <w:r>
        <w:rPr>
          <w:rFonts w:asciiTheme="minorEastAsia" w:hAnsiTheme="minorEastAsia" w:eastAsiaTheme="minorEastAsia"/>
          <w:sz w:val="24"/>
          <w:u w:val="single"/>
        </w:rPr>
        <w:t>投标人须知前附表</w:t>
      </w:r>
      <w:r>
        <w:rPr>
          <w:rFonts w:asciiTheme="minorEastAsia" w:hAnsiTheme="minorEastAsia" w:eastAsiaTheme="minorEastAsia"/>
          <w:sz w:val="24"/>
        </w:rPr>
        <w:t>规定执行。</w:t>
      </w:r>
    </w:p>
    <w:p>
      <w:pPr>
        <w:pStyle w:val="5"/>
        <w:ind w:firstLine="0" w:firstLineChars="0"/>
        <w:rPr>
          <w:rFonts w:asciiTheme="minorEastAsia" w:hAnsiTheme="minorEastAsia" w:eastAsiaTheme="minorEastAsia"/>
          <w:sz w:val="24"/>
          <w:szCs w:val="24"/>
        </w:rPr>
      </w:pPr>
      <w:bookmarkStart w:id="262" w:name="_Toc518923099"/>
      <w:bookmarkStart w:id="263" w:name="_Toc2583660"/>
      <w:bookmarkStart w:id="264" w:name="_Toc108721129"/>
      <w:r>
        <w:rPr>
          <w:rFonts w:asciiTheme="minorEastAsia" w:hAnsiTheme="minorEastAsia" w:eastAsiaTheme="minorEastAsia"/>
          <w:sz w:val="24"/>
          <w:szCs w:val="24"/>
        </w:rPr>
        <w:t>34.    政府采购信用担保</w:t>
      </w:r>
      <w:bookmarkEnd w:id="262"/>
      <w:bookmarkEnd w:id="263"/>
      <w:r>
        <w:rPr>
          <w:rFonts w:asciiTheme="minorEastAsia" w:hAnsiTheme="minorEastAsia" w:eastAsiaTheme="minorEastAsia"/>
          <w:sz w:val="24"/>
          <w:szCs w:val="24"/>
        </w:rPr>
        <w:t>及融资</w:t>
      </w:r>
      <w:bookmarkEnd w:id="264"/>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34.1   投标人递交的履约担保函应符合本招标文件的规定。</w:t>
      </w:r>
    </w:p>
    <w:p>
      <w:pPr>
        <w:spacing w:line="360" w:lineRule="auto"/>
        <w:ind w:left="850" w:hanging="849" w:hangingChars="354"/>
        <w:rPr>
          <w:rFonts w:asciiTheme="minorEastAsia" w:hAnsiTheme="minorEastAsia" w:eastAsiaTheme="minorEastAsia"/>
          <w:sz w:val="24"/>
        </w:rPr>
      </w:pPr>
      <w:r>
        <w:rPr>
          <w:rFonts w:asciiTheme="minorEastAsia" w:hAnsiTheme="minorEastAsia" w:eastAsiaTheme="minorEastAsia"/>
          <w:sz w:val="24"/>
        </w:rPr>
        <w:t>34.2   为缓解中小企业融资困难，陕西省财政厅出台了《陕西省中小企业政府采购信用融资办法》（陕财办采﹝2018﹞23号），中标供应商如有融资需求，可登录“陕西省政府采购网-陕西省政府采购信用融资平台</w:t>
      </w:r>
      <w:r>
        <w:rPr>
          <w:rFonts w:hint="eastAsia" w:asciiTheme="minorEastAsia" w:hAnsiTheme="minorEastAsia" w:eastAsiaTheme="minorEastAsia"/>
          <w:sz w:val="24"/>
        </w:rPr>
        <w:t>（http://www.ccgp-shaanxi.gov.cn/zcdservice/zcd/shanxi/）</w:t>
      </w:r>
      <w:r>
        <w:rPr>
          <w:rFonts w:asciiTheme="minorEastAsia" w:hAnsiTheme="minorEastAsia" w:eastAsiaTheme="minorEastAsia"/>
          <w:sz w:val="24"/>
        </w:rPr>
        <w:t>”了解详情。</w:t>
      </w:r>
    </w:p>
    <w:p>
      <w:pPr>
        <w:pStyle w:val="12"/>
        <w:spacing w:line="360" w:lineRule="auto"/>
        <w:ind w:left="840" w:leftChars="400"/>
        <w:rPr>
          <w:rFonts w:asciiTheme="minorEastAsia" w:hAnsiTheme="minorEastAsia" w:eastAsiaTheme="minorEastAsia"/>
        </w:rPr>
      </w:pPr>
      <w:r>
        <w:rPr>
          <w:rFonts w:hint="eastAsia" w:asciiTheme="minorEastAsia" w:hAnsiTheme="minorEastAsia" w:eastAsiaTheme="minorEastAsia"/>
        </w:rPr>
        <w:t>政府采购信用融资，是指银行业金融机构（以下简称银行）以政府采购诚信考核和信用审查为基础，凭借政府采购合同，按优于一般中小企业的贷款利率直接向申请贷款的供应商发放贷款的一种融资方式。</w:t>
      </w:r>
    </w:p>
    <w:p>
      <w:pPr>
        <w:pStyle w:val="12"/>
        <w:spacing w:line="360" w:lineRule="auto"/>
        <w:ind w:left="840" w:leftChars="400"/>
        <w:rPr>
          <w:rFonts w:asciiTheme="minorEastAsia" w:hAnsiTheme="minorEastAsia" w:eastAsiaTheme="minorEastAsia"/>
        </w:rPr>
      </w:pPr>
      <w:r>
        <w:rPr>
          <w:rFonts w:asciiTheme="minorEastAsia" w:hAnsiTheme="minorEastAsia" w:eastAsiaTheme="minorEastAsia"/>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pStyle w:val="12"/>
        <w:spacing w:line="360" w:lineRule="auto"/>
        <w:ind w:left="840" w:leftChars="400"/>
        <w:rPr>
          <w:rFonts w:asciiTheme="minorEastAsia" w:hAnsiTheme="minorEastAsia" w:eastAsiaTheme="minorEastAsia"/>
        </w:rPr>
      </w:pPr>
      <w:r>
        <w:rPr>
          <w:rFonts w:asciiTheme="minorEastAsia" w:hAnsiTheme="minorEastAsia" w:eastAsiaTheme="minorEastAsia"/>
        </w:rPr>
        <w:t>银行为参与政府采购融资的中小企业提供的产品，应以信用贷款为主，贷款利率应当优于一般中小企业的贷款利率水平，并将产品信息（包括贷款发放条件、利率优惠、贷款金额）等在陕西政府采购网予以展示。</w:t>
      </w:r>
    </w:p>
    <w:p>
      <w:pPr>
        <w:pStyle w:val="12"/>
        <w:spacing w:line="360" w:lineRule="auto"/>
        <w:ind w:left="840" w:leftChars="400"/>
        <w:rPr>
          <w:rFonts w:asciiTheme="minorEastAsia" w:hAnsiTheme="minorEastAsia" w:eastAsiaTheme="minorEastAsia"/>
        </w:rPr>
      </w:pPr>
      <w:r>
        <w:rPr>
          <w:rFonts w:asciiTheme="minorEastAsia" w:hAnsiTheme="minorEastAsia" w:eastAsiaTheme="minorEastAsia"/>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pStyle w:val="12"/>
        <w:spacing w:line="360" w:lineRule="auto"/>
        <w:ind w:left="840" w:leftChars="400"/>
        <w:rPr>
          <w:rFonts w:asciiTheme="minorEastAsia" w:hAnsiTheme="minorEastAsia" w:eastAsiaTheme="minorEastAsia"/>
        </w:rPr>
      </w:pPr>
      <w:r>
        <w:rPr>
          <w:rFonts w:asciiTheme="minorEastAsia" w:hAnsiTheme="minorEastAsia" w:eastAsiaTheme="minorEastAsia"/>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pStyle w:val="12"/>
        <w:spacing w:line="360" w:lineRule="auto"/>
        <w:ind w:left="840" w:leftChars="400"/>
        <w:rPr>
          <w:rFonts w:asciiTheme="minorEastAsia" w:hAnsiTheme="minorEastAsia" w:eastAsiaTheme="minorEastAsia"/>
        </w:rPr>
      </w:pPr>
      <w:r>
        <w:rPr>
          <w:rFonts w:hint="eastAsia" w:asciiTheme="minorEastAsia" w:hAnsiTheme="minorEastAsia" w:eastAsiaTheme="minorEastAsia"/>
        </w:rPr>
        <w:t>业务流程简图如下：</w:t>
      </w:r>
    </w:p>
    <w:p>
      <w:pPr>
        <w:pStyle w:val="12"/>
        <w:spacing w:line="360" w:lineRule="auto"/>
        <w:ind w:left="840" w:leftChars="400"/>
        <w:rPr>
          <w:rFonts w:asciiTheme="minorEastAsia" w:hAnsiTheme="minorEastAsia" w:eastAsiaTheme="minorEastAsia"/>
        </w:rPr>
      </w:pPr>
      <w:r>
        <w:rPr>
          <w:rFonts w:asciiTheme="minorEastAsia" w:hAnsiTheme="minorEastAsia" w:eastAsiaTheme="minorEastAsia"/>
        </w:rPr>
        <w:drawing>
          <wp:inline distT="0" distB="0" distL="0" distR="0">
            <wp:extent cx="5752465" cy="3306445"/>
            <wp:effectExtent l="0" t="0" r="63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752465" cy="3306445"/>
                    </a:xfrm>
                    <a:prstGeom prst="rect">
                      <a:avLst/>
                    </a:prstGeom>
                    <a:noFill/>
                    <a:ln>
                      <a:noFill/>
                    </a:ln>
                  </pic:spPr>
                </pic:pic>
              </a:graphicData>
            </a:graphic>
          </wp:inline>
        </w:drawing>
      </w:r>
    </w:p>
    <w:p>
      <w:pPr>
        <w:pStyle w:val="12"/>
        <w:spacing w:line="360" w:lineRule="auto"/>
        <w:ind w:left="840" w:leftChars="400"/>
        <w:rPr>
          <w:rFonts w:asciiTheme="minorEastAsia" w:hAnsiTheme="minorEastAsia" w:eastAsiaTheme="minorEastAsia"/>
        </w:rPr>
      </w:pPr>
      <w:r>
        <w:rPr>
          <w:rFonts w:asciiTheme="minorEastAsia" w:hAnsiTheme="minorEastAsia" w:eastAsiaTheme="minorEastAsia"/>
        </w:rPr>
        <w:drawing>
          <wp:inline distT="0" distB="0" distL="0" distR="0">
            <wp:extent cx="5762625" cy="3242945"/>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762625" cy="3242945"/>
                    </a:xfrm>
                    <a:prstGeom prst="rect">
                      <a:avLst/>
                    </a:prstGeom>
                    <a:noFill/>
                    <a:ln>
                      <a:noFill/>
                    </a:ln>
                  </pic:spPr>
                </pic:pic>
              </a:graphicData>
            </a:graphic>
          </wp:inline>
        </w:drawing>
      </w:r>
    </w:p>
    <w:p>
      <w:pPr>
        <w:pStyle w:val="12"/>
        <w:spacing w:line="360" w:lineRule="auto"/>
        <w:rPr>
          <w:rFonts w:asciiTheme="minorEastAsia" w:hAnsiTheme="minorEastAsia" w:eastAsiaTheme="minorEastAsia"/>
        </w:rPr>
      </w:pPr>
      <w:r>
        <w:rPr>
          <w:rFonts w:hint="eastAsia" w:asciiTheme="minorEastAsia" w:hAnsiTheme="minorEastAsia" w:eastAsiaTheme="minorEastAsia"/>
        </w:rPr>
        <w:t xml:space="preserve">     </w:t>
      </w:r>
    </w:p>
    <w:p>
      <w:pPr>
        <w:pStyle w:val="5"/>
        <w:ind w:firstLine="0" w:firstLineChars="0"/>
        <w:rPr>
          <w:rFonts w:asciiTheme="minorEastAsia" w:hAnsiTheme="minorEastAsia" w:eastAsiaTheme="minorEastAsia"/>
          <w:sz w:val="24"/>
          <w:szCs w:val="24"/>
        </w:rPr>
      </w:pPr>
      <w:bookmarkStart w:id="265" w:name="_Toc2583661"/>
      <w:bookmarkStart w:id="266" w:name="_Toc108721130"/>
      <w:bookmarkStart w:id="267" w:name="_Toc518923100"/>
      <w:r>
        <w:rPr>
          <w:rFonts w:asciiTheme="minorEastAsia" w:hAnsiTheme="minorEastAsia" w:eastAsiaTheme="minorEastAsia"/>
          <w:sz w:val="24"/>
          <w:szCs w:val="24"/>
        </w:rPr>
        <w:t>35.    廉洁自律规定</w:t>
      </w:r>
      <w:bookmarkEnd w:id="265"/>
      <w:bookmarkEnd w:id="266"/>
      <w:bookmarkEnd w:id="267"/>
    </w:p>
    <w:p>
      <w:pPr>
        <w:spacing w:line="360" w:lineRule="auto"/>
        <w:ind w:left="840" w:hanging="840" w:hangingChars="350"/>
        <w:rPr>
          <w:rFonts w:asciiTheme="minorEastAsia" w:hAnsiTheme="minorEastAsia" w:eastAsiaTheme="minorEastAsia"/>
          <w:sz w:val="24"/>
        </w:rPr>
      </w:pPr>
      <w:r>
        <w:rPr>
          <w:rFonts w:asciiTheme="minorEastAsia" w:hAnsiTheme="minorEastAsia" w:eastAsiaTheme="minorEastAsia"/>
          <w:sz w:val="24"/>
        </w:rPr>
        <w:t>35.1   采购代理机构工作人员不得以不正当手段获取政府采购代理业务，不得与采购人、供应商恶意串通。</w:t>
      </w:r>
    </w:p>
    <w:p>
      <w:pPr>
        <w:spacing w:line="360" w:lineRule="auto"/>
        <w:ind w:left="840" w:hanging="840" w:hangingChars="350"/>
        <w:rPr>
          <w:rFonts w:asciiTheme="minorEastAsia" w:hAnsiTheme="minorEastAsia" w:eastAsiaTheme="minorEastAsia"/>
          <w:sz w:val="24"/>
        </w:rPr>
      </w:pPr>
      <w:r>
        <w:rPr>
          <w:rFonts w:asciiTheme="minorEastAsia" w:hAnsiTheme="minorEastAsia" w:eastAsiaTheme="minorEastAsia"/>
          <w:sz w:val="24"/>
        </w:rPr>
        <w:t>35.2   采购代理机构工作人员不得接受采购人或者供应商组织的宴请、旅游、娱乐，不得收受礼品、现金、有价证券等，不得向采购人或者供应商报销应当由个人承担的费用。</w:t>
      </w:r>
    </w:p>
    <w:p>
      <w:pPr>
        <w:pStyle w:val="5"/>
        <w:ind w:firstLine="0" w:firstLineChars="0"/>
        <w:rPr>
          <w:rFonts w:asciiTheme="minorEastAsia" w:hAnsiTheme="minorEastAsia" w:eastAsiaTheme="minorEastAsia"/>
          <w:sz w:val="24"/>
          <w:szCs w:val="24"/>
        </w:rPr>
      </w:pPr>
      <w:bookmarkStart w:id="268" w:name="_Toc518923101"/>
      <w:bookmarkStart w:id="269" w:name="_Toc2583662"/>
      <w:bookmarkStart w:id="270" w:name="_Toc108721131"/>
      <w:r>
        <w:rPr>
          <w:rFonts w:asciiTheme="minorEastAsia" w:hAnsiTheme="minorEastAsia" w:eastAsiaTheme="minorEastAsia"/>
          <w:sz w:val="24"/>
          <w:szCs w:val="24"/>
        </w:rPr>
        <w:t>36.    人员回避</w:t>
      </w:r>
      <w:bookmarkEnd w:id="268"/>
      <w:bookmarkEnd w:id="269"/>
      <w:bookmarkEnd w:id="270"/>
    </w:p>
    <w:p>
      <w:pPr>
        <w:spacing w:line="360" w:lineRule="auto"/>
        <w:ind w:left="840" w:leftChars="400"/>
        <w:rPr>
          <w:rFonts w:asciiTheme="minorEastAsia" w:hAnsiTheme="minorEastAsia" w:eastAsiaTheme="minorEastAsia"/>
          <w:sz w:val="24"/>
        </w:rPr>
      </w:pPr>
      <w:r>
        <w:rPr>
          <w:rFonts w:asciiTheme="minorEastAsia" w:hAnsiTheme="minorEastAsia" w:eastAsiaTheme="minorEastAsia"/>
          <w:sz w:val="24"/>
        </w:rPr>
        <w:t>潜在投标人认为招标文件使自己的权益受到损害的，投标人认为采购人员及其相关人员有法律法规所列与其他供应商有利害关系的，均可以向采购人或采购代理机构书面提出回避申请，并说明理由。</w:t>
      </w:r>
    </w:p>
    <w:p>
      <w:pPr>
        <w:pStyle w:val="5"/>
        <w:ind w:firstLine="0" w:firstLineChars="0"/>
        <w:rPr>
          <w:rFonts w:asciiTheme="minorEastAsia" w:hAnsiTheme="minorEastAsia" w:eastAsiaTheme="minorEastAsia"/>
          <w:sz w:val="24"/>
          <w:szCs w:val="24"/>
        </w:rPr>
      </w:pPr>
      <w:bookmarkStart w:id="271" w:name="_Toc2583663"/>
      <w:bookmarkStart w:id="272" w:name="_Toc108721132"/>
      <w:bookmarkStart w:id="273" w:name="_Toc518923102"/>
      <w:r>
        <w:rPr>
          <w:rFonts w:asciiTheme="minorEastAsia" w:hAnsiTheme="minorEastAsia" w:eastAsiaTheme="minorEastAsia"/>
          <w:sz w:val="24"/>
          <w:szCs w:val="24"/>
        </w:rPr>
        <w:t>37.    质疑的提出与接收</w:t>
      </w:r>
      <w:bookmarkEnd w:id="271"/>
      <w:bookmarkEnd w:id="272"/>
      <w:bookmarkEnd w:id="273"/>
    </w:p>
    <w:p>
      <w:pPr>
        <w:spacing w:line="360" w:lineRule="auto"/>
        <w:ind w:left="840" w:hanging="840" w:hangingChars="350"/>
        <w:rPr>
          <w:rFonts w:asciiTheme="minorEastAsia" w:hAnsiTheme="minorEastAsia" w:eastAsiaTheme="minorEastAsia"/>
          <w:sz w:val="24"/>
        </w:rPr>
      </w:pPr>
      <w:r>
        <w:rPr>
          <w:rFonts w:asciiTheme="minorEastAsia" w:hAnsiTheme="minorEastAsia" w:eastAsiaTheme="minorEastAsia"/>
          <w:sz w:val="24"/>
        </w:rPr>
        <w:t>37.1   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360" w:lineRule="auto"/>
        <w:ind w:left="840" w:hanging="840" w:hangingChars="350"/>
        <w:rPr>
          <w:rFonts w:asciiTheme="minorEastAsia" w:hAnsiTheme="minorEastAsia" w:eastAsiaTheme="minorEastAsia"/>
          <w:sz w:val="24"/>
        </w:rPr>
      </w:pPr>
      <w:r>
        <w:rPr>
          <w:rFonts w:asciiTheme="minorEastAsia" w:hAnsiTheme="minorEastAsia" w:eastAsiaTheme="minorEastAsia"/>
          <w:sz w:val="24"/>
        </w:rPr>
        <w:t>37.2   质疑供应商应按照财政部制定的《政府采购质疑函范本》格式（可从财政部官方网站下载）和《政府采购质疑和投诉办法》的要求，在法定质疑期内以书面形式提出质疑，针对同一采购程序环节的质疑应一次性提出。</w:t>
      </w:r>
    </w:p>
    <w:p>
      <w:pPr>
        <w:spacing w:line="360" w:lineRule="auto"/>
        <w:ind w:left="840" w:leftChars="400"/>
        <w:rPr>
          <w:rFonts w:asciiTheme="minorEastAsia" w:hAnsiTheme="minorEastAsia" w:eastAsiaTheme="minorEastAsia"/>
          <w:sz w:val="24"/>
        </w:rPr>
      </w:pPr>
      <w:r>
        <w:rPr>
          <w:rFonts w:asciiTheme="minorEastAsia" w:hAnsiTheme="minorEastAsia" w:eastAsiaTheme="minorEastAsia"/>
          <w:sz w:val="24"/>
        </w:rPr>
        <w:t>超出法定质疑期提交的质疑将被拒绝。</w:t>
      </w:r>
    </w:p>
    <w:p>
      <w:pPr>
        <w:spacing w:line="360" w:lineRule="auto"/>
        <w:ind w:left="851" w:leftChars="405" w:hanging="1"/>
        <w:rPr>
          <w:rFonts w:asciiTheme="minorEastAsia" w:hAnsiTheme="minorEastAsia" w:eastAsiaTheme="minorEastAsia"/>
          <w:sz w:val="24"/>
        </w:rPr>
      </w:pPr>
      <w:r>
        <w:rPr>
          <w:rFonts w:asciiTheme="minorEastAsia" w:hAnsiTheme="minorEastAsia" w:eastAsiaTheme="minorEastAsia"/>
          <w:sz w:val="24"/>
        </w:rPr>
        <w:t>重复或分次提出的、内容或形式不符合《政府采购质疑和投诉办法》的，质疑供应商将依法承担不利后果。</w:t>
      </w:r>
    </w:p>
    <w:p>
      <w:pPr>
        <w:spacing w:line="360" w:lineRule="auto"/>
        <w:rPr>
          <w:rFonts w:asciiTheme="minorEastAsia" w:hAnsiTheme="minorEastAsia" w:eastAsiaTheme="minorEastAsia"/>
          <w:sz w:val="24"/>
        </w:rPr>
      </w:pPr>
      <w:r>
        <w:rPr>
          <w:rFonts w:asciiTheme="minorEastAsia" w:hAnsiTheme="minorEastAsia" w:eastAsiaTheme="minorEastAsia"/>
          <w:sz w:val="24"/>
        </w:rPr>
        <w:t>37.3   供应商提交质疑函的要求</w:t>
      </w:r>
    </w:p>
    <w:p>
      <w:pPr>
        <w:spacing w:line="360" w:lineRule="auto"/>
        <w:rPr>
          <w:rFonts w:asciiTheme="minorEastAsia" w:hAnsiTheme="minorEastAsia" w:eastAsiaTheme="minorEastAsia"/>
          <w:sz w:val="24"/>
        </w:rPr>
      </w:pPr>
      <w:r>
        <w:rPr>
          <w:rFonts w:asciiTheme="minorEastAsia" w:hAnsiTheme="minorEastAsia" w:eastAsiaTheme="minorEastAsia"/>
          <w:sz w:val="24"/>
        </w:rPr>
        <w:t>37.3.1 供应商提出质疑时，应提交质疑函和必要的证明材料。</w:t>
      </w:r>
    </w:p>
    <w:p>
      <w:pPr>
        <w:spacing w:line="360" w:lineRule="auto"/>
        <w:ind w:left="850" w:hanging="849" w:hangingChars="354"/>
        <w:rPr>
          <w:rFonts w:asciiTheme="minorEastAsia" w:hAnsiTheme="minorEastAsia" w:eastAsiaTheme="minorEastAsia"/>
          <w:sz w:val="24"/>
        </w:rPr>
      </w:pPr>
      <w:r>
        <w:rPr>
          <w:rFonts w:asciiTheme="minorEastAsia" w:hAnsiTheme="minorEastAsia" w:eastAsiaTheme="minorEastAsia"/>
          <w:sz w:val="24"/>
        </w:rPr>
        <w:t>37.3.2 质疑供应商若委托代理人进行质疑的，质疑函应按要求列明“授权代表”的有关内容，并在附件中提交由质疑供应商签署的授权委托书。授权委托书应载明代理人的姓名、代理事项、具体权限、期限和相关事项。</w:t>
      </w:r>
    </w:p>
    <w:p>
      <w:pPr>
        <w:spacing w:line="360" w:lineRule="auto"/>
        <w:rPr>
          <w:rFonts w:asciiTheme="minorEastAsia" w:hAnsiTheme="minorEastAsia" w:eastAsiaTheme="minorEastAsia"/>
          <w:sz w:val="24"/>
        </w:rPr>
      </w:pPr>
      <w:r>
        <w:rPr>
          <w:rFonts w:asciiTheme="minorEastAsia" w:hAnsiTheme="minorEastAsia" w:eastAsiaTheme="minorEastAsia"/>
          <w:sz w:val="24"/>
        </w:rPr>
        <w:t>37.3.3 质疑供应商若对项目的某一分包进行质疑，质疑函中应列明具体分包号。</w:t>
      </w:r>
    </w:p>
    <w:p>
      <w:pPr>
        <w:spacing w:line="360" w:lineRule="auto"/>
        <w:rPr>
          <w:rFonts w:asciiTheme="minorEastAsia" w:hAnsiTheme="minorEastAsia" w:eastAsiaTheme="minorEastAsia"/>
          <w:sz w:val="24"/>
        </w:rPr>
      </w:pPr>
      <w:r>
        <w:rPr>
          <w:rFonts w:asciiTheme="minorEastAsia" w:hAnsiTheme="minorEastAsia" w:eastAsiaTheme="minorEastAsia"/>
          <w:sz w:val="24"/>
        </w:rPr>
        <w:t>37.3.4 质疑函的质疑请求应与质疑事项相关。</w:t>
      </w:r>
    </w:p>
    <w:p>
      <w:pPr>
        <w:spacing w:line="360" w:lineRule="auto"/>
        <w:rPr>
          <w:rFonts w:asciiTheme="minorEastAsia" w:hAnsiTheme="minorEastAsia" w:eastAsiaTheme="minorEastAsia"/>
          <w:sz w:val="24"/>
        </w:rPr>
      </w:pPr>
      <w:r>
        <w:rPr>
          <w:rFonts w:asciiTheme="minorEastAsia" w:hAnsiTheme="minorEastAsia" w:eastAsiaTheme="minorEastAsia"/>
          <w:sz w:val="24"/>
        </w:rPr>
        <w:t>37.3.5 质疑函的质疑事项应具体、明确，并有必要的事实依据。</w:t>
      </w:r>
    </w:p>
    <w:p>
      <w:pPr>
        <w:spacing w:line="360" w:lineRule="auto"/>
        <w:ind w:left="840" w:hanging="840" w:hangingChars="350"/>
        <w:rPr>
          <w:rFonts w:asciiTheme="minorEastAsia" w:hAnsiTheme="minorEastAsia" w:eastAsiaTheme="minorEastAsia"/>
          <w:sz w:val="24"/>
        </w:rPr>
      </w:pPr>
      <w:r>
        <w:rPr>
          <w:rFonts w:asciiTheme="minorEastAsia" w:hAnsiTheme="minorEastAsia" w:eastAsiaTheme="minorEastAsia"/>
          <w:sz w:val="24"/>
        </w:rPr>
        <w:t>37.3.6 质疑供应商为自然人的，质疑函应由本人签字，质疑供应商为法人或其他组织的，质疑函应由法定代表人、主要负责人，或者其授权代表签字或盖章，并加盖公章。授权代表签字的需提供相应的授权书。</w:t>
      </w:r>
    </w:p>
    <w:p>
      <w:pPr>
        <w:spacing w:line="360" w:lineRule="auto"/>
        <w:rPr>
          <w:rFonts w:asciiTheme="minorEastAsia" w:hAnsiTheme="minorEastAsia" w:eastAsiaTheme="minorEastAsia"/>
          <w:sz w:val="24"/>
          <w:u w:val="single"/>
        </w:rPr>
        <w:sectPr>
          <w:pgSz w:w="11906" w:h="16838"/>
          <w:pgMar w:top="1418" w:right="1418" w:bottom="1418" w:left="1418" w:header="1020" w:footer="992" w:gutter="0"/>
          <w:pgNumType w:start="1"/>
          <w:cols w:space="720" w:num="1"/>
          <w:docGrid w:type="linesAndChars" w:linePitch="312" w:charSpace="0"/>
        </w:sectPr>
      </w:pPr>
      <w:r>
        <w:rPr>
          <w:rFonts w:asciiTheme="minorEastAsia" w:hAnsiTheme="minorEastAsia" w:eastAsiaTheme="minorEastAsia"/>
          <w:sz w:val="24"/>
        </w:rPr>
        <w:t>37.4   质疑函接收部门、联系电话和通讯地址, 见</w:t>
      </w:r>
      <w:r>
        <w:rPr>
          <w:rFonts w:asciiTheme="minorEastAsia" w:hAnsiTheme="minorEastAsia" w:eastAsiaTheme="minorEastAsia"/>
          <w:sz w:val="24"/>
          <w:u w:val="single"/>
        </w:rPr>
        <w:t>投标人须知前附表。</w:t>
      </w:r>
      <w:bookmarkEnd w:id="256"/>
      <w:bookmarkEnd w:id="257"/>
      <w:bookmarkEnd w:id="258"/>
      <w:bookmarkEnd w:id="259"/>
      <w:bookmarkEnd w:id="260"/>
    </w:p>
    <w:p>
      <w:pPr>
        <w:pStyle w:val="4"/>
        <w:jc w:val="both"/>
        <w:rPr>
          <w:rFonts w:asciiTheme="minorEastAsia" w:hAnsiTheme="minorEastAsia" w:eastAsiaTheme="minorEastAsia"/>
          <w:szCs w:val="24"/>
        </w:rPr>
      </w:pPr>
      <w:bookmarkStart w:id="274" w:name="_Toc108721133"/>
      <w:r>
        <w:rPr>
          <w:rStyle w:val="56"/>
          <w:rFonts w:asciiTheme="minorEastAsia" w:hAnsiTheme="minorEastAsia" w:eastAsiaTheme="minorEastAsia"/>
          <w:b w:val="0"/>
          <w:bCs/>
          <w:sz w:val="28"/>
          <w:szCs w:val="22"/>
        </w:rPr>
        <w:t>附件1：投标担保函</w:t>
      </w:r>
      <w:bookmarkEnd w:id="274"/>
    </w:p>
    <w:p>
      <w:pPr>
        <w:pStyle w:val="8"/>
        <w:snapToGrid w:val="0"/>
        <w:spacing w:line="288" w:lineRule="auto"/>
        <w:jc w:val="center"/>
        <w:rPr>
          <w:rFonts w:asciiTheme="minorEastAsia" w:hAnsiTheme="minorEastAsia" w:eastAsiaTheme="minorEastAsia"/>
          <w:szCs w:val="24"/>
        </w:rPr>
      </w:pPr>
      <w:r>
        <w:rPr>
          <w:rFonts w:asciiTheme="minorEastAsia" w:hAnsiTheme="minorEastAsia" w:eastAsiaTheme="minorEastAsia"/>
          <w:bCs/>
          <w:szCs w:val="24"/>
        </w:rPr>
        <w:t>（适用于投标保证金保函）</w:t>
      </w:r>
    </w:p>
    <w:p>
      <w:pPr>
        <w:snapToGrid w:val="0"/>
        <w:spacing w:line="288" w:lineRule="auto"/>
        <w:ind w:right="480"/>
        <w:jc w:val="center"/>
        <w:rPr>
          <w:rFonts w:asciiTheme="minorEastAsia" w:hAnsiTheme="minorEastAsia" w:eastAsiaTheme="minorEastAsia"/>
          <w:sz w:val="24"/>
        </w:rPr>
      </w:pPr>
      <w:r>
        <w:rPr>
          <w:rFonts w:asciiTheme="minorEastAsia" w:hAnsiTheme="minorEastAsia" w:eastAsiaTheme="minorEastAsia"/>
          <w:sz w:val="24"/>
        </w:rPr>
        <w:t xml:space="preserve">                                             保函编号:</w:t>
      </w:r>
    </w:p>
    <w:p>
      <w:pPr>
        <w:snapToGrid w:val="0"/>
        <w:spacing w:line="288" w:lineRule="auto"/>
        <w:jc w:val="left"/>
        <w:rPr>
          <w:rFonts w:asciiTheme="minorEastAsia" w:hAnsiTheme="minorEastAsia" w:eastAsiaTheme="minorEastAsia"/>
          <w:sz w:val="24"/>
          <w:u w:val="single"/>
        </w:rPr>
      </w:pPr>
    </w:p>
    <w:p>
      <w:pPr>
        <w:snapToGrid w:val="0"/>
        <w:spacing w:line="288" w:lineRule="auto"/>
        <w:jc w:val="left"/>
        <w:rPr>
          <w:rFonts w:asciiTheme="minorEastAsia" w:hAnsiTheme="minorEastAsia" w:eastAsiaTheme="minorEastAsia"/>
          <w:sz w:val="24"/>
        </w:rPr>
      </w:pPr>
      <w:r>
        <w:rPr>
          <w:rFonts w:hint="eastAsia" w:asciiTheme="minorEastAsia" w:hAnsiTheme="minorEastAsia" w:eastAsiaTheme="minorEastAsia"/>
          <w:sz w:val="24"/>
          <w:u w:val="single"/>
        </w:rPr>
        <w:t>陕西诺尔信项目管理有限公司</w:t>
      </w:r>
      <w:r>
        <w:rPr>
          <w:rFonts w:asciiTheme="minorEastAsia" w:hAnsiTheme="minorEastAsia" w:eastAsiaTheme="minorEastAsia"/>
          <w:sz w:val="24"/>
        </w:rPr>
        <w:t>(下称受益人):</w:t>
      </w:r>
    </w:p>
    <w:p>
      <w:pPr>
        <w:snapToGrid w:val="0"/>
        <w:spacing w:line="288" w:lineRule="auto"/>
        <w:jc w:val="left"/>
        <w:rPr>
          <w:rFonts w:asciiTheme="minorEastAsia" w:hAnsiTheme="minorEastAsia" w:eastAsiaTheme="minorEastAsia"/>
          <w:sz w:val="24"/>
        </w:rPr>
      </w:pPr>
      <w:r>
        <w:rPr>
          <w:rFonts w:asciiTheme="minorEastAsia" w:hAnsiTheme="minorEastAsia" w:eastAsiaTheme="minorEastAsia"/>
          <w:sz w:val="24"/>
        </w:rPr>
        <w:t xml:space="preserve">    鉴于</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asciiTheme="minorEastAsia" w:hAnsiTheme="minorEastAsia" w:eastAsiaTheme="minorEastAsia"/>
          <w:sz w:val="24"/>
        </w:rPr>
        <w:t>(下称被保证人)将于</w:t>
      </w:r>
      <w:r>
        <w:rPr>
          <w:rFonts w:asciiTheme="minorEastAsia" w:hAnsiTheme="minorEastAsia" w:eastAsiaTheme="minorEastAsia"/>
          <w:sz w:val="24"/>
          <w:u w:val="single"/>
        </w:rPr>
        <w:t>    年 月 日</w:t>
      </w:r>
      <w:r>
        <w:rPr>
          <w:rFonts w:asciiTheme="minorEastAsia" w:hAnsiTheme="minorEastAsia" w:eastAsiaTheme="minorEastAsia"/>
          <w:sz w:val="24"/>
        </w:rPr>
        <w:t>参加贵方招标编号为</w:t>
      </w:r>
      <w:r>
        <w:rPr>
          <w:rFonts w:asciiTheme="minorEastAsia" w:hAnsiTheme="minorEastAsia" w:eastAsiaTheme="minorEastAsia"/>
          <w:sz w:val="24"/>
          <w:u w:val="single"/>
        </w:rPr>
        <w:t> （采购项目编号）</w:t>
      </w:r>
      <w:r>
        <w:rPr>
          <w:rFonts w:asciiTheme="minorEastAsia" w:hAnsiTheme="minorEastAsia" w:eastAsiaTheme="minorEastAsia"/>
          <w:sz w:val="24"/>
        </w:rPr>
        <w:t>的</w:t>
      </w:r>
      <w:r>
        <w:rPr>
          <w:rFonts w:asciiTheme="minorEastAsia" w:hAnsiTheme="minorEastAsia" w:eastAsiaTheme="minorEastAsia"/>
          <w:sz w:val="24"/>
          <w:u w:val="single"/>
        </w:rPr>
        <w:t xml:space="preserve"> （项目名称） </w:t>
      </w:r>
      <w:r>
        <w:rPr>
          <w:rFonts w:asciiTheme="minorEastAsia" w:hAnsiTheme="minorEastAsia" w:eastAsiaTheme="minorEastAsia"/>
          <w:sz w:val="24"/>
        </w:rPr>
        <w:t>的投标,我方接受被保证人的委托,在此向受益人提供不可撤销的投标保证：</w:t>
      </w:r>
    </w:p>
    <w:p>
      <w:pPr>
        <w:numPr>
          <w:ilvl w:val="0"/>
          <w:numId w:val="3"/>
        </w:numPr>
        <w:snapToGrid w:val="0"/>
        <w:spacing w:line="288"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本保证担保的担保金额为</w:t>
      </w:r>
      <w:r>
        <w:rPr>
          <w:rFonts w:asciiTheme="minorEastAsia" w:hAnsiTheme="minorEastAsia" w:eastAsiaTheme="minorEastAsia"/>
          <w:sz w:val="24"/>
          <w:u w:val="single"/>
        </w:rPr>
        <w:t>人民币</w:t>
      </w:r>
      <w:r>
        <w:rPr>
          <w:rFonts w:asciiTheme="minorEastAsia" w:hAnsiTheme="minorEastAsia" w:eastAsiaTheme="minorEastAsia"/>
          <w:sz w:val="24"/>
        </w:rPr>
        <w:t>(币种</w:t>
      </w:r>
      <w:r>
        <w:rPr>
          <w:rFonts w:asciiTheme="minorEastAsia" w:hAnsiTheme="minorEastAsia" w:eastAsiaTheme="minorEastAsia"/>
          <w:sz w:val="24"/>
          <w:u w:val="single"/>
        </w:rPr>
        <w:t>)     </w:t>
      </w:r>
      <w:r>
        <w:rPr>
          <w:rFonts w:asciiTheme="minorEastAsia" w:hAnsiTheme="minorEastAsia" w:eastAsiaTheme="minorEastAsia"/>
          <w:sz w:val="24"/>
        </w:rPr>
        <w:t>元(小写)</w:t>
      </w:r>
      <w:r>
        <w:rPr>
          <w:rFonts w:asciiTheme="minorEastAsia" w:hAnsiTheme="minorEastAsia" w:eastAsiaTheme="minorEastAsia"/>
          <w:sz w:val="24"/>
          <w:u w:val="single"/>
        </w:rPr>
        <w:t xml:space="preserve">     元整</w:t>
      </w:r>
      <w:r>
        <w:rPr>
          <w:rFonts w:asciiTheme="minorEastAsia" w:hAnsiTheme="minorEastAsia" w:eastAsiaTheme="minorEastAsia"/>
          <w:sz w:val="24"/>
        </w:rPr>
        <w:t>(大写）。</w:t>
      </w:r>
    </w:p>
    <w:p>
      <w:pPr>
        <w:numPr>
          <w:ilvl w:val="0"/>
          <w:numId w:val="3"/>
        </w:numPr>
        <w:snapToGrid w:val="0"/>
        <w:spacing w:line="288"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本保证担保的保证期间为该项目的投标有效期(或延长的投标有效期)后28日(含28日),延长投标有效期无须通知我方。</w:t>
      </w:r>
    </w:p>
    <w:p>
      <w:pPr>
        <w:numPr>
          <w:ilvl w:val="0"/>
          <w:numId w:val="3"/>
        </w:numPr>
        <w:snapToGrid w:val="0"/>
        <w:spacing w:line="288"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 在本保证担保的保证期间内,如果被保证人出现下列情形之一,受益人可以向我方提起索赔：</w:t>
      </w:r>
    </w:p>
    <w:p>
      <w:pPr>
        <w:numPr>
          <w:ilvl w:val="0"/>
          <w:numId w:val="3"/>
        </w:numPr>
        <w:snapToGrid w:val="0"/>
        <w:spacing w:line="288" w:lineRule="auto"/>
        <w:ind w:firstLine="480" w:firstLineChars="200"/>
        <w:rPr>
          <w:rFonts w:asciiTheme="minorEastAsia" w:hAnsiTheme="minorEastAsia" w:eastAsiaTheme="minorEastAsia"/>
          <w:sz w:val="24"/>
        </w:rPr>
      </w:pPr>
      <w:r>
        <w:rPr>
          <w:rFonts w:asciiTheme="minorEastAsia" w:hAnsiTheme="minorEastAsia" w:eastAsiaTheme="minorEastAsia"/>
          <w:sz w:val="24"/>
        </w:rPr>
        <w:t>被保证人在招标文件规定的投标有效期内撤回其投标；</w:t>
      </w:r>
    </w:p>
    <w:p>
      <w:pPr>
        <w:numPr>
          <w:ilvl w:val="0"/>
          <w:numId w:val="3"/>
        </w:numPr>
        <w:snapToGrid w:val="0"/>
        <w:spacing w:line="288" w:lineRule="auto"/>
        <w:ind w:firstLine="480" w:firstLineChars="200"/>
        <w:rPr>
          <w:rFonts w:asciiTheme="minorEastAsia" w:hAnsiTheme="minorEastAsia" w:eastAsiaTheme="minorEastAsia"/>
          <w:sz w:val="24"/>
        </w:rPr>
      </w:pPr>
      <w:r>
        <w:rPr>
          <w:rFonts w:asciiTheme="minorEastAsia" w:hAnsiTheme="minorEastAsia" w:eastAsiaTheme="minorEastAsia"/>
          <w:sz w:val="24"/>
        </w:rPr>
        <w:t>被保证人在投标有效期内收到受益人发出的中标通知书后,不能或拒绝按招标文件的要求签署合同；</w:t>
      </w:r>
    </w:p>
    <w:p>
      <w:pPr>
        <w:numPr>
          <w:ilvl w:val="0"/>
          <w:numId w:val="3"/>
        </w:numPr>
        <w:snapToGrid w:val="0"/>
        <w:spacing w:line="288" w:lineRule="auto"/>
        <w:ind w:firstLine="480" w:firstLineChars="200"/>
        <w:rPr>
          <w:rFonts w:asciiTheme="minorEastAsia" w:hAnsiTheme="minorEastAsia" w:eastAsiaTheme="minorEastAsia"/>
          <w:sz w:val="24"/>
        </w:rPr>
      </w:pPr>
      <w:r>
        <w:rPr>
          <w:rFonts w:asciiTheme="minorEastAsia" w:hAnsiTheme="minorEastAsia" w:eastAsiaTheme="minorEastAsia"/>
          <w:sz w:val="24"/>
        </w:rPr>
        <w:t>被保证人在投标有效期内收到受益人发出的中标通知书后,不能或拒绝按招标文件的规定提交履约担保；</w:t>
      </w:r>
    </w:p>
    <w:p>
      <w:pPr>
        <w:numPr>
          <w:ilvl w:val="0"/>
          <w:numId w:val="3"/>
        </w:numPr>
        <w:snapToGrid w:val="0"/>
        <w:spacing w:line="288" w:lineRule="auto"/>
        <w:ind w:firstLine="480" w:firstLineChars="200"/>
        <w:rPr>
          <w:rFonts w:asciiTheme="minorEastAsia" w:hAnsiTheme="minorEastAsia" w:eastAsiaTheme="minorEastAsia"/>
          <w:sz w:val="24"/>
        </w:rPr>
      </w:pPr>
      <w:r>
        <w:rPr>
          <w:rFonts w:asciiTheme="minorEastAsia" w:hAnsiTheme="minorEastAsia" w:eastAsiaTheme="minorEastAsia"/>
          <w:sz w:val="24"/>
        </w:rPr>
        <w:t>被保证人中标后未按照招标文件规定交纳招标代理服务费。</w:t>
      </w:r>
    </w:p>
    <w:p>
      <w:pPr>
        <w:numPr>
          <w:ilvl w:val="0"/>
          <w:numId w:val="3"/>
        </w:numPr>
        <w:snapToGrid w:val="0"/>
        <w:spacing w:line="288" w:lineRule="auto"/>
        <w:ind w:firstLine="480" w:firstLineChars="200"/>
        <w:rPr>
          <w:rFonts w:asciiTheme="minorEastAsia" w:hAnsiTheme="minorEastAsia" w:eastAsiaTheme="minorEastAsia"/>
          <w:sz w:val="24"/>
        </w:rPr>
      </w:pPr>
      <w:r>
        <w:rPr>
          <w:rFonts w:asciiTheme="minorEastAsia" w:hAnsiTheme="minorEastAsia" w:eastAsiaTheme="minorEastAsia"/>
          <w:sz w:val="24"/>
        </w:rPr>
        <w:t>在本保证担保的保证期间内,我方收到受益人经法定代表人或其授权委托代理人签字并加盖公章的书面索赔通知后,将不争辩、不挑剔、不可撤销地立即向受益人支付本保证担保的担保金额。</w:t>
      </w:r>
    </w:p>
    <w:p>
      <w:pPr>
        <w:numPr>
          <w:ilvl w:val="0"/>
          <w:numId w:val="3"/>
        </w:numPr>
        <w:snapToGrid w:val="0"/>
        <w:spacing w:line="288" w:lineRule="auto"/>
        <w:ind w:firstLine="480" w:firstLineChars="200"/>
        <w:rPr>
          <w:rFonts w:asciiTheme="minorEastAsia" w:hAnsiTheme="minorEastAsia" w:eastAsiaTheme="minorEastAsia"/>
          <w:sz w:val="24"/>
        </w:rPr>
      </w:pPr>
      <w:r>
        <w:rPr>
          <w:rFonts w:asciiTheme="minorEastAsia" w:hAnsiTheme="minorEastAsia" w:eastAsiaTheme="minorEastAsia"/>
          <w:sz w:val="24"/>
        </w:rPr>
        <w:t>受益人的索赔通知应当说明索赔理由,并必须在本保证担保的保证期间内送达我方。</w:t>
      </w:r>
    </w:p>
    <w:p>
      <w:pPr>
        <w:numPr>
          <w:ilvl w:val="0"/>
          <w:numId w:val="3"/>
        </w:numPr>
        <w:snapToGrid w:val="0"/>
        <w:spacing w:line="288"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本保证担保项下的权利不得转让。</w:t>
      </w:r>
    </w:p>
    <w:p>
      <w:pPr>
        <w:numPr>
          <w:ilvl w:val="0"/>
          <w:numId w:val="3"/>
        </w:numPr>
        <w:snapToGrid w:val="0"/>
        <w:spacing w:line="288"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本保证担保的保证期间届满,或我方已向受益人支付本保证担保的担保金额,我方的保证责任免除。</w:t>
      </w:r>
    </w:p>
    <w:p>
      <w:pPr>
        <w:numPr>
          <w:ilvl w:val="0"/>
          <w:numId w:val="3"/>
        </w:numPr>
        <w:snapToGrid w:val="0"/>
        <w:spacing w:line="288"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本保证担保适用中华人民共和国法律。</w:t>
      </w:r>
    </w:p>
    <w:p>
      <w:pPr>
        <w:numPr>
          <w:ilvl w:val="0"/>
          <w:numId w:val="3"/>
        </w:numPr>
        <w:snapToGrid w:val="0"/>
        <w:spacing w:line="288"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本保证担保以中文文本为准,涂改无效。</w:t>
      </w:r>
    </w:p>
    <w:p>
      <w:pPr>
        <w:snapToGrid w:val="0"/>
        <w:spacing w:line="288" w:lineRule="auto"/>
        <w:rPr>
          <w:rFonts w:asciiTheme="minorEastAsia" w:hAnsiTheme="minorEastAsia" w:eastAsiaTheme="minorEastAsia"/>
          <w:sz w:val="24"/>
        </w:rPr>
      </w:pPr>
    </w:p>
    <w:p>
      <w:pPr>
        <w:snapToGrid w:val="0"/>
        <w:spacing w:line="288" w:lineRule="auto"/>
        <w:rPr>
          <w:rFonts w:asciiTheme="minorEastAsia" w:hAnsiTheme="minorEastAsia" w:eastAsiaTheme="minorEastAsia"/>
          <w:sz w:val="24"/>
          <w:u w:val="single"/>
        </w:rPr>
      </w:pPr>
      <w:r>
        <w:rPr>
          <w:rFonts w:asciiTheme="minorEastAsia" w:hAnsiTheme="minorEastAsia" w:eastAsiaTheme="minorEastAsia"/>
          <w:sz w:val="24"/>
        </w:rPr>
        <w:t>保证人(盖章):</w:t>
      </w:r>
      <w:r>
        <w:rPr>
          <w:rFonts w:asciiTheme="minorEastAsia" w:hAnsiTheme="minorEastAsia" w:eastAsiaTheme="minorEastAsia"/>
          <w:sz w:val="24"/>
          <w:u w:val="single"/>
        </w:rPr>
        <w:t xml:space="preserve">     </w:t>
      </w:r>
    </w:p>
    <w:p>
      <w:pPr>
        <w:snapToGrid w:val="0"/>
        <w:spacing w:line="288" w:lineRule="auto"/>
        <w:rPr>
          <w:rFonts w:asciiTheme="minorEastAsia" w:hAnsiTheme="minorEastAsia" w:eastAsiaTheme="minorEastAsia"/>
          <w:sz w:val="24"/>
          <w:u w:val="single"/>
        </w:rPr>
      </w:pPr>
      <w:r>
        <w:rPr>
          <w:rFonts w:asciiTheme="minorEastAsia" w:hAnsiTheme="minorEastAsia" w:eastAsiaTheme="minorEastAsia"/>
          <w:sz w:val="24"/>
        </w:rPr>
        <w:t xml:space="preserve">法定代表人或其授权委托代理人(签字）： </w:t>
      </w:r>
      <w:r>
        <w:rPr>
          <w:rFonts w:asciiTheme="minorEastAsia" w:hAnsiTheme="minorEastAsia" w:eastAsiaTheme="minorEastAsia"/>
          <w:sz w:val="24"/>
          <w:u w:val="single"/>
        </w:rPr>
        <w:t xml:space="preserve">               </w:t>
      </w:r>
    </w:p>
    <w:p>
      <w:pPr>
        <w:snapToGrid w:val="0"/>
        <w:spacing w:line="288" w:lineRule="auto"/>
        <w:rPr>
          <w:rFonts w:asciiTheme="minorEastAsia" w:hAnsiTheme="minorEastAsia" w:eastAsiaTheme="minorEastAsia"/>
          <w:sz w:val="24"/>
          <w:u w:val="single"/>
        </w:rPr>
      </w:pPr>
      <w:r>
        <w:rPr>
          <w:rFonts w:asciiTheme="minorEastAsia" w:hAnsiTheme="minorEastAsia" w:eastAsiaTheme="minorEastAsia"/>
          <w:sz w:val="24"/>
        </w:rPr>
        <w:t>单位地址:</w:t>
      </w:r>
      <w:r>
        <w:rPr>
          <w:rFonts w:asciiTheme="minorEastAsia" w:hAnsiTheme="minorEastAsia" w:eastAsiaTheme="minorEastAsia"/>
          <w:sz w:val="24"/>
          <w:u w:val="single"/>
        </w:rPr>
        <w:t xml:space="preserve">     </w:t>
      </w:r>
    </w:p>
    <w:p>
      <w:pPr>
        <w:snapToGrid w:val="0"/>
        <w:spacing w:line="288" w:lineRule="auto"/>
        <w:rPr>
          <w:rFonts w:asciiTheme="minorEastAsia" w:hAnsiTheme="minorEastAsia" w:eastAsiaTheme="minorEastAsia"/>
          <w:sz w:val="24"/>
          <w:u w:val="single"/>
        </w:rPr>
      </w:pPr>
      <w:r>
        <w:rPr>
          <w:rFonts w:asciiTheme="minorEastAsia" w:hAnsiTheme="minorEastAsia" w:eastAsiaTheme="minorEastAsia"/>
          <w:sz w:val="24"/>
        </w:rPr>
        <w:t>电话:</w:t>
      </w:r>
      <w:r>
        <w:rPr>
          <w:rFonts w:asciiTheme="minorEastAsia" w:hAnsiTheme="minorEastAsia" w:eastAsiaTheme="minorEastAsia"/>
          <w:sz w:val="24"/>
          <w:u w:val="single"/>
        </w:rPr>
        <w:t xml:space="preserve">     </w:t>
      </w:r>
    </w:p>
    <w:p>
      <w:pPr>
        <w:pStyle w:val="29"/>
        <w:snapToGrid w:val="0"/>
        <w:spacing w:before="0" w:beforeAutospacing="0" w:after="0" w:afterAutospacing="0" w:line="288" w:lineRule="auto"/>
        <w:jc w:val="both"/>
        <w:rPr>
          <w:rFonts w:cs="Times New Roman" w:asciiTheme="minorEastAsia" w:hAnsiTheme="minorEastAsia" w:eastAsiaTheme="minorEastAsia"/>
          <w:u w:val="single"/>
        </w:rPr>
      </w:pPr>
      <w:r>
        <w:rPr>
          <w:rFonts w:cs="Times New Roman" w:asciiTheme="minorEastAsia" w:hAnsiTheme="minorEastAsia" w:eastAsiaTheme="minorEastAsia"/>
        </w:rPr>
        <w:t>日期:</w:t>
      </w:r>
      <w:r>
        <w:rPr>
          <w:rFonts w:cs="Times New Roman" w:asciiTheme="minorEastAsia" w:hAnsiTheme="minorEastAsia" w:eastAsiaTheme="minorEastAsia"/>
          <w:u w:val="single"/>
        </w:rPr>
        <w:t xml:space="preserve">     年    月    日</w:t>
      </w:r>
    </w:p>
    <w:p>
      <w:pPr>
        <w:rPr>
          <w:rFonts w:asciiTheme="minorEastAsia" w:hAnsiTheme="minorEastAsia" w:eastAsiaTheme="minorEastAsia"/>
          <w:u w:val="single"/>
        </w:rPr>
      </w:pPr>
      <w:r>
        <w:rPr>
          <w:rFonts w:asciiTheme="minorEastAsia" w:hAnsiTheme="minorEastAsia" w:eastAsiaTheme="minorEastAsia"/>
          <w:u w:val="single"/>
        </w:rPr>
        <w:br w:type="page"/>
      </w:r>
    </w:p>
    <w:p>
      <w:pPr>
        <w:pStyle w:val="4"/>
        <w:spacing w:before="0" w:line="360" w:lineRule="auto"/>
        <w:jc w:val="both"/>
        <w:rPr>
          <w:rFonts w:asciiTheme="minorEastAsia" w:hAnsiTheme="minorEastAsia" w:eastAsiaTheme="minorEastAsia"/>
          <w:szCs w:val="24"/>
        </w:rPr>
      </w:pPr>
      <w:bookmarkStart w:id="275" w:name="_Toc6548"/>
      <w:bookmarkStart w:id="276" w:name="_Toc532473492"/>
      <w:bookmarkStart w:id="277" w:name="_Toc10951"/>
      <w:bookmarkStart w:id="278" w:name="_Toc108721134"/>
      <w:bookmarkStart w:id="279" w:name="_Toc515647800"/>
      <w:r>
        <w:rPr>
          <w:rFonts w:asciiTheme="minorEastAsia" w:hAnsiTheme="minorEastAsia" w:eastAsiaTheme="minorEastAsia"/>
          <w:b w:val="0"/>
          <w:bCs/>
          <w:sz w:val="28"/>
          <w:szCs w:val="22"/>
        </w:rPr>
        <w:t>附件2：履约担保函格式</w:t>
      </w:r>
      <w:bookmarkEnd w:id="275"/>
      <w:bookmarkEnd w:id="276"/>
      <w:bookmarkEnd w:id="277"/>
      <w:bookmarkEnd w:id="278"/>
      <w:bookmarkEnd w:id="279"/>
    </w:p>
    <w:p>
      <w:pPr>
        <w:ind w:firstLine="480" w:firstLineChars="200"/>
        <w:rPr>
          <w:rFonts w:asciiTheme="minorEastAsia" w:hAnsiTheme="minorEastAsia" w:eastAsiaTheme="minorEastAsia"/>
          <w:b/>
          <w:bCs/>
          <w:sz w:val="24"/>
          <w:u w:val="single"/>
        </w:rPr>
      </w:pPr>
      <w:r>
        <w:rPr>
          <w:rFonts w:asciiTheme="minorEastAsia" w:hAnsiTheme="minorEastAsia" w:eastAsiaTheme="minorEastAsia"/>
          <w:sz w:val="24"/>
        </w:rPr>
        <w:t xml:space="preserve">               </w:t>
      </w:r>
      <w:r>
        <w:rPr>
          <w:rFonts w:hint="eastAsia" w:asciiTheme="minorEastAsia" w:hAnsiTheme="minorEastAsia" w:eastAsiaTheme="minorEastAsia"/>
        </w:rPr>
        <w:t xml:space="preserve">                     </w:t>
      </w:r>
      <w:r>
        <w:rPr>
          <w:rFonts w:hint="eastAsia" w:asciiTheme="minorEastAsia" w:hAnsiTheme="minorEastAsia" w:eastAsiaTheme="minorEastAsia"/>
          <w:sz w:val="24"/>
        </w:rPr>
        <w:t xml:space="preserve">  </w:t>
      </w:r>
      <w:r>
        <w:rPr>
          <w:rFonts w:hint="eastAsia" w:asciiTheme="minorEastAsia" w:hAnsiTheme="minorEastAsia" w:eastAsiaTheme="minorEastAsia"/>
          <w:b/>
          <w:bCs/>
          <w:sz w:val="24"/>
        </w:rPr>
        <w:t>履约保函             编号：</w:t>
      </w:r>
      <w:r>
        <w:rPr>
          <w:rFonts w:hint="eastAsia" w:asciiTheme="minorEastAsia" w:hAnsiTheme="minorEastAsia" w:eastAsiaTheme="minorEastAsia"/>
          <w:b/>
          <w:bCs/>
          <w:sz w:val="24"/>
          <w:u w:val="single"/>
        </w:rPr>
        <w:t xml:space="preserve">        </w:t>
      </w:r>
    </w:p>
    <w:p>
      <w:pPr>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致：</w:t>
      </w:r>
      <w:r>
        <w:rPr>
          <w:rFonts w:hint="eastAsia" w:asciiTheme="minorEastAsia" w:hAnsiTheme="minorEastAsia" w:eastAsiaTheme="minorEastAsia"/>
          <w:sz w:val="24"/>
          <w:u w:val="single"/>
        </w:rPr>
        <w:t xml:space="preserve">     </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鉴于你方与</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（下称“供应商”）2022年   月</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日签定编号为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号的《供货合同》(以下简称主合同)，且依据该合同的约定，供应商应在你方支付预付款前，提供同等金额的履约保函。</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根据保函申请人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申请，我行(下称“保证人”)在此向贵方(下称“受益人”)开立不可撤销的履约保函(下称“本保函”)。</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hint="eastAsia" w:asciiTheme="minorEastAsia" w:hAnsiTheme="minorEastAsia" w:eastAsiaTheme="minorEastAsia"/>
          <w:b/>
          <w:bCs/>
          <w:sz w:val="24"/>
        </w:rPr>
        <w:t>本保函为独立保函，见索即付</w:t>
      </w:r>
      <w:r>
        <w:rPr>
          <w:rFonts w:hint="eastAsia" w:asciiTheme="minorEastAsia" w:hAnsiTheme="minorEastAsia" w:eastAsiaTheme="minorEastAsia"/>
          <w:sz w:val="24"/>
        </w:rPr>
        <w:t>。保证人承诺，在本保函有效期内收到受益人提交的索赔文件且符合本保函约定的，保证人将在收到索赔文件次日起十个工作日内在担保金额内向受益人付款。</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（一）在供应商出现下列情形之一时，我方承担保函履约责任：</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（1）.将中标项目转让给他人，或者在投标文件中未说明，且未经采购招标机构人同意，将中标项目分包给他人的；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（2）.未按主合同约定的型号、数量、规格、安装、维修等条款供应货物的；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（3）.未按主合同约定的交货期内保质保量完成货物的供货、安装调试并保证设备运行正常的；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（4）.交付的货物存在法律纠纷、产权纠纷、质押抵押等情形的；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（5）.其它影响你方正常使用货物的情形。</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（二）我方的保证范围是主合同约定合同价款总额的</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w:t>
      </w:r>
      <w:r>
        <w:rPr>
          <w:rFonts w:hint="eastAsia" w:asciiTheme="minorEastAsia" w:hAnsiTheme="minorEastAsia" w:eastAsiaTheme="minorEastAsia"/>
          <w:sz w:val="24"/>
        </w:rPr>
        <w:t>：数额为</w:t>
      </w:r>
      <w:r>
        <w:rPr>
          <w:rFonts w:hint="eastAsia" w:asciiTheme="minorEastAsia" w:hAnsiTheme="minorEastAsia" w:eastAsiaTheme="minorEastAsia"/>
          <w:sz w:val="24"/>
          <w:u w:val="single"/>
        </w:rPr>
        <w:t>￥      元</w:t>
      </w:r>
      <w:r>
        <w:rPr>
          <w:rFonts w:hint="eastAsia" w:asciiTheme="minorEastAsia" w:hAnsiTheme="minorEastAsia" w:eastAsiaTheme="minorEastAsia"/>
          <w:sz w:val="24"/>
        </w:rPr>
        <w:t>(大写：</w:t>
      </w:r>
      <w:r>
        <w:rPr>
          <w:rFonts w:hint="eastAsia" w:asciiTheme="minorEastAsia" w:hAnsiTheme="minorEastAsia" w:eastAsiaTheme="minorEastAsia"/>
          <w:sz w:val="24"/>
          <w:u w:val="single"/>
        </w:rPr>
        <w:t xml:space="preserve">              整</w:t>
      </w:r>
      <w:r>
        <w:rPr>
          <w:rFonts w:hint="eastAsia" w:asciiTheme="minorEastAsia" w:hAnsiTheme="minorEastAsia" w:eastAsiaTheme="minorEastAsia"/>
          <w:sz w:val="24"/>
        </w:rPr>
        <w:t>)，币种为</w:t>
      </w:r>
      <w:r>
        <w:rPr>
          <w:rFonts w:hint="eastAsia" w:asciiTheme="minorEastAsia" w:hAnsiTheme="minorEastAsia" w:eastAsiaTheme="minorEastAsia"/>
          <w:sz w:val="24"/>
          <w:u w:val="single"/>
        </w:rPr>
        <w:t>人民币</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（三）承担保证责任的程序</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如果供应商未按主合同约定向贵方供应货物的，存在第一条第一款所列5种情形之一的，由我方在保证金额内向你方支付上述款项。</w:t>
      </w:r>
      <w:r>
        <w:rPr>
          <w:rFonts w:hint="eastAsia" w:asciiTheme="minorEastAsia" w:hAnsiTheme="minorEastAsia" w:eastAsiaTheme="minorEastAsia"/>
          <w:sz w:val="24"/>
        </w:rPr>
        <w:t>保证人承诺，在本保函有效期内收到受益人提交的索赔文件且符合本保函约定的，保证人将在收到索赔通知次日起十个工作日内在担保金额内向受益人付款。索赔通知应写明要求索赔的金额，支付款项应到达的账号。并附有证明供应商违约事实的证明材料。</w:t>
      </w:r>
    </w:p>
    <w:p>
      <w:pPr>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二、受益人将主合同项下债权转让第三人时需经保证人书面同意，否则保证人在本保函项下的担保责任自动解除。</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三、未经保证人书面同意，本保函不得转让、质押。</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四、本保函一经开立盖章后立即生效，于 </w:t>
      </w:r>
      <w:r>
        <w:rPr>
          <w:rFonts w:hint="eastAsia" w:asciiTheme="minorEastAsia" w:hAnsiTheme="minorEastAsia" w:eastAsiaTheme="minorEastAsia"/>
          <w:sz w:val="24"/>
          <w:u w:val="single"/>
        </w:rPr>
        <w:t xml:space="preserve">       日</w:t>
      </w:r>
      <w:r>
        <w:rPr>
          <w:rFonts w:hint="eastAsia" w:asciiTheme="minorEastAsia" w:hAnsiTheme="minorEastAsia" w:eastAsiaTheme="minorEastAsia"/>
          <w:sz w:val="24"/>
        </w:rPr>
        <w:t>保证人对公营业时间结束时失效(若该日为非银行营业时间，则以该日之前的最后一个银行营业日为准)。本保函失效后，受益人应立即将本保函正本原件退回保证人，但无论是否退回，本保函自失效日起均视为自动失效，保证人在本保函项下的保证责任和义务自动解除。</w:t>
      </w:r>
    </w:p>
    <w:p>
      <w:pPr>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sz w:val="24"/>
        </w:rPr>
        <w:t>五、本保函适用中华人民共和国法律，受中华人民共和国法律管辖。在本保函履行期间，如发生争议，各当事人首先应协商解决。</w:t>
      </w:r>
      <w:r>
        <w:rPr>
          <w:rFonts w:hint="eastAsia" w:asciiTheme="minorEastAsia" w:hAnsiTheme="minorEastAsia" w:eastAsiaTheme="minorEastAsia"/>
          <w:b/>
          <w:bCs/>
          <w:sz w:val="24"/>
        </w:rPr>
        <w:t>协商不能解决的，任何一方应向保证人所在地有管辖权的法院提起诉讼。</w:t>
      </w:r>
    </w:p>
    <w:p>
      <w:pPr>
        <w:spacing w:line="360" w:lineRule="auto"/>
        <w:jc w:val="right"/>
        <w:rPr>
          <w:rFonts w:asciiTheme="minorEastAsia" w:hAnsiTheme="minorEastAsia" w:eastAsiaTheme="minorEastAsia"/>
          <w:sz w:val="24"/>
        </w:rPr>
      </w:pPr>
      <w:r>
        <w:rPr>
          <w:rFonts w:hint="eastAsia" w:asciiTheme="minorEastAsia" w:hAnsiTheme="minorEastAsia" w:eastAsiaTheme="minorEastAsia"/>
          <w:sz w:val="24"/>
        </w:rPr>
        <w:t>保证人：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行</w:t>
      </w:r>
    </w:p>
    <w:p>
      <w:pPr>
        <w:spacing w:line="360" w:lineRule="auto"/>
        <w:jc w:val="right"/>
        <w:rPr>
          <w:rFonts w:asciiTheme="minorEastAsia" w:hAnsiTheme="minorEastAsia" w:eastAsiaTheme="minorEastAsia"/>
          <w:sz w:val="24"/>
        </w:rPr>
      </w:pPr>
      <w:r>
        <w:rPr>
          <w:rFonts w:hint="eastAsia" w:asciiTheme="minorEastAsia" w:hAnsiTheme="minorEastAsia" w:eastAsiaTheme="minorEastAsia"/>
          <w:sz w:val="24"/>
        </w:rPr>
        <w:t>（银行签章）</w:t>
      </w:r>
    </w:p>
    <w:p>
      <w:pPr>
        <w:spacing w:line="360" w:lineRule="auto"/>
        <w:jc w:val="right"/>
        <w:rPr>
          <w:rFonts w:asciiTheme="minorEastAsia" w:hAnsiTheme="minorEastAsia" w:eastAsiaTheme="minorEastAsia"/>
          <w:sz w:val="24"/>
        </w:rPr>
      </w:pPr>
      <w:r>
        <w:rPr>
          <w:rFonts w:hint="eastAsia" w:asciiTheme="minorEastAsia" w:hAnsiTheme="minorEastAsia" w:eastAsiaTheme="minorEastAsia"/>
          <w:sz w:val="24"/>
        </w:rPr>
        <w:t>有权签字人：</w:t>
      </w:r>
    </w:p>
    <w:p>
      <w:pPr>
        <w:spacing w:line="360" w:lineRule="auto"/>
        <w:jc w:val="right"/>
        <w:rPr>
          <w:rFonts w:asciiTheme="minorEastAsia" w:hAnsiTheme="minorEastAsia" w:eastAsiaTheme="minorEastAsia"/>
          <w:sz w:val="24"/>
        </w:rPr>
      </w:pPr>
      <w:r>
        <w:rPr>
          <w:rFonts w:hint="eastAsia" w:asciiTheme="minorEastAsia" w:hAnsiTheme="minorEastAsia" w:eastAsiaTheme="minorEastAsia"/>
          <w:sz w:val="24"/>
        </w:rPr>
        <w:t>开具日期:</w:t>
      </w:r>
    </w:p>
    <w:p>
      <w:pPr>
        <w:spacing w:line="360" w:lineRule="auto"/>
        <w:ind w:firstLine="5520" w:firstLineChars="2300"/>
        <w:jc w:val="right"/>
        <w:rPr>
          <w:rFonts w:asciiTheme="minorEastAsia" w:hAnsiTheme="minorEastAsia" w:eastAsiaTheme="minorEastAsia"/>
          <w:sz w:val="24"/>
        </w:rPr>
      </w:pPr>
      <w:r>
        <w:rPr>
          <w:rFonts w:hint="eastAsia" w:asciiTheme="minorEastAsia" w:hAnsiTheme="minorEastAsia" w:eastAsiaTheme="minorEastAsia"/>
          <w:sz w:val="24"/>
        </w:rPr>
        <w:t xml:space="preserve">年 </w:t>
      </w:r>
      <w:r>
        <w:rPr>
          <w:rFonts w:asciiTheme="minorEastAsia" w:hAnsiTheme="minorEastAsia" w:eastAsiaTheme="minorEastAsia"/>
          <w:sz w:val="24"/>
        </w:rPr>
        <w:t xml:space="preserve"> </w:t>
      </w:r>
      <w:r>
        <w:rPr>
          <w:rFonts w:hint="eastAsia" w:asciiTheme="minorEastAsia" w:hAnsiTheme="minorEastAsia" w:eastAsiaTheme="minorEastAsia"/>
          <w:sz w:val="24"/>
        </w:rPr>
        <w:t>月</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p>
      <w:pPr>
        <w:pStyle w:val="8"/>
        <w:spacing w:line="360" w:lineRule="auto"/>
        <w:ind w:firstLine="0"/>
        <w:rPr>
          <w:rFonts w:asciiTheme="minorEastAsia" w:hAnsiTheme="minorEastAsia" w:eastAsiaTheme="minorEastAsia"/>
          <w:kern w:val="2"/>
          <w:szCs w:val="24"/>
        </w:rPr>
      </w:pPr>
    </w:p>
    <w:p>
      <w:pPr>
        <w:pStyle w:val="31"/>
        <w:rPr>
          <w:rFonts w:asciiTheme="minorEastAsia" w:hAnsiTheme="minorEastAsia" w:eastAsiaTheme="minorEastAsia"/>
        </w:rPr>
      </w:pPr>
      <w:bookmarkStart w:id="280" w:name="_Toc532044540"/>
      <w:bookmarkStart w:id="281" w:name="_Toc507399907"/>
      <w:bookmarkStart w:id="282" w:name="_Toc515647832"/>
      <w:bookmarkStart w:id="283" w:name="_Toc7971"/>
      <w:bookmarkStart w:id="284" w:name="_Toc532473756"/>
      <w:bookmarkStart w:id="285" w:name="_Toc32647"/>
      <w:bookmarkStart w:id="286" w:name="_Toc515647802"/>
      <w:bookmarkStart w:id="287" w:name="_Toc702"/>
      <w:bookmarkStart w:id="288" w:name="_Toc216582812"/>
      <w:bookmarkStart w:id="289" w:name="_Toc728"/>
      <w:bookmarkStart w:id="290" w:name="_Toc532473493"/>
      <w:r>
        <w:rPr>
          <w:rFonts w:asciiTheme="minorEastAsia" w:hAnsiTheme="minorEastAsia" w:eastAsiaTheme="minorEastAsia"/>
        </w:rPr>
        <w:br w:type="page"/>
      </w:r>
      <w:bookmarkStart w:id="291" w:name="_Toc23814"/>
      <w:bookmarkStart w:id="292" w:name="_Toc108721135"/>
      <w:r>
        <w:rPr>
          <w:rFonts w:asciiTheme="minorEastAsia" w:hAnsiTheme="minorEastAsia" w:eastAsiaTheme="minorEastAsia"/>
        </w:rPr>
        <w:t>第三章  评标方法和标准</w:t>
      </w:r>
      <w:bookmarkEnd w:id="280"/>
      <w:bookmarkEnd w:id="281"/>
      <w:bookmarkEnd w:id="282"/>
      <w:bookmarkEnd w:id="283"/>
      <w:bookmarkEnd w:id="284"/>
      <w:bookmarkEnd w:id="285"/>
      <w:bookmarkEnd w:id="291"/>
      <w:bookmarkEnd w:id="292"/>
    </w:p>
    <w:p>
      <w:pPr>
        <w:pStyle w:val="12"/>
        <w:tabs>
          <w:tab w:val="clear" w:pos="567"/>
        </w:tabs>
        <w:spacing w:before="0" w:line="360" w:lineRule="auto"/>
        <w:ind w:firstLine="540" w:firstLineChars="225"/>
        <w:rPr>
          <w:rFonts w:asciiTheme="minorEastAsia" w:hAnsiTheme="minorEastAsia" w:eastAsiaTheme="minorEastAsia"/>
        </w:rPr>
      </w:pPr>
      <w:r>
        <w:rPr>
          <w:rFonts w:asciiTheme="minorEastAsia" w:hAnsiTheme="minorEastAsia" w:eastAsiaTheme="minorEastAsia"/>
        </w:rPr>
        <w:t>采购人委托采购代理机构负责组织本项目的评标工作。资格审查由采购人或者采购代理机构负责，评标工作由评标委员会负责。工作程序如下：</w:t>
      </w:r>
    </w:p>
    <w:p>
      <w:pPr>
        <w:pStyle w:val="12"/>
        <w:tabs>
          <w:tab w:val="clear" w:pos="567"/>
        </w:tabs>
        <w:spacing w:before="0" w:line="360" w:lineRule="auto"/>
        <w:ind w:firstLine="540" w:firstLineChars="225"/>
        <w:outlineLvl w:val="1"/>
        <w:rPr>
          <w:rFonts w:asciiTheme="minorEastAsia" w:hAnsiTheme="minorEastAsia" w:eastAsiaTheme="minorEastAsia"/>
        </w:rPr>
      </w:pPr>
      <w:bookmarkStart w:id="293" w:name="_Toc108720991"/>
      <w:bookmarkStart w:id="294" w:name="_Toc108721136"/>
      <w:r>
        <w:rPr>
          <w:rFonts w:asciiTheme="minorEastAsia" w:hAnsiTheme="minorEastAsia" w:eastAsiaTheme="minorEastAsia"/>
        </w:rPr>
        <w:t>一、由</w:t>
      </w:r>
      <w:r>
        <w:rPr>
          <w:rFonts w:asciiTheme="minorEastAsia" w:hAnsiTheme="minorEastAsia" w:eastAsiaTheme="minorEastAsia"/>
          <w:b/>
        </w:rPr>
        <w:t>采购人或者采购代理机构</w:t>
      </w:r>
      <w:r>
        <w:rPr>
          <w:rFonts w:asciiTheme="minorEastAsia" w:hAnsiTheme="minorEastAsia" w:eastAsiaTheme="minorEastAsia"/>
        </w:rPr>
        <w:t>负责资格审查工作。</w:t>
      </w:r>
      <w:bookmarkEnd w:id="293"/>
      <w:bookmarkEnd w:id="294"/>
    </w:p>
    <w:p>
      <w:pPr>
        <w:pStyle w:val="12"/>
        <w:tabs>
          <w:tab w:val="clear" w:pos="567"/>
        </w:tabs>
        <w:spacing w:before="0" w:line="360" w:lineRule="auto"/>
        <w:ind w:firstLine="480" w:firstLineChars="200"/>
        <w:rPr>
          <w:rFonts w:asciiTheme="minorEastAsia" w:hAnsiTheme="minorEastAsia" w:eastAsiaTheme="minorEastAsia"/>
        </w:rPr>
      </w:pPr>
      <w:r>
        <w:rPr>
          <w:rFonts w:asciiTheme="minorEastAsia" w:hAnsiTheme="minorEastAsia" w:eastAsiaTheme="minorEastAsia"/>
        </w:rPr>
        <w:t>投标文件中的资格证明文件出现下列情况者（但不限于），按无效投标处理：</w:t>
      </w:r>
    </w:p>
    <w:p>
      <w:pPr>
        <w:autoSpaceDE w:val="0"/>
        <w:autoSpaceDN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1、投标人资格证明文件的完整性、有效性或符合性不符合要求的。</w:t>
      </w:r>
    </w:p>
    <w:p>
      <w:pPr>
        <w:autoSpaceDE w:val="0"/>
        <w:autoSpaceDN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2、投标人法定代表人授权书的完整性、有效性、符合性不符合要求的。</w:t>
      </w:r>
    </w:p>
    <w:p>
      <w:pPr>
        <w:pStyle w:val="12"/>
        <w:tabs>
          <w:tab w:val="clear" w:pos="567"/>
        </w:tabs>
        <w:spacing w:before="0" w:line="360" w:lineRule="auto"/>
        <w:ind w:firstLine="480" w:firstLineChars="200"/>
        <w:rPr>
          <w:rFonts w:asciiTheme="minorEastAsia" w:hAnsiTheme="minorEastAsia" w:eastAsiaTheme="minorEastAsia"/>
        </w:rPr>
      </w:pPr>
      <w:r>
        <w:rPr>
          <w:rFonts w:asciiTheme="minorEastAsia" w:hAnsiTheme="minorEastAsia" w:eastAsiaTheme="minorEastAsia"/>
        </w:rPr>
        <w:t>3、信用查询不符合要求的。</w:t>
      </w:r>
    </w:p>
    <w:p>
      <w:pPr>
        <w:pStyle w:val="12"/>
        <w:tabs>
          <w:tab w:val="clear" w:pos="567"/>
        </w:tabs>
        <w:spacing w:before="0" w:line="360" w:lineRule="auto"/>
        <w:ind w:firstLine="480" w:firstLineChars="200"/>
        <w:outlineLvl w:val="1"/>
        <w:rPr>
          <w:rFonts w:asciiTheme="minorEastAsia" w:hAnsiTheme="minorEastAsia" w:eastAsiaTheme="minorEastAsia"/>
        </w:rPr>
      </w:pPr>
      <w:bookmarkStart w:id="295" w:name="_Toc108720992"/>
      <w:bookmarkStart w:id="296" w:name="_Toc108721137"/>
      <w:r>
        <w:rPr>
          <w:rFonts w:asciiTheme="minorEastAsia" w:hAnsiTheme="minorEastAsia" w:eastAsiaTheme="minorEastAsia"/>
        </w:rPr>
        <w:t>二、由</w:t>
      </w:r>
      <w:r>
        <w:rPr>
          <w:rFonts w:asciiTheme="minorEastAsia" w:hAnsiTheme="minorEastAsia" w:eastAsiaTheme="minorEastAsia"/>
          <w:b/>
        </w:rPr>
        <w:t>评标委员会</w:t>
      </w:r>
      <w:r>
        <w:rPr>
          <w:rFonts w:asciiTheme="minorEastAsia" w:hAnsiTheme="minorEastAsia" w:eastAsiaTheme="minorEastAsia"/>
        </w:rPr>
        <w:t>负责的审查评审工作。</w:t>
      </w:r>
      <w:bookmarkEnd w:id="295"/>
      <w:bookmarkEnd w:id="296"/>
    </w:p>
    <w:p>
      <w:pPr>
        <w:pStyle w:val="12"/>
        <w:tabs>
          <w:tab w:val="clear" w:pos="567"/>
        </w:tabs>
        <w:spacing w:before="0" w:line="360" w:lineRule="auto"/>
        <w:ind w:firstLine="480" w:firstLineChars="200"/>
        <w:rPr>
          <w:rFonts w:asciiTheme="minorEastAsia" w:hAnsiTheme="minorEastAsia" w:eastAsiaTheme="minorEastAsia"/>
        </w:rPr>
      </w:pPr>
      <w:r>
        <w:rPr>
          <w:rFonts w:asciiTheme="minorEastAsia" w:hAnsiTheme="minorEastAsia" w:eastAsiaTheme="minorEastAsia"/>
        </w:rPr>
        <w:t>1、符合性审查是指评标委员会依据招标文件的规定，从商务和技术角度对投标文件的有效性和完整性进行审查，以确定是否对招标文件的实质性要求做出响应。出现下列情况者（但不限于），按无效投标处理。</w:t>
      </w:r>
    </w:p>
    <w:p>
      <w:pPr>
        <w:autoSpaceDE w:val="0"/>
        <w:autoSpaceDN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1.1 投标文件未按招标文件要求签署、盖章的。</w:t>
      </w:r>
    </w:p>
    <w:p>
      <w:pPr>
        <w:autoSpaceDE w:val="0"/>
        <w:autoSpaceDN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1.2 投标人投标报价超出采购预算</w:t>
      </w:r>
      <w:r>
        <w:rPr>
          <w:rFonts w:hint="eastAsia" w:asciiTheme="minorEastAsia" w:hAnsiTheme="minorEastAsia" w:eastAsiaTheme="minorEastAsia"/>
          <w:sz w:val="24"/>
        </w:rPr>
        <w:t>及分项预算</w:t>
      </w:r>
      <w:r>
        <w:rPr>
          <w:rFonts w:asciiTheme="minorEastAsia" w:hAnsiTheme="minorEastAsia" w:eastAsiaTheme="minorEastAsia"/>
          <w:sz w:val="24"/>
        </w:rPr>
        <w:t>或最高限价的。</w:t>
      </w:r>
    </w:p>
    <w:p>
      <w:pPr>
        <w:autoSpaceDE w:val="0"/>
        <w:autoSpaceDN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1.3 投标人的报价明显低于其他通过符合性审查投标人的报价，有可能影响产品质量或者不能诚信履约的，且投标人不能证明其报价合理性的。</w:t>
      </w:r>
    </w:p>
    <w:p>
      <w:pPr>
        <w:autoSpaceDE w:val="0"/>
        <w:autoSpaceDN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1.4 投标保证金未提交或金额、形式不符合招标文件要求的</w:t>
      </w:r>
      <w:r>
        <w:rPr>
          <w:rFonts w:hint="eastAsia" w:asciiTheme="minorEastAsia" w:hAnsiTheme="minorEastAsia" w:eastAsiaTheme="minorEastAsia"/>
          <w:sz w:val="24"/>
        </w:rPr>
        <w:t>（如有）</w:t>
      </w:r>
      <w:r>
        <w:rPr>
          <w:rFonts w:asciiTheme="minorEastAsia" w:hAnsiTheme="minorEastAsia" w:eastAsiaTheme="minorEastAsia"/>
          <w:sz w:val="24"/>
        </w:rPr>
        <w:t>。</w:t>
      </w:r>
    </w:p>
    <w:p>
      <w:pPr>
        <w:autoSpaceDE w:val="0"/>
        <w:autoSpaceDN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1.5 投标内容出现漏项或数量与要求不符或投标内容的技术指标达不到招标文件要求，造成采购档次降低或影响采购性能、功能。</w:t>
      </w:r>
    </w:p>
    <w:p>
      <w:pPr>
        <w:pStyle w:val="12"/>
        <w:tabs>
          <w:tab w:val="clear" w:pos="567"/>
        </w:tabs>
        <w:spacing w:before="0" w:line="360" w:lineRule="auto"/>
        <w:ind w:firstLine="360" w:firstLineChars="150"/>
        <w:rPr>
          <w:rFonts w:asciiTheme="minorEastAsia" w:hAnsiTheme="minorEastAsia" w:eastAsiaTheme="minorEastAsia"/>
        </w:rPr>
      </w:pPr>
      <w:r>
        <w:rPr>
          <w:rFonts w:asciiTheme="minorEastAsia" w:hAnsiTheme="minorEastAsia" w:eastAsiaTheme="minorEastAsia"/>
        </w:rPr>
        <w:t>2、如有必要，要求投标人对投标文件有关事项作出书面澄清或者说明。</w:t>
      </w:r>
    </w:p>
    <w:p>
      <w:pPr>
        <w:pStyle w:val="12"/>
        <w:tabs>
          <w:tab w:val="clear" w:pos="567"/>
        </w:tabs>
        <w:spacing w:before="0" w:line="360" w:lineRule="auto"/>
        <w:ind w:left="120" w:firstLine="240" w:firstLineChars="100"/>
        <w:rPr>
          <w:rFonts w:asciiTheme="minorEastAsia" w:hAnsiTheme="minorEastAsia" w:eastAsiaTheme="minorEastAsia"/>
        </w:rPr>
      </w:pPr>
      <w:r>
        <w:rPr>
          <w:rFonts w:asciiTheme="minorEastAsia" w:hAnsiTheme="minorEastAsia" w:eastAsiaTheme="minorEastAsia"/>
        </w:rPr>
        <w:t>3、对投标文件进行比较和评价</w:t>
      </w:r>
    </w:p>
    <w:p>
      <w:pPr>
        <w:pStyle w:val="12"/>
        <w:tabs>
          <w:tab w:val="clear" w:pos="567"/>
        </w:tabs>
        <w:spacing w:before="0" w:line="360" w:lineRule="auto"/>
        <w:ind w:firstLine="360" w:firstLineChars="150"/>
        <w:rPr>
          <w:rFonts w:asciiTheme="minorEastAsia" w:hAnsiTheme="minorEastAsia" w:eastAsiaTheme="minorEastAsia"/>
        </w:rPr>
      </w:pPr>
      <w:r>
        <w:rPr>
          <w:rFonts w:asciiTheme="minorEastAsia" w:hAnsiTheme="minorEastAsia" w:eastAsiaTheme="minorEastAsia"/>
        </w:rPr>
        <w:t>3.1 如本项目评标方法为最低评标价法，评标委员会在审查投标文件满足招标文件全部实质性要求后，按投标报价从低到高顺序确定中标候选人。</w:t>
      </w:r>
    </w:p>
    <w:p>
      <w:pPr>
        <w:pStyle w:val="12"/>
        <w:tabs>
          <w:tab w:val="clear" w:pos="567"/>
        </w:tabs>
        <w:spacing w:before="0" w:line="360" w:lineRule="auto"/>
        <w:ind w:firstLine="540" w:firstLineChars="225"/>
        <w:rPr>
          <w:rFonts w:asciiTheme="minorEastAsia" w:hAnsiTheme="minorEastAsia" w:eastAsiaTheme="minorEastAsia"/>
        </w:rPr>
      </w:pPr>
      <w:r>
        <w:rPr>
          <w:rFonts w:asciiTheme="minorEastAsia" w:hAnsiTheme="minorEastAsia" w:eastAsiaTheme="minorEastAsia"/>
        </w:rPr>
        <w:t>除了算术修正和落实政府采购政策需进行的价格扣除外，不得对投标人的投标价格进行任何调整。</w:t>
      </w:r>
    </w:p>
    <w:p>
      <w:pPr>
        <w:pStyle w:val="12"/>
        <w:tabs>
          <w:tab w:val="clear" w:pos="567"/>
        </w:tabs>
        <w:spacing w:before="0" w:line="360" w:lineRule="auto"/>
        <w:ind w:firstLine="480" w:firstLineChars="200"/>
        <w:rPr>
          <w:rFonts w:asciiTheme="minorEastAsia" w:hAnsiTheme="minorEastAsia" w:eastAsiaTheme="minorEastAsia"/>
        </w:rPr>
      </w:pPr>
      <w:r>
        <w:rPr>
          <w:rFonts w:asciiTheme="minorEastAsia" w:hAnsiTheme="minorEastAsia" w:eastAsiaTheme="minorEastAsia"/>
        </w:rPr>
        <w:t>3.2 如本项目评标方法为综合评分法，评标委员会对满足招标文件全部实质性要求的投标文件，按照招标文件规定的评审因素的量化指标进行评审打分，以评审得分从高到低顺序确定中标候选人。</w:t>
      </w:r>
    </w:p>
    <w:p>
      <w:pPr>
        <w:pStyle w:val="12"/>
        <w:tabs>
          <w:tab w:val="clear" w:pos="567"/>
        </w:tabs>
        <w:spacing w:before="0" w:line="360" w:lineRule="auto"/>
        <w:ind w:firstLine="540" w:firstLineChars="225"/>
        <w:rPr>
          <w:rFonts w:asciiTheme="minorEastAsia" w:hAnsiTheme="minorEastAsia" w:eastAsiaTheme="minorEastAsia"/>
        </w:rPr>
      </w:pPr>
      <w:r>
        <w:rPr>
          <w:rFonts w:asciiTheme="minorEastAsia" w:hAnsiTheme="minorEastAsia" w:eastAsiaTheme="minorEastAsia"/>
        </w:rPr>
        <w:t>评标委员会每位成员独立对每个有效投标人的投标文件进行评价、打分；然后汇总每个投标人的得分，计算得分平均值，以平均值由高到低进行排序，按排序顺序推荐中标候选人。分值计算保留小数点后一位，第二位四舍五入。</w:t>
      </w:r>
    </w:p>
    <w:p>
      <w:pPr>
        <w:pStyle w:val="12"/>
        <w:tabs>
          <w:tab w:val="clear" w:pos="567"/>
        </w:tabs>
        <w:spacing w:before="0" w:line="360" w:lineRule="auto"/>
        <w:ind w:firstLine="480" w:firstLineChars="200"/>
        <w:rPr>
          <w:rFonts w:asciiTheme="minorEastAsia" w:hAnsiTheme="minorEastAsia" w:eastAsiaTheme="minorEastAsia"/>
        </w:rPr>
      </w:pPr>
      <w:r>
        <w:rPr>
          <w:rFonts w:asciiTheme="minorEastAsia" w:hAnsiTheme="minorEastAsia" w:eastAsiaTheme="minorEastAsia"/>
        </w:rPr>
        <w:t>4、推荐中标候选人名单，或者根据采购人委托直接确定中标人。</w:t>
      </w:r>
    </w:p>
    <w:p>
      <w:pPr>
        <w:pStyle w:val="12"/>
        <w:tabs>
          <w:tab w:val="clear" w:pos="567"/>
        </w:tabs>
        <w:spacing w:before="0" w:line="360" w:lineRule="auto"/>
        <w:ind w:firstLine="360" w:firstLineChars="150"/>
        <w:rPr>
          <w:rFonts w:asciiTheme="minorEastAsia" w:hAnsiTheme="minorEastAsia" w:eastAsiaTheme="minorEastAsia"/>
        </w:rPr>
      </w:pPr>
      <w:r>
        <w:rPr>
          <w:rFonts w:asciiTheme="minorEastAsia" w:hAnsiTheme="minorEastAsia" w:eastAsiaTheme="minorEastAsia"/>
        </w:rPr>
        <w:t>5、采购代理机构核对评标结果。</w:t>
      </w:r>
    </w:p>
    <w:p>
      <w:pPr>
        <w:pStyle w:val="12"/>
        <w:tabs>
          <w:tab w:val="clear" w:pos="567"/>
        </w:tabs>
        <w:spacing w:before="0" w:line="360" w:lineRule="auto"/>
        <w:ind w:firstLine="360" w:firstLineChars="150"/>
        <w:rPr>
          <w:rFonts w:asciiTheme="minorEastAsia" w:hAnsiTheme="minorEastAsia" w:eastAsiaTheme="minorEastAsia"/>
        </w:rPr>
      </w:pPr>
      <w:bookmarkStart w:id="297" w:name="_Toc108721138"/>
      <w:bookmarkStart w:id="298" w:name="_Toc108720993"/>
      <w:r>
        <w:rPr>
          <w:rFonts w:asciiTheme="minorEastAsia" w:hAnsiTheme="minorEastAsia" w:eastAsiaTheme="minorEastAsia"/>
        </w:rPr>
        <w:t>三、评审标准中应考虑下列因素：</w:t>
      </w:r>
      <w:bookmarkEnd w:id="297"/>
      <w:bookmarkEnd w:id="298"/>
    </w:p>
    <w:p>
      <w:pPr>
        <w:pStyle w:val="12"/>
        <w:tabs>
          <w:tab w:val="clear" w:pos="567"/>
        </w:tabs>
        <w:spacing w:before="0" w:line="360" w:lineRule="auto"/>
        <w:ind w:firstLine="360" w:firstLineChars="150"/>
        <w:rPr>
          <w:rFonts w:cs="宋体"/>
        </w:rPr>
      </w:pPr>
      <w:r>
        <w:rPr>
          <w:rFonts w:asciiTheme="minorEastAsia" w:hAnsiTheme="minorEastAsia" w:eastAsiaTheme="minorEastAsia"/>
        </w:rPr>
        <w:t xml:space="preserve">1、根据《关于进一步加大政府采购支持中小企业力度的通知》（财库〔2022〕19号）、《政府采购促进中小企业发展管理办法》（财库〔2020〕46号）、《财政部 司法部关于政府采购支持监狱企业发展有关问题的通知》（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的证明文件的投标人，其投标报价扣除 </w:t>
      </w:r>
      <w:r>
        <w:rPr>
          <w:rFonts w:hint="eastAsia" w:asciiTheme="minorEastAsia" w:hAnsiTheme="minorEastAsia" w:eastAsiaTheme="minorEastAsia"/>
        </w:rPr>
        <w:t>11</w:t>
      </w:r>
      <w:r>
        <w:rPr>
          <w:rFonts w:asciiTheme="minorEastAsia" w:hAnsiTheme="minorEastAsia" w:eastAsiaTheme="minorEastAsia"/>
        </w:rPr>
        <w:t>% 后参与评审。对于同时属于小微企业、监狱企业或残疾人福利性单位的，不重复进行投标报价扣除。</w:t>
      </w:r>
      <w:r>
        <w:rPr>
          <w:rFonts w:hint="eastAsia" w:asciiTheme="minorEastAsia" w:hAnsiTheme="minorEastAsia" w:eastAsiaTheme="minorEastAsia"/>
        </w:rPr>
        <w:t>(</w:t>
      </w:r>
      <w:r>
        <w:rPr>
          <w:rFonts w:hint="eastAsia" w:asciiTheme="minorEastAsia" w:hAnsiTheme="minorEastAsia" w:eastAsiaTheme="minorEastAsia"/>
          <w:u w:val="single"/>
        </w:rPr>
        <w:t>如为专门面向中小企业的采购项目（或采购包），不执行价格扣除或加分。</w:t>
      </w:r>
      <w:r>
        <w:rPr>
          <w:rFonts w:hint="eastAsia" w:asciiTheme="minorEastAsia" w:hAnsiTheme="minorEastAsia" w:eastAsiaTheme="minorEastAsia"/>
        </w:rPr>
        <w:t>)</w:t>
      </w:r>
    </w:p>
    <w:p>
      <w:pPr>
        <w:pStyle w:val="12"/>
        <w:tabs>
          <w:tab w:val="clear" w:pos="567"/>
        </w:tabs>
        <w:spacing w:before="0" w:line="360" w:lineRule="auto"/>
        <w:ind w:firstLine="540" w:firstLineChars="225"/>
        <w:rPr>
          <w:rFonts w:asciiTheme="minorEastAsia" w:hAnsiTheme="minorEastAsia" w:eastAsiaTheme="minorEastAsia"/>
        </w:rPr>
      </w:pPr>
      <w:r>
        <w:rPr>
          <w:rFonts w:asciiTheme="minorEastAsia" w:hAnsiTheme="minorEastAsia" w:eastAsiaTheme="minorEastAsia"/>
        </w:rPr>
        <w:t>2、联合协议或分包意向协议（如有）中约定，小型、微型企业的合同金额占到合同总金额30%以上的，可给予联合体</w:t>
      </w:r>
      <w:r>
        <w:rPr>
          <w:rFonts w:asciiTheme="minorEastAsia" w:hAnsiTheme="minorEastAsia" w:eastAsiaTheme="minorEastAsia"/>
          <w:u w:val="single"/>
        </w:rPr>
        <w:t>4%</w:t>
      </w:r>
      <w:r>
        <w:rPr>
          <w:rFonts w:asciiTheme="minorEastAsia" w:hAnsiTheme="minorEastAsia" w:eastAsiaTheme="minorEastAsia"/>
        </w:rPr>
        <w:t>的价格扣除。</w:t>
      </w:r>
    </w:p>
    <w:p>
      <w:pPr>
        <w:pStyle w:val="12"/>
        <w:tabs>
          <w:tab w:val="clear" w:pos="567"/>
        </w:tabs>
        <w:spacing w:before="0" w:line="360" w:lineRule="auto"/>
        <w:ind w:firstLine="540" w:firstLineChars="225"/>
        <w:rPr>
          <w:rFonts w:asciiTheme="minorEastAsia" w:hAnsiTheme="minorEastAsia" w:eastAsiaTheme="minorEastAsia"/>
        </w:rPr>
      </w:pPr>
      <w:r>
        <w:rPr>
          <w:rFonts w:asciiTheme="minorEastAsia" w:hAnsiTheme="minorEastAsia" w:eastAsiaTheme="minorEastAsia"/>
        </w:rPr>
        <w:t>联合体各方均为小型、微型企业和监狱企业的，联合体视同为小型、微型企业和监狱企业。</w:t>
      </w:r>
    </w:p>
    <w:p>
      <w:pPr>
        <w:pStyle w:val="12"/>
        <w:tabs>
          <w:tab w:val="clear" w:pos="567"/>
        </w:tabs>
        <w:spacing w:before="0" w:line="360" w:lineRule="auto"/>
        <w:ind w:firstLine="540" w:firstLineChars="225"/>
        <w:rPr>
          <w:rFonts w:asciiTheme="minorEastAsia" w:hAnsiTheme="minorEastAsia" w:eastAsiaTheme="minorEastAsia"/>
        </w:rPr>
      </w:pPr>
      <w:r>
        <w:rPr>
          <w:rFonts w:asciiTheme="minorEastAsia" w:hAnsiTheme="minorEastAsia" w:eastAsiaTheme="minorEastAsia"/>
        </w:rPr>
        <w:t>3、根据《关于调整优化节能产品、环境标志产品政府采购执行机制的通知》（财库〔2019〕9号）的规定，投标人为提供服务所伴随的货物属于节能产品、环境标志产品品目清单范围内，且投标人所投产品具有有效期内的产品认证证书，在评标时予以优先采购，具体见评审因素和指标内容。</w:t>
      </w:r>
    </w:p>
    <w:p>
      <w:pPr>
        <w:pStyle w:val="12"/>
        <w:tabs>
          <w:tab w:val="clear" w:pos="567"/>
        </w:tabs>
        <w:spacing w:before="0" w:line="360" w:lineRule="auto"/>
        <w:ind w:firstLine="540" w:firstLineChars="225"/>
        <w:rPr>
          <w:rFonts w:asciiTheme="minorEastAsia" w:hAnsiTheme="minorEastAsia" w:eastAsiaTheme="minorEastAsia"/>
        </w:rPr>
      </w:pPr>
      <w:r>
        <w:rPr>
          <w:rFonts w:asciiTheme="minorEastAsia" w:hAnsiTheme="minorEastAsia" w:eastAsiaTheme="minorEastAsia"/>
        </w:rPr>
        <w:t>4、如投标人为提供服务所伴随的货物为政府强制采购的节能产品，投标人所投产品的品牌及型号必须为清单中有效期内产品并提供证明文件，否则其投标将作为无效投标被拒绝。</w:t>
      </w:r>
    </w:p>
    <w:p>
      <w:pPr>
        <w:pStyle w:val="12"/>
        <w:spacing w:line="360" w:lineRule="auto"/>
        <w:ind w:firstLine="540" w:firstLineChars="225"/>
        <w:rPr>
          <w:rFonts w:asciiTheme="minorEastAsia" w:hAnsiTheme="minorEastAsia" w:eastAsiaTheme="minorEastAsia"/>
        </w:rPr>
      </w:pPr>
      <w:r>
        <w:rPr>
          <w:rFonts w:asciiTheme="minorEastAsia" w:hAnsiTheme="minorEastAsia" w:eastAsiaTheme="minorEastAsia"/>
        </w:rPr>
        <w:t>5、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12"/>
        <w:tabs>
          <w:tab w:val="clear" w:pos="567"/>
        </w:tabs>
        <w:spacing w:before="0" w:line="360" w:lineRule="auto"/>
        <w:ind w:firstLine="480" w:firstLineChars="200"/>
        <w:rPr>
          <w:rFonts w:asciiTheme="minorEastAsia" w:hAnsiTheme="minorEastAsia" w:eastAsiaTheme="minorEastAsia"/>
        </w:rPr>
      </w:pPr>
    </w:p>
    <w:p>
      <w:pPr>
        <w:pStyle w:val="12"/>
        <w:tabs>
          <w:tab w:val="clear" w:pos="567"/>
        </w:tabs>
        <w:spacing w:before="0" w:line="360" w:lineRule="auto"/>
        <w:ind w:firstLine="480" w:firstLineChars="200"/>
        <w:rPr>
          <w:rFonts w:asciiTheme="minorEastAsia" w:hAnsiTheme="minorEastAsia" w:eastAsiaTheme="minorEastAsia"/>
        </w:rPr>
      </w:pPr>
      <w:r>
        <w:rPr>
          <w:rFonts w:asciiTheme="minorEastAsia" w:hAnsiTheme="minorEastAsia" w:eastAsiaTheme="minorEastAsia"/>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2"/>
        <w:tabs>
          <w:tab w:val="clear" w:pos="567"/>
        </w:tabs>
        <w:spacing w:before="0" w:line="360" w:lineRule="auto"/>
        <w:ind w:left="-181" w:leftChars="-86" w:firstLine="660" w:firstLineChars="275"/>
        <w:rPr>
          <w:rFonts w:asciiTheme="minorEastAsia" w:hAnsiTheme="minorEastAsia" w:eastAsiaTheme="minorEastAsia"/>
        </w:rPr>
      </w:pPr>
      <w:r>
        <w:rPr>
          <w:rFonts w:asciiTheme="minorEastAsia" w:hAnsiTheme="minorEastAsia" w:eastAsiaTheme="minorEastAsia"/>
        </w:rPr>
        <w:t>6、中标候选人并列时的处理方式：</w:t>
      </w:r>
    </w:p>
    <w:p>
      <w:pPr>
        <w:autoSpaceDE w:val="0"/>
        <w:autoSpaceDN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如采用最低评标办法，则：在全部满足以上实质性要求前提下，依据统一的价格要素评定最低报价，以提出最低报价的投标人作为排名第一的中标候选人。投标报价相同的，按照技术指标优劣排序。</w:t>
      </w:r>
    </w:p>
    <w:p>
      <w:pPr>
        <w:pStyle w:val="12"/>
        <w:tabs>
          <w:tab w:val="clear" w:pos="567"/>
        </w:tabs>
        <w:spacing w:before="0" w:line="360" w:lineRule="auto"/>
        <w:ind w:left="-181" w:leftChars="-86" w:firstLine="660" w:firstLineChars="275"/>
        <w:rPr>
          <w:rFonts w:asciiTheme="minorEastAsia" w:hAnsiTheme="minorEastAsia" w:eastAsiaTheme="minorEastAsia"/>
        </w:rPr>
      </w:pPr>
      <w:r>
        <w:rPr>
          <w:rFonts w:asciiTheme="minorEastAsia" w:hAnsiTheme="minorEastAsia" w:eastAsiaTheme="minorEastAsia"/>
        </w:rPr>
        <w:t>如采用综合评标法，则：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12"/>
        <w:tabs>
          <w:tab w:val="clear" w:pos="567"/>
        </w:tabs>
        <w:spacing w:before="0" w:line="360" w:lineRule="auto"/>
        <w:ind w:left="-181" w:leftChars="-86" w:firstLine="660" w:firstLineChars="275"/>
        <w:rPr>
          <w:rFonts w:asciiTheme="minorEastAsia" w:hAnsiTheme="minorEastAsia" w:eastAsiaTheme="minorEastAsia"/>
        </w:rPr>
      </w:pPr>
    </w:p>
    <w:p>
      <w:pPr>
        <w:pStyle w:val="12"/>
        <w:tabs>
          <w:tab w:val="clear" w:pos="567"/>
        </w:tabs>
        <w:spacing w:before="0" w:line="360" w:lineRule="auto"/>
        <w:ind w:left="-181" w:leftChars="-86" w:firstLine="660" w:firstLineChars="275"/>
        <w:rPr>
          <w:rFonts w:asciiTheme="minorEastAsia" w:hAnsiTheme="minorEastAsia" w:eastAsiaTheme="minorEastAsia"/>
        </w:rPr>
      </w:pPr>
    </w:p>
    <w:p>
      <w:pPr>
        <w:pStyle w:val="12"/>
        <w:tabs>
          <w:tab w:val="clear" w:pos="567"/>
        </w:tabs>
        <w:spacing w:before="0" w:line="320" w:lineRule="exact"/>
        <w:jc w:val="center"/>
        <w:rPr>
          <w:rFonts w:asciiTheme="minorEastAsia" w:hAnsiTheme="minorEastAsia" w:eastAsiaTheme="minorEastAsia"/>
        </w:rPr>
      </w:pPr>
      <w:r>
        <w:rPr>
          <w:rFonts w:asciiTheme="minorEastAsia" w:hAnsiTheme="minorEastAsia" w:eastAsiaTheme="minorEastAsia"/>
        </w:rPr>
        <w:br w:type="page"/>
      </w:r>
      <w:bookmarkStart w:id="299" w:name="_Toc108720994"/>
      <w:bookmarkStart w:id="300" w:name="_Toc108721139"/>
    </w:p>
    <w:p>
      <w:pPr>
        <w:pStyle w:val="12"/>
        <w:tabs>
          <w:tab w:val="clear" w:pos="567"/>
        </w:tabs>
        <w:spacing w:before="0" w:line="360" w:lineRule="auto"/>
        <w:jc w:val="center"/>
        <w:rPr>
          <w:rFonts w:cs="宋体"/>
          <w:b/>
        </w:rPr>
      </w:pPr>
      <w:r>
        <w:rPr>
          <w:rFonts w:hint="eastAsia" w:cs="宋体"/>
          <w:b/>
        </w:rPr>
        <w:t>评审因素和指标</w:t>
      </w:r>
    </w:p>
    <w:p>
      <w:pPr>
        <w:widowControl/>
        <w:spacing w:line="360" w:lineRule="auto"/>
        <w:rPr>
          <w:rFonts w:ascii="宋体" w:hAnsi="宋体" w:cs="宋体"/>
          <w:sz w:val="24"/>
        </w:rPr>
      </w:pPr>
      <w:r>
        <w:rPr>
          <w:rFonts w:hint="eastAsia" w:ascii="宋体" w:hAnsi="宋体" w:cs="宋体"/>
          <w:sz w:val="24"/>
        </w:rPr>
        <w:t>1、资格审查</w:t>
      </w:r>
      <w:r>
        <w:rPr>
          <w:rFonts w:hint="eastAsia" w:ascii="宋体" w:hAnsi="宋体" w:cs="宋体"/>
          <w:sz w:val="24"/>
          <w:lang w:eastAsia="zh-CN"/>
        </w:rPr>
        <w:t>（</w:t>
      </w:r>
      <w:r>
        <w:rPr>
          <w:rFonts w:hint="eastAsia" w:ascii="宋体" w:hAnsi="宋体" w:cs="宋体"/>
          <w:sz w:val="24"/>
          <w:lang w:val="en-US" w:eastAsia="zh-CN"/>
        </w:rPr>
        <w:t>第1包及第2包）</w:t>
      </w:r>
      <w:r>
        <w:rPr>
          <w:rFonts w:hint="eastAsia" w:ascii="宋体" w:hAnsi="宋体" w:cs="宋体"/>
          <w:sz w:val="24"/>
        </w:rPr>
        <w:t>：</w:t>
      </w:r>
    </w:p>
    <w:tbl>
      <w:tblPr>
        <w:tblStyle w:val="35"/>
        <w:tblW w:w="8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1556"/>
        <w:gridCol w:w="6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61" w:type="dxa"/>
            <w:vAlign w:val="center"/>
          </w:tcPr>
          <w:p>
            <w:pPr>
              <w:pStyle w:val="12"/>
              <w:tabs>
                <w:tab w:val="clear" w:pos="567"/>
              </w:tabs>
              <w:spacing w:before="0" w:line="380" w:lineRule="exact"/>
              <w:jc w:val="center"/>
              <w:rPr>
                <w:rFonts w:cs="宋体"/>
              </w:rPr>
            </w:pPr>
            <w:r>
              <w:rPr>
                <w:rFonts w:hint="eastAsia" w:cs="宋体"/>
              </w:rPr>
              <w:t>序号</w:t>
            </w:r>
          </w:p>
        </w:tc>
        <w:tc>
          <w:tcPr>
            <w:tcW w:w="1556" w:type="dxa"/>
            <w:vAlign w:val="center"/>
          </w:tcPr>
          <w:p>
            <w:pPr>
              <w:pStyle w:val="12"/>
              <w:tabs>
                <w:tab w:val="clear" w:pos="567"/>
              </w:tabs>
              <w:spacing w:before="0" w:line="380" w:lineRule="exact"/>
              <w:jc w:val="center"/>
              <w:rPr>
                <w:rFonts w:cs="宋体"/>
              </w:rPr>
            </w:pPr>
            <w:r>
              <w:rPr>
                <w:rFonts w:hint="eastAsia" w:cs="宋体"/>
              </w:rPr>
              <w:t>审查项目</w:t>
            </w:r>
          </w:p>
        </w:tc>
        <w:tc>
          <w:tcPr>
            <w:tcW w:w="6341" w:type="dxa"/>
            <w:vAlign w:val="center"/>
          </w:tcPr>
          <w:p>
            <w:pPr>
              <w:pStyle w:val="12"/>
              <w:tabs>
                <w:tab w:val="clear" w:pos="567"/>
              </w:tabs>
              <w:spacing w:before="0" w:line="380" w:lineRule="exact"/>
              <w:jc w:val="center"/>
              <w:rPr>
                <w:rFonts w:cs="宋体"/>
              </w:rPr>
            </w:pPr>
            <w:r>
              <w:rPr>
                <w:rFonts w:hint="eastAsia" w:cs="宋体"/>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jc w:val="center"/>
        </w:trPr>
        <w:tc>
          <w:tcPr>
            <w:tcW w:w="761" w:type="dxa"/>
            <w:vAlign w:val="center"/>
          </w:tcPr>
          <w:p>
            <w:pPr>
              <w:pStyle w:val="12"/>
              <w:tabs>
                <w:tab w:val="clear" w:pos="567"/>
              </w:tabs>
              <w:spacing w:before="0" w:line="380" w:lineRule="exact"/>
              <w:jc w:val="center"/>
              <w:rPr>
                <w:rFonts w:cs="宋体"/>
              </w:rPr>
            </w:pPr>
            <w:r>
              <w:rPr>
                <w:rFonts w:hint="eastAsia" w:cs="宋体"/>
              </w:rPr>
              <w:t>1</w:t>
            </w:r>
          </w:p>
        </w:tc>
        <w:tc>
          <w:tcPr>
            <w:tcW w:w="1556" w:type="dxa"/>
            <w:vAlign w:val="center"/>
          </w:tcPr>
          <w:p>
            <w:pPr>
              <w:pStyle w:val="12"/>
              <w:tabs>
                <w:tab w:val="clear" w:pos="567"/>
              </w:tabs>
              <w:spacing w:before="0" w:line="380" w:lineRule="exact"/>
              <w:jc w:val="center"/>
              <w:rPr>
                <w:rFonts w:cs="宋体"/>
              </w:rPr>
            </w:pPr>
            <w:r>
              <w:rPr>
                <w:rFonts w:hint="eastAsia" w:cs="宋体"/>
              </w:rPr>
              <w:t>满足《中华人民共和国政府采购法》第二十二条规定</w:t>
            </w:r>
          </w:p>
        </w:tc>
        <w:tc>
          <w:tcPr>
            <w:tcW w:w="6341" w:type="dxa"/>
            <w:vAlign w:val="center"/>
          </w:tcPr>
          <w:p>
            <w:pPr>
              <w:spacing w:line="350" w:lineRule="exact"/>
              <w:rPr>
                <w:rFonts w:ascii="宋体" w:hAnsi="宋体" w:cs="宋体"/>
                <w:sz w:val="24"/>
              </w:rPr>
            </w:pPr>
            <w:r>
              <w:rPr>
                <w:rFonts w:hint="eastAsia" w:ascii="宋体" w:hAnsi="宋体" w:cs="宋体"/>
                <w:sz w:val="24"/>
              </w:rPr>
              <w:t>1.提供有效合格的具有社会统一信用代码的营业执照，其他组织经营的须提供合法凭证，自然人提供身份证明文件；</w:t>
            </w:r>
          </w:p>
          <w:p>
            <w:pPr>
              <w:spacing w:line="350" w:lineRule="exact"/>
              <w:rPr>
                <w:rFonts w:ascii="宋体" w:hAnsi="宋体" w:cs="宋体"/>
                <w:sz w:val="24"/>
              </w:rPr>
            </w:pPr>
            <w:r>
              <w:rPr>
                <w:rFonts w:hint="eastAsia" w:ascii="宋体" w:hAnsi="宋体" w:cs="宋体"/>
                <w:sz w:val="24"/>
              </w:rPr>
              <w:t>2.</w:t>
            </w:r>
            <w:r>
              <w:rPr>
                <w:rFonts w:hint="eastAsia" w:asciiTheme="minorEastAsia" w:hAnsiTheme="minorEastAsia" w:eastAsiaTheme="minorEastAsia"/>
                <w:sz w:val="24"/>
              </w:rPr>
              <w:t>财务状况报告：</w:t>
            </w:r>
            <w:r>
              <w:rPr>
                <w:rFonts w:hint="eastAsia" w:asciiTheme="minorEastAsia" w:hAnsiTheme="minorEastAsia" w:eastAsiaTheme="minorEastAsia"/>
                <w:sz w:val="24"/>
                <w:lang w:eastAsia="zh-CN"/>
              </w:rPr>
              <w:t>提供2021年度或2022年度经审计的财务报告</w:t>
            </w:r>
            <w:r>
              <w:rPr>
                <w:rFonts w:hint="eastAsia" w:asciiTheme="minorEastAsia" w:hAnsiTheme="minorEastAsia" w:eastAsiaTheme="minorEastAsia"/>
                <w:sz w:val="24"/>
              </w:rPr>
              <w:t>或开标日期前三个月内其基本存款账户开户银行出具的资信证明及基本存款账户开户许可证（基本账户信息表）或财政部门认可的政府采购专业担保机构出具的投标担保函</w:t>
            </w:r>
            <w:r>
              <w:rPr>
                <w:rFonts w:hint="eastAsia" w:ascii="宋体" w:hAnsi="宋体" w:cs="宋体"/>
                <w:sz w:val="24"/>
              </w:rPr>
              <w:t>；</w:t>
            </w:r>
          </w:p>
          <w:p>
            <w:pPr>
              <w:spacing w:line="350" w:lineRule="exact"/>
              <w:rPr>
                <w:rFonts w:ascii="宋体" w:hAnsi="宋体" w:cs="宋体"/>
                <w:sz w:val="24"/>
              </w:rPr>
            </w:pPr>
            <w:r>
              <w:rPr>
                <w:rFonts w:hint="eastAsia" w:ascii="宋体" w:hAnsi="宋体" w:cs="宋体"/>
                <w:sz w:val="24"/>
              </w:rPr>
              <w:t>3.</w:t>
            </w:r>
            <w:r>
              <w:rPr>
                <w:rFonts w:hint="eastAsia" w:asciiTheme="minorEastAsia" w:hAnsiTheme="minorEastAsia" w:eastAsiaTheme="minorEastAsia"/>
                <w:sz w:val="24"/>
              </w:rPr>
              <w:t>税收缴纳证明：提供2022年10月至今已缴纳的至少一个月的纳税证明(任意税种），依法免税的单位应提供相关证明材料</w:t>
            </w:r>
            <w:r>
              <w:rPr>
                <w:rFonts w:hint="eastAsia" w:ascii="宋体" w:hAnsi="宋体" w:cs="宋体"/>
                <w:sz w:val="24"/>
              </w:rPr>
              <w:t>；</w:t>
            </w:r>
          </w:p>
          <w:p>
            <w:pPr>
              <w:spacing w:line="350" w:lineRule="exact"/>
              <w:rPr>
                <w:rFonts w:ascii="宋体" w:hAnsi="宋体" w:cs="宋体"/>
                <w:sz w:val="24"/>
              </w:rPr>
            </w:pPr>
            <w:r>
              <w:rPr>
                <w:rFonts w:hint="eastAsia" w:ascii="宋体" w:hAnsi="宋体" w:cs="宋体"/>
                <w:sz w:val="24"/>
              </w:rPr>
              <w:t>4.</w:t>
            </w:r>
            <w:r>
              <w:rPr>
                <w:rFonts w:hint="eastAsia" w:asciiTheme="minorEastAsia" w:hAnsiTheme="minorEastAsia" w:eastAsiaTheme="minorEastAsia"/>
                <w:sz w:val="24"/>
              </w:rPr>
              <w:t>社会保障资金缴纳证明：提供2022年10月至今已缴存的至少一个月的社会保障资金缴存单据或社保机构开具的社会保险参保缴费情况证明，依法不需要缴纳社会保障资金的单位应提供相关证明材料</w:t>
            </w:r>
            <w:r>
              <w:rPr>
                <w:rFonts w:hint="eastAsia" w:ascii="宋体" w:hAnsi="宋体" w:cs="宋体"/>
                <w:sz w:val="24"/>
              </w:rPr>
              <w:t>；</w:t>
            </w:r>
          </w:p>
          <w:p>
            <w:pPr>
              <w:spacing w:line="350" w:lineRule="exact"/>
              <w:rPr>
                <w:rFonts w:ascii="宋体" w:hAnsi="宋体" w:cs="宋体"/>
                <w:sz w:val="24"/>
              </w:rPr>
            </w:pPr>
            <w:r>
              <w:rPr>
                <w:rFonts w:hint="eastAsia" w:ascii="宋体" w:hAnsi="宋体" w:cs="宋体"/>
                <w:sz w:val="24"/>
              </w:rPr>
              <w:t>5.</w:t>
            </w:r>
            <w:r>
              <w:rPr>
                <w:rFonts w:hint="eastAsia" w:asciiTheme="minorEastAsia" w:hAnsiTheme="minorEastAsia" w:eastAsiaTheme="minorEastAsia"/>
                <w:sz w:val="24"/>
              </w:rPr>
              <w:t>具备履行合同所必须的设备和专业技术能力的书面声明</w:t>
            </w:r>
            <w:r>
              <w:rPr>
                <w:rFonts w:hint="eastAsia" w:ascii="宋体" w:hAnsi="宋体" w:cs="宋体"/>
                <w:sz w:val="24"/>
              </w:rPr>
              <w:t>；</w:t>
            </w:r>
          </w:p>
          <w:p>
            <w:pPr>
              <w:spacing w:line="350" w:lineRule="exact"/>
              <w:rPr>
                <w:rFonts w:ascii="宋体" w:hAnsi="宋体" w:cs="宋体"/>
                <w:sz w:val="24"/>
              </w:rPr>
            </w:pPr>
            <w:r>
              <w:rPr>
                <w:rFonts w:hint="eastAsia" w:ascii="宋体" w:hAnsi="宋体" w:cs="宋体"/>
                <w:sz w:val="24"/>
              </w:rPr>
              <w:t>6.</w:t>
            </w:r>
            <w:r>
              <w:rPr>
                <w:rFonts w:hint="eastAsia" w:asciiTheme="minorEastAsia" w:hAnsiTheme="minorEastAsia" w:eastAsiaTheme="minorEastAsia"/>
                <w:sz w:val="24"/>
              </w:rPr>
              <w:t>参加政府采购活动前三年内，在经营活动中没有重大违法记录的书面声明</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61" w:type="dxa"/>
            <w:vAlign w:val="center"/>
          </w:tcPr>
          <w:p>
            <w:pPr>
              <w:pStyle w:val="12"/>
              <w:tabs>
                <w:tab w:val="clear" w:pos="567"/>
              </w:tabs>
              <w:spacing w:before="0" w:line="380" w:lineRule="exact"/>
              <w:jc w:val="center"/>
              <w:rPr>
                <w:rFonts w:cs="宋体"/>
              </w:rPr>
            </w:pPr>
            <w:r>
              <w:rPr>
                <w:rFonts w:hint="eastAsia" w:cs="宋体"/>
              </w:rPr>
              <w:t>2</w:t>
            </w:r>
          </w:p>
        </w:tc>
        <w:tc>
          <w:tcPr>
            <w:tcW w:w="1556" w:type="dxa"/>
            <w:vAlign w:val="center"/>
          </w:tcPr>
          <w:p>
            <w:pPr>
              <w:pStyle w:val="12"/>
              <w:tabs>
                <w:tab w:val="clear" w:pos="567"/>
              </w:tabs>
              <w:spacing w:before="0" w:line="380" w:lineRule="exact"/>
              <w:jc w:val="center"/>
              <w:rPr>
                <w:rFonts w:cs="宋体"/>
              </w:rPr>
            </w:pPr>
            <w:r>
              <w:rPr>
                <w:rFonts w:hint="eastAsia" w:cs="宋体"/>
              </w:rPr>
              <w:t>特定资格条件</w:t>
            </w:r>
          </w:p>
        </w:tc>
        <w:tc>
          <w:tcPr>
            <w:tcW w:w="6341" w:type="dxa"/>
            <w:vAlign w:val="center"/>
          </w:tcPr>
          <w:p>
            <w:pPr>
              <w:spacing w:line="350" w:lineRule="exact"/>
              <w:rPr>
                <w:rFonts w:ascii="宋体" w:hAnsi="宋体" w:cs="宋体"/>
                <w:sz w:val="24"/>
              </w:rPr>
            </w:pPr>
            <w:r>
              <w:rPr>
                <w:rFonts w:hint="eastAsia" w:ascii="宋体" w:hAnsi="宋体" w:cs="宋体"/>
                <w:sz w:val="24"/>
              </w:rPr>
              <w:t>1.</w:t>
            </w:r>
            <w:r>
              <w:rPr>
                <w:rFonts w:hint="eastAsia" w:asciiTheme="minorEastAsia" w:hAnsiTheme="minorEastAsia" w:eastAsiaTheme="minorEastAsia"/>
                <w:sz w:val="24"/>
              </w:rPr>
              <w:t>投标人未被列入“中国执行信息公开网”（http://zxgk.court.gov.cn/shixin/）失信被执行人名单，未被列入“信用中国”网站（www.creditchina.gov.cn）重大税收违法失信主体，未被列入“中国政府采购网”（www.ccgp.gov.cn）政府采购严重违法失信行为记录名单</w:t>
            </w:r>
            <w:r>
              <w:rPr>
                <w:rFonts w:hint="eastAsia" w:ascii="宋体" w:hAnsi="宋体" w:cs="宋体"/>
                <w:sz w:val="24"/>
              </w:rPr>
              <w:t>；</w:t>
            </w:r>
          </w:p>
          <w:p>
            <w:pPr>
              <w:spacing w:line="350" w:lineRule="exact"/>
              <w:rPr>
                <w:rFonts w:ascii="宋体" w:hAnsi="宋体" w:cs="宋体"/>
                <w:sz w:val="24"/>
              </w:rPr>
            </w:pPr>
            <w:r>
              <w:rPr>
                <w:rFonts w:hint="eastAsia" w:ascii="宋体" w:hAnsi="宋体" w:cs="宋体"/>
                <w:sz w:val="24"/>
                <w:lang w:val="en-US" w:eastAsia="zh-CN"/>
              </w:rPr>
              <w:t>2</w:t>
            </w:r>
            <w:r>
              <w:rPr>
                <w:rFonts w:hint="eastAsia" w:ascii="宋体" w:hAnsi="宋体" w:cs="宋体"/>
                <w:sz w:val="24"/>
              </w:rPr>
              <w:t>.法定代表人（或单位负责人）直接参加投标的，须出具法定代表人（或单位负责人）身份证，非法定代表人（或单位负责人）参加投标，须出具法定代表人（或单位负责人）授权书及被授权人身份证；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761" w:type="dxa"/>
            <w:vAlign w:val="center"/>
          </w:tcPr>
          <w:p>
            <w:pPr>
              <w:pStyle w:val="12"/>
              <w:tabs>
                <w:tab w:val="clear" w:pos="567"/>
              </w:tabs>
              <w:spacing w:before="0" w:line="380" w:lineRule="exact"/>
              <w:jc w:val="center"/>
              <w:rPr>
                <w:rFonts w:cs="宋体"/>
              </w:rPr>
            </w:pPr>
            <w:r>
              <w:rPr>
                <w:rFonts w:hint="eastAsia" w:cs="宋体"/>
              </w:rPr>
              <w:t>3</w:t>
            </w:r>
          </w:p>
        </w:tc>
        <w:tc>
          <w:tcPr>
            <w:tcW w:w="1556" w:type="dxa"/>
            <w:vAlign w:val="center"/>
          </w:tcPr>
          <w:p>
            <w:pPr>
              <w:pStyle w:val="12"/>
              <w:tabs>
                <w:tab w:val="clear" w:pos="567"/>
              </w:tabs>
              <w:spacing w:before="0" w:line="380" w:lineRule="exact"/>
              <w:jc w:val="center"/>
              <w:rPr>
                <w:rFonts w:cs="宋体"/>
              </w:rPr>
            </w:pPr>
            <w:r>
              <w:rPr>
                <w:rFonts w:hint="eastAsia" w:cs="宋体"/>
              </w:rPr>
              <w:t>投标人不得存在的情形</w:t>
            </w:r>
          </w:p>
        </w:tc>
        <w:tc>
          <w:tcPr>
            <w:tcW w:w="6341" w:type="dxa"/>
            <w:vAlign w:val="center"/>
          </w:tcPr>
          <w:p>
            <w:pPr>
              <w:pStyle w:val="12"/>
              <w:tabs>
                <w:tab w:val="clear" w:pos="567"/>
              </w:tabs>
              <w:spacing w:before="0" w:line="380" w:lineRule="exact"/>
            </w:pPr>
            <w:r>
              <w:rPr>
                <w:rFonts w:hint="eastAsia"/>
              </w:rPr>
              <w:t>1、投标单位负责人为同一人或者存在控股、管理关系的不同单位，不得参加同一合同项下的政府采购活动；</w:t>
            </w:r>
          </w:p>
          <w:p>
            <w:pPr>
              <w:pStyle w:val="12"/>
              <w:tabs>
                <w:tab w:val="clear" w:pos="567"/>
              </w:tabs>
              <w:spacing w:before="0" w:line="380" w:lineRule="exact"/>
            </w:pPr>
            <w:r>
              <w:rPr>
                <w:rFonts w:hint="eastAsia"/>
              </w:rPr>
              <w:t>2、为本项目不允许联合体投标。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658" w:type="dxa"/>
            <w:gridSpan w:val="3"/>
            <w:vAlign w:val="center"/>
          </w:tcPr>
          <w:p>
            <w:pPr>
              <w:pStyle w:val="12"/>
              <w:tabs>
                <w:tab w:val="clear" w:pos="567"/>
              </w:tabs>
              <w:spacing w:before="0" w:line="380" w:lineRule="exact"/>
              <w:jc w:val="center"/>
              <w:rPr>
                <w:rFonts w:cs="宋体"/>
              </w:rPr>
            </w:pPr>
            <w:r>
              <w:rPr>
                <w:rFonts w:hint="eastAsia" w:cs="宋体"/>
                <w:b/>
                <w:bCs/>
              </w:rPr>
              <w:t>备注：以上资料的扫描件、复印件必须加盖投标人公章。</w:t>
            </w:r>
          </w:p>
        </w:tc>
      </w:tr>
    </w:tbl>
    <w:p>
      <w:pPr>
        <w:pStyle w:val="51"/>
        <w:rPr>
          <w:rFonts w:ascii="宋体" w:hAnsi="宋体" w:cs="宋体"/>
          <w:sz w:val="24"/>
          <w:szCs w:val="24"/>
        </w:rPr>
      </w:pPr>
    </w:p>
    <w:p>
      <w:pPr>
        <w:rPr>
          <w:rFonts w:ascii="宋体" w:hAnsi="宋体" w:cs="宋体"/>
          <w:sz w:val="24"/>
          <w:szCs w:val="24"/>
        </w:rPr>
      </w:pPr>
      <w:r>
        <w:rPr>
          <w:rFonts w:ascii="宋体" w:hAnsi="宋体" w:cs="宋体"/>
          <w:sz w:val="24"/>
          <w:szCs w:val="24"/>
        </w:rPr>
        <w:br w:type="page"/>
      </w:r>
    </w:p>
    <w:p>
      <w:pPr>
        <w:widowControl/>
        <w:spacing w:line="360" w:lineRule="auto"/>
        <w:rPr>
          <w:rFonts w:ascii="宋体" w:hAnsi="宋体" w:cs="宋体"/>
          <w:sz w:val="24"/>
        </w:rPr>
      </w:pPr>
      <w:r>
        <w:rPr>
          <w:rFonts w:hint="eastAsia" w:ascii="宋体" w:hAnsi="宋体" w:cs="宋体"/>
          <w:sz w:val="24"/>
        </w:rPr>
        <w:t>2、符合性审查</w:t>
      </w:r>
      <w:r>
        <w:rPr>
          <w:rFonts w:hint="eastAsia" w:ascii="宋体" w:hAnsi="宋体" w:cs="宋体"/>
          <w:sz w:val="24"/>
          <w:lang w:eastAsia="zh-CN"/>
        </w:rPr>
        <w:t>（</w:t>
      </w:r>
      <w:r>
        <w:rPr>
          <w:rFonts w:hint="eastAsia" w:ascii="宋体" w:hAnsi="宋体" w:cs="宋体"/>
          <w:sz w:val="24"/>
          <w:lang w:val="en-US" w:eastAsia="zh-CN"/>
        </w:rPr>
        <w:t>第1包及第2包）</w:t>
      </w:r>
      <w:r>
        <w:rPr>
          <w:rFonts w:hint="eastAsia" w:ascii="宋体" w:hAnsi="宋体" w:cs="宋体"/>
          <w:sz w:val="24"/>
        </w:rPr>
        <w:t>：</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376"/>
        <w:gridCol w:w="6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12"/>
              <w:tabs>
                <w:tab w:val="clear" w:pos="567"/>
              </w:tabs>
              <w:spacing w:before="0" w:line="360" w:lineRule="auto"/>
              <w:jc w:val="center"/>
              <w:rPr>
                <w:rFonts w:cs="宋体"/>
              </w:rPr>
            </w:pPr>
            <w:r>
              <w:rPr>
                <w:rFonts w:hint="eastAsia" w:cs="宋体"/>
              </w:rPr>
              <w:t>序号</w:t>
            </w:r>
          </w:p>
        </w:tc>
        <w:tc>
          <w:tcPr>
            <w:tcW w:w="2376" w:type="dxa"/>
            <w:vAlign w:val="center"/>
          </w:tcPr>
          <w:p>
            <w:pPr>
              <w:pStyle w:val="12"/>
              <w:tabs>
                <w:tab w:val="clear" w:pos="567"/>
              </w:tabs>
              <w:spacing w:before="0" w:line="360" w:lineRule="auto"/>
              <w:jc w:val="center"/>
              <w:rPr>
                <w:rFonts w:cs="宋体"/>
              </w:rPr>
            </w:pPr>
            <w:r>
              <w:rPr>
                <w:rFonts w:hint="eastAsia" w:cs="宋体"/>
              </w:rPr>
              <w:t>审查项目</w:t>
            </w:r>
          </w:p>
        </w:tc>
        <w:tc>
          <w:tcPr>
            <w:tcW w:w="6093" w:type="dxa"/>
            <w:vAlign w:val="center"/>
          </w:tcPr>
          <w:p>
            <w:pPr>
              <w:pStyle w:val="12"/>
              <w:tabs>
                <w:tab w:val="clear" w:pos="567"/>
              </w:tabs>
              <w:spacing w:before="0" w:line="360" w:lineRule="auto"/>
              <w:jc w:val="center"/>
              <w:rPr>
                <w:rFonts w:cs="宋体"/>
              </w:rPr>
            </w:pPr>
            <w:r>
              <w:rPr>
                <w:rFonts w:hint="eastAsia" w:cs="宋体"/>
              </w:rPr>
              <w:t>投标无效条件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17" w:type="dxa"/>
            <w:vAlign w:val="center"/>
          </w:tcPr>
          <w:p>
            <w:pPr>
              <w:pStyle w:val="12"/>
              <w:tabs>
                <w:tab w:val="clear" w:pos="567"/>
              </w:tabs>
              <w:spacing w:before="0" w:line="360" w:lineRule="auto"/>
              <w:jc w:val="center"/>
              <w:rPr>
                <w:rFonts w:cs="宋体"/>
              </w:rPr>
            </w:pPr>
            <w:r>
              <w:rPr>
                <w:rFonts w:hint="eastAsia" w:cs="宋体"/>
              </w:rPr>
              <w:t>1</w:t>
            </w:r>
          </w:p>
        </w:tc>
        <w:tc>
          <w:tcPr>
            <w:tcW w:w="2376" w:type="dxa"/>
            <w:vAlign w:val="center"/>
          </w:tcPr>
          <w:p>
            <w:pPr>
              <w:pStyle w:val="12"/>
              <w:tabs>
                <w:tab w:val="clear" w:pos="567"/>
              </w:tabs>
              <w:spacing w:before="0" w:line="360" w:lineRule="auto"/>
              <w:jc w:val="center"/>
              <w:rPr>
                <w:rFonts w:cs="宋体"/>
              </w:rPr>
            </w:pPr>
            <w:r>
              <w:rPr>
                <w:rFonts w:hint="eastAsia" w:cs="宋体"/>
              </w:rPr>
              <w:t>签署、盖章</w:t>
            </w:r>
          </w:p>
        </w:tc>
        <w:tc>
          <w:tcPr>
            <w:tcW w:w="6093" w:type="dxa"/>
            <w:vAlign w:val="center"/>
          </w:tcPr>
          <w:p>
            <w:pPr>
              <w:pStyle w:val="12"/>
              <w:spacing w:line="360" w:lineRule="auto"/>
              <w:rPr>
                <w:rFonts w:cs="宋体"/>
              </w:rPr>
            </w:pPr>
            <w:r>
              <w:rPr>
                <w:rFonts w:hint="eastAsia" w:cs="宋体"/>
              </w:rPr>
              <w:t>投标文件未按招标文件要求签署、盖章的。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17" w:type="dxa"/>
            <w:vAlign w:val="center"/>
          </w:tcPr>
          <w:p>
            <w:pPr>
              <w:pStyle w:val="12"/>
              <w:tabs>
                <w:tab w:val="clear" w:pos="567"/>
              </w:tabs>
              <w:spacing w:before="0" w:line="360" w:lineRule="auto"/>
              <w:jc w:val="center"/>
              <w:rPr>
                <w:rFonts w:cs="宋体"/>
              </w:rPr>
            </w:pPr>
            <w:r>
              <w:rPr>
                <w:rFonts w:hint="eastAsia" w:cs="宋体"/>
              </w:rPr>
              <w:t>2</w:t>
            </w:r>
          </w:p>
        </w:tc>
        <w:tc>
          <w:tcPr>
            <w:tcW w:w="2376" w:type="dxa"/>
            <w:vAlign w:val="center"/>
          </w:tcPr>
          <w:p>
            <w:pPr>
              <w:pStyle w:val="12"/>
              <w:tabs>
                <w:tab w:val="clear" w:pos="567"/>
              </w:tabs>
              <w:spacing w:before="0" w:line="360" w:lineRule="auto"/>
              <w:jc w:val="center"/>
              <w:rPr>
                <w:rFonts w:cs="宋体"/>
              </w:rPr>
            </w:pPr>
            <w:r>
              <w:rPr>
                <w:rFonts w:hint="eastAsia" w:cs="宋体"/>
              </w:rPr>
              <w:t>投标报价</w:t>
            </w:r>
          </w:p>
        </w:tc>
        <w:tc>
          <w:tcPr>
            <w:tcW w:w="6093" w:type="dxa"/>
            <w:vAlign w:val="center"/>
          </w:tcPr>
          <w:p>
            <w:pPr>
              <w:pStyle w:val="12"/>
              <w:tabs>
                <w:tab w:val="clear" w:pos="567"/>
              </w:tabs>
              <w:spacing w:before="0" w:line="360" w:lineRule="auto"/>
              <w:rPr>
                <w:rFonts w:cs="宋体"/>
              </w:rPr>
            </w:pPr>
            <w:r>
              <w:rPr>
                <w:rFonts w:hint="eastAsia" w:cs="宋体"/>
              </w:rPr>
              <w:t>投标人投标报价超出采购预算或最高限价的；标产品分项报价超出分项采购预算或分项最高限价的。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17" w:type="dxa"/>
            <w:vAlign w:val="center"/>
          </w:tcPr>
          <w:p>
            <w:pPr>
              <w:pStyle w:val="12"/>
              <w:tabs>
                <w:tab w:val="clear" w:pos="567"/>
              </w:tabs>
              <w:spacing w:before="0" w:line="360" w:lineRule="auto"/>
              <w:jc w:val="center"/>
              <w:rPr>
                <w:rFonts w:cs="宋体"/>
              </w:rPr>
            </w:pPr>
            <w:r>
              <w:rPr>
                <w:rFonts w:hint="eastAsia" w:cs="宋体"/>
              </w:rPr>
              <w:t>3</w:t>
            </w:r>
          </w:p>
        </w:tc>
        <w:tc>
          <w:tcPr>
            <w:tcW w:w="2376" w:type="dxa"/>
            <w:vAlign w:val="center"/>
          </w:tcPr>
          <w:p>
            <w:pPr>
              <w:pStyle w:val="12"/>
              <w:tabs>
                <w:tab w:val="clear" w:pos="567"/>
              </w:tabs>
              <w:spacing w:before="0" w:line="360" w:lineRule="auto"/>
              <w:jc w:val="center"/>
              <w:rPr>
                <w:rFonts w:cs="宋体"/>
              </w:rPr>
            </w:pPr>
            <w:r>
              <w:rPr>
                <w:rFonts w:hint="eastAsia" w:cs="宋体"/>
              </w:rPr>
              <w:t>报价合理性</w:t>
            </w:r>
          </w:p>
        </w:tc>
        <w:tc>
          <w:tcPr>
            <w:tcW w:w="6093" w:type="dxa"/>
            <w:vAlign w:val="center"/>
          </w:tcPr>
          <w:p>
            <w:pPr>
              <w:pStyle w:val="12"/>
              <w:tabs>
                <w:tab w:val="clear" w:pos="567"/>
              </w:tabs>
              <w:spacing w:before="0" w:line="360" w:lineRule="auto"/>
              <w:rPr>
                <w:rFonts w:cs="宋体"/>
              </w:rPr>
            </w:pPr>
            <w:r>
              <w:rPr>
                <w:rFonts w:hint="eastAsia" w:cs="宋体"/>
              </w:rPr>
              <w:t>投标人的报价明显低于其他通过符合性审查投标人的报价，有可能影响服务质量或者不能诚信履约的，且投标人不能证明其报价合理性的。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17" w:type="dxa"/>
            <w:vAlign w:val="center"/>
          </w:tcPr>
          <w:p>
            <w:pPr>
              <w:pStyle w:val="12"/>
              <w:tabs>
                <w:tab w:val="clear" w:pos="567"/>
              </w:tabs>
              <w:spacing w:before="0" w:line="360" w:lineRule="auto"/>
              <w:jc w:val="center"/>
              <w:rPr>
                <w:rFonts w:cs="宋体"/>
              </w:rPr>
            </w:pPr>
            <w:r>
              <w:rPr>
                <w:rFonts w:hint="eastAsia" w:cs="宋体"/>
              </w:rPr>
              <w:t>4</w:t>
            </w:r>
          </w:p>
        </w:tc>
        <w:tc>
          <w:tcPr>
            <w:tcW w:w="2376" w:type="dxa"/>
            <w:vAlign w:val="center"/>
          </w:tcPr>
          <w:p>
            <w:pPr>
              <w:pStyle w:val="12"/>
              <w:tabs>
                <w:tab w:val="clear" w:pos="567"/>
              </w:tabs>
              <w:spacing w:before="0" w:line="360" w:lineRule="auto"/>
              <w:jc w:val="center"/>
              <w:rPr>
                <w:rFonts w:cs="宋体"/>
              </w:rPr>
            </w:pPr>
            <w:r>
              <w:rPr>
                <w:rFonts w:hint="eastAsia" w:cs="宋体"/>
              </w:rPr>
              <w:t>投标内容</w:t>
            </w:r>
          </w:p>
        </w:tc>
        <w:tc>
          <w:tcPr>
            <w:tcW w:w="6093" w:type="dxa"/>
            <w:vAlign w:val="center"/>
          </w:tcPr>
          <w:p>
            <w:pPr>
              <w:pStyle w:val="12"/>
              <w:tabs>
                <w:tab w:val="clear" w:pos="567"/>
              </w:tabs>
              <w:spacing w:before="0" w:line="360" w:lineRule="auto"/>
              <w:rPr>
                <w:rFonts w:cs="宋体"/>
              </w:rPr>
            </w:pPr>
            <w:r>
              <w:rPr>
                <w:rFonts w:hint="eastAsia" w:cs="宋体"/>
              </w:rPr>
              <w:t>投标内容出现漏项或与要求不符或投标内容的技术指标达不到招标文件要求，造成采购档次降低或影响服务实质性内容。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17" w:type="dxa"/>
            <w:vAlign w:val="center"/>
          </w:tcPr>
          <w:p>
            <w:pPr>
              <w:pStyle w:val="12"/>
              <w:tabs>
                <w:tab w:val="clear" w:pos="567"/>
              </w:tabs>
              <w:spacing w:before="0" w:line="360" w:lineRule="auto"/>
              <w:jc w:val="center"/>
              <w:rPr>
                <w:rFonts w:cs="宋体"/>
              </w:rPr>
            </w:pPr>
            <w:r>
              <w:rPr>
                <w:rFonts w:hint="eastAsia" w:cs="宋体"/>
              </w:rPr>
              <w:t>5</w:t>
            </w:r>
          </w:p>
        </w:tc>
        <w:tc>
          <w:tcPr>
            <w:tcW w:w="2376" w:type="dxa"/>
            <w:vAlign w:val="center"/>
          </w:tcPr>
          <w:p>
            <w:pPr>
              <w:pStyle w:val="12"/>
              <w:tabs>
                <w:tab w:val="clear" w:pos="567"/>
              </w:tabs>
              <w:spacing w:before="0" w:line="360" w:lineRule="auto"/>
              <w:jc w:val="center"/>
              <w:rPr>
                <w:rFonts w:cs="宋体"/>
              </w:rPr>
            </w:pPr>
            <w:r>
              <w:rPr>
                <w:rFonts w:hint="eastAsia" w:cs="宋体"/>
              </w:rPr>
              <w:t>其它情形</w:t>
            </w:r>
          </w:p>
        </w:tc>
        <w:tc>
          <w:tcPr>
            <w:tcW w:w="6093" w:type="dxa"/>
            <w:vAlign w:val="center"/>
          </w:tcPr>
          <w:p>
            <w:pPr>
              <w:pStyle w:val="12"/>
              <w:tabs>
                <w:tab w:val="clear" w:pos="567"/>
              </w:tabs>
              <w:spacing w:before="0" w:line="360" w:lineRule="auto"/>
              <w:rPr>
                <w:rFonts w:cs="宋体"/>
              </w:rPr>
            </w:pPr>
            <w:r>
              <w:rPr>
                <w:rFonts w:hint="eastAsia" w:cs="宋体"/>
              </w:rPr>
              <w:t>存在其它不符合法律法规或招标文件规定的投标无效条款。</w:t>
            </w:r>
          </w:p>
        </w:tc>
      </w:tr>
    </w:tbl>
    <w:p>
      <w:pPr>
        <w:pStyle w:val="12"/>
        <w:tabs>
          <w:tab w:val="clear" w:pos="567"/>
        </w:tabs>
        <w:spacing w:before="0" w:line="320" w:lineRule="exact"/>
        <w:jc w:val="center"/>
        <w:rPr>
          <w:rFonts w:asciiTheme="minorEastAsia" w:hAnsiTheme="minorEastAsia" w:eastAsiaTheme="minorEastAsia"/>
          <w:b/>
          <w:sz w:val="28"/>
          <w:szCs w:val="28"/>
        </w:rPr>
      </w:pPr>
      <w:r>
        <w:rPr>
          <w:rFonts w:ascii="仿宋" w:hAnsi="仿宋" w:eastAsia="仿宋"/>
          <w:sz w:val="28"/>
          <w:szCs w:val="28"/>
        </w:rPr>
        <w:br w:type="page"/>
      </w:r>
    </w:p>
    <w:p>
      <w:pPr>
        <w:widowControl/>
        <w:spacing w:line="360" w:lineRule="auto"/>
        <w:rPr>
          <w:rFonts w:ascii="宋体" w:hAnsi="宋体" w:cs="宋体"/>
          <w:sz w:val="24"/>
        </w:rPr>
      </w:pPr>
      <w:r>
        <w:rPr>
          <w:rFonts w:hint="eastAsia" w:ascii="宋体" w:hAnsi="宋体" w:cs="宋体"/>
          <w:sz w:val="24"/>
        </w:rPr>
        <w:t>3、综合评价</w:t>
      </w:r>
      <w:r>
        <w:rPr>
          <w:rFonts w:hint="eastAsia" w:ascii="宋体" w:hAnsi="宋体" w:cs="宋体"/>
          <w:sz w:val="24"/>
          <w:lang w:eastAsia="zh-CN"/>
        </w:rPr>
        <w:t>（</w:t>
      </w:r>
      <w:r>
        <w:rPr>
          <w:rFonts w:hint="eastAsia" w:ascii="宋体" w:hAnsi="宋体" w:cs="宋体"/>
          <w:sz w:val="24"/>
          <w:lang w:val="en-US" w:eastAsia="zh-CN"/>
        </w:rPr>
        <w:t>第1包及第2包）</w:t>
      </w:r>
    </w:p>
    <w:p>
      <w:pPr>
        <w:pStyle w:val="12"/>
        <w:tabs>
          <w:tab w:val="clear" w:pos="567"/>
        </w:tabs>
        <w:spacing w:before="0" w:line="320" w:lineRule="exact"/>
        <w:jc w:val="center"/>
        <w:rPr>
          <w:rFonts w:asciiTheme="minorEastAsia" w:hAnsiTheme="minorEastAsia" w:eastAsiaTheme="minorEastAsia"/>
          <w:b/>
          <w:sz w:val="28"/>
          <w:szCs w:val="28"/>
          <w:highlight w:val="none"/>
        </w:rPr>
      </w:pPr>
      <w:r>
        <w:rPr>
          <w:rFonts w:asciiTheme="minorEastAsia" w:hAnsiTheme="minorEastAsia" w:eastAsiaTheme="minorEastAsia"/>
          <w:b/>
          <w:sz w:val="28"/>
          <w:szCs w:val="28"/>
          <w:highlight w:val="none"/>
        </w:rPr>
        <w:t>评审因素和指标</w:t>
      </w:r>
      <w:bookmarkEnd w:id="299"/>
      <w:bookmarkEnd w:id="300"/>
    </w:p>
    <w:p>
      <w:pPr>
        <w:widowControl/>
        <w:spacing w:line="320" w:lineRule="exact"/>
        <w:jc w:val="center"/>
        <w:rPr>
          <w:rFonts w:asciiTheme="minorEastAsia" w:hAnsiTheme="minorEastAsia" w:eastAsiaTheme="minorEastAsia"/>
          <w:b/>
          <w:sz w:val="28"/>
          <w:szCs w:val="28"/>
        </w:rPr>
      </w:pPr>
      <w:r>
        <w:rPr>
          <w:rFonts w:asciiTheme="minorEastAsia" w:hAnsiTheme="minorEastAsia" w:eastAsiaTheme="minorEastAsia"/>
          <w:b/>
          <w:sz w:val="28"/>
          <w:szCs w:val="28"/>
        </w:rPr>
        <w:t>（采用综合评分法时适用）</w:t>
      </w:r>
    </w:p>
    <w:tbl>
      <w:tblPr>
        <w:tblStyle w:val="35"/>
        <w:tblW w:w="9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924"/>
        <w:gridCol w:w="7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评标因素</w:t>
            </w:r>
          </w:p>
        </w:tc>
        <w:tc>
          <w:tcPr>
            <w:tcW w:w="924"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权值%</w:t>
            </w:r>
          </w:p>
        </w:tc>
        <w:tc>
          <w:tcPr>
            <w:tcW w:w="75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价格分</w:t>
            </w:r>
          </w:p>
        </w:tc>
        <w:tc>
          <w:tcPr>
            <w:tcW w:w="9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30</w:t>
            </w:r>
          </w:p>
        </w:tc>
        <w:tc>
          <w:tcPr>
            <w:tcW w:w="75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rPr>
                <w:rFonts w:asciiTheme="minorEastAsia" w:hAnsiTheme="minorEastAsia" w:eastAsiaTheme="minorEastAsia"/>
                <w:sz w:val="24"/>
                <w:highlight w:val="none"/>
                <w:lang w:val="zh-CN"/>
              </w:rPr>
            </w:pPr>
            <w:r>
              <w:rPr>
                <w:rFonts w:asciiTheme="minorEastAsia" w:hAnsiTheme="minorEastAsia" w:eastAsiaTheme="minorEastAsia"/>
                <w:sz w:val="24"/>
                <w:highlight w:val="none"/>
                <w:lang w:val="zh-CN"/>
              </w:rPr>
              <w:t>满足招标文件要求且投标价格最低的投标报价为评标基准价，其价格分为满分。其他投标人的价格分统一按照下列公式计算：</w:t>
            </w:r>
          </w:p>
          <w:p>
            <w:pPr>
              <w:autoSpaceDE w:val="0"/>
              <w:autoSpaceDN w:val="0"/>
              <w:adjustRightInd w:val="0"/>
              <w:snapToGrid w:val="0"/>
              <w:spacing w:line="360" w:lineRule="exact"/>
              <w:rPr>
                <w:rFonts w:hint="eastAsia" w:asciiTheme="minorEastAsia" w:hAnsiTheme="minorEastAsia" w:eastAsiaTheme="minorEastAsia"/>
                <w:sz w:val="24"/>
                <w:highlight w:val="none"/>
              </w:rPr>
            </w:pPr>
            <w:r>
              <w:rPr>
                <w:rFonts w:asciiTheme="minorEastAsia" w:hAnsiTheme="minorEastAsia" w:eastAsiaTheme="minorEastAsia"/>
                <w:sz w:val="24"/>
                <w:highlight w:val="none"/>
                <w:lang w:val="zh-CN"/>
              </w:rPr>
              <w:t>投标报价得分=（评标基准价/投标报价）×</w:t>
            </w:r>
            <w:r>
              <w:rPr>
                <w:rFonts w:hint="eastAsia" w:asciiTheme="minorEastAsia" w:hAnsiTheme="minorEastAsia" w:eastAsiaTheme="minorEastAsia"/>
                <w:sz w:val="24"/>
                <w:highlight w:val="none"/>
                <w:lang w:val="zh-CN"/>
              </w:rPr>
              <w:t>3</w:t>
            </w:r>
            <w:r>
              <w:rPr>
                <w:rFonts w:hint="eastAsia" w:asciiTheme="minorEastAsia" w:hAnsiTheme="minorEastAsia" w:eastAsiaTheme="minorEastAsia"/>
                <w:sz w:val="24"/>
                <w:highlight w:val="none"/>
              </w:rPr>
              <w:t>0×100%</w:t>
            </w:r>
          </w:p>
          <w:p>
            <w:pPr>
              <w:autoSpaceDE w:val="0"/>
              <w:autoSpaceDN w:val="0"/>
              <w:adjustRightInd w:val="0"/>
              <w:snapToGrid w:val="0"/>
              <w:spacing w:line="360" w:lineRule="exact"/>
              <w:rPr>
                <w:rFonts w:asciiTheme="minorEastAsia" w:hAnsiTheme="minorEastAsia" w:eastAsiaTheme="minorEastAsia"/>
                <w:sz w:val="24"/>
                <w:highlight w:val="none"/>
                <w:u w:val="single"/>
              </w:rPr>
            </w:pPr>
            <w:r>
              <w:rPr>
                <w:rFonts w:ascii="宋体" w:hAnsi="宋体" w:eastAsia="宋体" w:cs="宋体"/>
                <w:sz w:val="24"/>
                <w:szCs w:val="24"/>
                <w:highlight w:val="none"/>
              </w:rPr>
              <w:t xml:space="preserve">符合招标文件规定的小微企业、监狱企业、残疾人福利性单位 优惠条件的投标人，价格给予 </w:t>
            </w:r>
            <w:r>
              <w:rPr>
                <w:rFonts w:hint="eastAsia" w:ascii="宋体" w:hAnsi="宋体" w:eastAsia="宋体" w:cs="宋体"/>
                <w:sz w:val="24"/>
                <w:szCs w:val="24"/>
                <w:highlight w:val="none"/>
                <w:lang w:val="en-US" w:eastAsia="zh-CN"/>
              </w:rPr>
              <w:t>11</w:t>
            </w:r>
            <w:r>
              <w:rPr>
                <w:rFonts w:ascii="宋体" w:hAnsi="宋体" w:eastAsia="宋体" w:cs="宋体"/>
                <w:sz w:val="24"/>
                <w:szCs w:val="24"/>
                <w:highlight w:val="none"/>
              </w:rPr>
              <w:t>%的扣除，用扣除后的价格参与 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2" w:type="dxa"/>
            <w:vMerge w:val="restart"/>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技术响应</w:t>
            </w:r>
          </w:p>
        </w:tc>
        <w:tc>
          <w:tcPr>
            <w:tcW w:w="9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7523" w:type="dxa"/>
            <w:tcBorders>
              <w:top w:val="single" w:color="auto" w:sz="4" w:space="0"/>
              <w:left w:val="single" w:color="auto" w:sz="4" w:space="0"/>
              <w:bottom w:val="single" w:color="auto" w:sz="4" w:space="0"/>
              <w:right w:val="single" w:color="auto" w:sz="4" w:space="0"/>
            </w:tcBorders>
            <w:vAlign w:val="center"/>
          </w:tcPr>
          <w:p>
            <w:pPr>
              <w:numPr>
                <w:ilvl w:val="0"/>
                <w:numId w:val="4"/>
              </w:numPr>
              <w:adjustRightInd w:val="0"/>
              <w:snapToGrid w:val="0"/>
              <w:spacing w:line="360" w:lineRule="exact"/>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节能、环保产品</w:t>
            </w:r>
          </w:p>
          <w:p>
            <w:pPr>
              <w:adjustRightInd w:val="0"/>
              <w:snapToGrid w:val="0"/>
              <w:spacing w:line="360" w:lineRule="exact"/>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认定为节能产品的（若项目为单一产品，得1 分；若非单一产品，每种产品得 0.5 分，最高得1分），得1分；</w:t>
            </w:r>
          </w:p>
          <w:p>
            <w:pPr>
              <w:adjustRightInd w:val="0"/>
              <w:snapToGrid w:val="0"/>
              <w:spacing w:line="360" w:lineRule="exact"/>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认定为环保产品的（若项目为单一产品，得1分；若非单一产品，每种产品得0.5 分，最高得 1 分），得 1 分；</w:t>
            </w:r>
          </w:p>
          <w:p>
            <w:pPr>
              <w:adjustRightInd w:val="0"/>
              <w:snapToGrid w:val="0"/>
              <w:spacing w:line="360" w:lineRule="exact"/>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节能产品、环境标志产品为品目清单中产品并取得认证证书；属于强制采购的产品，不再给予加分。</w:t>
            </w:r>
          </w:p>
          <w:p>
            <w:pPr>
              <w:adjustRightInd w:val="0"/>
              <w:snapToGrid w:val="0"/>
              <w:spacing w:line="360" w:lineRule="exact"/>
              <w:jc w:val="left"/>
              <w:rPr>
                <w:rFonts w:asciiTheme="minorEastAsia" w:hAnsiTheme="minorEastAsia" w:eastAsiaTheme="minorEastAsia"/>
                <w:sz w:val="24"/>
              </w:rPr>
            </w:pPr>
            <w:r>
              <w:rPr>
                <w:rFonts w:hint="eastAsia" w:asciiTheme="minorEastAsia" w:hAnsiTheme="minorEastAsia" w:eastAsiaTheme="minorEastAsia"/>
                <w:sz w:val="24"/>
                <w:lang w:val="zh-CN"/>
              </w:rPr>
              <w:t xml:space="preserve">既是节能产品又是环保产品可同时得分，非节能、环保产品的不得分。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352" w:type="dxa"/>
            <w:vMerge w:val="continue"/>
            <w:tcBorders>
              <w:left w:val="single" w:color="auto" w:sz="4" w:space="0"/>
              <w:right w:val="single" w:color="auto" w:sz="4" w:space="0"/>
            </w:tcBorders>
            <w:vAlign w:val="center"/>
          </w:tcPr>
          <w:p>
            <w:pPr>
              <w:autoSpaceDE w:val="0"/>
              <w:autoSpaceDN w:val="0"/>
              <w:adjustRightInd w:val="0"/>
              <w:snapToGrid w:val="0"/>
              <w:spacing w:line="360" w:lineRule="exact"/>
              <w:rPr>
                <w:rFonts w:asciiTheme="minorEastAsia" w:hAnsiTheme="minorEastAsia" w:eastAsiaTheme="minorEastAsia"/>
                <w:sz w:val="24"/>
                <w:lang w:val="zh-CN"/>
              </w:rPr>
            </w:pPr>
          </w:p>
        </w:tc>
        <w:tc>
          <w:tcPr>
            <w:tcW w:w="9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rFonts w:asciiTheme="minorEastAsia" w:hAnsiTheme="minorEastAsia" w:eastAsiaTheme="minorEastAsia"/>
                <w:color w:val="FFFFFF" w:themeColor="background1"/>
                <w:sz w:val="24"/>
                <w14:textFill>
                  <w14:solidFill>
                    <w14:schemeClr w14:val="bg1"/>
                  </w14:solidFill>
                </w14:textFill>
              </w:rPr>
            </w:pPr>
            <w:r>
              <w:rPr>
                <w:rFonts w:hint="eastAsia" w:asciiTheme="minorEastAsia" w:hAnsiTheme="minorEastAsia" w:eastAsiaTheme="minorEastAsia"/>
                <w:sz w:val="24"/>
              </w:rPr>
              <w:t>25</w:t>
            </w:r>
          </w:p>
        </w:tc>
        <w:tc>
          <w:tcPr>
            <w:tcW w:w="75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rPr>
                <w:rFonts w:asciiTheme="minorEastAsia" w:hAnsiTheme="minorEastAsia" w:eastAsiaTheme="minorEastAsia"/>
                <w:color w:val="FFFFFF" w:themeColor="background1"/>
                <w:sz w:val="24"/>
                <w:lang w:val="zh-CN"/>
                <w14:textFill>
                  <w14:solidFill>
                    <w14:schemeClr w14:val="bg1"/>
                  </w14:solidFill>
                </w14:textFill>
              </w:rPr>
            </w:pPr>
            <w:r>
              <w:rPr>
                <w:rFonts w:hint="eastAsia" w:asciiTheme="minorEastAsia" w:hAnsiTheme="minorEastAsia" w:eastAsiaTheme="minorEastAsia"/>
                <w:sz w:val="24"/>
              </w:rPr>
              <w:t>2</w:t>
            </w:r>
            <w:r>
              <w:rPr>
                <w:rFonts w:hint="eastAsia" w:asciiTheme="minorEastAsia" w:hAnsiTheme="minorEastAsia" w:eastAsiaTheme="minorEastAsia"/>
                <w:sz w:val="24"/>
                <w:lang w:val="zh-CN"/>
              </w:rPr>
              <w:t>、投标产品的技术指标评审</w:t>
            </w:r>
            <w:r>
              <w:rPr>
                <w:rFonts w:hint="eastAsia" w:asciiTheme="minorEastAsia" w:hAnsiTheme="minorEastAsia" w:eastAsiaTheme="minorEastAsia"/>
                <w:sz w:val="24"/>
                <w:highlight w:val="none"/>
                <w:lang w:val="zh-CN"/>
              </w:rPr>
              <w:t>：完全响应或优于得</w:t>
            </w:r>
            <w:r>
              <w:rPr>
                <w:rFonts w:hint="eastAsia" w:asciiTheme="minorEastAsia" w:hAnsiTheme="minorEastAsia" w:eastAsiaTheme="minorEastAsia"/>
                <w:sz w:val="24"/>
                <w:highlight w:val="none"/>
              </w:rPr>
              <w:t>25</w:t>
            </w:r>
            <w:r>
              <w:rPr>
                <w:rFonts w:hint="eastAsia" w:asciiTheme="minorEastAsia" w:hAnsiTheme="minorEastAsia" w:eastAsiaTheme="minorEastAsia"/>
                <w:sz w:val="24"/>
                <w:highlight w:val="none"/>
                <w:lang w:val="zh-CN"/>
              </w:rPr>
              <w:t>分，指标参数一项不满足扣</w:t>
            </w:r>
            <w:r>
              <w:rPr>
                <w:rFonts w:hint="eastAsia" w:asciiTheme="minorEastAsia" w:hAnsiTheme="minorEastAsia" w:eastAsiaTheme="minorEastAsia"/>
                <w:sz w:val="24"/>
                <w:highlight w:val="none"/>
              </w:rPr>
              <w:t>1</w:t>
            </w:r>
            <w:r>
              <w:rPr>
                <w:rFonts w:hint="eastAsia" w:asciiTheme="minorEastAsia" w:hAnsiTheme="minorEastAsia" w:eastAsiaTheme="minorEastAsia"/>
                <w:sz w:val="24"/>
                <w:highlight w:val="none"/>
                <w:lang w:val="zh-CN"/>
              </w:rPr>
              <w:t>分，扣完为止（技术指标</w:t>
            </w:r>
            <w:r>
              <w:rPr>
                <w:rFonts w:asciiTheme="minorEastAsia" w:hAnsiTheme="minorEastAsia" w:eastAsiaTheme="minorEastAsia"/>
                <w:sz w:val="24"/>
                <w:highlight w:val="none"/>
                <w:lang w:val="zh-CN"/>
              </w:rPr>
              <w:t>提供技术支持资料，并在技术偏离表“说明”栏中标明页码，</w:t>
            </w:r>
            <w:r>
              <w:rPr>
                <w:rFonts w:hint="eastAsia" w:asciiTheme="minorEastAsia" w:hAnsiTheme="minorEastAsia" w:eastAsiaTheme="minorEastAsia"/>
                <w:sz w:val="24"/>
                <w:highlight w:val="none"/>
                <w:lang w:val="zh-CN"/>
              </w:rPr>
              <w:t>未提供不得分</w:t>
            </w:r>
            <w:r>
              <w:rPr>
                <w:rFonts w:asciiTheme="minorEastAsia" w:hAnsiTheme="minorEastAsia" w:eastAsiaTheme="minorEastAsia"/>
                <w:sz w:val="24"/>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352" w:type="dxa"/>
            <w:vMerge w:val="continue"/>
            <w:tcBorders>
              <w:left w:val="single" w:color="auto" w:sz="4" w:space="0"/>
              <w:right w:val="single" w:color="auto" w:sz="4" w:space="0"/>
            </w:tcBorders>
            <w:vAlign w:val="center"/>
          </w:tcPr>
          <w:p>
            <w:pPr>
              <w:autoSpaceDE w:val="0"/>
              <w:autoSpaceDN w:val="0"/>
              <w:adjustRightInd w:val="0"/>
              <w:snapToGrid w:val="0"/>
              <w:spacing w:line="360" w:lineRule="exact"/>
              <w:rPr>
                <w:rFonts w:asciiTheme="minorEastAsia" w:hAnsiTheme="minorEastAsia" w:eastAsiaTheme="minorEastAsia"/>
                <w:sz w:val="24"/>
                <w:lang w:val="zh-CN"/>
              </w:rPr>
            </w:pPr>
          </w:p>
        </w:tc>
        <w:tc>
          <w:tcPr>
            <w:tcW w:w="9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75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rPr>
                <w:rFonts w:cs="___WRD_EMBED_SUB_38" w:asciiTheme="minorEastAsia" w:hAnsiTheme="minorEastAsia" w:eastAsiaTheme="minorEastAsia"/>
                <w:sz w:val="24"/>
                <w:lang w:val="zh-CN"/>
              </w:rPr>
            </w:pPr>
            <w:r>
              <w:rPr>
                <w:rFonts w:hint="eastAsia" w:asciiTheme="minorEastAsia" w:hAnsiTheme="minorEastAsia" w:eastAsiaTheme="minorEastAsia"/>
                <w:sz w:val="24"/>
              </w:rPr>
              <w:t>3</w:t>
            </w:r>
            <w:r>
              <w:rPr>
                <w:rFonts w:hint="eastAsia" w:asciiTheme="minorEastAsia" w:hAnsiTheme="minorEastAsia" w:eastAsiaTheme="minorEastAsia"/>
                <w:sz w:val="24"/>
                <w:lang w:val="zh-CN"/>
              </w:rPr>
              <w:t>、投标产品附有完整的</w:t>
            </w:r>
            <w:r>
              <w:rPr>
                <w:rFonts w:hint="eastAsia" w:asciiTheme="minorEastAsia" w:hAnsiTheme="minorEastAsia" w:eastAsiaTheme="minorEastAsia"/>
                <w:sz w:val="24"/>
              </w:rPr>
              <w:t>证明材料</w:t>
            </w:r>
            <w:r>
              <w:rPr>
                <w:rFonts w:hint="eastAsia" w:asciiTheme="minorEastAsia" w:hAnsiTheme="minorEastAsia" w:eastAsiaTheme="minorEastAsia"/>
                <w:sz w:val="24"/>
                <w:lang w:val="zh-CN"/>
              </w:rPr>
              <w:t>（包括但不限于原厂印刷的产品说明书、实物图、宣传资料、质量证书、产品检测报告、产品合格证、官网和功能截图等），整体表述一致，技术资料</w:t>
            </w:r>
            <w:r>
              <w:rPr>
                <w:rFonts w:hint="eastAsia" w:cs="宋体" w:asciiTheme="minorEastAsia" w:hAnsiTheme="minorEastAsia" w:eastAsiaTheme="minorEastAsia"/>
                <w:sz w:val="24"/>
                <w:lang w:val="zh-CN"/>
              </w:rPr>
              <w:t>短</w:t>
            </w:r>
            <w:r>
              <w:rPr>
                <w:rFonts w:hint="eastAsia" w:cs="___WRD_EMBED_SUB_38" w:asciiTheme="minorEastAsia" w:hAnsiTheme="minorEastAsia" w:eastAsiaTheme="minorEastAsia"/>
                <w:sz w:val="24"/>
                <w:lang w:val="zh-CN"/>
              </w:rPr>
              <w:t>缺或表述不一致的扣</w:t>
            </w:r>
            <w:r>
              <w:rPr>
                <w:rFonts w:hint="eastAsia" w:cs="宋体" w:asciiTheme="minorEastAsia" w:hAnsiTheme="minorEastAsia" w:eastAsiaTheme="minorEastAsia"/>
                <w:sz w:val="24"/>
                <w:lang w:val="zh-CN"/>
              </w:rPr>
              <w:t>去</w:t>
            </w:r>
            <w:r>
              <w:rPr>
                <w:rFonts w:hint="eastAsia" w:cs="___WRD_EMBED_SUB_38" w:asciiTheme="minorEastAsia" w:hAnsiTheme="minorEastAsia" w:eastAsiaTheme="minorEastAsia"/>
                <w:sz w:val="24"/>
                <w:lang w:val="zh-CN"/>
              </w:rPr>
              <w:t>相应得分。</w:t>
            </w:r>
          </w:p>
          <w:p>
            <w:pPr>
              <w:autoSpaceDE w:val="0"/>
              <w:autoSpaceDN w:val="0"/>
              <w:adjustRightInd w:val="0"/>
              <w:snapToGrid w:val="0"/>
              <w:spacing w:line="360" w:lineRule="exact"/>
              <w:rPr>
                <w:rFonts w:ascii="宋体" w:hAnsi="宋体" w:cs="宋体"/>
                <w:sz w:val="24"/>
              </w:rPr>
            </w:pPr>
            <w:r>
              <w:rPr>
                <w:rFonts w:ascii="宋体" w:hAnsi="宋体" w:cs="宋体"/>
                <w:sz w:val="24"/>
              </w:rPr>
              <w:t>资料完整详细、明确具体；</w:t>
            </w:r>
            <w:r>
              <w:rPr>
                <w:rFonts w:hint="eastAsia" w:ascii="宋体" w:hAnsi="宋体" w:cs="宋体"/>
                <w:sz w:val="24"/>
              </w:rPr>
              <w:t>得</w:t>
            </w:r>
            <w:r>
              <w:rPr>
                <w:rFonts w:ascii="宋体" w:hAnsi="宋体" w:cs="宋体"/>
                <w:sz w:val="24"/>
              </w:rPr>
              <w:t>［</w:t>
            </w:r>
            <w:r>
              <w:rPr>
                <w:rFonts w:hint="eastAsia" w:ascii="宋体" w:hAnsi="宋体" w:cs="宋体"/>
                <w:sz w:val="24"/>
              </w:rPr>
              <w:t>3</w:t>
            </w:r>
            <w:r>
              <w:rPr>
                <w:rFonts w:ascii="宋体" w:hAnsi="宋体" w:cs="宋体"/>
                <w:sz w:val="24"/>
              </w:rPr>
              <w:t>-</w:t>
            </w:r>
            <w:r>
              <w:rPr>
                <w:rFonts w:hint="eastAsia" w:ascii="宋体" w:hAnsi="宋体" w:cs="宋体"/>
                <w:sz w:val="24"/>
              </w:rPr>
              <w:t>5</w:t>
            </w:r>
            <w:r>
              <w:rPr>
                <w:rFonts w:ascii="宋体" w:hAnsi="宋体" w:cs="宋体"/>
                <w:sz w:val="24"/>
              </w:rPr>
              <w:t xml:space="preserve"> 分］ </w:t>
            </w:r>
          </w:p>
          <w:p>
            <w:pPr>
              <w:autoSpaceDE w:val="0"/>
              <w:autoSpaceDN w:val="0"/>
              <w:adjustRightInd w:val="0"/>
              <w:snapToGrid w:val="0"/>
              <w:spacing w:line="360" w:lineRule="exact"/>
              <w:rPr>
                <w:rFonts w:ascii="宋体" w:hAnsi="宋体" w:cs="宋体"/>
                <w:sz w:val="24"/>
              </w:rPr>
            </w:pPr>
            <w:r>
              <w:rPr>
                <w:rFonts w:ascii="宋体" w:hAnsi="宋体" w:cs="宋体"/>
                <w:sz w:val="24"/>
              </w:rPr>
              <w:t>资料</w:t>
            </w:r>
            <w:r>
              <w:rPr>
                <w:rFonts w:hint="eastAsia" w:ascii="宋体" w:hAnsi="宋体" w:cs="宋体"/>
                <w:sz w:val="24"/>
                <w:lang w:val="en-US" w:eastAsia="zh-CN"/>
              </w:rPr>
              <w:t>较</w:t>
            </w:r>
            <w:r>
              <w:rPr>
                <w:rFonts w:ascii="宋体" w:hAnsi="宋体" w:cs="宋体"/>
                <w:sz w:val="24"/>
              </w:rPr>
              <w:t>完整详细、较明确具体；</w:t>
            </w:r>
            <w:r>
              <w:rPr>
                <w:rFonts w:hint="eastAsia" w:ascii="宋体" w:hAnsi="宋体" w:cs="宋体"/>
                <w:sz w:val="24"/>
              </w:rPr>
              <w:t>得</w:t>
            </w:r>
            <w:r>
              <w:rPr>
                <w:rFonts w:ascii="宋体" w:hAnsi="宋体" w:cs="宋体"/>
                <w:sz w:val="24"/>
              </w:rPr>
              <w:t>［</w:t>
            </w:r>
            <w:r>
              <w:rPr>
                <w:rFonts w:hint="eastAsia" w:ascii="宋体" w:hAnsi="宋体" w:cs="宋体"/>
                <w:sz w:val="24"/>
              </w:rPr>
              <w:t>1</w:t>
            </w:r>
            <w:r>
              <w:rPr>
                <w:rFonts w:ascii="宋体" w:hAnsi="宋体" w:cs="宋体"/>
                <w:sz w:val="24"/>
              </w:rPr>
              <w:t>-</w:t>
            </w:r>
            <w:r>
              <w:rPr>
                <w:rFonts w:hint="eastAsia" w:ascii="宋体" w:hAnsi="宋体" w:cs="宋体"/>
                <w:sz w:val="24"/>
              </w:rPr>
              <w:t>3</w:t>
            </w:r>
            <w:r>
              <w:rPr>
                <w:rFonts w:ascii="宋体" w:hAnsi="宋体" w:cs="宋体"/>
                <w:sz w:val="24"/>
              </w:rPr>
              <w:t>分）</w:t>
            </w:r>
          </w:p>
          <w:p>
            <w:pPr>
              <w:autoSpaceDE w:val="0"/>
              <w:autoSpaceDN w:val="0"/>
              <w:adjustRightInd w:val="0"/>
              <w:snapToGrid w:val="0"/>
              <w:spacing w:line="360" w:lineRule="exact"/>
              <w:rPr>
                <w:rFonts w:ascii="宋体" w:hAnsi="宋体" w:cs="宋体"/>
                <w:sz w:val="24"/>
              </w:rPr>
            </w:pPr>
            <w:r>
              <w:rPr>
                <w:rFonts w:hint="eastAsia" w:ascii="宋体" w:hAnsi="宋体" w:cs="宋体"/>
                <w:sz w:val="24"/>
              </w:rPr>
              <w:t>不提供不得分</w:t>
            </w:r>
            <w:r>
              <w:rPr>
                <w:rFonts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352" w:type="dxa"/>
            <w:vMerge w:val="continue"/>
            <w:tcBorders>
              <w:left w:val="single" w:color="auto" w:sz="4" w:space="0"/>
              <w:right w:val="single" w:color="auto" w:sz="4" w:space="0"/>
            </w:tcBorders>
            <w:vAlign w:val="center"/>
          </w:tcPr>
          <w:p>
            <w:pPr>
              <w:autoSpaceDE w:val="0"/>
              <w:autoSpaceDN w:val="0"/>
              <w:adjustRightInd w:val="0"/>
              <w:snapToGrid w:val="0"/>
              <w:spacing w:line="360" w:lineRule="exact"/>
              <w:rPr>
                <w:rFonts w:asciiTheme="minorEastAsia" w:hAnsiTheme="minorEastAsia" w:eastAsiaTheme="minorEastAsia"/>
                <w:sz w:val="24"/>
                <w:lang w:val="zh-CN"/>
              </w:rPr>
            </w:pPr>
          </w:p>
        </w:tc>
        <w:tc>
          <w:tcPr>
            <w:tcW w:w="9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10</w:t>
            </w:r>
          </w:p>
        </w:tc>
        <w:tc>
          <w:tcPr>
            <w:tcW w:w="7523" w:type="dxa"/>
            <w:tcBorders>
              <w:top w:val="single" w:color="auto" w:sz="4" w:space="0"/>
              <w:left w:val="single" w:color="auto" w:sz="4" w:space="0"/>
              <w:bottom w:val="single" w:color="auto" w:sz="4" w:space="0"/>
              <w:right w:val="single" w:color="auto" w:sz="4" w:space="0"/>
            </w:tcBorders>
            <w:vAlign w:val="center"/>
          </w:tcPr>
          <w:p>
            <w:pPr>
              <w:numPr>
                <w:ilvl w:val="0"/>
                <w:numId w:val="5"/>
              </w:numPr>
              <w:autoSpaceDE w:val="0"/>
              <w:autoSpaceDN w:val="0"/>
              <w:adjustRightInd w:val="0"/>
              <w:snapToGrid w:val="0"/>
              <w:spacing w:line="360" w:lineRule="exact"/>
              <w:rPr>
                <w:rFonts w:ascii="宋体" w:hAnsi="宋体" w:cs="宋体"/>
                <w:sz w:val="24"/>
              </w:rPr>
            </w:pPr>
            <w:r>
              <w:rPr>
                <w:rFonts w:ascii="宋体" w:hAnsi="宋体" w:cs="宋体"/>
                <w:sz w:val="24"/>
              </w:rPr>
              <w:t>实施方案：提供周密的实施方案，人员配置合理、分工明确，时间进度安排得当、满足招标文件时限要求，配套质量管理、安全管理等各项措施完善。</w:t>
            </w:r>
          </w:p>
          <w:p>
            <w:pPr>
              <w:autoSpaceDE w:val="0"/>
              <w:autoSpaceDN w:val="0"/>
              <w:adjustRightInd w:val="0"/>
              <w:snapToGrid w:val="0"/>
              <w:spacing w:line="360" w:lineRule="exact"/>
              <w:rPr>
                <w:rFonts w:ascii="宋体" w:hAnsi="宋体" w:cs="宋体"/>
                <w:sz w:val="24"/>
              </w:rPr>
            </w:pPr>
            <w:r>
              <w:rPr>
                <w:rFonts w:ascii="宋体" w:hAnsi="宋体" w:cs="宋体"/>
                <w:sz w:val="24"/>
              </w:rPr>
              <w:t>实施方案科学详细、明确具体；</w:t>
            </w:r>
            <w:r>
              <w:rPr>
                <w:rFonts w:hint="eastAsia" w:ascii="宋体" w:hAnsi="宋体" w:cs="宋体"/>
                <w:sz w:val="24"/>
              </w:rPr>
              <w:t>得</w:t>
            </w:r>
            <w:r>
              <w:rPr>
                <w:rFonts w:ascii="宋体" w:hAnsi="宋体" w:cs="宋体"/>
                <w:sz w:val="24"/>
              </w:rPr>
              <w:t>［</w:t>
            </w:r>
            <w:r>
              <w:rPr>
                <w:rFonts w:hint="eastAsia" w:ascii="宋体" w:hAnsi="宋体" w:cs="宋体"/>
                <w:sz w:val="24"/>
              </w:rPr>
              <w:t>7</w:t>
            </w:r>
            <w:r>
              <w:rPr>
                <w:rFonts w:ascii="宋体" w:hAnsi="宋体" w:cs="宋体"/>
                <w:sz w:val="24"/>
              </w:rPr>
              <w:t>-</w:t>
            </w:r>
            <w:r>
              <w:rPr>
                <w:rFonts w:hint="eastAsia" w:ascii="宋体" w:hAnsi="宋体" w:cs="宋体"/>
                <w:sz w:val="24"/>
              </w:rPr>
              <w:t>10</w:t>
            </w:r>
            <w:r>
              <w:rPr>
                <w:rFonts w:ascii="宋体" w:hAnsi="宋体" w:cs="宋体"/>
                <w:sz w:val="24"/>
              </w:rPr>
              <w:t xml:space="preserve"> 分］</w:t>
            </w:r>
          </w:p>
          <w:p>
            <w:pPr>
              <w:autoSpaceDE w:val="0"/>
              <w:autoSpaceDN w:val="0"/>
              <w:adjustRightInd w:val="0"/>
              <w:snapToGrid w:val="0"/>
              <w:spacing w:line="360" w:lineRule="exact"/>
              <w:rPr>
                <w:rFonts w:ascii="宋体" w:hAnsi="宋体" w:cs="宋体"/>
                <w:sz w:val="24"/>
              </w:rPr>
            </w:pPr>
            <w:r>
              <w:rPr>
                <w:rFonts w:ascii="宋体" w:hAnsi="宋体" w:cs="宋体"/>
                <w:sz w:val="24"/>
              </w:rPr>
              <w:t>实施方案较科学详细、较明确具体；</w:t>
            </w:r>
            <w:r>
              <w:rPr>
                <w:rFonts w:hint="eastAsia" w:ascii="宋体" w:hAnsi="宋体" w:cs="宋体"/>
                <w:sz w:val="24"/>
              </w:rPr>
              <w:t>得</w:t>
            </w:r>
            <w:r>
              <w:rPr>
                <w:rFonts w:ascii="宋体" w:hAnsi="宋体" w:cs="宋体"/>
                <w:sz w:val="24"/>
              </w:rPr>
              <w:t>［</w:t>
            </w:r>
            <w:r>
              <w:rPr>
                <w:rFonts w:hint="eastAsia" w:ascii="宋体" w:hAnsi="宋体" w:cs="宋体"/>
                <w:sz w:val="24"/>
              </w:rPr>
              <w:t>4</w:t>
            </w:r>
            <w:r>
              <w:rPr>
                <w:rFonts w:ascii="宋体" w:hAnsi="宋体" w:cs="宋体"/>
                <w:sz w:val="24"/>
              </w:rPr>
              <w:t>-</w:t>
            </w:r>
            <w:r>
              <w:rPr>
                <w:rFonts w:hint="eastAsia" w:ascii="宋体" w:hAnsi="宋体" w:cs="宋体"/>
                <w:sz w:val="24"/>
              </w:rPr>
              <w:t>7</w:t>
            </w:r>
            <w:r>
              <w:rPr>
                <w:rFonts w:ascii="宋体" w:hAnsi="宋体" w:cs="宋体"/>
                <w:sz w:val="24"/>
              </w:rPr>
              <w:t>分）</w:t>
            </w:r>
          </w:p>
          <w:p>
            <w:pPr>
              <w:autoSpaceDE w:val="0"/>
              <w:autoSpaceDN w:val="0"/>
              <w:adjustRightInd w:val="0"/>
              <w:snapToGrid w:val="0"/>
              <w:spacing w:line="360" w:lineRule="exact"/>
              <w:rPr>
                <w:rFonts w:hint="eastAsia" w:ascii="宋体" w:hAnsi="宋体" w:cs="宋体"/>
                <w:sz w:val="24"/>
              </w:rPr>
            </w:pPr>
            <w:r>
              <w:rPr>
                <w:rFonts w:ascii="宋体" w:hAnsi="宋体" w:cs="宋体"/>
                <w:sz w:val="24"/>
              </w:rPr>
              <w:t>实施方案缺失或者描述不详细不具体。</w:t>
            </w:r>
            <w:r>
              <w:rPr>
                <w:rFonts w:hint="eastAsia" w:ascii="宋体" w:hAnsi="宋体" w:cs="宋体"/>
                <w:sz w:val="24"/>
              </w:rPr>
              <w:t>得</w:t>
            </w:r>
            <w:r>
              <w:rPr>
                <w:rFonts w:ascii="宋体" w:hAnsi="宋体" w:cs="宋体"/>
                <w:sz w:val="24"/>
              </w:rPr>
              <w:t>［</w:t>
            </w:r>
            <w:r>
              <w:rPr>
                <w:rFonts w:hint="eastAsia" w:ascii="宋体" w:hAnsi="宋体" w:cs="宋体"/>
                <w:sz w:val="24"/>
              </w:rPr>
              <w:t>1</w:t>
            </w:r>
            <w:r>
              <w:rPr>
                <w:rFonts w:ascii="宋体" w:hAnsi="宋体" w:cs="宋体"/>
                <w:sz w:val="24"/>
              </w:rPr>
              <w:t>-</w:t>
            </w:r>
            <w:r>
              <w:rPr>
                <w:rFonts w:hint="eastAsia" w:ascii="宋体" w:hAnsi="宋体" w:cs="宋体"/>
                <w:sz w:val="24"/>
              </w:rPr>
              <w:t>4</w:t>
            </w:r>
            <w:r>
              <w:rPr>
                <w:rFonts w:ascii="宋体" w:hAnsi="宋体" w:cs="宋体"/>
                <w:sz w:val="24"/>
              </w:rPr>
              <w:t>分）</w:t>
            </w:r>
          </w:p>
          <w:p>
            <w:pPr>
              <w:autoSpaceDE w:val="0"/>
              <w:autoSpaceDN w:val="0"/>
              <w:adjustRightInd w:val="0"/>
              <w:snapToGrid w:val="0"/>
              <w:spacing w:line="360" w:lineRule="exact"/>
              <w:rPr>
                <w:sz w:val="24"/>
              </w:rPr>
            </w:pPr>
            <w:r>
              <w:rPr>
                <w:rFonts w:hint="eastAsia" w:ascii="宋体" w:hAnsi="宋体" w:cs="宋体"/>
                <w:sz w:val="24"/>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352"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rPr>
                <w:rFonts w:asciiTheme="minorEastAsia" w:hAnsiTheme="minorEastAsia" w:eastAsiaTheme="minorEastAsia"/>
                <w:sz w:val="24"/>
                <w:lang w:val="zh-CN"/>
              </w:rPr>
            </w:pPr>
          </w:p>
        </w:tc>
        <w:tc>
          <w:tcPr>
            <w:tcW w:w="9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240" w:firstLineChars="100"/>
              <w:rPr>
                <w:rFonts w:asciiTheme="minorEastAsia" w:hAnsiTheme="minorEastAsia" w:eastAsiaTheme="minorEastAsia"/>
                <w:color w:val="FFFFFF" w:themeColor="background1"/>
                <w:sz w:val="24"/>
                <w14:textFill>
                  <w14:solidFill>
                    <w14:schemeClr w14:val="bg1"/>
                  </w14:solidFill>
                </w14:textFill>
              </w:rPr>
            </w:pPr>
            <w:r>
              <w:rPr>
                <w:rFonts w:hint="eastAsia" w:asciiTheme="minorEastAsia" w:hAnsiTheme="minorEastAsia" w:eastAsiaTheme="minorEastAsia"/>
                <w:sz w:val="24"/>
              </w:rPr>
              <w:t>5</w:t>
            </w:r>
          </w:p>
        </w:tc>
        <w:tc>
          <w:tcPr>
            <w:tcW w:w="7523" w:type="dxa"/>
            <w:tcBorders>
              <w:top w:val="single" w:color="auto" w:sz="4" w:space="0"/>
              <w:left w:val="single" w:color="auto" w:sz="4" w:space="0"/>
              <w:bottom w:val="single" w:color="auto" w:sz="4" w:space="0"/>
              <w:right w:val="single" w:color="auto" w:sz="4" w:space="0"/>
            </w:tcBorders>
            <w:vAlign w:val="center"/>
          </w:tcPr>
          <w:p>
            <w:pPr>
              <w:numPr>
                <w:ilvl w:val="0"/>
                <w:numId w:val="6"/>
              </w:numPr>
              <w:autoSpaceDE w:val="0"/>
              <w:autoSpaceDN w:val="0"/>
              <w:adjustRightInd w:val="0"/>
              <w:spacing w:line="360" w:lineRule="exact"/>
              <w:rPr>
                <w:rFonts w:ascii="宋体" w:hAnsi="宋体" w:cs="宋体"/>
                <w:sz w:val="24"/>
              </w:rPr>
            </w:pPr>
            <w:r>
              <w:rPr>
                <w:rFonts w:ascii="宋体" w:hAnsi="宋体" w:cs="宋体"/>
                <w:sz w:val="24"/>
              </w:rPr>
              <w:t xml:space="preserve">产品来源渠道：产品供应渠道正常，检验手续合法有效、无产权纠纷。提供产品渠道来源合法的证明文件（提供销售协议、代理协议、原厂授权、原厂售后服务等）。 </w:t>
            </w:r>
          </w:p>
          <w:p>
            <w:pPr>
              <w:autoSpaceDE w:val="0"/>
              <w:autoSpaceDN w:val="0"/>
              <w:adjustRightInd w:val="0"/>
              <w:spacing w:line="360" w:lineRule="exact"/>
              <w:rPr>
                <w:rFonts w:ascii="宋体" w:hAnsi="宋体" w:cs="宋体"/>
                <w:sz w:val="24"/>
              </w:rPr>
            </w:pPr>
            <w:r>
              <w:rPr>
                <w:rFonts w:ascii="宋体" w:hAnsi="宋体" w:cs="宋体"/>
                <w:sz w:val="24"/>
              </w:rPr>
              <w:t>资料完整详细、明确具体；</w:t>
            </w:r>
            <w:r>
              <w:rPr>
                <w:rFonts w:hint="eastAsia" w:ascii="宋体" w:hAnsi="宋体" w:cs="宋体"/>
                <w:sz w:val="24"/>
              </w:rPr>
              <w:t>得</w:t>
            </w:r>
            <w:r>
              <w:rPr>
                <w:rFonts w:ascii="宋体" w:hAnsi="宋体" w:cs="宋体"/>
                <w:sz w:val="24"/>
              </w:rPr>
              <w:t>［</w:t>
            </w:r>
            <w:r>
              <w:rPr>
                <w:rFonts w:hint="eastAsia" w:ascii="宋体" w:hAnsi="宋体" w:cs="宋体"/>
                <w:sz w:val="24"/>
              </w:rPr>
              <w:t>3</w:t>
            </w:r>
            <w:r>
              <w:rPr>
                <w:rFonts w:ascii="宋体" w:hAnsi="宋体" w:cs="宋体"/>
                <w:sz w:val="24"/>
              </w:rPr>
              <w:t>-</w:t>
            </w:r>
            <w:r>
              <w:rPr>
                <w:rFonts w:hint="eastAsia" w:ascii="宋体" w:hAnsi="宋体" w:cs="宋体"/>
                <w:sz w:val="24"/>
              </w:rPr>
              <w:t>5</w:t>
            </w:r>
            <w:r>
              <w:rPr>
                <w:rFonts w:ascii="宋体" w:hAnsi="宋体" w:cs="宋体"/>
                <w:sz w:val="24"/>
              </w:rPr>
              <w:t xml:space="preserve"> 分］ </w:t>
            </w:r>
          </w:p>
          <w:p>
            <w:pPr>
              <w:autoSpaceDE w:val="0"/>
              <w:autoSpaceDN w:val="0"/>
              <w:adjustRightInd w:val="0"/>
              <w:spacing w:line="360" w:lineRule="exact"/>
              <w:rPr>
                <w:rFonts w:ascii="宋体" w:hAnsi="宋体" w:cs="宋体"/>
                <w:sz w:val="24"/>
              </w:rPr>
            </w:pPr>
            <w:r>
              <w:rPr>
                <w:rFonts w:ascii="宋体" w:hAnsi="宋体" w:cs="宋体"/>
                <w:sz w:val="24"/>
              </w:rPr>
              <w:t>资料完整详细、较明确具体；</w:t>
            </w:r>
            <w:r>
              <w:rPr>
                <w:rFonts w:hint="eastAsia" w:ascii="宋体" w:hAnsi="宋体" w:cs="宋体"/>
                <w:sz w:val="24"/>
              </w:rPr>
              <w:t>得</w:t>
            </w:r>
            <w:r>
              <w:rPr>
                <w:rFonts w:ascii="宋体" w:hAnsi="宋体" w:cs="宋体"/>
                <w:sz w:val="24"/>
              </w:rPr>
              <w:t>［</w:t>
            </w:r>
            <w:r>
              <w:rPr>
                <w:rFonts w:hint="eastAsia" w:ascii="宋体" w:hAnsi="宋体" w:cs="宋体"/>
                <w:sz w:val="24"/>
              </w:rPr>
              <w:t>1</w:t>
            </w:r>
            <w:r>
              <w:rPr>
                <w:rFonts w:ascii="宋体" w:hAnsi="宋体" w:cs="宋体"/>
                <w:sz w:val="24"/>
              </w:rPr>
              <w:t>-</w:t>
            </w:r>
            <w:r>
              <w:rPr>
                <w:rFonts w:hint="eastAsia" w:ascii="宋体" w:hAnsi="宋体" w:cs="宋体"/>
                <w:sz w:val="24"/>
              </w:rPr>
              <w:t>3</w:t>
            </w:r>
            <w:r>
              <w:rPr>
                <w:rFonts w:ascii="宋体" w:hAnsi="宋体" w:cs="宋体"/>
                <w:sz w:val="24"/>
              </w:rPr>
              <w:t>分）</w:t>
            </w:r>
          </w:p>
          <w:p>
            <w:pPr>
              <w:autoSpaceDE w:val="0"/>
              <w:autoSpaceDN w:val="0"/>
              <w:adjustRightInd w:val="0"/>
              <w:spacing w:line="360" w:lineRule="exact"/>
              <w:rPr>
                <w:rFonts w:asciiTheme="minorEastAsia" w:hAnsiTheme="minorEastAsia" w:eastAsiaTheme="minorEastAsia"/>
                <w:color w:val="FFFFFF" w:themeColor="background1"/>
                <w:sz w:val="24"/>
                <w:lang w:val="zh-CN"/>
                <w14:textFill>
                  <w14:solidFill>
                    <w14:schemeClr w14:val="bg1"/>
                  </w14:solidFill>
                </w14:textFill>
              </w:rPr>
            </w:pPr>
            <w:r>
              <w:rPr>
                <w:rFonts w:hint="eastAsia" w:ascii="宋体" w:hAnsi="宋体" w:cs="宋体"/>
                <w:sz w:val="24"/>
              </w:rPr>
              <w:t>不提供不得分</w:t>
            </w:r>
            <w:r>
              <w:rPr>
                <w:rFonts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3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rFonts w:asciiTheme="minorEastAsia" w:hAnsiTheme="minorEastAsia" w:eastAsiaTheme="minorEastAsia"/>
                <w:sz w:val="24"/>
                <w:lang w:val="zh-CN"/>
              </w:rPr>
            </w:pPr>
            <w:r>
              <w:rPr>
                <w:rFonts w:hint="eastAsia" w:asciiTheme="minorEastAsia" w:hAnsiTheme="minorEastAsia" w:eastAsiaTheme="minorEastAsia"/>
                <w:sz w:val="24"/>
                <w:lang w:val="zh-CN"/>
              </w:rPr>
              <w:t>售后服务</w:t>
            </w:r>
          </w:p>
        </w:tc>
        <w:tc>
          <w:tcPr>
            <w:tcW w:w="9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rFonts w:asciiTheme="minorEastAsia" w:hAnsiTheme="minorEastAsia" w:eastAsiaTheme="minorEastAsia"/>
                <w:color w:val="FFFFFF" w:themeColor="background1"/>
                <w:sz w:val="24"/>
                <w:lang w:val="zh-CN"/>
                <w14:textFill>
                  <w14:solidFill>
                    <w14:schemeClr w14:val="bg1"/>
                  </w14:solidFill>
                </w14:textFill>
              </w:rPr>
            </w:pPr>
            <w:r>
              <w:rPr>
                <w:rFonts w:hint="eastAsia" w:asciiTheme="minorEastAsia" w:hAnsiTheme="minorEastAsia" w:eastAsiaTheme="minorEastAsia"/>
                <w:sz w:val="24"/>
              </w:rPr>
              <w:t>8</w:t>
            </w:r>
          </w:p>
        </w:tc>
        <w:tc>
          <w:tcPr>
            <w:tcW w:w="75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cs="宋体"/>
                <w:sz w:val="24"/>
              </w:rPr>
            </w:pPr>
            <w:r>
              <w:rPr>
                <w:rFonts w:hint="eastAsia" w:ascii="宋体" w:hAnsi="宋体" w:cs="宋体"/>
                <w:sz w:val="24"/>
              </w:rPr>
              <w:t>针对该项目有售后服务计划、售后服务措施，其他附带产品服务承诺等；</w:t>
            </w:r>
          </w:p>
          <w:p>
            <w:pPr>
              <w:autoSpaceDE w:val="0"/>
              <w:autoSpaceDN w:val="0"/>
              <w:adjustRightInd w:val="0"/>
              <w:spacing w:line="360" w:lineRule="exact"/>
              <w:rPr>
                <w:rFonts w:hint="eastAsia" w:ascii="宋体" w:hAnsi="宋体" w:cs="宋体"/>
                <w:sz w:val="24"/>
              </w:rPr>
            </w:pPr>
            <w:r>
              <w:rPr>
                <w:rFonts w:hint="eastAsia" w:ascii="宋体" w:hAnsi="宋体" w:cs="宋体"/>
                <w:sz w:val="24"/>
                <w:lang w:val="en-US" w:eastAsia="zh-CN"/>
              </w:rPr>
              <w:t>售后服务</w:t>
            </w:r>
            <w:r>
              <w:rPr>
                <w:rFonts w:hint="eastAsia" w:ascii="宋体" w:hAnsi="宋体" w:cs="宋体"/>
                <w:sz w:val="24"/>
              </w:rPr>
              <w:t>完整详细，明确具体；得[6-8分]</w:t>
            </w:r>
          </w:p>
          <w:p>
            <w:pPr>
              <w:autoSpaceDE w:val="0"/>
              <w:autoSpaceDN w:val="0"/>
              <w:adjustRightInd w:val="0"/>
              <w:spacing w:line="360" w:lineRule="exact"/>
              <w:rPr>
                <w:rFonts w:hint="eastAsia" w:ascii="宋体" w:hAnsi="宋体" w:cs="宋体"/>
                <w:sz w:val="24"/>
              </w:rPr>
            </w:pPr>
            <w:r>
              <w:rPr>
                <w:rFonts w:hint="eastAsia" w:ascii="宋体" w:hAnsi="宋体" w:cs="宋体"/>
                <w:sz w:val="24"/>
                <w:lang w:val="en-US" w:eastAsia="zh-CN"/>
              </w:rPr>
              <w:t>售后服务</w:t>
            </w:r>
            <w:r>
              <w:rPr>
                <w:rFonts w:hint="eastAsia" w:ascii="宋体" w:hAnsi="宋体" w:cs="宋体"/>
                <w:sz w:val="24"/>
              </w:rPr>
              <w:t>完整详细，比较明确具体；得[3-6分）</w:t>
            </w:r>
          </w:p>
          <w:p>
            <w:pPr>
              <w:autoSpaceDE w:val="0"/>
              <w:autoSpaceDN w:val="0"/>
              <w:adjustRightInd w:val="0"/>
              <w:spacing w:line="360" w:lineRule="exact"/>
              <w:rPr>
                <w:sz w:val="24"/>
                <w:lang w:val="zh-CN"/>
              </w:rPr>
            </w:pPr>
            <w:r>
              <w:rPr>
                <w:rFonts w:hint="eastAsia" w:ascii="宋体" w:hAnsi="宋体" w:cs="宋体"/>
                <w:sz w:val="24"/>
                <w:lang w:val="en-US" w:eastAsia="zh-CN"/>
              </w:rPr>
              <w:t>售后服务</w:t>
            </w:r>
            <w:r>
              <w:rPr>
                <w:rFonts w:hint="eastAsia" w:ascii="宋体" w:hAnsi="宋体" w:cs="宋体"/>
                <w:sz w:val="24"/>
              </w:rPr>
              <w:t>不完整或者不明确或者不具体；得[0-3分）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3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培训方案</w:t>
            </w:r>
          </w:p>
        </w:tc>
        <w:tc>
          <w:tcPr>
            <w:tcW w:w="9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75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rPr>
                <w:rFonts w:asciiTheme="minorEastAsia" w:hAnsiTheme="minorEastAsia" w:eastAsiaTheme="minorEastAsia"/>
                <w:sz w:val="24"/>
                <w:lang w:val="zh-CN"/>
              </w:rPr>
            </w:pPr>
            <w:r>
              <w:rPr>
                <w:rFonts w:ascii="宋体" w:hAnsi="宋体" w:cs="宋体"/>
                <w:sz w:val="24"/>
              </w:rPr>
              <w:t>具有可行的技术培训措施，保证使用单位能熟练操作、维护和正常使用；根据响应程度计 0</w:t>
            </w:r>
            <w:r>
              <w:rPr>
                <w:rFonts w:hint="eastAsia" w:asciiTheme="minorEastAsia" w:hAnsiTheme="minorEastAsia" w:eastAsiaTheme="minorEastAsia"/>
                <w:sz w:val="24"/>
                <w:lang w:val="zh-CN"/>
              </w:rPr>
              <w:t>～</w:t>
            </w:r>
            <w:r>
              <w:rPr>
                <w:rFonts w:ascii="宋体" w:hAnsi="宋体" w:cs="宋体"/>
                <w:sz w:val="24"/>
              </w:rPr>
              <w:t>5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3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维护保养及应急预案</w:t>
            </w:r>
          </w:p>
        </w:tc>
        <w:tc>
          <w:tcPr>
            <w:tcW w:w="9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val="en-US" w:eastAsia="zh-CN"/>
              </w:rPr>
              <w:t>2</w:t>
            </w:r>
          </w:p>
        </w:tc>
        <w:tc>
          <w:tcPr>
            <w:tcW w:w="75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rPr>
                <w:rFonts w:ascii="宋体" w:hAnsi="宋体" w:cs="宋体"/>
                <w:sz w:val="24"/>
              </w:rPr>
            </w:pPr>
            <w:r>
              <w:rPr>
                <w:rFonts w:hint="eastAsia" w:asciiTheme="minorEastAsia" w:hAnsiTheme="minorEastAsia" w:eastAsiaTheme="minorEastAsia"/>
                <w:sz w:val="24"/>
                <w:lang w:val="zh-CN"/>
              </w:rPr>
              <w:t>针对投标人所做出维护保养及应急方案，包括但不限于设备（产品）出现问题的及时处理预案等，不能影响及延误使用单位的正常使用承诺进行描述，按其响应程度计</w:t>
            </w:r>
            <w:r>
              <w:rPr>
                <w:rFonts w:asciiTheme="minorEastAsia" w:hAnsiTheme="minorEastAsia" w:eastAsiaTheme="minorEastAsia"/>
                <w:sz w:val="24"/>
                <w:lang w:val="zh-CN"/>
              </w:rPr>
              <w:t>0</w:t>
            </w:r>
            <w:r>
              <w:rPr>
                <w:rFonts w:hint="eastAsia" w:asciiTheme="minorEastAsia" w:hAnsiTheme="minorEastAsia" w:eastAsiaTheme="minorEastAsia"/>
                <w:sz w:val="24"/>
                <w:lang w:val="zh-CN"/>
              </w:rPr>
              <w:t>～</w:t>
            </w:r>
            <w:r>
              <w:rPr>
                <w:rFonts w:hint="eastAsia" w:asciiTheme="minorEastAsia" w:hAnsiTheme="minorEastAsia" w:eastAsiaTheme="minorEastAsia"/>
                <w:sz w:val="24"/>
                <w:lang w:val="en-US" w:eastAsia="zh-CN"/>
              </w:rPr>
              <w:t>2</w:t>
            </w:r>
            <w:r>
              <w:rPr>
                <w:rFonts w:asciiTheme="minorEastAsia" w:hAnsiTheme="minorEastAsia" w:eastAsiaTheme="minorEastAsia"/>
                <w:sz w:val="24"/>
                <w:lang w:val="zh-CN"/>
              </w:rPr>
              <w:t>分</w:t>
            </w:r>
            <w:r>
              <w:rPr>
                <w:rFonts w:hint="eastAsia" w:asciiTheme="minorEastAsia" w:hAnsiTheme="minorEastAsia" w:eastAsiaTheme="minorEastAsia"/>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3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备品配件</w:t>
            </w:r>
          </w:p>
        </w:tc>
        <w:tc>
          <w:tcPr>
            <w:tcW w:w="9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rFonts w:hint="eastAsia" w:asciiTheme="minorEastAsia" w:hAnsiTheme="minorEastAsia" w:eastAsiaTheme="minorEastAsia"/>
                <w:sz w:val="24"/>
                <w:lang w:val="en-US" w:eastAsia="zh-CN"/>
              </w:rPr>
            </w:pPr>
            <w:r>
              <w:rPr>
                <w:rFonts w:hint="eastAsia" w:asciiTheme="minorEastAsia" w:hAnsiTheme="minorEastAsia" w:eastAsiaTheme="minorEastAsia"/>
                <w:sz w:val="24"/>
              </w:rPr>
              <w:t>2</w:t>
            </w:r>
            <w:r>
              <w:rPr>
                <w:rFonts w:hint="eastAsia" w:asciiTheme="minorEastAsia" w:hAnsiTheme="minorEastAsia" w:eastAsiaTheme="minorEastAsia"/>
                <w:sz w:val="24"/>
                <w:lang w:val="en-US" w:eastAsia="zh-CN"/>
              </w:rPr>
              <w:t xml:space="preserve"> </w:t>
            </w:r>
          </w:p>
        </w:tc>
        <w:tc>
          <w:tcPr>
            <w:tcW w:w="75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rPr>
                <w:rFonts w:asciiTheme="minorEastAsia" w:hAnsiTheme="minorEastAsia" w:eastAsiaTheme="minorEastAsia"/>
                <w:sz w:val="24"/>
                <w:lang w:val="zh-CN"/>
              </w:rPr>
            </w:pPr>
            <w:r>
              <w:rPr>
                <w:rFonts w:ascii="宋体" w:hAnsi="宋体" w:cs="宋体"/>
                <w:sz w:val="24"/>
              </w:rPr>
              <w:t>根据投标人提供的备品、配件情况，备品、配件供应有保障，兼容性、可替代性强，且价格合理；根据其响应程度计 0</w:t>
            </w:r>
            <w:r>
              <w:rPr>
                <w:rFonts w:hint="eastAsia" w:asciiTheme="minorEastAsia" w:hAnsiTheme="minorEastAsia" w:eastAsiaTheme="minorEastAsia"/>
                <w:sz w:val="24"/>
                <w:lang w:val="zh-CN"/>
              </w:rPr>
              <w:t>～</w:t>
            </w:r>
            <w:r>
              <w:rPr>
                <w:rFonts w:hint="eastAsia" w:ascii="宋体" w:hAnsi="宋体" w:cs="宋体"/>
                <w:sz w:val="24"/>
              </w:rPr>
              <w:t>2</w:t>
            </w:r>
            <w:r>
              <w:rPr>
                <w:rFonts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类似业绩</w:t>
            </w:r>
          </w:p>
        </w:tc>
        <w:tc>
          <w:tcPr>
            <w:tcW w:w="9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Theme="minorEastAsia" w:hAnsiTheme="minorEastAsia" w:eastAsiaTheme="minorEastAsia"/>
                <w:color w:val="FFFFFF" w:themeColor="background1"/>
                <w:sz w:val="24"/>
                <w:highlight w:val="none"/>
                <w:lang w:eastAsia="zh-CN"/>
                <w14:textFill>
                  <w14:solidFill>
                    <w14:schemeClr w14:val="bg1"/>
                  </w14:solidFill>
                </w14:textFill>
              </w:rPr>
            </w:pPr>
            <w:r>
              <w:rPr>
                <w:rFonts w:hint="eastAsia" w:asciiTheme="minorEastAsia" w:hAnsiTheme="minorEastAsia" w:eastAsiaTheme="minorEastAsia"/>
                <w:sz w:val="24"/>
                <w:highlight w:val="none"/>
                <w:lang w:val="en-US" w:eastAsia="zh-CN"/>
              </w:rPr>
              <w:t>6</w:t>
            </w:r>
          </w:p>
        </w:tc>
        <w:tc>
          <w:tcPr>
            <w:tcW w:w="75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rPr>
                <w:rFonts w:hint="eastAsia" w:ascii="宋体" w:hAnsi="宋体" w:cs="宋体"/>
                <w:sz w:val="24"/>
                <w:highlight w:val="none"/>
              </w:rPr>
            </w:pPr>
            <w:r>
              <w:rPr>
                <w:rFonts w:hint="eastAsia" w:ascii="宋体" w:hAnsi="宋体" w:cs="宋体"/>
                <w:sz w:val="24"/>
                <w:highlight w:val="none"/>
              </w:rPr>
              <w:t>供应商20</w:t>
            </w:r>
            <w:r>
              <w:rPr>
                <w:rFonts w:hint="eastAsia" w:ascii="宋体" w:hAnsi="宋体" w:cs="宋体"/>
                <w:sz w:val="24"/>
                <w:highlight w:val="none"/>
                <w:lang w:val="en-US" w:eastAsia="zh-CN"/>
              </w:rPr>
              <w:t>20</w:t>
            </w:r>
            <w:r>
              <w:rPr>
                <w:rFonts w:hint="eastAsia" w:ascii="宋体" w:hAnsi="宋体" w:cs="宋体"/>
                <w:sz w:val="24"/>
                <w:highlight w:val="none"/>
              </w:rPr>
              <w:t>年至今</w:t>
            </w:r>
            <w:r>
              <w:rPr>
                <w:rFonts w:hint="eastAsia" w:ascii="宋体" w:hAnsi="宋体" w:cs="宋体"/>
                <w:sz w:val="24"/>
                <w:highlight w:val="none"/>
                <w:lang w:eastAsia="zh-CN"/>
              </w:rPr>
              <w:t>（</w:t>
            </w:r>
            <w:r>
              <w:rPr>
                <w:rFonts w:hint="eastAsia" w:ascii="宋体" w:hAnsi="宋体" w:cs="宋体"/>
                <w:sz w:val="24"/>
                <w:highlight w:val="none"/>
                <w:lang w:val="en-US" w:eastAsia="zh-CN"/>
              </w:rPr>
              <w:t>以合同签订时间为准</w:t>
            </w:r>
            <w:r>
              <w:rPr>
                <w:rFonts w:hint="eastAsia" w:ascii="宋体" w:hAnsi="宋体" w:cs="宋体"/>
                <w:sz w:val="24"/>
                <w:highlight w:val="none"/>
                <w:lang w:eastAsia="zh-CN"/>
              </w:rPr>
              <w:t>）</w:t>
            </w:r>
            <w:r>
              <w:rPr>
                <w:rFonts w:hint="eastAsia" w:ascii="宋体" w:hAnsi="宋体" w:cs="宋体"/>
                <w:sz w:val="24"/>
                <w:highlight w:val="none"/>
                <w:lang w:val="en-US" w:eastAsia="zh-CN"/>
              </w:rPr>
              <w:t>类似</w:t>
            </w:r>
            <w:r>
              <w:rPr>
                <w:rFonts w:hint="eastAsia" w:ascii="宋体" w:hAnsi="宋体" w:cs="宋体"/>
                <w:sz w:val="24"/>
                <w:highlight w:val="none"/>
                <w:lang w:eastAsia="zh-CN"/>
              </w:rPr>
              <w:t>项目</w:t>
            </w:r>
            <w:r>
              <w:rPr>
                <w:rFonts w:hint="eastAsia" w:ascii="宋体" w:hAnsi="宋体" w:cs="宋体"/>
                <w:sz w:val="24"/>
                <w:highlight w:val="none"/>
              </w:rPr>
              <w:t>业绩，每提供1份得</w:t>
            </w:r>
            <w:r>
              <w:rPr>
                <w:rFonts w:hint="eastAsia" w:ascii="宋体" w:hAnsi="宋体" w:cs="宋体"/>
                <w:sz w:val="24"/>
                <w:highlight w:val="none"/>
                <w:lang w:val="en-US" w:eastAsia="zh-CN"/>
              </w:rPr>
              <w:t>2</w:t>
            </w:r>
            <w:r>
              <w:rPr>
                <w:rFonts w:hint="eastAsia" w:ascii="宋体" w:hAnsi="宋体" w:cs="宋体"/>
                <w:sz w:val="24"/>
                <w:highlight w:val="none"/>
              </w:rPr>
              <w:t>分，最高得</w:t>
            </w:r>
            <w:r>
              <w:rPr>
                <w:rFonts w:hint="eastAsia" w:ascii="宋体" w:hAnsi="宋体" w:cs="宋体"/>
                <w:sz w:val="24"/>
                <w:highlight w:val="none"/>
                <w:lang w:val="en-US" w:eastAsia="zh-CN"/>
              </w:rPr>
              <w:t>6</w:t>
            </w:r>
            <w:r>
              <w:rPr>
                <w:rFonts w:hint="eastAsia" w:ascii="宋体" w:hAnsi="宋体" w:cs="宋体"/>
                <w:sz w:val="24"/>
                <w:highlight w:val="none"/>
              </w:rPr>
              <w:t>分；</w:t>
            </w:r>
          </w:p>
          <w:p>
            <w:pPr>
              <w:autoSpaceDE w:val="0"/>
              <w:autoSpaceDN w:val="0"/>
              <w:adjustRightInd w:val="0"/>
              <w:snapToGrid w:val="0"/>
              <w:spacing w:line="360" w:lineRule="exact"/>
              <w:rPr>
                <w:rFonts w:ascii="宋体" w:hAnsi="宋体" w:cs="宋体"/>
                <w:sz w:val="24"/>
                <w:highlight w:val="none"/>
                <w:lang w:val="zh-CN"/>
              </w:rPr>
            </w:pPr>
            <w:r>
              <w:rPr>
                <w:rFonts w:hint="eastAsia" w:ascii="宋体" w:hAnsi="宋体" w:cs="宋体"/>
                <w:sz w:val="24"/>
                <w:highlight w:val="none"/>
              </w:rPr>
              <w:t>业绩证明</w:t>
            </w:r>
            <w:r>
              <w:rPr>
                <w:rFonts w:hint="eastAsia" w:ascii="宋体" w:hAnsi="宋体" w:cs="宋体"/>
                <w:sz w:val="24"/>
                <w:highlight w:val="none"/>
                <w:lang w:val="en-US" w:eastAsia="zh-CN"/>
              </w:rPr>
              <w:t>文件</w:t>
            </w:r>
            <w:r>
              <w:rPr>
                <w:rFonts w:hint="eastAsia" w:ascii="宋体" w:hAnsi="宋体" w:cs="宋体"/>
                <w:sz w:val="24"/>
                <w:highlight w:val="none"/>
              </w:rPr>
              <w:t>（</w:t>
            </w:r>
            <w:r>
              <w:rPr>
                <w:rFonts w:hint="eastAsia" w:ascii="宋体" w:hAnsi="宋体" w:cs="宋体"/>
                <w:sz w:val="24"/>
                <w:highlight w:val="none"/>
                <w:lang w:val="en-US" w:eastAsia="zh-CN"/>
              </w:rPr>
              <w:t>提供</w:t>
            </w:r>
            <w:r>
              <w:rPr>
                <w:rFonts w:hint="eastAsia" w:ascii="宋体" w:hAnsi="宋体" w:cs="宋体"/>
                <w:sz w:val="24"/>
                <w:highlight w:val="none"/>
              </w:rPr>
              <w:t>合同</w:t>
            </w:r>
            <w:r>
              <w:rPr>
                <w:rFonts w:hint="eastAsia" w:ascii="宋体" w:hAnsi="宋体" w:cs="宋体"/>
                <w:sz w:val="24"/>
                <w:highlight w:val="none"/>
                <w:lang w:val="en-US" w:eastAsia="zh-CN"/>
              </w:rPr>
              <w:t>及</w:t>
            </w:r>
            <w:r>
              <w:rPr>
                <w:rFonts w:hint="eastAsia" w:ascii="宋体" w:hAnsi="宋体" w:cs="宋体"/>
                <w:sz w:val="24"/>
                <w:highlight w:val="none"/>
              </w:rPr>
              <w:t>中标通知书扫描件加盖单位公章</w:t>
            </w:r>
            <w:r>
              <w:rPr>
                <w:rFonts w:hint="eastAsia" w:ascii="宋体" w:hAnsi="宋体" w:cs="宋体"/>
                <w:sz w:val="24"/>
                <w:highlight w:val="none"/>
                <w:lang w:val="en-US" w:eastAsia="zh-CN"/>
              </w:rPr>
              <w:t>装订于投标文件中</w:t>
            </w:r>
            <w:r>
              <w:rPr>
                <w:rFonts w:hint="eastAsia" w:ascii="宋体" w:hAnsi="宋体" w:cs="宋体"/>
                <w:sz w:val="24"/>
                <w:highlight w:val="none"/>
                <w:lang w:eastAsia="zh-CN"/>
              </w:rPr>
              <w:t>。</w:t>
            </w:r>
            <w:r>
              <w:rPr>
                <w:rFonts w:hint="eastAsia" w:ascii="宋体" w:hAnsi="宋体" w:cs="宋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总分</w:t>
            </w:r>
          </w:p>
        </w:tc>
        <w:tc>
          <w:tcPr>
            <w:tcW w:w="75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eastAsiaTheme="minorEastAsia"/>
                <w:szCs w:val="21"/>
                <w:lang w:val="zh-CN"/>
              </w:rPr>
            </w:pPr>
            <w:r>
              <w:rPr>
                <w:rFonts w:asciiTheme="minorEastAsia" w:hAnsiTheme="minorEastAsia" w:eastAsiaTheme="minorEastAsia"/>
                <w:szCs w:val="21"/>
                <w:lang w:val="zh-CN"/>
              </w:rPr>
              <w:t>100分</w:t>
            </w:r>
          </w:p>
        </w:tc>
      </w:tr>
    </w:tbl>
    <w:p>
      <w:pPr>
        <w:numPr>
          <w:ilvl w:val="0"/>
          <w:numId w:val="7"/>
        </w:numPr>
        <w:spacing w:line="360" w:lineRule="auto"/>
        <w:ind w:left="1080" w:leftChars="257" w:hanging="540"/>
        <w:jc w:val="center"/>
        <w:outlineLvl w:val="0"/>
        <w:rPr>
          <w:rStyle w:val="55"/>
          <w:rFonts w:asciiTheme="minorEastAsia" w:hAnsiTheme="minorEastAsia" w:eastAsiaTheme="minorEastAsia"/>
          <w:szCs w:val="32"/>
        </w:rPr>
      </w:pPr>
      <w:r>
        <w:rPr>
          <w:rFonts w:asciiTheme="minorEastAsia" w:hAnsiTheme="minorEastAsia" w:eastAsiaTheme="minorEastAsia"/>
        </w:rPr>
        <w:br w:type="page"/>
      </w:r>
      <w:bookmarkStart w:id="301" w:name="_Toc515647833"/>
      <w:bookmarkStart w:id="302" w:name="_Toc532044541"/>
      <w:bookmarkStart w:id="303" w:name="_Toc6865"/>
      <w:bookmarkStart w:id="304" w:name="_Toc4796"/>
      <w:bookmarkStart w:id="305" w:name="_Toc532473757"/>
      <w:bookmarkStart w:id="306" w:name="_Toc108721140"/>
      <w:r>
        <w:rPr>
          <w:rStyle w:val="55"/>
          <w:rFonts w:asciiTheme="minorEastAsia" w:hAnsiTheme="minorEastAsia" w:eastAsiaTheme="minorEastAsia"/>
          <w:szCs w:val="32"/>
        </w:rPr>
        <w:t xml:space="preserve"> </w:t>
      </w:r>
      <w:bookmarkStart w:id="307" w:name="_Toc23716"/>
      <w:r>
        <w:rPr>
          <w:rStyle w:val="55"/>
          <w:rFonts w:asciiTheme="minorEastAsia" w:hAnsiTheme="minorEastAsia" w:eastAsiaTheme="minorEastAsia"/>
          <w:szCs w:val="32"/>
        </w:rPr>
        <w:t>拟签订的合同</w:t>
      </w:r>
      <w:bookmarkEnd w:id="301"/>
      <w:bookmarkEnd w:id="302"/>
      <w:bookmarkEnd w:id="303"/>
      <w:bookmarkEnd w:id="304"/>
      <w:bookmarkEnd w:id="305"/>
      <w:bookmarkStart w:id="308" w:name="_Hlt487972895"/>
      <w:bookmarkEnd w:id="308"/>
      <w:bookmarkStart w:id="309" w:name="_Toc487900382"/>
      <w:bookmarkStart w:id="310" w:name="_Toc216513788"/>
      <w:r>
        <w:rPr>
          <w:rStyle w:val="55"/>
          <w:rFonts w:asciiTheme="minorEastAsia" w:hAnsiTheme="minorEastAsia" w:eastAsiaTheme="minorEastAsia"/>
          <w:szCs w:val="32"/>
        </w:rPr>
        <w:t>文本</w:t>
      </w:r>
      <w:bookmarkEnd w:id="306"/>
      <w:bookmarkEnd w:id="307"/>
    </w:p>
    <w:p>
      <w:pPr>
        <w:pStyle w:val="51"/>
      </w:pPr>
    </w:p>
    <w:p>
      <w:pPr>
        <w:tabs>
          <w:tab w:val="left" w:pos="5670"/>
        </w:tabs>
        <w:autoSpaceDE w:val="0"/>
        <w:autoSpaceDN w:val="0"/>
        <w:adjustRightInd w:val="0"/>
        <w:snapToGrid w:val="0"/>
        <w:spacing w:line="360" w:lineRule="auto"/>
        <w:jc w:val="center"/>
        <w:rPr>
          <w:rFonts w:ascii="仿宋" w:hAnsi="仿宋" w:eastAsia="仿宋"/>
          <w:b/>
          <w:bCs/>
          <w:sz w:val="36"/>
          <w:szCs w:val="36"/>
        </w:rPr>
      </w:pPr>
    </w:p>
    <w:p>
      <w:pPr>
        <w:tabs>
          <w:tab w:val="left" w:pos="5670"/>
        </w:tabs>
        <w:autoSpaceDE w:val="0"/>
        <w:autoSpaceDN w:val="0"/>
        <w:adjustRightInd w:val="0"/>
        <w:snapToGrid w:val="0"/>
        <w:spacing w:line="360" w:lineRule="auto"/>
        <w:jc w:val="center"/>
        <w:rPr>
          <w:rFonts w:ascii="仿宋" w:hAnsi="仿宋" w:eastAsia="仿宋"/>
          <w:b/>
          <w:bCs/>
          <w:sz w:val="36"/>
          <w:szCs w:val="36"/>
        </w:rPr>
      </w:pPr>
    </w:p>
    <w:p>
      <w:pPr>
        <w:tabs>
          <w:tab w:val="left" w:pos="5670"/>
        </w:tabs>
        <w:autoSpaceDE w:val="0"/>
        <w:autoSpaceDN w:val="0"/>
        <w:adjustRightInd w:val="0"/>
        <w:snapToGrid w:val="0"/>
        <w:spacing w:line="360" w:lineRule="auto"/>
        <w:jc w:val="center"/>
        <w:rPr>
          <w:rFonts w:ascii="仿宋" w:hAnsi="仿宋" w:eastAsia="仿宋"/>
          <w:b/>
          <w:bCs/>
          <w:sz w:val="36"/>
          <w:szCs w:val="36"/>
        </w:rPr>
      </w:pPr>
    </w:p>
    <w:p>
      <w:pPr>
        <w:pStyle w:val="51"/>
      </w:pPr>
    </w:p>
    <w:p>
      <w:pPr>
        <w:tabs>
          <w:tab w:val="left" w:pos="5670"/>
        </w:tabs>
        <w:autoSpaceDE w:val="0"/>
        <w:autoSpaceDN w:val="0"/>
        <w:adjustRightInd w:val="0"/>
        <w:snapToGrid w:val="0"/>
        <w:spacing w:line="360" w:lineRule="auto"/>
        <w:jc w:val="center"/>
      </w:pPr>
      <w:r>
        <w:rPr>
          <w:rFonts w:hint="eastAsia" w:ascii="仿宋" w:hAnsi="仿宋" w:eastAsia="仿宋"/>
          <w:b/>
          <w:bCs/>
          <w:sz w:val="36"/>
          <w:szCs w:val="36"/>
        </w:rPr>
        <w:t>2023年莲湖疾控区域中心实验室仪器设备采购项目</w:t>
      </w:r>
    </w:p>
    <w:p>
      <w:pPr>
        <w:pStyle w:val="51"/>
        <w:jc w:val="center"/>
        <w:rPr>
          <w:rFonts w:ascii="仿宋" w:hAnsi="仿宋" w:eastAsia="仿宋"/>
          <w:b/>
          <w:bCs/>
          <w:sz w:val="36"/>
          <w:szCs w:val="36"/>
        </w:rPr>
      </w:pPr>
      <w:r>
        <w:rPr>
          <w:rFonts w:hint="eastAsia" w:ascii="仿宋" w:hAnsi="仿宋" w:eastAsia="仿宋"/>
          <w:b/>
          <w:bCs/>
          <w:sz w:val="36"/>
          <w:szCs w:val="36"/>
        </w:rPr>
        <w:t>第（    ）包</w:t>
      </w:r>
    </w:p>
    <w:p>
      <w:pPr>
        <w:pStyle w:val="51"/>
      </w:pPr>
    </w:p>
    <w:p>
      <w:pPr>
        <w:pStyle w:val="51"/>
      </w:pPr>
    </w:p>
    <w:p>
      <w:pPr>
        <w:pStyle w:val="51"/>
      </w:pPr>
    </w:p>
    <w:p>
      <w:pPr>
        <w:pStyle w:val="51"/>
      </w:pPr>
    </w:p>
    <w:p>
      <w:pPr>
        <w:spacing w:line="800" w:lineRule="exact"/>
        <w:jc w:val="center"/>
        <w:rPr>
          <w:rFonts w:ascii="仿宋" w:hAnsi="仿宋" w:eastAsia="仿宋" w:cs="宋体"/>
          <w:b/>
          <w:sz w:val="36"/>
          <w:szCs w:val="36"/>
        </w:rPr>
      </w:pPr>
      <w:r>
        <w:rPr>
          <w:rFonts w:hint="eastAsia" w:ascii="仿宋" w:hAnsi="仿宋" w:eastAsia="仿宋" w:cs="宋体"/>
          <w:b/>
          <w:sz w:val="36"/>
          <w:szCs w:val="36"/>
        </w:rPr>
        <w:t>供 货 合 同</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p>
    <w:p>
      <w:pPr>
        <w:ind w:firstLine="2080" w:firstLineChars="650"/>
        <w:rPr>
          <w:rFonts w:ascii="宋体" w:hAnsi="宋体" w:cs="宋体"/>
          <w:sz w:val="32"/>
          <w:szCs w:val="32"/>
        </w:rPr>
      </w:pPr>
      <w:r>
        <w:rPr>
          <w:rFonts w:hint="eastAsia" w:ascii="宋体" w:hAnsi="宋体" w:cs="宋体"/>
          <w:sz w:val="32"/>
          <w:szCs w:val="32"/>
        </w:rPr>
        <w:t>甲  方：</w:t>
      </w:r>
    </w:p>
    <w:p>
      <w:pPr>
        <w:tabs>
          <w:tab w:val="left" w:pos="480"/>
        </w:tabs>
        <w:ind w:firstLine="640" w:firstLineChars="200"/>
        <w:rPr>
          <w:rFonts w:ascii="宋体" w:hAnsi="宋体" w:cs="宋体"/>
          <w:sz w:val="32"/>
          <w:szCs w:val="32"/>
        </w:rPr>
      </w:pPr>
      <w:r>
        <w:rPr>
          <w:rFonts w:hint="eastAsia" w:ascii="宋体" w:hAnsi="宋体" w:cs="宋体"/>
          <w:sz w:val="32"/>
          <w:szCs w:val="32"/>
        </w:rPr>
        <w:t xml:space="preserve">         乙  方：</w:t>
      </w:r>
    </w:p>
    <w:p>
      <w:pPr>
        <w:rPr>
          <w:rFonts w:ascii="宋体" w:hAnsi="宋体" w:cs="宋体"/>
          <w:sz w:val="32"/>
          <w:szCs w:val="32"/>
        </w:rPr>
      </w:pPr>
      <w:r>
        <w:rPr>
          <w:rFonts w:hint="eastAsia" w:ascii="宋体" w:hAnsi="宋体" w:cs="宋体"/>
          <w:sz w:val="32"/>
          <w:szCs w:val="32"/>
        </w:rPr>
        <w:t xml:space="preserve">             </w:t>
      </w:r>
    </w:p>
    <w:p>
      <w:pPr>
        <w:jc w:val="center"/>
        <w:rPr>
          <w:rFonts w:ascii="宋体" w:hAnsi="宋体" w:cs="宋体"/>
          <w:sz w:val="30"/>
          <w:szCs w:val="30"/>
        </w:rPr>
      </w:pPr>
    </w:p>
    <w:p>
      <w:pPr>
        <w:jc w:val="center"/>
        <w:rPr>
          <w:rFonts w:ascii="宋体" w:hAnsi="宋体" w:cs="宋体"/>
          <w:sz w:val="32"/>
          <w:szCs w:val="32"/>
        </w:rPr>
      </w:pPr>
      <w:r>
        <w:rPr>
          <w:rFonts w:hint="eastAsia" w:ascii="宋体" w:hAnsi="宋体" w:cs="宋体"/>
          <w:sz w:val="32"/>
          <w:szCs w:val="32"/>
        </w:rPr>
        <w:t>2023年  月</w:t>
      </w:r>
    </w:p>
    <w:p>
      <w:pPr>
        <w:jc w:val="center"/>
        <w:rPr>
          <w:rFonts w:ascii="宋体" w:hAnsi="宋体" w:cs="宋体"/>
          <w:sz w:val="32"/>
          <w:szCs w:val="32"/>
        </w:rPr>
      </w:pPr>
      <w:r>
        <w:rPr>
          <w:rFonts w:hint="eastAsia" w:ascii="宋体" w:hAnsi="宋体" w:cs="宋体"/>
          <w:sz w:val="32"/>
          <w:szCs w:val="32"/>
        </w:rPr>
        <w:t>中国  西安</w:t>
      </w:r>
    </w:p>
    <w:p>
      <w:pPr>
        <w:spacing w:line="440" w:lineRule="exact"/>
        <w:rPr>
          <w:rFonts w:ascii="仿宋" w:hAnsi="仿宋" w:eastAsia="仿宋"/>
          <w:sz w:val="24"/>
        </w:rPr>
      </w:pPr>
    </w:p>
    <w:p>
      <w:r>
        <w:rPr>
          <w:rFonts w:hint="eastAsia"/>
        </w:rPr>
        <w:br w:type="page"/>
      </w:r>
    </w:p>
    <w:p>
      <w:pPr>
        <w:pStyle w:val="51"/>
      </w:pPr>
    </w:p>
    <w:p>
      <w:pPr>
        <w:pStyle w:val="51"/>
      </w:pPr>
    </w:p>
    <w:p>
      <w:pPr>
        <w:spacing w:line="460" w:lineRule="exact"/>
        <w:ind w:firstLine="420" w:firstLineChars="200"/>
        <w:rPr>
          <w:rFonts w:ascii="宋体" w:hAnsi="宋体" w:cs="宋体"/>
          <w:szCs w:val="21"/>
        </w:rPr>
      </w:pPr>
      <w:r>
        <w:rPr>
          <w:rFonts w:hint="eastAsia" w:ascii="宋体" w:hAnsi="宋体" w:cs="宋体"/>
          <w:szCs w:val="21"/>
        </w:rPr>
        <w:t>甲方：</w:t>
      </w:r>
    </w:p>
    <w:p>
      <w:pPr>
        <w:spacing w:line="460" w:lineRule="exact"/>
        <w:ind w:firstLine="420" w:firstLineChars="200"/>
        <w:rPr>
          <w:rFonts w:ascii="宋体" w:hAnsi="宋体" w:cs="宋体"/>
          <w:szCs w:val="21"/>
        </w:rPr>
      </w:pPr>
      <w:r>
        <w:rPr>
          <w:rFonts w:hint="eastAsia" w:ascii="宋体" w:hAnsi="宋体" w:cs="宋体"/>
          <w:szCs w:val="21"/>
        </w:rPr>
        <w:t>住所地：</w:t>
      </w:r>
    </w:p>
    <w:p>
      <w:pPr>
        <w:spacing w:line="460" w:lineRule="exact"/>
        <w:ind w:firstLine="420" w:firstLineChars="200"/>
        <w:rPr>
          <w:rFonts w:ascii="宋体" w:hAnsi="宋体" w:cs="宋体"/>
          <w:szCs w:val="21"/>
        </w:rPr>
      </w:pPr>
      <w:r>
        <w:rPr>
          <w:rFonts w:hint="eastAsia" w:ascii="宋体" w:hAnsi="宋体" w:cs="宋体"/>
          <w:szCs w:val="21"/>
        </w:rPr>
        <w:t xml:space="preserve">法定代表人： </w:t>
      </w:r>
    </w:p>
    <w:p>
      <w:pPr>
        <w:spacing w:line="460" w:lineRule="exact"/>
        <w:ind w:firstLine="420" w:firstLineChars="200"/>
        <w:rPr>
          <w:rFonts w:ascii="宋体" w:hAnsi="宋体" w:cs="宋体"/>
          <w:szCs w:val="21"/>
        </w:rPr>
      </w:pPr>
      <w:r>
        <w:rPr>
          <w:rFonts w:hint="eastAsia" w:ascii="宋体" w:hAnsi="宋体" w:cs="宋体"/>
          <w:szCs w:val="21"/>
        </w:rPr>
        <w:t>联系方式</w:t>
      </w:r>
    </w:p>
    <w:p>
      <w:pPr>
        <w:spacing w:line="460" w:lineRule="exact"/>
        <w:ind w:firstLine="420" w:firstLineChars="200"/>
        <w:rPr>
          <w:rFonts w:ascii="宋体" w:hAnsi="宋体" w:cs="宋体"/>
          <w:szCs w:val="21"/>
        </w:rPr>
      </w:pPr>
      <w:r>
        <w:rPr>
          <w:rFonts w:hint="eastAsia" w:ascii="宋体" w:hAnsi="宋体" w:cs="宋体"/>
          <w:szCs w:val="21"/>
        </w:rPr>
        <w:t>乙方：</w:t>
      </w:r>
    </w:p>
    <w:p>
      <w:pPr>
        <w:spacing w:line="460" w:lineRule="exact"/>
        <w:ind w:firstLine="420" w:firstLineChars="200"/>
        <w:rPr>
          <w:rFonts w:ascii="宋体" w:hAnsi="宋体" w:cs="宋体"/>
          <w:szCs w:val="21"/>
        </w:rPr>
      </w:pPr>
      <w:r>
        <w:rPr>
          <w:rFonts w:hint="eastAsia" w:ascii="宋体" w:hAnsi="宋体" w:cs="宋体"/>
          <w:szCs w:val="21"/>
        </w:rPr>
        <w:t>住所地：</w:t>
      </w:r>
    </w:p>
    <w:p>
      <w:pPr>
        <w:spacing w:line="460" w:lineRule="exact"/>
        <w:ind w:firstLine="420" w:firstLineChars="200"/>
        <w:rPr>
          <w:rFonts w:ascii="宋体" w:hAnsi="宋体" w:cs="宋体"/>
          <w:szCs w:val="21"/>
        </w:rPr>
      </w:pPr>
      <w:r>
        <w:rPr>
          <w:rFonts w:hint="eastAsia" w:ascii="宋体" w:hAnsi="宋体" w:cs="宋体"/>
          <w:szCs w:val="21"/>
        </w:rPr>
        <w:t>法定代表人：</w:t>
      </w:r>
    </w:p>
    <w:p>
      <w:pPr>
        <w:spacing w:line="460" w:lineRule="exact"/>
        <w:ind w:firstLine="420" w:firstLineChars="200"/>
        <w:rPr>
          <w:rFonts w:ascii="宋体" w:hAnsi="宋体" w:cs="宋体"/>
          <w:szCs w:val="21"/>
        </w:rPr>
      </w:pPr>
      <w:r>
        <w:rPr>
          <w:rFonts w:hint="eastAsia" w:ascii="宋体" w:hAnsi="宋体" w:cs="宋体"/>
          <w:szCs w:val="21"/>
        </w:rPr>
        <w:t>联系方式：</w:t>
      </w:r>
    </w:p>
    <w:p>
      <w:pPr>
        <w:spacing w:line="460" w:lineRule="exact"/>
        <w:ind w:firstLine="420" w:firstLineChars="20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（以下简称甲方）所需本合同项目下的医疗设备，</w:t>
      </w:r>
      <w:r>
        <w:rPr>
          <w:rFonts w:hint="eastAsia" w:ascii="宋体" w:hAnsi="宋体" w:cs="宋体"/>
          <w:szCs w:val="21"/>
          <w:highlight w:val="none"/>
        </w:rPr>
        <w:t>在西安市莲湖区财政局政府采购管理处的监督管理下，由</w:t>
      </w:r>
      <w:r>
        <w:rPr>
          <w:rFonts w:hint="eastAsia" w:ascii="宋体" w:hAnsi="宋体" w:cs="宋体"/>
          <w:szCs w:val="21"/>
          <w:highlight w:val="none"/>
          <w:u w:val="single"/>
        </w:rPr>
        <w:t>陕西诺尔信项目管理有限公司</w:t>
      </w:r>
      <w:r>
        <w:rPr>
          <w:rFonts w:hint="eastAsia" w:ascii="宋体" w:hAnsi="宋体" w:cs="宋体"/>
          <w:szCs w:val="21"/>
          <w:highlight w:val="none"/>
        </w:rPr>
        <w:t>（以下简称见证方）按</w:t>
      </w:r>
      <w:r>
        <w:rPr>
          <w:rFonts w:hint="eastAsia" w:ascii="宋体" w:hAnsi="宋体" w:cs="宋体"/>
          <w:szCs w:val="21"/>
        </w:rPr>
        <w:t>照政府采购程序组织公开招标，确定</w:t>
      </w:r>
      <w:r>
        <w:rPr>
          <w:rFonts w:hint="eastAsia" w:ascii="宋体" w:hAnsi="宋体" w:cs="宋体"/>
          <w:szCs w:val="21"/>
          <w:u w:val="single"/>
        </w:rPr>
        <w:t xml:space="preserve">         </w:t>
      </w:r>
      <w:r>
        <w:rPr>
          <w:rFonts w:hint="eastAsia" w:ascii="宋体" w:hAnsi="宋体" w:cs="宋体"/>
          <w:szCs w:val="21"/>
        </w:rPr>
        <w:t>（以下简称乙方）为成交供应商。依据《中华人民共和国政府采购法》、《中华人民共和国政府采购法实施条例》、《中华人民共和国民法典》以及招标文件、中标人投标文件正本和澄清表（函）、中标通知书，经甲、乙双方协商，达成如下条款。</w:t>
      </w:r>
    </w:p>
    <w:p>
      <w:pPr>
        <w:spacing w:line="460" w:lineRule="exact"/>
        <w:ind w:firstLine="420" w:firstLineChars="200"/>
        <w:rPr>
          <w:rFonts w:ascii="宋体" w:hAnsi="宋体" w:cs="宋体"/>
          <w:szCs w:val="21"/>
        </w:rPr>
      </w:pPr>
      <w:r>
        <w:rPr>
          <w:rFonts w:hint="eastAsia" w:ascii="宋体" w:hAnsi="宋体" w:cs="宋体"/>
          <w:szCs w:val="21"/>
        </w:rPr>
        <w:t>一、合同标的物内容及数量（以投标文件正本和澄清表〈函〉为准，标的物规格标准详见附件一、附件二）</w:t>
      </w:r>
    </w:p>
    <w:tbl>
      <w:tblPr>
        <w:tblStyle w:val="35"/>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077"/>
        <w:gridCol w:w="1154"/>
        <w:gridCol w:w="637"/>
        <w:gridCol w:w="676"/>
        <w:gridCol w:w="1521"/>
        <w:gridCol w:w="1441"/>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spacing w:line="460" w:lineRule="exact"/>
              <w:ind w:right="-38" w:rightChars="-18"/>
              <w:rPr>
                <w:rFonts w:ascii="宋体" w:hAnsi="宋体" w:cs="宋体"/>
                <w:szCs w:val="21"/>
              </w:rPr>
            </w:pPr>
            <w:r>
              <w:rPr>
                <w:rFonts w:hint="eastAsia" w:ascii="宋体" w:hAnsi="宋体" w:cs="宋体"/>
                <w:szCs w:val="21"/>
              </w:rPr>
              <w:t>序号</w:t>
            </w:r>
          </w:p>
        </w:tc>
        <w:tc>
          <w:tcPr>
            <w:tcW w:w="1077"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szCs w:val="21"/>
              </w:rPr>
            </w:pPr>
            <w:r>
              <w:rPr>
                <w:rFonts w:hint="eastAsia" w:ascii="宋体" w:hAnsi="宋体" w:cs="宋体"/>
                <w:szCs w:val="21"/>
              </w:rPr>
              <w:t>产品名称</w:t>
            </w:r>
          </w:p>
        </w:tc>
        <w:tc>
          <w:tcPr>
            <w:tcW w:w="1154"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szCs w:val="21"/>
              </w:rPr>
            </w:pPr>
            <w:r>
              <w:rPr>
                <w:rFonts w:hint="eastAsia" w:ascii="宋体" w:hAnsi="宋体" w:cs="宋体"/>
                <w:szCs w:val="21"/>
              </w:rPr>
              <w:t>型号规格</w:t>
            </w:r>
          </w:p>
        </w:tc>
        <w:tc>
          <w:tcPr>
            <w:tcW w:w="637"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szCs w:val="21"/>
              </w:rPr>
            </w:pPr>
            <w:r>
              <w:rPr>
                <w:rFonts w:hint="eastAsia" w:ascii="宋体" w:hAnsi="宋体" w:cs="宋体"/>
                <w:szCs w:val="21"/>
              </w:rPr>
              <w:t>产地</w:t>
            </w:r>
          </w:p>
        </w:tc>
        <w:tc>
          <w:tcPr>
            <w:tcW w:w="676"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szCs w:val="21"/>
              </w:rPr>
            </w:pPr>
            <w:r>
              <w:rPr>
                <w:rFonts w:hint="eastAsia" w:ascii="宋体" w:hAnsi="宋体" w:cs="宋体"/>
                <w:szCs w:val="21"/>
              </w:rPr>
              <w:t>数量</w:t>
            </w:r>
          </w:p>
        </w:tc>
        <w:tc>
          <w:tcPr>
            <w:tcW w:w="1521"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szCs w:val="21"/>
              </w:rPr>
            </w:pPr>
            <w:r>
              <w:rPr>
                <w:rFonts w:hint="eastAsia" w:ascii="宋体" w:hAnsi="宋体" w:cs="宋体"/>
                <w:szCs w:val="21"/>
              </w:rPr>
              <w:t>单价（万元）</w:t>
            </w:r>
          </w:p>
        </w:tc>
        <w:tc>
          <w:tcPr>
            <w:tcW w:w="1441"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szCs w:val="21"/>
              </w:rPr>
            </w:pPr>
            <w:r>
              <w:rPr>
                <w:rFonts w:hint="eastAsia" w:ascii="宋体" w:hAnsi="宋体" w:cs="宋体"/>
                <w:szCs w:val="21"/>
              </w:rPr>
              <w:t>总价（万元）</w:t>
            </w:r>
          </w:p>
        </w:tc>
        <w:tc>
          <w:tcPr>
            <w:tcW w:w="1315"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szCs w:val="21"/>
              </w:rPr>
            </w:pPr>
            <w:r>
              <w:rPr>
                <w:rFonts w:hint="eastAsia" w:ascii="宋体" w:hAnsi="宋体" w:cs="宋体"/>
                <w:szCs w:val="21"/>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szCs w:val="21"/>
              </w:rPr>
            </w:pPr>
            <w:r>
              <w:rPr>
                <w:rFonts w:hint="eastAsia" w:ascii="宋体" w:hAnsi="宋体" w:cs="宋体"/>
                <w:szCs w:val="21"/>
              </w:rPr>
              <w:t>1</w:t>
            </w:r>
          </w:p>
        </w:tc>
        <w:tc>
          <w:tcPr>
            <w:tcW w:w="1077" w:type="dxa"/>
            <w:tcBorders>
              <w:top w:val="single" w:color="auto" w:sz="4" w:space="0"/>
              <w:left w:val="single" w:color="auto" w:sz="4" w:space="0"/>
              <w:bottom w:val="single" w:color="auto" w:sz="4" w:space="0"/>
              <w:right w:val="single" w:color="auto" w:sz="4" w:space="0"/>
            </w:tcBorders>
            <w:vAlign w:val="center"/>
          </w:tcPr>
          <w:p>
            <w:pPr>
              <w:spacing w:line="460" w:lineRule="exact"/>
              <w:ind w:firstLine="420" w:firstLineChars="200"/>
              <w:rPr>
                <w:rFonts w:ascii="宋体" w:hAnsi="宋体" w:cs="宋体"/>
                <w:szCs w:val="21"/>
              </w:rPr>
            </w:pPr>
          </w:p>
        </w:tc>
        <w:tc>
          <w:tcPr>
            <w:tcW w:w="1154" w:type="dxa"/>
            <w:tcBorders>
              <w:top w:val="single" w:color="auto" w:sz="4" w:space="0"/>
              <w:left w:val="single" w:color="auto" w:sz="4" w:space="0"/>
              <w:bottom w:val="single" w:color="auto" w:sz="4" w:space="0"/>
              <w:right w:val="single" w:color="auto" w:sz="4" w:space="0"/>
            </w:tcBorders>
            <w:vAlign w:val="center"/>
          </w:tcPr>
          <w:p>
            <w:pPr>
              <w:spacing w:line="460" w:lineRule="exact"/>
              <w:ind w:firstLine="420" w:firstLineChars="200"/>
              <w:rPr>
                <w:rFonts w:ascii="宋体" w:hAnsi="宋体" w:cs="宋体"/>
                <w:szCs w:val="21"/>
              </w:rPr>
            </w:pPr>
          </w:p>
        </w:tc>
        <w:tc>
          <w:tcPr>
            <w:tcW w:w="637" w:type="dxa"/>
            <w:tcBorders>
              <w:top w:val="single" w:color="auto" w:sz="4" w:space="0"/>
              <w:left w:val="single" w:color="auto" w:sz="4" w:space="0"/>
              <w:bottom w:val="single" w:color="auto" w:sz="4" w:space="0"/>
              <w:right w:val="single" w:color="auto" w:sz="4" w:space="0"/>
            </w:tcBorders>
            <w:vAlign w:val="center"/>
          </w:tcPr>
          <w:p>
            <w:pPr>
              <w:spacing w:line="460" w:lineRule="exact"/>
              <w:ind w:firstLine="420" w:firstLineChars="200"/>
              <w:rPr>
                <w:rFonts w:ascii="宋体" w:hAnsi="宋体" w:cs="宋体"/>
                <w:szCs w:val="21"/>
              </w:rPr>
            </w:pPr>
          </w:p>
        </w:tc>
        <w:tc>
          <w:tcPr>
            <w:tcW w:w="676" w:type="dxa"/>
            <w:tcBorders>
              <w:top w:val="single" w:color="auto" w:sz="4" w:space="0"/>
              <w:left w:val="single" w:color="auto" w:sz="4" w:space="0"/>
              <w:bottom w:val="single" w:color="auto" w:sz="4" w:space="0"/>
              <w:right w:val="single" w:color="auto" w:sz="4" w:space="0"/>
            </w:tcBorders>
            <w:vAlign w:val="center"/>
          </w:tcPr>
          <w:p>
            <w:pPr>
              <w:spacing w:line="460" w:lineRule="exact"/>
              <w:ind w:firstLine="420" w:firstLineChars="200"/>
              <w:rPr>
                <w:rFonts w:ascii="宋体" w:hAnsi="宋体" w:cs="宋体"/>
                <w:szCs w:val="21"/>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460" w:lineRule="exact"/>
              <w:ind w:firstLine="420" w:firstLineChars="200"/>
              <w:rPr>
                <w:rFonts w:ascii="宋体" w:hAnsi="宋体" w:cs="宋体"/>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spacing w:line="460" w:lineRule="exact"/>
              <w:ind w:firstLine="420" w:firstLineChars="200"/>
              <w:rPr>
                <w:rFonts w:ascii="宋体" w:hAnsi="宋体" w:cs="宋体"/>
                <w:szCs w:val="21"/>
              </w:rPr>
            </w:pPr>
          </w:p>
        </w:tc>
        <w:tc>
          <w:tcPr>
            <w:tcW w:w="1315" w:type="dxa"/>
            <w:tcBorders>
              <w:top w:val="single" w:color="auto" w:sz="4" w:space="0"/>
              <w:left w:val="single" w:color="auto" w:sz="4" w:space="0"/>
              <w:bottom w:val="single" w:color="auto" w:sz="4" w:space="0"/>
              <w:right w:val="single" w:color="auto" w:sz="4" w:space="0"/>
            </w:tcBorders>
            <w:vAlign w:val="center"/>
          </w:tcPr>
          <w:p>
            <w:pPr>
              <w:spacing w:line="460" w:lineRule="exact"/>
              <w:ind w:firstLine="420" w:firstLineChars="20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8487" w:type="dxa"/>
            <w:gridSpan w:val="8"/>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szCs w:val="21"/>
              </w:rPr>
            </w:pPr>
            <w:r>
              <w:rPr>
                <w:rFonts w:hint="eastAsia" w:ascii="宋体" w:hAnsi="宋体" w:cs="宋体"/>
                <w:szCs w:val="21"/>
              </w:rPr>
              <w:t>货物价款合计（万元）：     ¥：（万元）</w:t>
            </w:r>
          </w:p>
        </w:tc>
      </w:tr>
    </w:tbl>
    <w:p>
      <w:pPr>
        <w:spacing w:line="460" w:lineRule="exact"/>
        <w:ind w:firstLine="420" w:firstLineChars="200"/>
        <w:rPr>
          <w:rFonts w:ascii="宋体" w:hAnsi="宋体" w:cs="宋体"/>
          <w:szCs w:val="21"/>
        </w:rPr>
      </w:pPr>
      <w:r>
        <w:rPr>
          <w:rFonts w:hint="eastAsia" w:ascii="宋体" w:hAnsi="宋体" w:cs="宋体"/>
          <w:szCs w:val="21"/>
        </w:rPr>
        <w:t>二、合同价款</w:t>
      </w:r>
    </w:p>
    <w:p>
      <w:pPr>
        <w:spacing w:line="460" w:lineRule="exact"/>
        <w:ind w:firstLine="420" w:firstLineChars="200"/>
        <w:rPr>
          <w:rFonts w:ascii="宋体" w:hAnsi="宋体" w:cs="宋体"/>
          <w:szCs w:val="21"/>
        </w:rPr>
      </w:pPr>
      <w:r>
        <w:rPr>
          <w:rFonts w:hint="eastAsia" w:ascii="宋体" w:hAnsi="宋体" w:cs="宋体"/>
          <w:szCs w:val="21"/>
        </w:rPr>
        <w:t>（一）合同总价款为人民币（大写）XXXXXXXXXXXXX（￥XXXX万元）。</w:t>
      </w:r>
    </w:p>
    <w:p>
      <w:pPr>
        <w:spacing w:line="460" w:lineRule="exact"/>
        <w:ind w:firstLine="420" w:firstLineChars="200"/>
        <w:rPr>
          <w:rFonts w:ascii="宋体" w:hAnsi="宋体" w:cs="宋体"/>
          <w:szCs w:val="21"/>
        </w:rPr>
      </w:pPr>
      <w:r>
        <w:rPr>
          <w:rFonts w:hint="eastAsia" w:ascii="宋体" w:hAnsi="宋体" w:cs="宋体"/>
          <w:szCs w:val="21"/>
        </w:rPr>
        <w:t>（二）合同总价包括：货物费、运输费（含保险费）、装卸、安装调试费、检测验收、培训、技术服务及其它费用。</w:t>
      </w:r>
    </w:p>
    <w:p>
      <w:pPr>
        <w:spacing w:line="460" w:lineRule="exact"/>
        <w:ind w:firstLine="420" w:firstLineChars="200"/>
        <w:rPr>
          <w:rFonts w:ascii="宋体" w:hAnsi="宋体" w:cs="宋体"/>
          <w:szCs w:val="21"/>
        </w:rPr>
      </w:pPr>
      <w:r>
        <w:rPr>
          <w:rFonts w:hint="eastAsia" w:ascii="宋体" w:hAnsi="宋体" w:cs="宋体"/>
          <w:szCs w:val="21"/>
        </w:rPr>
        <w:t>（三）合同总价一次性包死，不受市场价格变化因素的影响。</w:t>
      </w:r>
    </w:p>
    <w:p>
      <w:pPr>
        <w:spacing w:line="460" w:lineRule="exact"/>
        <w:ind w:firstLine="420" w:firstLineChars="200"/>
        <w:rPr>
          <w:rFonts w:ascii="宋体" w:hAnsi="宋体" w:cs="宋体"/>
          <w:b/>
          <w:szCs w:val="21"/>
        </w:rPr>
      </w:pPr>
      <w:r>
        <w:rPr>
          <w:rFonts w:hint="eastAsia" w:ascii="宋体" w:hAnsi="宋体" w:cs="宋体"/>
          <w:szCs w:val="21"/>
        </w:rPr>
        <w:t>三、款项结算</w:t>
      </w:r>
    </w:p>
    <w:p>
      <w:pPr>
        <w:spacing w:line="460" w:lineRule="exact"/>
        <w:ind w:firstLine="420" w:firstLineChars="200"/>
        <w:rPr>
          <w:rFonts w:ascii="宋体" w:hAnsi="宋体" w:cs="宋体"/>
          <w:szCs w:val="21"/>
          <w:highlight w:val="none"/>
        </w:rPr>
      </w:pPr>
      <w:r>
        <w:rPr>
          <w:rFonts w:hint="eastAsia" w:ascii="宋体" w:hAnsi="宋体" w:cs="宋体"/>
          <w:szCs w:val="21"/>
        </w:rPr>
        <w:t>1、合同签订后，</w:t>
      </w:r>
      <w:r>
        <w:rPr>
          <w:rFonts w:hint="eastAsia" w:ascii="宋体" w:hAnsi="宋体" w:cs="宋体"/>
          <w:szCs w:val="21"/>
          <w:highlight w:val="none"/>
        </w:rPr>
        <w:t>乙方须按其投标文件中响应的交货期按时交货并提供全额合规发票保证“货票同行”，到达甲方指定地点，安装、调试完毕并验收合格后，甲方支付合同总价款的</w:t>
      </w:r>
      <w:r>
        <w:rPr>
          <w:rFonts w:hint="eastAsia" w:ascii="宋体" w:hAnsi="宋体" w:cs="宋体"/>
          <w:szCs w:val="21"/>
          <w:highlight w:val="none"/>
          <w:lang w:val="en-US" w:eastAsia="zh-CN"/>
        </w:rPr>
        <w:t>90</w:t>
      </w:r>
      <w:r>
        <w:rPr>
          <w:rFonts w:hint="eastAsia" w:ascii="宋体" w:hAnsi="宋体" w:cs="宋体"/>
          <w:szCs w:val="21"/>
          <w:highlight w:val="none"/>
        </w:rPr>
        <w:t>%。</w:t>
      </w:r>
    </w:p>
    <w:p>
      <w:pPr>
        <w:spacing w:line="460" w:lineRule="exact"/>
        <w:ind w:firstLine="420" w:firstLineChars="200"/>
        <w:rPr>
          <w:rFonts w:ascii="宋体" w:hAnsi="宋体" w:cs="宋体"/>
          <w:szCs w:val="21"/>
          <w:highlight w:val="none"/>
        </w:rPr>
      </w:pPr>
      <w:r>
        <w:rPr>
          <w:rFonts w:hint="eastAsia" w:ascii="宋体" w:hAnsi="宋体" w:cs="宋体"/>
          <w:szCs w:val="21"/>
          <w:highlight w:val="none"/>
        </w:rPr>
        <w:t>2、维保期期满后，乙方需全面对产品进行全面维护保养，保证正常使用。甲方支付合同总价款</w:t>
      </w:r>
      <w:r>
        <w:rPr>
          <w:rFonts w:hint="eastAsia" w:ascii="宋体" w:hAnsi="宋体" w:cs="宋体"/>
          <w:szCs w:val="21"/>
          <w:highlight w:val="none"/>
          <w:lang w:val="en-US" w:eastAsia="zh-CN"/>
        </w:rPr>
        <w:t>剩余</w:t>
      </w:r>
      <w:r>
        <w:rPr>
          <w:rFonts w:hint="eastAsia" w:ascii="宋体" w:hAnsi="宋体" w:cs="宋体"/>
          <w:szCs w:val="21"/>
          <w:highlight w:val="none"/>
        </w:rPr>
        <w:t>的</w:t>
      </w:r>
      <w:r>
        <w:rPr>
          <w:rFonts w:hint="eastAsia" w:ascii="宋体" w:hAnsi="宋体" w:cs="宋体"/>
          <w:szCs w:val="21"/>
          <w:highlight w:val="none"/>
          <w:lang w:val="en-US" w:eastAsia="zh-CN"/>
        </w:rPr>
        <w:t>10</w:t>
      </w:r>
      <w:r>
        <w:rPr>
          <w:rFonts w:hint="eastAsia" w:ascii="宋体" w:hAnsi="宋体" w:cs="宋体"/>
          <w:szCs w:val="21"/>
          <w:highlight w:val="none"/>
        </w:rPr>
        <w:t>%。</w:t>
      </w:r>
    </w:p>
    <w:p>
      <w:pPr>
        <w:spacing w:line="460" w:lineRule="exact"/>
        <w:ind w:firstLine="420" w:firstLineChars="200"/>
        <w:rPr>
          <w:rFonts w:ascii="宋体" w:hAnsi="宋体" w:cs="宋体"/>
          <w:szCs w:val="21"/>
        </w:rPr>
      </w:pPr>
      <w:r>
        <w:rPr>
          <w:rFonts w:hint="eastAsia" w:ascii="宋体" w:hAnsi="宋体" w:cs="宋体"/>
          <w:szCs w:val="21"/>
        </w:rPr>
        <w:t>3、支付方式：银行转帐。</w:t>
      </w:r>
    </w:p>
    <w:p>
      <w:pPr>
        <w:spacing w:line="460" w:lineRule="exact"/>
        <w:ind w:firstLine="420" w:firstLineChars="200"/>
        <w:rPr>
          <w:rFonts w:ascii="宋体" w:hAnsi="宋体" w:cs="宋体"/>
          <w:szCs w:val="21"/>
        </w:rPr>
      </w:pPr>
      <w:r>
        <w:rPr>
          <w:rFonts w:hint="eastAsia" w:ascii="宋体" w:hAnsi="宋体" w:cs="宋体"/>
          <w:szCs w:val="21"/>
        </w:rPr>
        <w:t>4、结算方式：乙方持验收合格单，全额合规发票（按合同总价值开甲方），中标通知书、供货合同，与甲方结算。</w:t>
      </w:r>
    </w:p>
    <w:p>
      <w:pPr>
        <w:spacing w:line="460" w:lineRule="exact"/>
        <w:ind w:firstLine="420" w:firstLineChars="200"/>
        <w:rPr>
          <w:rFonts w:ascii="宋体" w:hAnsi="宋体" w:cs="宋体"/>
          <w:szCs w:val="21"/>
        </w:rPr>
      </w:pPr>
      <w:r>
        <w:rPr>
          <w:rFonts w:hint="eastAsia" w:ascii="宋体" w:hAnsi="宋体" w:cs="宋体"/>
          <w:szCs w:val="21"/>
        </w:rPr>
        <w:t>四、交货条件：</w:t>
      </w:r>
    </w:p>
    <w:p>
      <w:pPr>
        <w:spacing w:line="460" w:lineRule="exact"/>
        <w:ind w:firstLine="420" w:firstLineChars="200"/>
        <w:rPr>
          <w:rFonts w:ascii="宋体" w:hAnsi="宋体" w:cs="宋体"/>
          <w:szCs w:val="21"/>
        </w:rPr>
      </w:pPr>
      <w:r>
        <w:rPr>
          <w:rFonts w:hint="eastAsia" w:ascii="宋体" w:hAnsi="宋体" w:cs="宋体"/>
          <w:szCs w:val="21"/>
        </w:rPr>
        <w:t>（一）交货地点：甲方指定地点。</w:t>
      </w:r>
    </w:p>
    <w:p>
      <w:pPr>
        <w:spacing w:line="460" w:lineRule="exact"/>
        <w:ind w:firstLine="420" w:firstLineChars="200"/>
        <w:rPr>
          <w:rFonts w:ascii="宋体" w:hAnsi="宋体" w:cs="宋体"/>
          <w:szCs w:val="21"/>
        </w:rPr>
      </w:pPr>
      <w:r>
        <w:rPr>
          <w:rFonts w:hint="eastAsia" w:ascii="宋体" w:hAnsi="宋体" w:cs="宋体"/>
          <w:szCs w:val="21"/>
        </w:rPr>
        <w:t>（二）交货期：</w:t>
      </w:r>
    </w:p>
    <w:p>
      <w:pPr>
        <w:spacing w:line="460" w:lineRule="exact"/>
        <w:ind w:firstLine="840" w:firstLineChars="400"/>
        <w:rPr>
          <w:rFonts w:ascii="宋体" w:hAnsi="宋体" w:cs="宋体"/>
          <w:szCs w:val="21"/>
        </w:rPr>
      </w:pPr>
      <w:r>
        <w:rPr>
          <w:rFonts w:hint="eastAsia" w:ascii="宋体" w:hAnsi="宋体" w:cs="宋体"/>
          <w:szCs w:val="21"/>
        </w:rPr>
        <w:t>1、交货期：</w:t>
      </w:r>
      <w:r>
        <w:rPr>
          <w:rFonts w:hint="eastAsia" w:ascii="宋体" w:hAnsi="宋体" w:cs="宋体"/>
          <w:szCs w:val="21"/>
          <w:highlight w:val="none"/>
        </w:rPr>
        <w:t>自合同签订之日起</w:t>
      </w:r>
      <w:r>
        <w:rPr>
          <w:rFonts w:hint="eastAsia" w:ascii="宋体" w:hAnsi="宋体" w:cs="宋体"/>
          <w:szCs w:val="21"/>
          <w:highlight w:val="none"/>
          <w:lang w:val="en-US" w:eastAsia="zh-CN"/>
        </w:rPr>
        <w:t>60</w:t>
      </w:r>
      <w:r>
        <w:rPr>
          <w:rFonts w:hint="eastAsia" w:ascii="宋体" w:hAnsi="宋体" w:cs="宋体"/>
          <w:szCs w:val="21"/>
          <w:highlight w:val="none"/>
        </w:rPr>
        <w:t>个日历日完成全部项目内容，并交付采</w:t>
      </w:r>
      <w:r>
        <w:rPr>
          <w:rFonts w:hint="eastAsia" w:ascii="宋体" w:hAnsi="宋体" w:cs="宋体"/>
          <w:szCs w:val="21"/>
        </w:rPr>
        <w:t>购人验收合格。</w:t>
      </w:r>
    </w:p>
    <w:p>
      <w:pPr>
        <w:spacing w:line="460" w:lineRule="exact"/>
        <w:ind w:firstLine="420" w:firstLineChars="200"/>
        <w:rPr>
          <w:rFonts w:ascii="宋体" w:hAnsi="宋体" w:cs="宋体"/>
          <w:szCs w:val="21"/>
        </w:rPr>
      </w:pPr>
      <w:r>
        <w:rPr>
          <w:rFonts w:hint="eastAsia" w:ascii="宋体" w:hAnsi="宋体" w:cs="宋体"/>
          <w:szCs w:val="21"/>
        </w:rPr>
        <w:t xml:space="preserve">    2、合同签订后，乙方即刻派遣场地工程师到达安装现场勘察，按照供货期要求组织货物到达、安装事宜。场地不满足安装验收条件时，由乙方保存货物，费用由乙方承担。</w:t>
      </w:r>
    </w:p>
    <w:p>
      <w:pPr>
        <w:spacing w:line="460" w:lineRule="exact"/>
        <w:ind w:firstLine="420" w:firstLineChars="200"/>
        <w:rPr>
          <w:rFonts w:ascii="宋体" w:hAnsi="宋体" w:cs="宋体"/>
          <w:szCs w:val="21"/>
        </w:rPr>
      </w:pPr>
      <w:r>
        <w:rPr>
          <w:rFonts w:hint="eastAsia" w:ascii="宋体" w:hAnsi="宋体" w:cs="宋体"/>
          <w:szCs w:val="21"/>
        </w:rPr>
        <w:t>3、如果乙方交货时间比合同约定的供货时间延迟，每推迟一天扣除合同总价款的1%；如果交货时间超过合同约定的供货时间十五天，视乙方根本违约，甲方享有单方解除合同权，合同自甲方书面解除通知送达乙方之日起解除。乙方还应按照本供货合同第九条第二款之约定承担违约责任。</w:t>
      </w:r>
    </w:p>
    <w:p>
      <w:pPr>
        <w:spacing w:line="460" w:lineRule="exact"/>
        <w:ind w:firstLine="420" w:firstLineChars="200"/>
        <w:rPr>
          <w:rFonts w:ascii="宋体" w:hAnsi="宋体" w:cs="宋体"/>
          <w:szCs w:val="21"/>
        </w:rPr>
      </w:pPr>
      <w:r>
        <w:rPr>
          <w:rFonts w:hint="eastAsia" w:ascii="宋体" w:hAnsi="宋体" w:cs="宋体"/>
          <w:szCs w:val="21"/>
        </w:rPr>
        <w:t>五、运输</w:t>
      </w:r>
    </w:p>
    <w:p>
      <w:pPr>
        <w:spacing w:line="460" w:lineRule="exact"/>
        <w:ind w:firstLine="420" w:firstLineChars="200"/>
        <w:rPr>
          <w:rFonts w:ascii="宋体" w:hAnsi="宋体" w:cs="宋体"/>
          <w:szCs w:val="21"/>
        </w:rPr>
      </w:pPr>
      <w:r>
        <w:rPr>
          <w:rFonts w:hint="eastAsia" w:ascii="宋体" w:hAnsi="宋体" w:cs="宋体"/>
          <w:szCs w:val="21"/>
        </w:rPr>
        <w:t>（一）运输由乙方负责，运杂费已包含在合同总价内，包括从货物供应地点至交货地点所含的运输费、装卸费、仓储费、保险费等。</w:t>
      </w:r>
    </w:p>
    <w:p>
      <w:pPr>
        <w:spacing w:line="460" w:lineRule="exact"/>
        <w:ind w:firstLine="420" w:firstLineChars="200"/>
        <w:rPr>
          <w:rFonts w:ascii="宋体" w:hAnsi="宋体" w:cs="宋体"/>
          <w:szCs w:val="21"/>
        </w:rPr>
      </w:pPr>
      <w:r>
        <w:rPr>
          <w:rFonts w:hint="eastAsia" w:ascii="宋体" w:hAnsi="宋体" w:cs="宋体"/>
          <w:szCs w:val="21"/>
        </w:rPr>
        <w:t>（二）运输方式由乙方自行选择，但必须保证按期交货。</w:t>
      </w:r>
    </w:p>
    <w:p>
      <w:pPr>
        <w:spacing w:line="460" w:lineRule="exact"/>
        <w:ind w:firstLine="420" w:firstLineChars="200"/>
        <w:rPr>
          <w:rFonts w:ascii="宋体" w:hAnsi="宋体" w:cs="宋体"/>
          <w:szCs w:val="21"/>
        </w:rPr>
      </w:pPr>
      <w:r>
        <w:rPr>
          <w:rFonts w:hint="eastAsia" w:ascii="宋体" w:hAnsi="宋体" w:cs="宋体"/>
          <w:szCs w:val="21"/>
        </w:rPr>
        <w:t>（三）因运输产生的一切风险及质量问题均由乙方承担。</w:t>
      </w:r>
    </w:p>
    <w:p>
      <w:pPr>
        <w:spacing w:line="460" w:lineRule="exact"/>
        <w:ind w:firstLine="420" w:firstLineChars="200"/>
        <w:rPr>
          <w:rFonts w:ascii="宋体" w:hAnsi="宋体" w:cs="宋体"/>
          <w:szCs w:val="21"/>
        </w:rPr>
      </w:pPr>
      <w:r>
        <w:rPr>
          <w:rFonts w:hint="eastAsia" w:ascii="宋体" w:hAnsi="宋体" w:cs="宋体"/>
          <w:szCs w:val="21"/>
        </w:rPr>
        <w:t>六、安装调试和培训：</w:t>
      </w:r>
    </w:p>
    <w:p>
      <w:pPr>
        <w:spacing w:line="460" w:lineRule="exact"/>
        <w:ind w:firstLine="420" w:firstLineChars="200"/>
        <w:rPr>
          <w:rFonts w:ascii="宋体" w:hAnsi="宋体" w:cs="宋体"/>
          <w:szCs w:val="21"/>
        </w:rPr>
      </w:pPr>
      <w:r>
        <w:rPr>
          <w:rFonts w:hint="eastAsia" w:ascii="宋体" w:hAnsi="宋体" w:cs="宋体"/>
          <w:szCs w:val="21"/>
        </w:rPr>
        <w:t>（一）供应商必须保证足够的技术人员和时间投入系统安装实施中，在项目建设过程中，项目负责人和主要实施人员需常驻用户所在地，且未经用户许可，不得变更项目负责人。该项目的负责人，负责与用户接洽工作。</w:t>
      </w:r>
    </w:p>
    <w:p>
      <w:pPr>
        <w:spacing w:line="460" w:lineRule="exact"/>
        <w:ind w:firstLine="420" w:firstLineChars="200"/>
        <w:rPr>
          <w:rFonts w:ascii="宋体" w:hAnsi="宋体" w:cs="宋体"/>
          <w:szCs w:val="21"/>
        </w:rPr>
      </w:pPr>
      <w:r>
        <w:rPr>
          <w:rFonts w:hint="eastAsia" w:ascii="宋体" w:hAnsi="宋体" w:cs="宋体"/>
          <w:szCs w:val="21"/>
        </w:rPr>
        <w:t>（二）根据用户计算机操作水平的高低、特殊职能科室的业务需求等用户实际需要，有针对性地开展集中的用户培训，初步实现知识与技能的转移。投标人根据项目整体要求制订详细的培训计划。中标人在项目建设前后除了对业务经办人员的专项培训以外，应对甲方的系统维护人员进行系统维护培训。</w:t>
      </w:r>
    </w:p>
    <w:p>
      <w:pPr>
        <w:spacing w:line="460" w:lineRule="exact"/>
        <w:ind w:firstLine="420" w:firstLineChars="200"/>
        <w:rPr>
          <w:rFonts w:ascii="宋体" w:hAnsi="宋体" w:cs="宋体"/>
          <w:szCs w:val="21"/>
        </w:rPr>
      </w:pPr>
      <w:r>
        <w:rPr>
          <w:rFonts w:hint="eastAsia" w:ascii="宋体" w:hAnsi="宋体" w:cs="宋体"/>
          <w:szCs w:val="21"/>
        </w:rPr>
        <w:t>七、售后服务</w:t>
      </w:r>
    </w:p>
    <w:p>
      <w:pPr>
        <w:spacing w:line="460" w:lineRule="exact"/>
        <w:ind w:firstLine="420" w:firstLineChars="200"/>
        <w:rPr>
          <w:rFonts w:ascii="宋体" w:hAnsi="宋体" w:cs="宋体"/>
          <w:szCs w:val="21"/>
        </w:rPr>
      </w:pPr>
      <w:r>
        <w:rPr>
          <w:rFonts w:hint="eastAsia" w:ascii="宋体" w:hAnsi="宋体" w:cs="宋体"/>
          <w:szCs w:val="21"/>
        </w:rPr>
        <w:t>（一）质</w:t>
      </w:r>
      <w:r>
        <w:rPr>
          <w:rFonts w:hint="eastAsia" w:ascii="宋体" w:hAnsi="宋体" w:cs="宋体"/>
          <w:szCs w:val="21"/>
          <w:highlight w:val="none"/>
        </w:rPr>
        <w:t>保期：从装机验收之日起整机保修</w:t>
      </w:r>
      <w:r>
        <w:rPr>
          <w:rFonts w:hint="eastAsia" w:ascii="宋体" w:hAnsi="宋体" w:cs="宋体"/>
          <w:szCs w:val="21"/>
          <w:highlight w:val="none"/>
          <w:lang w:val="en-US" w:eastAsia="zh-CN"/>
        </w:rPr>
        <w:t>1</w:t>
      </w:r>
      <w:r>
        <w:rPr>
          <w:rFonts w:hint="eastAsia" w:ascii="宋体" w:hAnsi="宋体" w:cs="宋体"/>
          <w:szCs w:val="21"/>
          <w:highlight w:val="none"/>
        </w:rPr>
        <w:t>年，并提供终身维修服务。保修期</w:t>
      </w:r>
      <w:r>
        <w:rPr>
          <w:rFonts w:hint="eastAsia" w:ascii="宋体" w:hAnsi="宋体" w:cs="宋体"/>
          <w:szCs w:val="21"/>
        </w:rPr>
        <w:t>内，所有服务及配件全部免费。保修期后设备维修配件更换只收取成本费用。</w:t>
      </w:r>
    </w:p>
    <w:p>
      <w:pPr>
        <w:spacing w:line="460" w:lineRule="exact"/>
        <w:ind w:firstLine="420" w:firstLineChars="200"/>
        <w:rPr>
          <w:rFonts w:ascii="宋体" w:hAnsi="宋体" w:cs="宋体"/>
          <w:szCs w:val="21"/>
        </w:rPr>
      </w:pPr>
      <w:r>
        <w:rPr>
          <w:rFonts w:hint="eastAsia" w:ascii="宋体" w:hAnsi="宋体" w:cs="宋体"/>
          <w:szCs w:val="21"/>
        </w:rPr>
        <w:t>（二）厂家在西安设有售后服务机构或有派驻工程师；</w:t>
      </w:r>
    </w:p>
    <w:p>
      <w:pPr>
        <w:spacing w:line="460" w:lineRule="exact"/>
        <w:ind w:firstLine="420" w:firstLineChars="200"/>
        <w:rPr>
          <w:rFonts w:ascii="宋体" w:hAnsi="宋体" w:cs="宋体"/>
          <w:szCs w:val="21"/>
        </w:rPr>
      </w:pPr>
      <w:r>
        <w:rPr>
          <w:rFonts w:hint="eastAsia" w:ascii="宋体" w:hAnsi="宋体" w:cs="宋体"/>
          <w:szCs w:val="21"/>
        </w:rPr>
        <w:t>（三）质保期内接到报修，2小时电话响应，4 小时内到达现场，48 小时内处理完毕。质量保修期内每半年工程师免费对仪器进行维护保养一次。</w:t>
      </w:r>
    </w:p>
    <w:p>
      <w:pPr>
        <w:spacing w:line="460" w:lineRule="exact"/>
        <w:ind w:firstLine="420" w:firstLineChars="200"/>
        <w:rPr>
          <w:rFonts w:ascii="宋体" w:hAnsi="宋体" w:cs="宋体"/>
          <w:szCs w:val="21"/>
        </w:rPr>
      </w:pPr>
      <w:r>
        <w:rPr>
          <w:rFonts w:hint="eastAsia" w:ascii="宋体" w:hAnsi="宋体" w:cs="宋体"/>
          <w:szCs w:val="21"/>
        </w:rPr>
        <w:t>（四）原厂技术工程师提供安装，培训，维修技术服务。</w:t>
      </w:r>
    </w:p>
    <w:p>
      <w:pPr>
        <w:spacing w:line="460" w:lineRule="exact"/>
        <w:ind w:firstLine="420" w:firstLineChars="200"/>
        <w:rPr>
          <w:rFonts w:ascii="宋体" w:hAnsi="宋体" w:cs="宋体"/>
          <w:szCs w:val="21"/>
        </w:rPr>
      </w:pPr>
      <w:r>
        <w:rPr>
          <w:rFonts w:hint="eastAsia" w:ascii="宋体" w:hAnsi="宋体" w:cs="宋体"/>
          <w:szCs w:val="21"/>
        </w:rPr>
        <w:t>（五）如遇该型号设备软件在1年内升级，中标人应为采购人提供更换或升级。</w:t>
      </w:r>
    </w:p>
    <w:p>
      <w:pPr>
        <w:spacing w:line="460" w:lineRule="exact"/>
        <w:ind w:firstLine="420" w:firstLineChars="200"/>
        <w:rPr>
          <w:rFonts w:ascii="宋体" w:hAnsi="宋体" w:cs="宋体"/>
          <w:szCs w:val="21"/>
        </w:rPr>
      </w:pPr>
      <w:r>
        <w:rPr>
          <w:rFonts w:hint="eastAsia" w:ascii="宋体" w:hAnsi="宋体" w:cs="宋体"/>
          <w:szCs w:val="21"/>
        </w:rPr>
        <w:t>八、验收</w:t>
      </w:r>
    </w:p>
    <w:p>
      <w:pPr>
        <w:spacing w:line="460" w:lineRule="exact"/>
        <w:ind w:firstLine="420" w:firstLineChars="200"/>
        <w:rPr>
          <w:rFonts w:ascii="宋体" w:hAnsi="宋体" w:cs="宋体"/>
          <w:szCs w:val="21"/>
        </w:rPr>
      </w:pPr>
      <w:r>
        <w:rPr>
          <w:rFonts w:hint="eastAsia" w:ascii="宋体" w:hAnsi="宋体" w:cs="宋体"/>
          <w:szCs w:val="21"/>
        </w:rPr>
        <w:t>（一）验收要求：验收按相关规定、规范进行。验收时如发现所交付的成果有不符合招标文件规定之情形者，甲方应做出详尽的现场记录，或由甲方和乙方双方签署备忘录。此现场记录或备忘录可用作补充、缺失和更换的有效证据。由此产生的有关费用由乙方承担。</w:t>
      </w:r>
    </w:p>
    <w:p>
      <w:pPr>
        <w:spacing w:line="460" w:lineRule="exact"/>
        <w:ind w:firstLine="420" w:firstLineChars="200"/>
        <w:rPr>
          <w:rFonts w:ascii="宋体" w:hAnsi="宋体" w:cs="宋体"/>
          <w:szCs w:val="21"/>
        </w:rPr>
      </w:pPr>
      <w:r>
        <w:rPr>
          <w:rFonts w:hint="eastAsia" w:ascii="宋体" w:hAnsi="宋体" w:cs="宋体"/>
          <w:szCs w:val="21"/>
        </w:rPr>
        <w:t>（二）验收依据：</w:t>
      </w:r>
    </w:p>
    <w:p>
      <w:pPr>
        <w:spacing w:line="460" w:lineRule="exact"/>
        <w:ind w:firstLine="420" w:firstLineChars="200"/>
        <w:rPr>
          <w:rFonts w:ascii="宋体" w:hAnsi="宋体" w:cs="宋体"/>
          <w:szCs w:val="21"/>
        </w:rPr>
      </w:pPr>
      <w:r>
        <w:rPr>
          <w:rFonts w:hint="eastAsia" w:ascii="宋体" w:hAnsi="宋体" w:cs="宋体"/>
          <w:szCs w:val="21"/>
        </w:rPr>
        <w:t>（1）合同约定的质量和技术要求。</w:t>
      </w:r>
    </w:p>
    <w:p>
      <w:pPr>
        <w:spacing w:line="460" w:lineRule="exact"/>
        <w:ind w:firstLine="420" w:firstLineChars="200"/>
        <w:rPr>
          <w:rFonts w:ascii="宋体" w:hAnsi="宋体" w:cs="宋体"/>
          <w:szCs w:val="21"/>
        </w:rPr>
      </w:pPr>
      <w:r>
        <w:rPr>
          <w:rFonts w:hint="eastAsia" w:ascii="宋体" w:hAnsi="宋体" w:cs="宋体"/>
          <w:szCs w:val="21"/>
        </w:rPr>
        <w:t>（2）货物原产地证明和出厂质量检验合格证书以及质量保修证书等和产品相关的证书。</w:t>
      </w:r>
    </w:p>
    <w:p>
      <w:pPr>
        <w:spacing w:line="460" w:lineRule="exact"/>
        <w:ind w:firstLine="420" w:firstLineChars="200"/>
        <w:rPr>
          <w:rFonts w:ascii="宋体" w:hAnsi="宋体" w:cs="宋体"/>
          <w:szCs w:val="21"/>
        </w:rPr>
      </w:pPr>
      <w:r>
        <w:rPr>
          <w:rFonts w:hint="eastAsia" w:ascii="宋体" w:hAnsi="宋体" w:cs="宋体"/>
          <w:szCs w:val="21"/>
        </w:rPr>
        <w:t>（3）乙方应向甲方提供设备性能的测试程序、测试手段和测试标准。</w:t>
      </w:r>
    </w:p>
    <w:p>
      <w:pPr>
        <w:spacing w:line="460" w:lineRule="exact"/>
        <w:ind w:firstLine="420" w:firstLineChars="200"/>
        <w:rPr>
          <w:rFonts w:ascii="宋体" w:hAnsi="宋体" w:cs="宋体"/>
          <w:szCs w:val="21"/>
        </w:rPr>
      </w:pPr>
      <w:r>
        <w:rPr>
          <w:rFonts w:hint="eastAsia" w:ascii="宋体" w:hAnsi="宋体" w:cs="宋体"/>
          <w:szCs w:val="21"/>
        </w:rPr>
        <w:t>（4）安装调试、技术培训完成后，填写货物验收单。</w:t>
      </w:r>
    </w:p>
    <w:p>
      <w:pPr>
        <w:spacing w:line="460" w:lineRule="exact"/>
        <w:ind w:firstLine="420" w:firstLineChars="200"/>
        <w:rPr>
          <w:rFonts w:ascii="宋体" w:hAnsi="宋体" w:cs="宋体"/>
          <w:szCs w:val="21"/>
        </w:rPr>
      </w:pPr>
      <w:r>
        <w:rPr>
          <w:rFonts w:hint="eastAsia" w:ascii="宋体" w:hAnsi="宋体" w:cs="宋体"/>
          <w:szCs w:val="21"/>
        </w:rPr>
        <w:t>（三）验收方式：</w:t>
      </w:r>
    </w:p>
    <w:p>
      <w:pPr>
        <w:spacing w:line="460" w:lineRule="exact"/>
        <w:ind w:firstLine="420" w:firstLineChars="200"/>
        <w:rPr>
          <w:rFonts w:ascii="宋体" w:hAnsi="宋体" w:cs="宋体"/>
          <w:szCs w:val="21"/>
        </w:rPr>
      </w:pPr>
      <w:r>
        <w:rPr>
          <w:rFonts w:hint="eastAsia" w:ascii="宋体" w:hAnsi="宋体" w:cs="宋体"/>
          <w:szCs w:val="21"/>
        </w:rPr>
        <w:t>1、到货后由采购人、成交单位双方共同核对单据、检查外包装、开箱清点数量等，经检验无误共同签署货物交接单。</w:t>
      </w:r>
    </w:p>
    <w:p>
      <w:pPr>
        <w:spacing w:line="460" w:lineRule="exact"/>
        <w:ind w:firstLine="420" w:firstLineChars="200"/>
        <w:rPr>
          <w:rFonts w:ascii="宋体" w:hAnsi="宋体" w:cs="宋体"/>
          <w:szCs w:val="21"/>
        </w:rPr>
      </w:pPr>
      <w:r>
        <w:rPr>
          <w:rFonts w:hint="eastAsia" w:ascii="宋体" w:hAnsi="宋体" w:cs="宋体"/>
          <w:szCs w:val="21"/>
        </w:rPr>
        <w:t>2、安装调试、技术培训完成后，填写货物验收单。</w:t>
      </w:r>
    </w:p>
    <w:p>
      <w:pPr>
        <w:spacing w:line="460" w:lineRule="exact"/>
        <w:ind w:firstLine="420" w:firstLineChars="200"/>
        <w:rPr>
          <w:rFonts w:ascii="宋体" w:hAnsi="宋体" w:cs="宋体"/>
          <w:szCs w:val="21"/>
        </w:rPr>
      </w:pPr>
      <w:r>
        <w:rPr>
          <w:rFonts w:hint="eastAsia" w:ascii="宋体" w:hAnsi="宋体" w:cs="宋体"/>
          <w:szCs w:val="21"/>
        </w:rPr>
        <w:t>九、违约责任</w:t>
      </w:r>
    </w:p>
    <w:p>
      <w:pPr>
        <w:spacing w:line="460" w:lineRule="exact"/>
        <w:ind w:firstLine="420" w:firstLineChars="200"/>
        <w:rPr>
          <w:rFonts w:ascii="宋体" w:hAnsi="宋体" w:cs="宋体"/>
          <w:szCs w:val="21"/>
        </w:rPr>
      </w:pPr>
      <w:r>
        <w:rPr>
          <w:rFonts w:hint="eastAsia" w:ascii="宋体" w:hAnsi="宋体" w:cs="宋体"/>
          <w:szCs w:val="21"/>
        </w:rPr>
        <w:t>（一）按《政府采购法》、《中华人民共和国民法典》中的相关条款执行。</w:t>
      </w:r>
    </w:p>
    <w:p>
      <w:pPr>
        <w:spacing w:line="460" w:lineRule="exact"/>
        <w:ind w:firstLine="420" w:firstLineChars="200"/>
        <w:rPr>
          <w:rFonts w:ascii="宋体" w:hAnsi="宋体" w:cs="宋体"/>
          <w:szCs w:val="21"/>
        </w:rPr>
      </w:pPr>
      <w:r>
        <w:rPr>
          <w:rFonts w:hint="eastAsia" w:ascii="宋体" w:hAnsi="宋体" w:cs="宋体"/>
          <w:szCs w:val="21"/>
        </w:rPr>
        <w:t>（二）未按合同要求提供货物、质保服务或质量不能满足招标文件技术要求，在约定的条件下，乙方必须无条件更换，提高技术，完善质量，提供质保服务，否则，甲方有权解除合同，解除合同书面通知书到达乙方之日视为合同已解除，并按以下两种方式追究乙方的违约责任：</w:t>
      </w:r>
    </w:p>
    <w:p>
      <w:pPr>
        <w:spacing w:line="460" w:lineRule="exact"/>
        <w:ind w:firstLine="420" w:firstLineChars="200"/>
        <w:rPr>
          <w:rFonts w:ascii="宋体" w:hAnsi="宋体" w:cs="宋体"/>
          <w:szCs w:val="21"/>
        </w:rPr>
      </w:pPr>
      <w:r>
        <w:rPr>
          <w:rFonts w:hint="eastAsia" w:ascii="宋体" w:hAnsi="宋体" w:cs="宋体"/>
          <w:szCs w:val="21"/>
        </w:rPr>
        <w:t>1、乙方赔偿甲方解除合同的全部损失（包括但不限于重新采购产生的费用、合同未履行导致设备不能按规划交付使用可能产生的租赁费用及其它由此造成的甲方对第三方的违约损失）；</w:t>
      </w:r>
    </w:p>
    <w:p>
      <w:pPr>
        <w:spacing w:line="460" w:lineRule="exact"/>
        <w:ind w:firstLine="420" w:firstLineChars="200"/>
        <w:rPr>
          <w:rFonts w:ascii="宋体" w:hAnsi="宋体" w:cs="宋体"/>
          <w:szCs w:val="21"/>
        </w:rPr>
      </w:pPr>
      <w:r>
        <w:rPr>
          <w:rFonts w:hint="eastAsia" w:ascii="宋体" w:hAnsi="宋体" w:cs="宋体"/>
          <w:szCs w:val="21"/>
        </w:rPr>
        <w:t>2、乙方支付甲方违约金，违约金计算方法：以合同总价为基数，支付甲方合同总价的30%为违约金），同时，对乙方的违约行为报监管机构进行相应的处罚。</w:t>
      </w:r>
    </w:p>
    <w:p>
      <w:pPr>
        <w:spacing w:line="460" w:lineRule="exact"/>
        <w:ind w:firstLine="420" w:firstLineChars="200"/>
        <w:rPr>
          <w:rFonts w:ascii="宋体" w:hAnsi="宋体" w:cs="宋体"/>
          <w:szCs w:val="21"/>
        </w:rPr>
      </w:pPr>
      <w:r>
        <w:rPr>
          <w:rFonts w:hint="eastAsia" w:ascii="宋体" w:hAnsi="宋体" w:cs="宋体"/>
          <w:szCs w:val="21"/>
        </w:rPr>
        <w:t>十、合同争议解决的方式</w:t>
      </w:r>
    </w:p>
    <w:p>
      <w:pPr>
        <w:spacing w:line="460" w:lineRule="exact"/>
        <w:ind w:firstLine="420" w:firstLineChars="200"/>
        <w:rPr>
          <w:rFonts w:ascii="宋体" w:hAnsi="宋体" w:cs="宋体"/>
          <w:szCs w:val="21"/>
        </w:rPr>
      </w:pPr>
      <w:r>
        <w:rPr>
          <w:rFonts w:hint="eastAsia" w:ascii="宋体" w:hAnsi="宋体" w:cs="宋体"/>
          <w:szCs w:val="21"/>
        </w:rPr>
        <w:t>本合同在履行过程中发生的争议，由甲、乙双方当事人协商解决，协商不成的依法向甲方所在地人民法院起诉。</w:t>
      </w:r>
    </w:p>
    <w:p>
      <w:pPr>
        <w:spacing w:line="460" w:lineRule="exact"/>
        <w:ind w:firstLine="420" w:firstLineChars="200"/>
        <w:rPr>
          <w:rFonts w:ascii="宋体" w:hAnsi="宋体" w:cs="宋体"/>
          <w:szCs w:val="21"/>
        </w:rPr>
      </w:pPr>
      <w:r>
        <w:rPr>
          <w:rFonts w:hint="eastAsia" w:ascii="宋体" w:hAnsi="宋体" w:cs="宋体"/>
          <w:szCs w:val="21"/>
        </w:rPr>
        <w:t>十一、合同生效</w:t>
      </w:r>
    </w:p>
    <w:p>
      <w:pPr>
        <w:spacing w:line="460" w:lineRule="exact"/>
        <w:ind w:firstLine="420" w:firstLineChars="200"/>
        <w:rPr>
          <w:rFonts w:ascii="宋体" w:hAnsi="宋体" w:cs="宋体"/>
          <w:szCs w:val="21"/>
        </w:rPr>
      </w:pPr>
      <w:r>
        <w:rPr>
          <w:rFonts w:hint="eastAsia" w:ascii="宋体" w:hAnsi="宋体" w:cs="宋体"/>
          <w:szCs w:val="21"/>
        </w:rPr>
        <w:t>本合同一式</w:t>
      </w:r>
      <w:r>
        <w:rPr>
          <w:rFonts w:hint="eastAsia" w:ascii="宋体" w:hAnsi="宋体" w:cs="宋体"/>
          <w:szCs w:val="21"/>
          <w:u w:val="single"/>
        </w:rPr>
        <w:t xml:space="preserve">   </w:t>
      </w:r>
      <w:r>
        <w:rPr>
          <w:rFonts w:hint="eastAsia" w:ascii="宋体" w:hAnsi="宋体" w:cs="宋体"/>
          <w:szCs w:val="21"/>
        </w:rPr>
        <w:t>份，甲方</w:t>
      </w:r>
      <w:r>
        <w:rPr>
          <w:rFonts w:hint="eastAsia" w:ascii="宋体" w:hAnsi="宋体" w:cs="宋体"/>
          <w:szCs w:val="21"/>
          <w:u w:val="single"/>
        </w:rPr>
        <w:t xml:space="preserve">   </w:t>
      </w:r>
      <w:r>
        <w:rPr>
          <w:rFonts w:hint="eastAsia" w:ascii="宋体" w:hAnsi="宋体" w:cs="宋体"/>
          <w:szCs w:val="21"/>
        </w:rPr>
        <w:t>份，乙方</w:t>
      </w:r>
      <w:r>
        <w:rPr>
          <w:rFonts w:hint="eastAsia" w:ascii="宋体" w:hAnsi="宋体" w:cs="宋体"/>
          <w:szCs w:val="21"/>
          <w:u w:val="single"/>
        </w:rPr>
        <w:t xml:space="preserve">   </w:t>
      </w:r>
      <w:r>
        <w:rPr>
          <w:rFonts w:hint="eastAsia" w:ascii="宋体" w:hAnsi="宋体" w:cs="宋体"/>
          <w:szCs w:val="21"/>
        </w:rPr>
        <w:t>份</w:t>
      </w:r>
      <w:r>
        <w:rPr>
          <w:rFonts w:hint="eastAsia" w:ascii="宋体" w:hAnsi="宋体" w:cs="宋体"/>
          <w:szCs w:val="21"/>
          <w:highlight w:val="none"/>
        </w:rPr>
        <w:t>，西安市莲湖区财政局政府采购管理处备案贰份，本</w:t>
      </w:r>
      <w:r>
        <w:rPr>
          <w:rFonts w:hint="eastAsia" w:ascii="宋体" w:hAnsi="宋体" w:cs="宋体"/>
          <w:szCs w:val="21"/>
        </w:rPr>
        <w:t>合同自签字盖章之日起生效，质保期结束后，自动终止（但合同的服务承诺除外）。</w:t>
      </w:r>
    </w:p>
    <w:p>
      <w:pPr>
        <w:spacing w:line="460" w:lineRule="exact"/>
        <w:ind w:firstLine="420" w:firstLineChars="200"/>
        <w:rPr>
          <w:rFonts w:ascii="宋体" w:hAnsi="宋体" w:cs="宋体"/>
          <w:szCs w:val="21"/>
        </w:rPr>
      </w:pPr>
      <w:r>
        <w:rPr>
          <w:rFonts w:hint="eastAsia" w:ascii="宋体" w:hAnsi="宋体" w:cs="宋体"/>
          <w:szCs w:val="21"/>
        </w:rPr>
        <w:t>十三、其他事项</w:t>
      </w:r>
    </w:p>
    <w:p>
      <w:pPr>
        <w:spacing w:line="460" w:lineRule="exact"/>
        <w:ind w:firstLine="420" w:firstLineChars="200"/>
        <w:rPr>
          <w:rFonts w:ascii="宋体" w:hAnsi="宋体" w:cs="宋体"/>
          <w:szCs w:val="21"/>
        </w:rPr>
      </w:pPr>
      <w:r>
        <w:rPr>
          <w:rFonts w:hint="eastAsia" w:ascii="宋体" w:hAnsi="宋体" w:cs="宋体"/>
          <w:szCs w:val="21"/>
        </w:rPr>
        <w:t>（一）招标文件、投标文件、澄清表（函）、中标通知书、合同附件均成为合同不可分割的部分。</w:t>
      </w:r>
    </w:p>
    <w:p>
      <w:pPr>
        <w:spacing w:line="460" w:lineRule="exact"/>
        <w:ind w:firstLine="420" w:firstLineChars="200"/>
        <w:rPr>
          <w:rFonts w:ascii="宋体" w:hAnsi="宋体" w:cs="宋体"/>
          <w:szCs w:val="21"/>
        </w:rPr>
      </w:pPr>
      <w:r>
        <w:rPr>
          <w:rFonts w:hint="eastAsia" w:ascii="宋体" w:hAnsi="宋体" w:cs="宋体"/>
          <w:szCs w:val="21"/>
        </w:rPr>
        <w:t>（二）合同未尽事宜，由甲、乙双方协商，签订补充协议，与本合同具有同等法律效力。补充协议与本协议不一致的，以补充协议为准。</w:t>
      </w:r>
    </w:p>
    <w:p>
      <w:pPr>
        <w:spacing w:line="460" w:lineRule="exact"/>
        <w:ind w:firstLine="420" w:firstLineChars="200"/>
        <w:rPr>
          <w:rFonts w:ascii="宋体" w:hAnsi="宋体" w:cs="宋体"/>
          <w:szCs w:val="21"/>
        </w:rPr>
      </w:pPr>
      <w:r>
        <w:rPr>
          <w:rFonts w:hint="eastAsia" w:ascii="宋体" w:hAnsi="宋体" w:cs="宋体"/>
          <w:szCs w:val="21"/>
        </w:rPr>
        <w:t>（三）合同一经签订，不得擅自变更、中止或终止合同。对确需变更、调整或中止、终止合同的，有法律规定的按照法律规定，除合同约定外，由甲乙双方再行协商，协商一致前，原合同或条款继续履行。</w:t>
      </w:r>
    </w:p>
    <w:p>
      <w:pPr>
        <w:autoSpaceDE w:val="0"/>
        <w:autoSpaceDN w:val="0"/>
        <w:adjustRightInd w:val="0"/>
        <w:rPr>
          <w:rFonts w:hint="eastAsia" w:ascii="仿宋" w:hAnsi="仿宋" w:eastAsia="宋体"/>
          <w:b/>
          <w:bCs/>
          <w:sz w:val="24"/>
          <w:lang w:val="zh-CN" w:eastAsia="zh-CN"/>
        </w:rPr>
        <w:sectPr>
          <w:footerReference r:id="rId7" w:type="default"/>
          <w:pgSz w:w="11906" w:h="16838"/>
          <w:pgMar w:top="1418" w:right="1418" w:bottom="1418" w:left="1418" w:header="1020" w:footer="992" w:gutter="0"/>
          <w:cols w:space="720" w:num="1"/>
          <w:docGrid w:linePitch="312" w:charSpace="0"/>
        </w:sectPr>
      </w:pPr>
      <w:r>
        <w:rPr>
          <w:rFonts w:hint="eastAsia" w:ascii="宋体" w:hAnsi="宋体" w:cs="宋体"/>
          <w:szCs w:val="21"/>
        </w:rPr>
        <w:t>（四）本合同按照中华人民共和国的现行法律进行解释。</w:t>
      </w:r>
    </w:p>
    <w:bookmarkEnd w:id="309"/>
    <w:bookmarkEnd w:id="310"/>
    <w:p>
      <w:pPr>
        <w:adjustRightInd w:val="0"/>
        <w:snapToGrid w:val="0"/>
        <w:spacing w:line="300" w:lineRule="auto"/>
        <w:rPr>
          <w:rFonts w:asciiTheme="minorEastAsia" w:hAnsiTheme="minorEastAsia" w:eastAsiaTheme="minorEastAsia"/>
          <w:bCs/>
          <w:sz w:val="28"/>
          <w:szCs w:val="28"/>
        </w:rPr>
      </w:pPr>
      <w:r>
        <w:rPr>
          <w:rFonts w:asciiTheme="minorEastAsia" w:hAnsiTheme="minorEastAsia" w:eastAsiaTheme="minorEastAsia"/>
          <w:bCs/>
          <w:sz w:val="28"/>
          <w:szCs w:val="28"/>
        </w:rPr>
        <w:t>附表一</w:t>
      </w:r>
    </w:p>
    <w:p>
      <w:pPr>
        <w:adjustRightInd w:val="0"/>
        <w:snapToGrid w:val="0"/>
        <w:spacing w:line="300" w:lineRule="auto"/>
        <w:ind w:left="362" w:leftChars="-42" w:hanging="450"/>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XXXXXXXXXX</w:t>
      </w:r>
      <w:r>
        <w:rPr>
          <w:rFonts w:asciiTheme="minorEastAsia" w:hAnsiTheme="minorEastAsia" w:eastAsiaTheme="minorEastAsia"/>
          <w:b/>
          <w:sz w:val="30"/>
          <w:szCs w:val="30"/>
        </w:rPr>
        <w:t>配置清单明细</w:t>
      </w:r>
    </w:p>
    <w:tbl>
      <w:tblPr>
        <w:tblStyle w:val="35"/>
        <w:tblW w:w="10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3237"/>
        <w:gridCol w:w="1775"/>
        <w:gridCol w:w="1975"/>
        <w:gridCol w:w="913"/>
        <w:gridCol w:w="90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rPr>
            </w:pPr>
            <w:r>
              <w:rPr>
                <w:rFonts w:asciiTheme="minorEastAsia" w:hAnsiTheme="minorEastAsia" w:eastAsiaTheme="minorEastAsia"/>
                <w:kern w:val="0"/>
                <w:sz w:val="20"/>
              </w:rPr>
              <w:t>序号</w:t>
            </w:r>
          </w:p>
        </w:tc>
        <w:tc>
          <w:tcPr>
            <w:tcW w:w="323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rPr>
            </w:pPr>
            <w:r>
              <w:rPr>
                <w:rFonts w:asciiTheme="minorEastAsia" w:hAnsiTheme="minorEastAsia" w:eastAsiaTheme="minorEastAsia"/>
                <w:kern w:val="0"/>
                <w:sz w:val="20"/>
              </w:rPr>
              <w:t>产品名称</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rPr>
            </w:pPr>
            <w:r>
              <w:rPr>
                <w:rFonts w:asciiTheme="minorEastAsia" w:hAnsiTheme="minorEastAsia" w:eastAsiaTheme="minorEastAsia"/>
                <w:kern w:val="0"/>
                <w:sz w:val="20"/>
              </w:rPr>
              <w:t>规格型号</w:t>
            </w: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rPr>
            </w:pPr>
            <w:r>
              <w:rPr>
                <w:rFonts w:asciiTheme="minorEastAsia" w:hAnsiTheme="minorEastAsia" w:eastAsiaTheme="minorEastAsia"/>
                <w:kern w:val="0"/>
                <w:sz w:val="20"/>
              </w:rPr>
              <w:t>品牌及产地</w:t>
            </w:r>
          </w:p>
        </w:tc>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rPr>
            </w:pPr>
            <w:r>
              <w:rPr>
                <w:rFonts w:asciiTheme="minorEastAsia" w:hAnsiTheme="minorEastAsia" w:eastAsiaTheme="minorEastAsia"/>
                <w:kern w:val="0"/>
                <w:sz w:val="20"/>
              </w:rPr>
              <w:t>数量</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rPr>
            </w:pPr>
            <w:r>
              <w:rPr>
                <w:rFonts w:asciiTheme="minorEastAsia" w:hAnsiTheme="minorEastAsia" w:eastAsiaTheme="minorEastAsia"/>
                <w:kern w:val="0"/>
                <w:sz w:val="20"/>
              </w:rPr>
              <w:t>单位</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rPr>
            </w:pPr>
            <w:r>
              <w:rPr>
                <w:rFonts w:asciiTheme="minorEastAsia" w:hAnsiTheme="minorEastAsia" w:eastAsiaTheme="minorEastAsia"/>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r>
              <w:rPr>
                <w:rFonts w:asciiTheme="minorEastAsia" w:hAnsiTheme="minorEastAsia" w:eastAsiaTheme="minorEastAsia"/>
                <w:kern w:val="0"/>
                <w:sz w:val="24"/>
              </w:rPr>
              <w:t>1</w:t>
            </w:r>
          </w:p>
        </w:tc>
        <w:tc>
          <w:tcPr>
            <w:tcW w:w="32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r>
              <w:rPr>
                <w:rFonts w:asciiTheme="minorEastAsia" w:hAnsiTheme="minorEastAsia" w:eastAsiaTheme="minorEastAsia"/>
                <w:kern w:val="0"/>
                <w:sz w:val="24"/>
              </w:rPr>
              <w:t>2</w:t>
            </w:r>
          </w:p>
        </w:tc>
        <w:tc>
          <w:tcPr>
            <w:tcW w:w="32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r>
              <w:rPr>
                <w:rFonts w:asciiTheme="minorEastAsia" w:hAnsiTheme="minorEastAsia" w:eastAsiaTheme="minorEastAsia"/>
                <w:kern w:val="0"/>
                <w:sz w:val="24"/>
              </w:rPr>
              <w:t>3</w:t>
            </w:r>
          </w:p>
        </w:tc>
        <w:tc>
          <w:tcPr>
            <w:tcW w:w="32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r>
              <w:rPr>
                <w:rFonts w:asciiTheme="minorEastAsia" w:hAnsiTheme="minorEastAsia" w:eastAsiaTheme="minorEastAsia"/>
                <w:kern w:val="0"/>
                <w:sz w:val="24"/>
              </w:rPr>
              <w:t>4</w:t>
            </w:r>
          </w:p>
        </w:tc>
        <w:tc>
          <w:tcPr>
            <w:tcW w:w="32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r>
              <w:rPr>
                <w:rFonts w:asciiTheme="minorEastAsia" w:hAnsiTheme="minorEastAsia" w:eastAsiaTheme="minorEastAsia"/>
                <w:kern w:val="0"/>
                <w:sz w:val="24"/>
              </w:rPr>
              <w:t>5</w:t>
            </w:r>
          </w:p>
        </w:tc>
        <w:tc>
          <w:tcPr>
            <w:tcW w:w="32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2"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r>
              <w:rPr>
                <w:rFonts w:asciiTheme="minorEastAsia" w:hAnsiTheme="minorEastAsia" w:eastAsiaTheme="minorEastAsia"/>
                <w:kern w:val="0"/>
                <w:sz w:val="24"/>
              </w:rPr>
              <w:t>6</w:t>
            </w:r>
          </w:p>
        </w:tc>
        <w:tc>
          <w:tcPr>
            <w:tcW w:w="32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r>
              <w:rPr>
                <w:rFonts w:asciiTheme="minorEastAsia" w:hAnsiTheme="minorEastAsia" w:eastAsiaTheme="minorEastAsia"/>
                <w:kern w:val="0"/>
                <w:sz w:val="24"/>
              </w:rPr>
              <w:t>7</w:t>
            </w:r>
          </w:p>
        </w:tc>
        <w:tc>
          <w:tcPr>
            <w:tcW w:w="32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r>
              <w:rPr>
                <w:rFonts w:asciiTheme="minorEastAsia" w:hAnsiTheme="minorEastAsia" w:eastAsiaTheme="minorEastAsia"/>
                <w:kern w:val="0"/>
                <w:sz w:val="24"/>
              </w:rPr>
              <w:t>8</w:t>
            </w:r>
          </w:p>
        </w:tc>
        <w:tc>
          <w:tcPr>
            <w:tcW w:w="32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r>
              <w:rPr>
                <w:rFonts w:asciiTheme="minorEastAsia" w:hAnsiTheme="minorEastAsia" w:eastAsiaTheme="minorEastAsia"/>
                <w:kern w:val="0"/>
                <w:sz w:val="24"/>
              </w:rPr>
              <w:t>9</w:t>
            </w:r>
          </w:p>
        </w:tc>
        <w:tc>
          <w:tcPr>
            <w:tcW w:w="32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r>
              <w:rPr>
                <w:rFonts w:asciiTheme="minorEastAsia" w:hAnsiTheme="minorEastAsia" w:eastAsiaTheme="minorEastAsia"/>
                <w:kern w:val="0"/>
                <w:sz w:val="24"/>
              </w:rPr>
              <w:t>10</w:t>
            </w:r>
          </w:p>
        </w:tc>
        <w:tc>
          <w:tcPr>
            <w:tcW w:w="32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r>
              <w:rPr>
                <w:rFonts w:asciiTheme="minorEastAsia" w:hAnsiTheme="minorEastAsia" w:eastAsiaTheme="minorEastAsia"/>
                <w:kern w:val="0"/>
                <w:sz w:val="24"/>
              </w:rPr>
              <w:t>11</w:t>
            </w:r>
          </w:p>
        </w:tc>
        <w:tc>
          <w:tcPr>
            <w:tcW w:w="323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r>
              <w:rPr>
                <w:rFonts w:asciiTheme="minorEastAsia" w:hAnsiTheme="minorEastAsia" w:eastAsiaTheme="minorEastAsia"/>
                <w:kern w:val="0"/>
                <w:sz w:val="24"/>
              </w:rPr>
              <w:t>12</w:t>
            </w:r>
          </w:p>
        </w:tc>
        <w:tc>
          <w:tcPr>
            <w:tcW w:w="323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r>
              <w:rPr>
                <w:rFonts w:asciiTheme="minorEastAsia" w:hAnsiTheme="minorEastAsia" w:eastAsiaTheme="minorEastAsia"/>
                <w:kern w:val="0"/>
                <w:sz w:val="24"/>
              </w:rPr>
              <w:t>13</w:t>
            </w:r>
          </w:p>
        </w:tc>
        <w:tc>
          <w:tcPr>
            <w:tcW w:w="323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r>
              <w:rPr>
                <w:rFonts w:asciiTheme="minorEastAsia" w:hAnsiTheme="minorEastAsia" w:eastAsiaTheme="minorEastAsia"/>
                <w:kern w:val="0"/>
                <w:sz w:val="24"/>
              </w:rPr>
              <w:t>14</w:t>
            </w:r>
          </w:p>
        </w:tc>
        <w:tc>
          <w:tcPr>
            <w:tcW w:w="323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r>
              <w:rPr>
                <w:rFonts w:asciiTheme="minorEastAsia" w:hAnsiTheme="minorEastAsia" w:eastAsiaTheme="minorEastAsia"/>
                <w:kern w:val="0"/>
                <w:sz w:val="24"/>
              </w:rPr>
              <w:t>15</w:t>
            </w:r>
          </w:p>
        </w:tc>
        <w:tc>
          <w:tcPr>
            <w:tcW w:w="323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r>
              <w:rPr>
                <w:rFonts w:asciiTheme="minorEastAsia" w:hAnsiTheme="minorEastAsia" w:eastAsiaTheme="minorEastAsia"/>
                <w:kern w:val="0"/>
                <w:sz w:val="24"/>
              </w:rPr>
              <w:t>16</w:t>
            </w:r>
          </w:p>
        </w:tc>
        <w:tc>
          <w:tcPr>
            <w:tcW w:w="323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r>
              <w:rPr>
                <w:rFonts w:asciiTheme="minorEastAsia" w:hAnsiTheme="minorEastAsia" w:eastAsiaTheme="minorEastAsia"/>
                <w:kern w:val="0"/>
                <w:sz w:val="24"/>
              </w:rPr>
              <w:t>17</w:t>
            </w:r>
          </w:p>
        </w:tc>
        <w:tc>
          <w:tcPr>
            <w:tcW w:w="323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r>
              <w:rPr>
                <w:rFonts w:asciiTheme="minorEastAsia" w:hAnsiTheme="minorEastAsia" w:eastAsiaTheme="minorEastAsia"/>
                <w:kern w:val="0"/>
                <w:sz w:val="24"/>
              </w:rPr>
              <w:t>18</w:t>
            </w:r>
          </w:p>
        </w:tc>
        <w:tc>
          <w:tcPr>
            <w:tcW w:w="323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r>
              <w:rPr>
                <w:rFonts w:asciiTheme="minorEastAsia" w:hAnsiTheme="minorEastAsia" w:eastAsiaTheme="minorEastAsia"/>
                <w:kern w:val="0"/>
                <w:sz w:val="24"/>
              </w:rPr>
              <w:t>19</w:t>
            </w:r>
          </w:p>
        </w:tc>
        <w:tc>
          <w:tcPr>
            <w:tcW w:w="323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rPr>
            </w:pPr>
          </w:p>
        </w:tc>
      </w:tr>
    </w:tbl>
    <w:p>
      <w:pPr>
        <w:rPr>
          <w:rFonts w:asciiTheme="minorEastAsia" w:hAnsiTheme="minorEastAsia" w:eastAsiaTheme="minorEastAsia"/>
        </w:rPr>
      </w:pPr>
      <w:r>
        <w:rPr>
          <w:rFonts w:asciiTheme="minorEastAsia" w:hAnsiTheme="minorEastAsia" w:eastAsiaTheme="minorEastAsia"/>
        </w:rPr>
        <w:br w:type="page"/>
      </w:r>
    </w:p>
    <w:tbl>
      <w:tblPr>
        <w:tblStyle w:val="35"/>
        <w:tblW w:w="5000" w:type="pct"/>
        <w:tblInd w:w="0" w:type="dxa"/>
        <w:tblLayout w:type="autofit"/>
        <w:tblCellMar>
          <w:top w:w="0" w:type="dxa"/>
          <w:left w:w="108" w:type="dxa"/>
          <w:bottom w:w="0" w:type="dxa"/>
          <w:right w:w="108" w:type="dxa"/>
        </w:tblCellMar>
      </w:tblPr>
      <w:tblGrid>
        <w:gridCol w:w="1712"/>
        <w:gridCol w:w="2505"/>
        <w:gridCol w:w="2751"/>
        <w:gridCol w:w="2318"/>
      </w:tblGrid>
      <w:tr>
        <w:tblPrEx>
          <w:tblCellMar>
            <w:top w:w="0" w:type="dxa"/>
            <w:left w:w="108" w:type="dxa"/>
            <w:bottom w:w="0" w:type="dxa"/>
            <w:right w:w="108" w:type="dxa"/>
          </w:tblCellMar>
        </w:tblPrEx>
        <w:trPr>
          <w:trHeight w:val="900" w:hRule="atLeast"/>
        </w:trPr>
        <w:tc>
          <w:tcPr>
            <w:tcW w:w="5000" w:type="pct"/>
            <w:gridSpan w:val="4"/>
            <w:tcBorders>
              <w:top w:val="nil"/>
              <w:left w:val="nil"/>
              <w:bottom w:val="nil"/>
              <w:right w:val="nil"/>
            </w:tcBorders>
            <w:noWrap/>
            <w:vAlign w:val="center"/>
          </w:tcPr>
          <w:p>
            <w:pPr>
              <w:widowControl/>
              <w:jc w:val="center"/>
              <w:rPr>
                <w:rFonts w:asciiTheme="minorEastAsia" w:hAnsiTheme="minorEastAsia" w:eastAsiaTheme="minorEastAsia"/>
                <w:b/>
                <w:bCs/>
                <w:kern w:val="0"/>
                <w:sz w:val="32"/>
                <w:szCs w:val="32"/>
              </w:rPr>
            </w:pPr>
            <w:r>
              <w:rPr>
                <w:rFonts w:asciiTheme="minorEastAsia" w:hAnsiTheme="minorEastAsia" w:eastAsiaTheme="minorEastAsia"/>
                <w:kern w:val="0"/>
                <w:sz w:val="28"/>
                <w:szCs w:val="28"/>
              </w:rPr>
              <w:t>政府采购项目货物（服务）验收入库报告单</w:t>
            </w:r>
          </w:p>
        </w:tc>
      </w:tr>
      <w:tr>
        <w:trPr>
          <w:trHeight w:val="540" w:hRule="atLeast"/>
        </w:trPr>
        <w:tc>
          <w:tcPr>
            <w:tcW w:w="922" w:type="pct"/>
            <w:tcBorders>
              <w:top w:val="single" w:color="auto" w:sz="8" w:space="0"/>
              <w:left w:val="single" w:color="auto" w:sz="8" w:space="0"/>
              <w:bottom w:val="single" w:color="auto" w:sz="4" w:space="0"/>
              <w:right w:val="single" w:color="auto" w:sz="4" w:space="0"/>
            </w:tcBorders>
            <w:noWrap/>
            <w:vAlign w:val="center"/>
          </w:tcPr>
          <w:p>
            <w:pPr>
              <w:widowControl/>
              <w:jc w:val="center"/>
              <w:rPr>
                <w:rFonts w:asciiTheme="minorEastAsia" w:hAnsiTheme="minorEastAsia" w:eastAsiaTheme="minorEastAsia"/>
                <w:kern w:val="0"/>
                <w:sz w:val="24"/>
              </w:rPr>
            </w:pPr>
            <w:r>
              <w:rPr>
                <w:rFonts w:asciiTheme="minorEastAsia" w:hAnsiTheme="minorEastAsia" w:eastAsiaTheme="minorEastAsia"/>
                <w:kern w:val="0"/>
                <w:sz w:val="24"/>
              </w:rPr>
              <w:t>采购单位</w:t>
            </w:r>
          </w:p>
        </w:tc>
        <w:tc>
          <w:tcPr>
            <w:tcW w:w="4078" w:type="pct"/>
            <w:gridSpan w:val="3"/>
            <w:tcBorders>
              <w:top w:val="single" w:color="auto" w:sz="8" w:space="0"/>
              <w:left w:val="nil"/>
              <w:bottom w:val="single" w:color="auto" w:sz="4" w:space="0"/>
              <w:right w:val="single" w:color="000000" w:sz="8" w:space="0"/>
            </w:tcBorders>
            <w:noWrap/>
            <w:vAlign w:val="center"/>
          </w:tcPr>
          <w:p>
            <w:pPr>
              <w:widowControl/>
              <w:jc w:val="center"/>
              <w:rPr>
                <w:rFonts w:asciiTheme="minorEastAsia" w:hAnsiTheme="minorEastAsia" w:eastAsiaTheme="minorEastAsia"/>
                <w:kern w:val="0"/>
                <w:sz w:val="24"/>
              </w:rPr>
            </w:pPr>
            <w:r>
              <w:rPr>
                <w:rFonts w:asciiTheme="minorEastAsia" w:hAnsiTheme="minorEastAsia" w:eastAsiaTheme="minorEastAsia"/>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asciiTheme="minorEastAsia" w:hAnsiTheme="minorEastAsia" w:eastAsiaTheme="minorEastAsia"/>
                <w:kern w:val="0"/>
                <w:sz w:val="24"/>
              </w:rPr>
            </w:pPr>
            <w:r>
              <w:rPr>
                <w:rFonts w:asciiTheme="minorEastAsia" w:hAnsiTheme="minorEastAsia" w:eastAsiaTheme="minorEastAsia"/>
                <w:kern w:val="0"/>
                <w:sz w:val="24"/>
              </w:rPr>
              <w:t>采购项目</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asciiTheme="minorEastAsia" w:hAnsiTheme="minorEastAsia" w:eastAsiaTheme="minorEastAsia"/>
                <w:kern w:val="0"/>
                <w:sz w:val="24"/>
              </w:rPr>
            </w:pPr>
            <w:r>
              <w:rPr>
                <w:rFonts w:asciiTheme="minorEastAsia" w:hAnsiTheme="minorEastAsia" w:eastAsiaTheme="minorEastAsia"/>
                <w:kern w:val="0"/>
                <w:sz w:val="24"/>
              </w:rPr>
              <w:t>　</w:t>
            </w:r>
          </w:p>
        </w:tc>
      </w:tr>
      <w:tr>
        <w:trPr>
          <w:trHeight w:val="540" w:hRule="atLeast"/>
        </w:trPr>
        <w:tc>
          <w:tcPr>
            <w:tcW w:w="922" w:type="pct"/>
            <w:vMerge w:val="restart"/>
            <w:tcBorders>
              <w:top w:val="nil"/>
              <w:left w:val="single" w:color="auto" w:sz="8" w:space="0"/>
              <w:bottom w:val="single" w:color="auto" w:sz="4" w:space="0"/>
              <w:right w:val="single" w:color="auto" w:sz="4" w:space="0"/>
            </w:tcBorders>
            <w:noWrap/>
            <w:vAlign w:val="center"/>
          </w:tcPr>
          <w:p>
            <w:pPr>
              <w:widowControl/>
              <w:jc w:val="center"/>
              <w:rPr>
                <w:rFonts w:asciiTheme="minorEastAsia" w:hAnsiTheme="minorEastAsia" w:eastAsiaTheme="minorEastAsia"/>
                <w:kern w:val="0"/>
                <w:sz w:val="24"/>
              </w:rPr>
            </w:pPr>
            <w:r>
              <w:rPr>
                <w:rFonts w:asciiTheme="minorEastAsia" w:hAnsiTheme="minorEastAsia" w:eastAsiaTheme="minorEastAsia"/>
                <w:kern w:val="0"/>
                <w:sz w:val="24"/>
              </w:rPr>
              <w:t>项目编号</w:t>
            </w:r>
          </w:p>
        </w:tc>
        <w:tc>
          <w:tcPr>
            <w:tcW w:w="1349"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kern w:val="0"/>
                <w:sz w:val="24"/>
              </w:rPr>
            </w:pPr>
            <w:r>
              <w:rPr>
                <w:rFonts w:asciiTheme="minorEastAsia" w:hAnsiTheme="minorEastAsia" w:eastAsiaTheme="minorEastAsia"/>
                <w:kern w:val="0"/>
                <w:sz w:val="24"/>
              </w:rPr>
              <w:t>　</w:t>
            </w:r>
          </w:p>
        </w:tc>
        <w:tc>
          <w:tcPr>
            <w:tcW w:w="1481" w:type="pct"/>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24"/>
              </w:rPr>
            </w:pPr>
            <w:r>
              <w:rPr>
                <w:rFonts w:asciiTheme="minorEastAsia" w:hAnsiTheme="minorEastAsia" w:eastAsiaTheme="minorEastAsia"/>
                <w:kern w:val="0"/>
                <w:sz w:val="24"/>
              </w:rPr>
              <w:t>合同金额</w:t>
            </w:r>
          </w:p>
        </w:tc>
        <w:tc>
          <w:tcPr>
            <w:tcW w:w="1248" w:type="pct"/>
            <w:tcBorders>
              <w:top w:val="nil"/>
              <w:left w:val="nil"/>
              <w:bottom w:val="single" w:color="auto" w:sz="4" w:space="0"/>
              <w:right w:val="single" w:color="auto" w:sz="8" w:space="0"/>
            </w:tcBorders>
            <w:noWrap/>
            <w:vAlign w:val="center"/>
          </w:tcPr>
          <w:p>
            <w:pPr>
              <w:widowControl/>
              <w:jc w:val="left"/>
              <w:rPr>
                <w:rFonts w:asciiTheme="minorEastAsia" w:hAnsiTheme="minorEastAsia" w:eastAsiaTheme="minorEastAsia"/>
                <w:kern w:val="0"/>
                <w:sz w:val="24"/>
              </w:rPr>
            </w:pPr>
            <w:r>
              <w:rPr>
                <w:rFonts w:asciiTheme="minorEastAsia" w:hAnsiTheme="minorEastAsia" w:eastAsiaTheme="minorEastAsia"/>
                <w:kern w:val="0"/>
                <w:sz w:val="24"/>
              </w:rPr>
              <w:t>¥:</w:t>
            </w:r>
          </w:p>
        </w:tc>
      </w:tr>
      <w:tr>
        <w:trPr>
          <w:trHeight w:val="540" w:hRule="atLeast"/>
        </w:trPr>
        <w:tc>
          <w:tcPr>
            <w:tcW w:w="922" w:type="pct"/>
            <w:vMerge w:val="continue"/>
            <w:tcBorders>
              <w:top w:val="nil"/>
              <w:left w:val="single" w:color="auto" w:sz="8" w:space="0"/>
              <w:bottom w:val="single" w:color="auto" w:sz="4" w:space="0"/>
              <w:right w:val="single" w:color="auto" w:sz="4" w:space="0"/>
            </w:tcBorders>
            <w:vAlign w:val="center"/>
          </w:tcPr>
          <w:p>
            <w:pPr>
              <w:widowControl/>
              <w:jc w:val="left"/>
              <w:rPr>
                <w:rFonts w:asciiTheme="minorEastAsia" w:hAnsiTheme="minorEastAsia" w:eastAsiaTheme="minorEastAsia"/>
                <w:kern w:val="0"/>
                <w:sz w:val="24"/>
              </w:rPr>
            </w:pPr>
          </w:p>
        </w:tc>
        <w:tc>
          <w:tcPr>
            <w:tcW w:w="1349" w:type="pct"/>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kern w:val="0"/>
                <w:sz w:val="24"/>
              </w:rPr>
            </w:pPr>
          </w:p>
        </w:tc>
        <w:tc>
          <w:tcPr>
            <w:tcW w:w="1481" w:type="pct"/>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24"/>
              </w:rPr>
            </w:pPr>
            <w:r>
              <w:rPr>
                <w:rFonts w:asciiTheme="minorEastAsia" w:hAnsiTheme="minorEastAsia" w:eastAsiaTheme="minorEastAsia"/>
                <w:kern w:val="0"/>
                <w:sz w:val="24"/>
              </w:rPr>
              <w:t>验收时间/地点</w:t>
            </w:r>
          </w:p>
        </w:tc>
        <w:tc>
          <w:tcPr>
            <w:tcW w:w="1248" w:type="pct"/>
            <w:tcBorders>
              <w:top w:val="nil"/>
              <w:left w:val="nil"/>
              <w:bottom w:val="single" w:color="auto" w:sz="4" w:space="0"/>
              <w:right w:val="single" w:color="auto" w:sz="8" w:space="0"/>
            </w:tcBorders>
            <w:noWrap/>
            <w:vAlign w:val="center"/>
          </w:tcPr>
          <w:p>
            <w:pPr>
              <w:widowControl/>
              <w:jc w:val="center"/>
              <w:rPr>
                <w:rFonts w:asciiTheme="minorEastAsia" w:hAnsiTheme="minorEastAsia" w:eastAsiaTheme="minorEastAsia"/>
                <w:kern w:val="0"/>
                <w:sz w:val="24"/>
              </w:rPr>
            </w:pPr>
            <w:r>
              <w:rPr>
                <w:rFonts w:asciiTheme="minorEastAsia" w:hAnsiTheme="minorEastAsia" w:eastAsiaTheme="minorEastAsia"/>
                <w:kern w:val="0"/>
                <w:sz w:val="24"/>
              </w:rPr>
              <w:t>　</w:t>
            </w:r>
          </w:p>
        </w:tc>
      </w:tr>
      <w:tr>
        <w:tblPrEx>
          <w:tblCellMar>
            <w:top w:w="0" w:type="dxa"/>
            <w:left w:w="108" w:type="dxa"/>
            <w:bottom w:w="0" w:type="dxa"/>
            <w:right w:w="108" w:type="dxa"/>
          </w:tblCellMar>
        </w:tblPrEx>
        <w:trPr>
          <w:trHeight w:val="471"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asciiTheme="minorEastAsia" w:hAnsiTheme="minorEastAsia" w:eastAsiaTheme="minorEastAsia"/>
                <w:kern w:val="0"/>
                <w:sz w:val="24"/>
              </w:rPr>
            </w:pPr>
            <w:r>
              <w:rPr>
                <w:rFonts w:asciiTheme="minorEastAsia" w:hAnsiTheme="minorEastAsia" w:eastAsiaTheme="minorEastAsia"/>
                <w:kern w:val="0"/>
                <w:sz w:val="24"/>
              </w:rPr>
              <w:t>供货单位</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asciiTheme="minorEastAsia" w:hAnsiTheme="minorEastAsia" w:eastAsiaTheme="minorEastAsia"/>
                <w:kern w:val="0"/>
                <w:sz w:val="24"/>
              </w:rPr>
            </w:pPr>
            <w:r>
              <w:rPr>
                <w:rFonts w:asciiTheme="minorEastAsia" w:hAnsiTheme="minorEastAsia" w:eastAsiaTheme="minorEastAsia"/>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asciiTheme="minorEastAsia" w:hAnsiTheme="minorEastAsia" w:eastAsiaTheme="minorEastAsia"/>
                <w:kern w:val="0"/>
                <w:sz w:val="24"/>
              </w:rPr>
            </w:pPr>
            <w:r>
              <w:rPr>
                <w:rFonts w:asciiTheme="minorEastAsia" w:hAnsiTheme="minorEastAsia" w:eastAsiaTheme="minorEastAsia"/>
                <w:kern w:val="0"/>
                <w:sz w:val="24"/>
              </w:rPr>
              <w:t>开户行</w:t>
            </w:r>
          </w:p>
        </w:tc>
        <w:tc>
          <w:tcPr>
            <w:tcW w:w="1349" w:type="pct"/>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24"/>
              </w:rPr>
            </w:pPr>
            <w:r>
              <w:rPr>
                <w:rFonts w:asciiTheme="minorEastAsia" w:hAnsiTheme="minorEastAsia" w:eastAsiaTheme="minorEastAsia"/>
                <w:kern w:val="0"/>
                <w:sz w:val="24"/>
              </w:rPr>
              <w:t>　</w:t>
            </w:r>
          </w:p>
        </w:tc>
        <w:tc>
          <w:tcPr>
            <w:tcW w:w="1481" w:type="pct"/>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24"/>
              </w:rPr>
            </w:pPr>
            <w:r>
              <w:rPr>
                <w:rFonts w:asciiTheme="minorEastAsia" w:hAnsiTheme="minorEastAsia" w:eastAsiaTheme="minorEastAsia"/>
                <w:kern w:val="0"/>
                <w:sz w:val="24"/>
              </w:rPr>
              <w:t>账号</w:t>
            </w:r>
          </w:p>
        </w:tc>
        <w:tc>
          <w:tcPr>
            <w:tcW w:w="1248" w:type="pct"/>
            <w:tcBorders>
              <w:top w:val="nil"/>
              <w:left w:val="nil"/>
              <w:bottom w:val="single" w:color="auto" w:sz="4" w:space="0"/>
              <w:right w:val="single" w:color="auto" w:sz="8" w:space="0"/>
            </w:tcBorders>
            <w:noWrap/>
            <w:vAlign w:val="center"/>
          </w:tcPr>
          <w:p>
            <w:pPr>
              <w:widowControl/>
              <w:jc w:val="center"/>
              <w:rPr>
                <w:rFonts w:asciiTheme="minorEastAsia" w:hAnsiTheme="minorEastAsia" w:eastAsiaTheme="minorEastAsia"/>
                <w:kern w:val="0"/>
                <w:sz w:val="24"/>
              </w:rPr>
            </w:pPr>
            <w:r>
              <w:rPr>
                <w:rFonts w:asciiTheme="minorEastAsia" w:hAnsiTheme="minorEastAsia" w:eastAsiaTheme="minorEastAsia"/>
                <w:kern w:val="0"/>
                <w:sz w:val="24"/>
              </w:rPr>
              <w:t>　</w:t>
            </w:r>
          </w:p>
        </w:tc>
      </w:tr>
      <w:tr>
        <w:trPr>
          <w:trHeight w:val="540" w:hRule="atLeast"/>
        </w:trPr>
        <w:tc>
          <w:tcPr>
            <w:tcW w:w="922" w:type="pct"/>
            <w:tcBorders>
              <w:top w:val="nil"/>
              <w:left w:val="single" w:color="auto" w:sz="8" w:space="0"/>
              <w:bottom w:val="nil"/>
              <w:right w:val="single" w:color="auto" w:sz="4" w:space="0"/>
            </w:tcBorders>
            <w:noWrap/>
            <w:vAlign w:val="center"/>
          </w:tcPr>
          <w:p>
            <w:pPr>
              <w:widowControl/>
              <w:jc w:val="center"/>
              <w:rPr>
                <w:rFonts w:asciiTheme="minorEastAsia" w:hAnsiTheme="minorEastAsia" w:eastAsiaTheme="minorEastAsia"/>
                <w:kern w:val="0"/>
                <w:sz w:val="24"/>
              </w:rPr>
            </w:pPr>
            <w:r>
              <w:rPr>
                <w:rFonts w:asciiTheme="minorEastAsia" w:hAnsiTheme="minorEastAsia" w:eastAsiaTheme="minorEastAsia"/>
                <w:kern w:val="0"/>
                <w:sz w:val="24"/>
              </w:rPr>
              <w:t>联系人</w:t>
            </w:r>
          </w:p>
        </w:tc>
        <w:tc>
          <w:tcPr>
            <w:tcW w:w="1349" w:type="pct"/>
            <w:tcBorders>
              <w:top w:val="nil"/>
              <w:left w:val="nil"/>
              <w:bottom w:val="nil"/>
              <w:right w:val="single" w:color="auto" w:sz="4" w:space="0"/>
            </w:tcBorders>
            <w:noWrap/>
            <w:vAlign w:val="center"/>
          </w:tcPr>
          <w:p>
            <w:pPr>
              <w:widowControl/>
              <w:jc w:val="center"/>
              <w:rPr>
                <w:rFonts w:asciiTheme="minorEastAsia" w:hAnsiTheme="minorEastAsia" w:eastAsiaTheme="minorEastAsia"/>
                <w:kern w:val="0"/>
                <w:sz w:val="24"/>
              </w:rPr>
            </w:pPr>
            <w:r>
              <w:rPr>
                <w:rFonts w:asciiTheme="minorEastAsia" w:hAnsiTheme="minorEastAsia" w:eastAsiaTheme="minorEastAsia"/>
                <w:kern w:val="0"/>
                <w:sz w:val="24"/>
              </w:rPr>
              <w:t>　</w:t>
            </w:r>
          </w:p>
        </w:tc>
        <w:tc>
          <w:tcPr>
            <w:tcW w:w="1481" w:type="pct"/>
            <w:tcBorders>
              <w:top w:val="nil"/>
              <w:left w:val="nil"/>
              <w:bottom w:val="nil"/>
              <w:right w:val="single" w:color="auto" w:sz="4" w:space="0"/>
            </w:tcBorders>
            <w:noWrap/>
            <w:vAlign w:val="center"/>
          </w:tcPr>
          <w:p>
            <w:pPr>
              <w:widowControl/>
              <w:jc w:val="center"/>
              <w:rPr>
                <w:rFonts w:asciiTheme="minorEastAsia" w:hAnsiTheme="minorEastAsia" w:eastAsiaTheme="minorEastAsia"/>
                <w:kern w:val="0"/>
                <w:sz w:val="24"/>
              </w:rPr>
            </w:pPr>
            <w:r>
              <w:rPr>
                <w:rFonts w:asciiTheme="minorEastAsia" w:hAnsiTheme="minorEastAsia" w:eastAsiaTheme="minorEastAsia"/>
                <w:kern w:val="0"/>
                <w:sz w:val="24"/>
              </w:rPr>
              <w:t>电话</w:t>
            </w:r>
          </w:p>
        </w:tc>
        <w:tc>
          <w:tcPr>
            <w:tcW w:w="1248" w:type="pct"/>
            <w:tcBorders>
              <w:top w:val="nil"/>
              <w:left w:val="nil"/>
              <w:bottom w:val="nil"/>
              <w:right w:val="single" w:color="auto" w:sz="8" w:space="0"/>
            </w:tcBorders>
            <w:noWrap/>
            <w:vAlign w:val="center"/>
          </w:tcPr>
          <w:p>
            <w:pPr>
              <w:widowControl/>
              <w:jc w:val="center"/>
              <w:rPr>
                <w:rFonts w:asciiTheme="minorEastAsia" w:hAnsiTheme="minorEastAsia" w:eastAsiaTheme="minorEastAsia"/>
                <w:kern w:val="0"/>
                <w:sz w:val="24"/>
              </w:rPr>
            </w:pPr>
            <w:r>
              <w:rPr>
                <w:rFonts w:asciiTheme="minorEastAsia" w:hAnsiTheme="minorEastAsia" w:eastAsiaTheme="minorEastAsia"/>
                <w:kern w:val="0"/>
                <w:sz w:val="24"/>
              </w:rPr>
              <w:t>　</w:t>
            </w:r>
          </w:p>
        </w:tc>
      </w:tr>
      <w:tr>
        <w:trPr>
          <w:trHeight w:val="880" w:hRule="atLeast"/>
        </w:trPr>
        <w:tc>
          <w:tcPr>
            <w:tcW w:w="2271" w:type="pct"/>
            <w:gridSpan w:val="2"/>
            <w:tcBorders>
              <w:top w:val="single" w:color="auto" w:sz="4" w:space="0"/>
              <w:left w:val="single" w:color="auto" w:sz="8" w:space="0"/>
              <w:bottom w:val="nil"/>
              <w:right w:val="nil"/>
            </w:tcBorders>
          </w:tcPr>
          <w:p>
            <w:pPr>
              <w:widowControl/>
              <w:jc w:val="left"/>
              <w:rPr>
                <w:rFonts w:asciiTheme="minorEastAsia" w:hAnsiTheme="minorEastAsia" w:eastAsiaTheme="minorEastAsia"/>
                <w:kern w:val="0"/>
                <w:sz w:val="24"/>
              </w:rPr>
            </w:pPr>
            <w:r>
              <w:rPr>
                <w:rFonts w:asciiTheme="minorEastAsia" w:hAnsiTheme="minorEastAsia" w:eastAsiaTheme="minorEastAsia"/>
                <w:kern w:val="0"/>
                <w:sz w:val="24"/>
              </w:rPr>
              <w:t xml:space="preserve">  供货单位：（盖章）</w:t>
            </w:r>
          </w:p>
        </w:tc>
        <w:tc>
          <w:tcPr>
            <w:tcW w:w="2729" w:type="pct"/>
            <w:gridSpan w:val="2"/>
            <w:tcBorders>
              <w:top w:val="single" w:color="auto" w:sz="4" w:space="0"/>
              <w:left w:val="single" w:color="auto" w:sz="4" w:space="0"/>
              <w:bottom w:val="nil"/>
              <w:right w:val="single" w:color="000000" w:sz="8" w:space="0"/>
            </w:tcBorders>
          </w:tcPr>
          <w:p>
            <w:pPr>
              <w:widowControl/>
              <w:jc w:val="left"/>
              <w:rPr>
                <w:rFonts w:asciiTheme="minorEastAsia" w:hAnsiTheme="minorEastAsia" w:eastAsiaTheme="minorEastAsia"/>
                <w:kern w:val="0"/>
                <w:sz w:val="24"/>
              </w:rPr>
            </w:pPr>
            <w:r>
              <w:rPr>
                <w:rFonts w:asciiTheme="minorEastAsia" w:hAnsiTheme="minorEastAsia" w:eastAsiaTheme="minorEastAsia"/>
                <w:kern w:val="0"/>
                <w:sz w:val="24"/>
              </w:rPr>
              <w:t xml:space="preserve">   使用单位验收意见：（盖章）</w:t>
            </w:r>
          </w:p>
          <w:p>
            <w:pPr>
              <w:rPr>
                <w:rFonts w:asciiTheme="minorEastAsia" w:hAnsiTheme="minorEastAsia" w:eastAsiaTheme="minorEastAsia"/>
                <w:sz w:val="24"/>
              </w:rPr>
            </w:pPr>
          </w:p>
        </w:tc>
      </w:tr>
      <w:tr>
        <w:tblPrEx>
          <w:tblCellMar>
            <w:top w:w="0" w:type="dxa"/>
            <w:left w:w="108" w:type="dxa"/>
            <w:bottom w:w="0" w:type="dxa"/>
            <w:right w:w="108" w:type="dxa"/>
          </w:tblCellMar>
        </w:tblPrEx>
        <w:trPr>
          <w:trHeight w:val="480" w:hRule="atLeast"/>
        </w:trPr>
        <w:tc>
          <w:tcPr>
            <w:tcW w:w="922" w:type="pct"/>
            <w:tcBorders>
              <w:top w:val="nil"/>
              <w:left w:val="single" w:color="auto" w:sz="8" w:space="0"/>
              <w:bottom w:val="nil"/>
              <w:right w:val="nil"/>
            </w:tcBorders>
            <w:noWrap/>
            <w:vAlign w:val="center"/>
          </w:tcPr>
          <w:p>
            <w:pPr>
              <w:widowControl/>
              <w:jc w:val="center"/>
              <w:rPr>
                <w:rFonts w:asciiTheme="minorEastAsia" w:hAnsiTheme="minorEastAsia" w:eastAsiaTheme="minorEastAsia"/>
                <w:kern w:val="0"/>
                <w:sz w:val="24"/>
              </w:rPr>
            </w:pPr>
            <w:r>
              <w:rPr>
                <w:rFonts w:asciiTheme="minorEastAsia" w:hAnsiTheme="minorEastAsia" w:eastAsiaTheme="minorEastAsia"/>
                <w:kern w:val="0"/>
                <w:sz w:val="24"/>
              </w:rPr>
              <w:t xml:space="preserve"> 签字：</w:t>
            </w:r>
          </w:p>
        </w:tc>
        <w:tc>
          <w:tcPr>
            <w:tcW w:w="1349" w:type="pct"/>
            <w:tcBorders>
              <w:top w:val="nil"/>
              <w:left w:val="nil"/>
              <w:bottom w:val="nil"/>
              <w:right w:val="nil"/>
            </w:tcBorders>
            <w:noWrap/>
            <w:vAlign w:val="center"/>
          </w:tcPr>
          <w:p>
            <w:pPr>
              <w:widowControl/>
              <w:jc w:val="center"/>
              <w:rPr>
                <w:rFonts w:asciiTheme="minorEastAsia" w:hAnsiTheme="minorEastAsia" w:eastAsiaTheme="minorEastAsia"/>
                <w:kern w:val="0"/>
                <w:sz w:val="24"/>
              </w:rPr>
            </w:pPr>
          </w:p>
        </w:tc>
        <w:tc>
          <w:tcPr>
            <w:tcW w:w="1481" w:type="pct"/>
            <w:tcBorders>
              <w:top w:val="nil"/>
              <w:left w:val="single" w:color="auto" w:sz="4" w:space="0"/>
              <w:bottom w:val="nil"/>
              <w:right w:val="nil"/>
            </w:tcBorders>
            <w:noWrap/>
            <w:vAlign w:val="center"/>
          </w:tcPr>
          <w:p>
            <w:pPr>
              <w:widowControl/>
              <w:jc w:val="center"/>
              <w:rPr>
                <w:rFonts w:asciiTheme="minorEastAsia" w:hAnsiTheme="minorEastAsia" w:eastAsiaTheme="minorEastAsia"/>
                <w:kern w:val="0"/>
                <w:sz w:val="24"/>
              </w:rPr>
            </w:pPr>
            <w:r>
              <w:rPr>
                <w:rFonts w:asciiTheme="minorEastAsia" w:hAnsiTheme="minorEastAsia" w:eastAsiaTheme="minorEastAsia"/>
                <w:kern w:val="0"/>
                <w:sz w:val="24"/>
              </w:rPr>
              <w:t>签字：</w:t>
            </w:r>
          </w:p>
        </w:tc>
        <w:tc>
          <w:tcPr>
            <w:tcW w:w="1248" w:type="pct"/>
            <w:tcBorders>
              <w:top w:val="nil"/>
              <w:left w:val="nil"/>
              <w:bottom w:val="nil"/>
              <w:right w:val="single" w:color="auto" w:sz="8" w:space="0"/>
            </w:tcBorders>
          </w:tcPr>
          <w:p>
            <w:pPr>
              <w:widowControl/>
              <w:jc w:val="left"/>
              <w:rPr>
                <w:rFonts w:asciiTheme="minorEastAsia" w:hAnsiTheme="minorEastAsia" w:eastAsiaTheme="minorEastAsia"/>
                <w:kern w:val="0"/>
                <w:sz w:val="24"/>
              </w:rPr>
            </w:pPr>
            <w:r>
              <w:rPr>
                <w:rFonts w:asciiTheme="minorEastAsia" w:hAnsiTheme="minorEastAsia" w:eastAsiaTheme="minorEastAsia"/>
                <w:kern w:val="0"/>
                <w:sz w:val="24"/>
              </w:rPr>
              <w:t>　</w:t>
            </w:r>
          </w:p>
        </w:tc>
      </w:tr>
      <w:tr>
        <w:trPr>
          <w:trHeight w:val="78" w:hRule="atLeast"/>
        </w:trPr>
        <w:tc>
          <w:tcPr>
            <w:tcW w:w="922" w:type="pct"/>
            <w:tcBorders>
              <w:top w:val="nil"/>
              <w:left w:val="single" w:color="auto" w:sz="8" w:space="0"/>
              <w:bottom w:val="single" w:color="auto" w:sz="4" w:space="0"/>
              <w:right w:val="nil"/>
            </w:tcBorders>
            <w:noWrap/>
            <w:vAlign w:val="center"/>
          </w:tcPr>
          <w:p>
            <w:pPr>
              <w:widowControl/>
              <w:jc w:val="left"/>
              <w:rPr>
                <w:rFonts w:asciiTheme="minorEastAsia" w:hAnsiTheme="minorEastAsia" w:eastAsiaTheme="minorEastAsia"/>
                <w:kern w:val="0"/>
                <w:sz w:val="22"/>
                <w:szCs w:val="22"/>
              </w:rPr>
            </w:pPr>
            <w:r>
              <w:rPr>
                <w:rFonts w:asciiTheme="minorEastAsia" w:hAnsiTheme="minorEastAsia" w:eastAsiaTheme="minorEastAsia"/>
                <w:kern w:val="0"/>
                <w:sz w:val="22"/>
                <w:szCs w:val="22"/>
              </w:rPr>
              <w:t>　</w:t>
            </w:r>
          </w:p>
        </w:tc>
        <w:tc>
          <w:tcPr>
            <w:tcW w:w="1349" w:type="pct"/>
            <w:tcBorders>
              <w:top w:val="nil"/>
              <w:left w:val="nil"/>
              <w:bottom w:val="single" w:color="auto" w:sz="4" w:space="0"/>
              <w:right w:val="nil"/>
            </w:tcBorders>
            <w:vAlign w:val="bottom"/>
          </w:tcPr>
          <w:p>
            <w:pPr>
              <w:widowControl/>
              <w:jc w:val="right"/>
              <w:rPr>
                <w:rFonts w:asciiTheme="minorEastAsia" w:hAnsiTheme="minorEastAsia" w:eastAsiaTheme="minorEastAsia"/>
                <w:kern w:val="0"/>
                <w:sz w:val="22"/>
                <w:szCs w:val="22"/>
              </w:rPr>
            </w:pPr>
            <w:r>
              <w:rPr>
                <w:rFonts w:asciiTheme="minorEastAsia" w:hAnsiTheme="minorEastAsia" w:eastAsiaTheme="minorEastAsia"/>
                <w:kern w:val="0"/>
                <w:sz w:val="22"/>
                <w:szCs w:val="22"/>
              </w:rPr>
              <w:t>年     月   日</w:t>
            </w:r>
          </w:p>
        </w:tc>
        <w:tc>
          <w:tcPr>
            <w:tcW w:w="1481" w:type="pct"/>
            <w:tcBorders>
              <w:top w:val="nil"/>
              <w:left w:val="single" w:color="auto" w:sz="4" w:space="0"/>
              <w:bottom w:val="single" w:color="auto" w:sz="4" w:space="0"/>
              <w:right w:val="nil"/>
            </w:tcBorders>
            <w:noWrap/>
            <w:vAlign w:val="center"/>
          </w:tcPr>
          <w:p>
            <w:pPr>
              <w:widowControl/>
              <w:jc w:val="left"/>
              <w:rPr>
                <w:rFonts w:asciiTheme="minorEastAsia" w:hAnsiTheme="minorEastAsia" w:eastAsiaTheme="minorEastAsia"/>
                <w:kern w:val="0"/>
                <w:sz w:val="22"/>
                <w:szCs w:val="22"/>
              </w:rPr>
            </w:pPr>
            <w:r>
              <w:rPr>
                <w:rFonts w:asciiTheme="minorEastAsia" w:hAnsiTheme="minorEastAsia" w:eastAsiaTheme="minorEastAsia"/>
                <w:kern w:val="0"/>
                <w:sz w:val="22"/>
                <w:szCs w:val="22"/>
              </w:rPr>
              <w:t>　</w:t>
            </w:r>
          </w:p>
        </w:tc>
        <w:tc>
          <w:tcPr>
            <w:tcW w:w="1248" w:type="pct"/>
            <w:tcBorders>
              <w:top w:val="nil"/>
              <w:left w:val="nil"/>
              <w:bottom w:val="single" w:color="auto" w:sz="4" w:space="0"/>
              <w:right w:val="single" w:color="auto" w:sz="8" w:space="0"/>
            </w:tcBorders>
            <w:vAlign w:val="bottom"/>
          </w:tcPr>
          <w:p>
            <w:pPr>
              <w:widowControl/>
              <w:jc w:val="right"/>
              <w:rPr>
                <w:rFonts w:asciiTheme="minorEastAsia" w:hAnsiTheme="minorEastAsia" w:eastAsiaTheme="minorEastAsia"/>
                <w:kern w:val="0"/>
                <w:sz w:val="22"/>
                <w:szCs w:val="22"/>
              </w:rPr>
            </w:pPr>
            <w:r>
              <w:rPr>
                <w:rFonts w:asciiTheme="minorEastAsia" w:hAnsiTheme="minorEastAsia" w:eastAsiaTheme="minorEastAsia"/>
                <w:kern w:val="0"/>
                <w:sz w:val="22"/>
                <w:szCs w:val="22"/>
              </w:rPr>
              <w:t>年   月   日</w:t>
            </w:r>
          </w:p>
        </w:tc>
      </w:tr>
      <w:tr>
        <w:tblPrEx>
          <w:tblCellMar>
            <w:top w:w="0" w:type="dxa"/>
            <w:left w:w="108" w:type="dxa"/>
            <w:bottom w:w="0" w:type="dxa"/>
            <w:right w:w="108" w:type="dxa"/>
          </w:tblCellMar>
        </w:tblPrEx>
        <w:trPr>
          <w:trHeight w:val="603" w:hRule="atLeast"/>
        </w:trPr>
        <w:tc>
          <w:tcPr>
            <w:tcW w:w="5000" w:type="pct"/>
            <w:gridSpan w:val="4"/>
            <w:tcBorders>
              <w:top w:val="single" w:color="auto" w:sz="4" w:space="0"/>
              <w:left w:val="single" w:color="auto" w:sz="8" w:space="0"/>
              <w:bottom w:val="single" w:color="auto" w:sz="4" w:space="0"/>
              <w:right w:val="single" w:color="000000" w:sz="8" w:space="0"/>
            </w:tcBorders>
            <w:noWrap/>
            <w:vAlign w:val="center"/>
          </w:tcPr>
          <w:p>
            <w:pPr>
              <w:widowControl/>
              <w:jc w:val="center"/>
              <w:rPr>
                <w:rFonts w:asciiTheme="minorEastAsia" w:hAnsiTheme="minorEastAsia" w:eastAsiaTheme="minorEastAsia"/>
                <w:kern w:val="0"/>
                <w:sz w:val="22"/>
                <w:szCs w:val="22"/>
              </w:rPr>
            </w:pPr>
            <w:r>
              <w:rPr>
                <w:rFonts w:asciiTheme="minorEastAsia" w:hAnsiTheme="minorEastAsia" w:eastAsiaTheme="minorEastAsia"/>
                <w:kern w:val="0"/>
                <w:sz w:val="22"/>
                <w:szCs w:val="22"/>
              </w:rPr>
              <w:t>采购内容</w:t>
            </w:r>
          </w:p>
        </w:tc>
      </w:tr>
      <w:tr>
        <w:tblPrEx>
          <w:tblCellMar>
            <w:top w:w="0" w:type="dxa"/>
            <w:left w:w="108" w:type="dxa"/>
            <w:bottom w:w="0" w:type="dxa"/>
            <w:right w:w="108" w:type="dxa"/>
          </w:tblCellMar>
        </w:tblPrEx>
        <w:trPr>
          <w:trHeight w:val="1975" w:hRule="atLeast"/>
        </w:trPr>
        <w:tc>
          <w:tcPr>
            <w:tcW w:w="5000" w:type="pct"/>
            <w:gridSpan w:val="4"/>
            <w:tcBorders>
              <w:top w:val="single" w:color="auto" w:sz="4" w:space="0"/>
              <w:left w:val="single" w:color="auto" w:sz="8" w:space="0"/>
              <w:bottom w:val="single" w:color="auto" w:sz="8" w:space="0"/>
              <w:right w:val="single" w:color="000000" w:sz="8" w:space="0"/>
            </w:tcBorders>
          </w:tcPr>
          <w:p>
            <w:pPr>
              <w:widowControl/>
              <w:jc w:val="center"/>
              <w:rPr>
                <w:rFonts w:asciiTheme="minorEastAsia" w:hAnsiTheme="minorEastAsia" w:eastAsiaTheme="minorEastAsia"/>
                <w:kern w:val="0"/>
                <w:sz w:val="28"/>
                <w:szCs w:val="28"/>
              </w:rPr>
            </w:pPr>
            <w:r>
              <w:rPr>
                <w:rFonts w:asciiTheme="minorEastAsia" w:hAnsiTheme="minorEastAsia" w:eastAsiaTheme="minorEastAsia"/>
                <w:kern w:val="0"/>
                <w:sz w:val="28"/>
                <w:szCs w:val="28"/>
              </w:rPr>
              <w:t>采购内容请列明品目、规格、型号、数量、单价、总价</w:t>
            </w:r>
          </w:p>
        </w:tc>
      </w:tr>
    </w:tbl>
    <w:p>
      <w:pPr>
        <w:rPr>
          <w:rFonts w:asciiTheme="minorEastAsia" w:hAnsiTheme="minorEastAsia" w:eastAsiaTheme="minorEastAsia"/>
        </w:rPr>
      </w:pPr>
      <w:r>
        <w:rPr>
          <w:rFonts w:asciiTheme="minorEastAsia" w:hAnsiTheme="minorEastAsia" w:eastAsiaTheme="minorEastAsia"/>
        </w:rPr>
        <w:br w:type="page"/>
      </w:r>
    </w:p>
    <w:p>
      <w:pPr>
        <w:pStyle w:val="31"/>
        <w:numPr>
          <w:ilvl w:val="0"/>
          <w:numId w:val="7"/>
        </w:numPr>
        <w:ind w:left="1079" w:leftChars="257" w:hanging="540"/>
      </w:pPr>
      <w:bookmarkStart w:id="311" w:name="_Toc4762"/>
      <w:bookmarkStart w:id="312" w:name="_Toc108721141"/>
      <w:r>
        <w:rPr>
          <w:rFonts w:asciiTheme="minorEastAsia" w:hAnsiTheme="minorEastAsia" w:eastAsiaTheme="minorEastAsia"/>
        </w:rPr>
        <w:t xml:space="preserve"> 采购需求及要求</w:t>
      </w:r>
      <w:bookmarkEnd w:id="311"/>
      <w:bookmarkEnd w:id="312"/>
    </w:p>
    <w:p>
      <w:pPr>
        <w:pStyle w:val="51"/>
        <w:jc w:val="center"/>
        <w:outlineLvl w:val="1"/>
        <w:rPr>
          <w:rFonts w:asciiTheme="minorEastAsia" w:hAnsiTheme="minorEastAsia" w:eastAsiaTheme="minorEastAsia"/>
          <w:b/>
          <w:bCs/>
          <w:sz w:val="36"/>
          <w:szCs w:val="40"/>
        </w:rPr>
      </w:pPr>
      <w:r>
        <w:rPr>
          <w:rFonts w:hint="eastAsia" w:asciiTheme="minorEastAsia" w:hAnsiTheme="minorEastAsia" w:eastAsiaTheme="minorEastAsia"/>
          <w:b/>
          <w:bCs/>
          <w:sz w:val="36"/>
          <w:szCs w:val="40"/>
        </w:rPr>
        <w:t>一、采购需求及数量</w:t>
      </w:r>
    </w:p>
    <w:tbl>
      <w:tblPr>
        <w:tblStyle w:val="36"/>
        <w:tblpPr w:leftFromText="180" w:rightFromText="180" w:vertAnchor="text" w:horzAnchor="page" w:tblpX="1222" w:tblpY="4"/>
        <w:tblOverlap w:val="never"/>
        <w:tblW w:w="96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657"/>
        <w:gridCol w:w="2576"/>
        <w:gridCol w:w="886"/>
        <w:gridCol w:w="698"/>
        <w:gridCol w:w="2120"/>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62" w:type="dxa"/>
            <w:vAlign w:val="center"/>
          </w:tcPr>
          <w:p>
            <w:pPr>
              <w:spacing w:line="0" w:lineRule="atLeast"/>
              <w:jc w:val="center"/>
              <w:rPr>
                <w:rFonts w:ascii="仿宋" w:hAnsi="仿宋" w:eastAsia="仿宋"/>
                <w:b/>
                <w:sz w:val="24"/>
              </w:rPr>
            </w:pPr>
            <w:r>
              <w:rPr>
                <w:rFonts w:hint="eastAsia" w:ascii="仿宋" w:hAnsi="仿宋" w:eastAsia="仿宋"/>
                <w:b/>
                <w:sz w:val="24"/>
              </w:rPr>
              <w:t>包号</w:t>
            </w:r>
          </w:p>
        </w:tc>
        <w:tc>
          <w:tcPr>
            <w:tcW w:w="657" w:type="dxa"/>
            <w:vAlign w:val="center"/>
          </w:tcPr>
          <w:p>
            <w:pPr>
              <w:spacing w:line="0" w:lineRule="atLeast"/>
              <w:jc w:val="center"/>
              <w:rPr>
                <w:rFonts w:ascii="仿宋" w:hAnsi="仿宋" w:eastAsia="仿宋"/>
                <w:b/>
                <w:sz w:val="24"/>
              </w:rPr>
            </w:pPr>
            <w:r>
              <w:rPr>
                <w:rFonts w:hint="eastAsia" w:ascii="仿宋" w:hAnsi="仿宋" w:eastAsia="仿宋"/>
                <w:b/>
                <w:sz w:val="24"/>
              </w:rPr>
              <w:t>序号</w:t>
            </w:r>
          </w:p>
        </w:tc>
        <w:tc>
          <w:tcPr>
            <w:tcW w:w="2576" w:type="dxa"/>
            <w:vAlign w:val="center"/>
          </w:tcPr>
          <w:p>
            <w:pPr>
              <w:spacing w:line="0" w:lineRule="atLeast"/>
              <w:jc w:val="center"/>
              <w:rPr>
                <w:rFonts w:ascii="仿宋" w:hAnsi="仿宋" w:eastAsia="仿宋"/>
                <w:b/>
                <w:sz w:val="24"/>
              </w:rPr>
            </w:pPr>
            <w:r>
              <w:rPr>
                <w:rFonts w:hint="eastAsia" w:ascii="仿宋" w:hAnsi="仿宋" w:eastAsia="仿宋"/>
                <w:b/>
                <w:sz w:val="24"/>
              </w:rPr>
              <w:t>设备名称</w:t>
            </w:r>
          </w:p>
        </w:tc>
        <w:tc>
          <w:tcPr>
            <w:tcW w:w="886" w:type="dxa"/>
            <w:vAlign w:val="center"/>
          </w:tcPr>
          <w:p>
            <w:pPr>
              <w:spacing w:line="0" w:lineRule="atLeast"/>
              <w:jc w:val="center"/>
              <w:rPr>
                <w:rFonts w:ascii="仿宋" w:hAnsi="仿宋" w:eastAsia="仿宋"/>
                <w:b/>
                <w:sz w:val="24"/>
              </w:rPr>
            </w:pPr>
            <w:r>
              <w:rPr>
                <w:rFonts w:hint="eastAsia" w:ascii="仿宋" w:hAnsi="仿宋" w:eastAsia="仿宋"/>
                <w:b/>
                <w:sz w:val="24"/>
              </w:rPr>
              <w:t>数量</w:t>
            </w:r>
          </w:p>
        </w:tc>
        <w:tc>
          <w:tcPr>
            <w:tcW w:w="698" w:type="dxa"/>
            <w:vAlign w:val="center"/>
          </w:tcPr>
          <w:p>
            <w:pPr>
              <w:spacing w:line="0" w:lineRule="atLeast"/>
              <w:jc w:val="center"/>
              <w:rPr>
                <w:rFonts w:ascii="仿宋" w:hAnsi="仿宋" w:eastAsia="仿宋"/>
                <w:b/>
                <w:sz w:val="24"/>
              </w:rPr>
            </w:pPr>
            <w:r>
              <w:rPr>
                <w:rFonts w:hint="eastAsia" w:ascii="仿宋" w:hAnsi="仿宋" w:eastAsia="仿宋"/>
                <w:b/>
                <w:sz w:val="24"/>
              </w:rPr>
              <w:t>单位</w:t>
            </w:r>
          </w:p>
        </w:tc>
        <w:tc>
          <w:tcPr>
            <w:tcW w:w="2120" w:type="dxa"/>
            <w:vAlign w:val="center"/>
          </w:tcPr>
          <w:p>
            <w:pPr>
              <w:spacing w:line="0" w:lineRule="atLeast"/>
              <w:jc w:val="center"/>
              <w:rPr>
                <w:rFonts w:ascii="仿宋" w:hAnsi="仿宋" w:eastAsia="仿宋"/>
                <w:b/>
                <w:sz w:val="24"/>
              </w:rPr>
            </w:pPr>
            <w:r>
              <w:rPr>
                <w:rFonts w:ascii="仿宋" w:hAnsi="仿宋" w:eastAsia="仿宋"/>
                <w:b/>
                <w:sz w:val="24"/>
              </w:rPr>
              <w:t>测定项目</w:t>
            </w:r>
          </w:p>
        </w:tc>
        <w:tc>
          <w:tcPr>
            <w:tcW w:w="1871" w:type="dxa"/>
            <w:vAlign w:val="center"/>
          </w:tcPr>
          <w:p>
            <w:pPr>
              <w:spacing w:line="0" w:lineRule="atLeast"/>
              <w:jc w:val="center"/>
              <w:rPr>
                <w:rFonts w:hint="eastAsia" w:ascii="仿宋" w:hAnsi="仿宋" w:eastAsia="仿宋"/>
                <w:b/>
                <w:sz w:val="24"/>
                <w:lang w:val="en-US" w:eastAsia="zh-CN"/>
              </w:rPr>
            </w:pPr>
            <w:r>
              <w:rPr>
                <w:rFonts w:hint="eastAsia" w:ascii="仿宋" w:hAnsi="仿宋" w:eastAsia="仿宋"/>
                <w:b/>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62" w:type="dxa"/>
            <w:vMerge w:val="restart"/>
            <w:vAlign w:val="center"/>
          </w:tcPr>
          <w:p>
            <w:pPr>
              <w:spacing w:line="0" w:lineRule="atLeast"/>
              <w:jc w:val="center"/>
              <w:rPr>
                <w:rFonts w:ascii="仿宋" w:hAnsi="仿宋" w:eastAsia="仿宋"/>
                <w:sz w:val="24"/>
              </w:rPr>
            </w:pPr>
            <w:r>
              <w:rPr>
                <w:rFonts w:hint="eastAsia" w:ascii="仿宋" w:hAnsi="仿宋" w:eastAsia="仿宋"/>
                <w:sz w:val="24"/>
              </w:rPr>
              <w:t>第一包</w:t>
            </w:r>
          </w:p>
        </w:tc>
        <w:tc>
          <w:tcPr>
            <w:tcW w:w="657" w:type="dxa"/>
            <w:vAlign w:val="center"/>
          </w:tcPr>
          <w:p>
            <w:pPr>
              <w:spacing w:line="0" w:lineRule="atLeast"/>
              <w:jc w:val="center"/>
              <w:rPr>
                <w:rFonts w:ascii="仿宋" w:hAnsi="仿宋" w:eastAsia="仿宋"/>
                <w:sz w:val="24"/>
              </w:rPr>
            </w:pPr>
            <w:r>
              <w:rPr>
                <w:rFonts w:hint="eastAsia" w:ascii="仿宋" w:hAnsi="仿宋" w:eastAsia="仿宋"/>
                <w:sz w:val="24"/>
              </w:rPr>
              <w:t>1</w:t>
            </w:r>
          </w:p>
        </w:tc>
        <w:tc>
          <w:tcPr>
            <w:tcW w:w="2576" w:type="dxa"/>
            <w:vAlign w:val="center"/>
          </w:tcPr>
          <w:p>
            <w:pPr>
              <w:spacing w:line="0" w:lineRule="atLeast"/>
              <w:jc w:val="center"/>
              <w:rPr>
                <w:rFonts w:ascii="仿宋" w:hAnsi="仿宋" w:eastAsia="仿宋"/>
                <w:sz w:val="24"/>
              </w:rPr>
            </w:pPr>
            <w:r>
              <w:rPr>
                <w:rFonts w:hint="eastAsia" w:ascii="仿宋" w:hAnsi="仿宋" w:eastAsia="仿宋"/>
                <w:sz w:val="24"/>
                <w:highlight w:val="none"/>
              </w:rPr>
              <w:t>自动</w:t>
            </w:r>
            <w:r>
              <w:rPr>
                <w:rFonts w:hint="eastAsia" w:ascii="仿宋" w:hAnsi="仿宋" w:eastAsia="仿宋"/>
                <w:sz w:val="24"/>
                <w:highlight w:val="none"/>
                <w:lang w:val="en-US" w:eastAsia="zh-CN"/>
              </w:rPr>
              <w:t>顶空</w:t>
            </w:r>
            <w:r>
              <w:rPr>
                <w:rFonts w:hint="eastAsia" w:ascii="仿宋" w:hAnsi="仿宋" w:eastAsia="仿宋"/>
                <w:sz w:val="24"/>
                <w:highlight w:val="none"/>
              </w:rPr>
              <w:t>进样器</w:t>
            </w:r>
          </w:p>
        </w:tc>
        <w:tc>
          <w:tcPr>
            <w:tcW w:w="886" w:type="dxa"/>
            <w:vAlign w:val="center"/>
          </w:tcPr>
          <w:p>
            <w:pPr>
              <w:spacing w:line="0" w:lineRule="atLeast"/>
              <w:jc w:val="center"/>
              <w:rPr>
                <w:rFonts w:ascii="仿宋" w:hAnsi="仿宋" w:eastAsia="仿宋"/>
                <w:sz w:val="24"/>
              </w:rPr>
            </w:pPr>
            <w:r>
              <w:rPr>
                <w:rFonts w:hint="eastAsia" w:ascii="仿宋" w:hAnsi="仿宋" w:eastAsia="仿宋"/>
                <w:sz w:val="24"/>
              </w:rPr>
              <w:t>1</w:t>
            </w:r>
          </w:p>
        </w:tc>
        <w:tc>
          <w:tcPr>
            <w:tcW w:w="698" w:type="dxa"/>
            <w:vAlign w:val="center"/>
          </w:tcPr>
          <w:p>
            <w:pPr>
              <w:spacing w:line="0" w:lineRule="atLeast"/>
              <w:jc w:val="center"/>
              <w:rPr>
                <w:rFonts w:ascii="仿宋" w:hAnsi="仿宋" w:eastAsia="仿宋"/>
                <w:sz w:val="24"/>
              </w:rPr>
            </w:pPr>
            <w:r>
              <w:rPr>
                <w:rFonts w:hint="eastAsia" w:ascii="仿宋" w:hAnsi="仿宋" w:eastAsia="仿宋"/>
                <w:sz w:val="24"/>
              </w:rPr>
              <w:t>个</w:t>
            </w:r>
          </w:p>
        </w:tc>
        <w:tc>
          <w:tcPr>
            <w:tcW w:w="2120" w:type="dxa"/>
            <w:vAlign w:val="center"/>
          </w:tcPr>
          <w:p>
            <w:pPr>
              <w:spacing w:line="0" w:lineRule="atLeast"/>
              <w:jc w:val="center"/>
              <w:rPr>
                <w:rFonts w:ascii="仿宋" w:hAnsi="仿宋" w:eastAsia="仿宋"/>
                <w:sz w:val="24"/>
              </w:rPr>
            </w:pPr>
            <w:r>
              <w:rPr>
                <w:rFonts w:ascii="仿宋" w:hAnsi="仿宋" w:eastAsia="仿宋"/>
                <w:sz w:val="24"/>
              </w:rPr>
              <w:t>三氯甲烷、四氯化碳等</w:t>
            </w:r>
          </w:p>
        </w:tc>
        <w:tc>
          <w:tcPr>
            <w:tcW w:w="1871" w:type="dxa"/>
            <w:vAlign w:val="center"/>
          </w:tcPr>
          <w:p>
            <w:pPr>
              <w:spacing w:line="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62" w:type="dxa"/>
            <w:vMerge w:val="continue"/>
            <w:vAlign w:val="center"/>
          </w:tcPr>
          <w:p>
            <w:pPr>
              <w:spacing w:line="0" w:lineRule="atLeast"/>
              <w:jc w:val="center"/>
              <w:rPr>
                <w:rFonts w:ascii="仿宋" w:hAnsi="仿宋" w:eastAsia="仿宋"/>
                <w:sz w:val="24"/>
              </w:rPr>
            </w:pPr>
          </w:p>
        </w:tc>
        <w:tc>
          <w:tcPr>
            <w:tcW w:w="657" w:type="dxa"/>
            <w:shd w:val="clear" w:color="auto" w:fill="FFFFFF" w:themeFill="background1"/>
            <w:vAlign w:val="center"/>
          </w:tcPr>
          <w:p>
            <w:pPr>
              <w:spacing w:line="0" w:lineRule="atLeast"/>
              <w:jc w:val="center"/>
              <w:rPr>
                <w:rFonts w:ascii="仿宋" w:hAnsi="仿宋" w:eastAsia="仿宋"/>
                <w:sz w:val="24"/>
              </w:rPr>
            </w:pPr>
            <w:r>
              <w:rPr>
                <w:rFonts w:hint="eastAsia" w:ascii="仿宋" w:hAnsi="仿宋" w:eastAsia="仿宋"/>
                <w:sz w:val="24"/>
              </w:rPr>
              <w:t>2</w:t>
            </w:r>
          </w:p>
        </w:tc>
        <w:tc>
          <w:tcPr>
            <w:tcW w:w="2576" w:type="dxa"/>
            <w:shd w:val="clear" w:color="auto" w:fill="FFFFFF" w:themeFill="background1"/>
            <w:vAlign w:val="center"/>
          </w:tcPr>
          <w:p>
            <w:pPr>
              <w:spacing w:line="0" w:lineRule="atLeast"/>
              <w:jc w:val="center"/>
              <w:rPr>
                <w:rFonts w:hint="default" w:ascii="仿宋" w:hAnsi="仿宋" w:eastAsia="仿宋"/>
                <w:sz w:val="24"/>
                <w:lang w:val="en-US" w:eastAsia="zh-CN"/>
              </w:rPr>
            </w:pPr>
            <w:r>
              <w:rPr>
                <w:rFonts w:hint="eastAsia" w:ascii="仿宋" w:hAnsi="仿宋" w:eastAsia="仿宋"/>
                <w:sz w:val="24"/>
                <w:lang w:eastAsia="zh-CN"/>
              </w:rPr>
              <w:t>单道移液器（</w:t>
            </w:r>
            <w:r>
              <w:rPr>
                <w:rFonts w:hint="eastAsia" w:ascii="仿宋" w:hAnsi="仿宋" w:eastAsia="仿宋"/>
                <w:sz w:val="24"/>
                <w:lang w:val="en-US" w:eastAsia="zh-CN"/>
              </w:rPr>
              <w:t>微生物实验用）</w:t>
            </w:r>
          </w:p>
        </w:tc>
        <w:tc>
          <w:tcPr>
            <w:tcW w:w="886" w:type="dxa"/>
            <w:shd w:val="clear" w:color="auto" w:fill="FFFFFF" w:themeFill="background1"/>
            <w:vAlign w:val="center"/>
          </w:tcPr>
          <w:p>
            <w:pPr>
              <w:spacing w:line="0" w:lineRule="atLeast"/>
              <w:jc w:val="center"/>
              <w:rPr>
                <w:rFonts w:ascii="仿宋" w:hAnsi="仿宋" w:eastAsia="仿宋"/>
                <w:sz w:val="24"/>
              </w:rPr>
            </w:pPr>
            <w:r>
              <w:rPr>
                <w:rFonts w:hint="eastAsia" w:ascii="仿宋" w:hAnsi="仿宋" w:eastAsia="仿宋"/>
                <w:sz w:val="24"/>
              </w:rPr>
              <w:t>10</w:t>
            </w:r>
          </w:p>
        </w:tc>
        <w:tc>
          <w:tcPr>
            <w:tcW w:w="698" w:type="dxa"/>
            <w:shd w:val="clear" w:color="auto" w:fill="FFFFFF" w:themeFill="background1"/>
            <w:vAlign w:val="center"/>
          </w:tcPr>
          <w:p>
            <w:pPr>
              <w:spacing w:line="0" w:lineRule="atLeast"/>
              <w:jc w:val="center"/>
              <w:rPr>
                <w:rFonts w:ascii="仿宋" w:hAnsi="仿宋" w:eastAsia="仿宋"/>
                <w:sz w:val="24"/>
              </w:rPr>
            </w:pPr>
            <w:r>
              <w:rPr>
                <w:rFonts w:hint="eastAsia" w:ascii="仿宋" w:hAnsi="仿宋" w:eastAsia="仿宋"/>
                <w:sz w:val="24"/>
              </w:rPr>
              <w:t>支</w:t>
            </w:r>
          </w:p>
        </w:tc>
        <w:tc>
          <w:tcPr>
            <w:tcW w:w="2120" w:type="dxa"/>
            <w:shd w:val="clear" w:color="auto" w:fill="FFFFFF" w:themeFill="background1"/>
            <w:vAlign w:val="center"/>
          </w:tcPr>
          <w:p>
            <w:pPr>
              <w:spacing w:line="0" w:lineRule="atLeast"/>
              <w:jc w:val="center"/>
              <w:rPr>
                <w:rFonts w:ascii="仿宋" w:hAnsi="仿宋" w:eastAsia="仿宋"/>
                <w:sz w:val="24"/>
              </w:rPr>
            </w:pPr>
            <w:r>
              <w:rPr>
                <w:rFonts w:hint="eastAsia" w:ascii="仿宋" w:hAnsi="仿宋" w:eastAsia="仿宋"/>
                <w:sz w:val="24"/>
              </w:rPr>
              <w:t>微生物分离鉴定</w:t>
            </w:r>
          </w:p>
        </w:tc>
        <w:tc>
          <w:tcPr>
            <w:tcW w:w="1871"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1</w:t>
            </w:r>
            <w:r>
              <w:rPr>
                <w:rFonts w:hint="eastAsia" w:ascii="宋体" w:hAnsi="宋体" w:eastAsia="宋体" w:cs="宋体"/>
                <w:sz w:val="21"/>
                <w:szCs w:val="21"/>
                <w:lang w:val="en-US" w:eastAsia="zh-CN"/>
              </w:rPr>
              <w:t>-10ul  2支</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10-100ul  4支</w:t>
            </w:r>
          </w:p>
          <w:p>
            <w:pPr>
              <w:spacing w:line="0" w:lineRule="atLeast"/>
              <w:jc w:val="both"/>
              <w:rPr>
                <w:rFonts w:hint="eastAsia" w:ascii="仿宋" w:hAnsi="仿宋" w:eastAsia="仿宋"/>
                <w:sz w:val="24"/>
              </w:rPr>
            </w:pPr>
            <w:r>
              <w:rPr>
                <w:rFonts w:hint="eastAsia" w:ascii="宋体" w:hAnsi="宋体" w:eastAsia="宋体" w:cs="宋体"/>
                <w:sz w:val="21"/>
                <w:szCs w:val="21"/>
                <w:lang w:val="en-US" w:eastAsia="zh-CN"/>
              </w:rPr>
              <w:t>100-1000ul 4支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62" w:type="dxa"/>
            <w:vMerge w:val="continue"/>
            <w:vAlign w:val="center"/>
          </w:tcPr>
          <w:p>
            <w:pPr>
              <w:spacing w:line="0" w:lineRule="atLeast"/>
              <w:jc w:val="center"/>
              <w:rPr>
                <w:rFonts w:ascii="仿宋" w:hAnsi="仿宋" w:eastAsia="仿宋"/>
                <w:sz w:val="24"/>
              </w:rPr>
            </w:pPr>
          </w:p>
        </w:tc>
        <w:tc>
          <w:tcPr>
            <w:tcW w:w="657" w:type="dxa"/>
            <w:shd w:val="clear" w:color="auto" w:fill="FFFFFF" w:themeFill="background1"/>
            <w:vAlign w:val="center"/>
          </w:tcPr>
          <w:p>
            <w:pPr>
              <w:spacing w:line="0" w:lineRule="atLeast"/>
              <w:jc w:val="center"/>
              <w:rPr>
                <w:rFonts w:ascii="仿宋" w:hAnsi="仿宋" w:eastAsia="仿宋"/>
                <w:sz w:val="24"/>
              </w:rPr>
            </w:pPr>
            <w:r>
              <w:rPr>
                <w:rFonts w:hint="eastAsia" w:ascii="仿宋" w:hAnsi="仿宋" w:eastAsia="仿宋"/>
                <w:sz w:val="24"/>
              </w:rPr>
              <w:t>3</w:t>
            </w:r>
          </w:p>
        </w:tc>
        <w:tc>
          <w:tcPr>
            <w:tcW w:w="2576" w:type="dxa"/>
            <w:shd w:val="clear" w:color="auto" w:fill="FFFFFF" w:themeFill="background1"/>
            <w:vAlign w:val="center"/>
          </w:tcPr>
          <w:p>
            <w:pPr>
              <w:spacing w:line="0" w:lineRule="atLeast"/>
              <w:jc w:val="center"/>
              <w:rPr>
                <w:rFonts w:ascii="仿宋" w:hAnsi="仿宋" w:eastAsia="仿宋"/>
                <w:sz w:val="24"/>
              </w:rPr>
            </w:pPr>
            <w:r>
              <w:rPr>
                <w:rFonts w:hint="eastAsia" w:ascii="仿宋" w:hAnsi="仿宋" w:eastAsia="仿宋"/>
                <w:sz w:val="24"/>
                <w:highlight w:val="none"/>
              </w:rPr>
              <w:t>多道移液器（8通量）</w:t>
            </w:r>
          </w:p>
        </w:tc>
        <w:tc>
          <w:tcPr>
            <w:tcW w:w="886" w:type="dxa"/>
            <w:shd w:val="clear" w:color="auto" w:fill="FFFFFF" w:themeFill="background1"/>
            <w:vAlign w:val="center"/>
          </w:tcPr>
          <w:p>
            <w:pPr>
              <w:spacing w:line="0" w:lineRule="atLeast"/>
              <w:jc w:val="center"/>
              <w:rPr>
                <w:rFonts w:ascii="仿宋" w:hAnsi="仿宋" w:eastAsia="仿宋"/>
                <w:sz w:val="24"/>
              </w:rPr>
            </w:pPr>
            <w:r>
              <w:rPr>
                <w:rFonts w:hint="eastAsia" w:ascii="仿宋" w:hAnsi="仿宋" w:eastAsia="仿宋"/>
                <w:sz w:val="24"/>
              </w:rPr>
              <w:t>2</w:t>
            </w:r>
          </w:p>
        </w:tc>
        <w:tc>
          <w:tcPr>
            <w:tcW w:w="698" w:type="dxa"/>
            <w:shd w:val="clear" w:color="auto" w:fill="FFFFFF" w:themeFill="background1"/>
            <w:vAlign w:val="center"/>
          </w:tcPr>
          <w:p>
            <w:pPr>
              <w:spacing w:line="0" w:lineRule="atLeast"/>
              <w:jc w:val="center"/>
              <w:rPr>
                <w:rFonts w:hint="eastAsia" w:ascii="仿宋" w:hAnsi="仿宋" w:eastAsia="仿宋"/>
                <w:sz w:val="24"/>
                <w:lang w:eastAsia="zh-CN"/>
              </w:rPr>
            </w:pPr>
            <w:r>
              <w:rPr>
                <w:rFonts w:hint="eastAsia" w:ascii="仿宋" w:hAnsi="仿宋" w:eastAsia="仿宋"/>
                <w:sz w:val="24"/>
                <w:lang w:val="en-US" w:eastAsia="zh-CN"/>
              </w:rPr>
              <w:t>支</w:t>
            </w:r>
          </w:p>
        </w:tc>
        <w:tc>
          <w:tcPr>
            <w:tcW w:w="2120" w:type="dxa"/>
            <w:shd w:val="clear" w:color="auto" w:fill="FFFFFF" w:themeFill="background1"/>
            <w:vAlign w:val="center"/>
          </w:tcPr>
          <w:p>
            <w:pPr>
              <w:spacing w:line="0" w:lineRule="atLeast"/>
              <w:jc w:val="center"/>
              <w:rPr>
                <w:rFonts w:ascii="仿宋" w:hAnsi="仿宋" w:eastAsia="仿宋"/>
                <w:sz w:val="24"/>
              </w:rPr>
            </w:pPr>
            <w:r>
              <w:rPr>
                <w:rFonts w:hint="eastAsia" w:ascii="仿宋" w:hAnsi="仿宋" w:eastAsia="仿宋"/>
                <w:sz w:val="24"/>
              </w:rPr>
              <w:t>微生物分离鉴定</w:t>
            </w:r>
          </w:p>
        </w:tc>
        <w:tc>
          <w:tcPr>
            <w:tcW w:w="1871" w:type="dxa"/>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240" w:lineRule="auto"/>
              <w:ind w:left="420" w:leftChars="0" w:hanging="420" w:hangingChars="200"/>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1</w:t>
            </w:r>
            <w:r>
              <w:rPr>
                <w:rFonts w:hint="eastAsia" w:ascii="宋体" w:hAnsi="宋体" w:eastAsia="宋体" w:cs="宋体"/>
                <w:sz w:val="21"/>
                <w:szCs w:val="21"/>
                <w:lang w:val="en-US" w:eastAsia="zh-CN"/>
              </w:rPr>
              <w:t xml:space="preserve">-10ul  1支 </w:t>
            </w:r>
          </w:p>
          <w:p>
            <w:pPr>
              <w:spacing w:line="0" w:lineRule="atLeast"/>
              <w:jc w:val="both"/>
              <w:rPr>
                <w:rFonts w:hint="eastAsia" w:ascii="仿宋" w:hAnsi="仿宋" w:eastAsia="仿宋"/>
                <w:sz w:val="24"/>
              </w:rPr>
            </w:pPr>
            <w:r>
              <w:rPr>
                <w:rFonts w:hint="eastAsia" w:ascii="宋体" w:hAnsi="宋体" w:eastAsia="宋体" w:cs="宋体"/>
                <w:sz w:val="21"/>
                <w:szCs w:val="21"/>
                <w:lang w:val="en-US" w:eastAsia="zh-CN"/>
              </w:rPr>
              <w:t>10-100ul  1支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62" w:type="dxa"/>
            <w:vMerge w:val="continue"/>
            <w:vAlign w:val="center"/>
          </w:tcPr>
          <w:p>
            <w:pPr>
              <w:spacing w:line="0" w:lineRule="atLeast"/>
              <w:jc w:val="center"/>
              <w:rPr>
                <w:rFonts w:ascii="仿宋" w:hAnsi="仿宋" w:eastAsia="仿宋"/>
                <w:sz w:val="24"/>
              </w:rPr>
            </w:pPr>
          </w:p>
        </w:tc>
        <w:tc>
          <w:tcPr>
            <w:tcW w:w="657" w:type="dxa"/>
            <w:vAlign w:val="center"/>
          </w:tcPr>
          <w:p>
            <w:pPr>
              <w:spacing w:line="0" w:lineRule="atLeast"/>
              <w:jc w:val="center"/>
              <w:rPr>
                <w:rFonts w:ascii="仿宋" w:hAnsi="仿宋" w:eastAsia="仿宋"/>
                <w:sz w:val="24"/>
              </w:rPr>
            </w:pPr>
            <w:r>
              <w:rPr>
                <w:rFonts w:hint="eastAsia" w:ascii="仿宋" w:hAnsi="仿宋" w:eastAsia="仿宋"/>
                <w:sz w:val="24"/>
              </w:rPr>
              <w:t>4</w:t>
            </w:r>
          </w:p>
        </w:tc>
        <w:tc>
          <w:tcPr>
            <w:tcW w:w="2576" w:type="dxa"/>
            <w:vAlign w:val="center"/>
          </w:tcPr>
          <w:p>
            <w:pPr>
              <w:spacing w:line="0" w:lineRule="atLeast"/>
              <w:jc w:val="center"/>
              <w:rPr>
                <w:rFonts w:hint="eastAsia" w:ascii="仿宋" w:hAnsi="仿宋" w:eastAsia="仿宋"/>
                <w:color w:val="C0504D" w:themeColor="accent2"/>
                <w:sz w:val="24"/>
                <w:lang w:val="en-US" w:eastAsia="zh-CN"/>
                <w14:textFill>
                  <w14:solidFill>
                    <w14:schemeClr w14:val="accent2"/>
                  </w14:solidFill>
                </w14:textFill>
              </w:rPr>
            </w:pPr>
            <w:r>
              <w:rPr>
                <w:rFonts w:hint="eastAsia" w:ascii="仿宋" w:hAnsi="仿宋" w:eastAsia="仿宋"/>
                <w:color w:val="C0504D" w:themeColor="accent2"/>
                <w:sz w:val="24"/>
                <w:highlight w:val="none"/>
                <w:lang w:val="en-US" w:eastAsia="zh-CN"/>
                <w14:textFill>
                  <w14:solidFill>
                    <w14:schemeClr w14:val="accent2"/>
                  </w14:solidFill>
                </w14:textFill>
              </w:rPr>
              <w:t>*</w:t>
            </w:r>
            <w:r>
              <w:rPr>
                <w:rFonts w:hint="eastAsia" w:ascii="仿宋" w:hAnsi="仿宋" w:eastAsia="仿宋"/>
                <w:color w:val="C0504D" w:themeColor="accent2"/>
                <w:sz w:val="24"/>
                <w:highlight w:val="none"/>
                <w14:textFill>
                  <w14:solidFill>
                    <w14:schemeClr w14:val="accent2"/>
                  </w14:solidFill>
                </w14:textFill>
              </w:rPr>
              <w:t>气相色谱-质谱联用仪</w:t>
            </w:r>
          </w:p>
        </w:tc>
        <w:tc>
          <w:tcPr>
            <w:tcW w:w="886" w:type="dxa"/>
            <w:vAlign w:val="center"/>
          </w:tcPr>
          <w:p>
            <w:pPr>
              <w:spacing w:line="0" w:lineRule="atLeast"/>
              <w:jc w:val="center"/>
              <w:rPr>
                <w:rFonts w:ascii="仿宋" w:hAnsi="仿宋" w:eastAsia="仿宋"/>
                <w:color w:val="auto"/>
                <w:sz w:val="24"/>
              </w:rPr>
            </w:pPr>
            <w:r>
              <w:rPr>
                <w:rFonts w:hint="eastAsia" w:ascii="仿宋" w:hAnsi="仿宋" w:eastAsia="仿宋"/>
                <w:color w:val="auto"/>
                <w:sz w:val="24"/>
              </w:rPr>
              <w:t>1</w:t>
            </w:r>
          </w:p>
        </w:tc>
        <w:tc>
          <w:tcPr>
            <w:tcW w:w="698" w:type="dxa"/>
            <w:vAlign w:val="center"/>
          </w:tcPr>
          <w:p>
            <w:pPr>
              <w:spacing w:line="0" w:lineRule="atLeast"/>
              <w:jc w:val="center"/>
              <w:rPr>
                <w:color w:val="auto"/>
                <w:sz w:val="24"/>
              </w:rPr>
            </w:pPr>
            <w:r>
              <w:rPr>
                <w:rFonts w:hint="eastAsia" w:ascii="仿宋" w:hAnsi="仿宋" w:eastAsia="仿宋"/>
                <w:color w:val="auto"/>
                <w:sz w:val="24"/>
              </w:rPr>
              <w:t>台</w:t>
            </w:r>
          </w:p>
        </w:tc>
        <w:tc>
          <w:tcPr>
            <w:tcW w:w="2120" w:type="dxa"/>
            <w:vAlign w:val="center"/>
          </w:tcPr>
          <w:p>
            <w:pPr>
              <w:spacing w:line="0" w:lineRule="atLeast"/>
              <w:jc w:val="center"/>
              <w:rPr>
                <w:rFonts w:ascii="仿宋" w:hAnsi="仿宋" w:eastAsia="仿宋"/>
                <w:color w:val="auto"/>
                <w:sz w:val="24"/>
              </w:rPr>
            </w:pPr>
            <w:r>
              <w:rPr>
                <w:rFonts w:hint="eastAsia" w:ascii="仿宋" w:hAnsi="仿宋" w:eastAsia="仿宋"/>
                <w:color w:val="auto"/>
                <w:sz w:val="24"/>
              </w:rPr>
              <w:t>水质全分析60项</w:t>
            </w:r>
            <w:r>
              <w:rPr>
                <w:rFonts w:ascii="仿宋" w:hAnsi="仿宋" w:eastAsia="仿宋"/>
                <w:color w:val="auto"/>
                <w:sz w:val="24"/>
              </w:rPr>
              <w:t>等</w:t>
            </w:r>
          </w:p>
        </w:tc>
        <w:tc>
          <w:tcPr>
            <w:tcW w:w="1871" w:type="dxa"/>
            <w:vAlign w:val="center"/>
          </w:tcPr>
          <w:p>
            <w:pPr>
              <w:spacing w:line="0" w:lineRule="atLeast"/>
              <w:jc w:val="center"/>
              <w:rPr>
                <w:rFonts w:hint="eastAsia"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62" w:type="dxa"/>
            <w:vMerge w:val="continue"/>
            <w:vAlign w:val="center"/>
          </w:tcPr>
          <w:p>
            <w:pPr>
              <w:spacing w:line="0" w:lineRule="atLeast"/>
              <w:jc w:val="center"/>
              <w:rPr>
                <w:rFonts w:ascii="仿宋" w:hAnsi="仿宋" w:eastAsia="仿宋"/>
                <w:sz w:val="24"/>
              </w:rPr>
            </w:pPr>
          </w:p>
        </w:tc>
        <w:tc>
          <w:tcPr>
            <w:tcW w:w="657" w:type="dxa"/>
            <w:vAlign w:val="center"/>
          </w:tcPr>
          <w:p>
            <w:pPr>
              <w:spacing w:line="0" w:lineRule="atLeast"/>
              <w:jc w:val="center"/>
              <w:rPr>
                <w:rFonts w:ascii="仿宋" w:hAnsi="仿宋" w:eastAsia="仿宋"/>
                <w:sz w:val="24"/>
              </w:rPr>
            </w:pPr>
            <w:r>
              <w:rPr>
                <w:rFonts w:hint="eastAsia" w:ascii="仿宋" w:hAnsi="仿宋" w:eastAsia="仿宋"/>
                <w:sz w:val="24"/>
              </w:rPr>
              <w:t>5</w:t>
            </w:r>
          </w:p>
        </w:tc>
        <w:tc>
          <w:tcPr>
            <w:tcW w:w="2576" w:type="dxa"/>
            <w:vAlign w:val="center"/>
          </w:tcPr>
          <w:p>
            <w:pPr>
              <w:spacing w:line="0" w:lineRule="atLeast"/>
              <w:jc w:val="center"/>
              <w:rPr>
                <w:rFonts w:ascii="仿宋" w:hAnsi="仿宋" w:eastAsia="仿宋"/>
                <w:sz w:val="24"/>
              </w:rPr>
            </w:pPr>
            <w:r>
              <w:rPr>
                <w:rFonts w:hint="eastAsia" w:ascii="仿宋" w:hAnsi="仿宋" w:eastAsia="仿宋"/>
                <w:sz w:val="24"/>
              </w:rPr>
              <w:t>原子荧光分光光度计</w:t>
            </w:r>
          </w:p>
        </w:tc>
        <w:tc>
          <w:tcPr>
            <w:tcW w:w="886" w:type="dxa"/>
            <w:vAlign w:val="center"/>
          </w:tcPr>
          <w:p>
            <w:pPr>
              <w:spacing w:line="0" w:lineRule="atLeast"/>
              <w:jc w:val="center"/>
              <w:rPr>
                <w:rFonts w:ascii="仿宋" w:hAnsi="仿宋" w:eastAsia="仿宋"/>
                <w:color w:val="auto"/>
                <w:sz w:val="24"/>
              </w:rPr>
            </w:pPr>
            <w:r>
              <w:rPr>
                <w:rFonts w:hint="eastAsia" w:ascii="仿宋" w:hAnsi="仿宋" w:eastAsia="仿宋"/>
                <w:color w:val="auto"/>
                <w:sz w:val="24"/>
              </w:rPr>
              <w:t>1</w:t>
            </w:r>
          </w:p>
        </w:tc>
        <w:tc>
          <w:tcPr>
            <w:tcW w:w="698" w:type="dxa"/>
            <w:vAlign w:val="center"/>
          </w:tcPr>
          <w:p>
            <w:pPr>
              <w:spacing w:line="0" w:lineRule="atLeast"/>
              <w:jc w:val="center"/>
              <w:rPr>
                <w:rFonts w:ascii="仿宋" w:hAnsi="仿宋" w:eastAsia="仿宋"/>
                <w:color w:val="auto"/>
                <w:sz w:val="24"/>
              </w:rPr>
            </w:pPr>
            <w:r>
              <w:rPr>
                <w:rFonts w:hint="eastAsia" w:ascii="仿宋" w:hAnsi="仿宋" w:eastAsia="仿宋"/>
                <w:color w:val="auto"/>
                <w:sz w:val="24"/>
              </w:rPr>
              <w:t>台</w:t>
            </w:r>
          </w:p>
        </w:tc>
        <w:tc>
          <w:tcPr>
            <w:tcW w:w="2120" w:type="dxa"/>
            <w:vAlign w:val="center"/>
          </w:tcPr>
          <w:p>
            <w:pPr>
              <w:spacing w:line="0" w:lineRule="atLeast"/>
              <w:jc w:val="center"/>
              <w:rPr>
                <w:rFonts w:ascii="仿宋" w:hAnsi="仿宋" w:eastAsia="仿宋"/>
                <w:color w:val="auto"/>
                <w:sz w:val="24"/>
              </w:rPr>
            </w:pPr>
            <w:r>
              <w:rPr>
                <w:rFonts w:ascii="仿宋" w:hAnsi="仿宋" w:eastAsia="仿宋"/>
                <w:color w:val="auto"/>
                <w:sz w:val="24"/>
              </w:rPr>
              <w:t>As、Hg、Ge、Pb等</w:t>
            </w:r>
          </w:p>
        </w:tc>
        <w:tc>
          <w:tcPr>
            <w:tcW w:w="1871" w:type="dxa"/>
            <w:vAlign w:val="center"/>
          </w:tcPr>
          <w:p>
            <w:pPr>
              <w:spacing w:line="0" w:lineRule="atLeast"/>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62" w:type="dxa"/>
            <w:vMerge w:val="continue"/>
            <w:vAlign w:val="center"/>
          </w:tcPr>
          <w:p>
            <w:pPr>
              <w:spacing w:line="0" w:lineRule="atLeast"/>
              <w:jc w:val="center"/>
              <w:rPr>
                <w:rFonts w:ascii="仿宋" w:hAnsi="仿宋" w:eastAsia="仿宋"/>
                <w:sz w:val="24"/>
              </w:rPr>
            </w:pPr>
          </w:p>
        </w:tc>
        <w:tc>
          <w:tcPr>
            <w:tcW w:w="657" w:type="dxa"/>
            <w:vAlign w:val="center"/>
          </w:tcPr>
          <w:p>
            <w:pPr>
              <w:spacing w:line="0" w:lineRule="atLeast"/>
              <w:jc w:val="center"/>
              <w:rPr>
                <w:rFonts w:ascii="仿宋" w:hAnsi="仿宋" w:eastAsia="仿宋"/>
                <w:sz w:val="24"/>
              </w:rPr>
            </w:pPr>
            <w:r>
              <w:rPr>
                <w:rFonts w:hint="eastAsia" w:ascii="仿宋" w:hAnsi="仿宋" w:eastAsia="仿宋"/>
                <w:sz w:val="24"/>
              </w:rPr>
              <w:t>6</w:t>
            </w:r>
          </w:p>
        </w:tc>
        <w:tc>
          <w:tcPr>
            <w:tcW w:w="2576" w:type="dxa"/>
            <w:vAlign w:val="center"/>
          </w:tcPr>
          <w:p>
            <w:pPr>
              <w:spacing w:line="0" w:lineRule="atLeast"/>
              <w:jc w:val="center"/>
              <w:rPr>
                <w:rFonts w:ascii="仿宋" w:hAnsi="仿宋" w:eastAsia="仿宋"/>
                <w:sz w:val="24"/>
              </w:rPr>
            </w:pPr>
            <w:r>
              <w:rPr>
                <w:rFonts w:hint="eastAsia" w:ascii="仿宋" w:hAnsi="仿宋" w:eastAsia="仿宋"/>
                <w:sz w:val="24"/>
                <w:highlight w:val="none"/>
              </w:rPr>
              <w:t>余氯测定仪（便携式）</w:t>
            </w:r>
          </w:p>
        </w:tc>
        <w:tc>
          <w:tcPr>
            <w:tcW w:w="886" w:type="dxa"/>
            <w:vAlign w:val="center"/>
          </w:tcPr>
          <w:p>
            <w:pPr>
              <w:spacing w:line="0" w:lineRule="atLeast"/>
              <w:jc w:val="center"/>
              <w:rPr>
                <w:rFonts w:ascii="仿宋" w:hAnsi="仿宋" w:eastAsia="仿宋"/>
                <w:color w:val="auto"/>
                <w:sz w:val="24"/>
              </w:rPr>
            </w:pPr>
            <w:r>
              <w:rPr>
                <w:rFonts w:hint="eastAsia" w:ascii="仿宋" w:hAnsi="仿宋" w:eastAsia="仿宋"/>
                <w:color w:val="auto"/>
                <w:sz w:val="24"/>
              </w:rPr>
              <w:t>1</w:t>
            </w:r>
          </w:p>
        </w:tc>
        <w:tc>
          <w:tcPr>
            <w:tcW w:w="698" w:type="dxa"/>
            <w:vAlign w:val="center"/>
          </w:tcPr>
          <w:p>
            <w:pPr>
              <w:spacing w:line="0" w:lineRule="atLeast"/>
              <w:jc w:val="center"/>
              <w:rPr>
                <w:color w:val="auto"/>
                <w:sz w:val="24"/>
              </w:rPr>
            </w:pPr>
            <w:r>
              <w:rPr>
                <w:rFonts w:hint="eastAsia" w:ascii="仿宋" w:hAnsi="仿宋" w:eastAsia="仿宋"/>
                <w:color w:val="auto"/>
                <w:sz w:val="24"/>
              </w:rPr>
              <w:t>台</w:t>
            </w:r>
          </w:p>
        </w:tc>
        <w:tc>
          <w:tcPr>
            <w:tcW w:w="2120" w:type="dxa"/>
            <w:vAlign w:val="center"/>
          </w:tcPr>
          <w:p>
            <w:pPr>
              <w:spacing w:line="0" w:lineRule="atLeast"/>
              <w:jc w:val="center"/>
              <w:rPr>
                <w:rFonts w:ascii="仿宋" w:hAnsi="仿宋" w:eastAsia="仿宋"/>
                <w:color w:val="auto"/>
                <w:sz w:val="24"/>
              </w:rPr>
            </w:pPr>
            <w:r>
              <w:rPr>
                <w:rFonts w:hint="eastAsia" w:ascii="仿宋" w:hAnsi="仿宋" w:eastAsia="仿宋"/>
                <w:color w:val="auto"/>
                <w:sz w:val="24"/>
              </w:rPr>
              <w:t>水中余氯测定</w:t>
            </w:r>
          </w:p>
        </w:tc>
        <w:tc>
          <w:tcPr>
            <w:tcW w:w="1871" w:type="dxa"/>
            <w:vAlign w:val="center"/>
          </w:tcPr>
          <w:p>
            <w:pPr>
              <w:spacing w:line="0" w:lineRule="atLeast"/>
              <w:jc w:val="center"/>
              <w:rPr>
                <w:rFonts w:hint="eastAsia"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62" w:type="dxa"/>
            <w:vMerge w:val="continue"/>
            <w:vAlign w:val="center"/>
          </w:tcPr>
          <w:p>
            <w:pPr>
              <w:spacing w:line="0" w:lineRule="atLeast"/>
              <w:jc w:val="center"/>
              <w:rPr>
                <w:rFonts w:ascii="仿宋" w:hAnsi="仿宋" w:eastAsia="仿宋"/>
                <w:sz w:val="24"/>
              </w:rPr>
            </w:pPr>
          </w:p>
        </w:tc>
        <w:tc>
          <w:tcPr>
            <w:tcW w:w="657" w:type="dxa"/>
            <w:vAlign w:val="center"/>
          </w:tcPr>
          <w:p>
            <w:pPr>
              <w:spacing w:line="0" w:lineRule="atLeast"/>
              <w:jc w:val="center"/>
              <w:rPr>
                <w:rFonts w:ascii="仿宋" w:hAnsi="仿宋" w:eastAsia="仿宋"/>
                <w:sz w:val="24"/>
              </w:rPr>
            </w:pPr>
            <w:r>
              <w:rPr>
                <w:rFonts w:hint="eastAsia" w:ascii="仿宋" w:hAnsi="仿宋" w:eastAsia="仿宋"/>
                <w:sz w:val="24"/>
              </w:rPr>
              <w:t>7</w:t>
            </w:r>
          </w:p>
        </w:tc>
        <w:tc>
          <w:tcPr>
            <w:tcW w:w="2576" w:type="dxa"/>
            <w:vAlign w:val="center"/>
          </w:tcPr>
          <w:p>
            <w:pPr>
              <w:spacing w:line="0" w:lineRule="atLeast"/>
              <w:jc w:val="center"/>
              <w:rPr>
                <w:rFonts w:ascii="仿宋" w:hAnsi="仿宋" w:eastAsia="仿宋"/>
                <w:sz w:val="24"/>
              </w:rPr>
            </w:pPr>
            <w:r>
              <w:rPr>
                <w:rFonts w:hint="eastAsia" w:ascii="仿宋" w:hAnsi="仿宋" w:eastAsia="仿宋"/>
                <w:sz w:val="24"/>
                <w:lang w:val="en-US" w:eastAsia="zh-CN"/>
              </w:rPr>
              <w:t>紫外可见</w:t>
            </w:r>
            <w:r>
              <w:rPr>
                <w:rFonts w:hint="eastAsia" w:ascii="仿宋" w:hAnsi="仿宋" w:eastAsia="仿宋"/>
                <w:sz w:val="24"/>
              </w:rPr>
              <w:t>分光光度计</w:t>
            </w:r>
          </w:p>
        </w:tc>
        <w:tc>
          <w:tcPr>
            <w:tcW w:w="886" w:type="dxa"/>
            <w:vAlign w:val="center"/>
          </w:tcPr>
          <w:p>
            <w:pPr>
              <w:spacing w:line="0" w:lineRule="atLeast"/>
              <w:jc w:val="center"/>
              <w:rPr>
                <w:rFonts w:ascii="仿宋" w:hAnsi="仿宋" w:eastAsia="仿宋"/>
                <w:color w:val="auto"/>
                <w:sz w:val="24"/>
              </w:rPr>
            </w:pPr>
            <w:r>
              <w:rPr>
                <w:rFonts w:hint="eastAsia" w:ascii="仿宋" w:hAnsi="仿宋" w:eastAsia="仿宋"/>
                <w:color w:val="auto"/>
                <w:sz w:val="24"/>
              </w:rPr>
              <w:t>1</w:t>
            </w:r>
          </w:p>
        </w:tc>
        <w:tc>
          <w:tcPr>
            <w:tcW w:w="698" w:type="dxa"/>
            <w:vAlign w:val="center"/>
          </w:tcPr>
          <w:p>
            <w:pPr>
              <w:spacing w:line="0" w:lineRule="atLeast"/>
              <w:jc w:val="center"/>
              <w:rPr>
                <w:color w:val="auto"/>
                <w:sz w:val="24"/>
              </w:rPr>
            </w:pPr>
            <w:r>
              <w:rPr>
                <w:rFonts w:hint="eastAsia" w:ascii="仿宋" w:hAnsi="仿宋" w:eastAsia="仿宋"/>
                <w:color w:val="auto"/>
                <w:sz w:val="24"/>
              </w:rPr>
              <w:t>个</w:t>
            </w:r>
          </w:p>
        </w:tc>
        <w:tc>
          <w:tcPr>
            <w:tcW w:w="2120" w:type="dxa"/>
            <w:vAlign w:val="center"/>
          </w:tcPr>
          <w:p>
            <w:pPr>
              <w:spacing w:line="0" w:lineRule="atLeast"/>
              <w:jc w:val="center"/>
              <w:rPr>
                <w:rFonts w:ascii="仿宋" w:hAnsi="仿宋" w:eastAsia="仿宋"/>
                <w:color w:val="auto"/>
                <w:sz w:val="24"/>
              </w:rPr>
            </w:pPr>
            <w:r>
              <w:rPr>
                <w:rFonts w:hint="eastAsia" w:ascii="仿宋" w:hAnsi="仿宋" w:eastAsia="仿宋"/>
                <w:color w:val="auto"/>
                <w:sz w:val="24"/>
              </w:rPr>
              <w:t>尿碘、硫酸盐等</w:t>
            </w:r>
          </w:p>
        </w:tc>
        <w:tc>
          <w:tcPr>
            <w:tcW w:w="1871" w:type="dxa"/>
            <w:vAlign w:val="center"/>
          </w:tcPr>
          <w:p>
            <w:pPr>
              <w:spacing w:line="0" w:lineRule="atLeast"/>
              <w:jc w:val="center"/>
              <w:rPr>
                <w:rFonts w:hint="eastAsia"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62" w:type="dxa"/>
            <w:vMerge w:val="continue"/>
            <w:vAlign w:val="center"/>
          </w:tcPr>
          <w:p>
            <w:pPr>
              <w:spacing w:line="0" w:lineRule="atLeast"/>
              <w:jc w:val="center"/>
              <w:rPr>
                <w:rFonts w:ascii="仿宋" w:hAnsi="仿宋" w:eastAsia="仿宋"/>
                <w:sz w:val="24"/>
              </w:rPr>
            </w:pPr>
          </w:p>
        </w:tc>
        <w:tc>
          <w:tcPr>
            <w:tcW w:w="657" w:type="dxa"/>
            <w:vAlign w:val="center"/>
          </w:tcPr>
          <w:p>
            <w:pPr>
              <w:spacing w:line="0" w:lineRule="atLeast"/>
              <w:jc w:val="center"/>
              <w:rPr>
                <w:rFonts w:ascii="仿宋" w:hAnsi="仿宋" w:eastAsia="仿宋"/>
                <w:sz w:val="24"/>
              </w:rPr>
            </w:pPr>
            <w:r>
              <w:rPr>
                <w:rFonts w:hint="eastAsia" w:ascii="仿宋" w:hAnsi="仿宋" w:eastAsia="仿宋"/>
                <w:sz w:val="24"/>
              </w:rPr>
              <w:t>8</w:t>
            </w:r>
          </w:p>
        </w:tc>
        <w:tc>
          <w:tcPr>
            <w:tcW w:w="2576" w:type="dxa"/>
            <w:vAlign w:val="center"/>
          </w:tcPr>
          <w:p>
            <w:pPr>
              <w:spacing w:line="0" w:lineRule="atLeast"/>
              <w:jc w:val="center"/>
              <w:rPr>
                <w:rFonts w:hint="default" w:ascii="仿宋" w:hAnsi="仿宋" w:eastAsia="仿宋"/>
                <w:sz w:val="24"/>
                <w:lang w:val="en-US" w:eastAsia="zh-CN"/>
              </w:rPr>
            </w:pPr>
            <w:r>
              <w:rPr>
                <w:rFonts w:hint="eastAsia" w:ascii="仿宋" w:hAnsi="仿宋" w:eastAsia="仿宋"/>
                <w:sz w:val="24"/>
              </w:rPr>
              <w:t>单道移液器</w:t>
            </w:r>
            <w:r>
              <w:rPr>
                <w:rFonts w:hint="eastAsia" w:ascii="仿宋" w:hAnsi="仿宋" w:eastAsia="仿宋"/>
                <w:sz w:val="24"/>
                <w:lang w:eastAsia="zh-CN"/>
              </w:rPr>
              <w:t>（</w:t>
            </w:r>
            <w:r>
              <w:rPr>
                <w:rFonts w:hint="eastAsia" w:ascii="仿宋" w:hAnsi="仿宋" w:eastAsia="仿宋"/>
                <w:sz w:val="24"/>
                <w:lang w:val="en-US" w:eastAsia="zh-CN"/>
              </w:rPr>
              <w:t>理化实验用）</w:t>
            </w:r>
          </w:p>
        </w:tc>
        <w:tc>
          <w:tcPr>
            <w:tcW w:w="886" w:type="dxa"/>
            <w:vAlign w:val="center"/>
          </w:tcPr>
          <w:p>
            <w:pPr>
              <w:spacing w:line="0" w:lineRule="atLeast"/>
              <w:jc w:val="center"/>
              <w:rPr>
                <w:rFonts w:ascii="仿宋" w:hAnsi="仿宋" w:eastAsia="仿宋"/>
                <w:color w:val="auto"/>
                <w:sz w:val="24"/>
              </w:rPr>
            </w:pPr>
            <w:r>
              <w:rPr>
                <w:rFonts w:hint="eastAsia" w:ascii="仿宋" w:hAnsi="仿宋" w:eastAsia="仿宋"/>
                <w:color w:val="auto"/>
                <w:sz w:val="24"/>
              </w:rPr>
              <w:t>10</w:t>
            </w:r>
          </w:p>
        </w:tc>
        <w:tc>
          <w:tcPr>
            <w:tcW w:w="698" w:type="dxa"/>
            <w:vAlign w:val="center"/>
          </w:tcPr>
          <w:p>
            <w:pPr>
              <w:spacing w:line="0" w:lineRule="atLeast"/>
              <w:jc w:val="center"/>
              <w:rPr>
                <w:rFonts w:ascii="仿宋" w:hAnsi="仿宋" w:eastAsia="仿宋"/>
                <w:color w:val="auto"/>
                <w:sz w:val="24"/>
              </w:rPr>
            </w:pPr>
            <w:r>
              <w:rPr>
                <w:rFonts w:hint="eastAsia" w:ascii="仿宋" w:hAnsi="仿宋" w:eastAsia="仿宋"/>
                <w:color w:val="auto"/>
                <w:sz w:val="24"/>
              </w:rPr>
              <w:t>支</w:t>
            </w:r>
          </w:p>
        </w:tc>
        <w:tc>
          <w:tcPr>
            <w:tcW w:w="2120" w:type="dxa"/>
            <w:vAlign w:val="center"/>
          </w:tcPr>
          <w:p>
            <w:pPr>
              <w:spacing w:line="0" w:lineRule="atLeast"/>
              <w:jc w:val="center"/>
              <w:rPr>
                <w:rFonts w:ascii="仿宋" w:hAnsi="仿宋" w:eastAsia="仿宋"/>
                <w:color w:val="auto"/>
                <w:sz w:val="24"/>
              </w:rPr>
            </w:pPr>
            <w:r>
              <w:rPr>
                <w:rFonts w:hint="eastAsia" w:ascii="仿宋" w:hAnsi="仿宋" w:eastAsia="仿宋"/>
                <w:color w:val="auto"/>
                <w:sz w:val="24"/>
              </w:rPr>
              <w:t>实验室加样及试剂配制</w:t>
            </w:r>
          </w:p>
        </w:tc>
        <w:tc>
          <w:tcPr>
            <w:tcW w:w="1871" w:type="dxa"/>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left"/>
              <w:rPr>
                <w:rFonts w:hint="eastAsia" w:ascii="宋体" w:hAnsi="宋体" w:eastAsia="宋体" w:cs="宋体"/>
                <w:b w:val="0"/>
                <w:bCs w:val="0"/>
                <w:color w:val="000000"/>
                <w:sz w:val="21"/>
                <w:szCs w:val="21"/>
                <w:lang w:val="en-US" w:eastAsia="zh-CN"/>
              </w:rPr>
            </w:pPr>
            <w:r>
              <w:rPr>
                <w:rFonts w:hint="eastAsia" w:ascii="宋体" w:hAnsi="宋体" w:eastAsia="宋体" w:cs="宋体"/>
                <w:sz w:val="21"/>
                <w:szCs w:val="21"/>
              </w:rPr>
              <w:t>500 - 5000</w:t>
            </w:r>
            <w:r>
              <w:rPr>
                <w:rFonts w:hint="eastAsia" w:ascii="宋体" w:hAnsi="宋体" w:eastAsia="宋体" w:cs="宋体"/>
                <w:b w:val="0"/>
                <w:bCs w:val="0"/>
                <w:color w:val="000000"/>
                <w:sz w:val="21"/>
                <w:szCs w:val="21"/>
                <w:lang w:val="en-US" w:eastAsia="zh-CN"/>
              </w:rPr>
              <w:t>ul 5</w:t>
            </w:r>
            <w:r>
              <w:rPr>
                <w:rFonts w:hint="eastAsia" w:ascii="宋体" w:hAnsi="宋体" w:eastAsia="宋体" w:cs="宋体"/>
                <w:i w:val="0"/>
                <w:iCs w:val="0"/>
                <w:color w:val="000000"/>
                <w:kern w:val="0"/>
                <w:sz w:val="21"/>
                <w:szCs w:val="21"/>
                <w:u w:val="none"/>
                <w:lang w:val="en-US" w:eastAsia="zh-CN" w:bidi="ar"/>
              </w:rPr>
              <w:t>支</w:t>
            </w:r>
          </w:p>
          <w:p>
            <w:pPr>
              <w:spacing w:line="0" w:lineRule="atLeast"/>
              <w:jc w:val="both"/>
              <w:rPr>
                <w:rFonts w:hint="eastAsia" w:ascii="宋体" w:hAnsi="宋体" w:eastAsia="宋体" w:cs="宋体"/>
                <w:b w:val="0"/>
                <w:bCs w:val="0"/>
                <w:color w:val="000000"/>
                <w:sz w:val="21"/>
                <w:szCs w:val="21"/>
                <w:lang w:val="en-US" w:eastAsia="zh-CN"/>
              </w:rPr>
            </w:pPr>
            <w:r>
              <w:rPr>
                <w:rFonts w:hint="eastAsia" w:ascii="宋体" w:hAnsi="宋体" w:eastAsia="宋体" w:cs="宋体"/>
                <w:sz w:val="21"/>
                <w:szCs w:val="21"/>
              </w:rPr>
              <w:t>1000 - 10000</w:t>
            </w:r>
            <w:r>
              <w:rPr>
                <w:rFonts w:hint="eastAsia" w:ascii="宋体" w:hAnsi="宋体" w:eastAsia="宋体" w:cs="宋体"/>
                <w:b w:val="0"/>
                <w:bCs w:val="0"/>
                <w:color w:val="000000"/>
                <w:sz w:val="21"/>
                <w:szCs w:val="21"/>
                <w:lang w:val="en-US" w:eastAsia="zh-CN"/>
              </w:rPr>
              <w:t xml:space="preserve">ul </w:t>
            </w:r>
          </w:p>
          <w:p>
            <w:pPr>
              <w:spacing w:line="0" w:lineRule="atLeast"/>
              <w:jc w:val="center"/>
              <w:rPr>
                <w:rFonts w:hint="eastAsia" w:ascii="仿宋" w:hAnsi="仿宋" w:eastAsia="仿宋"/>
                <w:color w:val="auto"/>
                <w:sz w:val="24"/>
              </w:rPr>
            </w:pPr>
            <w:r>
              <w:rPr>
                <w:rFonts w:hint="eastAsia" w:ascii="宋体" w:hAnsi="宋体" w:eastAsia="宋体" w:cs="宋体"/>
                <w:b w:val="0"/>
                <w:bCs w:val="0"/>
                <w:color w:val="000000"/>
                <w:sz w:val="21"/>
                <w:szCs w:val="21"/>
                <w:lang w:val="en-US" w:eastAsia="zh-CN"/>
              </w:rPr>
              <w:t>5</w:t>
            </w:r>
            <w:r>
              <w:rPr>
                <w:rFonts w:hint="eastAsia" w:ascii="宋体" w:hAnsi="宋体" w:eastAsia="宋体" w:cs="宋体"/>
                <w:i w:val="0"/>
                <w:iCs w:val="0"/>
                <w:color w:val="000000"/>
                <w:kern w:val="0"/>
                <w:sz w:val="21"/>
                <w:szCs w:val="21"/>
                <w:u w:val="none"/>
                <w:lang w:val="en-US" w:eastAsia="zh-CN"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62" w:type="dxa"/>
            <w:vMerge w:val="restart"/>
            <w:vAlign w:val="center"/>
          </w:tcPr>
          <w:p>
            <w:pPr>
              <w:spacing w:line="0" w:lineRule="atLeast"/>
              <w:jc w:val="center"/>
              <w:rPr>
                <w:rFonts w:ascii="仿宋" w:hAnsi="仿宋" w:eastAsia="仿宋"/>
                <w:sz w:val="24"/>
              </w:rPr>
            </w:pPr>
            <w:r>
              <w:rPr>
                <w:rFonts w:hint="eastAsia" w:ascii="仿宋" w:hAnsi="仿宋" w:eastAsia="仿宋"/>
                <w:sz w:val="24"/>
              </w:rPr>
              <w:t>第二包</w:t>
            </w:r>
          </w:p>
        </w:tc>
        <w:tc>
          <w:tcPr>
            <w:tcW w:w="657" w:type="dxa"/>
            <w:shd w:val="clear" w:color="auto" w:fill="FFFFFF" w:themeFill="background1"/>
            <w:vAlign w:val="center"/>
          </w:tcPr>
          <w:p>
            <w:pPr>
              <w:spacing w:line="0" w:lineRule="atLeast"/>
              <w:jc w:val="center"/>
              <w:rPr>
                <w:rFonts w:ascii="仿宋" w:hAnsi="仿宋" w:eastAsia="仿宋"/>
                <w:sz w:val="24"/>
              </w:rPr>
            </w:pPr>
            <w:r>
              <w:rPr>
                <w:rFonts w:hint="eastAsia" w:ascii="仿宋" w:hAnsi="仿宋" w:eastAsia="仿宋"/>
                <w:sz w:val="24"/>
              </w:rPr>
              <w:t>1</w:t>
            </w:r>
          </w:p>
        </w:tc>
        <w:tc>
          <w:tcPr>
            <w:tcW w:w="2576" w:type="dxa"/>
            <w:shd w:val="clear" w:color="auto" w:fill="FFFFFF" w:themeFill="background1"/>
            <w:vAlign w:val="center"/>
          </w:tcPr>
          <w:p>
            <w:pPr>
              <w:spacing w:line="0" w:lineRule="atLeast"/>
              <w:jc w:val="center"/>
              <w:rPr>
                <w:rFonts w:ascii="仿宋" w:hAnsi="仿宋" w:eastAsia="仿宋"/>
                <w:sz w:val="24"/>
              </w:rPr>
            </w:pPr>
            <w:r>
              <w:rPr>
                <w:rFonts w:hint="eastAsia" w:ascii="仿宋" w:hAnsi="仿宋" w:eastAsia="仿宋"/>
                <w:sz w:val="24"/>
                <w:highlight w:val="none"/>
              </w:rPr>
              <w:t>离子色谱仪</w:t>
            </w:r>
          </w:p>
        </w:tc>
        <w:tc>
          <w:tcPr>
            <w:tcW w:w="886" w:type="dxa"/>
            <w:shd w:val="clear" w:color="auto" w:fill="FFFFFF" w:themeFill="background1"/>
            <w:vAlign w:val="center"/>
          </w:tcPr>
          <w:p>
            <w:pPr>
              <w:spacing w:line="0" w:lineRule="atLeast"/>
              <w:jc w:val="center"/>
              <w:rPr>
                <w:rFonts w:ascii="仿宋" w:hAnsi="仿宋" w:eastAsia="仿宋"/>
                <w:color w:val="auto"/>
                <w:sz w:val="24"/>
              </w:rPr>
            </w:pPr>
            <w:r>
              <w:rPr>
                <w:rFonts w:hint="eastAsia" w:ascii="仿宋" w:hAnsi="仿宋" w:eastAsia="仿宋"/>
                <w:color w:val="auto"/>
                <w:sz w:val="24"/>
              </w:rPr>
              <w:t>1</w:t>
            </w:r>
          </w:p>
        </w:tc>
        <w:tc>
          <w:tcPr>
            <w:tcW w:w="698" w:type="dxa"/>
            <w:shd w:val="clear" w:color="auto" w:fill="FFFFFF" w:themeFill="background1"/>
            <w:vAlign w:val="center"/>
          </w:tcPr>
          <w:p>
            <w:pPr>
              <w:spacing w:line="0" w:lineRule="atLeast"/>
              <w:jc w:val="center"/>
              <w:rPr>
                <w:color w:val="auto"/>
                <w:sz w:val="24"/>
              </w:rPr>
            </w:pPr>
            <w:r>
              <w:rPr>
                <w:rFonts w:hint="eastAsia" w:ascii="仿宋" w:hAnsi="仿宋" w:eastAsia="仿宋"/>
                <w:color w:val="auto"/>
                <w:sz w:val="24"/>
              </w:rPr>
              <w:t>台</w:t>
            </w:r>
          </w:p>
        </w:tc>
        <w:tc>
          <w:tcPr>
            <w:tcW w:w="2120" w:type="dxa"/>
            <w:shd w:val="clear" w:color="auto" w:fill="FFFFFF" w:themeFill="background1"/>
            <w:vAlign w:val="center"/>
          </w:tcPr>
          <w:p>
            <w:pPr>
              <w:spacing w:line="0" w:lineRule="atLeast"/>
              <w:jc w:val="center"/>
              <w:rPr>
                <w:rFonts w:ascii="仿宋" w:hAnsi="仿宋" w:eastAsia="仿宋"/>
                <w:color w:val="auto"/>
                <w:sz w:val="24"/>
              </w:rPr>
            </w:pPr>
            <w:r>
              <w:rPr>
                <w:rFonts w:ascii="仿宋" w:hAnsi="仿宋" w:eastAsia="仿宋"/>
                <w:color w:val="auto"/>
                <w:sz w:val="24"/>
              </w:rPr>
              <w:t>F⁻, Cl⁻, Br⁻, NO等</w:t>
            </w:r>
          </w:p>
        </w:tc>
        <w:tc>
          <w:tcPr>
            <w:tcW w:w="1871" w:type="dxa"/>
            <w:shd w:val="clear" w:color="auto" w:fill="FFFFFF" w:themeFill="background1"/>
            <w:vAlign w:val="center"/>
          </w:tcPr>
          <w:p>
            <w:pPr>
              <w:spacing w:line="0" w:lineRule="atLeast"/>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62" w:type="dxa"/>
            <w:vMerge w:val="continue"/>
            <w:vAlign w:val="center"/>
          </w:tcPr>
          <w:p>
            <w:pPr>
              <w:spacing w:line="0" w:lineRule="atLeast"/>
              <w:jc w:val="center"/>
              <w:rPr>
                <w:rFonts w:ascii="仿宋" w:hAnsi="仿宋" w:eastAsia="仿宋"/>
                <w:sz w:val="24"/>
              </w:rPr>
            </w:pPr>
          </w:p>
        </w:tc>
        <w:tc>
          <w:tcPr>
            <w:tcW w:w="657" w:type="dxa"/>
            <w:shd w:val="clear" w:color="auto" w:fill="FFFFFF" w:themeFill="background1"/>
            <w:vAlign w:val="center"/>
          </w:tcPr>
          <w:p>
            <w:pPr>
              <w:spacing w:line="0" w:lineRule="atLeast"/>
              <w:jc w:val="center"/>
              <w:rPr>
                <w:rFonts w:ascii="仿宋" w:hAnsi="仿宋" w:eastAsia="仿宋"/>
                <w:sz w:val="24"/>
              </w:rPr>
            </w:pPr>
            <w:r>
              <w:rPr>
                <w:rFonts w:hint="eastAsia" w:ascii="仿宋" w:hAnsi="仿宋" w:eastAsia="仿宋"/>
                <w:sz w:val="24"/>
              </w:rPr>
              <w:t>2</w:t>
            </w:r>
          </w:p>
        </w:tc>
        <w:tc>
          <w:tcPr>
            <w:tcW w:w="2576" w:type="dxa"/>
            <w:shd w:val="clear" w:color="auto" w:fill="FFFFFF" w:themeFill="background1"/>
            <w:vAlign w:val="center"/>
          </w:tcPr>
          <w:p>
            <w:pPr>
              <w:spacing w:line="0" w:lineRule="atLeast"/>
              <w:jc w:val="center"/>
              <w:rPr>
                <w:rFonts w:hint="default" w:ascii="仿宋" w:hAnsi="仿宋" w:eastAsia="仿宋"/>
                <w:color w:val="C0504D" w:themeColor="accent2"/>
                <w:sz w:val="24"/>
                <w:lang w:val="en-US" w:eastAsia="zh-CN"/>
                <w14:textFill>
                  <w14:solidFill>
                    <w14:schemeClr w14:val="accent2"/>
                  </w14:solidFill>
                </w14:textFill>
              </w:rPr>
            </w:pPr>
            <w:r>
              <w:rPr>
                <w:rFonts w:hint="eastAsia" w:ascii="仿宋" w:hAnsi="仿宋" w:eastAsia="仿宋"/>
                <w:color w:val="C0504D" w:themeColor="accent2"/>
                <w:sz w:val="24"/>
                <w:highlight w:val="none"/>
                <w:lang w:val="en-US" w:eastAsia="zh-CN"/>
                <w14:textFill>
                  <w14:solidFill>
                    <w14:schemeClr w14:val="accent2"/>
                  </w14:solidFill>
                </w14:textFill>
              </w:rPr>
              <w:t>*</w:t>
            </w:r>
            <w:r>
              <w:rPr>
                <w:rFonts w:hint="eastAsia" w:ascii="仿宋" w:hAnsi="仿宋" w:eastAsia="仿宋"/>
                <w:color w:val="C0504D" w:themeColor="accent2"/>
                <w:sz w:val="24"/>
                <w:highlight w:val="none"/>
                <w14:textFill>
                  <w14:solidFill>
                    <w14:schemeClr w14:val="accent2"/>
                  </w14:solidFill>
                </w14:textFill>
              </w:rPr>
              <w:t>全自动微生物生化鉴定</w:t>
            </w:r>
            <w:r>
              <w:rPr>
                <w:rFonts w:hint="eastAsia" w:ascii="仿宋" w:hAnsi="仿宋" w:eastAsia="仿宋"/>
                <w:color w:val="C0504D" w:themeColor="accent2"/>
                <w:sz w:val="24"/>
                <w:highlight w:val="none"/>
                <w:lang w:val="en-US" w:eastAsia="zh-CN"/>
                <w14:textFill>
                  <w14:solidFill>
                    <w14:schemeClr w14:val="accent2"/>
                  </w14:solidFill>
                </w14:textFill>
              </w:rPr>
              <w:t>仪</w:t>
            </w:r>
          </w:p>
        </w:tc>
        <w:tc>
          <w:tcPr>
            <w:tcW w:w="886" w:type="dxa"/>
            <w:shd w:val="clear" w:color="auto" w:fill="FFFFFF" w:themeFill="background1"/>
            <w:vAlign w:val="center"/>
          </w:tcPr>
          <w:p>
            <w:pPr>
              <w:spacing w:line="0" w:lineRule="atLeast"/>
              <w:jc w:val="center"/>
              <w:rPr>
                <w:rFonts w:ascii="仿宋" w:hAnsi="仿宋" w:eastAsia="仿宋"/>
                <w:color w:val="auto"/>
                <w:sz w:val="24"/>
              </w:rPr>
            </w:pPr>
            <w:r>
              <w:rPr>
                <w:rFonts w:hint="eastAsia" w:ascii="仿宋" w:hAnsi="仿宋" w:eastAsia="仿宋"/>
                <w:color w:val="auto"/>
                <w:sz w:val="24"/>
              </w:rPr>
              <w:t>1</w:t>
            </w:r>
          </w:p>
        </w:tc>
        <w:tc>
          <w:tcPr>
            <w:tcW w:w="698" w:type="dxa"/>
            <w:shd w:val="clear" w:color="auto" w:fill="FFFFFF" w:themeFill="background1"/>
            <w:vAlign w:val="center"/>
          </w:tcPr>
          <w:p>
            <w:pPr>
              <w:spacing w:line="0" w:lineRule="atLeast"/>
              <w:jc w:val="center"/>
              <w:rPr>
                <w:rFonts w:ascii="仿宋" w:hAnsi="仿宋" w:eastAsia="仿宋"/>
                <w:color w:val="auto"/>
                <w:sz w:val="24"/>
              </w:rPr>
            </w:pPr>
            <w:r>
              <w:rPr>
                <w:rFonts w:hint="eastAsia" w:ascii="仿宋" w:hAnsi="仿宋" w:eastAsia="仿宋"/>
                <w:color w:val="auto"/>
                <w:sz w:val="24"/>
              </w:rPr>
              <w:t>套</w:t>
            </w:r>
          </w:p>
        </w:tc>
        <w:tc>
          <w:tcPr>
            <w:tcW w:w="2120" w:type="dxa"/>
            <w:shd w:val="clear" w:color="auto" w:fill="FFFFFF" w:themeFill="background1"/>
            <w:vAlign w:val="center"/>
          </w:tcPr>
          <w:p>
            <w:pPr>
              <w:spacing w:line="0" w:lineRule="atLeast"/>
              <w:jc w:val="center"/>
              <w:rPr>
                <w:rFonts w:ascii="仿宋" w:hAnsi="仿宋" w:eastAsia="仿宋"/>
                <w:color w:val="auto"/>
                <w:sz w:val="24"/>
              </w:rPr>
            </w:pPr>
            <w:r>
              <w:rPr>
                <w:rFonts w:hint="eastAsia" w:ascii="仿宋" w:hAnsi="仿宋" w:eastAsia="仿宋"/>
                <w:color w:val="auto"/>
                <w:sz w:val="24"/>
              </w:rPr>
              <w:t>微生物生化鉴定</w:t>
            </w:r>
          </w:p>
        </w:tc>
        <w:tc>
          <w:tcPr>
            <w:tcW w:w="1871" w:type="dxa"/>
            <w:shd w:val="clear" w:color="auto" w:fill="FFFFFF" w:themeFill="background1"/>
            <w:vAlign w:val="center"/>
          </w:tcPr>
          <w:p>
            <w:pPr>
              <w:spacing w:line="0" w:lineRule="atLeast"/>
              <w:jc w:val="center"/>
              <w:rPr>
                <w:rFonts w:hint="eastAsia"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rPr>
        <w:tc>
          <w:tcPr>
            <w:tcW w:w="862" w:type="dxa"/>
            <w:vMerge w:val="continue"/>
            <w:vAlign w:val="center"/>
          </w:tcPr>
          <w:p>
            <w:pPr>
              <w:spacing w:line="0" w:lineRule="atLeast"/>
              <w:jc w:val="center"/>
              <w:rPr>
                <w:rFonts w:ascii="仿宋" w:hAnsi="仿宋" w:eastAsia="仿宋"/>
                <w:sz w:val="24"/>
              </w:rPr>
            </w:pPr>
          </w:p>
        </w:tc>
        <w:tc>
          <w:tcPr>
            <w:tcW w:w="657" w:type="dxa"/>
            <w:vAlign w:val="center"/>
          </w:tcPr>
          <w:p>
            <w:pPr>
              <w:spacing w:line="0" w:lineRule="atLeast"/>
              <w:jc w:val="center"/>
              <w:rPr>
                <w:rFonts w:ascii="仿宋" w:hAnsi="仿宋" w:eastAsia="仿宋"/>
                <w:sz w:val="24"/>
              </w:rPr>
            </w:pPr>
            <w:r>
              <w:rPr>
                <w:rFonts w:hint="eastAsia" w:ascii="仿宋" w:hAnsi="仿宋" w:eastAsia="仿宋"/>
                <w:sz w:val="24"/>
              </w:rPr>
              <w:t>3</w:t>
            </w:r>
          </w:p>
        </w:tc>
        <w:tc>
          <w:tcPr>
            <w:tcW w:w="2576" w:type="dxa"/>
            <w:vAlign w:val="center"/>
          </w:tcPr>
          <w:p>
            <w:pPr>
              <w:spacing w:line="0" w:lineRule="atLeast"/>
              <w:jc w:val="center"/>
              <w:rPr>
                <w:rFonts w:ascii="仿宋" w:hAnsi="仿宋" w:eastAsia="仿宋"/>
                <w:sz w:val="24"/>
              </w:rPr>
            </w:pPr>
            <w:r>
              <w:rPr>
                <w:rFonts w:hint="eastAsia" w:ascii="仿宋" w:hAnsi="仿宋" w:eastAsia="仿宋"/>
                <w:sz w:val="24"/>
                <w:highlight w:val="none"/>
              </w:rPr>
              <w:t>生物安全柜</w:t>
            </w:r>
          </w:p>
        </w:tc>
        <w:tc>
          <w:tcPr>
            <w:tcW w:w="886" w:type="dxa"/>
            <w:vAlign w:val="center"/>
          </w:tcPr>
          <w:p>
            <w:pPr>
              <w:spacing w:line="0" w:lineRule="atLeast"/>
              <w:jc w:val="center"/>
              <w:rPr>
                <w:rFonts w:ascii="仿宋" w:hAnsi="仿宋" w:eastAsia="仿宋"/>
                <w:sz w:val="24"/>
              </w:rPr>
            </w:pPr>
            <w:r>
              <w:rPr>
                <w:rFonts w:hint="eastAsia" w:ascii="仿宋" w:hAnsi="仿宋" w:eastAsia="仿宋"/>
                <w:sz w:val="24"/>
              </w:rPr>
              <w:t>3</w:t>
            </w:r>
          </w:p>
        </w:tc>
        <w:tc>
          <w:tcPr>
            <w:tcW w:w="698" w:type="dxa"/>
            <w:vAlign w:val="center"/>
          </w:tcPr>
          <w:p>
            <w:pPr>
              <w:spacing w:line="0" w:lineRule="atLeast"/>
              <w:jc w:val="center"/>
              <w:rPr>
                <w:rFonts w:ascii="仿宋" w:hAnsi="仿宋" w:eastAsia="仿宋"/>
                <w:sz w:val="24"/>
              </w:rPr>
            </w:pPr>
            <w:r>
              <w:rPr>
                <w:rFonts w:hint="eastAsia" w:ascii="仿宋" w:hAnsi="仿宋" w:eastAsia="仿宋"/>
                <w:sz w:val="24"/>
              </w:rPr>
              <w:t>台</w:t>
            </w:r>
          </w:p>
        </w:tc>
        <w:tc>
          <w:tcPr>
            <w:tcW w:w="2120" w:type="dxa"/>
            <w:vAlign w:val="center"/>
          </w:tcPr>
          <w:p>
            <w:pPr>
              <w:spacing w:line="0" w:lineRule="atLeast"/>
              <w:jc w:val="center"/>
              <w:rPr>
                <w:rFonts w:ascii="仿宋" w:hAnsi="仿宋" w:eastAsia="仿宋"/>
                <w:sz w:val="24"/>
              </w:rPr>
            </w:pPr>
            <w:r>
              <w:rPr>
                <w:rFonts w:hint="eastAsia" w:ascii="仿宋" w:hAnsi="仿宋" w:eastAsia="仿宋"/>
                <w:sz w:val="24"/>
              </w:rPr>
              <w:t>生物安全</w:t>
            </w:r>
          </w:p>
        </w:tc>
        <w:tc>
          <w:tcPr>
            <w:tcW w:w="1871" w:type="dxa"/>
            <w:vAlign w:val="center"/>
          </w:tcPr>
          <w:p>
            <w:pPr>
              <w:spacing w:line="0" w:lineRule="atLeast"/>
              <w:jc w:val="center"/>
              <w:rPr>
                <w:rFonts w:hint="eastAsia" w:ascii="仿宋" w:hAnsi="仿宋" w:eastAsia="仿宋"/>
                <w:sz w:val="24"/>
              </w:rPr>
            </w:pPr>
          </w:p>
        </w:tc>
      </w:tr>
    </w:tbl>
    <w:p>
      <w:pPr>
        <w:pStyle w:val="209"/>
        <w:ind w:left="0" w:leftChars="0" w:firstLine="0" w:firstLineChars="0"/>
        <w:rPr>
          <w:rFonts w:hint="eastAsia" w:ascii="仿宋" w:hAnsi="仿宋" w:eastAsia="仿宋" w:cs="仿宋"/>
          <w:b/>
          <w:bCs/>
          <w:sz w:val="24"/>
          <w:szCs w:val="24"/>
          <w:highlight w:val="none"/>
        </w:rPr>
      </w:pPr>
      <w:r>
        <w:rPr>
          <w:rFonts w:hint="eastAsia" w:ascii="仿宋" w:hAnsi="仿宋" w:eastAsia="仿宋" w:cs="仿宋"/>
          <w:b/>
          <w:bCs/>
          <w:sz w:val="24"/>
          <w:szCs w:val="24"/>
          <w:lang w:val="en-US" w:eastAsia="zh-CN"/>
        </w:rPr>
        <w:t>*</w:t>
      </w:r>
      <w:r>
        <w:rPr>
          <w:rFonts w:hint="eastAsia" w:ascii="仿宋" w:hAnsi="仿宋" w:eastAsia="仿宋" w:cs="仿宋"/>
          <w:b/>
          <w:bCs/>
          <w:sz w:val="24"/>
          <w:szCs w:val="24"/>
        </w:rPr>
        <w:t>其中气相色谱-质谱联用仪</w:t>
      </w:r>
      <w:r>
        <w:rPr>
          <w:rFonts w:hint="eastAsia" w:ascii="仿宋" w:hAnsi="仿宋" w:eastAsia="仿宋" w:cs="仿宋"/>
          <w:b/>
          <w:bCs/>
          <w:sz w:val="24"/>
          <w:szCs w:val="24"/>
          <w:lang w:eastAsia="zh-CN"/>
        </w:rPr>
        <w:t>、</w:t>
      </w:r>
      <w:r>
        <w:rPr>
          <w:rFonts w:hint="eastAsia" w:ascii="仿宋" w:hAnsi="仿宋" w:eastAsia="仿宋" w:cs="仿宋"/>
          <w:b/>
          <w:bCs/>
          <w:sz w:val="24"/>
          <w:szCs w:val="24"/>
          <w:highlight w:val="none"/>
        </w:rPr>
        <w:t>全自动微生物生化鉴定仪为核心产品。</w:t>
      </w:r>
    </w:p>
    <w:p>
      <w:pPr>
        <w:rPr>
          <w:rFonts w:asciiTheme="minorEastAsia" w:hAnsiTheme="minorEastAsia" w:eastAsiaTheme="minorEastAsia"/>
          <w:b/>
          <w:bCs/>
          <w:sz w:val="36"/>
          <w:szCs w:val="40"/>
        </w:rPr>
      </w:pPr>
    </w:p>
    <w:p>
      <w:pPr>
        <w:rPr>
          <w:rFonts w:hint="eastAsia" w:asciiTheme="minorEastAsia" w:hAnsiTheme="minorEastAsia" w:eastAsiaTheme="minorEastAsia"/>
          <w:b/>
          <w:bCs/>
          <w:sz w:val="36"/>
          <w:szCs w:val="40"/>
          <w:lang w:val="en-US" w:eastAsia="zh-CN"/>
        </w:rPr>
      </w:pPr>
      <w:r>
        <w:rPr>
          <w:rFonts w:hint="eastAsia" w:asciiTheme="minorEastAsia" w:hAnsiTheme="minorEastAsia" w:eastAsiaTheme="minorEastAsia"/>
          <w:b/>
          <w:bCs/>
          <w:sz w:val="36"/>
          <w:szCs w:val="40"/>
          <w:lang w:val="en-US" w:eastAsia="zh-CN"/>
        </w:rPr>
        <w:br w:type="page"/>
      </w:r>
    </w:p>
    <w:p>
      <w:pPr>
        <w:pBdr>
          <w:bottom w:val="single" w:color="auto" w:sz="4" w:space="1"/>
        </w:pBdr>
        <w:spacing w:before="312" w:beforeLines="100"/>
        <w:ind w:left="420" w:hanging="420"/>
        <w:rPr>
          <w:rFonts w:hint="eastAsia" w:ascii="宋体" w:hAnsi="宋体" w:eastAsia="宋体" w:cs="宋体"/>
          <w:color w:val="000000"/>
          <w:sz w:val="24"/>
          <w:szCs w:val="24"/>
          <w:highlight w:val="none"/>
        </w:rPr>
      </w:pPr>
      <w:r>
        <w:rPr>
          <w:rFonts w:hint="eastAsia" w:asciiTheme="minorEastAsia" w:hAnsiTheme="minorEastAsia" w:eastAsiaTheme="minorEastAsia"/>
          <w:b/>
          <w:bCs/>
          <w:color w:val="auto"/>
          <w:sz w:val="36"/>
          <w:szCs w:val="40"/>
          <w:highlight w:val="none"/>
          <w:lang w:val="en-US" w:eastAsia="zh-CN"/>
        </w:rPr>
        <w:t>二、服务要求</w:t>
      </w:r>
    </w:p>
    <w:p>
      <w:pPr>
        <w:spacing w:line="360" w:lineRule="auto"/>
        <w:outlineLvl w:val="9"/>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1.</w:t>
      </w:r>
      <w:r>
        <w:rPr>
          <w:rFonts w:hint="eastAsia" w:ascii="宋体" w:hAnsi="宋体" w:eastAsia="宋体" w:cs="宋体"/>
          <w:color w:val="000000"/>
          <w:sz w:val="24"/>
          <w:szCs w:val="24"/>
          <w:highlight w:val="none"/>
        </w:rPr>
        <w:t>协助</w:t>
      </w:r>
      <w:r>
        <w:rPr>
          <w:rFonts w:hint="eastAsia" w:ascii="宋体" w:hAnsi="宋体" w:cs="宋体"/>
          <w:color w:val="000000"/>
          <w:sz w:val="24"/>
          <w:szCs w:val="24"/>
          <w:highlight w:val="none"/>
          <w:lang w:val="en-US" w:eastAsia="zh-CN"/>
        </w:rPr>
        <w:t>采购人</w:t>
      </w:r>
      <w:r>
        <w:rPr>
          <w:rFonts w:hint="eastAsia" w:ascii="宋体" w:hAnsi="宋体" w:eastAsia="宋体" w:cs="宋体"/>
          <w:color w:val="000000"/>
          <w:sz w:val="24"/>
          <w:szCs w:val="24"/>
          <w:highlight w:val="none"/>
        </w:rPr>
        <w:t>进行安装前的准备工作。</w:t>
      </w:r>
    </w:p>
    <w:p>
      <w:pPr>
        <w:spacing w:line="360" w:lineRule="auto"/>
        <w:outlineLvl w:val="9"/>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2.</w:t>
      </w:r>
      <w:r>
        <w:rPr>
          <w:rFonts w:hint="eastAsia" w:ascii="宋体" w:hAnsi="宋体" w:eastAsia="宋体" w:cs="宋体"/>
          <w:color w:val="000000"/>
          <w:sz w:val="24"/>
          <w:szCs w:val="24"/>
          <w:highlight w:val="none"/>
        </w:rPr>
        <w:t>到货后，</w:t>
      </w:r>
      <w:r>
        <w:rPr>
          <w:rFonts w:hint="eastAsia" w:ascii="宋体" w:hAnsi="宋体" w:cs="宋体"/>
          <w:color w:val="000000"/>
          <w:sz w:val="24"/>
          <w:szCs w:val="24"/>
          <w:highlight w:val="none"/>
          <w:lang w:val="en-US" w:eastAsia="zh-CN"/>
        </w:rPr>
        <w:t>供应商</w:t>
      </w:r>
      <w:r>
        <w:rPr>
          <w:rFonts w:hint="eastAsia" w:ascii="宋体" w:hAnsi="宋体" w:eastAsia="宋体" w:cs="宋体"/>
          <w:color w:val="000000"/>
          <w:sz w:val="24"/>
          <w:szCs w:val="24"/>
          <w:highlight w:val="none"/>
        </w:rPr>
        <w:t>免费提供全面安装工具、并由仪器工程师免费安装。仪器安装后，安装工程师为用户进行现场培训。</w:t>
      </w:r>
    </w:p>
    <w:p>
      <w:pPr>
        <w:spacing w:line="360" w:lineRule="auto"/>
        <w:outlineLvl w:val="9"/>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3.供应商</w:t>
      </w:r>
      <w:r>
        <w:rPr>
          <w:rFonts w:hint="eastAsia" w:ascii="宋体" w:hAnsi="宋体" w:eastAsia="宋体" w:cs="宋体"/>
          <w:color w:val="000000"/>
          <w:sz w:val="24"/>
          <w:szCs w:val="24"/>
          <w:highlight w:val="none"/>
        </w:rPr>
        <w:t>为</w:t>
      </w:r>
      <w:r>
        <w:rPr>
          <w:rFonts w:hint="eastAsia" w:ascii="宋体" w:hAnsi="宋体" w:cs="宋体"/>
          <w:color w:val="000000"/>
          <w:sz w:val="24"/>
          <w:szCs w:val="24"/>
          <w:highlight w:val="none"/>
          <w:lang w:val="en-US" w:eastAsia="zh-CN"/>
        </w:rPr>
        <w:t>采购人安装调试完后进行现场培训</w:t>
      </w:r>
      <w:r>
        <w:rPr>
          <w:rFonts w:hint="eastAsia" w:ascii="宋体" w:hAnsi="宋体" w:eastAsia="宋体" w:cs="宋体"/>
          <w:color w:val="000000"/>
          <w:sz w:val="24"/>
          <w:szCs w:val="24"/>
          <w:highlight w:val="none"/>
        </w:rPr>
        <w:t>。</w:t>
      </w:r>
    </w:p>
    <w:p>
      <w:pPr>
        <w:spacing w:line="360" w:lineRule="auto"/>
        <w:outlineLvl w:val="9"/>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4.</w:t>
      </w:r>
      <w:r>
        <w:rPr>
          <w:rFonts w:hint="eastAsia" w:ascii="宋体" w:hAnsi="宋体" w:eastAsia="宋体" w:cs="宋体"/>
          <w:color w:val="000000"/>
          <w:sz w:val="24"/>
          <w:szCs w:val="24"/>
          <w:highlight w:val="none"/>
        </w:rPr>
        <w:t>安装验收后1年内，全机免费保修；</w:t>
      </w:r>
      <w:r>
        <w:rPr>
          <w:rFonts w:hint="eastAsia" w:ascii="宋体" w:hAnsi="宋体" w:cs="宋体"/>
          <w:color w:val="000000"/>
          <w:sz w:val="24"/>
          <w:szCs w:val="24"/>
          <w:highlight w:val="none"/>
          <w:lang w:val="en-US" w:eastAsia="zh-CN"/>
        </w:rPr>
        <w:t>供应商</w:t>
      </w:r>
      <w:r>
        <w:rPr>
          <w:rFonts w:hint="eastAsia" w:ascii="宋体" w:hAnsi="宋体" w:eastAsia="宋体" w:cs="宋体"/>
          <w:color w:val="000000"/>
          <w:sz w:val="24"/>
          <w:szCs w:val="24"/>
          <w:highlight w:val="none"/>
        </w:rPr>
        <w:t>负责工作站软件终身免费升级。</w:t>
      </w:r>
    </w:p>
    <w:p>
      <w:pPr>
        <w:spacing w:line="360" w:lineRule="auto"/>
        <w:outlineLvl w:val="9"/>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5.</w:t>
      </w:r>
      <w:r>
        <w:rPr>
          <w:rFonts w:hint="eastAsia" w:ascii="宋体" w:hAnsi="宋体" w:eastAsia="宋体" w:cs="宋体"/>
          <w:color w:val="000000"/>
          <w:sz w:val="24"/>
          <w:szCs w:val="24"/>
          <w:highlight w:val="none"/>
        </w:rPr>
        <w:t>如果仪器出现故障，在接到</w:t>
      </w:r>
      <w:r>
        <w:rPr>
          <w:rFonts w:hint="eastAsia" w:ascii="宋体" w:hAnsi="宋体" w:cs="宋体"/>
          <w:color w:val="000000"/>
          <w:sz w:val="24"/>
          <w:szCs w:val="24"/>
          <w:highlight w:val="none"/>
          <w:lang w:val="en-US" w:eastAsia="zh-CN"/>
        </w:rPr>
        <w:t>采购人</w:t>
      </w:r>
      <w:r>
        <w:rPr>
          <w:rFonts w:hint="eastAsia" w:ascii="宋体" w:hAnsi="宋体" w:eastAsia="宋体" w:cs="宋体"/>
          <w:color w:val="000000"/>
          <w:sz w:val="24"/>
          <w:szCs w:val="24"/>
          <w:highlight w:val="none"/>
        </w:rPr>
        <w:t>维修服务的请求后，</w:t>
      </w:r>
      <w:r>
        <w:rPr>
          <w:rFonts w:hint="eastAsia" w:ascii="宋体" w:hAnsi="宋体" w:cs="宋体"/>
          <w:color w:val="000000"/>
          <w:sz w:val="24"/>
          <w:szCs w:val="24"/>
          <w:highlight w:val="none"/>
          <w:lang w:val="en-US" w:eastAsia="zh-CN"/>
        </w:rPr>
        <w:t>供应商</w:t>
      </w:r>
      <w:r>
        <w:rPr>
          <w:rFonts w:hint="eastAsia" w:ascii="宋体" w:hAnsi="宋体" w:eastAsia="宋体" w:cs="宋体"/>
          <w:color w:val="000000"/>
          <w:sz w:val="24"/>
          <w:szCs w:val="24"/>
          <w:highlight w:val="none"/>
        </w:rPr>
        <w:t>应在</w:t>
      </w:r>
      <w:r>
        <w:rPr>
          <w:rFonts w:hint="eastAsia" w:ascii="宋体" w:hAnsi="宋体" w:cs="宋体"/>
          <w:color w:val="000000"/>
          <w:sz w:val="24"/>
          <w:szCs w:val="24"/>
          <w:highlight w:val="none"/>
          <w:lang w:val="en-US" w:eastAsia="zh-CN"/>
        </w:rPr>
        <w:t>8</w:t>
      </w:r>
      <w:r>
        <w:rPr>
          <w:rFonts w:hint="eastAsia" w:ascii="宋体" w:hAnsi="宋体" w:eastAsia="宋体" w:cs="宋体"/>
          <w:color w:val="000000"/>
          <w:sz w:val="24"/>
          <w:szCs w:val="24"/>
          <w:highlight w:val="none"/>
        </w:rPr>
        <w:t>小时内作出应答，进行电话指导、网上诊断协助排除故障。必要时，在</w:t>
      </w:r>
      <w:r>
        <w:rPr>
          <w:rFonts w:hint="eastAsia" w:ascii="宋体" w:hAnsi="宋体" w:cs="宋体"/>
          <w:color w:val="000000"/>
          <w:sz w:val="24"/>
          <w:szCs w:val="24"/>
          <w:highlight w:val="none"/>
          <w:lang w:val="en-US" w:eastAsia="zh-CN"/>
        </w:rPr>
        <w:t>24</w:t>
      </w:r>
      <w:r>
        <w:rPr>
          <w:rFonts w:hint="eastAsia" w:ascii="宋体" w:hAnsi="宋体" w:eastAsia="宋体" w:cs="宋体"/>
          <w:color w:val="000000"/>
          <w:sz w:val="24"/>
          <w:szCs w:val="24"/>
          <w:highlight w:val="none"/>
        </w:rPr>
        <w:t>小时内到达现场。</w:t>
      </w:r>
    </w:p>
    <w:p>
      <w:pPr>
        <w:spacing w:line="360" w:lineRule="auto"/>
        <w:outlineLvl w:val="9"/>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6.</w:t>
      </w:r>
      <w:r>
        <w:rPr>
          <w:rFonts w:hint="eastAsia" w:ascii="宋体" w:hAnsi="宋体" w:eastAsia="宋体" w:cs="宋体"/>
          <w:color w:val="000000"/>
          <w:sz w:val="24"/>
          <w:szCs w:val="24"/>
          <w:highlight w:val="none"/>
        </w:rPr>
        <w:t>提供配套的调试工具和其他专用工具，提供全套仪器操作说明书。</w:t>
      </w:r>
    </w:p>
    <w:p>
      <w:pPr>
        <w:spacing w:line="360" w:lineRule="auto"/>
        <w:outlineLvl w:val="9"/>
        <w:rPr>
          <w:rFonts w:hint="eastAsia" w:ascii="宋体" w:hAnsi="宋体" w:cs="宋体"/>
          <w:b w:val="0"/>
          <w:bCs/>
          <w:color w:val="000000"/>
          <w:sz w:val="24"/>
          <w:szCs w:val="24"/>
          <w:highlight w:val="none"/>
          <w:lang w:eastAsia="zh-CN"/>
        </w:rPr>
      </w:pPr>
      <w:r>
        <w:rPr>
          <w:rFonts w:hint="eastAsia" w:ascii="宋体" w:hAnsi="宋体" w:cs="宋体"/>
          <w:b w:val="0"/>
          <w:bCs/>
          <w:color w:val="000000"/>
          <w:sz w:val="24"/>
          <w:szCs w:val="24"/>
          <w:highlight w:val="none"/>
          <w:lang w:val="en-US" w:eastAsia="zh-CN"/>
        </w:rPr>
        <w:t>7.</w:t>
      </w:r>
      <w:r>
        <w:rPr>
          <w:rFonts w:hint="eastAsia" w:ascii="宋体" w:hAnsi="宋体" w:eastAsia="宋体" w:cs="宋体"/>
          <w:b w:val="0"/>
          <w:bCs/>
          <w:color w:val="000000"/>
          <w:sz w:val="24"/>
          <w:szCs w:val="24"/>
          <w:highlight w:val="none"/>
        </w:rPr>
        <w:t>需提供在售全新仪器，不得为停产型号或翻新仪器</w:t>
      </w:r>
      <w:r>
        <w:rPr>
          <w:rFonts w:hint="eastAsia" w:ascii="宋体" w:hAnsi="宋体" w:cs="宋体"/>
          <w:b w:val="0"/>
          <w:bCs/>
          <w:color w:val="000000"/>
          <w:sz w:val="24"/>
          <w:szCs w:val="24"/>
          <w:highlight w:val="none"/>
          <w:lang w:eastAsia="zh-CN"/>
        </w:rPr>
        <w:t>。</w:t>
      </w:r>
    </w:p>
    <w:p>
      <w:pPr>
        <w:spacing w:line="360" w:lineRule="auto"/>
        <w:outlineLvl w:val="9"/>
        <w:rPr>
          <w:rFonts w:hint="eastAsia"/>
          <w:lang w:eastAsia="zh-CN"/>
        </w:rPr>
      </w:pPr>
      <w:r>
        <w:rPr>
          <w:rFonts w:hint="eastAsia" w:ascii="宋体" w:hAnsi="宋体" w:cs="宋体"/>
          <w:b w:val="0"/>
          <w:bCs/>
          <w:color w:val="000000"/>
          <w:sz w:val="24"/>
          <w:szCs w:val="24"/>
          <w:highlight w:val="none"/>
          <w:lang w:val="en-US" w:eastAsia="zh-CN"/>
        </w:rPr>
        <w:t>8.供应商</w:t>
      </w:r>
      <w:r>
        <w:rPr>
          <w:rFonts w:hint="eastAsia" w:ascii="宋体" w:hAnsi="宋体" w:eastAsia="宋体" w:cs="宋体"/>
          <w:b w:val="0"/>
          <w:bCs/>
          <w:color w:val="000000"/>
          <w:sz w:val="24"/>
          <w:szCs w:val="24"/>
          <w:highlight w:val="none"/>
        </w:rPr>
        <w:t>每年派驻地服务工程师免费上门的不定期巡检，次数为2-3次。</w:t>
      </w:r>
    </w:p>
    <w:p>
      <w:pPr>
        <w:pBdr>
          <w:bottom w:val="single" w:color="auto" w:sz="4" w:space="1"/>
        </w:pBdr>
        <w:spacing w:before="312" w:beforeLines="100"/>
        <w:ind w:left="420" w:hanging="420"/>
        <w:rPr>
          <w:rFonts w:hint="eastAsia" w:asciiTheme="minorEastAsia" w:hAnsiTheme="minorEastAsia" w:eastAsiaTheme="minorEastAsia"/>
          <w:b/>
          <w:bCs/>
          <w:sz w:val="36"/>
          <w:szCs w:val="40"/>
          <w:highlight w:val="none"/>
          <w:lang w:val="en-US" w:eastAsia="zh-CN"/>
        </w:rPr>
      </w:pPr>
      <w:r>
        <w:rPr>
          <w:rFonts w:hint="eastAsia" w:asciiTheme="minorEastAsia" w:hAnsiTheme="minorEastAsia" w:eastAsiaTheme="minorEastAsia"/>
          <w:b/>
          <w:bCs/>
          <w:sz w:val="36"/>
          <w:szCs w:val="40"/>
          <w:highlight w:val="none"/>
          <w:lang w:val="en-US" w:eastAsia="zh-CN"/>
        </w:rPr>
        <w:t>三、商务要求</w:t>
      </w:r>
    </w:p>
    <w:p>
      <w:pPr>
        <w:spacing w:line="360" w:lineRule="auto"/>
        <w:outlineLvl w:val="9"/>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eastAsia="zh-CN"/>
        </w:rPr>
        <w:t>（</w:t>
      </w:r>
      <w:r>
        <w:rPr>
          <w:rFonts w:hint="eastAsia" w:ascii="宋体" w:hAnsi="宋体" w:eastAsia="宋体" w:cs="宋体"/>
          <w:color w:val="000000"/>
          <w:sz w:val="24"/>
          <w:szCs w:val="24"/>
          <w:highlight w:val="none"/>
        </w:rPr>
        <w:t>一</w:t>
      </w:r>
      <w:r>
        <w:rPr>
          <w:rFonts w:hint="eastAsia" w:ascii="宋体" w:hAnsi="宋体" w:cs="宋体"/>
          <w:color w:val="000000"/>
          <w:sz w:val="24"/>
          <w:szCs w:val="24"/>
          <w:highlight w:val="none"/>
          <w:lang w:eastAsia="zh-CN"/>
        </w:rPr>
        <w:t>）</w:t>
      </w:r>
      <w:r>
        <w:rPr>
          <w:rFonts w:hint="eastAsia" w:ascii="宋体" w:hAnsi="宋体" w:eastAsia="宋体" w:cs="宋体"/>
          <w:color w:val="000000"/>
          <w:sz w:val="24"/>
          <w:szCs w:val="24"/>
          <w:highlight w:val="none"/>
        </w:rPr>
        <w:t>、交货期：自合同签订之日起</w:t>
      </w:r>
      <w:r>
        <w:rPr>
          <w:rFonts w:hint="eastAsia" w:ascii="宋体" w:hAnsi="宋体" w:cs="宋体"/>
          <w:color w:val="000000"/>
          <w:sz w:val="24"/>
          <w:szCs w:val="24"/>
          <w:highlight w:val="none"/>
          <w:lang w:val="en-US" w:eastAsia="zh-CN"/>
        </w:rPr>
        <w:t>60</w:t>
      </w:r>
      <w:r>
        <w:rPr>
          <w:rFonts w:hint="eastAsia" w:ascii="宋体" w:hAnsi="宋体" w:eastAsia="宋体" w:cs="宋体"/>
          <w:color w:val="000000"/>
          <w:sz w:val="24"/>
          <w:szCs w:val="24"/>
          <w:highlight w:val="none"/>
        </w:rPr>
        <w:t>个日历日</w:t>
      </w:r>
      <w:r>
        <w:rPr>
          <w:rFonts w:hint="eastAsia" w:ascii="宋体" w:hAnsi="宋体" w:eastAsia="宋体" w:cs="宋体"/>
          <w:color w:val="000000"/>
          <w:sz w:val="24"/>
          <w:szCs w:val="24"/>
          <w:highlight w:val="none"/>
          <w:lang w:val="en-US" w:eastAsia="zh-CN"/>
        </w:rPr>
        <w:t>内</w:t>
      </w:r>
      <w:r>
        <w:rPr>
          <w:rFonts w:hint="eastAsia" w:ascii="宋体" w:hAnsi="宋体" w:eastAsia="宋体" w:cs="宋体"/>
          <w:color w:val="000000"/>
          <w:sz w:val="24"/>
          <w:szCs w:val="24"/>
          <w:highlight w:val="none"/>
        </w:rPr>
        <w:t>完成</w:t>
      </w:r>
      <w:r>
        <w:rPr>
          <w:rFonts w:hint="eastAsia" w:ascii="宋体" w:hAnsi="宋体" w:eastAsia="宋体" w:cs="宋体"/>
          <w:color w:val="000000"/>
          <w:sz w:val="24"/>
          <w:szCs w:val="24"/>
          <w:highlight w:val="none"/>
          <w:lang w:val="en-US" w:eastAsia="zh-CN"/>
        </w:rPr>
        <w:t>安装调试。</w:t>
      </w:r>
    </w:p>
    <w:p>
      <w:pPr>
        <w:spacing w:line="360" w:lineRule="auto"/>
        <w:outlineLvl w:val="9"/>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eastAsia="zh-CN"/>
        </w:rPr>
        <w:t>（</w:t>
      </w:r>
      <w:r>
        <w:rPr>
          <w:rFonts w:hint="eastAsia" w:ascii="宋体" w:hAnsi="宋体" w:eastAsia="宋体" w:cs="宋体"/>
          <w:color w:val="000000"/>
          <w:sz w:val="24"/>
          <w:szCs w:val="24"/>
          <w:highlight w:val="none"/>
        </w:rPr>
        <w:t>二</w:t>
      </w:r>
      <w:r>
        <w:rPr>
          <w:rFonts w:hint="eastAsia" w:ascii="宋体" w:hAnsi="宋体" w:cs="宋体"/>
          <w:color w:val="000000"/>
          <w:sz w:val="24"/>
          <w:szCs w:val="24"/>
          <w:highlight w:val="none"/>
          <w:lang w:eastAsia="zh-CN"/>
        </w:rPr>
        <w:t>）</w:t>
      </w:r>
      <w:r>
        <w:rPr>
          <w:rFonts w:hint="eastAsia" w:ascii="宋体" w:hAnsi="宋体" w:eastAsia="宋体" w:cs="宋体"/>
          <w:color w:val="000000"/>
          <w:sz w:val="24"/>
          <w:szCs w:val="24"/>
          <w:highlight w:val="none"/>
        </w:rPr>
        <w:t>、款项结算</w:t>
      </w:r>
    </w:p>
    <w:p>
      <w:pPr>
        <w:spacing w:line="360" w:lineRule="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、全部</w:t>
      </w:r>
      <w:r>
        <w:rPr>
          <w:rFonts w:hint="eastAsia" w:ascii="宋体" w:hAnsi="宋体" w:eastAsia="宋体" w:cs="宋体"/>
          <w:color w:val="000000"/>
          <w:sz w:val="24"/>
          <w:szCs w:val="24"/>
          <w:highlight w:val="none"/>
          <w:lang w:val="en-US" w:eastAsia="zh-CN"/>
        </w:rPr>
        <w:t>设备</w:t>
      </w:r>
      <w:r>
        <w:rPr>
          <w:rFonts w:hint="eastAsia" w:ascii="宋体" w:hAnsi="宋体" w:eastAsia="宋体" w:cs="宋体"/>
          <w:color w:val="000000"/>
          <w:sz w:val="24"/>
          <w:szCs w:val="24"/>
          <w:highlight w:val="none"/>
        </w:rPr>
        <w:t>到达采购人指定地点</w:t>
      </w:r>
      <w:r>
        <w:rPr>
          <w:rFonts w:hint="eastAsia" w:ascii="宋体" w:hAnsi="宋体" w:eastAsia="宋体" w:cs="宋体"/>
          <w:color w:val="000000"/>
          <w:sz w:val="24"/>
          <w:szCs w:val="24"/>
          <w:highlight w:val="none"/>
          <w:lang w:val="en-US" w:eastAsia="zh-CN"/>
        </w:rPr>
        <w:t>安装调试，</w:t>
      </w:r>
      <w:r>
        <w:rPr>
          <w:rFonts w:hint="eastAsia" w:ascii="宋体" w:hAnsi="宋体" w:eastAsia="宋体" w:cs="宋体"/>
          <w:color w:val="000000"/>
          <w:sz w:val="24"/>
          <w:szCs w:val="24"/>
          <w:highlight w:val="none"/>
        </w:rPr>
        <w:t>验收合格后支付合同总价款的</w:t>
      </w:r>
      <w:r>
        <w:rPr>
          <w:rFonts w:hint="eastAsia" w:ascii="宋体" w:hAnsi="宋体" w:eastAsia="宋体" w:cs="宋体"/>
          <w:color w:val="000000"/>
          <w:sz w:val="24"/>
          <w:szCs w:val="24"/>
          <w:highlight w:val="none"/>
          <w:lang w:val="en-US" w:eastAsia="zh-CN"/>
        </w:rPr>
        <w:t>90</w:t>
      </w:r>
      <w:r>
        <w:rPr>
          <w:rFonts w:hint="eastAsia" w:ascii="宋体" w:hAnsi="宋体" w:eastAsia="宋体" w:cs="宋体"/>
          <w:color w:val="000000"/>
          <w:sz w:val="24"/>
          <w:szCs w:val="24"/>
          <w:highlight w:val="none"/>
        </w:rPr>
        <w:t>％。</w:t>
      </w:r>
    </w:p>
    <w:p>
      <w:pPr>
        <w:spacing w:line="360" w:lineRule="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、从验收合格之日起1年</w:t>
      </w:r>
      <w:r>
        <w:rPr>
          <w:rFonts w:hint="eastAsia" w:ascii="宋体" w:hAnsi="宋体" w:eastAsia="宋体" w:cs="宋体"/>
          <w:color w:val="000000"/>
          <w:sz w:val="24"/>
          <w:szCs w:val="24"/>
          <w:highlight w:val="none"/>
          <w:lang w:val="en-US" w:eastAsia="zh-CN"/>
        </w:rPr>
        <w:t>质保期满</w:t>
      </w:r>
      <w:r>
        <w:rPr>
          <w:rFonts w:hint="eastAsia" w:ascii="宋体" w:hAnsi="宋体" w:eastAsia="宋体" w:cs="宋体"/>
          <w:color w:val="000000"/>
          <w:sz w:val="24"/>
          <w:szCs w:val="24"/>
          <w:highlight w:val="none"/>
        </w:rPr>
        <w:t>后，如无质量等问题，</w:t>
      </w:r>
      <w:r>
        <w:rPr>
          <w:rFonts w:hint="eastAsia" w:ascii="宋体" w:hAnsi="宋体" w:eastAsia="宋体" w:cs="宋体"/>
          <w:color w:val="000000"/>
          <w:sz w:val="24"/>
          <w:szCs w:val="24"/>
          <w:highlight w:val="none"/>
          <w:lang w:val="en-US" w:eastAsia="zh-CN"/>
        </w:rPr>
        <w:t>剩余合同价的10%</w:t>
      </w:r>
      <w:r>
        <w:rPr>
          <w:rFonts w:hint="eastAsia" w:ascii="宋体" w:hAnsi="宋体" w:eastAsia="宋体" w:cs="宋体"/>
          <w:color w:val="000000"/>
          <w:sz w:val="24"/>
          <w:szCs w:val="24"/>
          <w:highlight w:val="none"/>
        </w:rPr>
        <w:t>一次付清。</w:t>
      </w:r>
    </w:p>
    <w:p>
      <w:pPr>
        <w:spacing w:line="360" w:lineRule="auto"/>
        <w:outlineLvl w:val="9"/>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3</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产品质保期</w:t>
      </w:r>
    </w:p>
    <w:p>
      <w:pPr>
        <w:spacing w:line="360" w:lineRule="auto"/>
        <w:outlineLvl w:val="9"/>
        <w:rPr>
          <w:rFonts w:hint="eastAsia"/>
        </w:rPr>
      </w:pPr>
      <w:r>
        <w:rPr>
          <w:rFonts w:hint="eastAsia" w:ascii="宋体" w:hAnsi="宋体" w:eastAsia="宋体" w:cs="宋体"/>
          <w:color w:val="000000"/>
          <w:sz w:val="24"/>
          <w:szCs w:val="24"/>
          <w:highlight w:val="none"/>
        </w:rPr>
        <w:t>验收合格之日起</w:t>
      </w: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lang w:eastAsia="zh-CN"/>
        </w:rPr>
        <w:t>。（中标人承诺超过招标文件要求的，按其承诺的质保期进行质保）</w:t>
      </w:r>
      <w:r>
        <w:rPr>
          <w:rFonts w:hint="eastAsia" w:ascii="宋体" w:hAnsi="宋体" w:eastAsia="宋体" w:cs="宋体"/>
          <w:color w:val="000000"/>
          <w:sz w:val="24"/>
          <w:szCs w:val="24"/>
          <w:highlight w:val="none"/>
          <w:lang w:val="en-US" w:eastAsia="zh-CN"/>
        </w:rPr>
        <w:t>供应商负责工作站软件终身免费升级，在仪器停产后，提供5年的零配件供应和仪器维护。</w:t>
      </w:r>
    </w:p>
    <w:p>
      <w:pPr>
        <w:pStyle w:val="51"/>
        <w:jc w:val="both"/>
        <w:outlineLvl w:val="1"/>
        <w:rPr>
          <w:rFonts w:asciiTheme="minorEastAsia" w:hAnsiTheme="minorEastAsia" w:eastAsiaTheme="minorEastAsia"/>
          <w:b/>
          <w:bCs/>
          <w:sz w:val="36"/>
          <w:szCs w:val="40"/>
        </w:rPr>
      </w:pPr>
      <w:r>
        <w:rPr>
          <w:rFonts w:hint="eastAsia" w:asciiTheme="minorEastAsia" w:hAnsiTheme="minorEastAsia" w:eastAsiaTheme="minorEastAsia"/>
          <w:b/>
          <w:bCs/>
          <w:sz w:val="36"/>
          <w:szCs w:val="40"/>
          <w:lang w:val="en-US" w:eastAsia="zh-CN"/>
        </w:rPr>
        <w:t>四</w:t>
      </w:r>
      <w:r>
        <w:rPr>
          <w:rFonts w:hint="eastAsia" w:asciiTheme="minorEastAsia" w:hAnsiTheme="minorEastAsia" w:eastAsiaTheme="minorEastAsia"/>
          <w:b/>
          <w:bCs/>
          <w:sz w:val="36"/>
          <w:szCs w:val="40"/>
        </w:rPr>
        <w:t>、设备具体参数</w:t>
      </w:r>
    </w:p>
    <w:p>
      <w:pPr>
        <w:pStyle w:val="51"/>
        <w:jc w:val="center"/>
        <w:rPr>
          <w:rFonts w:asciiTheme="minorEastAsia" w:hAnsiTheme="minorEastAsia" w:eastAsiaTheme="minorEastAsia"/>
          <w:b/>
          <w:bCs/>
          <w:sz w:val="36"/>
          <w:szCs w:val="40"/>
        </w:rPr>
      </w:pPr>
      <w:r>
        <w:rPr>
          <w:rFonts w:hint="eastAsia" w:asciiTheme="minorEastAsia" w:hAnsiTheme="minorEastAsia" w:eastAsiaTheme="minorEastAsia"/>
          <w:b/>
          <w:bCs/>
          <w:sz w:val="36"/>
          <w:szCs w:val="40"/>
        </w:rPr>
        <w:t>第一包</w:t>
      </w:r>
      <w:bookmarkStart w:id="313" w:name="_Toc7625"/>
    </w:p>
    <w:bookmarkEnd w:id="313"/>
    <w:p>
      <w:pPr>
        <w:pStyle w:val="51"/>
        <w:keepNext w:val="0"/>
        <w:keepLines w:val="0"/>
        <w:pageBreakBefore w:val="0"/>
        <w:kinsoku/>
        <w:wordWrap/>
        <w:overflowPunct/>
        <w:topLinePunct w:val="0"/>
        <w:autoSpaceDE/>
        <w:autoSpaceDN/>
        <w:bidi w:val="0"/>
        <w:adjustRightInd/>
        <w:snapToGrid/>
        <w:spacing w:line="440" w:lineRule="exact"/>
        <w:jc w:val="left"/>
        <w:textAlignment w:val="auto"/>
        <w:outlineLvl w:val="9"/>
        <w:rPr>
          <w:rFonts w:hint="eastAsia" w:ascii="宋体" w:hAnsi="宋体" w:eastAsia="宋体" w:cs="宋体"/>
          <w:b/>
          <w:bCs/>
          <w:color w:val="000000"/>
          <w:kern w:val="44"/>
          <w:sz w:val="24"/>
          <w:szCs w:val="24"/>
        </w:rPr>
      </w:pPr>
      <w:r>
        <w:rPr>
          <w:rFonts w:hint="eastAsia" w:ascii="宋体" w:hAnsi="宋体" w:eastAsia="宋体" w:cs="宋体"/>
          <w:sz w:val="24"/>
          <w:szCs w:val="24"/>
          <w:lang w:val="en-US" w:eastAsia="zh-CN"/>
        </w:rPr>
        <w:t>一、</w:t>
      </w:r>
      <w:r>
        <w:rPr>
          <w:rFonts w:hint="eastAsia" w:ascii="宋体" w:hAnsi="宋体" w:eastAsia="宋体" w:cs="宋体"/>
          <w:b/>
          <w:bCs/>
          <w:color w:val="000000"/>
          <w:kern w:val="44"/>
          <w:sz w:val="24"/>
          <w:szCs w:val="24"/>
        </w:rPr>
        <w:t>自动顶空进样器技术参数&amp;配置清单</w:t>
      </w:r>
    </w:p>
    <w:p>
      <w:pPr>
        <w:keepNext w:val="0"/>
        <w:keepLines w:val="0"/>
        <w:pageBreakBefore w:val="0"/>
        <w:kinsoku/>
        <w:wordWrap/>
        <w:overflowPunct/>
        <w:topLinePunct w:val="0"/>
        <w:autoSpaceDE/>
        <w:autoSpaceDN/>
        <w:bidi w:val="0"/>
        <w:adjustRightInd/>
        <w:snapToGrid/>
        <w:spacing w:line="440" w:lineRule="exact"/>
        <w:textAlignment w:val="auto"/>
        <w:outlineLvl w:val="9"/>
        <w:rPr>
          <w:rFonts w:ascii="宋体" w:hAnsi="宋体" w:eastAsia="宋体"/>
          <w:b/>
          <w:bCs/>
          <w:sz w:val="24"/>
        </w:rPr>
      </w:pPr>
      <w:r>
        <w:rPr>
          <w:rFonts w:hint="eastAsia" w:ascii="宋体" w:hAnsi="宋体" w:eastAsia="宋体"/>
          <w:b/>
          <w:bCs/>
          <w:sz w:val="24"/>
          <w:lang w:val="en-US" w:eastAsia="zh-CN"/>
        </w:rPr>
        <w:t>1</w:t>
      </w:r>
      <w:r>
        <w:rPr>
          <w:rFonts w:hint="eastAsia" w:ascii="宋体" w:hAnsi="宋体" w:eastAsia="宋体"/>
          <w:b/>
          <w:bCs/>
          <w:sz w:val="24"/>
        </w:rPr>
        <w:t>、设备基本概况：</w:t>
      </w:r>
    </w:p>
    <w:p>
      <w:pPr>
        <w:keepNext w:val="0"/>
        <w:keepLines w:val="0"/>
        <w:pageBreakBefore w:val="0"/>
        <w:kinsoku/>
        <w:wordWrap/>
        <w:overflowPunct/>
        <w:topLinePunct w:val="0"/>
        <w:autoSpaceDE/>
        <w:autoSpaceDN/>
        <w:bidi w:val="0"/>
        <w:adjustRightInd/>
        <w:snapToGrid/>
        <w:spacing w:line="440" w:lineRule="exact"/>
        <w:textAlignment w:val="auto"/>
        <w:outlineLvl w:val="9"/>
        <w:rPr>
          <w:rFonts w:ascii="宋体" w:hAnsi="宋体"/>
          <w:sz w:val="24"/>
        </w:rPr>
      </w:pPr>
      <w:r>
        <w:rPr>
          <w:rFonts w:hint="eastAsia" w:ascii="宋体" w:hAnsi="宋体"/>
          <w:sz w:val="24"/>
        </w:rPr>
        <w:t>1</w:t>
      </w:r>
      <w:r>
        <w:rPr>
          <w:rFonts w:hint="eastAsia" w:ascii="宋体" w:hAnsi="宋体"/>
          <w:sz w:val="24"/>
          <w:lang w:eastAsia="zh-CN"/>
        </w:rPr>
        <w:t>.</w:t>
      </w:r>
      <w:r>
        <w:rPr>
          <w:rFonts w:hint="eastAsia" w:ascii="宋体" w:hAnsi="宋体"/>
          <w:sz w:val="24"/>
        </w:rPr>
        <w:t>1</w:t>
      </w:r>
      <w:r>
        <w:rPr>
          <w:rFonts w:ascii="宋体" w:hAnsi="宋体"/>
          <w:sz w:val="24"/>
        </w:rPr>
        <w:t xml:space="preserve"> 设备名称：自动顶空进样器</w:t>
      </w:r>
    </w:p>
    <w:p>
      <w:pPr>
        <w:keepNext w:val="0"/>
        <w:keepLines w:val="0"/>
        <w:pageBreakBefore w:val="0"/>
        <w:kinsoku/>
        <w:wordWrap/>
        <w:overflowPunct/>
        <w:topLinePunct w:val="0"/>
        <w:autoSpaceDE/>
        <w:autoSpaceDN/>
        <w:bidi w:val="0"/>
        <w:adjustRightInd/>
        <w:snapToGrid/>
        <w:spacing w:line="440" w:lineRule="exact"/>
        <w:textAlignment w:val="auto"/>
        <w:outlineLvl w:val="9"/>
        <w:rPr>
          <w:rFonts w:ascii="宋体" w:hAnsi="宋体"/>
          <w:sz w:val="24"/>
        </w:rPr>
      </w:pPr>
      <w:r>
        <w:rPr>
          <w:rFonts w:hint="eastAsia" w:ascii="宋体" w:hAnsi="宋体"/>
          <w:sz w:val="24"/>
        </w:rPr>
        <w:t>1</w:t>
      </w:r>
      <w:r>
        <w:rPr>
          <w:rFonts w:hint="eastAsia" w:ascii="宋体" w:hAnsi="宋体"/>
          <w:sz w:val="24"/>
          <w:lang w:eastAsia="zh-CN"/>
        </w:rPr>
        <w:t>.</w:t>
      </w:r>
      <w:r>
        <w:rPr>
          <w:rFonts w:hint="eastAsia" w:ascii="宋体" w:hAnsi="宋体"/>
          <w:sz w:val="24"/>
        </w:rPr>
        <w:t>2</w:t>
      </w:r>
      <w:r>
        <w:rPr>
          <w:rFonts w:ascii="宋体" w:hAnsi="宋体"/>
          <w:sz w:val="24"/>
        </w:rPr>
        <w:t xml:space="preserve"> 数量： 1套</w:t>
      </w:r>
    </w:p>
    <w:p>
      <w:pPr>
        <w:keepNext w:val="0"/>
        <w:keepLines w:val="0"/>
        <w:pageBreakBefore w:val="0"/>
        <w:kinsoku/>
        <w:wordWrap/>
        <w:overflowPunct/>
        <w:topLinePunct w:val="0"/>
        <w:autoSpaceDE/>
        <w:autoSpaceDN/>
        <w:bidi w:val="0"/>
        <w:adjustRightInd/>
        <w:snapToGrid/>
        <w:spacing w:line="440" w:lineRule="exact"/>
        <w:textAlignment w:val="auto"/>
        <w:outlineLvl w:val="9"/>
        <w:rPr>
          <w:rFonts w:ascii="宋体" w:hAnsi="宋体" w:eastAsia="宋体"/>
          <w:sz w:val="24"/>
        </w:rPr>
      </w:pPr>
      <w:r>
        <w:rPr>
          <w:rFonts w:hint="eastAsia" w:ascii="宋体" w:hAnsi="宋体"/>
          <w:sz w:val="24"/>
        </w:rPr>
        <w:t>1</w:t>
      </w:r>
      <w:r>
        <w:rPr>
          <w:rFonts w:hint="eastAsia" w:ascii="宋体" w:hAnsi="宋体"/>
          <w:sz w:val="24"/>
          <w:lang w:eastAsia="zh-CN"/>
        </w:rPr>
        <w:t>.</w:t>
      </w:r>
      <w:r>
        <w:rPr>
          <w:rFonts w:hint="eastAsia" w:ascii="宋体" w:hAnsi="宋体"/>
          <w:sz w:val="24"/>
        </w:rPr>
        <w:t>3</w:t>
      </w:r>
      <w:r>
        <w:rPr>
          <w:rFonts w:ascii="宋体" w:hAnsi="宋体"/>
          <w:sz w:val="24"/>
        </w:rPr>
        <w:t xml:space="preserve"> </w:t>
      </w:r>
      <w:r>
        <w:rPr>
          <w:rFonts w:hint="eastAsia" w:ascii="宋体" w:hAnsi="宋体"/>
          <w:sz w:val="24"/>
        </w:rPr>
        <w:t>用途说明：检测生活饮用水中有机挥发物、食品中溶剂残留和水果蔬菜中农药残留，食品包材中的溶剂残留，化肥中的有机物的检测。</w:t>
      </w:r>
    </w:p>
    <w:p>
      <w:pPr>
        <w:keepNext w:val="0"/>
        <w:keepLines w:val="0"/>
        <w:pageBreakBefore w:val="0"/>
        <w:kinsoku/>
        <w:wordWrap/>
        <w:overflowPunct/>
        <w:topLinePunct w:val="0"/>
        <w:autoSpaceDE/>
        <w:autoSpaceDN/>
        <w:bidi w:val="0"/>
        <w:adjustRightInd/>
        <w:snapToGrid/>
        <w:spacing w:line="440" w:lineRule="exact"/>
        <w:textAlignment w:val="auto"/>
        <w:outlineLvl w:val="9"/>
        <w:rPr>
          <w:rFonts w:ascii="宋体" w:hAnsi="宋体" w:eastAsia="宋体"/>
          <w:b/>
          <w:bCs/>
          <w:sz w:val="24"/>
        </w:rPr>
      </w:pPr>
      <w:r>
        <w:rPr>
          <w:rFonts w:hint="eastAsia" w:ascii="宋体" w:hAnsi="宋体" w:eastAsia="宋体"/>
          <w:b/>
          <w:bCs/>
          <w:sz w:val="24"/>
          <w:lang w:val="en-US" w:eastAsia="zh-CN"/>
        </w:rPr>
        <w:t>2</w:t>
      </w:r>
      <w:r>
        <w:rPr>
          <w:rFonts w:hint="eastAsia" w:ascii="宋体" w:hAnsi="宋体" w:eastAsia="宋体"/>
          <w:b/>
          <w:bCs/>
          <w:sz w:val="24"/>
        </w:rPr>
        <w:t>、</w:t>
      </w:r>
      <w:r>
        <w:rPr>
          <w:rFonts w:ascii="宋体" w:hAnsi="宋体" w:eastAsia="宋体"/>
          <w:b/>
          <w:bCs/>
          <w:sz w:val="24"/>
        </w:rPr>
        <w:t>性能规格及要求：</w:t>
      </w:r>
    </w:p>
    <w:p>
      <w:pPr>
        <w:keepNext w:val="0"/>
        <w:keepLines w:val="0"/>
        <w:pageBreakBefore w:val="0"/>
        <w:kinsoku/>
        <w:wordWrap/>
        <w:overflowPunct/>
        <w:topLinePunct w:val="0"/>
        <w:autoSpaceDE/>
        <w:autoSpaceDN/>
        <w:bidi w:val="0"/>
        <w:adjustRightInd/>
        <w:snapToGrid/>
        <w:spacing w:line="440" w:lineRule="exact"/>
        <w:textAlignment w:val="auto"/>
        <w:outlineLvl w:val="9"/>
        <w:rPr>
          <w:rFonts w:ascii="宋体" w:hAnsi="宋体"/>
          <w:sz w:val="24"/>
        </w:rPr>
      </w:pPr>
      <w:r>
        <w:rPr>
          <w:rFonts w:hint="eastAsia" w:ascii="宋体" w:hAnsi="宋体"/>
          <w:sz w:val="24"/>
        </w:rPr>
        <w:t>2.</w:t>
      </w:r>
      <w:r>
        <w:rPr>
          <w:rFonts w:hint="eastAsia" w:ascii="宋体" w:hAnsi="宋体"/>
          <w:sz w:val="24"/>
          <w:lang w:val="en-US" w:eastAsia="zh-CN"/>
        </w:rPr>
        <w:t xml:space="preserve">1 </w:t>
      </w:r>
      <w:r>
        <w:rPr>
          <w:rFonts w:hint="eastAsia" w:ascii="宋体" w:hAnsi="宋体"/>
          <w:sz w:val="24"/>
        </w:rPr>
        <w:t>样品容量：≥</w:t>
      </w:r>
      <w:r>
        <w:rPr>
          <w:rFonts w:hint="eastAsia" w:ascii="宋体" w:hAnsi="宋体"/>
          <w:snapToGrid w:val="0"/>
          <w:kern w:val="0"/>
          <w:sz w:val="24"/>
        </w:rPr>
        <w:t>20</w:t>
      </w:r>
      <w:r>
        <w:rPr>
          <w:rFonts w:hint="eastAsia" w:ascii="宋体" w:hAnsi="宋体"/>
          <w:sz w:val="24"/>
        </w:rPr>
        <w:t>样品位的样品盘；</w:t>
      </w:r>
    </w:p>
    <w:p>
      <w:pPr>
        <w:keepNext w:val="0"/>
        <w:keepLines w:val="0"/>
        <w:pageBreakBefore w:val="0"/>
        <w:kinsoku/>
        <w:wordWrap/>
        <w:overflowPunct/>
        <w:topLinePunct w:val="0"/>
        <w:autoSpaceDE/>
        <w:autoSpaceDN/>
        <w:bidi w:val="0"/>
        <w:adjustRightInd/>
        <w:snapToGrid/>
        <w:spacing w:line="440" w:lineRule="exact"/>
        <w:textAlignment w:val="auto"/>
        <w:outlineLvl w:val="9"/>
        <w:rPr>
          <w:rFonts w:ascii="宋体" w:hAnsi="宋体"/>
          <w:sz w:val="24"/>
        </w:rPr>
      </w:pPr>
      <w:r>
        <w:rPr>
          <w:rFonts w:hint="eastAsia" w:ascii="宋体" w:hAnsi="宋体"/>
          <w:sz w:val="24"/>
        </w:rPr>
        <w:t>2.</w:t>
      </w:r>
      <w:r>
        <w:rPr>
          <w:rFonts w:hint="eastAsia" w:ascii="宋体" w:hAnsi="宋体"/>
          <w:sz w:val="24"/>
          <w:lang w:val="en-US" w:eastAsia="zh-CN"/>
        </w:rPr>
        <w:t>2</w:t>
      </w:r>
      <w:r>
        <w:rPr>
          <w:rFonts w:hint="eastAsia" w:ascii="宋体" w:hAnsi="宋体"/>
          <w:sz w:val="24"/>
        </w:rPr>
        <w:t>顶空瓶体积：20ml；</w:t>
      </w:r>
    </w:p>
    <w:p>
      <w:pPr>
        <w:keepNext w:val="0"/>
        <w:keepLines w:val="0"/>
        <w:pageBreakBefore w:val="0"/>
        <w:kinsoku/>
        <w:wordWrap/>
        <w:overflowPunct/>
        <w:topLinePunct w:val="0"/>
        <w:autoSpaceDE/>
        <w:autoSpaceDN/>
        <w:bidi w:val="0"/>
        <w:adjustRightInd/>
        <w:snapToGrid/>
        <w:spacing w:line="440" w:lineRule="exact"/>
        <w:textAlignment w:val="auto"/>
        <w:outlineLvl w:val="9"/>
        <w:rPr>
          <w:rFonts w:ascii="宋体" w:hAnsi="宋体"/>
          <w:sz w:val="24"/>
        </w:rPr>
      </w:pPr>
      <w:r>
        <w:rPr>
          <w:rFonts w:hint="eastAsia" w:ascii="宋体" w:hAnsi="宋体"/>
          <w:sz w:val="24"/>
        </w:rPr>
        <w:t>2.</w:t>
      </w:r>
      <w:r>
        <w:rPr>
          <w:rFonts w:hint="eastAsia" w:ascii="宋体" w:hAnsi="宋体"/>
          <w:sz w:val="24"/>
          <w:lang w:val="en-US" w:eastAsia="zh-CN"/>
        </w:rPr>
        <w:t xml:space="preserve">3 </w:t>
      </w:r>
      <w:r>
        <w:rPr>
          <w:rFonts w:hint="eastAsia" w:ascii="宋体" w:hAnsi="宋体"/>
          <w:sz w:val="24"/>
        </w:rPr>
        <w:t>样品恒温器：</w:t>
      </w:r>
      <w:r>
        <w:rPr>
          <w:rFonts w:hint="eastAsia" w:ascii="宋体" w:hAnsi="宋体" w:eastAsia="宋体" w:cs="Courier New"/>
          <w:bCs/>
          <w:kern w:val="2"/>
          <w:sz w:val="24"/>
          <w:szCs w:val="24"/>
          <w:lang w:val="en-US" w:eastAsia="zh-CN" w:bidi="ar-SA"/>
        </w:rPr>
        <w:t>≥5位智能重叠</w:t>
      </w:r>
      <w:r>
        <w:rPr>
          <w:rFonts w:hint="eastAsia" w:ascii="宋体" w:hAnsi="宋体"/>
          <w:sz w:val="24"/>
        </w:rPr>
        <w:t>加热位；</w:t>
      </w:r>
    </w:p>
    <w:p>
      <w:pPr>
        <w:keepNext w:val="0"/>
        <w:keepLines w:val="0"/>
        <w:pageBreakBefore w:val="0"/>
        <w:kinsoku/>
        <w:wordWrap/>
        <w:overflowPunct/>
        <w:topLinePunct w:val="0"/>
        <w:autoSpaceDE/>
        <w:autoSpaceDN/>
        <w:bidi w:val="0"/>
        <w:adjustRightInd/>
        <w:snapToGrid/>
        <w:spacing w:line="440" w:lineRule="exact"/>
        <w:textAlignment w:val="auto"/>
        <w:outlineLvl w:val="9"/>
        <w:rPr>
          <w:rFonts w:ascii="宋体" w:hAnsi="宋体"/>
          <w:sz w:val="24"/>
        </w:rPr>
      </w:pPr>
      <w:r>
        <w:rPr>
          <w:rFonts w:hint="eastAsia" w:ascii="宋体" w:hAnsi="宋体"/>
          <w:sz w:val="24"/>
        </w:rPr>
        <w:t>2.</w:t>
      </w:r>
      <w:r>
        <w:rPr>
          <w:rFonts w:hint="eastAsia" w:ascii="宋体" w:hAnsi="宋体"/>
          <w:sz w:val="24"/>
          <w:lang w:val="en-US" w:eastAsia="zh-CN"/>
        </w:rPr>
        <w:t xml:space="preserve">4 </w:t>
      </w:r>
      <w:r>
        <w:rPr>
          <w:rFonts w:hint="eastAsia" w:ascii="宋体" w:hAnsi="宋体"/>
          <w:sz w:val="24"/>
        </w:rPr>
        <w:t>样品温度：</w:t>
      </w:r>
      <w:r>
        <w:rPr>
          <w:rFonts w:ascii="宋体" w:hAnsi="宋体"/>
          <w:sz w:val="24"/>
        </w:rPr>
        <w:t>40</w:t>
      </w:r>
      <w:r>
        <w:rPr>
          <w:rFonts w:hint="eastAsia" w:ascii="微软雅黑" w:hAnsi="微软雅黑" w:eastAsia="微软雅黑" w:cs="微软雅黑"/>
          <w:sz w:val="24"/>
        </w:rPr>
        <w:t>˚</w:t>
      </w:r>
      <w:r>
        <w:rPr>
          <w:rFonts w:hint="eastAsia" w:ascii="宋体" w:hAnsi="宋体" w:cs="宋体"/>
          <w:sz w:val="24"/>
        </w:rPr>
        <w:t>C</w:t>
      </w:r>
      <w:r>
        <w:rPr>
          <w:rFonts w:hint="eastAsia" w:ascii="宋体" w:hAnsi="宋体"/>
          <w:sz w:val="24"/>
        </w:rPr>
        <w:t>至19</w:t>
      </w:r>
      <w:r>
        <w:rPr>
          <w:rFonts w:ascii="宋体" w:hAnsi="宋体"/>
          <w:sz w:val="24"/>
        </w:rPr>
        <w:t>0</w:t>
      </w:r>
      <w:r>
        <w:rPr>
          <w:rFonts w:hint="eastAsia" w:ascii="微软雅黑" w:hAnsi="微软雅黑" w:eastAsia="微软雅黑" w:cs="微软雅黑"/>
          <w:sz w:val="24"/>
        </w:rPr>
        <w:t>˚</w:t>
      </w:r>
      <w:r>
        <w:rPr>
          <w:rFonts w:hint="eastAsia" w:ascii="宋体" w:hAnsi="宋体" w:cs="宋体"/>
          <w:sz w:val="24"/>
        </w:rPr>
        <w:t>C</w:t>
      </w:r>
      <w:r>
        <w:rPr>
          <w:rFonts w:hint="eastAsia" w:ascii="宋体" w:hAnsi="宋体"/>
          <w:sz w:val="24"/>
        </w:rPr>
        <w:t>间设定，</w:t>
      </w:r>
      <w:r>
        <w:rPr>
          <w:rFonts w:ascii="宋体" w:hAnsi="宋体"/>
          <w:sz w:val="24"/>
        </w:rPr>
        <w:t>1</w:t>
      </w:r>
      <w:r>
        <w:rPr>
          <w:rFonts w:hint="eastAsia" w:ascii="微软雅黑" w:hAnsi="微软雅黑" w:eastAsia="微软雅黑" w:cs="微软雅黑"/>
          <w:sz w:val="24"/>
        </w:rPr>
        <w:t>˚</w:t>
      </w:r>
      <w:r>
        <w:rPr>
          <w:rFonts w:hint="eastAsia" w:ascii="宋体" w:hAnsi="宋体" w:cs="宋体"/>
          <w:sz w:val="24"/>
        </w:rPr>
        <w:t>C</w:t>
      </w:r>
      <w:r>
        <w:rPr>
          <w:rFonts w:hint="eastAsia" w:ascii="宋体" w:hAnsi="宋体"/>
          <w:sz w:val="24"/>
        </w:rPr>
        <w:t>变化；</w:t>
      </w:r>
    </w:p>
    <w:p>
      <w:pPr>
        <w:keepNext w:val="0"/>
        <w:keepLines w:val="0"/>
        <w:pageBreakBefore w:val="0"/>
        <w:kinsoku/>
        <w:wordWrap/>
        <w:overflowPunct/>
        <w:topLinePunct w:val="0"/>
        <w:autoSpaceDE/>
        <w:autoSpaceDN/>
        <w:bidi w:val="0"/>
        <w:adjustRightInd/>
        <w:snapToGrid/>
        <w:spacing w:line="440" w:lineRule="exact"/>
        <w:textAlignment w:val="auto"/>
        <w:outlineLvl w:val="9"/>
        <w:rPr>
          <w:rFonts w:ascii="宋体" w:hAnsi="宋体"/>
          <w:sz w:val="24"/>
        </w:rPr>
      </w:pPr>
      <w:r>
        <w:rPr>
          <w:rFonts w:hint="eastAsia" w:ascii="宋体" w:hAnsi="宋体"/>
          <w:sz w:val="24"/>
        </w:rPr>
        <w:t>2.</w:t>
      </w:r>
      <w:r>
        <w:rPr>
          <w:rFonts w:hint="eastAsia" w:ascii="宋体" w:hAnsi="宋体"/>
          <w:sz w:val="24"/>
          <w:lang w:val="en-US" w:eastAsia="zh-CN"/>
        </w:rPr>
        <w:t xml:space="preserve">5 </w:t>
      </w:r>
      <w:r>
        <w:rPr>
          <w:rFonts w:hint="eastAsia" w:ascii="宋体" w:hAnsi="宋体"/>
          <w:sz w:val="24"/>
        </w:rPr>
        <w:t>样品加热：整体铝块加热炉。能精确地控制对每个样品的加热温度和时间。软件自动计算优化样品的重叠加热及平衡时间，保证每一个样品被提取前加热恒温</w:t>
      </w:r>
      <w:r>
        <w:rPr>
          <w:rFonts w:hint="eastAsia" w:ascii="宋体" w:hAnsi="宋体"/>
          <w:sz w:val="24"/>
          <w:lang w:val="en-US" w:eastAsia="zh-CN"/>
        </w:rPr>
        <w:t>时间</w:t>
      </w:r>
      <w:r>
        <w:rPr>
          <w:rFonts w:hint="eastAsia" w:ascii="宋体" w:hAnsi="宋体"/>
          <w:sz w:val="24"/>
        </w:rPr>
        <w:t>一致，具有极好的重现性；</w:t>
      </w:r>
    </w:p>
    <w:p>
      <w:pPr>
        <w:keepNext w:val="0"/>
        <w:keepLines w:val="0"/>
        <w:pageBreakBefore w:val="0"/>
        <w:kinsoku/>
        <w:wordWrap/>
        <w:overflowPunct/>
        <w:topLinePunct w:val="0"/>
        <w:autoSpaceDE/>
        <w:autoSpaceDN/>
        <w:bidi w:val="0"/>
        <w:adjustRightInd/>
        <w:snapToGrid/>
        <w:spacing w:line="440" w:lineRule="exact"/>
        <w:textAlignment w:val="auto"/>
        <w:outlineLvl w:val="9"/>
        <w:rPr>
          <w:rFonts w:ascii="宋体" w:hAnsi="宋体"/>
          <w:sz w:val="24"/>
        </w:rPr>
      </w:pPr>
      <w:r>
        <w:rPr>
          <w:rFonts w:hint="eastAsia" w:ascii="宋体" w:hAnsi="宋体"/>
          <w:sz w:val="24"/>
        </w:rPr>
        <w:t>2.7提取温度（进样针）：</w:t>
      </w:r>
      <w:r>
        <w:rPr>
          <w:rFonts w:ascii="宋体" w:hAnsi="宋体"/>
          <w:sz w:val="24"/>
        </w:rPr>
        <w:t>40</w:t>
      </w:r>
      <w:r>
        <w:rPr>
          <w:rFonts w:hint="eastAsia" w:ascii="微软雅黑" w:hAnsi="微软雅黑" w:eastAsia="微软雅黑" w:cs="微软雅黑"/>
          <w:sz w:val="24"/>
        </w:rPr>
        <w:t>˚</w:t>
      </w:r>
      <w:r>
        <w:rPr>
          <w:rFonts w:hint="eastAsia" w:ascii="宋体" w:hAnsi="宋体" w:cs="宋体"/>
          <w:sz w:val="24"/>
        </w:rPr>
        <w:t>C</w:t>
      </w:r>
      <w:r>
        <w:rPr>
          <w:rFonts w:hint="eastAsia" w:ascii="宋体" w:hAnsi="宋体"/>
          <w:sz w:val="24"/>
        </w:rPr>
        <w:t>至</w:t>
      </w:r>
      <w:r>
        <w:rPr>
          <w:rFonts w:ascii="宋体" w:hAnsi="宋体"/>
          <w:sz w:val="24"/>
        </w:rPr>
        <w:t>2</w:t>
      </w:r>
      <w:r>
        <w:rPr>
          <w:rFonts w:hint="eastAsia" w:ascii="宋体" w:hAnsi="宋体"/>
          <w:sz w:val="24"/>
        </w:rPr>
        <w:t>1</w:t>
      </w:r>
      <w:r>
        <w:rPr>
          <w:rFonts w:ascii="宋体" w:hAnsi="宋体"/>
          <w:sz w:val="24"/>
        </w:rPr>
        <w:t>0</w:t>
      </w:r>
      <w:r>
        <w:rPr>
          <w:rFonts w:hint="eastAsia" w:ascii="微软雅黑" w:hAnsi="微软雅黑" w:eastAsia="微软雅黑" w:cs="微软雅黑"/>
          <w:sz w:val="24"/>
        </w:rPr>
        <w:t>˚</w:t>
      </w:r>
      <w:r>
        <w:rPr>
          <w:rFonts w:hint="eastAsia" w:ascii="宋体" w:hAnsi="宋体" w:cs="宋体"/>
          <w:sz w:val="24"/>
        </w:rPr>
        <w:t>C</w:t>
      </w:r>
      <w:r>
        <w:rPr>
          <w:rFonts w:hint="eastAsia" w:ascii="宋体" w:hAnsi="宋体"/>
          <w:sz w:val="24"/>
        </w:rPr>
        <w:t>间设定，</w:t>
      </w:r>
      <w:r>
        <w:rPr>
          <w:rFonts w:ascii="宋体" w:hAnsi="宋体"/>
          <w:sz w:val="24"/>
        </w:rPr>
        <w:t>1</w:t>
      </w:r>
      <w:r>
        <w:rPr>
          <w:rFonts w:hint="eastAsia" w:ascii="微软雅黑" w:hAnsi="微软雅黑" w:eastAsia="微软雅黑" w:cs="微软雅黑"/>
          <w:sz w:val="24"/>
        </w:rPr>
        <w:t>˚</w:t>
      </w:r>
      <w:r>
        <w:rPr>
          <w:rFonts w:hint="eastAsia" w:ascii="宋体" w:hAnsi="宋体" w:cs="宋体"/>
          <w:sz w:val="24"/>
        </w:rPr>
        <w:t>C</w:t>
      </w:r>
      <w:r>
        <w:rPr>
          <w:rFonts w:hint="eastAsia" w:ascii="宋体" w:hAnsi="宋体"/>
          <w:sz w:val="24"/>
        </w:rPr>
        <w:t>变化；</w:t>
      </w:r>
    </w:p>
    <w:p>
      <w:pPr>
        <w:keepNext w:val="0"/>
        <w:keepLines w:val="0"/>
        <w:pageBreakBefore w:val="0"/>
        <w:kinsoku/>
        <w:wordWrap/>
        <w:overflowPunct/>
        <w:topLinePunct w:val="0"/>
        <w:autoSpaceDE/>
        <w:autoSpaceDN/>
        <w:bidi w:val="0"/>
        <w:adjustRightInd/>
        <w:snapToGrid/>
        <w:spacing w:line="440" w:lineRule="exact"/>
        <w:textAlignment w:val="auto"/>
        <w:outlineLvl w:val="9"/>
        <w:rPr>
          <w:rFonts w:hint="default" w:ascii="宋体" w:hAnsi="宋体" w:eastAsia="宋体"/>
          <w:sz w:val="24"/>
          <w:lang w:val="en-US" w:eastAsia="zh-CN"/>
        </w:rPr>
      </w:pPr>
      <w:r>
        <w:rPr>
          <w:rFonts w:hint="eastAsia" w:ascii="宋体" w:hAnsi="宋体"/>
          <w:sz w:val="24"/>
        </w:rPr>
        <w:t>2.8传输线长度：1m</w:t>
      </w:r>
    </w:p>
    <w:p>
      <w:pPr>
        <w:keepNext w:val="0"/>
        <w:keepLines w:val="0"/>
        <w:pageBreakBefore w:val="0"/>
        <w:kinsoku/>
        <w:wordWrap/>
        <w:overflowPunct/>
        <w:topLinePunct w:val="0"/>
        <w:autoSpaceDE/>
        <w:autoSpaceDN/>
        <w:bidi w:val="0"/>
        <w:adjustRightInd/>
        <w:snapToGrid/>
        <w:spacing w:line="440" w:lineRule="exact"/>
        <w:textAlignment w:val="auto"/>
        <w:outlineLvl w:val="9"/>
        <w:rPr>
          <w:rFonts w:ascii="宋体" w:hAnsi="宋体"/>
          <w:sz w:val="24"/>
        </w:rPr>
      </w:pPr>
      <w:r>
        <w:rPr>
          <w:rFonts w:hint="eastAsia" w:ascii="宋体" w:hAnsi="宋体"/>
          <w:sz w:val="24"/>
        </w:rPr>
        <w:t>2.9传输线温度：</w:t>
      </w:r>
      <w:r>
        <w:rPr>
          <w:rFonts w:ascii="宋体" w:hAnsi="宋体"/>
          <w:sz w:val="24"/>
        </w:rPr>
        <w:t>40</w:t>
      </w:r>
      <w:r>
        <w:rPr>
          <w:rFonts w:hint="eastAsia" w:ascii="微软雅黑" w:hAnsi="微软雅黑" w:eastAsia="微软雅黑" w:cs="微软雅黑"/>
          <w:sz w:val="24"/>
        </w:rPr>
        <w:t>˚</w:t>
      </w:r>
      <w:r>
        <w:rPr>
          <w:rFonts w:hint="eastAsia" w:ascii="宋体" w:hAnsi="宋体" w:cs="宋体"/>
          <w:sz w:val="24"/>
        </w:rPr>
        <w:t>C</w:t>
      </w:r>
      <w:r>
        <w:rPr>
          <w:rFonts w:hint="eastAsia" w:ascii="宋体" w:hAnsi="宋体"/>
          <w:sz w:val="24"/>
        </w:rPr>
        <w:t>至</w:t>
      </w:r>
      <w:r>
        <w:rPr>
          <w:rFonts w:ascii="宋体" w:hAnsi="宋体"/>
          <w:sz w:val="24"/>
        </w:rPr>
        <w:t>2</w:t>
      </w:r>
      <w:r>
        <w:rPr>
          <w:rFonts w:hint="eastAsia" w:ascii="宋体" w:hAnsi="宋体"/>
          <w:sz w:val="24"/>
        </w:rPr>
        <w:t>1</w:t>
      </w:r>
      <w:r>
        <w:rPr>
          <w:rFonts w:ascii="宋体" w:hAnsi="宋体"/>
          <w:sz w:val="24"/>
        </w:rPr>
        <w:t>0</w:t>
      </w:r>
      <w:r>
        <w:rPr>
          <w:rFonts w:hint="eastAsia" w:ascii="微软雅黑" w:hAnsi="微软雅黑" w:eastAsia="微软雅黑" w:cs="微软雅黑"/>
          <w:sz w:val="24"/>
        </w:rPr>
        <w:t>˚</w:t>
      </w:r>
      <w:r>
        <w:rPr>
          <w:rFonts w:hint="eastAsia" w:ascii="宋体" w:hAnsi="宋体" w:cs="宋体"/>
          <w:sz w:val="24"/>
        </w:rPr>
        <w:t>C</w:t>
      </w:r>
      <w:r>
        <w:rPr>
          <w:rFonts w:hint="eastAsia" w:ascii="宋体" w:hAnsi="宋体"/>
          <w:sz w:val="24"/>
        </w:rPr>
        <w:t>间设定，</w:t>
      </w:r>
      <w:r>
        <w:rPr>
          <w:rFonts w:ascii="宋体" w:hAnsi="宋体"/>
          <w:sz w:val="24"/>
        </w:rPr>
        <w:t>1</w:t>
      </w:r>
      <w:r>
        <w:rPr>
          <w:rFonts w:hint="eastAsia" w:ascii="微软雅黑" w:hAnsi="微软雅黑" w:eastAsia="微软雅黑" w:cs="微软雅黑"/>
          <w:sz w:val="24"/>
        </w:rPr>
        <w:t>˚</w:t>
      </w:r>
      <w:r>
        <w:rPr>
          <w:rFonts w:hint="eastAsia" w:ascii="宋体" w:hAnsi="宋体" w:cs="宋体"/>
          <w:sz w:val="24"/>
        </w:rPr>
        <w:t>C</w:t>
      </w:r>
      <w:r>
        <w:rPr>
          <w:rFonts w:hint="eastAsia" w:ascii="宋体" w:hAnsi="宋体"/>
          <w:sz w:val="24"/>
        </w:rPr>
        <w:t>变化，也可于常温运行；</w:t>
      </w:r>
    </w:p>
    <w:p>
      <w:pPr>
        <w:keepNext w:val="0"/>
        <w:keepLines w:val="0"/>
        <w:pageBreakBefore w:val="0"/>
        <w:kinsoku/>
        <w:wordWrap/>
        <w:overflowPunct/>
        <w:topLinePunct w:val="0"/>
        <w:autoSpaceDE/>
        <w:autoSpaceDN/>
        <w:bidi w:val="0"/>
        <w:adjustRightInd/>
        <w:snapToGrid/>
        <w:spacing w:line="440" w:lineRule="exact"/>
        <w:textAlignment w:val="auto"/>
        <w:outlineLvl w:val="9"/>
        <w:rPr>
          <w:rFonts w:ascii="宋体" w:hAnsi="宋体"/>
          <w:sz w:val="24"/>
        </w:rPr>
      </w:pPr>
      <w:r>
        <w:rPr>
          <w:rFonts w:hint="eastAsia" w:ascii="宋体" w:hAnsi="宋体"/>
          <w:sz w:val="24"/>
        </w:rPr>
        <w:t>2.10 进样量：时间控制进样量；</w:t>
      </w:r>
    </w:p>
    <w:p>
      <w:pPr>
        <w:keepNext w:val="0"/>
        <w:keepLines w:val="0"/>
        <w:pageBreakBefore w:val="0"/>
        <w:kinsoku/>
        <w:wordWrap/>
        <w:overflowPunct/>
        <w:topLinePunct w:val="0"/>
        <w:autoSpaceDE/>
        <w:autoSpaceDN/>
        <w:bidi w:val="0"/>
        <w:adjustRightInd/>
        <w:snapToGrid/>
        <w:spacing w:line="440" w:lineRule="exact"/>
        <w:textAlignment w:val="auto"/>
        <w:outlineLvl w:val="9"/>
        <w:rPr>
          <w:rFonts w:ascii="宋体" w:hAnsi="宋体"/>
          <w:sz w:val="24"/>
        </w:rPr>
      </w:pPr>
      <w:r>
        <w:rPr>
          <w:rFonts w:hint="eastAsia" w:ascii="宋体" w:hAnsi="宋体"/>
          <w:sz w:val="24"/>
        </w:rPr>
        <w:t>2.12高压进样功能：通过参数设定（无需增加硬件）即可实现高压进样方式，避免二次进样的可能；</w:t>
      </w:r>
    </w:p>
    <w:p>
      <w:pPr>
        <w:keepNext w:val="0"/>
        <w:keepLines w:val="0"/>
        <w:pageBreakBefore w:val="0"/>
        <w:kinsoku/>
        <w:wordWrap/>
        <w:overflowPunct/>
        <w:topLinePunct w:val="0"/>
        <w:autoSpaceDE/>
        <w:autoSpaceDN/>
        <w:bidi w:val="0"/>
        <w:adjustRightInd/>
        <w:snapToGrid/>
        <w:spacing w:line="440" w:lineRule="exact"/>
        <w:textAlignment w:val="auto"/>
        <w:outlineLvl w:val="9"/>
        <w:rPr>
          <w:rFonts w:ascii="宋体" w:hAnsi="宋体"/>
          <w:sz w:val="24"/>
        </w:rPr>
      </w:pPr>
      <w:r>
        <w:rPr>
          <w:rFonts w:hint="eastAsia" w:ascii="宋体" w:hAnsi="宋体"/>
          <w:sz w:val="24"/>
        </w:rPr>
        <w:t>2.13操作模式</w:t>
      </w:r>
    </w:p>
    <w:p>
      <w:pPr>
        <w:pStyle w:val="88"/>
        <w:keepNext w:val="0"/>
        <w:keepLines w:val="0"/>
        <w:pageBreakBefore w:val="0"/>
        <w:kinsoku/>
        <w:wordWrap/>
        <w:overflowPunct/>
        <w:topLinePunct w:val="0"/>
        <w:autoSpaceDE/>
        <w:autoSpaceDN/>
        <w:bidi w:val="0"/>
        <w:adjustRightInd/>
        <w:snapToGrid/>
        <w:spacing w:line="440" w:lineRule="exact"/>
        <w:textAlignment w:val="auto"/>
        <w:outlineLvl w:val="9"/>
        <w:rPr>
          <w:rFonts w:ascii="宋体" w:hAnsi="宋体"/>
          <w:sz w:val="24"/>
        </w:rPr>
      </w:pPr>
      <w:r>
        <w:rPr>
          <w:rFonts w:ascii="宋体" w:hAnsi="宋体"/>
          <w:b/>
          <w:sz w:val="24"/>
        </w:rPr>
        <w:t>恒定模式</w:t>
      </w:r>
      <w:r>
        <w:rPr>
          <w:rFonts w:hint="eastAsia" w:ascii="宋体" w:hAnsi="宋体"/>
        </w:rPr>
        <w:t>:</w:t>
      </w:r>
      <w:r>
        <w:rPr>
          <w:rFonts w:hint="eastAsia" w:ascii="宋体" w:hAnsi="宋体"/>
          <w:sz w:val="24"/>
        </w:rPr>
        <w:t>恒温时间恒定模式。样品在被分析之前被加热恒温相同的时间。</w:t>
      </w:r>
      <w:r>
        <w:rPr>
          <w:rFonts w:hint="eastAsia" w:ascii="宋体" w:hAnsi="宋体"/>
          <w:bCs/>
          <w:sz w:val="24"/>
        </w:rPr>
        <w:t>通过</w:t>
      </w:r>
      <w:r>
        <w:rPr>
          <w:rFonts w:hint="eastAsia" w:ascii="宋体" w:hAnsi="宋体"/>
          <w:b/>
          <w:sz w:val="24"/>
        </w:rPr>
        <w:t>计算机软件</w:t>
      </w:r>
      <w:r>
        <w:rPr>
          <w:rFonts w:hint="eastAsia" w:ascii="宋体" w:hAnsi="宋体"/>
          <w:bCs/>
          <w:sz w:val="24"/>
        </w:rPr>
        <w:t>控制顶空的运行以及实时监测顶空的运行状态；</w:t>
      </w:r>
    </w:p>
    <w:p>
      <w:pPr>
        <w:keepNext w:val="0"/>
        <w:keepLines w:val="0"/>
        <w:pageBreakBefore w:val="0"/>
        <w:tabs>
          <w:tab w:val="left" w:pos="360"/>
        </w:tabs>
        <w:kinsoku/>
        <w:wordWrap/>
        <w:overflowPunct/>
        <w:topLinePunct w:val="0"/>
        <w:autoSpaceDE/>
        <w:autoSpaceDN/>
        <w:bidi w:val="0"/>
        <w:adjustRightInd/>
        <w:snapToGrid/>
        <w:spacing w:line="440" w:lineRule="exact"/>
        <w:textAlignment w:val="auto"/>
        <w:outlineLvl w:val="9"/>
        <w:rPr>
          <w:rFonts w:ascii="宋体" w:hAnsi="宋体"/>
          <w:sz w:val="24"/>
        </w:rPr>
      </w:pPr>
      <w:r>
        <w:rPr>
          <w:rFonts w:hint="eastAsia" w:ascii="宋体" w:hAnsi="宋体"/>
          <w:sz w:val="24"/>
        </w:rPr>
        <w:t>2.14样品适应性：具有抗酸碱腐蚀的能力，</w:t>
      </w:r>
      <w:r>
        <w:rPr>
          <w:rFonts w:hint="eastAsia" w:ascii="宋体" w:hAnsi="宋体"/>
          <w:sz w:val="24"/>
          <w:lang w:val="en-US" w:eastAsia="zh-CN"/>
        </w:rPr>
        <w:t>可</w:t>
      </w:r>
      <w:r>
        <w:rPr>
          <w:rFonts w:hint="eastAsia" w:ascii="宋体" w:hAnsi="宋体"/>
          <w:sz w:val="24"/>
        </w:rPr>
        <w:t>分析极性物质和非极性</w:t>
      </w:r>
      <w:r>
        <w:rPr>
          <w:rFonts w:hint="eastAsia" w:ascii="宋体" w:hAnsi="宋体"/>
          <w:sz w:val="24"/>
          <w:lang w:val="en-US" w:eastAsia="zh-CN"/>
        </w:rPr>
        <w:t>物质</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440" w:lineRule="exact"/>
        <w:textAlignment w:val="auto"/>
        <w:outlineLvl w:val="9"/>
        <w:rPr>
          <w:rFonts w:ascii="宋体" w:hAnsi="宋体"/>
          <w:sz w:val="24"/>
        </w:rPr>
      </w:pPr>
      <w:r>
        <w:rPr>
          <w:rFonts w:hint="eastAsia" w:ascii="宋体" w:hAnsi="宋体"/>
          <w:sz w:val="24"/>
        </w:rPr>
        <w:t>2.15全流路自动泄漏测试：用户选定泄漏测试，仪器进入全流路泄漏测试（包括样品瓶在内），最大限度地保证仪器的可靠性；</w:t>
      </w:r>
    </w:p>
    <w:p>
      <w:pPr>
        <w:keepNext w:val="0"/>
        <w:keepLines w:val="0"/>
        <w:pageBreakBefore w:val="0"/>
        <w:kinsoku/>
        <w:wordWrap/>
        <w:overflowPunct/>
        <w:topLinePunct w:val="0"/>
        <w:autoSpaceDE/>
        <w:autoSpaceDN/>
        <w:bidi w:val="0"/>
        <w:adjustRightInd/>
        <w:snapToGrid/>
        <w:spacing w:line="440" w:lineRule="exact"/>
        <w:textAlignment w:val="auto"/>
        <w:outlineLvl w:val="9"/>
        <w:rPr>
          <w:rFonts w:ascii="宋体" w:hAnsi="宋体"/>
          <w:sz w:val="24"/>
        </w:rPr>
      </w:pPr>
      <w:r>
        <w:rPr>
          <w:rFonts w:hint="eastAsia" w:ascii="宋体" w:hAnsi="宋体"/>
          <w:sz w:val="24"/>
        </w:rPr>
        <w:t>2.16具有通用的接口，可与任何气相色谱连接；</w:t>
      </w:r>
    </w:p>
    <w:p>
      <w:pPr>
        <w:keepNext w:val="0"/>
        <w:keepLines w:val="0"/>
        <w:pageBreakBefore w:val="0"/>
        <w:kinsoku/>
        <w:wordWrap/>
        <w:overflowPunct/>
        <w:topLinePunct w:val="0"/>
        <w:autoSpaceDE/>
        <w:autoSpaceDN/>
        <w:bidi w:val="0"/>
        <w:adjustRightInd/>
        <w:snapToGrid/>
        <w:spacing w:line="440" w:lineRule="exact"/>
        <w:textAlignment w:val="auto"/>
        <w:outlineLvl w:val="9"/>
        <w:rPr>
          <w:rFonts w:ascii="宋体" w:hAnsi="宋体"/>
          <w:sz w:val="24"/>
        </w:rPr>
      </w:pPr>
      <w:r>
        <w:rPr>
          <w:rFonts w:hint="eastAsia" w:ascii="宋体" w:hAnsi="宋体"/>
          <w:sz w:val="24"/>
        </w:rPr>
        <w:t xml:space="preserve">2.16 </w:t>
      </w:r>
      <w:r>
        <w:rPr>
          <w:rFonts w:ascii="宋体" w:hAnsi="宋体"/>
          <w:sz w:val="24"/>
        </w:rPr>
        <w:t>分析重复性：RSD≤1.5%（200ppm 乙醇水溶液，与 GC 性 能有关）</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440" w:lineRule="exact"/>
        <w:textAlignment w:val="auto"/>
        <w:outlineLvl w:val="9"/>
        <w:rPr>
          <w:rFonts w:ascii="宋体" w:hAnsi="宋体" w:eastAsia="宋体"/>
          <w:sz w:val="24"/>
          <w:szCs w:val="24"/>
        </w:rPr>
      </w:pPr>
      <w:r>
        <w:rPr>
          <w:rFonts w:hint="eastAsia" w:ascii="宋体" w:hAnsi="宋体"/>
          <w:sz w:val="24"/>
        </w:rPr>
        <w:t>2.17</w:t>
      </w:r>
      <w:r>
        <w:rPr>
          <w:rFonts w:ascii="宋体" w:hAnsi="宋体"/>
          <w:sz w:val="24"/>
        </w:rPr>
        <w:t>能使气相色谱仪 FID 检测出水中 1ppb 苯</w:t>
      </w:r>
      <w:r>
        <w:rPr>
          <w:rFonts w:hint="eastAsia" w:ascii="宋体" w:hAnsi="宋体"/>
          <w:sz w:val="24"/>
        </w:rPr>
        <w:t>，并提供检测报告（气相色谱仪必须有合格的最低检出限</w:t>
      </w:r>
      <w:r>
        <w:rPr>
          <w:rFonts w:ascii="宋体" w:hAnsi="宋体"/>
          <w:sz w:val="24"/>
        </w:rPr>
        <w:t>-正十三烷≤1.5pg C/S）</w:t>
      </w:r>
      <w:r>
        <w:rPr>
          <w:rFonts w:hint="eastAsia" w:ascii="宋体" w:hAnsi="宋体"/>
          <w:sz w:val="24"/>
        </w:rPr>
        <w:t>；</w:t>
      </w:r>
    </w:p>
    <w:p>
      <w:pPr>
        <w:keepNext w:val="0"/>
        <w:keepLines w:val="0"/>
        <w:pageBreakBefore w:val="0"/>
        <w:widowControl/>
        <w:kinsoku/>
        <w:wordWrap/>
        <w:overflowPunct/>
        <w:topLinePunct w:val="0"/>
        <w:autoSpaceDE/>
        <w:autoSpaceDN/>
        <w:bidi w:val="0"/>
        <w:adjustRightInd/>
        <w:snapToGrid/>
        <w:spacing w:line="440" w:lineRule="exact"/>
        <w:jc w:val="left"/>
        <w:textAlignment w:val="auto"/>
        <w:outlineLvl w:val="9"/>
        <w:rPr>
          <w:rFonts w:hint="default" w:hAnsi="宋体"/>
          <w:b/>
          <w:sz w:val="24"/>
          <w:szCs w:val="24"/>
        </w:rPr>
      </w:pPr>
      <w:bookmarkStart w:id="314" w:name="OLE_LINK2"/>
      <w:r>
        <w:rPr>
          <w:rFonts w:hint="eastAsia" w:hAnsi="宋体"/>
          <w:b/>
          <w:sz w:val="24"/>
          <w:szCs w:val="24"/>
          <w:lang w:val="en-US" w:eastAsia="zh-CN"/>
        </w:rPr>
        <w:t>3</w:t>
      </w:r>
      <w:r>
        <w:rPr>
          <w:rFonts w:hAnsi="宋体"/>
          <w:b/>
          <w:sz w:val="24"/>
          <w:szCs w:val="24"/>
        </w:rPr>
        <w:t>、配置要求</w:t>
      </w:r>
      <w:bookmarkEnd w:id="314"/>
    </w:p>
    <w:p>
      <w:pPr>
        <w:pStyle w:val="16"/>
        <w:keepNext w:val="0"/>
        <w:keepLines w:val="0"/>
        <w:pageBreakBefore w:val="0"/>
        <w:kinsoku/>
        <w:wordWrap/>
        <w:overflowPunct/>
        <w:topLinePunct w:val="0"/>
        <w:autoSpaceDE/>
        <w:autoSpaceDN/>
        <w:bidi w:val="0"/>
        <w:adjustRightInd/>
        <w:snapToGrid/>
        <w:spacing w:line="440" w:lineRule="exact"/>
        <w:textAlignment w:val="auto"/>
        <w:outlineLvl w:val="9"/>
        <w:rPr>
          <w:rFonts w:hint="default" w:hAnsi="宋体"/>
          <w:bCs/>
          <w:sz w:val="24"/>
          <w:szCs w:val="24"/>
        </w:rPr>
      </w:pPr>
      <w:r>
        <w:rPr>
          <w:rFonts w:hint="eastAsia" w:hAnsi="宋体"/>
          <w:bCs/>
          <w:sz w:val="24"/>
          <w:szCs w:val="24"/>
          <w:lang w:val="en-US" w:eastAsia="zh-CN"/>
        </w:rPr>
        <w:t>3.</w:t>
      </w:r>
      <w:r>
        <w:rPr>
          <w:rFonts w:hAnsi="宋体"/>
          <w:bCs/>
          <w:sz w:val="24"/>
          <w:szCs w:val="24"/>
        </w:rPr>
        <w:t>1自动顶空进样器（≥20位样品位，计算机软件控制）</w:t>
      </w:r>
      <w:r>
        <w:rPr>
          <w:rFonts w:hint="default" w:hAnsi="宋体"/>
          <w:bCs/>
          <w:sz w:val="24"/>
          <w:szCs w:val="24"/>
        </w:rPr>
        <w:t xml:space="preserve"> </w:t>
      </w:r>
      <w:r>
        <w:rPr>
          <w:rFonts w:hAnsi="宋体"/>
          <w:bCs/>
          <w:sz w:val="24"/>
          <w:szCs w:val="24"/>
        </w:rPr>
        <w:t>1台</w:t>
      </w:r>
    </w:p>
    <w:p>
      <w:pPr>
        <w:pStyle w:val="16"/>
        <w:keepNext w:val="0"/>
        <w:keepLines w:val="0"/>
        <w:pageBreakBefore w:val="0"/>
        <w:kinsoku/>
        <w:wordWrap/>
        <w:overflowPunct/>
        <w:topLinePunct w:val="0"/>
        <w:autoSpaceDE/>
        <w:autoSpaceDN/>
        <w:bidi w:val="0"/>
        <w:adjustRightInd/>
        <w:snapToGrid/>
        <w:spacing w:line="440" w:lineRule="exact"/>
        <w:textAlignment w:val="auto"/>
        <w:outlineLvl w:val="9"/>
        <w:rPr>
          <w:rFonts w:hint="default" w:hAnsi="宋体"/>
          <w:bCs/>
          <w:sz w:val="24"/>
          <w:szCs w:val="24"/>
        </w:rPr>
      </w:pPr>
      <w:r>
        <w:rPr>
          <w:rFonts w:hint="eastAsia" w:hAnsi="宋体"/>
          <w:bCs/>
          <w:sz w:val="24"/>
          <w:szCs w:val="24"/>
          <w:lang w:val="en-US" w:eastAsia="zh-CN"/>
        </w:rPr>
        <w:t>3.</w:t>
      </w:r>
      <w:r>
        <w:rPr>
          <w:rFonts w:hAnsi="宋体"/>
          <w:bCs/>
          <w:sz w:val="24"/>
          <w:szCs w:val="24"/>
        </w:rPr>
        <w:t>2加热传输线 1根</w:t>
      </w:r>
    </w:p>
    <w:p>
      <w:pPr>
        <w:pStyle w:val="16"/>
        <w:keepNext w:val="0"/>
        <w:keepLines w:val="0"/>
        <w:pageBreakBefore w:val="0"/>
        <w:kinsoku/>
        <w:wordWrap/>
        <w:overflowPunct/>
        <w:topLinePunct w:val="0"/>
        <w:autoSpaceDE/>
        <w:autoSpaceDN/>
        <w:bidi w:val="0"/>
        <w:adjustRightInd/>
        <w:snapToGrid/>
        <w:spacing w:line="440" w:lineRule="exact"/>
        <w:textAlignment w:val="auto"/>
        <w:outlineLvl w:val="9"/>
        <w:rPr>
          <w:rFonts w:hint="default" w:ascii="宋体" w:hAnsi="宋体" w:eastAsia="宋体"/>
          <w:bCs/>
          <w:sz w:val="24"/>
          <w:szCs w:val="24"/>
        </w:rPr>
      </w:pPr>
      <w:r>
        <w:rPr>
          <w:rFonts w:hint="eastAsia" w:hAnsi="宋体"/>
          <w:bCs/>
          <w:sz w:val="24"/>
          <w:szCs w:val="24"/>
          <w:lang w:val="en-US" w:eastAsia="zh-CN"/>
        </w:rPr>
        <w:t>3.</w:t>
      </w:r>
      <w:r>
        <w:rPr>
          <w:rFonts w:ascii="宋体" w:hAnsi="宋体" w:eastAsia="宋体"/>
          <w:bCs/>
          <w:sz w:val="24"/>
          <w:szCs w:val="24"/>
        </w:rPr>
        <w:t>3样品瓶（100个/包） 1包</w:t>
      </w:r>
    </w:p>
    <w:p>
      <w:pPr>
        <w:pStyle w:val="16"/>
        <w:keepNext w:val="0"/>
        <w:keepLines w:val="0"/>
        <w:pageBreakBefore w:val="0"/>
        <w:kinsoku/>
        <w:wordWrap/>
        <w:overflowPunct/>
        <w:topLinePunct w:val="0"/>
        <w:autoSpaceDE/>
        <w:autoSpaceDN/>
        <w:bidi w:val="0"/>
        <w:adjustRightInd/>
        <w:snapToGrid/>
        <w:spacing w:line="440" w:lineRule="exact"/>
        <w:textAlignment w:val="auto"/>
        <w:outlineLvl w:val="9"/>
        <w:rPr>
          <w:rFonts w:hint="default" w:ascii="宋体" w:hAnsi="宋体" w:eastAsia="宋体"/>
          <w:bCs/>
          <w:sz w:val="24"/>
          <w:szCs w:val="24"/>
        </w:rPr>
      </w:pPr>
      <w:r>
        <w:rPr>
          <w:rFonts w:hint="eastAsia" w:hAnsi="宋体"/>
          <w:bCs/>
          <w:sz w:val="24"/>
          <w:szCs w:val="24"/>
          <w:lang w:val="en-US" w:eastAsia="zh-CN"/>
        </w:rPr>
        <w:t>3.</w:t>
      </w:r>
      <w:r>
        <w:rPr>
          <w:rFonts w:ascii="宋体" w:hAnsi="宋体" w:eastAsia="宋体"/>
          <w:bCs/>
          <w:sz w:val="24"/>
          <w:szCs w:val="24"/>
        </w:rPr>
        <w:t>4瓶垫和铝盖（100个/包） 各1包</w:t>
      </w:r>
    </w:p>
    <w:p>
      <w:pPr>
        <w:pStyle w:val="16"/>
        <w:keepNext w:val="0"/>
        <w:keepLines w:val="0"/>
        <w:pageBreakBefore w:val="0"/>
        <w:kinsoku/>
        <w:wordWrap/>
        <w:overflowPunct/>
        <w:topLinePunct w:val="0"/>
        <w:autoSpaceDE/>
        <w:autoSpaceDN/>
        <w:bidi w:val="0"/>
        <w:adjustRightInd/>
        <w:snapToGrid/>
        <w:spacing w:line="440" w:lineRule="exact"/>
        <w:textAlignment w:val="auto"/>
        <w:outlineLvl w:val="9"/>
        <w:rPr>
          <w:rFonts w:hint="default" w:ascii="宋体" w:hAnsi="宋体" w:eastAsia="宋体"/>
          <w:bCs/>
          <w:sz w:val="24"/>
          <w:szCs w:val="24"/>
        </w:rPr>
      </w:pPr>
      <w:r>
        <w:rPr>
          <w:rFonts w:hint="eastAsia" w:hAnsi="宋体"/>
          <w:bCs/>
          <w:sz w:val="24"/>
          <w:szCs w:val="24"/>
          <w:lang w:val="en-US" w:eastAsia="zh-CN"/>
        </w:rPr>
        <w:t>3.</w:t>
      </w:r>
      <w:r>
        <w:rPr>
          <w:rFonts w:ascii="宋体" w:hAnsi="宋体" w:eastAsia="宋体"/>
          <w:bCs/>
          <w:sz w:val="24"/>
          <w:szCs w:val="24"/>
        </w:rPr>
        <w:t>5顶空-气相色谱仪电缆 1根</w:t>
      </w:r>
    </w:p>
    <w:p>
      <w:pPr>
        <w:pStyle w:val="16"/>
        <w:keepNext w:val="0"/>
        <w:keepLines w:val="0"/>
        <w:pageBreakBefore w:val="0"/>
        <w:kinsoku/>
        <w:wordWrap/>
        <w:overflowPunct/>
        <w:topLinePunct w:val="0"/>
        <w:autoSpaceDE/>
        <w:autoSpaceDN/>
        <w:bidi w:val="0"/>
        <w:adjustRightInd/>
        <w:snapToGrid/>
        <w:spacing w:line="440" w:lineRule="exact"/>
        <w:textAlignment w:val="auto"/>
        <w:outlineLvl w:val="9"/>
        <w:rPr>
          <w:rFonts w:hint="default" w:hAnsi="宋体"/>
          <w:bCs/>
          <w:color w:val="000000"/>
          <w:kern w:val="0"/>
          <w:sz w:val="24"/>
        </w:rPr>
      </w:pPr>
      <w:r>
        <w:rPr>
          <w:rFonts w:hint="eastAsia" w:hAnsi="宋体"/>
          <w:bCs/>
          <w:sz w:val="24"/>
          <w:szCs w:val="24"/>
          <w:lang w:val="en-US" w:eastAsia="zh-CN"/>
        </w:rPr>
        <w:t>3.</w:t>
      </w:r>
      <w:r>
        <w:rPr>
          <w:bCs/>
          <w:color w:val="000000"/>
          <w:kern w:val="0"/>
          <w:sz w:val="24"/>
        </w:rPr>
        <w:t>6与气相色谱相匹配的</w:t>
      </w:r>
      <w:r>
        <w:rPr>
          <w:rFonts w:hAnsi="宋体"/>
          <w:bCs/>
          <w:color w:val="000000"/>
          <w:kern w:val="0"/>
          <w:sz w:val="24"/>
        </w:rPr>
        <w:t>接口 1个</w:t>
      </w:r>
    </w:p>
    <w:p>
      <w:pPr>
        <w:pStyle w:val="16"/>
        <w:keepNext w:val="0"/>
        <w:keepLines w:val="0"/>
        <w:pageBreakBefore w:val="0"/>
        <w:kinsoku/>
        <w:wordWrap/>
        <w:overflowPunct/>
        <w:topLinePunct w:val="0"/>
        <w:autoSpaceDE/>
        <w:autoSpaceDN/>
        <w:bidi w:val="0"/>
        <w:adjustRightInd/>
        <w:snapToGrid/>
        <w:spacing w:line="440" w:lineRule="exact"/>
        <w:textAlignment w:val="auto"/>
        <w:outlineLvl w:val="9"/>
        <w:rPr>
          <w:rFonts w:hint="default" w:hAnsi="宋体" w:cs="宋体"/>
          <w:bCs/>
          <w:color w:val="000000"/>
          <w:kern w:val="0"/>
          <w:sz w:val="24"/>
        </w:rPr>
      </w:pPr>
      <w:r>
        <w:rPr>
          <w:rFonts w:hint="eastAsia" w:hAnsi="宋体"/>
          <w:bCs/>
          <w:sz w:val="24"/>
          <w:szCs w:val="24"/>
          <w:lang w:val="en-US" w:eastAsia="zh-CN"/>
        </w:rPr>
        <w:t>3.</w:t>
      </w:r>
      <w:r>
        <w:rPr>
          <w:rFonts w:hAnsi="宋体"/>
          <w:bCs/>
          <w:color w:val="000000"/>
          <w:kern w:val="0"/>
          <w:sz w:val="24"/>
        </w:rPr>
        <w:t>7</w:t>
      </w:r>
      <w:r>
        <w:rPr>
          <w:rFonts w:hAnsi="宋体" w:cs="宋体"/>
          <w:bCs/>
          <w:color w:val="000000"/>
          <w:kern w:val="0"/>
          <w:sz w:val="24"/>
        </w:rPr>
        <w:t>压盖器和开口钳 各1个</w:t>
      </w:r>
    </w:p>
    <w:p>
      <w:pPr>
        <w:spacing w:line="360" w:lineRule="auto"/>
        <w:outlineLvl w:val="9"/>
        <w:rPr>
          <w:rFonts w:hint="eastAsia" w:ascii="宋体" w:hAnsi="宋体" w:eastAsia="宋体" w:cs="宋体"/>
          <w:b/>
          <w:bCs/>
          <w:sz w:val="24"/>
          <w:szCs w:val="24"/>
        </w:rPr>
      </w:pPr>
      <w:r>
        <w:rPr>
          <w:rFonts w:hint="eastAsia" w:ascii="宋体" w:hAnsi="宋体" w:eastAsia="宋体" w:cs="宋体"/>
          <w:sz w:val="24"/>
          <w:szCs w:val="24"/>
          <w:lang w:val="en-US" w:eastAsia="zh-CN"/>
        </w:rPr>
        <w:t>二</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气相色谱质谱联用仪技术参数</w:t>
      </w:r>
    </w:p>
    <w:p>
      <w:pPr>
        <w:spacing w:line="360" w:lineRule="auto"/>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、质谱部分</w:t>
      </w:r>
    </w:p>
    <w:p>
      <w:pPr>
        <w:spacing w:line="360" w:lineRule="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基本性能</w:t>
      </w:r>
    </w:p>
    <w:p>
      <w:pPr>
        <w:numPr>
          <w:ilvl w:val="0"/>
          <w:numId w:val="0"/>
        </w:numPr>
        <w:spacing w:line="360" w:lineRule="auto"/>
        <w:ind w:leftChars="0"/>
        <w:outlineLvl w:val="9"/>
        <w:rPr>
          <w:rFonts w:hint="default" w:ascii="宋体" w:hAnsi="宋体" w:eastAsia="宋体" w:cs="宋体"/>
          <w:bCs/>
          <w:color w:val="000000"/>
          <w:sz w:val="24"/>
          <w:szCs w:val="24"/>
          <w:lang w:val="en-US"/>
        </w:rPr>
      </w:pPr>
      <w:r>
        <w:rPr>
          <w:rFonts w:hint="eastAsia" w:ascii="宋体" w:hAnsi="宋体" w:eastAsia="宋体" w:cs="宋体"/>
          <w:color w:val="000000"/>
          <w:sz w:val="24"/>
          <w:szCs w:val="24"/>
          <w:lang w:eastAsia="zh-CN"/>
        </w:rPr>
        <w:t>（</w:t>
      </w:r>
      <w:r>
        <w:rPr>
          <w:rFonts w:hint="eastAsia" w:ascii="宋体" w:hAnsi="宋体" w:cs="宋体"/>
          <w:color w:val="000000"/>
          <w:sz w:val="24"/>
          <w:szCs w:val="24"/>
          <w:lang w:val="en-US" w:eastAsia="zh-CN"/>
        </w:rPr>
        <w:t>1</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质量数范围:</w:t>
      </w:r>
      <w:r>
        <w:rPr>
          <w:rFonts w:hint="eastAsia" w:ascii="宋体" w:hAnsi="宋体" w:eastAsia="宋体" w:cs="宋体"/>
          <w:bCs/>
          <w:color w:val="000000"/>
          <w:sz w:val="24"/>
          <w:szCs w:val="24"/>
        </w:rPr>
        <w:t xml:space="preserve"> 1.5 </w:t>
      </w:r>
      <w:r>
        <w:rPr>
          <w:rFonts w:hint="eastAsia" w:ascii="宋体" w:hAnsi="宋体" w:eastAsia="宋体" w:cs="宋体"/>
          <w:color w:val="000000"/>
          <w:sz w:val="24"/>
          <w:szCs w:val="24"/>
        </w:rPr>
        <w:t xml:space="preserve">～ </w:t>
      </w:r>
      <w:r>
        <w:rPr>
          <w:rFonts w:hint="eastAsia" w:ascii="宋体" w:hAnsi="宋体" w:eastAsia="宋体" w:cs="宋体"/>
          <w:bCs/>
          <w:color w:val="000000"/>
          <w:sz w:val="24"/>
          <w:szCs w:val="24"/>
        </w:rPr>
        <w:t>1080</w:t>
      </w:r>
      <w:r>
        <w:rPr>
          <w:rFonts w:hint="eastAsia" w:ascii="宋体" w:hAnsi="宋体" w:cs="宋体"/>
          <w:bCs/>
          <w:color w:val="000000"/>
          <w:sz w:val="24"/>
          <w:szCs w:val="24"/>
          <w:lang w:val="en-US" w:eastAsia="zh-CN"/>
        </w:rPr>
        <w:t>μ</w:t>
      </w:r>
    </w:p>
    <w:p>
      <w:pPr>
        <w:numPr>
          <w:ilvl w:val="0"/>
          <w:numId w:val="0"/>
        </w:numPr>
        <w:spacing w:line="360" w:lineRule="auto"/>
        <w:ind w:leftChars="0"/>
        <w:outlineLvl w:val="9"/>
        <w:rPr>
          <w:rFonts w:hint="eastAsia" w:ascii="宋体" w:hAnsi="宋体" w:eastAsia="宋体" w:cs="宋体"/>
          <w:bCs/>
          <w:color w:val="000000"/>
          <w:sz w:val="24"/>
          <w:szCs w:val="24"/>
        </w:rPr>
      </w:pPr>
      <w:r>
        <w:rPr>
          <w:rFonts w:hint="eastAsia" w:ascii="宋体" w:hAnsi="宋体" w:eastAsia="宋体" w:cs="宋体"/>
          <w:bCs/>
          <w:color w:val="000000"/>
          <w:sz w:val="24"/>
          <w:szCs w:val="24"/>
          <w:lang w:eastAsia="zh-CN"/>
        </w:rPr>
        <w:t>（</w:t>
      </w:r>
      <w:r>
        <w:rPr>
          <w:rFonts w:hint="eastAsia" w:ascii="宋体" w:hAnsi="宋体" w:cs="宋体"/>
          <w:bCs/>
          <w:color w:val="000000"/>
          <w:sz w:val="24"/>
          <w:szCs w:val="24"/>
          <w:lang w:val="en-US" w:eastAsia="zh-CN"/>
        </w:rPr>
        <w:t>2</w:t>
      </w:r>
      <w:r>
        <w:rPr>
          <w:rFonts w:hint="eastAsia" w:ascii="宋体" w:hAnsi="宋体" w:eastAsia="宋体" w:cs="宋体"/>
          <w:bCs/>
          <w:color w:val="000000"/>
          <w:sz w:val="24"/>
          <w:szCs w:val="24"/>
          <w:lang w:val="en-US" w:eastAsia="zh-CN"/>
        </w:rPr>
        <w:t>）</w:t>
      </w:r>
      <w:r>
        <w:rPr>
          <w:rFonts w:hint="eastAsia" w:ascii="宋体" w:hAnsi="宋体" w:eastAsia="宋体" w:cs="宋体"/>
          <w:bCs/>
          <w:color w:val="000000"/>
          <w:sz w:val="24"/>
          <w:szCs w:val="24"/>
        </w:rPr>
        <w:t xml:space="preserve">灵敏度: </w:t>
      </w:r>
    </w:p>
    <w:p>
      <w:pPr>
        <w:numPr>
          <w:ilvl w:val="0"/>
          <w:numId w:val="0"/>
        </w:numPr>
        <w:spacing w:line="360" w:lineRule="auto"/>
        <w:ind w:leftChars="0"/>
        <w:outlineLvl w:val="9"/>
        <w:rPr>
          <w:rFonts w:hint="eastAsia" w:ascii="宋体" w:hAnsi="宋体" w:eastAsia="宋体" w:cs="宋体"/>
          <w:color w:val="000000"/>
          <w:sz w:val="24"/>
          <w:szCs w:val="24"/>
          <w:lang w:val="pt-BR"/>
        </w:rPr>
      </w:pPr>
      <w:r>
        <w:rPr>
          <w:rFonts w:hint="eastAsia" w:ascii="宋体" w:hAnsi="宋体"/>
          <w:sz w:val="24"/>
          <w:lang w:eastAsia="zh-CN"/>
        </w:rPr>
        <w:t>（</w:t>
      </w:r>
      <w:r>
        <w:rPr>
          <w:rFonts w:hint="eastAsia" w:ascii="宋体" w:hAnsi="宋体"/>
          <w:sz w:val="24"/>
          <w:lang w:val="en-US" w:eastAsia="zh-CN"/>
        </w:rPr>
        <w:t>2.1）</w:t>
      </w:r>
      <w:r>
        <w:rPr>
          <w:rFonts w:hint="eastAsia" w:ascii="宋体" w:hAnsi="宋体" w:eastAsia="宋体" w:cs="宋体"/>
          <w:color w:val="000000"/>
          <w:sz w:val="24"/>
          <w:szCs w:val="24"/>
          <w:lang w:val="pt-BR"/>
        </w:rPr>
        <w:t>EI Scan(氦气)：1pg，八氟萘 OFN ，m/z 272，S/N ≥ 1800；须采用30米毛细柱进行验收。</w:t>
      </w:r>
    </w:p>
    <w:p>
      <w:pPr>
        <w:numPr>
          <w:ilvl w:val="0"/>
          <w:numId w:val="0"/>
        </w:numPr>
        <w:spacing w:line="360" w:lineRule="auto"/>
        <w:ind w:leftChars="0"/>
        <w:outlineLvl w:val="9"/>
        <w:rPr>
          <w:rFonts w:hint="eastAsia" w:ascii="宋体" w:hAnsi="宋体" w:eastAsia="宋体" w:cs="宋体"/>
          <w:color w:val="000000"/>
          <w:sz w:val="24"/>
          <w:szCs w:val="24"/>
          <w:lang w:val="pt-BR"/>
        </w:rPr>
      </w:pPr>
      <w:r>
        <w:rPr>
          <w:rFonts w:hint="eastAsia" w:ascii="宋体" w:hAnsi="宋体" w:eastAsia="宋体" w:cs="宋体"/>
          <w:color w:val="000000"/>
          <w:sz w:val="24"/>
          <w:szCs w:val="24"/>
          <w:lang w:val="pt-BR" w:eastAsia="zh-CN"/>
        </w:rPr>
        <w:t>（</w:t>
      </w:r>
      <w:r>
        <w:rPr>
          <w:rFonts w:hint="eastAsia" w:ascii="宋体" w:hAnsi="宋体" w:cs="宋体"/>
          <w:color w:val="000000"/>
          <w:sz w:val="24"/>
          <w:szCs w:val="24"/>
          <w:lang w:val="en-US" w:eastAsia="zh-CN"/>
        </w:rPr>
        <w:t>2</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lang w:val="pt-BR"/>
        </w:rPr>
        <w:t xml:space="preserve"> EI Scan（氢气）：1pg，八氟萘 OFN，m/z 272，S/N≥300；</w:t>
      </w:r>
    </w:p>
    <w:p>
      <w:pPr>
        <w:numPr>
          <w:ilvl w:val="0"/>
          <w:numId w:val="0"/>
        </w:numPr>
        <w:spacing w:line="360" w:lineRule="auto"/>
        <w:ind w:leftChars="0"/>
        <w:outlineLvl w:val="9"/>
        <w:rPr>
          <w:rFonts w:hint="eastAsia" w:ascii="宋体" w:hAnsi="宋体" w:eastAsia="宋体" w:cs="宋体"/>
          <w:color w:val="000000"/>
          <w:sz w:val="24"/>
          <w:szCs w:val="24"/>
          <w:lang w:val="pt-BR"/>
        </w:rPr>
      </w:pPr>
      <w:r>
        <w:rPr>
          <w:rFonts w:hint="eastAsia" w:ascii="宋体" w:hAnsi="宋体" w:eastAsia="宋体" w:cs="宋体"/>
          <w:color w:val="000000"/>
          <w:sz w:val="24"/>
          <w:szCs w:val="24"/>
          <w:lang w:val="pt-BR" w:eastAsia="zh-CN"/>
        </w:rPr>
        <w:t>（</w:t>
      </w:r>
      <w:r>
        <w:rPr>
          <w:rFonts w:hint="eastAsia" w:ascii="宋体" w:hAnsi="宋体" w:cs="宋体"/>
          <w:color w:val="000000"/>
          <w:sz w:val="24"/>
          <w:szCs w:val="24"/>
          <w:lang w:val="en-US" w:eastAsia="zh-CN"/>
        </w:rPr>
        <w:t>2</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lang w:val="pt-BR"/>
        </w:rPr>
        <w:t xml:space="preserve"> IDL（SIM）：IDL ≤10 fg（100 fg，OFN， 8次连续进样，272m/z，峰面积RSD 3.4%），</w:t>
      </w:r>
    </w:p>
    <w:p>
      <w:pPr>
        <w:numPr>
          <w:ilvl w:val="0"/>
          <w:numId w:val="0"/>
        </w:numPr>
        <w:spacing w:line="360" w:lineRule="auto"/>
        <w:ind w:leftChars="0"/>
        <w:outlineLvl w:val="9"/>
        <w:rPr>
          <w:rFonts w:hint="eastAsia" w:ascii="宋体" w:hAnsi="宋体" w:eastAsia="宋体" w:cs="宋体"/>
          <w:color w:val="000000"/>
          <w:sz w:val="24"/>
          <w:szCs w:val="24"/>
          <w:lang w:val="pt-BR"/>
        </w:rPr>
      </w:pPr>
      <w:r>
        <w:rPr>
          <w:rFonts w:hint="eastAsia" w:ascii="宋体" w:hAnsi="宋体" w:eastAsia="宋体" w:cs="宋体"/>
          <w:color w:val="000000"/>
          <w:sz w:val="24"/>
          <w:szCs w:val="24"/>
          <w:lang w:val="pt-BR" w:eastAsia="zh-CN"/>
        </w:rPr>
        <w:t>（</w:t>
      </w:r>
      <w:r>
        <w:rPr>
          <w:rFonts w:hint="eastAsia" w:ascii="宋体" w:hAnsi="宋体" w:cs="宋体"/>
          <w:color w:val="000000"/>
          <w:sz w:val="24"/>
          <w:szCs w:val="24"/>
          <w:lang w:val="en-US" w:eastAsia="zh-CN"/>
        </w:rPr>
        <w:t>2</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lang w:val="pt-BR"/>
        </w:rPr>
        <w:t xml:space="preserve"> IDL（高速扫描Scan）：IDL ≤500 fg（1pg，OFN，8次连续进样，272m/z，扫描速度20,000 </w:t>
      </w:r>
      <w:r>
        <w:rPr>
          <w:rFonts w:hint="eastAsia" w:ascii="宋体" w:hAnsi="宋体" w:cs="宋体"/>
          <w:color w:val="000000"/>
          <w:sz w:val="24"/>
          <w:szCs w:val="24"/>
          <w:lang w:val="en-US" w:eastAsia="zh-CN"/>
        </w:rPr>
        <w:t>μ</w:t>
      </w:r>
      <w:r>
        <w:rPr>
          <w:rFonts w:hint="eastAsia" w:ascii="宋体" w:hAnsi="宋体" w:eastAsia="宋体" w:cs="宋体"/>
          <w:color w:val="000000"/>
          <w:sz w:val="24"/>
          <w:szCs w:val="24"/>
          <w:lang w:val="pt-BR"/>
        </w:rPr>
        <w:t>/sec）</w:t>
      </w:r>
    </w:p>
    <w:p>
      <w:pPr>
        <w:numPr>
          <w:ilvl w:val="0"/>
          <w:numId w:val="0"/>
        </w:numPr>
        <w:spacing w:line="360" w:lineRule="auto"/>
        <w:ind w:leftChars="0"/>
        <w:outlineLvl w:val="9"/>
        <w:rPr>
          <w:rFonts w:hint="eastAsia" w:ascii="宋体" w:hAnsi="宋体" w:eastAsia="宋体" w:cs="宋体"/>
          <w:color w:val="000000"/>
          <w:sz w:val="24"/>
          <w:szCs w:val="24"/>
          <w:lang w:val="pt-BR"/>
        </w:rPr>
      </w:pPr>
      <w:r>
        <w:rPr>
          <w:rFonts w:hint="eastAsia" w:ascii="宋体" w:hAnsi="宋体" w:eastAsia="宋体" w:cs="宋体"/>
          <w:color w:val="000000"/>
          <w:sz w:val="24"/>
          <w:szCs w:val="24"/>
          <w:lang w:val="pt-BR" w:eastAsia="zh-CN"/>
        </w:rPr>
        <w:t>（</w:t>
      </w:r>
      <w:r>
        <w:rPr>
          <w:rFonts w:hint="eastAsia" w:ascii="宋体" w:hAnsi="宋体" w:cs="宋体"/>
          <w:color w:val="000000"/>
          <w:sz w:val="24"/>
          <w:szCs w:val="24"/>
          <w:lang w:val="en-US" w:eastAsia="zh-CN"/>
        </w:rPr>
        <w:t>3</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lang w:val="pt-BR"/>
        </w:rPr>
        <w:t>分辨率：单位分辨率</w:t>
      </w:r>
    </w:p>
    <w:p>
      <w:pPr>
        <w:numPr>
          <w:ilvl w:val="0"/>
          <w:numId w:val="0"/>
        </w:numPr>
        <w:spacing w:line="360" w:lineRule="auto"/>
        <w:ind w:leftChars="0"/>
        <w:outlineLvl w:val="9"/>
        <w:rPr>
          <w:rFonts w:hint="eastAsia" w:ascii="宋体" w:hAnsi="宋体" w:eastAsia="宋体" w:cs="宋体"/>
          <w:color w:val="000000"/>
          <w:sz w:val="24"/>
          <w:szCs w:val="24"/>
          <w:lang w:val="pt-BR"/>
        </w:rPr>
      </w:pPr>
      <w:r>
        <w:rPr>
          <w:rFonts w:hint="eastAsia" w:ascii="宋体" w:hAnsi="宋体" w:eastAsia="宋体" w:cs="宋体"/>
          <w:color w:val="000000"/>
          <w:sz w:val="24"/>
          <w:szCs w:val="24"/>
          <w:lang w:val="pt-BR" w:eastAsia="zh-CN"/>
        </w:rPr>
        <w:t>（</w:t>
      </w:r>
      <w:r>
        <w:rPr>
          <w:rFonts w:hint="eastAsia" w:ascii="宋体" w:hAnsi="宋体" w:cs="宋体"/>
          <w:color w:val="000000"/>
          <w:sz w:val="24"/>
          <w:szCs w:val="24"/>
          <w:lang w:val="en-US" w:eastAsia="zh-CN"/>
        </w:rPr>
        <w:t>4</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lang w:val="pt-BR"/>
        </w:rPr>
        <w:t>质量稳定性：≤±0.1</w:t>
      </w:r>
      <w:r>
        <w:rPr>
          <w:rFonts w:hint="eastAsia" w:ascii="宋体" w:hAnsi="宋体" w:cs="宋体"/>
          <w:color w:val="000000"/>
          <w:sz w:val="24"/>
          <w:szCs w:val="24"/>
          <w:lang w:val="en-US" w:eastAsia="zh-CN"/>
        </w:rPr>
        <w:t>μ</w:t>
      </w:r>
      <w:r>
        <w:rPr>
          <w:rFonts w:hint="eastAsia" w:ascii="宋体" w:hAnsi="宋体" w:eastAsia="宋体" w:cs="宋体"/>
          <w:color w:val="000000"/>
          <w:sz w:val="24"/>
          <w:szCs w:val="24"/>
          <w:lang w:val="pt-BR"/>
        </w:rPr>
        <w:t>/48小时 (恒温)</w:t>
      </w:r>
    </w:p>
    <w:p>
      <w:pPr>
        <w:numPr>
          <w:ilvl w:val="0"/>
          <w:numId w:val="0"/>
        </w:numPr>
        <w:spacing w:line="360" w:lineRule="auto"/>
        <w:ind w:leftChars="0"/>
        <w:outlineLvl w:val="9"/>
        <w:rPr>
          <w:rFonts w:hint="eastAsia" w:ascii="宋体" w:hAnsi="宋体" w:eastAsia="宋体" w:cs="宋体"/>
          <w:color w:val="000000"/>
          <w:sz w:val="24"/>
          <w:szCs w:val="24"/>
          <w:lang w:val="pt-BR"/>
        </w:rPr>
      </w:pPr>
      <w:r>
        <w:rPr>
          <w:rFonts w:hint="eastAsia" w:ascii="宋体" w:hAnsi="宋体" w:eastAsia="宋体" w:cs="宋体"/>
          <w:color w:val="000000"/>
          <w:sz w:val="24"/>
          <w:szCs w:val="24"/>
          <w:lang w:val="pt-BR" w:eastAsia="zh-CN"/>
        </w:rPr>
        <w:t>（</w:t>
      </w:r>
      <w:r>
        <w:rPr>
          <w:rFonts w:hint="eastAsia" w:ascii="宋体" w:hAnsi="宋体" w:cs="宋体"/>
          <w:color w:val="000000"/>
          <w:sz w:val="24"/>
          <w:szCs w:val="24"/>
          <w:lang w:val="en-US" w:eastAsia="zh-CN"/>
        </w:rPr>
        <w:t>5</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lang w:val="pt-BR"/>
        </w:rPr>
        <w:t xml:space="preserve">最大扫描速度：18,000 </w:t>
      </w:r>
      <w:r>
        <w:rPr>
          <w:rFonts w:hint="eastAsia" w:ascii="宋体" w:hAnsi="宋体" w:cs="宋体"/>
          <w:color w:val="000000"/>
          <w:sz w:val="24"/>
          <w:szCs w:val="24"/>
          <w:lang w:val="en-US" w:eastAsia="zh-CN"/>
        </w:rPr>
        <w:t>μ</w:t>
      </w:r>
      <w:r>
        <w:rPr>
          <w:rFonts w:hint="eastAsia" w:ascii="宋体" w:hAnsi="宋体" w:eastAsia="宋体" w:cs="宋体"/>
          <w:color w:val="000000"/>
          <w:sz w:val="24"/>
          <w:szCs w:val="24"/>
          <w:lang w:val="pt-BR"/>
        </w:rPr>
        <w:t xml:space="preserve">/sec </w:t>
      </w:r>
    </w:p>
    <w:p>
      <w:pPr>
        <w:spacing w:line="360" w:lineRule="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b/>
          <w:bCs/>
          <w:color w:val="000000"/>
          <w:sz w:val="24"/>
          <w:szCs w:val="24"/>
        </w:rPr>
        <w:t>离子源</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EI源</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离子源材质：</w:t>
      </w:r>
      <w:r>
        <w:rPr>
          <w:rFonts w:hint="eastAsia" w:ascii="宋体" w:hAnsi="宋体" w:cs="宋体"/>
          <w:color w:val="000000"/>
          <w:sz w:val="24"/>
          <w:szCs w:val="24"/>
          <w:lang w:val="en-US" w:eastAsia="zh-CN"/>
        </w:rPr>
        <w:t>具有</w:t>
      </w:r>
      <w:r>
        <w:rPr>
          <w:rFonts w:hint="eastAsia" w:ascii="宋体" w:hAnsi="宋体" w:eastAsia="宋体" w:cs="宋体"/>
          <w:color w:val="000000"/>
          <w:sz w:val="24"/>
          <w:szCs w:val="24"/>
        </w:rPr>
        <w:t>屏蔽板设计的整体惰性化高灵敏度离子源</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离子化能量：10 ～ 180eV</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离子源温度：独立控温，140 ～ 300℃</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灯丝电流：5 ～ 200μA（发射电流）</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双灯丝设计</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GCMS 接口温度：50 ～ 300℃</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支持高灵敏度Smart EI/CI 复合离子源，无需更换离子源，即可获得EI质谱图和PCI质谱图；同时满足高灵敏度的EI模式下，实际目标物浓度10 ng/mL的痕量分析。</w:t>
      </w:r>
      <w:r>
        <w:rPr>
          <w:rFonts w:hint="eastAsia" w:ascii="宋体" w:hAnsi="宋体" w:cs="宋体"/>
          <w:color w:val="000000"/>
          <w:sz w:val="24"/>
          <w:szCs w:val="24"/>
          <w:lang w:eastAsia="zh-CN"/>
        </w:rPr>
        <w:t>（</w:t>
      </w:r>
      <w:r>
        <w:rPr>
          <w:rFonts w:hint="eastAsia" w:ascii="宋体" w:hAnsi="宋体" w:eastAsia="宋体" w:cs="宋体"/>
          <w:color w:val="000000"/>
          <w:sz w:val="24"/>
          <w:szCs w:val="24"/>
        </w:rPr>
        <w:t>提供证明</w:t>
      </w:r>
      <w:r>
        <w:rPr>
          <w:rFonts w:hint="eastAsia" w:ascii="宋体" w:hAnsi="宋体" w:cs="宋体"/>
          <w:color w:val="000000"/>
          <w:sz w:val="24"/>
          <w:szCs w:val="24"/>
          <w:lang w:val="en-US" w:eastAsia="zh-CN"/>
        </w:rPr>
        <w:t>材料）</w:t>
      </w:r>
      <w:r>
        <w:rPr>
          <w:rFonts w:hint="eastAsia" w:ascii="宋体" w:hAnsi="宋体" w:eastAsia="宋体" w:cs="宋体"/>
          <w:color w:val="000000"/>
          <w:sz w:val="24"/>
          <w:szCs w:val="24"/>
        </w:rPr>
        <w:t>。</w:t>
      </w:r>
    </w:p>
    <w:p>
      <w:pPr>
        <w:spacing w:line="360" w:lineRule="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 xml:space="preserve">   质量分析器</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配备预四极的高精度全金属四极杆。</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sz w:val="24"/>
          <w:lang w:eastAsia="zh-CN"/>
        </w:rPr>
        <w:t>（</w:t>
      </w:r>
      <w:r>
        <w:rPr>
          <w:rFonts w:hint="eastAsia" w:ascii="宋体" w:hAnsi="宋体"/>
          <w:sz w:val="24"/>
          <w:lang w:val="en-US" w:eastAsia="zh-CN"/>
        </w:rPr>
        <w:t>2）</w:t>
      </w:r>
      <w:r>
        <w:rPr>
          <w:rFonts w:hint="eastAsia" w:ascii="宋体" w:hAnsi="宋体" w:eastAsia="宋体" w:cs="宋体"/>
          <w:color w:val="000000"/>
          <w:sz w:val="24"/>
          <w:szCs w:val="24"/>
        </w:rPr>
        <w:t>预四极可转动可清洗打磨，主四极杆可清洗打磨，预四极杆</w:t>
      </w:r>
      <w:r>
        <w:rPr>
          <w:rFonts w:hint="eastAsia" w:ascii="宋体" w:hAnsi="宋体" w:cs="宋体"/>
          <w:color w:val="000000"/>
          <w:sz w:val="24"/>
          <w:szCs w:val="24"/>
          <w:lang w:val="en-US" w:eastAsia="zh-CN"/>
        </w:rPr>
        <w:t>可</w:t>
      </w:r>
      <w:r>
        <w:rPr>
          <w:rFonts w:hint="eastAsia" w:ascii="宋体" w:hAnsi="宋体" w:eastAsia="宋体" w:cs="宋体"/>
          <w:color w:val="000000"/>
          <w:sz w:val="24"/>
          <w:szCs w:val="24"/>
        </w:rPr>
        <w:t>避免主四极杆及检测器的污染。</w:t>
      </w:r>
    </w:p>
    <w:p>
      <w:pPr>
        <w:widowControl w:val="0"/>
        <w:numPr>
          <w:ilvl w:val="0"/>
          <w:numId w:val="0"/>
        </w:numPr>
        <w:overflowPunct/>
        <w:autoSpaceDE/>
        <w:autoSpaceDN/>
        <w:adjustRightInd/>
        <w:spacing w:line="360" w:lineRule="auto"/>
        <w:ind w:leftChars="0"/>
        <w:jc w:val="both"/>
        <w:textAlignment w:val="auto"/>
        <w:outlineLvl w:val="9"/>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四极杆具有自动优化加速功能：</w:t>
      </w:r>
      <w:r>
        <w:rPr>
          <w:rFonts w:hint="eastAsia" w:ascii="宋体" w:hAnsi="宋体" w:cs="宋体"/>
          <w:color w:val="000000"/>
          <w:sz w:val="24"/>
          <w:szCs w:val="24"/>
          <w:lang w:val="en-US" w:eastAsia="zh-CN"/>
        </w:rPr>
        <w:t>具有</w:t>
      </w:r>
      <w:r>
        <w:rPr>
          <w:rFonts w:hint="eastAsia" w:ascii="宋体" w:hAnsi="宋体" w:eastAsia="宋体" w:cs="宋体"/>
          <w:color w:val="000000"/>
          <w:sz w:val="24"/>
          <w:szCs w:val="24"/>
        </w:rPr>
        <w:t>高质量端离子的自动电场补偿技术，提升离子通过四极杆的速度</w:t>
      </w:r>
      <w:r>
        <w:rPr>
          <w:rFonts w:hint="eastAsia" w:ascii="宋体" w:hAnsi="宋体" w:eastAsia="宋体" w:cs="宋体"/>
          <w:color w:val="000000"/>
          <w:sz w:val="24"/>
          <w:szCs w:val="24"/>
          <w:lang w:eastAsia="zh-CN"/>
        </w:rPr>
        <w:t>。</w:t>
      </w:r>
    </w:p>
    <w:p>
      <w:pPr>
        <w:widowControl w:val="0"/>
        <w:numPr>
          <w:ilvl w:val="0"/>
          <w:numId w:val="0"/>
        </w:numPr>
        <w:overflowPunct/>
        <w:autoSpaceDE/>
        <w:autoSpaceDN/>
        <w:adjustRightInd/>
        <w:spacing w:line="360" w:lineRule="auto"/>
        <w:ind w:leftChars="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四极杆无需控温即可实现0.1amu/48h稳定。</w:t>
      </w:r>
    </w:p>
    <w:p>
      <w:pPr>
        <w:spacing w:line="360" w:lineRule="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 xml:space="preserve"> 扫描功能:</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扫描功能：支持全扫描模式(Scan)、选择离子扫描模式(SIM)以及Scan/SIM同时扫描模式。</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在SIM模式下，支持</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64通道 x 128 组。</w:t>
      </w:r>
    </w:p>
    <w:p>
      <w:pPr>
        <w:spacing w:line="360" w:lineRule="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b/>
          <w:bCs/>
          <w:color w:val="000000"/>
          <w:sz w:val="24"/>
          <w:szCs w:val="24"/>
        </w:rPr>
        <w:t>检测系统</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二次电子倍增管，配备偏转透镜（Overdrive Lens）和±10kV转换打拿。</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cs="宋体"/>
          <w:color w:val="000000"/>
          <w:sz w:val="24"/>
          <w:szCs w:val="24"/>
          <w:lang w:val="en-US" w:eastAsia="zh-CN"/>
        </w:rPr>
        <w:t>（2）具有</w:t>
      </w:r>
      <w:r>
        <w:rPr>
          <w:rFonts w:hint="eastAsia" w:ascii="宋体" w:hAnsi="宋体" w:eastAsia="宋体" w:cs="宋体"/>
          <w:color w:val="000000"/>
          <w:sz w:val="24"/>
          <w:szCs w:val="24"/>
        </w:rPr>
        <w:t>离轴连续打拿电子倍增器</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动态范围：</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5×10</w:t>
      </w:r>
      <w:r>
        <w:rPr>
          <w:rFonts w:hint="eastAsia" w:ascii="宋体" w:hAnsi="宋体" w:eastAsia="宋体" w:cs="宋体"/>
          <w:color w:val="000000"/>
          <w:sz w:val="24"/>
          <w:szCs w:val="24"/>
          <w:vertAlign w:val="superscript"/>
        </w:rPr>
        <w:t>6</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rPr>
        <w:t>真空系统</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sz w:val="24"/>
          <w:lang w:eastAsia="zh-CN"/>
        </w:rPr>
        <w:t>（</w:t>
      </w:r>
      <w:r>
        <w:rPr>
          <w:rFonts w:hint="eastAsia" w:ascii="宋体" w:hAnsi="宋体"/>
          <w:sz w:val="24"/>
          <w:lang w:val="en-US" w:eastAsia="zh-CN"/>
        </w:rPr>
        <w:t>1）</w:t>
      </w:r>
      <w:r>
        <w:rPr>
          <w:rFonts w:hint="eastAsia" w:ascii="宋体" w:hAnsi="宋体" w:eastAsia="宋体" w:cs="宋体"/>
          <w:color w:val="000000"/>
          <w:sz w:val="24"/>
          <w:szCs w:val="24"/>
        </w:rPr>
        <w:t xml:space="preserve">高真空：双入口差动式涡轮分子泵排气系统，180L/sec +180L/sec </w:t>
      </w:r>
      <w:r>
        <w:rPr>
          <w:rFonts w:hint="eastAsia" w:ascii="宋体" w:hAnsi="宋体" w:cs="宋体"/>
          <w:color w:val="000000"/>
          <w:sz w:val="24"/>
          <w:szCs w:val="24"/>
          <w:lang w:eastAsia="zh-CN"/>
        </w:rPr>
        <w:t>（</w:t>
      </w:r>
      <w:r>
        <w:rPr>
          <w:rFonts w:hint="eastAsia" w:ascii="宋体" w:hAnsi="宋体" w:eastAsia="宋体" w:cs="宋体"/>
          <w:color w:val="000000"/>
          <w:sz w:val="24"/>
          <w:szCs w:val="24"/>
        </w:rPr>
        <w:t>提供涡轮分子泵抽力的证明图片</w:t>
      </w:r>
      <w:r>
        <w:rPr>
          <w:rFonts w:hint="eastAsia" w:ascii="宋体" w:hAnsi="宋体" w:cs="宋体"/>
          <w:color w:val="000000"/>
          <w:sz w:val="24"/>
          <w:szCs w:val="24"/>
          <w:lang w:eastAsia="zh-CN"/>
        </w:rPr>
        <w:t>）</w:t>
      </w:r>
      <w:r>
        <w:rPr>
          <w:rFonts w:hint="eastAsia" w:ascii="宋体" w:hAnsi="宋体" w:eastAsia="宋体" w:cs="宋体"/>
          <w:color w:val="000000"/>
          <w:sz w:val="24"/>
          <w:szCs w:val="24"/>
        </w:rPr>
        <w:t>，以及应用证明（更换离子源后抽真空50分钟后，仪器恢复到分析状态）</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低真空：</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30L/min（60Hz）机械泵。</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标准配备皮拉尼真空规、离子规（软件直接监测高真空和低真空）。</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柱流量</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15mL/min（He），可直接连接</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0.5mm内径的色谱柱。</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支持双柱双流路系统（Twin Line system），两个柱流量控制系统均采用流量控制单元。</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sz w:val="24"/>
          <w:lang w:eastAsia="zh-CN"/>
        </w:rPr>
        <w:t>（</w:t>
      </w:r>
      <w:r>
        <w:rPr>
          <w:rFonts w:hint="eastAsia" w:ascii="宋体" w:hAnsi="宋体"/>
          <w:sz w:val="24"/>
          <w:lang w:val="en-US" w:eastAsia="zh-CN"/>
        </w:rPr>
        <w:t>6）</w:t>
      </w:r>
      <w:r>
        <w:rPr>
          <w:rFonts w:hint="eastAsia" w:ascii="宋体" w:hAnsi="宋体" w:eastAsia="宋体" w:cs="宋体"/>
          <w:color w:val="000000"/>
          <w:sz w:val="24"/>
          <w:szCs w:val="24"/>
        </w:rPr>
        <w:t>支持使用氢气、氮气作为载气，无需更换任何部件。</w:t>
      </w:r>
    </w:p>
    <w:p>
      <w:pPr>
        <w:spacing w:line="360" w:lineRule="auto"/>
        <w:outlineLvl w:val="9"/>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eastAsia="zh-CN"/>
        </w:rPr>
        <w:t>2</w:t>
      </w:r>
      <w:r>
        <w:rPr>
          <w:rFonts w:hint="eastAsia" w:ascii="宋体" w:hAnsi="宋体" w:eastAsia="宋体" w:cs="宋体"/>
          <w:bCs/>
          <w:color w:val="000000"/>
          <w:sz w:val="24"/>
          <w:szCs w:val="24"/>
        </w:rPr>
        <w:t>、  气相色谱部分</w:t>
      </w:r>
    </w:p>
    <w:p>
      <w:pPr>
        <w:numPr>
          <w:ilvl w:val="0"/>
          <w:numId w:val="0"/>
        </w:numPr>
        <w:spacing w:line="360" w:lineRule="auto"/>
        <w:ind w:leftChars="0"/>
        <w:outlineLvl w:val="9"/>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eastAsia="zh-CN"/>
        </w:rPr>
        <w:t>2.1</w:t>
      </w:r>
      <w:r>
        <w:rPr>
          <w:rFonts w:hint="eastAsia" w:ascii="宋体" w:hAnsi="宋体" w:eastAsia="宋体" w:cs="宋体"/>
          <w:bCs/>
          <w:color w:val="000000"/>
          <w:sz w:val="24"/>
          <w:szCs w:val="24"/>
        </w:rPr>
        <w:t xml:space="preserve">  快速加热和冷却的柱温箱</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2.1.1</w:t>
      </w:r>
      <w:r>
        <w:rPr>
          <w:rFonts w:hint="eastAsia" w:ascii="宋体" w:hAnsi="宋体" w:eastAsia="宋体" w:cs="宋体"/>
          <w:color w:val="000000"/>
          <w:sz w:val="24"/>
          <w:szCs w:val="24"/>
        </w:rPr>
        <w:t>柱箱温度：室温以上3℃ ～ 450℃（使用液态CO</w:t>
      </w:r>
      <w:r>
        <w:rPr>
          <w:rFonts w:hint="eastAsia" w:ascii="宋体" w:hAnsi="宋体" w:cs="宋体"/>
          <w:color w:val="000000"/>
          <w:sz w:val="24"/>
          <w:szCs w:val="24"/>
          <w:lang w:val="en-US" w:eastAsia="zh-CN"/>
        </w:rPr>
        <w:t>²</w:t>
      </w:r>
      <w:r>
        <w:rPr>
          <w:rFonts w:hint="eastAsia" w:ascii="宋体" w:hAnsi="宋体" w:eastAsia="宋体" w:cs="宋体"/>
          <w:color w:val="000000"/>
          <w:sz w:val="24"/>
          <w:szCs w:val="24"/>
        </w:rPr>
        <w:t>时可达-45℃）；</w:t>
      </w:r>
    </w:p>
    <w:p>
      <w:pPr>
        <w:spacing w:line="360" w:lineRule="auto"/>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2.1.2</w:t>
      </w:r>
      <w:r>
        <w:rPr>
          <w:rFonts w:hint="eastAsia" w:ascii="宋体" w:hAnsi="宋体" w:eastAsia="宋体" w:cs="宋体"/>
          <w:color w:val="000000"/>
          <w:sz w:val="24"/>
          <w:szCs w:val="24"/>
        </w:rPr>
        <w:t xml:space="preserve"> 程序升温：27阶28平台；</w:t>
      </w:r>
    </w:p>
    <w:p>
      <w:pPr>
        <w:spacing w:line="360" w:lineRule="auto"/>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2.1.3</w:t>
      </w:r>
      <w:r>
        <w:rPr>
          <w:rFonts w:hint="eastAsia" w:ascii="宋体" w:hAnsi="宋体" w:eastAsia="宋体" w:cs="宋体"/>
          <w:color w:val="000000"/>
          <w:sz w:val="24"/>
          <w:szCs w:val="24"/>
        </w:rPr>
        <w:t xml:space="preserve"> 可设定升温速率：</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±180℃/min；</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2.1.4</w:t>
      </w:r>
      <w:r>
        <w:rPr>
          <w:rFonts w:hint="eastAsia" w:ascii="宋体" w:hAnsi="宋体" w:eastAsia="宋体" w:cs="宋体"/>
          <w:color w:val="000000"/>
          <w:sz w:val="24"/>
          <w:szCs w:val="24"/>
        </w:rPr>
        <w:t>温度设定精度：0.1℃；</w:t>
      </w:r>
    </w:p>
    <w:p>
      <w:pPr>
        <w:spacing w:line="360" w:lineRule="auto"/>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2.1.5</w:t>
      </w:r>
      <w:r>
        <w:rPr>
          <w:rFonts w:hint="eastAsia" w:ascii="宋体" w:hAnsi="宋体" w:eastAsia="宋体" w:cs="宋体"/>
          <w:color w:val="000000"/>
          <w:sz w:val="24"/>
          <w:szCs w:val="24"/>
        </w:rPr>
        <w:t xml:space="preserve"> 控温精度：设定值(K) ± 1% (可校准至0.01℃)；</w:t>
      </w:r>
    </w:p>
    <w:p>
      <w:pPr>
        <w:spacing w:line="360" w:lineRule="auto"/>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1.6  温度稳定性：周围温度每变化1℃，柱温箱温度变化</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0.01℃；</w:t>
      </w:r>
    </w:p>
    <w:p>
      <w:pPr>
        <w:spacing w:line="360" w:lineRule="auto"/>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.1.7  冷却速度：从 450 降到 50℃ ≤3.5min（210s）；</w:t>
      </w:r>
    </w:p>
    <w:p>
      <w:pPr>
        <w:spacing w:line="360" w:lineRule="auto"/>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.1.8  具有柱温箱温度的自动保护功能；</w:t>
      </w:r>
    </w:p>
    <w:p>
      <w:pPr>
        <w:spacing w:line="360" w:lineRule="auto"/>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.1.9  最大运行时间：</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9000分钟；</w:t>
      </w:r>
    </w:p>
    <w:p>
      <w:pPr>
        <w:spacing w:line="360" w:lineRule="auto"/>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.1.10 气相色谱主机采用</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7英寸的彩色触摸屏进行操控。</w:t>
      </w:r>
    </w:p>
    <w:p>
      <w:pPr>
        <w:spacing w:line="360" w:lineRule="auto"/>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.1.11 柱温箱可升级配置氢气传感器，其具有氢气漏气报警功能，可实时监控泄漏。</w:t>
      </w:r>
    </w:p>
    <w:p>
      <w:pPr>
        <w:spacing w:line="360" w:lineRule="auto"/>
        <w:outlineLvl w:val="9"/>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.1.12 具有一键设置柱温箱降温速率功能，可依据不同色谱柱自由设置降温速率</w:t>
      </w:r>
      <w:r>
        <w:rPr>
          <w:rFonts w:hint="eastAsia" w:ascii="宋体" w:hAnsi="宋体" w:cs="宋体"/>
          <w:color w:val="000000"/>
          <w:sz w:val="24"/>
          <w:szCs w:val="24"/>
          <w:lang w:eastAsia="zh-CN"/>
        </w:rPr>
        <w:t>。</w:t>
      </w:r>
    </w:p>
    <w:p>
      <w:pPr>
        <w:spacing w:line="360" w:lineRule="auto"/>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.1.13 柱温箱内置耐高温智能灯，柱箱门开启时自动点亮，照亮柱箱内空间方便安装和更换色谱柱。</w:t>
      </w:r>
    </w:p>
    <w:p>
      <w:pPr>
        <w:spacing w:line="360" w:lineRule="auto"/>
        <w:outlineLvl w:val="9"/>
        <w:rPr>
          <w:rFonts w:hint="eastAsia" w:ascii="宋体" w:hAnsi="宋体" w:eastAsia="宋体" w:cs="宋体"/>
          <w:bCs/>
          <w:color w:val="000000"/>
          <w:sz w:val="24"/>
          <w:szCs w:val="24"/>
        </w:rPr>
      </w:pPr>
      <w:r>
        <w:rPr>
          <w:rFonts w:hint="eastAsia" w:ascii="宋体" w:hAnsi="宋体" w:eastAsia="宋体" w:cs="宋体"/>
          <w:color w:val="000000"/>
          <w:sz w:val="24"/>
          <w:szCs w:val="24"/>
          <w:lang w:val="en-US" w:eastAsia="zh-CN"/>
        </w:rPr>
        <w:t>2.2</w:t>
      </w:r>
      <w:r>
        <w:rPr>
          <w:rFonts w:hint="eastAsia" w:ascii="宋体" w:hAnsi="宋体" w:eastAsia="宋体" w:cs="宋体"/>
          <w:bCs/>
          <w:color w:val="000000"/>
          <w:sz w:val="24"/>
          <w:szCs w:val="24"/>
        </w:rPr>
        <w:t xml:space="preserve">   </w:t>
      </w:r>
      <w:r>
        <w:rPr>
          <w:rFonts w:hint="eastAsia" w:ascii="宋体" w:hAnsi="宋体" w:cs="宋体"/>
          <w:bCs/>
          <w:color w:val="000000"/>
          <w:sz w:val="24"/>
          <w:szCs w:val="24"/>
          <w:lang w:val="en-US" w:eastAsia="zh-CN"/>
        </w:rPr>
        <w:t>具有</w:t>
      </w:r>
      <w:r>
        <w:rPr>
          <w:rFonts w:hint="eastAsia" w:ascii="宋体" w:hAnsi="宋体" w:eastAsia="宋体" w:cs="宋体"/>
          <w:bCs/>
          <w:color w:val="000000"/>
          <w:sz w:val="24"/>
          <w:szCs w:val="24"/>
        </w:rPr>
        <w:t>分流/不分流进样口</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最高温度：</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4</w:t>
      </w:r>
      <w:r>
        <w:rPr>
          <w:rFonts w:hint="eastAsia" w:ascii="宋体" w:hAnsi="宋体" w:cs="宋体"/>
          <w:color w:val="000000"/>
          <w:sz w:val="24"/>
          <w:szCs w:val="24"/>
          <w:lang w:val="en-US" w:eastAsia="zh-CN"/>
        </w:rPr>
        <w:t>0</w:t>
      </w:r>
      <w:r>
        <w:rPr>
          <w:rFonts w:hint="eastAsia" w:ascii="宋体" w:hAnsi="宋体" w:eastAsia="宋体" w:cs="宋体"/>
          <w:color w:val="000000"/>
          <w:sz w:val="24"/>
          <w:szCs w:val="24"/>
        </w:rPr>
        <w:t>0℃；</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 xml:space="preserve">(2) </w:t>
      </w:r>
      <w:r>
        <w:rPr>
          <w:rFonts w:hint="eastAsia" w:ascii="宋体" w:hAnsi="宋体" w:eastAsia="宋体" w:cs="宋体"/>
          <w:color w:val="000000"/>
          <w:sz w:val="24"/>
          <w:szCs w:val="24"/>
        </w:rPr>
        <w:t>配备全自动电子流量控制系统，具备室温补偿和自动环境补偿功能；支持恒流，恒</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压，程序增加流速，程序升压及压力脉冲等操作模式以及恒线速度控制功能</w:t>
      </w:r>
      <w:r>
        <w:rPr>
          <w:rFonts w:hint="eastAsia" w:ascii="宋体" w:hAnsi="宋体" w:cs="宋体"/>
          <w:color w:val="000000"/>
          <w:sz w:val="24"/>
          <w:szCs w:val="24"/>
          <w:lang w:eastAsia="zh-CN"/>
        </w:rPr>
        <w:t>。</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标准配备载气节省模式；</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进样口标配徒手无需任何工具1秒内即可完成进样口的打开或关闭，仪器自动感知最佳气密位置；</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 xml:space="preserve">压力设定范围：0 ～ </w:t>
      </w:r>
      <w:r>
        <w:rPr>
          <w:rFonts w:hint="eastAsia" w:ascii="宋体" w:hAnsi="宋体" w:cs="宋体"/>
          <w:color w:val="000000"/>
          <w:sz w:val="24"/>
          <w:szCs w:val="24"/>
          <w:lang w:val="en-US" w:eastAsia="zh-CN"/>
        </w:rPr>
        <w:t>1000</w:t>
      </w:r>
      <w:r>
        <w:rPr>
          <w:rFonts w:hint="eastAsia" w:ascii="宋体" w:hAnsi="宋体" w:eastAsia="宋体" w:cs="宋体"/>
          <w:color w:val="000000"/>
          <w:sz w:val="24"/>
          <w:szCs w:val="24"/>
        </w:rPr>
        <w:t>kPa；</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压力控制精度：0.001psi；</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压力程序比率设定范围：-400 ～ 400kPa/min；</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压力程序：</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6阶；</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rPr>
        <w:t>分流比设定范围：0 ～ 9000；</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流量设定范围：0 ～ 1280mL/min，He；0 ～ 550mL/min，N</w:t>
      </w:r>
      <w:r>
        <w:rPr>
          <w:rFonts w:hint="eastAsia" w:ascii="宋体" w:hAnsi="宋体" w:eastAsia="宋体" w:cs="宋体"/>
          <w:color w:val="000000"/>
          <w:sz w:val="24"/>
          <w:szCs w:val="24"/>
          <w:vertAlign w:val="subscript"/>
        </w:rPr>
        <w:t>2</w:t>
      </w:r>
    </w:p>
    <w:p>
      <w:pPr>
        <w:numPr>
          <w:ilvl w:val="0"/>
          <w:numId w:val="0"/>
        </w:numPr>
        <w:spacing w:line="360" w:lineRule="auto"/>
        <w:ind w:leftChars="0"/>
        <w:outlineLvl w:val="9"/>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eastAsia="zh-CN"/>
        </w:rPr>
        <w:t xml:space="preserve">2.3  </w:t>
      </w:r>
      <w:r>
        <w:rPr>
          <w:rFonts w:hint="eastAsia" w:ascii="宋体" w:hAnsi="宋体" w:eastAsia="宋体" w:cs="宋体"/>
          <w:bCs/>
          <w:color w:val="000000"/>
          <w:sz w:val="24"/>
          <w:szCs w:val="24"/>
        </w:rPr>
        <w:t>自动进样器单元</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样品位：≥150位样品盘；</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 xml:space="preserve">进样量范围：0.1~150 </w:t>
      </w:r>
      <w:r>
        <w:rPr>
          <w:rFonts w:hint="eastAsia" w:ascii="宋体" w:hAnsi="宋体" w:cs="宋体"/>
          <w:color w:val="000000"/>
          <w:sz w:val="24"/>
          <w:szCs w:val="24"/>
          <w:lang w:val="en-US" w:eastAsia="zh-CN"/>
        </w:rPr>
        <w:t>μ</w:t>
      </w:r>
      <w:r>
        <w:rPr>
          <w:rFonts w:hint="eastAsia" w:ascii="宋体" w:hAnsi="宋体" w:eastAsia="宋体" w:cs="宋体"/>
          <w:color w:val="000000"/>
          <w:sz w:val="24"/>
          <w:szCs w:val="24"/>
        </w:rPr>
        <w:t>L，10μl 注射器以0.1μl 步进；</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交叉污染：</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10</w:t>
      </w:r>
      <w:r>
        <w:rPr>
          <w:rFonts w:hint="eastAsia" w:ascii="宋体" w:hAnsi="宋体" w:eastAsia="宋体" w:cs="宋体"/>
          <w:color w:val="000000"/>
          <w:sz w:val="24"/>
          <w:szCs w:val="24"/>
          <w:vertAlign w:val="superscript"/>
        </w:rPr>
        <w:t>-4</w:t>
      </w:r>
      <w:r>
        <w:rPr>
          <w:rFonts w:hint="eastAsia" w:ascii="宋体" w:hAnsi="宋体" w:eastAsia="宋体" w:cs="宋体"/>
          <w:color w:val="000000"/>
          <w:sz w:val="24"/>
          <w:szCs w:val="24"/>
        </w:rPr>
        <w:t xml:space="preserve"> (使用4种溶剂清洗, 测定正己烷中1% 联苯)</w:t>
      </w:r>
    </w:p>
    <w:p>
      <w:pPr>
        <w:numPr>
          <w:ilvl w:val="0"/>
          <w:numId w:val="0"/>
        </w:numPr>
        <w:spacing w:line="360" w:lineRule="auto"/>
        <w:ind w:leftChars="0"/>
        <w:outlineLvl w:val="9"/>
        <w:rPr>
          <w:rFonts w:hint="eastAsia" w:ascii="宋体" w:hAnsi="宋体" w:eastAsia="宋体" w:cs="宋体"/>
          <w:strike/>
          <w:dstrike w:val="0"/>
          <w:color w:val="000000"/>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具有样品优先模式：当进行样品批处理进样时, 可对某样品进行优先进样设定</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完成批处理设定。</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保留时间重复性：</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0.001min</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峰面积重复性：</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1% RSD</w:t>
      </w:r>
    </w:p>
    <w:p>
      <w:pPr>
        <w:spacing w:line="360" w:lineRule="auto"/>
        <w:outlineLvl w:val="9"/>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eastAsia="zh-CN"/>
        </w:rPr>
        <w:t>3</w:t>
      </w:r>
      <w:r>
        <w:rPr>
          <w:rFonts w:hint="eastAsia" w:ascii="宋体" w:hAnsi="宋体" w:eastAsia="宋体" w:cs="宋体"/>
          <w:bCs/>
          <w:color w:val="000000"/>
          <w:sz w:val="24"/>
          <w:szCs w:val="24"/>
        </w:rPr>
        <w:t>、数据处理系统</w:t>
      </w:r>
    </w:p>
    <w:p>
      <w:pPr>
        <w:numPr>
          <w:ilvl w:val="0"/>
          <w:numId w:val="0"/>
        </w:numPr>
        <w:spacing w:line="360" w:lineRule="auto"/>
        <w:ind w:leftChars="0"/>
        <w:outlineLvl w:val="9"/>
        <w:rPr>
          <w:rFonts w:hint="eastAsia" w:ascii="宋体" w:hAnsi="宋体" w:eastAsia="宋体" w:cs="宋体"/>
          <w:b/>
          <w:color w:val="000000"/>
          <w:sz w:val="24"/>
          <w:szCs w:val="24"/>
        </w:rPr>
      </w:pPr>
      <w:r>
        <w:rPr>
          <w:rFonts w:hint="eastAsia" w:ascii="宋体" w:hAnsi="宋体" w:eastAsia="宋体" w:cs="宋体"/>
          <w:color w:val="000000"/>
          <w:sz w:val="24"/>
          <w:szCs w:val="24"/>
          <w:lang w:val="en-US" w:eastAsia="zh-CN"/>
        </w:rPr>
        <w:t>3.1</w:t>
      </w:r>
      <w:r>
        <w:rPr>
          <w:rFonts w:hint="eastAsia" w:ascii="宋体" w:hAnsi="宋体" w:eastAsia="宋体" w:cs="宋体"/>
          <w:color w:val="000000"/>
          <w:sz w:val="24"/>
          <w:szCs w:val="24"/>
        </w:rPr>
        <w:t>数据处理系统支持Scan，SIM和FASST（快速自动Scan/SIM同时扫描）数据采集方式。采用一体化的数据结构，利用定量浏览器和数据浏览器可方便的进行分析操作和信息追溯，满足GLP操作规范。</w:t>
      </w:r>
    </w:p>
    <w:p>
      <w:pPr>
        <w:numPr>
          <w:ilvl w:val="0"/>
          <w:numId w:val="0"/>
        </w:numPr>
        <w:spacing w:line="360" w:lineRule="auto"/>
        <w:ind w:leftChars="0"/>
        <w:outlineLvl w:val="9"/>
        <w:rPr>
          <w:rFonts w:hint="eastAsia" w:ascii="宋体" w:hAnsi="宋体" w:eastAsia="宋体" w:cs="宋体"/>
          <w:b/>
          <w:color w:val="000000"/>
          <w:sz w:val="24"/>
          <w:szCs w:val="24"/>
        </w:rPr>
      </w:pPr>
      <w:r>
        <w:rPr>
          <w:rFonts w:hint="eastAsia" w:ascii="宋体" w:hAnsi="宋体" w:eastAsia="宋体" w:cs="宋体"/>
          <w:color w:val="000000"/>
          <w:sz w:val="24"/>
          <w:szCs w:val="24"/>
          <w:lang w:val="en-US" w:eastAsia="zh-CN"/>
        </w:rPr>
        <w:t>3.2</w:t>
      </w:r>
      <w:r>
        <w:rPr>
          <w:rFonts w:hint="eastAsia" w:ascii="宋体" w:hAnsi="宋体" w:eastAsia="宋体" w:cs="宋体"/>
          <w:color w:val="000000"/>
          <w:sz w:val="24"/>
          <w:szCs w:val="24"/>
        </w:rPr>
        <w:t xml:space="preserve"> 支持自动创建SIM表和基于保留指数的保留时间自动校正功能，支持单次分析</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400种化合物。以提供一针分析400种以上的应用文献为优。</w:t>
      </w:r>
    </w:p>
    <w:p>
      <w:pPr>
        <w:pStyle w:val="88"/>
        <w:numPr>
          <w:ilvl w:val="0"/>
          <w:numId w:val="0"/>
        </w:numPr>
        <w:overflowPunct/>
        <w:autoSpaceDE/>
        <w:autoSpaceDN/>
        <w:adjustRightInd/>
        <w:snapToGrid w:val="0"/>
        <w:spacing w:line="360" w:lineRule="auto"/>
        <w:ind w:leftChars="0"/>
        <w:jc w:val="both"/>
        <w:textAlignment w:val="auto"/>
        <w:outlineLvl w:val="9"/>
        <w:rPr>
          <w:rFonts w:hint="eastAsia" w:ascii="宋体" w:hAnsi="宋体" w:eastAsia="宋体" w:cs="宋体"/>
          <w:color w:val="000000"/>
          <w:sz w:val="24"/>
          <w:szCs w:val="24"/>
        </w:rPr>
      </w:pPr>
      <w:r>
        <w:rPr>
          <w:rFonts w:hint="eastAsia" w:ascii="宋体" w:hAnsi="宋体"/>
          <w:sz w:val="24"/>
          <w:lang w:val="en-US" w:eastAsia="zh-CN"/>
        </w:rPr>
        <w:t>3.3</w:t>
      </w:r>
      <w:r>
        <w:rPr>
          <w:rFonts w:hint="eastAsia" w:ascii="宋体" w:hAnsi="宋体" w:eastAsia="宋体" w:cs="宋体"/>
          <w:color w:val="000000"/>
          <w:sz w:val="24"/>
          <w:szCs w:val="24"/>
        </w:rPr>
        <w:t>提供农药残留、邻苯二甲酸酯、多环芳烃等3个版本的Smart SIM分析方法包，涵盖</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12个方法条件、</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540种化合物的中英文名称、CAS号和保留指数、</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1700个SIM参数、</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1</w:t>
      </w:r>
      <w:r>
        <w:rPr>
          <w:rFonts w:hint="eastAsia" w:ascii="宋体" w:hAnsi="宋体" w:cs="宋体"/>
          <w:color w:val="000000"/>
          <w:sz w:val="24"/>
          <w:szCs w:val="24"/>
          <w:lang w:val="en-US" w:eastAsia="zh-CN"/>
        </w:rPr>
        <w:t>0</w:t>
      </w:r>
      <w:r>
        <w:rPr>
          <w:rFonts w:hint="eastAsia" w:ascii="宋体" w:hAnsi="宋体" w:eastAsia="宋体" w:cs="宋体"/>
          <w:color w:val="000000"/>
          <w:sz w:val="24"/>
          <w:szCs w:val="24"/>
        </w:rPr>
        <w:t>个分组，完美应对食品、纺织品、环境、玩具检测中的11个国家/行业标准。可提供Smart SIM数据库光盘，提供Smart SIM数据库证明材料</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3.4</w:t>
      </w:r>
      <w:r>
        <w:rPr>
          <w:rFonts w:hint="eastAsia" w:ascii="宋体" w:hAnsi="宋体" w:eastAsia="宋体" w:cs="宋体"/>
          <w:color w:val="000000"/>
          <w:sz w:val="24"/>
          <w:szCs w:val="24"/>
        </w:rPr>
        <w:t xml:space="preserve"> 支持NIST库，Wiley库，同时还有多种基于保留指数开发的方法包和数据库，如Compound Composer快速筛查数据库，代谢物分析数据库，农药分析方法包，水质分析方法包，农药谱库，香精香料谱库，法医毒品数据库，EPA分析软件，VOC分析软件等。以上谱库均支持带保留指数的相似度检索（LRI），帮助用户在没有标准品的情况下对未知物进行更为准确的定性。支持通用谱库和自建谱库功能。</w:t>
      </w:r>
    </w:p>
    <w:p>
      <w:pPr>
        <w:numPr>
          <w:ilvl w:val="0"/>
          <w:numId w:val="0"/>
        </w:numPr>
        <w:spacing w:line="360" w:lineRule="auto"/>
        <w:ind w:leftChars="0"/>
        <w:outlineLvl w:val="9"/>
        <w:rPr>
          <w:rFonts w:hint="eastAsia" w:ascii="宋体" w:hAnsi="宋体" w:eastAsia="宋体" w:cs="宋体"/>
          <w:b/>
          <w:color w:val="000000"/>
          <w:sz w:val="24"/>
          <w:szCs w:val="24"/>
        </w:rPr>
      </w:pPr>
      <w:r>
        <w:rPr>
          <w:rFonts w:hint="eastAsia" w:ascii="宋体" w:hAnsi="宋体" w:eastAsia="宋体" w:cs="宋体"/>
          <w:color w:val="000000"/>
          <w:sz w:val="24"/>
          <w:szCs w:val="24"/>
          <w:lang w:val="en-US" w:eastAsia="zh-CN"/>
        </w:rPr>
        <w:t>3.5</w:t>
      </w:r>
      <w:r>
        <w:rPr>
          <w:rFonts w:hint="eastAsia" w:ascii="宋体" w:hAnsi="宋体" w:eastAsia="宋体" w:cs="宋体"/>
          <w:color w:val="000000"/>
          <w:sz w:val="24"/>
          <w:szCs w:val="24"/>
        </w:rPr>
        <w:t xml:space="preserve"> 具有相似度检索，指定条件的相似度检索，反检索，索引查询等功能。</w:t>
      </w:r>
    </w:p>
    <w:p>
      <w:pPr>
        <w:numPr>
          <w:ilvl w:val="0"/>
          <w:numId w:val="0"/>
        </w:numPr>
        <w:spacing w:line="360" w:lineRule="auto"/>
        <w:ind w:leftChars="0"/>
        <w:outlineLvl w:val="9"/>
        <w:rPr>
          <w:rFonts w:hint="eastAsia" w:ascii="宋体" w:hAnsi="宋体" w:eastAsia="宋体" w:cs="宋体"/>
          <w:b/>
          <w:color w:val="000000"/>
          <w:sz w:val="24"/>
          <w:szCs w:val="24"/>
        </w:rPr>
      </w:pPr>
      <w:r>
        <w:rPr>
          <w:rFonts w:hint="eastAsia" w:ascii="宋体" w:hAnsi="宋体" w:eastAsia="宋体" w:cs="宋体"/>
          <w:color w:val="000000"/>
          <w:sz w:val="24"/>
          <w:szCs w:val="24"/>
          <w:lang w:val="en-US" w:eastAsia="zh-CN"/>
        </w:rPr>
        <w:t>3.6</w:t>
      </w:r>
      <w:r>
        <w:rPr>
          <w:rFonts w:hint="eastAsia" w:ascii="宋体" w:hAnsi="宋体" w:eastAsia="宋体" w:cs="宋体"/>
          <w:color w:val="000000"/>
          <w:sz w:val="24"/>
          <w:szCs w:val="24"/>
        </w:rPr>
        <w:t xml:space="preserve"> 具有高度灵活的报告制作功能，各种类型的模板文件快捷选用，并支持自建模板。测定数据能够以AIA，JCAMP，ASCII，mzData或mzXML形式转换输出，自建谱库也可转换为JCAMP格式，强化与NIST提供的AMDIS程序的联合使用。</w:t>
      </w:r>
    </w:p>
    <w:p>
      <w:pPr>
        <w:numPr>
          <w:ilvl w:val="0"/>
          <w:numId w:val="0"/>
        </w:numPr>
        <w:spacing w:line="360" w:lineRule="auto"/>
        <w:ind w:leftChars="0"/>
        <w:outlineLvl w:val="9"/>
        <w:rPr>
          <w:rFonts w:hint="eastAsia" w:ascii="宋体" w:hAnsi="宋体" w:eastAsia="宋体" w:cs="宋体"/>
          <w:b/>
          <w:color w:val="000000"/>
          <w:sz w:val="24"/>
          <w:szCs w:val="24"/>
        </w:rPr>
      </w:pPr>
      <w:r>
        <w:rPr>
          <w:rFonts w:hint="eastAsia" w:ascii="宋体" w:hAnsi="宋体" w:eastAsia="宋体" w:cs="宋体"/>
          <w:color w:val="000000"/>
          <w:sz w:val="24"/>
          <w:szCs w:val="24"/>
          <w:lang w:val="en-US" w:eastAsia="zh-CN"/>
        </w:rPr>
        <w:t>3.7</w:t>
      </w:r>
      <w:r>
        <w:rPr>
          <w:rFonts w:hint="eastAsia" w:ascii="宋体" w:hAnsi="宋体" w:eastAsia="宋体" w:cs="宋体"/>
          <w:color w:val="000000"/>
          <w:sz w:val="24"/>
          <w:szCs w:val="24"/>
        </w:rPr>
        <w:t xml:space="preserve"> 具有高精度控制QA/QC功能，支持自动计算信噪比、精密度、回收率、检出限等方法学指标，仪器系统检查功能和用户安全管理功能。</w:t>
      </w:r>
    </w:p>
    <w:p>
      <w:pPr>
        <w:numPr>
          <w:ilvl w:val="0"/>
          <w:numId w:val="0"/>
        </w:numPr>
        <w:spacing w:line="360" w:lineRule="auto"/>
        <w:ind w:leftChars="0"/>
        <w:outlineLvl w:val="9"/>
        <w:rPr>
          <w:rFonts w:hint="eastAsia" w:ascii="宋体" w:hAnsi="宋体" w:eastAsia="宋体" w:cs="宋体"/>
          <w:b/>
          <w:color w:val="000000"/>
          <w:sz w:val="24"/>
          <w:szCs w:val="24"/>
        </w:rPr>
      </w:pPr>
      <w:r>
        <w:rPr>
          <w:rFonts w:hint="eastAsia" w:ascii="宋体" w:hAnsi="宋体" w:eastAsia="宋体" w:cs="宋体"/>
          <w:color w:val="000000"/>
          <w:sz w:val="24"/>
          <w:szCs w:val="24"/>
          <w:lang w:val="en-US" w:eastAsia="zh-CN"/>
        </w:rPr>
        <w:t>3.8</w:t>
      </w:r>
      <w:r>
        <w:rPr>
          <w:rFonts w:hint="eastAsia" w:ascii="宋体" w:hAnsi="宋体" w:eastAsia="宋体" w:cs="宋体"/>
          <w:color w:val="000000"/>
          <w:sz w:val="24"/>
          <w:szCs w:val="24"/>
        </w:rPr>
        <w:t xml:space="preserve"> 可通过网络式CDS（数据管理系统）进行软件远程控制和人机分离模式操作。</w:t>
      </w:r>
    </w:p>
    <w:p>
      <w:pPr>
        <w:numPr>
          <w:ilvl w:val="0"/>
          <w:numId w:val="0"/>
        </w:numPr>
        <w:spacing w:line="360" w:lineRule="auto"/>
        <w:ind w:leftChars="0"/>
        <w:outlineLvl w:val="9"/>
        <w:rPr>
          <w:rFonts w:hint="eastAsia" w:ascii="宋体" w:hAnsi="宋体" w:eastAsia="宋体" w:cs="宋体"/>
          <w:b/>
          <w:color w:val="000000"/>
          <w:sz w:val="24"/>
          <w:szCs w:val="24"/>
        </w:rPr>
      </w:pPr>
      <w:r>
        <w:rPr>
          <w:rFonts w:hint="eastAsia" w:ascii="宋体" w:hAnsi="宋体" w:eastAsia="宋体" w:cs="宋体"/>
          <w:color w:val="000000"/>
          <w:sz w:val="24"/>
          <w:szCs w:val="24"/>
          <w:lang w:val="en-US" w:eastAsia="zh-CN"/>
        </w:rPr>
        <w:t>3.9</w:t>
      </w:r>
      <w:r>
        <w:rPr>
          <w:rFonts w:hint="eastAsia" w:ascii="宋体" w:hAnsi="宋体" w:eastAsia="宋体" w:cs="宋体"/>
          <w:color w:val="000000"/>
          <w:sz w:val="24"/>
          <w:szCs w:val="24"/>
        </w:rPr>
        <w:t xml:space="preserve"> 具有安全性策略、系统策略、用户权限和用户管理、审核追踪等功能，完全符合GXP和FDA 21 CFR Part11或厚生劳动省相关法规的要求。</w:t>
      </w:r>
    </w:p>
    <w:p>
      <w:pPr>
        <w:spacing w:line="360" w:lineRule="auto"/>
        <w:outlineLvl w:val="9"/>
        <w:rPr>
          <w:rFonts w:hint="eastAsia" w:ascii="宋体" w:hAnsi="宋体" w:eastAsia="宋体" w:cs="宋体"/>
          <w:b/>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10 支持不停机进样口维护功能（用户无需停止真空系统即可进行进样口的维护）。</w:t>
      </w:r>
    </w:p>
    <w:p>
      <w:pPr>
        <w:spacing w:line="360" w:lineRule="auto"/>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11快速进样口维护功能：与质谱联机时可以在不卸真空的情况下更换进样垫和衬管，进行进样口维护。配备生态学模式，有效降低耗电量与装置的运行成本，并可在批处理完成后自动运行。</w:t>
      </w:r>
    </w:p>
    <w:p>
      <w:pPr>
        <w:spacing w:line="360" w:lineRule="auto"/>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12支持智能钟功能。系统启动后真空状态、调谐结果自动判定，无需人为确认即可直接开始分析工作，序列运行、维护时间直观显示，便于用户合理工作时间，提升工作效率。</w:t>
      </w:r>
    </w:p>
    <w:p>
      <w:pPr>
        <w:spacing w:line="360" w:lineRule="auto"/>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.13 多种附件可供选择，可接入吹扫捕集仪、固相萃取仪（可大体积上样）、顶空自动进样器、热解吸仪等前处理设备。</w:t>
      </w:r>
    </w:p>
    <w:p>
      <w:pPr>
        <w:spacing w:line="360" w:lineRule="auto"/>
        <w:outlineLvl w:val="9"/>
        <w:rPr>
          <w:rFonts w:hint="eastAsia" w:ascii="宋体" w:hAnsi="宋体" w:eastAsia="宋体" w:cs="宋体"/>
          <w:bCs/>
          <w:iCs/>
          <w:color w:val="000000"/>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w:t>
      </w:r>
      <w:r>
        <w:rPr>
          <w:rFonts w:hint="eastAsia" w:ascii="宋体" w:hAnsi="宋体" w:eastAsia="宋体" w:cs="宋体"/>
          <w:bCs/>
          <w:iCs/>
          <w:color w:val="000000"/>
          <w:sz w:val="24"/>
          <w:szCs w:val="24"/>
        </w:rPr>
        <w:t>计算机系统：电脑配置：CPU性能≥Intel 酷睿 i5 10代，≥16G内存，硬盘≥1TB，显示器≥27英寸，网口数量≥2个，USB3.0≥2个，USB2.0≥4个，键盘：标准键盘，具有防水功能，操作系统：预装Windows 10正版；</w:t>
      </w:r>
      <w:r>
        <w:rPr>
          <w:rFonts w:hint="eastAsia" w:ascii="宋体" w:hAnsi="宋体" w:eastAsia="宋体" w:cs="宋体"/>
          <w:bCs/>
          <w:color w:val="000000"/>
          <w:sz w:val="24"/>
          <w:szCs w:val="24"/>
        </w:rPr>
        <w:t>A4黑白激光打印机</w:t>
      </w:r>
      <w:r>
        <w:rPr>
          <w:rFonts w:hint="eastAsia" w:ascii="宋体" w:hAnsi="宋体" w:eastAsia="宋体" w:cs="宋体"/>
          <w:bCs/>
          <w:color w:val="000000"/>
          <w:sz w:val="24"/>
          <w:szCs w:val="24"/>
          <w:lang w:eastAsia="zh-CN"/>
        </w:rPr>
        <w:t>（</w:t>
      </w:r>
      <w:r>
        <w:rPr>
          <w:rFonts w:hint="eastAsia" w:ascii="宋体" w:hAnsi="宋体" w:eastAsia="宋体" w:cs="宋体"/>
          <w:bCs/>
          <w:color w:val="000000"/>
          <w:sz w:val="24"/>
          <w:szCs w:val="24"/>
          <w:lang w:val="en-US" w:eastAsia="zh-CN"/>
        </w:rPr>
        <w:t>可双面打印）</w:t>
      </w:r>
      <w:r>
        <w:rPr>
          <w:rFonts w:hint="eastAsia" w:ascii="宋体" w:hAnsi="宋体" w:eastAsia="宋体" w:cs="宋体"/>
          <w:bCs/>
          <w:color w:val="000000"/>
          <w:sz w:val="24"/>
          <w:szCs w:val="24"/>
        </w:rPr>
        <w:t>。</w:t>
      </w:r>
    </w:p>
    <w:p>
      <w:pPr>
        <w:spacing w:line="360" w:lineRule="auto"/>
        <w:outlineLvl w:val="9"/>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eastAsia="zh-CN"/>
        </w:rPr>
        <w:t>5</w:t>
      </w:r>
      <w:r>
        <w:rPr>
          <w:rFonts w:hint="eastAsia" w:ascii="宋体" w:hAnsi="宋体" w:eastAsia="宋体" w:cs="宋体"/>
          <w:bCs/>
          <w:color w:val="000000"/>
          <w:sz w:val="24"/>
          <w:szCs w:val="24"/>
        </w:rPr>
        <w:t>、  基本配置</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GC主机1套</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MS主机 1套</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质谱用毛细管-5ms 0.25mmx0.25umx30m1根 </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最新2020版NIST谱库1套</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50位自动进样器1套</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两年用消耗品</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双头扳手 4只</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镊子1只</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螺丝刀2只</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毛细管柱切割工具1只</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柱接头G 型空螺母 （2个包装）1包</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自动进样器微量注射针1只</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最低流失进样垫 （50个包装）1包</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聚胺酯压环，0.25mm柱用 （10个包装）1包</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聚胺酯压环，0.32mm柱用 （10个包装）1包</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氟橡胶O型圈 衬管用（10个包装）</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最高使用温度为300℃1包</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惰性化带石英棉分流衬管 （5个包装）1包</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惰性化带石英棉不分流衬管（5个包装）1包</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柱接头螺母 （5个包装）1包</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用分流流路过滤器1套</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金垫片（1个包装）1包</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灯丝2只</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铝垫片 （100个包装）1包</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离子源清洗砂布，带切口1包</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氦气过滤装置1套</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1ml样品瓶100只</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4ml样品瓶50只</w:t>
      </w:r>
    </w:p>
    <w:p>
      <w:pPr>
        <w:numPr>
          <w:ilvl w:val="0"/>
          <w:numId w:val="0"/>
        </w:numPr>
        <w:spacing w:line="360" w:lineRule="auto"/>
        <w:ind w:leftChars="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原厂软件1套</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 xml:space="preserve"> 电脑及打印机1套</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氦气钢瓶及减压阀 1套</w:t>
      </w:r>
    </w:p>
    <w:p>
      <w:pPr>
        <w:spacing w:line="360" w:lineRule="auto"/>
        <w:outlineLvl w:val="9"/>
        <w:rPr>
          <w:rFonts w:hint="eastAsia" w:ascii="宋体" w:hAnsi="宋体" w:eastAsia="宋体" w:cs="宋体"/>
          <w:strike/>
          <w:dstrike w:val="0"/>
          <w:color w:val="000000"/>
          <w:sz w:val="24"/>
          <w:szCs w:val="24"/>
        </w:rPr>
      </w:pPr>
    </w:p>
    <w:p>
      <w:pPr>
        <w:pStyle w:val="33"/>
        <w:spacing w:line="360" w:lineRule="auto"/>
        <w:ind w:firstLine="0" w:firstLineChars="0"/>
        <w:jc w:val="both"/>
        <w:outlineLvl w:val="9"/>
        <w:rPr>
          <w:rFonts w:hint="eastAsia" w:ascii="宋体" w:hAnsi="宋体" w:eastAsia="宋体" w:cs="宋体"/>
          <w:bCs/>
          <w:strike/>
          <w:dstrike w:val="0"/>
          <w:sz w:val="24"/>
          <w:szCs w:val="24"/>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原子荧光分光光度计技术参数</w:t>
      </w:r>
    </w:p>
    <w:p>
      <w:pPr>
        <w:tabs>
          <w:tab w:val="left" w:pos="997"/>
          <w:tab w:val="left" w:pos="8522"/>
        </w:tabs>
        <w:adjustRightInd w:val="0"/>
        <w:snapToGrid w:val="0"/>
        <w:spacing w:line="360" w:lineRule="auto"/>
        <w:jc w:val="left"/>
        <w:outlineLvl w:val="9"/>
        <w:rPr>
          <w:rFonts w:hint="eastAsia" w:ascii="宋体" w:hAnsi="宋体" w:eastAsia="宋体" w:cs="宋体"/>
          <w:bCs/>
          <w:sz w:val="24"/>
          <w:szCs w:val="24"/>
        </w:rPr>
      </w:pPr>
      <w:r>
        <w:rPr>
          <w:rFonts w:hint="eastAsia" w:ascii="宋体" w:hAnsi="宋体" w:eastAsia="宋体" w:cs="宋体"/>
          <w:bCs/>
          <w:sz w:val="24"/>
          <w:szCs w:val="24"/>
          <w:lang w:val="en-US" w:eastAsia="zh-CN"/>
        </w:rPr>
        <w:t>1</w:t>
      </w:r>
      <w:r>
        <w:rPr>
          <w:rFonts w:hint="eastAsia" w:ascii="宋体" w:hAnsi="宋体" w:eastAsia="宋体" w:cs="宋体"/>
          <w:bCs/>
          <w:sz w:val="24"/>
          <w:szCs w:val="24"/>
        </w:rPr>
        <w:t>、主要技术参数</w:t>
      </w:r>
    </w:p>
    <w:p>
      <w:pPr>
        <w:tabs>
          <w:tab w:val="left" w:pos="997"/>
          <w:tab w:val="left" w:pos="8522"/>
        </w:tabs>
        <w:adjustRightInd w:val="0"/>
        <w:snapToGrid w:val="0"/>
        <w:spacing w:line="360" w:lineRule="auto"/>
        <w:jc w:val="left"/>
        <w:outlineLvl w:val="9"/>
        <w:rPr>
          <w:rFonts w:hint="eastAsia" w:ascii="宋体" w:hAnsi="宋体" w:eastAsia="宋体" w:cs="宋体"/>
          <w:bCs/>
          <w:sz w:val="24"/>
          <w:szCs w:val="24"/>
        </w:rPr>
      </w:pPr>
      <w:r>
        <w:rPr>
          <w:rFonts w:hint="eastAsia" w:ascii="宋体" w:hAnsi="宋体" w:eastAsia="宋体" w:cs="宋体"/>
          <w:bCs/>
          <w:sz w:val="24"/>
          <w:szCs w:val="24"/>
          <w:lang w:val="en-US" w:eastAsia="zh-CN"/>
        </w:rPr>
        <w:t>1</w:t>
      </w:r>
      <w:r>
        <w:rPr>
          <w:rFonts w:hint="eastAsia" w:ascii="宋体" w:hAnsi="宋体" w:eastAsia="宋体" w:cs="宋体"/>
          <w:bCs/>
          <w:sz w:val="24"/>
          <w:szCs w:val="24"/>
        </w:rPr>
        <w:t>.1用于样品中 As、Sb、Bi、Se、Te、Sn、Pb、Hg、Cd、Ge、Zn、Au十二种元素的痕量分析。</w:t>
      </w:r>
    </w:p>
    <w:p>
      <w:pPr>
        <w:tabs>
          <w:tab w:val="left" w:pos="997"/>
          <w:tab w:val="left" w:pos="8522"/>
        </w:tabs>
        <w:adjustRightInd w:val="0"/>
        <w:snapToGrid w:val="0"/>
        <w:spacing w:line="360" w:lineRule="auto"/>
        <w:jc w:val="left"/>
        <w:outlineLvl w:val="9"/>
        <w:rPr>
          <w:rFonts w:hint="eastAsia" w:ascii="宋体" w:hAnsi="宋体" w:eastAsia="宋体" w:cs="宋体"/>
          <w:bCs/>
          <w:sz w:val="24"/>
          <w:szCs w:val="24"/>
        </w:rPr>
      </w:pPr>
      <w:r>
        <w:rPr>
          <w:rFonts w:hint="eastAsia" w:ascii="宋体" w:hAnsi="宋体" w:eastAsia="宋体" w:cs="宋体"/>
          <w:bCs/>
          <w:sz w:val="24"/>
          <w:szCs w:val="24"/>
          <w:lang w:val="en-US" w:eastAsia="zh-CN"/>
        </w:rPr>
        <w:t>1</w:t>
      </w:r>
      <w:r>
        <w:rPr>
          <w:rFonts w:hint="eastAsia" w:ascii="宋体" w:hAnsi="宋体" w:eastAsia="宋体" w:cs="宋体"/>
          <w:bCs/>
          <w:sz w:val="24"/>
          <w:szCs w:val="24"/>
        </w:rPr>
        <w:t>.2检出限（DL）：As、Se、Pb、Bi、Sb、Te、Sn:</w:t>
      </w:r>
      <w:r>
        <w:rPr>
          <w:rFonts w:hint="eastAsia" w:ascii="宋体" w:hAnsi="宋体" w:cs="宋体"/>
          <w:bCs/>
          <w:sz w:val="24"/>
          <w:szCs w:val="24"/>
          <w:lang w:val="en-US" w:eastAsia="zh-CN"/>
        </w:rPr>
        <w:t>≤</w:t>
      </w:r>
      <w:r>
        <w:rPr>
          <w:rFonts w:hint="eastAsia" w:ascii="宋体" w:hAnsi="宋体" w:eastAsia="宋体" w:cs="宋体"/>
          <w:bCs/>
          <w:sz w:val="24"/>
          <w:szCs w:val="24"/>
        </w:rPr>
        <w:t>0.01µg/L；</w:t>
      </w:r>
    </w:p>
    <w:p>
      <w:pPr>
        <w:tabs>
          <w:tab w:val="left" w:pos="997"/>
          <w:tab w:val="left" w:pos="8522"/>
        </w:tabs>
        <w:adjustRightInd w:val="0"/>
        <w:snapToGrid w:val="0"/>
        <w:spacing w:line="360" w:lineRule="auto"/>
        <w:jc w:val="left"/>
        <w:outlineLvl w:val="9"/>
        <w:rPr>
          <w:rFonts w:hint="eastAsia" w:ascii="宋体" w:hAnsi="宋体" w:eastAsia="宋体" w:cs="宋体"/>
          <w:bCs/>
          <w:sz w:val="24"/>
          <w:szCs w:val="24"/>
        </w:rPr>
      </w:pPr>
      <w:r>
        <w:rPr>
          <w:rFonts w:hint="eastAsia" w:ascii="宋体" w:hAnsi="宋体" w:eastAsia="宋体" w:cs="宋体"/>
          <w:bCs/>
          <w:sz w:val="24"/>
          <w:szCs w:val="24"/>
        </w:rPr>
        <w:t xml:space="preserve">  Hg、Cd: </w:t>
      </w:r>
      <w:r>
        <w:rPr>
          <w:rFonts w:hint="eastAsia" w:ascii="宋体" w:hAnsi="宋体" w:cs="宋体"/>
          <w:bCs/>
          <w:sz w:val="24"/>
          <w:szCs w:val="24"/>
          <w:lang w:val="en-US" w:eastAsia="zh-CN"/>
        </w:rPr>
        <w:t>≤</w:t>
      </w:r>
      <w:r>
        <w:rPr>
          <w:rFonts w:hint="eastAsia" w:ascii="宋体" w:hAnsi="宋体" w:eastAsia="宋体" w:cs="宋体"/>
          <w:bCs/>
          <w:sz w:val="24"/>
          <w:szCs w:val="24"/>
        </w:rPr>
        <w:t xml:space="preserve">0.001µg/L；  Ge: </w:t>
      </w:r>
      <w:r>
        <w:rPr>
          <w:rFonts w:hint="eastAsia" w:ascii="宋体" w:hAnsi="宋体" w:cs="宋体"/>
          <w:bCs/>
          <w:sz w:val="24"/>
          <w:szCs w:val="24"/>
          <w:lang w:val="en-US" w:eastAsia="zh-CN"/>
        </w:rPr>
        <w:t>≤</w:t>
      </w:r>
      <w:r>
        <w:rPr>
          <w:rFonts w:hint="eastAsia" w:ascii="宋体" w:hAnsi="宋体" w:eastAsia="宋体" w:cs="宋体"/>
          <w:bCs/>
          <w:sz w:val="24"/>
          <w:szCs w:val="24"/>
        </w:rPr>
        <w:t xml:space="preserve">0.05µg/L； Zn: </w:t>
      </w:r>
      <w:r>
        <w:rPr>
          <w:rFonts w:hint="eastAsia" w:ascii="宋体" w:hAnsi="宋体" w:cs="宋体"/>
          <w:bCs/>
          <w:sz w:val="24"/>
          <w:szCs w:val="24"/>
          <w:lang w:val="en-US" w:eastAsia="zh-CN"/>
        </w:rPr>
        <w:t>≤</w:t>
      </w:r>
      <w:r>
        <w:rPr>
          <w:rFonts w:hint="eastAsia" w:ascii="宋体" w:hAnsi="宋体" w:eastAsia="宋体" w:cs="宋体"/>
          <w:bCs/>
          <w:sz w:val="24"/>
          <w:szCs w:val="24"/>
        </w:rPr>
        <w:t>&lt;1.0µg/L；   Au:</w:t>
      </w:r>
      <w:r>
        <w:rPr>
          <w:rFonts w:hint="eastAsia" w:ascii="宋体" w:hAnsi="宋体" w:cs="宋体"/>
          <w:bCs/>
          <w:sz w:val="24"/>
          <w:szCs w:val="24"/>
          <w:lang w:val="en-US" w:eastAsia="zh-CN"/>
        </w:rPr>
        <w:t>≤</w:t>
      </w:r>
      <w:r>
        <w:rPr>
          <w:rFonts w:hint="eastAsia" w:ascii="宋体" w:hAnsi="宋体" w:eastAsia="宋体" w:cs="宋体"/>
          <w:bCs/>
          <w:sz w:val="24"/>
          <w:szCs w:val="24"/>
        </w:rPr>
        <w:t>3.0µg/L；</w:t>
      </w:r>
    </w:p>
    <w:p>
      <w:pPr>
        <w:tabs>
          <w:tab w:val="left" w:pos="997"/>
          <w:tab w:val="left" w:pos="8522"/>
        </w:tabs>
        <w:adjustRightInd w:val="0"/>
        <w:snapToGrid w:val="0"/>
        <w:spacing w:line="360" w:lineRule="auto"/>
        <w:jc w:val="left"/>
        <w:outlineLvl w:val="9"/>
        <w:rPr>
          <w:rFonts w:hint="eastAsia" w:ascii="宋体" w:hAnsi="宋体" w:eastAsia="宋体" w:cs="宋体"/>
          <w:bCs/>
          <w:sz w:val="24"/>
          <w:szCs w:val="24"/>
        </w:rPr>
      </w:pPr>
      <w:r>
        <w:rPr>
          <w:rFonts w:hint="eastAsia" w:ascii="宋体" w:hAnsi="宋体" w:eastAsia="宋体" w:cs="宋体"/>
          <w:bCs/>
          <w:sz w:val="24"/>
          <w:szCs w:val="24"/>
          <w:lang w:val="en-US" w:eastAsia="zh-CN"/>
        </w:rPr>
        <w:t>1</w:t>
      </w:r>
      <w:r>
        <w:rPr>
          <w:rFonts w:hint="eastAsia" w:ascii="宋体" w:hAnsi="宋体" w:eastAsia="宋体" w:cs="宋体"/>
          <w:bCs/>
          <w:sz w:val="24"/>
          <w:szCs w:val="24"/>
        </w:rPr>
        <w:t>.3测量精度： RSD≤0.7％</w:t>
      </w:r>
    </w:p>
    <w:p>
      <w:pPr>
        <w:tabs>
          <w:tab w:val="left" w:pos="997"/>
          <w:tab w:val="left" w:pos="8522"/>
        </w:tabs>
        <w:adjustRightInd w:val="0"/>
        <w:snapToGrid w:val="0"/>
        <w:spacing w:line="360" w:lineRule="auto"/>
        <w:jc w:val="left"/>
        <w:outlineLvl w:val="9"/>
        <w:rPr>
          <w:rFonts w:hint="eastAsia" w:ascii="宋体" w:hAnsi="宋体" w:eastAsia="宋体" w:cs="宋体"/>
          <w:bCs/>
          <w:kern w:val="21"/>
          <w:sz w:val="24"/>
          <w:szCs w:val="24"/>
        </w:rPr>
      </w:pPr>
      <w:r>
        <w:rPr>
          <w:rFonts w:hint="eastAsia" w:ascii="宋体" w:hAnsi="宋体" w:eastAsia="宋体" w:cs="宋体"/>
          <w:bCs/>
          <w:kern w:val="21"/>
          <w:sz w:val="24"/>
          <w:szCs w:val="24"/>
          <w:lang w:val="en-US" w:eastAsia="zh-CN"/>
        </w:rPr>
        <w:t>1</w:t>
      </w:r>
      <w:r>
        <w:rPr>
          <w:rFonts w:hint="eastAsia" w:ascii="宋体" w:hAnsi="宋体" w:eastAsia="宋体" w:cs="宋体"/>
          <w:bCs/>
          <w:kern w:val="21"/>
          <w:sz w:val="24"/>
          <w:szCs w:val="24"/>
        </w:rPr>
        <w:t>.4灯位设计：固定式，平面三灯位设计，免调灯设计。</w:t>
      </w:r>
    </w:p>
    <w:p>
      <w:pPr>
        <w:tabs>
          <w:tab w:val="left" w:pos="997"/>
          <w:tab w:val="left" w:pos="8522"/>
        </w:tabs>
        <w:adjustRightInd w:val="0"/>
        <w:snapToGrid w:val="0"/>
        <w:spacing w:line="360" w:lineRule="auto"/>
        <w:jc w:val="left"/>
        <w:outlineLvl w:val="9"/>
        <w:rPr>
          <w:rFonts w:hint="eastAsia" w:ascii="宋体" w:hAnsi="宋体" w:eastAsia="宋体" w:cs="宋体"/>
          <w:bCs/>
          <w:kern w:val="21"/>
          <w:sz w:val="24"/>
          <w:szCs w:val="24"/>
        </w:rPr>
      </w:pPr>
      <w:r>
        <w:rPr>
          <w:rFonts w:hint="eastAsia" w:ascii="宋体" w:hAnsi="宋体" w:eastAsia="宋体" w:cs="宋体"/>
          <w:bCs/>
          <w:sz w:val="24"/>
          <w:szCs w:val="24"/>
          <w:lang w:val="en-US" w:eastAsia="zh-CN"/>
        </w:rPr>
        <w:t>1</w:t>
      </w:r>
      <w:r>
        <w:rPr>
          <w:rFonts w:hint="eastAsia" w:ascii="宋体" w:hAnsi="宋体" w:eastAsia="宋体" w:cs="宋体"/>
          <w:bCs/>
          <w:sz w:val="24"/>
          <w:szCs w:val="24"/>
        </w:rPr>
        <w:t>.5自动进样器：单个样品盘</w:t>
      </w:r>
      <w:r>
        <w:rPr>
          <w:rFonts w:hint="eastAsia" w:ascii="宋体" w:hAnsi="宋体" w:eastAsia="宋体" w:cs="宋体"/>
          <w:bCs/>
          <w:kern w:val="21"/>
          <w:sz w:val="24"/>
          <w:szCs w:val="24"/>
        </w:rPr>
        <w:t>≧25</w:t>
      </w:r>
      <w:r>
        <w:rPr>
          <w:rFonts w:hint="eastAsia" w:ascii="宋体" w:hAnsi="宋体" w:eastAsia="宋体" w:cs="宋体"/>
          <w:bCs/>
          <w:kern w:val="21"/>
          <w:sz w:val="24"/>
          <w:szCs w:val="24"/>
          <w:lang w:val="en-US" w:eastAsia="zh-CN"/>
        </w:rPr>
        <w:t>0</w:t>
      </w:r>
      <w:r>
        <w:rPr>
          <w:rFonts w:hint="eastAsia" w:ascii="宋体" w:hAnsi="宋体" w:eastAsia="宋体" w:cs="宋体"/>
          <w:bCs/>
          <w:sz w:val="24"/>
          <w:szCs w:val="24"/>
        </w:rPr>
        <w:t>位，单盘兼容10/15mL样品管，碳纤维进样针，防折断、并支持半自动测定方式。进样器须满足调节流量的实时控制系统，可调节自动补液速率。</w:t>
      </w:r>
    </w:p>
    <w:p>
      <w:pPr>
        <w:tabs>
          <w:tab w:val="left" w:pos="997"/>
          <w:tab w:val="left" w:pos="8522"/>
        </w:tabs>
        <w:adjustRightInd w:val="0"/>
        <w:snapToGrid w:val="0"/>
        <w:spacing w:line="360" w:lineRule="auto"/>
        <w:jc w:val="left"/>
        <w:outlineLvl w:val="9"/>
        <w:rPr>
          <w:rFonts w:hint="eastAsia" w:ascii="宋体" w:hAnsi="宋体" w:eastAsia="宋体" w:cs="宋体"/>
          <w:bCs/>
          <w:sz w:val="24"/>
          <w:szCs w:val="24"/>
        </w:rPr>
      </w:pPr>
      <w:r>
        <w:rPr>
          <w:rFonts w:hint="eastAsia" w:ascii="宋体" w:hAnsi="宋体" w:eastAsia="宋体" w:cs="宋体"/>
          <w:bCs/>
          <w:kern w:val="21"/>
          <w:sz w:val="24"/>
          <w:szCs w:val="24"/>
          <w:lang w:val="en-US" w:eastAsia="zh-CN"/>
        </w:rPr>
        <w:t>1</w:t>
      </w:r>
      <w:r>
        <w:rPr>
          <w:rFonts w:hint="eastAsia" w:ascii="宋体" w:hAnsi="宋体" w:eastAsia="宋体" w:cs="宋体"/>
          <w:bCs/>
          <w:kern w:val="21"/>
          <w:sz w:val="24"/>
          <w:szCs w:val="24"/>
        </w:rPr>
        <w:t>.6通道数：三通道三灯位设计，可根据不同的样品</w:t>
      </w:r>
      <w:r>
        <w:rPr>
          <w:rFonts w:hint="eastAsia" w:ascii="宋体" w:hAnsi="宋体" w:eastAsia="宋体" w:cs="宋体"/>
          <w:bCs/>
          <w:sz w:val="24"/>
          <w:szCs w:val="24"/>
        </w:rPr>
        <w:t>和元素分析种类，单、双、四通道灵活选择，可采用多通道合并。</w:t>
      </w:r>
    </w:p>
    <w:p>
      <w:pPr>
        <w:tabs>
          <w:tab w:val="left" w:pos="997"/>
          <w:tab w:val="left" w:pos="8522"/>
        </w:tabs>
        <w:adjustRightInd w:val="0"/>
        <w:snapToGrid w:val="0"/>
        <w:spacing w:line="360" w:lineRule="auto"/>
        <w:jc w:val="left"/>
        <w:outlineLvl w:val="9"/>
        <w:rPr>
          <w:rFonts w:hint="eastAsia" w:ascii="宋体" w:hAnsi="宋体" w:eastAsia="宋体" w:cs="宋体"/>
          <w:bCs/>
          <w:kern w:val="21"/>
          <w:sz w:val="24"/>
          <w:szCs w:val="24"/>
        </w:rPr>
      </w:pPr>
      <w:r>
        <w:rPr>
          <w:rFonts w:hint="eastAsia" w:ascii="宋体" w:hAnsi="宋体" w:eastAsia="宋体" w:cs="宋体"/>
          <w:bCs/>
          <w:sz w:val="24"/>
          <w:szCs w:val="24"/>
          <w:lang w:val="en-US" w:eastAsia="zh-CN"/>
        </w:rPr>
        <w:t>1</w:t>
      </w:r>
      <w:r>
        <w:rPr>
          <w:rFonts w:hint="eastAsia" w:ascii="宋体" w:hAnsi="宋体" w:eastAsia="宋体" w:cs="宋体"/>
          <w:bCs/>
          <w:sz w:val="24"/>
          <w:szCs w:val="24"/>
        </w:rPr>
        <w:t>.7进样系统：</w:t>
      </w:r>
      <w:r>
        <w:rPr>
          <w:rFonts w:hint="eastAsia" w:ascii="宋体" w:hAnsi="宋体" w:eastAsia="宋体" w:cs="宋体"/>
          <w:bCs/>
          <w:kern w:val="21"/>
          <w:sz w:val="24"/>
          <w:szCs w:val="24"/>
        </w:rPr>
        <w:t>注射泵和蠕动泵联合进样系统，蠕动泵加注射泵和单蠕动泵两种分析模式全自动切换与兼容，满足对相对污浊水体分析需求；</w:t>
      </w:r>
    </w:p>
    <w:p>
      <w:pPr>
        <w:tabs>
          <w:tab w:val="left" w:pos="997"/>
          <w:tab w:val="left" w:pos="8522"/>
        </w:tabs>
        <w:adjustRightInd w:val="0"/>
        <w:snapToGrid w:val="0"/>
        <w:spacing w:line="360" w:lineRule="auto"/>
        <w:jc w:val="left"/>
        <w:outlineLvl w:val="9"/>
        <w:rPr>
          <w:rFonts w:hint="eastAsia" w:ascii="宋体" w:hAnsi="宋体" w:cs="宋体"/>
          <w:bCs/>
          <w:sz w:val="24"/>
          <w:szCs w:val="24"/>
          <w:lang w:eastAsia="zh-CN"/>
        </w:rPr>
      </w:pPr>
      <w:r>
        <w:rPr>
          <w:rFonts w:hint="eastAsia" w:ascii="宋体" w:hAnsi="宋体" w:eastAsia="宋体" w:cs="宋体"/>
          <w:bCs/>
          <w:sz w:val="24"/>
          <w:szCs w:val="24"/>
          <w:lang w:val="en-US" w:eastAsia="zh-CN"/>
        </w:rPr>
        <w:t>1</w:t>
      </w:r>
      <w:r>
        <w:rPr>
          <w:rFonts w:hint="eastAsia" w:ascii="宋体" w:hAnsi="宋体" w:eastAsia="宋体" w:cs="宋体"/>
          <w:bCs/>
          <w:sz w:val="24"/>
          <w:szCs w:val="24"/>
        </w:rPr>
        <w:t>.8 流路系统:具有极简管路的连接，易于观察液体传输状态，同时具有40～60℃恒温加热的存样环</w:t>
      </w:r>
      <w:r>
        <w:rPr>
          <w:rFonts w:hint="eastAsia" w:ascii="宋体" w:hAnsi="宋体" w:cs="宋体"/>
          <w:bCs/>
          <w:sz w:val="24"/>
          <w:szCs w:val="24"/>
          <w:lang w:eastAsia="zh-CN"/>
        </w:rPr>
        <w:t>。</w:t>
      </w:r>
    </w:p>
    <w:p>
      <w:pPr>
        <w:tabs>
          <w:tab w:val="left" w:pos="997"/>
          <w:tab w:val="left" w:pos="8522"/>
        </w:tabs>
        <w:adjustRightInd w:val="0"/>
        <w:snapToGrid w:val="0"/>
        <w:spacing w:line="360" w:lineRule="auto"/>
        <w:jc w:val="left"/>
        <w:outlineLvl w:val="9"/>
        <w:rPr>
          <w:rFonts w:hint="eastAsia" w:ascii="宋体" w:hAnsi="宋体" w:eastAsia="宋体" w:cs="宋体"/>
          <w:bCs/>
          <w:sz w:val="24"/>
          <w:szCs w:val="24"/>
        </w:rPr>
      </w:pPr>
      <w:r>
        <w:rPr>
          <w:rFonts w:hint="eastAsia" w:ascii="宋体" w:hAnsi="宋体" w:eastAsia="宋体" w:cs="宋体"/>
          <w:bCs/>
          <w:sz w:val="24"/>
          <w:szCs w:val="24"/>
          <w:lang w:val="en-US" w:eastAsia="zh-CN"/>
        </w:rPr>
        <w:t>1</w:t>
      </w:r>
      <w:r>
        <w:rPr>
          <w:rFonts w:hint="eastAsia" w:ascii="宋体" w:hAnsi="宋体" w:eastAsia="宋体" w:cs="宋体"/>
          <w:bCs/>
          <w:sz w:val="24"/>
          <w:szCs w:val="24"/>
        </w:rPr>
        <w:t>.9光源系统：采用直插式免调节空芯阴极灯，自动对准光路，仪器自动识别待测元素并给出元素的最佳分析条件，并可监控其使用寿命。</w:t>
      </w:r>
    </w:p>
    <w:p>
      <w:pPr>
        <w:tabs>
          <w:tab w:val="left" w:pos="997"/>
          <w:tab w:val="left" w:pos="8522"/>
        </w:tabs>
        <w:adjustRightInd w:val="0"/>
        <w:snapToGrid w:val="0"/>
        <w:spacing w:line="360" w:lineRule="auto"/>
        <w:jc w:val="left"/>
        <w:outlineLvl w:val="9"/>
        <w:rPr>
          <w:rFonts w:hint="eastAsia" w:ascii="宋体" w:hAnsi="宋体" w:eastAsia="宋体" w:cs="宋体"/>
          <w:bCs/>
          <w:sz w:val="24"/>
          <w:szCs w:val="24"/>
        </w:rPr>
      </w:pPr>
      <w:r>
        <w:rPr>
          <w:rFonts w:hint="eastAsia" w:ascii="宋体" w:hAnsi="宋体" w:eastAsia="宋体" w:cs="宋体"/>
          <w:bCs/>
          <w:sz w:val="24"/>
          <w:szCs w:val="24"/>
          <w:lang w:val="en-US" w:eastAsia="zh-CN"/>
        </w:rPr>
        <w:t>1</w:t>
      </w:r>
      <w:r>
        <w:rPr>
          <w:rFonts w:hint="eastAsia" w:ascii="宋体" w:hAnsi="宋体" w:eastAsia="宋体" w:cs="宋体"/>
          <w:bCs/>
          <w:sz w:val="24"/>
          <w:szCs w:val="24"/>
        </w:rPr>
        <w:t>.10光学系统：三通道灯位短焦距无色散光路系统，免调灯和自动对光设计，自动对准光路，无需调节，实现三个元素的同时测量。</w:t>
      </w:r>
    </w:p>
    <w:p>
      <w:pPr>
        <w:tabs>
          <w:tab w:val="left" w:pos="997"/>
          <w:tab w:val="left" w:pos="8522"/>
        </w:tabs>
        <w:adjustRightInd w:val="0"/>
        <w:snapToGrid w:val="0"/>
        <w:spacing w:line="360" w:lineRule="auto"/>
        <w:jc w:val="left"/>
        <w:outlineLvl w:val="9"/>
        <w:rPr>
          <w:rFonts w:hint="eastAsia" w:ascii="宋体" w:hAnsi="宋体" w:eastAsia="宋体" w:cs="宋体"/>
          <w:bCs/>
          <w:sz w:val="24"/>
          <w:szCs w:val="24"/>
        </w:rPr>
      </w:pPr>
      <w:r>
        <w:rPr>
          <w:rFonts w:hint="eastAsia" w:ascii="宋体" w:hAnsi="宋体" w:eastAsia="宋体" w:cs="宋体"/>
          <w:bCs/>
          <w:sz w:val="24"/>
          <w:szCs w:val="24"/>
          <w:lang w:val="en-US" w:eastAsia="zh-CN"/>
        </w:rPr>
        <w:t>1</w:t>
      </w:r>
      <w:r>
        <w:rPr>
          <w:rFonts w:hint="eastAsia" w:ascii="宋体" w:hAnsi="宋体" w:eastAsia="宋体" w:cs="宋体"/>
          <w:bCs/>
          <w:sz w:val="24"/>
          <w:szCs w:val="24"/>
        </w:rPr>
        <w:t>.11气路系统：独立三通道(载气、屏蔽气、辅助气)数字化高精度电子(质量)流量气路系统，配备高精度数字化压力监控系统；全面兼容并支持氩气、氦气和空气(仅限冷原子法)三种气源；</w:t>
      </w:r>
    </w:p>
    <w:p>
      <w:pPr>
        <w:tabs>
          <w:tab w:val="left" w:pos="997"/>
          <w:tab w:val="left" w:pos="8522"/>
        </w:tabs>
        <w:adjustRightInd w:val="0"/>
        <w:snapToGrid w:val="0"/>
        <w:spacing w:line="360" w:lineRule="auto"/>
        <w:jc w:val="left"/>
        <w:outlineLvl w:val="9"/>
        <w:rPr>
          <w:rFonts w:hint="eastAsia" w:ascii="宋体" w:hAnsi="宋体" w:eastAsia="宋体" w:cs="宋体"/>
          <w:bCs/>
          <w:sz w:val="24"/>
          <w:szCs w:val="24"/>
        </w:rPr>
      </w:pPr>
      <w:r>
        <w:rPr>
          <w:rFonts w:hint="eastAsia" w:ascii="宋体" w:hAnsi="宋体" w:eastAsia="宋体" w:cs="宋体"/>
          <w:bCs/>
          <w:sz w:val="24"/>
          <w:szCs w:val="24"/>
          <w:lang w:val="en-US" w:eastAsia="zh-CN"/>
        </w:rPr>
        <w:t>1</w:t>
      </w:r>
      <w:r>
        <w:rPr>
          <w:rFonts w:hint="eastAsia" w:ascii="宋体" w:hAnsi="宋体" w:eastAsia="宋体" w:cs="宋体"/>
          <w:bCs/>
          <w:sz w:val="24"/>
          <w:szCs w:val="24"/>
        </w:rPr>
        <w:t>.12汞漂移校准：双光束光源漂移校准系统，不使用光纤和运动部件，汞灯光源能量</w:t>
      </w:r>
      <w:r>
        <w:rPr>
          <w:rFonts w:hint="eastAsia" w:ascii="宋体" w:hAnsi="宋体" w:cs="宋体"/>
          <w:bCs/>
          <w:sz w:val="24"/>
          <w:szCs w:val="24"/>
          <w:lang w:val="en-US" w:eastAsia="zh-CN"/>
        </w:rPr>
        <w:t>具有</w:t>
      </w:r>
      <w:r>
        <w:rPr>
          <w:rFonts w:hint="eastAsia" w:ascii="宋体" w:hAnsi="宋体" w:eastAsia="宋体" w:cs="宋体"/>
          <w:bCs/>
          <w:sz w:val="24"/>
          <w:szCs w:val="24"/>
        </w:rPr>
        <w:t>实时校准与动态调节技术。</w:t>
      </w:r>
    </w:p>
    <w:p>
      <w:pPr>
        <w:tabs>
          <w:tab w:val="left" w:pos="997"/>
          <w:tab w:val="left" w:pos="8522"/>
        </w:tabs>
        <w:adjustRightInd w:val="0"/>
        <w:snapToGrid w:val="0"/>
        <w:spacing w:line="360" w:lineRule="auto"/>
        <w:jc w:val="left"/>
        <w:outlineLvl w:val="9"/>
        <w:rPr>
          <w:rFonts w:hint="eastAsia" w:ascii="宋体" w:hAnsi="宋体" w:eastAsia="宋体" w:cs="宋体"/>
          <w:bCs/>
          <w:sz w:val="24"/>
          <w:szCs w:val="24"/>
        </w:rPr>
      </w:pPr>
      <w:r>
        <w:rPr>
          <w:rFonts w:hint="eastAsia" w:ascii="宋体" w:hAnsi="宋体" w:eastAsia="宋体" w:cs="宋体"/>
          <w:bCs/>
          <w:sz w:val="24"/>
          <w:szCs w:val="24"/>
          <w:lang w:val="en-US" w:eastAsia="zh-CN"/>
        </w:rPr>
        <w:t>1</w:t>
      </w:r>
      <w:r>
        <w:rPr>
          <w:rFonts w:hint="eastAsia" w:ascii="宋体" w:hAnsi="宋体" w:eastAsia="宋体" w:cs="宋体"/>
          <w:bCs/>
          <w:sz w:val="24"/>
          <w:szCs w:val="24"/>
        </w:rPr>
        <w:t>.13具有内置式氩氢火焰在线软件观察，可实时监控火焰状态，软件进行控制。</w:t>
      </w:r>
    </w:p>
    <w:p>
      <w:pPr>
        <w:tabs>
          <w:tab w:val="left" w:pos="997"/>
          <w:tab w:val="left" w:pos="8522"/>
        </w:tabs>
        <w:adjustRightInd w:val="0"/>
        <w:snapToGrid w:val="0"/>
        <w:spacing w:line="360" w:lineRule="auto"/>
        <w:jc w:val="left"/>
        <w:outlineLvl w:val="9"/>
        <w:rPr>
          <w:rFonts w:hint="eastAsia" w:ascii="宋体" w:hAnsi="宋体" w:eastAsia="宋体" w:cs="宋体"/>
          <w:bCs/>
          <w:sz w:val="24"/>
          <w:szCs w:val="24"/>
        </w:rPr>
      </w:pPr>
      <w:r>
        <w:rPr>
          <w:rFonts w:hint="eastAsia" w:ascii="宋体" w:hAnsi="宋体" w:eastAsia="宋体" w:cs="宋体"/>
          <w:bCs/>
          <w:sz w:val="24"/>
          <w:szCs w:val="24"/>
          <w:lang w:val="en-US" w:eastAsia="zh-CN"/>
        </w:rPr>
        <w:t>1</w:t>
      </w:r>
      <w:r>
        <w:rPr>
          <w:rFonts w:hint="eastAsia" w:ascii="宋体" w:hAnsi="宋体" w:eastAsia="宋体" w:cs="宋体"/>
          <w:bCs/>
          <w:sz w:val="24"/>
          <w:szCs w:val="24"/>
        </w:rPr>
        <w:t>.14气液分离器：三级可水冷式气液分离系统，自动抑制泡沫生成。</w:t>
      </w:r>
    </w:p>
    <w:p>
      <w:pPr>
        <w:tabs>
          <w:tab w:val="left" w:pos="997"/>
          <w:tab w:val="left" w:pos="8522"/>
        </w:tabs>
        <w:adjustRightInd w:val="0"/>
        <w:snapToGrid w:val="0"/>
        <w:spacing w:line="360" w:lineRule="auto"/>
        <w:jc w:val="left"/>
        <w:outlineLvl w:val="9"/>
        <w:rPr>
          <w:rFonts w:hint="eastAsia" w:ascii="宋体" w:hAnsi="宋体" w:eastAsia="宋体" w:cs="宋体"/>
          <w:bCs/>
          <w:kern w:val="21"/>
          <w:sz w:val="24"/>
          <w:szCs w:val="24"/>
        </w:rPr>
      </w:pPr>
      <w:r>
        <w:rPr>
          <w:rFonts w:hint="eastAsia" w:ascii="宋体" w:hAnsi="宋体" w:eastAsia="宋体" w:cs="宋体"/>
          <w:bCs/>
          <w:sz w:val="24"/>
          <w:szCs w:val="24"/>
          <w:lang w:val="en-US" w:eastAsia="zh-CN"/>
        </w:rPr>
        <w:t>1</w:t>
      </w:r>
      <w:r>
        <w:rPr>
          <w:rFonts w:hint="eastAsia" w:ascii="宋体" w:hAnsi="宋体" w:eastAsia="宋体" w:cs="宋体"/>
          <w:bCs/>
          <w:sz w:val="24"/>
          <w:szCs w:val="24"/>
        </w:rPr>
        <w:t>.15原子化器：智能化自适应点火技术，系统根据海拔高度和环境温度自动优化点火，原子化器高精度控温算法，室温～450℃之间连续可调，</w:t>
      </w:r>
      <w:r>
        <w:rPr>
          <w:rFonts w:hint="eastAsia" w:ascii="宋体" w:hAnsi="宋体" w:eastAsia="宋体" w:cs="宋体"/>
          <w:bCs/>
          <w:kern w:val="21"/>
          <w:sz w:val="24"/>
          <w:szCs w:val="24"/>
        </w:rPr>
        <w:t>温度控制精度：±0.5℃。并且原子化器高度免调节设计，免维护，软件显示实时海拔、实时原子化温度以及点火电流源等。</w:t>
      </w:r>
    </w:p>
    <w:p>
      <w:pPr>
        <w:tabs>
          <w:tab w:val="left" w:pos="997"/>
          <w:tab w:val="left" w:pos="8522"/>
        </w:tabs>
        <w:adjustRightInd w:val="0"/>
        <w:snapToGrid w:val="0"/>
        <w:spacing w:line="360" w:lineRule="auto"/>
        <w:jc w:val="left"/>
        <w:outlineLvl w:val="9"/>
        <w:rPr>
          <w:rFonts w:hint="eastAsia" w:ascii="宋体" w:hAnsi="宋体" w:eastAsia="宋体" w:cs="宋体"/>
          <w:bCs/>
          <w:kern w:val="21"/>
          <w:sz w:val="24"/>
          <w:szCs w:val="24"/>
        </w:rPr>
      </w:pPr>
      <w:r>
        <w:rPr>
          <w:rFonts w:hint="eastAsia" w:ascii="宋体" w:hAnsi="宋体" w:eastAsia="宋体" w:cs="宋体"/>
          <w:bCs/>
          <w:kern w:val="21"/>
          <w:sz w:val="24"/>
          <w:szCs w:val="24"/>
          <w:lang w:val="en-US" w:eastAsia="zh-CN"/>
        </w:rPr>
        <w:t>1</w:t>
      </w:r>
      <w:r>
        <w:rPr>
          <w:rFonts w:hint="eastAsia" w:ascii="宋体" w:hAnsi="宋体" w:eastAsia="宋体" w:cs="宋体"/>
          <w:bCs/>
          <w:kern w:val="21"/>
          <w:sz w:val="24"/>
          <w:szCs w:val="24"/>
        </w:rPr>
        <w:t>.16软件实现系统自动诊断、自动样品测量、自动清洗、单标准自动配制标准曲线,自动稀释和超限自动标记；。</w:t>
      </w:r>
    </w:p>
    <w:p>
      <w:pPr>
        <w:tabs>
          <w:tab w:val="left" w:pos="997"/>
          <w:tab w:val="left" w:pos="8522"/>
        </w:tabs>
        <w:adjustRightInd w:val="0"/>
        <w:snapToGrid w:val="0"/>
        <w:spacing w:line="360" w:lineRule="auto"/>
        <w:jc w:val="left"/>
        <w:outlineLvl w:val="9"/>
        <w:rPr>
          <w:rFonts w:hint="eastAsia" w:ascii="宋体" w:hAnsi="宋体" w:eastAsia="宋体" w:cs="宋体"/>
          <w:bCs/>
          <w:kern w:val="21"/>
          <w:sz w:val="24"/>
          <w:szCs w:val="24"/>
        </w:rPr>
      </w:pPr>
      <w:r>
        <w:rPr>
          <w:rFonts w:hint="eastAsia" w:ascii="宋体" w:hAnsi="宋体" w:eastAsia="宋体" w:cs="宋体"/>
          <w:bCs/>
          <w:kern w:val="21"/>
          <w:sz w:val="24"/>
          <w:szCs w:val="24"/>
          <w:lang w:val="en-US" w:eastAsia="zh-CN"/>
        </w:rPr>
        <w:t>1</w:t>
      </w:r>
      <w:r>
        <w:rPr>
          <w:rFonts w:hint="eastAsia" w:ascii="宋体" w:hAnsi="宋体" w:eastAsia="宋体" w:cs="宋体"/>
          <w:bCs/>
          <w:kern w:val="21"/>
          <w:sz w:val="24"/>
          <w:szCs w:val="24"/>
        </w:rPr>
        <w:t>.17软件系统：全面兼容Windows 中文软件操作系统。针对选择测量的元素，自动设置与优化仪器条件；专家系统：各元素的物理参数，标准溶液的配制，样品预处理、干扰消除及自动推荐最佳仪器条件和优选方法等；实现网络资源共享。</w:t>
      </w:r>
    </w:p>
    <w:p>
      <w:pPr>
        <w:widowControl/>
        <w:snapToGrid w:val="0"/>
        <w:spacing w:line="360" w:lineRule="auto"/>
        <w:jc w:val="left"/>
        <w:outlineLvl w:val="9"/>
        <w:rPr>
          <w:rFonts w:hint="eastAsia" w:ascii="宋体" w:hAnsi="宋体" w:eastAsia="宋体" w:cs="宋体"/>
          <w:bCs/>
          <w:kern w:val="21"/>
          <w:sz w:val="24"/>
          <w:szCs w:val="24"/>
        </w:rPr>
      </w:pPr>
      <w:r>
        <w:rPr>
          <w:rFonts w:hint="eastAsia" w:ascii="宋体" w:hAnsi="宋体" w:eastAsia="宋体" w:cs="宋体"/>
          <w:bCs/>
          <w:spacing w:val="20"/>
          <w:kern w:val="0"/>
          <w:sz w:val="24"/>
          <w:szCs w:val="24"/>
          <w:lang w:val="en-US" w:eastAsia="zh-CN"/>
        </w:rPr>
        <w:t>1</w:t>
      </w:r>
      <w:r>
        <w:rPr>
          <w:rFonts w:hint="eastAsia" w:ascii="宋体" w:hAnsi="宋体" w:eastAsia="宋体" w:cs="宋体"/>
          <w:bCs/>
          <w:spacing w:val="20"/>
          <w:kern w:val="0"/>
          <w:sz w:val="24"/>
          <w:szCs w:val="24"/>
        </w:rPr>
        <w:t>.18</w:t>
      </w:r>
      <w:r>
        <w:rPr>
          <w:rFonts w:hint="eastAsia" w:ascii="宋体" w:hAnsi="宋体" w:eastAsia="宋体" w:cs="宋体"/>
          <w:bCs/>
          <w:kern w:val="21"/>
          <w:sz w:val="24"/>
          <w:szCs w:val="24"/>
        </w:rPr>
        <w:t>预留形态价态接口，直接联用液相色谱部分，增加色谱分析单元（实现自动切换）。</w:t>
      </w:r>
    </w:p>
    <w:p>
      <w:pPr>
        <w:widowControl/>
        <w:snapToGrid w:val="0"/>
        <w:spacing w:line="360" w:lineRule="auto"/>
        <w:jc w:val="left"/>
        <w:outlineLvl w:val="9"/>
        <w:rPr>
          <w:rFonts w:hint="eastAsia" w:ascii="宋体" w:hAnsi="宋体" w:eastAsia="宋体" w:cs="宋体"/>
          <w:bCs/>
          <w:kern w:val="21"/>
          <w:sz w:val="24"/>
          <w:szCs w:val="24"/>
        </w:rPr>
      </w:pPr>
      <w:r>
        <w:rPr>
          <w:rFonts w:hint="eastAsia" w:ascii="宋体" w:hAnsi="宋体" w:eastAsia="宋体" w:cs="宋体"/>
          <w:bCs/>
          <w:kern w:val="21"/>
          <w:sz w:val="24"/>
          <w:szCs w:val="24"/>
          <w:lang w:val="en-US" w:eastAsia="zh-CN"/>
        </w:rPr>
        <w:t>1</w:t>
      </w:r>
      <w:r>
        <w:rPr>
          <w:rFonts w:hint="eastAsia" w:ascii="宋体" w:hAnsi="宋体" w:eastAsia="宋体" w:cs="宋体"/>
          <w:bCs/>
          <w:kern w:val="21"/>
          <w:sz w:val="24"/>
          <w:szCs w:val="24"/>
        </w:rPr>
        <w:t>.19设备配置专门的废液收集器，具有液位报警以及挥发物吸附除害功能。</w:t>
      </w:r>
    </w:p>
    <w:p>
      <w:pPr>
        <w:widowControl/>
        <w:snapToGrid w:val="0"/>
        <w:spacing w:line="360" w:lineRule="auto"/>
        <w:jc w:val="left"/>
        <w:outlineLvl w:val="9"/>
        <w:rPr>
          <w:rFonts w:hint="eastAsia" w:ascii="宋体" w:hAnsi="宋体" w:eastAsia="宋体" w:cs="宋体"/>
          <w:bCs/>
          <w:kern w:val="21"/>
          <w:sz w:val="24"/>
          <w:szCs w:val="24"/>
          <w:lang w:eastAsia="zh-CN"/>
        </w:rPr>
      </w:pPr>
      <w:r>
        <w:rPr>
          <w:rFonts w:hint="eastAsia" w:ascii="宋体" w:hAnsi="宋体" w:eastAsia="宋体" w:cs="宋体"/>
          <w:bCs/>
          <w:kern w:val="21"/>
          <w:sz w:val="24"/>
          <w:szCs w:val="24"/>
          <w:lang w:val="en-US" w:eastAsia="zh-CN"/>
        </w:rPr>
        <w:t>1</w:t>
      </w:r>
      <w:r>
        <w:rPr>
          <w:rFonts w:hint="eastAsia" w:ascii="宋体" w:hAnsi="宋体" w:eastAsia="宋体" w:cs="宋体"/>
          <w:bCs/>
          <w:kern w:val="21"/>
          <w:sz w:val="24"/>
          <w:szCs w:val="24"/>
        </w:rPr>
        <w:t>.20可升级条码扫描枪样品识别并输入，兼容主流一维及二维条码</w:t>
      </w:r>
      <w:r>
        <w:rPr>
          <w:rFonts w:hint="eastAsia" w:ascii="宋体" w:hAnsi="宋体" w:cs="宋体"/>
          <w:bCs/>
          <w:kern w:val="21"/>
          <w:sz w:val="24"/>
          <w:szCs w:val="24"/>
          <w:lang w:eastAsia="zh-CN"/>
        </w:rPr>
        <w:t>。</w:t>
      </w:r>
    </w:p>
    <w:p>
      <w:pPr>
        <w:widowControl/>
        <w:snapToGrid w:val="0"/>
        <w:spacing w:line="360" w:lineRule="auto"/>
        <w:jc w:val="left"/>
        <w:outlineLvl w:val="9"/>
        <w:rPr>
          <w:rFonts w:hint="eastAsia" w:ascii="宋体" w:hAnsi="宋体" w:eastAsia="宋体" w:cs="宋体"/>
          <w:bCs/>
          <w:kern w:val="21"/>
          <w:sz w:val="24"/>
          <w:szCs w:val="24"/>
        </w:rPr>
      </w:pPr>
      <w:r>
        <w:rPr>
          <w:rFonts w:hint="eastAsia" w:ascii="宋体" w:hAnsi="宋体" w:eastAsia="宋体" w:cs="宋体"/>
          <w:bCs/>
          <w:kern w:val="21"/>
          <w:sz w:val="24"/>
          <w:szCs w:val="24"/>
          <w:lang w:val="en-US" w:eastAsia="zh-CN"/>
        </w:rPr>
        <w:t>1</w:t>
      </w:r>
      <w:r>
        <w:rPr>
          <w:rFonts w:hint="eastAsia" w:ascii="宋体" w:hAnsi="宋体" w:eastAsia="宋体" w:cs="宋体"/>
          <w:bCs/>
          <w:kern w:val="21"/>
          <w:sz w:val="24"/>
          <w:szCs w:val="24"/>
        </w:rPr>
        <w:t>.21 满足GLP、GMP、21CFR Part11数据完整性和审计追踪-电子签名的规范要求；</w:t>
      </w:r>
    </w:p>
    <w:p>
      <w:pPr>
        <w:spacing w:line="360" w:lineRule="auto"/>
        <w:jc w:val="left"/>
        <w:outlineLvl w:val="9"/>
        <w:rPr>
          <w:rFonts w:hint="eastAsia" w:ascii="宋体" w:hAnsi="宋体" w:eastAsia="宋体" w:cs="宋体"/>
          <w:bCs/>
          <w:sz w:val="24"/>
          <w:szCs w:val="24"/>
        </w:rPr>
      </w:pPr>
      <w:r>
        <w:rPr>
          <w:rFonts w:hint="eastAsia" w:ascii="宋体" w:hAnsi="宋体" w:eastAsia="宋体" w:cs="宋体"/>
          <w:bCs/>
          <w:sz w:val="24"/>
          <w:szCs w:val="24"/>
        </w:rPr>
        <w:t> </w:t>
      </w:r>
      <w:r>
        <w:rPr>
          <w:rFonts w:hint="eastAsia" w:ascii="宋体" w:hAnsi="宋体" w:eastAsia="宋体" w:cs="宋体"/>
          <w:bCs/>
          <w:sz w:val="24"/>
          <w:szCs w:val="24"/>
          <w:lang w:val="en-US" w:eastAsia="zh-CN"/>
        </w:rPr>
        <w:t>3</w:t>
      </w:r>
      <w:r>
        <w:rPr>
          <w:rFonts w:hint="eastAsia" w:ascii="宋体" w:hAnsi="宋体" w:eastAsia="宋体" w:cs="宋体"/>
          <w:bCs/>
          <w:sz w:val="24"/>
          <w:szCs w:val="24"/>
        </w:rPr>
        <w:t>、配置清单</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4740"/>
        <w:gridCol w:w="965"/>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noWrap w:val="0"/>
            <w:vAlign w:val="center"/>
          </w:tcPr>
          <w:p>
            <w:pPr>
              <w:spacing w:line="360" w:lineRule="auto"/>
              <w:jc w:val="center"/>
              <w:outlineLvl w:val="9"/>
              <w:rPr>
                <w:rFonts w:hint="eastAsia" w:ascii="宋体" w:hAnsi="宋体" w:eastAsia="宋体" w:cs="宋体"/>
                <w:bCs/>
                <w:sz w:val="24"/>
                <w:szCs w:val="24"/>
              </w:rPr>
            </w:pPr>
            <w:r>
              <w:rPr>
                <w:rFonts w:hint="eastAsia" w:ascii="宋体" w:hAnsi="宋体" w:eastAsia="宋体" w:cs="宋体"/>
                <w:bCs/>
                <w:sz w:val="24"/>
                <w:szCs w:val="24"/>
              </w:rPr>
              <w:t>序号</w:t>
            </w:r>
          </w:p>
        </w:tc>
        <w:tc>
          <w:tcPr>
            <w:tcW w:w="4740" w:type="dxa"/>
            <w:noWrap w:val="0"/>
            <w:vAlign w:val="center"/>
          </w:tcPr>
          <w:p>
            <w:pPr>
              <w:spacing w:line="360" w:lineRule="auto"/>
              <w:jc w:val="center"/>
              <w:outlineLvl w:val="9"/>
              <w:rPr>
                <w:rFonts w:hint="eastAsia" w:ascii="宋体" w:hAnsi="宋体" w:eastAsia="宋体" w:cs="宋体"/>
                <w:bCs/>
                <w:sz w:val="24"/>
                <w:szCs w:val="24"/>
              </w:rPr>
            </w:pPr>
            <w:r>
              <w:rPr>
                <w:rFonts w:hint="eastAsia" w:ascii="宋体" w:hAnsi="宋体" w:eastAsia="宋体" w:cs="宋体"/>
                <w:bCs/>
                <w:sz w:val="24"/>
                <w:szCs w:val="24"/>
              </w:rPr>
              <w:t>仪器名称</w:t>
            </w:r>
          </w:p>
        </w:tc>
        <w:tc>
          <w:tcPr>
            <w:tcW w:w="965" w:type="dxa"/>
            <w:noWrap w:val="0"/>
            <w:vAlign w:val="center"/>
          </w:tcPr>
          <w:p>
            <w:pPr>
              <w:spacing w:line="240" w:lineRule="auto"/>
              <w:jc w:val="center"/>
              <w:outlineLvl w:val="9"/>
              <w:rPr>
                <w:rFonts w:hint="eastAsia" w:ascii="宋体" w:hAnsi="宋体" w:eastAsia="宋体" w:cs="宋体"/>
                <w:bCs/>
                <w:sz w:val="24"/>
                <w:szCs w:val="24"/>
              </w:rPr>
            </w:pPr>
            <w:r>
              <w:rPr>
                <w:rFonts w:hint="eastAsia" w:ascii="宋体" w:hAnsi="宋体" w:eastAsia="宋体" w:cs="宋体"/>
                <w:bCs/>
                <w:sz w:val="24"/>
                <w:szCs w:val="24"/>
              </w:rPr>
              <w:t>数量</w:t>
            </w:r>
          </w:p>
        </w:tc>
        <w:tc>
          <w:tcPr>
            <w:tcW w:w="1675" w:type="dxa"/>
            <w:noWrap w:val="0"/>
            <w:vAlign w:val="center"/>
          </w:tcPr>
          <w:p>
            <w:pPr>
              <w:spacing w:line="360" w:lineRule="auto"/>
              <w:jc w:val="center"/>
              <w:outlineLvl w:val="9"/>
              <w:rPr>
                <w:rFonts w:hint="eastAsia" w:ascii="宋体" w:hAnsi="宋体" w:eastAsia="宋体" w:cs="宋体"/>
                <w:bCs/>
                <w:sz w:val="24"/>
                <w:szCs w:val="24"/>
              </w:rPr>
            </w:pPr>
            <w:r>
              <w:rPr>
                <w:rFonts w:hint="eastAsia" w:ascii="宋体" w:hAnsi="宋体" w:eastAsia="宋体" w:cs="宋体"/>
                <w:bCs/>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noWrap w:val="0"/>
            <w:vAlign w:val="center"/>
          </w:tcPr>
          <w:p>
            <w:pPr>
              <w:spacing w:line="360" w:lineRule="auto"/>
              <w:jc w:val="center"/>
              <w:outlineLvl w:val="9"/>
              <w:rPr>
                <w:rFonts w:hint="eastAsia" w:ascii="宋体" w:hAnsi="宋体" w:eastAsia="宋体" w:cs="宋体"/>
                <w:bCs/>
                <w:sz w:val="24"/>
                <w:szCs w:val="24"/>
              </w:rPr>
            </w:pPr>
            <w:r>
              <w:rPr>
                <w:rFonts w:hint="eastAsia" w:ascii="宋体" w:hAnsi="宋体" w:eastAsia="宋体" w:cs="宋体"/>
                <w:bCs/>
                <w:sz w:val="24"/>
                <w:szCs w:val="24"/>
              </w:rPr>
              <w:t>1</w:t>
            </w:r>
          </w:p>
        </w:tc>
        <w:tc>
          <w:tcPr>
            <w:tcW w:w="4740" w:type="dxa"/>
            <w:noWrap w:val="0"/>
            <w:vAlign w:val="center"/>
          </w:tcPr>
          <w:p>
            <w:pPr>
              <w:spacing w:line="360" w:lineRule="auto"/>
              <w:jc w:val="center"/>
              <w:outlineLvl w:val="9"/>
              <w:rPr>
                <w:rFonts w:hint="eastAsia" w:ascii="宋体" w:hAnsi="宋体" w:eastAsia="宋体" w:cs="宋体"/>
                <w:bCs/>
                <w:sz w:val="24"/>
                <w:szCs w:val="24"/>
              </w:rPr>
            </w:pPr>
            <w:r>
              <w:rPr>
                <w:rFonts w:hint="eastAsia" w:ascii="宋体" w:hAnsi="宋体" w:eastAsia="宋体" w:cs="宋体"/>
                <w:bCs/>
                <w:sz w:val="24"/>
                <w:szCs w:val="24"/>
              </w:rPr>
              <w:t>原子荧光光度计</w:t>
            </w:r>
          </w:p>
        </w:tc>
        <w:tc>
          <w:tcPr>
            <w:tcW w:w="965" w:type="dxa"/>
            <w:noWrap w:val="0"/>
            <w:vAlign w:val="center"/>
          </w:tcPr>
          <w:p>
            <w:pPr>
              <w:spacing w:line="360" w:lineRule="auto"/>
              <w:jc w:val="center"/>
              <w:outlineLvl w:val="9"/>
              <w:rPr>
                <w:rFonts w:hint="eastAsia" w:ascii="宋体" w:hAnsi="宋体" w:eastAsia="宋体" w:cs="宋体"/>
                <w:bCs/>
                <w:sz w:val="24"/>
                <w:szCs w:val="24"/>
              </w:rPr>
            </w:pPr>
            <w:r>
              <w:rPr>
                <w:rFonts w:hint="eastAsia" w:ascii="宋体" w:hAnsi="宋体" w:eastAsia="宋体" w:cs="宋体"/>
                <w:bCs/>
                <w:sz w:val="24"/>
                <w:szCs w:val="24"/>
              </w:rPr>
              <w:t>1</w:t>
            </w:r>
          </w:p>
        </w:tc>
        <w:tc>
          <w:tcPr>
            <w:tcW w:w="1675" w:type="dxa"/>
            <w:noWrap w:val="0"/>
            <w:vAlign w:val="center"/>
          </w:tcPr>
          <w:p>
            <w:pPr>
              <w:spacing w:line="360" w:lineRule="auto"/>
              <w:jc w:val="center"/>
              <w:outlineLvl w:val="9"/>
              <w:rPr>
                <w:rFonts w:hint="eastAsia" w:ascii="宋体" w:hAnsi="宋体" w:eastAsia="宋体" w:cs="宋体"/>
                <w:bCs/>
                <w:sz w:val="24"/>
                <w:szCs w:val="24"/>
              </w:rPr>
            </w:pPr>
            <w:r>
              <w:rPr>
                <w:rFonts w:hint="eastAsia" w:ascii="宋体" w:hAnsi="宋体" w:eastAsia="宋体" w:cs="宋体"/>
                <w:bCs/>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noWrap w:val="0"/>
            <w:vAlign w:val="center"/>
          </w:tcPr>
          <w:p>
            <w:pPr>
              <w:spacing w:line="360" w:lineRule="auto"/>
              <w:jc w:val="center"/>
              <w:outlineLvl w:val="9"/>
              <w:rPr>
                <w:rFonts w:hint="eastAsia" w:ascii="宋体" w:hAnsi="宋体" w:eastAsia="宋体" w:cs="宋体"/>
                <w:bCs/>
                <w:sz w:val="24"/>
                <w:szCs w:val="24"/>
              </w:rPr>
            </w:pPr>
            <w:r>
              <w:rPr>
                <w:rFonts w:hint="eastAsia" w:ascii="宋体" w:hAnsi="宋体" w:eastAsia="宋体" w:cs="宋体"/>
                <w:bCs/>
                <w:sz w:val="24"/>
                <w:szCs w:val="24"/>
              </w:rPr>
              <w:t>2</w:t>
            </w:r>
          </w:p>
        </w:tc>
        <w:tc>
          <w:tcPr>
            <w:tcW w:w="4740" w:type="dxa"/>
            <w:noWrap w:val="0"/>
            <w:vAlign w:val="center"/>
          </w:tcPr>
          <w:p>
            <w:pPr>
              <w:spacing w:line="360" w:lineRule="auto"/>
              <w:jc w:val="center"/>
              <w:outlineLvl w:val="9"/>
              <w:rPr>
                <w:rFonts w:hint="eastAsia" w:ascii="宋体" w:hAnsi="宋体" w:eastAsia="宋体" w:cs="宋体"/>
                <w:bCs/>
                <w:sz w:val="24"/>
                <w:szCs w:val="24"/>
              </w:rPr>
            </w:pPr>
            <w:r>
              <w:rPr>
                <w:rFonts w:hint="eastAsia" w:ascii="宋体" w:hAnsi="宋体" w:eastAsia="宋体" w:cs="宋体"/>
                <w:bCs/>
                <w:sz w:val="24"/>
                <w:szCs w:val="24"/>
              </w:rPr>
              <w:t>全自动外置式进样装置</w:t>
            </w:r>
          </w:p>
        </w:tc>
        <w:tc>
          <w:tcPr>
            <w:tcW w:w="965" w:type="dxa"/>
            <w:noWrap w:val="0"/>
            <w:vAlign w:val="center"/>
          </w:tcPr>
          <w:p>
            <w:pPr>
              <w:spacing w:line="360" w:lineRule="auto"/>
              <w:jc w:val="center"/>
              <w:outlineLvl w:val="9"/>
              <w:rPr>
                <w:rFonts w:hint="eastAsia" w:ascii="宋体" w:hAnsi="宋体" w:eastAsia="宋体" w:cs="宋体"/>
                <w:bCs/>
                <w:sz w:val="24"/>
                <w:szCs w:val="24"/>
              </w:rPr>
            </w:pPr>
            <w:r>
              <w:rPr>
                <w:rFonts w:hint="eastAsia" w:ascii="宋体" w:hAnsi="宋体" w:eastAsia="宋体" w:cs="宋体"/>
                <w:bCs/>
                <w:sz w:val="24"/>
                <w:szCs w:val="24"/>
              </w:rPr>
              <w:t>1</w:t>
            </w:r>
          </w:p>
        </w:tc>
        <w:tc>
          <w:tcPr>
            <w:tcW w:w="1675" w:type="dxa"/>
            <w:noWrap w:val="0"/>
            <w:vAlign w:val="center"/>
          </w:tcPr>
          <w:p>
            <w:pPr>
              <w:spacing w:line="360" w:lineRule="auto"/>
              <w:jc w:val="center"/>
              <w:outlineLvl w:val="9"/>
              <w:rPr>
                <w:rFonts w:hint="eastAsia" w:ascii="宋体" w:hAnsi="宋体" w:eastAsia="宋体" w:cs="宋体"/>
                <w:bCs/>
                <w:sz w:val="24"/>
                <w:szCs w:val="24"/>
              </w:rPr>
            </w:pPr>
            <w:r>
              <w:rPr>
                <w:rFonts w:hint="eastAsia" w:ascii="宋体" w:hAnsi="宋体" w:eastAsia="宋体" w:cs="宋体"/>
                <w:bCs/>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noWrap w:val="0"/>
            <w:vAlign w:val="center"/>
          </w:tcPr>
          <w:p>
            <w:pPr>
              <w:spacing w:line="360" w:lineRule="auto"/>
              <w:jc w:val="center"/>
              <w:outlineLvl w:val="9"/>
              <w:rPr>
                <w:rFonts w:hint="eastAsia" w:ascii="宋体" w:hAnsi="宋体" w:eastAsia="宋体" w:cs="宋体"/>
                <w:bCs/>
                <w:sz w:val="24"/>
                <w:szCs w:val="24"/>
              </w:rPr>
            </w:pPr>
            <w:r>
              <w:rPr>
                <w:rFonts w:hint="eastAsia" w:ascii="宋体" w:hAnsi="宋体" w:eastAsia="宋体" w:cs="宋体"/>
                <w:bCs/>
                <w:sz w:val="24"/>
                <w:szCs w:val="24"/>
              </w:rPr>
              <w:t>3</w:t>
            </w:r>
          </w:p>
        </w:tc>
        <w:tc>
          <w:tcPr>
            <w:tcW w:w="4740" w:type="dxa"/>
            <w:noWrap w:val="0"/>
            <w:vAlign w:val="center"/>
          </w:tcPr>
          <w:p>
            <w:pPr>
              <w:spacing w:line="240" w:lineRule="auto"/>
              <w:jc w:val="center"/>
              <w:outlineLvl w:val="9"/>
              <w:rPr>
                <w:rFonts w:hint="eastAsia" w:ascii="宋体" w:hAnsi="宋体" w:eastAsia="宋体" w:cs="宋体"/>
                <w:bCs/>
                <w:sz w:val="24"/>
                <w:szCs w:val="24"/>
              </w:rPr>
            </w:pPr>
            <w:r>
              <w:rPr>
                <w:rFonts w:hint="eastAsia" w:ascii="宋体" w:hAnsi="宋体" w:eastAsia="宋体" w:cs="宋体"/>
                <w:bCs/>
                <w:sz w:val="24"/>
                <w:szCs w:val="24"/>
              </w:rPr>
              <w:t>商用品牌计算机</w:t>
            </w:r>
          </w:p>
          <w:p>
            <w:pPr>
              <w:spacing w:line="240" w:lineRule="auto"/>
              <w:jc w:val="center"/>
              <w:outlineLvl w:val="9"/>
              <w:rPr>
                <w:rFonts w:hint="eastAsia" w:ascii="宋体" w:hAnsi="宋体" w:eastAsia="宋体" w:cs="宋体"/>
                <w:bCs/>
                <w:sz w:val="24"/>
                <w:szCs w:val="24"/>
              </w:rPr>
            </w:pPr>
            <w:r>
              <w:rPr>
                <w:rFonts w:hint="eastAsia" w:ascii="宋体" w:hAnsi="宋体" w:eastAsia="宋体" w:cs="宋体"/>
                <w:bCs/>
                <w:sz w:val="24"/>
                <w:szCs w:val="24"/>
              </w:rPr>
              <w:t>激光打印机</w:t>
            </w:r>
          </w:p>
        </w:tc>
        <w:tc>
          <w:tcPr>
            <w:tcW w:w="965" w:type="dxa"/>
            <w:noWrap w:val="0"/>
            <w:vAlign w:val="center"/>
          </w:tcPr>
          <w:p>
            <w:pPr>
              <w:spacing w:line="360" w:lineRule="auto"/>
              <w:jc w:val="center"/>
              <w:outlineLvl w:val="9"/>
              <w:rPr>
                <w:rFonts w:hint="eastAsia" w:ascii="宋体" w:hAnsi="宋体" w:eastAsia="宋体" w:cs="宋体"/>
                <w:bCs/>
                <w:sz w:val="24"/>
                <w:szCs w:val="24"/>
              </w:rPr>
            </w:pPr>
            <w:r>
              <w:rPr>
                <w:rFonts w:hint="eastAsia" w:ascii="宋体" w:hAnsi="宋体" w:eastAsia="宋体" w:cs="宋体"/>
                <w:bCs/>
                <w:sz w:val="24"/>
                <w:szCs w:val="24"/>
              </w:rPr>
              <w:t>1</w:t>
            </w:r>
          </w:p>
        </w:tc>
        <w:tc>
          <w:tcPr>
            <w:tcW w:w="1675" w:type="dxa"/>
            <w:noWrap w:val="0"/>
            <w:vAlign w:val="center"/>
          </w:tcPr>
          <w:p>
            <w:pPr>
              <w:spacing w:line="360" w:lineRule="auto"/>
              <w:jc w:val="center"/>
              <w:outlineLvl w:val="9"/>
              <w:rPr>
                <w:rFonts w:hint="eastAsia" w:ascii="宋体" w:hAnsi="宋体" w:eastAsia="宋体" w:cs="宋体"/>
                <w:bCs/>
                <w:sz w:val="24"/>
                <w:szCs w:val="24"/>
              </w:rPr>
            </w:pPr>
            <w:r>
              <w:rPr>
                <w:rFonts w:hint="eastAsia" w:ascii="宋体" w:hAnsi="宋体" w:eastAsia="宋体" w:cs="宋体"/>
                <w:bCs/>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noWrap w:val="0"/>
            <w:vAlign w:val="center"/>
          </w:tcPr>
          <w:p>
            <w:pPr>
              <w:spacing w:line="360" w:lineRule="auto"/>
              <w:jc w:val="center"/>
              <w:outlineLvl w:val="9"/>
              <w:rPr>
                <w:rFonts w:hint="eastAsia" w:ascii="宋体" w:hAnsi="宋体" w:eastAsia="宋体" w:cs="宋体"/>
                <w:bCs/>
                <w:sz w:val="24"/>
                <w:szCs w:val="24"/>
              </w:rPr>
            </w:pPr>
            <w:r>
              <w:rPr>
                <w:rFonts w:hint="eastAsia" w:ascii="宋体" w:hAnsi="宋体" w:eastAsia="宋体" w:cs="宋体"/>
                <w:bCs/>
                <w:sz w:val="24"/>
                <w:szCs w:val="24"/>
              </w:rPr>
              <w:t>4</w:t>
            </w:r>
          </w:p>
        </w:tc>
        <w:tc>
          <w:tcPr>
            <w:tcW w:w="4740" w:type="dxa"/>
            <w:noWrap w:val="0"/>
            <w:vAlign w:val="center"/>
          </w:tcPr>
          <w:p>
            <w:pPr>
              <w:spacing w:line="360" w:lineRule="auto"/>
              <w:jc w:val="center"/>
              <w:outlineLvl w:val="9"/>
              <w:rPr>
                <w:rFonts w:hint="eastAsia" w:ascii="宋体" w:hAnsi="宋体" w:eastAsia="宋体" w:cs="宋体"/>
                <w:bCs/>
                <w:sz w:val="24"/>
                <w:szCs w:val="24"/>
              </w:rPr>
            </w:pPr>
            <w:r>
              <w:rPr>
                <w:rFonts w:hint="eastAsia" w:ascii="宋体" w:hAnsi="宋体" w:eastAsia="宋体" w:cs="宋体"/>
                <w:bCs/>
                <w:sz w:val="24"/>
                <w:szCs w:val="24"/>
              </w:rPr>
              <w:t>特制免调空心阴极灯（砷汞硒铅）</w:t>
            </w:r>
          </w:p>
        </w:tc>
        <w:tc>
          <w:tcPr>
            <w:tcW w:w="965" w:type="dxa"/>
            <w:noWrap w:val="0"/>
            <w:vAlign w:val="center"/>
          </w:tcPr>
          <w:p>
            <w:pPr>
              <w:spacing w:line="360" w:lineRule="auto"/>
              <w:jc w:val="center"/>
              <w:outlineLvl w:val="9"/>
              <w:rPr>
                <w:rFonts w:hint="eastAsia" w:ascii="宋体" w:hAnsi="宋体" w:eastAsia="宋体" w:cs="宋体"/>
                <w:bCs/>
                <w:sz w:val="24"/>
                <w:szCs w:val="24"/>
              </w:rPr>
            </w:pPr>
            <w:r>
              <w:rPr>
                <w:rFonts w:hint="eastAsia" w:ascii="宋体" w:hAnsi="宋体" w:eastAsia="宋体" w:cs="宋体"/>
                <w:bCs/>
                <w:sz w:val="24"/>
                <w:szCs w:val="24"/>
              </w:rPr>
              <w:t>各1</w:t>
            </w:r>
          </w:p>
        </w:tc>
        <w:tc>
          <w:tcPr>
            <w:tcW w:w="1675" w:type="dxa"/>
            <w:noWrap w:val="0"/>
            <w:vAlign w:val="center"/>
          </w:tcPr>
          <w:p>
            <w:pPr>
              <w:spacing w:line="360" w:lineRule="auto"/>
              <w:jc w:val="center"/>
              <w:outlineLvl w:val="9"/>
              <w:rPr>
                <w:rFonts w:hint="eastAsia" w:ascii="宋体" w:hAnsi="宋体" w:eastAsia="宋体" w:cs="宋体"/>
                <w:bCs/>
                <w:sz w:val="24"/>
                <w:szCs w:val="24"/>
              </w:rPr>
            </w:pPr>
            <w:r>
              <w:rPr>
                <w:rFonts w:hint="eastAsia" w:ascii="宋体" w:hAnsi="宋体" w:eastAsia="宋体" w:cs="宋体"/>
                <w:bCs/>
                <w:sz w:val="24"/>
                <w:szCs w:val="24"/>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40" w:type="dxa"/>
            <w:noWrap w:val="0"/>
            <w:vAlign w:val="center"/>
          </w:tcPr>
          <w:p>
            <w:pPr>
              <w:spacing w:line="360" w:lineRule="auto"/>
              <w:jc w:val="center"/>
              <w:outlineLvl w:val="9"/>
              <w:rPr>
                <w:rFonts w:hint="eastAsia" w:ascii="宋体" w:hAnsi="宋体" w:eastAsia="宋体" w:cs="宋体"/>
                <w:bCs/>
                <w:sz w:val="24"/>
                <w:szCs w:val="24"/>
              </w:rPr>
            </w:pPr>
            <w:r>
              <w:rPr>
                <w:rFonts w:hint="eastAsia" w:ascii="宋体" w:hAnsi="宋体" w:eastAsia="宋体" w:cs="宋体"/>
                <w:bCs/>
                <w:sz w:val="24"/>
                <w:szCs w:val="24"/>
              </w:rPr>
              <w:t>5</w:t>
            </w:r>
          </w:p>
        </w:tc>
        <w:tc>
          <w:tcPr>
            <w:tcW w:w="4740" w:type="dxa"/>
            <w:noWrap w:val="0"/>
            <w:vAlign w:val="center"/>
          </w:tcPr>
          <w:p>
            <w:pPr>
              <w:spacing w:line="360" w:lineRule="auto"/>
              <w:jc w:val="center"/>
              <w:outlineLvl w:val="9"/>
              <w:rPr>
                <w:rFonts w:hint="eastAsia" w:ascii="宋体" w:hAnsi="宋体" w:eastAsia="宋体" w:cs="宋体"/>
                <w:bCs/>
                <w:sz w:val="24"/>
                <w:szCs w:val="24"/>
              </w:rPr>
            </w:pPr>
            <w:r>
              <w:rPr>
                <w:rFonts w:hint="eastAsia" w:ascii="宋体" w:hAnsi="宋体" w:eastAsia="宋体" w:cs="宋体"/>
                <w:bCs/>
                <w:sz w:val="24"/>
                <w:szCs w:val="24"/>
              </w:rPr>
              <w:t>新断续流动氢化物发生装置</w:t>
            </w:r>
          </w:p>
        </w:tc>
        <w:tc>
          <w:tcPr>
            <w:tcW w:w="965" w:type="dxa"/>
            <w:noWrap w:val="0"/>
            <w:vAlign w:val="center"/>
          </w:tcPr>
          <w:p>
            <w:pPr>
              <w:spacing w:line="360" w:lineRule="auto"/>
              <w:jc w:val="center"/>
              <w:outlineLvl w:val="9"/>
              <w:rPr>
                <w:rFonts w:hint="eastAsia" w:ascii="宋体" w:hAnsi="宋体" w:eastAsia="宋体" w:cs="宋体"/>
                <w:bCs/>
                <w:sz w:val="24"/>
                <w:szCs w:val="24"/>
              </w:rPr>
            </w:pPr>
            <w:r>
              <w:rPr>
                <w:rFonts w:hint="eastAsia" w:ascii="宋体" w:hAnsi="宋体" w:eastAsia="宋体" w:cs="宋体"/>
                <w:bCs/>
                <w:sz w:val="24"/>
                <w:szCs w:val="24"/>
              </w:rPr>
              <w:t>1</w:t>
            </w:r>
          </w:p>
        </w:tc>
        <w:tc>
          <w:tcPr>
            <w:tcW w:w="1675" w:type="dxa"/>
            <w:noWrap w:val="0"/>
            <w:vAlign w:val="center"/>
          </w:tcPr>
          <w:p>
            <w:pPr>
              <w:spacing w:line="360" w:lineRule="auto"/>
              <w:jc w:val="center"/>
              <w:outlineLvl w:val="9"/>
              <w:rPr>
                <w:rFonts w:hint="eastAsia" w:ascii="宋体" w:hAnsi="宋体" w:eastAsia="宋体" w:cs="宋体"/>
                <w:bCs/>
                <w:sz w:val="24"/>
                <w:szCs w:val="24"/>
              </w:rPr>
            </w:pPr>
            <w:r>
              <w:rPr>
                <w:rFonts w:hint="eastAsia" w:ascii="宋体" w:hAnsi="宋体" w:eastAsia="宋体" w:cs="宋体"/>
                <w:bCs/>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noWrap w:val="0"/>
            <w:vAlign w:val="center"/>
          </w:tcPr>
          <w:p>
            <w:pPr>
              <w:spacing w:line="360" w:lineRule="auto"/>
              <w:jc w:val="center"/>
              <w:outlineLvl w:val="9"/>
              <w:rPr>
                <w:rFonts w:hint="eastAsia" w:ascii="宋体" w:hAnsi="宋体" w:eastAsia="宋体" w:cs="宋体"/>
                <w:bCs/>
                <w:sz w:val="24"/>
                <w:szCs w:val="24"/>
              </w:rPr>
            </w:pPr>
            <w:r>
              <w:rPr>
                <w:rFonts w:hint="eastAsia" w:ascii="宋体" w:hAnsi="宋体" w:eastAsia="宋体" w:cs="宋体"/>
                <w:bCs/>
                <w:sz w:val="24"/>
                <w:szCs w:val="24"/>
              </w:rPr>
              <w:t>6</w:t>
            </w:r>
          </w:p>
        </w:tc>
        <w:tc>
          <w:tcPr>
            <w:tcW w:w="4740" w:type="dxa"/>
            <w:noWrap w:val="0"/>
            <w:vAlign w:val="center"/>
          </w:tcPr>
          <w:p>
            <w:pPr>
              <w:spacing w:line="360" w:lineRule="auto"/>
              <w:jc w:val="center"/>
              <w:outlineLvl w:val="9"/>
              <w:rPr>
                <w:rFonts w:hint="eastAsia" w:ascii="宋体" w:hAnsi="宋体" w:eastAsia="宋体" w:cs="宋体"/>
                <w:bCs/>
                <w:sz w:val="24"/>
                <w:szCs w:val="24"/>
              </w:rPr>
            </w:pPr>
            <w:r>
              <w:rPr>
                <w:rFonts w:hint="eastAsia" w:ascii="宋体" w:hAnsi="宋体" w:eastAsia="宋体" w:cs="宋体"/>
                <w:bCs/>
                <w:sz w:val="24"/>
                <w:szCs w:val="24"/>
              </w:rPr>
              <w:tab/>
            </w:r>
            <w:r>
              <w:rPr>
                <w:rFonts w:hint="eastAsia" w:ascii="宋体" w:hAnsi="宋体" w:eastAsia="宋体" w:cs="宋体"/>
                <w:bCs/>
                <w:sz w:val="24"/>
                <w:szCs w:val="24"/>
              </w:rPr>
              <w:t>其他备件等工具包等</w:t>
            </w:r>
          </w:p>
        </w:tc>
        <w:tc>
          <w:tcPr>
            <w:tcW w:w="965" w:type="dxa"/>
            <w:noWrap w:val="0"/>
            <w:vAlign w:val="center"/>
          </w:tcPr>
          <w:p>
            <w:pPr>
              <w:spacing w:line="360" w:lineRule="auto"/>
              <w:jc w:val="center"/>
              <w:outlineLvl w:val="9"/>
              <w:rPr>
                <w:rFonts w:hint="eastAsia" w:ascii="宋体" w:hAnsi="宋体" w:eastAsia="宋体" w:cs="宋体"/>
                <w:bCs/>
                <w:sz w:val="24"/>
                <w:szCs w:val="24"/>
              </w:rPr>
            </w:pPr>
            <w:r>
              <w:rPr>
                <w:rFonts w:hint="eastAsia" w:ascii="宋体" w:hAnsi="宋体" w:eastAsia="宋体" w:cs="宋体"/>
                <w:bCs/>
                <w:sz w:val="24"/>
                <w:szCs w:val="24"/>
              </w:rPr>
              <w:t>1</w:t>
            </w:r>
          </w:p>
        </w:tc>
        <w:tc>
          <w:tcPr>
            <w:tcW w:w="1675" w:type="dxa"/>
            <w:noWrap w:val="0"/>
            <w:vAlign w:val="center"/>
          </w:tcPr>
          <w:p>
            <w:pPr>
              <w:spacing w:line="360" w:lineRule="auto"/>
              <w:jc w:val="center"/>
              <w:outlineLvl w:val="9"/>
              <w:rPr>
                <w:rFonts w:hint="eastAsia" w:ascii="宋体" w:hAnsi="宋体" w:eastAsia="宋体" w:cs="宋体"/>
                <w:bCs/>
                <w:sz w:val="24"/>
                <w:szCs w:val="24"/>
              </w:rPr>
            </w:pPr>
            <w:r>
              <w:rPr>
                <w:rFonts w:hint="eastAsia" w:ascii="宋体" w:hAnsi="宋体" w:eastAsia="宋体" w:cs="宋体"/>
                <w:bCs/>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noWrap w:val="0"/>
            <w:vAlign w:val="center"/>
          </w:tcPr>
          <w:p>
            <w:pPr>
              <w:spacing w:line="360" w:lineRule="auto"/>
              <w:jc w:val="center"/>
              <w:outlineLvl w:val="9"/>
              <w:rPr>
                <w:rFonts w:hint="eastAsia" w:ascii="宋体" w:hAnsi="宋体" w:eastAsia="宋体" w:cs="宋体"/>
                <w:bCs/>
                <w:sz w:val="24"/>
                <w:szCs w:val="24"/>
                <w:lang w:val="en-US" w:eastAsia="zh-CN"/>
              </w:rPr>
            </w:pPr>
            <w:r>
              <w:rPr>
                <w:rFonts w:hint="eastAsia" w:ascii="宋体" w:hAnsi="宋体" w:cs="宋体"/>
                <w:bCs/>
                <w:sz w:val="24"/>
                <w:szCs w:val="24"/>
                <w:lang w:val="en-US" w:eastAsia="zh-CN"/>
              </w:rPr>
              <w:t>7</w:t>
            </w:r>
          </w:p>
        </w:tc>
        <w:tc>
          <w:tcPr>
            <w:tcW w:w="4740" w:type="dxa"/>
            <w:noWrap w:val="0"/>
            <w:vAlign w:val="center"/>
          </w:tcPr>
          <w:p>
            <w:pPr>
              <w:spacing w:line="360" w:lineRule="auto"/>
              <w:jc w:val="center"/>
              <w:outlineLvl w:val="9"/>
              <w:rPr>
                <w:rFonts w:hint="default" w:ascii="宋体" w:hAnsi="宋体" w:eastAsia="宋体" w:cs="宋体"/>
                <w:bCs/>
                <w:sz w:val="24"/>
                <w:szCs w:val="24"/>
                <w:lang w:val="en-US" w:eastAsia="zh-CN"/>
              </w:rPr>
            </w:pPr>
            <w:r>
              <w:rPr>
                <w:rFonts w:hint="eastAsia" w:ascii="宋体" w:hAnsi="宋体" w:cs="宋体"/>
                <w:bCs/>
                <w:sz w:val="24"/>
                <w:szCs w:val="24"/>
                <w:lang w:val="en-US" w:eastAsia="zh-CN"/>
              </w:rPr>
              <w:t>高纯氩气及减压阀</w:t>
            </w:r>
          </w:p>
        </w:tc>
        <w:tc>
          <w:tcPr>
            <w:tcW w:w="965" w:type="dxa"/>
            <w:noWrap w:val="0"/>
            <w:vAlign w:val="center"/>
          </w:tcPr>
          <w:p>
            <w:pPr>
              <w:spacing w:line="360" w:lineRule="auto"/>
              <w:jc w:val="center"/>
              <w:outlineLvl w:val="9"/>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1</w:t>
            </w:r>
          </w:p>
        </w:tc>
        <w:tc>
          <w:tcPr>
            <w:tcW w:w="1675" w:type="dxa"/>
            <w:noWrap w:val="0"/>
            <w:vAlign w:val="center"/>
          </w:tcPr>
          <w:p>
            <w:pPr>
              <w:spacing w:line="360" w:lineRule="auto"/>
              <w:jc w:val="center"/>
              <w:outlineLvl w:val="9"/>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套</w:t>
            </w:r>
          </w:p>
        </w:tc>
      </w:tr>
    </w:tbl>
    <w:p>
      <w:pPr>
        <w:spacing w:line="360" w:lineRule="auto"/>
        <w:jc w:val="center"/>
        <w:outlineLvl w:val="9"/>
        <w:rPr>
          <w:rFonts w:hint="eastAsia" w:ascii="宋体" w:hAnsi="宋体" w:eastAsia="宋体" w:cs="宋体"/>
          <w:sz w:val="24"/>
          <w:szCs w:val="24"/>
        </w:rPr>
      </w:pPr>
    </w:p>
    <w:p>
      <w:pPr>
        <w:numPr>
          <w:ilvl w:val="0"/>
          <w:numId w:val="8"/>
        </w:numPr>
        <w:spacing w:line="360" w:lineRule="auto"/>
        <w:outlineLvl w:val="9"/>
        <w:rPr>
          <w:rFonts w:hint="eastAsia" w:ascii="宋体" w:hAnsi="宋体" w:eastAsia="宋体" w:cs="宋体"/>
          <w:sz w:val="24"/>
          <w:szCs w:val="24"/>
          <w:lang w:val="en-US" w:eastAsia="zh-CN"/>
        </w:rPr>
      </w:pPr>
      <w:r>
        <w:rPr>
          <w:rFonts w:hint="eastAsia" w:ascii="宋体" w:hAnsi="宋体" w:eastAsia="宋体" w:cs="宋体"/>
          <w:b/>
          <w:bCs/>
          <w:color w:val="000000"/>
          <w:sz w:val="24"/>
          <w:szCs w:val="24"/>
        </w:rPr>
        <w:t>便携式余氯/总氯测定仪</w:t>
      </w:r>
      <w:r>
        <w:rPr>
          <w:rFonts w:hint="eastAsia" w:ascii="宋体" w:hAnsi="宋体" w:eastAsia="宋体" w:cs="宋体"/>
          <w:b/>
          <w:bCs/>
          <w:sz w:val="24"/>
          <w:szCs w:val="24"/>
        </w:rPr>
        <w:t>技术参数</w:t>
      </w:r>
      <w:r>
        <w:rPr>
          <w:rFonts w:hint="eastAsia" w:ascii="宋体" w:hAnsi="宋体" w:eastAsia="宋体" w:cs="宋体"/>
          <w:b/>
          <w:bCs/>
          <w:sz w:val="24"/>
          <w:szCs w:val="24"/>
          <w:lang w:eastAsia="zh-CN"/>
        </w:rPr>
        <w:t>（</w:t>
      </w:r>
      <w:r>
        <w:rPr>
          <w:rFonts w:hint="eastAsia" w:ascii="宋体" w:hAnsi="宋体" w:eastAsia="宋体" w:cs="宋体"/>
          <w:b/>
          <w:bCs/>
          <w:kern w:val="21"/>
          <w:sz w:val="24"/>
          <w:szCs w:val="24"/>
          <w:lang w:val="en-US" w:eastAsia="zh-CN"/>
        </w:rPr>
        <w:t>便携式比色计）</w:t>
      </w:r>
      <w:r>
        <w:rPr>
          <w:rFonts w:hint="eastAsia" w:ascii="宋体" w:hAnsi="宋体" w:eastAsia="宋体" w:cs="宋体"/>
          <w:i w:val="0"/>
          <w:caps w:val="0"/>
          <w:color w:val="000000"/>
          <w:spacing w:val="0"/>
          <w:sz w:val="24"/>
          <w:szCs w:val="24"/>
          <w:shd w:val="clear" w:color="auto" w:fill="FFFFFF"/>
        </w:rPr>
        <w:br w:type="textWrapping"/>
      </w:r>
      <w:r>
        <w:rPr>
          <w:rFonts w:hint="eastAsia" w:ascii="宋体" w:hAnsi="宋体" w:eastAsia="宋体" w:cs="宋体"/>
          <w:sz w:val="24"/>
          <w:szCs w:val="24"/>
          <w:lang w:val="en-US" w:eastAsia="zh-CN"/>
        </w:rPr>
        <w:t>1、光源</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发光二极管</w:t>
      </w:r>
    </w:p>
    <w:p>
      <w:pPr>
        <w:numPr>
          <w:ilvl w:val="0"/>
          <w:numId w:val="0"/>
        </w:numPr>
        <w:spacing w:line="360" w:lineRule="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2、检测器</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硅光电二极管</w:t>
      </w:r>
    </w:p>
    <w:p>
      <w:pPr>
        <w:spacing w:line="360" w:lineRule="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3、显示</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LCD背光显示</w:t>
      </w:r>
    </w:p>
    <w:p>
      <w:pPr>
        <w:spacing w:line="360" w:lineRule="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4、防护等级</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IP6</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w:t>
      </w:r>
    </w:p>
    <w:p>
      <w:pPr>
        <w:spacing w:line="360" w:lineRule="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、测量范围（0.02～5）mg/L</w:t>
      </w:r>
    </w:p>
    <w:p>
      <w:pPr>
        <w:spacing w:line="360" w:lineRule="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6</w:t>
      </w:r>
      <w:r>
        <w:rPr>
          <w:rFonts w:hint="eastAsia" w:ascii="宋体" w:hAnsi="宋体" w:eastAsia="宋体" w:cs="宋体"/>
          <w:sz w:val="24"/>
          <w:szCs w:val="24"/>
          <w:lang w:val="en-US" w:eastAsia="zh-CN"/>
        </w:rPr>
        <w:t>、电源</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4节AAA电池；</w:t>
      </w:r>
      <w:r>
        <w:rPr>
          <w:rFonts w:hint="eastAsia" w:ascii="宋体" w:hAnsi="宋体" w:cs="宋体"/>
          <w:sz w:val="24"/>
          <w:szCs w:val="24"/>
          <w:lang w:val="en-US" w:eastAsia="zh-CN"/>
        </w:rPr>
        <w:t>测试次数≥200</w:t>
      </w:r>
      <w:r>
        <w:rPr>
          <w:rFonts w:hint="eastAsia" w:ascii="宋体" w:hAnsi="宋体" w:eastAsia="宋体" w:cs="宋体"/>
          <w:sz w:val="24"/>
          <w:szCs w:val="24"/>
          <w:lang w:val="en-US" w:eastAsia="zh-CN"/>
        </w:rPr>
        <w:t>次</w:t>
      </w:r>
    </w:p>
    <w:p>
      <w:pPr>
        <w:spacing w:line="360" w:lineRule="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、数据存储</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50次测量值</w:t>
      </w:r>
    </w:p>
    <w:p>
      <w:pPr>
        <w:spacing w:line="360" w:lineRule="auto"/>
        <w:outlineLvl w:val="9"/>
        <w:rPr>
          <w:rFonts w:hint="eastAsia"/>
        </w:rPr>
      </w:pPr>
      <w:r>
        <w:rPr>
          <w:rFonts w:hint="eastAsia" w:ascii="宋体" w:hAnsi="宋体" w:cs="宋体"/>
          <w:sz w:val="24"/>
          <w:szCs w:val="24"/>
          <w:lang w:val="en-US" w:eastAsia="zh-CN"/>
        </w:rPr>
        <w:t>8</w:t>
      </w:r>
      <w:r>
        <w:rPr>
          <w:rFonts w:hint="eastAsia" w:ascii="宋体" w:hAnsi="宋体" w:eastAsia="宋体" w:cs="宋体"/>
          <w:sz w:val="24"/>
          <w:szCs w:val="24"/>
          <w:lang w:val="en-US" w:eastAsia="zh-CN"/>
        </w:rPr>
        <w:t>、包含配套试剂。</w:t>
      </w:r>
    </w:p>
    <w:p>
      <w:pPr>
        <w:spacing w:line="360" w:lineRule="auto"/>
        <w:jc w:val="both"/>
        <w:outlineLvl w:val="9"/>
        <w:rPr>
          <w:rFonts w:hint="eastAsia" w:ascii="宋体" w:hAnsi="宋体" w:eastAsia="宋体" w:cs="宋体"/>
          <w:b/>
          <w:bCs/>
          <w:sz w:val="24"/>
          <w:szCs w:val="24"/>
          <w:lang w:val="en-US" w:eastAsia="zh-CN"/>
        </w:rPr>
      </w:pPr>
    </w:p>
    <w:p>
      <w:pPr>
        <w:spacing w:line="360" w:lineRule="auto"/>
        <w:jc w:val="both"/>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五、</w:t>
      </w:r>
      <w:r>
        <w:rPr>
          <w:rFonts w:hint="eastAsia" w:ascii="宋体" w:hAnsi="宋体" w:eastAsia="宋体" w:cs="宋体"/>
          <w:b/>
          <w:bCs/>
          <w:sz w:val="24"/>
          <w:szCs w:val="24"/>
        </w:rPr>
        <w:t>紫外可见分光光度计技术参数</w:t>
      </w:r>
    </w:p>
    <w:p>
      <w:pPr>
        <w:spacing w:line="360" w:lineRule="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要求</w:t>
      </w:r>
      <w:r>
        <w:rPr>
          <w:rFonts w:hint="eastAsia" w:ascii="宋体" w:hAnsi="宋体" w:eastAsia="宋体" w:cs="宋体"/>
          <w:sz w:val="24"/>
          <w:szCs w:val="24"/>
          <w:lang w:val="en-US" w:eastAsia="zh-CN"/>
        </w:rPr>
        <w:t>性能</w:t>
      </w:r>
    </w:p>
    <w:p>
      <w:pPr>
        <w:spacing w:line="360" w:lineRule="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1.1 </w:t>
      </w:r>
      <w:r>
        <w:rPr>
          <w:rFonts w:hint="eastAsia" w:ascii="宋体" w:hAnsi="宋体" w:eastAsia="宋体" w:cs="宋体"/>
          <w:sz w:val="24"/>
          <w:szCs w:val="24"/>
        </w:rPr>
        <w:t>2nm光谱带宽。</w:t>
      </w:r>
    </w:p>
    <w:p>
      <w:pPr>
        <w:spacing w:line="360" w:lineRule="auto"/>
        <w:outlineLvl w:val="9"/>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t>手动宽大四连池，可满足各种应用对宽大比色皿的特殊要求，最大样品池</w:t>
      </w:r>
      <w:r>
        <w:rPr>
          <w:rFonts w:hint="eastAsia" w:ascii="宋体" w:hAnsi="宋体" w:cs="宋体"/>
          <w:sz w:val="24"/>
          <w:szCs w:val="24"/>
          <w:lang w:val="en-US" w:eastAsia="zh-CN"/>
        </w:rPr>
        <w:t>≥</w:t>
      </w:r>
      <w:r>
        <w:rPr>
          <w:rFonts w:hint="eastAsia" w:ascii="宋体" w:hAnsi="宋体" w:eastAsia="宋体" w:cs="宋体"/>
          <w:sz w:val="24"/>
          <w:szCs w:val="24"/>
        </w:rPr>
        <w:t>100mm</w:t>
      </w:r>
    </w:p>
    <w:p>
      <w:pPr>
        <w:spacing w:line="360" w:lineRule="auto"/>
        <w:outlineLvl w:val="9"/>
        <w:rPr>
          <w:rFonts w:hint="eastAsia" w:ascii="宋体" w:hAnsi="宋体" w:eastAsia="宋体" w:cs="宋体"/>
          <w:sz w:val="24"/>
          <w:szCs w:val="24"/>
        </w:rPr>
      </w:pPr>
      <w:r>
        <w:rPr>
          <w:rFonts w:hint="eastAsia" w:ascii="宋体" w:hAnsi="宋体" w:eastAsia="宋体" w:cs="宋体"/>
          <w:sz w:val="24"/>
          <w:szCs w:val="24"/>
          <w:lang w:val="en-US" w:eastAsia="zh-CN"/>
        </w:rPr>
        <w:t>1.3</w:t>
      </w:r>
      <w:r>
        <w:rPr>
          <w:rFonts w:hint="eastAsia" w:ascii="宋体" w:hAnsi="宋体" w:eastAsia="宋体" w:cs="宋体"/>
          <w:sz w:val="24"/>
          <w:szCs w:val="24"/>
        </w:rPr>
        <w:t>具有波长扫描、时间扫描、多波长测定、定量分析、双波长、三波长，DNA蛋白质测量等多种测量方法。</w:t>
      </w:r>
    </w:p>
    <w:p>
      <w:pPr>
        <w:spacing w:line="360" w:lineRule="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1.4 </w:t>
      </w:r>
      <w:r>
        <w:rPr>
          <w:rFonts w:hint="eastAsia" w:ascii="宋体" w:hAnsi="宋体" w:eastAsia="宋体" w:cs="宋体"/>
          <w:sz w:val="24"/>
          <w:szCs w:val="24"/>
        </w:rPr>
        <w:t>测量数据可通过打印机输出，USB接口</w:t>
      </w:r>
    </w:p>
    <w:p>
      <w:pPr>
        <w:spacing w:line="360" w:lineRule="auto"/>
        <w:outlineLvl w:val="9"/>
        <w:rPr>
          <w:rFonts w:hint="eastAsia" w:ascii="宋体" w:hAnsi="宋体" w:eastAsia="宋体" w:cs="宋体"/>
          <w:sz w:val="24"/>
          <w:szCs w:val="24"/>
        </w:rPr>
      </w:pPr>
      <w:r>
        <w:rPr>
          <w:rFonts w:hint="eastAsia" w:ascii="宋体" w:hAnsi="宋体" w:eastAsia="宋体" w:cs="宋体"/>
          <w:sz w:val="24"/>
          <w:szCs w:val="24"/>
          <w:lang w:val="en-US" w:eastAsia="zh-CN"/>
        </w:rPr>
        <w:t>1.5</w:t>
      </w:r>
      <w:r>
        <w:rPr>
          <w:rFonts w:hint="eastAsia" w:ascii="宋体" w:hAnsi="宋体" w:eastAsia="宋体" w:cs="宋体"/>
          <w:sz w:val="24"/>
          <w:szCs w:val="24"/>
        </w:rPr>
        <w:t>可断电保存测量参数和数据，</w:t>
      </w:r>
    </w:p>
    <w:p>
      <w:pPr>
        <w:spacing w:line="360" w:lineRule="auto"/>
        <w:outlineLvl w:val="9"/>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技术指标及基本参数</w:t>
      </w:r>
    </w:p>
    <w:p>
      <w:pPr>
        <w:spacing w:line="360" w:lineRule="auto"/>
        <w:outlineLvl w:val="9"/>
        <w:rPr>
          <w:rFonts w:hint="eastAsia" w:ascii="宋体" w:hAnsi="宋体" w:eastAsia="宋体" w:cs="宋体"/>
          <w:sz w:val="24"/>
          <w:szCs w:val="24"/>
        </w:rPr>
      </w:pPr>
      <w:r>
        <w:rPr>
          <w:rFonts w:hint="eastAsia" w:ascii="宋体" w:hAnsi="宋体" w:eastAsia="宋体" w:cs="宋体"/>
          <w:sz w:val="24"/>
          <w:szCs w:val="24"/>
          <w:lang w:val="en-US" w:eastAsia="zh-CN"/>
        </w:rPr>
        <w:t>2.1</w:t>
      </w:r>
      <w:r>
        <w:rPr>
          <w:rFonts w:hint="eastAsia" w:ascii="宋体" w:hAnsi="宋体" w:eastAsia="宋体" w:cs="宋体"/>
          <w:sz w:val="24"/>
          <w:szCs w:val="24"/>
        </w:rPr>
        <w:t>波长范围：</w:t>
      </w:r>
      <w:r>
        <w:rPr>
          <w:rFonts w:hint="eastAsia" w:ascii="宋体" w:hAnsi="宋体" w:eastAsia="宋体" w:cs="宋体"/>
          <w:sz w:val="24"/>
          <w:szCs w:val="24"/>
        </w:rPr>
        <w:tab/>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190～1</w:t>
      </w:r>
      <w:r>
        <w:rPr>
          <w:rFonts w:hint="eastAsia" w:ascii="宋体" w:hAnsi="宋体" w:eastAsia="宋体" w:cs="宋体"/>
          <w:sz w:val="24"/>
          <w:szCs w:val="24"/>
          <w:lang w:val="en-US" w:eastAsia="zh-CN"/>
        </w:rPr>
        <w:t>0</w:t>
      </w:r>
      <w:r>
        <w:rPr>
          <w:rFonts w:hint="eastAsia" w:ascii="宋体" w:hAnsi="宋体" w:eastAsia="宋体" w:cs="宋体"/>
          <w:sz w:val="24"/>
          <w:szCs w:val="24"/>
        </w:rPr>
        <w:t xml:space="preserve">00nm  </w:t>
      </w:r>
    </w:p>
    <w:p>
      <w:pPr>
        <w:spacing w:line="360" w:lineRule="auto"/>
        <w:outlineLvl w:val="9"/>
        <w:rPr>
          <w:rFonts w:hint="eastAsia" w:ascii="宋体" w:hAnsi="宋体" w:eastAsia="宋体" w:cs="宋体"/>
          <w:sz w:val="24"/>
          <w:szCs w:val="24"/>
        </w:rPr>
      </w:pPr>
      <w:r>
        <w:rPr>
          <w:rFonts w:hint="eastAsia" w:ascii="宋体" w:hAnsi="宋体" w:eastAsia="宋体" w:cs="宋体"/>
          <w:sz w:val="24"/>
          <w:szCs w:val="24"/>
          <w:lang w:val="en-US" w:eastAsia="zh-CN"/>
        </w:rPr>
        <w:t>2.2</w:t>
      </w:r>
      <w:r>
        <w:rPr>
          <w:rFonts w:hint="eastAsia" w:ascii="宋体" w:hAnsi="宋体" w:eastAsia="宋体" w:cs="宋体"/>
          <w:sz w:val="24"/>
          <w:szCs w:val="24"/>
        </w:rPr>
        <w:t>光谱带宽：</w:t>
      </w:r>
      <w:r>
        <w:rPr>
          <w:rFonts w:hint="eastAsia" w:ascii="宋体" w:hAnsi="宋体" w:eastAsia="宋体" w:cs="宋体"/>
          <w:sz w:val="24"/>
          <w:szCs w:val="24"/>
        </w:rPr>
        <w:tab/>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2.0nm(5nm、1nm可选）</w:t>
      </w:r>
    </w:p>
    <w:p>
      <w:pPr>
        <w:spacing w:line="360" w:lineRule="auto"/>
        <w:outlineLvl w:val="9"/>
        <w:rPr>
          <w:rFonts w:hint="eastAsia" w:ascii="宋体" w:hAnsi="宋体" w:eastAsia="宋体" w:cs="宋体"/>
          <w:sz w:val="24"/>
          <w:szCs w:val="24"/>
        </w:rPr>
      </w:pPr>
      <w:r>
        <w:rPr>
          <w:rFonts w:hint="eastAsia" w:ascii="宋体" w:hAnsi="宋体" w:eastAsia="宋体" w:cs="宋体"/>
          <w:sz w:val="24"/>
          <w:szCs w:val="24"/>
          <w:lang w:val="en-US" w:eastAsia="zh-CN"/>
        </w:rPr>
        <w:t>2.3</w:t>
      </w:r>
      <w:r>
        <w:rPr>
          <w:rFonts w:hint="eastAsia" w:ascii="宋体" w:hAnsi="宋体" w:eastAsia="宋体" w:cs="宋体"/>
          <w:sz w:val="24"/>
          <w:szCs w:val="24"/>
        </w:rPr>
        <w:t>波长准确度：</w:t>
      </w:r>
      <w:r>
        <w:rPr>
          <w:rFonts w:hint="eastAsia" w:ascii="宋体" w:hAnsi="宋体" w:eastAsia="宋体" w:cs="宋体"/>
          <w:sz w:val="24"/>
          <w:szCs w:val="24"/>
        </w:rPr>
        <w:tab/>
      </w:r>
      <w:r>
        <w:rPr>
          <w:rFonts w:hint="eastAsia" w:ascii="宋体" w:hAnsi="宋体" w:eastAsia="宋体" w:cs="宋体"/>
          <w:sz w:val="24"/>
          <w:szCs w:val="24"/>
        </w:rPr>
        <w:t xml:space="preserve"> ±0.5nm  </w:t>
      </w:r>
    </w:p>
    <w:p>
      <w:pPr>
        <w:spacing w:line="360" w:lineRule="auto"/>
        <w:outlineLvl w:val="9"/>
        <w:rPr>
          <w:rFonts w:hint="eastAsia" w:ascii="宋体" w:hAnsi="宋体" w:eastAsia="宋体" w:cs="宋体"/>
          <w:sz w:val="24"/>
          <w:szCs w:val="24"/>
        </w:rPr>
      </w:pPr>
      <w:r>
        <w:rPr>
          <w:rFonts w:hint="eastAsia" w:ascii="宋体" w:hAnsi="宋体" w:eastAsia="宋体" w:cs="宋体"/>
          <w:sz w:val="24"/>
          <w:szCs w:val="24"/>
          <w:lang w:val="en-US" w:eastAsia="zh-CN"/>
        </w:rPr>
        <w:t>2.4</w:t>
      </w:r>
      <w:r>
        <w:rPr>
          <w:rFonts w:hint="eastAsia" w:ascii="宋体" w:hAnsi="宋体" w:eastAsia="宋体" w:cs="宋体"/>
          <w:sz w:val="24"/>
          <w:szCs w:val="24"/>
        </w:rPr>
        <w:t>波长重现性：</w:t>
      </w:r>
      <w:r>
        <w:rPr>
          <w:rFonts w:hint="eastAsia" w:ascii="宋体" w:hAnsi="宋体" w:eastAsia="宋体" w:cs="宋体"/>
          <w:sz w:val="24"/>
          <w:szCs w:val="24"/>
        </w:rPr>
        <w:tab/>
      </w:r>
      <w:r>
        <w:rPr>
          <w:rFonts w:hint="eastAsia" w:ascii="宋体" w:hAnsi="宋体" w:eastAsia="宋体" w:cs="宋体"/>
          <w:sz w:val="24"/>
          <w:szCs w:val="24"/>
        </w:rPr>
        <w:t xml:space="preserve"> ≤0.2nm  </w:t>
      </w:r>
    </w:p>
    <w:p>
      <w:pPr>
        <w:spacing w:line="360" w:lineRule="auto"/>
        <w:outlineLvl w:val="9"/>
        <w:rPr>
          <w:rFonts w:hint="eastAsia" w:ascii="宋体" w:hAnsi="宋体" w:eastAsia="宋体" w:cs="宋体"/>
          <w:sz w:val="24"/>
          <w:szCs w:val="24"/>
        </w:rPr>
      </w:pPr>
      <w:r>
        <w:rPr>
          <w:rFonts w:hint="eastAsia" w:ascii="宋体" w:hAnsi="宋体" w:eastAsia="宋体" w:cs="宋体"/>
          <w:sz w:val="24"/>
          <w:szCs w:val="24"/>
          <w:lang w:val="en-US" w:eastAsia="zh-CN"/>
        </w:rPr>
        <w:t>2.5</w:t>
      </w:r>
      <w:r>
        <w:rPr>
          <w:rFonts w:hint="eastAsia" w:ascii="宋体" w:hAnsi="宋体" w:eastAsia="宋体" w:cs="宋体"/>
          <w:sz w:val="24"/>
          <w:szCs w:val="24"/>
        </w:rPr>
        <w:t>透射比准确度：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±0.3% τ (0～100% τ)</w:t>
      </w:r>
    </w:p>
    <w:p>
      <w:pPr>
        <w:spacing w:line="360" w:lineRule="auto"/>
        <w:outlineLvl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±0.002A(0～0.5A) </w:t>
      </w:r>
    </w:p>
    <w:p>
      <w:pPr>
        <w:spacing w:line="360" w:lineRule="auto"/>
        <w:outlineLvl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±0.004A(0.5A～1A)           </w:t>
      </w:r>
    </w:p>
    <w:p>
      <w:pPr>
        <w:spacing w:line="360" w:lineRule="auto"/>
        <w:outlineLvl w:val="9"/>
        <w:rPr>
          <w:rFonts w:hint="eastAsia" w:ascii="宋体" w:hAnsi="宋体" w:eastAsia="宋体" w:cs="宋体"/>
          <w:sz w:val="24"/>
          <w:szCs w:val="24"/>
        </w:rPr>
      </w:pPr>
      <w:r>
        <w:rPr>
          <w:rFonts w:hint="eastAsia" w:ascii="宋体" w:hAnsi="宋体" w:eastAsia="宋体" w:cs="宋体"/>
          <w:sz w:val="24"/>
          <w:szCs w:val="24"/>
          <w:lang w:val="en-US" w:eastAsia="zh-CN"/>
        </w:rPr>
        <w:t>2.6</w:t>
      </w:r>
      <w:r>
        <w:rPr>
          <w:rFonts w:hint="eastAsia" w:ascii="宋体" w:hAnsi="宋体" w:eastAsia="宋体" w:cs="宋体"/>
          <w:sz w:val="24"/>
          <w:szCs w:val="24"/>
        </w:rPr>
        <w:t xml:space="preserve">透射比重复性：≤0.15% τ </w:t>
      </w:r>
    </w:p>
    <w:p>
      <w:pPr>
        <w:spacing w:line="360" w:lineRule="auto"/>
        <w:outlineLvl w:val="9"/>
        <w:rPr>
          <w:rFonts w:hint="eastAsia" w:ascii="宋体" w:hAnsi="宋体" w:eastAsia="宋体" w:cs="宋体"/>
          <w:sz w:val="24"/>
          <w:szCs w:val="24"/>
        </w:rPr>
      </w:pPr>
      <w:r>
        <w:rPr>
          <w:rFonts w:hint="eastAsia" w:ascii="宋体" w:hAnsi="宋体" w:eastAsia="宋体" w:cs="宋体"/>
          <w:sz w:val="24"/>
          <w:szCs w:val="24"/>
          <w:lang w:val="en-US" w:eastAsia="zh-CN"/>
        </w:rPr>
        <w:t>2.7</w:t>
      </w:r>
      <w:r>
        <w:rPr>
          <w:rFonts w:hint="eastAsia" w:ascii="宋体" w:hAnsi="宋体" w:eastAsia="宋体" w:cs="宋体"/>
          <w:sz w:val="24"/>
          <w:szCs w:val="24"/>
        </w:rPr>
        <w:t>测光方式：</w:t>
      </w:r>
      <w:r>
        <w:rPr>
          <w:rFonts w:hint="eastAsia" w:ascii="宋体" w:hAnsi="宋体" w:eastAsia="宋体" w:cs="宋体"/>
          <w:sz w:val="24"/>
          <w:szCs w:val="24"/>
        </w:rPr>
        <w:tab/>
      </w:r>
      <w:r>
        <w:rPr>
          <w:rFonts w:hint="eastAsia" w:ascii="宋体" w:hAnsi="宋体" w:eastAsia="宋体" w:cs="宋体"/>
          <w:sz w:val="24"/>
          <w:szCs w:val="24"/>
        </w:rPr>
        <w:t xml:space="preserve"> 透过率、吸光度、浓度、能量</w:t>
      </w:r>
    </w:p>
    <w:p>
      <w:pPr>
        <w:spacing w:line="360" w:lineRule="auto"/>
        <w:outlineLvl w:val="9"/>
        <w:rPr>
          <w:rFonts w:hint="eastAsia" w:ascii="宋体" w:hAnsi="宋体" w:eastAsia="宋体" w:cs="宋体"/>
          <w:sz w:val="24"/>
          <w:szCs w:val="24"/>
        </w:rPr>
      </w:pPr>
      <w:r>
        <w:rPr>
          <w:rFonts w:hint="eastAsia" w:ascii="宋体" w:hAnsi="宋体" w:eastAsia="宋体" w:cs="宋体"/>
          <w:sz w:val="24"/>
          <w:szCs w:val="24"/>
          <w:lang w:val="en-US" w:eastAsia="zh-CN"/>
        </w:rPr>
        <w:t>2.8</w:t>
      </w:r>
      <w:r>
        <w:rPr>
          <w:rFonts w:hint="eastAsia" w:ascii="宋体" w:hAnsi="宋体" w:eastAsia="宋体" w:cs="宋体"/>
          <w:sz w:val="24"/>
          <w:szCs w:val="24"/>
        </w:rPr>
        <w:t>光度范围：</w:t>
      </w:r>
      <w:r>
        <w:rPr>
          <w:rFonts w:hint="eastAsia" w:ascii="宋体" w:hAnsi="宋体" w:eastAsia="宋体" w:cs="宋体"/>
          <w:sz w:val="24"/>
          <w:szCs w:val="24"/>
        </w:rPr>
        <w:tab/>
      </w:r>
      <w:r>
        <w:rPr>
          <w:rFonts w:hint="eastAsia" w:ascii="宋体" w:hAnsi="宋体" w:eastAsia="宋体" w:cs="宋体"/>
          <w:sz w:val="24"/>
          <w:szCs w:val="24"/>
        </w:rPr>
        <w:t xml:space="preserve"> -0.3A～3A </w:t>
      </w:r>
    </w:p>
    <w:p>
      <w:pPr>
        <w:spacing w:line="360" w:lineRule="auto"/>
        <w:outlineLvl w:val="9"/>
        <w:rPr>
          <w:rFonts w:hint="eastAsia" w:ascii="宋体" w:hAnsi="宋体" w:eastAsia="宋体" w:cs="宋体"/>
          <w:sz w:val="24"/>
          <w:szCs w:val="24"/>
        </w:rPr>
      </w:pPr>
      <w:r>
        <w:rPr>
          <w:rFonts w:hint="eastAsia" w:ascii="宋体" w:hAnsi="宋体" w:eastAsia="宋体" w:cs="宋体"/>
          <w:sz w:val="24"/>
          <w:szCs w:val="24"/>
          <w:lang w:val="en-US" w:eastAsia="zh-CN"/>
        </w:rPr>
        <w:t>2.9</w:t>
      </w:r>
      <w:r>
        <w:rPr>
          <w:rFonts w:hint="eastAsia" w:ascii="宋体" w:hAnsi="宋体" w:eastAsia="宋体" w:cs="宋体"/>
          <w:sz w:val="24"/>
          <w:szCs w:val="24"/>
        </w:rPr>
        <w:t>杂散光：</w:t>
      </w:r>
      <w:r>
        <w:rPr>
          <w:rFonts w:hint="eastAsia" w:ascii="宋体" w:hAnsi="宋体" w:eastAsia="宋体" w:cs="宋体"/>
          <w:sz w:val="24"/>
          <w:szCs w:val="24"/>
        </w:rPr>
        <w:tab/>
      </w:r>
      <w:r>
        <w:rPr>
          <w:rFonts w:hint="eastAsia" w:ascii="宋体" w:hAnsi="宋体" w:eastAsia="宋体" w:cs="宋体"/>
          <w:sz w:val="24"/>
          <w:szCs w:val="24"/>
        </w:rPr>
        <w:t xml:space="preserve"> ≤0.05% τ(220nm NaI溶液，340nm NaNO</w:t>
      </w:r>
      <w:r>
        <w:rPr>
          <w:rFonts w:hint="eastAsia" w:ascii="宋体" w:hAnsi="宋体" w:eastAsia="宋体" w:cs="宋体"/>
          <w:sz w:val="24"/>
          <w:szCs w:val="24"/>
          <w:vertAlign w:val="subscript"/>
        </w:rPr>
        <w:t>2</w:t>
      </w:r>
      <w:r>
        <w:rPr>
          <w:rFonts w:hint="eastAsia" w:ascii="宋体" w:hAnsi="宋体" w:eastAsia="宋体" w:cs="宋体"/>
          <w:sz w:val="24"/>
          <w:szCs w:val="24"/>
        </w:rPr>
        <w:t>)</w:t>
      </w:r>
    </w:p>
    <w:p>
      <w:pPr>
        <w:spacing w:line="360" w:lineRule="auto"/>
        <w:outlineLvl w:val="9"/>
        <w:rPr>
          <w:rFonts w:hint="eastAsia" w:ascii="宋体" w:hAnsi="宋体" w:eastAsia="宋体" w:cs="宋体"/>
          <w:sz w:val="24"/>
          <w:szCs w:val="24"/>
        </w:rPr>
      </w:pPr>
      <w:r>
        <w:rPr>
          <w:rFonts w:hint="eastAsia" w:ascii="宋体" w:hAnsi="宋体" w:eastAsia="宋体" w:cs="宋体"/>
          <w:sz w:val="24"/>
          <w:szCs w:val="24"/>
          <w:lang w:val="en-US" w:eastAsia="zh-CN"/>
        </w:rPr>
        <w:t>2.10</w:t>
      </w:r>
      <w:r>
        <w:rPr>
          <w:rFonts w:hint="eastAsia" w:ascii="宋体" w:hAnsi="宋体" w:eastAsia="宋体" w:cs="宋体"/>
          <w:sz w:val="24"/>
          <w:szCs w:val="24"/>
        </w:rPr>
        <w:t>基线平直度：±0.002A</w:t>
      </w:r>
    </w:p>
    <w:p>
      <w:pPr>
        <w:spacing w:line="360" w:lineRule="auto"/>
        <w:outlineLvl w:val="9"/>
        <w:rPr>
          <w:rFonts w:hint="eastAsia" w:ascii="宋体" w:hAnsi="宋体" w:eastAsia="宋体" w:cs="宋体"/>
          <w:sz w:val="24"/>
          <w:szCs w:val="24"/>
        </w:rPr>
      </w:pPr>
      <w:r>
        <w:rPr>
          <w:rFonts w:hint="eastAsia" w:ascii="宋体" w:hAnsi="宋体" w:eastAsia="宋体" w:cs="宋体"/>
          <w:sz w:val="24"/>
          <w:szCs w:val="24"/>
          <w:lang w:val="en-US" w:eastAsia="zh-CN"/>
        </w:rPr>
        <w:t>2.11</w:t>
      </w:r>
      <w:r>
        <w:rPr>
          <w:rFonts w:hint="eastAsia" w:ascii="宋体" w:hAnsi="宋体" w:eastAsia="宋体" w:cs="宋体"/>
          <w:sz w:val="24"/>
          <w:szCs w:val="24"/>
        </w:rPr>
        <w:t>稳定性：</w:t>
      </w:r>
      <w:r>
        <w:rPr>
          <w:rFonts w:hint="eastAsia" w:ascii="宋体" w:hAnsi="宋体" w:eastAsia="宋体" w:cs="宋体"/>
          <w:sz w:val="24"/>
          <w:szCs w:val="24"/>
        </w:rPr>
        <w:tab/>
      </w:r>
      <w:r>
        <w:rPr>
          <w:rFonts w:hint="eastAsia" w:ascii="宋体" w:hAnsi="宋体" w:eastAsia="宋体" w:cs="宋体"/>
          <w:sz w:val="24"/>
          <w:szCs w:val="24"/>
        </w:rPr>
        <w:t xml:space="preserve"> ≤0.002A/h(500nm预热后)</w:t>
      </w:r>
    </w:p>
    <w:p>
      <w:pPr>
        <w:spacing w:line="360" w:lineRule="auto"/>
        <w:outlineLvl w:val="9"/>
        <w:rPr>
          <w:rFonts w:hint="eastAsia" w:ascii="宋体" w:hAnsi="宋体" w:eastAsia="宋体" w:cs="宋体"/>
          <w:sz w:val="24"/>
          <w:szCs w:val="24"/>
        </w:rPr>
      </w:pPr>
      <w:r>
        <w:rPr>
          <w:rFonts w:hint="eastAsia" w:ascii="宋体" w:hAnsi="宋体" w:eastAsia="宋体" w:cs="宋体"/>
          <w:sz w:val="24"/>
          <w:szCs w:val="24"/>
          <w:lang w:val="en-US" w:eastAsia="zh-CN"/>
        </w:rPr>
        <w:t>2.12</w:t>
      </w:r>
      <w:r>
        <w:rPr>
          <w:rFonts w:hint="eastAsia" w:ascii="宋体" w:hAnsi="宋体" w:eastAsia="宋体" w:cs="宋体"/>
          <w:sz w:val="24"/>
          <w:szCs w:val="24"/>
        </w:rPr>
        <w:t>噪声：</w:t>
      </w:r>
      <w:r>
        <w:rPr>
          <w:rFonts w:hint="eastAsia" w:ascii="宋体" w:hAnsi="宋体" w:eastAsia="宋体" w:cs="宋体"/>
          <w:sz w:val="24"/>
          <w:szCs w:val="24"/>
        </w:rPr>
        <w:tab/>
      </w:r>
      <w:r>
        <w:rPr>
          <w:rFonts w:hint="eastAsia" w:ascii="宋体" w:hAnsi="宋体" w:eastAsia="宋体" w:cs="宋体"/>
          <w:sz w:val="24"/>
          <w:szCs w:val="24"/>
        </w:rPr>
        <w:t xml:space="preserve"> ±0.001A (500nm预热后)</w:t>
      </w:r>
    </w:p>
    <w:p>
      <w:pPr>
        <w:spacing w:line="360" w:lineRule="auto"/>
        <w:outlineLvl w:val="9"/>
        <w:rPr>
          <w:rFonts w:hint="eastAsia" w:ascii="宋体" w:hAnsi="宋体" w:eastAsia="宋体" w:cs="宋体"/>
          <w:sz w:val="24"/>
          <w:szCs w:val="24"/>
        </w:rPr>
      </w:pPr>
      <w:r>
        <w:rPr>
          <w:rFonts w:hint="eastAsia" w:ascii="宋体" w:hAnsi="宋体" w:eastAsia="宋体" w:cs="宋体"/>
          <w:sz w:val="24"/>
          <w:szCs w:val="24"/>
          <w:lang w:val="en-US" w:eastAsia="zh-CN"/>
        </w:rPr>
        <w:t>2.13</w:t>
      </w:r>
      <w:r>
        <w:rPr>
          <w:rFonts w:hint="eastAsia" w:ascii="宋体" w:hAnsi="宋体" w:eastAsia="宋体" w:cs="宋体"/>
          <w:sz w:val="24"/>
          <w:szCs w:val="24"/>
        </w:rPr>
        <w:t>显示方式：</w:t>
      </w:r>
      <w:r>
        <w:rPr>
          <w:rFonts w:hint="eastAsia" w:ascii="Arial" w:hAnsi="Arial" w:cs="Arial"/>
          <w:sz w:val="24"/>
          <w:szCs w:val="24"/>
          <w:lang w:val="en-US" w:eastAsia="zh-CN"/>
        </w:rPr>
        <w:t>≥</w:t>
      </w:r>
      <w:r>
        <w:rPr>
          <w:rFonts w:hint="eastAsia" w:ascii="宋体" w:hAnsi="宋体" w:eastAsia="宋体" w:cs="宋体"/>
          <w:sz w:val="24"/>
          <w:szCs w:val="24"/>
          <w:lang w:val="en-US" w:eastAsia="zh-CN"/>
        </w:rPr>
        <w:t>五</w:t>
      </w:r>
      <w:r>
        <w:rPr>
          <w:rFonts w:hint="eastAsia" w:ascii="宋体" w:hAnsi="宋体" w:eastAsia="宋体" w:cs="宋体"/>
          <w:sz w:val="24"/>
          <w:szCs w:val="24"/>
        </w:rPr>
        <w:t>英寸高亮度蓝色液晶显示屏</w:t>
      </w:r>
    </w:p>
    <w:p>
      <w:pPr>
        <w:spacing w:line="360" w:lineRule="auto"/>
        <w:outlineLvl w:val="9"/>
        <w:rPr>
          <w:rFonts w:hint="eastAsia" w:ascii="宋体" w:hAnsi="宋体" w:eastAsia="宋体" w:cs="宋体"/>
          <w:sz w:val="24"/>
          <w:szCs w:val="24"/>
        </w:rPr>
      </w:pPr>
      <w:r>
        <w:rPr>
          <w:rFonts w:hint="eastAsia" w:ascii="宋体" w:hAnsi="宋体" w:eastAsia="宋体" w:cs="宋体"/>
          <w:sz w:val="24"/>
          <w:szCs w:val="24"/>
          <w:lang w:val="en-US" w:eastAsia="zh-CN"/>
        </w:rPr>
        <w:t>2.14</w:t>
      </w:r>
      <w:r>
        <w:rPr>
          <w:rFonts w:hint="eastAsia" w:ascii="宋体" w:hAnsi="宋体" w:eastAsia="宋体" w:cs="宋体"/>
          <w:sz w:val="24"/>
          <w:szCs w:val="24"/>
        </w:rPr>
        <w:t>检测器：</w:t>
      </w:r>
      <w:r>
        <w:rPr>
          <w:rFonts w:hint="eastAsia" w:ascii="宋体" w:hAnsi="宋体" w:eastAsia="宋体" w:cs="宋体"/>
          <w:sz w:val="24"/>
          <w:szCs w:val="24"/>
        </w:rPr>
        <w:tab/>
      </w:r>
      <w:r>
        <w:rPr>
          <w:rFonts w:hint="eastAsia" w:ascii="宋体" w:hAnsi="宋体" w:eastAsia="宋体" w:cs="宋体"/>
          <w:sz w:val="24"/>
          <w:szCs w:val="24"/>
        </w:rPr>
        <w:t xml:space="preserve"> 进口硅光二极管</w:t>
      </w:r>
    </w:p>
    <w:p>
      <w:pPr>
        <w:spacing w:line="360" w:lineRule="auto"/>
        <w:outlineLvl w:val="9"/>
        <w:rPr>
          <w:rFonts w:hint="eastAsia" w:ascii="宋体" w:hAnsi="宋体" w:eastAsia="宋体" w:cs="宋体"/>
          <w:sz w:val="24"/>
          <w:szCs w:val="24"/>
        </w:rPr>
      </w:pPr>
      <w:r>
        <w:rPr>
          <w:rFonts w:hint="eastAsia" w:ascii="宋体" w:hAnsi="宋体" w:eastAsia="宋体" w:cs="宋体"/>
          <w:sz w:val="24"/>
          <w:szCs w:val="24"/>
          <w:lang w:val="en-US" w:eastAsia="zh-CN"/>
        </w:rPr>
        <w:t>2.15</w:t>
      </w:r>
      <w:r>
        <w:rPr>
          <w:rFonts w:hint="eastAsia" w:ascii="宋体" w:hAnsi="宋体" w:eastAsia="宋体" w:cs="宋体"/>
          <w:sz w:val="24"/>
          <w:szCs w:val="24"/>
        </w:rPr>
        <w:t>光源：</w:t>
      </w:r>
      <w:r>
        <w:rPr>
          <w:rFonts w:hint="eastAsia" w:ascii="宋体" w:hAnsi="宋体" w:eastAsia="宋体" w:cs="宋体"/>
          <w:sz w:val="24"/>
          <w:szCs w:val="24"/>
        </w:rPr>
        <w:tab/>
      </w:r>
      <w:r>
        <w:rPr>
          <w:rFonts w:hint="eastAsia" w:ascii="宋体" w:hAnsi="宋体" w:eastAsia="宋体" w:cs="宋体"/>
          <w:sz w:val="24"/>
          <w:szCs w:val="24"/>
        </w:rPr>
        <w:t xml:space="preserve"> 进口插座式氘灯，进口钨灯</w:t>
      </w:r>
    </w:p>
    <w:p>
      <w:pPr>
        <w:spacing w:line="360" w:lineRule="auto"/>
        <w:outlineLvl w:val="9"/>
        <w:rPr>
          <w:rFonts w:hint="eastAsia" w:ascii="宋体" w:hAnsi="宋体" w:eastAsia="宋体" w:cs="宋体"/>
          <w:sz w:val="24"/>
          <w:szCs w:val="24"/>
        </w:rPr>
      </w:pPr>
      <w:r>
        <w:rPr>
          <w:rFonts w:hint="eastAsia" w:ascii="宋体" w:hAnsi="宋体" w:eastAsia="宋体" w:cs="宋体"/>
          <w:sz w:val="24"/>
          <w:szCs w:val="24"/>
          <w:lang w:val="en-US" w:eastAsia="zh-CN"/>
        </w:rPr>
        <w:t>2.17</w:t>
      </w:r>
      <w:r>
        <w:rPr>
          <w:rFonts w:hint="eastAsia" w:ascii="宋体" w:hAnsi="宋体" w:eastAsia="宋体" w:cs="宋体"/>
          <w:sz w:val="24"/>
          <w:szCs w:val="24"/>
        </w:rPr>
        <w:t>功率：</w:t>
      </w:r>
      <w:r>
        <w:rPr>
          <w:rFonts w:hint="eastAsia" w:ascii="宋体" w:hAnsi="宋体" w:eastAsia="宋体" w:cs="宋体"/>
          <w:sz w:val="24"/>
          <w:szCs w:val="24"/>
        </w:rPr>
        <w:tab/>
      </w:r>
      <w:r>
        <w:rPr>
          <w:rFonts w:hint="eastAsia" w:ascii="宋体" w:hAnsi="宋体" w:eastAsia="宋体" w:cs="宋体"/>
          <w:sz w:val="24"/>
          <w:szCs w:val="24"/>
        </w:rPr>
        <w:t xml:space="preserve"> </w:t>
      </w:r>
      <w:r>
        <w:rPr>
          <w:rFonts w:hint="default" w:ascii="Arial" w:hAnsi="Arial" w:eastAsia="宋体" w:cs="Arial"/>
          <w:sz w:val="24"/>
          <w:szCs w:val="24"/>
        </w:rPr>
        <w:t>≥</w:t>
      </w: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0W</w:t>
      </w:r>
    </w:p>
    <w:p>
      <w:pPr>
        <w:pStyle w:val="34"/>
        <w:spacing w:line="360" w:lineRule="auto"/>
        <w:ind w:left="0" w:leftChars="0" w:firstLine="0" w:firstLine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3、配置清单：</w:t>
      </w:r>
    </w:p>
    <w:p>
      <w:pPr>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3.1 </w:t>
      </w:r>
      <w:r>
        <w:rPr>
          <w:rFonts w:hint="eastAsia" w:ascii="宋体" w:hAnsi="宋体" w:eastAsia="宋体" w:cs="宋体"/>
          <w:spacing w:val="10"/>
          <w:sz w:val="24"/>
          <w:szCs w:val="24"/>
        </w:rPr>
        <w:t>主机</w:t>
      </w:r>
      <w:r>
        <w:rPr>
          <w:rFonts w:hint="eastAsia" w:ascii="宋体" w:hAnsi="宋体" w:eastAsia="宋体" w:cs="宋体"/>
          <w:spacing w:val="10"/>
          <w:sz w:val="24"/>
          <w:szCs w:val="24"/>
          <w:lang w:val="en-US" w:eastAsia="zh-CN"/>
        </w:rPr>
        <w:t xml:space="preserve">  </w:t>
      </w:r>
      <w:r>
        <w:rPr>
          <w:rFonts w:hint="eastAsia" w:ascii="宋体" w:hAnsi="宋体" w:eastAsia="宋体" w:cs="宋体"/>
          <w:spacing w:val="5"/>
          <w:sz w:val="24"/>
          <w:szCs w:val="24"/>
        </w:rPr>
        <w:t>1</w:t>
      </w:r>
      <w:r>
        <w:rPr>
          <w:rFonts w:hint="eastAsia" w:ascii="宋体" w:hAnsi="宋体" w:eastAsia="宋体" w:cs="宋体"/>
          <w:spacing w:val="4"/>
          <w:sz w:val="24"/>
          <w:szCs w:val="24"/>
        </w:rPr>
        <w:t xml:space="preserve"> 台</w:t>
      </w:r>
    </w:p>
    <w:p>
      <w:pPr>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3.2 </w:t>
      </w:r>
      <w:r>
        <w:rPr>
          <w:rFonts w:hint="eastAsia" w:ascii="宋体" w:hAnsi="宋体" w:eastAsia="宋体" w:cs="宋体"/>
          <w:spacing w:val="-1"/>
          <w:sz w:val="24"/>
          <w:szCs w:val="24"/>
        </w:rPr>
        <w:t>计算机反控软件</w:t>
      </w:r>
      <w:r>
        <w:rPr>
          <w:rFonts w:hint="eastAsia" w:ascii="宋体" w:hAnsi="宋体" w:eastAsia="宋体" w:cs="宋体"/>
          <w:spacing w:val="-1"/>
          <w:sz w:val="24"/>
          <w:szCs w:val="24"/>
          <w:lang w:val="en-US" w:eastAsia="zh-CN"/>
        </w:rPr>
        <w:t xml:space="preserve">   </w:t>
      </w:r>
      <w:r>
        <w:rPr>
          <w:rFonts w:hint="eastAsia" w:ascii="宋体" w:hAnsi="宋体" w:eastAsia="宋体" w:cs="宋体"/>
          <w:spacing w:val="-1"/>
          <w:sz w:val="24"/>
          <w:szCs w:val="24"/>
        </w:rPr>
        <w:t xml:space="preserve">1 </w:t>
      </w:r>
      <w:r>
        <w:rPr>
          <w:rFonts w:hint="eastAsia" w:ascii="宋体" w:hAnsi="宋体" w:eastAsia="宋体" w:cs="宋体"/>
          <w:sz w:val="24"/>
          <w:szCs w:val="24"/>
        </w:rPr>
        <w:t>套</w:t>
      </w:r>
    </w:p>
    <w:p>
      <w:pPr>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 玻璃比色皿  1盒（0.5cm 4只、1cm 4 只、2cm 4 只、3cm 4 只）</w:t>
      </w:r>
    </w:p>
    <w:p>
      <w:pPr>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3.4 石英比色皿  1cm 2 只</w:t>
      </w:r>
    </w:p>
    <w:p>
      <w:pPr>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3.5 激光打印机  1 台</w:t>
      </w:r>
    </w:p>
    <w:p>
      <w:pPr>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3.6计算机  1 台</w:t>
      </w:r>
    </w:p>
    <w:p>
      <w:pPr>
        <w:pStyle w:val="34"/>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pStyle w:val="34"/>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color w:val="000000"/>
          <w:sz w:val="24"/>
          <w:szCs w:val="24"/>
        </w:rPr>
      </w:pPr>
      <w:r>
        <w:rPr>
          <w:rFonts w:hint="eastAsia" w:ascii="宋体" w:hAnsi="宋体" w:eastAsia="宋体" w:cs="宋体"/>
          <w:b/>
          <w:bCs/>
          <w:sz w:val="24"/>
          <w:szCs w:val="24"/>
          <w:lang w:val="en-US" w:eastAsia="zh-CN"/>
        </w:rPr>
        <w:t>六、</w:t>
      </w:r>
      <w:r>
        <w:rPr>
          <w:rFonts w:hint="eastAsia" w:ascii="宋体" w:hAnsi="宋体" w:eastAsia="宋体" w:cs="宋体"/>
          <w:b/>
          <w:bCs/>
          <w:sz w:val="24"/>
          <w:szCs w:val="24"/>
          <w:highlight w:val="none"/>
        </w:rPr>
        <w:t>单道移液器</w:t>
      </w:r>
      <w:r>
        <w:rPr>
          <w:rFonts w:hint="eastAsia" w:ascii="宋体" w:hAnsi="宋体" w:cs="宋体"/>
          <w:b/>
          <w:bCs/>
          <w:sz w:val="24"/>
          <w:szCs w:val="24"/>
          <w:highlight w:val="none"/>
          <w:lang w:eastAsia="zh-CN"/>
        </w:rPr>
        <w:t>（</w:t>
      </w:r>
      <w:r>
        <w:rPr>
          <w:rFonts w:hint="eastAsia" w:ascii="宋体" w:hAnsi="宋体" w:cs="宋体"/>
          <w:b/>
          <w:bCs/>
          <w:sz w:val="24"/>
          <w:szCs w:val="24"/>
          <w:highlight w:val="none"/>
          <w:lang w:val="en-US" w:eastAsia="zh-CN"/>
        </w:rPr>
        <w:t>理化实验用）</w:t>
      </w:r>
      <w:r>
        <w:rPr>
          <w:rFonts w:hint="eastAsia" w:ascii="宋体" w:hAnsi="宋体" w:eastAsia="宋体" w:cs="宋体"/>
          <w:b/>
          <w:bCs/>
          <w:sz w:val="24"/>
          <w:szCs w:val="24"/>
          <w:highlight w:val="none"/>
        </w:rPr>
        <w:t>参数</w:t>
      </w:r>
    </w:p>
    <w:p>
      <w:pPr>
        <w:pStyle w:val="88"/>
        <w:numPr>
          <w:ilvl w:val="0"/>
          <w:numId w:val="9"/>
        </w:numPr>
        <w:spacing w:line="360" w:lineRule="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可高温高压灭菌和紫外线灭菌</w:t>
      </w:r>
    </w:p>
    <w:p>
      <w:pPr>
        <w:pStyle w:val="88"/>
        <w:spacing w:line="360" w:lineRule="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带微量刻度尺，</w:t>
      </w:r>
    </w:p>
    <w:p>
      <w:pPr>
        <w:pStyle w:val="88"/>
        <w:spacing w:line="360" w:lineRule="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配校准保养工具，易</w:t>
      </w:r>
      <w:r>
        <w:rPr>
          <w:rFonts w:hint="eastAsia" w:ascii="宋体" w:hAnsi="宋体" w:cs="宋体"/>
          <w:color w:val="auto"/>
          <w:sz w:val="24"/>
          <w:szCs w:val="24"/>
          <w:lang w:val="en-US" w:eastAsia="zh-CN"/>
        </w:rPr>
        <w:t>便于</w:t>
      </w:r>
      <w:r>
        <w:rPr>
          <w:rFonts w:hint="eastAsia" w:ascii="宋体" w:hAnsi="宋体" w:eastAsia="宋体" w:cs="宋体"/>
          <w:color w:val="auto"/>
          <w:sz w:val="24"/>
          <w:szCs w:val="24"/>
        </w:rPr>
        <w:t>维修保养</w:t>
      </w:r>
    </w:p>
    <w:p>
      <w:pPr>
        <w:pStyle w:val="88"/>
        <w:spacing w:line="360" w:lineRule="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颜色标识移液器量程</w:t>
      </w:r>
    </w:p>
    <w:p>
      <w:pPr>
        <w:pStyle w:val="88"/>
        <w:spacing w:line="360" w:lineRule="auto"/>
        <w:outlineLvl w:val="9"/>
        <w:rPr>
          <w:rFonts w:hint="eastAsia" w:ascii="宋体" w:hAnsi="宋体" w:eastAsia="宋体" w:cs="宋体"/>
          <w:color w:val="auto"/>
          <w:sz w:val="24"/>
          <w:szCs w:val="24"/>
        </w:rPr>
      </w:pPr>
    </w:p>
    <w:tbl>
      <w:tblPr>
        <w:tblStyle w:val="36"/>
        <w:tblW w:w="7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1394"/>
        <w:gridCol w:w="2354"/>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737" w:type="dxa"/>
            <w:noWrap w:val="0"/>
            <w:vAlign w:val="center"/>
          </w:tcPr>
          <w:p>
            <w:pPr>
              <w:pStyle w:val="88"/>
              <w:spacing w:after="0" w:line="240" w:lineRule="auto"/>
              <w:ind w:left="0" w:leftChars="0" w:firstLine="420" w:firstLineChars="200"/>
              <w:jc w:val="both"/>
              <w:rPr>
                <w:rFonts w:hint="eastAsia" w:ascii="宋体" w:hAnsi="宋体" w:eastAsia="宋体" w:cs="宋体"/>
                <w:sz w:val="21"/>
                <w:szCs w:val="21"/>
              </w:rPr>
            </w:pPr>
            <w:r>
              <w:rPr>
                <w:rFonts w:hint="eastAsia" w:ascii="宋体" w:hAnsi="宋体" w:eastAsia="宋体" w:cs="宋体"/>
                <w:sz w:val="21"/>
                <w:szCs w:val="21"/>
              </w:rPr>
              <w:t>量程 ul</w:t>
            </w:r>
          </w:p>
        </w:tc>
        <w:tc>
          <w:tcPr>
            <w:tcW w:w="1394" w:type="dxa"/>
            <w:noWrap w:val="0"/>
            <w:vAlign w:val="center"/>
          </w:tcPr>
          <w:p>
            <w:pPr>
              <w:pStyle w:val="88"/>
              <w:spacing w:after="0" w:line="24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液量</w:t>
            </w:r>
            <w:r>
              <w:rPr>
                <w:rFonts w:hint="eastAsia" w:ascii="宋体" w:hAnsi="宋体" w:eastAsia="宋体" w:cs="宋体"/>
                <w:sz w:val="21"/>
                <w:szCs w:val="21"/>
              </w:rPr>
              <w:t>体积μl</w:t>
            </w:r>
          </w:p>
        </w:tc>
        <w:tc>
          <w:tcPr>
            <w:tcW w:w="2354" w:type="dxa"/>
            <w:noWrap/>
            <w:vAlign w:val="top"/>
          </w:tcPr>
          <w:p>
            <w:pPr>
              <w:pStyle w:val="88"/>
              <w:spacing w:after="0" w:line="240" w:lineRule="auto"/>
              <w:ind w:firstLine="630" w:firstLineChars="3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错误率</w:t>
            </w:r>
          </w:p>
          <w:p>
            <w:pPr>
              <w:pStyle w:val="88"/>
              <w:spacing w:after="0"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ul</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p>
        </w:tc>
        <w:tc>
          <w:tcPr>
            <w:tcW w:w="2169" w:type="dxa"/>
            <w:noWrap/>
            <w:vAlign w:val="top"/>
          </w:tcPr>
          <w:p>
            <w:pPr>
              <w:pStyle w:val="88"/>
              <w:spacing w:after="0" w:line="240" w:lineRule="auto"/>
              <w:ind w:firstLine="630" w:firstLineChars="30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不精确率</w:t>
            </w:r>
          </w:p>
          <w:p>
            <w:pPr>
              <w:pStyle w:val="88"/>
              <w:spacing w:after="0"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 xml:space="preserve">S.d. </w:t>
            </w:r>
            <w:r>
              <w:rPr>
                <w:rFonts w:hint="eastAsia" w:ascii="宋体" w:hAnsi="宋体" w:eastAsia="宋体" w:cs="宋体"/>
                <w:sz w:val="21"/>
                <w:szCs w:val="21"/>
              </w:rPr>
              <w:t>ul</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CV%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737" w:type="dxa"/>
            <w:vMerge w:val="restart"/>
            <w:noWrap/>
            <w:vAlign w:val="center"/>
          </w:tcPr>
          <w:p>
            <w:pPr>
              <w:pStyle w:val="88"/>
              <w:spacing w:after="0" w:line="240" w:lineRule="auto"/>
              <w:ind w:left="0" w:leftChars="0" w:firstLine="210" w:firstLineChars="100"/>
              <w:jc w:val="center"/>
              <w:rPr>
                <w:rFonts w:hint="eastAsia" w:ascii="宋体" w:hAnsi="宋体" w:eastAsia="宋体" w:cs="宋体"/>
                <w:sz w:val="21"/>
                <w:szCs w:val="21"/>
              </w:rPr>
            </w:pPr>
            <w:r>
              <w:rPr>
                <w:rFonts w:hint="eastAsia" w:ascii="宋体" w:hAnsi="宋体" w:eastAsia="宋体" w:cs="宋体"/>
                <w:sz w:val="21"/>
                <w:szCs w:val="21"/>
              </w:rPr>
              <w:t>500 - 5000</w:t>
            </w:r>
          </w:p>
        </w:tc>
        <w:tc>
          <w:tcPr>
            <w:tcW w:w="1394" w:type="dxa"/>
            <w:noWrap/>
            <w:vAlign w:val="top"/>
          </w:tcPr>
          <w:p>
            <w:pPr>
              <w:pStyle w:val="88"/>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5000</w:t>
            </w:r>
          </w:p>
        </w:tc>
        <w:tc>
          <w:tcPr>
            <w:tcW w:w="2354" w:type="dxa"/>
            <w:noWrap/>
            <w:vAlign w:val="top"/>
          </w:tcPr>
          <w:p>
            <w:pPr>
              <w:pStyle w:val="88"/>
              <w:spacing w:after="0"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±25</w:t>
            </w:r>
            <w:r>
              <w:rPr>
                <w:rFonts w:hint="eastAsia" w:ascii="宋体" w:hAnsi="宋体" w:eastAsia="宋体" w:cs="宋体"/>
                <w:sz w:val="21"/>
                <w:szCs w:val="21"/>
                <w:lang w:val="en-US" w:eastAsia="zh-CN"/>
              </w:rPr>
              <w:t>.</w:t>
            </w:r>
            <w:r>
              <w:rPr>
                <w:rFonts w:hint="eastAsia" w:ascii="宋体" w:hAnsi="宋体" w:eastAsia="宋体" w:cs="宋体"/>
                <w:sz w:val="21"/>
                <w:szCs w:val="21"/>
              </w:rPr>
              <w:t>0</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±0</w:t>
            </w:r>
            <w:r>
              <w:rPr>
                <w:rFonts w:hint="eastAsia" w:ascii="宋体" w:hAnsi="宋体" w:eastAsia="宋体" w:cs="宋体"/>
                <w:sz w:val="21"/>
                <w:szCs w:val="21"/>
                <w:lang w:val="en-US" w:eastAsia="zh-CN"/>
              </w:rPr>
              <w:t>.</w:t>
            </w:r>
            <w:r>
              <w:rPr>
                <w:rFonts w:hint="eastAsia" w:ascii="宋体" w:hAnsi="宋体" w:eastAsia="宋体" w:cs="宋体"/>
                <w:sz w:val="21"/>
                <w:szCs w:val="21"/>
              </w:rPr>
              <w:t>50</w:t>
            </w:r>
          </w:p>
        </w:tc>
        <w:tc>
          <w:tcPr>
            <w:tcW w:w="2169" w:type="dxa"/>
            <w:noWrap/>
            <w:vAlign w:val="top"/>
          </w:tcPr>
          <w:p>
            <w:pPr>
              <w:pStyle w:val="88"/>
              <w:spacing w:after="0"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sz w:val="21"/>
                <w:szCs w:val="21"/>
                <w:lang w:val="en-US" w:eastAsia="zh-CN"/>
              </w:rPr>
              <w:t>.</w:t>
            </w:r>
            <w:r>
              <w:rPr>
                <w:rFonts w:hint="eastAsia" w:ascii="宋体" w:hAnsi="宋体" w:eastAsia="宋体" w:cs="宋体"/>
                <w:sz w:val="21"/>
                <w:szCs w:val="21"/>
              </w:rPr>
              <w:t>0</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0</w:t>
            </w:r>
            <w:r>
              <w:rPr>
                <w:rFonts w:hint="eastAsia" w:ascii="宋体" w:hAnsi="宋体" w:eastAsia="宋体" w:cs="宋体"/>
                <w:sz w:val="21"/>
                <w:szCs w:val="21"/>
                <w:lang w:val="en-US" w:eastAsia="zh-CN"/>
              </w:rPr>
              <w:t>.</w:t>
            </w:r>
            <w:r>
              <w:rPr>
                <w:rFonts w:hint="eastAsia" w:ascii="宋体" w:hAnsi="宋体" w:eastAsia="宋体" w:cs="宋体"/>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737" w:type="dxa"/>
            <w:vMerge w:val="continue"/>
            <w:noWrap/>
            <w:vAlign w:val="center"/>
          </w:tcPr>
          <w:p>
            <w:pPr>
              <w:pStyle w:val="88"/>
              <w:spacing w:after="0" w:line="240" w:lineRule="auto"/>
              <w:ind w:left="360" w:firstLine="440"/>
              <w:jc w:val="center"/>
              <w:rPr>
                <w:rFonts w:hint="eastAsia" w:ascii="宋体" w:hAnsi="宋体" w:eastAsia="宋体" w:cs="宋体"/>
                <w:sz w:val="21"/>
                <w:szCs w:val="21"/>
              </w:rPr>
            </w:pPr>
          </w:p>
        </w:tc>
        <w:tc>
          <w:tcPr>
            <w:tcW w:w="1394" w:type="dxa"/>
            <w:noWrap/>
            <w:vAlign w:val="top"/>
          </w:tcPr>
          <w:p>
            <w:pPr>
              <w:pStyle w:val="88"/>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500</w:t>
            </w:r>
          </w:p>
        </w:tc>
        <w:tc>
          <w:tcPr>
            <w:tcW w:w="2354" w:type="dxa"/>
            <w:noWrap/>
            <w:vAlign w:val="top"/>
          </w:tcPr>
          <w:p>
            <w:pPr>
              <w:pStyle w:val="88"/>
              <w:spacing w:after="0"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10.</w:t>
            </w:r>
            <w:r>
              <w:rPr>
                <w:rFonts w:hint="eastAsia" w:ascii="宋体" w:hAnsi="宋体" w:eastAsia="宋体" w:cs="宋体"/>
                <w:sz w:val="21"/>
                <w:szCs w:val="21"/>
              </w:rPr>
              <w:t>0</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宋体" w:hAnsi="宋体" w:eastAsia="宋体" w:cs="宋体"/>
                <w:sz w:val="21"/>
                <w:szCs w:val="21"/>
                <w:lang w:val="en-US" w:eastAsia="zh-CN"/>
              </w:rPr>
              <w:t>2.00</w:t>
            </w:r>
          </w:p>
        </w:tc>
        <w:tc>
          <w:tcPr>
            <w:tcW w:w="2169" w:type="dxa"/>
            <w:noWrap/>
            <w:vAlign w:val="top"/>
          </w:tcPr>
          <w:p>
            <w:pPr>
              <w:pStyle w:val="88"/>
              <w:spacing w:after="0"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w:t>
            </w:r>
            <w:r>
              <w:rPr>
                <w:rFonts w:hint="eastAsia" w:ascii="宋体" w:hAnsi="宋体" w:eastAsia="宋体" w:cs="宋体"/>
                <w:sz w:val="21"/>
                <w:szCs w:val="21"/>
              </w:rPr>
              <w:t>0</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0</w:t>
            </w:r>
            <w:r>
              <w:rPr>
                <w:rFonts w:hint="eastAsia" w:ascii="宋体" w:hAnsi="宋体" w:eastAsia="宋体" w:cs="宋体"/>
                <w:sz w:val="21"/>
                <w:szCs w:val="21"/>
                <w:lang w:val="en-US" w:eastAsia="zh-CN"/>
              </w:rPr>
              <w:t>.</w:t>
            </w:r>
            <w:r>
              <w:rPr>
                <w:rFonts w:hint="eastAsia" w:ascii="宋体" w:hAnsi="宋体" w:eastAsia="宋体" w:cs="宋体"/>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737" w:type="dxa"/>
            <w:vMerge w:val="restart"/>
            <w:noWrap/>
            <w:vAlign w:val="center"/>
          </w:tcPr>
          <w:p>
            <w:pPr>
              <w:pStyle w:val="88"/>
              <w:spacing w:after="0" w:line="240" w:lineRule="auto"/>
              <w:ind w:left="0" w:leftChars="0" w:firstLine="210" w:firstLineChars="100"/>
              <w:jc w:val="center"/>
              <w:rPr>
                <w:rFonts w:hint="eastAsia" w:ascii="宋体" w:hAnsi="宋体" w:eastAsia="宋体" w:cs="宋体"/>
                <w:sz w:val="21"/>
                <w:szCs w:val="21"/>
              </w:rPr>
            </w:pPr>
            <w:r>
              <w:rPr>
                <w:rFonts w:hint="eastAsia" w:ascii="宋体" w:hAnsi="宋体" w:eastAsia="宋体" w:cs="宋体"/>
                <w:sz w:val="21"/>
                <w:szCs w:val="21"/>
              </w:rPr>
              <w:t>1000 - 10000</w:t>
            </w:r>
          </w:p>
        </w:tc>
        <w:tc>
          <w:tcPr>
            <w:tcW w:w="1394" w:type="dxa"/>
            <w:noWrap/>
            <w:vAlign w:val="top"/>
          </w:tcPr>
          <w:p>
            <w:pPr>
              <w:pStyle w:val="88"/>
              <w:spacing w:after="0"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10000</w:t>
            </w:r>
          </w:p>
        </w:tc>
        <w:tc>
          <w:tcPr>
            <w:tcW w:w="2354" w:type="dxa"/>
            <w:noWrap/>
            <w:vAlign w:val="top"/>
          </w:tcPr>
          <w:p>
            <w:pPr>
              <w:pStyle w:val="88"/>
              <w:spacing w:after="0" w:line="240" w:lineRule="auto"/>
              <w:ind w:left="0" w:leftChars="0" w:firstLine="0" w:firstLineChars="0"/>
              <w:jc w:val="both"/>
              <w:rPr>
                <w:rFonts w:hint="eastAsia" w:ascii="宋体" w:hAnsi="宋体" w:eastAsia="宋体" w:cs="宋体"/>
                <w:sz w:val="21"/>
                <w:szCs w:val="21"/>
                <w:lang w:val="en-US" w:eastAsia="zh-CN"/>
              </w:rPr>
            </w:pPr>
            <w:r>
              <w:rPr>
                <w:rFonts w:hint="eastAsia" w:ascii="宋体" w:hAnsi="宋体" w:eastAsia="宋体" w:cs="宋体"/>
                <w:sz w:val="21"/>
                <w:szCs w:val="21"/>
              </w:rPr>
              <w:t>±50</w:t>
            </w:r>
            <w:r>
              <w:rPr>
                <w:rFonts w:hint="eastAsia" w:ascii="宋体" w:hAnsi="宋体" w:eastAsia="宋体" w:cs="宋体"/>
                <w:sz w:val="21"/>
                <w:szCs w:val="21"/>
                <w:lang w:val="en-US" w:eastAsia="zh-CN"/>
              </w:rPr>
              <w:t>.</w:t>
            </w:r>
            <w:r>
              <w:rPr>
                <w:rFonts w:hint="eastAsia" w:ascii="宋体" w:hAnsi="宋体" w:eastAsia="宋体" w:cs="宋体"/>
                <w:sz w:val="21"/>
                <w:szCs w:val="21"/>
              </w:rPr>
              <w:t>0</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宋体" w:hAnsi="宋体" w:eastAsia="宋体" w:cs="宋体"/>
                <w:sz w:val="21"/>
                <w:szCs w:val="21"/>
                <w:lang w:val="en-US" w:eastAsia="zh-CN"/>
              </w:rPr>
              <w:t>0.50</w:t>
            </w:r>
          </w:p>
        </w:tc>
        <w:tc>
          <w:tcPr>
            <w:tcW w:w="2169" w:type="dxa"/>
            <w:noWrap/>
            <w:vAlign w:val="top"/>
          </w:tcPr>
          <w:p>
            <w:pPr>
              <w:pStyle w:val="88"/>
              <w:spacing w:after="0" w:line="240" w:lineRule="auto"/>
              <w:ind w:left="0" w:leftChars="0" w:firstLine="0" w:firstLineChars="0"/>
              <w:jc w:val="both"/>
              <w:rPr>
                <w:rFonts w:hint="eastAsia" w:ascii="宋体" w:hAnsi="宋体" w:eastAsia="宋体" w:cs="宋体"/>
                <w:sz w:val="21"/>
                <w:szCs w:val="21"/>
                <w:lang w:val="en-US" w:eastAsia="zh-CN"/>
              </w:rPr>
            </w:pPr>
            <w:r>
              <w:rPr>
                <w:rFonts w:hint="eastAsia" w:ascii="宋体" w:hAnsi="宋体" w:eastAsia="宋体" w:cs="宋体"/>
                <w:sz w:val="21"/>
                <w:szCs w:val="21"/>
              </w:rPr>
              <w:t>20</w:t>
            </w:r>
            <w:r>
              <w:rPr>
                <w:rFonts w:hint="eastAsia" w:ascii="宋体" w:hAnsi="宋体" w:eastAsia="宋体" w:cs="宋体"/>
                <w:sz w:val="21"/>
                <w:szCs w:val="21"/>
                <w:lang w:val="en-US" w:eastAsia="zh-CN"/>
              </w:rPr>
              <w:t>.</w:t>
            </w:r>
            <w:r>
              <w:rPr>
                <w:rFonts w:hint="eastAsia" w:ascii="宋体" w:hAnsi="宋体" w:eastAsia="宋体" w:cs="宋体"/>
                <w:sz w:val="21"/>
                <w:szCs w:val="21"/>
              </w:rPr>
              <w:t>0</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0</w:t>
            </w:r>
            <w:r>
              <w:rPr>
                <w:rFonts w:hint="eastAsia" w:ascii="宋体" w:hAnsi="宋体" w:eastAsia="宋体" w:cs="宋体"/>
                <w:sz w:val="21"/>
                <w:szCs w:val="21"/>
                <w:lang w:val="en-US" w:eastAsia="zh-CN"/>
              </w:rPr>
              <w:t>.</w:t>
            </w:r>
            <w:r>
              <w:rPr>
                <w:rFonts w:hint="eastAsia" w:ascii="宋体" w:hAnsi="宋体" w:eastAsia="宋体" w:cs="宋体"/>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737" w:type="dxa"/>
            <w:vMerge w:val="continue"/>
            <w:noWrap/>
            <w:vAlign w:val="top"/>
          </w:tcPr>
          <w:p>
            <w:pPr>
              <w:pStyle w:val="88"/>
              <w:spacing w:after="0" w:line="240" w:lineRule="auto"/>
              <w:ind w:left="360" w:firstLine="440"/>
              <w:jc w:val="center"/>
              <w:rPr>
                <w:rFonts w:hint="eastAsia" w:ascii="宋体" w:hAnsi="宋体" w:eastAsia="宋体" w:cs="宋体"/>
                <w:sz w:val="21"/>
                <w:szCs w:val="21"/>
              </w:rPr>
            </w:pPr>
          </w:p>
        </w:tc>
        <w:tc>
          <w:tcPr>
            <w:tcW w:w="1394" w:type="dxa"/>
            <w:noWrap/>
            <w:vAlign w:val="top"/>
          </w:tcPr>
          <w:p>
            <w:pPr>
              <w:pStyle w:val="88"/>
              <w:spacing w:after="0"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1000</w:t>
            </w:r>
          </w:p>
        </w:tc>
        <w:tc>
          <w:tcPr>
            <w:tcW w:w="2354" w:type="dxa"/>
            <w:noWrap/>
            <w:vAlign w:val="top"/>
          </w:tcPr>
          <w:p>
            <w:pPr>
              <w:pStyle w:val="88"/>
              <w:spacing w:after="0" w:line="240" w:lineRule="auto"/>
              <w:ind w:left="0" w:leftChars="0" w:firstLine="0" w:firstLineChars="0"/>
              <w:jc w:val="both"/>
              <w:rPr>
                <w:rFonts w:hint="eastAsia" w:ascii="宋体" w:hAnsi="宋体" w:eastAsia="宋体" w:cs="宋体"/>
                <w:sz w:val="21"/>
                <w:szCs w:val="21"/>
                <w:lang w:val="en-US" w:eastAsia="zh-CN"/>
              </w:rPr>
            </w:pPr>
            <w:r>
              <w:rPr>
                <w:rFonts w:hint="eastAsia" w:ascii="宋体" w:hAnsi="宋体" w:eastAsia="宋体" w:cs="宋体"/>
                <w:sz w:val="21"/>
                <w:szCs w:val="21"/>
              </w:rPr>
              <w:t>±20</w:t>
            </w:r>
            <w:r>
              <w:rPr>
                <w:rFonts w:hint="eastAsia" w:ascii="宋体" w:hAnsi="宋体" w:eastAsia="宋体" w:cs="宋体"/>
                <w:sz w:val="21"/>
                <w:szCs w:val="21"/>
                <w:lang w:val="en-US" w:eastAsia="zh-CN"/>
              </w:rPr>
              <w:t>.</w:t>
            </w:r>
            <w:r>
              <w:rPr>
                <w:rFonts w:hint="eastAsia" w:ascii="宋体" w:hAnsi="宋体" w:eastAsia="宋体" w:cs="宋体"/>
                <w:sz w:val="21"/>
                <w:szCs w:val="21"/>
              </w:rPr>
              <w:t>0</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宋体" w:hAnsi="宋体" w:eastAsia="宋体" w:cs="宋体"/>
                <w:sz w:val="21"/>
                <w:szCs w:val="21"/>
                <w:lang w:val="en-US" w:eastAsia="zh-CN"/>
              </w:rPr>
              <w:t>2.00</w:t>
            </w:r>
          </w:p>
        </w:tc>
        <w:tc>
          <w:tcPr>
            <w:tcW w:w="2169" w:type="dxa"/>
            <w:noWrap/>
            <w:vAlign w:val="top"/>
          </w:tcPr>
          <w:p>
            <w:pPr>
              <w:pStyle w:val="88"/>
              <w:spacing w:after="0" w:line="240" w:lineRule="auto"/>
              <w:ind w:left="0" w:leftChars="0" w:firstLine="0" w:firstLineChars="0"/>
              <w:jc w:val="both"/>
              <w:rPr>
                <w:rFonts w:hint="eastAsia" w:ascii="宋体" w:hAnsi="宋体" w:eastAsia="宋体" w:cs="宋体"/>
                <w:sz w:val="21"/>
                <w:szCs w:val="21"/>
                <w:lang w:val="en-US" w:eastAsia="zh-CN"/>
              </w:rPr>
            </w:pPr>
            <w:r>
              <w:rPr>
                <w:rFonts w:hint="eastAsia" w:ascii="宋体" w:hAnsi="宋体" w:eastAsia="宋体" w:cs="宋体"/>
                <w:sz w:val="21"/>
                <w:szCs w:val="21"/>
              </w:rPr>
              <w:t>8</w:t>
            </w:r>
            <w:r>
              <w:rPr>
                <w:rFonts w:hint="eastAsia" w:ascii="宋体" w:hAnsi="宋体" w:eastAsia="宋体" w:cs="宋体"/>
                <w:sz w:val="21"/>
                <w:szCs w:val="21"/>
                <w:lang w:val="en-US" w:eastAsia="zh-CN"/>
              </w:rPr>
              <w:t>.</w:t>
            </w:r>
            <w:r>
              <w:rPr>
                <w:rFonts w:hint="eastAsia" w:ascii="宋体" w:hAnsi="宋体" w:eastAsia="宋体" w:cs="宋体"/>
                <w:sz w:val="21"/>
                <w:szCs w:val="21"/>
              </w:rPr>
              <w:t>0</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0</w:t>
            </w:r>
            <w:r>
              <w:rPr>
                <w:rFonts w:hint="eastAsia" w:ascii="宋体" w:hAnsi="宋体" w:eastAsia="宋体" w:cs="宋体"/>
                <w:sz w:val="21"/>
                <w:szCs w:val="21"/>
                <w:lang w:val="en-US" w:eastAsia="zh-CN"/>
              </w:rPr>
              <w:t>.</w:t>
            </w:r>
            <w:r>
              <w:rPr>
                <w:rFonts w:hint="eastAsia" w:ascii="宋体" w:hAnsi="宋体" w:eastAsia="宋体" w:cs="宋体"/>
                <w:sz w:val="21"/>
                <w:szCs w:val="21"/>
              </w:rPr>
              <w:t>80</w:t>
            </w:r>
          </w:p>
        </w:tc>
      </w:tr>
    </w:tbl>
    <w:p>
      <w:pPr>
        <w:numPr>
          <w:ilvl w:val="0"/>
          <w:numId w:val="0"/>
        </w:numPr>
        <w:spacing w:line="360" w:lineRule="auto"/>
        <w:jc w:val="left"/>
        <w:outlineLvl w:val="9"/>
        <w:rPr>
          <w:rFonts w:hint="eastAsia" w:ascii="宋体" w:hAnsi="宋体" w:eastAsia="宋体" w:cs="宋体"/>
          <w:b/>
          <w:bCs/>
          <w:sz w:val="24"/>
          <w:szCs w:val="24"/>
          <w:lang w:val="en-US" w:eastAsia="zh-CN"/>
        </w:rPr>
      </w:pPr>
    </w:p>
    <w:p>
      <w:pPr>
        <w:numPr>
          <w:ilvl w:val="0"/>
          <w:numId w:val="0"/>
        </w:numPr>
        <w:spacing w:line="360" w:lineRule="auto"/>
        <w:jc w:val="left"/>
        <w:outlineLvl w:val="9"/>
        <w:rPr>
          <w:rFonts w:hint="eastAsia" w:ascii="宋体" w:hAnsi="宋体" w:eastAsia="宋体" w:cs="宋体"/>
          <w:sz w:val="24"/>
          <w:szCs w:val="24"/>
          <w:highlight w:val="green"/>
        </w:rPr>
      </w:pPr>
      <w:r>
        <w:rPr>
          <w:rFonts w:hint="eastAsia" w:ascii="宋体" w:hAnsi="宋体" w:eastAsia="宋体" w:cs="宋体"/>
          <w:b/>
          <w:bCs/>
          <w:sz w:val="24"/>
          <w:szCs w:val="24"/>
          <w:lang w:val="en-US" w:eastAsia="zh-CN"/>
        </w:rPr>
        <w:t>七、</w:t>
      </w:r>
      <w:r>
        <w:rPr>
          <w:rFonts w:hint="eastAsia" w:ascii="宋体" w:hAnsi="宋体" w:eastAsia="宋体" w:cs="宋体"/>
          <w:b/>
          <w:bCs/>
          <w:sz w:val="24"/>
          <w:szCs w:val="24"/>
          <w:highlight w:val="none"/>
        </w:rPr>
        <w:t>单道移液器</w:t>
      </w:r>
      <w:r>
        <w:rPr>
          <w:rFonts w:hint="eastAsia" w:ascii="宋体" w:hAnsi="宋体" w:cs="宋体"/>
          <w:b/>
          <w:bCs/>
          <w:sz w:val="24"/>
          <w:szCs w:val="24"/>
          <w:highlight w:val="none"/>
          <w:lang w:eastAsia="zh-CN"/>
        </w:rPr>
        <w:t>（微生物实验用）</w:t>
      </w:r>
      <w:r>
        <w:rPr>
          <w:rFonts w:hint="eastAsia" w:ascii="宋体" w:hAnsi="宋体" w:eastAsia="宋体" w:cs="宋体"/>
          <w:b/>
          <w:bCs/>
          <w:sz w:val="24"/>
          <w:szCs w:val="24"/>
          <w:highlight w:val="none"/>
        </w:rPr>
        <w:t>参数</w:t>
      </w:r>
    </w:p>
    <w:p>
      <w:pPr>
        <w:pStyle w:val="88"/>
        <w:spacing w:line="360" w:lineRule="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可高温高压灭菌和紫外线灭菌</w:t>
      </w:r>
    </w:p>
    <w:p>
      <w:pPr>
        <w:pStyle w:val="88"/>
        <w:spacing w:line="360" w:lineRule="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带微量刻度尺</w:t>
      </w:r>
    </w:p>
    <w:p>
      <w:pPr>
        <w:pStyle w:val="88"/>
        <w:spacing w:line="360" w:lineRule="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颜色标识移液器量程</w:t>
      </w:r>
    </w:p>
    <w:p>
      <w:pPr>
        <w:pStyle w:val="88"/>
        <w:spacing w:line="360" w:lineRule="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配校准保养工具，易便于维修保养</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394"/>
        <w:gridCol w:w="2298"/>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709" w:type="dxa"/>
            <w:noWrap w:val="0"/>
            <w:vAlign w:val="center"/>
          </w:tcPr>
          <w:p>
            <w:pPr>
              <w:pStyle w:val="88"/>
              <w:spacing w:after="0" w:line="240" w:lineRule="auto"/>
              <w:ind w:left="0" w:leftChars="0" w:firstLine="420" w:firstLineChars="200"/>
              <w:jc w:val="both"/>
              <w:rPr>
                <w:rFonts w:hint="eastAsia" w:ascii="宋体" w:hAnsi="宋体" w:eastAsia="宋体" w:cs="宋体"/>
                <w:sz w:val="21"/>
                <w:szCs w:val="21"/>
              </w:rPr>
            </w:pPr>
            <w:r>
              <w:rPr>
                <w:rFonts w:hint="eastAsia" w:ascii="宋体" w:hAnsi="宋体" w:eastAsia="宋体" w:cs="宋体"/>
                <w:sz w:val="21"/>
                <w:szCs w:val="21"/>
              </w:rPr>
              <w:t xml:space="preserve">量程 </w:t>
            </w:r>
            <w:r>
              <w:rPr>
                <w:rFonts w:hint="eastAsia" w:ascii="宋体" w:hAnsi="宋体" w:eastAsia="宋体" w:cs="宋体"/>
                <w:sz w:val="21"/>
                <w:szCs w:val="21"/>
                <w:lang w:val="en-US" w:eastAsia="zh-CN"/>
              </w:rPr>
              <w:t>μl</w:t>
            </w:r>
          </w:p>
        </w:tc>
        <w:tc>
          <w:tcPr>
            <w:tcW w:w="1394" w:type="dxa"/>
            <w:noWrap w:val="0"/>
            <w:vAlign w:val="center"/>
          </w:tcPr>
          <w:p>
            <w:pPr>
              <w:pStyle w:val="88"/>
              <w:spacing w:after="0" w:line="24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液量体积μl</w:t>
            </w:r>
          </w:p>
        </w:tc>
        <w:tc>
          <w:tcPr>
            <w:tcW w:w="2298" w:type="dxa"/>
            <w:noWrap/>
            <w:vAlign w:val="top"/>
          </w:tcPr>
          <w:p>
            <w:pPr>
              <w:pStyle w:val="88"/>
              <w:spacing w:after="0" w:line="240" w:lineRule="auto"/>
              <w:ind w:left="360" w:firstLine="44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错误率</w:t>
            </w:r>
          </w:p>
          <w:p>
            <w:pPr>
              <w:pStyle w:val="88"/>
              <w:spacing w:after="0"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ul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p>
        </w:tc>
        <w:tc>
          <w:tcPr>
            <w:tcW w:w="2234" w:type="dxa"/>
            <w:noWrap/>
            <w:vAlign w:val="top"/>
          </w:tcPr>
          <w:p>
            <w:pPr>
              <w:pStyle w:val="88"/>
              <w:spacing w:after="0" w:line="240" w:lineRule="auto"/>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不精确率</w:t>
            </w:r>
          </w:p>
          <w:p>
            <w:pPr>
              <w:pStyle w:val="88"/>
              <w:spacing w:after="0" w:line="240" w:lineRule="auto"/>
              <w:ind w:left="0" w:leftChars="0" w:firstLine="0" w:firstLineChars="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S.d.ul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CV%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709" w:type="dxa"/>
            <w:vMerge w:val="restart"/>
            <w:noWrap/>
            <w:vAlign w:val="center"/>
          </w:tcPr>
          <w:p>
            <w:pPr>
              <w:pStyle w:val="88"/>
              <w:spacing w:after="0" w:line="24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color w:val="auto"/>
                <w:sz w:val="21"/>
                <w:szCs w:val="21"/>
                <w:lang w:val="en-US" w:eastAsia="zh-CN"/>
              </w:rPr>
              <w:t>1 - 10ul</w:t>
            </w:r>
          </w:p>
        </w:tc>
        <w:tc>
          <w:tcPr>
            <w:tcW w:w="1394" w:type="dxa"/>
            <w:noWrap/>
            <w:vAlign w:val="center"/>
          </w:tcPr>
          <w:p>
            <w:pPr>
              <w:pStyle w:val="88"/>
              <w:spacing w:after="0" w:line="240" w:lineRule="auto"/>
              <w:jc w:val="both"/>
              <w:rPr>
                <w:rFonts w:hint="eastAsia" w:ascii="宋体" w:hAnsi="宋体" w:eastAsia="宋体" w:cs="宋体"/>
                <w:sz w:val="21"/>
                <w:szCs w:val="21"/>
              </w:rPr>
            </w:pPr>
            <w:r>
              <w:rPr>
                <w:rFonts w:hint="eastAsia" w:ascii="宋体" w:hAnsi="宋体" w:eastAsia="宋体" w:cs="宋体"/>
                <w:sz w:val="21"/>
                <w:szCs w:val="21"/>
                <w:lang w:val="en-US" w:eastAsia="zh-CN"/>
              </w:rPr>
              <w:t>10</w:t>
            </w:r>
          </w:p>
        </w:tc>
        <w:tc>
          <w:tcPr>
            <w:tcW w:w="2298" w:type="dxa"/>
            <w:noWrap/>
            <w:vAlign w:val="top"/>
          </w:tcPr>
          <w:p>
            <w:pPr>
              <w:pStyle w:val="88"/>
              <w:spacing w:after="0"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±0</w:t>
            </w:r>
            <w:r>
              <w:rPr>
                <w:rFonts w:hint="eastAsia" w:ascii="宋体" w:hAnsi="宋体" w:eastAsia="宋体" w:cs="宋体"/>
                <w:sz w:val="21"/>
                <w:szCs w:val="21"/>
                <w:lang w:val="en-US" w:eastAsia="zh-CN"/>
              </w:rPr>
              <w:t>.</w:t>
            </w:r>
            <w:r>
              <w:rPr>
                <w:rFonts w:hint="eastAsia" w:ascii="宋体" w:hAnsi="宋体" w:eastAsia="宋体" w:cs="宋体"/>
                <w:sz w:val="21"/>
                <w:szCs w:val="21"/>
              </w:rPr>
              <w:t>100</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00</w:t>
            </w:r>
          </w:p>
        </w:tc>
        <w:tc>
          <w:tcPr>
            <w:tcW w:w="2234" w:type="dxa"/>
            <w:noWrap/>
            <w:vAlign w:val="top"/>
          </w:tcPr>
          <w:p>
            <w:pPr>
              <w:pStyle w:val="88"/>
              <w:spacing w:after="0"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0</w:t>
            </w:r>
            <w:r>
              <w:rPr>
                <w:rFonts w:hint="eastAsia" w:ascii="宋体" w:hAnsi="宋体" w:eastAsia="宋体" w:cs="宋体"/>
                <w:sz w:val="21"/>
                <w:szCs w:val="21"/>
                <w:lang w:val="en-US" w:eastAsia="zh-CN"/>
              </w:rPr>
              <w:t>.</w:t>
            </w:r>
            <w:r>
              <w:rPr>
                <w:rFonts w:hint="eastAsia" w:ascii="宋体" w:hAnsi="宋体" w:eastAsia="宋体" w:cs="宋体"/>
                <w:sz w:val="21"/>
                <w:szCs w:val="21"/>
              </w:rPr>
              <w:t>050</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0</w:t>
            </w:r>
            <w:r>
              <w:rPr>
                <w:rFonts w:hint="eastAsia" w:ascii="宋体" w:hAnsi="宋体" w:eastAsia="宋体" w:cs="宋体"/>
                <w:sz w:val="21"/>
                <w:szCs w:val="21"/>
                <w:lang w:val="en-US" w:eastAsia="zh-CN"/>
              </w:rPr>
              <w:t>.</w:t>
            </w:r>
            <w:r>
              <w:rPr>
                <w:rFonts w:hint="eastAsia" w:ascii="宋体" w:hAnsi="宋体" w:eastAsia="宋体" w:cs="宋体"/>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709" w:type="dxa"/>
            <w:vMerge w:val="continue"/>
            <w:noWrap/>
            <w:vAlign w:val="center"/>
          </w:tcPr>
          <w:p>
            <w:pPr>
              <w:pStyle w:val="88"/>
              <w:spacing w:after="0" w:line="240" w:lineRule="auto"/>
              <w:ind w:left="360" w:firstLine="440"/>
              <w:jc w:val="center"/>
              <w:rPr>
                <w:rFonts w:hint="eastAsia" w:ascii="宋体" w:hAnsi="宋体" w:eastAsia="宋体" w:cs="宋体"/>
                <w:sz w:val="21"/>
                <w:szCs w:val="21"/>
              </w:rPr>
            </w:pPr>
          </w:p>
        </w:tc>
        <w:tc>
          <w:tcPr>
            <w:tcW w:w="1394" w:type="dxa"/>
            <w:noWrap/>
            <w:vAlign w:val="center"/>
          </w:tcPr>
          <w:p>
            <w:pPr>
              <w:pStyle w:val="88"/>
              <w:spacing w:after="0" w:line="240" w:lineRule="auto"/>
              <w:jc w:val="both"/>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2298" w:type="dxa"/>
            <w:noWrap/>
            <w:vAlign w:val="top"/>
          </w:tcPr>
          <w:p>
            <w:pPr>
              <w:pStyle w:val="88"/>
              <w:spacing w:after="0"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±0</w:t>
            </w:r>
            <w:r>
              <w:rPr>
                <w:rFonts w:hint="eastAsia" w:ascii="宋体" w:hAnsi="宋体" w:eastAsia="宋体" w:cs="宋体"/>
                <w:sz w:val="21"/>
                <w:szCs w:val="21"/>
                <w:lang w:val="en-US" w:eastAsia="zh-CN"/>
              </w:rPr>
              <w:t>.</w:t>
            </w:r>
            <w:r>
              <w:rPr>
                <w:rFonts w:hint="eastAsia" w:ascii="宋体" w:hAnsi="宋体" w:eastAsia="宋体" w:cs="宋体"/>
                <w:sz w:val="21"/>
                <w:szCs w:val="21"/>
              </w:rPr>
              <w:t>025</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50</w:t>
            </w:r>
          </w:p>
        </w:tc>
        <w:tc>
          <w:tcPr>
            <w:tcW w:w="2234" w:type="dxa"/>
            <w:noWrap/>
            <w:vAlign w:val="top"/>
          </w:tcPr>
          <w:p>
            <w:pPr>
              <w:pStyle w:val="88"/>
              <w:spacing w:after="0"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0</w:t>
            </w:r>
            <w:r>
              <w:rPr>
                <w:rFonts w:hint="eastAsia" w:ascii="宋体" w:hAnsi="宋体" w:eastAsia="宋体" w:cs="宋体"/>
                <w:sz w:val="21"/>
                <w:szCs w:val="21"/>
                <w:lang w:val="en-US" w:eastAsia="zh-CN"/>
              </w:rPr>
              <w:t>.</w:t>
            </w:r>
            <w:r>
              <w:rPr>
                <w:rFonts w:hint="eastAsia" w:ascii="宋体" w:hAnsi="宋体" w:eastAsia="宋体" w:cs="宋体"/>
                <w:sz w:val="21"/>
                <w:szCs w:val="21"/>
              </w:rPr>
              <w:t>020</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709" w:type="dxa"/>
            <w:vMerge w:val="restart"/>
            <w:noWrap/>
            <w:vAlign w:val="center"/>
          </w:tcPr>
          <w:p>
            <w:pPr>
              <w:pStyle w:val="88"/>
              <w:spacing w:after="0" w:line="24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10 - 100</w:t>
            </w:r>
            <w:bookmarkStart w:id="315" w:name="OLE_LINK3"/>
            <w:r>
              <w:rPr>
                <w:rFonts w:hint="eastAsia" w:ascii="宋体" w:hAnsi="宋体" w:eastAsia="宋体" w:cs="宋体"/>
                <w:sz w:val="21"/>
                <w:szCs w:val="21"/>
              </w:rPr>
              <w:t>ul</w:t>
            </w:r>
            <w:bookmarkEnd w:id="315"/>
          </w:p>
        </w:tc>
        <w:tc>
          <w:tcPr>
            <w:tcW w:w="1394" w:type="dxa"/>
            <w:noWrap/>
            <w:vAlign w:val="center"/>
          </w:tcPr>
          <w:p>
            <w:pPr>
              <w:pStyle w:val="88"/>
              <w:spacing w:after="0"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100</w:t>
            </w:r>
          </w:p>
        </w:tc>
        <w:tc>
          <w:tcPr>
            <w:tcW w:w="2298" w:type="dxa"/>
            <w:noWrap/>
            <w:vAlign w:val="top"/>
          </w:tcPr>
          <w:p>
            <w:pPr>
              <w:pStyle w:val="88"/>
              <w:spacing w:after="0" w:line="240" w:lineRule="auto"/>
              <w:ind w:left="0" w:leftChars="0" w:firstLine="0" w:firstLineChars="0"/>
              <w:jc w:val="both"/>
              <w:rPr>
                <w:rFonts w:hint="eastAsia" w:ascii="宋体" w:hAnsi="宋体" w:eastAsia="宋体" w:cs="宋体"/>
                <w:sz w:val="21"/>
                <w:szCs w:val="21"/>
                <w:lang w:val="en-US" w:eastAsia="zh-CN"/>
              </w:rPr>
            </w:pPr>
            <w:r>
              <w:rPr>
                <w:rFonts w:hint="eastAsia" w:ascii="宋体" w:hAnsi="宋体" w:eastAsia="宋体" w:cs="宋体"/>
                <w:sz w:val="21"/>
                <w:szCs w:val="21"/>
              </w:rPr>
              <w:t>±0</w:t>
            </w:r>
            <w:r>
              <w:rPr>
                <w:rFonts w:hint="eastAsia" w:ascii="宋体" w:hAnsi="宋体" w:eastAsia="宋体" w:cs="宋体"/>
                <w:sz w:val="21"/>
                <w:szCs w:val="21"/>
                <w:lang w:val="en-US" w:eastAsia="zh-CN"/>
              </w:rPr>
              <w:t>.</w:t>
            </w:r>
            <w:r>
              <w:rPr>
                <w:rFonts w:hint="eastAsia" w:ascii="宋体" w:hAnsi="宋体" w:eastAsia="宋体" w:cs="宋体"/>
                <w:sz w:val="21"/>
                <w:szCs w:val="21"/>
              </w:rPr>
              <w:t>80</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±0</w:t>
            </w:r>
            <w:r>
              <w:rPr>
                <w:rFonts w:hint="eastAsia" w:ascii="宋体" w:hAnsi="宋体" w:eastAsia="宋体" w:cs="宋体"/>
                <w:sz w:val="21"/>
                <w:szCs w:val="21"/>
                <w:lang w:val="en-US" w:eastAsia="zh-CN"/>
              </w:rPr>
              <w:t>.</w:t>
            </w:r>
            <w:r>
              <w:rPr>
                <w:rFonts w:hint="eastAsia" w:ascii="宋体" w:hAnsi="宋体" w:eastAsia="宋体" w:cs="宋体"/>
                <w:sz w:val="21"/>
                <w:szCs w:val="21"/>
              </w:rPr>
              <w:t>80</w:t>
            </w:r>
          </w:p>
        </w:tc>
        <w:tc>
          <w:tcPr>
            <w:tcW w:w="2234" w:type="dxa"/>
            <w:noWrap/>
            <w:vAlign w:val="top"/>
          </w:tcPr>
          <w:p>
            <w:pPr>
              <w:pStyle w:val="88"/>
              <w:spacing w:after="0" w:line="240" w:lineRule="auto"/>
              <w:ind w:left="0" w:leftChars="0" w:firstLine="0" w:firstLineChars="0"/>
              <w:jc w:val="both"/>
              <w:rPr>
                <w:rFonts w:hint="eastAsia" w:ascii="宋体" w:hAnsi="宋体" w:eastAsia="宋体" w:cs="宋体"/>
                <w:sz w:val="21"/>
                <w:szCs w:val="21"/>
                <w:lang w:val="en-US" w:eastAsia="zh-CN"/>
              </w:rPr>
            </w:pPr>
            <w:r>
              <w:rPr>
                <w:rFonts w:hint="eastAsia" w:ascii="宋体" w:hAnsi="宋体" w:eastAsia="宋体" w:cs="宋体"/>
                <w:sz w:val="21"/>
                <w:szCs w:val="21"/>
              </w:rPr>
              <w:t>0</w:t>
            </w:r>
            <w:r>
              <w:rPr>
                <w:rFonts w:hint="eastAsia" w:ascii="宋体" w:hAnsi="宋体" w:eastAsia="宋体" w:cs="宋体"/>
                <w:sz w:val="21"/>
                <w:szCs w:val="21"/>
                <w:lang w:val="en-US" w:eastAsia="zh-CN"/>
              </w:rPr>
              <w:t>.</w:t>
            </w:r>
            <w:r>
              <w:rPr>
                <w:rFonts w:hint="eastAsia" w:ascii="宋体" w:hAnsi="宋体" w:eastAsia="宋体" w:cs="宋体"/>
                <w:sz w:val="21"/>
                <w:szCs w:val="21"/>
              </w:rPr>
              <w:t>20</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0</w:t>
            </w:r>
            <w:r>
              <w:rPr>
                <w:rFonts w:hint="eastAsia" w:ascii="宋体" w:hAnsi="宋体" w:eastAsia="宋体" w:cs="宋体"/>
                <w:sz w:val="21"/>
                <w:szCs w:val="21"/>
                <w:lang w:val="en-US" w:eastAsia="zh-CN"/>
              </w:rPr>
              <w:t>.</w:t>
            </w:r>
            <w:r>
              <w:rPr>
                <w:rFonts w:hint="eastAsia" w:ascii="宋体" w:hAnsi="宋体" w:eastAsia="宋体" w:cs="宋体"/>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709" w:type="dxa"/>
            <w:vMerge w:val="continue"/>
            <w:noWrap/>
            <w:vAlign w:val="center"/>
          </w:tcPr>
          <w:p>
            <w:pPr>
              <w:pStyle w:val="88"/>
              <w:spacing w:after="0" w:line="240" w:lineRule="auto"/>
              <w:ind w:left="360" w:firstLine="440"/>
              <w:jc w:val="center"/>
              <w:rPr>
                <w:rFonts w:hint="eastAsia" w:ascii="宋体" w:hAnsi="宋体" w:eastAsia="宋体" w:cs="宋体"/>
                <w:sz w:val="21"/>
                <w:szCs w:val="21"/>
              </w:rPr>
            </w:pPr>
          </w:p>
        </w:tc>
        <w:tc>
          <w:tcPr>
            <w:tcW w:w="1394" w:type="dxa"/>
            <w:noWrap/>
            <w:vAlign w:val="center"/>
          </w:tcPr>
          <w:p>
            <w:pPr>
              <w:pStyle w:val="88"/>
              <w:spacing w:after="0"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2298" w:type="dxa"/>
            <w:noWrap/>
            <w:vAlign w:val="top"/>
          </w:tcPr>
          <w:p>
            <w:pPr>
              <w:pStyle w:val="88"/>
              <w:spacing w:after="0" w:line="240" w:lineRule="auto"/>
              <w:ind w:left="0" w:leftChars="0" w:firstLine="0" w:firstLineChars="0"/>
              <w:jc w:val="both"/>
              <w:rPr>
                <w:rFonts w:hint="eastAsia" w:ascii="宋体" w:hAnsi="宋体" w:eastAsia="宋体" w:cs="宋体"/>
                <w:sz w:val="21"/>
                <w:szCs w:val="21"/>
                <w:lang w:val="en-US" w:eastAsia="zh-CN"/>
              </w:rPr>
            </w:pPr>
            <w:r>
              <w:rPr>
                <w:rFonts w:hint="eastAsia" w:ascii="宋体" w:hAnsi="宋体" w:eastAsia="宋体" w:cs="宋体"/>
                <w:sz w:val="21"/>
                <w:szCs w:val="21"/>
              </w:rPr>
              <w:t>±0</w:t>
            </w:r>
            <w:r>
              <w:rPr>
                <w:rFonts w:hint="eastAsia" w:ascii="宋体" w:hAnsi="宋体" w:eastAsia="宋体" w:cs="宋体"/>
                <w:sz w:val="21"/>
                <w:szCs w:val="21"/>
                <w:lang w:val="en-US" w:eastAsia="zh-CN"/>
              </w:rPr>
              <w:t>.</w:t>
            </w:r>
            <w:r>
              <w:rPr>
                <w:rFonts w:hint="eastAsia" w:ascii="宋体" w:hAnsi="宋体" w:eastAsia="宋体" w:cs="宋体"/>
                <w:sz w:val="21"/>
                <w:szCs w:val="21"/>
              </w:rPr>
              <w:t>30</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00</w:t>
            </w:r>
          </w:p>
        </w:tc>
        <w:tc>
          <w:tcPr>
            <w:tcW w:w="2234" w:type="dxa"/>
            <w:noWrap/>
            <w:vAlign w:val="top"/>
          </w:tcPr>
          <w:p>
            <w:pPr>
              <w:pStyle w:val="88"/>
              <w:spacing w:after="0" w:line="240" w:lineRule="auto"/>
              <w:ind w:left="0" w:leftChars="0" w:firstLine="0" w:firstLineChars="0"/>
              <w:jc w:val="both"/>
              <w:rPr>
                <w:rFonts w:hint="eastAsia" w:ascii="宋体" w:hAnsi="宋体" w:eastAsia="宋体" w:cs="宋体"/>
                <w:sz w:val="21"/>
                <w:szCs w:val="21"/>
                <w:lang w:val="en-US" w:eastAsia="zh-CN"/>
              </w:rPr>
            </w:pPr>
            <w:r>
              <w:rPr>
                <w:rFonts w:hint="eastAsia" w:ascii="宋体" w:hAnsi="宋体" w:eastAsia="宋体" w:cs="宋体"/>
                <w:sz w:val="21"/>
                <w:szCs w:val="21"/>
              </w:rPr>
              <w:t>0</w:t>
            </w:r>
            <w:r>
              <w:rPr>
                <w:rFonts w:hint="eastAsia" w:ascii="宋体" w:hAnsi="宋体" w:eastAsia="宋体" w:cs="宋体"/>
                <w:sz w:val="21"/>
                <w:szCs w:val="21"/>
                <w:lang w:val="en-US" w:eastAsia="zh-CN"/>
              </w:rPr>
              <w:t>.</w:t>
            </w:r>
            <w:r>
              <w:rPr>
                <w:rFonts w:hint="eastAsia" w:ascii="宋体" w:hAnsi="宋体" w:eastAsia="宋体" w:cs="宋体"/>
                <w:sz w:val="21"/>
                <w:szCs w:val="21"/>
              </w:rPr>
              <w:t>10</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709" w:type="dxa"/>
            <w:vMerge w:val="restart"/>
            <w:noWrap/>
            <w:vAlign w:val="center"/>
          </w:tcPr>
          <w:p>
            <w:pPr>
              <w:pStyle w:val="88"/>
              <w:spacing w:after="0" w:line="24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100 - 1000</w:t>
            </w:r>
            <w:r>
              <w:rPr>
                <w:rFonts w:hint="eastAsia" w:ascii="宋体" w:hAnsi="宋体" w:eastAsia="宋体" w:cs="宋体"/>
                <w:sz w:val="21"/>
                <w:szCs w:val="21"/>
              </w:rPr>
              <w:t>ul</w:t>
            </w:r>
          </w:p>
        </w:tc>
        <w:tc>
          <w:tcPr>
            <w:tcW w:w="1394" w:type="dxa"/>
            <w:noWrap/>
            <w:vAlign w:val="center"/>
          </w:tcPr>
          <w:p>
            <w:pPr>
              <w:pStyle w:val="88"/>
              <w:spacing w:after="0"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1000</w:t>
            </w:r>
          </w:p>
        </w:tc>
        <w:tc>
          <w:tcPr>
            <w:tcW w:w="2298" w:type="dxa"/>
            <w:noWrap/>
            <w:vAlign w:val="top"/>
          </w:tcPr>
          <w:p>
            <w:pPr>
              <w:pStyle w:val="88"/>
              <w:spacing w:after="0"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val="en-US" w:eastAsia="zh-CN"/>
              </w:rPr>
              <w:t>.</w:t>
            </w:r>
            <w:r>
              <w:rPr>
                <w:rFonts w:hint="eastAsia" w:ascii="宋体" w:hAnsi="宋体" w:eastAsia="宋体" w:cs="宋体"/>
                <w:sz w:val="21"/>
                <w:szCs w:val="21"/>
              </w:rPr>
              <w:t>0</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±0</w:t>
            </w:r>
            <w:r>
              <w:rPr>
                <w:rFonts w:hint="eastAsia" w:ascii="宋体" w:hAnsi="宋体" w:eastAsia="宋体" w:cs="宋体"/>
                <w:sz w:val="21"/>
                <w:szCs w:val="21"/>
                <w:lang w:val="en-US" w:eastAsia="zh-CN"/>
              </w:rPr>
              <w:t>.</w:t>
            </w:r>
            <w:r>
              <w:rPr>
                <w:rFonts w:hint="eastAsia" w:ascii="宋体" w:hAnsi="宋体" w:eastAsia="宋体" w:cs="宋体"/>
                <w:sz w:val="21"/>
                <w:szCs w:val="21"/>
              </w:rPr>
              <w:t>60</w:t>
            </w:r>
          </w:p>
        </w:tc>
        <w:tc>
          <w:tcPr>
            <w:tcW w:w="2234" w:type="dxa"/>
            <w:noWrap/>
            <w:vAlign w:val="top"/>
          </w:tcPr>
          <w:p>
            <w:pPr>
              <w:pStyle w:val="88"/>
              <w:spacing w:after="0"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0</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0</w:t>
            </w:r>
            <w:r>
              <w:rPr>
                <w:rFonts w:hint="eastAsia" w:ascii="宋体" w:hAnsi="宋体" w:eastAsia="宋体" w:cs="宋体"/>
                <w:sz w:val="21"/>
                <w:szCs w:val="21"/>
                <w:lang w:val="en-US" w:eastAsia="zh-CN"/>
              </w:rPr>
              <w:t>.</w:t>
            </w:r>
            <w:r>
              <w:rPr>
                <w:rFonts w:hint="eastAsia" w:ascii="宋体" w:hAnsi="宋体" w:eastAsia="宋体" w:cs="宋体"/>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709" w:type="dxa"/>
            <w:vMerge w:val="continue"/>
            <w:noWrap/>
            <w:vAlign w:val="top"/>
          </w:tcPr>
          <w:p>
            <w:pPr>
              <w:pStyle w:val="88"/>
              <w:spacing w:after="0" w:line="240" w:lineRule="auto"/>
              <w:ind w:left="360" w:firstLine="440"/>
              <w:jc w:val="center"/>
              <w:rPr>
                <w:rFonts w:hint="eastAsia" w:ascii="宋体" w:hAnsi="宋体" w:eastAsia="宋体" w:cs="宋体"/>
                <w:sz w:val="21"/>
                <w:szCs w:val="21"/>
              </w:rPr>
            </w:pPr>
          </w:p>
        </w:tc>
        <w:tc>
          <w:tcPr>
            <w:tcW w:w="1394" w:type="dxa"/>
            <w:noWrap/>
            <w:vAlign w:val="center"/>
          </w:tcPr>
          <w:p>
            <w:pPr>
              <w:pStyle w:val="88"/>
              <w:spacing w:after="0"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100</w:t>
            </w:r>
          </w:p>
        </w:tc>
        <w:tc>
          <w:tcPr>
            <w:tcW w:w="2298" w:type="dxa"/>
            <w:noWrap/>
            <w:vAlign w:val="top"/>
          </w:tcPr>
          <w:p>
            <w:pPr>
              <w:pStyle w:val="88"/>
              <w:spacing w:after="0" w:line="240" w:lineRule="auto"/>
              <w:ind w:left="0" w:leftChars="0"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 xml:space="preserve">±1.0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±1.00</w:t>
            </w:r>
          </w:p>
        </w:tc>
        <w:tc>
          <w:tcPr>
            <w:tcW w:w="2234" w:type="dxa"/>
            <w:noWrap/>
            <w:vAlign w:val="top"/>
          </w:tcPr>
          <w:p>
            <w:pPr>
              <w:pStyle w:val="88"/>
              <w:spacing w:after="0" w:line="240" w:lineRule="auto"/>
              <w:ind w:left="0" w:leftChars="0" w:firstLine="0" w:firstLineChars="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0.6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0.60</w:t>
            </w:r>
          </w:p>
        </w:tc>
      </w:tr>
    </w:tbl>
    <w:p>
      <w:pPr>
        <w:spacing w:line="360" w:lineRule="auto"/>
        <w:jc w:val="left"/>
        <w:outlineLvl w:val="9"/>
        <w:rPr>
          <w:rFonts w:hint="eastAsia" w:ascii="宋体" w:hAnsi="宋体" w:eastAsia="宋体" w:cs="宋体"/>
          <w:sz w:val="24"/>
          <w:szCs w:val="24"/>
          <w:highlight w:val="none"/>
        </w:rPr>
      </w:pPr>
      <w:r>
        <w:rPr>
          <w:rFonts w:hint="eastAsia" w:ascii="宋体" w:hAnsi="宋体" w:eastAsia="宋体" w:cs="宋体"/>
          <w:b/>
          <w:bCs/>
          <w:sz w:val="24"/>
          <w:szCs w:val="24"/>
          <w:lang w:val="en-US" w:eastAsia="zh-CN"/>
        </w:rPr>
        <w:br w:type="page"/>
      </w:r>
      <w:r>
        <w:rPr>
          <w:rFonts w:hint="eastAsia" w:ascii="宋体" w:hAnsi="宋体" w:eastAsia="宋体" w:cs="宋体"/>
          <w:b/>
          <w:bCs/>
          <w:sz w:val="24"/>
          <w:szCs w:val="24"/>
          <w:lang w:val="en-US" w:eastAsia="zh-CN"/>
        </w:rPr>
        <w:t>八、</w:t>
      </w:r>
      <w:r>
        <w:rPr>
          <w:rFonts w:hint="eastAsia" w:ascii="宋体" w:hAnsi="宋体" w:eastAsia="宋体" w:cs="宋体"/>
          <w:b/>
          <w:bCs/>
          <w:sz w:val="24"/>
          <w:szCs w:val="24"/>
          <w:highlight w:val="none"/>
        </w:rPr>
        <w:t>多道移液器参数(8道)</w:t>
      </w:r>
    </w:p>
    <w:p>
      <w:pPr>
        <w:pStyle w:val="88"/>
        <w:spacing w:line="360" w:lineRule="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可高温高压灭菌和紫外线灭菌</w:t>
      </w:r>
    </w:p>
    <w:p>
      <w:pPr>
        <w:pStyle w:val="88"/>
        <w:spacing w:line="360" w:lineRule="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带微量刻度尺</w:t>
      </w:r>
    </w:p>
    <w:p>
      <w:pPr>
        <w:pStyle w:val="88"/>
        <w:spacing w:line="360" w:lineRule="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颜色标识移液器量程</w:t>
      </w:r>
    </w:p>
    <w:p>
      <w:pPr>
        <w:pStyle w:val="88"/>
        <w:spacing w:line="360" w:lineRule="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配校准保养工具，易便于维修保养</w:t>
      </w:r>
    </w:p>
    <w:p>
      <w:pPr>
        <w:pStyle w:val="88"/>
        <w:spacing w:line="360" w:lineRule="auto"/>
        <w:outlineLvl w:val="9"/>
        <w:rPr>
          <w:rFonts w:hint="eastAsia" w:ascii="宋体" w:hAnsi="宋体" w:eastAsia="宋体" w:cs="宋体"/>
          <w:sz w:val="24"/>
          <w:szCs w:val="24"/>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1403"/>
        <w:gridCol w:w="2335"/>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23" w:type="dxa"/>
            <w:noWrap w:val="0"/>
            <w:vAlign w:val="center"/>
          </w:tcPr>
          <w:p>
            <w:pPr>
              <w:pStyle w:val="88"/>
              <w:spacing w:after="0" w:line="240" w:lineRule="auto"/>
              <w:ind w:left="0" w:leftChars="0" w:firstLine="210" w:firstLineChars="100"/>
              <w:jc w:val="both"/>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量程 ul</w:t>
            </w:r>
          </w:p>
        </w:tc>
        <w:tc>
          <w:tcPr>
            <w:tcW w:w="1403" w:type="dxa"/>
            <w:noWrap w:val="0"/>
            <w:vAlign w:val="center"/>
          </w:tcPr>
          <w:p>
            <w:pPr>
              <w:pStyle w:val="88"/>
              <w:spacing w:after="0" w:line="240" w:lineRule="auto"/>
              <w:ind w:left="0" w:leftChars="0" w:firstLine="0" w:firstLineChars="0"/>
              <w:jc w:val="both"/>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液量</w:t>
            </w:r>
            <w:r>
              <w:rPr>
                <w:rFonts w:hint="eastAsia" w:ascii="宋体" w:hAnsi="宋体" w:eastAsia="宋体" w:cs="宋体"/>
                <w:b w:val="0"/>
                <w:bCs w:val="0"/>
                <w:color w:val="auto"/>
                <w:sz w:val="21"/>
                <w:szCs w:val="21"/>
              </w:rPr>
              <w:t>体积μl</w:t>
            </w:r>
          </w:p>
        </w:tc>
        <w:tc>
          <w:tcPr>
            <w:tcW w:w="2335" w:type="dxa"/>
            <w:noWrap/>
            <w:vAlign w:val="top"/>
          </w:tcPr>
          <w:p>
            <w:pPr>
              <w:pStyle w:val="88"/>
              <w:spacing w:after="0" w:line="240" w:lineRule="auto"/>
              <w:jc w:val="both"/>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错误率</w:t>
            </w:r>
          </w:p>
          <w:p>
            <w:pPr>
              <w:pStyle w:val="88"/>
              <w:spacing w:after="0" w:line="240" w:lineRule="auto"/>
              <w:ind w:left="0" w:leftChars="0" w:firstLine="210" w:firstLineChars="100"/>
              <w:jc w:val="both"/>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ul</w:t>
            </w:r>
            <w:r>
              <w:rPr>
                <w:rFonts w:hint="eastAsia" w:ascii="宋体" w:hAnsi="宋体" w:eastAsia="宋体" w:cs="宋体"/>
                <w:b w:val="0"/>
                <w:bCs w:val="0"/>
                <w:color w:val="auto"/>
                <w:sz w:val="21"/>
                <w:szCs w:val="21"/>
                <w:lang w:val="en-US" w:eastAsia="zh-CN"/>
              </w:rPr>
              <w:t xml:space="preserve">     </w:t>
            </w:r>
            <w:r>
              <w:rPr>
                <w:rFonts w:hint="eastAsia" w:ascii="宋体"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w:t>
            </w:r>
          </w:p>
        </w:tc>
        <w:tc>
          <w:tcPr>
            <w:tcW w:w="2280" w:type="dxa"/>
            <w:noWrap/>
            <w:vAlign w:val="top"/>
          </w:tcPr>
          <w:p>
            <w:pPr>
              <w:pStyle w:val="88"/>
              <w:spacing w:after="0" w:line="240" w:lineRule="auto"/>
              <w:jc w:val="both"/>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不精确率</w:t>
            </w:r>
          </w:p>
          <w:p>
            <w:pPr>
              <w:pStyle w:val="88"/>
              <w:spacing w:after="0" w:line="240" w:lineRule="auto"/>
              <w:ind w:left="0" w:leftChars="0" w:firstLine="210" w:firstLineChars="100"/>
              <w:jc w:val="both"/>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 xml:space="preserve">S.d. </w:t>
            </w:r>
            <w:r>
              <w:rPr>
                <w:rFonts w:hint="eastAsia" w:ascii="宋体" w:hAnsi="宋体" w:eastAsia="宋体" w:cs="宋体"/>
                <w:b w:val="0"/>
                <w:bCs w:val="0"/>
                <w:color w:val="auto"/>
                <w:sz w:val="21"/>
                <w:szCs w:val="21"/>
              </w:rPr>
              <w:t>ul</w:t>
            </w:r>
            <w:r>
              <w:rPr>
                <w:rFonts w:hint="eastAsia" w:ascii="宋体" w:hAnsi="宋体" w:eastAsia="宋体" w:cs="宋体"/>
                <w:b w:val="0"/>
                <w:bCs w:val="0"/>
                <w:color w:val="auto"/>
                <w:sz w:val="21"/>
                <w:szCs w:val="21"/>
                <w:lang w:val="en-US" w:eastAsia="zh-CN"/>
              </w:rPr>
              <w:t xml:space="preserve">   </w:t>
            </w:r>
            <w:r>
              <w:rPr>
                <w:rFonts w:hint="eastAsia" w:ascii="宋体"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CV%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423" w:type="dxa"/>
            <w:vMerge w:val="restart"/>
            <w:noWrap/>
            <w:vAlign w:val="center"/>
          </w:tcPr>
          <w:p>
            <w:pPr>
              <w:pStyle w:val="88"/>
              <w:spacing w:after="0" w:line="240" w:lineRule="auto"/>
              <w:jc w:val="both"/>
              <w:rPr>
                <w:rFonts w:hint="eastAsia" w:ascii="宋体" w:hAnsi="宋体" w:eastAsia="宋体" w:cs="宋体"/>
                <w:b w:val="0"/>
                <w:bCs w:val="0"/>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 xml:space="preserve"> - 10</w:t>
            </w:r>
          </w:p>
        </w:tc>
        <w:tc>
          <w:tcPr>
            <w:tcW w:w="1403" w:type="dxa"/>
            <w:noWrap/>
            <w:vAlign w:val="center"/>
          </w:tcPr>
          <w:p>
            <w:pPr>
              <w:pStyle w:val="88"/>
              <w:spacing w:after="0" w:line="240" w:lineRule="auto"/>
              <w:jc w:val="both"/>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10</w:t>
            </w:r>
          </w:p>
        </w:tc>
        <w:tc>
          <w:tcPr>
            <w:tcW w:w="2335" w:type="dxa"/>
            <w:noWrap/>
            <w:vAlign w:val="top"/>
          </w:tcPr>
          <w:p>
            <w:pPr>
              <w:pStyle w:val="88"/>
              <w:spacing w:after="0" w:line="240" w:lineRule="auto"/>
              <w:ind w:left="0" w:leftChars="0" w:firstLine="0" w:firstLine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±0.100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±1.00</w:t>
            </w:r>
          </w:p>
        </w:tc>
        <w:tc>
          <w:tcPr>
            <w:tcW w:w="2280" w:type="dxa"/>
            <w:noWrap/>
            <w:vAlign w:val="top"/>
          </w:tcPr>
          <w:p>
            <w:pPr>
              <w:pStyle w:val="88"/>
              <w:spacing w:after="0" w:line="240" w:lineRule="auto"/>
              <w:ind w:left="0" w:leftChars="0" w:firstLine="210" w:firstLineChars="100"/>
              <w:jc w:val="both"/>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0</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050</w: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0</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423" w:type="dxa"/>
            <w:vMerge w:val="continue"/>
            <w:noWrap/>
            <w:vAlign w:val="center"/>
          </w:tcPr>
          <w:p>
            <w:pPr>
              <w:pStyle w:val="88"/>
              <w:spacing w:after="0" w:line="240" w:lineRule="auto"/>
              <w:ind w:left="360" w:firstLine="440"/>
              <w:jc w:val="center"/>
              <w:rPr>
                <w:rFonts w:hint="eastAsia" w:ascii="宋体" w:hAnsi="宋体" w:eastAsia="宋体" w:cs="宋体"/>
                <w:b w:val="0"/>
                <w:bCs w:val="0"/>
                <w:color w:val="auto"/>
                <w:sz w:val="21"/>
                <w:szCs w:val="21"/>
              </w:rPr>
            </w:pPr>
          </w:p>
        </w:tc>
        <w:tc>
          <w:tcPr>
            <w:tcW w:w="1403" w:type="dxa"/>
            <w:noWrap/>
            <w:vAlign w:val="center"/>
          </w:tcPr>
          <w:p>
            <w:pPr>
              <w:pStyle w:val="88"/>
              <w:spacing w:after="0" w:line="240" w:lineRule="auto"/>
              <w:jc w:val="both"/>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tc>
        <w:tc>
          <w:tcPr>
            <w:tcW w:w="2335" w:type="dxa"/>
            <w:noWrap/>
            <w:vAlign w:val="top"/>
          </w:tcPr>
          <w:p>
            <w:pPr>
              <w:pStyle w:val="88"/>
              <w:spacing w:after="0" w:line="240" w:lineRule="auto"/>
              <w:ind w:left="0" w:leftChars="0" w:firstLine="0" w:firstLine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±0.025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±2.50</w:t>
            </w:r>
          </w:p>
        </w:tc>
        <w:tc>
          <w:tcPr>
            <w:tcW w:w="2280" w:type="dxa"/>
            <w:noWrap/>
            <w:vAlign w:val="top"/>
          </w:tcPr>
          <w:p>
            <w:pPr>
              <w:pStyle w:val="88"/>
              <w:spacing w:after="0" w:line="240" w:lineRule="auto"/>
              <w:ind w:left="0" w:leftChars="0" w:firstLine="210" w:firstLineChars="100"/>
              <w:jc w:val="both"/>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0</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020</w: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2</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23" w:type="dxa"/>
            <w:vMerge w:val="restart"/>
            <w:noWrap/>
            <w:vAlign w:val="center"/>
          </w:tcPr>
          <w:p>
            <w:pPr>
              <w:pStyle w:val="88"/>
              <w:spacing w:after="0" w:line="240" w:lineRule="auto"/>
              <w:ind w:left="0" w:leftChars="0" w:firstLine="210" w:firstLineChars="100"/>
              <w:jc w:val="both"/>
              <w:rPr>
                <w:rFonts w:hint="eastAsia" w:ascii="宋体" w:hAnsi="宋体" w:eastAsia="宋体" w:cs="宋体"/>
                <w:sz w:val="21"/>
                <w:szCs w:val="21"/>
              </w:rPr>
            </w:pPr>
            <w:r>
              <w:rPr>
                <w:rFonts w:hint="eastAsia" w:ascii="宋体" w:hAnsi="宋体" w:eastAsia="宋体" w:cs="宋体"/>
                <w:sz w:val="21"/>
                <w:szCs w:val="21"/>
              </w:rPr>
              <w:t>10 - 100</w:t>
            </w:r>
          </w:p>
        </w:tc>
        <w:tc>
          <w:tcPr>
            <w:tcW w:w="1403" w:type="dxa"/>
            <w:noWrap/>
            <w:vAlign w:val="center"/>
          </w:tcPr>
          <w:p>
            <w:pPr>
              <w:pStyle w:val="88"/>
              <w:spacing w:after="0"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100</w:t>
            </w:r>
          </w:p>
        </w:tc>
        <w:tc>
          <w:tcPr>
            <w:tcW w:w="2335" w:type="dxa"/>
            <w:noWrap/>
            <w:vAlign w:val="top"/>
          </w:tcPr>
          <w:p>
            <w:pPr>
              <w:pStyle w:val="88"/>
              <w:spacing w:after="0" w:line="240" w:lineRule="auto"/>
              <w:ind w:left="0" w:leftChars="0" w:firstLine="0" w:firstLine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±0.80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±0.80</w:t>
            </w:r>
          </w:p>
        </w:tc>
        <w:tc>
          <w:tcPr>
            <w:tcW w:w="2280" w:type="dxa"/>
            <w:noWrap/>
            <w:vAlign w:val="top"/>
          </w:tcPr>
          <w:p>
            <w:pPr>
              <w:pStyle w:val="88"/>
              <w:spacing w:after="0" w:line="240" w:lineRule="auto"/>
              <w:ind w:left="0" w:leftChars="0" w:firstLine="210" w:firstLineChars="100"/>
              <w:jc w:val="both"/>
              <w:rPr>
                <w:rFonts w:hint="eastAsia" w:ascii="宋体" w:hAnsi="宋体" w:eastAsia="宋体" w:cs="宋体"/>
                <w:sz w:val="21"/>
                <w:szCs w:val="21"/>
              </w:rPr>
            </w:pPr>
            <w:r>
              <w:rPr>
                <w:rFonts w:hint="eastAsia" w:ascii="宋体" w:hAnsi="宋体" w:eastAsia="宋体" w:cs="宋体"/>
                <w:sz w:val="21"/>
                <w:szCs w:val="21"/>
              </w:rPr>
              <w:t>0</w:t>
            </w:r>
            <w:r>
              <w:rPr>
                <w:rFonts w:hint="eastAsia" w:ascii="宋体" w:hAnsi="宋体" w:eastAsia="宋体" w:cs="宋体"/>
                <w:sz w:val="21"/>
                <w:szCs w:val="21"/>
                <w:lang w:val="en-US" w:eastAsia="zh-CN"/>
              </w:rPr>
              <w:t>.</w:t>
            </w:r>
            <w:r>
              <w:rPr>
                <w:rFonts w:hint="eastAsia" w:ascii="宋体" w:hAnsi="宋体" w:eastAsia="宋体" w:cs="宋体"/>
                <w:sz w:val="21"/>
                <w:szCs w:val="21"/>
              </w:rPr>
              <w:t>20</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0</w:t>
            </w:r>
            <w:r>
              <w:rPr>
                <w:rFonts w:hint="eastAsia" w:ascii="宋体" w:hAnsi="宋体" w:eastAsia="宋体" w:cs="宋体"/>
                <w:sz w:val="21"/>
                <w:szCs w:val="21"/>
                <w:lang w:val="en-US" w:eastAsia="zh-CN"/>
              </w:rPr>
              <w:t>.</w:t>
            </w:r>
            <w:r>
              <w:rPr>
                <w:rFonts w:hint="eastAsia" w:ascii="宋体" w:hAnsi="宋体" w:eastAsia="宋体" w:cs="宋体"/>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423" w:type="dxa"/>
            <w:vMerge w:val="continue"/>
            <w:noWrap/>
            <w:vAlign w:val="center"/>
          </w:tcPr>
          <w:p>
            <w:pPr>
              <w:pStyle w:val="88"/>
              <w:spacing w:after="0" w:line="240" w:lineRule="auto"/>
              <w:ind w:left="360" w:firstLine="440"/>
              <w:jc w:val="center"/>
              <w:rPr>
                <w:rFonts w:hint="eastAsia" w:ascii="宋体" w:hAnsi="宋体" w:eastAsia="宋体" w:cs="宋体"/>
                <w:sz w:val="21"/>
                <w:szCs w:val="21"/>
              </w:rPr>
            </w:pPr>
          </w:p>
        </w:tc>
        <w:tc>
          <w:tcPr>
            <w:tcW w:w="1403" w:type="dxa"/>
            <w:noWrap/>
            <w:vAlign w:val="center"/>
          </w:tcPr>
          <w:p>
            <w:pPr>
              <w:pStyle w:val="88"/>
              <w:spacing w:after="0"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2335" w:type="dxa"/>
            <w:noWrap/>
            <w:vAlign w:val="top"/>
          </w:tcPr>
          <w:p>
            <w:pPr>
              <w:pStyle w:val="88"/>
              <w:spacing w:after="0" w:line="240" w:lineRule="auto"/>
              <w:ind w:left="0" w:leftChars="0" w:firstLine="0" w:firstLine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±0.30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±3.00</w:t>
            </w:r>
          </w:p>
        </w:tc>
        <w:tc>
          <w:tcPr>
            <w:tcW w:w="2280" w:type="dxa"/>
            <w:noWrap/>
            <w:vAlign w:val="top"/>
          </w:tcPr>
          <w:p>
            <w:pPr>
              <w:pStyle w:val="88"/>
              <w:spacing w:after="0" w:line="240" w:lineRule="auto"/>
              <w:ind w:left="0" w:leftChars="0" w:firstLine="210" w:firstLineChars="100"/>
              <w:jc w:val="both"/>
              <w:rPr>
                <w:rFonts w:hint="eastAsia" w:ascii="宋体" w:hAnsi="宋体" w:eastAsia="宋体" w:cs="宋体"/>
                <w:sz w:val="21"/>
                <w:szCs w:val="21"/>
              </w:rPr>
            </w:pPr>
            <w:r>
              <w:rPr>
                <w:rFonts w:hint="eastAsia" w:ascii="宋体" w:hAnsi="宋体" w:eastAsia="宋体" w:cs="宋体"/>
                <w:sz w:val="21"/>
                <w:szCs w:val="21"/>
              </w:rPr>
              <w:t>0</w:t>
            </w:r>
            <w:r>
              <w:rPr>
                <w:rFonts w:hint="eastAsia" w:ascii="宋体" w:hAnsi="宋体" w:eastAsia="宋体" w:cs="宋体"/>
                <w:sz w:val="21"/>
                <w:szCs w:val="21"/>
                <w:lang w:val="en-US" w:eastAsia="zh-CN"/>
              </w:rPr>
              <w:t>.</w:t>
            </w:r>
            <w:r>
              <w:rPr>
                <w:rFonts w:hint="eastAsia" w:ascii="宋体" w:hAnsi="宋体" w:eastAsia="宋体" w:cs="宋体"/>
                <w:sz w:val="21"/>
                <w:szCs w:val="21"/>
              </w:rPr>
              <w:t>10</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00</w:t>
            </w:r>
          </w:p>
        </w:tc>
      </w:tr>
    </w:tbl>
    <w:p>
      <w:pPr>
        <w:pStyle w:val="34"/>
        <w:spacing w:line="360" w:lineRule="auto"/>
        <w:ind w:left="0" w:leftChars="0" w:firstLine="0" w:firstLineChars="0"/>
        <w:outlineLvl w:val="9"/>
        <w:rPr>
          <w:rFonts w:hint="eastAsia" w:ascii="宋体" w:hAnsi="宋体" w:eastAsia="宋体" w:cs="宋体"/>
          <w:sz w:val="24"/>
          <w:szCs w:val="24"/>
        </w:rPr>
      </w:pPr>
    </w:p>
    <w:p>
      <w:pPr>
        <w:pStyle w:val="34"/>
        <w:spacing w:line="360" w:lineRule="auto"/>
        <w:ind w:left="0" w:leftChars="0" w:firstLine="0" w:firstLineChars="0"/>
        <w:outlineLvl w:val="9"/>
        <w:rPr>
          <w:rFonts w:hint="eastAsia" w:ascii="宋体" w:hAnsi="宋体" w:eastAsia="宋体" w:cs="宋体"/>
          <w:sz w:val="24"/>
          <w:szCs w:val="24"/>
          <w:lang w:val="en-US" w:eastAsia="zh-CN"/>
        </w:rPr>
      </w:pPr>
    </w:p>
    <w:p>
      <w:pPr>
        <w:spacing w:line="360" w:lineRule="auto"/>
        <w:outlineLvl w:val="9"/>
        <w:rPr>
          <w:rFonts w:hint="eastAsia" w:ascii="宋体" w:hAnsi="宋体" w:eastAsia="宋体" w:cs="宋体"/>
          <w:sz w:val="24"/>
          <w:szCs w:val="24"/>
        </w:rPr>
      </w:pPr>
    </w:p>
    <w:p>
      <w:pPr>
        <w:pStyle w:val="34"/>
        <w:spacing w:line="360" w:lineRule="auto"/>
        <w:outlineLvl w:val="9"/>
        <w:rPr>
          <w:rFonts w:hint="eastAsia" w:ascii="宋体" w:hAnsi="宋体" w:eastAsia="宋体" w:cs="宋体"/>
          <w:sz w:val="24"/>
          <w:szCs w:val="24"/>
          <w:lang w:val="en-US" w:eastAsia="zh-CN"/>
        </w:rPr>
      </w:pPr>
    </w:p>
    <w:p>
      <w:pPr>
        <w:pStyle w:val="34"/>
        <w:spacing w:line="360" w:lineRule="auto"/>
        <w:ind w:left="0" w:leftChars="0" w:firstLine="0" w:firstLineChars="0"/>
        <w:outlineLvl w:val="9"/>
        <w:rPr>
          <w:rFonts w:hint="eastAsia" w:ascii="宋体" w:hAnsi="宋体" w:eastAsia="宋体" w:cs="宋体"/>
          <w:sz w:val="24"/>
          <w:szCs w:val="24"/>
        </w:rPr>
      </w:pPr>
    </w:p>
    <w:p/>
    <w:tbl>
      <w:tblPr>
        <w:tblStyle w:val="35"/>
        <w:tblW w:w="5014"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691"/>
        <w:gridCol w:w="713"/>
        <w:gridCol w:w="398"/>
        <w:gridCol w:w="729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1" w:hRule="atLeast"/>
        </w:trPr>
        <w:tc>
          <w:tcPr>
            <w:tcW w:w="5000" w:type="pct"/>
            <w:gridSpan w:val="4"/>
            <w:tcBorders>
              <w:top w:val="nil"/>
              <w:left w:val="nil"/>
              <w:bottom w:val="single" w:color="000000" w:sz="8" w:space="0"/>
              <w:right w:val="nil"/>
            </w:tcBorders>
            <w:vAlign w:val="center"/>
          </w:tcPr>
          <w:p>
            <w:pPr>
              <w:keepNext/>
              <w:jc w:val="center"/>
              <w:rPr>
                <w:rFonts w:ascii="宋体" w:hAnsi="宋体" w:cs="宋体"/>
                <w:sz w:val="40"/>
                <w:szCs w:val="40"/>
                <w:lang w:bidi="zh-CN"/>
              </w:rPr>
            </w:pPr>
            <w:bookmarkStart w:id="316" w:name="_Toc108721142"/>
            <w:r>
              <w:rPr>
                <w:rFonts w:hint="eastAsia" w:ascii="宋体" w:hAnsi="宋体" w:cs="宋体"/>
                <w:sz w:val="40"/>
                <w:szCs w:val="40"/>
                <w:lang w:bidi="zh-CN"/>
              </w:rPr>
              <w:t>第二包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1" w:hRule="atLeast"/>
        </w:trPr>
        <w:tc>
          <w:tcPr>
            <w:tcW w:w="380" w:type="pct"/>
            <w:tcBorders>
              <w:top w:val="single" w:color="000000" w:sz="8" w:space="0"/>
            </w:tcBorders>
            <w:vAlign w:val="center"/>
          </w:tcPr>
          <w:p>
            <w:pPr>
              <w:keepNext/>
              <w:rPr>
                <w:rFonts w:ascii="宋体" w:hAnsi="宋体" w:cs="宋体"/>
                <w:sz w:val="24"/>
                <w:lang w:val="zh-CN" w:bidi="zh-CN"/>
              </w:rPr>
            </w:pPr>
            <w:r>
              <w:rPr>
                <w:rFonts w:hint="eastAsia" w:ascii="宋体" w:hAnsi="宋体" w:cs="宋体"/>
                <w:sz w:val="24"/>
                <w:lang w:val="zh-CN" w:bidi="zh-CN"/>
              </w:rPr>
              <w:t>序号</w:t>
            </w:r>
          </w:p>
        </w:tc>
        <w:tc>
          <w:tcPr>
            <w:tcW w:w="392" w:type="pct"/>
            <w:tcBorders>
              <w:top w:val="single" w:color="000000" w:sz="8" w:space="0"/>
            </w:tcBorders>
            <w:vAlign w:val="center"/>
          </w:tcPr>
          <w:p>
            <w:pPr>
              <w:keepNext/>
              <w:rPr>
                <w:rFonts w:ascii="宋体" w:hAnsi="宋体" w:cs="宋体"/>
                <w:sz w:val="24"/>
                <w:lang w:val="zh-CN" w:bidi="zh-CN"/>
              </w:rPr>
            </w:pPr>
            <w:r>
              <w:rPr>
                <w:rFonts w:hint="eastAsia" w:ascii="宋体" w:hAnsi="宋体" w:cs="宋体"/>
                <w:sz w:val="24"/>
                <w:lang w:val="zh-CN" w:bidi="zh-CN"/>
              </w:rPr>
              <w:t>设备名称</w:t>
            </w:r>
          </w:p>
        </w:tc>
        <w:tc>
          <w:tcPr>
            <w:tcW w:w="219" w:type="pct"/>
            <w:tcBorders>
              <w:top w:val="single" w:color="000000" w:sz="8" w:space="0"/>
            </w:tcBorders>
            <w:vAlign w:val="center"/>
          </w:tcPr>
          <w:p>
            <w:pPr>
              <w:keepNext/>
              <w:rPr>
                <w:rFonts w:ascii="宋体" w:hAnsi="宋体" w:cs="宋体"/>
                <w:sz w:val="24"/>
                <w:lang w:bidi="zh-CN"/>
              </w:rPr>
            </w:pPr>
            <w:r>
              <w:rPr>
                <w:rFonts w:hint="eastAsia" w:ascii="宋体" w:hAnsi="宋体" w:cs="宋体"/>
                <w:sz w:val="24"/>
                <w:lang w:bidi="zh-CN"/>
              </w:rPr>
              <w:t>数量</w:t>
            </w:r>
          </w:p>
        </w:tc>
        <w:tc>
          <w:tcPr>
            <w:tcW w:w="4006" w:type="pct"/>
            <w:tcBorders>
              <w:top w:val="single" w:color="000000" w:sz="8" w:space="0"/>
            </w:tcBorders>
            <w:vAlign w:val="center"/>
          </w:tcPr>
          <w:p>
            <w:pPr>
              <w:keepNext/>
              <w:rPr>
                <w:rFonts w:ascii="宋体" w:hAnsi="宋体" w:cs="宋体"/>
                <w:sz w:val="24"/>
                <w:lang w:bidi="zh-CN"/>
              </w:rPr>
            </w:pPr>
            <w:r>
              <w:rPr>
                <w:rFonts w:hint="eastAsia" w:ascii="宋体" w:hAnsi="宋体" w:cs="宋体"/>
                <w:sz w:val="24"/>
                <w:lang w:bidi="zh-CN"/>
              </w:rPr>
              <w:t>技术参数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649" w:hRule="atLeast"/>
        </w:trPr>
        <w:tc>
          <w:tcPr>
            <w:tcW w:w="380" w:type="pct"/>
            <w:vAlign w:val="center"/>
          </w:tcPr>
          <w:p>
            <w:pPr>
              <w:keepNext/>
              <w:rPr>
                <w:rFonts w:ascii="宋体" w:hAnsi="宋体" w:cs="宋体"/>
                <w:sz w:val="24"/>
              </w:rPr>
            </w:pPr>
            <w:r>
              <w:rPr>
                <w:rFonts w:hint="eastAsia" w:ascii="宋体" w:hAnsi="宋体" w:cs="宋体"/>
                <w:sz w:val="24"/>
              </w:rPr>
              <w:t xml:space="preserve"> 1</w:t>
            </w:r>
          </w:p>
        </w:tc>
        <w:tc>
          <w:tcPr>
            <w:tcW w:w="392" w:type="pct"/>
            <w:vAlign w:val="center"/>
          </w:tcPr>
          <w:p>
            <w:pPr>
              <w:keepNext/>
              <w:rPr>
                <w:rFonts w:ascii="宋体" w:hAnsi="宋体" w:cs="宋体"/>
                <w:sz w:val="24"/>
                <w:lang w:val="zh-CN"/>
              </w:rPr>
            </w:pPr>
            <w:r>
              <w:rPr>
                <w:rFonts w:hint="eastAsia" w:ascii="宋体" w:hAnsi="宋体" w:cs="宋体"/>
                <w:sz w:val="24"/>
                <w:lang w:val="zh-CN"/>
              </w:rPr>
              <w:t>离子色谱仪</w:t>
            </w:r>
          </w:p>
        </w:tc>
        <w:tc>
          <w:tcPr>
            <w:tcW w:w="219" w:type="pct"/>
            <w:vAlign w:val="center"/>
          </w:tcPr>
          <w:p>
            <w:pPr>
              <w:keepNext/>
              <w:rPr>
                <w:rFonts w:ascii="宋体" w:hAnsi="宋体" w:cs="宋体"/>
                <w:sz w:val="24"/>
              </w:rPr>
            </w:pPr>
            <w:r>
              <w:rPr>
                <w:rFonts w:hint="eastAsia" w:ascii="宋体" w:hAnsi="宋体" w:cs="宋体"/>
                <w:sz w:val="24"/>
              </w:rPr>
              <w:t xml:space="preserve"> 1</w:t>
            </w:r>
          </w:p>
        </w:tc>
        <w:tc>
          <w:tcPr>
            <w:tcW w:w="4006" w:type="pct"/>
            <w:vAlign w:val="center"/>
          </w:tcPr>
          <w:p>
            <w:pPr>
              <w:pStyle w:val="33"/>
              <w:keepNext/>
              <w:spacing w:after="120"/>
              <w:ind w:firstLine="240"/>
              <w:jc w:val="left"/>
              <w:rPr>
                <w:rFonts w:cs="宋体"/>
              </w:rPr>
            </w:pPr>
            <w:r>
              <w:rPr>
                <w:rFonts w:hint="eastAsia" w:cs="宋体"/>
              </w:rPr>
              <w:t>1 用途</w:t>
            </w:r>
          </w:p>
          <w:p>
            <w:pPr>
              <w:pStyle w:val="33"/>
              <w:keepNext/>
              <w:spacing w:after="120"/>
              <w:ind w:firstLine="240"/>
              <w:jc w:val="left"/>
              <w:rPr>
                <w:rFonts w:cs="宋体"/>
              </w:rPr>
            </w:pPr>
            <w:r>
              <w:rPr>
                <w:rFonts w:hint="eastAsia" w:cs="宋体"/>
              </w:rPr>
              <w:t>1.1 用途：可用于阴离子（如：F-、Cl-、Br-、BrO3-、NO3-、NO2-、SO42- 、PO43-、消毒副产物等）的检测分析。</w:t>
            </w:r>
          </w:p>
          <w:p>
            <w:pPr>
              <w:pStyle w:val="33"/>
              <w:keepNext/>
              <w:spacing w:after="120"/>
              <w:ind w:firstLine="240"/>
              <w:jc w:val="left"/>
              <w:rPr>
                <w:rFonts w:cs="宋体"/>
              </w:rPr>
            </w:pPr>
            <w:r>
              <w:rPr>
                <w:rFonts w:hint="eastAsia" w:cs="宋体"/>
              </w:rPr>
              <w:t>2 整机参数</w:t>
            </w:r>
          </w:p>
          <w:p>
            <w:pPr>
              <w:pStyle w:val="33"/>
              <w:keepNext/>
              <w:spacing w:after="120"/>
              <w:ind w:firstLine="240"/>
              <w:jc w:val="left"/>
              <w:rPr>
                <w:rFonts w:cs="宋体"/>
              </w:rPr>
            </w:pPr>
            <w:r>
              <w:rPr>
                <w:rFonts w:hint="eastAsia" w:cs="宋体"/>
              </w:rPr>
              <w:t>2.1系统参数</w:t>
            </w:r>
          </w:p>
          <w:p>
            <w:pPr>
              <w:pStyle w:val="33"/>
              <w:keepNext/>
              <w:spacing w:after="120"/>
              <w:ind w:firstLine="240"/>
              <w:jc w:val="left"/>
              <w:rPr>
                <w:rFonts w:cs="宋体"/>
              </w:rPr>
            </w:pPr>
            <w:r>
              <w:rPr>
                <w:rFonts w:hint="eastAsia" w:cs="宋体"/>
              </w:rPr>
              <w:t>2.1.1定性重复性：≤0.5%</w:t>
            </w:r>
          </w:p>
          <w:p>
            <w:pPr>
              <w:pStyle w:val="33"/>
              <w:keepNext/>
              <w:spacing w:after="120"/>
              <w:ind w:firstLine="240"/>
              <w:jc w:val="left"/>
              <w:rPr>
                <w:rFonts w:cs="宋体"/>
              </w:rPr>
            </w:pPr>
            <w:r>
              <w:rPr>
                <w:rFonts w:hint="eastAsia" w:cs="宋体"/>
              </w:rPr>
              <w:t>2.1.2定量重复性：≤1.0%</w:t>
            </w:r>
          </w:p>
          <w:p>
            <w:pPr>
              <w:pStyle w:val="33"/>
              <w:keepNext/>
              <w:spacing w:after="120"/>
              <w:ind w:firstLine="240"/>
              <w:jc w:val="left"/>
              <w:rPr>
                <w:rFonts w:cs="宋体"/>
              </w:rPr>
            </w:pPr>
            <w:r>
              <w:rPr>
                <w:rFonts w:hint="eastAsia" w:cs="宋体"/>
              </w:rPr>
              <w:t>2.1.3所有的离子色谱流路均标配采用原厂提供的PEEK及PTFE材质，包括分析泵本身及分析泵后至六通阀、色谱柱、抑制器、检测器之间的所有管路</w:t>
            </w:r>
          </w:p>
          <w:p>
            <w:pPr>
              <w:pStyle w:val="33"/>
              <w:keepNext/>
              <w:spacing w:after="120"/>
              <w:ind w:firstLine="240"/>
              <w:jc w:val="left"/>
              <w:rPr>
                <w:rFonts w:cs="宋体"/>
              </w:rPr>
            </w:pPr>
            <w:r>
              <w:rPr>
                <w:rFonts w:hint="eastAsia" w:cs="宋体"/>
              </w:rPr>
              <w:t>2.2 色谱泵系统</w:t>
            </w:r>
          </w:p>
          <w:p>
            <w:pPr>
              <w:pStyle w:val="33"/>
              <w:keepNext/>
              <w:spacing w:after="120"/>
              <w:ind w:firstLine="240"/>
              <w:jc w:val="left"/>
              <w:rPr>
                <w:rFonts w:cs="宋体"/>
              </w:rPr>
            </w:pPr>
            <w:r>
              <w:rPr>
                <w:rFonts w:hint="eastAsia" w:cs="宋体"/>
              </w:rPr>
              <w:t>2.2.1 高性能/低脉冲双柱塞泵，采用惰性全PEEK泵头、PEEK管路，适合于pH为0~14的淋洗液及反相有机溶剂</w:t>
            </w:r>
          </w:p>
          <w:p>
            <w:pPr>
              <w:pStyle w:val="33"/>
              <w:keepNext/>
              <w:spacing w:after="120"/>
              <w:ind w:firstLine="240"/>
              <w:jc w:val="left"/>
              <w:rPr>
                <w:rFonts w:hint="eastAsia" w:cs="宋体"/>
              </w:rPr>
            </w:pPr>
            <w:r>
              <w:rPr>
                <w:rFonts w:hint="eastAsia" w:cs="宋体"/>
              </w:rPr>
              <w:t>2.2.2全PEEK泵流量：（0.001～10.000）mL/min；</w:t>
            </w:r>
          </w:p>
          <w:p>
            <w:pPr>
              <w:pStyle w:val="33"/>
              <w:keepNext/>
              <w:spacing w:after="120"/>
              <w:ind w:firstLine="240"/>
              <w:jc w:val="left"/>
              <w:rPr>
                <w:rFonts w:cs="宋体"/>
              </w:rPr>
            </w:pPr>
            <w:r>
              <w:rPr>
                <w:rFonts w:hint="eastAsia" w:cs="宋体"/>
              </w:rPr>
              <w:t xml:space="preserve">2.2.3泵头耐压：（0～35）MPa； </w:t>
            </w:r>
          </w:p>
          <w:p>
            <w:pPr>
              <w:pStyle w:val="33"/>
              <w:keepNext/>
              <w:spacing w:after="120"/>
              <w:ind w:firstLine="240"/>
              <w:jc w:val="left"/>
              <w:rPr>
                <w:rFonts w:cs="宋体"/>
              </w:rPr>
            </w:pPr>
            <w:r>
              <w:rPr>
                <w:rFonts w:hint="eastAsia" w:cs="宋体"/>
              </w:rPr>
              <w:t>2.2.4 流量设定误差：≤0.1%</w:t>
            </w:r>
          </w:p>
          <w:p>
            <w:pPr>
              <w:pStyle w:val="33"/>
              <w:keepNext/>
              <w:spacing w:after="120"/>
              <w:ind w:firstLine="240"/>
              <w:jc w:val="left"/>
              <w:rPr>
                <w:rFonts w:cs="宋体"/>
              </w:rPr>
            </w:pPr>
            <w:r>
              <w:rPr>
                <w:rFonts w:hint="eastAsia" w:cs="宋体"/>
              </w:rPr>
              <w:t>2.2.5 流量稳定性：≤0.1%</w:t>
            </w:r>
          </w:p>
          <w:p>
            <w:pPr>
              <w:pStyle w:val="33"/>
              <w:keepNext/>
              <w:spacing w:after="120"/>
              <w:ind w:firstLine="240"/>
              <w:jc w:val="left"/>
              <w:rPr>
                <w:rFonts w:cs="宋体"/>
              </w:rPr>
            </w:pPr>
            <w:r>
              <w:rPr>
                <w:rFonts w:hint="eastAsia" w:cs="宋体"/>
              </w:rPr>
              <w:t>2.2.6 压力显示精度：0.01Mpa</w:t>
            </w:r>
          </w:p>
          <w:p>
            <w:pPr>
              <w:pStyle w:val="33"/>
              <w:keepNext/>
              <w:spacing w:after="120"/>
              <w:ind w:firstLine="240"/>
              <w:jc w:val="left"/>
              <w:rPr>
                <w:rFonts w:cs="宋体"/>
              </w:rPr>
            </w:pPr>
            <w:r>
              <w:rPr>
                <w:rFonts w:hint="eastAsia" w:cs="宋体"/>
              </w:rPr>
              <w:t>2.2.7压力脉动：≤0.5%</w:t>
            </w:r>
          </w:p>
          <w:p>
            <w:pPr>
              <w:pStyle w:val="33"/>
              <w:keepNext/>
              <w:spacing w:after="120"/>
              <w:ind w:firstLine="240"/>
              <w:jc w:val="left"/>
              <w:rPr>
                <w:rFonts w:cs="宋体"/>
              </w:rPr>
            </w:pPr>
            <w:r>
              <w:rPr>
                <w:rFonts w:hint="eastAsia" w:cs="宋体"/>
              </w:rPr>
              <w:t>2.3 电导检测器</w:t>
            </w:r>
          </w:p>
          <w:p>
            <w:pPr>
              <w:pStyle w:val="33"/>
              <w:keepNext/>
              <w:spacing w:after="120"/>
              <w:ind w:firstLine="240"/>
              <w:jc w:val="left"/>
              <w:rPr>
                <w:rFonts w:cs="宋体"/>
              </w:rPr>
            </w:pPr>
            <w:r>
              <w:rPr>
                <w:rFonts w:hint="eastAsia" w:cs="宋体"/>
              </w:rPr>
              <w:t>2.3.1基线噪声：≤0.1%FS</w:t>
            </w:r>
          </w:p>
          <w:p>
            <w:pPr>
              <w:pStyle w:val="33"/>
              <w:keepNext/>
              <w:spacing w:after="120"/>
              <w:ind w:firstLine="240"/>
              <w:jc w:val="left"/>
              <w:rPr>
                <w:rFonts w:cs="宋体"/>
              </w:rPr>
            </w:pPr>
            <w:r>
              <w:rPr>
                <w:rFonts w:hint="eastAsia" w:cs="宋体"/>
              </w:rPr>
              <w:t>2.3.2基线漂移：≤0.5%FS</w:t>
            </w:r>
          </w:p>
          <w:p>
            <w:pPr>
              <w:pStyle w:val="33"/>
              <w:keepNext/>
              <w:spacing w:after="120"/>
              <w:ind w:firstLine="240"/>
              <w:jc w:val="left"/>
              <w:rPr>
                <w:rFonts w:hint="eastAsia" w:cs="宋体"/>
              </w:rPr>
            </w:pPr>
            <w:r>
              <w:rPr>
                <w:rFonts w:hint="eastAsia" w:cs="宋体"/>
              </w:rPr>
              <w:t>2.3.3最小检出浓度（Cl）：≤0.0002μg/mL</w:t>
            </w:r>
          </w:p>
          <w:p>
            <w:pPr>
              <w:pStyle w:val="33"/>
              <w:keepNext/>
              <w:spacing w:after="120"/>
              <w:ind w:firstLine="240"/>
              <w:jc w:val="left"/>
              <w:rPr>
                <w:rFonts w:cs="宋体"/>
              </w:rPr>
            </w:pPr>
            <w:r>
              <w:rPr>
                <w:rFonts w:hint="eastAsia" w:cs="宋体"/>
              </w:rPr>
              <w:t>2.3.4最小检出浓度（Li）：≤0.0001μg/mL</w:t>
            </w:r>
          </w:p>
          <w:p>
            <w:pPr>
              <w:pStyle w:val="33"/>
              <w:keepNext/>
              <w:spacing w:after="120"/>
              <w:ind w:firstLine="240"/>
              <w:jc w:val="left"/>
              <w:rPr>
                <w:rFonts w:cs="宋体"/>
              </w:rPr>
            </w:pPr>
            <w:r>
              <w:rPr>
                <w:rFonts w:hint="eastAsia" w:cs="宋体"/>
              </w:rPr>
              <w:t>2.3.5 数字电导检测器,输出值为电导率值，单位为μS/cm。</w:t>
            </w:r>
          </w:p>
          <w:p>
            <w:pPr>
              <w:pStyle w:val="33"/>
              <w:keepNext/>
              <w:spacing w:after="120"/>
              <w:ind w:firstLine="240"/>
              <w:jc w:val="left"/>
              <w:rPr>
                <w:rFonts w:cs="宋体"/>
              </w:rPr>
            </w:pPr>
            <w:r>
              <w:rPr>
                <w:rFonts w:hint="eastAsia" w:cs="宋体"/>
              </w:rPr>
              <w:t>2.3.6 电导池体积：≤0.</w:t>
            </w:r>
            <w:r>
              <w:rPr>
                <w:rFonts w:hint="eastAsia" w:cs="宋体"/>
                <w:lang w:val="en-US" w:eastAsia="zh-CN"/>
              </w:rPr>
              <w:t>8</w:t>
            </w:r>
            <w:r>
              <w:rPr>
                <w:rFonts w:hint="eastAsia" w:cs="宋体"/>
              </w:rPr>
              <w:t>μL</w:t>
            </w:r>
          </w:p>
          <w:p>
            <w:pPr>
              <w:pStyle w:val="33"/>
              <w:keepNext/>
              <w:spacing w:after="120"/>
              <w:ind w:firstLine="240"/>
              <w:jc w:val="left"/>
              <w:rPr>
                <w:rFonts w:cs="宋体"/>
              </w:rPr>
            </w:pPr>
            <w:r>
              <w:rPr>
                <w:rFonts w:hint="eastAsia" w:cs="宋体"/>
              </w:rPr>
              <w:t>2.3.7电导检测范围：0-</w:t>
            </w:r>
            <w:r>
              <w:rPr>
                <w:rFonts w:hint="eastAsia" w:cs="宋体"/>
                <w:lang w:val="en-US" w:eastAsia="zh-CN"/>
              </w:rPr>
              <w:t>1</w:t>
            </w:r>
            <w:bookmarkStart w:id="329" w:name="_GoBack"/>
            <w:bookmarkEnd w:id="329"/>
            <w:r>
              <w:rPr>
                <w:rFonts w:hint="eastAsia" w:cs="宋体"/>
              </w:rPr>
              <w:t xml:space="preserve">5000μS/cm </w:t>
            </w:r>
          </w:p>
          <w:p>
            <w:pPr>
              <w:pStyle w:val="33"/>
              <w:keepNext/>
              <w:spacing w:after="120"/>
              <w:ind w:firstLine="240"/>
              <w:jc w:val="left"/>
              <w:rPr>
                <w:rFonts w:cs="宋体"/>
              </w:rPr>
            </w:pPr>
            <w:r>
              <w:rPr>
                <w:rFonts w:hint="eastAsia" w:cs="宋体"/>
              </w:rPr>
              <w:t xml:space="preserve">2.3.6检测器分辨率：0.00238nS/cm </w:t>
            </w:r>
          </w:p>
          <w:p>
            <w:pPr>
              <w:pStyle w:val="33"/>
              <w:keepNext/>
              <w:spacing w:after="120"/>
              <w:ind w:firstLine="240"/>
              <w:jc w:val="left"/>
              <w:rPr>
                <w:rFonts w:cs="宋体"/>
              </w:rPr>
            </w:pPr>
            <w:r>
              <w:rPr>
                <w:rFonts w:hint="eastAsia" w:cs="宋体"/>
              </w:rPr>
              <w:t>2.4 抑制器</w:t>
            </w:r>
          </w:p>
          <w:p>
            <w:pPr>
              <w:pStyle w:val="33"/>
              <w:keepNext/>
              <w:spacing w:after="120"/>
              <w:ind w:firstLine="240"/>
              <w:jc w:val="left"/>
              <w:rPr>
                <w:rFonts w:cs="宋体"/>
              </w:rPr>
            </w:pPr>
            <w:r>
              <w:rPr>
                <w:rFonts w:hint="eastAsia" w:cs="宋体"/>
              </w:rPr>
              <w:t>2.4.1具备原厂生产的电解自动再生膜抑制器，无需外加硫酸进行轮流再生。具有高容量，免维护，低背景电导，低背景噪声和稳定的基线，无需蠕动泵等其他辅助设备。</w:t>
            </w:r>
          </w:p>
          <w:p>
            <w:pPr>
              <w:pStyle w:val="33"/>
              <w:keepNext/>
              <w:spacing w:after="120"/>
              <w:ind w:firstLine="240"/>
              <w:jc w:val="left"/>
              <w:rPr>
                <w:rFonts w:cs="宋体"/>
              </w:rPr>
            </w:pPr>
            <w:r>
              <w:rPr>
                <w:rFonts w:hint="eastAsia" w:cs="宋体"/>
              </w:rPr>
              <w:t>2.4.2 配置电解自再生膜抑制器</w:t>
            </w:r>
          </w:p>
          <w:p>
            <w:pPr>
              <w:pStyle w:val="33"/>
              <w:keepNext/>
              <w:spacing w:after="120"/>
              <w:ind w:firstLine="240"/>
              <w:jc w:val="left"/>
              <w:rPr>
                <w:rFonts w:cs="宋体"/>
              </w:rPr>
            </w:pPr>
            <w:r>
              <w:rPr>
                <w:rFonts w:hint="eastAsia" w:cs="宋体"/>
              </w:rPr>
              <w:t>2.4.3 恒流源范围：0-500mA，增量0.1mA。</w:t>
            </w:r>
          </w:p>
          <w:p>
            <w:pPr>
              <w:pStyle w:val="33"/>
              <w:keepNext/>
              <w:spacing w:after="120"/>
              <w:ind w:firstLine="240"/>
              <w:jc w:val="left"/>
              <w:rPr>
                <w:rFonts w:cs="宋体"/>
              </w:rPr>
            </w:pPr>
            <w:r>
              <w:rPr>
                <w:rFonts w:hint="eastAsia" w:cs="宋体"/>
              </w:rPr>
              <w:t>2.5 柱温箱</w:t>
            </w:r>
          </w:p>
          <w:p>
            <w:pPr>
              <w:pStyle w:val="33"/>
              <w:keepNext/>
              <w:spacing w:after="120"/>
              <w:ind w:firstLine="240"/>
              <w:jc w:val="left"/>
              <w:rPr>
                <w:rFonts w:hint="eastAsia" w:cs="宋体"/>
              </w:rPr>
            </w:pPr>
            <w:r>
              <w:rPr>
                <w:rFonts w:hint="eastAsia" w:cs="宋体"/>
              </w:rPr>
              <w:t>2.5.1 内置色谱柱温箱，具有淋洗液预加热功能，可使淋洗液的温度在进入色谱柱前已和色谱柱的柱温保持一致</w:t>
            </w:r>
          </w:p>
          <w:p>
            <w:pPr>
              <w:pStyle w:val="33"/>
              <w:keepNext/>
              <w:spacing w:after="120"/>
              <w:ind w:firstLine="240"/>
              <w:jc w:val="left"/>
              <w:rPr>
                <w:rFonts w:cs="宋体"/>
              </w:rPr>
            </w:pPr>
            <w:r>
              <w:rPr>
                <w:rFonts w:hint="eastAsia" w:cs="宋体"/>
              </w:rPr>
              <w:t>2.5.2 温度范围：室温＋5℃~85℃</w:t>
            </w:r>
          </w:p>
          <w:p>
            <w:pPr>
              <w:pStyle w:val="33"/>
              <w:keepNext/>
              <w:spacing w:after="120"/>
              <w:ind w:firstLine="240"/>
              <w:jc w:val="left"/>
              <w:rPr>
                <w:rFonts w:cs="宋体"/>
              </w:rPr>
            </w:pPr>
            <w:r>
              <w:rPr>
                <w:rFonts w:hint="eastAsia" w:cs="宋体"/>
              </w:rPr>
              <w:t>2.5.3控温度稳定性：≤0.1℃</w:t>
            </w:r>
          </w:p>
          <w:p>
            <w:pPr>
              <w:pStyle w:val="33"/>
              <w:keepNext/>
              <w:spacing w:after="120"/>
              <w:ind w:firstLine="240"/>
              <w:jc w:val="left"/>
              <w:rPr>
                <w:rFonts w:cs="宋体"/>
              </w:rPr>
            </w:pPr>
            <w:r>
              <w:rPr>
                <w:rFonts w:hint="eastAsia" w:cs="宋体"/>
              </w:rPr>
              <w:t>2.5.4 可兼容长度为250mm和150mm色谱柱</w:t>
            </w:r>
          </w:p>
          <w:p>
            <w:pPr>
              <w:pStyle w:val="33"/>
              <w:keepNext/>
              <w:spacing w:after="120"/>
              <w:ind w:firstLine="240"/>
              <w:jc w:val="left"/>
              <w:rPr>
                <w:rFonts w:cs="宋体"/>
              </w:rPr>
            </w:pPr>
            <w:r>
              <w:rPr>
                <w:rFonts w:hint="eastAsia" w:cs="宋体"/>
              </w:rPr>
              <w:t>2.6 离子色谱柱</w:t>
            </w:r>
          </w:p>
          <w:p>
            <w:pPr>
              <w:pStyle w:val="33"/>
              <w:keepNext/>
              <w:spacing w:after="120"/>
              <w:ind w:firstLine="240"/>
              <w:jc w:val="left"/>
              <w:rPr>
                <w:rFonts w:cs="宋体"/>
              </w:rPr>
            </w:pPr>
            <w:r>
              <w:rPr>
                <w:rFonts w:hint="eastAsia" w:cs="宋体"/>
              </w:rPr>
              <w:t>2.6.1原厂生产阴离子色谱柱，色谱填料为聚合物材料，管为PEEK材质；可用于食品、药品、环境、水质等样品中常规阴离子和消毒副属产物的检测。</w:t>
            </w:r>
          </w:p>
          <w:p>
            <w:pPr>
              <w:pStyle w:val="33"/>
              <w:keepNext/>
              <w:spacing w:after="120"/>
              <w:ind w:firstLine="240"/>
              <w:jc w:val="left"/>
              <w:rPr>
                <w:rFonts w:cs="宋体"/>
              </w:rPr>
            </w:pPr>
            <w:r>
              <w:rPr>
                <w:rFonts w:hint="eastAsia" w:cs="宋体"/>
              </w:rPr>
              <w:t>2.7 自动进样器</w:t>
            </w:r>
          </w:p>
          <w:p>
            <w:pPr>
              <w:pStyle w:val="207"/>
              <w:keepNext/>
              <w:spacing w:line="360" w:lineRule="auto"/>
              <w:ind w:firstLine="240" w:firstLineChars="100"/>
              <w:jc w:val="left"/>
              <w:rPr>
                <w:rFonts w:ascii="宋体" w:hAnsi="宋体" w:cs="宋体"/>
                <w:sz w:val="24"/>
                <w:szCs w:val="24"/>
              </w:rPr>
            </w:pPr>
            <w:r>
              <w:rPr>
                <w:rFonts w:hint="eastAsia" w:ascii="宋体" w:hAnsi="宋体" w:cs="宋体"/>
                <w:sz w:val="24"/>
                <w:szCs w:val="24"/>
              </w:rPr>
              <w:t>2.7.1具备满环进样功能，预留两个六端口或十端口高压切换阀</w:t>
            </w:r>
          </w:p>
          <w:p>
            <w:pPr>
              <w:pStyle w:val="207"/>
              <w:keepNext/>
              <w:spacing w:line="360" w:lineRule="auto"/>
              <w:ind w:firstLine="240" w:firstLineChars="100"/>
              <w:jc w:val="left"/>
              <w:rPr>
                <w:rFonts w:ascii="宋体" w:hAnsi="宋体" w:cs="宋体"/>
                <w:sz w:val="24"/>
                <w:szCs w:val="24"/>
              </w:rPr>
            </w:pPr>
            <w:r>
              <w:rPr>
                <w:rFonts w:hint="eastAsia" w:ascii="宋体" w:hAnsi="宋体" w:cs="宋体"/>
                <w:sz w:val="24"/>
                <w:szCs w:val="24"/>
              </w:rPr>
              <w:t xml:space="preserve">2.7.2 物理样品位位置数：≥40位； </w:t>
            </w:r>
          </w:p>
          <w:p>
            <w:pPr>
              <w:pStyle w:val="207"/>
              <w:keepNext/>
              <w:spacing w:line="360" w:lineRule="auto"/>
              <w:jc w:val="left"/>
              <w:rPr>
                <w:rFonts w:ascii="宋体" w:hAnsi="宋体" w:cs="宋体"/>
                <w:sz w:val="24"/>
                <w:szCs w:val="24"/>
              </w:rPr>
            </w:pPr>
            <w:r>
              <w:rPr>
                <w:rFonts w:hint="eastAsia" w:ascii="宋体" w:hAnsi="宋体" w:cs="宋体"/>
                <w:sz w:val="24"/>
                <w:szCs w:val="24"/>
              </w:rPr>
              <w:t xml:space="preserve">  2.7.3 样品瓶体积：10ml；</w:t>
            </w:r>
          </w:p>
          <w:p>
            <w:pPr>
              <w:pStyle w:val="207"/>
              <w:keepNext/>
              <w:spacing w:line="360" w:lineRule="auto"/>
              <w:jc w:val="left"/>
              <w:rPr>
                <w:rFonts w:ascii="宋体" w:hAnsi="宋体" w:cs="宋体"/>
                <w:sz w:val="24"/>
                <w:szCs w:val="24"/>
              </w:rPr>
            </w:pPr>
            <w:r>
              <w:rPr>
                <w:rFonts w:hint="eastAsia" w:ascii="宋体" w:hAnsi="宋体" w:cs="宋体"/>
                <w:sz w:val="24"/>
                <w:szCs w:val="24"/>
              </w:rPr>
              <w:t xml:space="preserve">  2.7.4  进样定量管体积:10uL-75uL；</w:t>
            </w:r>
          </w:p>
          <w:p>
            <w:pPr>
              <w:pStyle w:val="207"/>
              <w:keepNext/>
              <w:spacing w:line="360" w:lineRule="auto"/>
              <w:jc w:val="left"/>
              <w:rPr>
                <w:rFonts w:ascii="宋体" w:hAnsi="宋体" w:cs="宋体"/>
                <w:sz w:val="24"/>
                <w:szCs w:val="24"/>
              </w:rPr>
            </w:pPr>
            <w:r>
              <w:rPr>
                <w:rFonts w:hint="eastAsia" w:ascii="宋体" w:hAnsi="宋体" w:cs="宋体"/>
                <w:sz w:val="24"/>
                <w:szCs w:val="24"/>
              </w:rPr>
              <w:t xml:space="preserve">  2.7.5 保留时间重复性：0.5％RSD；</w:t>
            </w:r>
          </w:p>
          <w:p>
            <w:pPr>
              <w:pStyle w:val="207"/>
              <w:keepNext/>
              <w:spacing w:line="360" w:lineRule="auto"/>
              <w:ind w:firstLine="240" w:firstLineChars="100"/>
              <w:jc w:val="left"/>
              <w:rPr>
                <w:rFonts w:ascii="宋体" w:hAnsi="宋体" w:cs="宋体"/>
                <w:sz w:val="24"/>
                <w:szCs w:val="24"/>
              </w:rPr>
            </w:pPr>
            <w:r>
              <w:rPr>
                <w:rFonts w:hint="eastAsia" w:ascii="宋体" w:hAnsi="宋体" w:cs="宋体"/>
                <w:sz w:val="24"/>
                <w:szCs w:val="24"/>
              </w:rPr>
              <w:t>2.7.6 针清洗方式：多级内外壁清洗设置；</w:t>
            </w:r>
          </w:p>
          <w:p>
            <w:pPr>
              <w:pStyle w:val="207"/>
              <w:keepNext/>
              <w:spacing w:line="360" w:lineRule="auto"/>
              <w:jc w:val="left"/>
              <w:rPr>
                <w:rFonts w:ascii="宋体" w:hAnsi="宋体" w:cs="宋体"/>
                <w:sz w:val="24"/>
                <w:szCs w:val="24"/>
              </w:rPr>
            </w:pPr>
            <w:r>
              <w:rPr>
                <w:rFonts w:hint="eastAsia" w:ascii="宋体" w:hAnsi="宋体" w:cs="宋体"/>
                <w:sz w:val="24"/>
                <w:szCs w:val="24"/>
              </w:rPr>
              <w:t xml:space="preserve">  2.7.7 进样器具有进样针干燥装置； </w:t>
            </w:r>
          </w:p>
          <w:p>
            <w:pPr>
              <w:pStyle w:val="33"/>
              <w:keepNext/>
              <w:spacing w:after="120"/>
              <w:ind w:firstLine="240"/>
              <w:jc w:val="left"/>
              <w:rPr>
                <w:rFonts w:cs="宋体"/>
              </w:rPr>
            </w:pPr>
            <w:r>
              <w:rPr>
                <w:rFonts w:hint="eastAsia" w:cs="宋体"/>
              </w:rPr>
              <w:t>2.8 软件</w:t>
            </w:r>
          </w:p>
          <w:p>
            <w:pPr>
              <w:pStyle w:val="33"/>
              <w:keepNext/>
              <w:spacing w:after="120"/>
              <w:ind w:firstLine="240"/>
              <w:jc w:val="left"/>
              <w:rPr>
                <w:rFonts w:cs="宋体"/>
              </w:rPr>
            </w:pPr>
            <w:r>
              <w:rPr>
                <w:rFonts w:hint="eastAsia" w:cs="宋体"/>
              </w:rPr>
              <w:t>2.8.1自主研发，具有软件著作权</w:t>
            </w:r>
          </w:p>
          <w:p>
            <w:pPr>
              <w:pStyle w:val="33"/>
              <w:keepNext/>
              <w:spacing w:after="120"/>
              <w:ind w:firstLine="240"/>
              <w:jc w:val="left"/>
              <w:rPr>
                <w:rFonts w:cs="宋体"/>
              </w:rPr>
            </w:pPr>
            <w:r>
              <w:rPr>
                <w:rFonts w:hint="eastAsia" w:cs="宋体"/>
              </w:rPr>
              <w:t>2.8.2 工作站界面具有完善的审计追踪及权限管理功能</w:t>
            </w:r>
          </w:p>
          <w:p>
            <w:pPr>
              <w:pStyle w:val="33"/>
              <w:keepNext/>
              <w:spacing w:after="120"/>
              <w:ind w:firstLine="240"/>
              <w:jc w:val="left"/>
              <w:rPr>
                <w:rFonts w:cs="宋体"/>
              </w:rPr>
            </w:pPr>
            <w:r>
              <w:rPr>
                <w:rFonts w:hint="eastAsia" w:cs="宋体"/>
              </w:rPr>
              <w:t>2.8.3 图形化全反控界面，提供适实时分析条件参数和分析结果，在线修改和采集各部件工作参数，可自动进行快速数据采集和后处理，具有仪器相关数据与运行状况溯源功能。</w:t>
            </w:r>
          </w:p>
          <w:p>
            <w:pPr>
              <w:pStyle w:val="33"/>
              <w:keepNext/>
              <w:spacing w:after="120"/>
              <w:ind w:firstLine="240"/>
              <w:jc w:val="left"/>
              <w:rPr>
                <w:rFonts w:cs="宋体"/>
              </w:rPr>
            </w:pPr>
            <w:r>
              <w:rPr>
                <w:rFonts w:hint="eastAsia" w:cs="宋体"/>
              </w:rPr>
              <w:t>2.8.4 实现系统部件的有效集成和控制，对气相、液相色谱类及检测器，自动进样器等升级部件可无缝式增加。</w:t>
            </w:r>
          </w:p>
          <w:p>
            <w:pPr>
              <w:pStyle w:val="33"/>
              <w:keepNext/>
              <w:spacing w:after="120"/>
              <w:ind w:firstLine="241"/>
              <w:jc w:val="left"/>
              <w:rPr>
                <w:rFonts w:cs="宋体"/>
                <w:b/>
                <w:bCs/>
              </w:rPr>
            </w:pPr>
            <w:r>
              <w:rPr>
                <w:rFonts w:hint="eastAsia" w:cs="宋体"/>
                <w:b/>
                <w:bCs/>
              </w:rPr>
              <w:t>2.9淋洗液发生器</w:t>
            </w:r>
          </w:p>
          <w:p>
            <w:pPr>
              <w:pStyle w:val="33"/>
              <w:keepNext/>
              <w:spacing w:after="120"/>
              <w:ind w:firstLine="240"/>
              <w:jc w:val="left"/>
              <w:rPr>
                <w:rFonts w:cs="宋体"/>
              </w:rPr>
            </w:pPr>
            <w:r>
              <w:rPr>
                <w:rFonts w:hint="eastAsia" w:cs="宋体"/>
              </w:rPr>
              <w:t>2.9.1流量范围:0.001～</w:t>
            </w:r>
            <w:r>
              <w:rPr>
                <w:rFonts w:hint="eastAsia" w:cs="宋体"/>
                <w:lang w:val="en-US" w:eastAsia="zh-CN"/>
              </w:rPr>
              <w:t>5</w:t>
            </w:r>
            <w:r>
              <w:rPr>
                <w:rFonts w:hint="eastAsia" w:cs="宋体"/>
              </w:rPr>
              <w:t>.000ml/min</w:t>
            </w:r>
          </w:p>
          <w:p>
            <w:pPr>
              <w:pStyle w:val="33"/>
              <w:keepNext/>
              <w:spacing w:after="120"/>
              <w:ind w:firstLine="240"/>
              <w:jc w:val="left"/>
              <w:rPr>
                <w:rFonts w:cs="宋体"/>
              </w:rPr>
            </w:pPr>
            <w:r>
              <w:rPr>
                <w:rFonts w:hint="eastAsia" w:cs="宋体"/>
              </w:rPr>
              <w:t>2.9.2 淋洗液浓度范围:KOH0.1～100.0mM</w:t>
            </w:r>
          </w:p>
          <w:p>
            <w:pPr>
              <w:pStyle w:val="33"/>
              <w:keepNext/>
              <w:spacing w:after="120"/>
              <w:ind w:firstLine="240"/>
              <w:jc w:val="left"/>
              <w:rPr>
                <w:rFonts w:cs="宋体"/>
              </w:rPr>
            </w:pPr>
            <w:r>
              <w:rPr>
                <w:rFonts w:hint="eastAsia" w:cs="宋体"/>
              </w:rPr>
              <w:t>2.9.3浓度准确度:0.1mM</w:t>
            </w:r>
          </w:p>
          <w:p>
            <w:pPr>
              <w:pStyle w:val="33"/>
              <w:keepNext/>
              <w:spacing w:after="120"/>
              <w:ind w:firstLine="240"/>
              <w:jc w:val="left"/>
              <w:rPr>
                <w:rFonts w:cs="宋体"/>
              </w:rPr>
            </w:pPr>
            <w:r>
              <w:rPr>
                <w:rFonts w:hint="eastAsia" w:cs="宋体"/>
              </w:rPr>
              <w:t>2.9.4 电解液原始浓度:25% KOH/MSA</w:t>
            </w:r>
          </w:p>
          <w:p>
            <w:pPr>
              <w:pStyle w:val="33"/>
              <w:keepNext/>
              <w:spacing w:after="120"/>
              <w:ind w:firstLine="240"/>
              <w:jc w:val="left"/>
              <w:rPr>
                <w:rFonts w:cs="宋体"/>
              </w:rPr>
            </w:pPr>
            <w:r>
              <w:rPr>
                <w:rFonts w:hint="eastAsia" w:cs="宋体"/>
              </w:rPr>
              <w:t>2.9.5 电解液体积:1000mL</w:t>
            </w:r>
          </w:p>
          <w:p>
            <w:pPr>
              <w:pStyle w:val="33"/>
              <w:keepNext/>
              <w:spacing w:after="120"/>
              <w:ind w:firstLine="240"/>
              <w:jc w:val="left"/>
              <w:rPr>
                <w:rFonts w:cs="宋体"/>
              </w:rPr>
            </w:pPr>
            <w:r>
              <w:rPr>
                <w:rFonts w:hint="eastAsia" w:cs="宋体"/>
              </w:rPr>
              <w:t>2.9.6 最大工作压强:21MPa（3000psi）</w:t>
            </w:r>
          </w:p>
          <w:p>
            <w:pPr>
              <w:pStyle w:val="33"/>
              <w:keepNext/>
              <w:spacing w:after="120"/>
              <w:ind w:firstLine="240"/>
              <w:jc w:val="left"/>
              <w:rPr>
                <w:rFonts w:cs="宋体"/>
              </w:rPr>
            </w:pPr>
            <w:r>
              <w:rPr>
                <w:rFonts w:hint="eastAsia" w:cs="宋体"/>
              </w:rPr>
              <w:t>3 配置要求</w:t>
            </w:r>
          </w:p>
          <w:p>
            <w:pPr>
              <w:pStyle w:val="33"/>
              <w:keepNext/>
              <w:spacing w:after="120"/>
              <w:ind w:firstLine="240"/>
              <w:jc w:val="left"/>
              <w:rPr>
                <w:rFonts w:cs="宋体"/>
              </w:rPr>
            </w:pPr>
            <w:r>
              <w:rPr>
                <w:rFonts w:hint="eastAsia" w:cs="宋体"/>
              </w:rPr>
              <w:t>离子色谱主机  1个；</w:t>
            </w:r>
          </w:p>
          <w:p>
            <w:pPr>
              <w:pStyle w:val="33"/>
              <w:keepNext/>
              <w:spacing w:after="120"/>
              <w:ind w:firstLine="240"/>
              <w:jc w:val="left"/>
              <w:rPr>
                <w:rFonts w:cs="宋体"/>
              </w:rPr>
            </w:pPr>
            <w:r>
              <w:rPr>
                <w:rFonts w:hint="eastAsia" w:cs="宋体"/>
              </w:rPr>
              <w:t>高压输液泵   1套；</w:t>
            </w:r>
          </w:p>
          <w:p>
            <w:pPr>
              <w:pStyle w:val="33"/>
              <w:keepNext/>
              <w:spacing w:after="120"/>
              <w:ind w:firstLine="240"/>
              <w:jc w:val="left"/>
              <w:rPr>
                <w:rFonts w:cs="宋体"/>
              </w:rPr>
            </w:pPr>
            <w:r>
              <w:rPr>
                <w:rFonts w:hint="eastAsia" w:cs="宋体"/>
              </w:rPr>
              <w:t>阴离子分析色谱柱  1套；</w:t>
            </w:r>
          </w:p>
          <w:p>
            <w:pPr>
              <w:pStyle w:val="33"/>
              <w:keepNext/>
              <w:spacing w:after="120"/>
              <w:ind w:firstLine="240"/>
              <w:jc w:val="left"/>
              <w:rPr>
                <w:rFonts w:cs="宋体"/>
              </w:rPr>
            </w:pPr>
            <w:r>
              <w:rPr>
                <w:rFonts w:hint="eastAsia" w:cs="宋体"/>
              </w:rPr>
              <w:t>恒温柱温箱1套；</w:t>
            </w:r>
          </w:p>
          <w:p>
            <w:pPr>
              <w:pStyle w:val="33"/>
              <w:keepNext/>
              <w:spacing w:after="120"/>
              <w:ind w:firstLine="240"/>
              <w:jc w:val="left"/>
              <w:rPr>
                <w:rFonts w:cs="宋体"/>
              </w:rPr>
            </w:pPr>
            <w:r>
              <w:rPr>
                <w:rFonts w:hint="eastAsia" w:cs="宋体"/>
              </w:rPr>
              <w:t>阴离子保护住 1套</w:t>
            </w:r>
          </w:p>
          <w:p>
            <w:pPr>
              <w:pStyle w:val="33"/>
              <w:keepNext/>
              <w:spacing w:after="120"/>
              <w:ind w:firstLine="240"/>
              <w:jc w:val="left"/>
              <w:rPr>
                <w:rFonts w:cs="宋体"/>
              </w:rPr>
            </w:pPr>
            <w:r>
              <w:rPr>
                <w:rFonts w:hint="eastAsia" w:cs="宋体"/>
              </w:rPr>
              <w:t xml:space="preserve">阴离子抑制器  1套； </w:t>
            </w:r>
          </w:p>
          <w:p>
            <w:pPr>
              <w:pStyle w:val="33"/>
              <w:keepNext/>
              <w:spacing w:after="120"/>
              <w:ind w:firstLine="240"/>
              <w:jc w:val="left"/>
              <w:rPr>
                <w:rFonts w:cs="宋体"/>
              </w:rPr>
            </w:pPr>
            <w:r>
              <w:rPr>
                <w:rFonts w:hint="eastAsia" w:cs="宋体"/>
              </w:rPr>
              <w:t>控温数字电导检测器1套；</w:t>
            </w:r>
          </w:p>
          <w:p>
            <w:pPr>
              <w:pStyle w:val="33"/>
              <w:keepNext/>
              <w:spacing w:after="120"/>
              <w:ind w:firstLine="240"/>
              <w:jc w:val="left"/>
              <w:rPr>
                <w:rFonts w:cs="宋体"/>
              </w:rPr>
            </w:pPr>
            <w:r>
              <w:rPr>
                <w:rFonts w:hint="eastAsia" w:cs="宋体"/>
              </w:rPr>
              <w:t>自动进样器   1套</w:t>
            </w:r>
          </w:p>
          <w:p>
            <w:pPr>
              <w:pStyle w:val="33"/>
              <w:keepNext/>
              <w:spacing w:after="120"/>
              <w:ind w:firstLine="240"/>
              <w:jc w:val="left"/>
              <w:rPr>
                <w:rFonts w:cs="宋体"/>
              </w:rPr>
            </w:pPr>
            <w:r>
              <w:rPr>
                <w:rFonts w:hint="eastAsia" w:cs="宋体"/>
              </w:rPr>
              <w:t>工作站   1套</w:t>
            </w:r>
          </w:p>
          <w:p>
            <w:pPr>
              <w:pStyle w:val="33"/>
              <w:keepNext/>
              <w:spacing w:after="120"/>
              <w:ind w:firstLine="240"/>
              <w:jc w:val="left"/>
              <w:rPr>
                <w:rFonts w:cs="宋体"/>
              </w:rPr>
            </w:pPr>
            <w:r>
              <w:rPr>
                <w:rFonts w:hint="eastAsia" w:cs="宋体"/>
                <w:highlight w:val="none"/>
              </w:rPr>
              <w:t xml:space="preserve">电脑 </w:t>
            </w:r>
            <w:r>
              <w:rPr>
                <w:rFonts w:hint="eastAsia" w:cs="宋体"/>
              </w:rPr>
              <w:t xml:space="preserve"> 1套</w:t>
            </w:r>
          </w:p>
          <w:p>
            <w:pPr>
              <w:pStyle w:val="33"/>
              <w:keepNext/>
              <w:spacing w:after="120"/>
              <w:ind w:firstLine="240"/>
              <w:jc w:val="left"/>
              <w:rPr>
                <w:rFonts w:cs="宋体"/>
              </w:rPr>
            </w:pPr>
            <w:r>
              <w:rPr>
                <w:rFonts w:hint="eastAsia" w:cs="宋体"/>
                <w:lang w:val="en-US" w:eastAsia="zh-CN"/>
              </w:rPr>
              <w:t>激光</w:t>
            </w:r>
            <w:r>
              <w:rPr>
                <w:rFonts w:hint="eastAsia" w:cs="宋体"/>
              </w:rPr>
              <w:t>打印机（可双面打印） 1套</w:t>
            </w:r>
          </w:p>
          <w:p>
            <w:pPr>
              <w:pStyle w:val="33"/>
              <w:keepNext/>
              <w:spacing w:after="120"/>
              <w:ind w:firstLine="240"/>
              <w:jc w:val="left"/>
              <w:rPr>
                <w:rFonts w:cs="宋体"/>
              </w:rPr>
            </w:pPr>
            <w:r>
              <w:rPr>
                <w:rFonts w:hint="eastAsia" w:cs="宋体"/>
              </w:rPr>
              <w:t>淋洗液发生器 1套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80" w:hRule="atLeast"/>
        </w:trPr>
        <w:tc>
          <w:tcPr>
            <w:tcW w:w="380" w:type="pct"/>
            <w:vAlign w:val="center"/>
          </w:tcPr>
          <w:p>
            <w:pPr>
              <w:keepNext/>
              <w:rPr>
                <w:rFonts w:ascii="宋体" w:hAnsi="宋体" w:cs="宋体"/>
                <w:sz w:val="24"/>
              </w:rPr>
            </w:pPr>
            <w:r>
              <w:rPr>
                <w:rFonts w:hint="eastAsia" w:ascii="宋体" w:hAnsi="宋体" w:cs="宋体"/>
                <w:sz w:val="24"/>
              </w:rPr>
              <w:t>2</w:t>
            </w:r>
          </w:p>
        </w:tc>
        <w:tc>
          <w:tcPr>
            <w:tcW w:w="392" w:type="pct"/>
            <w:vAlign w:val="center"/>
          </w:tcPr>
          <w:p>
            <w:pPr>
              <w:keepNext/>
              <w:rPr>
                <w:rFonts w:ascii="宋体" w:hAnsi="宋体" w:cs="宋体"/>
                <w:sz w:val="24"/>
                <w:lang w:val="zh-CN"/>
              </w:rPr>
            </w:pPr>
            <w:r>
              <w:rPr>
                <w:rFonts w:hint="eastAsia" w:ascii="宋体" w:hAnsi="宋体" w:cs="宋体"/>
                <w:sz w:val="24"/>
                <w:lang w:val="zh-CN"/>
              </w:rPr>
              <w:t>生物安全柜</w:t>
            </w:r>
          </w:p>
        </w:tc>
        <w:tc>
          <w:tcPr>
            <w:tcW w:w="219" w:type="pct"/>
            <w:vAlign w:val="center"/>
          </w:tcPr>
          <w:p>
            <w:pPr>
              <w:keepNext/>
              <w:rPr>
                <w:rFonts w:ascii="宋体" w:hAnsi="宋体" w:cs="宋体"/>
                <w:sz w:val="24"/>
              </w:rPr>
            </w:pPr>
            <w:r>
              <w:rPr>
                <w:rFonts w:hint="eastAsia" w:ascii="宋体" w:hAnsi="宋体" w:cs="宋体"/>
                <w:sz w:val="24"/>
              </w:rPr>
              <w:t>3</w:t>
            </w:r>
          </w:p>
        </w:tc>
        <w:tc>
          <w:tcPr>
            <w:tcW w:w="4006" w:type="pct"/>
            <w:vAlign w:val="center"/>
          </w:tcPr>
          <w:p>
            <w:pPr>
              <w:pStyle w:val="33"/>
              <w:keepNext/>
              <w:spacing w:after="120"/>
              <w:ind w:firstLine="240"/>
              <w:jc w:val="left"/>
              <w:rPr>
                <w:rFonts w:cs="宋体"/>
              </w:rPr>
            </w:pPr>
            <w:r>
              <w:rPr>
                <w:rFonts w:hint="eastAsia" w:cs="宋体"/>
              </w:rPr>
              <w:t xml:space="preserve">1、A2型，30%外排，70%循环  </w:t>
            </w:r>
          </w:p>
          <w:p>
            <w:pPr>
              <w:pStyle w:val="33"/>
              <w:keepNext/>
              <w:spacing w:after="120"/>
              <w:ind w:firstLine="240"/>
              <w:jc w:val="left"/>
              <w:rPr>
                <w:rFonts w:cs="宋体"/>
              </w:rPr>
            </w:pPr>
            <w:r>
              <w:rPr>
                <w:rFonts w:hint="eastAsia" w:cs="宋体"/>
              </w:rPr>
              <w:t>2、外部尺寸≥1500×7</w:t>
            </w:r>
            <w:r>
              <w:rPr>
                <w:rFonts w:hint="eastAsia" w:cs="宋体"/>
                <w:lang w:val="en-US" w:eastAsia="zh-CN"/>
              </w:rPr>
              <w:t>5</w:t>
            </w:r>
            <w:r>
              <w:rPr>
                <w:rFonts w:hint="eastAsia" w:cs="宋体"/>
              </w:rPr>
              <w:t>0×2250mm；</w:t>
            </w:r>
          </w:p>
          <w:p>
            <w:pPr>
              <w:pStyle w:val="33"/>
              <w:keepNext/>
              <w:spacing w:after="120"/>
              <w:ind w:firstLine="240"/>
              <w:jc w:val="left"/>
              <w:rPr>
                <w:rFonts w:cs="宋体"/>
              </w:rPr>
            </w:pPr>
            <w:r>
              <w:rPr>
                <w:rFonts w:hint="eastAsia" w:cs="宋体"/>
              </w:rPr>
              <w:t>3、内部尺寸≥1350×600×660mm 。</w:t>
            </w:r>
          </w:p>
          <w:p>
            <w:pPr>
              <w:pStyle w:val="33"/>
              <w:keepNext/>
              <w:spacing w:after="120"/>
              <w:ind w:firstLine="240"/>
              <w:jc w:val="left"/>
              <w:rPr>
                <w:rFonts w:cs="宋体"/>
              </w:rPr>
            </w:pPr>
            <w:r>
              <w:rPr>
                <w:rFonts w:hint="eastAsia" w:cs="宋体"/>
              </w:rPr>
              <w:t>4</w:t>
            </w:r>
            <w:r>
              <w:rPr>
                <w:rFonts w:hint="eastAsia" w:cs="宋体"/>
                <w:highlight w:val="none"/>
              </w:rPr>
              <w:t>、台面距离地面高度：≥7</w:t>
            </w:r>
            <w:r>
              <w:rPr>
                <w:rFonts w:hint="eastAsia" w:cs="宋体"/>
              </w:rPr>
              <w:t>50mm</w:t>
            </w:r>
          </w:p>
          <w:p>
            <w:pPr>
              <w:pStyle w:val="33"/>
              <w:keepNext/>
              <w:spacing w:after="120"/>
              <w:ind w:firstLine="240"/>
              <w:jc w:val="left"/>
              <w:rPr>
                <w:rFonts w:cs="宋体"/>
                <w:highlight w:val="none"/>
              </w:rPr>
            </w:pPr>
            <w:r>
              <w:rPr>
                <w:rFonts w:hint="eastAsia" w:cs="宋体"/>
              </w:rPr>
              <w:t>5、平均下降风速：0.33±0.025m/s；平均吸入口风速0.53±0.025m/s</w:t>
            </w:r>
          </w:p>
          <w:p>
            <w:pPr>
              <w:pStyle w:val="33"/>
              <w:keepNext/>
              <w:spacing w:after="120"/>
              <w:ind w:firstLine="240"/>
              <w:jc w:val="left"/>
              <w:rPr>
                <w:rFonts w:cs="宋体"/>
                <w:highlight w:val="none"/>
              </w:rPr>
            </w:pPr>
            <w:r>
              <w:rPr>
                <w:rFonts w:hint="eastAsia" w:cs="宋体"/>
                <w:highlight w:val="none"/>
              </w:rPr>
              <w:t>6、系统排风总量：≥500m³/h</w:t>
            </w:r>
          </w:p>
          <w:p>
            <w:pPr>
              <w:pStyle w:val="33"/>
              <w:keepNext/>
              <w:spacing w:after="120"/>
              <w:ind w:firstLine="240"/>
              <w:jc w:val="left"/>
              <w:rPr>
                <w:rFonts w:hint="eastAsia" w:eastAsia="宋体" w:cs="宋体"/>
                <w:lang w:eastAsia="zh-CN"/>
              </w:rPr>
            </w:pPr>
            <w:r>
              <w:rPr>
                <w:rFonts w:hint="eastAsia" w:cs="宋体"/>
              </w:rPr>
              <w:t>7、额定功率：18</w:t>
            </w:r>
            <w:r>
              <w:rPr>
                <w:rFonts w:hint="eastAsia" w:cs="宋体"/>
                <w:lang w:val="en-US" w:eastAsia="zh-CN"/>
              </w:rPr>
              <w:t>5</w:t>
            </w:r>
            <w:r>
              <w:rPr>
                <w:rFonts w:hint="eastAsia" w:cs="宋体"/>
              </w:rPr>
              <w:t>0W（包含操作区插座负载500W）</w:t>
            </w:r>
            <w:r>
              <w:rPr>
                <w:rFonts w:hint="eastAsia" w:cs="宋体"/>
                <w:lang w:eastAsia="zh-CN"/>
              </w:rPr>
              <w:t>（</w:t>
            </w:r>
            <w:r>
              <w:rPr>
                <w:rFonts w:hint="eastAsia" w:cs="宋体"/>
              </w:rPr>
              <w:t>±50w</w:t>
            </w:r>
            <w:r>
              <w:rPr>
                <w:rFonts w:hint="eastAsia" w:cs="宋体"/>
                <w:lang w:eastAsia="zh-CN"/>
              </w:rPr>
              <w:t>）</w:t>
            </w:r>
          </w:p>
          <w:p>
            <w:pPr>
              <w:pStyle w:val="33"/>
              <w:keepNext/>
              <w:spacing w:after="120"/>
              <w:ind w:firstLine="240"/>
              <w:jc w:val="left"/>
              <w:rPr>
                <w:rFonts w:cs="宋体"/>
              </w:rPr>
            </w:pPr>
            <w:r>
              <w:rPr>
                <w:rFonts w:hint="eastAsia" w:cs="宋体"/>
              </w:rPr>
              <w:t>8、噪音等级：≤6</w:t>
            </w:r>
            <w:r>
              <w:rPr>
                <w:rFonts w:hint="eastAsia" w:cs="宋体"/>
                <w:lang w:val="en-US" w:eastAsia="zh-CN"/>
              </w:rPr>
              <w:t>7</w:t>
            </w:r>
            <w:r>
              <w:rPr>
                <w:rFonts w:hint="eastAsia" w:cs="宋体"/>
              </w:rPr>
              <w:t>dB（A）</w:t>
            </w:r>
          </w:p>
          <w:p>
            <w:pPr>
              <w:pStyle w:val="33"/>
              <w:keepNext/>
              <w:spacing w:after="120"/>
              <w:ind w:firstLine="240"/>
              <w:jc w:val="left"/>
              <w:rPr>
                <w:rFonts w:cs="宋体"/>
              </w:rPr>
            </w:pPr>
            <w:r>
              <w:rPr>
                <w:rFonts w:hint="eastAsia" w:cs="宋体"/>
              </w:rPr>
              <w:t>9、照明：≥1000lx</w:t>
            </w:r>
          </w:p>
          <w:p>
            <w:pPr>
              <w:pStyle w:val="33"/>
              <w:keepNext/>
              <w:spacing w:after="120"/>
              <w:ind w:firstLine="240"/>
              <w:jc w:val="left"/>
              <w:rPr>
                <w:rFonts w:cs="宋体"/>
              </w:rPr>
            </w:pPr>
            <w:r>
              <w:rPr>
                <w:rFonts w:hint="eastAsia" w:cs="宋体"/>
              </w:rPr>
              <w:t>10、过滤效率:送风和排风过滤器均采用硼硅酸盐玻璃纤维材质的ULPA高效过滤器，对0.12μm颗粒过滤效率≥99.9995%</w:t>
            </w:r>
          </w:p>
          <w:p>
            <w:pPr>
              <w:pStyle w:val="33"/>
              <w:keepNext/>
              <w:spacing w:after="120"/>
              <w:ind w:firstLine="240"/>
              <w:jc w:val="left"/>
              <w:rPr>
                <w:rFonts w:cs="宋体"/>
              </w:rPr>
            </w:pPr>
            <w:r>
              <w:rPr>
                <w:rFonts w:hint="eastAsia" w:cs="宋体"/>
              </w:rPr>
              <w:t>11、脚轮与支架一体化设计，安全柜即可通过脚轮安全移动，也可以通过调节脚轮支脚进行固定和调平；</w:t>
            </w:r>
          </w:p>
          <w:p>
            <w:pPr>
              <w:pStyle w:val="33"/>
              <w:keepNext/>
              <w:spacing w:after="120"/>
              <w:ind w:firstLine="240"/>
              <w:jc w:val="left"/>
              <w:rPr>
                <w:rFonts w:hint="eastAsia" w:cs="宋体"/>
              </w:rPr>
            </w:pPr>
            <w:r>
              <w:rPr>
                <w:rFonts w:hint="eastAsia" w:cs="宋体"/>
              </w:rPr>
              <w:t>12、前窗玻璃采用双层夹胶防爆安全玻璃；</w:t>
            </w:r>
          </w:p>
          <w:p>
            <w:pPr>
              <w:pStyle w:val="33"/>
              <w:keepNext/>
              <w:spacing w:after="120"/>
              <w:ind w:firstLine="240"/>
              <w:jc w:val="left"/>
              <w:rPr>
                <w:rFonts w:cs="宋体"/>
              </w:rPr>
            </w:pPr>
            <w:r>
              <w:rPr>
                <w:rFonts w:hint="eastAsia" w:cs="宋体"/>
              </w:rPr>
              <w:t>13、脚踏电动、手动按键、遥控电动三种方式控制玻璃门升降，玻璃门升降到安全操作高度时，自动停止升降，且玻璃门升降时不用直接接触玻璃；</w:t>
            </w:r>
          </w:p>
          <w:p>
            <w:pPr>
              <w:pStyle w:val="33"/>
              <w:keepNext/>
              <w:spacing w:after="120"/>
              <w:ind w:firstLine="240"/>
              <w:jc w:val="left"/>
              <w:rPr>
                <w:rFonts w:hint="eastAsia" w:eastAsia="宋体" w:cs="宋体"/>
                <w:lang w:eastAsia="zh-CN"/>
              </w:rPr>
            </w:pPr>
            <w:r>
              <w:rPr>
                <w:rFonts w:hint="eastAsia" w:cs="宋体"/>
              </w:rPr>
              <w:t>14、遥控控制：安全柜的所有按键操作，都可通过遥控控制实现</w:t>
            </w:r>
            <w:r>
              <w:rPr>
                <w:rFonts w:hint="eastAsia" w:cs="宋体"/>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2" w:hRule="atLeast"/>
        </w:trPr>
        <w:tc>
          <w:tcPr>
            <w:tcW w:w="380" w:type="pct"/>
            <w:vAlign w:val="center"/>
          </w:tcPr>
          <w:p>
            <w:pPr>
              <w:keepNext/>
              <w:rPr>
                <w:rFonts w:hint="eastAsia" w:ascii="宋体" w:hAnsi="宋体" w:eastAsia="宋体" w:cs="宋体"/>
                <w:sz w:val="24"/>
                <w:lang w:eastAsia="zh-CN"/>
              </w:rPr>
            </w:pPr>
            <w:r>
              <w:rPr>
                <w:rFonts w:hint="eastAsia" w:ascii="宋体" w:hAnsi="宋体" w:cs="宋体"/>
                <w:sz w:val="24"/>
                <w:lang w:val="en-US" w:eastAsia="zh-CN"/>
              </w:rPr>
              <w:t>3</w:t>
            </w:r>
          </w:p>
        </w:tc>
        <w:tc>
          <w:tcPr>
            <w:tcW w:w="392" w:type="pct"/>
            <w:vAlign w:val="center"/>
          </w:tcPr>
          <w:p>
            <w:pPr>
              <w:keepNext/>
              <w:rPr>
                <w:rFonts w:ascii="宋体" w:hAnsi="宋体" w:cs="宋体"/>
                <w:sz w:val="24"/>
                <w:lang w:val="zh-CN"/>
              </w:rPr>
            </w:pPr>
            <w:r>
              <w:rPr>
                <w:rFonts w:hint="eastAsia" w:ascii="宋体" w:hAnsi="宋体" w:cs="宋体"/>
                <w:sz w:val="24"/>
                <w:lang w:val="zh-CN"/>
              </w:rPr>
              <w:t>全自动微生物生化鉴定仪</w:t>
            </w:r>
          </w:p>
        </w:tc>
        <w:tc>
          <w:tcPr>
            <w:tcW w:w="219" w:type="pct"/>
            <w:vAlign w:val="center"/>
          </w:tcPr>
          <w:p>
            <w:pPr>
              <w:keepNext/>
              <w:rPr>
                <w:rFonts w:ascii="宋体" w:hAnsi="宋体" w:cs="宋体"/>
                <w:sz w:val="24"/>
              </w:rPr>
            </w:pPr>
            <w:r>
              <w:rPr>
                <w:rFonts w:hint="eastAsia" w:ascii="宋体" w:hAnsi="宋体" w:cs="宋体"/>
                <w:sz w:val="24"/>
              </w:rPr>
              <w:t>1</w:t>
            </w:r>
          </w:p>
        </w:tc>
        <w:tc>
          <w:tcPr>
            <w:tcW w:w="4006" w:type="pct"/>
            <w:vAlign w:val="center"/>
          </w:tcPr>
          <w:p>
            <w:pPr>
              <w:pStyle w:val="33"/>
              <w:keepNext/>
              <w:spacing w:after="120"/>
              <w:ind w:firstLine="240"/>
              <w:jc w:val="left"/>
              <w:rPr>
                <w:rFonts w:hint="eastAsia" w:eastAsia="宋体" w:cs="宋体"/>
                <w:lang w:val="en-US" w:eastAsia="zh-CN"/>
              </w:rPr>
            </w:pPr>
            <w:r>
              <w:rPr>
                <w:rFonts w:hint="eastAsia" w:cs="宋体"/>
              </w:rPr>
              <w:t>1、设备功能</w:t>
            </w:r>
            <w:r>
              <w:rPr>
                <w:rFonts w:hint="eastAsia" w:cs="宋体"/>
                <w:lang w:val="en-US" w:eastAsia="zh-CN"/>
              </w:rPr>
              <w:t>要求</w:t>
            </w:r>
          </w:p>
          <w:p>
            <w:pPr>
              <w:pStyle w:val="33"/>
              <w:keepNext/>
              <w:spacing w:after="120"/>
              <w:ind w:firstLine="240"/>
              <w:jc w:val="left"/>
              <w:rPr>
                <w:rFonts w:cs="宋体"/>
              </w:rPr>
            </w:pPr>
            <w:r>
              <w:rPr>
                <w:rFonts w:hint="eastAsia" w:cs="宋体"/>
              </w:rPr>
              <w:t>1.1、具有全自动化工作功能：鉴定药敏仪具有全自动加样一体化装置，无需外用独立的加样仪，仪器通过内部传动系统，自动完成板卡的传送、样本添加、温育检测，判读分析等功能；板卡不间断检测，实时监控细菌生长状况，及时报告结果。</w:t>
            </w:r>
          </w:p>
          <w:p>
            <w:pPr>
              <w:pStyle w:val="33"/>
              <w:keepNext/>
              <w:spacing w:after="120"/>
              <w:ind w:firstLine="240"/>
              <w:jc w:val="left"/>
              <w:rPr>
                <w:rFonts w:cs="宋体"/>
              </w:rPr>
            </w:pPr>
            <w:r>
              <w:rPr>
                <w:rFonts w:hint="eastAsia" w:cs="宋体"/>
              </w:rPr>
              <w:t>1.2、加样装置采用一次性枪头自动加样；样本自动吸打混匀，无需人工震荡；加样装置与孵育判读模块为全自动一体机；</w:t>
            </w:r>
          </w:p>
          <w:p>
            <w:pPr>
              <w:pStyle w:val="33"/>
              <w:keepNext/>
              <w:spacing w:after="120"/>
              <w:ind w:firstLine="240"/>
              <w:jc w:val="left"/>
              <w:rPr>
                <w:rFonts w:hint="eastAsia" w:eastAsia="宋体" w:cs="宋体"/>
                <w:lang w:val="en-US" w:eastAsia="zh-CN"/>
              </w:rPr>
            </w:pPr>
            <w:r>
              <w:rPr>
                <w:rFonts w:hint="eastAsia" w:cs="宋体"/>
              </w:rPr>
              <w:t>1.3、标本和板卡独立条码识别系统，可实现标本和板卡的双向智能识别匹配；</w:t>
            </w:r>
          </w:p>
          <w:p>
            <w:pPr>
              <w:pStyle w:val="33"/>
              <w:keepNext/>
              <w:spacing w:after="120"/>
              <w:ind w:firstLine="240"/>
              <w:jc w:val="left"/>
              <w:rPr>
                <w:rFonts w:cs="宋体"/>
              </w:rPr>
            </w:pPr>
            <w:r>
              <w:rPr>
                <w:rFonts w:hint="eastAsia" w:cs="宋体"/>
              </w:rPr>
              <w:t>1.4、具备消毒功能</w:t>
            </w:r>
          </w:p>
          <w:p>
            <w:pPr>
              <w:pStyle w:val="33"/>
              <w:keepNext/>
              <w:spacing w:after="120"/>
              <w:ind w:firstLine="240"/>
              <w:jc w:val="left"/>
              <w:rPr>
                <w:rFonts w:cs="宋体"/>
              </w:rPr>
            </w:pPr>
            <w:r>
              <w:rPr>
                <w:rFonts w:hint="eastAsia" w:cs="宋体"/>
              </w:rPr>
              <w:t>1.5、具有开机自检功能和一键启动功能，支持自定义时间和预约功能;</w:t>
            </w:r>
          </w:p>
          <w:p>
            <w:pPr>
              <w:pStyle w:val="33"/>
              <w:keepNext/>
              <w:spacing w:after="120"/>
              <w:ind w:firstLine="240"/>
              <w:jc w:val="left"/>
              <w:rPr>
                <w:rFonts w:cs="宋体"/>
              </w:rPr>
            </w:pPr>
            <w:r>
              <w:rPr>
                <w:rFonts w:hint="eastAsia" w:cs="宋体"/>
              </w:rPr>
              <w:t>1.6、支持全自动模式和半自动模式操作，实验室无样本条码时支持手工录入或人工加样后由仪器完成孵育、检测并出具实验报告。</w:t>
            </w:r>
          </w:p>
          <w:p>
            <w:pPr>
              <w:pStyle w:val="33"/>
              <w:keepNext/>
              <w:spacing w:after="120"/>
              <w:ind w:firstLine="240"/>
              <w:jc w:val="left"/>
              <w:rPr>
                <w:rFonts w:cs="宋体"/>
              </w:rPr>
            </w:pPr>
            <w:r>
              <w:rPr>
                <w:rFonts w:hint="eastAsia" w:cs="宋体"/>
              </w:rPr>
              <w:t>1.7、仪器容量：样本放置区最大可同时容纳≥28个测试板卡，孵育区一次培养≥60测试。</w:t>
            </w:r>
          </w:p>
          <w:p>
            <w:pPr>
              <w:pStyle w:val="33"/>
              <w:keepNext/>
              <w:spacing w:after="120"/>
              <w:ind w:firstLine="240"/>
              <w:jc w:val="left"/>
              <w:rPr>
                <w:rFonts w:cs="宋体"/>
              </w:rPr>
            </w:pPr>
            <w:r>
              <w:rPr>
                <w:rFonts w:hint="eastAsia" w:cs="宋体"/>
              </w:rPr>
              <w:t>1.8、比浊法和比色法相结合的连续监测判读的动态分析方法分析进行鉴定分析。</w:t>
            </w:r>
          </w:p>
          <w:p>
            <w:pPr>
              <w:pStyle w:val="33"/>
              <w:keepNext/>
              <w:spacing w:after="120"/>
              <w:ind w:firstLine="240"/>
              <w:jc w:val="left"/>
              <w:rPr>
                <w:rFonts w:cs="宋体"/>
              </w:rPr>
            </w:pPr>
            <w:r>
              <w:rPr>
                <w:rFonts w:hint="eastAsia" w:cs="宋体"/>
              </w:rPr>
              <w:t>1.9、鉴定支持自建库功能，药敏选用连续浓度显色。</w:t>
            </w:r>
          </w:p>
          <w:p>
            <w:pPr>
              <w:pStyle w:val="33"/>
              <w:keepNext/>
              <w:spacing w:after="120"/>
              <w:ind w:firstLine="240"/>
              <w:jc w:val="left"/>
              <w:rPr>
                <w:rFonts w:cs="宋体"/>
              </w:rPr>
            </w:pPr>
            <w:r>
              <w:rPr>
                <w:rFonts w:hint="eastAsia" w:cs="宋体"/>
              </w:rPr>
              <w:t>1.10、Windows系统，全中文操作界面，主机和计算机控制分析系统单独配备；具有专家库自定义功能，满足不同用户精准化、个性化的专家系统建设需求；</w:t>
            </w:r>
          </w:p>
          <w:p>
            <w:pPr>
              <w:pStyle w:val="33"/>
              <w:keepNext/>
              <w:spacing w:after="120"/>
              <w:ind w:firstLine="240"/>
              <w:jc w:val="left"/>
              <w:rPr>
                <w:rFonts w:cs="宋体"/>
              </w:rPr>
            </w:pPr>
            <w:r>
              <w:rPr>
                <w:rFonts w:hint="eastAsia" w:cs="宋体"/>
              </w:rPr>
              <w:t>1.11、软件升级：鉴定项目可以增加，软件版本不定期免费升级，数据库可扩充；</w:t>
            </w:r>
          </w:p>
          <w:p>
            <w:pPr>
              <w:pStyle w:val="33"/>
              <w:keepNext/>
              <w:spacing w:after="120"/>
              <w:ind w:firstLine="240"/>
              <w:jc w:val="left"/>
              <w:rPr>
                <w:rFonts w:cs="宋体"/>
              </w:rPr>
            </w:pPr>
            <w:r>
              <w:rPr>
                <w:rFonts w:hint="eastAsia" w:cs="宋体"/>
              </w:rPr>
              <w:t>2、试剂要求</w:t>
            </w:r>
          </w:p>
          <w:p>
            <w:pPr>
              <w:pStyle w:val="33"/>
              <w:keepNext/>
              <w:spacing w:after="120"/>
              <w:ind w:firstLine="240"/>
              <w:jc w:val="left"/>
              <w:rPr>
                <w:rFonts w:cs="宋体"/>
              </w:rPr>
            </w:pPr>
            <w:r>
              <w:rPr>
                <w:rFonts w:hint="eastAsia" w:cs="宋体"/>
              </w:rPr>
              <w:t>2.1、检测方法：≥100孔微孔板，且可提供鉴定药敏一体式卡板,采用比色/比浊法；</w:t>
            </w:r>
          </w:p>
          <w:p>
            <w:pPr>
              <w:pStyle w:val="33"/>
              <w:keepNext/>
              <w:spacing w:after="120"/>
              <w:ind w:firstLine="240"/>
              <w:jc w:val="left"/>
              <w:rPr>
                <w:rFonts w:cs="宋体"/>
              </w:rPr>
            </w:pPr>
            <w:r>
              <w:rPr>
                <w:rFonts w:hint="eastAsia" w:cs="宋体"/>
              </w:rPr>
              <w:t>2.2、能够鉴定菌株种类数目≥480种细菌，整体鉴定准确率≥90%，涵盖革兰阴性菌、革兰阳性球菌和革兰阳性杆菌、各种链球菌、酵母菌、隐球菌、曲霉菌、芽孢杆菌、棒状杆菌等菌株种类的鉴定，且鉴定结果能够显示其鉴定质量评价。</w:t>
            </w:r>
          </w:p>
          <w:p>
            <w:pPr>
              <w:pStyle w:val="33"/>
              <w:keepNext/>
              <w:spacing w:after="120"/>
              <w:ind w:firstLine="240"/>
              <w:jc w:val="left"/>
              <w:rPr>
                <w:rFonts w:cs="宋体"/>
              </w:rPr>
            </w:pPr>
            <w:r>
              <w:rPr>
                <w:rFonts w:hint="eastAsia" w:cs="宋体"/>
              </w:rPr>
              <w:t>2.3、革兰阴性菌鉴定时间6-13小时，革兰阳性菌鉴定时间约6小时，酵母菌鉴定时间约18小时；能够实现对于≥95%常见细菌在≤13小时内报告菌种鉴定结果；具备快速菌种鉴定和自动鉴定双功能，三种菌种鉴定/药敏复合板卡，</w:t>
            </w:r>
          </w:p>
          <w:p>
            <w:pPr>
              <w:pStyle w:val="33"/>
              <w:keepNext/>
              <w:spacing w:after="120"/>
              <w:ind w:firstLine="240"/>
              <w:jc w:val="left"/>
              <w:rPr>
                <w:rFonts w:cs="宋体"/>
              </w:rPr>
            </w:pPr>
            <w:r>
              <w:rPr>
                <w:rFonts w:hint="eastAsia" w:cs="宋体"/>
              </w:rPr>
              <w:t>2.4、鉴定/药敏复合板卡和药敏板卡采用板盖和板底设计；</w:t>
            </w:r>
          </w:p>
          <w:p>
            <w:pPr>
              <w:pStyle w:val="33"/>
              <w:keepNext/>
              <w:spacing w:after="120"/>
              <w:ind w:firstLine="240"/>
              <w:jc w:val="left"/>
              <w:rPr>
                <w:rFonts w:cs="宋体"/>
              </w:rPr>
            </w:pPr>
            <w:r>
              <w:rPr>
                <w:rFonts w:hint="eastAsia" w:cs="宋体"/>
              </w:rPr>
              <w:t>2.5、可提供国家致病菌识别网耐药要求药敏试剂，同时可为客户定制药敏试剂，并包含如下药物：替加环素、头孢洛林、头孢他啶/阿维巴坦、多粘菌素B、达托霉素、替加环素、莫西沙星。</w:t>
            </w:r>
          </w:p>
          <w:p>
            <w:pPr>
              <w:pStyle w:val="33"/>
              <w:keepNext/>
              <w:spacing w:after="120"/>
              <w:ind w:firstLine="240"/>
              <w:jc w:val="left"/>
              <w:rPr>
                <w:rFonts w:cs="宋体"/>
              </w:rPr>
            </w:pPr>
            <w:r>
              <w:rPr>
                <w:rFonts w:hint="eastAsia" w:cs="宋体"/>
              </w:rPr>
              <w:t>2.6、真菌板卡可检测假丝酵母属、隐球菌属和曲霉菌属，且包含11个以上浓度梯度，定量检测。</w:t>
            </w:r>
          </w:p>
          <w:p>
            <w:pPr>
              <w:pStyle w:val="33"/>
              <w:keepNext/>
              <w:spacing w:after="120"/>
              <w:ind w:firstLine="240"/>
              <w:jc w:val="left"/>
              <w:rPr>
                <w:rFonts w:cs="宋体"/>
              </w:rPr>
            </w:pPr>
            <w:r>
              <w:rPr>
                <w:rFonts w:hint="eastAsia" w:cs="宋体"/>
              </w:rPr>
              <w:t>2.7、鉴定卡选择时只需要进行革兰氏染色即可确定板卡类型，无需做氧化酶/触酶试验区分到非发酵或肠杆菌，链球菌或葡萄球菌等。</w:t>
            </w:r>
          </w:p>
          <w:p>
            <w:pPr>
              <w:pStyle w:val="33"/>
              <w:keepNext/>
              <w:spacing w:after="120"/>
              <w:ind w:firstLine="240"/>
              <w:jc w:val="left"/>
              <w:rPr>
                <w:rFonts w:cs="宋体"/>
              </w:rPr>
            </w:pPr>
            <w:r>
              <w:rPr>
                <w:rFonts w:hint="eastAsia" w:cs="宋体"/>
              </w:rPr>
              <w:t>2.8、鉴定结果可以和质谱仪结果互联评价。</w:t>
            </w:r>
          </w:p>
          <w:p>
            <w:pPr>
              <w:pStyle w:val="33"/>
              <w:keepNext/>
              <w:spacing w:after="120"/>
              <w:ind w:firstLine="240"/>
              <w:jc w:val="left"/>
              <w:rPr>
                <w:rFonts w:cs="宋体"/>
              </w:rPr>
            </w:pPr>
            <w:r>
              <w:rPr>
                <w:rFonts w:hint="eastAsia" w:cs="宋体"/>
              </w:rPr>
              <w:t>3、配置要求：主机1台、比浊仪1台。</w:t>
            </w:r>
          </w:p>
        </w:tc>
      </w:tr>
    </w:tbl>
    <w:p>
      <w:pPr>
        <w:rPr>
          <w:rFonts w:asciiTheme="minorEastAsia" w:hAnsiTheme="minorEastAsia" w:eastAsiaTheme="minorEastAsia"/>
        </w:rPr>
      </w:pPr>
      <w:r>
        <w:rPr>
          <w:rFonts w:hint="eastAsia" w:asciiTheme="minorEastAsia" w:hAnsiTheme="minorEastAsia" w:eastAsiaTheme="minorEastAsia"/>
        </w:rPr>
        <w:br w:type="page"/>
      </w:r>
    </w:p>
    <w:p>
      <w:pPr>
        <w:pStyle w:val="31"/>
        <w:rPr>
          <w:rFonts w:asciiTheme="minorEastAsia" w:hAnsiTheme="minorEastAsia" w:eastAsiaTheme="minorEastAsia"/>
        </w:rPr>
      </w:pPr>
      <w:bookmarkStart w:id="317" w:name="_Toc10739"/>
      <w:r>
        <w:rPr>
          <w:rFonts w:asciiTheme="minorEastAsia" w:hAnsiTheme="minorEastAsia" w:eastAsiaTheme="minorEastAsia"/>
        </w:rPr>
        <w:t>第六章  投标文件格式</w:t>
      </w:r>
      <w:bookmarkEnd w:id="286"/>
      <w:bookmarkEnd w:id="287"/>
      <w:bookmarkEnd w:id="288"/>
      <w:bookmarkEnd w:id="289"/>
      <w:bookmarkEnd w:id="290"/>
      <w:bookmarkEnd w:id="316"/>
      <w:bookmarkEnd w:id="317"/>
    </w:p>
    <w:p/>
    <w:p>
      <w:pPr>
        <w:autoSpaceDE w:val="0"/>
        <w:autoSpaceDN w:val="0"/>
        <w:adjustRightInd w:val="0"/>
        <w:snapToGrid w:val="0"/>
        <w:spacing w:line="360" w:lineRule="auto"/>
        <w:jc w:val="right"/>
        <w:rPr>
          <w:rFonts w:ascii="仿宋" w:hAnsi="仿宋" w:eastAsia="仿宋"/>
          <w:b/>
          <w:bCs/>
          <w:sz w:val="30"/>
          <w:szCs w:val="30"/>
          <w:lang w:val="zh-CN"/>
        </w:rPr>
      </w:pPr>
      <w:r>
        <w:rPr>
          <w:rFonts w:ascii="仿宋" w:hAnsi="仿宋" w:eastAsia="仿宋"/>
          <w:b/>
          <w:bCs/>
          <w:sz w:val="30"/>
          <w:szCs w:val="30"/>
          <w:lang w:val="zh-CN"/>
        </w:rPr>
        <w:t>正本/副本</w:t>
      </w:r>
    </w:p>
    <w:p>
      <w:pPr>
        <w:autoSpaceDE w:val="0"/>
        <w:autoSpaceDN w:val="0"/>
        <w:adjustRightInd w:val="0"/>
        <w:snapToGrid w:val="0"/>
        <w:spacing w:line="360" w:lineRule="auto"/>
        <w:jc w:val="right"/>
        <w:rPr>
          <w:rFonts w:ascii="仿宋" w:hAnsi="仿宋" w:eastAsia="仿宋"/>
          <w:b/>
          <w:bCs/>
          <w:sz w:val="30"/>
          <w:szCs w:val="30"/>
          <w:lang w:val="zh-CN"/>
        </w:rPr>
      </w:pPr>
    </w:p>
    <w:p>
      <w:pPr>
        <w:autoSpaceDE w:val="0"/>
        <w:autoSpaceDN w:val="0"/>
        <w:adjustRightInd w:val="0"/>
        <w:snapToGrid w:val="0"/>
        <w:spacing w:line="360" w:lineRule="auto"/>
        <w:rPr>
          <w:rFonts w:ascii="仿宋" w:hAnsi="仿宋" w:eastAsia="仿宋"/>
          <w:b/>
          <w:bCs/>
          <w:sz w:val="30"/>
          <w:szCs w:val="30"/>
          <w:lang w:val="zh-CN"/>
        </w:rPr>
      </w:pPr>
      <w:r>
        <w:rPr>
          <w:rFonts w:ascii="仿宋" w:hAnsi="仿宋" w:eastAsia="仿宋"/>
          <w:b/>
          <w:bCs/>
          <w:sz w:val="30"/>
          <w:szCs w:val="30"/>
          <w:lang w:val="zh-CN"/>
        </w:rPr>
        <w:t>政府采购项目</w:t>
      </w:r>
    </w:p>
    <w:p>
      <w:pPr>
        <w:autoSpaceDE w:val="0"/>
        <w:autoSpaceDN w:val="0"/>
        <w:adjustRightInd w:val="0"/>
        <w:snapToGrid w:val="0"/>
        <w:spacing w:line="360" w:lineRule="auto"/>
        <w:rPr>
          <w:rFonts w:ascii="仿宋" w:hAnsi="仿宋" w:eastAsia="仿宋"/>
          <w:b/>
          <w:bCs/>
          <w:sz w:val="30"/>
          <w:szCs w:val="30"/>
          <w:lang w:val="zh-CN"/>
        </w:rPr>
      </w:pPr>
      <w:r>
        <w:rPr>
          <w:rFonts w:ascii="仿宋" w:hAnsi="仿宋" w:eastAsia="仿宋"/>
          <w:b/>
          <w:bCs/>
          <w:sz w:val="30"/>
          <w:szCs w:val="30"/>
          <w:lang w:val="zh-CN"/>
        </w:rPr>
        <w:t>采购项目编号：</w:t>
      </w:r>
    </w:p>
    <w:p>
      <w:pPr>
        <w:spacing w:line="240" w:lineRule="atLeast"/>
        <w:ind w:left="1079" w:leftChars="257" w:hanging="540"/>
        <w:jc w:val="center"/>
        <w:rPr>
          <w:rFonts w:ascii="仿宋" w:hAnsi="仿宋" w:eastAsia="仿宋"/>
          <w:b/>
          <w:sz w:val="52"/>
          <w:szCs w:val="52"/>
        </w:rPr>
      </w:pPr>
    </w:p>
    <w:p>
      <w:pPr>
        <w:tabs>
          <w:tab w:val="left" w:pos="5670"/>
        </w:tabs>
        <w:autoSpaceDE w:val="0"/>
        <w:autoSpaceDN w:val="0"/>
        <w:adjustRightInd w:val="0"/>
        <w:snapToGrid w:val="0"/>
        <w:spacing w:line="360" w:lineRule="auto"/>
        <w:jc w:val="center"/>
        <w:rPr>
          <w:rFonts w:ascii="仿宋" w:hAnsi="仿宋" w:eastAsia="仿宋"/>
          <w:b/>
          <w:bCs/>
          <w:sz w:val="36"/>
          <w:szCs w:val="36"/>
          <w:lang w:val="zh-CN"/>
        </w:rPr>
      </w:pPr>
      <w:r>
        <w:rPr>
          <w:rFonts w:hint="eastAsia" w:ascii="仿宋" w:hAnsi="仿宋" w:eastAsia="仿宋"/>
          <w:b/>
          <w:bCs/>
          <w:sz w:val="36"/>
          <w:szCs w:val="36"/>
          <w:lang w:val="zh-CN"/>
        </w:rPr>
        <w:t>2023年莲湖疾控区域中心实验室仪器设备采购项目</w:t>
      </w:r>
    </w:p>
    <w:p>
      <w:pPr>
        <w:tabs>
          <w:tab w:val="left" w:pos="5670"/>
        </w:tabs>
        <w:autoSpaceDE w:val="0"/>
        <w:autoSpaceDN w:val="0"/>
        <w:adjustRightInd w:val="0"/>
        <w:snapToGrid w:val="0"/>
        <w:spacing w:line="360" w:lineRule="auto"/>
        <w:jc w:val="center"/>
        <w:rPr>
          <w:rFonts w:ascii="仿宋" w:hAnsi="仿宋" w:eastAsia="仿宋"/>
          <w:b/>
          <w:bCs/>
          <w:sz w:val="52"/>
          <w:szCs w:val="52"/>
          <w:lang w:val="zh-CN"/>
        </w:rPr>
      </w:pPr>
      <w:r>
        <w:rPr>
          <w:rFonts w:ascii="仿宋" w:hAnsi="仿宋" w:eastAsia="仿宋"/>
          <w:b/>
          <w:bCs/>
          <w:sz w:val="52"/>
          <w:szCs w:val="52"/>
          <w:lang w:val="zh-CN"/>
        </w:rPr>
        <w:t>投 标 文 件</w:t>
      </w:r>
    </w:p>
    <w:p>
      <w:pPr>
        <w:spacing w:line="240" w:lineRule="atLeast"/>
        <w:jc w:val="center"/>
        <w:rPr>
          <w:rFonts w:ascii="仿宋" w:hAnsi="仿宋" w:eastAsia="仿宋"/>
          <w:b/>
          <w:sz w:val="32"/>
          <w:szCs w:val="32"/>
        </w:rPr>
      </w:pPr>
      <w:r>
        <w:rPr>
          <w:rFonts w:ascii="仿宋" w:hAnsi="仿宋" w:eastAsia="仿宋"/>
          <w:b/>
          <w:bCs/>
          <w:sz w:val="32"/>
          <w:szCs w:val="32"/>
        </w:rPr>
        <w:t>（资格证明文件）</w:t>
      </w:r>
    </w:p>
    <w:p>
      <w:pPr>
        <w:spacing w:line="240" w:lineRule="atLeast"/>
        <w:ind w:left="1079" w:leftChars="257" w:hanging="540"/>
        <w:jc w:val="center"/>
        <w:rPr>
          <w:rFonts w:ascii="仿宋" w:hAnsi="仿宋" w:eastAsia="仿宋"/>
          <w:b/>
          <w:sz w:val="32"/>
          <w:szCs w:val="32"/>
          <w:u w:val="single"/>
        </w:rPr>
      </w:pPr>
      <w:r>
        <w:rPr>
          <w:rFonts w:hint="eastAsia" w:ascii="仿宋" w:hAnsi="仿宋" w:eastAsia="仿宋"/>
          <w:b/>
          <w:sz w:val="32"/>
          <w:szCs w:val="32"/>
        </w:rPr>
        <w:t>第</w:t>
      </w:r>
      <w:r>
        <w:rPr>
          <w:rFonts w:hint="eastAsia" w:ascii="仿宋" w:hAnsi="仿宋" w:eastAsia="仿宋"/>
          <w:b/>
          <w:sz w:val="32"/>
          <w:szCs w:val="32"/>
          <w:u w:val="single"/>
        </w:rPr>
        <w:t xml:space="preserve">    </w:t>
      </w:r>
      <w:r>
        <w:rPr>
          <w:rFonts w:hint="eastAsia" w:ascii="仿宋" w:hAnsi="仿宋" w:eastAsia="仿宋"/>
          <w:b/>
          <w:sz w:val="32"/>
          <w:szCs w:val="32"/>
        </w:rPr>
        <w:t>包</w:t>
      </w:r>
    </w:p>
    <w:p>
      <w:pPr>
        <w:autoSpaceDE w:val="0"/>
        <w:autoSpaceDN w:val="0"/>
        <w:adjustRightInd w:val="0"/>
        <w:snapToGrid w:val="0"/>
        <w:spacing w:line="360" w:lineRule="auto"/>
        <w:jc w:val="center"/>
        <w:rPr>
          <w:rFonts w:ascii="仿宋" w:hAnsi="仿宋" w:eastAsia="仿宋"/>
          <w:b/>
          <w:bCs/>
          <w:sz w:val="32"/>
          <w:szCs w:val="32"/>
        </w:rPr>
      </w:pPr>
    </w:p>
    <w:p>
      <w:pPr>
        <w:pStyle w:val="12"/>
        <w:rPr>
          <w:rFonts w:ascii="仿宋" w:hAnsi="仿宋" w:eastAsia="仿宋"/>
          <w:b/>
          <w:bCs/>
          <w:sz w:val="32"/>
          <w:szCs w:val="32"/>
        </w:rPr>
      </w:pPr>
    </w:p>
    <w:p>
      <w:pPr>
        <w:pStyle w:val="12"/>
        <w:rPr>
          <w:rFonts w:ascii="仿宋" w:hAnsi="仿宋" w:eastAsia="仿宋"/>
          <w:b/>
          <w:bCs/>
          <w:sz w:val="32"/>
          <w:szCs w:val="32"/>
        </w:rPr>
      </w:pPr>
    </w:p>
    <w:p>
      <w:pPr>
        <w:pStyle w:val="12"/>
        <w:rPr>
          <w:rFonts w:ascii="仿宋" w:hAnsi="仿宋" w:eastAsia="仿宋"/>
          <w:sz w:val="30"/>
          <w:szCs w:val="30"/>
        </w:rPr>
      </w:pPr>
    </w:p>
    <w:p/>
    <w:p>
      <w:pPr>
        <w:autoSpaceDE w:val="0"/>
        <w:autoSpaceDN w:val="0"/>
        <w:adjustRightInd w:val="0"/>
        <w:snapToGrid w:val="0"/>
        <w:spacing w:line="360" w:lineRule="auto"/>
        <w:rPr>
          <w:rFonts w:ascii="仿宋" w:hAnsi="仿宋" w:eastAsia="仿宋"/>
          <w:b/>
          <w:bCs/>
          <w:sz w:val="32"/>
          <w:szCs w:val="32"/>
          <w:u w:val="single"/>
        </w:rPr>
      </w:pPr>
      <w:r>
        <w:rPr>
          <w:rFonts w:ascii="仿宋" w:hAnsi="仿宋" w:eastAsia="仿宋"/>
          <w:sz w:val="30"/>
          <w:szCs w:val="30"/>
        </w:rPr>
        <w:t xml:space="preserve">                 </w:t>
      </w:r>
      <w:r>
        <w:rPr>
          <w:rFonts w:ascii="仿宋" w:hAnsi="仿宋" w:eastAsia="仿宋"/>
          <w:b/>
          <w:bCs/>
          <w:sz w:val="32"/>
          <w:szCs w:val="32"/>
          <w:lang w:val="zh-CN"/>
        </w:rPr>
        <w:t>投</w:t>
      </w:r>
      <w:r>
        <w:rPr>
          <w:rFonts w:ascii="仿宋" w:hAnsi="仿宋" w:eastAsia="仿宋"/>
          <w:b/>
          <w:bCs/>
          <w:sz w:val="32"/>
          <w:szCs w:val="32"/>
        </w:rPr>
        <w:t xml:space="preserve"> </w:t>
      </w:r>
      <w:r>
        <w:rPr>
          <w:rFonts w:ascii="仿宋" w:hAnsi="仿宋" w:eastAsia="仿宋"/>
          <w:b/>
          <w:bCs/>
          <w:sz w:val="32"/>
          <w:szCs w:val="32"/>
          <w:lang w:val="zh-CN"/>
        </w:rPr>
        <w:t>标</w:t>
      </w:r>
      <w:r>
        <w:rPr>
          <w:rFonts w:ascii="仿宋" w:hAnsi="仿宋" w:eastAsia="仿宋"/>
          <w:b/>
          <w:bCs/>
          <w:sz w:val="32"/>
          <w:szCs w:val="32"/>
        </w:rPr>
        <w:t xml:space="preserve"> </w:t>
      </w:r>
      <w:r>
        <w:rPr>
          <w:rFonts w:ascii="仿宋" w:hAnsi="仿宋" w:eastAsia="仿宋"/>
          <w:b/>
          <w:bCs/>
          <w:sz w:val="32"/>
          <w:szCs w:val="32"/>
          <w:lang w:val="zh-CN"/>
        </w:rPr>
        <w:t>人：</w:t>
      </w:r>
      <w:r>
        <w:rPr>
          <w:rFonts w:ascii="仿宋" w:hAnsi="仿宋" w:eastAsia="仿宋"/>
          <w:b/>
          <w:bCs/>
          <w:sz w:val="32"/>
          <w:szCs w:val="32"/>
          <w:u w:val="single"/>
        </w:rPr>
        <w:t xml:space="preserve">                   </w:t>
      </w:r>
    </w:p>
    <w:p>
      <w:pPr>
        <w:autoSpaceDE w:val="0"/>
        <w:autoSpaceDN w:val="0"/>
        <w:adjustRightInd w:val="0"/>
        <w:snapToGrid w:val="0"/>
        <w:spacing w:line="360" w:lineRule="auto"/>
        <w:ind w:firstLine="2560" w:firstLineChars="800"/>
        <w:rPr>
          <w:rFonts w:ascii="仿宋" w:hAnsi="仿宋" w:eastAsia="仿宋"/>
          <w:b/>
          <w:bCs/>
          <w:sz w:val="32"/>
          <w:szCs w:val="32"/>
        </w:rPr>
      </w:pPr>
      <w:r>
        <w:rPr>
          <w:rFonts w:ascii="仿宋" w:hAnsi="仿宋" w:eastAsia="仿宋"/>
          <w:b/>
          <w:bCs/>
          <w:sz w:val="32"/>
          <w:szCs w:val="32"/>
          <w:lang w:val="zh-CN"/>
        </w:rPr>
        <w:t>时</w:t>
      </w:r>
      <w:r>
        <w:rPr>
          <w:rFonts w:ascii="仿宋" w:hAnsi="仿宋" w:eastAsia="仿宋"/>
          <w:b/>
          <w:bCs/>
          <w:sz w:val="32"/>
          <w:szCs w:val="32"/>
        </w:rPr>
        <w:t xml:space="preserve">    </w:t>
      </w:r>
      <w:r>
        <w:rPr>
          <w:rFonts w:ascii="仿宋" w:hAnsi="仿宋" w:eastAsia="仿宋"/>
          <w:b/>
          <w:bCs/>
          <w:sz w:val="32"/>
          <w:szCs w:val="32"/>
          <w:lang w:val="zh-CN"/>
        </w:rPr>
        <w:t>间：</w:t>
      </w:r>
      <w:r>
        <w:rPr>
          <w:rFonts w:ascii="仿宋" w:hAnsi="仿宋" w:eastAsia="仿宋"/>
          <w:b/>
          <w:bCs/>
          <w:sz w:val="32"/>
          <w:szCs w:val="32"/>
          <w:u w:val="single"/>
        </w:rPr>
        <w:t xml:space="preserve">                   </w:t>
      </w:r>
    </w:p>
    <w:p>
      <w:pPr>
        <w:spacing w:line="360" w:lineRule="auto"/>
        <w:ind w:left="735" w:leftChars="350" w:firstLine="120" w:firstLineChars="50"/>
        <w:rPr>
          <w:rFonts w:ascii="仿宋" w:hAnsi="仿宋" w:eastAsia="仿宋"/>
          <w:color w:val="00B0F0"/>
          <w:sz w:val="24"/>
        </w:rPr>
      </w:pPr>
    </w:p>
    <w:p>
      <w:pPr>
        <w:jc w:val="center"/>
        <w:rPr>
          <w:rFonts w:ascii="仿宋" w:hAnsi="仿宋" w:eastAsia="仿宋" w:cs="仿宋"/>
          <w:b/>
          <w:sz w:val="44"/>
        </w:rPr>
      </w:pPr>
      <w:r>
        <w:rPr>
          <w:rFonts w:ascii="仿宋" w:hAnsi="仿宋" w:eastAsia="仿宋"/>
          <w:color w:val="00B0F0"/>
          <w:sz w:val="24"/>
        </w:rPr>
        <w:br w:type="page"/>
      </w:r>
      <w:r>
        <w:rPr>
          <w:rFonts w:hint="eastAsia" w:ascii="仿宋" w:hAnsi="仿宋" w:eastAsia="仿宋" w:cs="仿宋"/>
          <w:b/>
          <w:sz w:val="44"/>
        </w:rPr>
        <w:t>目  录</w:t>
      </w:r>
    </w:p>
    <w:p>
      <w:pPr>
        <w:jc w:val="center"/>
        <w:rPr>
          <w:rFonts w:ascii="仿宋" w:hAnsi="仿宋" w:eastAsia="仿宋" w:cs="仿宋"/>
          <w:b/>
          <w:sz w:val="44"/>
        </w:rPr>
      </w:pPr>
    </w:p>
    <w:p>
      <w:pPr>
        <w:spacing w:line="360" w:lineRule="auto"/>
        <w:ind w:left="735" w:leftChars="350" w:firstLine="160" w:firstLineChars="50"/>
        <w:jc w:val="center"/>
        <w:rPr>
          <w:rFonts w:ascii="楷体" w:hAnsi="楷体" w:eastAsia="楷体" w:cs="楷体"/>
          <w:sz w:val="32"/>
          <w:szCs w:val="32"/>
        </w:rPr>
      </w:pPr>
      <w:r>
        <w:rPr>
          <w:rFonts w:hint="eastAsia" w:ascii="仿宋" w:hAnsi="仿宋" w:eastAsia="仿宋" w:cs="仿宋"/>
          <w:sz w:val="32"/>
          <w:szCs w:val="32"/>
        </w:rPr>
        <w:t>（格式自拟）</w:t>
      </w:r>
    </w:p>
    <w:p>
      <w:pPr>
        <w:spacing w:line="360" w:lineRule="auto"/>
        <w:ind w:left="735" w:leftChars="350" w:firstLine="160" w:firstLineChars="50"/>
        <w:rPr>
          <w:rFonts w:ascii="仿宋" w:hAnsi="仿宋" w:eastAsia="仿宋"/>
          <w:color w:val="00B0F0"/>
          <w:sz w:val="24"/>
        </w:rPr>
      </w:pPr>
      <w:r>
        <w:rPr>
          <w:rFonts w:hint="eastAsia" w:ascii="楷体" w:hAnsi="楷体" w:eastAsia="楷体" w:cs="楷体"/>
          <w:sz w:val="32"/>
          <w:szCs w:val="32"/>
        </w:rPr>
        <w:br w:type="page"/>
      </w:r>
    </w:p>
    <w:p>
      <w:pPr>
        <w:snapToGrid w:val="0"/>
        <w:spacing w:line="360" w:lineRule="auto"/>
        <w:ind w:left="1079" w:leftChars="257" w:hanging="540"/>
        <w:jc w:val="center"/>
        <w:rPr>
          <w:rFonts w:ascii="宋体" w:hAnsi="宋体" w:cs="宋体"/>
          <w:sz w:val="24"/>
        </w:rPr>
      </w:pPr>
      <w:bookmarkStart w:id="318" w:name="_Toc45196827"/>
      <w:r>
        <w:rPr>
          <w:rFonts w:hint="eastAsia" w:ascii="宋体" w:hAnsi="宋体" w:cs="宋体"/>
          <w:sz w:val="24"/>
        </w:rPr>
        <w:t>资格证明文件</w:t>
      </w:r>
      <w:bookmarkEnd w:id="318"/>
    </w:p>
    <w:p>
      <w:pPr>
        <w:spacing w:line="360" w:lineRule="auto"/>
        <w:rPr>
          <w:rFonts w:ascii="宋体" w:hAnsi="宋体" w:cs="宋体"/>
          <w:sz w:val="24"/>
        </w:rPr>
      </w:pPr>
      <w:r>
        <w:rPr>
          <w:rFonts w:hint="eastAsia" w:ascii="宋体" w:hAnsi="宋体" w:cs="宋体"/>
          <w:b/>
          <w:bCs/>
          <w:sz w:val="24"/>
        </w:rPr>
        <w:t>（一）资格审查文件</w:t>
      </w:r>
      <w:r>
        <w:rPr>
          <w:rFonts w:hint="eastAsia" w:ascii="宋体" w:hAnsi="宋体" w:cs="宋体"/>
          <w:sz w:val="24"/>
        </w:rPr>
        <w:t>（以下相关资料须按招标文件要求提供，内容须清晰可见）</w:t>
      </w:r>
    </w:p>
    <w:p>
      <w:pPr>
        <w:spacing w:line="360" w:lineRule="auto"/>
        <w:rPr>
          <w:rFonts w:ascii="宋体" w:hAnsi="宋体" w:cs="宋体"/>
          <w:sz w:val="24"/>
        </w:rPr>
      </w:pPr>
      <w:r>
        <w:rPr>
          <w:rFonts w:hint="eastAsia" w:ascii="宋体" w:hAnsi="宋体" w:cs="宋体"/>
          <w:sz w:val="24"/>
        </w:rPr>
        <w:t>1、投标人具备《中华人民共和国政府采购法》第二十二条规定之资格条件。须提供的证明材料有：</w:t>
      </w:r>
    </w:p>
    <w:p>
      <w:pPr>
        <w:pStyle w:val="29"/>
        <w:spacing w:before="0" w:beforeAutospacing="0" w:after="0" w:afterAutospacing="0" w:line="360" w:lineRule="auto"/>
      </w:pPr>
      <w:r>
        <w:rPr>
          <w:rFonts w:hint="eastAsia"/>
        </w:rPr>
        <w:t>1.1提供有效合格的具有社会统一信用代码的营业执照，其他组织经营的须提供合法凭证，自然人提供身份证明文件;</w:t>
      </w:r>
    </w:p>
    <w:p>
      <w:pPr>
        <w:pStyle w:val="29"/>
        <w:spacing w:before="0" w:beforeAutospacing="0" w:after="0" w:afterAutospacing="0" w:line="360" w:lineRule="auto"/>
      </w:pPr>
      <w:r>
        <w:rPr>
          <w:rFonts w:hint="eastAsia"/>
        </w:rPr>
        <w:t>1.2财务状况报告：</w:t>
      </w:r>
      <w:r>
        <w:rPr>
          <w:rFonts w:hint="eastAsia"/>
          <w:lang w:eastAsia="zh-CN"/>
        </w:rPr>
        <w:t>提供2021年度或2022年度经审计的财务报告</w:t>
      </w:r>
      <w:r>
        <w:rPr>
          <w:rFonts w:hint="eastAsia"/>
        </w:rPr>
        <w:t>或开标日期前三个月内其基本存款账户开户银行出具的资信证明及基本存款账户开户许可证（基本账户信息表）；</w:t>
      </w:r>
    </w:p>
    <w:p>
      <w:pPr>
        <w:pStyle w:val="29"/>
        <w:spacing w:before="0" w:beforeAutospacing="0" w:after="0" w:afterAutospacing="0" w:line="360" w:lineRule="auto"/>
      </w:pPr>
      <w:r>
        <w:rPr>
          <w:rFonts w:hint="eastAsia"/>
        </w:rPr>
        <w:t>1.3税收缴纳证明：提供2022年10月至今已缴纳的至少一个月的纳税证明(任意税种），依法免税的单位应提供相关证明材料；</w:t>
      </w:r>
    </w:p>
    <w:p>
      <w:pPr>
        <w:pStyle w:val="29"/>
        <w:spacing w:before="0" w:beforeAutospacing="0" w:after="0" w:afterAutospacing="0" w:line="360" w:lineRule="auto"/>
      </w:pPr>
      <w:r>
        <w:rPr>
          <w:rFonts w:hint="eastAsia"/>
        </w:rPr>
        <w:t>1.4社会保障资金缴纳证明：提供2022年10月至今已缴存的至少一个月的社会保障资金缴存单据或社保机构开具的社会保险参保缴费情况证明，依法不需要缴纳社会保障资金的单位应提供相关证明材料；</w:t>
      </w:r>
    </w:p>
    <w:p>
      <w:pPr>
        <w:pStyle w:val="29"/>
        <w:spacing w:before="0" w:beforeAutospacing="0" w:after="0" w:afterAutospacing="0" w:line="360" w:lineRule="auto"/>
      </w:pPr>
      <w:r>
        <w:rPr>
          <w:rFonts w:hint="eastAsia"/>
        </w:rPr>
        <w:t>1.5具备履行合同所必须的设备和专业技术能力的书面声明（见格式一）;</w:t>
      </w:r>
    </w:p>
    <w:p>
      <w:pPr>
        <w:pStyle w:val="29"/>
        <w:spacing w:before="0" w:beforeAutospacing="0" w:after="0" w:afterAutospacing="0" w:line="360" w:lineRule="auto"/>
      </w:pPr>
      <w:r>
        <w:rPr>
          <w:rFonts w:hint="eastAsia"/>
        </w:rPr>
        <w:t>1.6参加政府采购活动前三年内，在经营活动中没有重大违法记录的书面声明（见格式二）。</w:t>
      </w:r>
    </w:p>
    <w:p>
      <w:pPr>
        <w:pStyle w:val="29"/>
        <w:spacing w:before="0" w:beforeAutospacing="0" w:after="0" w:afterAutospacing="0" w:line="360" w:lineRule="auto"/>
      </w:pPr>
      <w:r>
        <w:rPr>
          <w:rFonts w:hint="eastAsia"/>
        </w:rPr>
        <w:t>2.特定资格条件</w:t>
      </w:r>
    </w:p>
    <w:p>
      <w:pPr>
        <w:tabs>
          <w:tab w:val="left" w:pos="5580"/>
        </w:tabs>
        <w:snapToGrid w:val="0"/>
        <w:spacing w:line="360" w:lineRule="auto"/>
        <w:rPr>
          <w:rFonts w:ascii="宋体" w:hAnsi="宋体" w:cs="宋体"/>
          <w:sz w:val="24"/>
        </w:rPr>
      </w:pPr>
      <w:r>
        <w:rPr>
          <w:rFonts w:hint="eastAsia" w:ascii="宋体" w:hAnsi="宋体" w:cs="宋体"/>
          <w:sz w:val="24"/>
        </w:rPr>
        <w:t>2.1投标人未被列入“中国执行信息公开网”（http://zxgk.court.gov.cn/shixin/）失信被执行人名单，未被列入“信用中国”网站（www.creditchina.gov.cn）重大税收违法失信主体，未被列入“中国政府采购网”（www.ccgp.gov.cn）政府采购严重违法失信行为记录名单；</w:t>
      </w:r>
    </w:p>
    <w:p>
      <w:pPr>
        <w:tabs>
          <w:tab w:val="left" w:pos="5580"/>
        </w:tabs>
        <w:snapToGrid w:val="0"/>
        <w:spacing w:line="360" w:lineRule="auto"/>
        <w:rPr>
          <w:rFonts w:ascii="宋体" w:hAnsi="宋体" w:cs="宋体"/>
          <w:sz w:val="24"/>
        </w:rPr>
      </w:pPr>
      <w:r>
        <w:rPr>
          <w:rFonts w:hint="eastAsia" w:ascii="宋体" w:hAnsi="宋体" w:cs="宋体"/>
          <w:sz w:val="24"/>
        </w:rPr>
        <w:t>2.</w:t>
      </w:r>
      <w:r>
        <w:rPr>
          <w:rFonts w:hint="eastAsia" w:ascii="宋体" w:hAnsi="宋体" w:cs="宋体"/>
          <w:sz w:val="24"/>
          <w:lang w:val="en-US" w:eastAsia="zh-CN"/>
        </w:rPr>
        <w:t>2</w:t>
      </w:r>
      <w:r>
        <w:rPr>
          <w:rFonts w:hint="eastAsia" w:ascii="宋体" w:hAnsi="宋体" w:cs="宋体"/>
          <w:sz w:val="24"/>
        </w:rPr>
        <w:t>法定代表人（或单位负责人）直接参加投标的，须出具法定代表人（或单位负责人）身份证，非法定代表人（或单位负责人）参加投标，须出具法定代表人（或单位负责人）授权书及被授权人身份证（见格式三）；</w:t>
      </w:r>
    </w:p>
    <w:p>
      <w:pPr>
        <w:tabs>
          <w:tab w:val="left" w:pos="5580"/>
        </w:tabs>
        <w:snapToGrid w:val="0"/>
        <w:spacing w:line="360" w:lineRule="auto"/>
        <w:rPr>
          <w:rFonts w:ascii="宋体" w:hAnsi="宋体" w:cs="宋体"/>
          <w:sz w:val="24"/>
        </w:rPr>
      </w:pPr>
      <w:r>
        <w:rPr>
          <w:rFonts w:hint="eastAsia" w:ascii="宋体" w:hAnsi="宋体" w:cs="宋体"/>
          <w:sz w:val="24"/>
        </w:rPr>
        <w:t>2.</w:t>
      </w:r>
      <w:r>
        <w:rPr>
          <w:rFonts w:hint="eastAsia" w:ascii="宋体" w:hAnsi="宋体" w:cs="宋体"/>
          <w:sz w:val="24"/>
          <w:lang w:val="en-US" w:eastAsia="zh-CN"/>
        </w:rPr>
        <w:t>3</w:t>
      </w:r>
      <w:r>
        <w:rPr>
          <w:rFonts w:hint="eastAsia" w:ascii="宋体" w:hAnsi="宋体" w:cs="宋体"/>
          <w:sz w:val="24"/>
        </w:rPr>
        <w:t>投标单位负责人为同一人或者存在控股、管理关系的不同单位，不得参加同一合同项下的政府采购活动（见格式四）；</w:t>
      </w:r>
    </w:p>
    <w:p>
      <w:pPr>
        <w:tabs>
          <w:tab w:val="left" w:pos="5580"/>
        </w:tabs>
        <w:snapToGrid w:val="0"/>
        <w:spacing w:line="360" w:lineRule="auto"/>
        <w:rPr>
          <w:rFonts w:hAnsi="宋体" w:cs="宋体"/>
          <w:sz w:val="24"/>
        </w:rPr>
      </w:pPr>
      <w:r>
        <w:rPr>
          <w:rFonts w:hint="eastAsia" w:ascii="宋体" w:hAnsi="宋体" w:cs="宋体"/>
          <w:sz w:val="24"/>
        </w:rPr>
        <w:t>2.</w:t>
      </w:r>
      <w:r>
        <w:rPr>
          <w:rFonts w:hint="eastAsia" w:ascii="宋体" w:hAnsi="宋体" w:cs="宋体"/>
          <w:sz w:val="24"/>
          <w:lang w:val="en-US" w:eastAsia="zh-CN"/>
        </w:rPr>
        <w:t>4</w:t>
      </w:r>
      <w:r>
        <w:rPr>
          <w:rFonts w:hint="eastAsia" w:ascii="宋体" w:hAnsi="宋体" w:cs="宋体"/>
          <w:sz w:val="24"/>
        </w:rPr>
        <w:t>本项目不允许联合体投标（见格式四）；</w:t>
      </w:r>
      <w:r>
        <w:rPr>
          <w:rFonts w:hint="eastAsia" w:hAnsi="宋体" w:cs="宋体"/>
          <w:sz w:val="24"/>
        </w:rPr>
        <w:br w:type="page"/>
      </w:r>
    </w:p>
    <w:p>
      <w:pPr>
        <w:spacing w:line="360" w:lineRule="auto"/>
        <w:ind w:left="1"/>
        <w:rPr>
          <w:rFonts w:ascii="宋体" w:hAnsi="宋体" w:cs="宋体"/>
          <w:sz w:val="24"/>
        </w:rPr>
      </w:pPr>
      <w:bookmarkStart w:id="319" w:name="_Toc45196828"/>
      <w:r>
        <w:rPr>
          <w:rFonts w:hint="eastAsia" w:ascii="宋体" w:hAnsi="宋体" w:cs="宋体"/>
          <w:sz w:val="24"/>
        </w:rPr>
        <w:t>格式一：</w:t>
      </w:r>
    </w:p>
    <w:p>
      <w:pPr>
        <w:adjustRightInd w:val="0"/>
        <w:snapToGrid w:val="0"/>
        <w:spacing w:line="360" w:lineRule="auto"/>
        <w:jc w:val="center"/>
        <w:rPr>
          <w:rFonts w:ascii="宋体" w:hAnsi="宋体" w:cs="宋体"/>
          <w:b/>
          <w:bCs/>
          <w:sz w:val="32"/>
          <w:szCs w:val="32"/>
        </w:rPr>
      </w:pPr>
      <w:r>
        <w:rPr>
          <w:rFonts w:hint="eastAsia" w:ascii="宋体" w:hAnsi="宋体" w:cs="宋体"/>
          <w:b/>
          <w:bCs/>
          <w:sz w:val="32"/>
          <w:szCs w:val="32"/>
        </w:rPr>
        <w:t>具备履行合同所必须的设备和专业技术能力的书面声明</w:t>
      </w:r>
    </w:p>
    <w:p>
      <w:pPr>
        <w:spacing w:line="720" w:lineRule="auto"/>
        <w:jc w:val="left"/>
        <w:rPr>
          <w:rFonts w:ascii="宋体" w:hAnsi="宋体" w:cs="宋体"/>
          <w:b/>
          <w:bCs/>
          <w:sz w:val="24"/>
          <w:u w:val="single"/>
        </w:rPr>
      </w:pPr>
      <w:r>
        <w:rPr>
          <w:rFonts w:hint="eastAsia" w:ascii="宋体" w:hAnsi="宋体" w:cs="宋体"/>
          <w:b/>
          <w:bCs/>
          <w:sz w:val="24"/>
        </w:rPr>
        <w:t>致：</w:t>
      </w:r>
      <w:r>
        <w:rPr>
          <w:rFonts w:hint="eastAsia" w:ascii="宋体" w:hAnsi="宋体" w:cs="宋体"/>
          <w:b/>
          <w:bCs/>
          <w:sz w:val="24"/>
          <w:u w:val="single"/>
        </w:rPr>
        <w:t xml:space="preserve">            </w:t>
      </w:r>
    </w:p>
    <w:p>
      <w:pPr>
        <w:spacing w:line="720" w:lineRule="auto"/>
        <w:ind w:firstLine="480" w:firstLineChars="200"/>
        <w:jc w:val="left"/>
        <w:rPr>
          <w:rFonts w:ascii="宋体" w:hAnsi="宋体" w:cs="宋体"/>
          <w:sz w:val="24"/>
        </w:rPr>
      </w:pPr>
      <w:r>
        <w:rPr>
          <w:rFonts w:hint="eastAsia" w:ascii="宋体" w:hAnsi="宋体" w:cs="宋体"/>
          <w:sz w:val="24"/>
        </w:rPr>
        <w:t>作为参加贵公司组织的</w:t>
      </w:r>
      <w:r>
        <w:rPr>
          <w:rFonts w:hint="eastAsia" w:ascii="宋体" w:hAnsi="宋体" w:cs="宋体"/>
          <w:sz w:val="24"/>
          <w:u w:val="single"/>
        </w:rPr>
        <w:t xml:space="preserve">          （项目名称、包号）</w:t>
      </w:r>
      <w:r>
        <w:rPr>
          <w:rFonts w:hint="eastAsia" w:ascii="宋体" w:hAnsi="宋体" w:cs="宋体"/>
          <w:sz w:val="24"/>
        </w:rPr>
        <w:t>的投标人，本公司郑重申告并承诺：我公司（</w:t>
      </w:r>
      <w:r>
        <w:rPr>
          <w:rFonts w:hint="eastAsia" w:ascii="宋体" w:hAnsi="宋体" w:cs="宋体"/>
          <w:sz w:val="24"/>
          <w:u w:val="single"/>
        </w:rPr>
        <w:t>具备/不具备</w:t>
      </w:r>
      <w:r>
        <w:rPr>
          <w:rFonts w:hint="eastAsia" w:ascii="宋体" w:hAnsi="宋体" w:cs="宋体"/>
          <w:sz w:val="24"/>
        </w:rPr>
        <w:t>）履行合同所必须的设备和专业技术能力，如有隐瞒或违反，同意接受业主及行政主管部门处理和处罚决定。</w:t>
      </w:r>
    </w:p>
    <w:p>
      <w:pPr>
        <w:spacing w:line="72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r>
        <w:rPr>
          <w:rFonts w:hint="eastAsia" w:ascii="宋体" w:hAnsi="宋体" w:cs="宋体"/>
          <w:sz w:val="24"/>
        </w:rPr>
        <w:t>投标人名称（公章）：</w:t>
      </w:r>
    </w:p>
    <w:p>
      <w:pPr>
        <w:spacing w:line="360" w:lineRule="auto"/>
        <w:jc w:val="left"/>
        <w:rPr>
          <w:rFonts w:ascii="宋体" w:hAnsi="宋体" w:cs="宋体"/>
          <w:b/>
          <w:sz w:val="24"/>
        </w:rPr>
      </w:pPr>
      <w:r>
        <w:rPr>
          <w:rFonts w:hint="eastAsia" w:ascii="宋体" w:hAnsi="宋体" w:cs="宋体"/>
          <w:sz w:val="24"/>
        </w:rPr>
        <w:t>法定代表人（负责人）/被授权人（</w:t>
      </w:r>
      <w:r>
        <w:rPr>
          <w:rFonts w:hint="eastAsia" w:ascii="宋体" w:hAnsi="宋体" w:cs="宋体"/>
          <w:spacing w:val="4"/>
          <w:sz w:val="24"/>
        </w:rPr>
        <w:t>签字或盖章</w:t>
      </w:r>
      <w:r>
        <w:rPr>
          <w:rFonts w:hint="eastAsia" w:ascii="宋体" w:hAnsi="宋体" w:cs="宋体"/>
          <w:sz w:val="24"/>
        </w:rPr>
        <w:t>）：</w:t>
      </w:r>
      <w:r>
        <w:rPr>
          <w:rFonts w:hint="eastAsia" w:ascii="宋体" w:hAnsi="宋体" w:cs="宋体"/>
          <w:b/>
          <w:sz w:val="24"/>
          <w:u w:val="single"/>
        </w:rPr>
        <w:t xml:space="preserve">                </w:t>
      </w:r>
    </w:p>
    <w:p>
      <w:pPr>
        <w:spacing w:line="360" w:lineRule="auto"/>
        <w:rPr>
          <w:rFonts w:ascii="宋体" w:hAnsi="宋体" w:cs="宋体"/>
          <w:sz w:val="24"/>
        </w:rPr>
      </w:pPr>
      <w:r>
        <w:rPr>
          <w:rFonts w:hint="eastAsia" w:ascii="宋体" w:hAnsi="宋体" w:cs="宋体"/>
          <w:sz w:val="24"/>
        </w:rPr>
        <w:t>日    期：</w:t>
      </w:r>
    </w:p>
    <w:p>
      <w:pPr>
        <w:adjustRightInd w:val="0"/>
        <w:snapToGrid w:val="0"/>
        <w:spacing w:line="360" w:lineRule="auto"/>
        <w:jc w:val="left"/>
        <w:rPr>
          <w:rFonts w:ascii="宋体" w:hAnsi="宋体" w:cs="宋体"/>
        </w:rPr>
      </w:pPr>
    </w:p>
    <w:p>
      <w:pPr>
        <w:pStyle w:val="76"/>
        <w:ind w:firstLine="480"/>
        <w:rPr>
          <w:rFonts w:hAnsi="宋体" w:eastAsia="宋体" w:cs="宋体"/>
        </w:rPr>
      </w:pPr>
    </w:p>
    <w:p>
      <w:pPr>
        <w:pStyle w:val="76"/>
        <w:ind w:firstLine="0"/>
        <w:rPr>
          <w:rFonts w:hAnsi="宋体" w:eastAsia="宋体" w:cs="宋体"/>
          <w:b/>
          <w:bCs/>
        </w:rPr>
      </w:pPr>
      <w:r>
        <w:rPr>
          <w:rFonts w:hint="eastAsia" w:hAnsi="宋体" w:eastAsia="宋体" w:cs="宋体"/>
          <w:b/>
          <w:bCs/>
        </w:rPr>
        <w:t>备注：投标人须根据自身实际情况作出真实声明。</w:t>
      </w:r>
    </w:p>
    <w:p>
      <w:pPr>
        <w:adjustRightInd w:val="0"/>
        <w:snapToGrid w:val="0"/>
        <w:spacing w:line="360" w:lineRule="auto"/>
        <w:jc w:val="left"/>
        <w:rPr>
          <w:rFonts w:ascii="宋体" w:hAnsi="宋体" w:cs="宋体"/>
        </w:rPr>
      </w:pPr>
    </w:p>
    <w:p>
      <w:pPr>
        <w:rPr>
          <w:rFonts w:ascii="宋体" w:hAnsi="宋体" w:cs="宋体"/>
        </w:rPr>
      </w:pPr>
      <w:r>
        <w:rPr>
          <w:rFonts w:hint="eastAsia" w:ascii="宋体" w:hAnsi="宋体" w:cs="宋体"/>
        </w:rPr>
        <w:br w:type="page"/>
      </w:r>
    </w:p>
    <w:p>
      <w:pPr>
        <w:pStyle w:val="52"/>
        <w:rPr>
          <w:rFonts w:hAnsi="宋体" w:cs="宋体"/>
        </w:rPr>
      </w:pPr>
      <w:r>
        <w:rPr>
          <w:rFonts w:hint="eastAsia" w:hAnsi="宋体" w:cs="宋体"/>
        </w:rPr>
        <w:t>格式二：</w:t>
      </w:r>
    </w:p>
    <w:p>
      <w:pPr>
        <w:spacing w:line="360" w:lineRule="auto"/>
        <w:jc w:val="center"/>
        <w:rPr>
          <w:rFonts w:ascii="宋体" w:hAnsi="宋体" w:cs="宋体"/>
          <w:b/>
          <w:bCs/>
          <w:sz w:val="32"/>
          <w:szCs w:val="32"/>
        </w:rPr>
      </w:pPr>
      <w:r>
        <w:rPr>
          <w:rFonts w:hint="eastAsia" w:ascii="宋体" w:hAnsi="宋体" w:cs="宋体"/>
          <w:b/>
          <w:bCs/>
          <w:sz w:val="32"/>
          <w:szCs w:val="32"/>
        </w:rPr>
        <w:t>参加政府采购活动前三年内，在经营活动中</w:t>
      </w:r>
    </w:p>
    <w:p>
      <w:pPr>
        <w:spacing w:line="360" w:lineRule="auto"/>
        <w:jc w:val="center"/>
        <w:rPr>
          <w:rFonts w:ascii="宋体" w:hAnsi="宋体" w:cs="宋体"/>
          <w:b/>
          <w:bCs/>
          <w:sz w:val="32"/>
          <w:szCs w:val="32"/>
        </w:rPr>
      </w:pPr>
      <w:r>
        <w:rPr>
          <w:rFonts w:hint="eastAsia" w:ascii="宋体" w:hAnsi="宋体" w:cs="宋体"/>
          <w:b/>
          <w:bCs/>
          <w:sz w:val="32"/>
          <w:szCs w:val="32"/>
        </w:rPr>
        <w:t>没有重大违法记录书面声明</w:t>
      </w:r>
    </w:p>
    <w:p>
      <w:pPr>
        <w:spacing w:line="720" w:lineRule="auto"/>
        <w:jc w:val="left"/>
        <w:rPr>
          <w:rFonts w:ascii="宋体" w:hAnsi="宋体" w:cs="宋体"/>
          <w:b/>
          <w:sz w:val="24"/>
          <w:u w:val="single"/>
        </w:rPr>
      </w:pPr>
      <w:r>
        <w:rPr>
          <w:rFonts w:hint="eastAsia" w:ascii="宋体" w:hAnsi="宋体" w:cs="宋体"/>
          <w:b/>
          <w:sz w:val="24"/>
        </w:rPr>
        <w:t>致：</w:t>
      </w:r>
      <w:r>
        <w:rPr>
          <w:rFonts w:hint="eastAsia" w:ascii="宋体" w:hAnsi="宋体" w:cs="宋体"/>
          <w:b/>
          <w:sz w:val="24"/>
          <w:u w:val="single"/>
        </w:rPr>
        <w:t xml:space="preserve">                 </w:t>
      </w:r>
    </w:p>
    <w:p>
      <w:pPr>
        <w:spacing w:line="720" w:lineRule="auto"/>
        <w:ind w:firstLine="480" w:firstLineChars="200"/>
        <w:jc w:val="left"/>
        <w:rPr>
          <w:rFonts w:ascii="宋体" w:hAnsi="宋体" w:cs="宋体"/>
          <w:sz w:val="24"/>
        </w:rPr>
      </w:pPr>
      <w:r>
        <w:rPr>
          <w:rFonts w:hint="eastAsia" w:ascii="宋体" w:hAnsi="宋体" w:cs="宋体"/>
          <w:sz w:val="24"/>
        </w:rPr>
        <w:t>作为参加贵公司组织的招标项目的投标人，本公司郑重声明：近三年未受到有关行政主管部门的行政处理、无不良行为，产生的重大违法记录为</w:t>
      </w:r>
      <w:r>
        <w:rPr>
          <w:rFonts w:hint="eastAsia" w:ascii="宋体" w:hAnsi="宋体" w:cs="宋体"/>
          <w:sz w:val="24"/>
          <w:u w:val="single"/>
        </w:rPr>
        <w:t xml:space="preserve">    </w:t>
      </w:r>
      <w:r>
        <w:rPr>
          <w:rFonts w:hint="eastAsia" w:ascii="宋体" w:hAnsi="宋体" w:cs="宋体"/>
          <w:sz w:val="24"/>
        </w:rPr>
        <w:t>（没有填“零”）次。如有隐瞒或违反，同意接受业主及行政主管部门处理和处罚决定。</w:t>
      </w:r>
    </w:p>
    <w:p>
      <w:pPr>
        <w:spacing w:line="360" w:lineRule="auto"/>
        <w:ind w:firstLine="480" w:firstLineChars="200"/>
        <w:jc w:val="left"/>
        <w:rPr>
          <w:rFonts w:ascii="宋体" w:hAnsi="宋体" w:cs="宋体"/>
          <w:sz w:val="24"/>
        </w:rPr>
      </w:pPr>
    </w:p>
    <w:p>
      <w:pPr>
        <w:spacing w:line="360" w:lineRule="auto"/>
        <w:ind w:firstLine="480" w:firstLineChars="200"/>
        <w:jc w:val="left"/>
        <w:rPr>
          <w:rFonts w:ascii="宋体" w:hAnsi="宋体" w:cs="宋体"/>
          <w:sz w:val="24"/>
        </w:rPr>
      </w:pPr>
    </w:p>
    <w:p>
      <w:pPr>
        <w:spacing w:line="360" w:lineRule="auto"/>
        <w:jc w:val="left"/>
        <w:rPr>
          <w:rFonts w:ascii="宋体" w:hAnsi="宋体" w:cs="宋体"/>
          <w:sz w:val="24"/>
        </w:rPr>
      </w:pPr>
      <w:r>
        <w:rPr>
          <w:rFonts w:hint="eastAsia" w:ascii="宋体" w:hAnsi="宋体" w:cs="宋体"/>
          <w:sz w:val="24"/>
        </w:rPr>
        <w:t>投标人名称（公章）：</w:t>
      </w:r>
    </w:p>
    <w:p>
      <w:pPr>
        <w:spacing w:line="360" w:lineRule="auto"/>
        <w:jc w:val="left"/>
        <w:rPr>
          <w:rFonts w:ascii="宋体" w:hAnsi="宋体" w:cs="宋体"/>
          <w:b/>
          <w:sz w:val="24"/>
        </w:rPr>
      </w:pPr>
      <w:r>
        <w:rPr>
          <w:rFonts w:hint="eastAsia" w:ascii="宋体" w:hAnsi="宋体" w:cs="宋体"/>
          <w:sz w:val="24"/>
        </w:rPr>
        <w:t>法定代表人（负责人）/被授权人（</w:t>
      </w:r>
      <w:r>
        <w:rPr>
          <w:rFonts w:hint="eastAsia" w:ascii="宋体" w:hAnsi="宋体" w:cs="宋体"/>
          <w:spacing w:val="4"/>
          <w:sz w:val="24"/>
        </w:rPr>
        <w:t>签字或盖章</w:t>
      </w:r>
      <w:r>
        <w:rPr>
          <w:rFonts w:hint="eastAsia" w:ascii="宋体" w:hAnsi="宋体" w:cs="宋体"/>
          <w:sz w:val="24"/>
        </w:rPr>
        <w:t>）：</w:t>
      </w:r>
    </w:p>
    <w:p>
      <w:pPr>
        <w:pStyle w:val="12"/>
        <w:jc w:val="left"/>
        <w:rPr>
          <w:rFonts w:cs="宋体"/>
        </w:rPr>
      </w:pPr>
      <w:r>
        <w:rPr>
          <w:rFonts w:hint="eastAsia" w:cs="宋体"/>
        </w:rPr>
        <w:t>日    期：</w:t>
      </w:r>
    </w:p>
    <w:p>
      <w:pPr>
        <w:rPr>
          <w:rFonts w:ascii="宋体" w:hAnsi="宋体" w:cs="宋体"/>
          <w:sz w:val="24"/>
        </w:rPr>
      </w:pPr>
    </w:p>
    <w:p>
      <w:pPr>
        <w:pStyle w:val="12"/>
        <w:rPr>
          <w:rFonts w:cs="宋体"/>
        </w:rPr>
      </w:pPr>
    </w:p>
    <w:p>
      <w:pPr>
        <w:rPr>
          <w:rFonts w:ascii="宋体" w:hAnsi="宋体" w:cs="宋体"/>
        </w:rPr>
      </w:pPr>
      <w:r>
        <w:rPr>
          <w:rFonts w:hint="eastAsia" w:ascii="宋体" w:hAnsi="宋体" w:cs="宋体"/>
        </w:rPr>
        <w:br w:type="page"/>
      </w:r>
    </w:p>
    <w:p>
      <w:pPr>
        <w:rPr>
          <w:rFonts w:ascii="宋体" w:hAnsi="宋体" w:cs="宋体"/>
          <w:sz w:val="30"/>
          <w:szCs w:val="30"/>
        </w:rPr>
      </w:pPr>
      <w:r>
        <w:rPr>
          <w:rFonts w:hint="eastAsia" w:ascii="宋体" w:hAnsi="宋体" w:cs="宋体"/>
          <w:sz w:val="30"/>
          <w:szCs w:val="30"/>
        </w:rPr>
        <w:t>格式三：</w:t>
      </w:r>
    </w:p>
    <w:p>
      <w:pPr>
        <w:rPr>
          <w:rFonts w:ascii="宋体" w:hAnsi="宋体" w:cs="宋体"/>
        </w:rPr>
      </w:pPr>
    </w:p>
    <w:p>
      <w:pPr>
        <w:spacing w:line="360" w:lineRule="auto"/>
        <w:ind w:left="1"/>
        <w:jc w:val="center"/>
        <w:rPr>
          <w:rFonts w:ascii="宋体" w:hAnsi="宋体" w:cs="宋体"/>
          <w:sz w:val="28"/>
          <w:szCs w:val="28"/>
        </w:rPr>
      </w:pPr>
      <w:r>
        <w:rPr>
          <w:rFonts w:hint="eastAsia" w:ascii="宋体" w:hAnsi="宋体" w:cs="宋体"/>
          <w:sz w:val="28"/>
          <w:szCs w:val="28"/>
        </w:rPr>
        <w:t>法定代表人（负责人）身份证明书</w:t>
      </w:r>
      <w:bookmarkEnd w:id="319"/>
    </w:p>
    <w:p>
      <w:pPr>
        <w:spacing w:line="360" w:lineRule="auto"/>
        <w:rPr>
          <w:rFonts w:ascii="宋体" w:hAnsi="宋体" w:cs="宋体"/>
          <w:sz w:val="24"/>
          <w:u w:val="single"/>
        </w:rPr>
      </w:pPr>
    </w:p>
    <w:p>
      <w:pPr>
        <w:spacing w:line="360" w:lineRule="auto"/>
        <w:rPr>
          <w:rFonts w:ascii="宋体" w:hAnsi="宋体" w:cs="宋体"/>
          <w:color w:val="333333"/>
          <w:shd w:val="clear" w:color="auto" w:fill="FFFFFF"/>
        </w:rPr>
      </w:pPr>
    </w:p>
    <w:p>
      <w:pPr>
        <w:spacing w:line="360" w:lineRule="auto"/>
        <w:rPr>
          <w:rFonts w:ascii="宋体" w:hAnsi="宋体" w:cs="宋体"/>
          <w:sz w:val="24"/>
        </w:rPr>
      </w:pPr>
      <w:r>
        <w:rPr>
          <w:rFonts w:hint="eastAsia" w:ascii="宋体" w:hAnsi="宋体" w:cs="宋体"/>
          <w:sz w:val="24"/>
          <w:u w:val="none"/>
        </w:rPr>
        <w:t>致</w:t>
      </w:r>
      <w:r>
        <w:rPr>
          <w:rFonts w:hint="eastAsia" w:ascii="宋体" w:hAnsi="宋体" w:cs="宋体"/>
          <w:sz w:val="24"/>
          <w:u w:val="single"/>
        </w:rPr>
        <w:t>（采购代理机构名称）</w:t>
      </w:r>
      <w:r>
        <w:rPr>
          <w:rFonts w:hint="eastAsia" w:ascii="宋体" w:hAnsi="宋体" w:cs="宋体"/>
          <w:sz w:val="24"/>
        </w:rPr>
        <w:t>：</w:t>
      </w:r>
    </w:p>
    <w:p>
      <w:pPr>
        <w:spacing w:line="360" w:lineRule="auto"/>
        <w:ind w:firstLine="600" w:firstLineChars="250"/>
        <w:rPr>
          <w:rFonts w:ascii="宋体" w:hAnsi="宋体" w:cs="宋体"/>
          <w:sz w:val="24"/>
        </w:rPr>
      </w:pPr>
      <w:r>
        <w:rPr>
          <w:rFonts w:hint="eastAsia" w:ascii="宋体" w:hAnsi="宋体" w:cs="宋体"/>
          <w:sz w:val="24"/>
          <w:u w:val="single"/>
        </w:rPr>
        <w:t xml:space="preserve">        </w:t>
      </w:r>
      <w:r>
        <w:rPr>
          <w:rFonts w:hint="eastAsia" w:ascii="宋体" w:hAnsi="宋体" w:cs="宋体"/>
          <w:sz w:val="24"/>
        </w:rPr>
        <w:t>（姓名、性别、年龄、身份证号码）在我</w:t>
      </w:r>
      <w:r>
        <w:fldChar w:fldCharType="begin"/>
      </w:r>
      <w:r>
        <w:instrText xml:space="preserve"> HYPERLINK "https://baike.baidu.com/item/%E5%8D%95%E4%BD%8D/32292" \t "_blank" </w:instrText>
      </w:r>
      <w:r>
        <w:fldChar w:fldCharType="separate"/>
      </w:r>
      <w:r>
        <w:rPr>
          <w:rFonts w:hint="eastAsia" w:ascii="宋体" w:hAnsi="宋体" w:cs="宋体"/>
          <w:sz w:val="24"/>
        </w:rPr>
        <w:t>单位</w:t>
      </w:r>
      <w:r>
        <w:rPr>
          <w:rFonts w:hint="eastAsia" w:ascii="宋体" w:hAnsi="宋体" w:cs="宋体"/>
          <w:sz w:val="24"/>
        </w:rPr>
        <w:fldChar w:fldCharType="end"/>
      </w:r>
      <w:r>
        <w:rPr>
          <w:rFonts w:hint="eastAsia" w:ascii="宋体" w:hAnsi="宋体" w:cs="宋体"/>
          <w:sz w:val="24"/>
        </w:rPr>
        <w:t>任</w:t>
      </w:r>
      <w:r>
        <w:rPr>
          <w:rFonts w:hint="eastAsia" w:ascii="宋体" w:hAnsi="宋体" w:cs="宋体"/>
          <w:sz w:val="24"/>
          <w:u w:val="single"/>
        </w:rPr>
        <w:t xml:space="preserve">       </w:t>
      </w:r>
      <w:r>
        <w:rPr>
          <w:rFonts w:hint="eastAsia" w:ascii="宋体" w:hAnsi="宋体" w:cs="宋体"/>
          <w:sz w:val="24"/>
        </w:rPr>
        <w:t>（董事长、总经理等）职务，是我单位的法定代表人（负责人）。</w:t>
      </w:r>
    </w:p>
    <w:p>
      <w:pPr>
        <w:spacing w:line="360" w:lineRule="auto"/>
        <w:ind w:firstLine="480"/>
        <w:rPr>
          <w:rFonts w:ascii="宋体" w:hAnsi="宋体" w:cs="宋体"/>
          <w:sz w:val="24"/>
        </w:rPr>
      </w:pPr>
    </w:p>
    <w:p>
      <w:pPr>
        <w:spacing w:line="360" w:lineRule="auto"/>
        <w:ind w:firstLine="480"/>
        <w:rPr>
          <w:rFonts w:ascii="宋体" w:hAnsi="宋体" w:cs="宋体"/>
          <w:sz w:val="24"/>
        </w:rPr>
      </w:pPr>
    </w:p>
    <w:p>
      <w:pPr>
        <w:spacing w:line="360" w:lineRule="auto"/>
        <w:ind w:firstLine="480"/>
        <w:rPr>
          <w:rFonts w:ascii="宋体" w:hAnsi="宋体" w:cs="宋体"/>
          <w:sz w:val="24"/>
        </w:rPr>
      </w:pPr>
      <w:r>
        <w:rPr>
          <w:rFonts w:hint="eastAsia" w:ascii="宋体" w:hAnsi="宋体" w:cs="宋体"/>
          <w:sz w:val="24"/>
        </w:rPr>
        <w:t>特此证明。</w:t>
      </w:r>
    </w:p>
    <w:p>
      <w:pPr>
        <w:autoSpaceDE w:val="0"/>
        <w:autoSpaceDN w:val="0"/>
        <w:adjustRightInd w:val="0"/>
        <w:spacing w:line="360" w:lineRule="auto"/>
        <w:ind w:firstLine="360" w:firstLineChars="150"/>
        <w:rPr>
          <w:rFonts w:ascii="宋体" w:hAnsi="宋体" w:cs="宋体"/>
          <w:sz w:val="24"/>
          <w:lang w:val="zh-CN"/>
        </w:rPr>
      </w:pPr>
    </w:p>
    <w:p>
      <w:pPr>
        <w:autoSpaceDE w:val="0"/>
        <w:autoSpaceDN w:val="0"/>
        <w:adjustRightInd w:val="0"/>
        <w:spacing w:line="360" w:lineRule="auto"/>
        <w:ind w:firstLine="360" w:firstLineChars="150"/>
        <w:jc w:val="center"/>
        <w:rPr>
          <w:rFonts w:ascii="宋体" w:hAnsi="宋体" w:cs="宋体"/>
          <w:sz w:val="24"/>
        </w:rPr>
      </w:pPr>
      <w:r>
        <w:rPr>
          <w:rFonts w:hint="eastAsia" w:ascii="宋体" w:hAnsi="宋体" w:cs="宋体"/>
          <w:sz w:val="24"/>
          <w:lang w:val="zh-CN"/>
        </w:rPr>
        <w:t>法定代表人（负责人）身份证复印件</w:t>
      </w:r>
    </w:p>
    <w:tbl>
      <w:tblPr>
        <w:tblStyle w:val="35"/>
        <w:tblW w:w="0" w:type="auto"/>
        <w:tblInd w:w="679" w:type="dxa"/>
        <w:tblLayout w:type="fixed"/>
        <w:tblCellMar>
          <w:top w:w="0" w:type="dxa"/>
          <w:left w:w="108" w:type="dxa"/>
          <w:bottom w:w="0" w:type="dxa"/>
          <w:right w:w="108" w:type="dxa"/>
        </w:tblCellMar>
      </w:tblPr>
      <w:tblGrid>
        <w:gridCol w:w="7500"/>
      </w:tblGrid>
      <w:tr>
        <w:tblPrEx>
          <w:tblCellMar>
            <w:top w:w="0" w:type="dxa"/>
            <w:left w:w="108" w:type="dxa"/>
            <w:bottom w:w="0" w:type="dxa"/>
            <w:right w:w="108" w:type="dxa"/>
          </w:tblCellMar>
        </w:tblPrEx>
        <w:trPr>
          <w:trHeight w:val="3550" w:hRule="atLeast"/>
        </w:trPr>
        <w:tc>
          <w:tcPr>
            <w:tcW w:w="75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12" w:lineRule="auto"/>
              <w:jc w:val="center"/>
              <w:rPr>
                <w:rFonts w:ascii="宋体" w:hAnsi="宋体" w:cs="宋体"/>
                <w:sz w:val="24"/>
                <w:lang w:val="zh-CN"/>
              </w:rPr>
            </w:pPr>
            <w:r>
              <w:rPr>
                <w:rFonts w:hint="eastAsia" w:ascii="宋体" w:hAnsi="宋体" w:cs="宋体"/>
                <w:sz w:val="24"/>
                <w:lang w:val="zh-CN"/>
              </w:rPr>
              <w:t>法定代表人（负责人）身份证复印件</w:t>
            </w:r>
          </w:p>
          <w:p>
            <w:pPr>
              <w:autoSpaceDE w:val="0"/>
              <w:autoSpaceDN w:val="0"/>
              <w:adjustRightInd w:val="0"/>
              <w:spacing w:line="312" w:lineRule="auto"/>
              <w:jc w:val="center"/>
              <w:rPr>
                <w:rFonts w:ascii="宋体" w:hAnsi="宋体" w:cs="宋体"/>
                <w:sz w:val="24"/>
                <w:u w:val="single"/>
              </w:rPr>
            </w:pPr>
            <w:r>
              <w:rPr>
                <w:rFonts w:hint="eastAsia" w:ascii="宋体" w:hAnsi="宋体" w:cs="宋体"/>
                <w:sz w:val="24"/>
                <w:lang w:val="zh-CN"/>
              </w:rPr>
              <w:t>（正反面）</w:t>
            </w:r>
          </w:p>
        </w:tc>
      </w:tr>
    </w:tbl>
    <w:p>
      <w:pPr>
        <w:spacing w:line="360" w:lineRule="auto"/>
        <w:ind w:firstLine="480"/>
        <w:rPr>
          <w:rFonts w:ascii="宋体" w:hAnsi="宋体" w:cs="宋体"/>
          <w:sz w:val="24"/>
        </w:rPr>
      </w:pPr>
    </w:p>
    <w:p>
      <w:pPr>
        <w:spacing w:line="360" w:lineRule="auto"/>
        <w:ind w:firstLine="480"/>
        <w:rPr>
          <w:rFonts w:ascii="宋体" w:hAnsi="宋体" w:cs="宋体"/>
          <w:sz w:val="24"/>
        </w:rPr>
      </w:pPr>
    </w:p>
    <w:p>
      <w:pPr>
        <w:spacing w:line="360" w:lineRule="auto"/>
        <w:ind w:firstLine="480"/>
        <w:rPr>
          <w:rFonts w:ascii="宋体" w:hAnsi="宋体" w:cs="宋体"/>
          <w:sz w:val="24"/>
        </w:rPr>
      </w:pPr>
    </w:p>
    <w:p>
      <w:pPr>
        <w:pStyle w:val="16"/>
        <w:tabs>
          <w:tab w:val="left" w:pos="5580"/>
        </w:tabs>
        <w:spacing w:line="360" w:lineRule="auto"/>
        <w:ind w:left="-539" w:leftChars="-257" w:firstLine="900" w:firstLineChars="375"/>
        <w:rPr>
          <w:rFonts w:hAnsi="宋体" w:cs="宋体"/>
          <w:sz w:val="24"/>
        </w:rPr>
      </w:pPr>
      <w:r>
        <w:rPr>
          <w:rFonts w:hint="eastAsia" w:hAnsi="宋体" w:cs="宋体"/>
          <w:sz w:val="24"/>
        </w:rPr>
        <w:t>投标人（盖公章）：</w:t>
      </w:r>
      <w:r>
        <w:rPr>
          <w:rFonts w:hint="eastAsia" w:hAnsi="宋体" w:cs="宋体"/>
          <w:sz w:val="24"/>
          <w:u w:val="single"/>
        </w:rPr>
        <w:t xml:space="preserve">                             </w:t>
      </w:r>
    </w:p>
    <w:p>
      <w:pPr>
        <w:pStyle w:val="16"/>
        <w:tabs>
          <w:tab w:val="left" w:pos="5580"/>
        </w:tabs>
        <w:spacing w:line="360" w:lineRule="auto"/>
        <w:ind w:left="268" w:leftChars="128" w:firstLine="120" w:firstLineChars="50"/>
        <w:rPr>
          <w:rFonts w:hAnsi="宋体" w:cs="宋体"/>
          <w:sz w:val="24"/>
        </w:rPr>
      </w:pPr>
      <w:r>
        <w:rPr>
          <w:rFonts w:hint="eastAsia" w:hAnsi="宋体" w:cs="宋体"/>
          <w:sz w:val="24"/>
        </w:rPr>
        <w:t>详细通讯地址：</w:t>
      </w:r>
      <w:r>
        <w:rPr>
          <w:rFonts w:hint="eastAsia" w:hAnsi="宋体" w:cs="宋体"/>
          <w:sz w:val="24"/>
          <w:u w:val="single"/>
        </w:rPr>
        <w:t xml:space="preserve">                                </w:t>
      </w:r>
    </w:p>
    <w:p>
      <w:pPr>
        <w:pStyle w:val="16"/>
        <w:tabs>
          <w:tab w:val="left" w:pos="5580"/>
        </w:tabs>
        <w:spacing w:line="360" w:lineRule="auto"/>
        <w:ind w:firstLine="360" w:firstLineChars="150"/>
        <w:rPr>
          <w:rFonts w:hAnsi="宋体" w:cs="宋体"/>
          <w:sz w:val="24"/>
        </w:rPr>
      </w:pPr>
      <w:r>
        <w:rPr>
          <w:rFonts w:hint="eastAsia" w:hAnsi="宋体" w:cs="宋体"/>
          <w:sz w:val="24"/>
        </w:rPr>
        <w:t>邮 政 编 码 ：</w:t>
      </w:r>
      <w:r>
        <w:rPr>
          <w:rFonts w:hint="eastAsia" w:hAnsi="宋体" w:cs="宋体"/>
          <w:sz w:val="24"/>
          <w:u w:val="single"/>
        </w:rPr>
        <w:t xml:space="preserve">                                </w:t>
      </w:r>
    </w:p>
    <w:p>
      <w:pPr>
        <w:pStyle w:val="16"/>
        <w:tabs>
          <w:tab w:val="left" w:pos="5580"/>
        </w:tabs>
        <w:spacing w:line="360" w:lineRule="auto"/>
        <w:ind w:firstLine="360" w:firstLineChars="150"/>
        <w:rPr>
          <w:rFonts w:hAnsi="宋体" w:cs="宋体"/>
          <w:sz w:val="24"/>
        </w:rPr>
      </w:pPr>
      <w:r>
        <w:rPr>
          <w:rFonts w:hint="eastAsia" w:hAnsi="宋体" w:cs="宋体"/>
          <w:sz w:val="24"/>
        </w:rPr>
        <w:t>电　　　　话：</w:t>
      </w:r>
      <w:r>
        <w:rPr>
          <w:rFonts w:hint="eastAsia" w:hAnsi="宋体" w:cs="宋体"/>
          <w:sz w:val="24"/>
          <w:u w:val="single"/>
        </w:rPr>
        <w:t xml:space="preserve">                                </w:t>
      </w:r>
    </w:p>
    <w:p>
      <w:pPr>
        <w:spacing w:line="360" w:lineRule="auto"/>
        <w:rPr>
          <w:rFonts w:ascii="宋体" w:hAnsi="宋体" w:cs="宋体"/>
        </w:rPr>
      </w:pPr>
      <w:r>
        <w:rPr>
          <w:rFonts w:hint="eastAsia" w:ascii="宋体" w:hAnsi="宋体" w:cs="宋体"/>
        </w:rPr>
        <w:br w:type="page"/>
      </w:r>
    </w:p>
    <w:p>
      <w:pPr>
        <w:spacing w:line="360" w:lineRule="auto"/>
        <w:jc w:val="center"/>
        <w:rPr>
          <w:rFonts w:ascii="宋体" w:hAnsi="宋体" w:cs="宋体"/>
          <w:sz w:val="24"/>
        </w:rPr>
      </w:pPr>
      <w:bookmarkStart w:id="320" w:name="_Toc45196829"/>
      <w:bookmarkStart w:id="321" w:name="_Toc532473498"/>
      <w:r>
        <w:rPr>
          <w:rFonts w:hint="eastAsia" w:ascii="宋体" w:hAnsi="宋体" w:cs="宋体"/>
          <w:sz w:val="30"/>
          <w:szCs w:val="30"/>
        </w:rPr>
        <w:t>法定代表人（负责人）授权委托书</w:t>
      </w:r>
      <w:bookmarkEnd w:id="320"/>
    </w:p>
    <w:bookmarkEnd w:id="321"/>
    <w:p>
      <w:pPr>
        <w:pStyle w:val="16"/>
        <w:tabs>
          <w:tab w:val="left" w:pos="5580"/>
        </w:tabs>
        <w:spacing w:line="360" w:lineRule="auto"/>
        <w:ind w:left="-539" w:leftChars="-257" w:firstLine="900" w:firstLineChars="375"/>
        <w:jc w:val="center"/>
        <w:rPr>
          <w:rFonts w:hAnsi="宋体" w:cs="宋体"/>
          <w:sz w:val="24"/>
        </w:rPr>
      </w:pPr>
    </w:p>
    <w:p>
      <w:pPr>
        <w:pStyle w:val="16"/>
        <w:tabs>
          <w:tab w:val="left" w:pos="5580"/>
        </w:tabs>
        <w:spacing w:line="360" w:lineRule="auto"/>
        <w:rPr>
          <w:rFonts w:hAnsi="宋体" w:cs="宋体"/>
          <w:sz w:val="24"/>
        </w:rPr>
      </w:pPr>
      <w:r>
        <w:rPr>
          <w:rFonts w:hint="eastAsia" w:hAnsi="宋体" w:cs="宋体"/>
          <w:sz w:val="24"/>
        </w:rPr>
        <w:cr/>
      </w:r>
      <w:r>
        <w:rPr>
          <w:rFonts w:hint="eastAsia" w:hAnsi="宋体" w:cs="宋体"/>
          <w:sz w:val="24"/>
        </w:rPr>
        <w:t xml:space="preserve">    本授权书声明：注册于</w:t>
      </w:r>
      <w:r>
        <w:rPr>
          <w:rFonts w:hint="eastAsia" w:hAnsi="宋体" w:cs="宋体"/>
          <w:sz w:val="24"/>
          <w:u w:val="single"/>
        </w:rPr>
        <w:t>（国家或地区的名称）</w:t>
      </w:r>
      <w:r>
        <w:rPr>
          <w:rFonts w:hint="eastAsia" w:hAnsi="宋体" w:cs="宋体"/>
          <w:sz w:val="24"/>
        </w:rPr>
        <w:t>的（</w:t>
      </w:r>
      <w:r>
        <w:rPr>
          <w:rFonts w:hint="eastAsia" w:hAnsi="宋体" w:cs="宋体"/>
          <w:sz w:val="24"/>
          <w:u w:val="single"/>
        </w:rPr>
        <w:t>投标人</w:t>
      </w:r>
      <w:r>
        <w:rPr>
          <w:rFonts w:hint="eastAsia" w:hAnsi="宋体" w:cs="宋体"/>
          <w:sz w:val="24"/>
        </w:rPr>
        <w:t>）的在下面签字的（</w:t>
      </w:r>
      <w:r>
        <w:rPr>
          <w:rFonts w:hint="eastAsia" w:hAnsi="宋体" w:cs="宋体"/>
          <w:sz w:val="24"/>
          <w:u w:val="single"/>
        </w:rPr>
        <w:t>法人代表姓名、职务</w:t>
      </w:r>
      <w:r>
        <w:rPr>
          <w:rFonts w:hint="eastAsia" w:hAnsi="宋体" w:cs="宋体"/>
          <w:sz w:val="24"/>
        </w:rPr>
        <w:t>）代表我单位授权在下面签字的（</w:t>
      </w:r>
      <w:r>
        <w:rPr>
          <w:rFonts w:hint="eastAsia" w:hAnsi="宋体" w:cs="宋体"/>
          <w:sz w:val="24"/>
          <w:u w:val="single"/>
        </w:rPr>
        <w:t>被授权人的姓名</w:t>
      </w:r>
      <w:r>
        <w:rPr>
          <w:rFonts w:hint="eastAsia" w:hAnsi="宋体" w:cs="宋体"/>
          <w:sz w:val="24"/>
        </w:rPr>
        <w:t>）为我单位的合法代理人，就（</w:t>
      </w:r>
      <w:r>
        <w:rPr>
          <w:rFonts w:hint="eastAsia" w:hAnsi="宋体" w:cs="宋体"/>
          <w:sz w:val="24"/>
          <w:u w:val="single"/>
        </w:rPr>
        <w:t>项目名称、采购项目编号、包号</w:t>
      </w:r>
      <w:r>
        <w:rPr>
          <w:rFonts w:hint="eastAsia" w:hAnsi="宋体" w:cs="宋体"/>
          <w:sz w:val="24"/>
        </w:rPr>
        <w:t>）投标，以我单位名义处理一切与之有关的事务。</w:t>
      </w:r>
      <w:r>
        <w:rPr>
          <w:rFonts w:hint="eastAsia" w:hAnsi="宋体" w:cs="宋体"/>
          <w:sz w:val="24"/>
        </w:rPr>
        <w:cr/>
      </w:r>
      <w:r>
        <w:rPr>
          <w:rFonts w:hint="eastAsia" w:hAnsi="宋体" w:cs="宋体"/>
          <w:sz w:val="24"/>
        </w:rPr>
        <w:t>　　</w:t>
      </w:r>
    </w:p>
    <w:p>
      <w:pPr>
        <w:autoSpaceDE w:val="0"/>
        <w:autoSpaceDN w:val="0"/>
        <w:adjustRightInd w:val="0"/>
        <w:spacing w:line="360" w:lineRule="auto"/>
        <w:ind w:firstLine="630"/>
        <w:rPr>
          <w:rFonts w:ascii="宋体" w:hAnsi="宋体" w:cs="宋体"/>
          <w:sz w:val="24"/>
          <w:lang w:val="zh-CN"/>
        </w:rPr>
      </w:pPr>
      <w:r>
        <w:rPr>
          <w:rFonts w:hint="eastAsia" w:ascii="宋体" w:hAnsi="宋体" w:cs="宋体"/>
          <w:sz w:val="24"/>
        </w:rPr>
        <w:t>本授权书于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日签字生效,特此声明。</w:t>
      </w:r>
      <w:r>
        <w:rPr>
          <w:rFonts w:hint="eastAsia" w:ascii="宋体" w:hAnsi="宋体" w:cs="宋体"/>
          <w:sz w:val="24"/>
        </w:rPr>
        <w:cr/>
      </w:r>
      <w:r>
        <w:rPr>
          <w:rFonts w:hint="eastAsia" w:ascii="宋体" w:hAnsi="宋体" w:cs="宋体"/>
          <w:sz w:val="24"/>
        </w:rPr>
        <w:cr/>
      </w:r>
      <w:r>
        <w:rPr>
          <w:rFonts w:hint="eastAsia" w:ascii="宋体" w:hAnsi="宋体" w:cs="宋体"/>
          <w:sz w:val="24"/>
          <w:lang w:val="zh-CN"/>
        </w:rPr>
        <w:t xml:space="preserve">法定代表人（负责人）（签字或盖章）：               </w:t>
      </w:r>
      <w:r>
        <w:rPr>
          <w:rFonts w:hint="eastAsia" w:ascii="宋体" w:hAnsi="宋体" w:cs="宋体"/>
          <w:sz w:val="24"/>
          <w:lang w:val="zh-CN"/>
        </w:rPr>
        <w:tab/>
      </w:r>
      <w:r>
        <w:rPr>
          <w:rFonts w:hint="eastAsia" w:ascii="宋体" w:hAnsi="宋体" w:cs="宋体"/>
          <w:sz w:val="24"/>
          <w:lang w:val="zh-CN"/>
        </w:rPr>
        <w:t xml:space="preserve">被授权人（签字）：              </w:t>
      </w:r>
    </w:p>
    <w:p>
      <w:pPr>
        <w:autoSpaceDE w:val="0"/>
        <w:autoSpaceDN w:val="0"/>
        <w:adjustRightInd w:val="0"/>
        <w:spacing w:line="360" w:lineRule="auto"/>
        <w:ind w:firstLine="630"/>
        <w:rPr>
          <w:rFonts w:ascii="宋体" w:hAnsi="宋体" w:cs="宋体"/>
          <w:sz w:val="24"/>
          <w:u w:val="single"/>
        </w:rPr>
      </w:pPr>
      <w:r>
        <w:rPr>
          <w:rFonts w:hint="eastAsia" w:ascii="宋体" w:hAnsi="宋体" w:cs="宋体"/>
          <w:sz w:val="24"/>
          <w:lang w:val="zh-CN"/>
        </w:rPr>
        <w:t xml:space="preserve">身份证号：                          </w:t>
      </w:r>
      <w:r>
        <w:rPr>
          <w:rFonts w:hint="eastAsia" w:ascii="宋体" w:hAnsi="宋体" w:cs="宋体"/>
          <w:sz w:val="24"/>
          <w:lang w:val="zh-CN"/>
        </w:rPr>
        <w:tab/>
      </w:r>
      <w:r>
        <w:rPr>
          <w:rFonts w:hint="eastAsia" w:ascii="宋体" w:hAnsi="宋体" w:cs="宋体"/>
          <w:sz w:val="24"/>
          <w:lang w:val="zh-CN"/>
        </w:rPr>
        <w:t xml:space="preserve">身份证号：                  </w:t>
      </w:r>
    </w:p>
    <w:p>
      <w:pPr>
        <w:autoSpaceDE w:val="0"/>
        <w:autoSpaceDN w:val="0"/>
        <w:adjustRightInd w:val="0"/>
        <w:spacing w:line="360" w:lineRule="auto"/>
        <w:rPr>
          <w:rFonts w:ascii="宋体" w:hAnsi="宋体" w:cs="宋体"/>
          <w:sz w:val="24"/>
        </w:rPr>
      </w:pPr>
    </w:p>
    <w:p>
      <w:pPr>
        <w:autoSpaceDE w:val="0"/>
        <w:autoSpaceDN w:val="0"/>
        <w:adjustRightInd w:val="0"/>
        <w:spacing w:line="360" w:lineRule="auto"/>
        <w:ind w:firstLine="360" w:firstLineChars="150"/>
        <w:rPr>
          <w:rFonts w:ascii="宋体" w:hAnsi="宋体" w:cs="宋体"/>
          <w:sz w:val="24"/>
        </w:rPr>
      </w:pPr>
      <w:r>
        <w:rPr>
          <w:rFonts w:hint="eastAsia" w:ascii="宋体" w:hAnsi="宋体" w:cs="宋体"/>
          <w:sz w:val="24"/>
          <w:lang w:val="zh-CN"/>
        </w:rPr>
        <w:t>法定代表人（负责人）</w:t>
      </w:r>
      <w:r>
        <w:rPr>
          <w:rFonts w:hint="eastAsia" w:ascii="宋体" w:hAnsi="宋体" w:cs="宋体"/>
          <w:sz w:val="24"/>
        </w:rPr>
        <w:t>及</w:t>
      </w:r>
      <w:r>
        <w:rPr>
          <w:rFonts w:hint="eastAsia" w:ascii="宋体" w:hAnsi="宋体" w:cs="宋体"/>
          <w:sz w:val="24"/>
          <w:lang w:val="zh-CN"/>
        </w:rPr>
        <w:t>授权代表身份证复印件</w:t>
      </w:r>
    </w:p>
    <w:tbl>
      <w:tblPr>
        <w:tblStyle w:val="35"/>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77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12" w:lineRule="auto"/>
              <w:jc w:val="center"/>
              <w:rPr>
                <w:rFonts w:ascii="宋体" w:hAnsi="宋体" w:cs="宋体"/>
                <w:sz w:val="24"/>
                <w:lang w:val="zh-CN"/>
              </w:rPr>
            </w:pPr>
            <w:r>
              <w:rPr>
                <w:rFonts w:hint="eastAsia" w:ascii="宋体" w:hAnsi="宋体" w:cs="宋体"/>
                <w:sz w:val="24"/>
                <w:lang w:val="zh-CN"/>
              </w:rPr>
              <w:t>法定代表人（负责人）身份证复印件</w:t>
            </w:r>
          </w:p>
          <w:p>
            <w:pPr>
              <w:autoSpaceDE w:val="0"/>
              <w:autoSpaceDN w:val="0"/>
              <w:adjustRightInd w:val="0"/>
              <w:spacing w:line="312" w:lineRule="auto"/>
              <w:jc w:val="center"/>
              <w:rPr>
                <w:rFonts w:ascii="宋体" w:hAnsi="宋体" w:cs="宋体"/>
                <w:sz w:val="24"/>
                <w:u w:val="single"/>
              </w:rPr>
            </w:pPr>
            <w:r>
              <w:rPr>
                <w:rFonts w:hint="eastAsia" w:ascii="宋体" w:hAnsi="宋体" w:cs="宋体"/>
                <w:sz w:val="24"/>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12" w:lineRule="auto"/>
              <w:jc w:val="center"/>
              <w:rPr>
                <w:rFonts w:ascii="宋体" w:hAnsi="宋体" w:cs="宋体"/>
                <w:sz w:val="24"/>
                <w:lang w:val="zh-CN"/>
              </w:rPr>
            </w:pPr>
            <w:r>
              <w:rPr>
                <w:rFonts w:hint="eastAsia" w:ascii="宋体" w:hAnsi="宋体" w:cs="宋体"/>
                <w:sz w:val="24"/>
                <w:lang w:val="zh-CN"/>
              </w:rPr>
              <w:t>授权代表身份证复印件</w:t>
            </w:r>
          </w:p>
          <w:p>
            <w:pPr>
              <w:autoSpaceDE w:val="0"/>
              <w:autoSpaceDN w:val="0"/>
              <w:adjustRightInd w:val="0"/>
              <w:spacing w:line="312" w:lineRule="auto"/>
              <w:jc w:val="center"/>
              <w:rPr>
                <w:rFonts w:ascii="宋体" w:hAnsi="宋体" w:cs="宋体"/>
                <w:sz w:val="24"/>
                <w:u w:val="single"/>
              </w:rPr>
            </w:pPr>
            <w:r>
              <w:rPr>
                <w:rFonts w:hint="eastAsia" w:ascii="宋体" w:hAnsi="宋体" w:cs="宋体"/>
                <w:sz w:val="24"/>
                <w:lang w:val="zh-CN"/>
              </w:rPr>
              <w:t>（正反面）</w:t>
            </w:r>
          </w:p>
        </w:tc>
      </w:tr>
    </w:tbl>
    <w:p>
      <w:pPr>
        <w:adjustRightInd w:val="0"/>
        <w:snapToGrid w:val="0"/>
        <w:spacing w:line="360" w:lineRule="auto"/>
        <w:rPr>
          <w:rFonts w:ascii="宋体" w:hAnsi="宋体" w:cs="宋体"/>
          <w:sz w:val="24"/>
        </w:rPr>
      </w:pPr>
      <w:r>
        <w:rPr>
          <w:rFonts w:hint="eastAsia" w:ascii="宋体" w:hAnsi="宋体" w:cs="宋体"/>
          <w:sz w:val="24"/>
        </w:rPr>
        <w:t xml:space="preserve">   </w:t>
      </w:r>
    </w:p>
    <w:p>
      <w:pPr>
        <w:adjustRightInd w:val="0"/>
        <w:snapToGrid w:val="0"/>
        <w:spacing w:line="360" w:lineRule="auto"/>
        <w:jc w:val="right"/>
        <w:rPr>
          <w:rFonts w:ascii="宋体" w:hAnsi="宋体" w:cs="宋体"/>
          <w:sz w:val="24"/>
        </w:rPr>
      </w:pPr>
      <w:r>
        <w:rPr>
          <w:rFonts w:hint="eastAsia" w:ascii="宋体" w:hAnsi="宋体" w:cs="宋体"/>
          <w:sz w:val="24"/>
        </w:rPr>
        <w:t>投标人：</w:t>
      </w:r>
      <w:r>
        <w:rPr>
          <w:rFonts w:hint="eastAsia" w:ascii="宋体" w:hAnsi="宋体" w:cs="宋体"/>
          <w:sz w:val="24"/>
          <w:u w:val="single"/>
        </w:rPr>
        <w:t xml:space="preserve">                       </w:t>
      </w:r>
      <w:r>
        <w:rPr>
          <w:rFonts w:hint="eastAsia" w:ascii="宋体" w:hAnsi="宋体" w:cs="宋体"/>
          <w:sz w:val="24"/>
        </w:rPr>
        <w:t>（公章）</w:t>
      </w:r>
    </w:p>
    <w:p>
      <w:pPr>
        <w:adjustRightInd w:val="0"/>
        <w:snapToGrid w:val="0"/>
        <w:spacing w:line="360" w:lineRule="auto"/>
        <w:jc w:val="right"/>
        <w:rPr>
          <w:rFonts w:ascii="宋体" w:hAnsi="宋体" w:cs="宋体"/>
          <w:sz w:val="24"/>
          <w:u w:val="single"/>
        </w:rPr>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16"/>
        <w:tabs>
          <w:tab w:val="left" w:pos="5580"/>
        </w:tabs>
        <w:spacing w:line="360" w:lineRule="auto"/>
        <w:ind w:firstLine="480" w:firstLineChars="200"/>
        <w:rPr>
          <w:rFonts w:hAnsi="宋体" w:cs="宋体"/>
          <w:sz w:val="24"/>
        </w:rPr>
      </w:pPr>
    </w:p>
    <w:p>
      <w:pPr>
        <w:spacing w:line="360" w:lineRule="auto"/>
        <w:ind w:firstLine="480"/>
        <w:rPr>
          <w:rFonts w:ascii="宋体" w:hAnsi="宋体" w:cs="宋体"/>
          <w:sz w:val="24"/>
        </w:rPr>
      </w:pPr>
      <w:r>
        <w:rPr>
          <w:rFonts w:hint="eastAsia" w:ascii="宋体" w:hAnsi="宋体" w:cs="宋体"/>
          <w:sz w:val="24"/>
        </w:rPr>
        <w:t>注：自然人投标的或法定代表人（负责人）投标的无需提供</w:t>
      </w:r>
    </w:p>
    <w:p>
      <w:pPr>
        <w:spacing w:line="360" w:lineRule="auto"/>
        <w:ind w:firstLine="480"/>
        <w:rPr>
          <w:rFonts w:ascii="宋体" w:hAnsi="宋体" w:cs="宋体"/>
          <w:sz w:val="24"/>
        </w:rPr>
      </w:pPr>
      <w:r>
        <w:rPr>
          <w:rFonts w:hint="eastAsia" w:ascii="宋体" w:hAnsi="宋体" w:cs="宋体"/>
          <w:sz w:val="24"/>
        </w:rPr>
        <w:br w:type="page"/>
      </w:r>
    </w:p>
    <w:p>
      <w:pPr>
        <w:spacing w:line="360" w:lineRule="auto"/>
        <w:jc w:val="center"/>
        <w:rPr>
          <w:rFonts w:ascii="宋体" w:hAnsi="宋体" w:cs="宋体"/>
          <w:sz w:val="24"/>
        </w:rPr>
      </w:pPr>
      <w:bookmarkStart w:id="322" w:name="_Toc45196830"/>
      <w:r>
        <w:rPr>
          <w:rFonts w:hint="eastAsia" w:ascii="宋体" w:hAnsi="宋体" w:cs="宋体"/>
          <w:b/>
          <w:bCs/>
          <w:sz w:val="30"/>
          <w:szCs w:val="30"/>
        </w:rPr>
        <w:t>授权代表本单位证明</w:t>
      </w:r>
      <w:bookmarkEnd w:id="322"/>
    </w:p>
    <w:p>
      <w:pPr>
        <w:autoSpaceDE w:val="0"/>
        <w:autoSpaceDN w:val="0"/>
        <w:adjustRightInd w:val="0"/>
        <w:spacing w:line="360" w:lineRule="auto"/>
        <w:rPr>
          <w:rFonts w:ascii="宋体" w:hAnsi="宋体" w:cs="宋体"/>
          <w:sz w:val="24"/>
          <w:lang w:val="zh-CN"/>
        </w:rPr>
      </w:pPr>
      <w:r>
        <w:rPr>
          <w:rFonts w:hint="eastAsia" w:ascii="宋体" w:hAnsi="宋体" w:cs="宋体"/>
          <w:sz w:val="24"/>
          <w:lang w:val="zh-CN"/>
        </w:rPr>
        <w:t>（须提供</w:t>
      </w:r>
      <w:r>
        <w:rPr>
          <w:rFonts w:hint="eastAsia" w:ascii="宋体" w:hAnsi="宋体" w:cs="宋体"/>
          <w:sz w:val="24"/>
        </w:rPr>
        <w:t>养老保险缴纳证明或劳动合同</w:t>
      </w:r>
      <w:r>
        <w:rPr>
          <w:rFonts w:hint="eastAsia" w:ascii="宋体" w:hAnsi="宋体" w:cs="宋体"/>
          <w:sz w:val="24"/>
          <w:lang w:val="zh-CN"/>
        </w:rPr>
        <w:t>）</w:t>
      </w:r>
    </w:p>
    <w:p>
      <w:pPr>
        <w:rPr>
          <w:rFonts w:ascii="宋体" w:hAnsi="宋体" w:cs="宋体"/>
          <w:sz w:val="24"/>
        </w:rPr>
      </w:pPr>
      <w:r>
        <w:rPr>
          <w:rFonts w:hint="eastAsia" w:ascii="宋体" w:hAnsi="宋体" w:cs="宋体"/>
          <w:sz w:val="24"/>
        </w:rPr>
        <w:br w:type="page"/>
      </w:r>
    </w:p>
    <w:p>
      <w:pPr>
        <w:pStyle w:val="52"/>
        <w:rPr>
          <w:rFonts w:hAnsi="宋体" w:cs="宋体"/>
        </w:rPr>
      </w:pPr>
      <w:r>
        <w:rPr>
          <w:rFonts w:hint="eastAsia" w:hAnsi="宋体" w:cs="宋体"/>
        </w:rPr>
        <w:t>格式四：</w:t>
      </w:r>
    </w:p>
    <w:p>
      <w:pPr>
        <w:rPr>
          <w:rFonts w:ascii="宋体" w:hAnsi="宋体" w:cs="宋体"/>
        </w:rPr>
      </w:pPr>
    </w:p>
    <w:p>
      <w:pPr>
        <w:spacing w:line="360" w:lineRule="auto"/>
        <w:jc w:val="center"/>
        <w:rPr>
          <w:rFonts w:ascii="宋体" w:hAnsi="宋体" w:cs="宋体"/>
          <w:b/>
          <w:sz w:val="24"/>
          <w:lang w:val="zh-CN"/>
        </w:rPr>
      </w:pPr>
      <w:r>
        <w:rPr>
          <w:rFonts w:hint="eastAsia" w:ascii="宋体" w:hAnsi="宋体" w:cs="宋体"/>
          <w:b/>
          <w:sz w:val="24"/>
          <w:lang w:val="zh-CN"/>
        </w:rPr>
        <w:t>投标人企业关系关联承诺书</w:t>
      </w:r>
    </w:p>
    <w:p>
      <w:pPr>
        <w:autoSpaceDE w:val="0"/>
        <w:autoSpaceDN w:val="0"/>
        <w:adjustRightInd w:val="0"/>
        <w:spacing w:line="360" w:lineRule="auto"/>
        <w:rPr>
          <w:rFonts w:ascii="宋体" w:hAnsi="宋体" w:cs="宋体"/>
          <w:sz w:val="32"/>
          <w:szCs w:val="32"/>
        </w:rPr>
      </w:pPr>
    </w:p>
    <w:p>
      <w:pPr>
        <w:numPr>
          <w:ilvl w:val="0"/>
          <w:numId w:val="10"/>
        </w:numPr>
        <w:autoSpaceDE w:val="0"/>
        <w:autoSpaceDN w:val="0"/>
        <w:adjustRightInd w:val="0"/>
        <w:snapToGrid w:val="0"/>
        <w:spacing w:line="360" w:lineRule="auto"/>
        <w:rPr>
          <w:rFonts w:ascii="宋体" w:hAnsi="宋体" w:cs="宋体"/>
          <w:sz w:val="24"/>
        </w:rPr>
      </w:pPr>
      <w:r>
        <w:rPr>
          <w:rFonts w:hint="eastAsia" w:ascii="宋体" w:hAnsi="宋体" w:cs="宋体"/>
          <w:sz w:val="24"/>
        </w:rPr>
        <w:t>投标人股东及股权证明。</w:t>
      </w:r>
    </w:p>
    <w:p>
      <w:pPr>
        <w:snapToGrid w:val="0"/>
        <w:spacing w:line="360" w:lineRule="auto"/>
        <w:rPr>
          <w:rFonts w:ascii="宋体" w:hAnsi="宋体" w:cs="宋体"/>
          <w:sz w:val="24"/>
        </w:rPr>
      </w:pPr>
      <w:r>
        <w:rPr>
          <w:rFonts w:hint="eastAsia" w:ascii="宋体" w:hAnsi="宋体" w:cs="宋体"/>
          <w:sz w:val="24"/>
        </w:rPr>
        <w:t>2、管理关系说明：</w:t>
      </w:r>
    </w:p>
    <w:p>
      <w:pPr>
        <w:snapToGrid w:val="0"/>
        <w:spacing w:line="360" w:lineRule="auto"/>
        <w:ind w:firstLine="480" w:firstLineChars="200"/>
        <w:rPr>
          <w:rFonts w:ascii="宋体" w:hAnsi="宋体" w:cs="宋体"/>
          <w:sz w:val="24"/>
        </w:rPr>
      </w:pPr>
      <w:r>
        <w:rPr>
          <w:rFonts w:hint="eastAsia" w:ascii="宋体" w:hAnsi="宋体" w:cs="宋体"/>
          <w:sz w:val="24"/>
        </w:rPr>
        <w:t>我单位管理的具有独立法人的下属单位有：</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我单位的上级管理单位有</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rPr>
          <w:rFonts w:ascii="宋体" w:hAnsi="宋体" w:cs="宋体"/>
          <w:sz w:val="24"/>
        </w:rPr>
      </w:pPr>
      <w:r>
        <w:rPr>
          <w:rFonts w:hint="eastAsia" w:ascii="宋体" w:hAnsi="宋体" w:cs="宋体"/>
          <w:sz w:val="24"/>
        </w:rPr>
        <w:t>3、股权关系说明：</w:t>
      </w:r>
    </w:p>
    <w:p>
      <w:pPr>
        <w:snapToGrid w:val="0"/>
        <w:spacing w:line="360" w:lineRule="auto"/>
        <w:ind w:firstLine="480" w:firstLineChars="200"/>
        <w:rPr>
          <w:rFonts w:ascii="宋体" w:hAnsi="宋体" w:cs="宋体"/>
          <w:sz w:val="24"/>
        </w:rPr>
      </w:pPr>
      <w:r>
        <w:rPr>
          <w:rFonts w:hint="eastAsia" w:ascii="宋体" w:hAnsi="宋体" w:cs="宋体"/>
          <w:sz w:val="24"/>
        </w:rPr>
        <w:t>我单位控股的单位有</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我单位被</w:t>
      </w:r>
      <w:r>
        <w:rPr>
          <w:rFonts w:hint="eastAsia" w:ascii="宋体" w:hAnsi="宋体" w:cs="宋体"/>
          <w:i/>
          <w:sz w:val="24"/>
          <w:u w:val="single"/>
        </w:rPr>
        <w:t xml:space="preserve">             </w:t>
      </w:r>
      <w:r>
        <w:rPr>
          <w:rFonts w:hint="eastAsia" w:ascii="宋体" w:hAnsi="宋体" w:cs="宋体"/>
          <w:sz w:val="24"/>
          <w:u w:val="single"/>
        </w:rPr>
        <w:t xml:space="preserve"> </w:t>
      </w:r>
      <w:r>
        <w:rPr>
          <w:rFonts w:hint="eastAsia" w:ascii="宋体" w:hAnsi="宋体" w:cs="宋体"/>
          <w:sz w:val="24"/>
        </w:rPr>
        <w:t>单位控股。</w:t>
      </w:r>
    </w:p>
    <w:p>
      <w:pPr>
        <w:autoSpaceDE w:val="0"/>
        <w:autoSpaceDN w:val="0"/>
        <w:adjustRightInd w:val="0"/>
        <w:snapToGrid w:val="0"/>
        <w:spacing w:line="360" w:lineRule="auto"/>
        <w:rPr>
          <w:rFonts w:ascii="宋体" w:hAnsi="宋体" w:cs="宋体"/>
          <w:sz w:val="24"/>
          <w:u w:val="single"/>
        </w:rPr>
      </w:pPr>
      <w:r>
        <w:rPr>
          <w:rFonts w:hint="eastAsia" w:ascii="宋体" w:hAnsi="宋体" w:cs="宋体"/>
          <w:sz w:val="24"/>
        </w:rPr>
        <w:t>4、单位负责人：</w:t>
      </w:r>
      <w:r>
        <w:rPr>
          <w:rFonts w:hint="eastAsia" w:ascii="宋体" w:hAnsi="宋体" w:cs="宋体"/>
          <w:sz w:val="24"/>
          <w:u w:val="single"/>
        </w:rPr>
        <w:t xml:space="preserve">         </w:t>
      </w:r>
    </w:p>
    <w:p>
      <w:pPr>
        <w:autoSpaceDE w:val="0"/>
        <w:autoSpaceDN w:val="0"/>
        <w:adjustRightInd w:val="0"/>
        <w:spacing w:line="360" w:lineRule="auto"/>
        <w:rPr>
          <w:rFonts w:ascii="宋体" w:hAnsi="宋体" w:cs="宋体"/>
          <w:bCs/>
          <w:sz w:val="24"/>
        </w:rPr>
      </w:pPr>
      <w:r>
        <w:rPr>
          <w:rFonts w:hint="eastAsia" w:ascii="宋体" w:hAnsi="宋体" w:cs="宋体"/>
          <w:bCs/>
          <w:sz w:val="24"/>
        </w:rPr>
        <w:t>5、我单位</w:t>
      </w:r>
      <w:r>
        <w:rPr>
          <w:rFonts w:hint="eastAsia" w:ascii="宋体" w:hAnsi="宋体" w:cs="宋体"/>
          <w:bCs/>
          <w:sz w:val="24"/>
          <w:u w:val="single"/>
          <w:lang w:val="en-US" w:eastAsia="zh-CN"/>
        </w:rPr>
        <w:t xml:space="preserve">        </w:t>
      </w:r>
      <w:r>
        <w:rPr>
          <w:rFonts w:hint="eastAsia" w:ascii="宋体" w:hAnsi="宋体" w:cs="宋体"/>
          <w:bCs/>
          <w:sz w:val="24"/>
          <w:u w:val="none"/>
          <w:lang w:val="en-US" w:eastAsia="zh-CN"/>
        </w:rPr>
        <w:t>（是或不是）</w:t>
      </w:r>
      <w:r>
        <w:rPr>
          <w:rFonts w:hint="eastAsia" w:ascii="宋体" w:hAnsi="宋体" w:cs="宋体"/>
          <w:bCs/>
          <w:sz w:val="24"/>
        </w:rPr>
        <w:t>为采购项目提供整体设计、规范编制或者项目管理、监理、检测等服务的投标人。</w:t>
      </w:r>
    </w:p>
    <w:p>
      <w:pPr>
        <w:autoSpaceDE w:val="0"/>
        <w:autoSpaceDN w:val="0"/>
        <w:adjustRightInd w:val="0"/>
        <w:snapToGrid w:val="0"/>
        <w:spacing w:line="360" w:lineRule="auto"/>
        <w:rPr>
          <w:rFonts w:ascii="宋体" w:hAnsi="宋体" w:cs="宋体"/>
          <w:sz w:val="24"/>
          <w:u w:val="single"/>
        </w:rPr>
      </w:pPr>
      <w:r>
        <w:rPr>
          <w:rFonts w:hint="eastAsia" w:ascii="宋体" w:hAnsi="宋体" w:cs="宋体"/>
          <w:sz w:val="24"/>
        </w:rPr>
        <w:t>6、其他与本项目有关的利害关系说明：</w:t>
      </w:r>
      <w:r>
        <w:rPr>
          <w:rFonts w:hint="eastAsia" w:ascii="宋体" w:hAnsi="宋体" w:cs="宋体"/>
          <w:sz w:val="24"/>
          <w:u w:val="single"/>
        </w:rPr>
        <w:t xml:space="preserve">             </w:t>
      </w:r>
    </w:p>
    <w:p>
      <w:pPr>
        <w:autoSpaceDE w:val="0"/>
        <w:autoSpaceDN w:val="0"/>
        <w:adjustRightInd w:val="0"/>
        <w:spacing w:line="360" w:lineRule="auto"/>
        <w:rPr>
          <w:rFonts w:ascii="宋体" w:hAnsi="宋体" w:cs="宋体"/>
          <w:sz w:val="24"/>
        </w:rPr>
      </w:pPr>
      <w:r>
        <w:rPr>
          <w:rFonts w:hint="eastAsia" w:ascii="宋体" w:hAnsi="宋体" w:cs="宋体"/>
          <w:sz w:val="24"/>
        </w:rPr>
        <w:t>7、</w:t>
      </w:r>
      <w:r>
        <w:rPr>
          <w:rFonts w:hint="eastAsia" w:ascii="宋体" w:hAnsi="宋体" w:cs="宋体"/>
          <w:b/>
          <w:bCs/>
          <w:sz w:val="24"/>
        </w:rPr>
        <w:t>本次投标我公司为非联合体投标</w:t>
      </w:r>
      <w:r>
        <w:rPr>
          <w:rFonts w:hint="eastAsia" w:ascii="宋体" w:hAnsi="宋体" w:cs="宋体"/>
          <w:sz w:val="24"/>
        </w:rPr>
        <w:t>。</w:t>
      </w:r>
    </w:p>
    <w:p>
      <w:pPr>
        <w:autoSpaceDE w:val="0"/>
        <w:autoSpaceDN w:val="0"/>
        <w:adjustRightInd w:val="0"/>
        <w:snapToGrid w:val="0"/>
        <w:spacing w:line="360" w:lineRule="auto"/>
        <w:jc w:val="center"/>
        <w:rPr>
          <w:rFonts w:ascii="宋体" w:hAnsi="宋体" w:cs="宋体"/>
          <w:sz w:val="24"/>
        </w:rPr>
      </w:pPr>
      <w:r>
        <w:rPr>
          <w:rFonts w:hint="eastAsia" w:ascii="宋体" w:hAnsi="宋体" w:cs="宋体"/>
          <w:sz w:val="24"/>
        </w:rPr>
        <w:t>我单位承诺以上说明真实有效，无虚假内容或隐瞒。</w:t>
      </w: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r>
        <w:rPr>
          <w:rFonts w:hint="eastAsia" w:ascii="宋体" w:hAnsi="宋体" w:cs="宋体"/>
          <w:sz w:val="24"/>
        </w:rPr>
        <w:t>投标人                    法定代表人（负责人）或授权代表</w:t>
      </w:r>
    </w:p>
    <w:p>
      <w:pPr>
        <w:adjustRightInd w:val="0"/>
        <w:snapToGrid w:val="0"/>
        <w:spacing w:line="360" w:lineRule="auto"/>
        <w:rPr>
          <w:rFonts w:ascii="宋体" w:hAnsi="宋体" w:cs="宋体"/>
          <w:sz w:val="24"/>
        </w:rPr>
      </w:pPr>
      <w:r>
        <w:rPr>
          <w:rFonts w:hint="eastAsia" w:ascii="宋体" w:hAnsi="宋体" w:cs="宋体"/>
          <w:sz w:val="24"/>
        </w:rPr>
        <w:t>（公章）：                     （签字或盖章）：</w:t>
      </w:r>
    </w:p>
    <w:p>
      <w:pPr>
        <w:autoSpaceDE w:val="0"/>
        <w:autoSpaceDN w:val="0"/>
        <w:adjustRightInd w:val="0"/>
        <w:snapToGrid w:val="0"/>
        <w:spacing w:line="360" w:lineRule="auto"/>
        <w:jc w:val="center"/>
        <w:rPr>
          <w:rFonts w:ascii="宋体" w:hAnsi="宋体" w:cs="宋体"/>
          <w:sz w:val="24"/>
        </w:rPr>
      </w:pPr>
      <w:r>
        <w:rPr>
          <w:rFonts w:hint="eastAsia" w:ascii="宋体" w:hAnsi="宋体" w:cs="宋体"/>
          <w:sz w:val="24"/>
        </w:rPr>
        <w:t xml:space="preserve">                                年    月    日</w:t>
      </w:r>
    </w:p>
    <w:p>
      <w:pPr>
        <w:autoSpaceDE w:val="0"/>
        <w:autoSpaceDN w:val="0"/>
        <w:adjustRightInd w:val="0"/>
        <w:snapToGrid w:val="0"/>
        <w:spacing w:line="360" w:lineRule="auto"/>
        <w:jc w:val="center"/>
        <w:rPr>
          <w:rFonts w:ascii="宋体" w:hAnsi="宋体" w:cs="宋体"/>
          <w:b/>
          <w:sz w:val="10"/>
          <w:szCs w:val="10"/>
        </w:rPr>
      </w:pPr>
      <w:r>
        <w:rPr>
          <w:rFonts w:hint="eastAsia" w:ascii="宋体" w:hAnsi="宋体" w:cs="宋体"/>
          <w:b/>
          <w:sz w:val="10"/>
          <w:szCs w:val="10"/>
        </w:rPr>
        <w:br w:type="page"/>
      </w:r>
    </w:p>
    <w:p>
      <w:pPr>
        <w:rPr>
          <w:rFonts w:ascii="宋体" w:hAnsi="宋体" w:cs="宋体"/>
          <w:sz w:val="30"/>
          <w:szCs w:val="30"/>
        </w:rPr>
      </w:pPr>
      <w:r>
        <w:rPr>
          <w:rFonts w:hint="eastAsia" w:ascii="宋体" w:hAnsi="宋体" w:cs="宋体"/>
          <w:sz w:val="30"/>
          <w:szCs w:val="30"/>
        </w:rPr>
        <w:t>格式五：</w:t>
      </w:r>
    </w:p>
    <w:p>
      <w:pPr>
        <w:rPr>
          <w:rFonts w:ascii="宋体" w:hAnsi="宋体" w:cs="宋体"/>
        </w:rPr>
      </w:pPr>
    </w:p>
    <w:p>
      <w:pPr>
        <w:spacing w:line="360" w:lineRule="auto"/>
        <w:jc w:val="center"/>
        <w:rPr>
          <w:rFonts w:ascii="宋体" w:hAnsi="宋体" w:cs="宋体"/>
          <w:b/>
          <w:bCs/>
          <w:sz w:val="30"/>
          <w:szCs w:val="30"/>
        </w:rPr>
      </w:pPr>
      <w:r>
        <w:rPr>
          <w:rFonts w:hint="eastAsia" w:ascii="宋体" w:hAnsi="宋体" w:cs="宋体"/>
          <w:b/>
          <w:bCs/>
          <w:sz w:val="30"/>
          <w:szCs w:val="30"/>
        </w:rPr>
        <w:t>投标人单位类型声明函</w:t>
      </w:r>
    </w:p>
    <w:p>
      <w:pPr>
        <w:jc w:val="center"/>
        <w:rPr>
          <w:rFonts w:ascii="宋体" w:hAnsi="宋体" w:cs="宋体"/>
          <w:sz w:val="32"/>
          <w:szCs w:val="32"/>
        </w:rPr>
      </w:pPr>
      <w:r>
        <w:rPr>
          <w:rFonts w:hint="eastAsia" w:ascii="宋体" w:hAnsi="宋体" w:cs="宋体"/>
          <w:sz w:val="32"/>
          <w:szCs w:val="32"/>
        </w:rPr>
        <w:t>中小企业声明函(货物)</w:t>
      </w:r>
    </w:p>
    <w:p>
      <w:pPr>
        <w:jc w:val="center"/>
        <w:rPr>
          <w:rFonts w:ascii="宋体" w:hAnsi="宋体" w:cs="宋体"/>
          <w:sz w:val="24"/>
          <w:szCs w:val="22"/>
        </w:rPr>
      </w:pPr>
      <w:r>
        <w:rPr>
          <w:rFonts w:hint="eastAsia" w:ascii="宋体" w:hAnsi="宋体" w:cs="宋体"/>
          <w:sz w:val="24"/>
          <w:szCs w:val="22"/>
        </w:rPr>
        <w:t>（注</w:t>
      </w:r>
      <w:r>
        <w:rPr>
          <w:rFonts w:hint="eastAsia" w:ascii="宋体" w:hAnsi="宋体" w:cs="宋体"/>
          <w:kern w:val="0"/>
          <w:sz w:val="24"/>
        </w:rPr>
        <w:t>(联合体)</w:t>
      </w:r>
      <w:r>
        <w:rPr>
          <w:rFonts w:hint="eastAsia" w:ascii="宋体" w:hAnsi="宋体" w:cs="宋体"/>
          <w:sz w:val="24"/>
          <w:szCs w:val="22"/>
        </w:rPr>
        <w:t>：符合中小企业划型标准的企业请提供本函，不符合的不提供本函）</w:t>
      </w:r>
    </w:p>
    <w:p>
      <w:pPr>
        <w:snapToGrid w:val="0"/>
        <w:spacing w:beforeLines="50"/>
        <w:ind w:firstLine="480" w:firstLineChars="200"/>
        <w:rPr>
          <w:rFonts w:ascii="宋体" w:hAnsi="宋体" w:cs="宋体"/>
          <w:sz w:val="24"/>
          <w:szCs w:val="22"/>
        </w:rPr>
      </w:pPr>
    </w:p>
    <w:p>
      <w:pPr>
        <w:spacing w:line="560" w:lineRule="exact"/>
        <w:ind w:firstLine="480" w:firstLineChars="200"/>
        <w:rPr>
          <w:rFonts w:ascii="宋体" w:hAnsi="宋体" w:cs="宋体"/>
          <w:kern w:val="0"/>
          <w:sz w:val="24"/>
        </w:rPr>
      </w:pPr>
      <w:r>
        <w:rPr>
          <w:rFonts w:hint="eastAsia" w:ascii="宋体" w:hAnsi="宋体" w:cs="宋体"/>
          <w:kern w:val="0"/>
          <w:sz w:val="24"/>
        </w:rPr>
        <w:t>本公司郑重声明，根据《政府采购促进中小企业发展管理办法》(财库(2020)46号)的规定，本公司(联合体)参加</w:t>
      </w:r>
      <w:r>
        <w:rPr>
          <w:rFonts w:hint="eastAsia" w:ascii="宋体" w:hAnsi="宋体" w:cs="宋体"/>
          <w:kern w:val="0"/>
          <w:sz w:val="24"/>
          <w:u w:val="single"/>
        </w:rPr>
        <w:t xml:space="preserve">  (单位名称) </w:t>
      </w:r>
      <w:r>
        <w:rPr>
          <w:rFonts w:hint="eastAsia" w:ascii="宋体" w:hAnsi="宋体" w:cs="宋体"/>
          <w:kern w:val="0"/>
          <w:sz w:val="24"/>
        </w:rPr>
        <w:t xml:space="preserve"> 的</w:t>
      </w:r>
      <w:r>
        <w:rPr>
          <w:rFonts w:hint="eastAsia" w:ascii="宋体" w:hAnsi="宋体" w:cs="宋体"/>
          <w:kern w:val="0"/>
          <w:sz w:val="24"/>
          <w:u w:val="single"/>
        </w:rPr>
        <w:t xml:space="preserve"> (项目名称) 采购</w:t>
      </w:r>
      <w:r>
        <w:rPr>
          <w:rFonts w:hint="eastAsia" w:ascii="宋体" w:hAnsi="宋体" w:cs="宋体"/>
          <w:kern w:val="0"/>
          <w:sz w:val="24"/>
        </w:rPr>
        <w:t>活动，提供的货物全部由符合政策要求的中小企业制造。相关企业(含联合体中的中小企业、签订分包意向协议的中小企业)的具体情况如下：</w:t>
      </w:r>
    </w:p>
    <w:p>
      <w:pPr>
        <w:numPr>
          <w:ilvl w:val="0"/>
          <w:numId w:val="11"/>
        </w:numPr>
        <w:spacing w:line="560" w:lineRule="exact"/>
        <w:ind w:left="720" w:hanging="720" w:hangingChars="300"/>
        <w:rPr>
          <w:rFonts w:ascii="宋体" w:hAnsi="宋体" w:cs="宋体"/>
          <w:kern w:val="0"/>
          <w:sz w:val="24"/>
        </w:rPr>
      </w:pPr>
      <w:r>
        <w:rPr>
          <w:rFonts w:hint="eastAsia" w:ascii="宋体" w:hAnsi="宋体" w:cs="宋体"/>
          <w:kern w:val="0"/>
          <w:sz w:val="24"/>
          <w:u w:val="single"/>
        </w:rPr>
        <w:t xml:space="preserve">  (标的名称)  </w:t>
      </w:r>
      <w:r>
        <w:rPr>
          <w:rFonts w:hint="eastAsia" w:ascii="宋体" w:hAnsi="宋体" w:cs="宋体"/>
          <w:kern w:val="0"/>
          <w:sz w:val="24"/>
        </w:rPr>
        <w:t>，属于</w:t>
      </w:r>
      <w:r>
        <w:rPr>
          <w:rFonts w:hint="eastAsia" w:ascii="宋体" w:hAnsi="宋体" w:cs="宋体"/>
          <w:kern w:val="0"/>
          <w:sz w:val="24"/>
          <w:u w:val="single"/>
        </w:rPr>
        <w:t xml:space="preserve">  ( 采购文件中明确的所属行业) 行业</w:t>
      </w:r>
      <w:r>
        <w:rPr>
          <w:rFonts w:hint="eastAsia" w:ascii="宋体" w:hAnsi="宋体" w:cs="宋体"/>
          <w:kern w:val="0"/>
          <w:sz w:val="24"/>
        </w:rPr>
        <w:t xml:space="preserve"> ；制造商为</w:t>
      </w:r>
      <w:r>
        <w:rPr>
          <w:rFonts w:hint="eastAsia" w:ascii="宋体" w:hAnsi="宋体" w:cs="宋体"/>
          <w:kern w:val="0"/>
          <w:sz w:val="24"/>
          <w:u w:val="single"/>
        </w:rPr>
        <w:t xml:space="preserve"> (企业名称)  </w:t>
      </w:r>
      <w:r>
        <w:rPr>
          <w:rFonts w:hint="eastAsia" w:ascii="宋体" w:hAnsi="宋体" w:cs="宋体"/>
          <w:kern w:val="0"/>
          <w:sz w:val="24"/>
        </w:rPr>
        <w:t>，从业人员</w:t>
      </w:r>
      <w:r>
        <w:rPr>
          <w:rFonts w:hint="eastAsia" w:ascii="宋体" w:hAnsi="宋体" w:cs="宋体"/>
          <w:kern w:val="0"/>
          <w:sz w:val="24"/>
          <w:u w:val="single"/>
        </w:rPr>
        <w:t xml:space="preserve">      </w:t>
      </w:r>
      <w:r>
        <w:rPr>
          <w:rFonts w:hint="eastAsia" w:ascii="宋体" w:hAnsi="宋体" w:cs="宋体"/>
          <w:kern w:val="0"/>
          <w:sz w:val="24"/>
        </w:rPr>
        <w:t>人，营业收入为</w:t>
      </w:r>
      <w:r>
        <w:rPr>
          <w:rFonts w:hint="eastAsia" w:ascii="宋体" w:hAnsi="宋体" w:cs="宋体"/>
          <w:kern w:val="0"/>
          <w:sz w:val="24"/>
          <w:u w:val="single"/>
        </w:rPr>
        <w:t xml:space="preserve">     </w:t>
      </w:r>
      <w:r>
        <w:rPr>
          <w:rFonts w:hint="eastAsia" w:ascii="宋体" w:hAnsi="宋体" w:cs="宋体"/>
          <w:kern w:val="0"/>
          <w:sz w:val="24"/>
        </w:rPr>
        <w:t>万元，资产总额为</w:t>
      </w:r>
      <w:r>
        <w:rPr>
          <w:rFonts w:hint="eastAsia" w:ascii="宋体" w:hAnsi="宋体" w:cs="宋体"/>
          <w:kern w:val="0"/>
          <w:sz w:val="24"/>
          <w:u w:val="single"/>
        </w:rPr>
        <w:t xml:space="preserve">     </w:t>
      </w:r>
      <w:r>
        <w:rPr>
          <w:rFonts w:hint="eastAsia" w:ascii="宋体" w:hAnsi="宋体" w:cs="宋体"/>
          <w:kern w:val="0"/>
          <w:sz w:val="24"/>
        </w:rPr>
        <w:t xml:space="preserve">万元，属于 </w:t>
      </w:r>
      <w:r>
        <w:rPr>
          <w:rFonts w:hint="eastAsia" w:ascii="宋体" w:hAnsi="宋体" w:cs="宋体"/>
          <w:kern w:val="0"/>
          <w:sz w:val="24"/>
          <w:u w:val="single"/>
        </w:rPr>
        <w:t>(中型企业、小型企业、微型企业）</w:t>
      </w:r>
      <w:r>
        <w:rPr>
          <w:rFonts w:hint="eastAsia" w:ascii="宋体" w:hAnsi="宋体" w:cs="宋体"/>
          <w:kern w:val="0"/>
          <w:sz w:val="24"/>
        </w:rPr>
        <w:t>；</w:t>
      </w:r>
    </w:p>
    <w:p>
      <w:pPr>
        <w:numPr>
          <w:ilvl w:val="0"/>
          <w:numId w:val="11"/>
        </w:numPr>
        <w:spacing w:line="560" w:lineRule="exact"/>
        <w:ind w:left="720" w:hanging="720" w:hangingChars="300"/>
        <w:rPr>
          <w:rFonts w:ascii="宋体" w:hAnsi="宋体" w:cs="宋体"/>
          <w:kern w:val="0"/>
          <w:sz w:val="24"/>
        </w:rPr>
      </w:pPr>
      <w:r>
        <w:rPr>
          <w:rFonts w:hint="eastAsia" w:ascii="宋体" w:hAnsi="宋体" w:cs="宋体"/>
          <w:kern w:val="0"/>
          <w:sz w:val="24"/>
          <w:u w:val="single"/>
        </w:rPr>
        <w:t xml:space="preserve">  (标的名称)  </w:t>
      </w:r>
      <w:r>
        <w:rPr>
          <w:rFonts w:hint="eastAsia" w:ascii="宋体" w:hAnsi="宋体" w:cs="宋体"/>
          <w:kern w:val="0"/>
          <w:sz w:val="24"/>
        </w:rPr>
        <w:t>，属于</w:t>
      </w:r>
      <w:r>
        <w:rPr>
          <w:rFonts w:hint="eastAsia" w:ascii="宋体" w:hAnsi="宋体" w:cs="宋体"/>
          <w:kern w:val="0"/>
          <w:sz w:val="24"/>
          <w:u w:val="single"/>
        </w:rPr>
        <w:t xml:space="preserve">  ( 采购文件中明确的所属行业) 行业</w:t>
      </w:r>
      <w:r>
        <w:rPr>
          <w:rFonts w:hint="eastAsia" w:ascii="宋体" w:hAnsi="宋体" w:cs="宋体"/>
          <w:kern w:val="0"/>
          <w:sz w:val="24"/>
        </w:rPr>
        <w:t xml:space="preserve"> ；制造商为</w:t>
      </w:r>
      <w:r>
        <w:rPr>
          <w:rFonts w:hint="eastAsia" w:ascii="宋体" w:hAnsi="宋体" w:cs="宋体"/>
          <w:kern w:val="0"/>
          <w:sz w:val="24"/>
          <w:u w:val="single"/>
        </w:rPr>
        <w:t xml:space="preserve"> (企业名称)  </w:t>
      </w:r>
      <w:r>
        <w:rPr>
          <w:rFonts w:hint="eastAsia" w:ascii="宋体" w:hAnsi="宋体" w:cs="宋体"/>
          <w:kern w:val="0"/>
          <w:sz w:val="24"/>
        </w:rPr>
        <w:t>，从业人员</w:t>
      </w:r>
      <w:r>
        <w:rPr>
          <w:rFonts w:hint="eastAsia" w:ascii="宋体" w:hAnsi="宋体" w:cs="宋体"/>
          <w:kern w:val="0"/>
          <w:sz w:val="24"/>
          <w:u w:val="single"/>
        </w:rPr>
        <w:t xml:space="preserve">      </w:t>
      </w:r>
      <w:r>
        <w:rPr>
          <w:rFonts w:hint="eastAsia" w:ascii="宋体" w:hAnsi="宋体" w:cs="宋体"/>
          <w:kern w:val="0"/>
          <w:sz w:val="24"/>
        </w:rPr>
        <w:t>人，营业收入为</w:t>
      </w:r>
      <w:r>
        <w:rPr>
          <w:rFonts w:hint="eastAsia" w:ascii="宋体" w:hAnsi="宋体" w:cs="宋体"/>
          <w:kern w:val="0"/>
          <w:sz w:val="24"/>
          <w:u w:val="single"/>
        </w:rPr>
        <w:t xml:space="preserve">     </w:t>
      </w:r>
      <w:r>
        <w:rPr>
          <w:rFonts w:hint="eastAsia" w:ascii="宋体" w:hAnsi="宋体" w:cs="宋体"/>
          <w:kern w:val="0"/>
          <w:sz w:val="24"/>
        </w:rPr>
        <w:t>万元，资产总额为</w:t>
      </w:r>
      <w:r>
        <w:rPr>
          <w:rFonts w:hint="eastAsia" w:ascii="宋体" w:hAnsi="宋体" w:cs="宋体"/>
          <w:kern w:val="0"/>
          <w:sz w:val="24"/>
          <w:u w:val="single"/>
        </w:rPr>
        <w:t xml:space="preserve">     </w:t>
      </w:r>
      <w:r>
        <w:rPr>
          <w:rFonts w:hint="eastAsia" w:ascii="宋体" w:hAnsi="宋体" w:cs="宋体"/>
          <w:kern w:val="0"/>
          <w:sz w:val="24"/>
        </w:rPr>
        <w:t xml:space="preserve">万元，属于 </w:t>
      </w:r>
      <w:r>
        <w:rPr>
          <w:rFonts w:hint="eastAsia" w:ascii="宋体" w:hAnsi="宋体" w:cs="宋体"/>
          <w:kern w:val="0"/>
          <w:sz w:val="24"/>
          <w:u w:val="single"/>
        </w:rPr>
        <w:t>(中型企业、小型企业、微型企业）</w:t>
      </w:r>
      <w:r>
        <w:rPr>
          <w:rFonts w:hint="eastAsia" w:ascii="宋体" w:hAnsi="宋体" w:cs="宋体"/>
          <w:kern w:val="0"/>
          <w:sz w:val="24"/>
        </w:rPr>
        <w:t>；</w:t>
      </w:r>
    </w:p>
    <w:p>
      <w:pPr>
        <w:spacing w:line="560" w:lineRule="exact"/>
        <w:ind w:firstLine="480" w:firstLineChars="200"/>
        <w:rPr>
          <w:rFonts w:ascii="宋体" w:hAnsi="宋体" w:cs="宋体"/>
          <w:kern w:val="0"/>
          <w:sz w:val="24"/>
        </w:rPr>
      </w:pPr>
      <w:r>
        <w:rPr>
          <w:rFonts w:hint="eastAsia" w:ascii="宋体" w:hAnsi="宋体" w:cs="宋体"/>
          <w:kern w:val="0"/>
          <w:sz w:val="24"/>
        </w:rPr>
        <w:t>……</w:t>
      </w:r>
    </w:p>
    <w:p>
      <w:pPr>
        <w:spacing w:line="560" w:lineRule="exact"/>
        <w:ind w:firstLine="480" w:firstLineChars="200"/>
        <w:rPr>
          <w:rFonts w:ascii="宋体" w:hAnsi="宋体" w:cs="宋体"/>
          <w:kern w:val="0"/>
          <w:sz w:val="24"/>
        </w:rPr>
      </w:pPr>
      <w:r>
        <w:rPr>
          <w:rFonts w:hint="eastAsia" w:ascii="宋体" w:hAnsi="宋体" w:cs="宋体"/>
          <w:kern w:val="0"/>
          <w:sz w:val="24"/>
        </w:rPr>
        <w:t>以上企业，不属于大企业的分支机构，不存在控股股东为大企业的情形，也不存在与大企业的负责人为同一人的情形。</w:t>
      </w:r>
    </w:p>
    <w:p>
      <w:pPr>
        <w:spacing w:line="560" w:lineRule="exact"/>
        <w:ind w:firstLine="480" w:firstLineChars="200"/>
        <w:rPr>
          <w:rFonts w:ascii="宋体" w:hAnsi="宋体" w:cs="宋体"/>
          <w:kern w:val="0"/>
          <w:sz w:val="24"/>
        </w:rPr>
      </w:pPr>
      <w:r>
        <w:rPr>
          <w:rFonts w:hint="eastAsia" w:ascii="宋体" w:hAnsi="宋体" w:cs="宋体"/>
          <w:kern w:val="0"/>
          <w:sz w:val="24"/>
        </w:rPr>
        <w:t>本企业对上述声明内容的真实性负责。如有虚假，将依法承担相应责任。</w:t>
      </w:r>
    </w:p>
    <w:p>
      <w:pPr>
        <w:spacing w:line="560" w:lineRule="exact"/>
        <w:rPr>
          <w:rFonts w:ascii="宋体" w:hAnsi="宋体" w:cs="宋体"/>
          <w:kern w:val="0"/>
          <w:sz w:val="24"/>
        </w:rPr>
      </w:pPr>
    </w:p>
    <w:p>
      <w:pPr>
        <w:spacing w:line="560" w:lineRule="exact"/>
        <w:ind w:firstLine="3480" w:firstLineChars="1450"/>
        <w:rPr>
          <w:rFonts w:ascii="宋体" w:hAnsi="宋体" w:cs="宋体"/>
          <w:kern w:val="0"/>
          <w:sz w:val="24"/>
        </w:rPr>
      </w:pPr>
      <w:r>
        <w:rPr>
          <w:rFonts w:hint="eastAsia" w:ascii="宋体" w:hAnsi="宋体" w:cs="宋体"/>
          <w:kern w:val="0"/>
          <w:sz w:val="24"/>
        </w:rPr>
        <w:t>企业名称(盖章)：</w:t>
      </w:r>
    </w:p>
    <w:p>
      <w:pPr>
        <w:spacing w:line="560" w:lineRule="exact"/>
        <w:ind w:firstLine="3480" w:firstLineChars="1450"/>
        <w:rPr>
          <w:rFonts w:ascii="宋体" w:hAnsi="宋体" w:cs="宋体"/>
          <w:kern w:val="0"/>
          <w:sz w:val="24"/>
          <w:szCs w:val="22"/>
        </w:rPr>
      </w:pPr>
      <w:r>
        <w:rPr>
          <w:rFonts w:hint="eastAsia" w:ascii="宋体" w:hAnsi="宋体" w:cs="宋体"/>
          <w:kern w:val="0"/>
          <w:sz w:val="24"/>
        </w:rPr>
        <w:t>日期：</w:t>
      </w:r>
    </w:p>
    <w:p>
      <w:pPr>
        <w:spacing w:line="360" w:lineRule="auto"/>
        <w:rPr>
          <w:rFonts w:ascii="宋体" w:hAnsi="宋体" w:cs="宋体"/>
        </w:rPr>
      </w:pPr>
    </w:p>
    <w:p>
      <w:pPr>
        <w:ind w:left="450" w:hanging="450" w:hangingChars="150"/>
        <w:rPr>
          <w:rFonts w:ascii="宋体" w:hAnsi="宋体" w:cs="宋体"/>
          <w:kern w:val="0"/>
          <w:sz w:val="18"/>
          <w:szCs w:val="18"/>
        </w:rPr>
      </w:pPr>
      <w:r>
        <w:rPr>
          <w:rFonts w:hint="eastAsia" w:ascii="宋体" w:hAnsi="宋体" w:cs="宋体"/>
          <w:kern w:val="0"/>
          <w:sz w:val="30"/>
          <w:szCs w:val="30"/>
        </w:rPr>
        <w:t xml:space="preserve"> </w:t>
      </w:r>
      <w:r>
        <w:rPr>
          <w:rFonts w:hint="eastAsia" w:ascii="宋体" w:hAnsi="宋体" w:cs="宋体"/>
          <w:kern w:val="0"/>
          <w:sz w:val="30"/>
          <w:szCs w:val="30"/>
          <w:u w:val="single"/>
        </w:rPr>
        <w:t xml:space="preserve">                                                     </w:t>
      </w:r>
      <w:r>
        <w:rPr>
          <w:rFonts w:hint="eastAsia" w:ascii="宋体" w:hAnsi="宋体" w:cs="宋体"/>
          <w:kern w:val="0"/>
          <w:sz w:val="30"/>
          <w:szCs w:val="30"/>
        </w:rPr>
        <w:t xml:space="preserve">    </w:t>
      </w:r>
      <w:r>
        <w:rPr>
          <w:rFonts w:hint="eastAsia" w:ascii="宋体" w:hAnsi="宋体" w:cs="宋体"/>
          <w:kern w:val="0"/>
          <w:sz w:val="18"/>
          <w:szCs w:val="18"/>
        </w:rPr>
        <w:t xml:space="preserve"> </w:t>
      </w:r>
    </w:p>
    <w:p>
      <w:pPr>
        <w:ind w:left="315" w:leftChars="150" w:firstLine="270" w:firstLineChars="150"/>
        <w:rPr>
          <w:rFonts w:ascii="宋体" w:hAnsi="宋体" w:cs="宋体"/>
          <w:kern w:val="0"/>
          <w:sz w:val="18"/>
          <w:szCs w:val="18"/>
        </w:rPr>
      </w:pPr>
      <w:r>
        <w:rPr>
          <w:rFonts w:hint="eastAsia" w:ascii="宋体" w:hAnsi="宋体" w:cs="宋体"/>
          <w:kern w:val="0"/>
          <w:sz w:val="18"/>
          <w:szCs w:val="18"/>
        </w:rPr>
        <w:t>（从业人员、营业收入、资产总额填报上一年度数据，无上一年度数据的新成立企业可不填报）</w:t>
      </w:r>
    </w:p>
    <w:p>
      <w:pPr>
        <w:widowControl/>
        <w:spacing w:before="100" w:beforeAutospacing="1" w:after="100" w:afterAutospacing="1" w:line="360" w:lineRule="auto"/>
        <w:rPr>
          <w:rFonts w:ascii="宋体" w:hAnsi="宋体" w:cs="宋体"/>
          <w:bCs/>
          <w:kern w:val="0"/>
          <w:sz w:val="24"/>
          <w:szCs w:val="20"/>
        </w:rPr>
      </w:pPr>
      <w:r>
        <w:rPr>
          <w:rFonts w:hint="eastAsia" w:ascii="宋体" w:hAnsi="宋体" w:cs="宋体"/>
        </w:rPr>
        <w:br w:type="page"/>
      </w:r>
    </w:p>
    <w:p>
      <w:pPr>
        <w:jc w:val="center"/>
        <w:rPr>
          <w:rFonts w:ascii="宋体" w:hAnsi="宋体" w:cs="宋体"/>
          <w:sz w:val="32"/>
          <w:szCs w:val="32"/>
        </w:rPr>
      </w:pPr>
      <w:r>
        <w:rPr>
          <w:rFonts w:hint="eastAsia" w:ascii="宋体" w:hAnsi="宋体" w:cs="宋体"/>
          <w:sz w:val="32"/>
          <w:szCs w:val="32"/>
        </w:rPr>
        <w:t>投标人监狱企业声明函</w:t>
      </w:r>
    </w:p>
    <w:p>
      <w:pPr>
        <w:spacing w:line="360" w:lineRule="auto"/>
        <w:ind w:left="1079" w:leftChars="257" w:hanging="540"/>
        <w:jc w:val="center"/>
        <w:rPr>
          <w:rFonts w:ascii="宋体" w:hAnsi="宋体" w:cs="宋体"/>
          <w:b/>
          <w:kern w:val="0"/>
          <w:sz w:val="24"/>
          <w:szCs w:val="20"/>
        </w:rPr>
      </w:pPr>
    </w:p>
    <w:p>
      <w:pPr>
        <w:widowControl/>
        <w:spacing w:before="100" w:beforeAutospacing="1" w:after="100" w:afterAutospacing="1" w:line="360" w:lineRule="auto"/>
        <w:ind w:firstLine="480" w:firstLineChars="200"/>
        <w:jc w:val="left"/>
        <w:rPr>
          <w:rFonts w:ascii="宋体" w:hAnsi="宋体" w:cs="宋体"/>
          <w:kern w:val="0"/>
          <w:sz w:val="24"/>
        </w:rPr>
      </w:pPr>
      <w:r>
        <w:rPr>
          <w:rFonts w:hint="eastAsia" w:ascii="宋体" w:hAnsi="宋体" w:cs="宋体"/>
          <w:kern w:val="0"/>
          <w:sz w:val="24"/>
        </w:rPr>
        <w:t>本单位郑重声明下列事项（按照实际情况勾选或填空）：</w:t>
      </w:r>
    </w:p>
    <w:p>
      <w:pPr>
        <w:widowControl/>
        <w:spacing w:before="100" w:beforeAutospacing="1" w:after="100" w:afterAutospacing="1" w:line="360" w:lineRule="auto"/>
        <w:ind w:firstLine="480" w:firstLineChars="200"/>
        <w:jc w:val="left"/>
        <w:rPr>
          <w:rFonts w:ascii="宋体" w:hAnsi="宋体" w:cs="宋体"/>
          <w:kern w:val="0"/>
          <w:sz w:val="24"/>
        </w:rPr>
      </w:pPr>
      <w:r>
        <w:rPr>
          <w:rFonts w:hint="eastAsia" w:ascii="宋体" w:hAnsi="宋体" w:cs="宋体"/>
          <w:kern w:val="0"/>
          <w:sz w:val="24"/>
        </w:rPr>
        <w:t>本单位为直接投标人提供本单位制造的货物。</w:t>
      </w:r>
    </w:p>
    <w:p>
      <w:pPr>
        <w:widowControl/>
        <w:spacing w:before="100" w:beforeAutospacing="1" w:after="100" w:afterAutospacing="1" w:line="360" w:lineRule="auto"/>
        <w:ind w:firstLine="360" w:firstLineChars="150"/>
        <w:jc w:val="left"/>
        <w:rPr>
          <w:rFonts w:ascii="宋体" w:hAnsi="宋体" w:cs="宋体"/>
          <w:kern w:val="0"/>
          <w:sz w:val="24"/>
        </w:rPr>
      </w:pPr>
      <w:r>
        <w:rPr>
          <w:rFonts w:hint="eastAsia" w:ascii="宋体" w:hAnsi="宋体" w:cs="宋体"/>
          <w:kern w:val="0"/>
          <w:sz w:val="24"/>
        </w:rPr>
        <w:t>（1）本企业（单位）</w:t>
      </w:r>
      <w:r>
        <w:rPr>
          <w:rFonts w:hint="eastAsia" w:ascii="宋体" w:hAnsi="宋体" w:cs="宋体"/>
          <w:kern w:val="0"/>
          <w:sz w:val="24"/>
          <w:u w:val="single"/>
        </w:rPr>
        <w:t xml:space="preserve">        </w:t>
      </w:r>
      <w:r>
        <w:rPr>
          <w:rFonts w:hint="eastAsia" w:ascii="宋体" w:hAnsi="宋体" w:cs="宋体"/>
          <w:kern w:val="0"/>
          <w:sz w:val="24"/>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宋体" w:hAnsi="宋体" w:cs="宋体"/>
          <w:kern w:val="0"/>
          <w:sz w:val="24"/>
        </w:rPr>
      </w:pPr>
      <w:r>
        <w:rPr>
          <w:rFonts w:hint="eastAsia" w:ascii="宋体" w:hAnsi="宋体" w:cs="宋体"/>
          <w:kern w:val="0"/>
          <w:sz w:val="24"/>
        </w:rPr>
        <w:t>（2）本企业（单位）</w:t>
      </w:r>
      <w:r>
        <w:rPr>
          <w:rFonts w:hint="eastAsia" w:ascii="宋体" w:hAnsi="宋体" w:cs="宋体"/>
          <w:kern w:val="0"/>
          <w:sz w:val="24"/>
          <w:u w:val="single"/>
        </w:rPr>
        <w:t xml:space="preserve">        </w:t>
      </w:r>
      <w:r>
        <w:rPr>
          <w:rFonts w:hint="eastAsia" w:ascii="宋体" w:hAnsi="宋体" w:cs="宋体"/>
          <w:kern w:val="0"/>
          <w:sz w:val="24"/>
        </w:rPr>
        <w:t>（请填写：是、不是）为联合体一方，提供本企业（单位）制造的货物，由本企业（单位）承担工程、提供服务。本企业（单位）提供协议合同金额占到共同投标协议合同总金额的比例为</w:t>
      </w:r>
      <w:r>
        <w:rPr>
          <w:rFonts w:hint="eastAsia" w:ascii="宋体" w:hAnsi="宋体" w:cs="宋体"/>
          <w:kern w:val="0"/>
          <w:sz w:val="24"/>
          <w:u w:val="single"/>
        </w:rPr>
        <w:t xml:space="preserve">       </w:t>
      </w:r>
      <w:r>
        <w:rPr>
          <w:rFonts w:hint="eastAsia" w:ascii="宋体" w:hAnsi="宋体" w:cs="宋体"/>
          <w:kern w:val="0"/>
          <w:sz w:val="24"/>
        </w:rPr>
        <w:t>。</w:t>
      </w:r>
    </w:p>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　　本企业（单位）对上述声明的真实性负责。如有虚假，将依法承担相应责任。</w:t>
      </w:r>
    </w:p>
    <w:p>
      <w:pPr>
        <w:widowControl/>
        <w:spacing w:before="100" w:beforeAutospacing="1" w:after="100" w:afterAutospacing="1" w:line="360" w:lineRule="auto"/>
        <w:jc w:val="left"/>
        <w:rPr>
          <w:rFonts w:ascii="宋体" w:hAnsi="宋体" w:cs="宋体"/>
          <w:b/>
          <w:kern w:val="0"/>
          <w:sz w:val="24"/>
          <w:szCs w:val="20"/>
        </w:rPr>
      </w:pPr>
      <w:r>
        <w:rPr>
          <w:rFonts w:hint="eastAsia" w:ascii="宋体" w:hAnsi="宋体" w:cs="宋体"/>
          <w:kern w:val="0"/>
          <w:sz w:val="24"/>
        </w:rPr>
        <w:t>　</w:t>
      </w:r>
      <w:r>
        <w:rPr>
          <w:rFonts w:hint="eastAsia" w:ascii="宋体" w:hAnsi="宋体" w:cs="宋体"/>
          <w:b/>
          <w:kern w:val="0"/>
          <w:sz w:val="24"/>
          <w:szCs w:val="20"/>
        </w:rPr>
        <w:t>　</w:t>
      </w:r>
    </w:p>
    <w:p>
      <w:pPr>
        <w:widowControl/>
        <w:spacing w:before="100" w:beforeAutospacing="1" w:after="100" w:afterAutospacing="1" w:line="360" w:lineRule="auto"/>
        <w:ind w:firstLine="480" w:firstLineChars="200"/>
        <w:jc w:val="left"/>
        <w:rPr>
          <w:rFonts w:ascii="宋体" w:hAnsi="宋体" w:cs="宋体"/>
          <w:kern w:val="0"/>
          <w:sz w:val="24"/>
          <w:u w:val="single"/>
        </w:rPr>
      </w:pPr>
      <w:r>
        <w:rPr>
          <w:rFonts w:hint="eastAsia" w:ascii="宋体" w:hAnsi="宋体" w:cs="宋体"/>
          <w:kern w:val="0"/>
          <w:sz w:val="24"/>
        </w:rPr>
        <w:t>投标人（盖公章）：</w:t>
      </w:r>
      <w:r>
        <w:rPr>
          <w:rFonts w:hint="eastAsia" w:ascii="宋体" w:hAnsi="宋体" w:cs="宋体"/>
          <w:kern w:val="0"/>
          <w:sz w:val="24"/>
          <w:u w:val="single"/>
        </w:rPr>
        <w:t xml:space="preserve">             </w:t>
      </w:r>
    </w:p>
    <w:p>
      <w:pPr>
        <w:widowControl/>
        <w:spacing w:before="100" w:beforeAutospacing="1" w:after="100" w:afterAutospacing="1" w:line="360" w:lineRule="auto"/>
        <w:ind w:firstLine="480" w:firstLineChars="200"/>
        <w:jc w:val="left"/>
        <w:rPr>
          <w:rFonts w:ascii="宋体" w:hAnsi="宋体" w:cs="宋体"/>
          <w:kern w:val="0"/>
          <w:sz w:val="24"/>
        </w:rPr>
      </w:pPr>
      <w:r>
        <w:rPr>
          <w:rFonts w:hint="eastAsia" w:ascii="宋体" w:hAnsi="宋体" w:cs="宋体"/>
          <w:kern w:val="0"/>
          <w:sz w:val="24"/>
        </w:rPr>
        <w:t xml:space="preserve">法定代表人或授权代表（签字）:  </w:t>
      </w:r>
      <w:r>
        <w:rPr>
          <w:rFonts w:hint="eastAsia" w:ascii="宋体" w:hAnsi="宋体" w:cs="宋体"/>
          <w:kern w:val="0"/>
          <w:sz w:val="24"/>
          <w:u w:val="single"/>
        </w:rPr>
        <w:t xml:space="preserve">           </w:t>
      </w:r>
      <w:r>
        <w:rPr>
          <w:rFonts w:hint="eastAsia" w:ascii="宋体" w:hAnsi="宋体" w:cs="宋体"/>
          <w:kern w:val="0"/>
          <w:sz w:val="24"/>
        </w:rPr>
        <w:t xml:space="preserve">           </w:t>
      </w:r>
    </w:p>
    <w:p>
      <w:pPr>
        <w:widowControl/>
        <w:spacing w:before="100" w:beforeAutospacing="1" w:after="100" w:afterAutospacing="1" w:line="360" w:lineRule="auto"/>
        <w:ind w:firstLine="480" w:firstLineChars="200"/>
        <w:jc w:val="left"/>
        <w:rPr>
          <w:rFonts w:ascii="宋体" w:hAnsi="宋体" w:cs="宋体"/>
          <w:kern w:val="0"/>
          <w:sz w:val="24"/>
          <w:u w:val="single"/>
        </w:rPr>
      </w:pPr>
      <w:r>
        <w:rPr>
          <w:rFonts w:hint="eastAsia" w:ascii="宋体" w:hAnsi="宋体" w:cs="宋体"/>
          <w:kern w:val="0"/>
          <w:sz w:val="24"/>
        </w:rPr>
        <w:t>日　期：</w:t>
      </w:r>
      <w:r>
        <w:rPr>
          <w:rFonts w:hint="eastAsia" w:ascii="宋体" w:hAnsi="宋体" w:cs="宋体"/>
          <w:kern w:val="0"/>
          <w:sz w:val="24"/>
          <w:u w:val="single"/>
        </w:rPr>
        <w:t xml:space="preserve">             </w:t>
      </w:r>
    </w:p>
    <w:p>
      <w:pPr>
        <w:widowControl/>
        <w:spacing w:before="100" w:beforeAutospacing="1" w:after="100" w:afterAutospacing="1" w:line="360" w:lineRule="auto"/>
        <w:jc w:val="left"/>
        <w:rPr>
          <w:rFonts w:ascii="宋体" w:hAnsi="宋体" w:cs="宋体"/>
          <w:kern w:val="0"/>
          <w:sz w:val="24"/>
          <w:u w:val="single"/>
        </w:rPr>
      </w:pPr>
    </w:p>
    <w:p>
      <w:pPr>
        <w:widowControl/>
        <w:spacing w:before="100" w:beforeAutospacing="1" w:after="100" w:afterAutospacing="1" w:line="360" w:lineRule="auto"/>
        <w:jc w:val="left"/>
        <w:rPr>
          <w:rFonts w:ascii="宋体" w:hAnsi="宋体" w:cs="宋体"/>
          <w:kern w:val="0"/>
          <w:sz w:val="24"/>
          <w:u w:val="single"/>
        </w:rPr>
      </w:pPr>
      <w:r>
        <w:rPr>
          <w:rFonts w:hint="eastAsia" w:ascii="宋体" w:hAnsi="宋体" w:cs="宋体"/>
          <w:kern w:val="0"/>
          <w:sz w:val="24"/>
          <w:u w:val="single"/>
        </w:rPr>
        <w:t>注：符合《关于政府采购支持监狱企业发展有关问题的通知》价格扣减条件的供应商须提交。</w:t>
      </w:r>
    </w:p>
    <w:p>
      <w:pPr>
        <w:spacing w:line="360" w:lineRule="auto"/>
        <w:rPr>
          <w:rFonts w:ascii="宋体" w:hAnsi="宋体" w:cs="宋体"/>
          <w:kern w:val="0"/>
          <w:sz w:val="24"/>
          <w:szCs w:val="20"/>
        </w:rPr>
      </w:pPr>
      <w:r>
        <w:rPr>
          <w:rFonts w:hint="eastAsia" w:ascii="宋体" w:hAnsi="宋体" w:cs="宋体"/>
          <w:sz w:val="24"/>
        </w:rPr>
        <w:br w:type="page"/>
      </w:r>
    </w:p>
    <w:p>
      <w:pPr>
        <w:pStyle w:val="12"/>
        <w:rPr>
          <w:rFonts w:cs="宋体"/>
        </w:rPr>
      </w:pPr>
    </w:p>
    <w:p>
      <w:pPr>
        <w:jc w:val="center"/>
        <w:rPr>
          <w:rFonts w:ascii="宋体" w:hAnsi="宋体" w:cs="宋体"/>
          <w:sz w:val="32"/>
          <w:szCs w:val="32"/>
        </w:rPr>
      </w:pPr>
      <w:r>
        <w:rPr>
          <w:rFonts w:hint="eastAsia" w:ascii="宋体" w:hAnsi="宋体" w:cs="宋体"/>
          <w:sz w:val="32"/>
          <w:szCs w:val="32"/>
        </w:rPr>
        <w:t>残疾人福利性单位声明函</w:t>
      </w:r>
    </w:p>
    <w:p>
      <w:pPr>
        <w:spacing w:line="360" w:lineRule="auto"/>
        <w:ind w:left="1079" w:leftChars="257" w:hanging="540"/>
        <w:jc w:val="center"/>
        <w:rPr>
          <w:rFonts w:ascii="宋体" w:hAnsi="宋体" w:cs="宋体"/>
          <w:kern w:val="0"/>
          <w:sz w:val="24"/>
          <w:szCs w:val="20"/>
        </w:rPr>
      </w:pPr>
    </w:p>
    <w:p>
      <w:pPr>
        <w:spacing w:line="360" w:lineRule="auto"/>
        <w:ind w:firstLine="567"/>
        <w:rPr>
          <w:rFonts w:ascii="宋体" w:hAnsi="宋体" w:cs="宋体"/>
          <w:kern w:val="0"/>
          <w:sz w:val="24"/>
          <w:szCs w:val="20"/>
        </w:rPr>
      </w:pPr>
      <w:r>
        <w:rPr>
          <w:rFonts w:hint="eastAsia" w:ascii="宋体" w:hAnsi="宋体" w:cs="宋体"/>
          <w:kern w:val="0"/>
          <w:sz w:val="24"/>
          <w:szCs w:val="20"/>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w:t>
      </w:r>
      <w:r>
        <w:rPr>
          <w:rFonts w:hint="eastAsia" w:ascii="宋体" w:hAnsi="宋体" w:cs="宋体"/>
          <w:kern w:val="0"/>
          <w:sz w:val="24"/>
        </w:rPr>
        <w:t>（由本单位承担提供服务）</w:t>
      </w:r>
      <w:r>
        <w:rPr>
          <w:rFonts w:hint="eastAsia" w:ascii="宋体" w:hAnsi="宋体" w:cs="宋体"/>
          <w:kern w:val="0"/>
          <w:sz w:val="24"/>
          <w:szCs w:val="20"/>
        </w:rPr>
        <w:t>，或者提供其他残疾人福利性单位制造的货物（不包括使用非残疾人福利性单位注册商标的货物）。</w:t>
      </w:r>
    </w:p>
    <w:p>
      <w:pPr>
        <w:spacing w:line="360" w:lineRule="auto"/>
        <w:ind w:left="1079" w:leftChars="257" w:hanging="540"/>
        <w:rPr>
          <w:rFonts w:ascii="宋体" w:hAnsi="宋体" w:cs="宋体"/>
          <w:kern w:val="0"/>
          <w:sz w:val="24"/>
          <w:szCs w:val="20"/>
        </w:rPr>
      </w:pPr>
      <w:r>
        <w:rPr>
          <w:rFonts w:hint="eastAsia" w:ascii="宋体" w:hAnsi="宋体" w:cs="宋体"/>
          <w:kern w:val="0"/>
          <w:sz w:val="24"/>
          <w:szCs w:val="20"/>
        </w:rPr>
        <w:t>本单位对上述声明的真实性负责。如有虚假，将依法承担相应责任。</w:t>
      </w:r>
    </w:p>
    <w:p>
      <w:pPr>
        <w:spacing w:line="360" w:lineRule="auto"/>
        <w:ind w:left="1079" w:leftChars="257" w:hanging="540"/>
        <w:jc w:val="center"/>
        <w:rPr>
          <w:rFonts w:ascii="宋体" w:hAnsi="宋体" w:cs="宋体"/>
          <w:kern w:val="0"/>
          <w:sz w:val="24"/>
          <w:szCs w:val="20"/>
        </w:rPr>
      </w:pPr>
    </w:p>
    <w:p>
      <w:pPr>
        <w:spacing w:line="360" w:lineRule="auto"/>
        <w:ind w:left="1079" w:leftChars="257" w:hanging="540"/>
        <w:jc w:val="center"/>
        <w:rPr>
          <w:rFonts w:ascii="宋体" w:hAnsi="宋体" w:cs="宋体"/>
          <w:kern w:val="0"/>
          <w:sz w:val="24"/>
          <w:szCs w:val="20"/>
        </w:rPr>
      </w:pPr>
    </w:p>
    <w:p>
      <w:pPr>
        <w:spacing w:line="360" w:lineRule="auto"/>
        <w:ind w:left="1079" w:leftChars="257" w:hanging="540"/>
        <w:rPr>
          <w:rFonts w:ascii="宋体" w:hAnsi="宋体" w:cs="宋体"/>
          <w:kern w:val="0"/>
          <w:sz w:val="24"/>
          <w:szCs w:val="20"/>
          <w:u w:val="single"/>
        </w:rPr>
      </w:pPr>
      <w:r>
        <w:rPr>
          <w:rFonts w:hint="eastAsia" w:ascii="宋体" w:hAnsi="宋体" w:cs="宋体"/>
          <w:kern w:val="0"/>
          <w:sz w:val="24"/>
          <w:szCs w:val="20"/>
        </w:rPr>
        <w:t>残疾人福利性单位（盖公章）：</w:t>
      </w:r>
      <w:r>
        <w:rPr>
          <w:rFonts w:hint="eastAsia" w:ascii="宋体" w:hAnsi="宋体" w:cs="宋体"/>
          <w:kern w:val="0"/>
          <w:sz w:val="24"/>
          <w:szCs w:val="20"/>
          <w:u w:val="single"/>
        </w:rPr>
        <w:t xml:space="preserve">                  </w:t>
      </w:r>
    </w:p>
    <w:p>
      <w:pPr>
        <w:spacing w:line="360" w:lineRule="auto"/>
        <w:ind w:left="1079" w:leftChars="257" w:hanging="540"/>
        <w:rPr>
          <w:rFonts w:ascii="宋体" w:hAnsi="宋体" w:cs="宋体"/>
          <w:kern w:val="0"/>
          <w:sz w:val="24"/>
          <w:szCs w:val="20"/>
        </w:rPr>
      </w:pPr>
      <w:r>
        <w:rPr>
          <w:rFonts w:hint="eastAsia" w:ascii="宋体" w:hAnsi="宋体" w:cs="宋体"/>
          <w:kern w:val="0"/>
          <w:sz w:val="24"/>
        </w:rPr>
        <w:t xml:space="preserve">法定代表人或授权代表（签字）:  </w:t>
      </w:r>
      <w:r>
        <w:rPr>
          <w:rFonts w:hint="eastAsia" w:ascii="宋体" w:hAnsi="宋体" w:cs="宋体"/>
          <w:kern w:val="0"/>
          <w:sz w:val="24"/>
          <w:szCs w:val="20"/>
          <w:u w:val="single"/>
        </w:rPr>
        <w:t xml:space="preserve">             </w:t>
      </w:r>
      <w:r>
        <w:rPr>
          <w:rFonts w:hint="eastAsia" w:ascii="宋体" w:hAnsi="宋体" w:cs="宋体"/>
          <w:kern w:val="0"/>
          <w:sz w:val="24"/>
        </w:rPr>
        <w:t xml:space="preserve">         </w:t>
      </w:r>
    </w:p>
    <w:p>
      <w:pPr>
        <w:spacing w:line="360" w:lineRule="auto"/>
        <w:ind w:firstLine="600" w:firstLineChars="250"/>
        <w:rPr>
          <w:rFonts w:ascii="宋体" w:hAnsi="宋体" w:cs="宋体"/>
          <w:kern w:val="0"/>
          <w:sz w:val="24"/>
          <w:szCs w:val="20"/>
          <w:u w:val="single"/>
        </w:rPr>
      </w:pPr>
      <w:r>
        <w:rPr>
          <w:rFonts w:hint="eastAsia" w:ascii="宋体" w:hAnsi="宋体" w:cs="宋体"/>
          <w:kern w:val="0"/>
          <w:sz w:val="24"/>
          <w:szCs w:val="20"/>
        </w:rPr>
        <w:t>日  期：</w:t>
      </w:r>
      <w:r>
        <w:rPr>
          <w:rFonts w:hint="eastAsia" w:ascii="宋体" w:hAnsi="宋体" w:cs="宋体"/>
          <w:kern w:val="0"/>
          <w:sz w:val="24"/>
          <w:szCs w:val="20"/>
          <w:u w:val="single"/>
        </w:rPr>
        <w:t xml:space="preserve">                             </w:t>
      </w:r>
    </w:p>
    <w:p>
      <w:pPr>
        <w:spacing w:line="360" w:lineRule="auto"/>
        <w:ind w:firstLine="600" w:firstLineChars="250"/>
        <w:rPr>
          <w:rFonts w:ascii="宋体" w:hAnsi="宋体" w:cs="宋体"/>
          <w:kern w:val="0"/>
          <w:sz w:val="24"/>
          <w:szCs w:val="20"/>
          <w:u w:val="single"/>
        </w:rPr>
      </w:pPr>
    </w:p>
    <w:p>
      <w:pPr>
        <w:spacing w:line="360" w:lineRule="auto"/>
        <w:ind w:firstLine="600" w:firstLineChars="250"/>
        <w:rPr>
          <w:rFonts w:ascii="宋体" w:hAnsi="宋体" w:cs="宋体"/>
          <w:kern w:val="0"/>
          <w:sz w:val="24"/>
          <w:szCs w:val="20"/>
          <w:u w:val="single"/>
        </w:rPr>
      </w:pPr>
    </w:p>
    <w:p>
      <w:pPr>
        <w:spacing w:line="360" w:lineRule="auto"/>
        <w:ind w:firstLine="600" w:firstLineChars="250"/>
        <w:rPr>
          <w:rFonts w:ascii="宋体" w:hAnsi="宋体" w:cs="宋体"/>
          <w:kern w:val="0"/>
          <w:sz w:val="24"/>
          <w:szCs w:val="20"/>
          <w:u w:val="single"/>
        </w:rPr>
      </w:pPr>
    </w:p>
    <w:p>
      <w:pPr>
        <w:spacing w:line="360" w:lineRule="auto"/>
        <w:ind w:firstLine="600" w:firstLineChars="250"/>
        <w:rPr>
          <w:rFonts w:ascii="宋体" w:hAnsi="宋体" w:cs="宋体"/>
          <w:kern w:val="0"/>
          <w:sz w:val="24"/>
          <w:szCs w:val="20"/>
          <w:u w:val="single"/>
        </w:rPr>
      </w:pPr>
    </w:p>
    <w:p>
      <w:pPr>
        <w:spacing w:line="360" w:lineRule="auto"/>
        <w:ind w:firstLine="600" w:firstLineChars="250"/>
        <w:rPr>
          <w:rFonts w:ascii="宋体" w:hAnsi="宋体" w:cs="宋体"/>
          <w:kern w:val="0"/>
          <w:sz w:val="24"/>
          <w:szCs w:val="20"/>
          <w:u w:val="single"/>
        </w:rPr>
      </w:pPr>
    </w:p>
    <w:p>
      <w:pPr>
        <w:spacing w:line="360" w:lineRule="auto"/>
        <w:ind w:firstLine="600" w:firstLineChars="250"/>
        <w:rPr>
          <w:rFonts w:ascii="宋体" w:hAnsi="宋体" w:cs="宋体"/>
          <w:kern w:val="0"/>
          <w:sz w:val="24"/>
          <w:szCs w:val="20"/>
          <w:u w:val="single"/>
        </w:rPr>
      </w:pPr>
    </w:p>
    <w:p>
      <w:pPr>
        <w:autoSpaceDE w:val="0"/>
        <w:autoSpaceDN w:val="0"/>
        <w:adjustRightInd w:val="0"/>
        <w:snapToGrid w:val="0"/>
        <w:spacing w:line="360" w:lineRule="auto"/>
        <w:rPr>
          <w:rFonts w:ascii="宋体" w:hAnsi="宋体" w:cs="宋体"/>
          <w:b/>
          <w:bCs/>
          <w:color w:val="FF0000"/>
          <w:sz w:val="30"/>
          <w:szCs w:val="30"/>
          <w:lang w:val="zh-CN"/>
        </w:rPr>
      </w:pPr>
      <w:r>
        <w:rPr>
          <w:rFonts w:hint="eastAsia" w:ascii="宋体" w:hAnsi="宋体" w:cs="宋体"/>
          <w:kern w:val="0"/>
          <w:sz w:val="24"/>
          <w:szCs w:val="20"/>
          <w:u w:val="single"/>
        </w:rPr>
        <w:t>注：符合《三部门联合发布关于促进残疾人就业政府采购政策的通知》价格扣减条件的供应商须提交。</w:t>
      </w:r>
      <w:r>
        <w:rPr>
          <w:rFonts w:hint="eastAsia" w:ascii="宋体" w:hAnsi="宋体" w:cs="宋体"/>
          <w:b/>
          <w:bCs/>
          <w:color w:val="FF0000"/>
          <w:sz w:val="30"/>
          <w:szCs w:val="30"/>
          <w:lang w:val="zh-CN"/>
        </w:rPr>
        <w:br w:type="page"/>
      </w:r>
    </w:p>
    <w:p>
      <w:pPr>
        <w:autoSpaceDE w:val="0"/>
        <w:autoSpaceDN w:val="0"/>
        <w:adjustRightInd w:val="0"/>
        <w:snapToGrid w:val="0"/>
        <w:spacing w:line="360" w:lineRule="auto"/>
        <w:jc w:val="right"/>
        <w:rPr>
          <w:rFonts w:ascii="宋体" w:hAnsi="宋体" w:cs="宋体"/>
          <w:b/>
          <w:bCs/>
          <w:sz w:val="30"/>
          <w:szCs w:val="30"/>
          <w:lang w:val="zh-CN"/>
        </w:rPr>
      </w:pPr>
      <w:r>
        <w:rPr>
          <w:rFonts w:hint="eastAsia" w:ascii="宋体" w:hAnsi="宋体" w:cs="宋体"/>
          <w:b/>
          <w:bCs/>
          <w:sz w:val="30"/>
          <w:szCs w:val="30"/>
          <w:lang w:val="zh-CN"/>
        </w:rPr>
        <w:t>正本/副本</w:t>
      </w:r>
    </w:p>
    <w:p>
      <w:pPr>
        <w:autoSpaceDE w:val="0"/>
        <w:autoSpaceDN w:val="0"/>
        <w:adjustRightInd w:val="0"/>
        <w:snapToGrid w:val="0"/>
        <w:spacing w:line="360" w:lineRule="auto"/>
        <w:jc w:val="right"/>
        <w:rPr>
          <w:rFonts w:ascii="宋体" w:hAnsi="宋体" w:cs="宋体"/>
          <w:b/>
          <w:bCs/>
          <w:sz w:val="30"/>
          <w:szCs w:val="30"/>
          <w:lang w:val="zh-CN"/>
        </w:rPr>
      </w:pPr>
    </w:p>
    <w:p>
      <w:pPr>
        <w:autoSpaceDE w:val="0"/>
        <w:autoSpaceDN w:val="0"/>
        <w:adjustRightInd w:val="0"/>
        <w:snapToGrid w:val="0"/>
        <w:spacing w:line="360" w:lineRule="auto"/>
        <w:rPr>
          <w:rFonts w:ascii="宋体" w:hAnsi="宋体" w:cs="宋体"/>
          <w:b/>
          <w:bCs/>
          <w:sz w:val="30"/>
          <w:szCs w:val="30"/>
          <w:lang w:val="zh-CN"/>
        </w:rPr>
      </w:pPr>
      <w:r>
        <w:rPr>
          <w:rFonts w:hint="eastAsia" w:ascii="宋体" w:hAnsi="宋体" w:cs="宋体"/>
          <w:b/>
          <w:bCs/>
          <w:sz w:val="30"/>
          <w:szCs w:val="30"/>
          <w:lang w:val="zh-CN"/>
        </w:rPr>
        <w:t>政府采购项目</w:t>
      </w:r>
    </w:p>
    <w:p>
      <w:pPr>
        <w:autoSpaceDE w:val="0"/>
        <w:autoSpaceDN w:val="0"/>
        <w:adjustRightInd w:val="0"/>
        <w:snapToGrid w:val="0"/>
        <w:spacing w:line="360" w:lineRule="auto"/>
        <w:rPr>
          <w:rFonts w:ascii="宋体" w:hAnsi="宋体" w:cs="宋体"/>
          <w:b/>
          <w:bCs/>
          <w:sz w:val="30"/>
          <w:szCs w:val="30"/>
          <w:lang w:val="zh-CN"/>
        </w:rPr>
      </w:pPr>
      <w:r>
        <w:rPr>
          <w:rFonts w:hint="eastAsia" w:ascii="宋体" w:hAnsi="宋体" w:cs="宋体"/>
          <w:b/>
          <w:bCs/>
          <w:sz w:val="30"/>
          <w:szCs w:val="30"/>
          <w:lang w:val="zh-CN"/>
        </w:rPr>
        <w:t>采购项目编号：</w:t>
      </w:r>
    </w:p>
    <w:p>
      <w:pPr>
        <w:spacing w:line="240" w:lineRule="atLeast"/>
        <w:ind w:left="1079" w:leftChars="257" w:hanging="540"/>
        <w:jc w:val="center"/>
        <w:rPr>
          <w:rFonts w:ascii="宋体" w:hAnsi="宋体" w:cs="宋体"/>
          <w:b/>
          <w:sz w:val="52"/>
          <w:szCs w:val="52"/>
        </w:rPr>
      </w:pPr>
    </w:p>
    <w:p>
      <w:pPr>
        <w:tabs>
          <w:tab w:val="left" w:pos="5670"/>
        </w:tabs>
        <w:autoSpaceDE w:val="0"/>
        <w:autoSpaceDN w:val="0"/>
        <w:adjustRightInd w:val="0"/>
        <w:snapToGrid w:val="0"/>
        <w:spacing w:line="360" w:lineRule="auto"/>
        <w:jc w:val="center"/>
        <w:rPr>
          <w:rFonts w:ascii="宋体" w:hAnsi="宋体" w:cs="宋体"/>
          <w:b/>
          <w:bCs/>
          <w:sz w:val="36"/>
          <w:szCs w:val="36"/>
          <w:lang w:val="zh-CN"/>
        </w:rPr>
      </w:pPr>
      <w:r>
        <w:rPr>
          <w:rFonts w:hint="eastAsia" w:ascii="宋体" w:hAnsi="宋体" w:cs="宋体"/>
          <w:b/>
          <w:bCs/>
          <w:sz w:val="36"/>
          <w:szCs w:val="36"/>
          <w:lang w:val="zh-CN"/>
        </w:rPr>
        <w:t>2023年莲湖疾控区域中心实验室仪器设备采购项目</w:t>
      </w:r>
    </w:p>
    <w:p>
      <w:pPr>
        <w:tabs>
          <w:tab w:val="left" w:pos="5670"/>
        </w:tabs>
        <w:autoSpaceDE w:val="0"/>
        <w:autoSpaceDN w:val="0"/>
        <w:adjustRightInd w:val="0"/>
        <w:snapToGrid w:val="0"/>
        <w:spacing w:line="360" w:lineRule="auto"/>
        <w:jc w:val="center"/>
        <w:rPr>
          <w:rFonts w:ascii="宋体" w:hAnsi="宋体" w:cs="宋体"/>
          <w:b/>
          <w:bCs/>
          <w:sz w:val="52"/>
          <w:szCs w:val="52"/>
          <w:lang w:val="zh-CN"/>
        </w:rPr>
      </w:pPr>
      <w:r>
        <w:rPr>
          <w:rFonts w:hint="eastAsia" w:ascii="宋体" w:hAnsi="宋体" w:cs="宋体"/>
          <w:b/>
          <w:bCs/>
          <w:sz w:val="52"/>
          <w:szCs w:val="52"/>
          <w:lang w:val="zh-CN"/>
        </w:rPr>
        <w:t>投 标 文 件</w:t>
      </w:r>
    </w:p>
    <w:p>
      <w:pPr>
        <w:spacing w:line="240" w:lineRule="atLeast"/>
        <w:jc w:val="center"/>
        <w:rPr>
          <w:rFonts w:ascii="宋体" w:hAnsi="宋体" w:cs="宋体"/>
          <w:b/>
          <w:sz w:val="32"/>
          <w:szCs w:val="32"/>
        </w:rPr>
      </w:pPr>
      <w:r>
        <w:rPr>
          <w:rFonts w:hint="eastAsia" w:ascii="宋体" w:hAnsi="宋体" w:cs="宋体"/>
          <w:b/>
          <w:bCs/>
          <w:sz w:val="32"/>
          <w:szCs w:val="32"/>
        </w:rPr>
        <w:t>（商务及技术文件）</w:t>
      </w:r>
    </w:p>
    <w:p>
      <w:pPr>
        <w:spacing w:line="240" w:lineRule="atLeast"/>
        <w:ind w:left="1079" w:leftChars="257" w:hanging="540"/>
        <w:jc w:val="center"/>
        <w:rPr>
          <w:rFonts w:ascii="宋体" w:hAnsi="宋体" w:cs="宋体"/>
          <w:b/>
          <w:sz w:val="32"/>
          <w:szCs w:val="32"/>
          <w:u w:val="single"/>
        </w:rPr>
      </w:pPr>
      <w:r>
        <w:rPr>
          <w:rFonts w:hint="eastAsia" w:ascii="宋体" w:hAnsi="宋体" w:cs="宋体"/>
          <w:b/>
          <w:sz w:val="32"/>
          <w:szCs w:val="32"/>
        </w:rPr>
        <w:t>第</w:t>
      </w:r>
      <w:r>
        <w:rPr>
          <w:rFonts w:hint="eastAsia" w:ascii="宋体" w:hAnsi="宋体" w:cs="宋体"/>
          <w:b/>
          <w:sz w:val="32"/>
          <w:szCs w:val="32"/>
          <w:u w:val="single"/>
        </w:rPr>
        <w:t xml:space="preserve">   </w:t>
      </w:r>
      <w:r>
        <w:rPr>
          <w:rFonts w:hint="eastAsia" w:ascii="宋体" w:hAnsi="宋体" w:cs="宋体"/>
          <w:b/>
          <w:sz w:val="32"/>
          <w:szCs w:val="32"/>
        </w:rPr>
        <w:t>包</w:t>
      </w:r>
    </w:p>
    <w:p>
      <w:pPr>
        <w:autoSpaceDE w:val="0"/>
        <w:autoSpaceDN w:val="0"/>
        <w:adjustRightInd w:val="0"/>
        <w:snapToGrid w:val="0"/>
        <w:spacing w:line="360" w:lineRule="auto"/>
        <w:jc w:val="center"/>
        <w:rPr>
          <w:rFonts w:ascii="宋体" w:hAnsi="宋体" w:cs="宋体"/>
          <w:b/>
          <w:bCs/>
          <w:sz w:val="32"/>
          <w:szCs w:val="32"/>
        </w:rPr>
      </w:pPr>
    </w:p>
    <w:p>
      <w:pPr>
        <w:rPr>
          <w:rFonts w:ascii="宋体" w:hAnsi="宋体" w:cs="宋体"/>
        </w:rPr>
      </w:pPr>
    </w:p>
    <w:p>
      <w:pPr>
        <w:rPr>
          <w:rFonts w:ascii="宋体" w:hAnsi="宋体" w:cs="宋体"/>
        </w:rPr>
      </w:pPr>
    </w:p>
    <w:p>
      <w:pPr>
        <w:rPr>
          <w:rFonts w:ascii="宋体" w:hAnsi="宋体" w:cs="宋体"/>
        </w:rPr>
      </w:pPr>
    </w:p>
    <w:p>
      <w:pPr>
        <w:pStyle w:val="8"/>
        <w:rPr>
          <w:rFonts w:hAnsi="宋体" w:cs="宋体"/>
        </w:rPr>
      </w:pPr>
    </w:p>
    <w:p>
      <w:pPr>
        <w:pStyle w:val="9"/>
        <w:rPr>
          <w:rFonts w:ascii="宋体" w:hAnsi="宋体" w:cs="宋体"/>
        </w:rPr>
      </w:pPr>
    </w:p>
    <w:p>
      <w:pPr>
        <w:autoSpaceDE w:val="0"/>
        <w:autoSpaceDN w:val="0"/>
        <w:adjustRightInd w:val="0"/>
        <w:snapToGrid w:val="0"/>
        <w:spacing w:line="360" w:lineRule="auto"/>
        <w:rPr>
          <w:rFonts w:ascii="宋体" w:hAnsi="宋体" w:cs="宋体"/>
          <w:sz w:val="30"/>
          <w:szCs w:val="30"/>
        </w:rPr>
      </w:pPr>
    </w:p>
    <w:p>
      <w:pPr>
        <w:autoSpaceDE w:val="0"/>
        <w:autoSpaceDN w:val="0"/>
        <w:adjustRightInd w:val="0"/>
        <w:snapToGrid w:val="0"/>
        <w:spacing w:line="360" w:lineRule="auto"/>
        <w:rPr>
          <w:rFonts w:ascii="宋体" w:hAnsi="宋体" w:cs="宋体"/>
          <w:b/>
          <w:bCs/>
          <w:sz w:val="32"/>
          <w:szCs w:val="32"/>
          <w:u w:val="single"/>
        </w:rPr>
      </w:pPr>
      <w:r>
        <w:rPr>
          <w:rFonts w:hint="eastAsia" w:ascii="宋体" w:hAnsi="宋体" w:cs="宋体"/>
          <w:sz w:val="30"/>
          <w:szCs w:val="30"/>
        </w:rPr>
        <w:t xml:space="preserve">                 </w:t>
      </w:r>
      <w:r>
        <w:rPr>
          <w:rFonts w:hint="eastAsia" w:ascii="宋体" w:hAnsi="宋体" w:cs="宋体"/>
          <w:b/>
          <w:bCs/>
          <w:sz w:val="32"/>
          <w:szCs w:val="32"/>
          <w:lang w:val="zh-CN"/>
        </w:rPr>
        <w:t>投</w:t>
      </w:r>
      <w:r>
        <w:rPr>
          <w:rFonts w:hint="eastAsia" w:ascii="宋体" w:hAnsi="宋体" w:cs="宋体"/>
          <w:b/>
          <w:bCs/>
          <w:sz w:val="32"/>
          <w:szCs w:val="32"/>
        </w:rPr>
        <w:t xml:space="preserve"> </w:t>
      </w:r>
      <w:r>
        <w:rPr>
          <w:rFonts w:hint="eastAsia" w:ascii="宋体" w:hAnsi="宋体" w:cs="宋体"/>
          <w:b/>
          <w:bCs/>
          <w:sz w:val="32"/>
          <w:szCs w:val="32"/>
          <w:lang w:val="zh-CN"/>
        </w:rPr>
        <w:t>标</w:t>
      </w:r>
      <w:r>
        <w:rPr>
          <w:rFonts w:hint="eastAsia" w:ascii="宋体" w:hAnsi="宋体" w:cs="宋体"/>
          <w:b/>
          <w:bCs/>
          <w:sz w:val="32"/>
          <w:szCs w:val="32"/>
        </w:rPr>
        <w:t xml:space="preserve"> </w:t>
      </w:r>
      <w:r>
        <w:rPr>
          <w:rFonts w:hint="eastAsia" w:ascii="宋体" w:hAnsi="宋体" w:cs="宋体"/>
          <w:b/>
          <w:bCs/>
          <w:sz w:val="32"/>
          <w:szCs w:val="32"/>
          <w:lang w:val="zh-CN"/>
        </w:rPr>
        <w:t>人：</w:t>
      </w:r>
      <w:r>
        <w:rPr>
          <w:rFonts w:hint="eastAsia" w:ascii="宋体" w:hAnsi="宋体" w:cs="宋体"/>
          <w:b/>
          <w:bCs/>
          <w:sz w:val="32"/>
          <w:szCs w:val="32"/>
          <w:u w:val="single"/>
        </w:rPr>
        <w:t xml:space="preserve">                   </w:t>
      </w:r>
    </w:p>
    <w:p>
      <w:pPr>
        <w:autoSpaceDE w:val="0"/>
        <w:autoSpaceDN w:val="0"/>
        <w:adjustRightInd w:val="0"/>
        <w:snapToGrid w:val="0"/>
        <w:spacing w:line="360" w:lineRule="auto"/>
        <w:ind w:firstLine="2560" w:firstLineChars="800"/>
        <w:rPr>
          <w:rFonts w:ascii="宋体" w:hAnsi="宋体" w:cs="宋体"/>
          <w:b/>
          <w:bCs/>
          <w:sz w:val="32"/>
          <w:szCs w:val="32"/>
        </w:rPr>
      </w:pPr>
      <w:r>
        <w:rPr>
          <w:rFonts w:hint="eastAsia" w:ascii="宋体" w:hAnsi="宋体" w:cs="宋体"/>
          <w:b/>
          <w:bCs/>
          <w:sz w:val="32"/>
          <w:szCs w:val="32"/>
          <w:lang w:val="zh-CN"/>
        </w:rPr>
        <w:t>时</w:t>
      </w:r>
      <w:r>
        <w:rPr>
          <w:rFonts w:hint="eastAsia" w:ascii="宋体" w:hAnsi="宋体" w:cs="宋体"/>
          <w:b/>
          <w:bCs/>
          <w:sz w:val="32"/>
          <w:szCs w:val="32"/>
        </w:rPr>
        <w:t xml:space="preserve">    </w:t>
      </w:r>
      <w:r>
        <w:rPr>
          <w:rFonts w:hint="eastAsia" w:ascii="宋体" w:hAnsi="宋体" w:cs="宋体"/>
          <w:b/>
          <w:bCs/>
          <w:sz w:val="32"/>
          <w:szCs w:val="32"/>
          <w:lang w:val="zh-CN"/>
        </w:rPr>
        <w:t>间：</w:t>
      </w:r>
      <w:r>
        <w:rPr>
          <w:rFonts w:hint="eastAsia" w:ascii="宋体" w:hAnsi="宋体" w:cs="宋体"/>
          <w:b/>
          <w:bCs/>
          <w:sz w:val="32"/>
          <w:szCs w:val="32"/>
          <w:u w:val="single"/>
        </w:rPr>
        <w:t xml:space="preserve">                   </w:t>
      </w:r>
    </w:p>
    <w:p>
      <w:pPr>
        <w:spacing w:line="360" w:lineRule="auto"/>
        <w:ind w:left="735" w:leftChars="350" w:firstLine="120" w:firstLineChars="50"/>
        <w:rPr>
          <w:rFonts w:ascii="宋体" w:hAnsi="宋体" w:cs="宋体"/>
          <w:color w:val="00B0F0"/>
          <w:sz w:val="24"/>
        </w:rPr>
      </w:pPr>
    </w:p>
    <w:p>
      <w:pPr>
        <w:jc w:val="center"/>
        <w:rPr>
          <w:rFonts w:ascii="宋体" w:hAnsi="宋体" w:cs="宋体"/>
          <w:b/>
          <w:sz w:val="44"/>
        </w:rPr>
      </w:pPr>
      <w:r>
        <w:rPr>
          <w:rFonts w:hint="eastAsia" w:ascii="宋体" w:hAnsi="宋体" w:cs="宋体"/>
          <w:color w:val="00B0F0"/>
          <w:sz w:val="24"/>
        </w:rPr>
        <w:br w:type="page"/>
      </w:r>
      <w:r>
        <w:rPr>
          <w:rFonts w:hint="eastAsia" w:ascii="宋体" w:hAnsi="宋体" w:cs="宋体"/>
          <w:b/>
          <w:sz w:val="44"/>
        </w:rPr>
        <w:t>目  录</w:t>
      </w:r>
    </w:p>
    <w:p>
      <w:pPr>
        <w:jc w:val="center"/>
        <w:rPr>
          <w:rFonts w:ascii="宋体" w:hAnsi="宋体" w:cs="宋体"/>
          <w:b/>
          <w:sz w:val="44"/>
        </w:rPr>
      </w:pPr>
    </w:p>
    <w:p>
      <w:pPr>
        <w:jc w:val="center"/>
        <w:rPr>
          <w:rFonts w:ascii="宋体" w:hAnsi="宋体" w:cs="宋体"/>
          <w:color w:val="00B0F0"/>
          <w:sz w:val="24"/>
        </w:rPr>
        <w:sectPr>
          <w:pgSz w:w="11906" w:h="16838"/>
          <w:pgMar w:top="1418" w:right="1418" w:bottom="1418" w:left="1418" w:header="1020" w:footer="992" w:gutter="0"/>
          <w:cols w:space="720" w:num="1"/>
          <w:docGrid w:type="linesAndChars" w:linePitch="312" w:charSpace="0"/>
        </w:sectPr>
      </w:pPr>
      <w:r>
        <w:rPr>
          <w:rFonts w:hint="eastAsia" w:ascii="宋体" w:hAnsi="宋体" w:cs="宋体"/>
          <w:sz w:val="32"/>
          <w:szCs w:val="32"/>
        </w:rPr>
        <w:t>（格式自拟）</w:t>
      </w:r>
    </w:p>
    <w:p>
      <w:pPr>
        <w:pStyle w:val="16"/>
        <w:tabs>
          <w:tab w:val="left" w:pos="5580"/>
        </w:tabs>
        <w:snapToGrid w:val="0"/>
        <w:spacing w:line="360" w:lineRule="auto"/>
        <w:rPr>
          <w:rFonts w:hAnsi="宋体" w:cs="宋体"/>
          <w:sz w:val="24"/>
        </w:rPr>
      </w:pPr>
    </w:p>
    <w:p>
      <w:pPr>
        <w:pStyle w:val="4"/>
        <w:snapToGrid w:val="0"/>
        <w:spacing w:before="0" w:line="360" w:lineRule="auto"/>
        <w:rPr>
          <w:rFonts w:ascii="宋体" w:hAnsi="宋体" w:eastAsia="宋体" w:cs="宋体"/>
          <w:sz w:val="24"/>
        </w:rPr>
      </w:pPr>
      <w:bookmarkStart w:id="323" w:name="_Toc45196832"/>
      <w:r>
        <w:rPr>
          <w:rFonts w:hint="eastAsia" w:ascii="宋体" w:hAnsi="宋体" w:eastAsia="宋体" w:cs="宋体"/>
          <w:sz w:val="24"/>
        </w:rPr>
        <w:t>一、投标函</w:t>
      </w:r>
      <w:bookmarkEnd w:id="323"/>
    </w:p>
    <w:p>
      <w:pPr>
        <w:tabs>
          <w:tab w:val="left" w:pos="5580"/>
        </w:tabs>
        <w:snapToGrid w:val="0"/>
        <w:spacing w:line="360" w:lineRule="auto"/>
        <w:ind w:left="1080" w:hanging="1080"/>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（采购人、采购代理机构名称）   </w:t>
      </w:r>
    </w:p>
    <w:p>
      <w:pPr>
        <w:pStyle w:val="16"/>
        <w:tabs>
          <w:tab w:val="left" w:pos="5580"/>
        </w:tabs>
        <w:snapToGrid w:val="0"/>
        <w:spacing w:line="360" w:lineRule="auto"/>
        <w:ind w:left="2" w:leftChars="1" w:firstLine="480" w:firstLineChars="200"/>
        <w:rPr>
          <w:rFonts w:hAnsi="宋体" w:cs="宋体"/>
          <w:sz w:val="24"/>
        </w:rPr>
      </w:pPr>
      <w:r>
        <w:rPr>
          <w:rFonts w:hint="eastAsia" w:hAnsi="宋体" w:cs="宋体"/>
          <w:sz w:val="24"/>
        </w:rPr>
        <w:t>根据贵方(</w:t>
      </w:r>
      <w:r>
        <w:rPr>
          <w:rFonts w:hint="eastAsia" w:hAnsi="宋体" w:cs="宋体"/>
          <w:sz w:val="24"/>
          <w:u w:val="single"/>
        </w:rPr>
        <w:t>项目名称、采购项目编号、包号</w:t>
      </w:r>
      <w:r>
        <w:rPr>
          <w:rFonts w:hint="eastAsia" w:hAnsi="宋体" w:cs="宋体"/>
          <w:sz w:val="24"/>
        </w:rPr>
        <w:t>)项目的招标文件，签字代表(</w:t>
      </w:r>
      <w:r>
        <w:rPr>
          <w:rFonts w:hint="eastAsia" w:hAnsi="宋体" w:cs="宋体"/>
          <w:sz w:val="24"/>
          <w:u w:val="single"/>
        </w:rPr>
        <w:t>姓名、职务</w:t>
      </w:r>
      <w:r>
        <w:rPr>
          <w:rFonts w:hint="eastAsia" w:hAnsi="宋体" w:cs="宋体"/>
          <w:sz w:val="24"/>
        </w:rPr>
        <w:t>)经正式授权并代表投标人（</w:t>
      </w:r>
      <w:r>
        <w:rPr>
          <w:rFonts w:hint="eastAsia" w:hAnsi="宋体" w:cs="宋体"/>
          <w:sz w:val="24"/>
          <w:u w:val="single"/>
        </w:rPr>
        <w:t>单位名称</w:t>
      </w:r>
      <w:r>
        <w:rPr>
          <w:rFonts w:hint="eastAsia" w:hAnsi="宋体" w:cs="宋体"/>
          <w:sz w:val="24"/>
        </w:rPr>
        <w:t>）提交下述文件正本</w:t>
      </w:r>
      <w:r>
        <w:rPr>
          <w:rFonts w:hint="eastAsia" w:hAnsi="宋体" w:cs="宋体"/>
          <w:sz w:val="24"/>
          <w:u w:val="single"/>
        </w:rPr>
        <w:t xml:space="preserve">      </w:t>
      </w:r>
      <w:r>
        <w:rPr>
          <w:rFonts w:hint="eastAsia" w:hAnsi="宋体" w:cs="宋体"/>
          <w:sz w:val="24"/>
        </w:rPr>
        <w:t>份、副本</w:t>
      </w:r>
      <w:r>
        <w:rPr>
          <w:rFonts w:hint="eastAsia" w:hAnsi="宋体" w:cs="宋体"/>
          <w:sz w:val="24"/>
          <w:u w:val="single"/>
        </w:rPr>
        <w:t xml:space="preserve">     </w:t>
      </w:r>
      <w:r>
        <w:rPr>
          <w:rFonts w:hint="eastAsia" w:hAnsi="宋体" w:cs="宋体"/>
          <w:sz w:val="24"/>
        </w:rPr>
        <w:t>份及电子文档</w:t>
      </w:r>
      <w:r>
        <w:rPr>
          <w:rFonts w:hint="eastAsia" w:hAnsi="宋体" w:cs="宋体"/>
          <w:sz w:val="24"/>
          <w:u w:val="single"/>
        </w:rPr>
        <w:t xml:space="preserve">    </w:t>
      </w:r>
      <w:r>
        <w:rPr>
          <w:rFonts w:hint="eastAsia" w:hAnsi="宋体" w:cs="宋体"/>
          <w:sz w:val="24"/>
        </w:rPr>
        <w:t>份。</w:t>
      </w:r>
      <w:r>
        <w:rPr>
          <w:rFonts w:hint="eastAsia" w:hAnsi="宋体" w:cs="宋体"/>
          <w:sz w:val="24"/>
          <w:szCs w:val="24"/>
          <w:lang w:val="zh-CN"/>
        </w:rPr>
        <w:t>为此，我方郑重声明以下诸点，并负法律责任。</w:t>
      </w:r>
    </w:p>
    <w:p>
      <w:pPr>
        <w:pStyle w:val="16"/>
        <w:tabs>
          <w:tab w:val="left" w:pos="720"/>
          <w:tab w:val="left" w:pos="900"/>
        </w:tabs>
        <w:snapToGrid w:val="0"/>
        <w:spacing w:line="360" w:lineRule="auto"/>
        <w:ind w:left="768" w:leftChars="257" w:hanging="229"/>
        <w:rPr>
          <w:rFonts w:hAnsi="宋体" w:cs="宋体"/>
          <w:sz w:val="24"/>
        </w:rPr>
      </w:pPr>
      <w:r>
        <w:rPr>
          <w:rFonts w:hint="eastAsia" w:hAnsi="宋体" w:cs="宋体"/>
          <w:sz w:val="24"/>
        </w:rPr>
        <w:t>（1）按照招标文件的规定，我公司投标总价</w:t>
      </w:r>
      <w:r>
        <w:rPr>
          <w:rFonts w:hint="eastAsia" w:hAnsi="宋体" w:cs="宋体"/>
          <w:sz w:val="24"/>
          <w:u w:val="none"/>
        </w:rPr>
        <w:t>详见开标一览表</w:t>
      </w:r>
      <w:r>
        <w:rPr>
          <w:rFonts w:hint="eastAsia" w:hAnsi="宋体" w:cs="宋体"/>
          <w:sz w:val="24"/>
        </w:rPr>
        <w:t>。</w:t>
      </w:r>
    </w:p>
    <w:p>
      <w:pPr>
        <w:pStyle w:val="16"/>
        <w:tabs>
          <w:tab w:val="left" w:pos="5580"/>
        </w:tabs>
        <w:snapToGrid w:val="0"/>
        <w:spacing w:line="360" w:lineRule="auto"/>
        <w:ind w:left="1079" w:leftChars="257" w:hanging="540"/>
        <w:rPr>
          <w:rFonts w:hAnsi="宋体" w:cs="宋体"/>
          <w:sz w:val="24"/>
        </w:rPr>
      </w:pPr>
      <w:r>
        <w:rPr>
          <w:rFonts w:hint="eastAsia" w:hAnsi="宋体" w:cs="宋体"/>
          <w:sz w:val="24"/>
        </w:rPr>
        <w:t>（2）本投标有效期为自</w:t>
      </w:r>
      <w:r>
        <w:rPr>
          <w:rFonts w:hint="eastAsia" w:hAnsi="宋体" w:cs="宋体"/>
          <w:sz w:val="24"/>
          <w:szCs w:val="24"/>
        </w:rPr>
        <w:t>投标截止之日起</w:t>
      </w:r>
      <w:r>
        <w:rPr>
          <w:rFonts w:hint="eastAsia" w:hAnsi="宋体" w:cs="宋体"/>
          <w:sz w:val="24"/>
          <w:szCs w:val="24"/>
          <w:u w:val="single"/>
        </w:rPr>
        <w:t xml:space="preserve"> 90 </w:t>
      </w:r>
      <w:r>
        <w:rPr>
          <w:rFonts w:hint="eastAsia" w:hAnsi="宋体" w:cs="宋体"/>
          <w:sz w:val="24"/>
          <w:szCs w:val="24"/>
        </w:rPr>
        <w:t>个日历日</w:t>
      </w:r>
      <w:r>
        <w:rPr>
          <w:rFonts w:hint="eastAsia" w:hAnsi="宋体" w:cs="宋体"/>
          <w:sz w:val="24"/>
          <w:szCs w:val="24"/>
          <w:lang w:val="zh-CN"/>
        </w:rPr>
        <w:t>，若我方中标，投标文件有效期自动延长至合同执行完毕。</w:t>
      </w:r>
    </w:p>
    <w:p>
      <w:pPr>
        <w:pStyle w:val="16"/>
        <w:tabs>
          <w:tab w:val="left" w:pos="5580"/>
        </w:tabs>
        <w:snapToGrid w:val="0"/>
        <w:spacing w:line="360" w:lineRule="auto"/>
        <w:ind w:left="1079" w:leftChars="257" w:hanging="540"/>
        <w:rPr>
          <w:rFonts w:hAnsi="宋体" w:cs="宋体"/>
          <w:sz w:val="24"/>
        </w:rPr>
      </w:pPr>
      <w:r>
        <w:rPr>
          <w:rFonts w:hint="eastAsia" w:hAnsi="宋体" w:cs="宋体"/>
          <w:sz w:val="24"/>
        </w:rPr>
        <w:t>（3）已详细审查全部招标文件，包括所有补充通知（如果有的话），完全理解并同意放弃对这方面有不明、误解的权利。</w:t>
      </w:r>
    </w:p>
    <w:p>
      <w:pPr>
        <w:pStyle w:val="16"/>
        <w:tabs>
          <w:tab w:val="left" w:pos="5580"/>
        </w:tabs>
        <w:snapToGrid w:val="0"/>
        <w:spacing w:line="360" w:lineRule="auto"/>
        <w:ind w:left="1079" w:leftChars="257" w:hanging="540"/>
        <w:rPr>
          <w:rFonts w:hAnsi="宋体" w:cs="宋体"/>
          <w:sz w:val="24"/>
        </w:rPr>
      </w:pPr>
      <w:r>
        <w:rPr>
          <w:rFonts w:hint="eastAsia" w:hAnsi="宋体" w:cs="宋体"/>
          <w:sz w:val="24"/>
        </w:rPr>
        <w:t>（4）我方</w:t>
      </w:r>
      <w:r>
        <w:rPr>
          <w:rFonts w:hint="eastAsia" w:hAnsi="宋体" w:cs="宋体"/>
          <w:sz w:val="24"/>
          <w:u w:val="single"/>
        </w:rPr>
        <w:t xml:space="preserve">   （</w:t>
      </w:r>
      <w:r>
        <w:rPr>
          <w:rFonts w:hint="eastAsia" w:hAnsi="宋体" w:cs="宋体"/>
          <w:sz w:val="24"/>
        </w:rPr>
        <w:t>是、不是）为本项目提供整体设计、规范编制或者项目管理、监理、检测等服务的供应商。</w:t>
      </w:r>
    </w:p>
    <w:p>
      <w:pPr>
        <w:pStyle w:val="16"/>
        <w:tabs>
          <w:tab w:val="left" w:pos="5580"/>
        </w:tabs>
        <w:snapToGrid w:val="0"/>
        <w:spacing w:line="360" w:lineRule="auto"/>
        <w:ind w:left="1079" w:leftChars="257" w:hanging="540"/>
        <w:rPr>
          <w:rFonts w:hAnsi="宋体" w:cs="宋体"/>
          <w:sz w:val="24"/>
        </w:rPr>
      </w:pPr>
      <w:r>
        <w:rPr>
          <w:rFonts w:hint="eastAsia" w:hAnsi="宋体" w:cs="宋体"/>
          <w:sz w:val="24"/>
        </w:rPr>
        <w:t>（5）按照招标文件的规定，在中标后向贵方一次性支付招标代理费。</w:t>
      </w:r>
    </w:p>
    <w:p>
      <w:pPr>
        <w:pStyle w:val="16"/>
        <w:tabs>
          <w:tab w:val="left" w:pos="5580"/>
        </w:tabs>
        <w:snapToGrid w:val="0"/>
        <w:spacing w:line="360" w:lineRule="auto"/>
        <w:ind w:left="1079" w:leftChars="257" w:hanging="540"/>
        <w:rPr>
          <w:rFonts w:hAnsi="宋体" w:cs="宋体"/>
          <w:sz w:val="24"/>
        </w:rPr>
      </w:pPr>
      <w:r>
        <w:rPr>
          <w:rFonts w:hint="eastAsia" w:hAnsi="宋体" w:cs="宋体"/>
          <w:sz w:val="24"/>
        </w:rPr>
        <w:t>（6）按照贵方可能的要求，提供与投标有关的一切数据或资料，我们完全理解最低投标报价不作为中标的唯一条件，且尊重评标结论和定标结果。</w:t>
      </w:r>
    </w:p>
    <w:p>
      <w:pPr>
        <w:pStyle w:val="16"/>
        <w:tabs>
          <w:tab w:val="left" w:pos="5580"/>
        </w:tabs>
        <w:snapToGrid w:val="0"/>
        <w:spacing w:line="360" w:lineRule="auto"/>
        <w:ind w:left="1079" w:leftChars="257" w:hanging="540"/>
        <w:rPr>
          <w:rFonts w:hAnsi="宋体" w:cs="宋体"/>
          <w:sz w:val="24"/>
        </w:rPr>
      </w:pPr>
      <w:r>
        <w:rPr>
          <w:rFonts w:hint="eastAsia" w:hAnsi="宋体" w:cs="宋体"/>
          <w:sz w:val="24"/>
        </w:rPr>
        <w:t>（7）完全理解并无条件承担中标后不依法与采购人签订合同的法律后果。</w:t>
      </w:r>
    </w:p>
    <w:p>
      <w:pPr>
        <w:pStyle w:val="16"/>
        <w:tabs>
          <w:tab w:val="left" w:pos="5580"/>
        </w:tabs>
        <w:snapToGrid w:val="0"/>
        <w:spacing w:line="360" w:lineRule="auto"/>
        <w:ind w:left="358" w:leftChars="68" w:hanging="216" w:hangingChars="90"/>
        <w:rPr>
          <w:rFonts w:hAnsi="宋体" w:cs="宋体"/>
          <w:sz w:val="24"/>
        </w:rPr>
      </w:pPr>
      <w:r>
        <w:rPr>
          <w:rFonts w:hint="eastAsia" w:hAnsi="宋体" w:cs="宋体"/>
          <w:sz w:val="24"/>
        </w:rPr>
        <w:t xml:space="preserve">  与本投标有关的一切函电：</w:t>
      </w:r>
    </w:p>
    <w:p>
      <w:pPr>
        <w:autoSpaceDE w:val="0"/>
        <w:autoSpaceDN w:val="0"/>
        <w:adjustRightInd w:val="0"/>
        <w:snapToGrid w:val="0"/>
        <w:spacing w:line="360" w:lineRule="auto"/>
        <w:rPr>
          <w:rFonts w:ascii="宋体" w:hAnsi="宋体" w:cs="宋体"/>
          <w:sz w:val="24"/>
          <w:u w:val="single"/>
        </w:rPr>
      </w:pPr>
      <w:r>
        <w:rPr>
          <w:rFonts w:hint="eastAsia" w:ascii="宋体" w:hAnsi="宋体" w:cs="宋体"/>
          <w:sz w:val="24"/>
        </w:rPr>
        <w:t xml:space="preserve">      </w:t>
      </w:r>
      <w:r>
        <w:rPr>
          <w:rFonts w:hint="eastAsia" w:ascii="宋体" w:hAnsi="宋体" w:cs="宋体"/>
          <w:sz w:val="24"/>
          <w:lang w:val="zh-CN"/>
        </w:rPr>
        <w:t>投标人全称（公章）：</w:t>
      </w:r>
      <w:r>
        <w:rPr>
          <w:rFonts w:hint="eastAsia" w:ascii="宋体" w:hAnsi="宋体" w:cs="宋体"/>
          <w:sz w:val="24"/>
          <w:u w:val="single"/>
        </w:rPr>
        <w:t xml:space="preserve">                            </w:t>
      </w:r>
    </w:p>
    <w:p>
      <w:pPr>
        <w:autoSpaceDE w:val="0"/>
        <w:autoSpaceDN w:val="0"/>
        <w:adjustRightInd w:val="0"/>
        <w:snapToGrid w:val="0"/>
        <w:spacing w:line="360" w:lineRule="auto"/>
        <w:ind w:firstLine="720" w:firstLineChars="300"/>
        <w:rPr>
          <w:rFonts w:ascii="宋体" w:hAnsi="宋体" w:cs="宋体"/>
          <w:sz w:val="24"/>
        </w:rPr>
      </w:pPr>
      <w:r>
        <w:rPr>
          <w:rFonts w:hint="eastAsia" w:ascii="宋体" w:hAnsi="宋体" w:cs="宋体"/>
          <w:sz w:val="24"/>
          <w:lang w:val="zh-CN"/>
        </w:rPr>
        <w:t>地址：</w:t>
      </w:r>
      <w:r>
        <w:rPr>
          <w:rFonts w:hint="eastAsia" w:ascii="宋体" w:hAnsi="宋体" w:cs="宋体"/>
          <w:sz w:val="24"/>
          <w:u w:val="single"/>
        </w:rPr>
        <w:t xml:space="preserve">                                          </w:t>
      </w:r>
    </w:p>
    <w:p>
      <w:pPr>
        <w:autoSpaceDE w:val="0"/>
        <w:autoSpaceDN w:val="0"/>
        <w:adjustRightInd w:val="0"/>
        <w:snapToGrid w:val="0"/>
        <w:spacing w:line="360" w:lineRule="auto"/>
        <w:ind w:firstLine="720" w:firstLineChars="300"/>
        <w:rPr>
          <w:rFonts w:ascii="宋体" w:hAnsi="宋体" w:cs="宋体"/>
          <w:sz w:val="24"/>
        </w:rPr>
      </w:pPr>
      <w:r>
        <w:rPr>
          <w:rFonts w:hint="eastAsia" w:ascii="宋体" w:hAnsi="宋体" w:cs="宋体"/>
          <w:sz w:val="24"/>
          <w:lang w:val="zh-CN"/>
        </w:rPr>
        <w:t>开户银行：</w:t>
      </w:r>
      <w:r>
        <w:rPr>
          <w:rFonts w:hint="eastAsia" w:ascii="宋体" w:hAnsi="宋体" w:cs="宋体"/>
          <w:sz w:val="24"/>
          <w:u w:val="single"/>
        </w:rPr>
        <w:t xml:space="preserve">                                      </w:t>
      </w:r>
    </w:p>
    <w:p>
      <w:pPr>
        <w:autoSpaceDE w:val="0"/>
        <w:autoSpaceDN w:val="0"/>
        <w:adjustRightInd w:val="0"/>
        <w:snapToGrid w:val="0"/>
        <w:spacing w:line="360" w:lineRule="auto"/>
        <w:ind w:firstLine="720" w:firstLineChars="300"/>
        <w:rPr>
          <w:rFonts w:ascii="宋体" w:hAnsi="宋体" w:cs="宋体"/>
          <w:sz w:val="24"/>
        </w:rPr>
      </w:pPr>
      <w:r>
        <w:rPr>
          <w:rFonts w:hint="eastAsia" w:ascii="宋体" w:hAnsi="宋体" w:cs="宋体"/>
          <w:sz w:val="24"/>
          <w:lang w:val="zh-CN"/>
        </w:rPr>
        <w:t>帐号：</w:t>
      </w:r>
      <w:r>
        <w:rPr>
          <w:rFonts w:hint="eastAsia" w:ascii="宋体" w:hAnsi="宋体" w:cs="宋体"/>
          <w:sz w:val="24"/>
          <w:u w:val="single"/>
        </w:rPr>
        <w:t xml:space="preserve">                                          </w:t>
      </w:r>
    </w:p>
    <w:p>
      <w:pPr>
        <w:autoSpaceDE w:val="0"/>
        <w:autoSpaceDN w:val="0"/>
        <w:adjustRightInd w:val="0"/>
        <w:snapToGrid w:val="0"/>
        <w:spacing w:line="360" w:lineRule="auto"/>
        <w:ind w:firstLine="600" w:firstLineChars="250"/>
        <w:rPr>
          <w:rFonts w:ascii="宋体" w:hAnsi="宋体" w:cs="宋体"/>
          <w:sz w:val="24"/>
        </w:rPr>
      </w:pPr>
      <w:r>
        <w:rPr>
          <w:rFonts w:hint="eastAsia" w:ascii="宋体" w:hAnsi="宋体" w:cs="宋体"/>
          <w:sz w:val="24"/>
          <w:lang w:val="zh-CN"/>
        </w:rPr>
        <w:t>电话：</w:t>
      </w:r>
      <w:r>
        <w:rPr>
          <w:rFonts w:hint="eastAsia" w:ascii="宋体" w:hAnsi="宋体" w:cs="宋体"/>
          <w:sz w:val="24"/>
          <w:u w:val="single"/>
        </w:rPr>
        <w:t xml:space="preserve">                                           </w:t>
      </w:r>
    </w:p>
    <w:p>
      <w:pPr>
        <w:autoSpaceDE w:val="0"/>
        <w:autoSpaceDN w:val="0"/>
        <w:adjustRightInd w:val="0"/>
        <w:snapToGrid w:val="0"/>
        <w:spacing w:line="360" w:lineRule="auto"/>
        <w:ind w:firstLine="600" w:firstLineChars="250"/>
        <w:rPr>
          <w:rFonts w:ascii="宋体" w:hAnsi="宋体" w:cs="宋体"/>
          <w:sz w:val="24"/>
        </w:rPr>
      </w:pPr>
      <w:r>
        <w:rPr>
          <w:rFonts w:hint="eastAsia" w:ascii="宋体" w:hAnsi="宋体" w:cs="宋体"/>
          <w:sz w:val="24"/>
          <w:lang w:val="zh-CN"/>
        </w:rPr>
        <w:t>法定代表人（负责人）</w:t>
      </w:r>
      <w:r>
        <w:rPr>
          <w:rFonts w:hint="eastAsia" w:ascii="宋体" w:hAnsi="宋体" w:cs="宋体"/>
          <w:sz w:val="24"/>
        </w:rPr>
        <w:t>或</w:t>
      </w:r>
      <w:r>
        <w:rPr>
          <w:rFonts w:hint="eastAsia" w:ascii="宋体" w:hAnsi="宋体" w:cs="宋体"/>
          <w:sz w:val="24"/>
          <w:lang w:val="zh-CN"/>
        </w:rPr>
        <w:t>授权代表（签字或盖章）：</w:t>
      </w:r>
      <w:r>
        <w:rPr>
          <w:rFonts w:hint="eastAsia" w:ascii="宋体" w:hAnsi="宋体" w:cs="宋体"/>
          <w:sz w:val="24"/>
          <w:u w:val="single"/>
        </w:rPr>
        <w:t xml:space="preserve">             </w:t>
      </w:r>
    </w:p>
    <w:p>
      <w:pPr>
        <w:snapToGrid w:val="0"/>
        <w:spacing w:line="360" w:lineRule="auto"/>
        <w:ind w:firstLine="560"/>
        <w:jc w:val="right"/>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lang w:val="zh-CN"/>
        </w:rPr>
        <w:t>年</w:t>
      </w:r>
      <w:r>
        <w:rPr>
          <w:rFonts w:hint="eastAsia" w:ascii="宋体" w:hAnsi="宋体" w:cs="宋体"/>
          <w:sz w:val="24"/>
          <w:u w:val="single"/>
        </w:rPr>
        <w:t xml:space="preserve">     </w:t>
      </w:r>
      <w:r>
        <w:rPr>
          <w:rFonts w:hint="eastAsia" w:ascii="宋体" w:hAnsi="宋体" w:cs="宋体"/>
          <w:sz w:val="24"/>
          <w:lang w:val="zh-CN"/>
        </w:rPr>
        <w:t>月</w:t>
      </w:r>
      <w:r>
        <w:rPr>
          <w:rFonts w:hint="eastAsia" w:ascii="宋体" w:hAnsi="宋体" w:cs="宋体"/>
          <w:sz w:val="24"/>
          <w:u w:val="single"/>
        </w:rPr>
        <w:t xml:space="preserve">     </w:t>
      </w:r>
      <w:r>
        <w:rPr>
          <w:rFonts w:hint="eastAsia" w:ascii="宋体" w:hAnsi="宋体" w:cs="宋体"/>
          <w:sz w:val="24"/>
          <w:lang w:val="zh-CN"/>
        </w:rPr>
        <w:t>日</w:t>
      </w:r>
      <w:r>
        <w:rPr>
          <w:rFonts w:hint="eastAsia" w:ascii="宋体" w:hAnsi="宋体" w:cs="宋体"/>
          <w:sz w:val="24"/>
        </w:rPr>
        <w:t xml:space="preserve"> </w:t>
      </w:r>
    </w:p>
    <w:p>
      <w:pPr>
        <w:tabs>
          <w:tab w:val="left" w:pos="5580"/>
        </w:tabs>
        <w:spacing w:line="360" w:lineRule="auto"/>
        <w:ind w:left="1" w:firstLine="564" w:firstLineChars="235"/>
        <w:jc w:val="center"/>
        <w:rPr>
          <w:rFonts w:ascii="宋体" w:hAnsi="宋体" w:cs="宋体"/>
          <w:sz w:val="24"/>
        </w:rPr>
      </w:pPr>
      <w:r>
        <w:rPr>
          <w:rFonts w:hint="eastAsia" w:ascii="宋体" w:hAnsi="宋体" w:cs="宋体"/>
          <w:sz w:val="24"/>
        </w:rPr>
        <w:br w:type="page"/>
      </w:r>
    </w:p>
    <w:p>
      <w:pPr>
        <w:pStyle w:val="4"/>
        <w:spacing w:before="0" w:line="360" w:lineRule="auto"/>
        <w:rPr>
          <w:rFonts w:ascii="宋体" w:hAnsi="宋体" w:eastAsia="宋体" w:cs="宋体"/>
        </w:rPr>
      </w:pPr>
      <w:bookmarkStart w:id="324" w:name="_Toc45196833"/>
      <w:r>
        <w:rPr>
          <w:rFonts w:hint="eastAsia" w:ascii="宋体" w:hAnsi="宋体" w:eastAsia="宋体" w:cs="宋体"/>
          <w:sz w:val="24"/>
        </w:rPr>
        <w:t>二、开标一览表</w:t>
      </w:r>
      <w:bookmarkEnd w:id="324"/>
    </w:p>
    <w:p>
      <w:pPr>
        <w:spacing w:line="360" w:lineRule="auto"/>
        <w:jc w:val="left"/>
        <w:rPr>
          <w:rFonts w:ascii="宋体" w:hAnsi="宋体" w:cs="宋体"/>
          <w:b/>
          <w:sz w:val="24"/>
        </w:rPr>
      </w:pPr>
      <w:r>
        <w:rPr>
          <w:rFonts w:hint="eastAsia" w:ascii="宋体" w:hAnsi="宋体" w:cs="宋体"/>
          <w:b/>
          <w:sz w:val="24"/>
        </w:rPr>
        <w:t>项目名称：</w:t>
      </w:r>
    </w:p>
    <w:p>
      <w:pPr>
        <w:spacing w:line="360" w:lineRule="auto"/>
        <w:jc w:val="left"/>
        <w:rPr>
          <w:rFonts w:ascii="宋体" w:hAnsi="宋体" w:cs="宋体"/>
          <w:b/>
          <w:sz w:val="24"/>
        </w:rPr>
      </w:pPr>
      <w:r>
        <w:rPr>
          <w:rFonts w:hint="eastAsia" w:ascii="宋体" w:hAnsi="宋体" w:cs="宋体"/>
          <w:b/>
          <w:sz w:val="24"/>
        </w:rPr>
        <w:t>项目编号：</w:t>
      </w:r>
    </w:p>
    <w:p>
      <w:pPr>
        <w:spacing w:line="360" w:lineRule="auto"/>
        <w:jc w:val="left"/>
        <w:rPr>
          <w:rFonts w:ascii="宋体" w:hAnsi="宋体" w:cs="宋体"/>
          <w:b/>
          <w:sz w:val="24"/>
        </w:rPr>
      </w:pPr>
      <w:r>
        <w:rPr>
          <w:rFonts w:hint="eastAsia" w:ascii="宋体" w:hAnsi="宋体" w:cs="宋体"/>
          <w:b/>
          <w:sz w:val="24"/>
        </w:rPr>
        <w:t>包号：第</w:t>
      </w:r>
      <w:r>
        <w:rPr>
          <w:rFonts w:hint="eastAsia" w:ascii="宋体" w:hAnsi="宋体" w:cs="宋体"/>
          <w:b/>
          <w:sz w:val="24"/>
          <w:u w:val="single"/>
        </w:rPr>
        <w:t xml:space="preserve"> （ ） </w:t>
      </w:r>
      <w:r>
        <w:rPr>
          <w:rFonts w:hint="eastAsia" w:ascii="宋体" w:hAnsi="宋体" w:cs="宋体"/>
          <w:b/>
          <w:sz w:val="24"/>
        </w:rPr>
        <w:t>包                                                  单位：</w:t>
      </w:r>
      <w:r>
        <w:rPr>
          <w:rFonts w:hint="eastAsia" w:ascii="宋体" w:hAnsi="宋体" w:cs="宋体"/>
          <w:spacing w:val="4"/>
          <w:sz w:val="24"/>
        </w:rPr>
        <w:t>元</w:t>
      </w:r>
    </w:p>
    <w:tbl>
      <w:tblPr>
        <w:tblStyle w:val="35"/>
        <w:tblW w:w="9215" w:type="dxa"/>
        <w:tblInd w:w="0" w:type="dxa"/>
        <w:tblLayout w:type="fixed"/>
        <w:tblCellMar>
          <w:top w:w="0" w:type="dxa"/>
          <w:left w:w="108" w:type="dxa"/>
          <w:bottom w:w="0" w:type="dxa"/>
          <w:right w:w="108" w:type="dxa"/>
        </w:tblCellMar>
      </w:tblPr>
      <w:tblGrid>
        <w:gridCol w:w="3855"/>
        <w:gridCol w:w="5360"/>
      </w:tblGrid>
      <w:tr>
        <w:tblPrEx>
          <w:tblCellMar>
            <w:top w:w="0" w:type="dxa"/>
            <w:left w:w="108" w:type="dxa"/>
            <w:bottom w:w="0" w:type="dxa"/>
            <w:right w:w="108" w:type="dxa"/>
          </w:tblCellMar>
        </w:tblPrEx>
        <w:trPr>
          <w:trHeight w:val="1462" w:hRule="atLeast"/>
        </w:trPr>
        <w:tc>
          <w:tcPr>
            <w:tcW w:w="3855" w:type="dxa"/>
            <w:tcBorders>
              <w:top w:val="single" w:color="000000" w:sz="4" w:space="0"/>
              <w:left w:val="single" w:color="000000" w:sz="4" w:space="0"/>
              <w:bottom w:val="single" w:color="000000" w:sz="4" w:space="0"/>
            </w:tcBorders>
            <w:vAlign w:val="center"/>
          </w:tcPr>
          <w:p>
            <w:pPr>
              <w:spacing w:line="360" w:lineRule="auto"/>
              <w:jc w:val="center"/>
              <w:rPr>
                <w:rFonts w:ascii="宋体" w:hAnsi="宋体" w:cs="宋体"/>
              </w:rPr>
            </w:pPr>
            <w:r>
              <w:rPr>
                <w:rFonts w:hint="eastAsia" w:ascii="宋体" w:hAnsi="宋体" w:cs="宋体"/>
                <w:sz w:val="24"/>
              </w:rPr>
              <w:t>投标总报价（元）</w:t>
            </w:r>
          </w:p>
        </w:tc>
        <w:tc>
          <w:tcPr>
            <w:tcW w:w="5360" w:type="dxa"/>
            <w:tcBorders>
              <w:top w:val="single" w:color="000000" w:sz="4" w:space="0"/>
              <w:left w:val="single" w:color="000000" w:sz="4" w:space="0"/>
              <w:bottom w:val="single" w:color="000000" w:sz="4" w:space="0"/>
              <w:right w:val="single" w:color="000000" w:sz="4" w:space="0"/>
            </w:tcBorders>
            <w:vAlign w:val="center"/>
          </w:tcPr>
          <w:p>
            <w:pPr>
              <w:pStyle w:val="13"/>
              <w:ind w:firstLine="0"/>
              <w:rPr>
                <w:rFonts w:ascii="宋体" w:hAnsi="宋体" w:cs="宋体"/>
                <w:u w:val="single"/>
              </w:rPr>
            </w:pPr>
            <w:r>
              <w:rPr>
                <w:rFonts w:hint="eastAsia" w:ascii="宋体" w:hAnsi="宋体" w:cs="宋体"/>
              </w:rPr>
              <w:t>大写：</w:t>
            </w:r>
            <w:r>
              <w:rPr>
                <w:rFonts w:hint="eastAsia" w:ascii="宋体" w:hAnsi="宋体" w:cs="宋体"/>
                <w:u w:val="single"/>
              </w:rPr>
              <w:t xml:space="preserve">                </w:t>
            </w:r>
          </w:p>
          <w:p>
            <w:pPr>
              <w:pStyle w:val="13"/>
              <w:ind w:firstLine="0"/>
              <w:rPr>
                <w:rFonts w:ascii="宋体" w:hAnsi="宋体" w:cs="宋体"/>
                <w:u w:val="single"/>
              </w:rPr>
            </w:pPr>
            <w:r>
              <w:rPr>
                <w:rFonts w:hint="eastAsia" w:ascii="宋体" w:hAnsi="宋体" w:cs="宋体"/>
              </w:rPr>
              <w:t>小写：</w:t>
            </w:r>
            <w:r>
              <w:rPr>
                <w:rFonts w:hint="eastAsia" w:ascii="宋体" w:hAnsi="宋体" w:cs="宋体"/>
                <w:u w:val="single"/>
              </w:rPr>
              <w:t xml:space="preserve">                </w:t>
            </w:r>
          </w:p>
        </w:tc>
      </w:tr>
      <w:tr>
        <w:tblPrEx>
          <w:tblCellMar>
            <w:top w:w="0" w:type="dxa"/>
            <w:left w:w="108" w:type="dxa"/>
            <w:bottom w:w="0" w:type="dxa"/>
            <w:right w:w="108" w:type="dxa"/>
          </w:tblCellMar>
        </w:tblPrEx>
        <w:trPr>
          <w:trHeight w:val="880" w:hRule="atLeast"/>
        </w:trPr>
        <w:tc>
          <w:tcPr>
            <w:tcW w:w="3855" w:type="dxa"/>
            <w:tcBorders>
              <w:top w:val="single" w:color="000000" w:sz="4" w:space="0"/>
              <w:left w:val="single" w:color="000000" w:sz="4" w:space="0"/>
              <w:bottom w:val="single" w:color="000000" w:sz="4" w:space="0"/>
            </w:tcBorders>
            <w:vAlign w:val="center"/>
          </w:tcPr>
          <w:p>
            <w:pPr>
              <w:spacing w:line="360" w:lineRule="auto"/>
              <w:jc w:val="center"/>
              <w:rPr>
                <w:rFonts w:ascii="宋体" w:hAnsi="宋体" w:cs="宋体"/>
                <w:sz w:val="24"/>
              </w:rPr>
            </w:pPr>
            <w:r>
              <w:rPr>
                <w:rFonts w:hint="eastAsia" w:ascii="宋体" w:hAnsi="宋体" w:cs="宋体"/>
                <w:sz w:val="24"/>
              </w:rPr>
              <w:t>交货期</w:t>
            </w:r>
          </w:p>
        </w:tc>
        <w:tc>
          <w:tcPr>
            <w:tcW w:w="536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sz w:val="24"/>
              </w:rPr>
            </w:pPr>
            <w:r>
              <w:rPr>
                <w:rFonts w:hint="eastAsia" w:ascii="宋体" w:hAnsi="宋体" w:cs="宋体"/>
                <w:kern w:val="0"/>
                <w:sz w:val="24"/>
                <w:u w:val="single"/>
              </w:rPr>
              <w:t xml:space="preserve">            </w:t>
            </w:r>
          </w:p>
        </w:tc>
      </w:tr>
      <w:tr>
        <w:tblPrEx>
          <w:tblCellMar>
            <w:top w:w="0" w:type="dxa"/>
            <w:left w:w="108" w:type="dxa"/>
            <w:bottom w:w="0" w:type="dxa"/>
            <w:right w:w="108" w:type="dxa"/>
          </w:tblCellMar>
        </w:tblPrEx>
        <w:trPr>
          <w:trHeight w:val="880" w:hRule="atLeast"/>
        </w:trPr>
        <w:tc>
          <w:tcPr>
            <w:tcW w:w="3855" w:type="dxa"/>
            <w:tcBorders>
              <w:top w:val="single" w:color="000000" w:sz="4" w:space="0"/>
              <w:left w:val="single" w:color="000000" w:sz="4" w:space="0"/>
              <w:bottom w:val="single" w:color="000000" w:sz="4" w:space="0"/>
            </w:tcBorders>
            <w:vAlign w:val="center"/>
          </w:tcPr>
          <w:p>
            <w:pPr>
              <w:spacing w:line="360" w:lineRule="auto"/>
              <w:jc w:val="center"/>
              <w:rPr>
                <w:rFonts w:ascii="宋体" w:hAnsi="宋体" w:cs="宋体"/>
                <w:sz w:val="24"/>
              </w:rPr>
            </w:pPr>
            <w:r>
              <w:rPr>
                <w:rFonts w:hint="eastAsia" w:ascii="宋体" w:hAnsi="宋体" w:cs="宋体"/>
                <w:sz w:val="24"/>
              </w:rPr>
              <w:t>交货地点</w:t>
            </w:r>
          </w:p>
        </w:tc>
        <w:tc>
          <w:tcPr>
            <w:tcW w:w="536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 w:val="24"/>
              </w:rPr>
            </w:pPr>
            <w:r>
              <w:rPr>
                <w:rFonts w:hint="eastAsia" w:ascii="宋体" w:hAnsi="宋体" w:cs="宋体"/>
                <w:sz w:val="24"/>
                <w:u w:val="single"/>
              </w:rPr>
              <w:t xml:space="preserve">           </w:t>
            </w:r>
          </w:p>
        </w:tc>
      </w:tr>
      <w:tr>
        <w:tblPrEx>
          <w:tblCellMar>
            <w:top w:w="0" w:type="dxa"/>
            <w:left w:w="108" w:type="dxa"/>
            <w:bottom w:w="0" w:type="dxa"/>
            <w:right w:w="108" w:type="dxa"/>
          </w:tblCellMar>
        </w:tblPrEx>
        <w:trPr>
          <w:trHeight w:val="930" w:hRule="atLeast"/>
        </w:trPr>
        <w:tc>
          <w:tcPr>
            <w:tcW w:w="3855" w:type="dxa"/>
            <w:tcBorders>
              <w:top w:val="single" w:color="000000" w:sz="4" w:space="0"/>
              <w:left w:val="single" w:color="000000" w:sz="4" w:space="0"/>
              <w:bottom w:val="single" w:color="000000" w:sz="4" w:space="0"/>
            </w:tcBorders>
            <w:vAlign w:val="center"/>
          </w:tcPr>
          <w:p>
            <w:pPr>
              <w:spacing w:line="360" w:lineRule="auto"/>
              <w:jc w:val="center"/>
              <w:rPr>
                <w:rFonts w:ascii="宋体" w:hAnsi="宋体" w:cs="宋体"/>
                <w:sz w:val="24"/>
              </w:rPr>
            </w:pPr>
            <w:r>
              <w:rPr>
                <w:rFonts w:hint="eastAsia" w:ascii="宋体" w:hAnsi="宋体" w:cs="宋体"/>
                <w:sz w:val="24"/>
              </w:rPr>
              <w:t>备注</w:t>
            </w:r>
          </w:p>
        </w:tc>
        <w:tc>
          <w:tcPr>
            <w:tcW w:w="53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rPr>
            </w:pPr>
          </w:p>
        </w:tc>
      </w:tr>
      <w:tr>
        <w:tblPrEx>
          <w:tblCellMar>
            <w:top w:w="0" w:type="dxa"/>
            <w:left w:w="108" w:type="dxa"/>
            <w:bottom w:w="0" w:type="dxa"/>
            <w:right w:w="108" w:type="dxa"/>
          </w:tblCellMar>
        </w:tblPrEx>
        <w:trPr>
          <w:trHeight w:val="1424" w:hRule="atLeast"/>
        </w:trPr>
        <w:tc>
          <w:tcPr>
            <w:tcW w:w="9215"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sz w:val="24"/>
              </w:rPr>
            </w:pPr>
            <w:r>
              <w:rPr>
                <w:rFonts w:hint="eastAsia" w:ascii="宋体" w:hAnsi="宋体" w:cs="宋体"/>
                <w:sz w:val="24"/>
              </w:rPr>
              <w:t>说明：1、投标人报价不得高于最高限价，否则其投标文件将按无效文件处理。</w:t>
            </w:r>
          </w:p>
          <w:p>
            <w:pPr>
              <w:spacing w:line="360" w:lineRule="auto"/>
              <w:jc w:val="left"/>
              <w:rPr>
                <w:rFonts w:ascii="宋体" w:hAnsi="宋体" w:cs="宋体"/>
                <w:sz w:val="24"/>
              </w:rPr>
            </w:pPr>
            <w:r>
              <w:rPr>
                <w:rFonts w:hint="eastAsia" w:ascii="宋体" w:hAnsi="宋体" w:cs="宋体"/>
                <w:sz w:val="24"/>
              </w:rPr>
              <w:t>2.表内报价内容以元为单位，精确到小数点后两位。</w:t>
            </w:r>
          </w:p>
        </w:tc>
      </w:tr>
    </w:tbl>
    <w:p>
      <w:pPr>
        <w:spacing w:line="360" w:lineRule="auto"/>
        <w:rPr>
          <w:rFonts w:ascii="宋体" w:hAnsi="宋体" w:cs="宋体"/>
          <w:b/>
          <w:sz w:val="24"/>
        </w:rPr>
      </w:pPr>
    </w:p>
    <w:p>
      <w:pPr>
        <w:spacing w:line="360" w:lineRule="auto"/>
        <w:jc w:val="left"/>
        <w:rPr>
          <w:rFonts w:ascii="宋体" w:hAnsi="宋体" w:cs="宋体"/>
          <w:sz w:val="24"/>
        </w:rPr>
      </w:pPr>
    </w:p>
    <w:p>
      <w:pPr>
        <w:pStyle w:val="8"/>
        <w:ind w:firstLine="480"/>
        <w:rPr>
          <w:rFonts w:hAnsi="宋体" w:cs="宋体"/>
          <w:szCs w:val="24"/>
        </w:rPr>
      </w:pPr>
    </w:p>
    <w:p>
      <w:pPr>
        <w:pStyle w:val="8"/>
        <w:ind w:firstLine="0"/>
        <w:rPr>
          <w:rFonts w:hAnsi="宋体" w:cs="宋体"/>
          <w:szCs w:val="24"/>
        </w:rPr>
      </w:pPr>
    </w:p>
    <w:p>
      <w:pPr>
        <w:spacing w:line="360" w:lineRule="auto"/>
        <w:jc w:val="left"/>
        <w:rPr>
          <w:rFonts w:ascii="宋体" w:hAnsi="宋体" w:cs="宋体"/>
          <w:sz w:val="24"/>
        </w:rPr>
      </w:pPr>
      <w:r>
        <w:rPr>
          <w:rFonts w:hint="eastAsia" w:ascii="宋体" w:hAnsi="宋体" w:cs="宋体"/>
          <w:sz w:val="24"/>
        </w:rPr>
        <w:t>投标人名称（公章）：</w:t>
      </w:r>
    </w:p>
    <w:p>
      <w:pPr>
        <w:spacing w:line="360" w:lineRule="auto"/>
        <w:jc w:val="left"/>
        <w:rPr>
          <w:rFonts w:ascii="宋体" w:hAnsi="宋体" w:cs="宋体"/>
          <w:sz w:val="24"/>
        </w:rPr>
      </w:pPr>
      <w:r>
        <w:rPr>
          <w:rFonts w:hint="eastAsia" w:ascii="宋体" w:hAnsi="宋体" w:cs="宋体"/>
          <w:sz w:val="24"/>
        </w:rPr>
        <w:t>法定代表人（负责人）/被授权人（</w:t>
      </w:r>
      <w:r>
        <w:rPr>
          <w:rFonts w:hint="eastAsia" w:ascii="宋体" w:hAnsi="宋体" w:cs="宋体"/>
          <w:spacing w:val="4"/>
          <w:sz w:val="24"/>
        </w:rPr>
        <w:t>签字或盖章</w:t>
      </w:r>
      <w:r>
        <w:rPr>
          <w:rFonts w:hint="eastAsia" w:ascii="宋体" w:hAnsi="宋体" w:cs="宋体"/>
          <w:sz w:val="24"/>
        </w:rPr>
        <w:t>）：</w:t>
      </w:r>
    </w:p>
    <w:p>
      <w:pPr>
        <w:pStyle w:val="16"/>
        <w:spacing w:line="360" w:lineRule="auto"/>
        <w:ind w:firstLine="480" w:firstLineChars="200"/>
        <w:rPr>
          <w:rFonts w:hAnsi="宋体" w:cs="宋体"/>
          <w:sz w:val="24"/>
        </w:rPr>
      </w:pPr>
      <w:r>
        <w:rPr>
          <w:rFonts w:hint="eastAsia" w:hAnsi="宋体" w:cs="宋体"/>
          <w:sz w:val="24"/>
          <w:szCs w:val="24"/>
        </w:rPr>
        <w:t>日    期：</w:t>
      </w:r>
    </w:p>
    <w:p>
      <w:pPr>
        <w:pStyle w:val="16"/>
        <w:spacing w:line="360" w:lineRule="auto"/>
        <w:ind w:firstLine="480" w:firstLineChars="200"/>
        <w:rPr>
          <w:rFonts w:hAnsi="宋体" w:cs="宋体"/>
          <w:sz w:val="24"/>
        </w:rPr>
        <w:sectPr>
          <w:pgSz w:w="11906" w:h="16838"/>
          <w:pgMar w:top="1418" w:right="1418" w:bottom="1418" w:left="1418" w:header="1077" w:footer="992" w:gutter="0"/>
          <w:cols w:space="720" w:num="1"/>
          <w:docGrid w:type="linesAndChars" w:linePitch="312" w:charSpace="0"/>
        </w:sectPr>
      </w:pPr>
      <w:r>
        <w:rPr>
          <w:rFonts w:hint="eastAsia" w:hAnsi="宋体" w:cs="宋体"/>
          <w:sz w:val="24"/>
        </w:rPr>
        <w:t xml:space="preserve">  </w:t>
      </w:r>
    </w:p>
    <w:p>
      <w:pPr>
        <w:rPr>
          <w:rFonts w:ascii="宋体" w:hAnsi="宋体" w:cs="宋体"/>
        </w:rPr>
      </w:pPr>
    </w:p>
    <w:p>
      <w:pPr>
        <w:jc w:val="center"/>
        <w:outlineLvl w:val="1"/>
        <w:rPr>
          <w:rFonts w:ascii="宋体" w:hAnsi="宋体" w:cs="宋体"/>
          <w:b/>
          <w:kern w:val="0"/>
          <w:sz w:val="24"/>
          <w:szCs w:val="20"/>
        </w:rPr>
      </w:pPr>
      <w:bookmarkStart w:id="325" w:name="_Toc45196835"/>
      <w:r>
        <w:rPr>
          <w:rFonts w:hint="eastAsia" w:ascii="宋体" w:hAnsi="宋体" w:cs="宋体"/>
          <w:b/>
          <w:kern w:val="0"/>
          <w:sz w:val="24"/>
          <w:szCs w:val="20"/>
        </w:rPr>
        <w:t>三、分项报价表</w:t>
      </w:r>
    </w:p>
    <w:p>
      <w:pPr>
        <w:spacing w:line="360" w:lineRule="auto"/>
        <w:jc w:val="left"/>
        <w:rPr>
          <w:rFonts w:ascii="宋体" w:hAnsi="宋体" w:cs="宋体"/>
          <w:b/>
          <w:sz w:val="24"/>
        </w:rPr>
      </w:pPr>
      <w:r>
        <w:rPr>
          <w:rFonts w:hint="eastAsia" w:ascii="宋体" w:hAnsi="宋体" w:cs="宋体"/>
          <w:b/>
          <w:sz w:val="24"/>
        </w:rPr>
        <w:t>包号：第</w:t>
      </w:r>
      <w:r>
        <w:rPr>
          <w:rFonts w:hint="eastAsia" w:ascii="宋体" w:hAnsi="宋体" w:cs="宋体"/>
          <w:b/>
          <w:sz w:val="24"/>
          <w:u w:val="single"/>
        </w:rPr>
        <w:t xml:space="preserve"> （  ） </w:t>
      </w:r>
      <w:r>
        <w:rPr>
          <w:rFonts w:hint="eastAsia" w:ascii="宋体" w:hAnsi="宋体" w:cs="宋体"/>
          <w:b/>
          <w:sz w:val="24"/>
        </w:rPr>
        <w:t>包                                             单位：</w:t>
      </w:r>
      <w:r>
        <w:rPr>
          <w:rFonts w:hint="eastAsia" w:ascii="宋体" w:hAnsi="宋体" w:cs="宋体"/>
          <w:spacing w:val="4"/>
          <w:sz w:val="24"/>
        </w:rPr>
        <w:t>元</w:t>
      </w:r>
    </w:p>
    <w:p>
      <w:pPr>
        <w:pStyle w:val="12"/>
        <w:rPr>
          <w:rFonts w:cs="宋体"/>
        </w:rPr>
      </w:pPr>
      <w:r>
        <w:rPr>
          <w:rFonts w:hint="eastAsia" w:cs="宋体"/>
        </w:rPr>
        <w:t>项目编号：                       项目名称：</w:t>
      </w:r>
    </w:p>
    <w:tbl>
      <w:tblPr>
        <w:tblStyle w:val="35"/>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428"/>
        <w:gridCol w:w="1188"/>
        <w:gridCol w:w="1560"/>
        <w:gridCol w:w="992"/>
        <w:gridCol w:w="1276"/>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序号</w:t>
            </w:r>
          </w:p>
        </w:tc>
        <w:tc>
          <w:tcPr>
            <w:tcW w:w="1428"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产品</w:t>
            </w:r>
          </w:p>
          <w:p>
            <w:pPr>
              <w:adjustRightInd w:val="0"/>
              <w:snapToGrid w:val="0"/>
              <w:spacing w:line="360" w:lineRule="auto"/>
              <w:jc w:val="center"/>
              <w:rPr>
                <w:rFonts w:ascii="宋体" w:hAnsi="宋体" w:cs="宋体"/>
                <w:sz w:val="24"/>
              </w:rPr>
            </w:pPr>
            <w:r>
              <w:rPr>
                <w:rFonts w:hint="eastAsia" w:ascii="宋体" w:hAnsi="宋体" w:cs="宋体"/>
                <w:sz w:val="24"/>
              </w:rPr>
              <w:t>名称</w:t>
            </w:r>
          </w:p>
        </w:tc>
        <w:tc>
          <w:tcPr>
            <w:tcW w:w="1188"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规格</w:t>
            </w:r>
          </w:p>
          <w:p>
            <w:pPr>
              <w:adjustRightInd w:val="0"/>
              <w:snapToGrid w:val="0"/>
              <w:spacing w:line="360" w:lineRule="auto"/>
              <w:jc w:val="center"/>
              <w:rPr>
                <w:rFonts w:ascii="宋体" w:hAnsi="宋体" w:cs="宋体"/>
                <w:sz w:val="24"/>
              </w:rPr>
            </w:pPr>
            <w:r>
              <w:rPr>
                <w:rFonts w:hint="eastAsia" w:ascii="宋体" w:hAnsi="宋体" w:cs="宋体"/>
                <w:sz w:val="24"/>
              </w:rPr>
              <w:t>型号</w:t>
            </w:r>
          </w:p>
        </w:tc>
        <w:tc>
          <w:tcPr>
            <w:tcW w:w="1560"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制造</w:t>
            </w:r>
          </w:p>
          <w:p>
            <w:pPr>
              <w:adjustRightInd w:val="0"/>
              <w:snapToGrid w:val="0"/>
              <w:spacing w:line="360" w:lineRule="auto"/>
              <w:jc w:val="center"/>
              <w:rPr>
                <w:rFonts w:ascii="宋体" w:hAnsi="宋体" w:cs="宋体"/>
                <w:sz w:val="24"/>
              </w:rPr>
            </w:pPr>
            <w:r>
              <w:rPr>
                <w:rFonts w:hint="eastAsia" w:ascii="宋体" w:hAnsi="宋体" w:cs="宋体"/>
                <w:sz w:val="24"/>
              </w:rPr>
              <w:t>厂家</w:t>
            </w:r>
          </w:p>
        </w:tc>
        <w:tc>
          <w:tcPr>
            <w:tcW w:w="992"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数量</w:t>
            </w:r>
          </w:p>
        </w:tc>
        <w:tc>
          <w:tcPr>
            <w:tcW w:w="1276"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单价</w:t>
            </w:r>
          </w:p>
        </w:tc>
        <w:tc>
          <w:tcPr>
            <w:tcW w:w="1134"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小计</w:t>
            </w:r>
          </w:p>
        </w:tc>
        <w:tc>
          <w:tcPr>
            <w:tcW w:w="708"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宋体" w:hAnsi="宋体" w:cs="宋体"/>
                <w:sz w:val="24"/>
              </w:rPr>
            </w:pPr>
          </w:p>
        </w:tc>
        <w:tc>
          <w:tcPr>
            <w:tcW w:w="1428" w:type="dxa"/>
            <w:vAlign w:val="center"/>
          </w:tcPr>
          <w:p>
            <w:pPr>
              <w:adjustRightInd w:val="0"/>
              <w:snapToGrid w:val="0"/>
              <w:spacing w:line="360" w:lineRule="auto"/>
              <w:rPr>
                <w:rFonts w:ascii="宋体" w:hAnsi="宋体" w:cs="宋体"/>
                <w:sz w:val="24"/>
              </w:rPr>
            </w:pPr>
          </w:p>
        </w:tc>
        <w:tc>
          <w:tcPr>
            <w:tcW w:w="1188" w:type="dxa"/>
          </w:tcPr>
          <w:p>
            <w:pPr>
              <w:adjustRightInd w:val="0"/>
              <w:snapToGrid w:val="0"/>
              <w:spacing w:line="360" w:lineRule="auto"/>
              <w:rPr>
                <w:rFonts w:ascii="宋体" w:hAnsi="宋体" w:cs="宋体"/>
                <w:sz w:val="24"/>
              </w:rPr>
            </w:pPr>
          </w:p>
        </w:tc>
        <w:tc>
          <w:tcPr>
            <w:tcW w:w="1560" w:type="dxa"/>
          </w:tcPr>
          <w:p>
            <w:pPr>
              <w:adjustRightInd w:val="0"/>
              <w:snapToGrid w:val="0"/>
              <w:spacing w:line="360" w:lineRule="auto"/>
              <w:rPr>
                <w:rFonts w:ascii="宋体" w:hAnsi="宋体" w:cs="宋体"/>
                <w:sz w:val="24"/>
              </w:rPr>
            </w:pPr>
          </w:p>
        </w:tc>
        <w:tc>
          <w:tcPr>
            <w:tcW w:w="992" w:type="dxa"/>
            <w:vAlign w:val="center"/>
          </w:tcPr>
          <w:p>
            <w:pPr>
              <w:adjustRightInd w:val="0"/>
              <w:snapToGrid w:val="0"/>
              <w:spacing w:line="360" w:lineRule="auto"/>
              <w:rPr>
                <w:rFonts w:ascii="宋体" w:hAnsi="宋体" w:cs="宋体"/>
                <w:sz w:val="24"/>
              </w:rPr>
            </w:pPr>
          </w:p>
        </w:tc>
        <w:tc>
          <w:tcPr>
            <w:tcW w:w="1276" w:type="dxa"/>
            <w:vAlign w:val="center"/>
          </w:tcPr>
          <w:p>
            <w:pPr>
              <w:adjustRightInd w:val="0"/>
              <w:snapToGrid w:val="0"/>
              <w:spacing w:line="360" w:lineRule="auto"/>
              <w:rPr>
                <w:rFonts w:ascii="宋体" w:hAnsi="宋体" w:cs="宋体"/>
                <w:sz w:val="24"/>
              </w:rPr>
            </w:pPr>
          </w:p>
        </w:tc>
        <w:tc>
          <w:tcPr>
            <w:tcW w:w="1134" w:type="dxa"/>
            <w:vAlign w:val="center"/>
          </w:tcPr>
          <w:p>
            <w:pPr>
              <w:adjustRightInd w:val="0"/>
              <w:snapToGrid w:val="0"/>
              <w:spacing w:line="360" w:lineRule="auto"/>
              <w:rPr>
                <w:rFonts w:ascii="宋体" w:hAnsi="宋体" w:cs="宋体"/>
                <w:sz w:val="24"/>
              </w:rPr>
            </w:pPr>
          </w:p>
        </w:tc>
        <w:tc>
          <w:tcPr>
            <w:tcW w:w="708" w:type="dxa"/>
            <w:vAlign w:val="center"/>
          </w:tcPr>
          <w:p>
            <w:pPr>
              <w:adjustRightInd w:val="0"/>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宋体" w:hAnsi="宋体" w:cs="宋体"/>
                <w:sz w:val="24"/>
              </w:rPr>
            </w:pPr>
          </w:p>
        </w:tc>
        <w:tc>
          <w:tcPr>
            <w:tcW w:w="1428" w:type="dxa"/>
            <w:vAlign w:val="center"/>
          </w:tcPr>
          <w:p>
            <w:pPr>
              <w:adjustRightInd w:val="0"/>
              <w:snapToGrid w:val="0"/>
              <w:spacing w:line="360" w:lineRule="auto"/>
              <w:rPr>
                <w:rFonts w:ascii="宋体" w:hAnsi="宋体" w:cs="宋体"/>
                <w:sz w:val="24"/>
              </w:rPr>
            </w:pPr>
          </w:p>
        </w:tc>
        <w:tc>
          <w:tcPr>
            <w:tcW w:w="1188" w:type="dxa"/>
          </w:tcPr>
          <w:p>
            <w:pPr>
              <w:adjustRightInd w:val="0"/>
              <w:snapToGrid w:val="0"/>
              <w:spacing w:line="360" w:lineRule="auto"/>
              <w:rPr>
                <w:rFonts w:ascii="宋体" w:hAnsi="宋体" w:cs="宋体"/>
                <w:sz w:val="24"/>
              </w:rPr>
            </w:pPr>
          </w:p>
        </w:tc>
        <w:tc>
          <w:tcPr>
            <w:tcW w:w="1560" w:type="dxa"/>
          </w:tcPr>
          <w:p>
            <w:pPr>
              <w:adjustRightInd w:val="0"/>
              <w:snapToGrid w:val="0"/>
              <w:spacing w:line="360" w:lineRule="auto"/>
              <w:rPr>
                <w:rFonts w:ascii="宋体" w:hAnsi="宋体" w:cs="宋体"/>
                <w:sz w:val="24"/>
              </w:rPr>
            </w:pPr>
          </w:p>
        </w:tc>
        <w:tc>
          <w:tcPr>
            <w:tcW w:w="992" w:type="dxa"/>
            <w:vAlign w:val="center"/>
          </w:tcPr>
          <w:p>
            <w:pPr>
              <w:adjustRightInd w:val="0"/>
              <w:snapToGrid w:val="0"/>
              <w:spacing w:line="360" w:lineRule="auto"/>
              <w:rPr>
                <w:rFonts w:ascii="宋体" w:hAnsi="宋体" w:cs="宋体"/>
                <w:sz w:val="24"/>
              </w:rPr>
            </w:pPr>
          </w:p>
        </w:tc>
        <w:tc>
          <w:tcPr>
            <w:tcW w:w="1276" w:type="dxa"/>
            <w:vAlign w:val="center"/>
          </w:tcPr>
          <w:p>
            <w:pPr>
              <w:adjustRightInd w:val="0"/>
              <w:snapToGrid w:val="0"/>
              <w:spacing w:line="360" w:lineRule="auto"/>
              <w:rPr>
                <w:rFonts w:ascii="宋体" w:hAnsi="宋体" w:cs="宋体"/>
                <w:sz w:val="24"/>
              </w:rPr>
            </w:pPr>
          </w:p>
        </w:tc>
        <w:tc>
          <w:tcPr>
            <w:tcW w:w="1134" w:type="dxa"/>
            <w:vAlign w:val="center"/>
          </w:tcPr>
          <w:p>
            <w:pPr>
              <w:adjustRightInd w:val="0"/>
              <w:snapToGrid w:val="0"/>
              <w:spacing w:line="360" w:lineRule="auto"/>
              <w:rPr>
                <w:rFonts w:ascii="宋体" w:hAnsi="宋体" w:cs="宋体"/>
                <w:sz w:val="24"/>
              </w:rPr>
            </w:pPr>
          </w:p>
        </w:tc>
        <w:tc>
          <w:tcPr>
            <w:tcW w:w="708" w:type="dxa"/>
            <w:vAlign w:val="center"/>
          </w:tcPr>
          <w:p>
            <w:pPr>
              <w:adjustRightInd w:val="0"/>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宋体" w:hAnsi="宋体" w:cs="宋体"/>
                <w:sz w:val="24"/>
              </w:rPr>
            </w:pPr>
          </w:p>
        </w:tc>
        <w:tc>
          <w:tcPr>
            <w:tcW w:w="1428" w:type="dxa"/>
            <w:vAlign w:val="center"/>
          </w:tcPr>
          <w:p>
            <w:pPr>
              <w:adjustRightInd w:val="0"/>
              <w:snapToGrid w:val="0"/>
              <w:spacing w:line="360" w:lineRule="auto"/>
              <w:rPr>
                <w:rFonts w:ascii="宋体" w:hAnsi="宋体" w:cs="宋体"/>
                <w:sz w:val="24"/>
              </w:rPr>
            </w:pPr>
          </w:p>
        </w:tc>
        <w:tc>
          <w:tcPr>
            <w:tcW w:w="1188" w:type="dxa"/>
          </w:tcPr>
          <w:p>
            <w:pPr>
              <w:adjustRightInd w:val="0"/>
              <w:snapToGrid w:val="0"/>
              <w:spacing w:line="360" w:lineRule="auto"/>
              <w:rPr>
                <w:rFonts w:ascii="宋体" w:hAnsi="宋体" w:cs="宋体"/>
                <w:sz w:val="24"/>
              </w:rPr>
            </w:pPr>
          </w:p>
        </w:tc>
        <w:tc>
          <w:tcPr>
            <w:tcW w:w="1560" w:type="dxa"/>
          </w:tcPr>
          <w:p>
            <w:pPr>
              <w:adjustRightInd w:val="0"/>
              <w:snapToGrid w:val="0"/>
              <w:spacing w:line="360" w:lineRule="auto"/>
              <w:rPr>
                <w:rFonts w:ascii="宋体" w:hAnsi="宋体" w:cs="宋体"/>
                <w:sz w:val="24"/>
              </w:rPr>
            </w:pPr>
          </w:p>
        </w:tc>
        <w:tc>
          <w:tcPr>
            <w:tcW w:w="992" w:type="dxa"/>
            <w:vAlign w:val="center"/>
          </w:tcPr>
          <w:p>
            <w:pPr>
              <w:adjustRightInd w:val="0"/>
              <w:snapToGrid w:val="0"/>
              <w:spacing w:line="360" w:lineRule="auto"/>
              <w:rPr>
                <w:rFonts w:ascii="宋体" w:hAnsi="宋体" w:cs="宋体"/>
                <w:sz w:val="24"/>
              </w:rPr>
            </w:pPr>
          </w:p>
        </w:tc>
        <w:tc>
          <w:tcPr>
            <w:tcW w:w="1276" w:type="dxa"/>
            <w:vAlign w:val="center"/>
          </w:tcPr>
          <w:p>
            <w:pPr>
              <w:adjustRightInd w:val="0"/>
              <w:snapToGrid w:val="0"/>
              <w:spacing w:line="360" w:lineRule="auto"/>
              <w:rPr>
                <w:rFonts w:ascii="宋体" w:hAnsi="宋体" w:cs="宋体"/>
                <w:sz w:val="24"/>
              </w:rPr>
            </w:pPr>
          </w:p>
        </w:tc>
        <w:tc>
          <w:tcPr>
            <w:tcW w:w="1134" w:type="dxa"/>
            <w:vAlign w:val="center"/>
          </w:tcPr>
          <w:p>
            <w:pPr>
              <w:adjustRightInd w:val="0"/>
              <w:snapToGrid w:val="0"/>
              <w:spacing w:line="360" w:lineRule="auto"/>
              <w:rPr>
                <w:rFonts w:ascii="宋体" w:hAnsi="宋体" w:cs="宋体"/>
                <w:sz w:val="24"/>
              </w:rPr>
            </w:pPr>
          </w:p>
        </w:tc>
        <w:tc>
          <w:tcPr>
            <w:tcW w:w="708" w:type="dxa"/>
            <w:vAlign w:val="center"/>
          </w:tcPr>
          <w:p>
            <w:pPr>
              <w:adjustRightInd w:val="0"/>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宋体" w:hAnsi="宋体" w:cs="宋体"/>
                <w:sz w:val="24"/>
              </w:rPr>
            </w:pPr>
          </w:p>
        </w:tc>
        <w:tc>
          <w:tcPr>
            <w:tcW w:w="1428" w:type="dxa"/>
            <w:vAlign w:val="center"/>
          </w:tcPr>
          <w:p>
            <w:pPr>
              <w:adjustRightInd w:val="0"/>
              <w:snapToGrid w:val="0"/>
              <w:spacing w:line="360" w:lineRule="auto"/>
              <w:rPr>
                <w:rFonts w:ascii="宋体" w:hAnsi="宋体" w:cs="宋体"/>
                <w:sz w:val="24"/>
              </w:rPr>
            </w:pPr>
          </w:p>
        </w:tc>
        <w:tc>
          <w:tcPr>
            <w:tcW w:w="1188" w:type="dxa"/>
          </w:tcPr>
          <w:p>
            <w:pPr>
              <w:adjustRightInd w:val="0"/>
              <w:snapToGrid w:val="0"/>
              <w:spacing w:line="360" w:lineRule="auto"/>
              <w:rPr>
                <w:rFonts w:ascii="宋体" w:hAnsi="宋体" w:cs="宋体"/>
                <w:sz w:val="24"/>
              </w:rPr>
            </w:pPr>
          </w:p>
        </w:tc>
        <w:tc>
          <w:tcPr>
            <w:tcW w:w="1560" w:type="dxa"/>
          </w:tcPr>
          <w:p>
            <w:pPr>
              <w:adjustRightInd w:val="0"/>
              <w:snapToGrid w:val="0"/>
              <w:spacing w:line="360" w:lineRule="auto"/>
              <w:rPr>
                <w:rFonts w:ascii="宋体" w:hAnsi="宋体" w:cs="宋体"/>
                <w:sz w:val="24"/>
              </w:rPr>
            </w:pPr>
          </w:p>
        </w:tc>
        <w:tc>
          <w:tcPr>
            <w:tcW w:w="992" w:type="dxa"/>
            <w:vAlign w:val="center"/>
          </w:tcPr>
          <w:p>
            <w:pPr>
              <w:adjustRightInd w:val="0"/>
              <w:snapToGrid w:val="0"/>
              <w:spacing w:line="360" w:lineRule="auto"/>
              <w:rPr>
                <w:rFonts w:ascii="宋体" w:hAnsi="宋体" w:cs="宋体"/>
                <w:sz w:val="24"/>
              </w:rPr>
            </w:pPr>
          </w:p>
        </w:tc>
        <w:tc>
          <w:tcPr>
            <w:tcW w:w="1276" w:type="dxa"/>
            <w:vAlign w:val="center"/>
          </w:tcPr>
          <w:p>
            <w:pPr>
              <w:adjustRightInd w:val="0"/>
              <w:snapToGrid w:val="0"/>
              <w:spacing w:line="360" w:lineRule="auto"/>
              <w:rPr>
                <w:rFonts w:ascii="宋体" w:hAnsi="宋体" w:cs="宋体"/>
                <w:sz w:val="24"/>
              </w:rPr>
            </w:pPr>
          </w:p>
        </w:tc>
        <w:tc>
          <w:tcPr>
            <w:tcW w:w="1134" w:type="dxa"/>
            <w:vAlign w:val="center"/>
          </w:tcPr>
          <w:p>
            <w:pPr>
              <w:adjustRightInd w:val="0"/>
              <w:snapToGrid w:val="0"/>
              <w:spacing w:line="360" w:lineRule="auto"/>
              <w:rPr>
                <w:rFonts w:ascii="宋体" w:hAnsi="宋体" w:cs="宋体"/>
                <w:sz w:val="24"/>
              </w:rPr>
            </w:pPr>
          </w:p>
        </w:tc>
        <w:tc>
          <w:tcPr>
            <w:tcW w:w="708" w:type="dxa"/>
            <w:vAlign w:val="center"/>
          </w:tcPr>
          <w:p>
            <w:pPr>
              <w:adjustRightInd w:val="0"/>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宋体" w:hAnsi="宋体" w:cs="宋体"/>
                <w:sz w:val="24"/>
              </w:rPr>
            </w:pPr>
          </w:p>
        </w:tc>
        <w:tc>
          <w:tcPr>
            <w:tcW w:w="1428" w:type="dxa"/>
            <w:vAlign w:val="center"/>
          </w:tcPr>
          <w:p>
            <w:pPr>
              <w:adjustRightInd w:val="0"/>
              <w:snapToGrid w:val="0"/>
              <w:spacing w:line="360" w:lineRule="auto"/>
              <w:rPr>
                <w:rFonts w:ascii="宋体" w:hAnsi="宋体" w:cs="宋体"/>
                <w:sz w:val="24"/>
              </w:rPr>
            </w:pPr>
          </w:p>
        </w:tc>
        <w:tc>
          <w:tcPr>
            <w:tcW w:w="1188" w:type="dxa"/>
          </w:tcPr>
          <w:p>
            <w:pPr>
              <w:adjustRightInd w:val="0"/>
              <w:snapToGrid w:val="0"/>
              <w:spacing w:line="360" w:lineRule="auto"/>
              <w:rPr>
                <w:rFonts w:ascii="宋体" w:hAnsi="宋体" w:cs="宋体"/>
                <w:sz w:val="24"/>
              </w:rPr>
            </w:pPr>
          </w:p>
        </w:tc>
        <w:tc>
          <w:tcPr>
            <w:tcW w:w="1560" w:type="dxa"/>
          </w:tcPr>
          <w:p>
            <w:pPr>
              <w:adjustRightInd w:val="0"/>
              <w:snapToGrid w:val="0"/>
              <w:spacing w:line="360" w:lineRule="auto"/>
              <w:rPr>
                <w:rFonts w:ascii="宋体" w:hAnsi="宋体" w:cs="宋体"/>
                <w:sz w:val="24"/>
              </w:rPr>
            </w:pPr>
          </w:p>
        </w:tc>
        <w:tc>
          <w:tcPr>
            <w:tcW w:w="992" w:type="dxa"/>
            <w:vAlign w:val="center"/>
          </w:tcPr>
          <w:p>
            <w:pPr>
              <w:adjustRightInd w:val="0"/>
              <w:snapToGrid w:val="0"/>
              <w:spacing w:line="360" w:lineRule="auto"/>
              <w:rPr>
                <w:rFonts w:ascii="宋体" w:hAnsi="宋体" w:cs="宋体"/>
                <w:sz w:val="24"/>
              </w:rPr>
            </w:pPr>
          </w:p>
        </w:tc>
        <w:tc>
          <w:tcPr>
            <w:tcW w:w="1276" w:type="dxa"/>
            <w:vAlign w:val="center"/>
          </w:tcPr>
          <w:p>
            <w:pPr>
              <w:adjustRightInd w:val="0"/>
              <w:snapToGrid w:val="0"/>
              <w:spacing w:line="360" w:lineRule="auto"/>
              <w:rPr>
                <w:rFonts w:ascii="宋体" w:hAnsi="宋体" w:cs="宋体"/>
                <w:sz w:val="24"/>
              </w:rPr>
            </w:pPr>
          </w:p>
        </w:tc>
        <w:tc>
          <w:tcPr>
            <w:tcW w:w="1134" w:type="dxa"/>
            <w:vAlign w:val="center"/>
          </w:tcPr>
          <w:p>
            <w:pPr>
              <w:adjustRightInd w:val="0"/>
              <w:snapToGrid w:val="0"/>
              <w:spacing w:line="360" w:lineRule="auto"/>
              <w:rPr>
                <w:rFonts w:ascii="宋体" w:hAnsi="宋体" w:cs="宋体"/>
                <w:sz w:val="24"/>
              </w:rPr>
            </w:pPr>
          </w:p>
        </w:tc>
        <w:tc>
          <w:tcPr>
            <w:tcW w:w="708" w:type="dxa"/>
            <w:vAlign w:val="center"/>
          </w:tcPr>
          <w:p>
            <w:pPr>
              <w:adjustRightInd w:val="0"/>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宋体" w:hAnsi="宋体" w:cs="宋体"/>
                <w:sz w:val="24"/>
              </w:rPr>
            </w:pPr>
          </w:p>
        </w:tc>
        <w:tc>
          <w:tcPr>
            <w:tcW w:w="1428" w:type="dxa"/>
            <w:vAlign w:val="center"/>
          </w:tcPr>
          <w:p>
            <w:pPr>
              <w:adjustRightInd w:val="0"/>
              <w:snapToGrid w:val="0"/>
              <w:spacing w:line="360" w:lineRule="auto"/>
              <w:rPr>
                <w:rFonts w:ascii="宋体" w:hAnsi="宋体" w:cs="宋体"/>
                <w:sz w:val="24"/>
              </w:rPr>
            </w:pPr>
          </w:p>
        </w:tc>
        <w:tc>
          <w:tcPr>
            <w:tcW w:w="1188" w:type="dxa"/>
          </w:tcPr>
          <w:p>
            <w:pPr>
              <w:adjustRightInd w:val="0"/>
              <w:snapToGrid w:val="0"/>
              <w:spacing w:line="360" w:lineRule="auto"/>
              <w:rPr>
                <w:rFonts w:ascii="宋体" w:hAnsi="宋体" w:cs="宋体"/>
                <w:sz w:val="24"/>
              </w:rPr>
            </w:pPr>
          </w:p>
        </w:tc>
        <w:tc>
          <w:tcPr>
            <w:tcW w:w="1560" w:type="dxa"/>
          </w:tcPr>
          <w:p>
            <w:pPr>
              <w:adjustRightInd w:val="0"/>
              <w:snapToGrid w:val="0"/>
              <w:spacing w:line="360" w:lineRule="auto"/>
              <w:rPr>
                <w:rFonts w:ascii="宋体" w:hAnsi="宋体" w:cs="宋体"/>
                <w:sz w:val="24"/>
              </w:rPr>
            </w:pPr>
          </w:p>
        </w:tc>
        <w:tc>
          <w:tcPr>
            <w:tcW w:w="992" w:type="dxa"/>
            <w:vAlign w:val="center"/>
          </w:tcPr>
          <w:p>
            <w:pPr>
              <w:adjustRightInd w:val="0"/>
              <w:snapToGrid w:val="0"/>
              <w:spacing w:line="360" w:lineRule="auto"/>
              <w:rPr>
                <w:rFonts w:ascii="宋体" w:hAnsi="宋体" w:cs="宋体"/>
                <w:sz w:val="24"/>
              </w:rPr>
            </w:pPr>
          </w:p>
        </w:tc>
        <w:tc>
          <w:tcPr>
            <w:tcW w:w="1276" w:type="dxa"/>
            <w:vAlign w:val="center"/>
          </w:tcPr>
          <w:p>
            <w:pPr>
              <w:adjustRightInd w:val="0"/>
              <w:snapToGrid w:val="0"/>
              <w:spacing w:line="360" w:lineRule="auto"/>
              <w:rPr>
                <w:rFonts w:ascii="宋体" w:hAnsi="宋体" w:cs="宋体"/>
                <w:sz w:val="24"/>
              </w:rPr>
            </w:pPr>
          </w:p>
        </w:tc>
        <w:tc>
          <w:tcPr>
            <w:tcW w:w="1134" w:type="dxa"/>
            <w:vAlign w:val="center"/>
          </w:tcPr>
          <w:p>
            <w:pPr>
              <w:adjustRightInd w:val="0"/>
              <w:snapToGrid w:val="0"/>
              <w:spacing w:line="360" w:lineRule="auto"/>
              <w:rPr>
                <w:rFonts w:ascii="宋体" w:hAnsi="宋体" w:cs="宋体"/>
                <w:sz w:val="24"/>
              </w:rPr>
            </w:pPr>
          </w:p>
        </w:tc>
        <w:tc>
          <w:tcPr>
            <w:tcW w:w="708" w:type="dxa"/>
            <w:vAlign w:val="center"/>
          </w:tcPr>
          <w:p>
            <w:pPr>
              <w:adjustRightInd w:val="0"/>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宋体" w:hAnsi="宋体" w:cs="宋体"/>
                <w:sz w:val="24"/>
              </w:rPr>
            </w:pPr>
          </w:p>
        </w:tc>
        <w:tc>
          <w:tcPr>
            <w:tcW w:w="1428" w:type="dxa"/>
            <w:vAlign w:val="center"/>
          </w:tcPr>
          <w:p>
            <w:pPr>
              <w:adjustRightInd w:val="0"/>
              <w:snapToGrid w:val="0"/>
              <w:spacing w:line="360" w:lineRule="auto"/>
              <w:rPr>
                <w:rFonts w:ascii="宋体" w:hAnsi="宋体" w:cs="宋体"/>
                <w:sz w:val="24"/>
              </w:rPr>
            </w:pPr>
          </w:p>
        </w:tc>
        <w:tc>
          <w:tcPr>
            <w:tcW w:w="1188" w:type="dxa"/>
          </w:tcPr>
          <w:p>
            <w:pPr>
              <w:adjustRightInd w:val="0"/>
              <w:snapToGrid w:val="0"/>
              <w:spacing w:line="360" w:lineRule="auto"/>
              <w:rPr>
                <w:rFonts w:ascii="宋体" w:hAnsi="宋体" w:cs="宋体"/>
                <w:sz w:val="24"/>
              </w:rPr>
            </w:pPr>
          </w:p>
        </w:tc>
        <w:tc>
          <w:tcPr>
            <w:tcW w:w="1560" w:type="dxa"/>
          </w:tcPr>
          <w:p>
            <w:pPr>
              <w:adjustRightInd w:val="0"/>
              <w:snapToGrid w:val="0"/>
              <w:spacing w:line="360" w:lineRule="auto"/>
              <w:rPr>
                <w:rFonts w:ascii="宋体" w:hAnsi="宋体" w:cs="宋体"/>
                <w:sz w:val="24"/>
              </w:rPr>
            </w:pPr>
          </w:p>
        </w:tc>
        <w:tc>
          <w:tcPr>
            <w:tcW w:w="992" w:type="dxa"/>
            <w:vAlign w:val="center"/>
          </w:tcPr>
          <w:p>
            <w:pPr>
              <w:adjustRightInd w:val="0"/>
              <w:snapToGrid w:val="0"/>
              <w:spacing w:line="360" w:lineRule="auto"/>
              <w:rPr>
                <w:rFonts w:ascii="宋体" w:hAnsi="宋体" w:cs="宋体"/>
                <w:sz w:val="24"/>
              </w:rPr>
            </w:pPr>
          </w:p>
        </w:tc>
        <w:tc>
          <w:tcPr>
            <w:tcW w:w="1276" w:type="dxa"/>
            <w:vAlign w:val="center"/>
          </w:tcPr>
          <w:p>
            <w:pPr>
              <w:adjustRightInd w:val="0"/>
              <w:snapToGrid w:val="0"/>
              <w:spacing w:line="360" w:lineRule="auto"/>
              <w:rPr>
                <w:rFonts w:ascii="宋体" w:hAnsi="宋体" w:cs="宋体"/>
                <w:sz w:val="24"/>
              </w:rPr>
            </w:pPr>
          </w:p>
        </w:tc>
        <w:tc>
          <w:tcPr>
            <w:tcW w:w="1134" w:type="dxa"/>
            <w:vAlign w:val="center"/>
          </w:tcPr>
          <w:p>
            <w:pPr>
              <w:adjustRightInd w:val="0"/>
              <w:snapToGrid w:val="0"/>
              <w:spacing w:line="360" w:lineRule="auto"/>
              <w:rPr>
                <w:rFonts w:ascii="宋体" w:hAnsi="宋体" w:cs="宋体"/>
                <w:sz w:val="24"/>
              </w:rPr>
            </w:pPr>
          </w:p>
        </w:tc>
        <w:tc>
          <w:tcPr>
            <w:tcW w:w="708" w:type="dxa"/>
            <w:vAlign w:val="center"/>
          </w:tcPr>
          <w:p>
            <w:pPr>
              <w:adjustRightInd w:val="0"/>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宋体" w:hAnsi="宋体" w:cs="宋体"/>
                <w:sz w:val="24"/>
              </w:rPr>
            </w:pPr>
          </w:p>
        </w:tc>
        <w:tc>
          <w:tcPr>
            <w:tcW w:w="1428" w:type="dxa"/>
            <w:vAlign w:val="center"/>
          </w:tcPr>
          <w:p>
            <w:pPr>
              <w:adjustRightInd w:val="0"/>
              <w:snapToGrid w:val="0"/>
              <w:spacing w:line="360" w:lineRule="auto"/>
              <w:rPr>
                <w:rFonts w:ascii="宋体" w:hAnsi="宋体" w:cs="宋体"/>
                <w:sz w:val="24"/>
              </w:rPr>
            </w:pPr>
          </w:p>
        </w:tc>
        <w:tc>
          <w:tcPr>
            <w:tcW w:w="1188" w:type="dxa"/>
          </w:tcPr>
          <w:p>
            <w:pPr>
              <w:adjustRightInd w:val="0"/>
              <w:snapToGrid w:val="0"/>
              <w:spacing w:line="360" w:lineRule="auto"/>
              <w:rPr>
                <w:rFonts w:ascii="宋体" w:hAnsi="宋体" w:cs="宋体"/>
                <w:sz w:val="24"/>
              </w:rPr>
            </w:pPr>
          </w:p>
        </w:tc>
        <w:tc>
          <w:tcPr>
            <w:tcW w:w="1560" w:type="dxa"/>
          </w:tcPr>
          <w:p>
            <w:pPr>
              <w:adjustRightInd w:val="0"/>
              <w:snapToGrid w:val="0"/>
              <w:spacing w:line="360" w:lineRule="auto"/>
              <w:rPr>
                <w:rFonts w:ascii="宋体" w:hAnsi="宋体" w:cs="宋体"/>
                <w:sz w:val="24"/>
              </w:rPr>
            </w:pPr>
          </w:p>
        </w:tc>
        <w:tc>
          <w:tcPr>
            <w:tcW w:w="992" w:type="dxa"/>
            <w:vAlign w:val="center"/>
          </w:tcPr>
          <w:p>
            <w:pPr>
              <w:adjustRightInd w:val="0"/>
              <w:snapToGrid w:val="0"/>
              <w:spacing w:line="360" w:lineRule="auto"/>
              <w:rPr>
                <w:rFonts w:ascii="宋体" w:hAnsi="宋体" w:cs="宋体"/>
                <w:sz w:val="24"/>
              </w:rPr>
            </w:pPr>
          </w:p>
        </w:tc>
        <w:tc>
          <w:tcPr>
            <w:tcW w:w="1276" w:type="dxa"/>
            <w:vAlign w:val="center"/>
          </w:tcPr>
          <w:p>
            <w:pPr>
              <w:adjustRightInd w:val="0"/>
              <w:snapToGrid w:val="0"/>
              <w:spacing w:line="360" w:lineRule="auto"/>
              <w:rPr>
                <w:rFonts w:ascii="宋体" w:hAnsi="宋体" w:cs="宋体"/>
                <w:sz w:val="24"/>
              </w:rPr>
            </w:pPr>
          </w:p>
        </w:tc>
        <w:tc>
          <w:tcPr>
            <w:tcW w:w="1134" w:type="dxa"/>
            <w:vAlign w:val="center"/>
          </w:tcPr>
          <w:p>
            <w:pPr>
              <w:adjustRightInd w:val="0"/>
              <w:snapToGrid w:val="0"/>
              <w:spacing w:line="360" w:lineRule="auto"/>
              <w:rPr>
                <w:rFonts w:ascii="宋体" w:hAnsi="宋体" w:cs="宋体"/>
                <w:sz w:val="24"/>
              </w:rPr>
            </w:pPr>
          </w:p>
        </w:tc>
        <w:tc>
          <w:tcPr>
            <w:tcW w:w="708" w:type="dxa"/>
            <w:vAlign w:val="center"/>
          </w:tcPr>
          <w:p>
            <w:pPr>
              <w:adjustRightInd w:val="0"/>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宋体" w:hAnsi="宋体" w:cs="宋体"/>
                <w:sz w:val="24"/>
              </w:rPr>
            </w:pPr>
          </w:p>
        </w:tc>
        <w:tc>
          <w:tcPr>
            <w:tcW w:w="1428" w:type="dxa"/>
            <w:vAlign w:val="center"/>
          </w:tcPr>
          <w:p>
            <w:pPr>
              <w:adjustRightInd w:val="0"/>
              <w:snapToGrid w:val="0"/>
              <w:spacing w:line="360" w:lineRule="auto"/>
              <w:rPr>
                <w:rFonts w:ascii="宋体" w:hAnsi="宋体" w:cs="宋体"/>
                <w:sz w:val="24"/>
              </w:rPr>
            </w:pPr>
          </w:p>
        </w:tc>
        <w:tc>
          <w:tcPr>
            <w:tcW w:w="1188" w:type="dxa"/>
          </w:tcPr>
          <w:p>
            <w:pPr>
              <w:adjustRightInd w:val="0"/>
              <w:snapToGrid w:val="0"/>
              <w:spacing w:line="360" w:lineRule="auto"/>
              <w:rPr>
                <w:rFonts w:ascii="宋体" w:hAnsi="宋体" w:cs="宋体"/>
                <w:sz w:val="24"/>
              </w:rPr>
            </w:pPr>
          </w:p>
        </w:tc>
        <w:tc>
          <w:tcPr>
            <w:tcW w:w="1560" w:type="dxa"/>
          </w:tcPr>
          <w:p>
            <w:pPr>
              <w:adjustRightInd w:val="0"/>
              <w:snapToGrid w:val="0"/>
              <w:spacing w:line="360" w:lineRule="auto"/>
              <w:rPr>
                <w:rFonts w:ascii="宋体" w:hAnsi="宋体" w:cs="宋体"/>
                <w:sz w:val="24"/>
              </w:rPr>
            </w:pPr>
          </w:p>
        </w:tc>
        <w:tc>
          <w:tcPr>
            <w:tcW w:w="992" w:type="dxa"/>
            <w:vAlign w:val="center"/>
          </w:tcPr>
          <w:p>
            <w:pPr>
              <w:adjustRightInd w:val="0"/>
              <w:snapToGrid w:val="0"/>
              <w:spacing w:line="360" w:lineRule="auto"/>
              <w:rPr>
                <w:rFonts w:ascii="宋体" w:hAnsi="宋体" w:cs="宋体"/>
                <w:sz w:val="24"/>
              </w:rPr>
            </w:pPr>
          </w:p>
        </w:tc>
        <w:tc>
          <w:tcPr>
            <w:tcW w:w="1276" w:type="dxa"/>
            <w:vAlign w:val="center"/>
          </w:tcPr>
          <w:p>
            <w:pPr>
              <w:adjustRightInd w:val="0"/>
              <w:snapToGrid w:val="0"/>
              <w:spacing w:line="360" w:lineRule="auto"/>
              <w:rPr>
                <w:rFonts w:ascii="宋体" w:hAnsi="宋体" w:cs="宋体"/>
                <w:sz w:val="24"/>
              </w:rPr>
            </w:pPr>
          </w:p>
        </w:tc>
        <w:tc>
          <w:tcPr>
            <w:tcW w:w="1134" w:type="dxa"/>
            <w:vAlign w:val="center"/>
          </w:tcPr>
          <w:p>
            <w:pPr>
              <w:adjustRightInd w:val="0"/>
              <w:snapToGrid w:val="0"/>
              <w:spacing w:line="360" w:lineRule="auto"/>
              <w:rPr>
                <w:rFonts w:ascii="宋体" w:hAnsi="宋体" w:cs="宋体"/>
                <w:sz w:val="24"/>
              </w:rPr>
            </w:pPr>
          </w:p>
        </w:tc>
        <w:tc>
          <w:tcPr>
            <w:tcW w:w="708" w:type="dxa"/>
            <w:vAlign w:val="center"/>
          </w:tcPr>
          <w:p>
            <w:pPr>
              <w:adjustRightInd w:val="0"/>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宋体" w:hAnsi="宋体" w:cs="宋体"/>
                <w:sz w:val="24"/>
              </w:rPr>
            </w:pPr>
          </w:p>
        </w:tc>
        <w:tc>
          <w:tcPr>
            <w:tcW w:w="1428" w:type="dxa"/>
            <w:vAlign w:val="center"/>
          </w:tcPr>
          <w:p>
            <w:pPr>
              <w:adjustRightInd w:val="0"/>
              <w:snapToGrid w:val="0"/>
              <w:spacing w:line="360" w:lineRule="auto"/>
              <w:rPr>
                <w:rFonts w:ascii="宋体" w:hAnsi="宋体" w:cs="宋体"/>
                <w:sz w:val="24"/>
              </w:rPr>
            </w:pPr>
          </w:p>
        </w:tc>
        <w:tc>
          <w:tcPr>
            <w:tcW w:w="1188" w:type="dxa"/>
          </w:tcPr>
          <w:p>
            <w:pPr>
              <w:adjustRightInd w:val="0"/>
              <w:snapToGrid w:val="0"/>
              <w:spacing w:line="360" w:lineRule="auto"/>
              <w:rPr>
                <w:rFonts w:ascii="宋体" w:hAnsi="宋体" w:cs="宋体"/>
                <w:sz w:val="24"/>
              </w:rPr>
            </w:pPr>
          </w:p>
        </w:tc>
        <w:tc>
          <w:tcPr>
            <w:tcW w:w="1560" w:type="dxa"/>
          </w:tcPr>
          <w:p>
            <w:pPr>
              <w:adjustRightInd w:val="0"/>
              <w:snapToGrid w:val="0"/>
              <w:spacing w:line="360" w:lineRule="auto"/>
              <w:rPr>
                <w:rFonts w:ascii="宋体" w:hAnsi="宋体" w:cs="宋体"/>
                <w:sz w:val="24"/>
              </w:rPr>
            </w:pPr>
          </w:p>
        </w:tc>
        <w:tc>
          <w:tcPr>
            <w:tcW w:w="992" w:type="dxa"/>
            <w:vAlign w:val="center"/>
          </w:tcPr>
          <w:p>
            <w:pPr>
              <w:adjustRightInd w:val="0"/>
              <w:snapToGrid w:val="0"/>
              <w:spacing w:line="360" w:lineRule="auto"/>
              <w:rPr>
                <w:rFonts w:ascii="宋体" w:hAnsi="宋体" w:cs="宋体"/>
                <w:sz w:val="24"/>
              </w:rPr>
            </w:pPr>
          </w:p>
        </w:tc>
        <w:tc>
          <w:tcPr>
            <w:tcW w:w="1276" w:type="dxa"/>
            <w:vAlign w:val="center"/>
          </w:tcPr>
          <w:p>
            <w:pPr>
              <w:adjustRightInd w:val="0"/>
              <w:snapToGrid w:val="0"/>
              <w:spacing w:line="360" w:lineRule="auto"/>
              <w:rPr>
                <w:rFonts w:ascii="宋体" w:hAnsi="宋体" w:cs="宋体"/>
                <w:sz w:val="24"/>
              </w:rPr>
            </w:pPr>
          </w:p>
        </w:tc>
        <w:tc>
          <w:tcPr>
            <w:tcW w:w="1134" w:type="dxa"/>
            <w:vAlign w:val="center"/>
          </w:tcPr>
          <w:p>
            <w:pPr>
              <w:adjustRightInd w:val="0"/>
              <w:snapToGrid w:val="0"/>
              <w:spacing w:line="360" w:lineRule="auto"/>
              <w:rPr>
                <w:rFonts w:ascii="宋体" w:hAnsi="宋体" w:cs="宋体"/>
                <w:sz w:val="24"/>
              </w:rPr>
            </w:pPr>
          </w:p>
        </w:tc>
        <w:tc>
          <w:tcPr>
            <w:tcW w:w="708" w:type="dxa"/>
            <w:vAlign w:val="center"/>
          </w:tcPr>
          <w:p>
            <w:pPr>
              <w:adjustRightInd w:val="0"/>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宋体" w:hAnsi="宋体" w:cs="宋体"/>
                <w:sz w:val="24"/>
              </w:rPr>
            </w:pPr>
          </w:p>
        </w:tc>
        <w:tc>
          <w:tcPr>
            <w:tcW w:w="1428" w:type="dxa"/>
            <w:vAlign w:val="center"/>
          </w:tcPr>
          <w:p>
            <w:pPr>
              <w:adjustRightInd w:val="0"/>
              <w:snapToGrid w:val="0"/>
              <w:spacing w:line="360" w:lineRule="auto"/>
              <w:rPr>
                <w:rFonts w:ascii="宋体" w:hAnsi="宋体" w:cs="宋体"/>
                <w:sz w:val="24"/>
              </w:rPr>
            </w:pPr>
          </w:p>
        </w:tc>
        <w:tc>
          <w:tcPr>
            <w:tcW w:w="1188" w:type="dxa"/>
          </w:tcPr>
          <w:p>
            <w:pPr>
              <w:adjustRightInd w:val="0"/>
              <w:snapToGrid w:val="0"/>
              <w:spacing w:line="360" w:lineRule="auto"/>
              <w:rPr>
                <w:rFonts w:ascii="宋体" w:hAnsi="宋体" w:cs="宋体"/>
                <w:sz w:val="24"/>
              </w:rPr>
            </w:pPr>
          </w:p>
        </w:tc>
        <w:tc>
          <w:tcPr>
            <w:tcW w:w="1560" w:type="dxa"/>
          </w:tcPr>
          <w:p>
            <w:pPr>
              <w:adjustRightInd w:val="0"/>
              <w:snapToGrid w:val="0"/>
              <w:spacing w:line="360" w:lineRule="auto"/>
              <w:rPr>
                <w:rFonts w:ascii="宋体" w:hAnsi="宋体" w:cs="宋体"/>
                <w:sz w:val="24"/>
              </w:rPr>
            </w:pPr>
          </w:p>
        </w:tc>
        <w:tc>
          <w:tcPr>
            <w:tcW w:w="992" w:type="dxa"/>
            <w:vAlign w:val="center"/>
          </w:tcPr>
          <w:p>
            <w:pPr>
              <w:adjustRightInd w:val="0"/>
              <w:snapToGrid w:val="0"/>
              <w:spacing w:line="360" w:lineRule="auto"/>
              <w:rPr>
                <w:rFonts w:ascii="宋体" w:hAnsi="宋体" w:cs="宋体"/>
                <w:sz w:val="24"/>
              </w:rPr>
            </w:pPr>
          </w:p>
        </w:tc>
        <w:tc>
          <w:tcPr>
            <w:tcW w:w="1276" w:type="dxa"/>
            <w:vAlign w:val="center"/>
          </w:tcPr>
          <w:p>
            <w:pPr>
              <w:adjustRightInd w:val="0"/>
              <w:snapToGrid w:val="0"/>
              <w:spacing w:line="360" w:lineRule="auto"/>
              <w:rPr>
                <w:rFonts w:ascii="宋体" w:hAnsi="宋体" w:cs="宋体"/>
                <w:sz w:val="24"/>
              </w:rPr>
            </w:pPr>
          </w:p>
        </w:tc>
        <w:tc>
          <w:tcPr>
            <w:tcW w:w="1134" w:type="dxa"/>
            <w:vAlign w:val="center"/>
          </w:tcPr>
          <w:p>
            <w:pPr>
              <w:adjustRightInd w:val="0"/>
              <w:snapToGrid w:val="0"/>
              <w:spacing w:line="360" w:lineRule="auto"/>
              <w:rPr>
                <w:rFonts w:ascii="宋体" w:hAnsi="宋体" w:cs="宋体"/>
                <w:sz w:val="24"/>
              </w:rPr>
            </w:pPr>
          </w:p>
        </w:tc>
        <w:tc>
          <w:tcPr>
            <w:tcW w:w="708" w:type="dxa"/>
            <w:vAlign w:val="center"/>
          </w:tcPr>
          <w:p>
            <w:pPr>
              <w:adjustRightInd w:val="0"/>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宋体" w:hAnsi="宋体" w:cs="宋体"/>
                <w:sz w:val="24"/>
              </w:rPr>
            </w:pPr>
          </w:p>
        </w:tc>
        <w:tc>
          <w:tcPr>
            <w:tcW w:w="1428" w:type="dxa"/>
            <w:vAlign w:val="center"/>
          </w:tcPr>
          <w:p>
            <w:pPr>
              <w:adjustRightInd w:val="0"/>
              <w:snapToGrid w:val="0"/>
              <w:spacing w:line="360" w:lineRule="auto"/>
              <w:rPr>
                <w:rFonts w:ascii="宋体" w:hAnsi="宋体" w:cs="宋体"/>
                <w:sz w:val="24"/>
              </w:rPr>
            </w:pPr>
          </w:p>
        </w:tc>
        <w:tc>
          <w:tcPr>
            <w:tcW w:w="1188" w:type="dxa"/>
          </w:tcPr>
          <w:p>
            <w:pPr>
              <w:adjustRightInd w:val="0"/>
              <w:snapToGrid w:val="0"/>
              <w:spacing w:line="360" w:lineRule="auto"/>
              <w:rPr>
                <w:rFonts w:ascii="宋体" w:hAnsi="宋体" w:cs="宋体"/>
                <w:sz w:val="24"/>
              </w:rPr>
            </w:pPr>
          </w:p>
        </w:tc>
        <w:tc>
          <w:tcPr>
            <w:tcW w:w="1560" w:type="dxa"/>
          </w:tcPr>
          <w:p>
            <w:pPr>
              <w:adjustRightInd w:val="0"/>
              <w:snapToGrid w:val="0"/>
              <w:spacing w:line="360" w:lineRule="auto"/>
              <w:rPr>
                <w:rFonts w:ascii="宋体" w:hAnsi="宋体" w:cs="宋体"/>
                <w:sz w:val="24"/>
              </w:rPr>
            </w:pPr>
          </w:p>
        </w:tc>
        <w:tc>
          <w:tcPr>
            <w:tcW w:w="992" w:type="dxa"/>
            <w:vAlign w:val="center"/>
          </w:tcPr>
          <w:p>
            <w:pPr>
              <w:adjustRightInd w:val="0"/>
              <w:snapToGrid w:val="0"/>
              <w:spacing w:line="360" w:lineRule="auto"/>
              <w:rPr>
                <w:rFonts w:ascii="宋体" w:hAnsi="宋体" w:cs="宋体"/>
                <w:sz w:val="24"/>
              </w:rPr>
            </w:pPr>
          </w:p>
        </w:tc>
        <w:tc>
          <w:tcPr>
            <w:tcW w:w="1276" w:type="dxa"/>
            <w:vAlign w:val="center"/>
          </w:tcPr>
          <w:p>
            <w:pPr>
              <w:adjustRightInd w:val="0"/>
              <w:snapToGrid w:val="0"/>
              <w:spacing w:line="360" w:lineRule="auto"/>
              <w:rPr>
                <w:rFonts w:ascii="宋体" w:hAnsi="宋体" w:cs="宋体"/>
                <w:sz w:val="24"/>
              </w:rPr>
            </w:pPr>
          </w:p>
        </w:tc>
        <w:tc>
          <w:tcPr>
            <w:tcW w:w="1134" w:type="dxa"/>
            <w:vAlign w:val="center"/>
          </w:tcPr>
          <w:p>
            <w:pPr>
              <w:adjustRightInd w:val="0"/>
              <w:snapToGrid w:val="0"/>
              <w:spacing w:line="360" w:lineRule="auto"/>
              <w:rPr>
                <w:rFonts w:ascii="宋体" w:hAnsi="宋体" w:cs="宋体"/>
                <w:sz w:val="24"/>
              </w:rPr>
            </w:pPr>
          </w:p>
        </w:tc>
        <w:tc>
          <w:tcPr>
            <w:tcW w:w="708" w:type="dxa"/>
            <w:vAlign w:val="center"/>
          </w:tcPr>
          <w:p>
            <w:pPr>
              <w:adjustRightInd w:val="0"/>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宋体" w:hAnsi="宋体" w:cs="宋体"/>
                <w:sz w:val="24"/>
              </w:rPr>
            </w:pPr>
          </w:p>
        </w:tc>
        <w:tc>
          <w:tcPr>
            <w:tcW w:w="1428" w:type="dxa"/>
            <w:vAlign w:val="center"/>
          </w:tcPr>
          <w:p>
            <w:pPr>
              <w:adjustRightInd w:val="0"/>
              <w:snapToGrid w:val="0"/>
              <w:spacing w:line="360" w:lineRule="auto"/>
              <w:rPr>
                <w:rFonts w:ascii="宋体" w:hAnsi="宋体" w:cs="宋体"/>
                <w:sz w:val="24"/>
              </w:rPr>
            </w:pPr>
          </w:p>
        </w:tc>
        <w:tc>
          <w:tcPr>
            <w:tcW w:w="1188" w:type="dxa"/>
          </w:tcPr>
          <w:p>
            <w:pPr>
              <w:adjustRightInd w:val="0"/>
              <w:snapToGrid w:val="0"/>
              <w:spacing w:line="360" w:lineRule="auto"/>
              <w:rPr>
                <w:rFonts w:ascii="宋体" w:hAnsi="宋体" w:cs="宋体"/>
                <w:sz w:val="24"/>
              </w:rPr>
            </w:pPr>
          </w:p>
        </w:tc>
        <w:tc>
          <w:tcPr>
            <w:tcW w:w="1560" w:type="dxa"/>
          </w:tcPr>
          <w:p>
            <w:pPr>
              <w:adjustRightInd w:val="0"/>
              <w:snapToGrid w:val="0"/>
              <w:spacing w:line="360" w:lineRule="auto"/>
              <w:rPr>
                <w:rFonts w:ascii="宋体" w:hAnsi="宋体" w:cs="宋体"/>
                <w:sz w:val="24"/>
              </w:rPr>
            </w:pPr>
          </w:p>
        </w:tc>
        <w:tc>
          <w:tcPr>
            <w:tcW w:w="992" w:type="dxa"/>
            <w:vAlign w:val="center"/>
          </w:tcPr>
          <w:p>
            <w:pPr>
              <w:adjustRightInd w:val="0"/>
              <w:snapToGrid w:val="0"/>
              <w:spacing w:line="360" w:lineRule="auto"/>
              <w:rPr>
                <w:rFonts w:ascii="宋体" w:hAnsi="宋体" w:cs="宋体"/>
                <w:sz w:val="24"/>
              </w:rPr>
            </w:pPr>
          </w:p>
        </w:tc>
        <w:tc>
          <w:tcPr>
            <w:tcW w:w="1276" w:type="dxa"/>
            <w:vAlign w:val="center"/>
          </w:tcPr>
          <w:p>
            <w:pPr>
              <w:adjustRightInd w:val="0"/>
              <w:snapToGrid w:val="0"/>
              <w:spacing w:line="360" w:lineRule="auto"/>
              <w:rPr>
                <w:rFonts w:ascii="宋体" w:hAnsi="宋体" w:cs="宋体"/>
                <w:sz w:val="24"/>
              </w:rPr>
            </w:pPr>
          </w:p>
        </w:tc>
        <w:tc>
          <w:tcPr>
            <w:tcW w:w="1134" w:type="dxa"/>
            <w:vAlign w:val="center"/>
          </w:tcPr>
          <w:p>
            <w:pPr>
              <w:adjustRightInd w:val="0"/>
              <w:snapToGrid w:val="0"/>
              <w:spacing w:line="360" w:lineRule="auto"/>
              <w:rPr>
                <w:rFonts w:ascii="宋体" w:hAnsi="宋体" w:cs="宋体"/>
                <w:sz w:val="24"/>
              </w:rPr>
            </w:pPr>
          </w:p>
        </w:tc>
        <w:tc>
          <w:tcPr>
            <w:tcW w:w="708" w:type="dxa"/>
            <w:vAlign w:val="center"/>
          </w:tcPr>
          <w:p>
            <w:pPr>
              <w:adjustRightInd w:val="0"/>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宋体" w:hAnsi="宋体" w:cs="宋体"/>
                <w:sz w:val="24"/>
              </w:rPr>
            </w:pPr>
          </w:p>
        </w:tc>
        <w:tc>
          <w:tcPr>
            <w:tcW w:w="1428" w:type="dxa"/>
            <w:vAlign w:val="center"/>
          </w:tcPr>
          <w:p>
            <w:pPr>
              <w:adjustRightInd w:val="0"/>
              <w:snapToGrid w:val="0"/>
              <w:spacing w:line="360" w:lineRule="auto"/>
              <w:rPr>
                <w:rFonts w:ascii="宋体" w:hAnsi="宋体" w:cs="宋体"/>
                <w:sz w:val="24"/>
              </w:rPr>
            </w:pPr>
          </w:p>
        </w:tc>
        <w:tc>
          <w:tcPr>
            <w:tcW w:w="1188" w:type="dxa"/>
          </w:tcPr>
          <w:p>
            <w:pPr>
              <w:adjustRightInd w:val="0"/>
              <w:snapToGrid w:val="0"/>
              <w:spacing w:line="360" w:lineRule="auto"/>
              <w:rPr>
                <w:rFonts w:ascii="宋体" w:hAnsi="宋体" w:cs="宋体"/>
                <w:sz w:val="24"/>
              </w:rPr>
            </w:pPr>
          </w:p>
        </w:tc>
        <w:tc>
          <w:tcPr>
            <w:tcW w:w="1560" w:type="dxa"/>
          </w:tcPr>
          <w:p>
            <w:pPr>
              <w:adjustRightInd w:val="0"/>
              <w:snapToGrid w:val="0"/>
              <w:spacing w:line="360" w:lineRule="auto"/>
              <w:rPr>
                <w:rFonts w:ascii="宋体" w:hAnsi="宋体" w:cs="宋体"/>
                <w:sz w:val="24"/>
              </w:rPr>
            </w:pPr>
          </w:p>
        </w:tc>
        <w:tc>
          <w:tcPr>
            <w:tcW w:w="992" w:type="dxa"/>
            <w:vAlign w:val="center"/>
          </w:tcPr>
          <w:p>
            <w:pPr>
              <w:adjustRightInd w:val="0"/>
              <w:snapToGrid w:val="0"/>
              <w:spacing w:line="360" w:lineRule="auto"/>
              <w:rPr>
                <w:rFonts w:ascii="宋体" w:hAnsi="宋体" w:cs="宋体"/>
                <w:sz w:val="24"/>
              </w:rPr>
            </w:pPr>
          </w:p>
        </w:tc>
        <w:tc>
          <w:tcPr>
            <w:tcW w:w="1276" w:type="dxa"/>
            <w:vAlign w:val="center"/>
          </w:tcPr>
          <w:p>
            <w:pPr>
              <w:adjustRightInd w:val="0"/>
              <w:snapToGrid w:val="0"/>
              <w:spacing w:line="360" w:lineRule="auto"/>
              <w:rPr>
                <w:rFonts w:ascii="宋体" w:hAnsi="宋体" w:cs="宋体"/>
                <w:sz w:val="24"/>
              </w:rPr>
            </w:pPr>
          </w:p>
        </w:tc>
        <w:tc>
          <w:tcPr>
            <w:tcW w:w="1134" w:type="dxa"/>
            <w:vAlign w:val="center"/>
          </w:tcPr>
          <w:p>
            <w:pPr>
              <w:adjustRightInd w:val="0"/>
              <w:snapToGrid w:val="0"/>
              <w:spacing w:line="360" w:lineRule="auto"/>
              <w:rPr>
                <w:rFonts w:ascii="宋体" w:hAnsi="宋体" w:cs="宋体"/>
                <w:sz w:val="24"/>
              </w:rPr>
            </w:pPr>
          </w:p>
        </w:tc>
        <w:tc>
          <w:tcPr>
            <w:tcW w:w="708" w:type="dxa"/>
            <w:vAlign w:val="center"/>
          </w:tcPr>
          <w:p>
            <w:pPr>
              <w:adjustRightInd w:val="0"/>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宋体" w:hAnsi="宋体" w:cs="宋体"/>
                <w:sz w:val="24"/>
              </w:rPr>
            </w:pPr>
          </w:p>
        </w:tc>
        <w:tc>
          <w:tcPr>
            <w:tcW w:w="1428" w:type="dxa"/>
            <w:vAlign w:val="center"/>
          </w:tcPr>
          <w:p>
            <w:pPr>
              <w:adjustRightInd w:val="0"/>
              <w:snapToGrid w:val="0"/>
              <w:spacing w:line="360" w:lineRule="auto"/>
              <w:rPr>
                <w:rFonts w:ascii="宋体" w:hAnsi="宋体" w:cs="宋体"/>
                <w:sz w:val="24"/>
              </w:rPr>
            </w:pPr>
          </w:p>
        </w:tc>
        <w:tc>
          <w:tcPr>
            <w:tcW w:w="1188" w:type="dxa"/>
          </w:tcPr>
          <w:p>
            <w:pPr>
              <w:adjustRightInd w:val="0"/>
              <w:snapToGrid w:val="0"/>
              <w:spacing w:line="360" w:lineRule="auto"/>
              <w:rPr>
                <w:rFonts w:ascii="宋体" w:hAnsi="宋体" w:cs="宋体"/>
                <w:sz w:val="24"/>
              </w:rPr>
            </w:pPr>
          </w:p>
        </w:tc>
        <w:tc>
          <w:tcPr>
            <w:tcW w:w="1560" w:type="dxa"/>
          </w:tcPr>
          <w:p>
            <w:pPr>
              <w:adjustRightInd w:val="0"/>
              <w:snapToGrid w:val="0"/>
              <w:spacing w:line="360" w:lineRule="auto"/>
              <w:rPr>
                <w:rFonts w:ascii="宋体" w:hAnsi="宋体" w:cs="宋体"/>
                <w:sz w:val="24"/>
              </w:rPr>
            </w:pPr>
          </w:p>
        </w:tc>
        <w:tc>
          <w:tcPr>
            <w:tcW w:w="992" w:type="dxa"/>
            <w:vAlign w:val="center"/>
          </w:tcPr>
          <w:p>
            <w:pPr>
              <w:adjustRightInd w:val="0"/>
              <w:snapToGrid w:val="0"/>
              <w:spacing w:line="360" w:lineRule="auto"/>
              <w:rPr>
                <w:rFonts w:ascii="宋体" w:hAnsi="宋体" w:cs="宋体"/>
                <w:sz w:val="24"/>
              </w:rPr>
            </w:pPr>
          </w:p>
        </w:tc>
        <w:tc>
          <w:tcPr>
            <w:tcW w:w="1276" w:type="dxa"/>
            <w:vAlign w:val="center"/>
          </w:tcPr>
          <w:p>
            <w:pPr>
              <w:adjustRightInd w:val="0"/>
              <w:snapToGrid w:val="0"/>
              <w:spacing w:line="360" w:lineRule="auto"/>
              <w:rPr>
                <w:rFonts w:ascii="宋体" w:hAnsi="宋体" w:cs="宋体"/>
                <w:sz w:val="24"/>
              </w:rPr>
            </w:pPr>
          </w:p>
        </w:tc>
        <w:tc>
          <w:tcPr>
            <w:tcW w:w="1134" w:type="dxa"/>
            <w:vAlign w:val="center"/>
          </w:tcPr>
          <w:p>
            <w:pPr>
              <w:adjustRightInd w:val="0"/>
              <w:snapToGrid w:val="0"/>
              <w:spacing w:line="360" w:lineRule="auto"/>
              <w:rPr>
                <w:rFonts w:ascii="宋体" w:hAnsi="宋体" w:cs="宋体"/>
                <w:sz w:val="24"/>
              </w:rPr>
            </w:pPr>
          </w:p>
        </w:tc>
        <w:tc>
          <w:tcPr>
            <w:tcW w:w="708" w:type="dxa"/>
            <w:vAlign w:val="center"/>
          </w:tcPr>
          <w:p>
            <w:pPr>
              <w:adjustRightInd w:val="0"/>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宋体" w:hAnsi="宋体" w:cs="宋体"/>
                <w:sz w:val="24"/>
              </w:rPr>
            </w:pPr>
          </w:p>
        </w:tc>
        <w:tc>
          <w:tcPr>
            <w:tcW w:w="1428" w:type="dxa"/>
            <w:vAlign w:val="center"/>
          </w:tcPr>
          <w:p>
            <w:pPr>
              <w:adjustRightInd w:val="0"/>
              <w:snapToGrid w:val="0"/>
              <w:spacing w:line="360" w:lineRule="auto"/>
              <w:rPr>
                <w:rFonts w:ascii="宋体" w:hAnsi="宋体" w:cs="宋体"/>
                <w:sz w:val="24"/>
              </w:rPr>
            </w:pPr>
          </w:p>
        </w:tc>
        <w:tc>
          <w:tcPr>
            <w:tcW w:w="1188" w:type="dxa"/>
          </w:tcPr>
          <w:p>
            <w:pPr>
              <w:adjustRightInd w:val="0"/>
              <w:snapToGrid w:val="0"/>
              <w:spacing w:line="360" w:lineRule="auto"/>
              <w:rPr>
                <w:rFonts w:ascii="宋体" w:hAnsi="宋体" w:cs="宋体"/>
                <w:sz w:val="24"/>
              </w:rPr>
            </w:pPr>
          </w:p>
        </w:tc>
        <w:tc>
          <w:tcPr>
            <w:tcW w:w="1560" w:type="dxa"/>
          </w:tcPr>
          <w:p>
            <w:pPr>
              <w:adjustRightInd w:val="0"/>
              <w:snapToGrid w:val="0"/>
              <w:spacing w:line="360" w:lineRule="auto"/>
              <w:rPr>
                <w:rFonts w:ascii="宋体" w:hAnsi="宋体" w:cs="宋体"/>
                <w:sz w:val="24"/>
              </w:rPr>
            </w:pPr>
          </w:p>
        </w:tc>
        <w:tc>
          <w:tcPr>
            <w:tcW w:w="992" w:type="dxa"/>
            <w:vAlign w:val="center"/>
          </w:tcPr>
          <w:p>
            <w:pPr>
              <w:adjustRightInd w:val="0"/>
              <w:snapToGrid w:val="0"/>
              <w:spacing w:line="360" w:lineRule="auto"/>
              <w:rPr>
                <w:rFonts w:ascii="宋体" w:hAnsi="宋体" w:cs="宋体"/>
                <w:sz w:val="24"/>
              </w:rPr>
            </w:pPr>
          </w:p>
        </w:tc>
        <w:tc>
          <w:tcPr>
            <w:tcW w:w="1276" w:type="dxa"/>
            <w:vAlign w:val="center"/>
          </w:tcPr>
          <w:p>
            <w:pPr>
              <w:adjustRightInd w:val="0"/>
              <w:snapToGrid w:val="0"/>
              <w:spacing w:line="360" w:lineRule="auto"/>
              <w:rPr>
                <w:rFonts w:ascii="宋体" w:hAnsi="宋体" w:cs="宋体"/>
                <w:sz w:val="24"/>
              </w:rPr>
            </w:pPr>
          </w:p>
        </w:tc>
        <w:tc>
          <w:tcPr>
            <w:tcW w:w="1134" w:type="dxa"/>
            <w:vAlign w:val="center"/>
          </w:tcPr>
          <w:p>
            <w:pPr>
              <w:adjustRightInd w:val="0"/>
              <w:snapToGrid w:val="0"/>
              <w:spacing w:line="360" w:lineRule="auto"/>
              <w:rPr>
                <w:rFonts w:ascii="宋体" w:hAnsi="宋体" w:cs="宋体"/>
                <w:sz w:val="24"/>
              </w:rPr>
            </w:pPr>
          </w:p>
        </w:tc>
        <w:tc>
          <w:tcPr>
            <w:tcW w:w="708" w:type="dxa"/>
            <w:vAlign w:val="center"/>
          </w:tcPr>
          <w:p>
            <w:pPr>
              <w:adjustRightInd w:val="0"/>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宋体" w:hAnsi="宋体" w:cs="宋体"/>
                <w:sz w:val="24"/>
              </w:rPr>
            </w:pPr>
          </w:p>
        </w:tc>
        <w:tc>
          <w:tcPr>
            <w:tcW w:w="1428" w:type="dxa"/>
            <w:vAlign w:val="center"/>
          </w:tcPr>
          <w:p>
            <w:pPr>
              <w:adjustRightInd w:val="0"/>
              <w:snapToGrid w:val="0"/>
              <w:spacing w:line="360" w:lineRule="auto"/>
              <w:rPr>
                <w:rFonts w:ascii="宋体" w:hAnsi="宋体" w:cs="宋体"/>
                <w:sz w:val="24"/>
              </w:rPr>
            </w:pPr>
          </w:p>
        </w:tc>
        <w:tc>
          <w:tcPr>
            <w:tcW w:w="1188" w:type="dxa"/>
          </w:tcPr>
          <w:p>
            <w:pPr>
              <w:adjustRightInd w:val="0"/>
              <w:snapToGrid w:val="0"/>
              <w:spacing w:line="360" w:lineRule="auto"/>
              <w:rPr>
                <w:rFonts w:ascii="宋体" w:hAnsi="宋体" w:cs="宋体"/>
                <w:sz w:val="24"/>
              </w:rPr>
            </w:pPr>
          </w:p>
        </w:tc>
        <w:tc>
          <w:tcPr>
            <w:tcW w:w="1560" w:type="dxa"/>
          </w:tcPr>
          <w:p>
            <w:pPr>
              <w:adjustRightInd w:val="0"/>
              <w:snapToGrid w:val="0"/>
              <w:spacing w:line="360" w:lineRule="auto"/>
              <w:rPr>
                <w:rFonts w:ascii="宋体" w:hAnsi="宋体" w:cs="宋体"/>
                <w:sz w:val="24"/>
              </w:rPr>
            </w:pPr>
          </w:p>
        </w:tc>
        <w:tc>
          <w:tcPr>
            <w:tcW w:w="992" w:type="dxa"/>
            <w:vAlign w:val="center"/>
          </w:tcPr>
          <w:p>
            <w:pPr>
              <w:adjustRightInd w:val="0"/>
              <w:snapToGrid w:val="0"/>
              <w:spacing w:line="360" w:lineRule="auto"/>
              <w:rPr>
                <w:rFonts w:ascii="宋体" w:hAnsi="宋体" w:cs="宋体"/>
                <w:sz w:val="24"/>
              </w:rPr>
            </w:pPr>
          </w:p>
        </w:tc>
        <w:tc>
          <w:tcPr>
            <w:tcW w:w="1276" w:type="dxa"/>
            <w:vAlign w:val="center"/>
          </w:tcPr>
          <w:p>
            <w:pPr>
              <w:adjustRightInd w:val="0"/>
              <w:snapToGrid w:val="0"/>
              <w:spacing w:line="360" w:lineRule="auto"/>
              <w:rPr>
                <w:rFonts w:ascii="宋体" w:hAnsi="宋体" w:cs="宋体"/>
                <w:sz w:val="24"/>
              </w:rPr>
            </w:pPr>
          </w:p>
        </w:tc>
        <w:tc>
          <w:tcPr>
            <w:tcW w:w="1134" w:type="dxa"/>
            <w:vAlign w:val="center"/>
          </w:tcPr>
          <w:p>
            <w:pPr>
              <w:adjustRightInd w:val="0"/>
              <w:snapToGrid w:val="0"/>
              <w:spacing w:line="360" w:lineRule="auto"/>
              <w:rPr>
                <w:rFonts w:ascii="宋体" w:hAnsi="宋体" w:cs="宋体"/>
                <w:sz w:val="24"/>
              </w:rPr>
            </w:pPr>
          </w:p>
        </w:tc>
        <w:tc>
          <w:tcPr>
            <w:tcW w:w="708" w:type="dxa"/>
            <w:vAlign w:val="center"/>
          </w:tcPr>
          <w:p>
            <w:pPr>
              <w:adjustRightInd w:val="0"/>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ascii="宋体" w:hAnsi="宋体" w:cs="宋体"/>
                <w:sz w:val="24"/>
              </w:rPr>
            </w:pPr>
          </w:p>
        </w:tc>
        <w:tc>
          <w:tcPr>
            <w:tcW w:w="1428" w:type="dxa"/>
            <w:vAlign w:val="center"/>
          </w:tcPr>
          <w:p>
            <w:pPr>
              <w:adjustRightInd w:val="0"/>
              <w:snapToGrid w:val="0"/>
              <w:spacing w:line="360" w:lineRule="auto"/>
              <w:rPr>
                <w:rFonts w:ascii="宋体" w:hAnsi="宋体" w:cs="宋体"/>
                <w:sz w:val="24"/>
              </w:rPr>
            </w:pPr>
          </w:p>
        </w:tc>
        <w:tc>
          <w:tcPr>
            <w:tcW w:w="1188" w:type="dxa"/>
          </w:tcPr>
          <w:p>
            <w:pPr>
              <w:adjustRightInd w:val="0"/>
              <w:snapToGrid w:val="0"/>
              <w:spacing w:line="360" w:lineRule="auto"/>
              <w:rPr>
                <w:rFonts w:ascii="宋体" w:hAnsi="宋体" w:cs="宋体"/>
                <w:sz w:val="24"/>
              </w:rPr>
            </w:pPr>
          </w:p>
        </w:tc>
        <w:tc>
          <w:tcPr>
            <w:tcW w:w="1560" w:type="dxa"/>
          </w:tcPr>
          <w:p>
            <w:pPr>
              <w:adjustRightInd w:val="0"/>
              <w:snapToGrid w:val="0"/>
              <w:spacing w:line="360" w:lineRule="auto"/>
              <w:rPr>
                <w:rFonts w:ascii="宋体" w:hAnsi="宋体" w:cs="宋体"/>
                <w:sz w:val="24"/>
              </w:rPr>
            </w:pPr>
          </w:p>
        </w:tc>
        <w:tc>
          <w:tcPr>
            <w:tcW w:w="992" w:type="dxa"/>
            <w:vAlign w:val="center"/>
          </w:tcPr>
          <w:p>
            <w:pPr>
              <w:adjustRightInd w:val="0"/>
              <w:snapToGrid w:val="0"/>
              <w:spacing w:line="360" w:lineRule="auto"/>
              <w:rPr>
                <w:rFonts w:ascii="宋体" w:hAnsi="宋体" w:cs="宋体"/>
                <w:sz w:val="24"/>
              </w:rPr>
            </w:pPr>
          </w:p>
        </w:tc>
        <w:tc>
          <w:tcPr>
            <w:tcW w:w="1276" w:type="dxa"/>
            <w:vAlign w:val="center"/>
          </w:tcPr>
          <w:p>
            <w:pPr>
              <w:adjustRightInd w:val="0"/>
              <w:snapToGrid w:val="0"/>
              <w:spacing w:line="360" w:lineRule="auto"/>
              <w:rPr>
                <w:rFonts w:ascii="宋体" w:hAnsi="宋体" w:cs="宋体"/>
                <w:sz w:val="24"/>
              </w:rPr>
            </w:pPr>
          </w:p>
        </w:tc>
        <w:tc>
          <w:tcPr>
            <w:tcW w:w="1134" w:type="dxa"/>
            <w:vAlign w:val="center"/>
          </w:tcPr>
          <w:p>
            <w:pPr>
              <w:adjustRightInd w:val="0"/>
              <w:snapToGrid w:val="0"/>
              <w:spacing w:line="360" w:lineRule="auto"/>
              <w:rPr>
                <w:rFonts w:ascii="宋体" w:hAnsi="宋体" w:cs="宋体"/>
                <w:sz w:val="24"/>
              </w:rPr>
            </w:pPr>
          </w:p>
        </w:tc>
        <w:tc>
          <w:tcPr>
            <w:tcW w:w="708" w:type="dxa"/>
            <w:vAlign w:val="center"/>
          </w:tcPr>
          <w:p>
            <w:pPr>
              <w:adjustRightInd w:val="0"/>
              <w:snapToGrid w:val="0"/>
              <w:spacing w:line="360" w:lineRule="auto"/>
              <w:rPr>
                <w:rFonts w:ascii="宋体" w:hAnsi="宋体" w:cs="宋体"/>
                <w:sz w:val="24"/>
              </w:rPr>
            </w:pPr>
          </w:p>
        </w:tc>
      </w:tr>
    </w:tbl>
    <w:p>
      <w:pPr>
        <w:adjustRightInd w:val="0"/>
        <w:snapToGrid w:val="0"/>
        <w:spacing w:line="360" w:lineRule="auto"/>
        <w:rPr>
          <w:rFonts w:ascii="宋体" w:hAnsi="宋体" w:cs="宋体"/>
          <w:sz w:val="24"/>
        </w:rPr>
      </w:pPr>
      <w:r>
        <w:rPr>
          <w:rFonts w:hint="eastAsia" w:ascii="宋体" w:hAnsi="宋体" w:cs="宋体"/>
          <w:sz w:val="24"/>
        </w:rPr>
        <w:t>投标人                           法定代表人或授权代表</w:t>
      </w:r>
    </w:p>
    <w:p>
      <w:pPr>
        <w:adjustRightInd w:val="0"/>
        <w:snapToGrid w:val="0"/>
        <w:spacing w:line="360" w:lineRule="auto"/>
        <w:ind w:left="-525" w:leftChars="-250" w:firstLine="720" w:firstLineChars="300"/>
        <w:rPr>
          <w:rFonts w:ascii="宋体" w:hAnsi="宋体" w:cs="宋体"/>
          <w:b/>
          <w:bCs/>
          <w:sz w:val="24"/>
        </w:rPr>
      </w:pPr>
      <w:r>
        <w:rPr>
          <w:rFonts w:hint="eastAsia" w:ascii="宋体" w:hAnsi="宋体" w:cs="宋体"/>
          <w:sz w:val="24"/>
        </w:rPr>
        <w:t>（公章）：                          （签字或盖章）：</w:t>
      </w:r>
    </w:p>
    <w:p>
      <w:pPr>
        <w:pStyle w:val="21"/>
        <w:rPr>
          <w:rFonts w:ascii="宋体" w:hAnsi="宋体" w:cs="宋体"/>
        </w:rPr>
      </w:pPr>
    </w:p>
    <w:p>
      <w:pPr>
        <w:tabs>
          <w:tab w:val="center" w:pos="4535"/>
          <w:tab w:val="left" w:pos="6521"/>
        </w:tabs>
        <w:autoSpaceDE w:val="0"/>
        <w:autoSpaceDN w:val="0"/>
        <w:adjustRightInd w:val="0"/>
        <w:snapToGrid w:val="0"/>
        <w:spacing w:line="360" w:lineRule="auto"/>
        <w:rPr>
          <w:rFonts w:ascii="宋体" w:hAnsi="宋体" w:cs="宋体"/>
          <w:bCs/>
          <w:sz w:val="24"/>
        </w:rPr>
      </w:pPr>
      <w:r>
        <w:rPr>
          <w:rFonts w:hint="eastAsia" w:ascii="宋体" w:hAnsi="宋体" w:cs="宋体"/>
          <w:bCs/>
          <w:sz w:val="24"/>
        </w:rPr>
        <w:t>注：以上包括完成一个规定计量单位项目所需的人工费、材料费、机械费、企业管理费、利润、运输费以及风险费用、规费、税金等所有费用；</w:t>
      </w:r>
    </w:p>
    <w:p>
      <w:pPr>
        <w:tabs>
          <w:tab w:val="center" w:pos="4535"/>
          <w:tab w:val="left" w:pos="6521"/>
        </w:tabs>
        <w:autoSpaceDE w:val="0"/>
        <w:autoSpaceDN w:val="0"/>
        <w:adjustRightInd w:val="0"/>
        <w:snapToGrid w:val="0"/>
        <w:spacing w:line="360" w:lineRule="auto"/>
        <w:rPr>
          <w:rFonts w:ascii="宋体" w:hAnsi="宋体" w:cs="宋体"/>
          <w:bCs/>
          <w:sz w:val="24"/>
        </w:rPr>
      </w:pPr>
    </w:p>
    <w:p>
      <w:pPr>
        <w:tabs>
          <w:tab w:val="center" w:pos="4535"/>
          <w:tab w:val="left" w:pos="6521"/>
        </w:tabs>
        <w:autoSpaceDE w:val="0"/>
        <w:autoSpaceDN w:val="0"/>
        <w:adjustRightInd w:val="0"/>
        <w:snapToGrid w:val="0"/>
        <w:spacing w:line="360" w:lineRule="auto"/>
        <w:rPr>
          <w:rFonts w:ascii="宋体" w:hAnsi="宋体" w:cs="宋体"/>
          <w:sz w:val="24"/>
        </w:rPr>
      </w:pPr>
      <w:r>
        <w:rPr>
          <w:rFonts w:hint="eastAsia" w:ascii="宋体" w:hAnsi="宋体" w:cs="宋体"/>
          <w:sz w:val="24"/>
        </w:rPr>
        <w:t>投标分项报价表附件：</w:t>
      </w:r>
    </w:p>
    <w:p>
      <w:pPr>
        <w:tabs>
          <w:tab w:val="center" w:pos="4535"/>
          <w:tab w:val="left" w:pos="6521"/>
        </w:tabs>
        <w:autoSpaceDE w:val="0"/>
        <w:autoSpaceDN w:val="0"/>
        <w:adjustRightInd w:val="0"/>
        <w:snapToGrid w:val="0"/>
        <w:spacing w:line="360" w:lineRule="auto"/>
        <w:rPr>
          <w:rFonts w:ascii="宋体" w:hAnsi="宋体" w:cs="宋体"/>
          <w:sz w:val="24"/>
        </w:rPr>
      </w:pPr>
    </w:p>
    <w:p>
      <w:pPr>
        <w:jc w:val="center"/>
        <w:rPr>
          <w:rFonts w:ascii="宋体" w:hAnsi="宋体" w:cs="宋体"/>
          <w:sz w:val="32"/>
          <w:szCs w:val="32"/>
          <w:lang w:val="zh-CN"/>
        </w:rPr>
      </w:pPr>
      <w:r>
        <w:rPr>
          <w:rFonts w:hint="eastAsia" w:ascii="宋体" w:hAnsi="宋体" w:cs="宋体"/>
          <w:sz w:val="32"/>
          <w:szCs w:val="32"/>
          <w:lang w:val="zh-CN"/>
        </w:rPr>
        <w:t>节能产品、环境标志产品明细表</w:t>
      </w:r>
    </w:p>
    <w:p>
      <w:pPr>
        <w:pStyle w:val="12"/>
        <w:rPr>
          <w:rFonts w:cs="宋体"/>
          <w:u w:val="single"/>
        </w:rPr>
      </w:pPr>
      <w:r>
        <w:rPr>
          <w:rFonts w:hint="eastAsia" w:cs="宋体"/>
        </w:rPr>
        <w:t>项目编号：</w:t>
      </w:r>
    </w:p>
    <w:p>
      <w:pPr>
        <w:pStyle w:val="8"/>
        <w:ind w:firstLine="0"/>
        <w:rPr>
          <w:rFonts w:hAnsi="宋体" w:cs="宋体"/>
        </w:rPr>
      </w:pPr>
      <w:r>
        <w:rPr>
          <w:rFonts w:hint="eastAsia" w:hAnsi="宋体" w:cs="宋体"/>
        </w:rPr>
        <w:t>项目名称：</w:t>
      </w:r>
    </w:p>
    <w:tbl>
      <w:tblPr>
        <w:tblStyle w:val="35"/>
        <w:tblW w:w="0" w:type="auto"/>
        <w:jc w:val="center"/>
        <w:tblLayout w:type="fixed"/>
        <w:tblCellMar>
          <w:top w:w="0" w:type="dxa"/>
          <w:left w:w="108" w:type="dxa"/>
          <w:bottom w:w="0" w:type="dxa"/>
          <w:right w:w="108" w:type="dxa"/>
        </w:tblCellMar>
      </w:tblPr>
      <w:tblGrid>
        <w:gridCol w:w="716"/>
        <w:gridCol w:w="1554"/>
        <w:gridCol w:w="1036"/>
        <w:gridCol w:w="1036"/>
        <w:gridCol w:w="922"/>
        <w:gridCol w:w="1470"/>
        <w:gridCol w:w="716"/>
        <w:gridCol w:w="716"/>
        <w:gridCol w:w="716"/>
      </w:tblGrid>
      <w:tr>
        <w:tblPrEx>
          <w:tblCellMar>
            <w:top w:w="0" w:type="dxa"/>
            <w:left w:w="108" w:type="dxa"/>
            <w:bottom w:w="0" w:type="dxa"/>
            <w:right w:w="108" w:type="dxa"/>
          </w:tblCellMar>
        </w:tblPrEx>
        <w:trPr>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sz w:val="24"/>
                <w:lang w:val="zh-CN"/>
              </w:rPr>
            </w:pPr>
            <w:r>
              <w:rPr>
                <w:rFonts w:hint="eastAsia" w:ascii="宋体" w:hAnsi="宋体" w:cs="宋体"/>
                <w:sz w:val="24"/>
                <w:lang w:val="zh-CN"/>
              </w:rPr>
              <w:t>序</w:t>
            </w:r>
          </w:p>
          <w:p>
            <w:pPr>
              <w:autoSpaceDE w:val="0"/>
              <w:autoSpaceDN w:val="0"/>
              <w:adjustRightInd w:val="0"/>
              <w:snapToGrid w:val="0"/>
              <w:jc w:val="center"/>
              <w:rPr>
                <w:rFonts w:ascii="宋体" w:hAnsi="宋体" w:cs="宋体"/>
                <w:sz w:val="24"/>
              </w:rPr>
            </w:pPr>
            <w:r>
              <w:rPr>
                <w:rFonts w:hint="eastAsia" w:ascii="宋体" w:hAnsi="宋体" w:cs="宋体"/>
                <w:sz w:val="24"/>
                <w:lang w:val="zh-CN"/>
              </w:rPr>
              <w:t>号</w:t>
            </w: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sz w:val="24"/>
                <w:lang w:val="zh-CN"/>
              </w:rPr>
            </w:pPr>
            <w:r>
              <w:rPr>
                <w:rFonts w:hint="eastAsia" w:ascii="宋体" w:hAnsi="宋体" w:cs="宋体"/>
                <w:sz w:val="24"/>
                <w:lang w:val="zh-CN"/>
              </w:rPr>
              <w:t>产品</w:t>
            </w:r>
          </w:p>
          <w:p>
            <w:pPr>
              <w:autoSpaceDE w:val="0"/>
              <w:autoSpaceDN w:val="0"/>
              <w:adjustRightInd w:val="0"/>
              <w:snapToGrid w:val="0"/>
              <w:jc w:val="center"/>
              <w:rPr>
                <w:rFonts w:ascii="宋体" w:hAnsi="宋体" w:cs="宋体"/>
                <w:sz w:val="24"/>
              </w:rPr>
            </w:pPr>
            <w:r>
              <w:rPr>
                <w:rFonts w:hint="eastAsia" w:ascii="宋体" w:hAnsi="宋体" w:cs="宋体"/>
                <w:sz w:val="24"/>
                <w:lang w:val="zh-CN"/>
              </w:rPr>
              <w:t>名称</w:t>
            </w: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cs="宋体"/>
                <w:sz w:val="24"/>
              </w:rPr>
            </w:pPr>
            <w:r>
              <w:rPr>
                <w:rFonts w:hint="eastAsia" w:ascii="宋体" w:hAnsi="宋体" w:cs="宋体"/>
                <w:sz w:val="24"/>
              </w:rPr>
              <w:t>制造</w:t>
            </w:r>
          </w:p>
          <w:p>
            <w:pPr>
              <w:autoSpaceDE w:val="0"/>
              <w:autoSpaceDN w:val="0"/>
              <w:adjustRightInd w:val="0"/>
              <w:snapToGrid w:val="0"/>
              <w:jc w:val="center"/>
              <w:rPr>
                <w:rFonts w:ascii="宋体" w:hAnsi="宋体" w:cs="宋体"/>
                <w:sz w:val="24"/>
              </w:rPr>
            </w:pPr>
            <w:r>
              <w:rPr>
                <w:rFonts w:hint="eastAsia" w:ascii="宋体" w:hAnsi="宋体" w:cs="宋体"/>
                <w:sz w:val="24"/>
              </w:rPr>
              <w:t>厂家</w:t>
            </w: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sz w:val="24"/>
                <w:lang w:val="zh-CN"/>
              </w:rPr>
            </w:pPr>
            <w:r>
              <w:rPr>
                <w:rFonts w:hint="eastAsia" w:ascii="宋体" w:hAnsi="宋体" w:cs="宋体"/>
                <w:sz w:val="24"/>
                <w:lang w:val="zh-CN"/>
              </w:rPr>
              <w:t>规格</w:t>
            </w:r>
          </w:p>
          <w:p>
            <w:pPr>
              <w:autoSpaceDE w:val="0"/>
              <w:autoSpaceDN w:val="0"/>
              <w:adjustRightInd w:val="0"/>
              <w:snapToGrid w:val="0"/>
              <w:jc w:val="center"/>
              <w:rPr>
                <w:rFonts w:ascii="宋体" w:hAnsi="宋体" w:cs="宋体"/>
                <w:sz w:val="24"/>
              </w:rPr>
            </w:pPr>
            <w:r>
              <w:rPr>
                <w:rFonts w:hint="eastAsia" w:ascii="宋体" w:hAnsi="宋体" w:cs="宋体"/>
                <w:sz w:val="24"/>
                <w:lang w:val="zh-CN"/>
              </w:rPr>
              <w:t>型号</w:t>
            </w:r>
          </w:p>
        </w:tc>
        <w:tc>
          <w:tcPr>
            <w:tcW w:w="9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sz w:val="24"/>
                <w:lang w:val="zh-CN"/>
              </w:rPr>
            </w:pPr>
            <w:r>
              <w:rPr>
                <w:rFonts w:hint="eastAsia" w:ascii="宋体" w:hAnsi="宋体" w:cs="宋体"/>
                <w:sz w:val="24"/>
                <w:lang w:val="zh-CN"/>
              </w:rPr>
              <w:t>类别</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sz w:val="24"/>
                <w:lang w:val="zh-CN"/>
              </w:rPr>
            </w:pPr>
            <w:r>
              <w:rPr>
                <w:rFonts w:hint="eastAsia" w:ascii="宋体" w:hAnsi="宋体" w:cs="宋体"/>
                <w:sz w:val="24"/>
                <w:lang w:val="zh-CN"/>
              </w:rPr>
              <w:t>认证证书</w:t>
            </w:r>
          </w:p>
          <w:p>
            <w:pPr>
              <w:autoSpaceDE w:val="0"/>
              <w:autoSpaceDN w:val="0"/>
              <w:adjustRightInd w:val="0"/>
              <w:snapToGrid w:val="0"/>
              <w:jc w:val="center"/>
              <w:rPr>
                <w:rFonts w:ascii="宋体" w:hAnsi="宋体" w:cs="宋体"/>
                <w:sz w:val="24"/>
              </w:rPr>
            </w:pPr>
            <w:r>
              <w:rPr>
                <w:rFonts w:hint="eastAsia" w:ascii="宋体" w:hAnsi="宋体" w:cs="宋体"/>
                <w:sz w:val="24"/>
                <w:lang w:val="zh-CN"/>
              </w:rPr>
              <w:t>编号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sz w:val="24"/>
                <w:lang w:val="zh-CN"/>
              </w:rPr>
            </w:pPr>
            <w:r>
              <w:rPr>
                <w:rFonts w:hint="eastAsia" w:ascii="宋体" w:hAnsi="宋体" w:cs="宋体"/>
                <w:sz w:val="24"/>
                <w:lang w:val="zh-CN"/>
              </w:rPr>
              <w:t>数</w:t>
            </w:r>
          </w:p>
          <w:p>
            <w:pPr>
              <w:autoSpaceDE w:val="0"/>
              <w:autoSpaceDN w:val="0"/>
              <w:adjustRightInd w:val="0"/>
              <w:snapToGrid w:val="0"/>
              <w:jc w:val="center"/>
              <w:rPr>
                <w:rFonts w:ascii="宋体" w:hAnsi="宋体" w:cs="宋体"/>
                <w:sz w:val="24"/>
              </w:rPr>
            </w:pPr>
            <w:r>
              <w:rPr>
                <w:rFonts w:hint="eastAsia" w:ascii="宋体" w:hAnsi="宋体" w:cs="宋体"/>
                <w:sz w:val="24"/>
                <w:lang w:val="zh-CN"/>
              </w:rPr>
              <w:t>量</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sz w:val="24"/>
                <w:lang w:val="zh-CN"/>
              </w:rPr>
            </w:pPr>
            <w:r>
              <w:rPr>
                <w:rFonts w:hint="eastAsia" w:ascii="宋体" w:hAnsi="宋体" w:cs="宋体"/>
                <w:sz w:val="24"/>
                <w:lang w:val="zh-CN"/>
              </w:rPr>
              <w:t>单</w:t>
            </w:r>
          </w:p>
          <w:p>
            <w:pPr>
              <w:autoSpaceDE w:val="0"/>
              <w:autoSpaceDN w:val="0"/>
              <w:adjustRightInd w:val="0"/>
              <w:snapToGrid w:val="0"/>
              <w:jc w:val="center"/>
              <w:rPr>
                <w:rFonts w:ascii="宋体" w:hAnsi="宋体" w:cs="宋体"/>
                <w:sz w:val="24"/>
              </w:rPr>
            </w:pPr>
            <w:r>
              <w:rPr>
                <w:rFonts w:hint="eastAsia" w:ascii="宋体" w:hAnsi="宋体" w:cs="宋体"/>
                <w:sz w:val="24"/>
                <w:lang w:val="zh-CN"/>
              </w:rPr>
              <w:t>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sz w:val="24"/>
                <w:lang w:val="zh-CN"/>
              </w:rPr>
            </w:pPr>
            <w:r>
              <w:rPr>
                <w:rFonts w:hint="eastAsia" w:ascii="宋体" w:hAnsi="宋体" w:cs="宋体"/>
                <w:sz w:val="24"/>
                <w:lang w:val="zh-CN"/>
              </w:rPr>
              <w:t>总</w:t>
            </w:r>
          </w:p>
          <w:p>
            <w:pPr>
              <w:autoSpaceDE w:val="0"/>
              <w:autoSpaceDN w:val="0"/>
              <w:adjustRightInd w:val="0"/>
              <w:snapToGrid w:val="0"/>
              <w:jc w:val="center"/>
              <w:rPr>
                <w:rFonts w:ascii="宋体" w:hAnsi="宋体" w:cs="宋体"/>
                <w:sz w:val="24"/>
              </w:rPr>
            </w:pPr>
            <w:r>
              <w:rPr>
                <w:rFonts w:hint="eastAsia" w:ascii="宋体" w:hAnsi="宋体" w:cs="宋体"/>
                <w:sz w:val="24"/>
                <w:lang w:val="zh-CN"/>
              </w:rPr>
              <w:t>价</w:t>
            </w:r>
          </w:p>
        </w:tc>
      </w:tr>
      <w:tr>
        <w:tblPrEx>
          <w:tblCellMar>
            <w:top w:w="0" w:type="dxa"/>
            <w:left w:w="108" w:type="dxa"/>
            <w:bottom w:w="0" w:type="dxa"/>
            <w:right w:w="108" w:type="dxa"/>
          </w:tblCellMar>
        </w:tblPrEx>
        <w:trPr>
          <w:trHeight w:val="622"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ascii="宋体" w:hAnsi="宋体" w:cs="宋体"/>
                <w:sz w:val="24"/>
              </w:rPr>
            </w:pPr>
            <w:r>
              <w:rPr>
                <w:rFonts w:hint="eastAsia" w:ascii="宋体" w:hAnsi="宋体" w:cs="宋体"/>
                <w:sz w:val="24"/>
              </w:rPr>
              <w:t>（1）强制采购类</w:t>
            </w:r>
          </w:p>
        </w:tc>
      </w:tr>
      <w:tr>
        <w:tblPrEx>
          <w:tblCellMar>
            <w:top w:w="0" w:type="dxa"/>
            <w:left w:w="108" w:type="dxa"/>
            <w:bottom w:w="0" w:type="dxa"/>
            <w:right w:w="108" w:type="dxa"/>
          </w:tblCellMar>
        </w:tblPrEx>
        <w:trPr>
          <w:trHeight w:val="622"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ascii="宋体" w:hAnsi="宋体" w:cs="宋体"/>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ascii="宋体" w:hAnsi="宋体" w:cs="宋体"/>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jc w:val="left"/>
              <w:rPr>
                <w:rFonts w:ascii="宋体" w:hAnsi="宋体" w:cs="宋体"/>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jc w:val="left"/>
              <w:rPr>
                <w:rFonts w:ascii="宋体" w:hAnsi="宋体" w:cs="宋体"/>
                <w:sz w:val="24"/>
              </w:rPr>
            </w:pPr>
          </w:p>
        </w:tc>
        <w:tc>
          <w:tcPr>
            <w:tcW w:w="9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ascii="宋体" w:hAnsi="宋体" w:cs="宋体"/>
                <w:sz w:val="24"/>
              </w:rPr>
            </w:pP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ascii="宋体" w:hAnsi="宋体" w:cs="宋体"/>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ascii="宋体" w:hAnsi="宋体" w:cs="宋体"/>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ascii="宋体" w:hAnsi="宋体" w:cs="宋体"/>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ascii="宋体" w:hAnsi="宋体" w:cs="宋体"/>
                <w:sz w:val="24"/>
              </w:rPr>
            </w:pPr>
          </w:p>
        </w:tc>
      </w:tr>
      <w:tr>
        <w:tblPrEx>
          <w:tblCellMar>
            <w:top w:w="0" w:type="dxa"/>
            <w:left w:w="108" w:type="dxa"/>
            <w:bottom w:w="0" w:type="dxa"/>
            <w:right w:w="108" w:type="dxa"/>
          </w:tblCellMar>
        </w:tblPrEx>
        <w:trPr>
          <w:trHeight w:val="622"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ascii="宋体" w:hAnsi="宋体" w:cs="宋体"/>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ascii="宋体" w:hAnsi="宋体" w:cs="宋体"/>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jc w:val="left"/>
              <w:rPr>
                <w:rFonts w:ascii="宋体" w:hAnsi="宋体" w:cs="宋体"/>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jc w:val="left"/>
              <w:rPr>
                <w:rFonts w:ascii="宋体" w:hAnsi="宋体" w:cs="宋体"/>
                <w:sz w:val="24"/>
              </w:rPr>
            </w:pPr>
          </w:p>
        </w:tc>
        <w:tc>
          <w:tcPr>
            <w:tcW w:w="9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ascii="宋体" w:hAnsi="宋体" w:cs="宋体"/>
                <w:sz w:val="24"/>
              </w:rPr>
            </w:pP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ascii="宋体" w:hAnsi="宋体" w:cs="宋体"/>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ascii="宋体" w:hAnsi="宋体" w:cs="宋体"/>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ascii="宋体" w:hAnsi="宋体" w:cs="宋体"/>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ascii="宋体" w:hAnsi="宋体" w:cs="宋体"/>
                <w:sz w:val="24"/>
              </w:rPr>
            </w:pPr>
          </w:p>
        </w:tc>
      </w:tr>
      <w:tr>
        <w:tblPrEx>
          <w:tblCellMar>
            <w:top w:w="0" w:type="dxa"/>
            <w:left w:w="108" w:type="dxa"/>
            <w:bottom w:w="0" w:type="dxa"/>
            <w:right w:w="108" w:type="dxa"/>
          </w:tblCellMar>
        </w:tblPrEx>
        <w:trPr>
          <w:trHeight w:val="622"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ascii="宋体" w:hAnsi="宋体" w:cs="宋体"/>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ascii="宋体" w:hAnsi="宋体" w:cs="宋体"/>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jc w:val="left"/>
              <w:rPr>
                <w:rFonts w:ascii="宋体" w:hAnsi="宋体" w:cs="宋体"/>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jc w:val="left"/>
              <w:rPr>
                <w:rFonts w:ascii="宋体" w:hAnsi="宋体" w:cs="宋体"/>
                <w:sz w:val="24"/>
              </w:rPr>
            </w:pPr>
          </w:p>
        </w:tc>
        <w:tc>
          <w:tcPr>
            <w:tcW w:w="9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ascii="宋体" w:hAnsi="宋体" w:cs="宋体"/>
                <w:sz w:val="24"/>
              </w:rPr>
            </w:pP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ascii="宋体" w:hAnsi="宋体" w:cs="宋体"/>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ascii="宋体" w:hAnsi="宋体" w:cs="宋体"/>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ascii="宋体" w:hAnsi="宋体" w:cs="宋体"/>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ascii="宋体" w:hAnsi="宋体" w:cs="宋体"/>
                <w:sz w:val="24"/>
              </w:rPr>
            </w:pPr>
          </w:p>
        </w:tc>
      </w:tr>
      <w:tr>
        <w:tblPrEx>
          <w:tblCellMar>
            <w:top w:w="0" w:type="dxa"/>
            <w:left w:w="108" w:type="dxa"/>
            <w:bottom w:w="0" w:type="dxa"/>
            <w:right w:w="108" w:type="dxa"/>
          </w:tblCellMar>
        </w:tblPrEx>
        <w:trPr>
          <w:trHeight w:val="622"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ascii="宋体" w:hAnsi="宋体" w:cs="宋体"/>
                <w:sz w:val="24"/>
              </w:rPr>
            </w:pPr>
            <w:r>
              <w:rPr>
                <w:rFonts w:hint="eastAsia" w:ascii="宋体" w:hAnsi="宋体" w:cs="宋体"/>
                <w:sz w:val="24"/>
              </w:rPr>
              <w:t>（2）优先采购类</w:t>
            </w:r>
          </w:p>
        </w:tc>
      </w:tr>
      <w:tr>
        <w:tblPrEx>
          <w:tblCellMar>
            <w:top w:w="0" w:type="dxa"/>
            <w:left w:w="108" w:type="dxa"/>
            <w:bottom w:w="0" w:type="dxa"/>
            <w:right w:w="108" w:type="dxa"/>
          </w:tblCellMar>
        </w:tblPrEx>
        <w:trPr>
          <w:trHeight w:val="622"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宋体" w:hAnsi="宋体" w:cs="宋体"/>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宋体" w:hAnsi="宋体" w:cs="宋体"/>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ascii="宋体" w:hAnsi="宋体" w:cs="宋体"/>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ascii="宋体" w:hAnsi="宋体" w:cs="宋体"/>
                <w:sz w:val="24"/>
              </w:rPr>
            </w:pPr>
          </w:p>
        </w:tc>
        <w:tc>
          <w:tcPr>
            <w:tcW w:w="92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宋体" w:hAnsi="宋体" w:cs="宋体"/>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宋体" w:hAnsi="宋体" w:cs="宋体"/>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宋体" w:hAnsi="宋体" w:cs="宋体"/>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宋体" w:hAnsi="宋体" w:cs="宋体"/>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宋体" w:hAnsi="宋体" w:cs="宋体"/>
                <w:sz w:val="24"/>
              </w:rPr>
            </w:pPr>
          </w:p>
        </w:tc>
      </w:tr>
      <w:tr>
        <w:tblPrEx>
          <w:tblCellMar>
            <w:top w:w="0" w:type="dxa"/>
            <w:left w:w="108" w:type="dxa"/>
            <w:bottom w:w="0" w:type="dxa"/>
            <w:right w:w="108" w:type="dxa"/>
          </w:tblCellMar>
        </w:tblPrEx>
        <w:trPr>
          <w:trHeight w:val="622"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宋体" w:hAnsi="宋体" w:cs="宋体"/>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宋体" w:hAnsi="宋体" w:cs="宋体"/>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ascii="宋体" w:hAnsi="宋体" w:cs="宋体"/>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ascii="宋体" w:hAnsi="宋体" w:cs="宋体"/>
                <w:sz w:val="24"/>
              </w:rPr>
            </w:pPr>
          </w:p>
        </w:tc>
        <w:tc>
          <w:tcPr>
            <w:tcW w:w="92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宋体" w:hAnsi="宋体" w:cs="宋体"/>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宋体" w:hAnsi="宋体" w:cs="宋体"/>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宋体" w:hAnsi="宋体" w:cs="宋体"/>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宋体" w:hAnsi="宋体" w:cs="宋体"/>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宋体" w:hAnsi="宋体" w:cs="宋体"/>
                <w:sz w:val="24"/>
              </w:rPr>
            </w:pPr>
          </w:p>
        </w:tc>
      </w:tr>
      <w:tr>
        <w:tblPrEx>
          <w:tblCellMar>
            <w:top w:w="0" w:type="dxa"/>
            <w:left w:w="108" w:type="dxa"/>
            <w:bottom w:w="0" w:type="dxa"/>
            <w:right w:w="108" w:type="dxa"/>
          </w:tblCellMar>
        </w:tblPrEx>
        <w:trPr>
          <w:trHeight w:val="622" w:hRule="atLeast"/>
          <w:jc w:val="center"/>
        </w:trPr>
        <w:tc>
          <w:tcPr>
            <w:tcW w:w="5264"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sz w:val="24"/>
              </w:rPr>
            </w:pPr>
            <w:r>
              <w:rPr>
                <w:rFonts w:hint="eastAsia" w:ascii="宋体" w:hAnsi="宋体" w:cs="宋体"/>
                <w:sz w:val="24"/>
              </w:rPr>
              <w:t>合计（人民币）</w:t>
            </w:r>
          </w:p>
        </w:tc>
        <w:tc>
          <w:tcPr>
            <w:tcW w:w="3618"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sz w:val="24"/>
              </w:rPr>
            </w:pPr>
          </w:p>
        </w:tc>
      </w:tr>
      <w:tr>
        <w:tblPrEx>
          <w:tblCellMar>
            <w:top w:w="0" w:type="dxa"/>
            <w:left w:w="108" w:type="dxa"/>
            <w:bottom w:w="0" w:type="dxa"/>
            <w:right w:w="108" w:type="dxa"/>
          </w:tblCellMar>
        </w:tblPrEx>
        <w:trPr>
          <w:trHeight w:val="622" w:hRule="atLeast"/>
          <w:jc w:val="center"/>
        </w:trPr>
        <w:tc>
          <w:tcPr>
            <w:tcW w:w="5264"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sz w:val="24"/>
              </w:rPr>
            </w:pPr>
            <w:r>
              <w:rPr>
                <w:rFonts w:hint="eastAsia" w:ascii="宋体" w:hAnsi="宋体" w:cs="宋体"/>
                <w:sz w:val="24"/>
              </w:rPr>
              <w:t>占总价的百分比（%）</w:t>
            </w:r>
          </w:p>
        </w:tc>
        <w:tc>
          <w:tcPr>
            <w:tcW w:w="3618"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sz w:val="24"/>
              </w:rPr>
            </w:pPr>
          </w:p>
        </w:tc>
      </w:tr>
    </w:tbl>
    <w:p>
      <w:pPr>
        <w:adjustRightInd w:val="0"/>
        <w:snapToGrid w:val="0"/>
        <w:jc w:val="left"/>
        <w:rPr>
          <w:rFonts w:ascii="宋体" w:hAnsi="宋体" w:cs="宋体"/>
          <w:szCs w:val="21"/>
        </w:rPr>
      </w:pPr>
      <w:r>
        <w:rPr>
          <w:rFonts w:hint="eastAsia" w:ascii="宋体" w:hAnsi="宋体" w:cs="宋体"/>
          <w:szCs w:val="21"/>
        </w:rPr>
        <w:t>说明：</w:t>
      </w:r>
    </w:p>
    <w:p>
      <w:pPr>
        <w:adjustRightInd w:val="0"/>
        <w:snapToGrid w:val="0"/>
        <w:ind w:firstLine="420" w:firstLineChars="200"/>
        <w:jc w:val="left"/>
        <w:rPr>
          <w:rFonts w:ascii="宋体" w:hAnsi="宋体" w:cs="宋体"/>
          <w:szCs w:val="21"/>
          <w:lang w:val="zh-CN"/>
        </w:rPr>
      </w:pPr>
      <w:r>
        <w:rPr>
          <w:rFonts w:hint="eastAsia" w:ascii="宋体" w:hAnsi="宋体" w:cs="宋体"/>
          <w:szCs w:val="21"/>
        </w:rPr>
        <w:t>1、</w:t>
      </w:r>
      <w:r>
        <w:rPr>
          <w:rFonts w:hint="eastAsia" w:ascii="宋体" w:hAnsi="宋体" w:cs="宋体"/>
          <w:szCs w:val="21"/>
          <w:lang w:val="zh-CN"/>
        </w:rPr>
        <w:t>如投标产品为</w:t>
      </w:r>
      <w:r>
        <w:rPr>
          <w:rFonts w:hint="eastAsia" w:ascii="宋体" w:hAnsi="宋体" w:cs="宋体"/>
          <w:szCs w:val="21"/>
        </w:rPr>
        <w:t>品目清单中的</w:t>
      </w:r>
      <w:r>
        <w:rPr>
          <w:rFonts w:hint="eastAsia" w:ascii="宋体" w:hAnsi="宋体" w:cs="宋体"/>
          <w:szCs w:val="21"/>
          <w:lang w:val="zh-CN"/>
        </w:rPr>
        <w:t>节能产品、环境标志产品，须按格式逐项填写，并附相关证明，否则评审时不予计分。</w:t>
      </w:r>
    </w:p>
    <w:p>
      <w:pPr>
        <w:numPr>
          <w:ilvl w:val="0"/>
          <w:numId w:val="12"/>
        </w:numPr>
        <w:adjustRightInd w:val="0"/>
        <w:snapToGrid w:val="0"/>
        <w:ind w:firstLine="420" w:firstLineChars="200"/>
        <w:jc w:val="left"/>
        <w:rPr>
          <w:rFonts w:ascii="宋体" w:hAnsi="宋体" w:cs="宋体"/>
          <w:szCs w:val="21"/>
          <w:lang w:val="zh-CN"/>
        </w:rPr>
      </w:pPr>
      <w:r>
        <w:rPr>
          <w:rFonts w:hint="eastAsia" w:ascii="宋体" w:hAnsi="宋体" w:cs="宋体"/>
          <w:szCs w:val="21"/>
          <w:lang w:val="zh-CN"/>
        </w:rPr>
        <w:t>类别填写：节能产品或环境标志产品。</w:t>
      </w:r>
    </w:p>
    <w:p>
      <w:pPr>
        <w:tabs>
          <w:tab w:val="center" w:pos="4153"/>
          <w:tab w:val="right" w:pos="8306"/>
        </w:tabs>
        <w:adjustRightInd w:val="0"/>
        <w:snapToGrid w:val="0"/>
        <w:ind w:firstLine="420" w:firstLineChars="200"/>
        <w:rPr>
          <w:rFonts w:ascii="宋体" w:hAnsi="宋体" w:cs="宋体"/>
          <w:szCs w:val="21"/>
          <w:lang w:val="zh-CN"/>
        </w:rPr>
      </w:pPr>
      <w:r>
        <w:rPr>
          <w:rFonts w:hint="eastAsia" w:ascii="宋体" w:hAnsi="宋体" w:cs="宋体"/>
          <w:szCs w:val="21"/>
        </w:rPr>
        <w:t>3、</w:t>
      </w:r>
      <w:r>
        <w:rPr>
          <w:rFonts w:hint="eastAsia" w:ascii="宋体" w:hAnsi="宋体" w:cs="宋体"/>
          <w:szCs w:val="21"/>
          <w:lang w:val="zh-CN"/>
        </w:rPr>
        <w:t>若所投产品为政府强制采购的节能产品，需提供响应产品经国家确定的认证机构出具的、处于有效期内的节能产品认证证书。</w:t>
      </w:r>
      <w:r>
        <w:rPr>
          <w:rFonts w:hint="eastAsia" w:ascii="宋体" w:hAnsi="宋体" w:cs="宋体"/>
          <w:szCs w:val="21"/>
        </w:rPr>
        <w:t>强制类产品</w:t>
      </w:r>
      <w:r>
        <w:rPr>
          <w:rFonts w:hint="eastAsia" w:ascii="宋体" w:hAnsi="宋体" w:cs="宋体"/>
          <w:szCs w:val="21"/>
          <w:lang w:val="zh-CN"/>
        </w:rPr>
        <w:t>具体品目详见《关于印发节能产品政府采购品目清单的通知》（财库[2019]19号文）</w:t>
      </w:r>
      <w:r>
        <w:rPr>
          <w:rFonts w:hint="eastAsia" w:ascii="宋体" w:hAnsi="宋体" w:cs="宋体"/>
          <w:szCs w:val="21"/>
        </w:rPr>
        <w:t>。</w:t>
      </w:r>
    </w:p>
    <w:p>
      <w:pPr>
        <w:autoSpaceDE w:val="0"/>
        <w:autoSpaceDN w:val="0"/>
        <w:adjustRightInd w:val="0"/>
        <w:snapToGrid w:val="0"/>
        <w:spacing w:line="360" w:lineRule="auto"/>
        <w:ind w:firstLine="1920" w:firstLineChars="800"/>
        <w:rPr>
          <w:rFonts w:ascii="宋体" w:hAnsi="宋体" w:cs="宋体"/>
          <w:sz w:val="24"/>
          <w:u w:val="single"/>
        </w:rPr>
      </w:pPr>
    </w:p>
    <w:p>
      <w:pPr>
        <w:spacing w:line="360" w:lineRule="auto"/>
        <w:ind w:firstLine="1920" w:firstLineChars="800"/>
        <w:rPr>
          <w:rFonts w:ascii="宋体" w:hAnsi="宋体" w:cs="宋体"/>
          <w:sz w:val="24"/>
        </w:rPr>
      </w:pPr>
      <w:r>
        <w:rPr>
          <w:rFonts w:hint="eastAsia" w:ascii="宋体" w:hAnsi="宋体" w:cs="宋体"/>
          <w:sz w:val="24"/>
        </w:rPr>
        <w:t>供应商名称（盖章）：</w:t>
      </w:r>
      <w:r>
        <w:rPr>
          <w:rFonts w:hint="eastAsia" w:ascii="宋体" w:hAnsi="宋体" w:cs="宋体"/>
          <w:sz w:val="24"/>
          <w:u w:val="single"/>
        </w:rPr>
        <w:t xml:space="preserve">                   </w:t>
      </w:r>
    </w:p>
    <w:p>
      <w:pPr>
        <w:spacing w:line="360" w:lineRule="auto"/>
        <w:ind w:firstLine="1920" w:firstLineChars="800"/>
        <w:rPr>
          <w:rFonts w:ascii="宋体" w:hAnsi="宋体" w:cs="宋体"/>
          <w:sz w:val="24"/>
        </w:rPr>
      </w:pPr>
      <w:r>
        <w:rPr>
          <w:rFonts w:hint="eastAsia" w:ascii="宋体" w:hAnsi="宋体" w:cs="宋体"/>
          <w:sz w:val="24"/>
        </w:rPr>
        <w:t>法定代表人或授权代表（签字）：</w:t>
      </w:r>
      <w:r>
        <w:rPr>
          <w:rFonts w:hint="eastAsia" w:ascii="宋体" w:hAnsi="宋体" w:cs="宋体"/>
          <w:sz w:val="24"/>
          <w:u w:val="single"/>
        </w:rPr>
        <w:t xml:space="preserve">         </w:t>
      </w:r>
    </w:p>
    <w:p>
      <w:pPr>
        <w:tabs>
          <w:tab w:val="center" w:pos="4535"/>
          <w:tab w:val="left" w:pos="6521"/>
        </w:tabs>
        <w:autoSpaceDE w:val="0"/>
        <w:autoSpaceDN w:val="0"/>
        <w:adjustRightInd w:val="0"/>
        <w:snapToGrid w:val="0"/>
        <w:spacing w:line="360" w:lineRule="auto"/>
        <w:ind w:firstLine="1920" w:firstLineChars="800"/>
        <w:rPr>
          <w:rFonts w:ascii="宋体" w:hAnsi="宋体" w:cs="宋体"/>
          <w:sz w:val="32"/>
          <w:u w:val="single"/>
        </w:rPr>
      </w:pPr>
      <w:r>
        <w:rPr>
          <w:rFonts w:hint="eastAsia" w:ascii="宋体" w:hAnsi="宋体" w:cs="宋体"/>
          <w:sz w:val="24"/>
        </w:rPr>
        <w:t>日    期：</w:t>
      </w:r>
      <w:r>
        <w:rPr>
          <w:rFonts w:hint="eastAsia" w:ascii="宋体" w:hAnsi="宋体" w:cs="宋体"/>
          <w:sz w:val="32"/>
          <w:u w:val="single"/>
        </w:rPr>
        <w:t xml:space="preserve">                      </w:t>
      </w:r>
    </w:p>
    <w:p>
      <w:pPr>
        <w:spacing w:line="360" w:lineRule="auto"/>
        <w:rPr>
          <w:rFonts w:ascii="宋体" w:hAnsi="宋体" w:cs="宋体"/>
          <w:bCs/>
          <w:sz w:val="24"/>
        </w:rPr>
      </w:pPr>
      <w:r>
        <w:rPr>
          <w:rFonts w:hint="eastAsia" w:ascii="宋体" w:hAnsi="宋体" w:cs="宋体"/>
        </w:rPr>
        <w:br w:type="page"/>
      </w:r>
    </w:p>
    <w:p>
      <w:pPr>
        <w:rPr>
          <w:rFonts w:ascii="宋体" w:hAnsi="宋体" w:cs="宋体"/>
        </w:rPr>
      </w:pPr>
    </w:p>
    <w:p>
      <w:pPr>
        <w:pStyle w:val="4"/>
        <w:spacing w:before="0" w:line="360" w:lineRule="auto"/>
        <w:rPr>
          <w:rFonts w:ascii="宋体" w:hAnsi="宋体" w:eastAsia="宋体" w:cs="宋体"/>
          <w:sz w:val="24"/>
        </w:rPr>
      </w:pPr>
      <w:r>
        <w:rPr>
          <w:rFonts w:hint="eastAsia" w:ascii="宋体" w:hAnsi="宋体" w:eastAsia="宋体" w:cs="宋体"/>
          <w:sz w:val="24"/>
        </w:rPr>
        <w:t>四、技术偏离表</w:t>
      </w:r>
      <w:bookmarkEnd w:id="325"/>
      <w:r>
        <w:rPr>
          <w:rFonts w:hint="eastAsia" w:ascii="宋体" w:hAnsi="宋体" w:eastAsia="宋体" w:cs="宋体"/>
          <w:sz w:val="24"/>
        </w:rPr>
        <w:t>及商务条款偏离表</w:t>
      </w:r>
    </w:p>
    <w:p>
      <w:pPr>
        <w:pStyle w:val="16"/>
        <w:spacing w:line="360" w:lineRule="auto"/>
        <w:jc w:val="center"/>
        <w:rPr>
          <w:rFonts w:hAnsi="宋体" w:cs="宋体"/>
          <w:sz w:val="24"/>
        </w:rPr>
      </w:pPr>
      <w:r>
        <w:rPr>
          <w:rFonts w:hint="eastAsia" w:hAnsi="宋体" w:cs="宋体"/>
          <w:b/>
          <w:bCs/>
          <w:sz w:val="24"/>
        </w:rPr>
        <w:t>技术偏离表</w:t>
      </w:r>
    </w:p>
    <w:p>
      <w:pPr>
        <w:pStyle w:val="16"/>
        <w:spacing w:line="360" w:lineRule="auto"/>
        <w:ind w:firstLine="6960" w:firstLineChars="2900"/>
        <w:rPr>
          <w:rFonts w:hAnsi="宋体" w:cs="宋体"/>
          <w:sz w:val="24"/>
        </w:rPr>
      </w:pPr>
      <w:r>
        <w:rPr>
          <w:rFonts w:hint="eastAsia" w:hAnsi="宋体" w:cs="宋体"/>
          <w:sz w:val="24"/>
        </w:rPr>
        <w:t xml:space="preserve">包号:          </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272"/>
        <w:gridCol w:w="1328"/>
        <w:gridCol w:w="1260"/>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center"/>
          </w:tcPr>
          <w:p>
            <w:pPr>
              <w:pStyle w:val="16"/>
              <w:spacing w:line="360" w:lineRule="auto"/>
              <w:ind w:left="-31" w:leftChars="-15"/>
              <w:jc w:val="center"/>
              <w:rPr>
                <w:rFonts w:hAnsi="宋体" w:cs="宋体"/>
                <w:sz w:val="24"/>
              </w:rPr>
            </w:pPr>
            <w:r>
              <w:rPr>
                <w:rFonts w:hint="eastAsia" w:hAnsi="宋体" w:cs="宋体"/>
                <w:sz w:val="24"/>
              </w:rPr>
              <w:t>序号</w:t>
            </w:r>
          </w:p>
        </w:tc>
        <w:tc>
          <w:tcPr>
            <w:tcW w:w="2272" w:type="dxa"/>
            <w:vAlign w:val="center"/>
          </w:tcPr>
          <w:p>
            <w:pPr>
              <w:pStyle w:val="16"/>
              <w:spacing w:line="360" w:lineRule="auto"/>
              <w:ind w:left="-149" w:leftChars="-71"/>
              <w:jc w:val="center"/>
              <w:rPr>
                <w:rFonts w:hAnsi="宋体" w:cs="宋体"/>
                <w:sz w:val="24"/>
              </w:rPr>
            </w:pPr>
            <w:r>
              <w:rPr>
                <w:rFonts w:hint="eastAsia" w:hAnsi="宋体" w:cs="宋体"/>
                <w:sz w:val="24"/>
              </w:rPr>
              <w:t>产品名称</w:t>
            </w:r>
          </w:p>
        </w:tc>
        <w:tc>
          <w:tcPr>
            <w:tcW w:w="1328" w:type="dxa"/>
            <w:vAlign w:val="center"/>
          </w:tcPr>
          <w:p>
            <w:pPr>
              <w:pStyle w:val="16"/>
              <w:spacing w:line="360" w:lineRule="auto"/>
              <w:ind w:left="-107" w:leftChars="-51"/>
              <w:jc w:val="center"/>
              <w:rPr>
                <w:rFonts w:hAnsi="宋体" w:cs="宋体"/>
                <w:sz w:val="24"/>
              </w:rPr>
            </w:pPr>
            <w:r>
              <w:rPr>
                <w:rFonts w:hint="eastAsia" w:hAnsi="宋体" w:cs="宋体"/>
                <w:sz w:val="24"/>
              </w:rPr>
              <w:t>数量</w:t>
            </w:r>
          </w:p>
        </w:tc>
        <w:tc>
          <w:tcPr>
            <w:tcW w:w="1260" w:type="dxa"/>
            <w:vAlign w:val="center"/>
          </w:tcPr>
          <w:p>
            <w:pPr>
              <w:pStyle w:val="16"/>
              <w:spacing w:line="360" w:lineRule="auto"/>
              <w:ind w:left="-206" w:leftChars="-98" w:right="-166" w:rightChars="-79"/>
              <w:jc w:val="center"/>
              <w:rPr>
                <w:rFonts w:hAnsi="宋体" w:cs="宋体"/>
                <w:sz w:val="24"/>
              </w:rPr>
            </w:pPr>
            <w:r>
              <w:rPr>
                <w:rFonts w:hint="eastAsia" w:hAnsi="宋体" w:cs="宋体"/>
                <w:sz w:val="24"/>
              </w:rPr>
              <w:t>招标要求</w:t>
            </w:r>
          </w:p>
        </w:tc>
        <w:tc>
          <w:tcPr>
            <w:tcW w:w="1260" w:type="dxa"/>
            <w:vAlign w:val="center"/>
          </w:tcPr>
          <w:p>
            <w:pPr>
              <w:pStyle w:val="16"/>
              <w:spacing w:line="360" w:lineRule="auto"/>
              <w:ind w:left="-48" w:leftChars="-23"/>
              <w:jc w:val="center"/>
              <w:rPr>
                <w:rFonts w:hAnsi="宋体" w:cs="宋体"/>
                <w:sz w:val="24"/>
              </w:rPr>
            </w:pPr>
            <w:r>
              <w:rPr>
                <w:rFonts w:hint="eastAsia" w:hAnsi="宋体" w:cs="宋体"/>
                <w:sz w:val="24"/>
              </w:rPr>
              <w:t>投标响应</w:t>
            </w:r>
          </w:p>
        </w:tc>
        <w:tc>
          <w:tcPr>
            <w:tcW w:w="900" w:type="dxa"/>
            <w:vAlign w:val="center"/>
          </w:tcPr>
          <w:p>
            <w:pPr>
              <w:pStyle w:val="16"/>
              <w:spacing w:line="360" w:lineRule="auto"/>
              <w:ind w:left="-34" w:leftChars="-16"/>
              <w:jc w:val="center"/>
              <w:rPr>
                <w:rFonts w:hAnsi="宋体" w:cs="宋体"/>
                <w:sz w:val="24"/>
              </w:rPr>
            </w:pPr>
            <w:r>
              <w:rPr>
                <w:rFonts w:hint="eastAsia" w:hAnsi="宋体" w:cs="宋体"/>
                <w:sz w:val="24"/>
              </w:rPr>
              <w:t>偏离</w:t>
            </w:r>
          </w:p>
        </w:tc>
        <w:tc>
          <w:tcPr>
            <w:tcW w:w="900" w:type="dxa"/>
            <w:vAlign w:val="center"/>
          </w:tcPr>
          <w:p>
            <w:pPr>
              <w:pStyle w:val="16"/>
              <w:spacing w:line="360" w:lineRule="auto"/>
              <w:ind w:left="-82" w:leftChars="-39"/>
              <w:jc w:val="center"/>
              <w:rPr>
                <w:rFonts w:hAnsi="宋体" w:cs="宋体"/>
                <w:sz w:val="24"/>
              </w:rPr>
            </w:pPr>
            <w:r>
              <w:rPr>
                <w:rFonts w:hint="eastAsia" w:hAnsi="宋体" w:cs="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6"/>
              <w:spacing w:line="360" w:lineRule="auto"/>
              <w:ind w:left="1080" w:leftChars="257" w:hanging="540"/>
              <w:rPr>
                <w:rFonts w:hAnsi="宋体" w:cs="宋体"/>
                <w:sz w:val="24"/>
              </w:rPr>
            </w:pPr>
          </w:p>
        </w:tc>
        <w:tc>
          <w:tcPr>
            <w:tcW w:w="2272" w:type="dxa"/>
          </w:tcPr>
          <w:p>
            <w:pPr>
              <w:pStyle w:val="16"/>
              <w:spacing w:line="360" w:lineRule="auto"/>
              <w:ind w:left="1080" w:leftChars="257" w:hanging="540"/>
              <w:rPr>
                <w:rFonts w:hAnsi="宋体" w:cs="宋体"/>
                <w:sz w:val="24"/>
              </w:rPr>
            </w:pPr>
          </w:p>
        </w:tc>
        <w:tc>
          <w:tcPr>
            <w:tcW w:w="1328" w:type="dxa"/>
          </w:tcPr>
          <w:p>
            <w:pPr>
              <w:pStyle w:val="16"/>
              <w:spacing w:line="360" w:lineRule="auto"/>
              <w:ind w:left="1080" w:leftChars="257" w:hanging="540"/>
              <w:rPr>
                <w:rFonts w:hAnsi="宋体" w:cs="宋体"/>
                <w:sz w:val="24"/>
              </w:rPr>
            </w:pPr>
          </w:p>
        </w:tc>
        <w:tc>
          <w:tcPr>
            <w:tcW w:w="1260" w:type="dxa"/>
          </w:tcPr>
          <w:p>
            <w:pPr>
              <w:pStyle w:val="16"/>
              <w:spacing w:line="360" w:lineRule="auto"/>
              <w:ind w:left="1080" w:leftChars="257" w:hanging="540"/>
              <w:rPr>
                <w:rFonts w:hAnsi="宋体" w:cs="宋体"/>
                <w:sz w:val="24"/>
              </w:rPr>
            </w:pPr>
          </w:p>
        </w:tc>
        <w:tc>
          <w:tcPr>
            <w:tcW w:w="1260" w:type="dxa"/>
          </w:tcPr>
          <w:p>
            <w:pPr>
              <w:pStyle w:val="16"/>
              <w:spacing w:line="360" w:lineRule="auto"/>
              <w:ind w:left="1080" w:leftChars="257" w:hanging="540"/>
              <w:rPr>
                <w:rFonts w:hAnsi="宋体" w:cs="宋体"/>
                <w:sz w:val="24"/>
              </w:rPr>
            </w:pPr>
          </w:p>
        </w:tc>
        <w:tc>
          <w:tcPr>
            <w:tcW w:w="900" w:type="dxa"/>
          </w:tcPr>
          <w:p>
            <w:pPr>
              <w:pStyle w:val="16"/>
              <w:spacing w:line="360" w:lineRule="auto"/>
              <w:ind w:left="1080" w:leftChars="257" w:hanging="540"/>
              <w:rPr>
                <w:rFonts w:hAnsi="宋体" w:cs="宋体"/>
                <w:sz w:val="24"/>
              </w:rPr>
            </w:pPr>
          </w:p>
        </w:tc>
        <w:tc>
          <w:tcPr>
            <w:tcW w:w="900" w:type="dxa"/>
          </w:tcPr>
          <w:p>
            <w:pPr>
              <w:pStyle w:val="16"/>
              <w:spacing w:line="360" w:lineRule="auto"/>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6"/>
              <w:spacing w:line="360" w:lineRule="auto"/>
              <w:ind w:left="1080" w:leftChars="257" w:hanging="540"/>
              <w:rPr>
                <w:rFonts w:hAnsi="宋体" w:cs="宋体"/>
                <w:sz w:val="24"/>
              </w:rPr>
            </w:pPr>
          </w:p>
        </w:tc>
        <w:tc>
          <w:tcPr>
            <w:tcW w:w="2272" w:type="dxa"/>
          </w:tcPr>
          <w:p>
            <w:pPr>
              <w:pStyle w:val="16"/>
              <w:spacing w:line="360" w:lineRule="auto"/>
              <w:ind w:left="1080" w:leftChars="257" w:hanging="540"/>
              <w:rPr>
                <w:rFonts w:hAnsi="宋体" w:cs="宋体"/>
                <w:sz w:val="24"/>
              </w:rPr>
            </w:pPr>
          </w:p>
        </w:tc>
        <w:tc>
          <w:tcPr>
            <w:tcW w:w="1328" w:type="dxa"/>
          </w:tcPr>
          <w:p>
            <w:pPr>
              <w:pStyle w:val="16"/>
              <w:spacing w:line="360" w:lineRule="auto"/>
              <w:ind w:left="1080" w:leftChars="257" w:hanging="540"/>
              <w:rPr>
                <w:rFonts w:hAnsi="宋体" w:cs="宋体"/>
                <w:sz w:val="24"/>
              </w:rPr>
            </w:pPr>
          </w:p>
        </w:tc>
        <w:tc>
          <w:tcPr>
            <w:tcW w:w="1260" w:type="dxa"/>
          </w:tcPr>
          <w:p>
            <w:pPr>
              <w:pStyle w:val="16"/>
              <w:spacing w:line="360" w:lineRule="auto"/>
              <w:ind w:left="1080" w:leftChars="257" w:hanging="540"/>
              <w:rPr>
                <w:rFonts w:hAnsi="宋体" w:cs="宋体"/>
                <w:sz w:val="24"/>
              </w:rPr>
            </w:pPr>
          </w:p>
        </w:tc>
        <w:tc>
          <w:tcPr>
            <w:tcW w:w="1260" w:type="dxa"/>
          </w:tcPr>
          <w:p>
            <w:pPr>
              <w:pStyle w:val="16"/>
              <w:spacing w:line="360" w:lineRule="auto"/>
              <w:ind w:left="1080" w:leftChars="257" w:hanging="540"/>
              <w:rPr>
                <w:rFonts w:hAnsi="宋体" w:cs="宋体"/>
                <w:sz w:val="24"/>
              </w:rPr>
            </w:pPr>
          </w:p>
        </w:tc>
        <w:tc>
          <w:tcPr>
            <w:tcW w:w="900" w:type="dxa"/>
          </w:tcPr>
          <w:p>
            <w:pPr>
              <w:pStyle w:val="16"/>
              <w:spacing w:line="360" w:lineRule="auto"/>
              <w:ind w:left="1080" w:leftChars="257" w:hanging="540"/>
              <w:rPr>
                <w:rFonts w:hAnsi="宋体" w:cs="宋体"/>
                <w:sz w:val="24"/>
              </w:rPr>
            </w:pPr>
          </w:p>
        </w:tc>
        <w:tc>
          <w:tcPr>
            <w:tcW w:w="900" w:type="dxa"/>
          </w:tcPr>
          <w:p>
            <w:pPr>
              <w:pStyle w:val="16"/>
              <w:spacing w:line="360" w:lineRule="auto"/>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6"/>
              <w:spacing w:line="360" w:lineRule="auto"/>
              <w:ind w:left="1080" w:leftChars="257" w:hanging="540"/>
              <w:rPr>
                <w:rFonts w:hAnsi="宋体" w:cs="宋体"/>
                <w:sz w:val="24"/>
              </w:rPr>
            </w:pPr>
          </w:p>
        </w:tc>
        <w:tc>
          <w:tcPr>
            <w:tcW w:w="2272" w:type="dxa"/>
          </w:tcPr>
          <w:p>
            <w:pPr>
              <w:pStyle w:val="16"/>
              <w:spacing w:line="360" w:lineRule="auto"/>
              <w:ind w:left="1080" w:leftChars="257" w:hanging="540"/>
              <w:rPr>
                <w:rFonts w:hAnsi="宋体" w:cs="宋体"/>
                <w:sz w:val="24"/>
              </w:rPr>
            </w:pPr>
          </w:p>
        </w:tc>
        <w:tc>
          <w:tcPr>
            <w:tcW w:w="1328" w:type="dxa"/>
          </w:tcPr>
          <w:p>
            <w:pPr>
              <w:pStyle w:val="16"/>
              <w:spacing w:line="360" w:lineRule="auto"/>
              <w:ind w:left="1080" w:leftChars="257" w:hanging="540"/>
              <w:rPr>
                <w:rFonts w:hAnsi="宋体" w:cs="宋体"/>
                <w:sz w:val="24"/>
              </w:rPr>
            </w:pPr>
          </w:p>
        </w:tc>
        <w:tc>
          <w:tcPr>
            <w:tcW w:w="1260" w:type="dxa"/>
          </w:tcPr>
          <w:p>
            <w:pPr>
              <w:pStyle w:val="16"/>
              <w:spacing w:line="360" w:lineRule="auto"/>
              <w:ind w:left="1080" w:leftChars="257" w:hanging="540"/>
              <w:rPr>
                <w:rFonts w:hAnsi="宋体" w:cs="宋体"/>
                <w:sz w:val="24"/>
              </w:rPr>
            </w:pPr>
          </w:p>
        </w:tc>
        <w:tc>
          <w:tcPr>
            <w:tcW w:w="1260" w:type="dxa"/>
          </w:tcPr>
          <w:p>
            <w:pPr>
              <w:pStyle w:val="16"/>
              <w:spacing w:line="360" w:lineRule="auto"/>
              <w:ind w:left="1080" w:leftChars="257" w:hanging="540"/>
              <w:rPr>
                <w:rFonts w:hAnsi="宋体" w:cs="宋体"/>
                <w:sz w:val="24"/>
              </w:rPr>
            </w:pPr>
          </w:p>
        </w:tc>
        <w:tc>
          <w:tcPr>
            <w:tcW w:w="900" w:type="dxa"/>
          </w:tcPr>
          <w:p>
            <w:pPr>
              <w:pStyle w:val="16"/>
              <w:spacing w:line="360" w:lineRule="auto"/>
              <w:ind w:left="1080" w:leftChars="257" w:hanging="540"/>
              <w:rPr>
                <w:rFonts w:hAnsi="宋体" w:cs="宋体"/>
                <w:sz w:val="24"/>
              </w:rPr>
            </w:pPr>
          </w:p>
        </w:tc>
        <w:tc>
          <w:tcPr>
            <w:tcW w:w="900" w:type="dxa"/>
          </w:tcPr>
          <w:p>
            <w:pPr>
              <w:pStyle w:val="16"/>
              <w:spacing w:line="360" w:lineRule="auto"/>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6"/>
              <w:spacing w:line="360" w:lineRule="auto"/>
              <w:ind w:left="1080" w:leftChars="257" w:hanging="540"/>
              <w:rPr>
                <w:rFonts w:hAnsi="宋体" w:cs="宋体"/>
                <w:sz w:val="24"/>
              </w:rPr>
            </w:pPr>
          </w:p>
        </w:tc>
        <w:tc>
          <w:tcPr>
            <w:tcW w:w="2272" w:type="dxa"/>
          </w:tcPr>
          <w:p>
            <w:pPr>
              <w:pStyle w:val="16"/>
              <w:spacing w:line="360" w:lineRule="auto"/>
              <w:ind w:left="1080" w:leftChars="257" w:hanging="540"/>
              <w:rPr>
                <w:rFonts w:hAnsi="宋体" w:cs="宋体"/>
                <w:sz w:val="24"/>
              </w:rPr>
            </w:pPr>
          </w:p>
        </w:tc>
        <w:tc>
          <w:tcPr>
            <w:tcW w:w="1328" w:type="dxa"/>
          </w:tcPr>
          <w:p>
            <w:pPr>
              <w:pStyle w:val="16"/>
              <w:spacing w:line="360" w:lineRule="auto"/>
              <w:ind w:left="1080" w:leftChars="257" w:hanging="540"/>
              <w:rPr>
                <w:rFonts w:hAnsi="宋体" w:cs="宋体"/>
                <w:sz w:val="24"/>
              </w:rPr>
            </w:pPr>
          </w:p>
        </w:tc>
        <w:tc>
          <w:tcPr>
            <w:tcW w:w="1260" w:type="dxa"/>
          </w:tcPr>
          <w:p>
            <w:pPr>
              <w:pStyle w:val="16"/>
              <w:spacing w:line="360" w:lineRule="auto"/>
              <w:ind w:left="1080" w:leftChars="257" w:hanging="540"/>
              <w:rPr>
                <w:rFonts w:hAnsi="宋体" w:cs="宋体"/>
                <w:sz w:val="24"/>
              </w:rPr>
            </w:pPr>
          </w:p>
        </w:tc>
        <w:tc>
          <w:tcPr>
            <w:tcW w:w="1260" w:type="dxa"/>
          </w:tcPr>
          <w:p>
            <w:pPr>
              <w:pStyle w:val="16"/>
              <w:spacing w:line="360" w:lineRule="auto"/>
              <w:ind w:left="1080" w:leftChars="257" w:hanging="540"/>
              <w:rPr>
                <w:rFonts w:hAnsi="宋体" w:cs="宋体"/>
                <w:sz w:val="24"/>
              </w:rPr>
            </w:pPr>
          </w:p>
        </w:tc>
        <w:tc>
          <w:tcPr>
            <w:tcW w:w="900" w:type="dxa"/>
          </w:tcPr>
          <w:p>
            <w:pPr>
              <w:pStyle w:val="16"/>
              <w:spacing w:line="360" w:lineRule="auto"/>
              <w:ind w:left="1080" w:leftChars="257" w:hanging="540"/>
              <w:rPr>
                <w:rFonts w:hAnsi="宋体" w:cs="宋体"/>
                <w:sz w:val="24"/>
              </w:rPr>
            </w:pPr>
          </w:p>
        </w:tc>
        <w:tc>
          <w:tcPr>
            <w:tcW w:w="900" w:type="dxa"/>
          </w:tcPr>
          <w:p>
            <w:pPr>
              <w:pStyle w:val="16"/>
              <w:spacing w:line="360" w:lineRule="auto"/>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6"/>
              <w:spacing w:line="360" w:lineRule="auto"/>
              <w:ind w:left="1080" w:leftChars="257" w:hanging="540"/>
              <w:rPr>
                <w:rFonts w:hAnsi="宋体" w:cs="宋体"/>
                <w:sz w:val="24"/>
              </w:rPr>
            </w:pPr>
          </w:p>
        </w:tc>
        <w:tc>
          <w:tcPr>
            <w:tcW w:w="2272" w:type="dxa"/>
          </w:tcPr>
          <w:p>
            <w:pPr>
              <w:pStyle w:val="16"/>
              <w:spacing w:line="360" w:lineRule="auto"/>
              <w:ind w:left="1080" w:leftChars="257" w:hanging="540"/>
              <w:rPr>
                <w:rFonts w:hAnsi="宋体" w:cs="宋体"/>
                <w:sz w:val="24"/>
              </w:rPr>
            </w:pPr>
          </w:p>
        </w:tc>
        <w:tc>
          <w:tcPr>
            <w:tcW w:w="1328" w:type="dxa"/>
          </w:tcPr>
          <w:p>
            <w:pPr>
              <w:pStyle w:val="16"/>
              <w:spacing w:line="360" w:lineRule="auto"/>
              <w:ind w:left="1080" w:leftChars="257" w:hanging="540"/>
              <w:rPr>
                <w:rFonts w:hAnsi="宋体" w:cs="宋体"/>
                <w:sz w:val="24"/>
              </w:rPr>
            </w:pPr>
          </w:p>
        </w:tc>
        <w:tc>
          <w:tcPr>
            <w:tcW w:w="1260" w:type="dxa"/>
          </w:tcPr>
          <w:p>
            <w:pPr>
              <w:pStyle w:val="16"/>
              <w:spacing w:line="360" w:lineRule="auto"/>
              <w:ind w:left="1080" w:leftChars="257" w:hanging="540"/>
              <w:rPr>
                <w:rFonts w:hAnsi="宋体" w:cs="宋体"/>
                <w:sz w:val="24"/>
              </w:rPr>
            </w:pPr>
          </w:p>
        </w:tc>
        <w:tc>
          <w:tcPr>
            <w:tcW w:w="1260" w:type="dxa"/>
          </w:tcPr>
          <w:p>
            <w:pPr>
              <w:pStyle w:val="16"/>
              <w:spacing w:line="360" w:lineRule="auto"/>
              <w:ind w:left="1080" w:leftChars="257" w:hanging="540"/>
              <w:rPr>
                <w:rFonts w:hAnsi="宋体" w:cs="宋体"/>
                <w:sz w:val="24"/>
              </w:rPr>
            </w:pPr>
          </w:p>
        </w:tc>
        <w:tc>
          <w:tcPr>
            <w:tcW w:w="900" w:type="dxa"/>
          </w:tcPr>
          <w:p>
            <w:pPr>
              <w:pStyle w:val="16"/>
              <w:spacing w:line="360" w:lineRule="auto"/>
              <w:ind w:left="1080" w:leftChars="257" w:hanging="540"/>
              <w:rPr>
                <w:rFonts w:hAnsi="宋体" w:cs="宋体"/>
                <w:sz w:val="24"/>
              </w:rPr>
            </w:pPr>
          </w:p>
        </w:tc>
        <w:tc>
          <w:tcPr>
            <w:tcW w:w="900" w:type="dxa"/>
          </w:tcPr>
          <w:p>
            <w:pPr>
              <w:pStyle w:val="16"/>
              <w:spacing w:line="360" w:lineRule="auto"/>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6"/>
              <w:spacing w:line="360" w:lineRule="auto"/>
              <w:ind w:left="1080" w:leftChars="257" w:hanging="540"/>
              <w:rPr>
                <w:rFonts w:hAnsi="宋体" w:cs="宋体"/>
                <w:sz w:val="24"/>
              </w:rPr>
            </w:pPr>
          </w:p>
        </w:tc>
        <w:tc>
          <w:tcPr>
            <w:tcW w:w="2272" w:type="dxa"/>
          </w:tcPr>
          <w:p>
            <w:pPr>
              <w:pStyle w:val="16"/>
              <w:spacing w:line="360" w:lineRule="auto"/>
              <w:ind w:left="1080" w:leftChars="257" w:hanging="540"/>
              <w:rPr>
                <w:rFonts w:hAnsi="宋体" w:cs="宋体"/>
                <w:sz w:val="24"/>
              </w:rPr>
            </w:pPr>
          </w:p>
        </w:tc>
        <w:tc>
          <w:tcPr>
            <w:tcW w:w="1328" w:type="dxa"/>
          </w:tcPr>
          <w:p>
            <w:pPr>
              <w:pStyle w:val="16"/>
              <w:spacing w:line="360" w:lineRule="auto"/>
              <w:ind w:left="1080" w:leftChars="257" w:hanging="540"/>
              <w:rPr>
                <w:rFonts w:hAnsi="宋体" w:cs="宋体"/>
                <w:sz w:val="24"/>
              </w:rPr>
            </w:pPr>
          </w:p>
        </w:tc>
        <w:tc>
          <w:tcPr>
            <w:tcW w:w="1260" w:type="dxa"/>
          </w:tcPr>
          <w:p>
            <w:pPr>
              <w:pStyle w:val="16"/>
              <w:spacing w:line="360" w:lineRule="auto"/>
              <w:ind w:left="1080" w:leftChars="257" w:hanging="540"/>
              <w:rPr>
                <w:rFonts w:hAnsi="宋体" w:cs="宋体"/>
                <w:sz w:val="24"/>
              </w:rPr>
            </w:pPr>
          </w:p>
        </w:tc>
        <w:tc>
          <w:tcPr>
            <w:tcW w:w="1260" w:type="dxa"/>
          </w:tcPr>
          <w:p>
            <w:pPr>
              <w:pStyle w:val="16"/>
              <w:spacing w:line="360" w:lineRule="auto"/>
              <w:ind w:left="1080" w:leftChars="257" w:hanging="540"/>
              <w:rPr>
                <w:rFonts w:hAnsi="宋体" w:cs="宋体"/>
                <w:sz w:val="24"/>
              </w:rPr>
            </w:pPr>
          </w:p>
        </w:tc>
        <w:tc>
          <w:tcPr>
            <w:tcW w:w="900" w:type="dxa"/>
          </w:tcPr>
          <w:p>
            <w:pPr>
              <w:pStyle w:val="16"/>
              <w:spacing w:line="360" w:lineRule="auto"/>
              <w:ind w:left="1080" w:leftChars="257" w:hanging="540"/>
              <w:rPr>
                <w:rFonts w:hAnsi="宋体" w:cs="宋体"/>
                <w:sz w:val="24"/>
              </w:rPr>
            </w:pPr>
          </w:p>
        </w:tc>
        <w:tc>
          <w:tcPr>
            <w:tcW w:w="900" w:type="dxa"/>
          </w:tcPr>
          <w:p>
            <w:pPr>
              <w:pStyle w:val="16"/>
              <w:spacing w:line="360" w:lineRule="auto"/>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6"/>
              <w:spacing w:line="360" w:lineRule="auto"/>
              <w:ind w:left="1080" w:leftChars="257" w:hanging="540"/>
              <w:rPr>
                <w:rFonts w:hAnsi="宋体" w:cs="宋体"/>
                <w:sz w:val="24"/>
              </w:rPr>
            </w:pPr>
          </w:p>
        </w:tc>
        <w:tc>
          <w:tcPr>
            <w:tcW w:w="2272" w:type="dxa"/>
          </w:tcPr>
          <w:p>
            <w:pPr>
              <w:pStyle w:val="16"/>
              <w:spacing w:line="360" w:lineRule="auto"/>
              <w:ind w:left="1080" w:leftChars="257" w:hanging="540"/>
              <w:rPr>
                <w:rFonts w:hAnsi="宋体" w:cs="宋体"/>
                <w:sz w:val="24"/>
              </w:rPr>
            </w:pPr>
          </w:p>
        </w:tc>
        <w:tc>
          <w:tcPr>
            <w:tcW w:w="1328" w:type="dxa"/>
          </w:tcPr>
          <w:p>
            <w:pPr>
              <w:pStyle w:val="16"/>
              <w:spacing w:line="360" w:lineRule="auto"/>
              <w:ind w:left="1080" w:leftChars="257" w:hanging="540"/>
              <w:rPr>
                <w:rFonts w:hAnsi="宋体" w:cs="宋体"/>
                <w:sz w:val="24"/>
              </w:rPr>
            </w:pPr>
          </w:p>
        </w:tc>
        <w:tc>
          <w:tcPr>
            <w:tcW w:w="1260" w:type="dxa"/>
          </w:tcPr>
          <w:p>
            <w:pPr>
              <w:pStyle w:val="16"/>
              <w:spacing w:line="360" w:lineRule="auto"/>
              <w:ind w:left="1080" w:leftChars="257" w:hanging="540"/>
              <w:rPr>
                <w:rFonts w:hAnsi="宋体" w:cs="宋体"/>
                <w:sz w:val="24"/>
              </w:rPr>
            </w:pPr>
          </w:p>
        </w:tc>
        <w:tc>
          <w:tcPr>
            <w:tcW w:w="1260" w:type="dxa"/>
          </w:tcPr>
          <w:p>
            <w:pPr>
              <w:pStyle w:val="16"/>
              <w:spacing w:line="360" w:lineRule="auto"/>
              <w:ind w:left="1080" w:leftChars="257" w:hanging="540"/>
              <w:rPr>
                <w:rFonts w:hAnsi="宋体" w:cs="宋体"/>
                <w:sz w:val="24"/>
              </w:rPr>
            </w:pPr>
          </w:p>
        </w:tc>
        <w:tc>
          <w:tcPr>
            <w:tcW w:w="900" w:type="dxa"/>
          </w:tcPr>
          <w:p>
            <w:pPr>
              <w:pStyle w:val="16"/>
              <w:spacing w:line="360" w:lineRule="auto"/>
              <w:ind w:left="1080" w:leftChars="257" w:hanging="540"/>
              <w:rPr>
                <w:rFonts w:hAnsi="宋体" w:cs="宋体"/>
                <w:sz w:val="24"/>
              </w:rPr>
            </w:pPr>
          </w:p>
        </w:tc>
        <w:tc>
          <w:tcPr>
            <w:tcW w:w="900" w:type="dxa"/>
          </w:tcPr>
          <w:p>
            <w:pPr>
              <w:pStyle w:val="16"/>
              <w:spacing w:line="360" w:lineRule="auto"/>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6"/>
              <w:spacing w:line="360" w:lineRule="auto"/>
              <w:ind w:left="1080" w:leftChars="257" w:hanging="540"/>
              <w:rPr>
                <w:rFonts w:hAnsi="宋体" w:cs="宋体"/>
                <w:sz w:val="24"/>
              </w:rPr>
            </w:pPr>
          </w:p>
        </w:tc>
        <w:tc>
          <w:tcPr>
            <w:tcW w:w="2272" w:type="dxa"/>
          </w:tcPr>
          <w:p>
            <w:pPr>
              <w:pStyle w:val="16"/>
              <w:spacing w:line="360" w:lineRule="auto"/>
              <w:ind w:left="1080" w:leftChars="257" w:hanging="540"/>
              <w:rPr>
                <w:rFonts w:hAnsi="宋体" w:cs="宋体"/>
                <w:sz w:val="24"/>
              </w:rPr>
            </w:pPr>
          </w:p>
        </w:tc>
        <w:tc>
          <w:tcPr>
            <w:tcW w:w="1328" w:type="dxa"/>
          </w:tcPr>
          <w:p>
            <w:pPr>
              <w:pStyle w:val="16"/>
              <w:spacing w:line="360" w:lineRule="auto"/>
              <w:ind w:left="1080" w:leftChars="257" w:hanging="540"/>
              <w:rPr>
                <w:rFonts w:hAnsi="宋体" w:cs="宋体"/>
                <w:sz w:val="24"/>
              </w:rPr>
            </w:pPr>
          </w:p>
        </w:tc>
        <w:tc>
          <w:tcPr>
            <w:tcW w:w="1260" w:type="dxa"/>
          </w:tcPr>
          <w:p>
            <w:pPr>
              <w:pStyle w:val="16"/>
              <w:spacing w:line="360" w:lineRule="auto"/>
              <w:ind w:left="1080" w:leftChars="257" w:hanging="540"/>
              <w:rPr>
                <w:rFonts w:hAnsi="宋体" w:cs="宋体"/>
                <w:sz w:val="24"/>
              </w:rPr>
            </w:pPr>
          </w:p>
        </w:tc>
        <w:tc>
          <w:tcPr>
            <w:tcW w:w="1260" w:type="dxa"/>
          </w:tcPr>
          <w:p>
            <w:pPr>
              <w:pStyle w:val="16"/>
              <w:spacing w:line="360" w:lineRule="auto"/>
              <w:ind w:left="1080" w:leftChars="257" w:hanging="540"/>
              <w:rPr>
                <w:rFonts w:hAnsi="宋体" w:cs="宋体"/>
                <w:sz w:val="24"/>
              </w:rPr>
            </w:pPr>
          </w:p>
        </w:tc>
        <w:tc>
          <w:tcPr>
            <w:tcW w:w="900" w:type="dxa"/>
          </w:tcPr>
          <w:p>
            <w:pPr>
              <w:pStyle w:val="16"/>
              <w:spacing w:line="360" w:lineRule="auto"/>
              <w:ind w:left="1080" w:leftChars="257" w:hanging="540"/>
              <w:rPr>
                <w:rFonts w:hAnsi="宋体" w:cs="宋体"/>
                <w:sz w:val="24"/>
              </w:rPr>
            </w:pPr>
          </w:p>
        </w:tc>
        <w:tc>
          <w:tcPr>
            <w:tcW w:w="900" w:type="dxa"/>
          </w:tcPr>
          <w:p>
            <w:pPr>
              <w:pStyle w:val="16"/>
              <w:spacing w:line="360" w:lineRule="auto"/>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16"/>
              <w:spacing w:line="360" w:lineRule="auto"/>
              <w:ind w:left="1080" w:leftChars="257" w:hanging="540"/>
              <w:rPr>
                <w:rFonts w:hAnsi="宋体" w:cs="宋体"/>
                <w:sz w:val="24"/>
              </w:rPr>
            </w:pPr>
          </w:p>
        </w:tc>
        <w:tc>
          <w:tcPr>
            <w:tcW w:w="2272" w:type="dxa"/>
          </w:tcPr>
          <w:p>
            <w:pPr>
              <w:pStyle w:val="16"/>
              <w:spacing w:line="360" w:lineRule="auto"/>
              <w:ind w:left="1080" w:leftChars="257" w:hanging="540"/>
              <w:rPr>
                <w:rFonts w:hAnsi="宋体" w:cs="宋体"/>
                <w:sz w:val="24"/>
              </w:rPr>
            </w:pPr>
          </w:p>
        </w:tc>
        <w:tc>
          <w:tcPr>
            <w:tcW w:w="1328" w:type="dxa"/>
          </w:tcPr>
          <w:p>
            <w:pPr>
              <w:pStyle w:val="16"/>
              <w:spacing w:line="360" w:lineRule="auto"/>
              <w:ind w:left="1080" w:leftChars="257" w:hanging="540"/>
              <w:rPr>
                <w:rFonts w:hAnsi="宋体" w:cs="宋体"/>
                <w:sz w:val="24"/>
              </w:rPr>
            </w:pPr>
          </w:p>
        </w:tc>
        <w:tc>
          <w:tcPr>
            <w:tcW w:w="1260" w:type="dxa"/>
          </w:tcPr>
          <w:p>
            <w:pPr>
              <w:pStyle w:val="16"/>
              <w:spacing w:line="360" w:lineRule="auto"/>
              <w:ind w:left="1080" w:leftChars="257" w:hanging="540"/>
              <w:rPr>
                <w:rFonts w:hAnsi="宋体" w:cs="宋体"/>
                <w:sz w:val="24"/>
              </w:rPr>
            </w:pPr>
          </w:p>
        </w:tc>
        <w:tc>
          <w:tcPr>
            <w:tcW w:w="1260" w:type="dxa"/>
          </w:tcPr>
          <w:p>
            <w:pPr>
              <w:pStyle w:val="16"/>
              <w:spacing w:line="360" w:lineRule="auto"/>
              <w:ind w:left="1080" w:leftChars="257" w:hanging="540"/>
              <w:rPr>
                <w:rFonts w:hAnsi="宋体" w:cs="宋体"/>
                <w:sz w:val="24"/>
              </w:rPr>
            </w:pPr>
          </w:p>
        </w:tc>
        <w:tc>
          <w:tcPr>
            <w:tcW w:w="900" w:type="dxa"/>
          </w:tcPr>
          <w:p>
            <w:pPr>
              <w:pStyle w:val="16"/>
              <w:spacing w:line="360" w:lineRule="auto"/>
              <w:ind w:left="1080" w:leftChars="257" w:hanging="540"/>
              <w:rPr>
                <w:rFonts w:hAnsi="宋体" w:cs="宋体"/>
                <w:sz w:val="24"/>
              </w:rPr>
            </w:pPr>
          </w:p>
        </w:tc>
        <w:tc>
          <w:tcPr>
            <w:tcW w:w="900" w:type="dxa"/>
          </w:tcPr>
          <w:p>
            <w:pPr>
              <w:pStyle w:val="16"/>
              <w:spacing w:line="360" w:lineRule="auto"/>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6"/>
              <w:spacing w:line="360" w:lineRule="auto"/>
              <w:ind w:left="1080" w:leftChars="257" w:hanging="540"/>
              <w:rPr>
                <w:rFonts w:hAnsi="宋体" w:cs="宋体"/>
                <w:sz w:val="24"/>
              </w:rPr>
            </w:pPr>
          </w:p>
        </w:tc>
        <w:tc>
          <w:tcPr>
            <w:tcW w:w="2272" w:type="dxa"/>
          </w:tcPr>
          <w:p>
            <w:pPr>
              <w:pStyle w:val="16"/>
              <w:spacing w:line="360" w:lineRule="auto"/>
              <w:ind w:left="1080" w:leftChars="257" w:hanging="540"/>
              <w:rPr>
                <w:rFonts w:hAnsi="宋体" w:cs="宋体"/>
                <w:sz w:val="24"/>
              </w:rPr>
            </w:pPr>
          </w:p>
        </w:tc>
        <w:tc>
          <w:tcPr>
            <w:tcW w:w="1328" w:type="dxa"/>
          </w:tcPr>
          <w:p>
            <w:pPr>
              <w:pStyle w:val="16"/>
              <w:spacing w:line="360" w:lineRule="auto"/>
              <w:ind w:left="1080" w:leftChars="257" w:hanging="540"/>
              <w:rPr>
                <w:rFonts w:hAnsi="宋体" w:cs="宋体"/>
                <w:sz w:val="24"/>
              </w:rPr>
            </w:pPr>
          </w:p>
        </w:tc>
        <w:tc>
          <w:tcPr>
            <w:tcW w:w="1260" w:type="dxa"/>
          </w:tcPr>
          <w:p>
            <w:pPr>
              <w:pStyle w:val="16"/>
              <w:spacing w:line="360" w:lineRule="auto"/>
              <w:ind w:left="1080" w:leftChars="257" w:hanging="540"/>
              <w:rPr>
                <w:rFonts w:hAnsi="宋体" w:cs="宋体"/>
                <w:sz w:val="24"/>
              </w:rPr>
            </w:pPr>
          </w:p>
        </w:tc>
        <w:tc>
          <w:tcPr>
            <w:tcW w:w="1260" w:type="dxa"/>
          </w:tcPr>
          <w:p>
            <w:pPr>
              <w:pStyle w:val="16"/>
              <w:spacing w:line="360" w:lineRule="auto"/>
              <w:ind w:left="1080" w:leftChars="257" w:hanging="540"/>
              <w:rPr>
                <w:rFonts w:hAnsi="宋体" w:cs="宋体"/>
                <w:sz w:val="24"/>
              </w:rPr>
            </w:pPr>
          </w:p>
        </w:tc>
        <w:tc>
          <w:tcPr>
            <w:tcW w:w="900" w:type="dxa"/>
          </w:tcPr>
          <w:p>
            <w:pPr>
              <w:pStyle w:val="16"/>
              <w:spacing w:line="360" w:lineRule="auto"/>
              <w:ind w:left="1080" w:leftChars="257" w:hanging="540"/>
              <w:rPr>
                <w:rFonts w:hAnsi="宋体" w:cs="宋体"/>
                <w:sz w:val="24"/>
              </w:rPr>
            </w:pPr>
          </w:p>
        </w:tc>
        <w:tc>
          <w:tcPr>
            <w:tcW w:w="900" w:type="dxa"/>
          </w:tcPr>
          <w:p>
            <w:pPr>
              <w:pStyle w:val="16"/>
              <w:spacing w:line="360" w:lineRule="auto"/>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16"/>
              <w:spacing w:line="360" w:lineRule="auto"/>
              <w:ind w:left="1080" w:leftChars="257" w:hanging="540"/>
              <w:rPr>
                <w:rFonts w:hAnsi="宋体" w:cs="宋体"/>
                <w:sz w:val="24"/>
              </w:rPr>
            </w:pPr>
          </w:p>
        </w:tc>
        <w:tc>
          <w:tcPr>
            <w:tcW w:w="2272" w:type="dxa"/>
          </w:tcPr>
          <w:p>
            <w:pPr>
              <w:pStyle w:val="16"/>
              <w:spacing w:line="360" w:lineRule="auto"/>
              <w:ind w:left="1080" w:leftChars="257" w:hanging="540"/>
              <w:rPr>
                <w:rFonts w:hAnsi="宋体" w:cs="宋体"/>
                <w:sz w:val="24"/>
              </w:rPr>
            </w:pPr>
          </w:p>
        </w:tc>
        <w:tc>
          <w:tcPr>
            <w:tcW w:w="1328" w:type="dxa"/>
          </w:tcPr>
          <w:p>
            <w:pPr>
              <w:pStyle w:val="16"/>
              <w:spacing w:line="360" w:lineRule="auto"/>
              <w:ind w:left="1080" w:leftChars="257" w:hanging="540"/>
              <w:rPr>
                <w:rFonts w:hAnsi="宋体" w:cs="宋体"/>
                <w:sz w:val="24"/>
              </w:rPr>
            </w:pPr>
          </w:p>
        </w:tc>
        <w:tc>
          <w:tcPr>
            <w:tcW w:w="1260" w:type="dxa"/>
          </w:tcPr>
          <w:p>
            <w:pPr>
              <w:pStyle w:val="16"/>
              <w:spacing w:line="360" w:lineRule="auto"/>
              <w:ind w:left="1080" w:leftChars="257" w:hanging="540"/>
              <w:rPr>
                <w:rFonts w:hAnsi="宋体" w:cs="宋体"/>
                <w:sz w:val="24"/>
              </w:rPr>
            </w:pPr>
          </w:p>
        </w:tc>
        <w:tc>
          <w:tcPr>
            <w:tcW w:w="1260" w:type="dxa"/>
          </w:tcPr>
          <w:p>
            <w:pPr>
              <w:pStyle w:val="16"/>
              <w:spacing w:line="360" w:lineRule="auto"/>
              <w:ind w:left="1080" w:leftChars="257" w:hanging="540"/>
              <w:rPr>
                <w:rFonts w:hAnsi="宋体" w:cs="宋体"/>
                <w:sz w:val="24"/>
              </w:rPr>
            </w:pPr>
          </w:p>
        </w:tc>
        <w:tc>
          <w:tcPr>
            <w:tcW w:w="900" w:type="dxa"/>
          </w:tcPr>
          <w:p>
            <w:pPr>
              <w:pStyle w:val="16"/>
              <w:spacing w:line="360" w:lineRule="auto"/>
              <w:ind w:left="1080" w:leftChars="257" w:hanging="540"/>
              <w:rPr>
                <w:rFonts w:hAnsi="宋体" w:cs="宋体"/>
                <w:sz w:val="24"/>
              </w:rPr>
            </w:pPr>
          </w:p>
        </w:tc>
        <w:tc>
          <w:tcPr>
            <w:tcW w:w="900" w:type="dxa"/>
          </w:tcPr>
          <w:p>
            <w:pPr>
              <w:pStyle w:val="16"/>
              <w:spacing w:line="360" w:lineRule="auto"/>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6"/>
              <w:spacing w:line="360" w:lineRule="auto"/>
              <w:ind w:left="1080" w:leftChars="257" w:hanging="540"/>
              <w:rPr>
                <w:rFonts w:hAnsi="宋体" w:cs="宋体"/>
                <w:sz w:val="24"/>
              </w:rPr>
            </w:pPr>
          </w:p>
        </w:tc>
        <w:tc>
          <w:tcPr>
            <w:tcW w:w="2272" w:type="dxa"/>
          </w:tcPr>
          <w:p>
            <w:pPr>
              <w:pStyle w:val="16"/>
              <w:spacing w:line="360" w:lineRule="auto"/>
              <w:ind w:left="1080" w:leftChars="257" w:hanging="540"/>
              <w:rPr>
                <w:rFonts w:hAnsi="宋体" w:cs="宋体"/>
                <w:sz w:val="24"/>
              </w:rPr>
            </w:pPr>
          </w:p>
        </w:tc>
        <w:tc>
          <w:tcPr>
            <w:tcW w:w="1328" w:type="dxa"/>
          </w:tcPr>
          <w:p>
            <w:pPr>
              <w:pStyle w:val="16"/>
              <w:spacing w:line="360" w:lineRule="auto"/>
              <w:ind w:left="1080" w:leftChars="257" w:hanging="540"/>
              <w:rPr>
                <w:rFonts w:hAnsi="宋体" w:cs="宋体"/>
                <w:sz w:val="24"/>
              </w:rPr>
            </w:pPr>
          </w:p>
        </w:tc>
        <w:tc>
          <w:tcPr>
            <w:tcW w:w="1260" w:type="dxa"/>
          </w:tcPr>
          <w:p>
            <w:pPr>
              <w:pStyle w:val="16"/>
              <w:spacing w:line="360" w:lineRule="auto"/>
              <w:ind w:left="1080" w:leftChars="257" w:hanging="540"/>
              <w:rPr>
                <w:rFonts w:hAnsi="宋体" w:cs="宋体"/>
                <w:sz w:val="24"/>
              </w:rPr>
            </w:pPr>
          </w:p>
        </w:tc>
        <w:tc>
          <w:tcPr>
            <w:tcW w:w="1260" w:type="dxa"/>
          </w:tcPr>
          <w:p>
            <w:pPr>
              <w:pStyle w:val="16"/>
              <w:spacing w:line="360" w:lineRule="auto"/>
              <w:ind w:left="1080" w:leftChars="257" w:hanging="540"/>
              <w:rPr>
                <w:rFonts w:hAnsi="宋体" w:cs="宋体"/>
                <w:sz w:val="24"/>
              </w:rPr>
            </w:pPr>
          </w:p>
        </w:tc>
        <w:tc>
          <w:tcPr>
            <w:tcW w:w="900" w:type="dxa"/>
          </w:tcPr>
          <w:p>
            <w:pPr>
              <w:pStyle w:val="16"/>
              <w:spacing w:line="360" w:lineRule="auto"/>
              <w:ind w:left="1080" w:leftChars="257" w:hanging="540"/>
              <w:rPr>
                <w:rFonts w:hAnsi="宋体" w:cs="宋体"/>
                <w:sz w:val="24"/>
              </w:rPr>
            </w:pPr>
          </w:p>
        </w:tc>
        <w:tc>
          <w:tcPr>
            <w:tcW w:w="900" w:type="dxa"/>
          </w:tcPr>
          <w:p>
            <w:pPr>
              <w:pStyle w:val="16"/>
              <w:spacing w:line="360" w:lineRule="auto"/>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16"/>
              <w:spacing w:line="360" w:lineRule="auto"/>
              <w:ind w:left="1080" w:leftChars="257" w:hanging="540"/>
              <w:rPr>
                <w:rFonts w:hAnsi="宋体" w:cs="宋体"/>
                <w:sz w:val="24"/>
              </w:rPr>
            </w:pPr>
          </w:p>
        </w:tc>
        <w:tc>
          <w:tcPr>
            <w:tcW w:w="2272" w:type="dxa"/>
          </w:tcPr>
          <w:p>
            <w:pPr>
              <w:pStyle w:val="16"/>
              <w:spacing w:line="360" w:lineRule="auto"/>
              <w:ind w:left="1080" w:leftChars="257" w:hanging="540"/>
              <w:rPr>
                <w:rFonts w:hAnsi="宋体" w:cs="宋体"/>
                <w:sz w:val="24"/>
              </w:rPr>
            </w:pPr>
          </w:p>
        </w:tc>
        <w:tc>
          <w:tcPr>
            <w:tcW w:w="1328" w:type="dxa"/>
          </w:tcPr>
          <w:p>
            <w:pPr>
              <w:pStyle w:val="16"/>
              <w:spacing w:line="360" w:lineRule="auto"/>
              <w:ind w:left="1080" w:leftChars="257" w:hanging="540"/>
              <w:rPr>
                <w:rFonts w:hAnsi="宋体" w:cs="宋体"/>
                <w:sz w:val="24"/>
              </w:rPr>
            </w:pPr>
          </w:p>
        </w:tc>
        <w:tc>
          <w:tcPr>
            <w:tcW w:w="1260" w:type="dxa"/>
          </w:tcPr>
          <w:p>
            <w:pPr>
              <w:pStyle w:val="16"/>
              <w:spacing w:line="360" w:lineRule="auto"/>
              <w:ind w:left="1080" w:leftChars="257" w:hanging="540"/>
              <w:rPr>
                <w:rFonts w:hAnsi="宋体" w:cs="宋体"/>
                <w:sz w:val="24"/>
              </w:rPr>
            </w:pPr>
          </w:p>
        </w:tc>
        <w:tc>
          <w:tcPr>
            <w:tcW w:w="1260" w:type="dxa"/>
          </w:tcPr>
          <w:p>
            <w:pPr>
              <w:pStyle w:val="16"/>
              <w:spacing w:line="360" w:lineRule="auto"/>
              <w:ind w:left="1080" w:leftChars="257" w:hanging="540"/>
              <w:rPr>
                <w:rFonts w:hAnsi="宋体" w:cs="宋体"/>
                <w:sz w:val="24"/>
              </w:rPr>
            </w:pPr>
          </w:p>
        </w:tc>
        <w:tc>
          <w:tcPr>
            <w:tcW w:w="900" w:type="dxa"/>
          </w:tcPr>
          <w:p>
            <w:pPr>
              <w:pStyle w:val="16"/>
              <w:spacing w:line="360" w:lineRule="auto"/>
              <w:ind w:left="1080" w:leftChars="257" w:hanging="540"/>
              <w:rPr>
                <w:rFonts w:hAnsi="宋体" w:cs="宋体"/>
                <w:sz w:val="24"/>
              </w:rPr>
            </w:pPr>
          </w:p>
        </w:tc>
        <w:tc>
          <w:tcPr>
            <w:tcW w:w="900" w:type="dxa"/>
          </w:tcPr>
          <w:p>
            <w:pPr>
              <w:pStyle w:val="16"/>
              <w:spacing w:line="360" w:lineRule="auto"/>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16"/>
              <w:spacing w:line="360" w:lineRule="auto"/>
              <w:ind w:left="1080" w:leftChars="257" w:hanging="540"/>
              <w:rPr>
                <w:rFonts w:hAnsi="宋体" w:cs="宋体"/>
                <w:sz w:val="24"/>
              </w:rPr>
            </w:pPr>
          </w:p>
        </w:tc>
        <w:tc>
          <w:tcPr>
            <w:tcW w:w="2272" w:type="dxa"/>
          </w:tcPr>
          <w:p>
            <w:pPr>
              <w:pStyle w:val="16"/>
              <w:spacing w:line="360" w:lineRule="auto"/>
              <w:ind w:left="1080" w:leftChars="257" w:hanging="540"/>
              <w:rPr>
                <w:rFonts w:hAnsi="宋体" w:cs="宋体"/>
                <w:sz w:val="24"/>
              </w:rPr>
            </w:pPr>
          </w:p>
        </w:tc>
        <w:tc>
          <w:tcPr>
            <w:tcW w:w="1328" w:type="dxa"/>
          </w:tcPr>
          <w:p>
            <w:pPr>
              <w:pStyle w:val="16"/>
              <w:spacing w:line="360" w:lineRule="auto"/>
              <w:ind w:left="1080" w:leftChars="257" w:hanging="540"/>
              <w:rPr>
                <w:rFonts w:hAnsi="宋体" w:cs="宋体"/>
                <w:sz w:val="24"/>
              </w:rPr>
            </w:pPr>
          </w:p>
        </w:tc>
        <w:tc>
          <w:tcPr>
            <w:tcW w:w="1260" w:type="dxa"/>
          </w:tcPr>
          <w:p>
            <w:pPr>
              <w:pStyle w:val="16"/>
              <w:spacing w:line="360" w:lineRule="auto"/>
              <w:ind w:left="1080" w:leftChars="257" w:hanging="540"/>
              <w:rPr>
                <w:rFonts w:hAnsi="宋体" w:cs="宋体"/>
                <w:sz w:val="24"/>
              </w:rPr>
            </w:pPr>
          </w:p>
        </w:tc>
        <w:tc>
          <w:tcPr>
            <w:tcW w:w="1260" w:type="dxa"/>
          </w:tcPr>
          <w:p>
            <w:pPr>
              <w:pStyle w:val="16"/>
              <w:spacing w:line="360" w:lineRule="auto"/>
              <w:ind w:left="1080" w:leftChars="257" w:hanging="540"/>
              <w:rPr>
                <w:rFonts w:hAnsi="宋体" w:cs="宋体"/>
                <w:sz w:val="24"/>
              </w:rPr>
            </w:pPr>
          </w:p>
        </w:tc>
        <w:tc>
          <w:tcPr>
            <w:tcW w:w="900" w:type="dxa"/>
          </w:tcPr>
          <w:p>
            <w:pPr>
              <w:pStyle w:val="16"/>
              <w:spacing w:line="360" w:lineRule="auto"/>
              <w:ind w:left="1080" w:leftChars="257" w:hanging="540"/>
              <w:rPr>
                <w:rFonts w:hAnsi="宋体" w:cs="宋体"/>
                <w:sz w:val="24"/>
              </w:rPr>
            </w:pPr>
          </w:p>
        </w:tc>
        <w:tc>
          <w:tcPr>
            <w:tcW w:w="900" w:type="dxa"/>
          </w:tcPr>
          <w:p>
            <w:pPr>
              <w:pStyle w:val="16"/>
              <w:spacing w:line="360" w:lineRule="auto"/>
              <w:ind w:left="1080" w:leftChars="257" w:hanging="540"/>
              <w:rPr>
                <w:rFonts w:hAnsi="宋体" w:cs="宋体"/>
                <w:sz w:val="24"/>
              </w:rPr>
            </w:pPr>
          </w:p>
        </w:tc>
      </w:tr>
    </w:tbl>
    <w:p>
      <w:pPr>
        <w:pStyle w:val="16"/>
        <w:spacing w:line="360" w:lineRule="auto"/>
        <w:ind w:left="1" w:leftChars="-95" w:hanging="200"/>
        <w:rPr>
          <w:rFonts w:hAnsi="宋体" w:cs="宋体"/>
          <w:szCs w:val="21"/>
        </w:rPr>
      </w:pPr>
    </w:p>
    <w:p>
      <w:pPr>
        <w:pStyle w:val="16"/>
        <w:spacing w:line="360" w:lineRule="auto"/>
        <w:ind w:left="1" w:leftChars="-95" w:hanging="200"/>
        <w:rPr>
          <w:rFonts w:hAnsi="宋体" w:cs="宋体"/>
          <w:b/>
          <w:bCs/>
          <w:sz w:val="22"/>
          <w:szCs w:val="22"/>
        </w:rPr>
      </w:pPr>
      <w:r>
        <w:rPr>
          <w:rFonts w:hint="eastAsia" w:hAnsi="宋体" w:cs="宋体"/>
          <w:b/>
          <w:bCs/>
          <w:sz w:val="22"/>
          <w:szCs w:val="22"/>
        </w:rPr>
        <w:t>注：1.本表只填写招标文件中与投标文件有偏离（包括正偏离和负偏离）的内容，必须一一对应填写，若无偏离可附此空表加盖单位公章。</w:t>
      </w:r>
    </w:p>
    <w:p>
      <w:pPr>
        <w:pStyle w:val="16"/>
        <w:spacing w:line="360" w:lineRule="auto"/>
        <w:ind w:left="1" w:leftChars="-95" w:hanging="200"/>
        <w:rPr>
          <w:rFonts w:hAnsi="宋体" w:cs="宋体"/>
          <w:b/>
          <w:bCs/>
          <w:sz w:val="22"/>
          <w:szCs w:val="22"/>
        </w:rPr>
      </w:pPr>
      <w:r>
        <w:rPr>
          <w:rFonts w:hint="eastAsia" w:hAnsi="宋体" w:cs="宋体"/>
          <w:b/>
          <w:bCs/>
          <w:sz w:val="22"/>
          <w:szCs w:val="22"/>
        </w:rPr>
        <w:t>2.投标人必须据实填写，不得虚假响应，否则将取消其投标或中标资格，并按有关规定进处罚。</w:t>
      </w:r>
    </w:p>
    <w:p>
      <w:pPr>
        <w:pStyle w:val="16"/>
        <w:spacing w:line="360" w:lineRule="auto"/>
        <w:ind w:left="1" w:leftChars="-95" w:hanging="200"/>
        <w:rPr>
          <w:rFonts w:hAnsi="宋体" w:cs="宋体"/>
          <w:b/>
          <w:bCs/>
          <w:sz w:val="28"/>
          <w:szCs w:val="21"/>
        </w:rPr>
      </w:pPr>
      <w:r>
        <w:rPr>
          <w:rFonts w:hint="eastAsia" w:hAnsi="宋体" w:cs="宋体"/>
          <w:b/>
          <w:bCs/>
          <w:sz w:val="22"/>
          <w:szCs w:val="22"/>
        </w:rPr>
        <w:t>3.技术参数正偏离须在技术响应表中注明正偏离的理由和佐证材料的页码。</w:t>
      </w:r>
    </w:p>
    <w:p>
      <w:pPr>
        <w:pStyle w:val="16"/>
        <w:tabs>
          <w:tab w:val="left" w:pos="5370"/>
        </w:tabs>
        <w:spacing w:line="360" w:lineRule="auto"/>
        <w:ind w:left="1080" w:leftChars="257" w:hanging="540"/>
        <w:rPr>
          <w:rFonts w:hAnsi="宋体" w:cs="宋体"/>
          <w:sz w:val="24"/>
        </w:rPr>
      </w:pPr>
    </w:p>
    <w:p>
      <w:pPr>
        <w:pStyle w:val="16"/>
        <w:tabs>
          <w:tab w:val="left" w:pos="5370"/>
        </w:tabs>
        <w:spacing w:line="360" w:lineRule="auto"/>
        <w:ind w:left="1080" w:leftChars="257" w:hanging="540"/>
        <w:rPr>
          <w:rFonts w:hAnsi="宋体" w:cs="宋体"/>
          <w:sz w:val="24"/>
          <w:u w:val="single"/>
        </w:rPr>
      </w:pPr>
      <w:r>
        <w:rPr>
          <w:rFonts w:hint="eastAsia" w:hAnsi="宋体" w:cs="宋体"/>
          <w:sz w:val="24"/>
        </w:rPr>
        <w:t>投标人(盖章):</w:t>
      </w:r>
      <w:r>
        <w:rPr>
          <w:rFonts w:hint="eastAsia" w:hAnsi="宋体" w:cs="宋体"/>
          <w:sz w:val="24"/>
          <w:u w:val="single"/>
        </w:rPr>
        <w:tab/>
      </w:r>
    </w:p>
    <w:p>
      <w:pPr>
        <w:pStyle w:val="16"/>
        <w:spacing w:line="360" w:lineRule="auto"/>
        <w:ind w:left="1080" w:leftChars="257" w:hanging="540"/>
        <w:rPr>
          <w:rFonts w:hAnsi="宋体" w:cs="宋体"/>
          <w:sz w:val="24"/>
        </w:rPr>
      </w:pPr>
      <w:r>
        <w:rPr>
          <w:rFonts w:hint="eastAsia" w:hAnsi="宋体" w:cs="宋体"/>
          <w:sz w:val="24"/>
        </w:rPr>
        <w:t>法定代表人（负责人）或授权代表（签字或签章）:</w:t>
      </w:r>
      <w:r>
        <w:rPr>
          <w:rFonts w:hint="eastAsia" w:hAnsi="宋体" w:cs="宋体"/>
          <w:sz w:val="24"/>
          <w:u w:val="single"/>
        </w:rPr>
        <w:t xml:space="preserve"> </w:t>
      </w:r>
      <w:r>
        <w:rPr>
          <w:rFonts w:hint="eastAsia" w:hAnsi="宋体" w:cs="宋体"/>
          <w:sz w:val="24"/>
          <w:u w:val="single"/>
        </w:rPr>
        <w:tab/>
      </w:r>
      <w:r>
        <w:rPr>
          <w:rFonts w:hint="eastAsia" w:hAnsi="宋体" w:cs="宋体"/>
          <w:sz w:val="24"/>
          <w:u w:val="single"/>
        </w:rPr>
        <w:t xml:space="preserve">                 </w:t>
      </w:r>
    </w:p>
    <w:p>
      <w:pPr>
        <w:pStyle w:val="16"/>
        <w:tabs>
          <w:tab w:val="left" w:pos="5580"/>
        </w:tabs>
        <w:spacing w:line="360" w:lineRule="auto"/>
        <w:rPr>
          <w:rFonts w:hAnsi="宋体" w:cs="宋体"/>
          <w:sz w:val="24"/>
        </w:rPr>
      </w:pPr>
      <w:r>
        <w:rPr>
          <w:rFonts w:hint="eastAsia" w:hAnsi="宋体" w:cs="宋体"/>
          <w:sz w:val="24"/>
        </w:rPr>
        <w:br w:type="page"/>
      </w:r>
    </w:p>
    <w:p>
      <w:pPr>
        <w:spacing w:line="360" w:lineRule="auto"/>
        <w:jc w:val="center"/>
        <w:rPr>
          <w:rFonts w:ascii="宋体" w:hAnsi="宋体" w:cs="宋体"/>
          <w:b/>
          <w:bCs/>
          <w:sz w:val="24"/>
        </w:rPr>
      </w:pPr>
      <w:bookmarkStart w:id="326" w:name="_Toc45196836"/>
      <w:r>
        <w:rPr>
          <w:rFonts w:hint="eastAsia" w:ascii="宋体" w:hAnsi="宋体" w:cs="宋体"/>
          <w:b/>
          <w:bCs/>
          <w:sz w:val="24"/>
        </w:rPr>
        <w:t>商务条款偏离表</w:t>
      </w:r>
      <w:bookmarkEnd w:id="326"/>
    </w:p>
    <w:p>
      <w:pPr>
        <w:pStyle w:val="16"/>
        <w:wordWrap w:val="0"/>
        <w:spacing w:line="360" w:lineRule="auto"/>
        <w:ind w:left="1080" w:leftChars="257" w:hanging="540"/>
        <w:jc w:val="right"/>
        <w:rPr>
          <w:rFonts w:hAnsi="宋体" w:cs="宋体"/>
          <w:sz w:val="24"/>
        </w:rPr>
      </w:pPr>
      <w:r>
        <w:rPr>
          <w:rFonts w:hint="eastAsia" w:hAnsi="宋体" w:cs="宋体"/>
          <w:sz w:val="24"/>
        </w:rPr>
        <w:t xml:space="preserve">包号:         </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1792"/>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360" w:lineRule="auto"/>
              <w:jc w:val="center"/>
              <w:rPr>
                <w:rFonts w:hAnsi="宋体" w:cs="宋体"/>
                <w:sz w:val="24"/>
              </w:rPr>
            </w:pPr>
            <w:r>
              <w:rPr>
                <w:rFonts w:hint="eastAsia" w:hAnsi="宋体" w:cs="宋体"/>
                <w:sz w:val="24"/>
              </w:rPr>
              <w:t>序号</w:t>
            </w:r>
          </w:p>
        </w:tc>
        <w:tc>
          <w:tcPr>
            <w:tcW w:w="2040" w:type="dxa"/>
          </w:tcPr>
          <w:p>
            <w:pPr>
              <w:pStyle w:val="16"/>
              <w:spacing w:line="360" w:lineRule="auto"/>
              <w:jc w:val="center"/>
              <w:rPr>
                <w:rFonts w:hAnsi="宋体" w:cs="宋体"/>
                <w:sz w:val="24"/>
              </w:rPr>
            </w:pPr>
            <w:r>
              <w:rPr>
                <w:rFonts w:hint="eastAsia" w:hAnsi="宋体" w:cs="宋体"/>
                <w:sz w:val="24"/>
              </w:rPr>
              <w:t>招标要求</w:t>
            </w:r>
          </w:p>
        </w:tc>
        <w:tc>
          <w:tcPr>
            <w:tcW w:w="2520" w:type="dxa"/>
          </w:tcPr>
          <w:p>
            <w:pPr>
              <w:pStyle w:val="16"/>
              <w:spacing w:line="360" w:lineRule="auto"/>
              <w:jc w:val="center"/>
              <w:rPr>
                <w:rFonts w:hAnsi="宋体" w:cs="宋体"/>
                <w:sz w:val="24"/>
              </w:rPr>
            </w:pPr>
            <w:r>
              <w:rPr>
                <w:rFonts w:hint="eastAsia" w:hAnsi="宋体" w:cs="宋体"/>
                <w:sz w:val="24"/>
              </w:rPr>
              <w:t>投标响应</w:t>
            </w:r>
          </w:p>
        </w:tc>
        <w:tc>
          <w:tcPr>
            <w:tcW w:w="1792" w:type="dxa"/>
          </w:tcPr>
          <w:p>
            <w:pPr>
              <w:pStyle w:val="16"/>
              <w:spacing w:line="360" w:lineRule="auto"/>
              <w:jc w:val="center"/>
              <w:rPr>
                <w:rFonts w:hAnsi="宋体" w:cs="宋体"/>
                <w:sz w:val="24"/>
              </w:rPr>
            </w:pPr>
            <w:r>
              <w:rPr>
                <w:rFonts w:hint="eastAsia" w:hAnsi="宋体" w:cs="宋体"/>
                <w:sz w:val="24"/>
              </w:rPr>
              <w:t>偏离</w:t>
            </w:r>
          </w:p>
        </w:tc>
        <w:tc>
          <w:tcPr>
            <w:tcW w:w="1628" w:type="dxa"/>
          </w:tcPr>
          <w:p>
            <w:pPr>
              <w:pStyle w:val="16"/>
              <w:spacing w:line="360" w:lineRule="auto"/>
              <w:jc w:val="center"/>
              <w:rPr>
                <w:rFonts w:hAnsi="宋体" w:cs="宋体"/>
                <w:sz w:val="24"/>
              </w:rPr>
            </w:pPr>
            <w:r>
              <w:rPr>
                <w:rFonts w:hint="eastAsia" w:hAnsi="宋体" w:cs="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360" w:lineRule="auto"/>
              <w:ind w:left="1080" w:leftChars="257" w:hanging="540"/>
              <w:rPr>
                <w:rFonts w:hAnsi="宋体" w:cs="宋体"/>
                <w:sz w:val="24"/>
              </w:rPr>
            </w:pPr>
          </w:p>
        </w:tc>
        <w:tc>
          <w:tcPr>
            <w:tcW w:w="2040" w:type="dxa"/>
          </w:tcPr>
          <w:p>
            <w:pPr>
              <w:pStyle w:val="16"/>
              <w:spacing w:line="360" w:lineRule="auto"/>
              <w:ind w:left="1080" w:leftChars="257" w:hanging="540"/>
              <w:rPr>
                <w:rFonts w:hAnsi="宋体" w:cs="宋体"/>
                <w:sz w:val="24"/>
              </w:rPr>
            </w:pPr>
          </w:p>
        </w:tc>
        <w:tc>
          <w:tcPr>
            <w:tcW w:w="2520" w:type="dxa"/>
          </w:tcPr>
          <w:p>
            <w:pPr>
              <w:pStyle w:val="16"/>
              <w:spacing w:line="360" w:lineRule="auto"/>
              <w:ind w:left="1080" w:leftChars="257" w:hanging="540"/>
              <w:jc w:val="center"/>
              <w:rPr>
                <w:rFonts w:hAnsi="宋体" w:cs="宋体"/>
                <w:sz w:val="24"/>
              </w:rPr>
            </w:pPr>
          </w:p>
        </w:tc>
        <w:tc>
          <w:tcPr>
            <w:tcW w:w="1792" w:type="dxa"/>
          </w:tcPr>
          <w:p>
            <w:pPr>
              <w:pStyle w:val="16"/>
              <w:spacing w:line="360" w:lineRule="auto"/>
              <w:ind w:left="1080" w:leftChars="257" w:hanging="540"/>
              <w:jc w:val="center"/>
              <w:rPr>
                <w:rFonts w:hAnsi="宋体" w:cs="宋体"/>
                <w:sz w:val="24"/>
              </w:rPr>
            </w:pPr>
          </w:p>
        </w:tc>
        <w:tc>
          <w:tcPr>
            <w:tcW w:w="1628" w:type="dxa"/>
          </w:tcPr>
          <w:p>
            <w:pPr>
              <w:pStyle w:val="16"/>
              <w:spacing w:line="360" w:lineRule="auto"/>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360" w:lineRule="auto"/>
              <w:ind w:left="1080" w:leftChars="257" w:hanging="540"/>
              <w:rPr>
                <w:rFonts w:hAnsi="宋体" w:cs="宋体"/>
                <w:sz w:val="24"/>
              </w:rPr>
            </w:pPr>
          </w:p>
        </w:tc>
        <w:tc>
          <w:tcPr>
            <w:tcW w:w="2040" w:type="dxa"/>
          </w:tcPr>
          <w:p>
            <w:pPr>
              <w:pStyle w:val="16"/>
              <w:spacing w:line="360" w:lineRule="auto"/>
              <w:ind w:left="1080" w:leftChars="257" w:hanging="540"/>
              <w:rPr>
                <w:rFonts w:hAnsi="宋体" w:cs="宋体"/>
                <w:sz w:val="24"/>
              </w:rPr>
            </w:pPr>
          </w:p>
        </w:tc>
        <w:tc>
          <w:tcPr>
            <w:tcW w:w="2520" w:type="dxa"/>
          </w:tcPr>
          <w:p>
            <w:pPr>
              <w:pStyle w:val="16"/>
              <w:spacing w:line="360" w:lineRule="auto"/>
              <w:ind w:left="1080" w:leftChars="257" w:hanging="540"/>
              <w:rPr>
                <w:rFonts w:hAnsi="宋体" w:cs="宋体"/>
                <w:sz w:val="24"/>
              </w:rPr>
            </w:pPr>
          </w:p>
        </w:tc>
        <w:tc>
          <w:tcPr>
            <w:tcW w:w="1792" w:type="dxa"/>
          </w:tcPr>
          <w:p>
            <w:pPr>
              <w:pStyle w:val="16"/>
              <w:spacing w:line="360" w:lineRule="auto"/>
              <w:ind w:left="1080" w:leftChars="257" w:hanging="540"/>
              <w:rPr>
                <w:rFonts w:hAnsi="宋体" w:cs="宋体"/>
                <w:sz w:val="24"/>
              </w:rPr>
            </w:pPr>
          </w:p>
        </w:tc>
        <w:tc>
          <w:tcPr>
            <w:tcW w:w="1628" w:type="dxa"/>
          </w:tcPr>
          <w:p>
            <w:pPr>
              <w:pStyle w:val="16"/>
              <w:spacing w:line="360" w:lineRule="auto"/>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360" w:lineRule="auto"/>
              <w:ind w:left="1080" w:leftChars="257" w:hanging="540"/>
              <w:rPr>
                <w:rFonts w:hAnsi="宋体" w:cs="宋体"/>
                <w:sz w:val="24"/>
              </w:rPr>
            </w:pPr>
          </w:p>
        </w:tc>
        <w:tc>
          <w:tcPr>
            <w:tcW w:w="2040" w:type="dxa"/>
          </w:tcPr>
          <w:p>
            <w:pPr>
              <w:pStyle w:val="16"/>
              <w:spacing w:line="360" w:lineRule="auto"/>
              <w:ind w:left="1080" w:leftChars="257" w:hanging="540"/>
              <w:rPr>
                <w:rFonts w:hAnsi="宋体" w:cs="宋体"/>
                <w:sz w:val="24"/>
              </w:rPr>
            </w:pPr>
          </w:p>
        </w:tc>
        <w:tc>
          <w:tcPr>
            <w:tcW w:w="2520" w:type="dxa"/>
          </w:tcPr>
          <w:p>
            <w:pPr>
              <w:pStyle w:val="16"/>
              <w:spacing w:line="360" w:lineRule="auto"/>
              <w:ind w:left="1080" w:leftChars="257" w:hanging="540"/>
              <w:rPr>
                <w:rFonts w:hAnsi="宋体" w:cs="宋体"/>
                <w:sz w:val="24"/>
              </w:rPr>
            </w:pPr>
          </w:p>
        </w:tc>
        <w:tc>
          <w:tcPr>
            <w:tcW w:w="1792" w:type="dxa"/>
          </w:tcPr>
          <w:p>
            <w:pPr>
              <w:pStyle w:val="16"/>
              <w:spacing w:line="360" w:lineRule="auto"/>
              <w:ind w:left="1080" w:leftChars="257" w:hanging="540"/>
              <w:rPr>
                <w:rFonts w:hAnsi="宋体" w:cs="宋体"/>
                <w:sz w:val="24"/>
              </w:rPr>
            </w:pPr>
          </w:p>
        </w:tc>
        <w:tc>
          <w:tcPr>
            <w:tcW w:w="1628" w:type="dxa"/>
          </w:tcPr>
          <w:p>
            <w:pPr>
              <w:pStyle w:val="16"/>
              <w:spacing w:line="360" w:lineRule="auto"/>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360" w:lineRule="auto"/>
              <w:ind w:left="1080" w:leftChars="257" w:hanging="540"/>
              <w:rPr>
                <w:rFonts w:hAnsi="宋体" w:cs="宋体"/>
                <w:sz w:val="24"/>
              </w:rPr>
            </w:pPr>
          </w:p>
        </w:tc>
        <w:tc>
          <w:tcPr>
            <w:tcW w:w="2040" w:type="dxa"/>
          </w:tcPr>
          <w:p>
            <w:pPr>
              <w:pStyle w:val="16"/>
              <w:spacing w:line="360" w:lineRule="auto"/>
              <w:ind w:left="1080" w:leftChars="257" w:hanging="540"/>
              <w:rPr>
                <w:rFonts w:hAnsi="宋体" w:cs="宋体"/>
                <w:sz w:val="24"/>
              </w:rPr>
            </w:pPr>
          </w:p>
        </w:tc>
        <w:tc>
          <w:tcPr>
            <w:tcW w:w="2520" w:type="dxa"/>
          </w:tcPr>
          <w:p>
            <w:pPr>
              <w:pStyle w:val="16"/>
              <w:spacing w:line="360" w:lineRule="auto"/>
              <w:ind w:left="1080" w:leftChars="257" w:hanging="540"/>
              <w:rPr>
                <w:rFonts w:hAnsi="宋体" w:cs="宋体"/>
                <w:sz w:val="24"/>
              </w:rPr>
            </w:pPr>
          </w:p>
        </w:tc>
        <w:tc>
          <w:tcPr>
            <w:tcW w:w="1792" w:type="dxa"/>
          </w:tcPr>
          <w:p>
            <w:pPr>
              <w:pStyle w:val="16"/>
              <w:spacing w:line="360" w:lineRule="auto"/>
              <w:ind w:left="1080" w:leftChars="257" w:hanging="540"/>
              <w:rPr>
                <w:rFonts w:hAnsi="宋体" w:cs="宋体"/>
                <w:sz w:val="24"/>
              </w:rPr>
            </w:pPr>
          </w:p>
        </w:tc>
        <w:tc>
          <w:tcPr>
            <w:tcW w:w="1628" w:type="dxa"/>
          </w:tcPr>
          <w:p>
            <w:pPr>
              <w:pStyle w:val="16"/>
              <w:spacing w:line="360" w:lineRule="auto"/>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360" w:lineRule="auto"/>
              <w:ind w:left="1080" w:leftChars="257" w:hanging="540"/>
              <w:rPr>
                <w:rFonts w:hAnsi="宋体" w:cs="宋体"/>
                <w:sz w:val="24"/>
              </w:rPr>
            </w:pPr>
          </w:p>
        </w:tc>
        <w:tc>
          <w:tcPr>
            <w:tcW w:w="2040" w:type="dxa"/>
          </w:tcPr>
          <w:p>
            <w:pPr>
              <w:pStyle w:val="16"/>
              <w:spacing w:line="360" w:lineRule="auto"/>
              <w:ind w:left="1080" w:leftChars="257" w:hanging="540"/>
              <w:rPr>
                <w:rFonts w:hAnsi="宋体" w:cs="宋体"/>
                <w:sz w:val="24"/>
              </w:rPr>
            </w:pPr>
          </w:p>
        </w:tc>
        <w:tc>
          <w:tcPr>
            <w:tcW w:w="2520" w:type="dxa"/>
          </w:tcPr>
          <w:p>
            <w:pPr>
              <w:pStyle w:val="16"/>
              <w:spacing w:line="360" w:lineRule="auto"/>
              <w:ind w:left="1080" w:leftChars="257" w:hanging="540"/>
              <w:rPr>
                <w:rFonts w:hAnsi="宋体" w:cs="宋体"/>
                <w:sz w:val="24"/>
              </w:rPr>
            </w:pPr>
          </w:p>
        </w:tc>
        <w:tc>
          <w:tcPr>
            <w:tcW w:w="1792" w:type="dxa"/>
          </w:tcPr>
          <w:p>
            <w:pPr>
              <w:pStyle w:val="16"/>
              <w:spacing w:line="360" w:lineRule="auto"/>
              <w:ind w:left="1080" w:leftChars="257" w:hanging="540"/>
              <w:rPr>
                <w:rFonts w:hAnsi="宋体" w:cs="宋体"/>
                <w:sz w:val="24"/>
              </w:rPr>
            </w:pPr>
          </w:p>
        </w:tc>
        <w:tc>
          <w:tcPr>
            <w:tcW w:w="1628" w:type="dxa"/>
          </w:tcPr>
          <w:p>
            <w:pPr>
              <w:pStyle w:val="16"/>
              <w:spacing w:line="360" w:lineRule="auto"/>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360" w:lineRule="auto"/>
              <w:ind w:left="1080" w:leftChars="257" w:hanging="540"/>
              <w:rPr>
                <w:rFonts w:hAnsi="宋体" w:cs="宋体"/>
                <w:sz w:val="24"/>
              </w:rPr>
            </w:pPr>
          </w:p>
        </w:tc>
        <w:tc>
          <w:tcPr>
            <w:tcW w:w="2040" w:type="dxa"/>
          </w:tcPr>
          <w:p>
            <w:pPr>
              <w:pStyle w:val="16"/>
              <w:spacing w:line="360" w:lineRule="auto"/>
              <w:ind w:left="1080" w:leftChars="257" w:hanging="540"/>
              <w:rPr>
                <w:rFonts w:hAnsi="宋体" w:cs="宋体"/>
                <w:sz w:val="24"/>
              </w:rPr>
            </w:pPr>
          </w:p>
        </w:tc>
        <w:tc>
          <w:tcPr>
            <w:tcW w:w="2520" w:type="dxa"/>
          </w:tcPr>
          <w:p>
            <w:pPr>
              <w:pStyle w:val="16"/>
              <w:spacing w:line="360" w:lineRule="auto"/>
              <w:ind w:left="1080" w:leftChars="257" w:hanging="540"/>
              <w:rPr>
                <w:rFonts w:hAnsi="宋体" w:cs="宋体"/>
                <w:sz w:val="24"/>
              </w:rPr>
            </w:pPr>
          </w:p>
        </w:tc>
        <w:tc>
          <w:tcPr>
            <w:tcW w:w="1792" w:type="dxa"/>
          </w:tcPr>
          <w:p>
            <w:pPr>
              <w:pStyle w:val="16"/>
              <w:spacing w:line="360" w:lineRule="auto"/>
              <w:ind w:left="1080" w:leftChars="257" w:hanging="540"/>
              <w:rPr>
                <w:rFonts w:hAnsi="宋体" w:cs="宋体"/>
                <w:sz w:val="24"/>
              </w:rPr>
            </w:pPr>
          </w:p>
        </w:tc>
        <w:tc>
          <w:tcPr>
            <w:tcW w:w="1628" w:type="dxa"/>
          </w:tcPr>
          <w:p>
            <w:pPr>
              <w:pStyle w:val="16"/>
              <w:spacing w:line="360" w:lineRule="auto"/>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360" w:lineRule="auto"/>
              <w:ind w:left="1080" w:leftChars="257" w:hanging="540"/>
              <w:rPr>
                <w:rFonts w:hAnsi="宋体" w:cs="宋体"/>
                <w:sz w:val="24"/>
              </w:rPr>
            </w:pPr>
          </w:p>
        </w:tc>
        <w:tc>
          <w:tcPr>
            <w:tcW w:w="2040" w:type="dxa"/>
          </w:tcPr>
          <w:p>
            <w:pPr>
              <w:pStyle w:val="16"/>
              <w:spacing w:line="360" w:lineRule="auto"/>
              <w:ind w:left="1080" w:leftChars="257" w:hanging="540"/>
              <w:rPr>
                <w:rFonts w:hAnsi="宋体" w:cs="宋体"/>
                <w:sz w:val="24"/>
              </w:rPr>
            </w:pPr>
          </w:p>
        </w:tc>
        <w:tc>
          <w:tcPr>
            <w:tcW w:w="2520" w:type="dxa"/>
          </w:tcPr>
          <w:p>
            <w:pPr>
              <w:pStyle w:val="16"/>
              <w:spacing w:line="360" w:lineRule="auto"/>
              <w:ind w:left="1080" w:leftChars="257" w:hanging="540"/>
              <w:rPr>
                <w:rFonts w:hAnsi="宋体" w:cs="宋体"/>
                <w:sz w:val="24"/>
              </w:rPr>
            </w:pPr>
          </w:p>
        </w:tc>
        <w:tc>
          <w:tcPr>
            <w:tcW w:w="1792" w:type="dxa"/>
          </w:tcPr>
          <w:p>
            <w:pPr>
              <w:pStyle w:val="16"/>
              <w:spacing w:line="360" w:lineRule="auto"/>
              <w:ind w:left="1080" w:leftChars="257" w:hanging="540"/>
              <w:rPr>
                <w:rFonts w:hAnsi="宋体" w:cs="宋体"/>
                <w:sz w:val="24"/>
              </w:rPr>
            </w:pPr>
          </w:p>
        </w:tc>
        <w:tc>
          <w:tcPr>
            <w:tcW w:w="1628" w:type="dxa"/>
          </w:tcPr>
          <w:p>
            <w:pPr>
              <w:pStyle w:val="16"/>
              <w:spacing w:line="360" w:lineRule="auto"/>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360" w:lineRule="auto"/>
              <w:ind w:left="1080" w:leftChars="257" w:hanging="540"/>
              <w:rPr>
                <w:rFonts w:hAnsi="宋体" w:cs="宋体"/>
                <w:sz w:val="24"/>
              </w:rPr>
            </w:pPr>
          </w:p>
        </w:tc>
        <w:tc>
          <w:tcPr>
            <w:tcW w:w="2040" w:type="dxa"/>
          </w:tcPr>
          <w:p>
            <w:pPr>
              <w:pStyle w:val="16"/>
              <w:spacing w:line="360" w:lineRule="auto"/>
              <w:ind w:left="1080" w:leftChars="257" w:hanging="540"/>
              <w:rPr>
                <w:rFonts w:hAnsi="宋体" w:cs="宋体"/>
                <w:sz w:val="24"/>
              </w:rPr>
            </w:pPr>
          </w:p>
        </w:tc>
        <w:tc>
          <w:tcPr>
            <w:tcW w:w="2520" w:type="dxa"/>
          </w:tcPr>
          <w:p>
            <w:pPr>
              <w:pStyle w:val="16"/>
              <w:spacing w:line="360" w:lineRule="auto"/>
              <w:ind w:left="1080" w:leftChars="257" w:hanging="540"/>
              <w:rPr>
                <w:rFonts w:hAnsi="宋体" w:cs="宋体"/>
                <w:sz w:val="24"/>
              </w:rPr>
            </w:pPr>
          </w:p>
        </w:tc>
        <w:tc>
          <w:tcPr>
            <w:tcW w:w="1792" w:type="dxa"/>
          </w:tcPr>
          <w:p>
            <w:pPr>
              <w:pStyle w:val="16"/>
              <w:spacing w:line="360" w:lineRule="auto"/>
              <w:ind w:left="1080" w:leftChars="257" w:hanging="540"/>
              <w:rPr>
                <w:rFonts w:hAnsi="宋体" w:cs="宋体"/>
                <w:sz w:val="24"/>
              </w:rPr>
            </w:pPr>
          </w:p>
        </w:tc>
        <w:tc>
          <w:tcPr>
            <w:tcW w:w="1628" w:type="dxa"/>
          </w:tcPr>
          <w:p>
            <w:pPr>
              <w:pStyle w:val="16"/>
              <w:spacing w:line="360" w:lineRule="auto"/>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360" w:lineRule="auto"/>
              <w:ind w:left="1080" w:leftChars="257" w:hanging="540"/>
              <w:rPr>
                <w:rFonts w:hAnsi="宋体" w:cs="宋体"/>
                <w:sz w:val="24"/>
              </w:rPr>
            </w:pPr>
          </w:p>
        </w:tc>
        <w:tc>
          <w:tcPr>
            <w:tcW w:w="2040" w:type="dxa"/>
          </w:tcPr>
          <w:p>
            <w:pPr>
              <w:pStyle w:val="16"/>
              <w:spacing w:line="360" w:lineRule="auto"/>
              <w:ind w:left="1080" w:leftChars="257" w:hanging="540"/>
              <w:rPr>
                <w:rFonts w:hAnsi="宋体" w:cs="宋体"/>
                <w:sz w:val="24"/>
              </w:rPr>
            </w:pPr>
          </w:p>
        </w:tc>
        <w:tc>
          <w:tcPr>
            <w:tcW w:w="2520" w:type="dxa"/>
          </w:tcPr>
          <w:p>
            <w:pPr>
              <w:pStyle w:val="16"/>
              <w:spacing w:line="360" w:lineRule="auto"/>
              <w:ind w:left="1080" w:leftChars="257" w:hanging="540"/>
              <w:rPr>
                <w:rFonts w:hAnsi="宋体" w:cs="宋体"/>
                <w:sz w:val="24"/>
              </w:rPr>
            </w:pPr>
          </w:p>
        </w:tc>
        <w:tc>
          <w:tcPr>
            <w:tcW w:w="1792" w:type="dxa"/>
          </w:tcPr>
          <w:p>
            <w:pPr>
              <w:pStyle w:val="16"/>
              <w:spacing w:line="360" w:lineRule="auto"/>
              <w:ind w:left="1080" w:leftChars="257" w:hanging="540"/>
              <w:rPr>
                <w:rFonts w:hAnsi="宋体" w:cs="宋体"/>
                <w:sz w:val="24"/>
              </w:rPr>
            </w:pPr>
          </w:p>
        </w:tc>
        <w:tc>
          <w:tcPr>
            <w:tcW w:w="1628" w:type="dxa"/>
          </w:tcPr>
          <w:p>
            <w:pPr>
              <w:pStyle w:val="16"/>
              <w:spacing w:line="360" w:lineRule="auto"/>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360" w:lineRule="auto"/>
              <w:ind w:left="1080" w:leftChars="257" w:hanging="540"/>
              <w:rPr>
                <w:rFonts w:hAnsi="宋体" w:cs="宋体"/>
                <w:sz w:val="24"/>
              </w:rPr>
            </w:pPr>
          </w:p>
        </w:tc>
        <w:tc>
          <w:tcPr>
            <w:tcW w:w="2040" w:type="dxa"/>
          </w:tcPr>
          <w:p>
            <w:pPr>
              <w:pStyle w:val="16"/>
              <w:spacing w:line="360" w:lineRule="auto"/>
              <w:ind w:left="1080" w:leftChars="257" w:hanging="540"/>
              <w:rPr>
                <w:rFonts w:hAnsi="宋体" w:cs="宋体"/>
                <w:sz w:val="24"/>
              </w:rPr>
            </w:pPr>
          </w:p>
        </w:tc>
        <w:tc>
          <w:tcPr>
            <w:tcW w:w="2520" w:type="dxa"/>
          </w:tcPr>
          <w:p>
            <w:pPr>
              <w:pStyle w:val="16"/>
              <w:spacing w:line="360" w:lineRule="auto"/>
              <w:ind w:left="1080" w:leftChars="257" w:hanging="540"/>
              <w:rPr>
                <w:rFonts w:hAnsi="宋体" w:cs="宋体"/>
                <w:sz w:val="24"/>
              </w:rPr>
            </w:pPr>
          </w:p>
        </w:tc>
        <w:tc>
          <w:tcPr>
            <w:tcW w:w="1792" w:type="dxa"/>
          </w:tcPr>
          <w:p>
            <w:pPr>
              <w:pStyle w:val="16"/>
              <w:spacing w:line="360" w:lineRule="auto"/>
              <w:ind w:left="1080" w:leftChars="257" w:hanging="540"/>
              <w:rPr>
                <w:rFonts w:hAnsi="宋体" w:cs="宋体"/>
                <w:sz w:val="24"/>
              </w:rPr>
            </w:pPr>
          </w:p>
        </w:tc>
        <w:tc>
          <w:tcPr>
            <w:tcW w:w="1628" w:type="dxa"/>
          </w:tcPr>
          <w:p>
            <w:pPr>
              <w:pStyle w:val="16"/>
              <w:spacing w:line="360" w:lineRule="auto"/>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360" w:lineRule="auto"/>
              <w:ind w:left="1080" w:leftChars="257" w:hanging="540"/>
              <w:rPr>
                <w:rFonts w:hAnsi="宋体" w:cs="宋体"/>
                <w:sz w:val="24"/>
              </w:rPr>
            </w:pPr>
          </w:p>
        </w:tc>
        <w:tc>
          <w:tcPr>
            <w:tcW w:w="2040" w:type="dxa"/>
          </w:tcPr>
          <w:p>
            <w:pPr>
              <w:pStyle w:val="16"/>
              <w:spacing w:line="360" w:lineRule="auto"/>
              <w:ind w:left="1080" w:leftChars="257" w:hanging="540"/>
              <w:rPr>
                <w:rFonts w:hAnsi="宋体" w:cs="宋体"/>
                <w:sz w:val="24"/>
              </w:rPr>
            </w:pPr>
          </w:p>
        </w:tc>
        <w:tc>
          <w:tcPr>
            <w:tcW w:w="2520" w:type="dxa"/>
          </w:tcPr>
          <w:p>
            <w:pPr>
              <w:pStyle w:val="16"/>
              <w:spacing w:line="360" w:lineRule="auto"/>
              <w:ind w:left="1080" w:leftChars="257" w:hanging="540"/>
              <w:rPr>
                <w:rFonts w:hAnsi="宋体" w:cs="宋体"/>
                <w:sz w:val="24"/>
              </w:rPr>
            </w:pPr>
          </w:p>
        </w:tc>
        <w:tc>
          <w:tcPr>
            <w:tcW w:w="1792" w:type="dxa"/>
          </w:tcPr>
          <w:p>
            <w:pPr>
              <w:pStyle w:val="16"/>
              <w:spacing w:line="360" w:lineRule="auto"/>
              <w:ind w:left="1080" w:leftChars="257" w:hanging="540"/>
              <w:rPr>
                <w:rFonts w:hAnsi="宋体" w:cs="宋体"/>
                <w:sz w:val="24"/>
              </w:rPr>
            </w:pPr>
          </w:p>
        </w:tc>
        <w:tc>
          <w:tcPr>
            <w:tcW w:w="1628" w:type="dxa"/>
          </w:tcPr>
          <w:p>
            <w:pPr>
              <w:pStyle w:val="16"/>
              <w:spacing w:line="360" w:lineRule="auto"/>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360" w:lineRule="auto"/>
              <w:ind w:left="1080" w:leftChars="257" w:hanging="540"/>
              <w:rPr>
                <w:rFonts w:hAnsi="宋体" w:cs="宋体"/>
                <w:sz w:val="24"/>
              </w:rPr>
            </w:pPr>
          </w:p>
        </w:tc>
        <w:tc>
          <w:tcPr>
            <w:tcW w:w="2040" w:type="dxa"/>
          </w:tcPr>
          <w:p>
            <w:pPr>
              <w:pStyle w:val="16"/>
              <w:spacing w:line="360" w:lineRule="auto"/>
              <w:ind w:left="1080" w:leftChars="257" w:hanging="540"/>
              <w:rPr>
                <w:rFonts w:hAnsi="宋体" w:cs="宋体"/>
                <w:sz w:val="24"/>
              </w:rPr>
            </w:pPr>
          </w:p>
        </w:tc>
        <w:tc>
          <w:tcPr>
            <w:tcW w:w="2520" w:type="dxa"/>
          </w:tcPr>
          <w:p>
            <w:pPr>
              <w:pStyle w:val="16"/>
              <w:spacing w:line="360" w:lineRule="auto"/>
              <w:ind w:left="1080" w:leftChars="257" w:hanging="540"/>
              <w:rPr>
                <w:rFonts w:hAnsi="宋体" w:cs="宋体"/>
                <w:sz w:val="24"/>
              </w:rPr>
            </w:pPr>
          </w:p>
        </w:tc>
        <w:tc>
          <w:tcPr>
            <w:tcW w:w="1792" w:type="dxa"/>
          </w:tcPr>
          <w:p>
            <w:pPr>
              <w:pStyle w:val="16"/>
              <w:spacing w:line="360" w:lineRule="auto"/>
              <w:ind w:left="1080" w:leftChars="257" w:hanging="540"/>
              <w:rPr>
                <w:rFonts w:hAnsi="宋体" w:cs="宋体"/>
                <w:sz w:val="24"/>
              </w:rPr>
            </w:pPr>
          </w:p>
        </w:tc>
        <w:tc>
          <w:tcPr>
            <w:tcW w:w="1628" w:type="dxa"/>
          </w:tcPr>
          <w:p>
            <w:pPr>
              <w:pStyle w:val="16"/>
              <w:spacing w:line="360" w:lineRule="auto"/>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360" w:lineRule="auto"/>
              <w:ind w:left="1080" w:leftChars="257" w:hanging="540"/>
              <w:rPr>
                <w:rFonts w:hAnsi="宋体" w:cs="宋体"/>
                <w:sz w:val="24"/>
              </w:rPr>
            </w:pPr>
          </w:p>
        </w:tc>
        <w:tc>
          <w:tcPr>
            <w:tcW w:w="2040" w:type="dxa"/>
          </w:tcPr>
          <w:p>
            <w:pPr>
              <w:pStyle w:val="16"/>
              <w:spacing w:line="360" w:lineRule="auto"/>
              <w:ind w:left="1080" w:leftChars="257" w:hanging="540"/>
              <w:rPr>
                <w:rFonts w:hAnsi="宋体" w:cs="宋体"/>
                <w:sz w:val="24"/>
              </w:rPr>
            </w:pPr>
          </w:p>
        </w:tc>
        <w:tc>
          <w:tcPr>
            <w:tcW w:w="2520" w:type="dxa"/>
          </w:tcPr>
          <w:p>
            <w:pPr>
              <w:pStyle w:val="16"/>
              <w:spacing w:line="360" w:lineRule="auto"/>
              <w:ind w:left="1080" w:leftChars="257" w:hanging="540"/>
              <w:rPr>
                <w:rFonts w:hAnsi="宋体" w:cs="宋体"/>
                <w:sz w:val="24"/>
              </w:rPr>
            </w:pPr>
          </w:p>
        </w:tc>
        <w:tc>
          <w:tcPr>
            <w:tcW w:w="1792" w:type="dxa"/>
          </w:tcPr>
          <w:p>
            <w:pPr>
              <w:pStyle w:val="16"/>
              <w:spacing w:line="360" w:lineRule="auto"/>
              <w:ind w:left="1080" w:leftChars="257" w:hanging="540"/>
              <w:rPr>
                <w:rFonts w:hAnsi="宋体" w:cs="宋体"/>
                <w:sz w:val="24"/>
              </w:rPr>
            </w:pPr>
          </w:p>
        </w:tc>
        <w:tc>
          <w:tcPr>
            <w:tcW w:w="1628" w:type="dxa"/>
          </w:tcPr>
          <w:p>
            <w:pPr>
              <w:pStyle w:val="16"/>
              <w:spacing w:line="360" w:lineRule="auto"/>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360" w:lineRule="auto"/>
              <w:ind w:left="1080" w:leftChars="257" w:hanging="540"/>
              <w:rPr>
                <w:rFonts w:hAnsi="宋体" w:cs="宋体"/>
                <w:sz w:val="24"/>
              </w:rPr>
            </w:pPr>
          </w:p>
        </w:tc>
        <w:tc>
          <w:tcPr>
            <w:tcW w:w="2040" w:type="dxa"/>
          </w:tcPr>
          <w:p>
            <w:pPr>
              <w:pStyle w:val="16"/>
              <w:spacing w:line="360" w:lineRule="auto"/>
              <w:ind w:left="1080" w:leftChars="257" w:hanging="540"/>
              <w:rPr>
                <w:rFonts w:hAnsi="宋体" w:cs="宋体"/>
                <w:sz w:val="24"/>
              </w:rPr>
            </w:pPr>
          </w:p>
        </w:tc>
        <w:tc>
          <w:tcPr>
            <w:tcW w:w="2520" w:type="dxa"/>
          </w:tcPr>
          <w:p>
            <w:pPr>
              <w:pStyle w:val="16"/>
              <w:spacing w:line="360" w:lineRule="auto"/>
              <w:ind w:left="1080" w:leftChars="257" w:hanging="540"/>
              <w:rPr>
                <w:rFonts w:hAnsi="宋体" w:cs="宋体"/>
                <w:sz w:val="24"/>
              </w:rPr>
            </w:pPr>
          </w:p>
        </w:tc>
        <w:tc>
          <w:tcPr>
            <w:tcW w:w="1792" w:type="dxa"/>
          </w:tcPr>
          <w:p>
            <w:pPr>
              <w:pStyle w:val="16"/>
              <w:spacing w:line="360" w:lineRule="auto"/>
              <w:ind w:left="1080" w:leftChars="257" w:hanging="540"/>
              <w:rPr>
                <w:rFonts w:hAnsi="宋体" w:cs="宋体"/>
                <w:sz w:val="24"/>
              </w:rPr>
            </w:pPr>
          </w:p>
        </w:tc>
        <w:tc>
          <w:tcPr>
            <w:tcW w:w="1628" w:type="dxa"/>
          </w:tcPr>
          <w:p>
            <w:pPr>
              <w:pStyle w:val="16"/>
              <w:spacing w:line="360" w:lineRule="auto"/>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360" w:lineRule="auto"/>
              <w:ind w:left="1080" w:leftChars="257" w:hanging="540"/>
              <w:rPr>
                <w:rFonts w:hAnsi="宋体" w:cs="宋体"/>
                <w:sz w:val="24"/>
              </w:rPr>
            </w:pPr>
          </w:p>
        </w:tc>
        <w:tc>
          <w:tcPr>
            <w:tcW w:w="2040" w:type="dxa"/>
          </w:tcPr>
          <w:p>
            <w:pPr>
              <w:pStyle w:val="16"/>
              <w:spacing w:line="360" w:lineRule="auto"/>
              <w:ind w:left="1080" w:leftChars="257" w:hanging="540"/>
              <w:rPr>
                <w:rFonts w:hAnsi="宋体" w:cs="宋体"/>
                <w:sz w:val="24"/>
              </w:rPr>
            </w:pPr>
          </w:p>
        </w:tc>
        <w:tc>
          <w:tcPr>
            <w:tcW w:w="2520" w:type="dxa"/>
          </w:tcPr>
          <w:p>
            <w:pPr>
              <w:pStyle w:val="16"/>
              <w:spacing w:line="360" w:lineRule="auto"/>
              <w:ind w:left="1080" w:leftChars="257" w:hanging="540"/>
              <w:rPr>
                <w:rFonts w:hAnsi="宋体" w:cs="宋体"/>
                <w:sz w:val="24"/>
              </w:rPr>
            </w:pPr>
          </w:p>
        </w:tc>
        <w:tc>
          <w:tcPr>
            <w:tcW w:w="1792" w:type="dxa"/>
          </w:tcPr>
          <w:p>
            <w:pPr>
              <w:pStyle w:val="16"/>
              <w:spacing w:line="360" w:lineRule="auto"/>
              <w:ind w:left="1080" w:leftChars="257" w:hanging="540"/>
              <w:rPr>
                <w:rFonts w:hAnsi="宋体" w:cs="宋体"/>
                <w:sz w:val="24"/>
              </w:rPr>
            </w:pPr>
          </w:p>
        </w:tc>
        <w:tc>
          <w:tcPr>
            <w:tcW w:w="1628" w:type="dxa"/>
          </w:tcPr>
          <w:p>
            <w:pPr>
              <w:pStyle w:val="16"/>
              <w:spacing w:line="360" w:lineRule="auto"/>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360" w:lineRule="auto"/>
              <w:ind w:left="1080" w:leftChars="257" w:hanging="540"/>
              <w:rPr>
                <w:rFonts w:hAnsi="宋体" w:cs="宋体"/>
                <w:sz w:val="24"/>
              </w:rPr>
            </w:pPr>
          </w:p>
        </w:tc>
        <w:tc>
          <w:tcPr>
            <w:tcW w:w="2040" w:type="dxa"/>
          </w:tcPr>
          <w:p>
            <w:pPr>
              <w:pStyle w:val="16"/>
              <w:spacing w:line="360" w:lineRule="auto"/>
              <w:ind w:left="1080" w:leftChars="257" w:hanging="540"/>
              <w:rPr>
                <w:rFonts w:hAnsi="宋体" w:cs="宋体"/>
                <w:sz w:val="24"/>
              </w:rPr>
            </w:pPr>
          </w:p>
        </w:tc>
        <w:tc>
          <w:tcPr>
            <w:tcW w:w="2520" w:type="dxa"/>
          </w:tcPr>
          <w:p>
            <w:pPr>
              <w:pStyle w:val="16"/>
              <w:spacing w:line="360" w:lineRule="auto"/>
              <w:ind w:left="1080" w:leftChars="257" w:hanging="540"/>
              <w:rPr>
                <w:rFonts w:hAnsi="宋体" w:cs="宋体"/>
                <w:sz w:val="24"/>
              </w:rPr>
            </w:pPr>
          </w:p>
        </w:tc>
        <w:tc>
          <w:tcPr>
            <w:tcW w:w="1792" w:type="dxa"/>
          </w:tcPr>
          <w:p>
            <w:pPr>
              <w:pStyle w:val="16"/>
              <w:spacing w:line="360" w:lineRule="auto"/>
              <w:ind w:left="1080" w:leftChars="257" w:hanging="540"/>
              <w:rPr>
                <w:rFonts w:hAnsi="宋体" w:cs="宋体"/>
                <w:sz w:val="24"/>
              </w:rPr>
            </w:pPr>
          </w:p>
        </w:tc>
        <w:tc>
          <w:tcPr>
            <w:tcW w:w="1628" w:type="dxa"/>
          </w:tcPr>
          <w:p>
            <w:pPr>
              <w:pStyle w:val="16"/>
              <w:spacing w:line="360" w:lineRule="auto"/>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6"/>
              <w:spacing w:line="360" w:lineRule="auto"/>
              <w:ind w:left="1080" w:leftChars="257" w:hanging="540"/>
              <w:rPr>
                <w:rFonts w:hAnsi="宋体" w:cs="宋体"/>
                <w:sz w:val="24"/>
              </w:rPr>
            </w:pPr>
          </w:p>
        </w:tc>
        <w:tc>
          <w:tcPr>
            <w:tcW w:w="2040" w:type="dxa"/>
          </w:tcPr>
          <w:p>
            <w:pPr>
              <w:pStyle w:val="16"/>
              <w:spacing w:line="360" w:lineRule="auto"/>
              <w:ind w:left="1080" w:leftChars="257" w:hanging="540"/>
              <w:rPr>
                <w:rFonts w:hAnsi="宋体" w:cs="宋体"/>
                <w:sz w:val="24"/>
              </w:rPr>
            </w:pPr>
          </w:p>
        </w:tc>
        <w:tc>
          <w:tcPr>
            <w:tcW w:w="2520" w:type="dxa"/>
          </w:tcPr>
          <w:p>
            <w:pPr>
              <w:pStyle w:val="16"/>
              <w:spacing w:line="360" w:lineRule="auto"/>
              <w:ind w:left="1080" w:leftChars="257" w:hanging="540"/>
              <w:rPr>
                <w:rFonts w:hAnsi="宋体" w:cs="宋体"/>
                <w:sz w:val="24"/>
              </w:rPr>
            </w:pPr>
          </w:p>
        </w:tc>
        <w:tc>
          <w:tcPr>
            <w:tcW w:w="1792" w:type="dxa"/>
          </w:tcPr>
          <w:p>
            <w:pPr>
              <w:pStyle w:val="16"/>
              <w:spacing w:line="360" w:lineRule="auto"/>
              <w:ind w:left="1080" w:leftChars="257" w:hanging="540"/>
              <w:rPr>
                <w:rFonts w:hAnsi="宋体" w:cs="宋体"/>
                <w:sz w:val="24"/>
              </w:rPr>
            </w:pPr>
          </w:p>
        </w:tc>
        <w:tc>
          <w:tcPr>
            <w:tcW w:w="1628" w:type="dxa"/>
          </w:tcPr>
          <w:p>
            <w:pPr>
              <w:pStyle w:val="16"/>
              <w:spacing w:line="360" w:lineRule="auto"/>
              <w:ind w:left="1080" w:leftChars="257" w:hanging="540"/>
              <w:rPr>
                <w:rFonts w:hAnsi="宋体" w:cs="宋体"/>
                <w:sz w:val="24"/>
              </w:rPr>
            </w:pPr>
          </w:p>
        </w:tc>
      </w:tr>
    </w:tbl>
    <w:p>
      <w:pPr>
        <w:pStyle w:val="16"/>
        <w:spacing w:line="360" w:lineRule="auto"/>
        <w:ind w:left="1080" w:leftChars="257" w:hanging="540"/>
        <w:rPr>
          <w:rFonts w:hAnsi="宋体" w:cs="宋体"/>
          <w:sz w:val="24"/>
        </w:rPr>
      </w:pPr>
    </w:p>
    <w:p>
      <w:pPr>
        <w:pStyle w:val="16"/>
        <w:spacing w:line="360" w:lineRule="auto"/>
        <w:ind w:left="1" w:leftChars="-95" w:hanging="200"/>
        <w:rPr>
          <w:rFonts w:hAnsi="宋体" w:cs="宋体"/>
          <w:b/>
          <w:bCs/>
          <w:sz w:val="22"/>
          <w:szCs w:val="22"/>
        </w:rPr>
      </w:pPr>
      <w:r>
        <w:rPr>
          <w:rFonts w:hint="eastAsia" w:hAnsi="宋体" w:cs="宋体"/>
          <w:b/>
          <w:bCs/>
          <w:sz w:val="22"/>
          <w:szCs w:val="22"/>
        </w:rPr>
        <w:t>注：1.本表只填写招标文件中与投标文件有偏离（包括正偏离和负偏离）的内容，必须一一对应填写，若无偏离可附此空表加盖单位公章。</w:t>
      </w:r>
    </w:p>
    <w:p>
      <w:pPr>
        <w:pStyle w:val="16"/>
        <w:numPr>
          <w:ilvl w:val="0"/>
          <w:numId w:val="13"/>
        </w:numPr>
        <w:spacing w:line="360" w:lineRule="auto"/>
        <w:ind w:left="1" w:leftChars="-95" w:hanging="200"/>
        <w:rPr>
          <w:rFonts w:hAnsi="宋体" w:cs="宋体"/>
        </w:rPr>
      </w:pPr>
      <w:r>
        <w:rPr>
          <w:rFonts w:hint="eastAsia" w:hAnsi="宋体" w:cs="宋体"/>
          <w:b/>
          <w:bCs/>
          <w:sz w:val="22"/>
          <w:szCs w:val="22"/>
        </w:rPr>
        <w:t>投标人必须据实填写，不得虚假响应，否则将取消其投标或中标资格，并按有关规定进处罚。</w:t>
      </w:r>
    </w:p>
    <w:p>
      <w:pPr>
        <w:rPr>
          <w:rFonts w:ascii="宋体" w:hAnsi="宋体" w:cs="宋体"/>
        </w:rPr>
      </w:pPr>
    </w:p>
    <w:p>
      <w:pPr>
        <w:pStyle w:val="16"/>
        <w:tabs>
          <w:tab w:val="left" w:pos="5370"/>
        </w:tabs>
        <w:spacing w:line="360" w:lineRule="auto"/>
        <w:ind w:left="1080" w:leftChars="257" w:hanging="540"/>
        <w:rPr>
          <w:rFonts w:hAnsi="宋体" w:cs="宋体"/>
          <w:sz w:val="24"/>
          <w:u w:val="single"/>
        </w:rPr>
      </w:pPr>
      <w:r>
        <w:rPr>
          <w:rFonts w:hint="eastAsia" w:hAnsi="宋体" w:cs="宋体"/>
          <w:sz w:val="24"/>
        </w:rPr>
        <w:t>投标人(盖章):</w:t>
      </w:r>
      <w:r>
        <w:rPr>
          <w:rFonts w:hint="eastAsia" w:hAnsi="宋体" w:cs="宋体"/>
          <w:sz w:val="24"/>
          <w:u w:val="single"/>
        </w:rPr>
        <w:tab/>
      </w:r>
    </w:p>
    <w:p>
      <w:pPr>
        <w:pStyle w:val="16"/>
        <w:spacing w:line="360" w:lineRule="auto"/>
        <w:ind w:left="1080" w:leftChars="257" w:hanging="540"/>
        <w:rPr>
          <w:rFonts w:hAnsi="宋体" w:cs="宋体"/>
          <w:sz w:val="24"/>
        </w:rPr>
      </w:pPr>
      <w:r>
        <w:rPr>
          <w:rFonts w:hint="eastAsia" w:hAnsi="宋体" w:cs="宋体"/>
          <w:sz w:val="24"/>
        </w:rPr>
        <w:t>法定代表人（负责人）或授权代表（签字或签章）:</w:t>
      </w:r>
      <w:r>
        <w:rPr>
          <w:rFonts w:hint="eastAsia" w:hAnsi="宋体" w:cs="宋体"/>
          <w:sz w:val="24"/>
          <w:u w:val="single"/>
        </w:rPr>
        <w:t xml:space="preserve"> </w:t>
      </w:r>
      <w:r>
        <w:rPr>
          <w:rFonts w:hint="eastAsia" w:hAnsi="宋体" w:cs="宋体"/>
          <w:sz w:val="24"/>
          <w:u w:val="single"/>
        </w:rPr>
        <w:tab/>
      </w:r>
      <w:r>
        <w:rPr>
          <w:rFonts w:hint="eastAsia" w:hAnsi="宋体" w:cs="宋体"/>
          <w:sz w:val="24"/>
          <w:u w:val="single"/>
        </w:rPr>
        <w:t xml:space="preserve">                 </w:t>
      </w:r>
    </w:p>
    <w:p>
      <w:pPr>
        <w:rPr>
          <w:rFonts w:ascii="宋体" w:hAnsi="宋体" w:cs="宋体"/>
        </w:rPr>
      </w:pPr>
      <w:bookmarkStart w:id="327" w:name="_Toc45196837"/>
    </w:p>
    <w:p>
      <w:pPr>
        <w:rPr>
          <w:rFonts w:ascii="宋体" w:hAnsi="宋体" w:cs="宋体"/>
        </w:rPr>
        <w:sectPr>
          <w:footerReference r:id="rId8" w:type="default"/>
          <w:pgSz w:w="11907" w:h="16840"/>
          <w:pgMar w:top="1474" w:right="1417" w:bottom="1474" w:left="1417" w:header="1020" w:footer="1134" w:gutter="0"/>
          <w:cols w:space="720" w:num="1"/>
          <w:docGrid w:linePitch="462" w:charSpace="0"/>
        </w:sectPr>
      </w:pPr>
    </w:p>
    <w:p>
      <w:pPr>
        <w:pStyle w:val="4"/>
        <w:spacing w:before="0" w:line="360" w:lineRule="auto"/>
        <w:rPr>
          <w:rFonts w:ascii="宋体" w:hAnsi="宋体" w:eastAsia="宋体" w:cs="宋体"/>
          <w:sz w:val="24"/>
        </w:rPr>
      </w:pPr>
      <w:r>
        <w:rPr>
          <w:rFonts w:hint="eastAsia" w:ascii="宋体" w:hAnsi="宋体" w:eastAsia="宋体" w:cs="宋体"/>
          <w:sz w:val="24"/>
        </w:rPr>
        <w:t>五、投标人单位类型声明函</w:t>
      </w:r>
      <w:bookmarkEnd w:id="327"/>
    </w:p>
    <w:p>
      <w:pPr>
        <w:jc w:val="center"/>
        <w:rPr>
          <w:rFonts w:ascii="宋体" w:hAnsi="宋体" w:cs="宋体"/>
          <w:b/>
          <w:bCs/>
          <w:sz w:val="24"/>
        </w:rPr>
      </w:pPr>
      <w:r>
        <w:rPr>
          <w:rFonts w:hint="eastAsia" w:ascii="宋体" w:hAnsi="宋体" w:cs="宋体"/>
          <w:b/>
          <w:bCs/>
          <w:sz w:val="24"/>
        </w:rPr>
        <w:t>中小企业声明函（货物）</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 号）的规定，本公司（联合体）参加</w:t>
      </w:r>
      <w:r>
        <w:rPr>
          <w:rFonts w:hint="eastAsia" w:ascii="宋体" w:hAnsi="宋体" w:cs="宋体"/>
          <w:sz w:val="24"/>
          <w:u w:val="single"/>
        </w:rPr>
        <w:t>（单位名称）</w:t>
      </w:r>
      <w:r>
        <w:rPr>
          <w:rFonts w:hint="eastAsia" w:ascii="宋体" w:hAnsi="宋体" w:cs="宋体"/>
          <w:sz w:val="24"/>
        </w:rPr>
        <w:t>的</w:t>
      </w:r>
      <w:r>
        <w:rPr>
          <w:rFonts w:hint="eastAsia" w:ascii="宋体" w:hAnsi="宋体" w:cs="宋体"/>
          <w:sz w:val="24"/>
          <w:u w:val="single"/>
        </w:rPr>
        <w:t>（项目名称、包号）</w:t>
      </w:r>
      <w:r>
        <w:rPr>
          <w:rFonts w:hint="eastAsia" w:ascii="宋体" w:hAnsi="宋体" w:cs="宋体"/>
          <w:sz w:val="24"/>
        </w:rPr>
        <w:t>采购活动，提供的</w:t>
      </w:r>
      <w:r>
        <w:rPr>
          <w:rFonts w:hint="eastAsia" w:ascii="宋体" w:hAnsi="宋体" w:cs="宋体"/>
          <w:b/>
          <w:bCs/>
          <w:sz w:val="24"/>
        </w:rPr>
        <w:t>货物全部由符合政策要求的中小企业制造</w:t>
      </w:r>
      <w:r>
        <w:rPr>
          <w:rFonts w:hint="eastAsia" w:ascii="宋体" w:hAnsi="宋体" w:cs="宋体"/>
          <w:sz w:val="24"/>
        </w:rPr>
        <w:t>。相关企业（含联合体中的中小企业、签订分包意向协议的中小企业）的具体情况如下：</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u w:val="single"/>
        </w:rPr>
        <w:t xml:space="preserve"> （标的名称） </w:t>
      </w:r>
      <w:r>
        <w:rPr>
          <w:rFonts w:hint="eastAsia" w:ascii="宋体" w:hAnsi="宋体" w:cs="宋体"/>
          <w:sz w:val="24"/>
        </w:rPr>
        <w:t>，属于</w:t>
      </w:r>
      <w:r>
        <w:rPr>
          <w:rFonts w:hint="eastAsia" w:ascii="宋体" w:hAnsi="宋体" w:cs="宋体"/>
          <w:sz w:val="24"/>
          <w:u w:val="single"/>
        </w:rPr>
        <w:t>（采购文件中明确的所属行业）行业</w:t>
      </w:r>
      <w:r>
        <w:rPr>
          <w:rFonts w:hint="eastAsia" w:ascii="宋体" w:hAnsi="宋体" w:cs="宋体"/>
          <w:sz w:val="24"/>
        </w:rPr>
        <w:t>；制造商为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万元¹，属于</w:t>
      </w:r>
      <w:r>
        <w:rPr>
          <w:rFonts w:hint="eastAsia" w:ascii="宋体" w:hAnsi="宋体" w:cs="宋体"/>
          <w:sz w:val="24"/>
          <w:u w:val="single"/>
        </w:rPr>
        <w:t>（中型企业、小型企业、微型企业）</w:t>
      </w:r>
      <w:r>
        <w:rPr>
          <w:rFonts w:hint="eastAsia" w:ascii="宋体" w:hAnsi="宋体" w:cs="宋体"/>
          <w:sz w:val="24"/>
        </w:rPr>
        <w:t>；</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u w:val="single"/>
        </w:rPr>
        <w:t xml:space="preserve"> （标的名称） </w:t>
      </w:r>
      <w:r>
        <w:rPr>
          <w:rFonts w:hint="eastAsia" w:ascii="宋体" w:hAnsi="宋体" w:cs="宋体"/>
          <w:sz w:val="24"/>
        </w:rPr>
        <w:t>，属于</w:t>
      </w:r>
      <w:r>
        <w:rPr>
          <w:rFonts w:hint="eastAsia" w:ascii="宋体" w:hAnsi="宋体" w:cs="宋体"/>
          <w:sz w:val="24"/>
          <w:u w:val="single"/>
        </w:rPr>
        <w:t>（采购文件中明确的所属行业）行业</w:t>
      </w:r>
      <w:r>
        <w:rPr>
          <w:rFonts w:hint="eastAsia" w:ascii="宋体" w:hAnsi="宋体" w:cs="宋体"/>
          <w:sz w:val="24"/>
        </w:rPr>
        <w:t>；制造商为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万元¹，属于</w:t>
      </w:r>
      <w:r>
        <w:rPr>
          <w:rFonts w:hint="eastAsia" w:ascii="宋体" w:hAnsi="宋体" w:cs="宋体"/>
          <w:sz w:val="24"/>
          <w:u w:val="single"/>
        </w:rPr>
        <w:t>（中型企业、小型企业、微型企业）</w:t>
      </w:r>
      <w:r>
        <w:rPr>
          <w:rFonts w:hint="eastAsia" w:ascii="宋体" w:hAnsi="宋体" w:cs="宋体"/>
          <w:sz w:val="24"/>
        </w:rPr>
        <w:t>；</w:t>
      </w:r>
    </w:p>
    <w:p>
      <w:pPr>
        <w:pStyle w:val="52"/>
        <w:ind w:left="420" w:leftChars="200"/>
        <w:rPr>
          <w:rFonts w:hAnsi="宋体" w:cs="宋体"/>
        </w:rPr>
      </w:pPr>
      <w:r>
        <w:rPr>
          <w:rFonts w:hint="eastAsia" w:hAnsi="宋体" w:cs="宋体"/>
        </w:rPr>
        <w:t>......</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adjustRightInd w:val="0"/>
        <w:snapToGrid w:val="0"/>
        <w:spacing w:line="360" w:lineRule="auto"/>
        <w:rPr>
          <w:rFonts w:ascii="宋体" w:hAnsi="宋体" w:cs="宋体"/>
          <w:sz w:val="24"/>
        </w:rPr>
      </w:pPr>
    </w:p>
    <w:p>
      <w:pPr>
        <w:pStyle w:val="21"/>
        <w:rPr>
          <w:rFonts w:ascii="宋体" w:hAnsi="宋体" w:cs="宋体"/>
          <w:sz w:val="24"/>
          <w:szCs w:val="24"/>
        </w:rPr>
      </w:pPr>
    </w:p>
    <w:p>
      <w:pPr>
        <w:pStyle w:val="12"/>
        <w:rPr>
          <w:rFonts w:cs="宋体"/>
        </w:rPr>
      </w:pPr>
    </w:p>
    <w:p>
      <w:pPr>
        <w:adjustRightInd w:val="0"/>
        <w:snapToGrid w:val="0"/>
        <w:spacing w:line="360" w:lineRule="auto"/>
        <w:jc w:val="center"/>
        <w:rPr>
          <w:rFonts w:ascii="宋体" w:hAnsi="宋体" w:cs="宋体"/>
          <w:sz w:val="24"/>
        </w:rPr>
      </w:pPr>
      <w:r>
        <w:rPr>
          <w:rFonts w:hint="eastAsia" w:ascii="宋体" w:hAnsi="宋体" w:cs="宋体"/>
          <w:sz w:val="24"/>
        </w:rPr>
        <w:t xml:space="preserve">            企业名称（盖章）：</w:t>
      </w:r>
    </w:p>
    <w:p>
      <w:pPr>
        <w:adjustRightInd w:val="0"/>
        <w:snapToGrid w:val="0"/>
        <w:spacing w:line="360" w:lineRule="auto"/>
        <w:jc w:val="center"/>
        <w:rPr>
          <w:rFonts w:ascii="宋体" w:hAnsi="宋体" w:cs="宋体"/>
          <w:sz w:val="24"/>
        </w:rPr>
      </w:pPr>
      <w:r>
        <w:rPr>
          <w:rFonts w:hint="eastAsia" w:ascii="宋体" w:hAnsi="宋体" w:cs="宋体"/>
          <w:sz w:val="24"/>
        </w:rPr>
        <w:t>日期：</w:t>
      </w: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p>
    <w:p>
      <w:pPr>
        <w:adjustRightInd w:val="0"/>
        <w:snapToGrid w:val="0"/>
        <w:spacing w:line="360" w:lineRule="auto"/>
        <w:rPr>
          <w:rFonts w:ascii="宋体" w:hAnsi="宋体" w:cs="宋体"/>
          <w:sz w:val="22"/>
          <w:szCs w:val="22"/>
        </w:rPr>
      </w:pPr>
      <w:r>
        <w:rPr>
          <w:rFonts w:hint="eastAsia" w:ascii="宋体" w:hAnsi="宋体" w:cs="宋体"/>
          <w:sz w:val="22"/>
          <w:szCs w:val="22"/>
        </w:rPr>
        <w:t>¹从业人员、营业收入、资产总额填报上一年度数据，无上一年度数据的新成立企业可不填报。</w:t>
      </w:r>
    </w:p>
    <w:p>
      <w:pPr>
        <w:rPr>
          <w:rFonts w:ascii="宋体" w:hAnsi="宋体" w:cs="宋体"/>
          <w:b/>
          <w:bCs/>
          <w:sz w:val="24"/>
        </w:rPr>
      </w:pPr>
      <w:bookmarkStart w:id="328" w:name="_Toc45196838"/>
      <w:r>
        <w:rPr>
          <w:rFonts w:hint="eastAsia" w:ascii="宋体" w:hAnsi="宋体" w:cs="宋体"/>
          <w:b/>
          <w:bCs/>
          <w:sz w:val="24"/>
        </w:rPr>
        <w:br w:type="page"/>
      </w:r>
    </w:p>
    <w:p>
      <w:pPr>
        <w:spacing w:line="360" w:lineRule="auto"/>
        <w:jc w:val="center"/>
        <w:rPr>
          <w:rFonts w:ascii="宋体" w:hAnsi="宋体" w:cs="宋体"/>
          <w:b/>
          <w:bCs/>
          <w:sz w:val="24"/>
        </w:rPr>
      </w:pPr>
      <w:r>
        <w:rPr>
          <w:rFonts w:hint="eastAsia" w:ascii="宋体" w:hAnsi="宋体" w:cs="宋体"/>
          <w:b/>
          <w:bCs/>
          <w:sz w:val="24"/>
        </w:rPr>
        <w:t>投标人监狱企业声明函</w:t>
      </w:r>
      <w:bookmarkEnd w:id="328"/>
    </w:p>
    <w:p>
      <w:pPr>
        <w:spacing w:line="360" w:lineRule="auto"/>
        <w:ind w:left="1080" w:leftChars="257" w:hanging="540"/>
        <w:jc w:val="center"/>
        <w:rPr>
          <w:rFonts w:ascii="宋体" w:hAnsi="宋体" w:cs="宋体"/>
          <w:b/>
          <w:kern w:val="0"/>
          <w:sz w:val="24"/>
          <w:szCs w:val="20"/>
        </w:rPr>
      </w:pPr>
    </w:p>
    <w:p>
      <w:pPr>
        <w:widowControl/>
        <w:spacing w:before="100" w:beforeAutospacing="1" w:after="100" w:afterAutospacing="1" w:line="360" w:lineRule="auto"/>
        <w:ind w:firstLine="480" w:firstLineChars="200"/>
        <w:jc w:val="left"/>
        <w:rPr>
          <w:rFonts w:ascii="宋体" w:hAnsi="宋体" w:cs="宋体"/>
          <w:kern w:val="0"/>
          <w:sz w:val="24"/>
        </w:rPr>
      </w:pPr>
      <w:r>
        <w:rPr>
          <w:rFonts w:hint="eastAsia" w:ascii="宋体" w:hAnsi="宋体" w:cs="宋体"/>
          <w:kern w:val="0"/>
          <w:sz w:val="24"/>
        </w:rPr>
        <w:t>本单位郑重声明下列事项（按照实际情况勾选或填空）：</w:t>
      </w:r>
    </w:p>
    <w:p>
      <w:pPr>
        <w:widowControl/>
        <w:spacing w:before="100" w:beforeAutospacing="1" w:after="100" w:afterAutospacing="1" w:line="360" w:lineRule="auto"/>
        <w:ind w:firstLine="480" w:firstLineChars="200"/>
        <w:jc w:val="left"/>
        <w:rPr>
          <w:rFonts w:ascii="宋体" w:hAnsi="宋体" w:cs="宋体"/>
          <w:kern w:val="0"/>
          <w:sz w:val="24"/>
        </w:rPr>
      </w:pPr>
      <w:r>
        <w:rPr>
          <w:rFonts w:hint="eastAsia" w:ascii="宋体" w:hAnsi="宋体" w:cs="宋体"/>
          <w:kern w:val="0"/>
          <w:sz w:val="24"/>
        </w:rPr>
        <w:t>本单位为直接投标人提供本单位制造的货物。</w:t>
      </w:r>
    </w:p>
    <w:p>
      <w:pPr>
        <w:widowControl/>
        <w:spacing w:before="100" w:beforeAutospacing="1" w:after="100" w:afterAutospacing="1" w:line="360" w:lineRule="auto"/>
        <w:ind w:firstLine="360" w:firstLineChars="150"/>
        <w:jc w:val="left"/>
        <w:rPr>
          <w:rFonts w:ascii="宋体" w:hAnsi="宋体" w:cs="宋体"/>
          <w:kern w:val="0"/>
          <w:sz w:val="24"/>
        </w:rPr>
      </w:pPr>
      <w:r>
        <w:rPr>
          <w:rFonts w:hint="eastAsia" w:ascii="宋体" w:hAnsi="宋体" w:cs="宋体"/>
          <w:kern w:val="0"/>
          <w:sz w:val="24"/>
        </w:rPr>
        <w:t>（1）本企业（单位）</w:t>
      </w:r>
      <w:r>
        <w:rPr>
          <w:rFonts w:hint="eastAsia" w:ascii="宋体" w:hAnsi="宋体" w:cs="宋体"/>
          <w:kern w:val="0"/>
          <w:sz w:val="24"/>
          <w:u w:val="single"/>
        </w:rPr>
        <w:t xml:space="preserve">        </w:t>
      </w:r>
      <w:r>
        <w:rPr>
          <w:rFonts w:hint="eastAsia" w:ascii="宋体" w:hAnsi="宋体" w:cs="宋体"/>
          <w:kern w:val="0"/>
          <w:sz w:val="24"/>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宋体" w:hAnsi="宋体" w:cs="宋体"/>
          <w:kern w:val="0"/>
          <w:sz w:val="24"/>
        </w:rPr>
      </w:pPr>
      <w:r>
        <w:rPr>
          <w:rFonts w:hint="eastAsia" w:ascii="宋体" w:hAnsi="宋体" w:cs="宋体"/>
          <w:kern w:val="0"/>
          <w:sz w:val="24"/>
        </w:rPr>
        <w:t>（2）本企业（单位）</w:t>
      </w:r>
      <w:r>
        <w:rPr>
          <w:rFonts w:hint="eastAsia" w:ascii="宋体" w:hAnsi="宋体" w:cs="宋体"/>
          <w:kern w:val="0"/>
          <w:sz w:val="24"/>
          <w:u w:val="single"/>
        </w:rPr>
        <w:t xml:space="preserve">        </w:t>
      </w:r>
      <w:r>
        <w:rPr>
          <w:rFonts w:hint="eastAsia" w:ascii="宋体" w:hAnsi="宋体" w:cs="宋体"/>
          <w:kern w:val="0"/>
          <w:sz w:val="24"/>
        </w:rPr>
        <w:t>（请填写：是、不是）为联合体一方，提供本企业（单位）制造的货物，由本企业（单位）承担工程、提供服务。本企业（单位）提供协议合同金额占到共同投标协议合同总金额的比例为</w:t>
      </w:r>
      <w:r>
        <w:rPr>
          <w:rFonts w:hint="eastAsia" w:ascii="宋体" w:hAnsi="宋体" w:cs="宋体"/>
          <w:kern w:val="0"/>
          <w:sz w:val="24"/>
          <w:u w:val="single"/>
        </w:rPr>
        <w:t xml:space="preserve">       </w:t>
      </w:r>
      <w:r>
        <w:rPr>
          <w:rFonts w:hint="eastAsia" w:ascii="宋体" w:hAnsi="宋体" w:cs="宋体"/>
          <w:kern w:val="0"/>
          <w:sz w:val="24"/>
        </w:rPr>
        <w:t>。</w:t>
      </w:r>
    </w:p>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　　本企业（单位）对上述声明的真实性负责。如有虚假，将依法承担相应责任。</w:t>
      </w:r>
    </w:p>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　　</w:t>
      </w:r>
    </w:p>
    <w:p>
      <w:pPr>
        <w:widowControl/>
        <w:spacing w:before="100" w:beforeAutospacing="1" w:after="100" w:afterAutospacing="1" w:line="360" w:lineRule="auto"/>
        <w:jc w:val="left"/>
        <w:rPr>
          <w:rFonts w:ascii="宋体" w:hAnsi="宋体" w:cs="宋体"/>
          <w:kern w:val="0"/>
          <w:sz w:val="24"/>
        </w:rPr>
      </w:pPr>
    </w:p>
    <w:p>
      <w:pPr>
        <w:widowControl/>
        <w:spacing w:before="100" w:beforeAutospacing="1" w:after="100" w:afterAutospacing="1" w:line="360" w:lineRule="auto"/>
        <w:jc w:val="left"/>
        <w:rPr>
          <w:rFonts w:ascii="宋体" w:hAnsi="宋体" w:cs="宋体"/>
          <w:kern w:val="0"/>
          <w:sz w:val="24"/>
        </w:rPr>
      </w:pPr>
    </w:p>
    <w:p>
      <w:pPr>
        <w:spacing w:line="360" w:lineRule="auto"/>
        <w:ind w:left="1080" w:leftChars="257" w:hanging="540"/>
        <w:jc w:val="center"/>
        <w:rPr>
          <w:rFonts w:ascii="宋体" w:hAnsi="宋体" w:cs="宋体"/>
          <w:b/>
          <w:kern w:val="0"/>
          <w:sz w:val="24"/>
          <w:szCs w:val="20"/>
        </w:rPr>
      </w:pPr>
      <w:r>
        <w:rPr>
          <w:rFonts w:hint="eastAsia" w:ascii="宋体" w:hAnsi="宋体" w:cs="宋体"/>
          <w:b/>
          <w:kern w:val="0"/>
          <w:sz w:val="24"/>
          <w:szCs w:val="20"/>
        </w:rPr>
        <w:t>　</w:t>
      </w:r>
    </w:p>
    <w:p>
      <w:pPr>
        <w:spacing w:line="360" w:lineRule="auto"/>
        <w:rPr>
          <w:rFonts w:ascii="宋体" w:hAnsi="宋体" w:cs="宋体"/>
          <w:b/>
          <w:sz w:val="24"/>
        </w:rPr>
      </w:pPr>
    </w:p>
    <w:p>
      <w:pPr>
        <w:widowControl/>
        <w:spacing w:before="100" w:beforeAutospacing="1" w:after="100" w:afterAutospacing="1" w:line="360" w:lineRule="auto"/>
        <w:ind w:firstLine="3960" w:firstLineChars="1650"/>
        <w:jc w:val="left"/>
        <w:rPr>
          <w:rFonts w:ascii="宋体" w:hAnsi="宋体" w:cs="宋体"/>
          <w:kern w:val="0"/>
          <w:sz w:val="24"/>
        </w:rPr>
      </w:pPr>
      <w:r>
        <w:rPr>
          <w:rFonts w:hint="eastAsia" w:ascii="宋体" w:hAnsi="宋体" w:cs="宋体"/>
          <w:kern w:val="0"/>
          <w:sz w:val="24"/>
        </w:rPr>
        <w:t>投标人（盖章）：</w:t>
      </w:r>
      <w:r>
        <w:rPr>
          <w:rFonts w:hint="eastAsia" w:ascii="宋体" w:hAnsi="宋体" w:cs="宋体"/>
          <w:kern w:val="0"/>
          <w:sz w:val="24"/>
          <w:u w:val="single"/>
        </w:rPr>
        <w:t xml:space="preserve">             </w:t>
      </w:r>
    </w:p>
    <w:p>
      <w:pPr>
        <w:widowControl/>
        <w:spacing w:before="100" w:beforeAutospacing="1" w:after="100" w:afterAutospacing="1" w:line="360" w:lineRule="auto"/>
        <w:ind w:firstLine="3720" w:firstLineChars="1550"/>
        <w:jc w:val="left"/>
        <w:rPr>
          <w:rFonts w:ascii="宋体" w:hAnsi="宋体" w:cs="宋体"/>
          <w:kern w:val="0"/>
          <w:sz w:val="24"/>
          <w:u w:val="single"/>
        </w:rPr>
      </w:pPr>
      <w:r>
        <w:rPr>
          <w:rFonts w:hint="eastAsia" w:ascii="宋体" w:hAnsi="宋体" w:cs="宋体"/>
          <w:kern w:val="0"/>
          <w:sz w:val="24"/>
        </w:rPr>
        <w:t>　日　期：</w:t>
      </w:r>
      <w:r>
        <w:rPr>
          <w:rFonts w:hint="eastAsia" w:ascii="宋体" w:hAnsi="宋体" w:cs="宋体"/>
          <w:kern w:val="0"/>
          <w:sz w:val="24"/>
          <w:u w:val="single"/>
        </w:rPr>
        <w:t xml:space="preserve">             </w:t>
      </w:r>
    </w:p>
    <w:p>
      <w:pPr>
        <w:spacing w:line="360" w:lineRule="auto"/>
        <w:ind w:left="645" w:leftChars="307" w:firstLine="2640" w:firstLineChars="1100"/>
        <w:rPr>
          <w:rFonts w:ascii="宋体" w:hAnsi="宋体" w:cs="宋体"/>
        </w:rPr>
      </w:pPr>
      <w:r>
        <w:rPr>
          <w:rFonts w:hint="eastAsia" w:ascii="宋体" w:hAnsi="宋体" w:cs="宋体"/>
          <w:sz w:val="24"/>
        </w:rPr>
        <w:br w:type="page"/>
      </w:r>
    </w:p>
    <w:p>
      <w:pPr>
        <w:spacing w:line="360" w:lineRule="auto"/>
        <w:jc w:val="center"/>
        <w:rPr>
          <w:rFonts w:ascii="宋体" w:hAnsi="宋体" w:cs="宋体"/>
          <w:sz w:val="24"/>
          <w:lang w:val="zh-CN"/>
        </w:rPr>
      </w:pPr>
      <w:r>
        <w:rPr>
          <w:rFonts w:hint="eastAsia" w:ascii="宋体" w:hAnsi="宋体" w:cs="宋体"/>
          <w:sz w:val="24"/>
          <w:lang w:val="zh-CN"/>
        </w:rPr>
        <w:t>投标人企业关系关联承诺书</w:t>
      </w:r>
    </w:p>
    <w:p>
      <w:pPr>
        <w:autoSpaceDE w:val="0"/>
        <w:autoSpaceDN w:val="0"/>
        <w:adjustRightInd w:val="0"/>
        <w:spacing w:line="360" w:lineRule="auto"/>
        <w:rPr>
          <w:rFonts w:ascii="宋体" w:hAnsi="宋体" w:cs="宋体"/>
          <w:sz w:val="32"/>
          <w:szCs w:val="32"/>
        </w:rPr>
      </w:pPr>
    </w:p>
    <w:p>
      <w:pPr>
        <w:autoSpaceDE w:val="0"/>
        <w:autoSpaceDN w:val="0"/>
        <w:adjustRightInd w:val="0"/>
        <w:snapToGrid w:val="0"/>
        <w:spacing w:line="360" w:lineRule="auto"/>
        <w:rPr>
          <w:rFonts w:ascii="宋体" w:hAnsi="宋体" w:cs="宋体"/>
          <w:sz w:val="24"/>
        </w:rPr>
      </w:pPr>
      <w:r>
        <w:rPr>
          <w:rFonts w:hint="eastAsia" w:ascii="宋体" w:hAnsi="宋体" w:cs="宋体"/>
          <w:sz w:val="24"/>
        </w:rPr>
        <w:t>1.投标人股东及股权证明。</w:t>
      </w:r>
    </w:p>
    <w:p>
      <w:pPr>
        <w:numPr>
          <w:ilvl w:val="0"/>
          <w:numId w:val="10"/>
        </w:numPr>
        <w:autoSpaceDE w:val="0"/>
        <w:autoSpaceDN w:val="0"/>
        <w:adjustRightInd w:val="0"/>
        <w:snapToGrid w:val="0"/>
        <w:spacing w:line="360" w:lineRule="auto"/>
        <w:rPr>
          <w:rFonts w:ascii="宋体" w:hAnsi="宋体" w:cs="宋体"/>
          <w:sz w:val="24"/>
        </w:rPr>
      </w:pPr>
      <w:r>
        <w:rPr>
          <w:rFonts w:hint="eastAsia" w:ascii="宋体" w:hAnsi="宋体" w:cs="宋体"/>
          <w:sz w:val="24"/>
        </w:rPr>
        <w:t>投标人在本项目投标中，不存在与其它投标人负责人为同一人，有控股、管理等关联关系承诺。</w:t>
      </w:r>
    </w:p>
    <w:p>
      <w:pPr>
        <w:snapToGrid w:val="0"/>
        <w:spacing w:line="360" w:lineRule="auto"/>
        <w:rPr>
          <w:rFonts w:ascii="宋体" w:hAnsi="宋体" w:cs="宋体"/>
          <w:sz w:val="24"/>
        </w:rPr>
      </w:pPr>
      <w:r>
        <w:rPr>
          <w:rFonts w:hint="eastAsia" w:ascii="宋体" w:hAnsi="宋体" w:cs="宋体"/>
          <w:sz w:val="24"/>
        </w:rPr>
        <w:t>2-1、管理关系说明：</w:t>
      </w:r>
    </w:p>
    <w:p>
      <w:pPr>
        <w:snapToGrid w:val="0"/>
        <w:spacing w:line="360" w:lineRule="auto"/>
        <w:ind w:firstLine="480" w:firstLineChars="200"/>
        <w:rPr>
          <w:rFonts w:ascii="宋体" w:hAnsi="宋体" w:cs="宋体"/>
          <w:sz w:val="24"/>
        </w:rPr>
      </w:pPr>
      <w:r>
        <w:rPr>
          <w:rFonts w:hint="eastAsia" w:ascii="宋体" w:hAnsi="宋体" w:cs="宋体"/>
          <w:sz w:val="24"/>
        </w:rPr>
        <w:t>我单位管理的具有独立法人的下属单位有：</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我单位的上级管理单位有</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rPr>
          <w:rFonts w:ascii="宋体" w:hAnsi="宋体" w:cs="宋体"/>
          <w:sz w:val="24"/>
        </w:rPr>
      </w:pPr>
      <w:r>
        <w:rPr>
          <w:rFonts w:hint="eastAsia" w:ascii="宋体" w:hAnsi="宋体" w:cs="宋体"/>
          <w:sz w:val="24"/>
        </w:rPr>
        <w:t>2-2、股权关系说明：</w:t>
      </w:r>
    </w:p>
    <w:p>
      <w:pPr>
        <w:snapToGrid w:val="0"/>
        <w:spacing w:line="360" w:lineRule="auto"/>
        <w:ind w:firstLine="480" w:firstLineChars="200"/>
        <w:rPr>
          <w:rFonts w:ascii="宋体" w:hAnsi="宋体" w:cs="宋体"/>
          <w:sz w:val="24"/>
        </w:rPr>
      </w:pPr>
      <w:r>
        <w:rPr>
          <w:rFonts w:hint="eastAsia" w:ascii="宋体" w:hAnsi="宋体" w:cs="宋体"/>
          <w:sz w:val="24"/>
        </w:rPr>
        <w:t>我单位控股的单位有</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我单位被</w:t>
      </w:r>
      <w:r>
        <w:rPr>
          <w:rFonts w:hint="eastAsia" w:ascii="宋体" w:hAnsi="宋体" w:cs="宋体"/>
          <w:i/>
          <w:sz w:val="24"/>
          <w:u w:val="single"/>
        </w:rPr>
        <w:t xml:space="preserve">             </w:t>
      </w:r>
      <w:r>
        <w:rPr>
          <w:rFonts w:hint="eastAsia" w:ascii="宋体" w:hAnsi="宋体" w:cs="宋体"/>
          <w:sz w:val="24"/>
          <w:u w:val="single"/>
        </w:rPr>
        <w:t xml:space="preserve"> </w:t>
      </w:r>
      <w:r>
        <w:rPr>
          <w:rFonts w:hint="eastAsia" w:ascii="宋体" w:hAnsi="宋体" w:cs="宋体"/>
          <w:sz w:val="24"/>
        </w:rPr>
        <w:t>单位控股。</w:t>
      </w:r>
    </w:p>
    <w:p>
      <w:pPr>
        <w:autoSpaceDE w:val="0"/>
        <w:autoSpaceDN w:val="0"/>
        <w:adjustRightInd w:val="0"/>
        <w:snapToGrid w:val="0"/>
        <w:spacing w:line="360" w:lineRule="auto"/>
        <w:rPr>
          <w:rFonts w:ascii="宋体" w:hAnsi="宋体" w:cs="宋体"/>
          <w:sz w:val="24"/>
        </w:rPr>
      </w:pPr>
      <w:r>
        <w:rPr>
          <w:rFonts w:hint="eastAsia" w:ascii="宋体" w:hAnsi="宋体" w:cs="宋体"/>
          <w:sz w:val="24"/>
        </w:rPr>
        <w:t>2-3、单位负责人：</w:t>
      </w:r>
    </w:p>
    <w:p>
      <w:pPr>
        <w:autoSpaceDE w:val="0"/>
        <w:autoSpaceDN w:val="0"/>
        <w:adjustRightInd w:val="0"/>
        <w:spacing w:line="360" w:lineRule="auto"/>
        <w:rPr>
          <w:rFonts w:ascii="宋体" w:hAnsi="宋体" w:cs="宋体"/>
          <w:bCs/>
          <w:sz w:val="24"/>
        </w:rPr>
      </w:pPr>
      <w:r>
        <w:rPr>
          <w:rFonts w:hint="eastAsia" w:ascii="宋体" w:hAnsi="宋体" w:cs="宋体"/>
          <w:bCs/>
          <w:sz w:val="24"/>
        </w:rPr>
        <w:t>3、我单位</w:t>
      </w:r>
      <w:r>
        <w:rPr>
          <w:rFonts w:hint="eastAsia" w:ascii="宋体" w:hAnsi="宋体" w:cs="宋体"/>
          <w:bCs/>
          <w:sz w:val="24"/>
          <w:lang w:val="en-US" w:eastAsia="zh-CN"/>
        </w:rPr>
        <w:t xml:space="preserve"> </w:t>
      </w:r>
      <w:r>
        <w:rPr>
          <w:rFonts w:hint="eastAsia" w:ascii="宋体" w:hAnsi="宋体" w:cs="宋体"/>
          <w:bCs/>
          <w:sz w:val="24"/>
          <w:u w:val="single"/>
          <w:lang w:val="en-US" w:eastAsia="zh-CN"/>
        </w:rPr>
        <w:t xml:space="preserve">       </w:t>
      </w:r>
      <w:r>
        <w:rPr>
          <w:rFonts w:hint="eastAsia" w:ascii="宋体" w:hAnsi="宋体" w:cs="宋体"/>
          <w:bCs/>
          <w:sz w:val="24"/>
          <w:u w:val="none"/>
          <w:lang w:val="en-US" w:eastAsia="zh-CN"/>
        </w:rPr>
        <w:t>（是或不是）</w:t>
      </w:r>
      <w:r>
        <w:rPr>
          <w:rFonts w:hint="eastAsia" w:ascii="宋体" w:hAnsi="宋体" w:cs="宋体"/>
          <w:bCs/>
          <w:sz w:val="24"/>
        </w:rPr>
        <w:t>为采购项目提供整体设计、规范编制或者项目管理、监理、检测等服务的供应商。</w:t>
      </w:r>
    </w:p>
    <w:p>
      <w:pPr>
        <w:autoSpaceDE w:val="0"/>
        <w:autoSpaceDN w:val="0"/>
        <w:adjustRightInd w:val="0"/>
        <w:snapToGrid w:val="0"/>
        <w:spacing w:line="360" w:lineRule="auto"/>
        <w:rPr>
          <w:rFonts w:ascii="宋体" w:hAnsi="宋体" w:cs="宋体"/>
          <w:sz w:val="24"/>
          <w:u w:val="single"/>
        </w:rPr>
      </w:pPr>
      <w:r>
        <w:rPr>
          <w:rFonts w:hint="eastAsia" w:ascii="宋体" w:hAnsi="宋体" w:cs="宋体"/>
          <w:sz w:val="24"/>
        </w:rPr>
        <w:t>4、其他与本项目有关的利害关系说明：</w:t>
      </w:r>
      <w:r>
        <w:rPr>
          <w:rFonts w:hint="eastAsia" w:ascii="宋体" w:hAnsi="宋体" w:cs="宋体"/>
          <w:sz w:val="24"/>
          <w:u w:val="single"/>
        </w:rPr>
        <w:t xml:space="preserve">             </w:t>
      </w:r>
    </w:p>
    <w:p>
      <w:pPr>
        <w:autoSpaceDE w:val="0"/>
        <w:autoSpaceDN w:val="0"/>
        <w:adjustRightInd w:val="0"/>
        <w:spacing w:line="360" w:lineRule="auto"/>
        <w:rPr>
          <w:rFonts w:ascii="宋体" w:hAnsi="宋体" w:cs="宋体"/>
          <w:sz w:val="24"/>
        </w:rPr>
      </w:pPr>
      <w:r>
        <w:rPr>
          <w:rFonts w:hint="eastAsia" w:ascii="宋体" w:hAnsi="宋体" w:cs="宋体"/>
          <w:sz w:val="24"/>
        </w:rPr>
        <w:t>5、本次投标我公司为非联合体投标。</w:t>
      </w:r>
    </w:p>
    <w:p>
      <w:pPr>
        <w:autoSpaceDE w:val="0"/>
        <w:autoSpaceDN w:val="0"/>
        <w:adjustRightInd w:val="0"/>
        <w:snapToGrid w:val="0"/>
        <w:spacing w:line="360" w:lineRule="auto"/>
        <w:jc w:val="center"/>
        <w:rPr>
          <w:rFonts w:ascii="宋体" w:hAnsi="宋体" w:cs="宋体"/>
          <w:sz w:val="24"/>
        </w:rPr>
      </w:pPr>
      <w:r>
        <w:rPr>
          <w:rFonts w:hint="eastAsia" w:ascii="宋体" w:hAnsi="宋体" w:cs="宋体"/>
          <w:sz w:val="24"/>
        </w:rPr>
        <w:t>我单位承诺以上说明真实有效，无虚假内容或隐瞒。</w:t>
      </w: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r>
        <w:rPr>
          <w:rFonts w:hint="eastAsia" w:ascii="宋体" w:hAnsi="宋体" w:cs="宋体"/>
          <w:sz w:val="24"/>
        </w:rPr>
        <w:t>投标人                    法定代表人（负责人）或授权代表</w:t>
      </w:r>
    </w:p>
    <w:p>
      <w:pPr>
        <w:adjustRightInd w:val="0"/>
        <w:snapToGrid w:val="0"/>
        <w:spacing w:line="360" w:lineRule="auto"/>
        <w:rPr>
          <w:rFonts w:ascii="宋体" w:hAnsi="宋体" w:cs="宋体"/>
          <w:sz w:val="24"/>
        </w:rPr>
      </w:pPr>
      <w:r>
        <w:rPr>
          <w:rFonts w:hint="eastAsia" w:ascii="宋体" w:hAnsi="宋体" w:cs="宋体"/>
          <w:sz w:val="24"/>
        </w:rPr>
        <w:t>（公章）：                     （签字或盖章）：</w:t>
      </w:r>
    </w:p>
    <w:p>
      <w:pPr>
        <w:autoSpaceDE w:val="0"/>
        <w:autoSpaceDN w:val="0"/>
        <w:adjustRightInd w:val="0"/>
        <w:snapToGrid w:val="0"/>
        <w:spacing w:line="360" w:lineRule="auto"/>
        <w:jc w:val="center"/>
        <w:rPr>
          <w:rFonts w:ascii="宋体" w:hAnsi="宋体" w:cs="宋体"/>
          <w:sz w:val="24"/>
        </w:rPr>
      </w:pPr>
      <w:r>
        <w:rPr>
          <w:rFonts w:hint="eastAsia" w:ascii="宋体" w:hAnsi="宋体" w:cs="宋体"/>
          <w:sz w:val="24"/>
        </w:rPr>
        <w:t xml:space="preserve">                                年    月    日</w:t>
      </w:r>
    </w:p>
    <w:p>
      <w:pPr>
        <w:autoSpaceDE w:val="0"/>
        <w:autoSpaceDN w:val="0"/>
        <w:adjustRightInd w:val="0"/>
        <w:snapToGrid w:val="0"/>
        <w:spacing w:line="360" w:lineRule="auto"/>
        <w:jc w:val="center"/>
        <w:outlineLvl w:val="1"/>
        <w:rPr>
          <w:rFonts w:ascii="宋体" w:hAnsi="宋体" w:cs="宋体"/>
          <w:b/>
          <w:bCs/>
          <w:sz w:val="28"/>
          <w:szCs w:val="28"/>
        </w:rPr>
      </w:pPr>
      <w:r>
        <w:rPr>
          <w:rFonts w:hint="eastAsia" w:ascii="宋体" w:hAnsi="宋体" w:cs="宋体"/>
          <w:b/>
          <w:bCs/>
          <w:sz w:val="28"/>
          <w:szCs w:val="28"/>
        </w:rPr>
        <w:br w:type="page"/>
      </w:r>
      <w:r>
        <w:rPr>
          <w:rFonts w:hint="eastAsia" w:ascii="宋体" w:hAnsi="宋体" w:cs="宋体"/>
          <w:b/>
          <w:bCs/>
          <w:sz w:val="28"/>
          <w:szCs w:val="28"/>
        </w:rPr>
        <w:t>六、技术部分</w:t>
      </w:r>
    </w:p>
    <w:p>
      <w:pPr>
        <w:spacing w:line="360" w:lineRule="auto"/>
        <w:ind w:firstLine="480" w:firstLineChars="200"/>
        <w:rPr>
          <w:rFonts w:ascii="宋体" w:hAnsi="宋体" w:cs="宋体"/>
          <w:bCs/>
          <w:sz w:val="24"/>
        </w:rPr>
      </w:pPr>
      <w:r>
        <w:rPr>
          <w:rFonts w:hint="eastAsia" w:ascii="宋体" w:hAnsi="宋体" w:cs="宋体"/>
          <w:bCs/>
          <w:sz w:val="24"/>
        </w:rPr>
        <w:t>1.投标人按照招标文件“第五章 采购需求及要求”及招标文件“第三章 评标方法和标准”中的评审细则表编制对应的技术要求。</w:t>
      </w:r>
    </w:p>
    <w:p>
      <w:pPr>
        <w:pStyle w:val="8"/>
        <w:spacing w:line="360" w:lineRule="auto"/>
        <w:ind w:firstLine="480"/>
        <w:rPr>
          <w:rFonts w:hAnsi="宋体" w:cs="宋体"/>
          <w:bCs/>
          <w:szCs w:val="24"/>
        </w:rPr>
      </w:pPr>
      <w:r>
        <w:rPr>
          <w:rFonts w:hint="eastAsia" w:hAnsi="宋体" w:cs="宋体"/>
          <w:bCs/>
          <w:szCs w:val="24"/>
        </w:rPr>
        <w:t>2.投标人需要说明的其他问题。</w:t>
      </w:r>
    </w:p>
    <w:p>
      <w:pPr>
        <w:adjustRightInd w:val="0"/>
        <w:snapToGrid w:val="0"/>
        <w:spacing w:line="360" w:lineRule="auto"/>
        <w:jc w:val="left"/>
        <w:rPr>
          <w:rFonts w:ascii="宋体" w:hAnsi="宋体" w:cs="宋体"/>
          <w:b/>
          <w:bCs/>
          <w:sz w:val="28"/>
          <w:szCs w:val="28"/>
        </w:rPr>
      </w:pPr>
      <w:r>
        <w:rPr>
          <w:rFonts w:hint="eastAsia" w:ascii="宋体" w:hAnsi="宋体" w:cs="宋体"/>
          <w:b/>
          <w:bCs/>
          <w:sz w:val="28"/>
          <w:szCs w:val="28"/>
        </w:rPr>
        <w:t>（格式自拟）</w:t>
      </w:r>
    </w:p>
    <w:p>
      <w:pPr>
        <w:adjustRightInd w:val="0"/>
        <w:snapToGrid w:val="0"/>
        <w:spacing w:line="360" w:lineRule="auto"/>
        <w:jc w:val="left"/>
        <w:rPr>
          <w:rFonts w:ascii="宋体" w:hAnsi="宋体" w:cs="宋体"/>
        </w:rPr>
      </w:pPr>
      <w:r>
        <w:rPr>
          <w:rFonts w:hint="eastAsia" w:ascii="宋体" w:hAnsi="宋体" w:cs="宋体"/>
          <w:sz w:val="24"/>
        </w:rPr>
        <w:br w:type="page"/>
      </w:r>
      <w:r>
        <w:rPr>
          <w:rFonts w:hint="eastAsia" w:ascii="宋体" w:hAnsi="宋体" w:cs="宋体"/>
          <w:b/>
          <w:bCs/>
          <w:sz w:val="24"/>
        </w:rPr>
        <w:t>附件1</w:t>
      </w:r>
      <w:r>
        <w:rPr>
          <w:rFonts w:hint="eastAsia" w:ascii="宋体" w:hAnsi="宋体" w:cs="宋体"/>
          <w:sz w:val="24"/>
        </w:rPr>
        <w:t>：</w:t>
      </w:r>
      <w:r>
        <w:rPr>
          <w:rFonts w:hint="eastAsia" w:ascii="宋体" w:hAnsi="宋体" w:cs="宋体"/>
          <w:b/>
          <w:bCs/>
          <w:sz w:val="24"/>
        </w:rPr>
        <w:t>投标人业绩情况</w:t>
      </w:r>
    </w:p>
    <w:p>
      <w:pPr>
        <w:spacing w:line="360" w:lineRule="auto"/>
        <w:jc w:val="center"/>
        <w:rPr>
          <w:rFonts w:ascii="宋体" w:hAnsi="宋体" w:cs="宋体"/>
          <w:b/>
          <w:bCs/>
          <w:sz w:val="30"/>
          <w:szCs w:val="30"/>
        </w:rPr>
      </w:pPr>
      <w:r>
        <w:rPr>
          <w:rFonts w:hint="eastAsia" w:ascii="宋体" w:hAnsi="宋体" w:cs="宋体"/>
          <w:b/>
          <w:bCs/>
          <w:sz w:val="30"/>
          <w:szCs w:val="30"/>
        </w:rPr>
        <w:t>投标人业绩情况</w:t>
      </w:r>
    </w:p>
    <w:p>
      <w:pPr>
        <w:spacing w:line="360" w:lineRule="auto"/>
        <w:jc w:val="left"/>
        <w:rPr>
          <w:rFonts w:ascii="宋体" w:hAnsi="宋体" w:cs="宋体"/>
          <w:b/>
          <w:sz w:val="24"/>
        </w:rPr>
      </w:pPr>
      <w:r>
        <w:rPr>
          <w:rFonts w:hint="eastAsia" w:ascii="宋体" w:hAnsi="宋体" w:cs="宋体"/>
          <w:b/>
          <w:sz w:val="24"/>
        </w:rPr>
        <w:t>项目名称：</w:t>
      </w:r>
    </w:p>
    <w:p>
      <w:pPr>
        <w:pStyle w:val="12"/>
        <w:spacing w:line="360" w:lineRule="auto"/>
        <w:rPr>
          <w:rFonts w:cs="宋体"/>
          <w:b/>
        </w:rPr>
      </w:pPr>
      <w:r>
        <w:rPr>
          <w:rFonts w:hint="eastAsia" w:cs="宋体"/>
          <w:b/>
          <w:kern w:val="0"/>
          <w:szCs w:val="22"/>
        </w:rPr>
        <w:t>项目编号：</w:t>
      </w:r>
    </w:p>
    <w:p>
      <w:pPr>
        <w:spacing w:line="360" w:lineRule="auto"/>
        <w:jc w:val="left"/>
        <w:rPr>
          <w:rFonts w:ascii="宋体" w:hAnsi="宋体" w:cs="宋体"/>
          <w:b/>
          <w:sz w:val="24"/>
        </w:rPr>
      </w:pPr>
      <w:r>
        <w:rPr>
          <w:rFonts w:hint="eastAsia" w:ascii="宋体" w:hAnsi="宋体" w:cs="宋体"/>
          <w:b/>
          <w:sz w:val="24"/>
        </w:rPr>
        <w:t>包号：</w:t>
      </w:r>
    </w:p>
    <w:tbl>
      <w:tblPr>
        <w:tblStyle w:val="35"/>
        <w:tblW w:w="935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244"/>
        <w:gridCol w:w="1244"/>
        <w:gridCol w:w="1310"/>
        <w:gridCol w:w="1365"/>
        <w:gridCol w:w="1204"/>
        <w:gridCol w:w="1303"/>
        <w:gridCol w:w="168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1085" w:hRule="exact"/>
          <w:jc w:val="center"/>
        </w:trPr>
        <w:tc>
          <w:tcPr>
            <w:tcW w:w="1244" w:type="dxa"/>
            <w:tcBorders>
              <w:top w:val="single" w:color="auto" w:sz="4" w:space="0"/>
            </w:tcBorders>
            <w:vAlign w:val="center"/>
          </w:tcPr>
          <w:p>
            <w:pPr>
              <w:spacing w:line="360" w:lineRule="auto"/>
              <w:jc w:val="center"/>
              <w:rPr>
                <w:rFonts w:ascii="宋体" w:hAnsi="宋体" w:cs="宋体"/>
              </w:rPr>
            </w:pPr>
            <w:r>
              <w:rPr>
                <w:rFonts w:hint="eastAsia" w:ascii="宋体" w:hAnsi="宋体" w:cs="宋体"/>
              </w:rPr>
              <w:t>序号</w:t>
            </w:r>
          </w:p>
        </w:tc>
        <w:tc>
          <w:tcPr>
            <w:tcW w:w="1244" w:type="dxa"/>
            <w:tcBorders>
              <w:top w:val="single" w:color="auto" w:sz="4" w:space="0"/>
            </w:tcBorders>
            <w:vAlign w:val="center"/>
          </w:tcPr>
          <w:p>
            <w:pPr>
              <w:spacing w:line="360" w:lineRule="auto"/>
              <w:ind w:firstLine="105" w:firstLineChars="50"/>
              <w:rPr>
                <w:rFonts w:ascii="宋体" w:hAnsi="宋体" w:cs="宋体"/>
              </w:rPr>
            </w:pPr>
            <w:r>
              <w:rPr>
                <w:rFonts w:hint="eastAsia" w:ascii="宋体" w:hAnsi="宋体" w:cs="宋体"/>
              </w:rPr>
              <w:t>年份</w:t>
            </w:r>
          </w:p>
        </w:tc>
        <w:tc>
          <w:tcPr>
            <w:tcW w:w="1310" w:type="dxa"/>
            <w:vAlign w:val="center"/>
          </w:tcPr>
          <w:p>
            <w:pPr>
              <w:spacing w:line="360" w:lineRule="auto"/>
              <w:jc w:val="center"/>
              <w:rPr>
                <w:rFonts w:ascii="宋体" w:hAnsi="宋体" w:cs="宋体"/>
              </w:rPr>
            </w:pPr>
            <w:r>
              <w:rPr>
                <w:rFonts w:hint="eastAsia" w:ascii="宋体" w:hAnsi="宋体" w:cs="宋体"/>
              </w:rPr>
              <w:t>业主名称</w:t>
            </w:r>
          </w:p>
        </w:tc>
        <w:tc>
          <w:tcPr>
            <w:tcW w:w="1365" w:type="dxa"/>
            <w:vAlign w:val="center"/>
          </w:tcPr>
          <w:p>
            <w:pPr>
              <w:spacing w:line="360" w:lineRule="auto"/>
              <w:jc w:val="center"/>
              <w:rPr>
                <w:rFonts w:ascii="宋体" w:hAnsi="宋体" w:cs="宋体"/>
              </w:rPr>
            </w:pPr>
            <w:r>
              <w:rPr>
                <w:rFonts w:hint="eastAsia" w:ascii="宋体" w:hAnsi="宋体" w:cs="宋体"/>
              </w:rPr>
              <w:t>项目名称</w:t>
            </w:r>
          </w:p>
        </w:tc>
        <w:tc>
          <w:tcPr>
            <w:tcW w:w="1204" w:type="dxa"/>
            <w:vAlign w:val="center"/>
          </w:tcPr>
          <w:p>
            <w:pPr>
              <w:spacing w:line="360" w:lineRule="auto"/>
              <w:jc w:val="center"/>
              <w:rPr>
                <w:rFonts w:ascii="宋体" w:hAnsi="宋体" w:cs="宋体"/>
              </w:rPr>
            </w:pPr>
            <w:r>
              <w:rPr>
                <w:rFonts w:hint="eastAsia" w:ascii="宋体" w:hAnsi="宋体" w:cs="宋体"/>
              </w:rPr>
              <w:t>完成时间</w:t>
            </w:r>
          </w:p>
        </w:tc>
        <w:tc>
          <w:tcPr>
            <w:tcW w:w="1303" w:type="dxa"/>
            <w:vAlign w:val="center"/>
          </w:tcPr>
          <w:p>
            <w:pPr>
              <w:spacing w:line="360" w:lineRule="auto"/>
              <w:ind w:firstLine="105" w:firstLineChars="50"/>
              <w:rPr>
                <w:rFonts w:ascii="宋体" w:hAnsi="宋体" w:cs="宋体"/>
              </w:rPr>
            </w:pPr>
            <w:r>
              <w:rPr>
                <w:rFonts w:hint="eastAsia" w:ascii="宋体" w:hAnsi="宋体" w:cs="宋体"/>
              </w:rPr>
              <w:t>合同金额</w:t>
            </w:r>
          </w:p>
        </w:tc>
        <w:tc>
          <w:tcPr>
            <w:tcW w:w="1683" w:type="dxa"/>
            <w:tcBorders>
              <w:left w:val="single" w:color="auto" w:sz="4" w:space="0"/>
            </w:tcBorders>
            <w:vAlign w:val="center"/>
          </w:tcPr>
          <w:p>
            <w:pPr>
              <w:spacing w:line="360" w:lineRule="auto"/>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1142" w:hRule="exact"/>
          <w:jc w:val="center"/>
        </w:trPr>
        <w:tc>
          <w:tcPr>
            <w:tcW w:w="1244" w:type="dxa"/>
            <w:vAlign w:val="center"/>
          </w:tcPr>
          <w:p>
            <w:pPr>
              <w:spacing w:line="360" w:lineRule="auto"/>
              <w:jc w:val="center"/>
              <w:rPr>
                <w:rFonts w:ascii="宋体" w:hAnsi="宋体" w:cs="宋体"/>
              </w:rPr>
            </w:pPr>
          </w:p>
        </w:tc>
        <w:tc>
          <w:tcPr>
            <w:tcW w:w="1244" w:type="dxa"/>
            <w:vAlign w:val="center"/>
          </w:tcPr>
          <w:p>
            <w:pPr>
              <w:spacing w:line="360" w:lineRule="auto"/>
              <w:jc w:val="center"/>
              <w:rPr>
                <w:rFonts w:ascii="宋体" w:hAnsi="宋体" w:cs="宋体"/>
              </w:rPr>
            </w:pPr>
          </w:p>
        </w:tc>
        <w:tc>
          <w:tcPr>
            <w:tcW w:w="1310" w:type="dxa"/>
            <w:vAlign w:val="center"/>
          </w:tcPr>
          <w:p>
            <w:pPr>
              <w:spacing w:line="360" w:lineRule="auto"/>
              <w:jc w:val="center"/>
              <w:rPr>
                <w:rFonts w:ascii="宋体" w:hAnsi="宋体" w:cs="宋体"/>
              </w:rPr>
            </w:pPr>
          </w:p>
        </w:tc>
        <w:tc>
          <w:tcPr>
            <w:tcW w:w="1365" w:type="dxa"/>
            <w:vAlign w:val="center"/>
          </w:tcPr>
          <w:p>
            <w:pPr>
              <w:spacing w:line="360" w:lineRule="auto"/>
              <w:jc w:val="center"/>
              <w:rPr>
                <w:rFonts w:ascii="宋体" w:hAnsi="宋体" w:cs="宋体"/>
              </w:rPr>
            </w:pPr>
          </w:p>
        </w:tc>
        <w:tc>
          <w:tcPr>
            <w:tcW w:w="1204" w:type="dxa"/>
            <w:vAlign w:val="center"/>
          </w:tcPr>
          <w:p>
            <w:pPr>
              <w:spacing w:line="360" w:lineRule="auto"/>
              <w:jc w:val="center"/>
              <w:rPr>
                <w:rFonts w:ascii="宋体" w:hAnsi="宋体" w:cs="宋体"/>
              </w:rPr>
            </w:pPr>
          </w:p>
        </w:tc>
        <w:tc>
          <w:tcPr>
            <w:tcW w:w="1303" w:type="dxa"/>
            <w:vAlign w:val="center"/>
          </w:tcPr>
          <w:p>
            <w:pPr>
              <w:spacing w:line="360" w:lineRule="auto"/>
              <w:jc w:val="center"/>
              <w:rPr>
                <w:rFonts w:ascii="宋体" w:hAnsi="宋体" w:cs="宋体"/>
              </w:rPr>
            </w:pPr>
          </w:p>
        </w:tc>
        <w:tc>
          <w:tcPr>
            <w:tcW w:w="1683" w:type="dxa"/>
            <w:tcBorders>
              <w:left w:val="single" w:color="auto" w:sz="4" w:space="0"/>
            </w:tcBorders>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1141" w:hRule="exact"/>
          <w:jc w:val="center"/>
        </w:trPr>
        <w:tc>
          <w:tcPr>
            <w:tcW w:w="1244" w:type="dxa"/>
            <w:vAlign w:val="center"/>
          </w:tcPr>
          <w:p>
            <w:pPr>
              <w:spacing w:line="360" w:lineRule="auto"/>
              <w:jc w:val="center"/>
              <w:rPr>
                <w:rFonts w:ascii="宋体" w:hAnsi="宋体" w:cs="宋体"/>
              </w:rPr>
            </w:pPr>
          </w:p>
        </w:tc>
        <w:tc>
          <w:tcPr>
            <w:tcW w:w="1244" w:type="dxa"/>
            <w:vAlign w:val="center"/>
          </w:tcPr>
          <w:p>
            <w:pPr>
              <w:spacing w:line="360" w:lineRule="auto"/>
              <w:jc w:val="center"/>
              <w:rPr>
                <w:rFonts w:ascii="宋体" w:hAnsi="宋体" w:cs="宋体"/>
              </w:rPr>
            </w:pPr>
          </w:p>
        </w:tc>
        <w:tc>
          <w:tcPr>
            <w:tcW w:w="1310" w:type="dxa"/>
            <w:vAlign w:val="center"/>
          </w:tcPr>
          <w:p>
            <w:pPr>
              <w:spacing w:line="360" w:lineRule="auto"/>
              <w:jc w:val="center"/>
              <w:rPr>
                <w:rFonts w:ascii="宋体" w:hAnsi="宋体" w:cs="宋体"/>
              </w:rPr>
            </w:pPr>
          </w:p>
        </w:tc>
        <w:tc>
          <w:tcPr>
            <w:tcW w:w="1365" w:type="dxa"/>
            <w:vAlign w:val="center"/>
          </w:tcPr>
          <w:p>
            <w:pPr>
              <w:spacing w:line="360" w:lineRule="auto"/>
              <w:jc w:val="center"/>
              <w:rPr>
                <w:rFonts w:ascii="宋体" w:hAnsi="宋体" w:cs="宋体"/>
              </w:rPr>
            </w:pPr>
          </w:p>
        </w:tc>
        <w:tc>
          <w:tcPr>
            <w:tcW w:w="1204" w:type="dxa"/>
            <w:vAlign w:val="center"/>
          </w:tcPr>
          <w:p>
            <w:pPr>
              <w:spacing w:line="360" w:lineRule="auto"/>
              <w:jc w:val="center"/>
              <w:rPr>
                <w:rFonts w:ascii="宋体" w:hAnsi="宋体" w:cs="宋体"/>
              </w:rPr>
            </w:pPr>
          </w:p>
        </w:tc>
        <w:tc>
          <w:tcPr>
            <w:tcW w:w="1303" w:type="dxa"/>
            <w:vAlign w:val="center"/>
          </w:tcPr>
          <w:p>
            <w:pPr>
              <w:spacing w:line="360" w:lineRule="auto"/>
              <w:jc w:val="center"/>
              <w:rPr>
                <w:rFonts w:ascii="宋体" w:hAnsi="宋体" w:cs="宋体"/>
              </w:rPr>
            </w:pPr>
          </w:p>
        </w:tc>
        <w:tc>
          <w:tcPr>
            <w:tcW w:w="1683" w:type="dxa"/>
            <w:tcBorders>
              <w:left w:val="single" w:color="auto" w:sz="4" w:space="0"/>
            </w:tcBorders>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1129" w:hRule="exact"/>
          <w:jc w:val="center"/>
        </w:trPr>
        <w:tc>
          <w:tcPr>
            <w:tcW w:w="1244" w:type="dxa"/>
            <w:vAlign w:val="center"/>
          </w:tcPr>
          <w:p>
            <w:pPr>
              <w:spacing w:line="360" w:lineRule="auto"/>
              <w:jc w:val="center"/>
              <w:rPr>
                <w:rFonts w:ascii="宋体" w:hAnsi="宋体" w:cs="宋体"/>
              </w:rPr>
            </w:pPr>
          </w:p>
        </w:tc>
        <w:tc>
          <w:tcPr>
            <w:tcW w:w="1244" w:type="dxa"/>
            <w:vAlign w:val="center"/>
          </w:tcPr>
          <w:p>
            <w:pPr>
              <w:spacing w:line="360" w:lineRule="auto"/>
              <w:jc w:val="center"/>
              <w:rPr>
                <w:rFonts w:ascii="宋体" w:hAnsi="宋体" w:cs="宋体"/>
              </w:rPr>
            </w:pPr>
          </w:p>
        </w:tc>
        <w:tc>
          <w:tcPr>
            <w:tcW w:w="1310" w:type="dxa"/>
            <w:vAlign w:val="center"/>
          </w:tcPr>
          <w:p>
            <w:pPr>
              <w:spacing w:line="360" w:lineRule="auto"/>
              <w:jc w:val="center"/>
              <w:rPr>
                <w:rFonts w:ascii="宋体" w:hAnsi="宋体" w:cs="宋体"/>
              </w:rPr>
            </w:pPr>
          </w:p>
        </w:tc>
        <w:tc>
          <w:tcPr>
            <w:tcW w:w="1365" w:type="dxa"/>
            <w:vAlign w:val="center"/>
          </w:tcPr>
          <w:p>
            <w:pPr>
              <w:spacing w:line="360" w:lineRule="auto"/>
              <w:jc w:val="center"/>
              <w:rPr>
                <w:rFonts w:ascii="宋体" w:hAnsi="宋体" w:cs="宋体"/>
              </w:rPr>
            </w:pPr>
          </w:p>
        </w:tc>
        <w:tc>
          <w:tcPr>
            <w:tcW w:w="1204" w:type="dxa"/>
            <w:vAlign w:val="center"/>
          </w:tcPr>
          <w:p>
            <w:pPr>
              <w:spacing w:line="360" w:lineRule="auto"/>
              <w:jc w:val="center"/>
              <w:rPr>
                <w:rFonts w:ascii="宋体" w:hAnsi="宋体" w:cs="宋体"/>
              </w:rPr>
            </w:pPr>
          </w:p>
        </w:tc>
        <w:tc>
          <w:tcPr>
            <w:tcW w:w="1303" w:type="dxa"/>
            <w:vAlign w:val="center"/>
          </w:tcPr>
          <w:p>
            <w:pPr>
              <w:spacing w:line="360" w:lineRule="auto"/>
              <w:jc w:val="center"/>
              <w:rPr>
                <w:rFonts w:ascii="宋体" w:hAnsi="宋体" w:cs="宋体"/>
              </w:rPr>
            </w:pPr>
          </w:p>
        </w:tc>
        <w:tc>
          <w:tcPr>
            <w:tcW w:w="1683" w:type="dxa"/>
            <w:tcBorders>
              <w:left w:val="single" w:color="auto" w:sz="4" w:space="0"/>
            </w:tcBorders>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1134" w:hRule="exact"/>
          <w:jc w:val="center"/>
        </w:trPr>
        <w:tc>
          <w:tcPr>
            <w:tcW w:w="1244" w:type="dxa"/>
            <w:vAlign w:val="center"/>
          </w:tcPr>
          <w:p>
            <w:pPr>
              <w:spacing w:line="360" w:lineRule="auto"/>
              <w:jc w:val="center"/>
              <w:rPr>
                <w:rFonts w:ascii="宋体" w:hAnsi="宋体" w:cs="宋体"/>
              </w:rPr>
            </w:pPr>
          </w:p>
        </w:tc>
        <w:tc>
          <w:tcPr>
            <w:tcW w:w="1244" w:type="dxa"/>
            <w:vAlign w:val="center"/>
          </w:tcPr>
          <w:p>
            <w:pPr>
              <w:spacing w:line="360" w:lineRule="auto"/>
              <w:jc w:val="center"/>
              <w:rPr>
                <w:rFonts w:ascii="宋体" w:hAnsi="宋体" w:cs="宋体"/>
              </w:rPr>
            </w:pPr>
          </w:p>
        </w:tc>
        <w:tc>
          <w:tcPr>
            <w:tcW w:w="1310" w:type="dxa"/>
            <w:vAlign w:val="center"/>
          </w:tcPr>
          <w:p>
            <w:pPr>
              <w:spacing w:line="360" w:lineRule="auto"/>
              <w:jc w:val="center"/>
              <w:rPr>
                <w:rFonts w:ascii="宋体" w:hAnsi="宋体" w:cs="宋体"/>
              </w:rPr>
            </w:pPr>
          </w:p>
        </w:tc>
        <w:tc>
          <w:tcPr>
            <w:tcW w:w="1365" w:type="dxa"/>
            <w:vAlign w:val="center"/>
          </w:tcPr>
          <w:p>
            <w:pPr>
              <w:spacing w:line="360" w:lineRule="auto"/>
              <w:jc w:val="center"/>
              <w:rPr>
                <w:rFonts w:ascii="宋体" w:hAnsi="宋体" w:cs="宋体"/>
              </w:rPr>
            </w:pPr>
          </w:p>
        </w:tc>
        <w:tc>
          <w:tcPr>
            <w:tcW w:w="1204" w:type="dxa"/>
            <w:vAlign w:val="center"/>
          </w:tcPr>
          <w:p>
            <w:pPr>
              <w:spacing w:line="360" w:lineRule="auto"/>
              <w:jc w:val="center"/>
              <w:rPr>
                <w:rFonts w:ascii="宋体" w:hAnsi="宋体" w:cs="宋体"/>
              </w:rPr>
            </w:pPr>
          </w:p>
        </w:tc>
        <w:tc>
          <w:tcPr>
            <w:tcW w:w="1303" w:type="dxa"/>
            <w:vAlign w:val="center"/>
          </w:tcPr>
          <w:p>
            <w:pPr>
              <w:spacing w:line="360" w:lineRule="auto"/>
              <w:jc w:val="center"/>
              <w:rPr>
                <w:rFonts w:ascii="宋体" w:hAnsi="宋体" w:cs="宋体"/>
              </w:rPr>
            </w:pPr>
          </w:p>
        </w:tc>
        <w:tc>
          <w:tcPr>
            <w:tcW w:w="1683" w:type="dxa"/>
            <w:tcBorders>
              <w:left w:val="single" w:color="auto" w:sz="4" w:space="0"/>
            </w:tcBorders>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1121" w:hRule="exact"/>
          <w:jc w:val="center"/>
        </w:trPr>
        <w:tc>
          <w:tcPr>
            <w:tcW w:w="1244" w:type="dxa"/>
            <w:vAlign w:val="center"/>
          </w:tcPr>
          <w:p>
            <w:pPr>
              <w:spacing w:line="360" w:lineRule="auto"/>
              <w:jc w:val="center"/>
              <w:rPr>
                <w:rFonts w:ascii="宋体" w:hAnsi="宋体" w:cs="宋体"/>
              </w:rPr>
            </w:pPr>
          </w:p>
        </w:tc>
        <w:tc>
          <w:tcPr>
            <w:tcW w:w="1244" w:type="dxa"/>
            <w:vAlign w:val="center"/>
          </w:tcPr>
          <w:p>
            <w:pPr>
              <w:spacing w:line="360" w:lineRule="auto"/>
              <w:jc w:val="center"/>
              <w:rPr>
                <w:rFonts w:ascii="宋体" w:hAnsi="宋体" w:cs="宋体"/>
              </w:rPr>
            </w:pPr>
          </w:p>
        </w:tc>
        <w:tc>
          <w:tcPr>
            <w:tcW w:w="1310" w:type="dxa"/>
            <w:vAlign w:val="center"/>
          </w:tcPr>
          <w:p>
            <w:pPr>
              <w:spacing w:line="360" w:lineRule="auto"/>
              <w:jc w:val="center"/>
              <w:rPr>
                <w:rFonts w:ascii="宋体" w:hAnsi="宋体" w:cs="宋体"/>
              </w:rPr>
            </w:pPr>
          </w:p>
        </w:tc>
        <w:tc>
          <w:tcPr>
            <w:tcW w:w="1365" w:type="dxa"/>
            <w:vAlign w:val="center"/>
          </w:tcPr>
          <w:p>
            <w:pPr>
              <w:spacing w:line="360" w:lineRule="auto"/>
              <w:jc w:val="center"/>
              <w:rPr>
                <w:rFonts w:ascii="宋体" w:hAnsi="宋体" w:cs="宋体"/>
              </w:rPr>
            </w:pPr>
          </w:p>
        </w:tc>
        <w:tc>
          <w:tcPr>
            <w:tcW w:w="1204" w:type="dxa"/>
            <w:vAlign w:val="center"/>
          </w:tcPr>
          <w:p>
            <w:pPr>
              <w:spacing w:line="360" w:lineRule="auto"/>
              <w:jc w:val="center"/>
              <w:rPr>
                <w:rFonts w:ascii="宋体" w:hAnsi="宋体" w:cs="宋体"/>
              </w:rPr>
            </w:pPr>
          </w:p>
        </w:tc>
        <w:tc>
          <w:tcPr>
            <w:tcW w:w="1303" w:type="dxa"/>
            <w:vAlign w:val="center"/>
          </w:tcPr>
          <w:p>
            <w:pPr>
              <w:spacing w:line="360" w:lineRule="auto"/>
              <w:jc w:val="center"/>
              <w:rPr>
                <w:rFonts w:ascii="宋体" w:hAnsi="宋体" w:cs="宋体"/>
              </w:rPr>
            </w:pPr>
          </w:p>
        </w:tc>
        <w:tc>
          <w:tcPr>
            <w:tcW w:w="1683" w:type="dxa"/>
            <w:tcBorders>
              <w:left w:val="single" w:color="auto" w:sz="4" w:space="0"/>
            </w:tcBorders>
            <w:vAlign w:val="center"/>
          </w:tcPr>
          <w:p>
            <w:pPr>
              <w:spacing w:line="360" w:lineRule="auto"/>
              <w:jc w:val="center"/>
              <w:rPr>
                <w:rFonts w:ascii="宋体" w:hAnsi="宋体" w:cs="宋体"/>
              </w:rPr>
            </w:pPr>
          </w:p>
        </w:tc>
      </w:tr>
    </w:tbl>
    <w:p>
      <w:pPr>
        <w:spacing w:line="360" w:lineRule="auto"/>
        <w:rPr>
          <w:rFonts w:ascii="宋体" w:hAnsi="宋体" w:cs="宋体"/>
          <w:b/>
        </w:rPr>
      </w:pPr>
      <w:r>
        <w:rPr>
          <w:rFonts w:hint="eastAsia" w:ascii="宋体" w:hAnsi="宋体" w:cs="宋体"/>
          <w:b/>
        </w:rPr>
        <w:t>注：1.本表后附业绩证明资料加盖投标人公章，签订时间及金额以合同中的内容为准。</w:t>
      </w:r>
    </w:p>
    <w:p>
      <w:pPr>
        <w:spacing w:line="360" w:lineRule="auto"/>
        <w:rPr>
          <w:rFonts w:ascii="宋体" w:hAnsi="宋体" w:cs="宋体"/>
          <w:b/>
        </w:rPr>
      </w:pPr>
      <w:r>
        <w:rPr>
          <w:rFonts w:hint="eastAsia" w:ascii="宋体" w:hAnsi="宋体" w:cs="宋体"/>
          <w:b/>
        </w:rPr>
        <w:t>2.投标人应如实列出以上情况，如有隐瞒，一经查实将导致其投标文件被拒绝。</w:t>
      </w:r>
    </w:p>
    <w:p>
      <w:pPr>
        <w:spacing w:line="360" w:lineRule="auto"/>
        <w:rPr>
          <w:rFonts w:ascii="宋体" w:hAnsi="宋体" w:cs="宋体"/>
          <w:b/>
        </w:rPr>
      </w:pPr>
      <w:r>
        <w:rPr>
          <w:rFonts w:hint="eastAsia" w:ascii="宋体" w:hAnsi="宋体" w:cs="宋体"/>
          <w:b/>
        </w:rPr>
        <w:t>3.未按上述要求提供、填写的，评审时不予以考虑。</w:t>
      </w:r>
    </w:p>
    <w:p>
      <w:pPr>
        <w:spacing w:line="360" w:lineRule="auto"/>
        <w:rPr>
          <w:rFonts w:ascii="宋体" w:hAnsi="宋体" w:cs="宋体"/>
          <w:b/>
        </w:rPr>
      </w:pPr>
    </w:p>
    <w:p>
      <w:pPr>
        <w:spacing w:line="360" w:lineRule="auto"/>
        <w:rPr>
          <w:rFonts w:ascii="宋体" w:hAnsi="宋体" w:cs="宋体"/>
        </w:rPr>
      </w:pPr>
    </w:p>
    <w:p>
      <w:pPr>
        <w:spacing w:line="360" w:lineRule="auto"/>
        <w:rPr>
          <w:rFonts w:ascii="宋体" w:hAnsi="宋体" w:cs="宋体"/>
          <w:sz w:val="24"/>
        </w:rPr>
      </w:pPr>
      <w:r>
        <w:rPr>
          <w:rFonts w:hint="eastAsia" w:ascii="宋体" w:hAnsi="宋体" w:cs="宋体"/>
          <w:sz w:val="24"/>
        </w:rPr>
        <w:t xml:space="preserve">投标人名称（公章）： </w:t>
      </w:r>
    </w:p>
    <w:p>
      <w:pPr>
        <w:spacing w:line="360" w:lineRule="auto"/>
        <w:jc w:val="left"/>
        <w:rPr>
          <w:rFonts w:ascii="宋体" w:hAnsi="宋体" w:cs="宋体"/>
          <w:sz w:val="24"/>
        </w:rPr>
      </w:pPr>
      <w:r>
        <w:rPr>
          <w:rFonts w:hint="eastAsia" w:ascii="宋体" w:hAnsi="宋体" w:cs="宋体"/>
          <w:sz w:val="24"/>
        </w:rPr>
        <w:t>法定代表人（负责人）/被授权人</w:t>
      </w:r>
      <w:r>
        <w:rPr>
          <w:rFonts w:hint="eastAsia" w:ascii="宋体" w:hAnsi="宋体" w:cs="宋体"/>
          <w:spacing w:val="4"/>
          <w:sz w:val="24"/>
        </w:rPr>
        <w:t>（签字或盖章）</w:t>
      </w:r>
      <w:r>
        <w:rPr>
          <w:rFonts w:hint="eastAsia" w:ascii="宋体" w:hAnsi="宋体" w:cs="宋体"/>
          <w:sz w:val="24"/>
        </w:rPr>
        <w:t>：</w:t>
      </w:r>
    </w:p>
    <w:p>
      <w:pPr>
        <w:spacing w:line="360" w:lineRule="auto"/>
        <w:rPr>
          <w:rFonts w:ascii="宋体" w:hAnsi="宋体" w:cs="宋体"/>
        </w:rPr>
      </w:pPr>
      <w:r>
        <w:rPr>
          <w:rFonts w:hint="eastAsia" w:ascii="宋体" w:hAnsi="宋体" w:cs="宋体"/>
          <w:sz w:val="24"/>
        </w:rPr>
        <w:t>日    期：</w:t>
      </w:r>
    </w:p>
    <w:p>
      <w:pPr>
        <w:pStyle w:val="12"/>
        <w:ind w:firstLine="280" w:firstLineChars="100"/>
        <w:rPr>
          <w:rFonts w:cs="宋体"/>
          <w:sz w:val="28"/>
          <w:szCs w:val="28"/>
        </w:rPr>
      </w:pPr>
    </w:p>
    <w:p>
      <w:pPr>
        <w:pStyle w:val="16"/>
        <w:spacing w:line="360" w:lineRule="auto"/>
        <w:ind w:left="1080" w:leftChars="257" w:hanging="540"/>
        <w:jc w:val="center"/>
        <w:rPr>
          <w:rFonts w:hAnsi="宋体" w:cs="宋体"/>
          <w:b/>
          <w:bCs/>
          <w:sz w:val="28"/>
          <w:szCs w:val="21"/>
        </w:rPr>
      </w:pPr>
    </w:p>
    <w:p>
      <w:pPr>
        <w:spacing w:line="360" w:lineRule="auto"/>
        <w:jc w:val="center"/>
        <w:outlineLvl w:val="1"/>
        <w:rPr>
          <w:rFonts w:ascii="宋体" w:hAnsi="宋体" w:cs="宋体"/>
          <w:sz w:val="24"/>
        </w:rPr>
      </w:pPr>
      <w:r>
        <w:rPr>
          <w:rFonts w:hint="eastAsia" w:ascii="宋体" w:hAnsi="宋体" w:cs="宋体"/>
          <w:b/>
          <w:bCs/>
          <w:sz w:val="24"/>
        </w:rPr>
        <w:t>七、陕西省政府采购</w:t>
      </w:r>
      <w:r>
        <w:rPr>
          <w:rFonts w:hint="eastAsia" w:ascii="宋体" w:hAnsi="宋体" w:cs="宋体"/>
          <w:b/>
          <w:bCs/>
          <w:sz w:val="24"/>
          <w:lang w:val="zh-CN"/>
        </w:rPr>
        <w:t>投标人</w:t>
      </w:r>
      <w:r>
        <w:rPr>
          <w:rFonts w:hint="eastAsia" w:ascii="宋体" w:hAnsi="宋体" w:cs="宋体"/>
          <w:b/>
          <w:bCs/>
          <w:sz w:val="24"/>
        </w:rPr>
        <w:t>拒绝政府采购领域商业贿赂承诺书</w:t>
      </w:r>
    </w:p>
    <w:p>
      <w:pPr>
        <w:widowControl/>
        <w:spacing w:line="360" w:lineRule="auto"/>
        <w:ind w:firstLine="470" w:firstLineChars="196"/>
        <w:jc w:val="left"/>
        <w:rPr>
          <w:rFonts w:ascii="宋体" w:hAnsi="宋体" w:cs="宋体"/>
          <w:sz w:val="24"/>
        </w:rPr>
      </w:pPr>
    </w:p>
    <w:p>
      <w:pPr>
        <w:widowControl/>
        <w:spacing w:line="360" w:lineRule="auto"/>
        <w:ind w:firstLine="480" w:firstLineChars="200"/>
        <w:rPr>
          <w:rFonts w:ascii="宋体" w:hAnsi="宋体" w:cs="宋体"/>
          <w:sz w:val="24"/>
        </w:rPr>
      </w:pPr>
      <w:r>
        <w:rPr>
          <w:rFonts w:hint="eastAsia" w:ascii="宋体" w:hAnsi="宋体" w:cs="宋体"/>
          <w:sz w:val="24"/>
        </w:rPr>
        <w:t>为响应党中央、国务院关于治理政府采购领域商业贿赂行为的号召，我公司在此庄严承诺：</w:t>
      </w:r>
      <w:r>
        <w:rPr>
          <w:rFonts w:hint="eastAsia" w:ascii="宋体" w:hAnsi="宋体" w:cs="宋体"/>
          <w:sz w:val="24"/>
        </w:rPr>
        <w:br w:type="textWrapping"/>
      </w:r>
      <w:r>
        <w:rPr>
          <w:rFonts w:hint="eastAsia" w:ascii="宋体" w:hAnsi="宋体" w:cs="宋体"/>
          <w:sz w:val="24"/>
        </w:rPr>
        <w:t xml:space="preserve">    1.在参与政府采购活动中遵纪守法、诚信经营、公平竞标。</w:t>
      </w:r>
    </w:p>
    <w:p>
      <w:pPr>
        <w:widowControl/>
        <w:spacing w:line="360" w:lineRule="auto"/>
        <w:ind w:firstLine="480" w:firstLineChars="200"/>
        <w:rPr>
          <w:rFonts w:ascii="宋体" w:hAnsi="宋体" w:cs="宋体"/>
          <w:sz w:val="24"/>
        </w:rPr>
      </w:pPr>
      <w:r>
        <w:rPr>
          <w:rFonts w:hint="eastAsia" w:ascii="宋体" w:hAnsi="宋体" w:cs="宋体"/>
          <w:sz w:val="24"/>
        </w:rPr>
        <w:t>2.不向政府采购人、招标代理机构和政府采购评审专家进行任何形式的商业贿赂以谋取交易机会。</w:t>
      </w:r>
    </w:p>
    <w:p>
      <w:pPr>
        <w:widowControl/>
        <w:spacing w:line="360" w:lineRule="auto"/>
        <w:ind w:firstLine="480" w:firstLineChars="200"/>
        <w:rPr>
          <w:rFonts w:ascii="宋体" w:hAnsi="宋体" w:cs="宋体"/>
          <w:sz w:val="24"/>
        </w:rPr>
      </w:pPr>
      <w:r>
        <w:rPr>
          <w:rFonts w:hint="eastAsia" w:ascii="宋体" w:hAnsi="宋体" w:cs="宋体"/>
          <w:sz w:val="24"/>
        </w:rPr>
        <w:t>3.不向政府招标代理机构和采购人提供虚假资格文件或采用虚假应标方式参与政府采购市场竞争并谋取中标、成交。</w:t>
      </w:r>
    </w:p>
    <w:p>
      <w:pPr>
        <w:widowControl/>
        <w:spacing w:line="360" w:lineRule="auto"/>
        <w:ind w:firstLine="480" w:firstLineChars="200"/>
        <w:rPr>
          <w:rFonts w:ascii="宋体" w:hAnsi="宋体" w:cs="宋体"/>
          <w:sz w:val="24"/>
        </w:rPr>
      </w:pPr>
      <w:r>
        <w:rPr>
          <w:rFonts w:hint="eastAsia" w:ascii="宋体" w:hAnsi="宋体" w:cs="宋体"/>
          <w:sz w:val="24"/>
        </w:rPr>
        <w:t>4.不采取“围标、陪标”等商业欺诈手段获得政府采购定单。</w:t>
      </w:r>
    </w:p>
    <w:p>
      <w:pPr>
        <w:widowControl/>
        <w:spacing w:line="360" w:lineRule="auto"/>
        <w:ind w:firstLine="480" w:firstLineChars="200"/>
        <w:rPr>
          <w:rFonts w:ascii="宋体" w:hAnsi="宋体" w:cs="宋体"/>
          <w:sz w:val="24"/>
        </w:rPr>
      </w:pPr>
      <w:r>
        <w:rPr>
          <w:rFonts w:hint="eastAsia" w:ascii="宋体" w:hAnsi="宋体" w:cs="宋体"/>
          <w:sz w:val="24"/>
        </w:rPr>
        <w:t>5.不采取不正当手段诋毁、排挤其他</w:t>
      </w:r>
      <w:r>
        <w:rPr>
          <w:rFonts w:hint="eastAsia" w:ascii="宋体" w:hAnsi="宋体" w:cs="宋体"/>
          <w:sz w:val="24"/>
          <w:lang w:val="zh-CN"/>
        </w:rPr>
        <w:t>投标人</w:t>
      </w:r>
      <w:r>
        <w:rPr>
          <w:rFonts w:hint="eastAsia" w:ascii="宋体" w:hAnsi="宋体" w:cs="宋体"/>
          <w:sz w:val="24"/>
        </w:rPr>
        <w:t>。</w:t>
      </w:r>
    </w:p>
    <w:p>
      <w:pPr>
        <w:widowControl/>
        <w:spacing w:line="360" w:lineRule="auto"/>
        <w:ind w:firstLine="480" w:firstLineChars="200"/>
        <w:rPr>
          <w:rFonts w:ascii="宋体" w:hAnsi="宋体" w:cs="宋体"/>
          <w:sz w:val="24"/>
        </w:rPr>
      </w:pPr>
      <w:r>
        <w:rPr>
          <w:rFonts w:hint="eastAsia" w:ascii="宋体" w:hAnsi="宋体" w:cs="宋体"/>
          <w:sz w:val="24"/>
        </w:rPr>
        <w:t>6.不在提供商品和服务时“偷梁换柱、以次充好”损害采购人的合法权益。</w:t>
      </w:r>
    </w:p>
    <w:p>
      <w:pPr>
        <w:widowControl/>
        <w:spacing w:line="360" w:lineRule="auto"/>
        <w:ind w:firstLine="480" w:firstLineChars="200"/>
        <w:rPr>
          <w:rFonts w:ascii="宋体" w:hAnsi="宋体" w:cs="宋体"/>
          <w:sz w:val="24"/>
        </w:rPr>
      </w:pPr>
      <w:r>
        <w:rPr>
          <w:rFonts w:hint="eastAsia" w:ascii="宋体" w:hAnsi="宋体" w:cs="宋体"/>
          <w:sz w:val="24"/>
        </w:rPr>
        <w:t>7.不与采购人、招标代理机构政府采购评审专家或其它</w:t>
      </w:r>
      <w:r>
        <w:rPr>
          <w:rFonts w:hint="eastAsia" w:ascii="宋体" w:hAnsi="宋体" w:cs="宋体"/>
          <w:sz w:val="24"/>
          <w:lang w:val="zh-CN"/>
        </w:rPr>
        <w:t>投标人</w:t>
      </w:r>
      <w:r>
        <w:rPr>
          <w:rFonts w:hint="eastAsia" w:ascii="宋体" w:hAnsi="宋体" w:cs="宋体"/>
          <w:sz w:val="24"/>
        </w:rPr>
        <w:t>恶意串通，进行质疑和投诉，维护政府采购市场秩序。</w:t>
      </w:r>
    </w:p>
    <w:p>
      <w:pPr>
        <w:widowControl/>
        <w:spacing w:line="360" w:lineRule="auto"/>
        <w:ind w:firstLine="480" w:firstLineChars="200"/>
        <w:rPr>
          <w:rFonts w:ascii="宋体" w:hAnsi="宋体" w:cs="宋体"/>
          <w:sz w:val="24"/>
        </w:rPr>
      </w:pPr>
      <w:r>
        <w:rPr>
          <w:rFonts w:hint="eastAsia" w:ascii="宋体" w:hAnsi="宋体" w:cs="宋体"/>
          <w:sz w:val="24"/>
        </w:rPr>
        <w:t>8.尊重和接受政府采购监督管理部门的监督和政府招标代理机构招标采购要求，承担因违约行为给采购人造成的损失。</w:t>
      </w:r>
    </w:p>
    <w:p>
      <w:pPr>
        <w:widowControl/>
        <w:spacing w:line="360" w:lineRule="auto"/>
        <w:ind w:firstLine="480" w:firstLineChars="200"/>
        <w:rPr>
          <w:rFonts w:ascii="宋体" w:hAnsi="宋体" w:cs="宋体"/>
          <w:sz w:val="24"/>
        </w:rPr>
      </w:pPr>
      <w:r>
        <w:rPr>
          <w:rFonts w:hint="eastAsia" w:ascii="宋体" w:hAnsi="宋体" w:cs="宋体"/>
          <w:sz w:val="24"/>
        </w:rPr>
        <w:t>9.不发生其他有悖于政府采购公开、公平、公正和诚信原则的行为。</w:t>
      </w:r>
      <w:r>
        <w:rPr>
          <w:rFonts w:hint="eastAsia" w:ascii="宋体" w:hAnsi="宋体" w:cs="宋体"/>
          <w:sz w:val="24"/>
        </w:rPr>
        <w:br w:type="textWrapping"/>
      </w:r>
    </w:p>
    <w:p>
      <w:pPr>
        <w:widowControl/>
        <w:spacing w:line="360" w:lineRule="auto"/>
        <w:ind w:firstLine="480" w:firstLineChars="200"/>
        <w:jc w:val="left"/>
        <w:rPr>
          <w:rFonts w:ascii="宋体" w:hAnsi="宋体" w:cs="宋体"/>
          <w:sz w:val="24"/>
        </w:rPr>
      </w:pPr>
      <w:r>
        <w:rPr>
          <w:rFonts w:hint="eastAsia" w:ascii="宋体" w:hAnsi="宋体" w:cs="宋体"/>
          <w:sz w:val="24"/>
        </w:rPr>
        <w:t xml:space="preserve">承诺单位（公章）： </w:t>
      </w:r>
      <w:r>
        <w:rPr>
          <w:rFonts w:hint="eastAsia" w:ascii="宋体" w:hAnsi="宋体" w:cs="宋体"/>
          <w:sz w:val="24"/>
        </w:rPr>
        <w:br w:type="textWrapping"/>
      </w:r>
      <w:r>
        <w:rPr>
          <w:rFonts w:hint="eastAsia" w:ascii="宋体" w:hAnsi="宋体" w:cs="宋体"/>
          <w:sz w:val="24"/>
        </w:rPr>
        <w:t xml:space="preserve">    法定代表人（负责人）/被授权人</w:t>
      </w:r>
      <w:r>
        <w:rPr>
          <w:rFonts w:hint="eastAsia" w:ascii="宋体" w:hAnsi="宋体" w:cs="宋体"/>
          <w:spacing w:val="4"/>
          <w:sz w:val="24"/>
        </w:rPr>
        <w:t>（签字或盖章）</w:t>
      </w:r>
      <w:r>
        <w:rPr>
          <w:rFonts w:hint="eastAsia" w:ascii="宋体" w:hAnsi="宋体" w:cs="宋体"/>
          <w:sz w:val="24"/>
        </w:rPr>
        <w:t>：</w:t>
      </w:r>
      <w:r>
        <w:rPr>
          <w:rFonts w:hint="eastAsia" w:ascii="宋体" w:hAnsi="宋体" w:cs="宋体"/>
          <w:sz w:val="24"/>
        </w:rPr>
        <w:br w:type="textWrapping"/>
      </w:r>
      <w:r>
        <w:rPr>
          <w:rFonts w:hint="eastAsia" w:ascii="宋体" w:hAnsi="宋体" w:cs="宋体"/>
          <w:sz w:val="24"/>
        </w:rPr>
        <w:t xml:space="preserve">    地    址：       </w:t>
      </w:r>
    </w:p>
    <w:p>
      <w:pPr>
        <w:widowControl/>
        <w:spacing w:line="360" w:lineRule="auto"/>
        <w:ind w:firstLine="480" w:firstLineChars="200"/>
        <w:jc w:val="left"/>
        <w:rPr>
          <w:rFonts w:ascii="宋体" w:hAnsi="宋体" w:cs="宋体"/>
          <w:sz w:val="24"/>
        </w:rPr>
      </w:pPr>
      <w:r>
        <w:rPr>
          <w:rFonts w:hint="eastAsia" w:ascii="宋体" w:hAnsi="宋体" w:cs="宋体"/>
          <w:sz w:val="24"/>
        </w:rPr>
        <w:t xml:space="preserve">邮    编：                                      </w:t>
      </w:r>
      <w:r>
        <w:rPr>
          <w:rFonts w:hint="eastAsia" w:ascii="宋体" w:hAnsi="宋体" w:cs="宋体"/>
          <w:sz w:val="24"/>
        </w:rPr>
        <w:br w:type="textWrapping"/>
      </w:r>
      <w:r>
        <w:rPr>
          <w:rFonts w:hint="eastAsia" w:ascii="宋体" w:hAnsi="宋体" w:cs="宋体"/>
          <w:sz w:val="24"/>
        </w:rPr>
        <w:t xml:space="preserve">    电    话：                    </w:t>
      </w:r>
    </w:p>
    <w:p>
      <w:pPr>
        <w:spacing w:line="360" w:lineRule="auto"/>
        <w:rPr>
          <w:rFonts w:ascii="宋体" w:hAnsi="宋体" w:cs="宋体"/>
          <w:sz w:val="24"/>
        </w:rPr>
      </w:pPr>
      <w:r>
        <w:rPr>
          <w:rFonts w:hint="eastAsia" w:ascii="宋体" w:hAnsi="宋体" w:cs="宋体"/>
          <w:sz w:val="24"/>
        </w:rPr>
        <w:t xml:space="preserve">    日    期：</w:t>
      </w:r>
    </w:p>
    <w:p>
      <w:pPr>
        <w:rPr>
          <w:rFonts w:ascii="宋体" w:hAnsi="宋体" w:cs="宋体"/>
          <w:b/>
          <w:bCs/>
          <w:sz w:val="30"/>
          <w:szCs w:val="30"/>
          <w:lang w:val="zh-CN"/>
        </w:rPr>
      </w:pPr>
    </w:p>
    <w:p>
      <w:pPr>
        <w:rPr>
          <w:rFonts w:ascii="宋体" w:hAnsi="宋体" w:cs="宋体"/>
        </w:rPr>
      </w:pPr>
    </w:p>
    <w:sectPr>
      <w:footerReference r:id="rId9" w:type="default"/>
      <w:pgSz w:w="11907" w:h="16840"/>
      <w:pgMar w:top="1417" w:right="1417" w:bottom="1417" w:left="1417" w:header="1020" w:footer="851"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Consolas">
    <w:panose1 w:val="020B0609020204030204"/>
    <w:charset w:val="00"/>
    <w:family w:val="modern"/>
    <w:pitch w:val="default"/>
    <w:sig w:usb0="E00006FF" w:usb1="0000FCFF" w:usb2="00000001" w:usb3="00000000" w:csb0="6000019F" w:csb1="DFD70000"/>
  </w:font>
  <w:font w:name="微软雅黑">
    <w:panose1 w:val="020B0503020204020204"/>
    <w:charset w:val="86"/>
    <w:family w:val="swiss"/>
    <w:pitch w:val="default"/>
    <w:sig w:usb0="80000287" w:usb1="2ACF3C50" w:usb2="00000016" w:usb3="00000000" w:csb0="0004001F" w:csb1="00000000"/>
  </w:font>
  <w:font w:name="SourceHanSansCN-Regular">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___WRD_EMBED_SUB_39">
    <w:altName w:val="宋体"/>
    <w:panose1 w:val="00000000000000000000"/>
    <w:charset w:val="86"/>
    <w:family w:val="modern"/>
    <w:pitch w:val="default"/>
    <w:sig w:usb0="00000000" w:usb1="00000000" w:usb2="00000010" w:usb3="00000000" w:csb0="00040000" w:csb1="00000000"/>
  </w:font>
  <w:font w:name="___WRD_EMBED_SUB_38">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p>
  <w:p>
    <w:pPr>
      <w:pStyle w:val="21"/>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pPr>
    <w:r>
      <w:rPr>
        <w:rFonts w:hint="eastAsia"/>
        <w:b/>
        <w:bCs/>
        <w:i/>
        <w:iCs/>
      </w:rPr>
      <w:t xml:space="preserve">陕西诺尔信项目管理有限公司              第 </w:t>
    </w:r>
    <w:r>
      <w:rPr>
        <w:b/>
        <w:bCs/>
        <w:i/>
        <w:iCs/>
      </w:rPr>
      <w:fldChar w:fldCharType="begin"/>
    </w:r>
    <w:r>
      <w:rPr>
        <w:b/>
        <w:bCs/>
        <w:i/>
        <w:iCs/>
      </w:rPr>
      <w:instrText xml:space="preserve"> PAGE </w:instrText>
    </w:r>
    <w:r>
      <w:rPr>
        <w:b/>
        <w:bCs/>
        <w:i/>
        <w:iCs/>
      </w:rPr>
      <w:fldChar w:fldCharType="separate"/>
    </w:r>
    <w:r>
      <w:rPr>
        <w:b/>
        <w:bCs/>
        <w:i/>
        <w:iCs/>
      </w:rPr>
      <w:t>10</w:t>
    </w:r>
    <w:r>
      <w:rPr>
        <w:b/>
        <w:bCs/>
        <w:i/>
        <w:iCs/>
      </w:rPr>
      <w:fldChar w:fldCharType="end"/>
    </w:r>
    <w:r>
      <w:rPr>
        <w:rFonts w:hint="eastAsia"/>
        <w:b/>
        <w:bCs/>
        <w:i/>
        <w:iCs/>
      </w:rPr>
      <w:t xml:space="preserve"> 页 共 </w:t>
    </w:r>
    <w:r>
      <w:rPr>
        <w:b/>
        <w:bCs/>
        <w:i/>
        <w:iCs/>
      </w:rPr>
      <w:fldChar w:fldCharType="begin"/>
    </w:r>
    <w:r>
      <w:rPr>
        <w:b/>
        <w:bCs/>
        <w:i/>
        <w:iCs/>
      </w:rPr>
      <w:instrText xml:space="preserve"> NUMPAGES </w:instrText>
    </w:r>
    <w:r>
      <w:rPr>
        <w:b/>
        <w:bCs/>
        <w:i/>
        <w:iCs/>
      </w:rPr>
      <w:fldChar w:fldCharType="separate"/>
    </w:r>
    <w:r>
      <w:rPr>
        <w:b/>
        <w:bCs/>
        <w:i/>
        <w:iCs/>
      </w:rPr>
      <w:t>97</w:t>
    </w:r>
    <w:r>
      <w:rPr>
        <w:b/>
        <w:bCs/>
        <w:i/>
        <w:iCs/>
      </w:rPr>
      <w:fldChar w:fldCharType="end"/>
    </w:r>
    <w:r>
      <w:rPr>
        <w:rFonts w:hint="eastAsia"/>
        <w:b/>
        <w:bCs/>
        <w:i/>
        <w:iCs/>
      </w:rPr>
      <w:t xml:space="preserve"> 页  </w: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10" cy="153035"/>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ffectLst/>
                    </wps:spPr>
                    <wps:txbx>
                      <w:txbxContent>
                        <w:p>
                          <w:pPr>
                            <w:pStyle w:val="21"/>
                            <w:jc w:val="center"/>
                            <w:rPr>
                              <w:sz w:val="21"/>
                              <w:szCs w:val="22"/>
                            </w:rPr>
                          </w:pP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59264;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nqzVF0AAAAAMBAAAPAAAAAAAAAAEAIAAAACIAAABk&#10;cnMvZG93bnJldi54bWxQSwECFAAUAAAACACHTuJAn7wRwQ4CAAAPBAAADgAAAAAAAAABACAAAAAf&#10;AQAAZHJzL2Uyb0RvYy54bWxQSwUGAAAAAAYABgBZAQAAnwUAAAAA&#10;">
              <v:fill on="f" focussize="0,0"/>
              <v:stroke on="f"/>
              <v:imagedata o:title=""/>
              <o:lock v:ext="edit" aspectratio="f"/>
              <v:textbox inset="0mm,0mm,0mm,0mm" style="mso-fit-shape-to-text:t;">
                <w:txbxContent>
                  <w:p>
                    <w:pPr>
                      <w:pStyle w:val="21"/>
                      <w:jc w:val="center"/>
                      <w:rPr>
                        <w:sz w:val="21"/>
                        <w:szCs w:val="22"/>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right" w:pos="8820"/>
        <w:tab w:val="clear" w:pos="8306"/>
      </w:tabs>
      <w:ind w:right="775"/>
    </w:pPr>
    <w:r>
      <w:rPr>
        <w:rFonts w:hint="eastAsia"/>
        <w:b/>
        <w:bCs/>
        <w:i/>
        <w:iCs/>
      </w:rPr>
      <w:t xml:space="preserve">陕西诺尔信项目管理有限公司              第 </w:t>
    </w:r>
    <w:r>
      <w:rPr>
        <w:b/>
        <w:bCs/>
        <w:i/>
        <w:iCs/>
      </w:rPr>
      <w:fldChar w:fldCharType="begin"/>
    </w:r>
    <w:r>
      <w:rPr>
        <w:b/>
        <w:bCs/>
        <w:i/>
        <w:iCs/>
      </w:rPr>
      <w:instrText xml:space="preserve"> PAGE </w:instrText>
    </w:r>
    <w:r>
      <w:rPr>
        <w:b/>
        <w:bCs/>
        <w:i/>
        <w:iCs/>
      </w:rPr>
      <w:fldChar w:fldCharType="separate"/>
    </w:r>
    <w:r>
      <w:rPr>
        <w:b/>
        <w:bCs/>
        <w:i/>
        <w:iCs/>
      </w:rPr>
      <w:t>30</w:t>
    </w:r>
    <w:r>
      <w:rPr>
        <w:b/>
        <w:bCs/>
        <w:i/>
        <w:iCs/>
      </w:rPr>
      <w:fldChar w:fldCharType="end"/>
    </w:r>
    <w:r>
      <w:rPr>
        <w:rFonts w:hint="eastAsia"/>
        <w:b/>
        <w:bCs/>
        <w:i/>
        <w:iCs/>
      </w:rPr>
      <w:t xml:space="preserve"> 页 共 </w:t>
    </w:r>
    <w:r>
      <w:rPr>
        <w:b/>
        <w:bCs/>
        <w:i/>
        <w:iCs/>
      </w:rPr>
      <w:fldChar w:fldCharType="begin"/>
    </w:r>
    <w:r>
      <w:rPr>
        <w:b/>
        <w:bCs/>
        <w:i/>
        <w:iCs/>
      </w:rPr>
      <w:instrText xml:space="preserve"> NUMPAGES </w:instrText>
    </w:r>
    <w:r>
      <w:rPr>
        <w:b/>
        <w:bCs/>
        <w:i/>
        <w:iCs/>
      </w:rPr>
      <w:fldChar w:fldCharType="separate"/>
    </w:r>
    <w:r>
      <w:rPr>
        <w:b/>
        <w:bCs/>
        <w:i/>
        <w:iCs/>
      </w:rPr>
      <w:t>97</w:t>
    </w:r>
    <w:r>
      <w:rPr>
        <w:b/>
        <w:bCs/>
        <w:i/>
        <w:iCs/>
      </w:rPr>
      <w:fldChar w:fldCharType="end"/>
    </w:r>
    <w:r>
      <w:rPr>
        <w:rFonts w:hint="eastAsia"/>
        <w:b/>
        <w:bCs/>
        <w:i/>
        <w:iCs/>
      </w:rPr>
      <w:t xml:space="preserve"> 页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b/>
        <w:bCs/>
        <w:i/>
        <w:iCs/>
      </w:rPr>
      <w:t xml:space="preserve">陕西诺尔信项目管理有限公司              第 </w:t>
    </w:r>
    <w:r>
      <w:rPr>
        <w:b/>
        <w:bCs/>
        <w:i/>
        <w:iCs/>
      </w:rPr>
      <w:fldChar w:fldCharType="begin"/>
    </w:r>
    <w:r>
      <w:rPr>
        <w:b/>
        <w:bCs/>
        <w:i/>
        <w:iCs/>
      </w:rPr>
      <w:instrText xml:space="preserve"> PAGE </w:instrText>
    </w:r>
    <w:r>
      <w:rPr>
        <w:b/>
        <w:bCs/>
        <w:i/>
        <w:iCs/>
      </w:rPr>
      <w:fldChar w:fldCharType="separate"/>
    </w:r>
    <w:r>
      <w:rPr>
        <w:b/>
        <w:bCs/>
        <w:i/>
        <w:iCs/>
      </w:rPr>
      <w:t>89</w:t>
    </w:r>
    <w:r>
      <w:rPr>
        <w:b/>
        <w:bCs/>
        <w:i/>
        <w:iCs/>
      </w:rPr>
      <w:fldChar w:fldCharType="end"/>
    </w:r>
    <w:r>
      <w:rPr>
        <w:rFonts w:hint="eastAsia"/>
        <w:b/>
        <w:bCs/>
        <w:i/>
        <w:iCs/>
      </w:rPr>
      <w:t xml:space="preserve"> 页 共 </w:t>
    </w:r>
    <w:r>
      <w:rPr>
        <w:b/>
        <w:bCs/>
        <w:i/>
        <w:iCs/>
      </w:rPr>
      <w:fldChar w:fldCharType="begin"/>
    </w:r>
    <w:r>
      <w:rPr>
        <w:b/>
        <w:bCs/>
        <w:i/>
        <w:iCs/>
      </w:rPr>
      <w:instrText xml:space="preserve"> NUMPAGES </w:instrText>
    </w:r>
    <w:r>
      <w:rPr>
        <w:b/>
        <w:bCs/>
        <w:i/>
        <w:iCs/>
      </w:rPr>
      <w:fldChar w:fldCharType="separate"/>
    </w:r>
    <w:r>
      <w:rPr>
        <w:b/>
        <w:bCs/>
        <w:i/>
        <w:iCs/>
      </w:rPr>
      <w:t>98</w:t>
    </w:r>
    <w:r>
      <w:rPr>
        <w:b/>
        <w:bCs/>
        <w:i/>
        <w:iCs/>
      </w:rPr>
      <w:fldChar w:fldCharType="end"/>
    </w:r>
    <w:r>
      <w:rPr>
        <w:rFonts w:hint="eastAsia"/>
        <w:b/>
        <w:bCs/>
        <w:i/>
        <w:iCs/>
      </w:rPr>
      <w:t xml:space="preserve"> 页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b/>
        <w:bCs/>
        <w:i/>
        <w:iCs/>
      </w:rPr>
      <w:t xml:space="preserve">陕西诺尔信项目管理有限公司              第 </w:t>
    </w:r>
    <w:r>
      <w:rPr>
        <w:b/>
        <w:bCs/>
        <w:i/>
        <w:iCs/>
      </w:rPr>
      <w:fldChar w:fldCharType="begin"/>
    </w:r>
    <w:r>
      <w:rPr>
        <w:b/>
        <w:bCs/>
        <w:i/>
        <w:iCs/>
      </w:rPr>
      <w:instrText xml:space="preserve"> PAGE </w:instrText>
    </w:r>
    <w:r>
      <w:rPr>
        <w:b/>
        <w:bCs/>
        <w:i/>
        <w:iCs/>
      </w:rPr>
      <w:fldChar w:fldCharType="separate"/>
    </w:r>
    <w:r>
      <w:rPr>
        <w:b/>
        <w:bCs/>
        <w:i/>
        <w:iCs/>
      </w:rPr>
      <w:t>95</w:t>
    </w:r>
    <w:r>
      <w:rPr>
        <w:b/>
        <w:bCs/>
        <w:i/>
        <w:iCs/>
      </w:rPr>
      <w:fldChar w:fldCharType="end"/>
    </w:r>
    <w:r>
      <w:rPr>
        <w:rFonts w:hint="eastAsia"/>
        <w:b/>
        <w:bCs/>
        <w:i/>
        <w:iCs/>
      </w:rPr>
      <w:t xml:space="preserve"> 页 共 </w:t>
    </w:r>
    <w:r>
      <w:rPr>
        <w:b/>
        <w:bCs/>
        <w:i/>
        <w:iCs/>
      </w:rPr>
      <w:fldChar w:fldCharType="begin"/>
    </w:r>
    <w:r>
      <w:rPr>
        <w:b/>
        <w:bCs/>
        <w:i/>
        <w:iCs/>
      </w:rPr>
      <w:instrText xml:space="preserve"> NUMPAGES </w:instrText>
    </w:r>
    <w:r>
      <w:rPr>
        <w:b/>
        <w:bCs/>
        <w:i/>
        <w:iCs/>
      </w:rPr>
      <w:fldChar w:fldCharType="separate"/>
    </w:r>
    <w:r>
      <w:rPr>
        <w:b/>
        <w:bCs/>
        <w:i/>
        <w:iCs/>
      </w:rPr>
      <w:t>98</w:t>
    </w:r>
    <w:r>
      <w:rPr>
        <w:b/>
        <w:bCs/>
        <w:i/>
        <w:iCs/>
      </w:rPr>
      <w:fldChar w:fldCharType="end"/>
    </w:r>
    <w:r>
      <w:rPr>
        <w:rFonts w:hint="eastAsia"/>
        <w:b/>
        <w:bCs/>
        <w:i/>
        <w:iCs/>
      </w:rPr>
      <w:t xml:space="preserve"> 页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thinThickMediumGap" w:color="auto" w:sz="18" w:space="1"/>
      </w:pBdr>
      <w:jc w:val="left"/>
    </w:pPr>
    <w:r>
      <w:rPr>
        <w:rFonts w:hint="eastAsia"/>
      </w:rPr>
      <w:t>2023年莲湖疾控区域中心实验室仪器设备采购项目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5DFA61"/>
    <w:multiLevelType w:val="singleLevel"/>
    <w:tmpl w:val="875DFA61"/>
    <w:lvl w:ilvl="0" w:tentative="0">
      <w:start w:val="4"/>
      <w:numFmt w:val="chineseCounting"/>
      <w:suff w:val="space"/>
      <w:lvlText w:val="第%1章"/>
      <w:lvlJc w:val="left"/>
      <w:rPr>
        <w:rFonts w:hint="eastAsia"/>
      </w:rPr>
    </w:lvl>
  </w:abstractNum>
  <w:abstractNum w:abstractNumId="1">
    <w:nsid w:val="E62030B4"/>
    <w:multiLevelType w:val="singleLevel"/>
    <w:tmpl w:val="E62030B4"/>
    <w:lvl w:ilvl="0" w:tentative="0">
      <w:start w:val="1"/>
      <w:numFmt w:val="decimal"/>
      <w:lvlText w:val="%1."/>
      <w:lvlJc w:val="left"/>
      <w:pPr>
        <w:tabs>
          <w:tab w:val="left" w:pos="312"/>
        </w:tabs>
      </w:pPr>
    </w:lvl>
  </w:abstractNum>
  <w:abstractNum w:abstractNumId="2">
    <w:nsid w:val="FFABEE0A"/>
    <w:multiLevelType w:val="singleLevel"/>
    <w:tmpl w:val="FFABEE0A"/>
    <w:lvl w:ilvl="0" w:tentative="0">
      <w:start w:val="1"/>
      <w:numFmt w:val="decimal"/>
      <w:lvlText w:val="%1."/>
      <w:lvlJc w:val="left"/>
      <w:pPr>
        <w:tabs>
          <w:tab w:val="left" w:pos="312"/>
        </w:tabs>
      </w:pPr>
    </w:lvl>
  </w:abstractNum>
  <w:abstractNum w:abstractNumId="3">
    <w:nsid w:val="0862126D"/>
    <w:multiLevelType w:val="singleLevel"/>
    <w:tmpl w:val="0862126D"/>
    <w:lvl w:ilvl="0" w:tentative="0">
      <w:start w:val="2"/>
      <w:numFmt w:val="decimal"/>
      <w:suff w:val="nothing"/>
      <w:lvlText w:val="%1、"/>
      <w:lvlJc w:val="left"/>
    </w:lvl>
  </w:abstractNum>
  <w:abstractNum w:abstractNumId="4">
    <w:nsid w:val="08777306"/>
    <w:multiLevelType w:val="multilevel"/>
    <w:tmpl w:val="08777306"/>
    <w:lvl w:ilvl="0" w:tentative="0">
      <w:start w:val="1"/>
      <w:numFmt w:val="decimal"/>
      <w:pStyle w:val="208"/>
      <w:lvlText w:val="%1."/>
      <w:lvlJc w:val="left"/>
      <w:pPr>
        <w:ind w:left="720" w:hanging="360"/>
      </w:pPr>
      <w:rPr>
        <w:rFonts w:hint="default" w:hAnsi="宋体"/>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A45BAF1"/>
    <w:multiLevelType w:val="singleLevel"/>
    <w:tmpl w:val="0A45BAF1"/>
    <w:lvl w:ilvl="0" w:tentative="0">
      <w:start w:val="4"/>
      <w:numFmt w:val="chineseCounting"/>
      <w:suff w:val="nothing"/>
      <w:lvlText w:val="%1、"/>
      <w:lvlJc w:val="left"/>
      <w:rPr>
        <w:rFonts w:hint="eastAsia"/>
      </w:rPr>
    </w:lvl>
  </w:abstractNum>
  <w:abstractNum w:abstractNumId="6">
    <w:nsid w:val="1312F3CE"/>
    <w:multiLevelType w:val="singleLevel"/>
    <w:tmpl w:val="1312F3CE"/>
    <w:lvl w:ilvl="0" w:tentative="0">
      <w:start w:val="2"/>
      <w:numFmt w:val="decimal"/>
      <w:lvlText w:val="%1."/>
      <w:lvlJc w:val="left"/>
      <w:pPr>
        <w:tabs>
          <w:tab w:val="left" w:pos="312"/>
        </w:tabs>
      </w:pPr>
    </w:lvl>
  </w:abstractNum>
  <w:abstractNum w:abstractNumId="7">
    <w:nsid w:val="30CD642B"/>
    <w:multiLevelType w:val="multilevel"/>
    <w:tmpl w:val="30CD642B"/>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8">
    <w:nsid w:val="359CB8E8"/>
    <w:multiLevelType w:val="singleLevel"/>
    <w:tmpl w:val="359CB8E8"/>
    <w:lvl w:ilvl="0" w:tentative="0">
      <w:start w:val="1"/>
      <w:numFmt w:val="chineseCounting"/>
      <w:suff w:val="nothing"/>
      <w:lvlText w:val="%1、"/>
      <w:lvlJc w:val="left"/>
      <w:rPr>
        <w:rFonts w:hint="eastAsia"/>
      </w:rPr>
    </w:lvl>
  </w:abstractNum>
  <w:abstractNum w:abstractNumId="9">
    <w:nsid w:val="45ED65C9"/>
    <w:multiLevelType w:val="multilevel"/>
    <w:tmpl w:val="45ED65C9"/>
    <w:lvl w:ilvl="0" w:tentative="0">
      <w:start w:val="1"/>
      <w:numFmt w:val="decimal"/>
      <w:lvlText w:val="（%1）"/>
      <w:lvlJc w:val="left"/>
      <w:pPr>
        <w:tabs>
          <w:tab w:val="left" w:pos="1571"/>
        </w:tabs>
        <w:ind w:left="1571" w:hanging="720"/>
      </w:pPr>
      <w:rPr>
        <w:rFonts w:ascii="仿宋_GB2312" w:hAnsi="宋体" w:eastAsia="仿宋_GB2312" w:cs="Times New Roman"/>
      </w:rPr>
    </w:lvl>
    <w:lvl w:ilvl="1" w:tentative="0">
      <w:start w:val="1"/>
      <w:numFmt w:val="lowerLetter"/>
      <w:lvlText w:val="%2)"/>
      <w:lvlJc w:val="left"/>
      <w:pPr>
        <w:tabs>
          <w:tab w:val="left" w:pos="1739"/>
        </w:tabs>
        <w:ind w:left="1739" w:hanging="420"/>
      </w:pPr>
    </w:lvl>
    <w:lvl w:ilvl="2" w:tentative="0">
      <w:start w:val="1"/>
      <w:numFmt w:val="lowerRoman"/>
      <w:lvlText w:val="%3."/>
      <w:lvlJc w:val="right"/>
      <w:pPr>
        <w:tabs>
          <w:tab w:val="left" w:pos="2159"/>
        </w:tabs>
        <w:ind w:left="2159" w:hanging="420"/>
      </w:pPr>
    </w:lvl>
    <w:lvl w:ilvl="3" w:tentative="0">
      <w:start w:val="1"/>
      <w:numFmt w:val="decimal"/>
      <w:lvlText w:val="%4."/>
      <w:lvlJc w:val="left"/>
      <w:pPr>
        <w:tabs>
          <w:tab w:val="left" w:pos="2579"/>
        </w:tabs>
        <w:ind w:left="2579" w:hanging="420"/>
      </w:pPr>
    </w:lvl>
    <w:lvl w:ilvl="4" w:tentative="0">
      <w:start w:val="1"/>
      <w:numFmt w:val="lowerLetter"/>
      <w:lvlText w:val="%5)"/>
      <w:lvlJc w:val="left"/>
      <w:pPr>
        <w:tabs>
          <w:tab w:val="left" w:pos="2999"/>
        </w:tabs>
        <w:ind w:left="2999" w:hanging="420"/>
      </w:pPr>
    </w:lvl>
    <w:lvl w:ilvl="5" w:tentative="0">
      <w:start w:val="1"/>
      <w:numFmt w:val="lowerRoman"/>
      <w:lvlText w:val="%6."/>
      <w:lvlJc w:val="right"/>
      <w:pPr>
        <w:tabs>
          <w:tab w:val="left" w:pos="3419"/>
        </w:tabs>
        <w:ind w:left="3419" w:hanging="420"/>
      </w:pPr>
    </w:lvl>
    <w:lvl w:ilvl="6" w:tentative="0">
      <w:start w:val="1"/>
      <w:numFmt w:val="decimal"/>
      <w:lvlText w:val="%7."/>
      <w:lvlJc w:val="left"/>
      <w:pPr>
        <w:tabs>
          <w:tab w:val="left" w:pos="3839"/>
        </w:tabs>
        <w:ind w:left="3839" w:hanging="420"/>
      </w:pPr>
    </w:lvl>
    <w:lvl w:ilvl="7" w:tentative="0">
      <w:start w:val="1"/>
      <w:numFmt w:val="lowerLetter"/>
      <w:lvlText w:val="%8)"/>
      <w:lvlJc w:val="left"/>
      <w:pPr>
        <w:tabs>
          <w:tab w:val="left" w:pos="4259"/>
        </w:tabs>
        <w:ind w:left="4259" w:hanging="420"/>
      </w:pPr>
    </w:lvl>
    <w:lvl w:ilvl="8" w:tentative="0">
      <w:start w:val="1"/>
      <w:numFmt w:val="lowerRoman"/>
      <w:lvlText w:val="%9."/>
      <w:lvlJc w:val="right"/>
      <w:pPr>
        <w:tabs>
          <w:tab w:val="left" w:pos="4679"/>
        </w:tabs>
        <w:ind w:left="4679" w:hanging="420"/>
      </w:pPr>
    </w:lvl>
  </w:abstractNum>
  <w:abstractNum w:abstractNumId="10">
    <w:nsid w:val="55570FC6"/>
    <w:multiLevelType w:val="singleLevel"/>
    <w:tmpl w:val="55570FC6"/>
    <w:lvl w:ilvl="0" w:tentative="0">
      <w:start w:val="1"/>
      <w:numFmt w:val="decimal"/>
      <w:suff w:val="nothing"/>
      <w:lvlText w:val="%1、"/>
      <w:lvlJc w:val="left"/>
    </w:lvl>
  </w:abstractNum>
  <w:abstractNum w:abstractNumId="11">
    <w:nsid w:val="63C76F6A"/>
    <w:multiLevelType w:val="singleLevel"/>
    <w:tmpl w:val="63C76F6A"/>
    <w:lvl w:ilvl="0" w:tentative="0">
      <w:start w:val="5"/>
      <w:numFmt w:val="decimal"/>
      <w:lvlText w:val="%1."/>
      <w:lvlJc w:val="left"/>
      <w:pPr>
        <w:tabs>
          <w:tab w:val="left" w:pos="312"/>
        </w:tabs>
      </w:pPr>
    </w:lvl>
  </w:abstractNum>
  <w:abstractNum w:abstractNumId="12">
    <w:nsid w:val="7CFDF421"/>
    <w:multiLevelType w:val="singleLevel"/>
    <w:tmpl w:val="7CFDF421"/>
    <w:lvl w:ilvl="0" w:tentative="0">
      <w:start w:val="4"/>
      <w:numFmt w:val="decimal"/>
      <w:suff w:val="nothing"/>
      <w:lvlText w:val="%1、"/>
      <w:lvlJc w:val="left"/>
    </w:lvl>
  </w:abstractNum>
  <w:num w:numId="1">
    <w:abstractNumId w:val="4"/>
  </w:num>
  <w:num w:numId="2">
    <w:abstractNumId w:val="9"/>
  </w:num>
  <w:num w:numId="3">
    <w:abstractNumId w:val="8"/>
  </w:num>
  <w:num w:numId="4">
    <w:abstractNumId w:val="2"/>
  </w:num>
  <w:num w:numId="5">
    <w:abstractNumId w:val="12"/>
  </w:num>
  <w:num w:numId="6">
    <w:abstractNumId w:val="11"/>
  </w:num>
  <w:num w:numId="7">
    <w:abstractNumId w:val="0"/>
  </w:num>
  <w:num w:numId="8">
    <w:abstractNumId w:val="5"/>
  </w:num>
  <w:num w:numId="9">
    <w:abstractNumId w:val="1"/>
  </w:num>
  <w:num w:numId="10">
    <w:abstractNumId w:val="10"/>
  </w:num>
  <w:num w:numId="11">
    <w:abstractNumId w:val="7"/>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jMWU5YmRlMGMxODVmMGRkNTBhOTI1YjI1MjEyNzgifQ=="/>
  </w:docVars>
  <w:rsids>
    <w:rsidRoot w:val="003802B3"/>
    <w:rsid w:val="00094E28"/>
    <w:rsid w:val="001A251E"/>
    <w:rsid w:val="00250CA3"/>
    <w:rsid w:val="00254043"/>
    <w:rsid w:val="00285F1D"/>
    <w:rsid w:val="002B63EE"/>
    <w:rsid w:val="00346738"/>
    <w:rsid w:val="003802B3"/>
    <w:rsid w:val="00392440"/>
    <w:rsid w:val="00395DB8"/>
    <w:rsid w:val="005B19E6"/>
    <w:rsid w:val="005E0062"/>
    <w:rsid w:val="00777A79"/>
    <w:rsid w:val="007959E7"/>
    <w:rsid w:val="008278D5"/>
    <w:rsid w:val="0084687A"/>
    <w:rsid w:val="009E5B09"/>
    <w:rsid w:val="00AC2C26"/>
    <w:rsid w:val="00BE04CA"/>
    <w:rsid w:val="00BE18F9"/>
    <w:rsid w:val="00E038F2"/>
    <w:rsid w:val="00E46CD8"/>
    <w:rsid w:val="00EC74D1"/>
    <w:rsid w:val="00F4774A"/>
    <w:rsid w:val="00FD5B48"/>
    <w:rsid w:val="01407C9D"/>
    <w:rsid w:val="01505F15"/>
    <w:rsid w:val="027520D7"/>
    <w:rsid w:val="02C74CA5"/>
    <w:rsid w:val="02DC3F47"/>
    <w:rsid w:val="03084CFA"/>
    <w:rsid w:val="035E74FC"/>
    <w:rsid w:val="03F079D0"/>
    <w:rsid w:val="03F47783"/>
    <w:rsid w:val="043164D2"/>
    <w:rsid w:val="044336FE"/>
    <w:rsid w:val="045B52FD"/>
    <w:rsid w:val="0717372E"/>
    <w:rsid w:val="08192FB1"/>
    <w:rsid w:val="086D0535"/>
    <w:rsid w:val="08DC25FE"/>
    <w:rsid w:val="096F4441"/>
    <w:rsid w:val="09C956F9"/>
    <w:rsid w:val="0A2148F3"/>
    <w:rsid w:val="0ABE045A"/>
    <w:rsid w:val="0B3552CD"/>
    <w:rsid w:val="0B8E5FB8"/>
    <w:rsid w:val="0C656D19"/>
    <w:rsid w:val="0C8F3D96"/>
    <w:rsid w:val="0D084498"/>
    <w:rsid w:val="0D226854"/>
    <w:rsid w:val="0D724709"/>
    <w:rsid w:val="0DAD4E1B"/>
    <w:rsid w:val="10196798"/>
    <w:rsid w:val="12176923"/>
    <w:rsid w:val="126F3EF2"/>
    <w:rsid w:val="14101C60"/>
    <w:rsid w:val="1413607D"/>
    <w:rsid w:val="14DD6B89"/>
    <w:rsid w:val="14FB5517"/>
    <w:rsid w:val="15107A3E"/>
    <w:rsid w:val="15120980"/>
    <w:rsid w:val="1598015F"/>
    <w:rsid w:val="15BA596A"/>
    <w:rsid w:val="15EF0662"/>
    <w:rsid w:val="163175FF"/>
    <w:rsid w:val="16BF31FA"/>
    <w:rsid w:val="16EC1EF5"/>
    <w:rsid w:val="16F40865"/>
    <w:rsid w:val="17BA0860"/>
    <w:rsid w:val="18391AF5"/>
    <w:rsid w:val="191674A8"/>
    <w:rsid w:val="19831126"/>
    <w:rsid w:val="19B906A4"/>
    <w:rsid w:val="19D61256"/>
    <w:rsid w:val="1A8C5DB8"/>
    <w:rsid w:val="1B406E9F"/>
    <w:rsid w:val="1B5B2B03"/>
    <w:rsid w:val="1B9E686B"/>
    <w:rsid w:val="1BA26415"/>
    <w:rsid w:val="1BB030DA"/>
    <w:rsid w:val="1C272187"/>
    <w:rsid w:val="1C2D448F"/>
    <w:rsid w:val="1C7B4336"/>
    <w:rsid w:val="1CA91014"/>
    <w:rsid w:val="1D063C00"/>
    <w:rsid w:val="1D0A2DB3"/>
    <w:rsid w:val="1D975DF1"/>
    <w:rsid w:val="1EBC77BD"/>
    <w:rsid w:val="1F72557D"/>
    <w:rsid w:val="1FC2733F"/>
    <w:rsid w:val="20103DF1"/>
    <w:rsid w:val="201523AC"/>
    <w:rsid w:val="206A0467"/>
    <w:rsid w:val="20A7394C"/>
    <w:rsid w:val="20F52909"/>
    <w:rsid w:val="21272BC5"/>
    <w:rsid w:val="21CF1C81"/>
    <w:rsid w:val="226D4721"/>
    <w:rsid w:val="234B07A0"/>
    <w:rsid w:val="241C63FF"/>
    <w:rsid w:val="24A8691F"/>
    <w:rsid w:val="24CB5FF8"/>
    <w:rsid w:val="251C03DC"/>
    <w:rsid w:val="25535E50"/>
    <w:rsid w:val="265536EC"/>
    <w:rsid w:val="26B75F6B"/>
    <w:rsid w:val="26DF22C6"/>
    <w:rsid w:val="26F83BEE"/>
    <w:rsid w:val="271461B1"/>
    <w:rsid w:val="27422FE3"/>
    <w:rsid w:val="274C0DA9"/>
    <w:rsid w:val="27913FED"/>
    <w:rsid w:val="283F446A"/>
    <w:rsid w:val="285745F5"/>
    <w:rsid w:val="288A2D25"/>
    <w:rsid w:val="29B6075C"/>
    <w:rsid w:val="29C953ED"/>
    <w:rsid w:val="29DF5CD3"/>
    <w:rsid w:val="2A0F4F73"/>
    <w:rsid w:val="2A2553AC"/>
    <w:rsid w:val="2AA44F65"/>
    <w:rsid w:val="2AC31D70"/>
    <w:rsid w:val="2B115417"/>
    <w:rsid w:val="2B522706"/>
    <w:rsid w:val="2BB45FE6"/>
    <w:rsid w:val="2C2C004B"/>
    <w:rsid w:val="2C300C99"/>
    <w:rsid w:val="2C870B22"/>
    <w:rsid w:val="2D302489"/>
    <w:rsid w:val="2DAE4C4B"/>
    <w:rsid w:val="30CB2D3F"/>
    <w:rsid w:val="3136279E"/>
    <w:rsid w:val="31813B6D"/>
    <w:rsid w:val="31DB3455"/>
    <w:rsid w:val="32FC7ADC"/>
    <w:rsid w:val="32FE2ECB"/>
    <w:rsid w:val="332103AA"/>
    <w:rsid w:val="335243FB"/>
    <w:rsid w:val="33977850"/>
    <w:rsid w:val="34172548"/>
    <w:rsid w:val="34AF5DD7"/>
    <w:rsid w:val="34C5219B"/>
    <w:rsid w:val="36800395"/>
    <w:rsid w:val="371561DC"/>
    <w:rsid w:val="37174DCC"/>
    <w:rsid w:val="373D099A"/>
    <w:rsid w:val="376A4777"/>
    <w:rsid w:val="37B175B3"/>
    <w:rsid w:val="37C8787F"/>
    <w:rsid w:val="38764646"/>
    <w:rsid w:val="388B6152"/>
    <w:rsid w:val="39520313"/>
    <w:rsid w:val="395A2542"/>
    <w:rsid w:val="39AA099D"/>
    <w:rsid w:val="39B34CB8"/>
    <w:rsid w:val="39C42A21"/>
    <w:rsid w:val="39CD5478"/>
    <w:rsid w:val="3A777F60"/>
    <w:rsid w:val="3AC67089"/>
    <w:rsid w:val="3AD849D6"/>
    <w:rsid w:val="3B2A71FC"/>
    <w:rsid w:val="3C5A58BF"/>
    <w:rsid w:val="3D344362"/>
    <w:rsid w:val="3DC652CF"/>
    <w:rsid w:val="3E017DFB"/>
    <w:rsid w:val="3E546A69"/>
    <w:rsid w:val="3E66679D"/>
    <w:rsid w:val="3E8D3D29"/>
    <w:rsid w:val="411D1B11"/>
    <w:rsid w:val="41767ECF"/>
    <w:rsid w:val="41D659E7"/>
    <w:rsid w:val="41EE2D31"/>
    <w:rsid w:val="41F8595E"/>
    <w:rsid w:val="42332E3A"/>
    <w:rsid w:val="43921643"/>
    <w:rsid w:val="44654E01"/>
    <w:rsid w:val="45123C58"/>
    <w:rsid w:val="451A3E3D"/>
    <w:rsid w:val="452A22D2"/>
    <w:rsid w:val="4550160D"/>
    <w:rsid w:val="4607616F"/>
    <w:rsid w:val="460E2CE3"/>
    <w:rsid w:val="46582E6F"/>
    <w:rsid w:val="46C10DAF"/>
    <w:rsid w:val="46C422B2"/>
    <w:rsid w:val="471B520C"/>
    <w:rsid w:val="47486A40"/>
    <w:rsid w:val="48AB197C"/>
    <w:rsid w:val="49520FAC"/>
    <w:rsid w:val="49B50DA8"/>
    <w:rsid w:val="4A1B043B"/>
    <w:rsid w:val="4A3D01CC"/>
    <w:rsid w:val="4AAB3D51"/>
    <w:rsid w:val="4B543F74"/>
    <w:rsid w:val="4C066938"/>
    <w:rsid w:val="4C0E5A41"/>
    <w:rsid w:val="4C890A81"/>
    <w:rsid w:val="4D354E86"/>
    <w:rsid w:val="4D41465D"/>
    <w:rsid w:val="4DBA5E7B"/>
    <w:rsid w:val="4DDD3C5A"/>
    <w:rsid w:val="4E202DD8"/>
    <w:rsid w:val="4E874A52"/>
    <w:rsid w:val="4ECE66B1"/>
    <w:rsid w:val="4F37230A"/>
    <w:rsid w:val="4F8E16AF"/>
    <w:rsid w:val="51840FBC"/>
    <w:rsid w:val="52153A5C"/>
    <w:rsid w:val="52B7716F"/>
    <w:rsid w:val="54117587"/>
    <w:rsid w:val="55102352"/>
    <w:rsid w:val="55453707"/>
    <w:rsid w:val="55723D3F"/>
    <w:rsid w:val="562E2CFE"/>
    <w:rsid w:val="566E5D97"/>
    <w:rsid w:val="567E5A4A"/>
    <w:rsid w:val="56C63E25"/>
    <w:rsid w:val="56DC53F6"/>
    <w:rsid w:val="57792C45"/>
    <w:rsid w:val="58B31397"/>
    <w:rsid w:val="59150870"/>
    <w:rsid w:val="591F7A12"/>
    <w:rsid w:val="592A069B"/>
    <w:rsid w:val="596E6608"/>
    <w:rsid w:val="59747B68"/>
    <w:rsid w:val="5A925570"/>
    <w:rsid w:val="5AFA5E4B"/>
    <w:rsid w:val="5B13062A"/>
    <w:rsid w:val="5C563555"/>
    <w:rsid w:val="5CCA2D81"/>
    <w:rsid w:val="5CCD3C94"/>
    <w:rsid w:val="5D4B5084"/>
    <w:rsid w:val="5DAD189A"/>
    <w:rsid w:val="5E0A1947"/>
    <w:rsid w:val="5E7B3747"/>
    <w:rsid w:val="5F230066"/>
    <w:rsid w:val="5FCD7FD2"/>
    <w:rsid w:val="60BA5B08"/>
    <w:rsid w:val="613F4B55"/>
    <w:rsid w:val="617840FA"/>
    <w:rsid w:val="62074A71"/>
    <w:rsid w:val="622540F5"/>
    <w:rsid w:val="623F5455"/>
    <w:rsid w:val="627818DB"/>
    <w:rsid w:val="62C751AC"/>
    <w:rsid w:val="6409062F"/>
    <w:rsid w:val="646C3671"/>
    <w:rsid w:val="64846241"/>
    <w:rsid w:val="64EE562E"/>
    <w:rsid w:val="6525440C"/>
    <w:rsid w:val="657E6C38"/>
    <w:rsid w:val="65E46E4F"/>
    <w:rsid w:val="66083B12"/>
    <w:rsid w:val="66F138B3"/>
    <w:rsid w:val="66F83B86"/>
    <w:rsid w:val="67760714"/>
    <w:rsid w:val="67AB5376"/>
    <w:rsid w:val="67FF1DB3"/>
    <w:rsid w:val="68116D96"/>
    <w:rsid w:val="685E13B0"/>
    <w:rsid w:val="68B24209"/>
    <w:rsid w:val="68C63810"/>
    <w:rsid w:val="68FB170C"/>
    <w:rsid w:val="69392AF7"/>
    <w:rsid w:val="69835DF9"/>
    <w:rsid w:val="69CE6E20"/>
    <w:rsid w:val="6B260FAC"/>
    <w:rsid w:val="6B6709CC"/>
    <w:rsid w:val="6C1E5314"/>
    <w:rsid w:val="6D34792F"/>
    <w:rsid w:val="6D365059"/>
    <w:rsid w:val="6D4851A4"/>
    <w:rsid w:val="6D934609"/>
    <w:rsid w:val="6D9F7B46"/>
    <w:rsid w:val="6DFB5FC9"/>
    <w:rsid w:val="6EBC03C0"/>
    <w:rsid w:val="6EC442D6"/>
    <w:rsid w:val="7052426C"/>
    <w:rsid w:val="707B75D6"/>
    <w:rsid w:val="7107730A"/>
    <w:rsid w:val="718A3AB2"/>
    <w:rsid w:val="71B96FD0"/>
    <w:rsid w:val="72DE2EB6"/>
    <w:rsid w:val="730554EC"/>
    <w:rsid w:val="73111034"/>
    <w:rsid w:val="73135BD9"/>
    <w:rsid w:val="733F2B3D"/>
    <w:rsid w:val="73696C98"/>
    <w:rsid w:val="73C03C7E"/>
    <w:rsid w:val="745066E7"/>
    <w:rsid w:val="74AE64EB"/>
    <w:rsid w:val="7557416E"/>
    <w:rsid w:val="75C6028F"/>
    <w:rsid w:val="75E23E3E"/>
    <w:rsid w:val="75EE5A60"/>
    <w:rsid w:val="7632037F"/>
    <w:rsid w:val="768A0573"/>
    <w:rsid w:val="772804B2"/>
    <w:rsid w:val="77400CB9"/>
    <w:rsid w:val="774B5757"/>
    <w:rsid w:val="774C5829"/>
    <w:rsid w:val="775D295A"/>
    <w:rsid w:val="77F63C2B"/>
    <w:rsid w:val="78032FFD"/>
    <w:rsid w:val="782C6235"/>
    <w:rsid w:val="788E7282"/>
    <w:rsid w:val="78CD5E0D"/>
    <w:rsid w:val="78FB12B4"/>
    <w:rsid w:val="790463BB"/>
    <w:rsid w:val="79786DA9"/>
    <w:rsid w:val="7988598D"/>
    <w:rsid w:val="79C70B90"/>
    <w:rsid w:val="79D7587D"/>
    <w:rsid w:val="79F521A7"/>
    <w:rsid w:val="7A4153ED"/>
    <w:rsid w:val="7A872EF6"/>
    <w:rsid w:val="7B3A0D61"/>
    <w:rsid w:val="7B5658B1"/>
    <w:rsid w:val="7B6D1DFE"/>
    <w:rsid w:val="7B8D4131"/>
    <w:rsid w:val="7BEF4506"/>
    <w:rsid w:val="7C555EFF"/>
    <w:rsid w:val="7C6158D2"/>
    <w:rsid w:val="7CED360A"/>
    <w:rsid w:val="7D212B75"/>
    <w:rsid w:val="7D510B43"/>
    <w:rsid w:val="7D6F5F6F"/>
    <w:rsid w:val="7DF34C50"/>
    <w:rsid w:val="7F0957CD"/>
    <w:rsid w:val="7FAA7DF6"/>
    <w:rsid w:val="7FAF2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5"/>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link w:val="56"/>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5">
    <w:name w:val="heading 3"/>
    <w:basedOn w:val="1"/>
    <w:next w:val="1"/>
    <w:link w:val="57"/>
    <w:qFormat/>
    <w:uiPriority w:val="0"/>
    <w:pPr>
      <w:keepNext/>
      <w:keepLines/>
      <w:autoSpaceDE w:val="0"/>
      <w:autoSpaceDN w:val="0"/>
      <w:adjustRightInd w:val="0"/>
      <w:spacing w:line="360" w:lineRule="auto"/>
      <w:ind w:firstLine="3453" w:firstLineChars="1150"/>
      <w:jc w:val="left"/>
      <w:outlineLvl w:val="2"/>
    </w:pPr>
    <w:rPr>
      <w:rFonts w:ascii="宋体" w:hAnsi="宋体"/>
      <w:b/>
      <w:kern w:val="0"/>
      <w:sz w:val="30"/>
      <w:szCs w:val="30"/>
      <w:shd w:val="clear" w:color="auto" w:fill="FFFFFF"/>
    </w:rPr>
  </w:style>
  <w:style w:type="paragraph" w:styleId="2">
    <w:name w:val="heading 4"/>
    <w:basedOn w:val="1"/>
    <w:next w:val="1"/>
    <w:link w:val="58"/>
    <w:qFormat/>
    <w:uiPriority w:val="9"/>
    <w:pPr>
      <w:keepNext/>
      <w:keepLines/>
      <w:spacing w:before="280" w:after="290" w:line="376" w:lineRule="auto"/>
      <w:outlineLvl w:val="3"/>
    </w:pPr>
    <w:rPr>
      <w:rFonts w:ascii="Cambria" w:hAnsi="Cambria"/>
      <w:b/>
      <w:bCs/>
      <w:sz w:val="28"/>
      <w:szCs w:val="28"/>
    </w:rPr>
  </w:style>
  <w:style w:type="paragraph" w:styleId="6">
    <w:name w:val="heading 6"/>
    <w:basedOn w:val="1"/>
    <w:next w:val="1"/>
    <w:link w:val="59"/>
    <w:qFormat/>
    <w:uiPriority w:val="0"/>
    <w:pPr>
      <w:keepNext/>
      <w:keepLines/>
      <w:spacing w:before="240" w:after="64" w:line="320" w:lineRule="auto"/>
      <w:outlineLvl w:val="5"/>
    </w:pPr>
    <w:rPr>
      <w:rFonts w:ascii="Cambria" w:hAnsi="Cambria"/>
      <w:b/>
      <w:bCs/>
      <w:sz w:val="24"/>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qFormat/>
    <w:uiPriority w:val="39"/>
    <w:pPr>
      <w:ind w:left="2520" w:leftChars="1200"/>
    </w:pPr>
  </w:style>
  <w:style w:type="paragraph" w:styleId="8">
    <w:name w:val="Normal Indent"/>
    <w:basedOn w:val="1"/>
    <w:next w:val="9"/>
    <w:qFormat/>
    <w:uiPriority w:val="0"/>
    <w:pPr>
      <w:autoSpaceDE w:val="0"/>
      <w:autoSpaceDN w:val="0"/>
      <w:adjustRightInd w:val="0"/>
      <w:ind w:firstLine="420"/>
      <w:jc w:val="left"/>
    </w:pPr>
    <w:rPr>
      <w:rFonts w:ascii="宋体"/>
      <w:kern w:val="0"/>
      <w:sz w:val="24"/>
      <w:szCs w:val="20"/>
    </w:rPr>
  </w:style>
  <w:style w:type="paragraph" w:styleId="9">
    <w:name w:val="toc 4"/>
    <w:basedOn w:val="1"/>
    <w:next w:val="1"/>
    <w:qFormat/>
    <w:uiPriority w:val="39"/>
    <w:pPr>
      <w:ind w:left="1260" w:leftChars="600"/>
    </w:pPr>
  </w:style>
  <w:style w:type="paragraph" w:styleId="10">
    <w:name w:val="Document Map"/>
    <w:basedOn w:val="1"/>
    <w:link w:val="61"/>
    <w:qFormat/>
    <w:uiPriority w:val="0"/>
    <w:rPr>
      <w:rFonts w:ascii="宋体"/>
      <w:sz w:val="18"/>
      <w:szCs w:val="18"/>
    </w:rPr>
  </w:style>
  <w:style w:type="paragraph" w:styleId="11">
    <w:name w:val="annotation text"/>
    <w:basedOn w:val="1"/>
    <w:link w:val="62"/>
    <w:qFormat/>
    <w:uiPriority w:val="99"/>
    <w:pPr>
      <w:jc w:val="left"/>
    </w:pPr>
  </w:style>
  <w:style w:type="paragraph" w:styleId="12">
    <w:name w:val="Body Text"/>
    <w:basedOn w:val="1"/>
    <w:next w:val="1"/>
    <w:link w:val="60"/>
    <w:qFormat/>
    <w:uiPriority w:val="0"/>
    <w:pPr>
      <w:tabs>
        <w:tab w:val="left" w:pos="567"/>
      </w:tabs>
      <w:spacing w:before="120" w:line="22" w:lineRule="atLeast"/>
    </w:pPr>
    <w:rPr>
      <w:rFonts w:ascii="宋体" w:hAnsi="宋体"/>
      <w:sz w:val="24"/>
    </w:rPr>
  </w:style>
  <w:style w:type="paragraph" w:styleId="13">
    <w:name w:val="Body Text Indent"/>
    <w:basedOn w:val="1"/>
    <w:link w:val="63"/>
    <w:qFormat/>
    <w:uiPriority w:val="0"/>
    <w:pPr>
      <w:spacing w:line="360" w:lineRule="auto"/>
      <w:ind w:firstLine="570"/>
    </w:pPr>
    <w:rPr>
      <w:sz w:val="24"/>
    </w:rPr>
  </w:style>
  <w:style w:type="paragraph" w:styleId="14">
    <w:name w:val="toc 5"/>
    <w:basedOn w:val="1"/>
    <w:next w:val="1"/>
    <w:qFormat/>
    <w:uiPriority w:val="39"/>
    <w:pPr>
      <w:ind w:left="1680" w:leftChars="800"/>
    </w:pPr>
  </w:style>
  <w:style w:type="paragraph" w:styleId="15">
    <w:name w:val="toc 3"/>
    <w:basedOn w:val="1"/>
    <w:next w:val="1"/>
    <w:qFormat/>
    <w:uiPriority w:val="39"/>
    <w:pPr>
      <w:tabs>
        <w:tab w:val="left" w:pos="1260"/>
        <w:tab w:val="right" w:leader="dot" w:pos="8630"/>
      </w:tabs>
      <w:ind w:left="840" w:leftChars="400"/>
    </w:pPr>
  </w:style>
  <w:style w:type="paragraph" w:styleId="16">
    <w:name w:val="Plain Text"/>
    <w:basedOn w:val="1"/>
    <w:next w:val="1"/>
    <w:link w:val="64"/>
    <w:qFormat/>
    <w:uiPriority w:val="0"/>
    <w:rPr>
      <w:rFonts w:ascii="宋体" w:hAnsi="Courier New"/>
      <w:szCs w:val="20"/>
    </w:rPr>
  </w:style>
  <w:style w:type="paragraph" w:styleId="17">
    <w:name w:val="toc 8"/>
    <w:basedOn w:val="1"/>
    <w:next w:val="1"/>
    <w:qFormat/>
    <w:uiPriority w:val="39"/>
    <w:pPr>
      <w:ind w:left="2940" w:leftChars="1400"/>
    </w:pPr>
  </w:style>
  <w:style w:type="paragraph" w:styleId="18">
    <w:name w:val="Date"/>
    <w:basedOn w:val="1"/>
    <w:next w:val="1"/>
    <w:link w:val="65"/>
    <w:qFormat/>
    <w:uiPriority w:val="0"/>
    <w:pPr>
      <w:ind w:left="100" w:leftChars="2500"/>
    </w:pPr>
    <w:rPr>
      <w:rFonts w:ascii="仿宋_GB2312" w:hAnsi="宋体" w:eastAsia="仿宋_GB2312"/>
      <w:color w:val="000000"/>
      <w:sz w:val="24"/>
    </w:rPr>
  </w:style>
  <w:style w:type="paragraph" w:styleId="19">
    <w:name w:val="Body Text Indent 2"/>
    <w:basedOn w:val="1"/>
    <w:link w:val="66"/>
    <w:qFormat/>
    <w:uiPriority w:val="0"/>
    <w:pPr>
      <w:ind w:firstLine="480" w:firstLineChars="200"/>
    </w:pPr>
    <w:rPr>
      <w:rFonts w:ascii="仿宋_GB2312" w:eastAsia="仿宋_GB2312"/>
      <w:sz w:val="24"/>
    </w:rPr>
  </w:style>
  <w:style w:type="paragraph" w:styleId="20">
    <w:name w:val="Balloon Text"/>
    <w:basedOn w:val="1"/>
    <w:link w:val="67"/>
    <w:qFormat/>
    <w:uiPriority w:val="99"/>
    <w:rPr>
      <w:sz w:val="18"/>
      <w:szCs w:val="18"/>
    </w:rPr>
  </w:style>
  <w:style w:type="paragraph" w:styleId="21">
    <w:name w:val="footer"/>
    <w:basedOn w:val="1"/>
    <w:next w:val="12"/>
    <w:link w:val="54"/>
    <w:unhideWhenUsed/>
    <w:qFormat/>
    <w:uiPriority w:val="99"/>
    <w:pPr>
      <w:tabs>
        <w:tab w:val="center" w:pos="4153"/>
        <w:tab w:val="right" w:pos="8306"/>
      </w:tabs>
      <w:snapToGrid w:val="0"/>
      <w:jc w:val="left"/>
    </w:pPr>
    <w:rPr>
      <w:sz w:val="18"/>
      <w:szCs w:val="18"/>
    </w:rPr>
  </w:style>
  <w:style w:type="paragraph" w:styleId="22">
    <w:name w:val="header"/>
    <w:basedOn w:val="1"/>
    <w:link w:val="53"/>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style>
  <w:style w:type="paragraph" w:styleId="24">
    <w:name w:val="Subtitle"/>
    <w:basedOn w:val="1"/>
    <w:next w:val="1"/>
    <w:link w:val="205"/>
    <w:qFormat/>
    <w:uiPriority w:val="0"/>
    <w:pPr>
      <w:adjustRightInd w:val="0"/>
      <w:snapToGrid w:val="0"/>
      <w:spacing w:line="360" w:lineRule="auto"/>
      <w:jc w:val="left"/>
      <w:outlineLvl w:val="1"/>
    </w:pPr>
    <w:rPr>
      <w:rFonts w:ascii="等线 Light" w:hAnsi="等线 Light"/>
      <w:b/>
      <w:bCs/>
      <w:kern w:val="28"/>
      <w:sz w:val="24"/>
      <w:szCs w:val="32"/>
    </w:rPr>
  </w:style>
  <w:style w:type="paragraph" w:styleId="25">
    <w:name w:val="toc 6"/>
    <w:basedOn w:val="1"/>
    <w:next w:val="1"/>
    <w:qFormat/>
    <w:uiPriority w:val="39"/>
    <w:pPr>
      <w:ind w:left="2100" w:leftChars="1000"/>
    </w:pPr>
  </w:style>
  <w:style w:type="paragraph" w:styleId="26">
    <w:name w:val="Body Text Indent 3"/>
    <w:basedOn w:val="1"/>
    <w:link w:val="68"/>
    <w:qFormat/>
    <w:uiPriority w:val="0"/>
    <w:pPr>
      <w:autoSpaceDE w:val="0"/>
      <w:autoSpaceDN w:val="0"/>
      <w:adjustRightInd w:val="0"/>
      <w:spacing w:before="120" w:line="22" w:lineRule="atLeast"/>
      <w:ind w:left="720" w:firstLine="480"/>
      <w:jc w:val="left"/>
    </w:pPr>
    <w:rPr>
      <w:rFonts w:ascii="宋体"/>
      <w:kern w:val="0"/>
      <w:sz w:val="24"/>
      <w:szCs w:val="20"/>
    </w:rPr>
  </w:style>
  <w:style w:type="paragraph" w:styleId="27">
    <w:name w:val="toc 2"/>
    <w:basedOn w:val="1"/>
    <w:next w:val="1"/>
    <w:qFormat/>
    <w:uiPriority w:val="39"/>
    <w:pPr>
      <w:ind w:left="420" w:leftChars="200"/>
    </w:pPr>
  </w:style>
  <w:style w:type="paragraph" w:styleId="28">
    <w:name w:val="toc 9"/>
    <w:basedOn w:val="1"/>
    <w:next w:val="1"/>
    <w:qFormat/>
    <w:uiPriority w:val="39"/>
    <w:pPr>
      <w:ind w:left="3360" w:leftChars="1600"/>
    </w:pPr>
  </w:style>
  <w:style w:type="paragraph" w:styleId="29">
    <w:name w:val="Normal (Web)"/>
    <w:basedOn w:val="1"/>
    <w:link w:val="69"/>
    <w:qFormat/>
    <w:uiPriority w:val="99"/>
    <w:pPr>
      <w:widowControl/>
      <w:spacing w:before="100" w:beforeAutospacing="1" w:after="100" w:afterAutospacing="1"/>
      <w:jc w:val="left"/>
    </w:pPr>
    <w:rPr>
      <w:rFonts w:ascii="宋体" w:hAnsi="宋体" w:cs="宋体"/>
      <w:kern w:val="0"/>
      <w:sz w:val="24"/>
    </w:rPr>
  </w:style>
  <w:style w:type="paragraph" w:styleId="30">
    <w:name w:val="index 1"/>
    <w:basedOn w:val="1"/>
    <w:next w:val="1"/>
    <w:semiHidden/>
    <w:qFormat/>
    <w:uiPriority w:val="0"/>
    <w:rPr>
      <w:szCs w:val="20"/>
    </w:rPr>
  </w:style>
  <w:style w:type="paragraph" w:styleId="31">
    <w:name w:val="Title"/>
    <w:basedOn w:val="1"/>
    <w:next w:val="1"/>
    <w:link w:val="70"/>
    <w:qFormat/>
    <w:uiPriority w:val="0"/>
    <w:pPr>
      <w:spacing w:before="240" w:after="60"/>
      <w:jc w:val="center"/>
      <w:outlineLvl w:val="0"/>
    </w:pPr>
    <w:rPr>
      <w:rFonts w:ascii="Cambria" w:hAnsi="Cambria"/>
      <w:b/>
      <w:bCs/>
      <w:sz w:val="32"/>
      <w:szCs w:val="32"/>
    </w:rPr>
  </w:style>
  <w:style w:type="paragraph" w:styleId="32">
    <w:name w:val="annotation subject"/>
    <w:basedOn w:val="11"/>
    <w:next w:val="11"/>
    <w:link w:val="71"/>
    <w:qFormat/>
    <w:uiPriority w:val="0"/>
    <w:rPr>
      <w:b/>
      <w:bCs/>
    </w:rPr>
  </w:style>
  <w:style w:type="paragraph" w:styleId="33">
    <w:name w:val="Body Text First Indent"/>
    <w:basedOn w:val="12"/>
    <w:qFormat/>
    <w:uiPriority w:val="0"/>
    <w:pPr>
      <w:ind w:firstLine="420" w:firstLineChars="100"/>
    </w:pPr>
  </w:style>
  <w:style w:type="paragraph" w:styleId="34">
    <w:name w:val="Body Text First Indent 2"/>
    <w:basedOn w:val="13"/>
    <w:qFormat/>
    <w:uiPriority w:val="0"/>
    <w:pPr>
      <w:spacing w:after="120"/>
      <w:ind w:left="420" w:leftChars="200" w:firstLine="420" w:firstLineChars="200"/>
    </w:pPr>
  </w:style>
  <w:style w:type="table" w:styleId="36">
    <w:name w:val="Table Grid"/>
    <w:basedOn w:val="3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qFormat/>
    <w:uiPriority w:val="22"/>
    <w:rPr>
      <w:b/>
      <w:bCs/>
    </w:rPr>
  </w:style>
  <w:style w:type="character" w:styleId="39">
    <w:name w:val="page number"/>
    <w:qFormat/>
    <w:uiPriority w:val="0"/>
  </w:style>
  <w:style w:type="character" w:styleId="40">
    <w:name w:val="FollowedHyperlink"/>
    <w:qFormat/>
    <w:uiPriority w:val="0"/>
    <w:rPr>
      <w:color w:val="000000"/>
      <w:u w:val="none"/>
    </w:rPr>
  </w:style>
  <w:style w:type="character" w:styleId="41">
    <w:name w:val="Emphasis"/>
    <w:qFormat/>
    <w:uiPriority w:val="0"/>
  </w:style>
  <w:style w:type="character" w:styleId="42">
    <w:name w:val="HTML Definition"/>
    <w:qFormat/>
    <w:uiPriority w:val="0"/>
    <w:rPr>
      <w:i/>
      <w:iCs/>
    </w:rPr>
  </w:style>
  <w:style w:type="character" w:styleId="43">
    <w:name w:val="HTML Acronym"/>
    <w:qFormat/>
    <w:uiPriority w:val="0"/>
  </w:style>
  <w:style w:type="character" w:styleId="44">
    <w:name w:val="HTML Variable"/>
    <w:qFormat/>
    <w:uiPriority w:val="0"/>
  </w:style>
  <w:style w:type="character" w:styleId="45">
    <w:name w:val="Hyperlink"/>
    <w:qFormat/>
    <w:uiPriority w:val="99"/>
    <w:rPr>
      <w:color w:val="000000"/>
      <w:u w:val="none"/>
    </w:rPr>
  </w:style>
  <w:style w:type="character" w:styleId="46">
    <w:name w:val="HTML Code"/>
    <w:qFormat/>
    <w:uiPriority w:val="0"/>
    <w:rPr>
      <w:rFonts w:hint="default" w:ascii="Consolas" w:hAnsi="Consolas" w:eastAsia="Consolas" w:cs="Consolas"/>
      <w:color w:val="C7254E"/>
      <w:sz w:val="21"/>
      <w:szCs w:val="21"/>
      <w:shd w:val="clear" w:color="auto" w:fill="F9F2F4"/>
    </w:rPr>
  </w:style>
  <w:style w:type="character" w:styleId="47">
    <w:name w:val="annotation reference"/>
    <w:qFormat/>
    <w:uiPriority w:val="99"/>
    <w:rPr>
      <w:sz w:val="21"/>
      <w:szCs w:val="21"/>
    </w:rPr>
  </w:style>
  <w:style w:type="character" w:styleId="48">
    <w:name w:val="HTML Cite"/>
    <w:qFormat/>
    <w:uiPriority w:val="0"/>
  </w:style>
  <w:style w:type="character" w:styleId="49">
    <w:name w:val="HTML Keyboard"/>
    <w:qFormat/>
    <w:uiPriority w:val="0"/>
    <w:rPr>
      <w:rFonts w:hint="default" w:ascii="Consolas" w:hAnsi="Consolas" w:eastAsia="Consolas" w:cs="Consolas"/>
      <w:color w:val="FFFFFF"/>
      <w:sz w:val="21"/>
      <w:szCs w:val="21"/>
      <w:shd w:val="clear" w:color="auto" w:fill="333333"/>
    </w:rPr>
  </w:style>
  <w:style w:type="character" w:styleId="50">
    <w:name w:val="HTML Sample"/>
    <w:qFormat/>
    <w:uiPriority w:val="0"/>
    <w:rPr>
      <w:rFonts w:ascii="Consolas" w:hAnsi="Consolas" w:eastAsia="Consolas" w:cs="Consolas"/>
      <w:sz w:val="21"/>
      <w:szCs w:val="21"/>
    </w:rPr>
  </w:style>
  <w:style w:type="paragraph" w:customStyle="1" w:styleId="51">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
    <w:name w:val="Char"/>
    <w:basedOn w:val="10"/>
    <w:next w:val="5"/>
    <w:qFormat/>
    <w:uiPriority w:val="0"/>
    <w:pPr>
      <w:tabs>
        <w:tab w:val="left" w:pos="360"/>
      </w:tabs>
    </w:pPr>
    <w:rPr>
      <w:sz w:val="24"/>
    </w:rPr>
  </w:style>
  <w:style w:type="character" w:customStyle="1" w:styleId="53">
    <w:name w:val="页眉 Char"/>
    <w:basedOn w:val="37"/>
    <w:link w:val="22"/>
    <w:qFormat/>
    <w:uiPriority w:val="99"/>
    <w:rPr>
      <w:sz w:val="18"/>
      <w:szCs w:val="18"/>
    </w:rPr>
  </w:style>
  <w:style w:type="character" w:customStyle="1" w:styleId="54">
    <w:name w:val="页脚 Char"/>
    <w:basedOn w:val="37"/>
    <w:link w:val="21"/>
    <w:qFormat/>
    <w:uiPriority w:val="99"/>
    <w:rPr>
      <w:sz w:val="18"/>
      <w:szCs w:val="18"/>
    </w:rPr>
  </w:style>
  <w:style w:type="character" w:customStyle="1" w:styleId="55">
    <w:name w:val="标题 1 Char"/>
    <w:basedOn w:val="37"/>
    <w:link w:val="3"/>
    <w:qFormat/>
    <w:uiPriority w:val="0"/>
    <w:rPr>
      <w:rFonts w:ascii="宋体" w:hAnsi="Times New Roman" w:eastAsia="宋体" w:cs="Times New Roman"/>
      <w:b/>
      <w:kern w:val="44"/>
      <w:sz w:val="32"/>
      <w:szCs w:val="20"/>
    </w:rPr>
  </w:style>
  <w:style w:type="character" w:customStyle="1" w:styleId="56">
    <w:name w:val="标题 2 Char"/>
    <w:basedOn w:val="37"/>
    <w:link w:val="4"/>
    <w:qFormat/>
    <w:uiPriority w:val="0"/>
    <w:rPr>
      <w:rFonts w:ascii="Arial" w:hAnsi="Arial" w:eastAsia="黑体" w:cs="Times New Roman"/>
      <w:b/>
      <w:kern w:val="0"/>
      <w:sz w:val="30"/>
      <w:szCs w:val="20"/>
    </w:rPr>
  </w:style>
  <w:style w:type="character" w:customStyle="1" w:styleId="57">
    <w:name w:val="标题 3 Char"/>
    <w:basedOn w:val="37"/>
    <w:link w:val="5"/>
    <w:qFormat/>
    <w:uiPriority w:val="0"/>
    <w:rPr>
      <w:rFonts w:ascii="宋体" w:hAnsi="宋体" w:eastAsia="宋体" w:cs="Times New Roman"/>
      <w:b/>
      <w:kern w:val="0"/>
      <w:sz w:val="30"/>
      <w:szCs w:val="30"/>
    </w:rPr>
  </w:style>
  <w:style w:type="character" w:customStyle="1" w:styleId="58">
    <w:name w:val="标题 4 Char"/>
    <w:basedOn w:val="37"/>
    <w:link w:val="2"/>
    <w:qFormat/>
    <w:uiPriority w:val="9"/>
    <w:rPr>
      <w:rFonts w:ascii="Cambria" w:hAnsi="Cambria" w:eastAsia="宋体" w:cs="Times New Roman"/>
      <w:b/>
      <w:bCs/>
      <w:sz w:val="28"/>
      <w:szCs w:val="28"/>
    </w:rPr>
  </w:style>
  <w:style w:type="character" w:customStyle="1" w:styleId="59">
    <w:name w:val="标题 6 Char"/>
    <w:basedOn w:val="37"/>
    <w:link w:val="6"/>
    <w:qFormat/>
    <w:uiPriority w:val="0"/>
    <w:rPr>
      <w:rFonts w:ascii="Cambria" w:hAnsi="Cambria" w:eastAsia="宋体" w:cs="Times New Roman"/>
      <w:b/>
      <w:bCs/>
      <w:sz w:val="24"/>
      <w:szCs w:val="24"/>
    </w:rPr>
  </w:style>
  <w:style w:type="character" w:customStyle="1" w:styleId="60">
    <w:name w:val="正文文本 Char"/>
    <w:basedOn w:val="37"/>
    <w:link w:val="12"/>
    <w:qFormat/>
    <w:uiPriority w:val="0"/>
    <w:rPr>
      <w:rFonts w:ascii="宋体" w:hAnsi="宋体" w:eastAsia="宋体" w:cs="Times New Roman"/>
      <w:sz w:val="24"/>
      <w:szCs w:val="24"/>
    </w:rPr>
  </w:style>
  <w:style w:type="character" w:customStyle="1" w:styleId="61">
    <w:name w:val="文档结构图 Char"/>
    <w:basedOn w:val="37"/>
    <w:link w:val="10"/>
    <w:qFormat/>
    <w:uiPriority w:val="0"/>
    <w:rPr>
      <w:rFonts w:ascii="宋体" w:hAnsi="Times New Roman" w:eastAsia="宋体" w:cs="Times New Roman"/>
      <w:sz w:val="18"/>
      <w:szCs w:val="18"/>
    </w:rPr>
  </w:style>
  <w:style w:type="character" w:customStyle="1" w:styleId="62">
    <w:name w:val="批注文字 Char"/>
    <w:basedOn w:val="37"/>
    <w:link w:val="11"/>
    <w:qFormat/>
    <w:uiPriority w:val="99"/>
    <w:rPr>
      <w:rFonts w:ascii="Times New Roman" w:hAnsi="Times New Roman" w:eastAsia="宋体" w:cs="Times New Roman"/>
      <w:szCs w:val="24"/>
    </w:rPr>
  </w:style>
  <w:style w:type="character" w:customStyle="1" w:styleId="63">
    <w:name w:val="正文文本缩进 Char"/>
    <w:basedOn w:val="37"/>
    <w:link w:val="13"/>
    <w:qFormat/>
    <w:uiPriority w:val="0"/>
    <w:rPr>
      <w:rFonts w:ascii="Times New Roman" w:hAnsi="Times New Roman" w:eastAsia="宋体" w:cs="Times New Roman"/>
      <w:sz w:val="24"/>
      <w:szCs w:val="24"/>
    </w:rPr>
  </w:style>
  <w:style w:type="character" w:customStyle="1" w:styleId="64">
    <w:name w:val="纯文本 Char"/>
    <w:basedOn w:val="37"/>
    <w:link w:val="16"/>
    <w:qFormat/>
    <w:uiPriority w:val="0"/>
    <w:rPr>
      <w:rFonts w:ascii="宋体" w:hAnsi="Courier New" w:eastAsia="宋体" w:cs="Times New Roman"/>
      <w:szCs w:val="20"/>
    </w:rPr>
  </w:style>
  <w:style w:type="character" w:customStyle="1" w:styleId="65">
    <w:name w:val="日期 Char"/>
    <w:basedOn w:val="37"/>
    <w:link w:val="18"/>
    <w:qFormat/>
    <w:uiPriority w:val="0"/>
    <w:rPr>
      <w:rFonts w:ascii="仿宋_GB2312" w:hAnsi="宋体" w:eastAsia="仿宋_GB2312" w:cs="Times New Roman"/>
      <w:color w:val="000000"/>
      <w:sz w:val="24"/>
      <w:szCs w:val="24"/>
    </w:rPr>
  </w:style>
  <w:style w:type="character" w:customStyle="1" w:styleId="66">
    <w:name w:val="正文文本缩进 2 Char"/>
    <w:basedOn w:val="37"/>
    <w:link w:val="19"/>
    <w:qFormat/>
    <w:uiPriority w:val="0"/>
    <w:rPr>
      <w:rFonts w:ascii="仿宋_GB2312" w:hAnsi="Times New Roman" w:eastAsia="仿宋_GB2312" w:cs="Times New Roman"/>
      <w:sz w:val="24"/>
      <w:szCs w:val="24"/>
    </w:rPr>
  </w:style>
  <w:style w:type="character" w:customStyle="1" w:styleId="67">
    <w:name w:val="批注框文本 Char"/>
    <w:basedOn w:val="37"/>
    <w:link w:val="20"/>
    <w:qFormat/>
    <w:uiPriority w:val="99"/>
    <w:rPr>
      <w:rFonts w:ascii="Times New Roman" w:hAnsi="Times New Roman" w:eastAsia="宋体" w:cs="Times New Roman"/>
      <w:sz w:val="18"/>
      <w:szCs w:val="18"/>
    </w:rPr>
  </w:style>
  <w:style w:type="character" w:customStyle="1" w:styleId="68">
    <w:name w:val="正文文本缩进 3 Char"/>
    <w:basedOn w:val="37"/>
    <w:link w:val="26"/>
    <w:qFormat/>
    <w:uiPriority w:val="0"/>
    <w:rPr>
      <w:rFonts w:ascii="宋体" w:hAnsi="Times New Roman" w:eastAsia="宋体" w:cs="Times New Roman"/>
      <w:kern w:val="0"/>
      <w:sz w:val="24"/>
      <w:szCs w:val="20"/>
    </w:rPr>
  </w:style>
  <w:style w:type="character" w:customStyle="1" w:styleId="69">
    <w:name w:val="普通(网站) Char"/>
    <w:link w:val="29"/>
    <w:qFormat/>
    <w:locked/>
    <w:uiPriority w:val="99"/>
    <w:rPr>
      <w:rFonts w:ascii="宋体" w:hAnsi="宋体" w:eastAsia="宋体" w:cs="宋体"/>
      <w:kern w:val="0"/>
      <w:sz w:val="24"/>
      <w:szCs w:val="24"/>
    </w:rPr>
  </w:style>
  <w:style w:type="character" w:customStyle="1" w:styleId="70">
    <w:name w:val="标题 Char"/>
    <w:basedOn w:val="37"/>
    <w:link w:val="31"/>
    <w:qFormat/>
    <w:uiPriority w:val="0"/>
    <w:rPr>
      <w:rFonts w:ascii="Cambria" w:hAnsi="Cambria" w:eastAsia="宋体" w:cs="Times New Roman"/>
      <w:b/>
      <w:bCs/>
      <w:sz w:val="32"/>
      <w:szCs w:val="32"/>
    </w:rPr>
  </w:style>
  <w:style w:type="character" w:customStyle="1" w:styleId="71">
    <w:name w:val="批注主题 Char"/>
    <w:basedOn w:val="62"/>
    <w:link w:val="32"/>
    <w:qFormat/>
    <w:uiPriority w:val="0"/>
    <w:rPr>
      <w:rFonts w:ascii="Times New Roman" w:hAnsi="Times New Roman" w:eastAsia="宋体" w:cs="Times New Roman"/>
      <w:b/>
      <w:bCs/>
      <w:szCs w:val="24"/>
    </w:rPr>
  </w:style>
  <w:style w:type="character" w:customStyle="1" w:styleId="72">
    <w:name w:val="批注文字 Char1"/>
    <w:semiHidden/>
    <w:qFormat/>
    <w:uiPriority w:val="99"/>
    <w:rPr>
      <w:kern w:val="2"/>
      <w:sz w:val="21"/>
      <w:szCs w:val="24"/>
    </w:rPr>
  </w:style>
  <w:style w:type="character" w:customStyle="1" w:styleId="73">
    <w:name w:val="正文文本 字符"/>
    <w:qFormat/>
    <w:uiPriority w:val="0"/>
    <w:rPr>
      <w:rFonts w:ascii="宋体" w:hAnsi="宋体"/>
      <w:kern w:val="2"/>
      <w:sz w:val="24"/>
      <w:szCs w:val="24"/>
    </w:rPr>
  </w:style>
  <w:style w:type="character" w:customStyle="1" w:styleId="74">
    <w:name w:val="标题 2 字符"/>
    <w:qFormat/>
    <w:uiPriority w:val="0"/>
    <w:rPr>
      <w:rFonts w:ascii="Arial" w:hAnsi="Arial" w:eastAsia="黑体"/>
      <w:b/>
      <w:sz w:val="30"/>
    </w:rPr>
  </w:style>
  <w:style w:type="character" w:customStyle="1" w:styleId="75">
    <w:name w:val="正文缩进 Char1"/>
    <w:link w:val="76"/>
    <w:qFormat/>
    <w:uiPriority w:val="0"/>
    <w:rPr>
      <w:rFonts w:ascii="宋体"/>
      <w:sz w:val="24"/>
    </w:rPr>
  </w:style>
  <w:style w:type="paragraph" w:customStyle="1" w:styleId="76">
    <w:name w:val="正文缩进1"/>
    <w:basedOn w:val="1"/>
    <w:link w:val="75"/>
    <w:qFormat/>
    <w:uiPriority w:val="0"/>
    <w:pPr>
      <w:autoSpaceDE w:val="0"/>
      <w:autoSpaceDN w:val="0"/>
      <w:adjustRightInd w:val="0"/>
      <w:ind w:firstLine="420"/>
      <w:jc w:val="left"/>
    </w:pPr>
    <w:rPr>
      <w:rFonts w:ascii="宋体" w:hAnsiTheme="minorHAnsi" w:eastAsiaTheme="minorEastAsia" w:cstheme="minorBidi"/>
      <w:sz w:val="24"/>
      <w:szCs w:val="22"/>
    </w:rPr>
  </w:style>
  <w:style w:type="character" w:customStyle="1" w:styleId="77">
    <w:name w:val="批注主题 Char1"/>
    <w:semiHidden/>
    <w:qFormat/>
    <w:uiPriority w:val="99"/>
    <w:rPr>
      <w:b/>
      <w:bCs/>
      <w:kern w:val="2"/>
      <w:sz w:val="21"/>
      <w:szCs w:val="24"/>
    </w:rPr>
  </w:style>
  <w:style w:type="character" w:customStyle="1" w:styleId="78">
    <w:name w:val="纯文本 Char1"/>
    <w:link w:val="79"/>
    <w:qFormat/>
    <w:uiPriority w:val="0"/>
    <w:rPr>
      <w:rFonts w:ascii="宋体" w:hAnsi="Courier New"/>
    </w:rPr>
  </w:style>
  <w:style w:type="paragraph" w:customStyle="1" w:styleId="79">
    <w:name w:val="纯文本1"/>
    <w:basedOn w:val="1"/>
    <w:link w:val="78"/>
    <w:qFormat/>
    <w:uiPriority w:val="0"/>
    <w:rPr>
      <w:rFonts w:ascii="宋体" w:hAnsi="Courier New" w:eastAsiaTheme="minorEastAsia" w:cstheme="minorBidi"/>
      <w:szCs w:val="22"/>
    </w:rPr>
  </w:style>
  <w:style w:type="character" w:customStyle="1" w:styleId="80">
    <w:name w:val="标题 3 字符"/>
    <w:qFormat/>
    <w:uiPriority w:val="0"/>
    <w:rPr>
      <w:rFonts w:ascii="宋体"/>
      <w:b/>
      <w:sz w:val="24"/>
      <w:u w:val="single"/>
    </w:rPr>
  </w:style>
  <w:style w:type="character" w:customStyle="1" w:styleId="81">
    <w:name w:val="批注框文本 Char1"/>
    <w:semiHidden/>
    <w:qFormat/>
    <w:uiPriority w:val="99"/>
    <w:rPr>
      <w:kern w:val="2"/>
      <w:sz w:val="18"/>
      <w:szCs w:val="18"/>
    </w:rPr>
  </w:style>
  <w:style w:type="character" w:customStyle="1" w:styleId="82">
    <w:name w:val="纯文本 字符"/>
    <w:qFormat/>
    <w:uiPriority w:val="0"/>
    <w:rPr>
      <w:rFonts w:ascii="宋体" w:hAnsi="Courier New"/>
      <w:kern w:val="2"/>
      <w:sz w:val="21"/>
    </w:rPr>
  </w:style>
  <w:style w:type="character" w:customStyle="1" w:styleId="83">
    <w:name w:val="页眉 Char1"/>
    <w:semiHidden/>
    <w:qFormat/>
    <w:uiPriority w:val="99"/>
    <w:rPr>
      <w:kern w:val="2"/>
      <w:sz w:val="18"/>
      <w:szCs w:val="18"/>
    </w:rPr>
  </w:style>
  <w:style w:type="paragraph" w:customStyle="1" w:styleId="84">
    <w:name w:val="图"/>
    <w:basedOn w:val="1"/>
    <w:next w:val="1"/>
    <w:qFormat/>
    <w:uiPriority w:val="0"/>
    <w:pPr>
      <w:tabs>
        <w:tab w:val="left" w:pos="1755"/>
        <w:tab w:val="left" w:pos="3134"/>
        <w:tab w:val="left" w:pos="4834"/>
      </w:tabs>
      <w:adjustRightInd w:val="0"/>
      <w:spacing w:before="60" w:after="60" w:line="360" w:lineRule="atLeast"/>
      <w:ind w:left="4834" w:hanging="1290"/>
      <w:jc w:val="center"/>
      <w:textAlignment w:val="baseline"/>
    </w:pPr>
    <w:rPr>
      <w:rFonts w:eastAsia="黑体"/>
      <w:b/>
      <w:kern w:val="0"/>
      <w:sz w:val="24"/>
      <w:szCs w:val="20"/>
    </w:rPr>
  </w:style>
  <w:style w:type="paragraph" w:customStyle="1" w:styleId="85">
    <w:name w:val="索引 11"/>
    <w:basedOn w:val="1"/>
    <w:next w:val="1"/>
    <w:qFormat/>
    <w:uiPriority w:val="0"/>
    <w:pPr>
      <w:spacing w:line="360" w:lineRule="auto"/>
    </w:pPr>
    <w:rPr>
      <w:rFonts w:ascii="仿宋_GB2312" w:eastAsia="仿宋_GB2312"/>
      <w:sz w:val="24"/>
      <w:szCs w:val="20"/>
    </w:rPr>
  </w:style>
  <w:style w:type="paragraph" w:customStyle="1" w:styleId="86">
    <w:name w:val="TOC 标题1"/>
    <w:basedOn w:val="3"/>
    <w:next w:val="1"/>
    <w:qFormat/>
    <w:uiPriority w:val="39"/>
    <w:pPr>
      <w:widowControl/>
      <w:autoSpaceDE/>
      <w:autoSpaceDN/>
      <w:adjustRightInd/>
      <w:spacing w:after="0" w:line="259" w:lineRule="auto"/>
      <w:jc w:val="left"/>
      <w:outlineLvl w:val="9"/>
    </w:pPr>
    <w:rPr>
      <w:rFonts w:ascii="等线 Light" w:hAnsi="等线 Light" w:eastAsia="等线 Light"/>
      <w:b w:val="0"/>
      <w:color w:val="2F5496"/>
      <w:kern w:val="0"/>
      <w:szCs w:val="32"/>
    </w:rPr>
  </w:style>
  <w:style w:type="paragraph" w:customStyle="1" w:styleId="87">
    <w:name w:val="title1"/>
    <w:basedOn w:val="1"/>
    <w:qFormat/>
    <w:uiPriority w:val="0"/>
    <w:pPr>
      <w:widowControl/>
      <w:jc w:val="left"/>
    </w:pPr>
    <w:rPr>
      <w:rFonts w:ascii="宋体" w:hAnsi="宋体" w:cs="宋体"/>
      <w:kern w:val="0"/>
      <w:sz w:val="24"/>
    </w:rPr>
  </w:style>
  <w:style w:type="paragraph" w:styleId="88">
    <w:name w:val="List Paragraph"/>
    <w:basedOn w:val="1"/>
    <w:qFormat/>
    <w:uiPriority w:val="0"/>
    <w:pPr>
      <w:widowControl/>
      <w:ind w:firstLine="420" w:firstLineChars="200"/>
      <w:jc w:val="left"/>
    </w:pPr>
    <w:rPr>
      <w:kern w:val="0"/>
      <w:sz w:val="24"/>
    </w:rPr>
  </w:style>
  <w:style w:type="character" w:customStyle="1" w:styleId="89">
    <w:name w:val="next"/>
    <w:qFormat/>
    <w:uiPriority w:val="0"/>
    <w:rPr>
      <w:rFonts w:ascii="微软雅黑" w:hAnsi="微软雅黑" w:eastAsia="微软雅黑" w:cs="微软雅黑"/>
      <w:sz w:val="21"/>
      <w:szCs w:val="21"/>
    </w:rPr>
  </w:style>
  <w:style w:type="character" w:customStyle="1" w:styleId="90">
    <w:name w:val="next1"/>
    <w:qFormat/>
    <w:uiPriority w:val="0"/>
    <w:rPr>
      <w:color w:val="888888"/>
    </w:rPr>
  </w:style>
  <w:style w:type="character" w:customStyle="1" w:styleId="91">
    <w:name w:val="prev"/>
    <w:qFormat/>
    <w:uiPriority w:val="0"/>
    <w:rPr>
      <w:rFonts w:hint="eastAsia" w:ascii="微软雅黑" w:hAnsi="微软雅黑" w:eastAsia="微软雅黑" w:cs="微软雅黑"/>
      <w:sz w:val="21"/>
      <w:szCs w:val="21"/>
    </w:rPr>
  </w:style>
  <w:style w:type="character" w:customStyle="1" w:styleId="92">
    <w:name w:val="prev1"/>
    <w:qFormat/>
    <w:uiPriority w:val="0"/>
    <w:rPr>
      <w:color w:val="888888"/>
    </w:rPr>
  </w:style>
  <w:style w:type="character" w:customStyle="1" w:styleId="93">
    <w:name w:val="cfdate"/>
    <w:qFormat/>
    <w:uiPriority w:val="0"/>
    <w:rPr>
      <w:color w:val="333333"/>
      <w:sz w:val="18"/>
      <w:szCs w:val="18"/>
    </w:rPr>
  </w:style>
  <w:style w:type="character" w:customStyle="1" w:styleId="94">
    <w:name w:val="qxdate"/>
    <w:qFormat/>
    <w:uiPriority w:val="0"/>
    <w:rPr>
      <w:color w:val="333333"/>
      <w:sz w:val="18"/>
      <w:szCs w:val="18"/>
    </w:rPr>
  </w:style>
  <w:style w:type="character" w:customStyle="1" w:styleId="95">
    <w:name w:val="gjfg"/>
    <w:qFormat/>
    <w:uiPriority w:val="0"/>
  </w:style>
  <w:style w:type="character" w:customStyle="1" w:styleId="96">
    <w:name w:val="redfilefwwh"/>
    <w:qFormat/>
    <w:uiPriority w:val="0"/>
    <w:rPr>
      <w:color w:val="BA2636"/>
      <w:sz w:val="18"/>
      <w:szCs w:val="18"/>
    </w:rPr>
  </w:style>
  <w:style w:type="character" w:customStyle="1" w:styleId="97">
    <w:name w:val="displayarti"/>
    <w:qFormat/>
    <w:uiPriority w:val="0"/>
    <w:rPr>
      <w:color w:val="FFFFFF"/>
      <w:shd w:val="clear" w:color="auto" w:fill="A00000"/>
    </w:rPr>
  </w:style>
  <w:style w:type="character" w:customStyle="1" w:styleId="98">
    <w:name w:val="redfilenumber"/>
    <w:qFormat/>
    <w:uiPriority w:val="0"/>
    <w:rPr>
      <w:color w:val="BA2636"/>
      <w:sz w:val="18"/>
      <w:szCs w:val="18"/>
    </w:rPr>
  </w:style>
  <w:style w:type="character" w:customStyle="1" w:styleId="99">
    <w:name w:val="prev2"/>
    <w:qFormat/>
    <w:uiPriority w:val="0"/>
    <w:rPr>
      <w:rFonts w:hint="eastAsia" w:ascii="微软雅黑" w:hAnsi="微软雅黑" w:eastAsia="微软雅黑" w:cs="微软雅黑"/>
      <w:sz w:val="21"/>
      <w:szCs w:val="21"/>
    </w:rPr>
  </w:style>
  <w:style w:type="character" w:customStyle="1" w:styleId="100">
    <w:name w:val="prev3"/>
    <w:qFormat/>
    <w:uiPriority w:val="0"/>
    <w:rPr>
      <w:color w:val="888888"/>
    </w:rPr>
  </w:style>
  <w:style w:type="character" w:customStyle="1" w:styleId="101">
    <w:name w:val="next2"/>
    <w:qFormat/>
    <w:uiPriority w:val="0"/>
    <w:rPr>
      <w:color w:val="888888"/>
    </w:rPr>
  </w:style>
  <w:style w:type="character" w:customStyle="1" w:styleId="102">
    <w:name w:val="nth-of-type(8)"/>
    <w:qFormat/>
    <w:uiPriority w:val="0"/>
  </w:style>
  <w:style w:type="character" w:customStyle="1" w:styleId="103">
    <w:name w:val="lineshow"/>
    <w:qFormat/>
    <w:uiPriority w:val="0"/>
  </w:style>
  <w:style w:type="character" w:customStyle="1" w:styleId="104">
    <w:name w:val="lineshow1"/>
    <w:qFormat/>
    <w:uiPriority w:val="0"/>
  </w:style>
  <w:style w:type="character" w:customStyle="1" w:styleId="105">
    <w:name w:val="layui-laypage-curr"/>
    <w:qFormat/>
    <w:uiPriority w:val="0"/>
  </w:style>
  <w:style w:type="character" w:customStyle="1" w:styleId="106">
    <w:name w:val="nth-of-type(1)"/>
    <w:qFormat/>
    <w:uiPriority w:val="0"/>
  </w:style>
  <w:style w:type="character" w:customStyle="1" w:styleId="107">
    <w:name w:val="nth-of-type(1)1"/>
    <w:qFormat/>
    <w:uiPriority w:val="0"/>
  </w:style>
  <w:style w:type="character" w:customStyle="1" w:styleId="108">
    <w:name w:val="nth-of-type(1)2"/>
    <w:qFormat/>
    <w:uiPriority w:val="0"/>
  </w:style>
  <w:style w:type="character" w:customStyle="1" w:styleId="109">
    <w:name w:val="nth-of-type(1)3"/>
    <w:qFormat/>
    <w:uiPriority w:val="0"/>
  </w:style>
  <w:style w:type="character" w:customStyle="1" w:styleId="110">
    <w:name w:val="nth-of-type(1)4"/>
    <w:qFormat/>
    <w:uiPriority w:val="0"/>
  </w:style>
  <w:style w:type="character" w:customStyle="1" w:styleId="111">
    <w:name w:val="nth-of-type(1)5"/>
    <w:qFormat/>
    <w:uiPriority w:val="0"/>
  </w:style>
  <w:style w:type="character" w:customStyle="1" w:styleId="112">
    <w:name w:val="nth-of-type(1)6"/>
    <w:qFormat/>
    <w:uiPriority w:val="0"/>
  </w:style>
  <w:style w:type="character" w:customStyle="1" w:styleId="113">
    <w:name w:val="nth-of-type(1)7"/>
    <w:qFormat/>
    <w:uiPriority w:val="0"/>
    <w:rPr>
      <w:sz w:val="21"/>
      <w:szCs w:val="21"/>
    </w:rPr>
  </w:style>
  <w:style w:type="character" w:customStyle="1" w:styleId="114">
    <w:name w:val="nth-of-type(1)8"/>
    <w:qFormat/>
    <w:uiPriority w:val="0"/>
  </w:style>
  <w:style w:type="character" w:customStyle="1" w:styleId="115">
    <w:name w:val="nth-of-type(1)9"/>
    <w:qFormat/>
    <w:uiPriority w:val="0"/>
  </w:style>
  <w:style w:type="character" w:customStyle="1" w:styleId="116">
    <w:name w:val="nth-of-type(1)10"/>
    <w:qFormat/>
    <w:uiPriority w:val="0"/>
    <w:rPr>
      <w:rFonts w:ascii="SourceHanSansCN-Regular" w:hAnsi="SourceHanSansCN-Regular" w:eastAsia="SourceHanSansCN-Regular" w:cs="SourceHanSansCN-Regular"/>
      <w:color w:val="FB560A"/>
      <w:sz w:val="21"/>
      <w:szCs w:val="21"/>
    </w:rPr>
  </w:style>
  <w:style w:type="character" w:customStyle="1" w:styleId="117">
    <w:name w:val="nth-of-type(1)11"/>
    <w:qFormat/>
    <w:uiPriority w:val="0"/>
  </w:style>
  <w:style w:type="character" w:customStyle="1" w:styleId="118">
    <w:name w:val="nth-of-type(1)12"/>
    <w:qFormat/>
    <w:uiPriority w:val="0"/>
  </w:style>
  <w:style w:type="character" w:customStyle="1" w:styleId="119">
    <w:name w:val="nth-of-type(1)13"/>
    <w:qFormat/>
    <w:uiPriority w:val="0"/>
  </w:style>
  <w:style w:type="character" w:customStyle="1" w:styleId="120">
    <w:name w:val="nth-of-type(1)14"/>
    <w:qFormat/>
    <w:uiPriority w:val="0"/>
  </w:style>
  <w:style w:type="character" w:customStyle="1" w:styleId="121">
    <w:name w:val="nth-of-type(1)15"/>
    <w:qFormat/>
    <w:uiPriority w:val="0"/>
  </w:style>
  <w:style w:type="character" w:customStyle="1" w:styleId="122">
    <w:name w:val="nth-of-type(1)16"/>
    <w:qFormat/>
    <w:uiPriority w:val="0"/>
  </w:style>
  <w:style w:type="character" w:customStyle="1" w:styleId="123">
    <w:name w:val="nth-of-type(1)17"/>
    <w:qFormat/>
    <w:uiPriority w:val="0"/>
  </w:style>
  <w:style w:type="character" w:customStyle="1" w:styleId="124">
    <w:name w:val="nth-of-type(1)18"/>
    <w:qFormat/>
    <w:uiPriority w:val="0"/>
  </w:style>
  <w:style w:type="character" w:customStyle="1" w:styleId="125">
    <w:name w:val="nth-of-type(5)"/>
    <w:qFormat/>
    <w:uiPriority w:val="0"/>
  </w:style>
  <w:style w:type="character" w:customStyle="1" w:styleId="126">
    <w:name w:val="nth-of-type(5)1"/>
    <w:qFormat/>
    <w:uiPriority w:val="0"/>
    <w:rPr>
      <w:sz w:val="21"/>
      <w:szCs w:val="21"/>
    </w:rPr>
  </w:style>
  <w:style w:type="character" w:customStyle="1" w:styleId="127">
    <w:name w:val="nth-of-type(5)2"/>
    <w:qFormat/>
    <w:uiPriority w:val="0"/>
  </w:style>
  <w:style w:type="character" w:customStyle="1" w:styleId="128">
    <w:name w:val="nth-of-type(5)3"/>
    <w:qFormat/>
    <w:uiPriority w:val="0"/>
  </w:style>
  <w:style w:type="character" w:customStyle="1" w:styleId="129">
    <w:name w:val="nth-of-type(5)4"/>
    <w:qFormat/>
    <w:uiPriority w:val="0"/>
  </w:style>
  <w:style w:type="character" w:customStyle="1" w:styleId="130">
    <w:name w:val="nth-of-type(5)5"/>
    <w:qFormat/>
    <w:uiPriority w:val="0"/>
  </w:style>
  <w:style w:type="character" w:customStyle="1" w:styleId="131">
    <w:name w:val="nth-of-type(5)6"/>
    <w:qFormat/>
    <w:uiPriority w:val="0"/>
  </w:style>
  <w:style w:type="character" w:customStyle="1" w:styleId="132">
    <w:name w:val="nth-of-type(2)"/>
    <w:qFormat/>
    <w:uiPriority w:val="0"/>
  </w:style>
  <w:style w:type="character" w:customStyle="1" w:styleId="133">
    <w:name w:val="nth-of-type(2)1"/>
    <w:qFormat/>
    <w:uiPriority w:val="0"/>
  </w:style>
  <w:style w:type="character" w:customStyle="1" w:styleId="134">
    <w:name w:val="nth-of-type(2)2"/>
    <w:qFormat/>
    <w:uiPriority w:val="0"/>
  </w:style>
  <w:style w:type="character" w:customStyle="1" w:styleId="135">
    <w:name w:val="nth-of-type(2)3"/>
    <w:qFormat/>
    <w:uiPriority w:val="0"/>
  </w:style>
  <w:style w:type="character" w:customStyle="1" w:styleId="136">
    <w:name w:val="nth-of-type(2)4"/>
    <w:qFormat/>
    <w:uiPriority w:val="0"/>
  </w:style>
  <w:style w:type="character" w:customStyle="1" w:styleId="137">
    <w:name w:val="nth-of-type(2)5"/>
    <w:qFormat/>
    <w:uiPriority w:val="0"/>
    <w:rPr>
      <w:sz w:val="21"/>
      <w:szCs w:val="21"/>
    </w:rPr>
  </w:style>
  <w:style w:type="character" w:customStyle="1" w:styleId="138">
    <w:name w:val="nth-of-type(2)6"/>
    <w:qFormat/>
    <w:uiPriority w:val="0"/>
  </w:style>
  <w:style w:type="character" w:customStyle="1" w:styleId="139">
    <w:name w:val="nth-of-type(2)7"/>
    <w:qFormat/>
    <w:uiPriority w:val="0"/>
  </w:style>
  <w:style w:type="character" w:customStyle="1" w:styleId="140">
    <w:name w:val="nth-of-type(2)8"/>
    <w:qFormat/>
    <w:uiPriority w:val="0"/>
  </w:style>
  <w:style w:type="character" w:customStyle="1" w:styleId="141">
    <w:name w:val="nth-of-type(2)9"/>
    <w:qFormat/>
    <w:uiPriority w:val="0"/>
  </w:style>
  <w:style w:type="character" w:customStyle="1" w:styleId="142">
    <w:name w:val="nth-of-type(2)10"/>
    <w:qFormat/>
    <w:uiPriority w:val="0"/>
  </w:style>
  <w:style w:type="character" w:customStyle="1" w:styleId="143">
    <w:name w:val="nth-of-type(2)11"/>
    <w:qFormat/>
    <w:uiPriority w:val="0"/>
  </w:style>
  <w:style w:type="character" w:customStyle="1" w:styleId="144">
    <w:name w:val="nth-of-type(2)12"/>
    <w:qFormat/>
    <w:uiPriority w:val="0"/>
  </w:style>
  <w:style w:type="character" w:customStyle="1" w:styleId="145">
    <w:name w:val="nth-of-type(2)13"/>
    <w:qFormat/>
    <w:uiPriority w:val="0"/>
  </w:style>
  <w:style w:type="character" w:customStyle="1" w:styleId="146">
    <w:name w:val="nth-of-type(2)14"/>
    <w:qFormat/>
    <w:uiPriority w:val="0"/>
  </w:style>
  <w:style w:type="character" w:customStyle="1" w:styleId="147">
    <w:name w:val="nth-of-type(3)"/>
    <w:qFormat/>
    <w:uiPriority w:val="0"/>
  </w:style>
  <w:style w:type="character" w:customStyle="1" w:styleId="148">
    <w:name w:val="nth-of-type(3)1"/>
    <w:qFormat/>
    <w:uiPriority w:val="0"/>
    <w:rPr>
      <w:sz w:val="21"/>
      <w:szCs w:val="21"/>
    </w:rPr>
  </w:style>
  <w:style w:type="character" w:customStyle="1" w:styleId="149">
    <w:name w:val="nth-of-type(3)2"/>
    <w:qFormat/>
    <w:uiPriority w:val="0"/>
  </w:style>
  <w:style w:type="character" w:customStyle="1" w:styleId="150">
    <w:name w:val="nth-of-type(3)3"/>
    <w:qFormat/>
    <w:uiPriority w:val="0"/>
  </w:style>
  <w:style w:type="character" w:customStyle="1" w:styleId="151">
    <w:name w:val="nth-of-type(3)4"/>
    <w:qFormat/>
    <w:uiPriority w:val="0"/>
  </w:style>
  <w:style w:type="character" w:customStyle="1" w:styleId="152">
    <w:name w:val="nth-of-type(3)5"/>
    <w:qFormat/>
    <w:uiPriority w:val="0"/>
  </w:style>
  <w:style w:type="character" w:customStyle="1" w:styleId="153">
    <w:name w:val="nth-of-type(3)6"/>
    <w:qFormat/>
    <w:uiPriority w:val="0"/>
  </w:style>
  <w:style w:type="character" w:customStyle="1" w:styleId="154">
    <w:name w:val="nth-of-type(3)7"/>
    <w:qFormat/>
    <w:uiPriority w:val="0"/>
  </w:style>
  <w:style w:type="character" w:customStyle="1" w:styleId="155">
    <w:name w:val="nth-of-type(4)"/>
    <w:qFormat/>
    <w:uiPriority w:val="0"/>
  </w:style>
  <w:style w:type="character" w:customStyle="1" w:styleId="156">
    <w:name w:val="nth-of-type(4)1"/>
    <w:qFormat/>
    <w:uiPriority w:val="0"/>
    <w:rPr>
      <w:sz w:val="21"/>
      <w:szCs w:val="21"/>
    </w:rPr>
  </w:style>
  <w:style w:type="character" w:customStyle="1" w:styleId="157">
    <w:name w:val="nth-of-type(4)2"/>
    <w:qFormat/>
    <w:uiPriority w:val="0"/>
  </w:style>
  <w:style w:type="character" w:customStyle="1" w:styleId="158">
    <w:name w:val="nth-of-type(4)3"/>
    <w:qFormat/>
    <w:uiPriority w:val="0"/>
  </w:style>
  <w:style w:type="character" w:customStyle="1" w:styleId="159">
    <w:name w:val="nth-of-type(4)4"/>
    <w:qFormat/>
    <w:uiPriority w:val="0"/>
  </w:style>
  <w:style w:type="character" w:customStyle="1" w:styleId="160">
    <w:name w:val="nth-of-type(4)5"/>
    <w:qFormat/>
    <w:uiPriority w:val="0"/>
  </w:style>
  <w:style w:type="character" w:customStyle="1" w:styleId="161">
    <w:name w:val="nth-of-type(4)6"/>
    <w:qFormat/>
    <w:uiPriority w:val="0"/>
  </w:style>
  <w:style w:type="character" w:customStyle="1" w:styleId="162">
    <w:name w:val="nth-of-type(4)7"/>
    <w:qFormat/>
    <w:uiPriority w:val="0"/>
  </w:style>
  <w:style w:type="character" w:customStyle="1" w:styleId="163">
    <w:name w:val="nth-of-type(4)8"/>
    <w:qFormat/>
    <w:uiPriority w:val="0"/>
  </w:style>
  <w:style w:type="character" w:customStyle="1" w:styleId="164">
    <w:name w:val="nth-of-type(6)"/>
    <w:qFormat/>
    <w:uiPriority w:val="0"/>
  </w:style>
  <w:style w:type="character" w:customStyle="1" w:styleId="165">
    <w:name w:val="nth-of-type(6)1"/>
    <w:qFormat/>
    <w:uiPriority w:val="0"/>
  </w:style>
  <w:style w:type="character" w:customStyle="1" w:styleId="166">
    <w:name w:val="nth-of-type(6)2"/>
    <w:qFormat/>
    <w:uiPriority w:val="0"/>
  </w:style>
  <w:style w:type="character" w:customStyle="1" w:styleId="167">
    <w:name w:val="nth-of-type(6)3"/>
    <w:qFormat/>
    <w:uiPriority w:val="0"/>
  </w:style>
  <w:style w:type="character" w:customStyle="1" w:styleId="168">
    <w:name w:val="nth-of-type(6)4"/>
    <w:qFormat/>
    <w:uiPriority w:val="0"/>
  </w:style>
  <w:style w:type="character" w:customStyle="1" w:styleId="169">
    <w:name w:val="nth-of-type(6)5"/>
    <w:qFormat/>
    <w:uiPriority w:val="0"/>
    <w:rPr>
      <w:color w:val="0082DF"/>
    </w:rPr>
  </w:style>
  <w:style w:type="character" w:customStyle="1" w:styleId="170">
    <w:name w:val="nth-of-type(7)"/>
    <w:qFormat/>
    <w:uiPriority w:val="0"/>
  </w:style>
  <w:style w:type="character" w:customStyle="1" w:styleId="171">
    <w:name w:val="nth-of-type(7)1"/>
    <w:qFormat/>
    <w:uiPriority w:val="0"/>
  </w:style>
  <w:style w:type="character" w:customStyle="1" w:styleId="172">
    <w:name w:val="nth-of-type(7)2"/>
    <w:qFormat/>
    <w:uiPriority w:val="0"/>
  </w:style>
  <w:style w:type="character" w:customStyle="1" w:styleId="173">
    <w:name w:val="nth-of-type(9)"/>
    <w:qFormat/>
    <w:uiPriority w:val="0"/>
  </w:style>
  <w:style w:type="character" w:customStyle="1" w:styleId="174">
    <w:name w:val="nth-of-type(10)"/>
    <w:qFormat/>
    <w:uiPriority w:val="0"/>
  </w:style>
  <w:style w:type="character" w:customStyle="1" w:styleId="175">
    <w:name w:val="hover25"/>
    <w:qFormat/>
    <w:uiPriority w:val="0"/>
  </w:style>
  <w:style w:type="character" w:customStyle="1" w:styleId="176">
    <w:name w:val="hover26"/>
    <w:qFormat/>
    <w:uiPriority w:val="0"/>
    <w:rPr>
      <w:color w:val="167AE0"/>
    </w:rPr>
  </w:style>
  <w:style w:type="character" w:customStyle="1" w:styleId="177">
    <w:name w:val="nth-child(3)"/>
    <w:qFormat/>
    <w:uiPriority w:val="0"/>
  </w:style>
  <w:style w:type="character" w:customStyle="1" w:styleId="178">
    <w:name w:val="titleshow"/>
    <w:qFormat/>
    <w:uiPriority w:val="0"/>
    <w:rPr>
      <w:color w:val="3E464C"/>
    </w:rPr>
  </w:style>
  <w:style w:type="character" w:customStyle="1" w:styleId="179">
    <w:name w:val="nth-child(1)"/>
    <w:qFormat/>
    <w:uiPriority w:val="0"/>
  </w:style>
  <w:style w:type="character" w:customStyle="1" w:styleId="180">
    <w:name w:val="nth-child(2)"/>
    <w:qFormat/>
    <w:uiPriority w:val="0"/>
  </w:style>
  <w:style w:type="character" w:customStyle="1" w:styleId="181">
    <w:name w:val="last-child1"/>
    <w:qFormat/>
    <w:uiPriority w:val="0"/>
    <w:rPr>
      <w:color w:val="FFFFFF"/>
    </w:rPr>
  </w:style>
  <w:style w:type="character" w:customStyle="1" w:styleId="182">
    <w:name w:val="last-child2"/>
    <w:qFormat/>
    <w:uiPriority w:val="0"/>
  </w:style>
  <w:style w:type="character" w:customStyle="1" w:styleId="183">
    <w:name w:val="last-child3"/>
    <w:qFormat/>
    <w:uiPriority w:val="0"/>
  </w:style>
  <w:style w:type="character" w:customStyle="1" w:styleId="184">
    <w:name w:val="first-child"/>
    <w:qFormat/>
    <w:uiPriority w:val="0"/>
  </w:style>
  <w:style w:type="character" w:customStyle="1" w:styleId="185">
    <w:name w:val="first-child1"/>
    <w:qFormat/>
    <w:uiPriority w:val="0"/>
  </w:style>
  <w:style w:type="character" w:customStyle="1" w:styleId="186">
    <w:name w:val="first-child2"/>
    <w:qFormat/>
    <w:uiPriority w:val="0"/>
  </w:style>
  <w:style w:type="character" w:customStyle="1" w:styleId="187">
    <w:name w:val="first-child3"/>
    <w:qFormat/>
    <w:uiPriority w:val="0"/>
  </w:style>
  <w:style w:type="character" w:customStyle="1" w:styleId="188">
    <w:name w:val="before2"/>
    <w:qFormat/>
    <w:uiPriority w:val="0"/>
    <w:rPr>
      <w:shd w:val="clear" w:color="auto" w:fill="C20E0C"/>
    </w:rPr>
  </w:style>
  <w:style w:type="character" w:customStyle="1" w:styleId="189">
    <w:name w:val="layui-this4"/>
    <w:qFormat/>
    <w:uiPriority w:val="0"/>
    <w:rPr>
      <w:bdr w:val="single" w:color="EEEEEE" w:sz="6" w:space="0"/>
      <w:shd w:val="clear" w:color="auto" w:fill="FFFFFF"/>
    </w:rPr>
  </w:style>
  <w:style w:type="character" w:customStyle="1" w:styleId="190">
    <w:name w:val="titles"/>
    <w:qFormat/>
    <w:uiPriority w:val="0"/>
    <w:rPr>
      <w:b/>
      <w:bCs/>
      <w:color w:val="FFFFFF"/>
      <w:sz w:val="30"/>
      <w:szCs w:val="30"/>
    </w:rPr>
  </w:style>
  <w:style w:type="character" w:customStyle="1" w:styleId="191">
    <w:name w:val="yjs"/>
    <w:qFormat/>
    <w:uiPriority w:val="0"/>
    <w:rPr>
      <w:color w:val="14A900"/>
    </w:rPr>
  </w:style>
  <w:style w:type="character" w:customStyle="1" w:styleId="192">
    <w:name w:val="yjs1"/>
    <w:qFormat/>
    <w:uiPriority w:val="0"/>
    <w:rPr>
      <w:color w:val="14A900"/>
    </w:rPr>
  </w:style>
  <w:style w:type="character" w:customStyle="1" w:styleId="193">
    <w:name w:val="time"/>
    <w:qFormat/>
    <w:uiPriority w:val="0"/>
  </w:style>
  <w:style w:type="character" w:customStyle="1" w:styleId="194">
    <w:name w:val="jxz"/>
    <w:qFormat/>
    <w:uiPriority w:val="0"/>
    <w:rPr>
      <w:color w:val="FF5400"/>
    </w:rPr>
  </w:style>
  <w:style w:type="character" w:customStyle="1" w:styleId="195">
    <w:name w:val="jxz1"/>
    <w:qFormat/>
    <w:uiPriority w:val="0"/>
    <w:rPr>
      <w:color w:val="FF5400"/>
    </w:rPr>
  </w:style>
  <w:style w:type="paragraph" w:customStyle="1" w:styleId="196">
    <w:name w:val="_Style 19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97">
    <w:name w:val="font01"/>
    <w:qFormat/>
    <w:uiPriority w:val="0"/>
    <w:rPr>
      <w:rFonts w:hint="eastAsia" w:ascii="宋体" w:hAnsi="宋体" w:eastAsia="宋体" w:cs="宋体"/>
      <w:color w:val="000000"/>
      <w:sz w:val="20"/>
      <w:szCs w:val="20"/>
      <w:u w:val="none"/>
    </w:rPr>
  </w:style>
  <w:style w:type="character" w:customStyle="1" w:styleId="198">
    <w:name w:val="Anrede1IhrZeichen"/>
    <w:qFormat/>
    <w:uiPriority w:val="0"/>
    <w:rPr>
      <w:rFonts w:ascii="Arial" w:hAnsi="Arial"/>
      <w:sz w:val="20"/>
    </w:rPr>
  </w:style>
  <w:style w:type="character" w:customStyle="1" w:styleId="199">
    <w:name w:val="noticepurchasetime-noticepurchasetime"/>
    <w:qFormat/>
    <w:uiPriority w:val="0"/>
  </w:style>
  <w:style w:type="character" w:customStyle="1" w:styleId="200">
    <w:name w:val="u-content"/>
    <w:qFormat/>
    <w:uiPriority w:val="0"/>
  </w:style>
  <w:style w:type="character" w:customStyle="1" w:styleId="201">
    <w:name w:val="noticebidtime-bidaddress"/>
    <w:qFormat/>
    <w:uiPriority w:val="0"/>
  </w:style>
  <w:style w:type="character" w:customStyle="1" w:styleId="202">
    <w:name w:val="u-content1"/>
    <w:qFormat/>
    <w:uiPriority w:val="0"/>
  </w:style>
  <w:style w:type="character" w:customStyle="1" w:styleId="203">
    <w:name w:val="纯文本 字符1"/>
    <w:qFormat/>
    <w:uiPriority w:val="0"/>
    <w:rPr>
      <w:rFonts w:ascii="宋体" w:hAnsi="Courier New" w:eastAsia="宋体" w:cs="Times New Roman"/>
      <w:szCs w:val="20"/>
    </w:rPr>
  </w:style>
  <w:style w:type="character" w:customStyle="1" w:styleId="204">
    <w:name w:val="副标题 Char"/>
    <w:basedOn w:val="37"/>
    <w:qFormat/>
    <w:uiPriority w:val="11"/>
    <w:rPr>
      <w:rFonts w:eastAsia="宋体" w:asciiTheme="majorHAnsi" w:hAnsiTheme="majorHAnsi" w:cstheme="majorBidi"/>
      <w:b/>
      <w:bCs/>
      <w:kern w:val="28"/>
      <w:sz w:val="32"/>
      <w:szCs w:val="32"/>
    </w:rPr>
  </w:style>
  <w:style w:type="character" w:customStyle="1" w:styleId="205">
    <w:name w:val="副标题 Char1"/>
    <w:link w:val="24"/>
    <w:qFormat/>
    <w:uiPriority w:val="0"/>
    <w:rPr>
      <w:rFonts w:ascii="等线 Light" w:hAnsi="等线 Light" w:eastAsia="宋体" w:cs="Times New Roman"/>
      <w:b/>
      <w:bCs/>
      <w:kern w:val="28"/>
      <w:sz w:val="24"/>
      <w:szCs w:val="32"/>
    </w:rPr>
  </w:style>
  <w:style w:type="paragraph" w:customStyle="1" w:styleId="206">
    <w:name w:val="WPSOffice手动目录 1"/>
    <w:qFormat/>
    <w:uiPriority w:val="0"/>
    <w:rPr>
      <w:rFonts w:ascii="Times New Roman" w:hAnsi="Times New Roman" w:eastAsia="宋体" w:cs="Times New Roman"/>
      <w:lang w:val="en-US" w:eastAsia="zh-CN" w:bidi="ar-SA"/>
    </w:rPr>
  </w:style>
  <w:style w:type="paragraph" w:customStyle="1" w:styleId="207">
    <w:name w:val="正文_1"/>
    <w:next w:val="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8">
    <w:name w:val="2 heading"/>
    <w:basedOn w:val="1"/>
    <w:qFormat/>
    <w:uiPriority w:val="0"/>
    <w:pPr>
      <w:numPr>
        <w:ilvl w:val="0"/>
        <w:numId w:val="1"/>
      </w:numPr>
      <w:ind w:left="360"/>
    </w:pPr>
    <w:rPr>
      <w:rFonts w:cs="Tahoma"/>
      <w:b/>
      <w:szCs w:val="21"/>
    </w:rPr>
  </w:style>
  <w:style w:type="paragraph" w:customStyle="1" w:styleId="209">
    <w:name w:val="样式 仿宋_GB2312 四号 行距: 1.5 倍行距"/>
    <w:basedOn w:val="1"/>
    <w:qFormat/>
    <w:uiPriority w:val="0"/>
    <w:pPr>
      <w:spacing w:line="360" w:lineRule="auto"/>
      <w:ind w:firstLine="560" w:firstLineChars="200"/>
    </w:pPr>
    <w:rPr>
      <w:rFonts w:ascii="仿宋_GB2312" w:eastAsia="仿宋_GB2312" w:cs="宋体"/>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88</Pages>
  <Words>39032</Words>
  <Characters>43019</Characters>
  <Lines>373</Lines>
  <Paragraphs>105</Paragraphs>
  <TotalTime>647</TotalTime>
  <ScaleCrop>false</ScaleCrop>
  <LinksUpToDate>false</LinksUpToDate>
  <CharactersWithSpaces>46788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2022-11-04T08:36:00Z</dcterms:created>
  <dc:creator>田婧</dc:creator>
  <cp:lastModifiedBy>词不达意</cp:lastModifiedBy>
  <cp:lastPrinted>2022-11-23T02:44:00Z</cp:lastPrinted>
  <dcterms:modified xsi:type="dcterms:W3CDTF">2023-05-16T02:30:27Z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BABDB940930B40CAA89F2C4D28C5EBB3_13</vt:lpwstr>
  </property>
</Properties>
</file>