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rPr>
        <w:t>项目编号：</w:t>
      </w:r>
      <w:r>
        <w:rPr>
          <w:rFonts w:hint="eastAsia" w:ascii="宋体" w:hAnsi="宋体" w:eastAsia="宋体" w:cs="宋体"/>
          <w:b/>
          <w:bCs/>
          <w:sz w:val="32"/>
          <w:szCs w:val="32"/>
          <w:highlight w:val="none"/>
          <w:lang w:eastAsia="zh-CN"/>
        </w:rPr>
        <w:t>SXJTZB-ZC-JT20220708</w:t>
      </w:r>
    </w:p>
    <w:p>
      <w:pPr>
        <w:pStyle w:val="2"/>
        <w:outlineLvl w:val="9"/>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pStyle w:val="9"/>
        <w:jc w:val="center"/>
        <w:rPr>
          <w:rFonts w:hint="eastAsia" w:ascii="宋体" w:hAnsi="宋体" w:eastAsia="宋体" w:cs="宋体"/>
          <w:b/>
          <w:bCs/>
          <w:sz w:val="52"/>
          <w:szCs w:val="48"/>
          <w:highlight w:val="none"/>
          <w:lang w:eastAsia="zh-CN"/>
        </w:rPr>
      </w:pPr>
      <w:r>
        <w:rPr>
          <w:rFonts w:hint="eastAsia" w:ascii="宋体" w:hAnsi="宋体" w:cs="宋体"/>
          <w:b/>
          <w:bCs/>
          <w:sz w:val="52"/>
          <w:szCs w:val="48"/>
          <w:highlight w:val="none"/>
          <w:lang w:eastAsia="zh-CN"/>
        </w:rPr>
        <w:t>西安市碑林区朱雀大街小学智慧教室设备提升项目</w:t>
      </w:r>
    </w:p>
    <w:p>
      <w:pPr>
        <w:pStyle w:val="9"/>
        <w:rPr>
          <w:rFonts w:hint="eastAsia" w:ascii="宋体" w:hAnsi="宋体" w:eastAsia="宋体" w:cs="宋体"/>
          <w:highlight w:val="none"/>
        </w:rPr>
      </w:pPr>
    </w:p>
    <w:p>
      <w:pPr>
        <w:pStyle w:val="9"/>
        <w:rPr>
          <w:rFonts w:hint="eastAsia" w:ascii="宋体" w:hAnsi="宋体" w:eastAsia="宋体" w:cs="宋体"/>
          <w:highlight w:val="none"/>
        </w:rPr>
      </w:pPr>
    </w:p>
    <w:p>
      <w:pPr>
        <w:pStyle w:val="9"/>
        <w:rPr>
          <w:rFonts w:hint="eastAsia" w:ascii="宋体" w:hAnsi="宋体" w:eastAsia="宋体" w:cs="宋体"/>
          <w:highlight w:val="none"/>
        </w:rPr>
      </w:pPr>
    </w:p>
    <w:p>
      <w:pPr>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竞争性谈判文件</w:t>
      </w:r>
    </w:p>
    <w:p>
      <w:pPr>
        <w:spacing w:line="480" w:lineRule="auto"/>
        <w:jc w:val="center"/>
        <w:rPr>
          <w:rFonts w:hint="eastAsia" w:ascii="宋体" w:hAnsi="宋体" w:eastAsia="宋体" w:cs="宋体"/>
          <w:sz w:val="36"/>
          <w:szCs w:val="36"/>
          <w:highlight w:val="none"/>
        </w:rPr>
      </w:pPr>
    </w:p>
    <w:p>
      <w:pPr>
        <w:pStyle w:val="2"/>
        <w:outlineLvl w:val="9"/>
        <w:rPr>
          <w:rFonts w:hint="eastAsia" w:ascii="宋体" w:hAnsi="宋体" w:eastAsia="宋体" w:cs="宋体"/>
          <w:highlight w:val="none"/>
        </w:rPr>
      </w:pPr>
    </w:p>
    <w:p>
      <w:pPr>
        <w:pStyle w:val="2"/>
        <w:outlineLvl w:val="9"/>
        <w:rPr>
          <w:rFonts w:hint="eastAsia" w:ascii="宋体" w:hAnsi="宋体" w:eastAsia="宋体" w:cs="宋体"/>
          <w:highlight w:val="none"/>
          <w:lang w:eastAsia="zh-CN"/>
        </w:rPr>
      </w:pPr>
    </w:p>
    <w:p>
      <w:pPr>
        <w:rPr>
          <w:rFonts w:hint="eastAsia" w:ascii="宋体" w:hAnsi="宋体" w:eastAsia="宋体" w:cs="宋体"/>
          <w:highlight w:val="none"/>
          <w:lang w:eastAsia="zh-CN"/>
        </w:rPr>
      </w:pPr>
    </w:p>
    <w:p>
      <w:pPr>
        <w:pStyle w:val="2"/>
        <w:rPr>
          <w:rFonts w:hint="eastAsia"/>
          <w:lang w:eastAsia="zh-CN"/>
        </w:rPr>
      </w:pPr>
    </w:p>
    <w:p>
      <w:pPr>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000000"/>
          <w:sz w:val="32"/>
          <w:szCs w:val="32"/>
          <w:highlight w:val="none"/>
          <w:lang w:eastAsia="zh-CN" w:bidi="ar"/>
        </w:rPr>
      </w:pPr>
    </w:p>
    <w:p>
      <w:pPr>
        <w:pageBreakBefore w:val="0"/>
        <w:widowControl w:val="0"/>
        <w:kinsoku/>
        <w:wordWrap/>
        <w:overflowPunct/>
        <w:topLinePunct w:val="0"/>
        <w:autoSpaceDE/>
        <w:autoSpaceDN/>
        <w:bidi w:val="0"/>
        <w:adjustRightInd/>
        <w:snapToGrid/>
        <w:spacing w:line="600" w:lineRule="auto"/>
        <w:ind w:firstLine="964" w:firstLineChars="300"/>
        <w:jc w:val="both"/>
        <w:textAlignment w:val="auto"/>
        <w:rPr>
          <w:rFonts w:hint="eastAsia" w:ascii="宋体" w:hAnsi="宋体" w:eastAsia="宋体" w:cs="宋体"/>
          <w:b/>
          <w:bCs/>
          <w:sz w:val="32"/>
          <w:szCs w:val="32"/>
          <w:highlight w:val="none"/>
          <w:lang w:eastAsia="zh-CN"/>
        </w:rPr>
      </w:pPr>
      <w:r>
        <w:rPr>
          <w:rFonts w:hint="eastAsia" w:ascii="宋体" w:hAnsi="宋体" w:eastAsia="宋体" w:cs="宋体"/>
          <w:b/>
          <w:bCs/>
          <w:color w:val="000000"/>
          <w:sz w:val="32"/>
          <w:szCs w:val="32"/>
          <w:highlight w:val="none"/>
          <w:lang w:val="en-US" w:eastAsia="zh-CN" w:bidi="ar"/>
        </w:rPr>
        <w:t>采购代理机构：</w:t>
      </w:r>
      <w:r>
        <w:rPr>
          <w:rFonts w:hint="eastAsia" w:ascii="宋体" w:hAnsi="宋体" w:eastAsia="宋体" w:cs="宋体"/>
          <w:b/>
          <w:bCs/>
          <w:color w:val="000000"/>
          <w:sz w:val="32"/>
          <w:szCs w:val="32"/>
          <w:highlight w:val="none"/>
          <w:lang w:bidi="ar"/>
        </w:rPr>
        <w:t>陕西嘉唐建设项目管理有限公司</w:t>
      </w:r>
      <w:bookmarkStart w:id="0" w:name="_Toc20666"/>
    </w:p>
    <w:p>
      <w:pPr>
        <w:keepNext w:val="0"/>
        <w:keepLines w:val="0"/>
        <w:pageBreakBefore w:val="0"/>
        <w:widowControl w:val="0"/>
        <w:kinsoku/>
        <w:wordWrap/>
        <w:overflowPunct/>
        <w:topLinePunct w:val="0"/>
        <w:autoSpaceDE/>
        <w:autoSpaceDN/>
        <w:bidi w:val="0"/>
        <w:adjustRightInd/>
        <w:snapToGrid/>
        <w:spacing w:after="165" w:afterLines="50" w:line="600" w:lineRule="auto"/>
        <w:jc w:val="center"/>
        <w:textAlignment w:val="auto"/>
        <w:outlineLvl w:val="9"/>
        <w:rPr>
          <w:rFonts w:hint="eastAsia" w:ascii="宋体" w:hAnsi="宋体" w:eastAsia="宋体" w:cs="宋体"/>
          <w:b/>
          <w:bCs/>
          <w:sz w:val="32"/>
          <w:szCs w:val="32"/>
          <w:highlight w:val="none"/>
        </w:rPr>
        <w:sectPr>
          <w:headerReference r:id="rId4" w:type="first"/>
          <w:footerReference r:id="rId5" w:type="first"/>
          <w:headerReference r:id="rId3" w:type="default"/>
          <w:pgSz w:w="11906" w:h="16838"/>
          <w:pgMar w:top="1418" w:right="1418" w:bottom="1418" w:left="170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bCs/>
          <w:sz w:val="32"/>
          <w:szCs w:val="32"/>
          <w:highlight w:val="none"/>
          <w:lang w:eastAsia="zh-CN"/>
        </w:rPr>
        <w:t>二〇二</w:t>
      </w:r>
      <w:r>
        <w:rPr>
          <w:rFonts w:hint="eastAsia" w:ascii="宋体" w:hAnsi="宋体" w:eastAsia="宋体" w:cs="宋体"/>
          <w:b/>
          <w:bCs/>
          <w:sz w:val="32"/>
          <w:szCs w:val="32"/>
          <w:highlight w:val="none"/>
          <w:lang w:val="en-US" w:eastAsia="zh-CN"/>
        </w:rPr>
        <w:t>二</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eastAsia="宋体" w:cs="宋体"/>
          <w:b/>
          <w:bCs/>
          <w:sz w:val="32"/>
          <w:szCs w:val="32"/>
          <w:highlight w:val="none"/>
        </w:rPr>
        <w:t>月</w:t>
      </w:r>
    </w:p>
    <w:p>
      <w:pPr>
        <w:keepNext w:val="0"/>
        <w:keepLines w:val="0"/>
        <w:pageBreakBefore w:val="0"/>
        <w:widowControl w:val="0"/>
        <w:kinsoku/>
        <w:wordWrap/>
        <w:overflowPunct/>
        <w:topLinePunct w:val="0"/>
        <w:autoSpaceDE/>
        <w:autoSpaceDN/>
        <w:bidi w:val="0"/>
        <w:adjustRightInd/>
        <w:snapToGrid/>
        <w:spacing w:after="165" w:afterLines="50"/>
        <w:jc w:val="center"/>
        <w:textAlignment w:val="auto"/>
        <w:outlineLvl w:val="0"/>
        <w:rPr>
          <w:rFonts w:hint="eastAsia" w:ascii="宋体" w:hAnsi="宋体" w:eastAsia="宋体" w:cs="宋体"/>
          <w:b/>
          <w:bCs/>
          <w:sz w:val="36"/>
          <w:szCs w:val="36"/>
          <w:highlight w:val="none"/>
        </w:rPr>
      </w:pPr>
      <w:bookmarkStart w:id="1" w:name="_Toc28777"/>
      <w:r>
        <w:rPr>
          <w:rFonts w:hint="eastAsia" w:ascii="宋体" w:hAnsi="宋体" w:eastAsia="宋体" w:cs="宋体"/>
          <w:b/>
          <w:bCs/>
          <w:sz w:val="36"/>
          <w:szCs w:val="36"/>
          <w:highlight w:val="none"/>
        </w:rPr>
        <w:t>特别提示</w:t>
      </w:r>
      <w:bookmarkEnd w:id="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，在此我们特别提醒您注意以下事项：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rPr>
        <w:t>有关</w:t>
      </w:r>
      <w:r>
        <w:rPr>
          <w:rFonts w:hint="eastAsia" w:ascii="宋体" w:hAnsi="宋体" w:eastAsia="宋体" w:cs="宋体"/>
          <w:b/>
          <w:bCs/>
          <w:sz w:val="24"/>
          <w:szCs w:val="24"/>
          <w:highlight w:val="none"/>
          <w:lang w:eastAsia="zh-CN"/>
        </w:rPr>
        <w:t>谈判响应</w:t>
      </w:r>
      <w:r>
        <w:rPr>
          <w:rFonts w:hint="eastAsia" w:ascii="宋体" w:hAnsi="宋体" w:eastAsia="宋体" w:cs="宋体"/>
          <w:b/>
          <w:bCs/>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、请</w:t>
      </w:r>
      <w:r>
        <w:rPr>
          <w:rFonts w:hint="eastAsia" w:ascii="宋体" w:hAnsi="宋体" w:eastAsia="宋体" w:cs="宋体"/>
          <w:b w:val="0"/>
          <w:bCs w:val="0"/>
          <w:sz w:val="24"/>
          <w:szCs w:val="24"/>
          <w:highlight w:val="none"/>
        </w:rPr>
        <w:t>您仔细阅读</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文件并正确理解</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文件中各项具体要求。如您对</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文件有疑问，请在</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文件规定的时间内以书面形式提出，逾期将被</w:t>
      </w:r>
      <w:r>
        <w:rPr>
          <w:rFonts w:hint="eastAsia" w:ascii="宋体" w:hAnsi="宋体" w:eastAsia="宋体" w:cs="宋体"/>
          <w:b w:val="0"/>
          <w:bCs w:val="0"/>
          <w:sz w:val="24"/>
          <w:szCs w:val="24"/>
          <w:highlight w:val="none"/>
          <w:lang w:eastAsia="zh-CN"/>
        </w:rPr>
        <w:t>拒绝</w:t>
      </w:r>
      <w:r>
        <w:rPr>
          <w:rFonts w:hint="eastAsia" w:ascii="宋体" w:hAnsi="宋体" w:eastAsia="宋体" w:cs="宋体"/>
          <w:b w:val="0"/>
          <w:bCs w:val="0"/>
          <w:sz w:val="24"/>
          <w:szCs w:val="24"/>
          <w:highlight w:val="none"/>
        </w:rPr>
        <w:t>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2、请您严格按照</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文件载明的</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文件的格式要求编制</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文件须胶装成册</w:t>
      </w:r>
      <w:r>
        <w:rPr>
          <w:rFonts w:hint="eastAsia" w:ascii="宋体" w:hAnsi="宋体" w:eastAsia="宋体" w:cs="宋体"/>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3、请您仔细核对您的</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文件是否已按照</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文件的要求签字、签章和加盖单位公章，您的实质性条款是否满足</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文件要求，您的</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文件中所附资格证明等资料是否齐全、有效且是否满足</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、请您按照</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文件要求密封</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文件，并正确标记</w:t>
      </w:r>
      <w:r>
        <w:rPr>
          <w:rFonts w:hint="eastAsia" w:ascii="宋体" w:hAnsi="宋体" w:eastAsia="宋体" w:cs="宋体"/>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提示：您的</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文件若不满足以上条件将有被否决的风险</w:t>
      </w:r>
      <w:r>
        <w:rPr>
          <w:rFonts w:hint="eastAsia" w:ascii="宋体" w:hAnsi="宋体" w:eastAsia="宋体" w:cs="宋体"/>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二、有关</w:t>
      </w:r>
      <w:r>
        <w:rPr>
          <w:rFonts w:hint="eastAsia" w:ascii="宋体" w:hAnsi="宋体" w:eastAsia="宋体" w:cs="宋体"/>
          <w:b/>
          <w:bCs/>
          <w:sz w:val="24"/>
          <w:szCs w:val="24"/>
          <w:highlight w:val="none"/>
          <w:lang w:eastAsia="zh-CN"/>
        </w:rPr>
        <w:t>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eastAsia="zh-CN"/>
        </w:rPr>
        <w:t>除谈判文件要求递交的文件和资料外，</w:t>
      </w:r>
      <w:r>
        <w:rPr>
          <w:rFonts w:hint="eastAsia" w:ascii="宋体" w:hAnsi="宋体" w:eastAsia="宋体" w:cs="宋体"/>
          <w:b w:val="0"/>
          <w:bCs w:val="0"/>
          <w:sz w:val="24"/>
          <w:szCs w:val="24"/>
          <w:highlight w:val="none"/>
        </w:rPr>
        <w:t>请您随身携带</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文件要求提供的其他备查文件原件。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2、请您务必考虑天气情况、交通情况以及您对</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地址的路线熟悉等情况于</w:t>
      </w:r>
      <w:r>
        <w:rPr>
          <w:rFonts w:hint="eastAsia" w:ascii="宋体" w:hAnsi="宋体" w:eastAsia="宋体" w:cs="宋体"/>
          <w:color w:val="000000"/>
          <w:sz w:val="24"/>
          <w:szCs w:val="24"/>
          <w:highlight w:val="none"/>
          <w:lang w:eastAsia="zh-CN"/>
        </w:rPr>
        <w:t>202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08月16日</w:t>
      </w:r>
      <w:r>
        <w:rPr>
          <w:rFonts w:hint="eastAsia" w:ascii="宋体" w:hAnsi="宋体" w:cs="宋体"/>
          <w:b w:val="0"/>
          <w:bCs w:val="0"/>
          <w:sz w:val="24"/>
          <w:szCs w:val="24"/>
          <w:highlight w:val="none"/>
          <w:u w:val="none"/>
          <w:lang w:val="en-US" w:eastAsia="zh-CN"/>
        </w:rPr>
        <w:t>09</w:t>
      </w:r>
      <w:r>
        <w:rPr>
          <w:rFonts w:hint="eastAsia" w:ascii="宋体" w:hAnsi="宋体" w:eastAsia="宋体" w:cs="宋体"/>
          <w:b w:val="0"/>
          <w:bCs w:val="0"/>
          <w:sz w:val="24"/>
          <w:szCs w:val="24"/>
          <w:highlight w:val="none"/>
          <w:u w:val="none"/>
        </w:rPr>
        <w:t>：</w:t>
      </w:r>
      <w:r>
        <w:rPr>
          <w:rFonts w:hint="eastAsia" w:ascii="宋体" w:hAnsi="宋体" w:eastAsia="宋体" w:cs="宋体"/>
          <w:b w:val="0"/>
          <w:bCs w:val="0"/>
          <w:sz w:val="24"/>
          <w:szCs w:val="24"/>
          <w:highlight w:val="none"/>
          <w:u w:val="none"/>
          <w:lang w:val="en-US" w:eastAsia="zh-CN"/>
        </w:rPr>
        <w:t>30</w:t>
      </w:r>
      <w:r>
        <w:rPr>
          <w:rFonts w:hint="eastAsia" w:ascii="宋体" w:hAnsi="宋体" w:eastAsia="宋体" w:cs="宋体"/>
          <w:b w:val="0"/>
          <w:bCs w:val="0"/>
          <w:sz w:val="24"/>
          <w:szCs w:val="24"/>
          <w:highlight w:val="none"/>
        </w:rPr>
        <w:t>前到西安市</w:t>
      </w:r>
      <w:r>
        <w:rPr>
          <w:rFonts w:hint="eastAsia" w:ascii="宋体" w:hAnsi="宋体" w:eastAsia="宋体" w:cs="宋体"/>
          <w:b w:val="0"/>
          <w:bCs w:val="0"/>
          <w:sz w:val="24"/>
          <w:szCs w:val="24"/>
          <w:highlight w:val="none"/>
          <w:lang w:eastAsia="zh-CN"/>
        </w:rPr>
        <w:t>未央区凤城五路与明光路十字天朗经开中心</w:t>
      </w:r>
      <w:r>
        <w:rPr>
          <w:rFonts w:hint="eastAsia" w:ascii="宋体" w:hAnsi="宋体" w:eastAsia="宋体" w:cs="宋体"/>
          <w:b w:val="0"/>
          <w:bCs w:val="0"/>
          <w:sz w:val="24"/>
          <w:szCs w:val="24"/>
          <w:highlight w:val="none"/>
          <w:lang w:val="en-US" w:eastAsia="zh-CN"/>
        </w:rPr>
        <w:t>10楼11002室</w:t>
      </w:r>
      <w:r>
        <w:rPr>
          <w:rFonts w:hint="eastAsia" w:ascii="宋体" w:hAnsi="宋体" w:eastAsia="宋体" w:cs="宋体"/>
          <w:b w:val="0"/>
          <w:bCs w:val="0"/>
          <w:sz w:val="24"/>
          <w:szCs w:val="24"/>
          <w:highlight w:val="none"/>
        </w:rPr>
        <w:t>递交</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文件逾期到达，将被拒绝接收。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3、请您到达文件递交地点后及时到</w:t>
      </w:r>
      <w:r>
        <w:rPr>
          <w:rFonts w:hint="eastAsia" w:ascii="宋体" w:hAnsi="宋体" w:eastAsia="宋体" w:cs="宋体"/>
          <w:b w:val="0"/>
          <w:bCs w:val="0"/>
          <w:sz w:val="24"/>
          <w:szCs w:val="24"/>
          <w:highlight w:val="none"/>
          <w:lang w:eastAsia="zh-CN"/>
        </w:rPr>
        <w:t>谈判响应</w:t>
      </w:r>
      <w:r>
        <w:rPr>
          <w:rFonts w:hint="eastAsia" w:ascii="宋体" w:hAnsi="宋体" w:eastAsia="宋体" w:cs="宋体"/>
          <w:b w:val="0"/>
          <w:bCs w:val="0"/>
          <w:sz w:val="24"/>
          <w:szCs w:val="24"/>
          <w:highlight w:val="none"/>
        </w:rPr>
        <w:t>文件接收处签字登记</w:t>
      </w:r>
      <w:r>
        <w:rPr>
          <w:rFonts w:hint="eastAsia" w:ascii="宋体" w:hAnsi="宋体" w:eastAsia="宋体" w:cs="宋体"/>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、关于弃标的说明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若您因为</w:t>
      </w:r>
      <w:r>
        <w:rPr>
          <w:rFonts w:hint="eastAsia" w:ascii="宋体" w:hAnsi="宋体" w:eastAsia="宋体" w:cs="宋体"/>
          <w:b w:val="0"/>
          <w:bCs w:val="0"/>
          <w:sz w:val="24"/>
          <w:szCs w:val="24"/>
          <w:highlight w:val="none"/>
          <w:lang w:eastAsia="zh-CN"/>
        </w:rPr>
        <w:t>一</w:t>
      </w:r>
      <w:r>
        <w:rPr>
          <w:rFonts w:hint="eastAsia" w:ascii="宋体" w:hAnsi="宋体" w:eastAsia="宋体" w:cs="宋体"/>
          <w:b w:val="0"/>
          <w:bCs w:val="0"/>
          <w:sz w:val="24"/>
          <w:szCs w:val="24"/>
          <w:highlight w:val="none"/>
        </w:rPr>
        <w:t>些特殊原因不能参加本次</w:t>
      </w:r>
      <w:r>
        <w:rPr>
          <w:rFonts w:hint="eastAsia" w:ascii="宋体" w:hAnsi="宋体" w:eastAsia="宋体" w:cs="宋体"/>
          <w:b w:val="0"/>
          <w:bCs w:val="0"/>
          <w:sz w:val="24"/>
          <w:szCs w:val="24"/>
          <w:highlight w:val="none"/>
          <w:lang w:eastAsia="zh-CN"/>
        </w:rPr>
        <w:t>谈判</w:t>
      </w:r>
      <w:r>
        <w:rPr>
          <w:rFonts w:hint="eastAsia" w:ascii="宋体" w:hAnsi="宋体" w:eastAsia="宋体" w:cs="宋体"/>
          <w:b w:val="0"/>
          <w:bCs w:val="0"/>
          <w:sz w:val="24"/>
          <w:szCs w:val="24"/>
          <w:highlight w:val="none"/>
        </w:rPr>
        <w:t>活动，请您务必以书面形式告知我们，以便我们正常开展后期工作，同时也避免再次打扰您，感谢您的配合。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四、关于供应商注册登记提醒：</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tabs>
          <w:tab w:val="left" w:pos="525"/>
        </w:tabs>
        <w:spacing w:after="100" w:afterAutospacing="1" w:line="360" w:lineRule="auto"/>
        <w:jc w:val="both"/>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请各</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仔细</w:t>
      </w:r>
      <w:r>
        <w:rPr>
          <w:rFonts w:hint="eastAsia" w:ascii="宋体" w:hAnsi="宋体" w:eastAsia="宋体" w:cs="宋体"/>
          <w:b/>
          <w:bCs/>
          <w:sz w:val="24"/>
          <w:szCs w:val="24"/>
          <w:highlight w:val="none"/>
          <w:lang w:eastAsia="zh-CN"/>
        </w:rPr>
        <w:t>阅</w:t>
      </w:r>
      <w:r>
        <w:rPr>
          <w:rFonts w:hint="eastAsia" w:ascii="宋体" w:hAnsi="宋体" w:eastAsia="宋体" w:cs="宋体"/>
          <w:b/>
          <w:bCs/>
          <w:sz w:val="24"/>
          <w:szCs w:val="24"/>
          <w:highlight w:val="none"/>
        </w:rPr>
        <w:t>读上述提示。如需帮助，请您与我们的工作人员联系</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姬鹏举</w:t>
      </w:r>
      <w:r>
        <w:rPr>
          <w:rFonts w:hint="eastAsia" w:ascii="宋体" w:hAnsi="宋体" w:eastAsia="宋体" w:cs="宋体"/>
          <w:b/>
          <w:bCs/>
          <w:sz w:val="24"/>
          <w:szCs w:val="24"/>
          <w:highlight w:val="none"/>
          <w:lang w:eastAsia="zh-CN"/>
        </w:rPr>
        <w:t>：029-89351397），我们将非常高兴地为您服务。</w:t>
      </w:r>
    </w:p>
    <w:p>
      <w:pPr>
        <w:rPr>
          <w:rFonts w:hint="eastAsia" w:ascii="宋体" w:hAnsi="宋体" w:eastAsia="宋体" w:cs="宋体"/>
          <w:highlight w:val="none"/>
        </w:rPr>
      </w:pPr>
      <w:r>
        <w:rPr>
          <w:rFonts w:hint="eastAsia" w:ascii="宋体" w:hAnsi="宋体" w:eastAsia="宋体" w:cs="宋体"/>
          <w:b/>
          <w:bCs/>
          <w:sz w:val="24"/>
          <w:szCs w:val="24"/>
          <w:highlight w:val="none"/>
          <w:lang w:eastAsia="zh-CN"/>
        </w:rPr>
        <w:br w:type="page"/>
      </w:r>
    </w:p>
    <w:sdt>
      <w:sdtPr>
        <w:rPr>
          <w:rFonts w:hint="eastAsia" w:ascii="宋体" w:hAnsi="宋体" w:eastAsia="宋体" w:cs="宋体"/>
          <w:b/>
          <w:bCs/>
          <w:kern w:val="2"/>
          <w:sz w:val="32"/>
          <w:szCs w:val="32"/>
          <w:highlight w:val="none"/>
          <w:lang w:val="en-US" w:eastAsia="zh-CN" w:bidi="ar-SA"/>
        </w:rPr>
        <w:id w:val="147479937"/>
        <w15:color w:val="DBDBDB"/>
        <w:docPartObj>
          <w:docPartGallery w:val="Table of Contents"/>
          <w:docPartUnique/>
        </w:docPartObj>
      </w:sdtPr>
      <w:sdtEndPr>
        <w:rPr>
          <w:rFonts w:hint="eastAsia" w:ascii="宋体" w:hAnsi="宋体" w:eastAsia="宋体" w:cs="宋体"/>
          <w:b/>
          <w:bCs/>
          <w:kern w:val="2"/>
          <w:sz w:val="21"/>
          <w:szCs w:val="32"/>
          <w:highlight w:val="none"/>
          <w:lang w:val="en-US" w:eastAsia="zh-CN" w:bidi="ar-SA"/>
        </w:rPr>
      </w:sdtEndPr>
      <w:sdtContent>
        <w:p>
          <w:pPr>
            <w:spacing w:line="720" w:lineRule="auto"/>
            <w:jc w:val="center"/>
            <w:rPr>
              <w:rFonts w:hint="eastAsia" w:ascii="宋体" w:hAnsi="宋体" w:eastAsia="宋体" w:cs="宋体"/>
              <w:sz w:val="30"/>
              <w:szCs w:val="30"/>
              <w:highlight w:val="none"/>
            </w:rPr>
          </w:pPr>
          <w:r>
            <w:rPr>
              <w:rFonts w:hint="eastAsia" w:ascii="宋体" w:hAnsi="宋体" w:eastAsia="宋体" w:cs="宋体"/>
              <w:b/>
              <w:bCs/>
              <w:sz w:val="32"/>
              <w:szCs w:val="32"/>
              <w:highlight w:val="none"/>
            </w:rPr>
            <w:t>目录</w:t>
          </w: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TOC \o "1-1" \h \u </w:instrText>
          </w:r>
          <w:r>
            <w:rPr>
              <w:rFonts w:hint="eastAsia" w:ascii="宋体" w:hAnsi="宋体" w:eastAsia="宋体" w:cs="宋体"/>
              <w:sz w:val="30"/>
              <w:szCs w:val="30"/>
              <w:highlight w:val="none"/>
              <w:lang w:eastAsia="zh-CN"/>
            </w:rPr>
            <w:fldChar w:fldCharType="separate"/>
          </w:r>
        </w:p>
        <w:p>
          <w:pPr>
            <w:pStyle w:val="96"/>
            <w:tabs>
              <w:tab w:val="right" w:leader="dot" w:pos="9072"/>
            </w:tabs>
            <w:spacing w:line="72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_Toc25603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bCs w:val="0"/>
              <w:sz w:val="30"/>
              <w:szCs w:val="30"/>
              <w:highlight w:val="none"/>
            </w:rPr>
            <w:t>第一章 竞争</w:t>
          </w:r>
          <w:r>
            <w:rPr>
              <w:rFonts w:hint="eastAsia" w:ascii="宋体" w:hAnsi="宋体" w:eastAsia="宋体" w:cs="宋体"/>
              <w:bCs/>
              <w:sz w:val="30"/>
              <w:szCs w:val="30"/>
              <w:highlight w:val="none"/>
            </w:rPr>
            <w:t>性</w:t>
          </w:r>
          <w:r>
            <w:rPr>
              <w:rFonts w:hint="eastAsia" w:ascii="宋体" w:hAnsi="宋体" w:cs="宋体"/>
              <w:bCs/>
              <w:sz w:val="30"/>
              <w:szCs w:val="30"/>
              <w:highlight w:val="none"/>
              <w:lang w:eastAsia="zh-CN"/>
            </w:rPr>
            <w:t>谈判</w:t>
          </w:r>
          <w:r>
            <w:rPr>
              <w:rFonts w:hint="eastAsia" w:ascii="宋体" w:hAnsi="宋体" w:eastAsia="宋体" w:cs="宋体"/>
              <w:bCs/>
              <w:sz w:val="30"/>
              <w:szCs w:val="30"/>
              <w:highlight w:val="none"/>
            </w:rPr>
            <w:t>公告</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_Toc25603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4</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96"/>
            <w:tabs>
              <w:tab w:val="right" w:leader="dot" w:pos="9072"/>
            </w:tabs>
            <w:spacing w:line="72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_Toc19171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bCs/>
              <w:sz w:val="30"/>
              <w:szCs w:val="30"/>
              <w:highlight w:val="none"/>
            </w:rPr>
            <w:t xml:space="preserve">第二章 </w:t>
          </w:r>
          <w:r>
            <w:rPr>
              <w:rFonts w:hint="eastAsia" w:ascii="宋体" w:hAnsi="宋体" w:eastAsia="宋体" w:cs="宋体"/>
              <w:bCs/>
              <w:sz w:val="30"/>
              <w:szCs w:val="30"/>
              <w:highlight w:val="none"/>
              <w:lang w:eastAsia="zh-CN"/>
            </w:rPr>
            <w:t>供应商</w:t>
          </w:r>
          <w:r>
            <w:rPr>
              <w:rFonts w:hint="eastAsia" w:ascii="宋体" w:hAnsi="宋体" w:eastAsia="宋体" w:cs="宋体"/>
              <w:bCs/>
              <w:sz w:val="30"/>
              <w:szCs w:val="30"/>
              <w:highlight w:val="none"/>
            </w:rPr>
            <w:t>须知</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_Toc19171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8</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96"/>
            <w:tabs>
              <w:tab w:val="right" w:leader="dot" w:pos="9072"/>
            </w:tabs>
            <w:spacing w:line="72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_Toc23782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bCs/>
              <w:sz w:val="30"/>
              <w:szCs w:val="30"/>
              <w:highlight w:val="none"/>
            </w:rPr>
            <w:t>第三章 合同条款及格式</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_Toc23782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28</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96"/>
            <w:tabs>
              <w:tab w:val="right" w:leader="dot" w:pos="9072"/>
            </w:tabs>
            <w:spacing w:line="72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_Toc28646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bCs/>
              <w:sz w:val="30"/>
              <w:szCs w:val="30"/>
              <w:highlight w:val="none"/>
            </w:rPr>
            <w:t>第四章 竞争性谈判内容及技术要求</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_Toc28646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37</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96"/>
            <w:tabs>
              <w:tab w:val="right" w:leader="dot" w:pos="9072"/>
            </w:tabs>
            <w:spacing w:line="72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_Toc17659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bCs/>
              <w:sz w:val="30"/>
              <w:szCs w:val="30"/>
              <w:highlight w:val="none"/>
              <w:lang w:eastAsia="zh-CN"/>
            </w:rPr>
            <w:t>第五章 评审方法</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_Toc17659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76</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96"/>
            <w:tabs>
              <w:tab w:val="right" w:leader="dot" w:pos="9072"/>
            </w:tabs>
            <w:spacing w:line="72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_Toc8169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bCs/>
              <w:sz w:val="30"/>
              <w:szCs w:val="30"/>
              <w:highlight w:val="none"/>
              <w:lang w:eastAsia="zh-CN"/>
            </w:rPr>
            <w:t>第六章 竞争性谈判响应文件格式及构成</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_Toc8169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81</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spacing w:line="720" w:lineRule="auto"/>
            <w:jc w:val="center"/>
            <w:rPr>
              <w:rFonts w:hint="eastAsia" w:ascii="宋体" w:hAnsi="宋体" w:eastAsia="宋体" w:cs="宋体"/>
              <w:highlight w:val="none"/>
              <w:lang w:eastAsia="zh-CN"/>
            </w:rPr>
            <w:sectPr>
              <w:footerReference r:id="rId7" w:type="first"/>
              <w:footerReference r:id="rId6" w:type="default"/>
              <w:pgSz w:w="11907" w:h="16840"/>
              <w:pgMar w:top="1417" w:right="1418" w:bottom="1417" w:left="1417" w:header="850" w:footer="850" w:gutter="0"/>
              <w:pgBorders>
                <w:top w:val="none" w:sz="0" w:space="0"/>
                <w:left w:val="none" w:sz="0" w:space="0"/>
                <w:bottom w:val="none" w:sz="0" w:space="0"/>
                <w:right w:val="none" w:sz="0" w:space="0"/>
              </w:pgBorders>
              <w:pgNumType w:fmt="decimal" w:start="1"/>
              <w:cols w:space="720" w:num="1"/>
              <w:rtlGutter w:val="0"/>
              <w:docGrid w:linePitch="286" w:charSpace="0"/>
            </w:sectPr>
          </w:pPr>
          <w:r>
            <w:rPr>
              <w:rFonts w:hint="eastAsia" w:ascii="宋体" w:hAnsi="宋体" w:eastAsia="宋体" w:cs="宋体"/>
              <w:sz w:val="30"/>
              <w:szCs w:val="30"/>
              <w:highlight w:val="none"/>
              <w:lang w:eastAsia="zh-CN"/>
            </w:rPr>
            <w:fldChar w:fldCharType="end"/>
          </w:r>
        </w:p>
      </w:sdtContent>
    </w:sdt>
    <w:bookmarkEnd w:id="0"/>
    <w:p>
      <w:pPr>
        <w:pStyle w:val="3"/>
        <w:keepNext w:val="0"/>
        <w:keepLines/>
        <w:pageBreakBefore/>
        <w:spacing w:before="156" w:beforeLines="50" w:after="156" w:afterLines="50" w:line="360" w:lineRule="auto"/>
        <w:jc w:val="center"/>
        <w:rPr>
          <w:rFonts w:hint="eastAsia" w:ascii="宋体" w:hAnsi="宋体" w:eastAsia="宋体" w:cs="宋体"/>
          <w:bCs/>
          <w:sz w:val="36"/>
          <w:szCs w:val="36"/>
          <w:highlight w:val="none"/>
        </w:rPr>
      </w:pPr>
      <w:bookmarkStart w:id="2" w:name="_Toc425781306"/>
      <w:bookmarkStart w:id="3" w:name="_Toc29766"/>
      <w:bookmarkStart w:id="4" w:name="_Toc25603"/>
      <w:bookmarkStart w:id="5" w:name="_Toc409690875"/>
      <w:bookmarkStart w:id="6" w:name="_Toc405358614"/>
      <w:bookmarkStart w:id="7" w:name="_Toc393284672"/>
      <w:bookmarkStart w:id="8" w:name="_Toc393284379"/>
      <w:bookmarkStart w:id="9" w:name="_Toc389836551"/>
      <w:r>
        <w:rPr>
          <w:rFonts w:hint="eastAsia" w:ascii="宋体" w:hAnsi="宋体" w:eastAsia="宋体" w:cs="宋体"/>
          <w:b w:val="0"/>
          <w:bCs w:val="0"/>
          <w:sz w:val="36"/>
          <w:szCs w:val="36"/>
          <w:highlight w:val="none"/>
        </w:rPr>
        <w:t>第一章 竞</w:t>
      </w:r>
      <w:bookmarkEnd w:id="2"/>
      <w:bookmarkEnd w:id="3"/>
      <w:bookmarkStart w:id="10" w:name="_Toc425781307"/>
      <w:r>
        <w:rPr>
          <w:rFonts w:hint="eastAsia" w:ascii="宋体" w:hAnsi="宋体" w:eastAsia="宋体" w:cs="宋体"/>
          <w:b w:val="0"/>
          <w:bCs w:val="0"/>
          <w:sz w:val="36"/>
          <w:szCs w:val="36"/>
          <w:highlight w:val="none"/>
        </w:rPr>
        <w:t>争</w:t>
      </w:r>
      <w:r>
        <w:rPr>
          <w:rFonts w:hint="eastAsia" w:ascii="宋体" w:hAnsi="宋体" w:eastAsia="宋体" w:cs="宋体"/>
          <w:bCs/>
          <w:sz w:val="36"/>
          <w:szCs w:val="36"/>
          <w:highlight w:val="none"/>
        </w:rPr>
        <w:t>性</w:t>
      </w:r>
      <w:r>
        <w:rPr>
          <w:rFonts w:hint="eastAsia" w:ascii="宋体" w:hAnsi="宋体" w:cs="宋体"/>
          <w:bCs/>
          <w:sz w:val="36"/>
          <w:szCs w:val="36"/>
          <w:highlight w:val="none"/>
          <w:lang w:eastAsia="zh-CN"/>
        </w:rPr>
        <w:t>谈判</w:t>
      </w:r>
      <w:r>
        <w:rPr>
          <w:rFonts w:hint="eastAsia" w:ascii="宋体" w:hAnsi="宋体" w:eastAsia="宋体" w:cs="宋体"/>
          <w:bCs/>
          <w:sz w:val="36"/>
          <w:szCs w:val="36"/>
          <w:highlight w:val="none"/>
        </w:rPr>
        <w:t>公告</w:t>
      </w:r>
      <w:bookmarkEnd w:id="4"/>
    </w:p>
    <w:p>
      <w:pPr>
        <w:pBdr>
          <w:top w:val="single" w:color="auto" w:sz="4" w:space="0"/>
          <w:left w:val="single" w:color="auto" w:sz="4" w:space="0"/>
          <w:bottom w:val="single" w:color="auto" w:sz="4" w:space="0"/>
          <w:right w:val="single" w:color="auto" w:sz="4" w:space="0"/>
        </w:pBdr>
        <w:snapToGrid w:val="0"/>
        <w:spacing w:line="480" w:lineRule="auto"/>
        <w:textAlignment w:val="baseline"/>
        <w:rPr>
          <w:rStyle w:val="94"/>
          <w:rFonts w:hint="eastAsia" w:ascii="宋体" w:hAnsi="宋体" w:eastAsia="宋体" w:cs="宋体"/>
          <w:b/>
          <w:bCs w:val="0"/>
          <w:sz w:val="24"/>
          <w:szCs w:val="24"/>
          <w:highlight w:val="none"/>
        </w:rPr>
      </w:pPr>
      <w:r>
        <w:rPr>
          <w:rStyle w:val="94"/>
          <w:rFonts w:hint="eastAsia" w:ascii="宋体" w:hAnsi="宋体" w:eastAsia="宋体" w:cs="宋体"/>
          <w:b/>
          <w:bCs w:val="0"/>
          <w:sz w:val="24"/>
          <w:szCs w:val="24"/>
          <w:highlight w:val="none"/>
        </w:rPr>
        <w:t>项目概况</w:t>
      </w:r>
    </w:p>
    <w:p>
      <w:pPr>
        <w:pBdr>
          <w:top w:val="single" w:color="auto" w:sz="4" w:space="0"/>
          <w:left w:val="single" w:color="auto" w:sz="4" w:space="0"/>
          <w:bottom w:val="single" w:color="auto" w:sz="4" w:space="0"/>
          <w:right w:val="single" w:color="auto" w:sz="4" w:space="0"/>
        </w:pBdr>
        <w:snapToGrid w:val="0"/>
        <w:spacing w:line="480" w:lineRule="auto"/>
        <w:ind w:firstLine="480" w:firstLineChars="200"/>
        <w:textAlignment w:val="baseline"/>
        <w:rPr>
          <w:rStyle w:val="94"/>
          <w:rFonts w:hint="eastAsia" w:ascii="宋体" w:hAnsi="宋体" w:eastAsia="宋体" w:cs="宋体"/>
          <w:sz w:val="24"/>
          <w:szCs w:val="24"/>
          <w:highlight w:val="none"/>
        </w:rPr>
      </w:pPr>
      <w:r>
        <w:rPr>
          <w:rStyle w:val="94"/>
          <w:rFonts w:hint="eastAsia" w:ascii="宋体" w:hAnsi="宋体" w:cs="宋体"/>
          <w:sz w:val="24"/>
          <w:szCs w:val="24"/>
          <w:highlight w:val="none"/>
        </w:rPr>
        <w:t>西安市碑林区朱雀大街小学智慧教室设备提升项目</w:t>
      </w:r>
      <w:r>
        <w:rPr>
          <w:rStyle w:val="94"/>
          <w:rFonts w:hint="eastAsia" w:ascii="宋体" w:hAnsi="宋体" w:eastAsia="宋体" w:cs="宋体"/>
          <w:sz w:val="24"/>
          <w:szCs w:val="24"/>
          <w:highlight w:val="none"/>
        </w:rPr>
        <w:t>潜在的供应商</w:t>
      </w:r>
      <w:r>
        <w:rPr>
          <w:rStyle w:val="94"/>
          <w:rFonts w:hint="eastAsia" w:ascii="宋体" w:hAnsi="宋体" w:eastAsia="宋体" w:cs="宋体"/>
          <w:sz w:val="24"/>
          <w:szCs w:val="24"/>
          <w:highlight w:val="none"/>
          <w:lang w:eastAsia="zh-CN"/>
        </w:rPr>
        <w:t>应</w:t>
      </w:r>
      <w:r>
        <w:rPr>
          <w:rStyle w:val="94"/>
          <w:rFonts w:hint="eastAsia" w:ascii="宋体" w:hAnsi="宋体" w:eastAsia="宋体" w:cs="宋体"/>
          <w:sz w:val="24"/>
          <w:szCs w:val="24"/>
          <w:highlight w:val="none"/>
        </w:rPr>
        <w:t>在西安市未央区凤城五路与明光路十字天朗经开中心10楼11002室获取采购文件，并于202</w:t>
      </w:r>
      <w:r>
        <w:rPr>
          <w:rStyle w:val="94"/>
          <w:rFonts w:hint="eastAsia" w:ascii="宋体" w:hAnsi="宋体" w:eastAsia="宋体" w:cs="宋体"/>
          <w:sz w:val="24"/>
          <w:szCs w:val="24"/>
          <w:highlight w:val="none"/>
          <w:lang w:val="en-US"/>
        </w:rPr>
        <w:t>2</w:t>
      </w:r>
      <w:r>
        <w:rPr>
          <w:rStyle w:val="94"/>
          <w:rFonts w:hint="eastAsia" w:ascii="宋体" w:hAnsi="宋体" w:eastAsia="宋体" w:cs="宋体"/>
          <w:sz w:val="24"/>
          <w:szCs w:val="24"/>
          <w:highlight w:val="none"/>
        </w:rPr>
        <w:t>年</w:t>
      </w:r>
      <w:r>
        <w:rPr>
          <w:rStyle w:val="94"/>
          <w:rFonts w:hint="eastAsia" w:ascii="宋体" w:hAnsi="宋体" w:cs="宋体"/>
          <w:sz w:val="24"/>
          <w:szCs w:val="24"/>
          <w:highlight w:val="none"/>
          <w:lang w:val="en-US"/>
        </w:rPr>
        <w:t>08月16日09</w:t>
      </w:r>
      <w:r>
        <w:rPr>
          <w:rStyle w:val="94"/>
          <w:rFonts w:hint="eastAsia" w:ascii="宋体" w:hAnsi="宋体" w:eastAsia="宋体" w:cs="宋体"/>
          <w:sz w:val="24"/>
          <w:szCs w:val="24"/>
          <w:highlight w:val="none"/>
        </w:rPr>
        <w:t>时</w:t>
      </w:r>
      <w:r>
        <w:rPr>
          <w:rStyle w:val="94"/>
          <w:rFonts w:hint="eastAsia" w:ascii="宋体" w:hAnsi="宋体" w:cs="宋体"/>
          <w:sz w:val="24"/>
          <w:szCs w:val="24"/>
          <w:highlight w:val="none"/>
          <w:lang w:val="en-US"/>
        </w:rPr>
        <w:t>3</w:t>
      </w:r>
      <w:r>
        <w:rPr>
          <w:rStyle w:val="94"/>
          <w:rFonts w:hint="eastAsia" w:ascii="宋体" w:hAnsi="宋体" w:eastAsia="宋体" w:cs="宋体"/>
          <w:sz w:val="24"/>
          <w:szCs w:val="24"/>
          <w:highlight w:val="none"/>
          <w:lang w:val="en-US"/>
        </w:rPr>
        <w:t>0</w:t>
      </w:r>
      <w:r>
        <w:rPr>
          <w:rStyle w:val="94"/>
          <w:rFonts w:hint="eastAsia" w:ascii="宋体" w:hAnsi="宋体" w:eastAsia="宋体" w:cs="宋体"/>
          <w:sz w:val="24"/>
          <w:szCs w:val="24"/>
          <w:highlight w:val="none"/>
        </w:rPr>
        <w:t>分</w:t>
      </w:r>
      <w:r>
        <w:rPr>
          <w:rStyle w:val="94"/>
          <w:rFonts w:hint="eastAsia" w:ascii="宋体" w:hAnsi="宋体" w:eastAsia="宋体" w:cs="宋体"/>
          <w:b w:val="0"/>
          <w:i w:val="0"/>
          <w:caps w:val="0"/>
          <w:spacing w:val="0"/>
          <w:w w:val="100"/>
          <w:kern w:val="2"/>
          <w:sz w:val="24"/>
          <w:szCs w:val="24"/>
          <w:highlight w:val="none"/>
          <w:lang w:val="en-US" w:eastAsia="zh-CN" w:bidi="ar-SA"/>
        </w:rPr>
        <w:t>（北京时间）</w:t>
      </w:r>
      <w:r>
        <w:rPr>
          <w:rStyle w:val="94"/>
          <w:rFonts w:hint="eastAsia" w:ascii="宋体" w:hAnsi="宋体" w:eastAsia="宋体" w:cs="宋体"/>
          <w:sz w:val="24"/>
          <w:szCs w:val="24"/>
          <w:highlight w:val="none"/>
        </w:rPr>
        <w:t>前提交响应文件。</w:t>
      </w:r>
    </w:p>
    <w:p>
      <w:pPr>
        <w:keepNext w:val="0"/>
        <w:keepLines w:val="0"/>
        <w:pageBreakBefore w:val="0"/>
        <w:widowControl w:val="0"/>
        <w:kinsoku/>
        <w:wordWrap/>
        <w:overflowPunct/>
        <w:topLinePunct w:val="0"/>
        <w:autoSpaceDE/>
        <w:autoSpaceDN/>
        <w:bidi w:val="0"/>
        <w:adjustRightInd/>
        <w:snapToGrid w:val="0"/>
        <w:spacing w:before="157" w:beforeLines="50" w:line="480" w:lineRule="auto"/>
        <w:textAlignment w:val="baseline"/>
        <w:rPr>
          <w:rStyle w:val="94"/>
          <w:rFonts w:hint="eastAsia" w:ascii="宋体" w:hAnsi="宋体" w:eastAsia="宋体" w:cs="宋体"/>
          <w:b/>
          <w:bCs/>
          <w:sz w:val="24"/>
          <w:szCs w:val="24"/>
          <w:highlight w:val="none"/>
        </w:rPr>
      </w:pPr>
      <w:r>
        <w:rPr>
          <w:rStyle w:val="94"/>
          <w:rFonts w:hint="eastAsia" w:ascii="宋体" w:hAnsi="宋体" w:eastAsia="宋体" w:cs="宋体"/>
          <w:b/>
          <w:bCs/>
          <w:sz w:val="24"/>
          <w:szCs w:val="24"/>
          <w:highlight w:val="none"/>
        </w:rPr>
        <w:t>一、项目基本情况</w:t>
      </w:r>
    </w:p>
    <w:p>
      <w:pPr>
        <w:snapToGrid w:val="0"/>
        <w:spacing w:line="480" w:lineRule="auto"/>
        <w:ind w:firstLine="480" w:firstLineChars="200"/>
        <w:textAlignment w:val="baseline"/>
        <w:rPr>
          <w:rStyle w:val="94"/>
          <w:rFonts w:hint="eastAsia" w:ascii="宋体" w:hAnsi="宋体" w:eastAsia="宋体" w:cs="宋体"/>
          <w:sz w:val="24"/>
          <w:szCs w:val="24"/>
          <w:highlight w:val="none"/>
        </w:rPr>
      </w:pPr>
      <w:r>
        <w:rPr>
          <w:rStyle w:val="94"/>
          <w:rFonts w:hint="eastAsia" w:ascii="宋体" w:hAnsi="宋体" w:eastAsia="宋体" w:cs="宋体"/>
          <w:sz w:val="24"/>
          <w:szCs w:val="24"/>
          <w:highlight w:val="none"/>
        </w:rPr>
        <w:t>项目编号：SXJTZB-ZC-JT20220708</w:t>
      </w:r>
    </w:p>
    <w:p>
      <w:pPr>
        <w:snapToGrid w:val="0"/>
        <w:spacing w:line="480" w:lineRule="auto"/>
        <w:ind w:firstLine="480" w:firstLineChars="200"/>
        <w:textAlignment w:val="baseline"/>
        <w:rPr>
          <w:rStyle w:val="94"/>
          <w:rFonts w:hint="eastAsia" w:ascii="宋体" w:hAnsi="宋体" w:eastAsia="宋体" w:cs="宋体"/>
          <w:sz w:val="24"/>
          <w:szCs w:val="24"/>
          <w:highlight w:val="none"/>
        </w:rPr>
      </w:pPr>
      <w:r>
        <w:rPr>
          <w:rStyle w:val="94"/>
          <w:rFonts w:hint="eastAsia" w:ascii="宋体" w:hAnsi="宋体" w:eastAsia="宋体" w:cs="宋体"/>
          <w:sz w:val="24"/>
          <w:szCs w:val="24"/>
          <w:highlight w:val="none"/>
        </w:rPr>
        <w:t>项目名称：</w:t>
      </w:r>
      <w:r>
        <w:rPr>
          <w:rStyle w:val="94"/>
          <w:rFonts w:hint="eastAsia" w:ascii="宋体" w:hAnsi="宋体" w:cs="宋体"/>
          <w:sz w:val="24"/>
          <w:szCs w:val="24"/>
          <w:highlight w:val="none"/>
        </w:rPr>
        <w:t>西安市碑林区朱雀大街小学智慧教室设备提升项目</w:t>
      </w:r>
    </w:p>
    <w:p>
      <w:pPr>
        <w:snapToGrid w:val="0"/>
        <w:spacing w:line="480" w:lineRule="auto"/>
        <w:ind w:firstLine="480" w:firstLineChars="200"/>
        <w:textAlignment w:val="baseline"/>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i w:val="0"/>
          <w:caps w:val="0"/>
          <w:color w:val="auto"/>
          <w:spacing w:val="0"/>
          <w:sz w:val="24"/>
          <w:szCs w:val="24"/>
          <w:highlight w:val="none"/>
          <w:shd w:val="clear" w:color="auto" w:fill="FFFFFF"/>
          <w:lang w:eastAsia="zh-CN"/>
        </w:rPr>
        <w:t>采购方式：竞争性</w:t>
      </w:r>
      <w:r>
        <w:rPr>
          <w:rFonts w:hint="eastAsia" w:ascii="宋体" w:hAnsi="宋体" w:eastAsia="宋体" w:cs="宋体"/>
          <w:i w:val="0"/>
          <w:caps w:val="0"/>
          <w:color w:val="auto"/>
          <w:spacing w:val="0"/>
          <w:sz w:val="24"/>
          <w:szCs w:val="24"/>
          <w:highlight w:val="none"/>
          <w:shd w:val="clear" w:color="auto" w:fill="FFFFFF"/>
          <w:lang w:val="en-US" w:eastAsia="zh-CN"/>
        </w:rPr>
        <w:t>谈判</w:t>
      </w:r>
    </w:p>
    <w:p>
      <w:pPr>
        <w:snapToGrid w:val="0"/>
        <w:spacing w:line="480" w:lineRule="auto"/>
        <w:ind w:firstLine="480" w:firstLineChars="200"/>
        <w:textAlignment w:val="baseline"/>
        <w:rPr>
          <w:rStyle w:val="94"/>
          <w:rFonts w:hint="eastAsia" w:ascii="宋体" w:hAnsi="宋体" w:eastAsia="宋体" w:cs="宋体"/>
          <w:sz w:val="24"/>
          <w:szCs w:val="24"/>
          <w:highlight w:val="none"/>
        </w:rPr>
      </w:pPr>
      <w:r>
        <w:rPr>
          <w:rStyle w:val="94"/>
          <w:rFonts w:hint="eastAsia" w:ascii="宋体" w:hAnsi="宋体" w:eastAsia="宋体" w:cs="宋体"/>
          <w:sz w:val="24"/>
          <w:szCs w:val="24"/>
          <w:highlight w:val="none"/>
        </w:rPr>
        <w:t>预算金额：</w:t>
      </w:r>
      <w:r>
        <w:rPr>
          <w:rStyle w:val="94"/>
          <w:rFonts w:hint="eastAsia" w:ascii="宋体" w:hAnsi="宋体" w:eastAsia="宋体" w:cs="宋体"/>
          <w:sz w:val="24"/>
          <w:szCs w:val="24"/>
          <w:highlight w:val="none"/>
          <w:lang w:val="en-US"/>
        </w:rPr>
        <w:t>100</w:t>
      </w:r>
      <w:r>
        <w:rPr>
          <w:rStyle w:val="94"/>
          <w:rFonts w:hint="eastAsia" w:ascii="宋体" w:hAnsi="宋体" w:eastAsia="宋体" w:cs="宋体"/>
          <w:sz w:val="24"/>
          <w:szCs w:val="24"/>
          <w:highlight w:val="none"/>
        </w:rPr>
        <w:t>0000.00元</w:t>
      </w:r>
    </w:p>
    <w:p>
      <w:pPr>
        <w:snapToGrid w:val="0"/>
        <w:spacing w:before="0" w:beforeAutospacing="0" w:after="0" w:afterAutospacing="0" w:line="480" w:lineRule="auto"/>
        <w:ind w:firstLine="480" w:firstLineChars="200"/>
        <w:jc w:val="left"/>
        <w:textAlignment w:val="baseline"/>
        <w:rPr>
          <w:rStyle w:val="94"/>
          <w:rFonts w:hint="eastAsia" w:ascii="宋体" w:hAnsi="宋体" w:eastAsia="宋体" w:cs="宋体"/>
          <w:b w:val="0"/>
          <w:i w:val="0"/>
          <w:caps w:val="0"/>
          <w:color w:val="000000"/>
          <w:spacing w:val="0"/>
          <w:w w:val="100"/>
          <w:kern w:val="0"/>
          <w:sz w:val="24"/>
          <w:szCs w:val="24"/>
          <w:highlight w:val="none"/>
          <w:lang w:val="en-US" w:eastAsia="zh-CN" w:bidi="ar-SA"/>
        </w:rPr>
      </w:pPr>
      <w:r>
        <w:rPr>
          <w:rStyle w:val="94"/>
          <w:rFonts w:hint="eastAsia" w:ascii="宋体" w:hAnsi="宋体" w:eastAsia="宋体" w:cs="宋体"/>
          <w:b w:val="0"/>
          <w:i w:val="0"/>
          <w:caps w:val="0"/>
          <w:color w:val="000000"/>
          <w:spacing w:val="0"/>
          <w:w w:val="100"/>
          <w:kern w:val="0"/>
          <w:sz w:val="24"/>
          <w:szCs w:val="24"/>
          <w:highlight w:val="none"/>
          <w:lang w:val="en-US" w:eastAsia="zh-CN" w:bidi="ar-SA"/>
        </w:rPr>
        <w:t>采购需求：</w:t>
      </w:r>
    </w:p>
    <w:p>
      <w:pPr>
        <w:snapToGrid w:val="0"/>
        <w:spacing w:before="0" w:beforeAutospacing="0" w:after="0" w:afterAutospacing="0" w:line="480" w:lineRule="auto"/>
        <w:ind w:firstLine="960" w:firstLineChars="400"/>
        <w:jc w:val="left"/>
        <w:textAlignment w:val="baseline"/>
        <w:rPr>
          <w:rStyle w:val="94"/>
          <w:rFonts w:hint="eastAsia" w:ascii="宋体" w:hAnsi="宋体" w:eastAsia="宋体" w:cs="宋体"/>
          <w:b w:val="0"/>
          <w:i w:val="0"/>
          <w:caps w:val="0"/>
          <w:color w:val="000000"/>
          <w:spacing w:val="0"/>
          <w:w w:val="100"/>
          <w:kern w:val="0"/>
          <w:sz w:val="24"/>
          <w:szCs w:val="24"/>
          <w:highlight w:val="none"/>
          <w:lang w:val="en-US" w:eastAsia="zh-CN" w:bidi="ar-SA"/>
        </w:rPr>
      </w:pPr>
      <w:r>
        <w:rPr>
          <w:rStyle w:val="94"/>
          <w:rFonts w:hint="eastAsia" w:ascii="宋体" w:hAnsi="宋体" w:eastAsia="宋体" w:cs="宋体"/>
          <w:b w:val="0"/>
          <w:i w:val="0"/>
          <w:caps w:val="0"/>
          <w:color w:val="000000"/>
          <w:spacing w:val="0"/>
          <w:w w:val="100"/>
          <w:kern w:val="0"/>
          <w:sz w:val="24"/>
          <w:szCs w:val="24"/>
          <w:highlight w:val="none"/>
          <w:lang w:val="en-US" w:eastAsia="zh-CN" w:bidi="ar-SA"/>
        </w:rPr>
        <w:t>合同包1（</w:t>
      </w:r>
      <w:r>
        <w:rPr>
          <w:rStyle w:val="94"/>
          <w:rFonts w:hint="eastAsia" w:ascii="宋体" w:hAnsi="宋体" w:cs="宋体"/>
          <w:b w:val="0"/>
          <w:i w:val="0"/>
          <w:caps w:val="0"/>
          <w:color w:val="000000"/>
          <w:spacing w:val="0"/>
          <w:w w:val="100"/>
          <w:kern w:val="0"/>
          <w:sz w:val="24"/>
          <w:szCs w:val="24"/>
          <w:highlight w:val="none"/>
          <w:lang w:val="en-US" w:eastAsia="zh-CN" w:bidi="ar-SA"/>
        </w:rPr>
        <w:t>西安市碑林区朱雀大街小学智慧教室设备提升项目</w:t>
      </w:r>
      <w:r>
        <w:rPr>
          <w:rStyle w:val="94"/>
          <w:rFonts w:hint="eastAsia" w:ascii="宋体" w:hAnsi="宋体" w:eastAsia="宋体" w:cs="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480" w:lineRule="auto"/>
        <w:ind w:firstLine="1200" w:firstLineChars="500"/>
        <w:jc w:val="left"/>
        <w:textAlignment w:val="baseline"/>
        <w:rPr>
          <w:rStyle w:val="94"/>
          <w:rFonts w:hint="eastAsia" w:ascii="宋体" w:hAnsi="宋体" w:eastAsia="宋体" w:cs="宋体"/>
          <w:b w:val="0"/>
          <w:i w:val="0"/>
          <w:caps w:val="0"/>
          <w:color w:val="000000"/>
          <w:spacing w:val="0"/>
          <w:w w:val="100"/>
          <w:kern w:val="0"/>
          <w:sz w:val="24"/>
          <w:szCs w:val="24"/>
          <w:highlight w:val="none"/>
          <w:lang w:val="en-US" w:eastAsia="zh-CN" w:bidi="ar-SA"/>
        </w:rPr>
      </w:pPr>
      <w:r>
        <w:rPr>
          <w:rStyle w:val="94"/>
          <w:rFonts w:hint="eastAsia" w:ascii="宋体" w:hAnsi="宋体" w:eastAsia="宋体" w:cs="宋体"/>
          <w:b w:val="0"/>
          <w:i w:val="0"/>
          <w:caps w:val="0"/>
          <w:color w:val="000000"/>
          <w:spacing w:val="0"/>
          <w:w w:val="100"/>
          <w:kern w:val="0"/>
          <w:sz w:val="24"/>
          <w:szCs w:val="24"/>
          <w:highlight w:val="none"/>
          <w:lang w:val="en-US" w:eastAsia="zh-CN" w:bidi="ar-SA"/>
        </w:rPr>
        <w:t>合同包预算金额：</w:t>
      </w:r>
      <w:r>
        <w:rPr>
          <w:rStyle w:val="94"/>
          <w:rFonts w:hint="eastAsia" w:ascii="宋体" w:hAnsi="宋体" w:eastAsia="宋体" w:cs="宋体"/>
          <w:sz w:val="24"/>
          <w:szCs w:val="24"/>
          <w:highlight w:val="none"/>
          <w:lang w:val="en-US"/>
        </w:rPr>
        <w:t>100</w:t>
      </w:r>
      <w:r>
        <w:rPr>
          <w:rStyle w:val="94"/>
          <w:rFonts w:hint="eastAsia" w:ascii="宋体" w:hAnsi="宋体" w:eastAsia="宋体" w:cs="宋体"/>
          <w:sz w:val="24"/>
          <w:szCs w:val="24"/>
          <w:highlight w:val="none"/>
        </w:rPr>
        <w:t>0000.00</w:t>
      </w:r>
      <w:r>
        <w:rPr>
          <w:rStyle w:val="94"/>
          <w:rFonts w:hint="eastAsia" w:ascii="宋体" w:hAnsi="宋体" w:eastAsia="宋体" w:cs="宋体"/>
          <w:b w:val="0"/>
          <w:i w:val="0"/>
          <w:caps w:val="0"/>
          <w:color w:val="000000"/>
          <w:spacing w:val="0"/>
          <w:w w:val="100"/>
          <w:kern w:val="0"/>
          <w:sz w:val="24"/>
          <w:szCs w:val="24"/>
          <w:highlight w:val="none"/>
          <w:lang w:val="en-US" w:eastAsia="zh-CN" w:bidi="ar-SA"/>
        </w:rPr>
        <w:t>元</w:t>
      </w:r>
    </w:p>
    <w:p>
      <w:pPr>
        <w:snapToGrid w:val="0"/>
        <w:spacing w:before="0" w:beforeAutospacing="0" w:after="0" w:afterAutospacing="0" w:line="480" w:lineRule="auto"/>
        <w:ind w:firstLine="1200" w:firstLineChars="500"/>
        <w:jc w:val="left"/>
        <w:textAlignment w:val="baseline"/>
        <w:rPr>
          <w:rStyle w:val="94"/>
          <w:rFonts w:hint="eastAsia" w:ascii="宋体" w:hAnsi="宋体" w:eastAsia="宋体" w:cs="宋体"/>
          <w:b w:val="0"/>
          <w:i w:val="0"/>
          <w:caps w:val="0"/>
          <w:color w:val="000000"/>
          <w:spacing w:val="0"/>
          <w:w w:val="100"/>
          <w:kern w:val="0"/>
          <w:sz w:val="24"/>
          <w:szCs w:val="24"/>
          <w:highlight w:val="none"/>
          <w:lang w:val="en-US" w:eastAsia="zh-CN" w:bidi="ar-SA"/>
        </w:rPr>
      </w:pPr>
      <w:r>
        <w:rPr>
          <w:rStyle w:val="94"/>
          <w:rFonts w:hint="eastAsia" w:ascii="宋体" w:hAnsi="宋体" w:eastAsia="宋体" w:cs="宋体"/>
          <w:b w:val="0"/>
          <w:i w:val="0"/>
          <w:caps w:val="0"/>
          <w:color w:val="000000"/>
          <w:spacing w:val="0"/>
          <w:w w:val="100"/>
          <w:kern w:val="0"/>
          <w:sz w:val="24"/>
          <w:szCs w:val="24"/>
          <w:highlight w:val="none"/>
          <w:lang w:val="en-US" w:eastAsia="zh-CN" w:bidi="ar-SA"/>
        </w:rPr>
        <w:t>合同包最高限价：</w:t>
      </w:r>
      <w:r>
        <w:rPr>
          <w:rStyle w:val="94"/>
          <w:rFonts w:hint="eastAsia" w:ascii="宋体" w:hAnsi="宋体" w:eastAsia="宋体" w:cs="宋体"/>
          <w:sz w:val="24"/>
          <w:szCs w:val="24"/>
          <w:highlight w:val="none"/>
          <w:lang w:val="en-US"/>
        </w:rPr>
        <w:t>100</w:t>
      </w:r>
      <w:r>
        <w:rPr>
          <w:rStyle w:val="94"/>
          <w:rFonts w:hint="eastAsia" w:ascii="宋体" w:hAnsi="宋体" w:eastAsia="宋体" w:cs="宋体"/>
          <w:sz w:val="24"/>
          <w:szCs w:val="24"/>
          <w:highlight w:val="none"/>
        </w:rPr>
        <w:t>0000.0</w:t>
      </w:r>
      <w:r>
        <w:rPr>
          <w:rFonts w:hint="eastAsia" w:ascii="宋体" w:hAnsi="宋体" w:eastAsia="宋体" w:cs="宋体"/>
          <w:sz w:val="24"/>
          <w:szCs w:val="24"/>
          <w:highlight w:val="none"/>
        </w:rPr>
        <w:t>0</w:t>
      </w:r>
      <w:r>
        <w:rPr>
          <w:rStyle w:val="94"/>
          <w:rFonts w:hint="eastAsia" w:ascii="宋体" w:hAnsi="宋体" w:eastAsia="宋体" w:cs="宋体"/>
          <w:b w:val="0"/>
          <w:i w:val="0"/>
          <w:caps w:val="0"/>
          <w:color w:val="000000"/>
          <w:spacing w:val="0"/>
          <w:w w:val="100"/>
          <w:kern w:val="0"/>
          <w:sz w:val="24"/>
          <w:szCs w:val="24"/>
          <w:highlight w:val="none"/>
          <w:lang w:val="en-US" w:eastAsia="zh-CN" w:bidi="ar-SA"/>
        </w:rPr>
        <w:t>元</w:t>
      </w:r>
    </w:p>
    <w:tbl>
      <w:tblPr>
        <w:tblStyle w:val="28"/>
        <w:tblW w:w="9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83"/>
        <w:gridCol w:w="1375"/>
        <w:gridCol w:w="2208"/>
        <w:gridCol w:w="1021"/>
        <w:gridCol w:w="1649"/>
        <w:gridCol w:w="1440"/>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65" w:hRule="atLeast"/>
          <w:tblHeader/>
        </w:trPr>
        <w:tc>
          <w:tcPr>
            <w:tcW w:w="69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333333"/>
                <w:spacing w:val="0"/>
                <w:sz w:val="24"/>
                <w:szCs w:val="24"/>
                <w:highlight w:val="none"/>
              </w:rPr>
            </w:pPr>
            <w:r>
              <w:rPr>
                <w:rFonts w:hint="eastAsia" w:ascii="宋体" w:hAnsi="宋体" w:eastAsia="宋体" w:cs="宋体"/>
                <w:b/>
                <w:bCs/>
                <w:i w:val="0"/>
                <w:iCs w:val="0"/>
                <w:caps w:val="0"/>
                <w:color w:val="333333"/>
                <w:spacing w:val="0"/>
                <w:kern w:val="0"/>
                <w:sz w:val="24"/>
                <w:szCs w:val="24"/>
                <w:highlight w:val="none"/>
                <w:lang w:val="en-US" w:eastAsia="zh-CN" w:bidi="ar"/>
              </w:rPr>
              <w:t>品目号</w:t>
            </w:r>
          </w:p>
        </w:tc>
        <w:tc>
          <w:tcPr>
            <w:tcW w:w="14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333333"/>
                <w:spacing w:val="0"/>
                <w:sz w:val="24"/>
                <w:szCs w:val="24"/>
                <w:highlight w:val="none"/>
              </w:rPr>
            </w:pPr>
            <w:r>
              <w:rPr>
                <w:rFonts w:hint="eastAsia" w:ascii="宋体" w:hAnsi="宋体" w:eastAsia="宋体" w:cs="宋体"/>
                <w:b/>
                <w:bCs/>
                <w:i w:val="0"/>
                <w:iCs w:val="0"/>
                <w:caps w:val="0"/>
                <w:color w:val="333333"/>
                <w:spacing w:val="0"/>
                <w:kern w:val="0"/>
                <w:sz w:val="24"/>
                <w:szCs w:val="24"/>
                <w:highlight w:val="none"/>
                <w:lang w:val="en-US" w:eastAsia="zh-CN" w:bidi="ar"/>
              </w:rPr>
              <w:t>品目名称</w:t>
            </w:r>
          </w:p>
        </w:tc>
        <w:tc>
          <w:tcPr>
            <w:tcW w:w="226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333333"/>
                <w:spacing w:val="0"/>
                <w:sz w:val="24"/>
                <w:szCs w:val="24"/>
                <w:highlight w:val="none"/>
              </w:rPr>
            </w:pPr>
            <w:r>
              <w:rPr>
                <w:rFonts w:hint="eastAsia" w:ascii="宋体" w:hAnsi="宋体" w:eastAsia="宋体" w:cs="宋体"/>
                <w:b/>
                <w:bCs/>
                <w:i w:val="0"/>
                <w:iCs w:val="0"/>
                <w:caps w:val="0"/>
                <w:color w:val="333333"/>
                <w:spacing w:val="0"/>
                <w:kern w:val="0"/>
                <w:sz w:val="24"/>
                <w:szCs w:val="24"/>
                <w:highlight w:val="none"/>
                <w:lang w:val="en-US" w:eastAsia="zh-CN" w:bidi="ar"/>
              </w:rPr>
              <w:t>采购标的</w:t>
            </w:r>
          </w:p>
        </w:tc>
        <w:tc>
          <w:tcPr>
            <w:tcW w:w="103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333333"/>
                <w:spacing w:val="0"/>
                <w:sz w:val="24"/>
                <w:szCs w:val="24"/>
                <w:highlight w:val="none"/>
              </w:rPr>
            </w:pPr>
            <w:r>
              <w:rPr>
                <w:rFonts w:hint="eastAsia" w:ascii="宋体" w:hAnsi="宋体" w:eastAsia="宋体" w:cs="宋体"/>
                <w:b/>
                <w:bCs/>
                <w:i w:val="0"/>
                <w:iCs w:val="0"/>
                <w:caps w:val="0"/>
                <w:color w:val="333333"/>
                <w:spacing w:val="0"/>
                <w:kern w:val="0"/>
                <w:sz w:val="24"/>
                <w:szCs w:val="24"/>
                <w:highlight w:val="none"/>
                <w:lang w:val="en-US" w:eastAsia="zh-CN" w:bidi="ar"/>
              </w:rPr>
              <w:t>数量（单位）</w:t>
            </w:r>
          </w:p>
        </w:tc>
        <w:tc>
          <w:tcPr>
            <w:tcW w:w="154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333333"/>
                <w:spacing w:val="0"/>
                <w:sz w:val="24"/>
                <w:szCs w:val="24"/>
                <w:highlight w:val="none"/>
              </w:rPr>
            </w:pPr>
            <w:r>
              <w:rPr>
                <w:rFonts w:hint="eastAsia" w:ascii="宋体" w:hAnsi="宋体" w:eastAsia="宋体" w:cs="宋体"/>
                <w:b/>
                <w:bCs/>
                <w:i w:val="0"/>
                <w:iCs w:val="0"/>
                <w:caps w:val="0"/>
                <w:color w:val="333333"/>
                <w:spacing w:val="0"/>
                <w:kern w:val="0"/>
                <w:sz w:val="24"/>
                <w:szCs w:val="24"/>
                <w:highlight w:val="none"/>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333333"/>
                <w:spacing w:val="0"/>
                <w:sz w:val="24"/>
                <w:szCs w:val="24"/>
                <w:highlight w:val="none"/>
              </w:rPr>
            </w:pPr>
            <w:r>
              <w:rPr>
                <w:rFonts w:hint="eastAsia" w:ascii="宋体" w:hAnsi="宋体" w:eastAsia="宋体" w:cs="宋体"/>
                <w:b/>
                <w:bCs/>
                <w:i w:val="0"/>
                <w:iCs w:val="0"/>
                <w:caps w:val="0"/>
                <w:color w:val="333333"/>
                <w:spacing w:val="0"/>
                <w:kern w:val="0"/>
                <w:sz w:val="24"/>
                <w:szCs w:val="24"/>
                <w:highlight w:val="none"/>
                <w:lang w:val="en-US" w:eastAsia="zh-CN" w:bidi="ar"/>
              </w:rPr>
              <w:t>品目预算(元)</w:t>
            </w:r>
          </w:p>
        </w:tc>
        <w:tc>
          <w:tcPr>
            <w:tcW w:w="144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333333"/>
                <w:spacing w:val="0"/>
                <w:sz w:val="24"/>
                <w:szCs w:val="24"/>
                <w:highlight w:val="none"/>
              </w:rPr>
            </w:pPr>
            <w:r>
              <w:rPr>
                <w:rFonts w:hint="eastAsia" w:ascii="宋体" w:hAnsi="宋体" w:eastAsia="宋体" w:cs="宋体"/>
                <w:b/>
                <w:bCs/>
                <w:i w:val="0"/>
                <w:iCs w:val="0"/>
                <w:caps w:val="0"/>
                <w:color w:val="333333"/>
                <w:spacing w:val="0"/>
                <w:kern w:val="0"/>
                <w:sz w:val="24"/>
                <w:szCs w:val="24"/>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7" w:hRule="atLeast"/>
        </w:trPr>
        <w:tc>
          <w:tcPr>
            <w:tcW w:w="69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1-1</w:t>
            </w:r>
          </w:p>
        </w:tc>
        <w:tc>
          <w:tcPr>
            <w:tcW w:w="140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rPr>
              <w:t>教学专用仪器</w:t>
            </w:r>
          </w:p>
        </w:tc>
        <w:tc>
          <w:tcPr>
            <w:tcW w:w="226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lang w:eastAsia="zh-CN"/>
              </w:rPr>
              <w:t>智慧教室设备提升</w:t>
            </w:r>
          </w:p>
        </w:tc>
        <w:tc>
          <w:tcPr>
            <w:tcW w:w="103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right"/>
              <w:textAlignment w:val="center"/>
              <w:rPr>
                <w:rFonts w:hint="eastAsia" w:ascii="宋体" w:hAnsi="宋体" w:eastAsia="宋体" w:cs="宋体"/>
                <w:i w:val="0"/>
                <w:iCs w:val="0"/>
                <w:caps w:val="0"/>
                <w:color w:val="333333"/>
                <w:spacing w:val="0"/>
                <w:sz w:val="24"/>
                <w:szCs w:val="24"/>
                <w:highlight w:val="none"/>
              </w:rPr>
            </w:pPr>
            <w:r>
              <w:rPr>
                <w:rStyle w:val="94"/>
                <w:rFonts w:hint="eastAsia" w:ascii="宋体" w:hAnsi="宋体" w:eastAsia="宋体" w:cs="宋体"/>
                <w:sz w:val="24"/>
                <w:szCs w:val="24"/>
                <w:highlight w:val="none"/>
                <w:lang w:val="en-US"/>
              </w:rPr>
              <w:t>100</w:t>
            </w:r>
            <w:r>
              <w:rPr>
                <w:rStyle w:val="94"/>
                <w:rFonts w:hint="eastAsia" w:ascii="宋体" w:hAnsi="宋体" w:eastAsia="宋体" w:cs="宋体"/>
                <w:sz w:val="24"/>
                <w:szCs w:val="24"/>
                <w:highlight w:val="none"/>
              </w:rPr>
              <w:t>0000.00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firstLine="0"/>
              <w:jc w:val="right"/>
              <w:textAlignment w:val="center"/>
              <w:rPr>
                <w:rFonts w:hint="eastAsia" w:ascii="宋体" w:hAnsi="宋体" w:eastAsia="宋体" w:cs="宋体"/>
                <w:i w:val="0"/>
                <w:iCs w:val="0"/>
                <w:caps w:val="0"/>
                <w:color w:val="333333"/>
                <w:spacing w:val="0"/>
                <w:sz w:val="24"/>
                <w:szCs w:val="24"/>
                <w:highlight w:val="none"/>
              </w:rPr>
            </w:pPr>
            <w:r>
              <w:rPr>
                <w:rStyle w:val="94"/>
                <w:rFonts w:hint="eastAsia" w:ascii="宋体" w:hAnsi="宋体" w:eastAsia="宋体" w:cs="宋体"/>
                <w:sz w:val="24"/>
                <w:szCs w:val="24"/>
                <w:highlight w:val="none"/>
                <w:lang w:val="en-US"/>
              </w:rPr>
              <w:t>100</w:t>
            </w:r>
            <w:r>
              <w:rPr>
                <w:rStyle w:val="94"/>
                <w:rFonts w:hint="eastAsia" w:ascii="宋体" w:hAnsi="宋体" w:eastAsia="宋体" w:cs="宋体"/>
                <w:sz w:val="24"/>
                <w:szCs w:val="24"/>
                <w:highlight w:val="none"/>
              </w:rPr>
              <w:t>0000.00</w:t>
            </w:r>
          </w:p>
        </w:tc>
      </w:tr>
    </w:tbl>
    <w:p>
      <w:pPr>
        <w:keepNext w:val="0"/>
        <w:keepLines w:val="0"/>
        <w:pageBreakBefore w:val="0"/>
        <w:widowControl w:val="0"/>
        <w:kinsoku/>
        <w:wordWrap/>
        <w:overflowPunct/>
        <w:topLinePunct w:val="0"/>
        <w:autoSpaceDE/>
        <w:autoSpaceDN/>
        <w:bidi w:val="0"/>
        <w:adjustRightInd/>
        <w:snapToGrid w:val="0"/>
        <w:spacing w:before="157" w:beforeLines="50" w:line="480" w:lineRule="auto"/>
        <w:ind w:firstLine="480" w:firstLineChars="200"/>
        <w:jc w:val="left"/>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本合同包不接受联合体投标</w:t>
      </w:r>
    </w:p>
    <w:p>
      <w:pPr>
        <w:snapToGrid w:val="0"/>
        <w:spacing w:line="480" w:lineRule="auto"/>
        <w:ind w:firstLine="480" w:firstLineChars="200"/>
        <w:jc w:val="left"/>
        <w:textAlignment w:val="baseline"/>
        <w:rPr>
          <w:rStyle w:val="94"/>
          <w:rFonts w:hint="eastAsia" w:ascii="宋体" w:hAnsi="宋体" w:eastAsia="宋体" w:cs="宋体"/>
          <w:color w:val="000000"/>
          <w:kern w:val="0"/>
          <w:sz w:val="24"/>
          <w:szCs w:val="24"/>
          <w:highlight w:val="none"/>
        </w:rPr>
      </w:pPr>
      <w:r>
        <w:rPr>
          <w:rStyle w:val="94"/>
          <w:rFonts w:hint="eastAsia" w:ascii="宋体" w:hAnsi="宋体" w:eastAsia="宋体" w:cs="宋体"/>
          <w:color w:val="000000"/>
          <w:kern w:val="0"/>
          <w:sz w:val="24"/>
          <w:szCs w:val="24"/>
          <w:highlight w:val="none"/>
        </w:rPr>
        <w:t>合同履行期限：自合同签订之日起</w:t>
      </w:r>
      <w:r>
        <w:rPr>
          <w:rStyle w:val="94"/>
          <w:rFonts w:hint="eastAsia" w:ascii="宋体" w:hAnsi="宋体" w:cs="宋体"/>
          <w:color w:val="000000"/>
          <w:kern w:val="0"/>
          <w:sz w:val="24"/>
          <w:szCs w:val="24"/>
          <w:highlight w:val="none"/>
          <w:lang w:val="en-US"/>
        </w:rPr>
        <w:t>至2022年08月25日前</w:t>
      </w:r>
      <w:r>
        <w:rPr>
          <w:rStyle w:val="94"/>
          <w:rFonts w:hint="eastAsia" w:ascii="宋体" w:hAnsi="宋体" w:eastAsia="宋体" w:cs="宋体"/>
          <w:color w:val="000000"/>
          <w:kern w:val="0"/>
          <w:sz w:val="24"/>
          <w:szCs w:val="24"/>
          <w:highlight w:val="none"/>
        </w:rPr>
        <w:t>完成全部项目内容，并交付采购人验收合格。</w:t>
      </w:r>
    </w:p>
    <w:p>
      <w:pPr>
        <w:snapToGrid w:val="0"/>
        <w:spacing w:line="480" w:lineRule="auto"/>
        <w:jc w:val="left"/>
        <w:textAlignment w:val="baseline"/>
        <w:rPr>
          <w:rStyle w:val="94"/>
          <w:rFonts w:hint="eastAsia" w:ascii="宋体" w:hAnsi="宋体" w:eastAsia="宋体" w:cs="宋体"/>
          <w:b/>
          <w:bCs/>
          <w:color w:val="000000"/>
          <w:kern w:val="0"/>
          <w:sz w:val="24"/>
          <w:szCs w:val="24"/>
          <w:highlight w:val="none"/>
        </w:rPr>
      </w:pPr>
      <w:r>
        <w:rPr>
          <w:rStyle w:val="94"/>
          <w:rFonts w:hint="eastAsia" w:ascii="宋体" w:hAnsi="宋体" w:eastAsia="宋体" w:cs="宋体"/>
          <w:b/>
          <w:bCs/>
          <w:color w:val="000000"/>
          <w:kern w:val="0"/>
          <w:sz w:val="24"/>
          <w:szCs w:val="24"/>
          <w:highlight w:val="none"/>
        </w:rPr>
        <w:t>二、</w:t>
      </w:r>
      <w:r>
        <w:rPr>
          <w:rStyle w:val="31"/>
          <w:rFonts w:hint="eastAsia" w:ascii="宋体" w:hAnsi="宋体" w:eastAsia="宋体" w:cs="宋体"/>
          <w:b/>
          <w:bCs/>
          <w:i w:val="0"/>
          <w:iCs w:val="0"/>
          <w:caps w:val="0"/>
          <w:color w:val="auto"/>
          <w:spacing w:val="0"/>
          <w:sz w:val="24"/>
          <w:szCs w:val="24"/>
          <w:highlight w:val="none"/>
        </w:rPr>
        <w:t>申请人的资格要求：</w:t>
      </w:r>
    </w:p>
    <w:p>
      <w:pPr>
        <w:snapToGrid w:val="0"/>
        <w:spacing w:line="480" w:lineRule="auto"/>
        <w:ind w:firstLine="480" w:firstLineChars="200"/>
        <w:jc w:val="left"/>
        <w:textAlignment w:val="baseline"/>
        <w:rPr>
          <w:rStyle w:val="94"/>
          <w:rFonts w:hint="eastAsia" w:ascii="宋体" w:hAnsi="宋体" w:eastAsia="宋体" w:cs="宋体"/>
          <w:color w:val="000000"/>
          <w:kern w:val="0"/>
          <w:sz w:val="24"/>
          <w:szCs w:val="24"/>
          <w:highlight w:val="none"/>
        </w:rPr>
      </w:pPr>
      <w:r>
        <w:rPr>
          <w:rStyle w:val="94"/>
          <w:rFonts w:hint="eastAsia" w:ascii="宋体" w:hAnsi="宋体" w:eastAsia="宋体" w:cs="宋体"/>
          <w:color w:val="000000"/>
          <w:kern w:val="0"/>
          <w:sz w:val="24"/>
          <w:szCs w:val="24"/>
          <w:highlight w:val="none"/>
        </w:rPr>
        <w:t>1、满足《中华人民共和国政府采购法》第二十二条规定</w:t>
      </w:r>
    </w:p>
    <w:p>
      <w:pPr>
        <w:snapToGrid w:val="0"/>
        <w:spacing w:line="480" w:lineRule="auto"/>
        <w:ind w:firstLine="480" w:firstLineChars="200"/>
        <w:textAlignment w:val="baseline"/>
        <w:rPr>
          <w:rStyle w:val="94"/>
          <w:rFonts w:hint="eastAsia" w:ascii="宋体" w:hAnsi="宋体" w:eastAsia="宋体" w:cs="宋体"/>
          <w:color w:val="000000"/>
          <w:kern w:val="0"/>
          <w:sz w:val="24"/>
          <w:szCs w:val="24"/>
          <w:highlight w:val="none"/>
        </w:rPr>
      </w:pPr>
      <w:r>
        <w:rPr>
          <w:rStyle w:val="94"/>
          <w:rFonts w:hint="eastAsia" w:ascii="宋体" w:hAnsi="宋体" w:eastAsia="宋体" w:cs="宋体"/>
          <w:color w:val="000000"/>
          <w:kern w:val="0"/>
          <w:sz w:val="24"/>
          <w:szCs w:val="24"/>
          <w:highlight w:val="none"/>
        </w:rPr>
        <w:t>2、落实政府采购政策需满足的资格要求：</w:t>
      </w:r>
    </w:p>
    <w:p>
      <w:pPr>
        <w:snapToGrid w:val="0"/>
        <w:spacing w:line="480" w:lineRule="auto"/>
        <w:ind w:firstLine="480" w:firstLineChars="200"/>
        <w:textAlignment w:val="baseline"/>
        <w:rPr>
          <w:rStyle w:val="94"/>
          <w:rFonts w:hint="eastAsia" w:ascii="宋体" w:hAnsi="宋体" w:eastAsia="宋体" w:cs="宋体"/>
          <w:b w:val="0"/>
          <w:i w:val="0"/>
          <w:caps w:val="0"/>
          <w:color w:val="000000"/>
          <w:spacing w:val="0"/>
          <w:w w:val="100"/>
          <w:kern w:val="0"/>
          <w:sz w:val="24"/>
          <w:szCs w:val="24"/>
          <w:highlight w:val="none"/>
          <w:lang w:val="en-US" w:eastAsia="zh-CN" w:bidi="ar-SA"/>
        </w:rPr>
      </w:pPr>
      <w:r>
        <w:rPr>
          <w:rStyle w:val="94"/>
          <w:rFonts w:hint="eastAsia" w:ascii="宋体" w:hAnsi="宋体" w:eastAsia="宋体" w:cs="宋体"/>
          <w:b w:val="0"/>
          <w:i w:val="0"/>
          <w:caps w:val="0"/>
          <w:color w:val="000000"/>
          <w:spacing w:val="0"/>
          <w:w w:val="100"/>
          <w:kern w:val="0"/>
          <w:sz w:val="24"/>
          <w:szCs w:val="24"/>
          <w:highlight w:val="none"/>
          <w:lang w:val="en-US" w:eastAsia="zh-CN" w:bidi="ar-SA"/>
        </w:rPr>
        <w:t>合同包1（</w:t>
      </w:r>
      <w:r>
        <w:rPr>
          <w:rStyle w:val="94"/>
          <w:rFonts w:hint="eastAsia" w:ascii="宋体" w:hAnsi="宋体" w:cs="宋体"/>
          <w:b w:val="0"/>
          <w:i w:val="0"/>
          <w:caps w:val="0"/>
          <w:color w:val="000000"/>
          <w:spacing w:val="0"/>
          <w:w w:val="100"/>
          <w:kern w:val="0"/>
          <w:sz w:val="24"/>
          <w:szCs w:val="24"/>
          <w:highlight w:val="none"/>
          <w:lang w:val="en-US" w:eastAsia="zh-CN" w:bidi="ar-SA"/>
        </w:rPr>
        <w:t>西安市碑林区朱雀大街小学智慧教室设备提升项目</w:t>
      </w:r>
      <w:r>
        <w:rPr>
          <w:rStyle w:val="94"/>
          <w:rFonts w:hint="eastAsia" w:ascii="宋体" w:hAnsi="宋体" w:eastAsia="宋体" w:cs="宋体"/>
          <w:b w:val="0"/>
          <w:i w:val="0"/>
          <w:caps w:val="0"/>
          <w:color w:val="000000"/>
          <w:spacing w:val="0"/>
          <w:w w:val="100"/>
          <w:kern w:val="0"/>
          <w:sz w:val="24"/>
          <w:szCs w:val="24"/>
          <w:highlight w:val="none"/>
          <w:lang w:val="en-US" w:eastAsia="zh-CN" w:bidi="ar-SA"/>
        </w:rPr>
        <w:t>）落实政府采购政策需满足的资格要求如下:</w:t>
      </w:r>
    </w:p>
    <w:p>
      <w:pPr>
        <w:snapToGrid w:val="0"/>
        <w:spacing w:line="480" w:lineRule="auto"/>
        <w:ind w:firstLine="480" w:firstLineChars="200"/>
        <w:textAlignment w:val="baseline"/>
        <w:rPr>
          <w:rStyle w:val="94"/>
          <w:rFonts w:hint="eastAsia" w:ascii="宋体" w:hAnsi="宋体" w:eastAsia="宋体" w:cs="宋体"/>
          <w:color w:val="000000"/>
          <w:kern w:val="0"/>
          <w:sz w:val="24"/>
          <w:szCs w:val="24"/>
          <w:highlight w:val="none"/>
        </w:rPr>
      </w:pPr>
      <w:r>
        <w:rPr>
          <w:rStyle w:val="94"/>
          <w:rFonts w:hint="eastAsia" w:ascii="宋体" w:hAnsi="宋体" w:cs="宋体"/>
          <w:color w:val="000000"/>
          <w:kern w:val="0"/>
          <w:sz w:val="24"/>
          <w:szCs w:val="24"/>
          <w:highlight w:val="none"/>
        </w:rPr>
        <w:t>本项目非专门面向中小企业采购。</w:t>
      </w:r>
    </w:p>
    <w:p>
      <w:pPr>
        <w:numPr>
          <w:ilvl w:val="0"/>
          <w:numId w:val="1"/>
        </w:numPr>
        <w:snapToGrid w:val="0"/>
        <w:spacing w:line="480" w:lineRule="auto"/>
        <w:ind w:firstLine="480" w:firstLineChars="200"/>
        <w:textAlignment w:val="baseline"/>
        <w:rPr>
          <w:rStyle w:val="94"/>
          <w:rFonts w:hint="eastAsia" w:ascii="宋体" w:hAnsi="宋体" w:eastAsia="宋体" w:cs="宋体"/>
          <w:color w:val="000000"/>
          <w:kern w:val="0"/>
          <w:sz w:val="24"/>
          <w:szCs w:val="24"/>
          <w:highlight w:val="none"/>
        </w:rPr>
      </w:pPr>
      <w:r>
        <w:rPr>
          <w:rStyle w:val="94"/>
          <w:rFonts w:hint="eastAsia" w:ascii="宋体" w:hAnsi="宋体" w:eastAsia="宋体" w:cs="宋体"/>
          <w:color w:val="000000"/>
          <w:kern w:val="0"/>
          <w:sz w:val="24"/>
          <w:szCs w:val="24"/>
          <w:highlight w:val="none"/>
        </w:rPr>
        <w:t>本项目的特定资格要求：</w:t>
      </w:r>
    </w:p>
    <w:p>
      <w:pPr>
        <w:snapToGrid w:val="0"/>
        <w:spacing w:line="480" w:lineRule="auto"/>
        <w:ind w:firstLine="480" w:firstLineChars="200"/>
        <w:textAlignment w:val="baseline"/>
        <w:rPr>
          <w:rStyle w:val="94"/>
          <w:rFonts w:hint="eastAsia" w:ascii="宋体" w:hAnsi="宋体" w:eastAsia="宋体" w:cs="宋体"/>
          <w:b w:val="0"/>
          <w:i w:val="0"/>
          <w:caps w:val="0"/>
          <w:color w:val="000000"/>
          <w:spacing w:val="0"/>
          <w:w w:val="100"/>
          <w:kern w:val="0"/>
          <w:sz w:val="24"/>
          <w:szCs w:val="24"/>
          <w:highlight w:val="none"/>
          <w:lang w:val="en-US" w:eastAsia="zh-CN" w:bidi="ar-SA"/>
        </w:rPr>
      </w:pPr>
      <w:r>
        <w:rPr>
          <w:rStyle w:val="94"/>
          <w:rFonts w:hint="eastAsia" w:ascii="宋体" w:hAnsi="宋体" w:eastAsia="宋体" w:cs="宋体"/>
          <w:b w:val="0"/>
          <w:i w:val="0"/>
          <w:caps w:val="0"/>
          <w:color w:val="000000"/>
          <w:spacing w:val="0"/>
          <w:w w:val="100"/>
          <w:kern w:val="0"/>
          <w:sz w:val="24"/>
          <w:szCs w:val="24"/>
          <w:highlight w:val="none"/>
          <w:lang w:val="en-US" w:eastAsia="zh-CN" w:bidi="ar-SA"/>
        </w:rPr>
        <w:t>合同包1（</w:t>
      </w:r>
      <w:r>
        <w:rPr>
          <w:rStyle w:val="94"/>
          <w:rFonts w:hint="eastAsia" w:ascii="宋体" w:hAnsi="宋体" w:cs="宋体"/>
          <w:b w:val="0"/>
          <w:i w:val="0"/>
          <w:caps w:val="0"/>
          <w:color w:val="000000"/>
          <w:spacing w:val="0"/>
          <w:w w:val="100"/>
          <w:kern w:val="0"/>
          <w:sz w:val="24"/>
          <w:szCs w:val="24"/>
          <w:highlight w:val="none"/>
          <w:lang w:val="en-US" w:eastAsia="zh-CN" w:bidi="ar-SA"/>
        </w:rPr>
        <w:t>西安市碑林区朱雀大街小学智慧教室设备提升项目</w:t>
      </w:r>
      <w:r>
        <w:rPr>
          <w:rStyle w:val="94"/>
          <w:rFonts w:hint="eastAsia" w:ascii="宋体" w:hAnsi="宋体" w:eastAsia="宋体" w:cs="宋体"/>
          <w:b w:val="0"/>
          <w:i w:val="0"/>
          <w:caps w:val="0"/>
          <w:color w:val="000000"/>
          <w:spacing w:val="0"/>
          <w:w w:val="100"/>
          <w:kern w:val="0"/>
          <w:sz w:val="24"/>
          <w:szCs w:val="24"/>
          <w:highlight w:val="none"/>
          <w:lang w:val="en-US" w:eastAsia="zh-CN" w:bidi="ar-SA"/>
        </w:rPr>
        <w:t>）特定资格要求如下:</w:t>
      </w:r>
    </w:p>
    <w:p>
      <w:pPr>
        <w:snapToGrid w:val="0"/>
        <w:spacing w:line="480" w:lineRule="auto"/>
        <w:ind w:firstLine="480" w:firstLineChars="200"/>
        <w:textAlignment w:val="baseline"/>
        <w:rPr>
          <w:rStyle w:val="94"/>
          <w:rFonts w:hint="eastAsia" w:ascii="宋体" w:hAnsi="宋体" w:eastAsia="宋体" w:cs="宋体"/>
          <w:color w:val="000000"/>
          <w:kern w:val="0"/>
          <w:sz w:val="24"/>
          <w:szCs w:val="24"/>
          <w:highlight w:val="none"/>
        </w:rPr>
      </w:pPr>
      <w:r>
        <w:rPr>
          <w:rStyle w:val="94"/>
          <w:rFonts w:hint="eastAsia" w:ascii="宋体" w:hAnsi="宋体" w:eastAsia="宋体" w:cs="宋体"/>
          <w:color w:val="000000"/>
          <w:kern w:val="0"/>
          <w:sz w:val="24"/>
          <w:szCs w:val="24"/>
          <w:highlight w:val="none"/>
        </w:rPr>
        <w:t>①法定代表人授权书（附法定代表人、被授权人身份证复印件）及被授权人身份证（法定代表人直接参加</w:t>
      </w:r>
      <w:r>
        <w:rPr>
          <w:rStyle w:val="94"/>
          <w:rFonts w:hint="eastAsia" w:ascii="宋体" w:hAnsi="宋体" w:eastAsia="宋体" w:cs="宋体"/>
          <w:color w:val="000000"/>
          <w:kern w:val="0"/>
          <w:sz w:val="24"/>
          <w:szCs w:val="24"/>
          <w:highlight w:val="none"/>
          <w:lang w:val="en-US"/>
        </w:rPr>
        <w:t>谈判活动</w:t>
      </w:r>
      <w:r>
        <w:rPr>
          <w:rStyle w:val="94"/>
          <w:rFonts w:hint="eastAsia" w:ascii="宋体" w:hAnsi="宋体" w:eastAsia="宋体" w:cs="宋体"/>
          <w:color w:val="000000"/>
          <w:kern w:val="0"/>
          <w:sz w:val="24"/>
          <w:szCs w:val="24"/>
          <w:highlight w:val="none"/>
        </w:rPr>
        <w:t>，须提供法定代表人身份证明及身份证原件）；②本项目不接受联合体</w:t>
      </w:r>
      <w:r>
        <w:rPr>
          <w:rStyle w:val="94"/>
          <w:rFonts w:hint="eastAsia" w:ascii="宋体" w:hAnsi="宋体" w:eastAsia="宋体" w:cs="宋体"/>
          <w:color w:val="000000"/>
          <w:kern w:val="0"/>
          <w:sz w:val="24"/>
          <w:szCs w:val="24"/>
          <w:highlight w:val="none"/>
          <w:lang w:val="en-US"/>
        </w:rPr>
        <w:t>谈判</w:t>
      </w:r>
      <w:r>
        <w:rPr>
          <w:rStyle w:val="94"/>
          <w:rFonts w:hint="eastAsia" w:ascii="宋体" w:hAnsi="宋体" w:eastAsia="宋体" w:cs="宋体"/>
          <w:color w:val="000000"/>
          <w:kern w:val="0"/>
          <w:sz w:val="24"/>
          <w:szCs w:val="24"/>
          <w:highlight w:val="none"/>
        </w:rPr>
        <w:t>（提供书面声明）。</w:t>
      </w:r>
    </w:p>
    <w:p>
      <w:pPr>
        <w:snapToGrid w:val="0"/>
        <w:spacing w:line="480" w:lineRule="auto"/>
        <w:jc w:val="left"/>
        <w:textAlignment w:val="baseline"/>
        <w:rPr>
          <w:rStyle w:val="94"/>
          <w:rFonts w:hint="eastAsia" w:ascii="宋体" w:hAnsi="宋体" w:eastAsia="宋体" w:cs="宋体"/>
          <w:b/>
          <w:bCs/>
          <w:color w:val="000000"/>
          <w:kern w:val="0"/>
          <w:sz w:val="24"/>
          <w:szCs w:val="24"/>
          <w:highlight w:val="none"/>
        </w:rPr>
      </w:pPr>
      <w:r>
        <w:rPr>
          <w:rStyle w:val="94"/>
          <w:rFonts w:hint="eastAsia" w:ascii="宋体" w:hAnsi="宋体" w:eastAsia="宋体" w:cs="宋体"/>
          <w:b/>
          <w:bCs/>
          <w:color w:val="000000"/>
          <w:kern w:val="0"/>
          <w:sz w:val="24"/>
          <w:szCs w:val="24"/>
          <w:highlight w:val="none"/>
        </w:rPr>
        <w:t>三、</w:t>
      </w:r>
      <w:r>
        <w:rPr>
          <w:rStyle w:val="31"/>
          <w:rFonts w:hint="eastAsia" w:ascii="宋体" w:hAnsi="宋体" w:eastAsia="宋体" w:cs="宋体"/>
          <w:b/>
          <w:bCs/>
          <w:i w:val="0"/>
          <w:iCs w:val="0"/>
          <w:caps w:val="0"/>
          <w:color w:val="auto"/>
          <w:spacing w:val="0"/>
          <w:sz w:val="24"/>
          <w:szCs w:val="24"/>
          <w:highlight w:val="none"/>
        </w:rPr>
        <w:t>获取采购文件</w:t>
      </w:r>
    </w:p>
    <w:p>
      <w:pPr>
        <w:snapToGrid w:val="0"/>
        <w:spacing w:line="480" w:lineRule="auto"/>
        <w:ind w:firstLine="480" w:firstLineChars="200"/>
        <w:jc w:val="left"/>
        <w:textAlignment w:val="baseline"/>
        <w:rPr>
          <w:rStyle w:val="94"/>
          <w:rFonts w:hint="eastAsia" w:ascii="宋体" w:hAnsi="宋体" w:eastAsia="宋体" w:cs="宋体"/>
          <w:color w:val="000000"/>
          <w:kern w:val="0"/>
          <w:sz w:val="24"/>
          <w:szCs w:val="24"/>
          <w:highlight w:val="none"/>
        </w:rPr>
      </w:pPr>
      <w:r>
        <w:rPr>
          <w:rStyle w:val="94"/>
          <w:rFonts w:hint="eastAsia" w:ascii="宋体" w:hAnsi="宋体" w:eastAsia="宋体" w:cs="宋体"/>
          <w:color w:val="000000"/>
          <w:kern w:val="0"/>
          <w:sz w:val="24"/>
          <w:szCs w:val="24"/>
          <w:highlight w:val="none"/>
        </w:rPr>
        <w:t>时间：2022年0</w:t>
      </w:r>
      <w:r>
        <w:rPr>
          <w:rStyle w:val="94"/>
          <w:rFonts w:hint="eastAsia" w:ascii="宋体" w:hAnsi="宋体" w:cs="宋体"/>
          <w:color w:val="000000"/>
          <w:kern w:val="0"/>
          <w:sz w:val="24"/>
          <w:szCs w:val="24"/>
          <w:highlight w:val="none"/>
          <w:lang w:val="en-US"/>
        </w:rPr>
        <w:t>8</w:t>
      </w:r>
      <w:r>
        <w:rPr>
          <w:rStyle w:val="94"/>
          <w:rFonts w:hint="eastAsia" w:ascii="宋体" w:hAnsi="宋体" w:eastAsia="宋体" w:cs="宋体"/>
          <w:color w:val="000000"/>
          <w:kern w:val="0"/>
          <w:sz w:val="24"/>
          <w:szCs w:val="24"/>
          <w:highlight w:val="none"/>
        </w:rPr>
        <w:t>月</w:t>
      </w:r>
      <w:r>
        <w:rPr>
          <w:rStyle w:val="94"/>
          <w:rFonts w:hint="eastAsia" w:ascii="宋体" w:hAnsi="宋体" w:cs="宋体"/>
          <w:color w:val="000000"/>
          <w:kern w:val="0"/>
          <w:sz w:val="24"/>
          <w:szCs w:val="24"/>
          <w:highlight w:val="none"/>
          <w:lang w:val="en-US"/>
        </w:rPr>
        <w:t>09</w:t>
      </w:r>
      <w:r>
        <w:rPr>
          <w:rStyle w:val="94"/>
          <w:rFonts w:hint="eastAsia" w:ascii="宋体" w:hAnsi="宋体" w:eastAsia="宋体" w:cs="宋体"/>
          <w:color w:val="000000"/>
          <w:kern w:val="0"/>
          <w:sz w:val="24"/>
          <w:szCs w:val="24"/>
          <w:highlight w:val="none"/>
        </w:rPr>
        <w:t>日 至 2022年</w:t>
      </w:r>
      <w:r>
        <w:rPr>
          <w:rStyle w:val="94"/>
          <w:rFonts w:hint="eastAsia" w:ascii="宋体" w:hAnsi="宋体" w:cs="宋体"/>
          <w:color w:val="000000"/>
          <w:kern w:val="0"/>
          <w:sz w:val="24"/>
          <w:szCs w:val="24"/>
          <w:highlight w:val="none"/>
          <w:lang w:val="en-US"/>
        </w:rPr>
        <w:t>08</w:t>
      </w:r>
      <w:r>
        <w:rPr>
          <w:rStyle w:val="94"/>
          <w:rFonts w:hint="eastAsia" w:ascii="宋体" w:hAnsi="宋体" w:eastAsia="宋体" w:cs="宋体"/>
          <w:color w:val="000000"/>
          <w:kern w:val="0"/>
          <w:sz w:val="24"/>
          <w:szCs w:val="24"/>
          <w:highlight w:val="none"/>
        </w:rPr>
        <w:t>月</w:t>
      </w:r>
      <w:r>
        <w:rPr>
          <w:rStyle w:val="94"/>
          <w:rFonts w:hint="eastAsia" w:ascii="宋体" w:hAnsi="宋体" w:cs="宋体"/>
          <w:color w:val="000000"/>
          <w:kern w:val="0"/>
          <w:sz w:val="24"/>
          <w:szCs w:val="24"/>
          <w:highlight w:val="none"/>
          <w:lang w:val="en-US"/>
        </w:rPr>
        <w:t>11</w:t>
      </w:r>
      <w:r>
        <w:rPr>
          <w:rStyle w:val="94"/>
          <w:rFonts w:hint="eastAsia" w:ascii="宋体" w:hAnsi="宋体" w:eastAsia="宋体" w:cs="宋体"/>
          <w:color w:val="000000"/>
          <w:kern w:val="0"/>
          <w:sz w:val="24"/>
          <w:szCs w:val="24"/>
          <w:highlight w:val="none"/>
        </w:rPr>
        <w:t>日 ，每天上午 09:00:00 至 12:00:00 ，下午 1</w:t>
      </w:r>
      <w:r>
        <w:rPr>
          <w:rStyle w:val="94"/>
          <w:rFonts w:hint="eastAsia" w:ascii="宋体" w:hAnsi="宋体" w:eastAsia="宋体" w:cs="宋体"/>
          <w:color w:val="000000"/>
          <w:kern w:val="0"/>
          <w:sz w:val="24"/>
          <w:szCs w:val="24"/>
          <w:highlight w:val="none"/>
          <w:lang w:val="en-US"/>
        </w:rPr>
        <w:t>4</w:t>
      </w:r>
      <w:r>
        <w:rPr>
          <w:rStyle w:val="94"/>
          <w:rFonts w:hint="eastAsia" w:ascii="宋体" w:hAnsi="宋体" w:eastAsia="宋体" w:cs="宋体"/>
          <w:color w:val="000000"/>
          <w:kern w:val="0"/>
          <w:sz w:val="24"/>
          <w:szCs w:val="24"/>
          <w:highlight w:val="none"/>
        </w:rPr>
        <w:t>:00:00 至 18:00:00 （北京时间,法定节假日除外）</w:t>
      </w:r>
    </w:p>
    <w:p>
      <w:pPr>
        <w:snapToGrid w:val="0"/>
        <w:spacing w:line="480" w:lineRule="auto"/>
        <w:ind w:firstLine="480" w:firstLineChars="200"/>
        <w:jc w:val="left"/>
        <w:textAlignment w:val="baseline"/>
        <w:rPr>
          <w:rStyle w:val="94"/>
          <w:rFonts w:hint="eastAsia" w:ascii="宋体" w:hAnsi="宋体" w:eastAsia="宋体" w:cs="宋体"/>
          <w:color w:val="000000"/>
          <w:kern w:val="0"/>
          <w:sz w:val="24"/>
          <w:szCs w:val="24"/>
          <w:highlight w:val="none"/>
        </w:rPr>
      </w:pPr>
      <w:r>
        <w:rPr>
          <w:rStyle w:val="94"/>
          <w:rFonts w:hint="eastAsia" w:ascii="宋体" w:hAnsi="宋体" w:eastAsia="宋体" w:cs="宋体"/>
          <w:color w:val="000000"/>
          <w:kern w:val="0"/>
          <w:sz w:val="24"/>
          <w:szCs w:val="24"/>
          <w:highlight w:val="none"/>
        </w:rPr>
        <w:t>地点：西安市未央区凤城五路与明光路十字天朗经开中心10楼11002室</w:t>
      </w:r>
    </w:p>
    <w:p>
      <w:pPr>
        <w:snapToGrid w:val="0"/>
        <w:spacing w:line="480" w:lineRule="auto"/>
        <w:ind w:firstLine="480" w:firstLineChars="200"/>
        <w:jc w:val="left"/>
        <w:textAlignment w:val="baseline"/>
        <w:rPr>
          <w:rStyle w:val="94"/>
          <w:rFonts w:hint="eastAsia" w:ascii="宋体" w:hAnsi="宋体" w:eastAsia="宋体" w:cs="宋体"/>
          <w:b w:val="0"/>
          <w:bCs w:val="0"/>
          <w:color w:val="000000"/>
          <w:kern w:val="0"/>
          <w:sz w:val="24"/>
          <w:szCs w:val="24"/>
          <w:highlight w:val="none"/>
        </w:rPr>
      </w:pPr>
      <w:r>
        <w:rPr>
          <w:rStyle w:val="94"/>
          <w:rFonts w:hint="eastAsia" w:ascii="宋体" w:hAnsi="宋体" w:eastAsia="宋体" w:cs="宋体"/>
          <w:b w:val="0"/>
          <w:bCs w:val="0"/>
          <w:color w:val="000000"/>
          <w:kern w:val="0"/>
          <w:sz w:val="24"/>
          <w:szCs w:val="24"/>
          <w:highlight w:val="none"/>
        </w:rPr>
        <w:t>方式：现场获取</w:t>
      </w:r>
    </w:p>
    <w:p>
      <w:pPr>
        <w:snapToGrid w:val="0"/>
        <w:spacing w:line="480" w:lineRule="auto"/>
        <w:ind w:firstLine="480" w:firstLineChars="200"/>
        <w:jc w:val="left"/>
        <w:textAlignment w:val="baseline"/>
        <w:rPr>
          <w:rStyle w:val="94"/>
          <w:rFonts w:hint="eastAsia" w:ascii="宋体" w:hAnsi="宋体" w:eastAsia="宋体" w:cs="宋体"/>
          <w:b w:val="0"/>
          <w:bCs w:val="0"/>
          <w:color w:val="000000"/>
          <w:kern w:val="0"/>
          <w:sz w:val="24"/>
          <w:szCs w:val="24"/>
          <w:highlight w:val="none"/>
        </w:rPr>
      </w:pPr>
      <w:r>
        <w:rPr>
          <w:rStyle w:val="94"/>
          <w:rFonts w:hint="eastAsia" w:ascii="宋体" w:hAnsi="宋体" w:eastAsia="宋体" w:cs="宋体"/>
          <w:b w:val="0"/>
          <w:bCs w:val="0"/>
          <w:color w:val="000000"/>
          <w:kern w:val="0"/>
          <w:sz w:val="24"/>
          <w:szCs w:val="24"/>
          <w:highlight w:val="none"/>
        </w:rPr>
        <w:t>售价：免费获取</w:t>
      </w:r>
    </w:p>
    <w:p>
      <w:pPr>
        <w:snapToGrid w:val="0"/>
        <w:spacing w:line="480" w:lineRule="auto"/>
        <w:jc w:val="left"/>
        <w:textAlignment w:val="baseline"/>
        <w:rPr>
          <w:rStyle w:val="94"/>
          <w:rFonts w:hint="eastAsia" w:ascii="宋体" w:hAnsi="宋体" w:eastAsia="宋体" w:cs="宋体"/>
          <w:b/>
          <w:bCs/>
          <w:color w:val="000000"/>
          <w:kern w:val="0"/>
          <w:sz w:val="24"/>
          <w:szCs w:val="24"/>
          <w:highlight w:val="none"/>
        </w:rPr>
      </w:pPr>
      <w:r>
        <w:rPr>
          <w:rStyle w:val="94"/>
          <w:rFonts w:hint="eastAsia" w:ascii="宋体" w:hAnsi="宋体" w:eastAsia="宋体" w:cs="宋体"/>
          <w:b/>
          <w:bCs/>
          <w:color w:val="000000"/>
          <w:kern w:val="0"/>
          <w:sz w:val="24"/>
          <w:szCs w:val="24"/>
          <w:highlight w:val="none"/>
        </w:rPr>
        <w:t>四、响应文件提交</w:t>
      </w:r>
    </w:p>
    <w:p>
      <w:pPr>
        <w:snapToGrid w:val="0"/>
        <w:spacing w:line="480" w:lineRule="auto"/>
        <w:ind w:firstLine="480" w:firstLineChars="200"/>
        <w:jc w:val="left"/>
        <w:textAlignment w:val="baseline"/>
        <w:rPr>
          <w:rStyle w:val="94"/>
          <w:rFonts w:hint="eastAsia" w:ascii="宋体" w:hAnsi="宋体" w:eastAsia="宋体" w:cs="宋体"/>
          <w:sz w:val="24"/>
          <w:szCs w:val="24"/>
          <w:highlight w:val="none"/>
        </w:rPr>
      </w:pPr>
      <w:r>
        <w:rPr>
          <w:rStyle w:val="94"/>
          <w:rFonts w:hint="eastAsia" w:ascii="宋体" w:hAnsi="宋体" w:eastAsia="宋体" w:cs="宋体"/>
          <w:color w:val="000000"/>
          <w:kern w:val="0"/>
          <w:sz w:val="24"/>
          <w:szCs w:val="24"/>
          <w:highlight w:val="none"/>
        </w:rPr>
        <w:t>截止时间：2022年</w:t>
      </w:r>
      <w:r>
        <w:rPr>
          <w:rStyle w:val="94"/>
          <w:rFonts w:hint="eastAsia" w:ascii="宋体" w:hAnsi="宋体" w:cs="宋体"/>
          <w:color w:val="000000"/>
          <w:kern w:val="0"/>
          <w:sz w:val="24"/>
          <w:szCs w:val="24"/>
          <w:highlight w:val="none"/>
        </w:rPr>
        <w:t>08月16日</w:t>
      </w:r>
      <w:r>
        <w:rPr>
          <w:rStyle w:val="94"/>
          <w:rFonts w:hint="eastAsia" w:ascii="宋体" w:hAnsi="宋体" w:cs="宋体"/>
          <w:sz w:val="24"/>
          <w:szCs w:val="24"/>
          <w:highlight w:val="none"/>
          <w:lang w:val="en-US"/>
        </w:rPr>
        <w:t>09</w:t>
      </w:r>
      <w:r>
        <w:rPr>
          <w:rStyle w:val="94"/>
          <w:rFonts w:hint="eastAsia" w:ascii="宋体" w:hAnsi="宋体" w:eastAsia="宋体" w:cs="宋体"/>
          <w:sz w:val="24"/>
          <w:szCs w:val="24"/>
          <w:highlight w:val="none"/>
        </w:rPr>
        <w:t>时</w:t>
      </w:r>
      <w:r>
        <w:rPr>
          <w:rStyle w:val="94"/>
          <w:rFonts w:hint="eastAsia" w:ascii="宋体" w:hAnsi="宋体" w:cs="宋体"/>
          <w:sz w:val="24"/>
          <w:szCs w:val="24"/>
          <w:highlight w:val="none"/>
          <w:lang w:val="en-US"/>
        </w:rPr>
        <w:t>30</w:t>
      </w:r>
      <w:r>
        <w:rPr>
          <w:rStyle w:val="94"/>
          <w:rFonts w:hint="eastAsia" w:ascii="宋体" w:hAnsi="宋体" w:eastAsia="宋体" w:cs="宋体"/>
          <w:sz w:val="24"/>
          <w:szCs w:val="24"/>
          <w:highlight w:val="none"/>
        </w:rPr>
        <w:t>分</w:t>
      </w:r>
      <w:r>
        <w:rPr>
          <w:rStyle w:val="94"/>
          <w:rFonts w:hint="eastAsia" w:ascii="宋体" w:hAnsi="宋体" w:eastAsia="宋体" w:cs="宋体"/>
          <w:sz w:val="24"/>
          <w:szCs w:val="24"/>
          <w:highlight w:val="none"/>
          <w:lang w:val="en-US"/>
        </w:rPr>
        <w:t>00</w:t>
      </w:r>
      <w:r>
        <w:rPr>
          <w:rStyle w:val="94"/>
          <w:rFonts w:hint="eastAsia" w:ascii="宋体" w:hAnsi="宋体" w:eastAsia="宋体" w:cs="宋体"/>
          <w:sz w:val="24"/>
          <w:szCs w:val="24"/>
          <w:highlight w:val="none"/>
        </w:rPr>
        <w:t>秒（北京时间）</w:t>
      </w:r>
    </w:p>
    <w:p>
      <w:pPr>
        <w:snapToGrid w:val="0"/>
        <w:spacing w:line="480" w:lineRule="auto"/>
        <w:ind w:firstLine="480" w:firstLineChars="200"/>
        <w:jc w:val="left"/>
        <w:textAlignment w:val="baseline"/>
        <w:rPr>
          <w:rStyle w:val="94"/>
          <w:rFonts w:hint="eastAsia" w:ascii="宋体" w:hAnsi="宋体" w:eastAsia="宋体" w:cs="宋体"/>
          <w:color w:val="000000"/>
          <w:kern w:val="0"/>
          <w:sz w:val="24"/>
          <w:szCs w:val="24"/>
          <w:highlight w:val="none"/>
        </w:rPr>
      </w:pPr>
      <w:r>
        <w:rPr>
          <w:rStyle w:val="94"/>
          <w:rFonts w:hint="eastAsia" w:ascii="宋体" w:hAnsi="宋体" w:eastAsia="宋体" w:cs="宋体"/>
          <w:color w:val="000000"/>
          <w:kern w:val="0"/>
          <w:sz w:val="24"/>
          <w:szCs w:val="24"/>
          <w:highlight w:val="none"/>
        </w:rPr>
        <w:t>地点：西安市未央区凤城五路与明光路十字天朗经开中心10楼11002室</w:t>
      </w:r>
    </w:p>
    <w:p>
      <w:pPr>
        <w:snapToGrid w:val="0"/>
        <w:spacing w:line="480" w:lineRule="auto"/>
        <w:jc w:val="left"/>
        <w:textAlignment w:val="baseline"/>
        <w:rPr>
          <w:rStyle w:val="94"/>
          <w:rFonts w:hint="eastAsia" w:ascii="宋体" w:hAnsi="宋体" w:eastAsia="宋体" w:cs="宋体"/>
          <w:b/>
          <w:bCs/>
          <w:color w:val="000000"/>
          <w:kern w:val="0"/>
          <w:sz w:val="24"/>
          <w:szCs w:val="24"/>
          <w:highlight w:val="none"/>
        </w:rPr>
      </w:pPr>
      <w:r>
        <w:rPr>
          <w:rStyle w:val="94"/>
          <w:rFonts w:hint="eastAsia" w:ascii="宋体" w:hAnsi="宋体" w:eastAsia="宋体" w:cs="宋体"/>
          <w:b/>
          <w:bCs/>
          <w:color w:val="000000"/>
          <w:kern w:val="0"/>
          <w:sz w:val="24"/>
          <w:szCs w:val="24"/>
          <w:highlight w:val="none"/>
        </w:rPr>
        <w:t>五、开启</w:t>
      </w:r>
    </w:p>
    <w:p>
      <w:pPr>
        <w:snapToGrid w:val="0"/>
        <w:spacing w:line="480" w:lineRule="auto"/>
        <w:ind w:firstLine="480" w:firstLineChars="200"/>
        <w:jc w:val="left"/>
        <w:textAlignment w:val="baseline"/>
        <w:rPr>
          <w:rStyle w:val="94"/>
          <w:rFonts w:hint="eastAsia" w:ascii="宋体" w:hAnsi="宋体" w:eastAsia="宋体" w:cs="宋体"/>
          <w:sz w:val="24"/>
          <w:szCs w:val="24"/>
          <w:highlight w:val="none"/>
        </w:rPr>
      </w:pPr>
      <w:r>
        <w:rPr>
          <w:rStyle w:val="94"/>
          <w:rFonts w:hint="eastAsia" w:ascii="宋体" w:hAnsi="宋体" w:eastAsia="宋体" w:cs="宋体"/>
          <w:color w:val="000000"/>
          <w:kern w:val="0"/>
          <w:sz w:val="24"/>
          <w:szCs w:val="24"/>
          <w:highlight w:val="none"/>
        </w:rPr>
        <w:t>截止时间：2022年</w:t>
      </w:r>
      <w:r>
        <w:rPr>
          <w:rStyle w:val="94"/>
          <w:rFonts w:hint="eastAsia" w:ascii="宋体" w:hAnsi="宋体" w:cs="宋体"/>
          <w:color w:val="000000"/>
          <w:kern w:val="0"/>
          <w:sz w:val="24"/>
          <w:szCs w:val="24"/>
          <w:highlight w:val="none"/>
        </w:rPr>
        <w:t>08月16日</w:t>
      </w:r>
      <w:r>
        <w:rPr>
          <w:rStyle w:val="94"/>
          <w:rFonts w:hint="eastAsia" w:ascii="宋体" w:hAnsi="宋体" w:cs="宋体"/>
          <w:color w:val="000000"/>
          <w:kern w:val="0"/>
          <w:sz w:val="24"/>
          <w:szCs w:val="24"/>
          <w:highlight w:val="none"/>
          <w:lang w:val="en-US"/>
        </w:rPr>
        <w:t>09</w:t>
      </w:r>
      <w:r>
        <w:rPr>
          <w:rStyle w:val="94"/>
          <w:rFonts w:hint="eastAsia" w:ascii="宋体" w:hAnsi="宋体" w:eastAsia="宋体" w:cs="宋体"/>
          <w:sz w:val="24"/>
          <w:szCs w:val="24"/>
          <w:highlight w:val="none"/>
        </w:rPr>
        <w:t>时</w:t>
      </w:r>
      <w:r>
        <w:rPr>
          <w:rStyle w:val="94"/>
          <w:rFonts w:hint="eastAsia" w:ascii="宋体" w:hAnsi="宋体" w:cs="宋体"/>
          <w:sz w:val="24"/>
          <w:szCs w:val="24"/>
          <w:highlight w:val="none"/>
          <w:lang w:val="en-US"/>
        </w:rPr>
        <w:t>30</w:t>
      </w:r>
      <w:r>
        <w:rPr>
          <w:rStyle w:val="94"/>
          <w:rFonts w:hint="eastAsia" w:ascii="宋体" w:hAnsi="宋体" w:eastAsia="宋体" w:cs="宋体"/>
          <w:sz w:val="24"/>
          <w:szCs w:val="24"/>
          <w:highlight w:val="none"/>
        </w:rPr>
        <w:t>分</w:t>
      </w:r>
      <w:r>
        <w:rPr>
          <w:rStyle w:val="94"/>
          <w:rFonts w:hint="eastAsia" w:ascii="宋体" w:hAnsi="宋体" w:eastAsia="宋体" w:cs="宋体"/>
          <w:sz w:val="24"/>
          <w:szCs w:val="24"/>
          <w:highlight w:val="none"/>
          <w:lang w:val="en-US"/>
        </w:rPr>
        <w:t>00</w:t>
      </w:r>
      <w:r>
        <w:rPr>
          <w:rStyle w:val="94"/>
          <w:rFonts w:hint="eastAsia" w:ascii="宋体" w:hAnsi="宋体" w:eastAsia="宋体" w:cs="宋体"/>
          <w:sz w:val="24"/>
          <w:szCs w:val="24"/>
          <w:highlight w:val="none"/>
        </w:rPr>
        <w:t>秒（北京时间）</w:t>
      </w:r>
    </w:p>
    <w:p>
      <w:pPr>
        <w:snapToGrid w:val="0"/>
        <w:spacing w:line="480" w:lineRule="auto"/>
        <w:ind w:firstLine="480" w:firstLineChars="200"/>
        <w:jc w:val="left"/>
        <w:textAlignment w:val="baseline"/>
        <w:rPr>
          <w:rStyle w:val="94"/>
          <w:rFonts w:hint="eastAsia" w:ascii="宋体" w:hAnsi="宋体" w:eastAsia="宋体" w:cs="宋体"/>
          <w:color w:val="000000"/>
          <w:kern w:val="0"/>
          <w:sz w:val="24"/>
          <w:szCs w:val="24"/>
          <w:highlight w:val="none"/>
        </w:rPr>
      </w:pPr>
      <w:r>
        <w:rPr>
          <w:rStyle w:val="94"/>
          <w:rFonts w:hint="eastAsia" w:ascii="宋体" w:hAnsi="宋体" w:eastAsia="宋体" w:cs="宋体"/>
          <w:color w:val="000000"/>
          <w:kern w:val="0"/>
          <w:sz w:val="24"/>
          <w:szCs w:val="24"/>
          <w:highlight w:val="none"/>
        </w:rPr>
        <w:t>地点：西安市未央区凤城五路与明光路十字天朗经开中心10楼11002室</w:t>
      </w:r>
    </w:p>
    <w:p>
      <w:pPr>
        <w:snapToGrid w:val="0"/>
        <w:spacing w:line="480" w:lineRule="auto"/>
        <w:jc w:val="left"/>
        <w:textAlignment w:val="baseline"/>
        <w:rPr>
          <w:rStyle w:val="94"/>
          <w:rFonts w:hint="eastAsia" w:ascii="宋体" w:hAnsi="宋体" w:eastAsia="宋体" w:cs="宋体"/>
          <w:b/>
          <w:bCs/>
          <w:color w:val="000000"/>
          <w:kern w:val="0"/>
          <w:sz w:val="24"/>
          <w:szCs w:val="24"/>
          <w:highlight w:val="none"/>
        </w:rPr>
      </w:pPr>
      <w:r>
        <w:rPr>
          <w:rStyle w:val="94"/>
          <w:rFonts w:hint="eastAsia" w:ascii="宋体" w:hAnsi="宋体" w:eastAsia="宋体" w:cs="宋体"/>
          <w:b/>
          <w:bCs/>
          <w:color w:val="000000"/>
          <w:kern w:val="0"/>
          <w:sz w:val="24"/>
          <w:szCs w:val="24"/>
          <w:highlight w:val="none"/>
        </w:rPr>
        <w:t>六、公告期限</w:t>
      </w:r>
    </w:p>
    <w:p>
      <w:pPr>
        <w:snapToGrid w:val="0"/>
        <w:spacing w:line="480" w:lineRule="auto"/>
        <w:ind w:firstLine="480" w:firstLineChars="200"/>
        <w:jc w:val="left"/>
        <w:textAlignment w:val="baseline"/>
        <w:rPr>
          <w:rStyle w:val="94"/>
          <w:rFonts w:hint="eastAsia" w:ascii="宋体" w:hAnsi="宋体" w:eastAsia="宋体" w:cs="宋体"/>
          <w:color w:val="000000"/>
          <w:kern w:val="0"/>
          <w:sz w:val="24"/>
          <w:szCs w:val="24"/>
          <w:highlight w:val="none"/>
        </w:rPr>
      </w:pPr>
      <w:r>
        <w:rPr>
          <w:rStyle w:val="94"/>
          <w:rFonts w:hint="eastAsia" w:ascii="宋体" w:hAnsi="宋体" w:eastAsia="宋体" w:cs="宋体"/>
          <w:color w:val="000000"/>
          <w:kern w:val="0"/>
          <w:sz w:val="24"/>
          <w:szCs w:val="24"/>
          <w:highlight w:val="none"/>
        </w:rPr>
        <w:t>自本公告发布之日起3个工作日。</w:t>
      </w:r>
    </w:p>
    <w:p>
      <w:pPr>
        <w:snapToGrid w:val="0"/>
        <w:spacing w:line="480" w:lineRule="auto"/>
        <w:jc w:val="left"/>
        <w:textAlignment w:val="baseline"/>
        <w:rPr>
          <w:rStyle w:val="94"/>
          <w:rFonts w:hint="eastAsia" w:ascii="宋体" w:hAnsi="宋体" w:eastAsia="宋体" w:cs="宋体"/>
          <w:b/>
          <w:bCs/>
          <w:color w:val="000000"/>
          <w:kern w:val="0"/>
          <w:sz w:val="24"/>
          <w:szCs w:val="24"/>
          <w:highlight w:val="none"/>
        </w:rPr>
      </w:pPr>
      <w:r>
        <w:rPr>
          <w:rStyle w:val="94"/>
          <w:rFonts w:hint="eastAsia" w:ascii="宋体" w:hAnsi="宋体" w:eastAsia="宋体" w:cs="宋体"/>
          <w:b/>
          <w:bCs/>
          <w:color w:val="000000"/>
          <w:kern w:val="0"/>
          <w:sz w:val="24"/>
          <w:szCs w:val="24"/>
          <w:highlight w:val="none"/>
        </w:rPr>
        <w:t>七、其他补充事宜</w:t>
      </w:r>
    </w:p>
    <w:p>
      <w:pPr>
        <w:snapToGrid w:val="0"/>
        <w:spacing w:line="480" w:lineRule="auto"/>
        <w:ind w:firstLine="480" w:firstLineChars="200"/>
        <w:jc w:val="left"/>
        <w:textAlignment w:val="baseline"/>
        <w:rPr>
          <w:rStyle w:val="94"/>
          <w:rFonts w:hint="eastAsia" w:ascii="宋体" w:hAnsi="宋体" w:eastAsia="宋体" w:cs="宋体"/>
          <w:b w:val="0"/>
          <w:bCs w:val="0"/>
          <w:sz w:val="24"/>
          <w:szCs w:val="24"/>
          <w:highlight w:val="none"/>
        </w:rPr>
      </w:pPr>
      <w:r>
        <w:rPr>
          <w:rStyle w:val="94"/>
          <w:rFonts w:hint="eastAsia" w:ascii="宋体" w:hAnsi="宋体" w:eastAsia="宋体" w:cs="宋体"/>
          <w:b w:val="0"/>
          <w:bCs w:val="0"/>
          <w:sz w:val="24"/>
          <w:szCs w:val="24"/>
          <w:highlight w:val="none"/>
        </w:rPr>
        <w:t>1、落实的政府采购政策：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 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⑬《关于进一步加大政府采购支持中小企业力度的通知》（财库〔2022〕19号）。若享受以上政策优惠的企业，提供相应声明函或产品目录。</w:t>
      </w:r>
    </w:p>
    <w:p>
      <w:pPr>
        <w:snapToGrid w:val="0"/>
        <w:spacing w:line="480" w:lineRule="auto"/>
        <w:ind w:firstLine="480" w:firstLineChars="200"/>
        <w:jc w:val="left"/>
        <w:textAlignment w:val="baseline"/>
        <w:rPr>
          <w:rStyle w:val="94"/>
          <w:rFonts w:hint="eastAsia" w:ascii="宋体" w:hAnsi="宋体" w:eastAsia="宋体" w:cs="宋体"/>
          <w:b w:val="0"/>
          <w:bCs w:val="0"/>
          <w:color w:val="000000"/>
          <w:kern w:val="0"/>
          <w:sz w:val="24"/>
          <w:szCs w:val="24"/>
          <w:highlight w:val="none"/>
        </w:rPr>
      </w:pPr>
      <w:r>
        <w:rPr>
          <w:rStyle w:val="94"/>
          <w:rFonts w:hint="eastAsia" w:ascii="宋体" w:hAnsi="宋体" w:eastAsia="宋体" w:cs="宋体"/>
          <w:b w:val="0"/>
          <w:bCs w:val="0"/>
          <w:sz w:val="24"/>
          <w:szCs w:val="24"/>
          <w:highlight w:val="none"/>
        </w:rPr>
        <w:t>2、领取竞争性谈判文件请携带单位介绍信原件、经办人身份证原件及复印件加盖公章。</w:t>
      </w:r>
    </w:p>
    <w:p>
      <w:pPr>
        <w:snapToGrid w:val="0"/>
        <w:spacing w:line="480" w:lineRule="auto"/>
        <w:jc w:val="left"/>
        <w:textAlignment w:val="baseline"/>
        <w:rPr>
          <w:rStyle w:val="94"/>
          <w:rFonts w:hint="eastAsia" w:ascii="宋体" w:hAnsi="宋体" w:eastAsia="宋体" w:cs="宋体"/>
          <w:b/>
          <w:bCs/>
          <w:color w:val="000000"/>
          <w:kern w:val="0"/>
          <w:sz w:val="24"/>
          <w:szCs w:val="24"/>
          <w:highlight w:val="none"/>
        </w:rPr>
      </w:pPr>
      <w:r>
        <w:rPr>
          <w:rStyle w:val="94"/>
          <w:rFonts w:hint="eastAsia" w:ascii="宋体" w:hAnsi="宋体" w:eastAsia="宋体" w:cs="宋体"/>
          <w:b/>
          <w:bCs/>
          <w:color w:val="000000"/>
          <w:kern w:val="0"/>
          <w:sz w:val="24"/>
          <w:szCs w:val="24"/>
          <w:highlight w:val="none"/>
        </w:rPr>
        <w:t>八、对本次采购提出询问，请按以下方式联系。</w:t>
      </w:r>
    </w:p>
    <w:p>
      <w:pPr>
        <w:snapToGrid w:val="0"/>
        <w:spacing w:line="480" w:lineRule="auto"/>
        <w:jc w:val="left"/>
        <w:textAlignment w:val="baseline"/>
        <w:rPr>
          <w:rStyle w:val="94"/>
          <w:rFonts w:hint="eastAsia" w:ascii="宋体" w:hAnsi="宋体" w:eastAsia="宋体" w:cs="宋体"/>
          <w:color w:val="000000"/>
          <w:kern w:val="0"/>
          <w:sz w:val="24"/>
          <w:szCs w:val="24"/>
          <w:highlight w:val="none"/>
        </w:rPr>
      </w:pPr>
      <w:r>
        <w:rPr>
          <w:rStyle w:val="94"/>
          <w:rFonts w:hint="eastAsia" w:ascii="宋体" w:hAnsi="宋体" w:eastAsia="宋体" w:cs="宋体"/>
          <w:color w:val="000000"/>
          <w:kern w:val="0"/>
          <w:sz w:val="24"/>
          <w:szCs w:val="24"/>
          <w:highlight w:val="none"/>
        </w:rPr>
        <w:t xml:space="preserve">1、采购人信息： </w:t>
      </w:r>
    </w:p>
    <w:p>
      <w:pPr>
        <w:snapToGrid w:val="0"/>
        <w:spacing w:line="480" w:lineRule="auto"/>
        <w:ind w:firstLine="480" w:firstLineChars="200"/>
        <w:jc w:val="left"/>
        <w:textAlignment w:val="baseline"/>
        <w:rPr>
          <w:rStyle w:val="94"/>
          <w:rFonts w:hint="eastAsia" w:ascii="宋体" w:hAnsi="宋体" w:eastAsia="宋体" w:cs="宋体"/>
          <w:color w:val="000000"/>
          <w:kern w:val="0"/>
          <w:sz w:val="24"/>
          <w:szCs w:val="24"/>
          <w:highlight w:val="none"/>
        </w:rPr>
      </w:pPr>
      <w:r>
        <w:rPr>
          <w:rStyle w:val="94"/>
          <w:rFonts w:hint="eastAsia" w:ascii="宋体" w:hAnsi="宋体" w:eastAsia="宋体" w:cs="宋体"/>
          <w:color w:val="000000"/>
          <w:kern w:val="0"/>
          <w:sz w:val="24"/>
          <w:szCs w:val="24"/>
          <w:highlight w:val="none"/>
        </w:rPr>
        <w:t>名称：</w:t>
      </w:r>
      <w:r>
        <w:rPr>
          <w:rStyle w:val="94"/>
          <w:rFonts w:hint="eastAsia" w:ascii="宋体" w:hAnsi="宋体" w:cs="宋体"/>
          <w:color w:val="000000"/>
          <w:kern w:val="0"/>
          <w:sz w:val="24"/>
          <w:szCs w:val="24"/>
          <w:highlight w:val="none"/>
        </w:rPr>
        <w:t>西安市碑林区朱雀大街小学</w:t>
      </w:r>
    </w:p>
    <w:p>
      <w:pPr>
        <w:snapToGrid w:val="0"/>
        <w:spacing w:line="480" w:lineRule="auto"/>
        <w:ind w:firstLine="480" w:firstLineChars="200"/>
        <w:jc w:val="left"/>
        <w:textAlignment w:val="baseline"/>
        <w:rPr>
          <w:rStyle w:val="94"/>
          <w:rFonts w:hint="eastAsia" w:ascii="宋体" w:hAnsi="宋体" w:eastAsia="宋体" w:cs="宋体"/>
          <w:color w:val="000000"/>
          <w:kern w:val="0"/>
          <w:sz w:val="24"/>
          <w:szCs w:val="24"/>
          <w:highlight w:val="none"/>
        </w:rPr>
      </w:pPr>
      <w:r>
        <w:rPr>
          <w:rStyle w:val="94"/>
          <w:rFonts w:hint="eastAsia" w:ascii="宋体" w:hAnsi="宋体" w:eastAsia="宋体" w:cs="宋体"/>
          <w:color w:val="000000"/>
          <w:kern w:val="0"/>
          <w:sz w:val="24"/>
          <w:szCs w:val="24"/>
          <w:highlight w:val="none"/>
        </w:rPr>
        <w:t>地址：碑林区朱雀大街北段58号</w:t>
      </w:r>
    </w:p>
    <w:p>
      <w:pPr>
        <w:snapToGrid w:val="0"/>
        <w:spacing w:line="480" w:lineRule="auto"/>
        <w:ind w:firstLine="480" w:firstLineChars="200"/>
        <w:jc w:val="left"/>
        <w:textAlignment w:val="baseline"/>
        <w:rPr>
          <w:rStyle w:val="94"/>
          <w:rFonts w:hint="eastAsia" w:ascii="宋体" w:hAnsi="宋体" w:eastAsia="宋体" w:cs="宋体"/>
          <w:color w:val="000000"/>
          <w:kern w:val="0"/>
          <w:sz w:val="24"/>
          <w:szCs w:val="24"/>
          <w:highlight w:val="none"/>
        </w:rPr>
      </w:pPr>
      <w:r>
        <w:rPr>
          <w:rStyle w:val="94"/>
          <w:rFonts w:hint="eastAsia" w:ascii="宋体" w:hAnsi="宋体" w:eastAsia="宋体" w:cs="宋体"/>
          <w:color w:val="000000"/>
          <w:kern w:val="0"/>
          <w:sz w:val="24"/>
          <w:szCs w:val="24"/>
          <w:highlight w:val="none"/>
        </w:rPr>
        <w:t>联系方式：029-</w:t>
      </w:r>
      <w:r>
        <w:rPr>
          <w:rStyle w:val="94"/>
          <w:rFonts w:hint="eastAsia" w:ascii="宋体" w:hAnsi="宋体" w:cs="宋体"/>
          <w:color w:val="000000"/>
          <w:kern w:val="0"/>
          <w:sz w:val="24"/>
          <w:szCs w:val="24"/>
          <w:highlight w:val="none"/>
        </w:rPr>
        <w:t>88425038</w:t>
      </w:r>
    </w:p>
    <w:p>
      <w:pPr>
        <w:snapToGrid w:val="0"/>
        <w:spacing w:line="480" w:lineRule="auto"/>
        <w:jc w:val="left"/>
        <w:textAlignment w:val="baseline"/>
        <w:rPr>
          <w:rStyle w:val="94"/>
          <w:rFonts w:hint="eastAsia" w:ascii="宋体" w:hAnsi="宋体" w:eastAsia="宋体" w:cs="宋体"/>
          <w:color w:val="000000"/>
          <w:kern w:val="0"/>
          <w:sz w:val="24"/>
          <w:szCs w:val="24"/>
          <w:highlight w:val="none"/>
        </w:rPr>
      </w:pPr>
      <w:r>
        <w:rPr>
          <w:rStyle w:val="94"/>
          <w:rFonts w:hint="eastAsia" w:ascii="宋体" w:hAnsi="宋体" w:eastAsia="宋体" w:cs="宋体"/>
          <w:color w:val="000000"/>
          <w:kern w:val="0"/>
          <w:sz w:val="24"/>
          <w:szCs w:val="24"/>
          <w:highlight w:val="none"/>
        </w:rPr>
        <w:t>2、采购代理机构信息</w:t>
      </w:r>
    </w:p>
    <w:p>
      <w:pPr>
        <w:pStyle w:val="23"/>
        <w:shd w:val="clear" w:color="auto" w:fill="FFFFFF"/>
        <w:spacing w:before="0" w:beforeLines="0" w:beforeAutospacing="0" w:after="0" w:afterLines="0" w:afterAutospacing="0" w:line="480" w:lineRule="auto"/>
        <w:ind w:firstLine="480" w:firstLineChars="200"/>
        <w:textAlignment w:val="baseline"/>
        <w:rPr>
          <w:rStyle w:val="94"/>
          <w:rFonts w:hint="eastAsia" w:ascii="宋体" w:hAnsi="宋体" w:eastAsia="宋体" w:cs="宋体"/>
          <w:b w:val="0"/>
          <w:i w:val="0"/>
          <w:caps w:val="0"/>
          <w:color w:val="000000"/>
          <w:spacing w:val="0"/>
          <w:w w:val="100"/>
          <w:kern w:val="0"/>
          <w:sz w:val="24"/>
          <w:szCs w:val="24"/>
          <w:highlight w:val="none"/>
          <w:lang w:val="en-US" w:eastAsia="zh-CN" w:bidi="ar-SA"/>
        </w:rPr>
      </w:pPr>
      <w:r>
        <w:rPr>
          <w:rStyle w:val="94"/>
          <w:rFonts w:hint="eastAsia" w:ascii="宋体" w:hAnsi="宋体" w:eastAsia="宋体" w:cs="宋体"/>
          <w:b w:val="0"/>
          <w:i w:val="0"/>
          <w:caps w:val="0"/>
          <w:color w:val="000000"/>
          <w:spacing w:val="0"/>
          <w:w w:val="100"/>
          <w:kern w:val="0"/>
          <w:sz w:val="24"/>
          <w:szCs w:val="24"/>
          <w:highlight w:val="none"/>
          <w:lang w:val="en-US" w:eastAsia="zh-CN" w:bidi="ar-SA"/>
        </w:rPr>
        <w:t>名称：陕西嘉唐建设项目管理有限公司</w:t>
      </w:r>
    </w:p>
    <w:p>
      <w:pPr>
        <w:pStyle w:val="23"/>
        <w:shd w:val="clear" w:color="auto" w:fill="FFFFFF"/>
        <w:spacing w:before="0" w:beforeLines="0" w:beforeAutospacing="0" w:after="0" w:afterLines="0" w:afterAutospacing="0" w:line="480" w:lineRule="auto"/>
        <w:ind w:firstLine="480" w:firstLineChars="200"/>
        <w:textAlignment w:val="baseline"/>
        <w:rPr>
          <w:rStyle w:val="94"/>
          <w:rFonts w:hint="eastAsia" w:ascii="宋体" w:hAnsi="宋体" w:eastAsia="宋体" w:cs="宋体"/>
          <w:b w:val="0"/>
          <w:i w:val="0"/>
          <w:caps w:val="0"/>
          <w:color w:val="000000"/>
          <w:spacing w:val="0"/>
          <w:w w:val="100"/>
          <w:kern w:val="0"/>
          <w:sz w:val="24"/>
          <w:szCs w:val="24"/>
          <w:highlight w:val="none"/>
          <w:lang w:val="en-US" w:eastAsia="zh-CN" w:bidi="ar-SA"/>
        </w:rPr>
      </w:pPr>
      <w:r>
        <w:rPr>
          <w:rStyle w:val="94"/>
          <w:rFonts w:hint="eastAsia" w:ascii="宋体" w:hAnsi="宋体" w:eastAsia="宋体" w:cs="宋体"/>
          <w:b w:val="0"/>
          <w:i w:val="0"/>
          <w:caps w:val="0"/>
          <w:color w:val="000000"/>
          <w:spacing w:val="0"/>
          <w:w w:val="100"/>
          <w:kern w:val="0"/>
          <w:sz w:val="24"/>
          <w:szCs w:val="24"/>
          <w:highlight w:val="none"/>
          <w:lang w:val="en-US" w:eastAsia="zh-CN" w:bidi="ar-SA"/>
        </w:rPr>
        <w:t>地址：西安市未央区凤城五路与明光路十字天朗经开中心10楼11002室</w:t>
      </w:r>
    </w:p>
    <w:p>
      <w:pPr>
        <w:pStyle w:val="23"/>
        <w:shd w:val="clear" w:color="auto" w:fill="FFFFFF"/>
        <w:spacing w:before="0" w:beforeLines="0" w:beforeAutospacing="0" w:after="0" w:afterLines="0" w:afterAutospacing="0" w:line="480" w:lineRule="auto"/>
        <w:ind w:firstLine="480" w:firstLineChars="200"/>
        <w:textAlignment w:val="baseline"/>
        <w:rPr>
          <w:rStyle w:val="94"/>
          <w:rFonts w:hint="eastAsia" w:ascii="宋体" w:hAnsi="宋体" w:eastAsia="宋体" w:cs="宋体"/>
          <w:b w:val="0"/>
          <w:i w:val="0"/>
          <w:caps w:val="0"/>
          <w:color w:val="000000"/>
          <w:spacing w:val="0"/>
          <w:w w:val="100"/>
          <w:kern w:val="0"/>
          <w:sz w:val="24"/>
          <w:szCs w:val="24"/>
          <w:highlight w:val="none"/>
          <w:lang w:val="en-US" w:eastAsia="zh-CN" w:bidi="ar-SA"/>
        </w:rPr>
      </w:pPr>
      <w:r>
        <w:rPr>
          <w:rStyle w:val="94"/>
          <w:rFonts w:hint="eastAsia" w:ascii="宋体" w:hAnsi="宋体" w:eastAsia="宋体" w:cs="宋体"/>
          <w:b w:val="0"/>
          <w:i w:val="0"/>
          <w:caps w:val="0"/>
          <w:color w:val="000000"/>
          <w:spacing w:val="0"/>
          <w:w w:val="100"/>
          <w:kern w:val="0"/>
          <w:sz w:val="24"/>
          <w:szCs w:val="24"/>
          <w:highlight w:val="none"/>
          <w:lang w:val="en-US" w:eastAsia="zh-CN" w:bidi="ar-SA"/>
        </w:rPr>
        <w:t>联系方式：029-89351397</w:t>
      </w:r>
    </w:p>
    <w:p>
      <w:pPr>
        <w:snapToGrid w:val="0"/>
        <w:spacing w:line="480" w:lineRule="auto"/>
        <w:jc w:val="left"/>
        <w:textAlignment w:val="baseline"/>
        <w:rPr>
          <w:rStyle w:val="94"/>
          <w:rFonts w:hint="eastAsia" w:ascii="宋体" w:hAnsi="宋体" w:eastAsia="宋体" w:cs="宋体"/>
          <w:color w:val="000000"/>
          <w:kern w:val="0"/>
          <w:sz w:val="24"/>
          <w:szCs w:val="24"/>
          <w:highlight w:val="none"/>
        </w:rPr>
      </w:pPr>
      <w:r>
        <w:rPr>
          <w:rStyle w:val="94"/>
          <w:rFonts w:hint="eastAsia" w:ascii="宋体" w:hAnsi="宋体" w:eastAsia="宋体" w:cs="宋体"/>
          <w:color w:val="000000"/>
          <w:kern w:val="0"/>
          <w:sz w:val="24"/>
          <w:szCs w:val="24"/>
          <w:highlight w:val="none"/>
        </w:rPr>
        <w:t>3、项目联系方式</w:t>
      </w:r>
    </w:p>
    <w:p>
      <w:pPr>
        <w:snapToGrid w:val="0"/>
        <w:spacing w:line="480" w:lineRule="auto"/>
        <w:ind w:firstLine="480" w:firstLineChars="200"/>
        <w:jc w:val="left"/>
        <w:textAlignment w:val="baseline"/>
        <w:rPr>
          <w:rStyle w:val="94"/>
          <w:rFonts w:hint="eastAsia" w:ascii="宋体" w:hAnsi="宋体" w:eastAsia="宋体" w:cs="宋体"/>
          <w:color w:val="000000"/>
          <w:kern w:val="0"/>
          <w:sz w:val="24"/>
          <w:szCs w:val="24"/>
          <w:highlight w:val="none"/>
          <w:lang w:val="en-US"/>
        </w:rPr>
      </w:pPr>
      <w:r>
        <w:rPr>
          <w:rStyle w:val="94"/>
          <w:rFonts w:hint="eastAsia" w:ascii="宋体" w:hAnsi="宋体" w:eastAsia="宋体" w:cs="宋体"/>
          <w:color w:val="000000"/>
          <w:kern w:val="0"/>
          <w:sz w:val="24"/>
          <w:szCs w:val="24"/>
          <w:highlight w:val="none"/>
        </w:rPr>
        <w:t>项目联系人：姬鹏举</w:t>
      </w:r>
    </w:p>
    <w:p>
      <w:pPr>
        <w:keepNext w:val="0"/>
        <w:keepLines w:val="0"/>
        <w:pageBreakBefore w:val="0"/>
        <w:widowControl w:val="0"/>
        <w:kinsoku/>
        <w:wordWrap/>
        <w:overflowPunct/>
        <w:topLinePunct w:val="0"/>
        <w:bidi w:val="0"/>
        <w:snapToGrid/>
        <w:spacing w:line="360" w:lineRule="auto"/>
        <w:ind w:left="0" w:leftChars="0" w:right="540" w:rightChars="257" w:firstLine="480" w:firstLineChars="200"/>
        <w:textAlignment w:val="auto"/>
        <w:outlineLvl w:val="9"/>
        <w:rPr>
          <w:rFonts w:hint="eastAsia" w:ascii="宋体" w:hAnsi="宋体" w:eastAsia="宋体" w:cs="宋体"/>
          <w:color w:val="000000"/>
          <w:sz w:val="24"/>
          <w:szCs w:val="24"/>
          <w:highlight w:val="none"/>
        </w:rPr>
      </w:pPr>
      <w:r>
        <w:rPr>
          <w:rStyle w:val="94"/>
          <w:rFonts w:hint="eastAsia" w:ascii="宋体" w:hAnsi="宋体" w:eastAsia="宋体" w:cs="宋体"/>
          <w:color w:val="000000"/>
          <w:kern w:val="0"/>
          <w:sz w:val="24"/>
          <w:szCs w:val="24"/>
          <w:highlight w:val="none"/>
        </w:rPr>
        <w:t>电 话：029-8935139</w:t>
      </w:r>
      <w:r>
        <w:rPr>
          <w:rStyle w:val="94"/>
          <w:rFonts w:hint="eastAsia" w:ascii="宋体" w:hAnsi="宋体" w:eastAsia="宋体" w:cs="宋体"/>
          <w:color w:val="000000"/>
          <w:kern w:val="0"/>
          <w:sz w:val="24"/>
          <w:szCs w:val="24"/>
          <w:highlight w:val="none"/>
          <w:lang w:val="en-US"/>
        </w:rPr>
        <w:t>7</w:t>
      </w:r>
    </w:p>
    <w:p>
      <w:pPr>
        <w:keepNext w:val="0"/>
        <w:keepLines w:val="0"/>
        <w:pageBreakBefore w:val="0"/>
        <w:widowControl w:val="0"/>
        <w:kinsoku/>
        <w:wordWrap/>
        <w:overflowPunct/>
        <w:topLinePunct w:val="0"/>
        <w:bidi w:val="0"/>
        <w:snapToGrid/>
        <w:spacing w:line="500" w:lineRule="exact"/>
        <w:ind w:left="0" w:leftChars="0" w:right="540" w:rightChars="257"/>
        <w:textAlignment w:val="auto"/>
        <w:outlineLvl w:val="9"/>
        <w:rPr>
          <w:rFonts w:hint="eastAsia" w:ascii="宋体" w:hAnsi="宋体" w:eastAsia="宋体" w:cs="宋体"/>
          <w:color w:val="000000"/>
          <w:highlight w:val="none"/>
        </w:rPr>
      </w:pPr>
    </w:p>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p>
    <w:p>
      <w:pPr>
        <w:spacing w:line="360" w:lineRule="auto"/>
        <w:rPr>
          <w:rFonts w:hint="eastAsia" w:ascii="宋体" w:hAnsi="宋体" w:eastAsia="宋体" w:cs="宋体"/>
          <w:b/>
          <w:color w:val="000000"/>
          <w:kern w:val="0"/>
          <w:sz w:val="24"/>
          <w:szCs w:val="24"/>
          <w:highlight w:val="none"/>
        </w:rPr>
      </w:pPr>
    </w:p>
    <w:p>
      <w:pPr>
        <w:spacing w:line="360" w:lineRule="auto"/>
        <w:rPr>
          <w:rFonts w:hint="eastAsia" w:ascii="宋体" w:hAnsi="宋体" w:eastAsia="宋体" w:cs="宋体"/>
          <w:b/>
          <w:color w:val="000000"/>
          <w:kern w:val="0"/>
          <w:sz w:val="24"/>
          <w:szCs w:val="24"/>
          <w:highlight w:val="none"/>
        </w:rPr>
      </w:pPr>
    </w:p>
    <w:p>
      <w:pPr>
        <w:spacing w:line="360" w:lineRule="auto"/>
        <w:rPr>
          <w:rFonts w:hint="eastAsia" w:ascii="宋体" w:hAnsi="宋体" w:eastAsia="宋体" w:cs="宋体"/>
          <w:b/>
          <w:color w:val="000000"/>
          <w:kern w:val="0"/>
          <w:sz w:val="24"/>
          <w:szCs w:val="24"/>
          <w:highlight w:val="none"/>
        </w:rPr>
      </w:pPr>
    </w:p>
    <w:p>
      <w:pPr>
        <w:tabs>
          <w:tab w:val="left" w:pos="3476"/>
        </w:tabs>
        <w:spacing w:line="360" w:lineRule="auto"/>
        <w:rPr>
          <w:rFonts w:hint="eastAsia" w:ascii="宋体" w:hAnsi="宋体" w:eastAsia="宋体" w:cs="宋体"/>
          <w:b/>
          <w:color w:val="000000"/>
          <w:kern w:val="0"/>
          <w:sz w:val="24"/>
          <w:szCs w:val="24"/>
          <w:highlight w:val="none"/>
          <w:lang w:eastAsia="zh-CN"/>
        </w:rPr>
      </w:pPr>
      <w:r>
        <w:rPr>
          <w:rFonts w:hint="eastAsia" w:ascii="宋体" w:hAnsi="宋体" w:eastAsia="宋体" w:cs="宋体"/>
          <w:b/>
          <w:color w:val="000000"/>
          <w:kern w:val="0"/>
          <w:sz w:val="24"/>
          <w:szCs w:val="24"/>
          <w:highlight w:val="none"/>
          <w:lang w:eastAsia="zh-CN"/>
        </w:rPr>
        <w:tab/>
      </w:r>
    </w:p>
    <w:p>
      <w:pPr>
        <w:pStyle w:val="2"/>
        <w:outlineLvl w:val="9"/>
        <w:rPr>
          <w:rFonts w:hint="eastAsia" w:ascii="宋体" w:hAnsi="宋体" w:eastAsia="宋体" w:cs="宋体"/>
          <w:b/>
          <w:color w:val="000000"/>
          <w:kern w:val="0"/>
          <w:sz w:val="24"/>
          <w:szCs w:val="24"/>
          <w:highlight w:val="none"/>
          <w:lang w:eastAsia="zh-CN"/>
        </w:rPr>
      </w:pPr>
    </w:p>
    <w:p>
      <w:pPr>
        <w:rPr>
          <w:rFonts w:hint="eastAsia" w:ascii="宋体" w:hAnsi="宋体" w:eastAsia="宋体" w:cs="宋体"/>
          <w:b/>
          <w:color w:val="000000"/>
          <w:kern w:val="0"/>
          <w:sz w:val="24"/>
          <w:szCs w:val="24"/>
          <w:highlight w:val="none"/>
          <w:lang w:eastAsia="zh-CN"/>
        </w:rPr>
      </w:pPr>
    </w:p>
    <w:p>
      <w:pPr>
        <w:pStyle w:val="2"/>
        <w:rPr>
          <w:rFonts w:hint="eastAsia"/>
          <w:highlight w:val="none"/>
          <w:lang w:eastAsia="zh-CN"/>
        </w:rPr>
      </w:pPr>
    </w:p>
    <w:p>
      <w:pPr>
        <w:rPr>
          <w:rFonts w:hint="eastAsia" w:ascii="宋体" w:hAnsi="宋体" w:eastAsia="宋体" w:cs="宋体"/>
          <w:b/>
          <w:color w:val="000000"/>
          <w:kern w:val="0"/>
          <w:sz w:val="24"/>
          <w:szCs w:val="24"/>
          <w:highlight w:val="none"/>
          <w:lang w:eastAsia="zh-CN"/>
        </w:rPr>
      </w:pPr>
    </w:p>
    <w:p>
      <w:pPr>
        <w:rPr>
          <w:rFonts w:hint="eastAsia"/>
          <w:highlight w:val="none"/>
          <w:lang w:eastAsia="zh-CN"/>
        </w:rPr>
      </w:pPr>
    </w:p>
    <w:p>
      <w:pPr>
        <w:rPr>
          <w:rFonts w:hint="eastAsia"/>
          <w:highlight w:val="none"/>
          <w:lang w:eastAsia="zh-CN"/>
        </w:rPr>
      </w:pPr>
    </w:p>
    <w:p>
      <w:pPr>
        <w:pStyle w:val="3"/>
        <w:jc w:val="center"/>
        <w:rPr>
          <w:rFonts w:hint="eastAsia" w:ascii="宋体" w:hAnsi="宋体" w:eastAsia="宋体" w:cs="宋体"/>
          <w:b/>
          <w:bCs/>
          <w:sz w:val="36"/>
          <w:szCs w:val="36"/>
          <w:highlight w:val="none"/>
        </w:rPr>
      </w:pPr>
      <w:bookmarkStart w:id="11" w:name="_Toc19171"/>
      <w:bookmarkStart w:id="12" w:name="_Toc21911"/>
      <w:r>
        <w:rPr>
          <w:rFonts w:hint="eastAsia" w:ascii="宋体" w:hAnsi="宋体" w:eastAsia="宋体" w:cs="宋体"/>
          <w:b/>
          <w:bCs/>
          <w:sz w:val="36"/>
          <w:szCs w:val="36"/>
          <w:highlight w:val="none"/>
        </w:rPr>
        <w:t xml:space="preserve">第二章 </w:t>
      </w:r>
      <w:r>
        <w:rPr>
          <w:rFonts w:hint="eastAsia" w:ascii="宋体" w:hAnsi="宋体" w:eastAsia="宋体" w:cs="宋体"/>
          <w:b/>
          <w:bCs/>
          <w:sz w:val="36"/>
          <w:szCs w:val="36"/>
          <w:highlight w:val="none"/>
          <w:lang w:eastAsia="zh-CN"/>
        </w:rPr>
        <w:t>供应商</w:t>
      </w:r>
      <w:r>
        <w:rPr>
          <w:rFonts w:hint="eastAsia" w:ascii="宋体" w:hAnsi="宋体" w:eastAsia="宋体" w:cs="宋体"/>
          <w:b/>
          <w:bCs/>
          <w:sz w:val="36"/>
          <w:szCs w:val="36"/>
          <w:highlight w:val="none"/>
        </w:rPr>
        <w:t>须知</w:t>
      </w:r>
      <w:bookmarkEnd w:id="5"/>
      <w:bookmarkEnd w:id="10"/>
      <w:bookmarkEnd w:id="11"/>
      <w:bookmarkEnd w:id="12"/>
    </w:p>
    <w:p>
      <w:pPr>
        <w:spacing w:after="156" w:afterLines="50" w:line="360" w:lineRule="auto"/>
        <w:jc w:val="center"/>
        <w:outlineLvl w:val="1"/>
        <w:rPr>
          <w:rFonts w:hint="eastAsia" w:ascii="宋体" w:hAnsi="宋体" w:eastAsia="宋体" w:cs="宋体"/>
          <w:b/>
          <w:kern w:val="0"/>
          <w:sz w:val="32"/>
          <w:szCs w:val="32"/>
          <w:highlight w:val="none"/>
        </w:rPr>
      </w:pPr>
      <w:bookmarkStart w:id="13" w:name="_Toc425781308"/>
      <w:bookmarkStart w:id="14" w:name="_Toc5265"/>
      <w:r>
        <w:rPr>
          <w:rFonts w:hint="eastAsia" w:ascii="宋体" w:hAnsi="宋体" w:eastAsia="宋体" w:cs="宋体"/>
          <w:b/>
          <w:kern w:val="0"/>
          <w:sz w:val="32"/>
          <w:szCs w:val="32"/>
          <w:highlight w:val="none"/>
          <w:lang w:eastAsia="zh-CN"/>
        </w:rPr>
        <w:t>供应商</w:t>
      </w:r>
      <w:r>
        <w:rPr>
          <w:rFonts w:hint="eastAsia" w:ascii="宋体" w:hAnsi="宋体" w:eastAsia="宋体" w:cs="宋体"/>
          <w:b/>
          <w:kern w:val="0"/>
          <w:sz w:val="32"/>
          <w:szCs w:val="32"/>
          <w:highlight w:val="none"/>
        </w:rPr>
        <w:t>须知前附表</w:t>
      </w:r>
      <w:bookmarkEnd w:id="6"/>
      <w:bookmarkEnd w:id="7"/>
      <w:bookmarkEnd w:id="8"/>
      <w:bookmarkEnd w:id="9"/>
      <w:bookmarkEnd w:id="13"/>
      <w:bookmarkEnd w:id="14"/>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sz w:val="24"/>
          <w:highlight w:val="none"/>
        </w:rPr>
        <w:t>本表是对</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须知的具体补充和修改，如有矛盾，应以本资料表为准。</w:t>
      </w:r>
    </w:p>
    <w:tbl>
      <w:tblPr>
        <w:tblStyle w:val="28"/>
        <w:tblW w:w="99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34"/>
        <w:gridCol w:w="83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7"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0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w:t>
            </w:r>
          </w:p>
        </w:tc>
        <w:tc>
          <w:tcPr>
            <w:tcW w:w="836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35"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p>
        </w:tc>
        <w:tc>
          <w:tcPr>
            <w:tcW w:w="10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2.1</w:t>
            </w:r>
          </w:p>
        </w:tc>
        <w:tc>
          <w:tcPr>
            <w:tcW w:w="8364"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采购人</w:t>
            </w:r>
            <w:r>
              <w:rPr>
                <w:rFonts w:hint="eastAsia" w:ascii="宋体" w:hAnsi="宋体" w:cs="宋体"/>
                <w:sz w:val="24"/>
                <w:szCs w:val="24"/>
                <w:highlight w:val="none"/>
                <w:lang w:eastAsia="zh-CN"/>
              </w:rPr>
              <w:t>名称：西安市碑林区朱雀大街小学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地址：碑林区朱雀大街北段58号</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联系人：李老师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电话</w:t>
            </w:r>
            <w:r>
              <w:rPr>
                <w:rFonts w:hint="eastAsia" w:ascii="宋体" w:hAnsi="宋体" w:cs="宋体"/>
                <w:sz w:val="24"/>
                <w:szCs w:val="24"/>
                <w:highlight w:val="none"/>
                <w:lang w:eastAsia="zh-CN"/>
              </w:rPr>
              <w:t>：029-88425038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20"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w:t>
            </w:r>
          </w:p>
        </w:tc>
        <w:tc>
          <w:tcPr>
            <w:tcW w:w="10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p>
        </w:tc>
        <w:tc>
          <w:tcPr>
            <w:tcW w:w="8364"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采购代理机构名称：陕西嘉唐建设项目管理有限公司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地址：西安市</w:t>
            </w:r>
            <w:r>
              <w:rPr>
                <w:rFonts w:hint="eastAsia" w:ascii="宋体" w:hAnsi="宋体" w:eastAsia="宋体" w:cs="宋体"/>
                <w:sz w:val="24"/>
                <w:szCs w:val="24"/>
                <w:highlight w:val="none"/>
                <w:lang w:eastAsia="zh-CN"/>
              </w:rPr>
              <w:t>未央区明光路与凤城五路十字天朗经开中心</w:t>
            </w:r>
            <w:r>
              <w:rPr>
                <w:rFonts w:hint="eastAsia" w:ascii="宋体" w:hAnsi="宋体" w:eastAsia="宋体" w:cs="宋体"/>
                <w:sz w:val="24"/>
                <w:szCs w:val="24"/>
                <w:highlight w:val="none"/>
                <w:lang w:val="en-US" w:eastAsia="zh-CN"/>
              </w:rPr>
              <w:t>10楼11002室</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联系人：</w:t>
            </w:r>
            <w:r>
              <w:rPr>
                <w:rFonts w:hint="eastAsia" w:ascii="宋体" w:hAnsi="宋体" w:cs="宋体"/>
                <w:sz w:val="24"/>
                <w:szCs w:val="24"/>
                <w:highlight w:val="none"/>
                <w:lang w:val="en-US" w:eastAsia="zh-CN"/>
              </w:rPr>
              <w:t>姬鹏举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电话：029-89351397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w:t>
            </w:r>
          </w:p>
        </w:tc>
        <w:tc>
          <w:tcPr>
            <w:tcW w:w="10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c>
          <w:tcPr>
            <w:tcW w:w="8364"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本项目不接受联合体谈判。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p>
        </w:tc>
        <w:tc>
          <w:tcPr>
            <w:tcW w:w="10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w:t>
            </w:r>
          </w:p>
        </w:tc>
        <w:tc>
          <w:tcPr>
            <w:tcW w:w="8364"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103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szCs w:val="24"/>
                <w:highlight w:val="none"/>
              </w:rPr>
              <w:t>11.1</w:t>
            </w:r>
          </w:p>
        </w:tc>
        <w:tc>
          <w:tcPr>
            <w:tcW w:w="8364"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谈判报价：谈判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应在谈判报价表中标明完成本次</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所要求的货物、服务并验收至合格的所有费用，包括设备（产品）费、安装调试费、运杂费（含保险）、仓储保管费、质保期维护</w:t>
            </w:r>
            <w:r>
              <w:rPr>
                <w:rFonts w:hint="eastAsia" w:ascii="宋体" w:hAnsi="宋体" w:eastAsia="宋体" w:cs="宋体"/>
                <w:szCs w:val="24"/>
                <w:highlight w:val="none"/>
                <w:lang w:eastAsia="zh-CN"/>
              </w:rPr>
              <w:t>、</w:t>
            </w:r>
            <w:r>
              <w:rPr>
                <w:rFonts w:hint="eastAsia" w:ascii="宋体" w:hAnsi="宋体" w:eastAsia="宋体" w:cs="宋体"/>
                <w:sz w:val="24"/>
                <w:szCs w:val="24"/>
                <w:highlight w:val="none"/>
                <w:lang w:eastAsia="zh-CN"/>
              </w:rPr>
              <w:t>招标代理服务费、</w:t>
            </w:r>
            <w:r>
              <w:rPr>
                <w:rFonts w:hint="eastAsia" w:ascii="宋体" w:hAnsi="宋体" w:eastAsia="宋体" w:cs="宋体"/>
                <w:sz w:val="24"/>
                <w:szCs w:val="24"/>
                <w:highlight w:val="none"/>
              </w:rPr>
              <w:t>税</w:t>
            </w:r>
            <w:bookmarkStart w:id="81" w:name="_GoBack"/>
            <w:bookmarkEnd w:id="81"/>
            <w:r>
              <w:rPr>
                <w:rFonts w:hint="eastAsia" w:ascii="宋体" w:hAnsi="宋体" w:eastAsia="宋体" w:cs="宋体"/>
                <w:sz w:val="24"/>
                <w:szCs w:val="24"/>
                <w:highlight w:val="none"/>
              </w:rPr>
              <w:t>金等其他一切相关费用。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谈判报价表中标明本次货物、服务的所有单项价格和总价，任何有选择的报价将不予接受，按无效响应处理。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592" w:type="dxa"/>
            <w:tcBorders>
              <w:top w:val="single" w:color="auto" w:sz="4" w:space="0"/>
              <w:bottom w:val="single" w:color="auto" w:sz="4" w:space="0"/>
            </w:tcBorders>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w:t>
            </w:r>
          </w:p>
        </w:tc>
        <w:tc>
          <w:tcPr>
            <w:tcW w:w="103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w:t>
            </w:r>
          </w:p>
        </w:tc>
        <w:tc>
          <w:tcPr>
            <w:tcW w:w="8364" w:type="dxa"/>
            <w:tcBorders>
              <w:top w:val="single" w:color="auto" w:sz="4" w:space="0"/>
              <w:bottom w:val="single" w:color="auto" w:sz="4" w:space="0"/>
            </w:tcBorders>
            <w:vAlign w:val="top"/>
          </w:tcPr>
          <w:p>
            <w:pPr>
              <w:pStyle w:val="27"/>
              <w:spacing w:line="360" w:lineRule="auto"/>
              <w:ind w:left="0" w:leftChars="0" w:firstLine="241" w:firstLineChars="100"/>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（一）基本资格条件：符合《中华人民共和国政府采购法》第二十二条的规定，并提供以下资料：</w:t>
            </w:r>
          </w:p>
          <w:p>
            <w:pPr>
              <w:pStyle w:val="27"/>
              <w:spacing w:line="36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（1）具有独立承担民事责任能力的法人或其他组织，提供有效存续的营业执照或事业单位法人证书或非企业专业服务机构执业许可证或民办非企业单位登记证书或自然人的身份证明；</w:t>
            </w:r>
          </w:p>
          <w:p>
            <w:pPr>
              <w:pStyle w:val="27"/>
              <w:spacing w:line="36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（2）财务状况报告：提供经审计的2020年或2021年财务报告，包括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p>
          <w:p>
            <w:pPr>
              <w:pStyle w:val="27"/>
              <w:spacing w:line="36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（3）税收缴纳证明：</w:t>
            </w:r>
            <w:r>
              <w:rPr>
                <w:rFonts w:hint="eastAsia" w:ascii="宋体" w:hAnsi="宋体" w:cs="宋体"/>
                <w:i w:val="0"/>
                <w:caps w:val="0"/>
                <w:color w:val="auto"/>
                <w:spacing w:val="0"/>
                <w:sz w:val="24"/>
                <w:szCs w:val="24"/>
                <w:highlight w:val="none"/>
                <w:shd w:val="clear" w:color="auto" w:fill="FFFFFF"/>
                <w:lang w:val="en-US" w:eastAsia="zh-CN"/>
              </w:rPr>
              <w:t>提供已缴纳的2021年8月至今</w:t>
            </w:r>
            <w:r>
              <w:rPr>
                <w:rFonts w:hint="eastAsia" w:ascii="宋体" w:hAnsi="宋体" w:eastAsia="宋体" w:cs="宋体"/>
                <w:i w:val="0"/>
                <w:caps w:val="0"/>
                <w:color w:val="auto"/>
                <w:spacing w:val="0"/>
                <w:sz w:val="24"/>
                <w:szCs w:val="24"/>
                <w:highlight w:val="none"/>
                <w:shd w:val="clear" w:color="auto" w:fill="FFFFFF"/>
                <w:lang w:val="en-US" w:eastAsia="zh-CN"/>
              </w:rPr>
              <w:t>任意一个月的纳税证明或完税证明，纳税证明或完税证明上应有代收机构或税务机关的公章。依法免税的供应商应提供相关文件证明；</w:t>
            </w:r>
          </w:p>
          <w:p>
            <w:pPr>
              <w:pStyle w:val="27"/>
              <w:spacing w:line="36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（4）供应商须提供具有履行合同所必需的设备和专业技术能力的承诺；</w:t>
            </w:r>
          </w:p>
          <w:p>
            <w:pPr>
              <w:pStyle w:val="27"/>
              <w:spacing w:line="36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（5）社会保障资金缴纳证明：</w:t>
            </w:r>
            <w:r>
              <w:rPr>
                <w:rFonts w:hint="eastAsia" w:ascii="宋体" w:hAnsi="宋体" w:cs="宋体"/>
                <w:i w:val="0"/>
                <w:caps w:val="0"/>
                <w:color w:val="auto"/>
                <w:spacing w:val="0"/>
                <w:sz w:val="24"/>
                <w:szCs w:val="24"/>
                <w:highlight w:val="none"/>
                <w:shd w:val="clear" w:color="auto" w:fill="FFFFFF"/>
                <w:lang w:val="en-US" w:eastAsia="zh-CN"/>
              </w:rPr>
              <w:t>提供已缴存的2021年8月至今</w:t>
            </w:r>
            <w:r>
              <w:rPr>
                <w:rFonts w:hint="eastAsia" w:ascii="宋体" w:hAnsi="宋体" w:eastAsia="宋体" w:cs="宋体"/>
                <w:i w:val="0"/>
                <w:caps w:val="0"/>
                <w:color w:val="auto"/>
                <w:spacing w:val="0"/>
                <w:sz w:val="24"/>
                <w:szCs w:val="24"/>
                <w:highlight w:val="none"/>
                <w:shd w:val="clear" w:color="auto" w:fill="FFFFFF"/>
                <w:lang w:val="en-US" w:eastAsia="zh-CN"/>
              </w:rPr>
              <w:t>任意一个月的社会保障资金缴存单据或社保机构开具的社会保险参保缴费情况证明，单据或证明上应有社保机构或代收机构的公章。依法不需要缴纳社会保障资金的供应商应提供相关文件证明；</w:t>
            </w:r>
          </w:p>
          <w:p>
            <w:pPr>
              <w:pStyle w:val="27"/>
              <w:spacing w:line="36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（6）出具参加本次政府采购活动前三年内在经营活动中没有重大违法记录（包括但不限于未被列入失信被执行人、重大税收违法案件当事人名单、政府采购严重违法失信行为记录名单）的书面声明；</w:t>
            </w:r>
          </w:p>
          <w:p>
            <w:pPr>
              <w:pStyle w:val="27"/>
              <w:spacing w:line="360" w:lineRule="auto"/>
              <w:ind w:left="0" w:leftChars="0" w:firstLine="241" w:firstLineChars="100"/>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（二）落实政府采购政策需满足的资格要求：</w:t>
            </w:r>
            <w:r>
              <w:rPr>
                <w:rFonts w:hint="eastAsia" w:ascii="宋体" w:hAnsi="宋体" w:cs="宋体"/>
                <w:b/>
                <w:bCs/>
                <w:i w:val="0"/>
                <w:caps w:val="0"/>
                <w:color w:val="auto"/>
                <w:spacing w:val="0"/>
                <w:sz w:val="24"/>
                <w:szCs w:val="24"/>
                <w:highlight w:val="none"/>
                <w:shd w:val="clear" w:color="auto" w:fill="FFFFFF"/>
                <w:lang w:val="en-US" w:eastAsia="zh-CN"/>
              </w:rPr>
              <w:t>本项目非专门面向中小企业采购。</w:t>
            </w:r>
          </w:p>
          <w:p>
            <w:pPr>
              <w:pStyle w:val="27"/>
              <w:spacing w:line="360" w:lineRule="auto"/>
              <w:ind w:left="0" w:leftChars="0" w:firstLine="241" w:firstLineChars="100"/>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（三）特定资格条件：</w:t>
            </w:r>
          </w:p>
          <w:p>
            <w:pPr>
              <w:pStyle w:val="27"/>
              <w:spacing w:line="36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（1）法定代表人授权书（附法定代表人、被授权人身份证复印件）及被授权人身份证（法定代表人直接参加谈判活动，须提供法定代表人身份证明及身份证原件）；</w:t>
            </w:r>
          </w:p>
          <w:p>
            <w:pPr>
              <w:pStyle w:val="27"/>
              <w:spacing w:line="36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（2）本项目不接受联合体谈判（提供书面声明）。</w:t>
            </w:r>
          </w:p>
          <w:p>
            <w:pPr>
              <w:pStyle w:val="27"/>
              <w:spacing w:line="360" w:lineRule="auto"/>
              <w:ind w:left="0" w:leftChars="0" w:firstLine="241" w:firstLineChars="100"/>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（四）供应商信用信息：</w:t>
            </w:r>
          </w:p>
          <w:p>
            <w:pPr>
              <w:pStyle w:val="27"/>
              <w:spacing w:line="36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（1）查询渠道：通过“信用中国”网站(www.creditchina.gov.cn)、中国政府采购网(www.ccgp.gov.cn)等渠道查询相关主体信用记录；</w:t>
            </w:r>
          </w:p>
          <w:p>
            <w:pPr>
              <w:pStyle w:val="27"/>
              <w:spacing w:line="36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（2）查询截止时点：</w:t>
            </w:r>
            <w:r>
              <w:rPr>
                <w:rFonts w:hint="eastAsia" w:ascii="宋体" w:hAnsi="宋体" w:cs="宋体"/>
                <w:i w:val="0"/>
                <w:caps w:val="0"/>
                <w:color w:val="auto"/>
                <w:spacing w:val="0"/>
                <w:sz w:val="24"/>
                <w:szCs w:val="24"/>
                <w:highlight w:val="none"/>
                <w:shd w:val="clear" w:color="auto" w:fill="FFFFFF"/>
                <w:lang w:val="en-US" w:eastAsia="zh-CN"/>
              </w:rPr>
              <w:t>谈判响应文件递交截止时间后 2 小时</w:t>
            </w:r>
            <w:r>
              <w:rPr>
                <w:rFonts w:hint="eastAsia" w:ascii="宋体" w:hAnsi="宋体" w:eastAsia="宋体" w:cs="宋体"/>
                <w:i w:val="0"/>
                <w:caps w:val="0"/>
                <w:color w:val="auto"/>
                <w:spacing w:val="0"/>
                <w:sz w:val="24"/>
                <w:szCs w:val="24"/>
                <w:highlight w:val="none"/>
                <w:shd w:val="clear" w:color="auto" w:fill="FFFFFF"/>
                <w:lang w:val="en-US" w:eastAsia="zh-CN"/>
              </w:rPr>
              <w:t>；</w:t>
            </w:r>
          </w:p>
          <w:p>
            <w:pPr>
              <w:pStyle w:val="27"/>
              <w:spacing w:line="36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（3）查询记录和证据留存方式：（代理机构网站截图留存）；</w:t>
            </w:r>
          </w:p>
          <w:p>
            <w:pPr>
              <w:pStyle w:val="27"/>
              <w:spacing w:line="360" w:lineRule="auto"/>
              <w:ind w:left="0" w:leftChars="0" w:firstLine="240" w:firstLineChars="100"/>
              <w:rPr>
                <w:rFonts w:hint="eastAsia" w:ascii="宋体" w:hAnsi="宋体" w:eastAsia="宋体" w:cs="宋体"/>
                <w:highlight w:val="none"/>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（4）</w:t>
            </w:r>
            <w:r>
              <w:rPr>
                <w:rFonts w:hint="eastAsia" w:ascii="宋体" w:hAnsi="宋体" w:cs="宋体"/>
                <w:i w:val="0"/>
                <w:caps w:val="0"/>
                <w:color w:val="auto"/>
                <w:spacing w:val="0"/>
                <w:sz w:val="24"/>
                <w:szCs w:val="24"/>
                <w:highlight w:val="none"/>
                <w:shd w:val="clear" w:color="auto" w:fill="FFFFFF"/>
                <w:lang w:val="en-US" w:eastAsia="zh-CN"/>
              </w:rPr>
              <w:t>使用规则：对列入失信被执行人、重大税收违法案件当事人名单、政府采购严重违法失信行为记录名单的供应商，其谈判无效</w:t>
            </w:r>
            <w:r>
              <w:rPr>
                <w:rFonts w:hint="eastAsia" w:ascii="宋体" w:hAnsi="宋体" w:eastAsia="宋体" w:cs="宋体"/>
                <w:i w:val="0"/>
                <w:caps w:val="0"/>
                <w:color w:val="auto"/>
                <w:spacing w:val="0"/>
                <w:sz w:val="24"/>
                <w:szCs w:val="24"/>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color w:val="auto"/>
                <w:sz w:val="24"/>
                <w:szCs w:val="24"/>
                <w:highlight w:val="none"/>
              </w:rPr>
              <w:t>以上为必备资质，缺一项或某项达不到要求，按无效</w:t>
            </w:r>
            <w:r>
              <w:rPr>
                <w:rFonts w:hint="eastAsia" w:ascii="宋体" w:hAnsi="宋体" w:eastAsia="宋体" w:cs="宋体"/>
                <w:b/>
                <w:color w:val="auto"/>
                <w:sz w:val="24"/>
                <w:szCs w:val="24"/>
                <w:highlight w:val="none"/>
                <w:lang w:eastAsia="zh-CN"/>
              </w:rPr>
              <w:t>谈判</w:t>
            </w:r>
            <w:r>
              <w:rPr>
                <w:rFonts w:hint="eastAsia" w:ascii="宋体" w:hAnsi="宋体" w:eastAsia="宋体" w:cs="宋体"/>
                <w:b/>
                <w:color w:val="auto"/>
                <w:sz w:val="24"/>
                <w:szCs w:val="24"/>
                <w:highlight w:val="none"/>
              </w:rPr>
              <w:t>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9" w:hRule="atLeast"/>
          <w:jc w:val="center"/>
        </w:trPr>
        <w:tc>
          <w:tcPr>
            <w:tcW w:w="592"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w:t>
            </w:r>
          </w:p>
        </w:tc>
        <w:tc>
          <w:tcPr>
            <w:tcW w:w="1034" w:type="dxa"/>
            <w:tcBorders>
              <w:top w:val="single" w:color="auto" w:sz="4" w:space="0"/>
              <w:bottom w:val="single" w:color="auto" w:sz="4" w:space="0"/>
            </w:tcBorders>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15.1</w:t>
            </w:r>
          </w:p>
        </w:tc>
        <w:tc>
          <w:tcPr>
            <w:tcW w:w="836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谈判有效期:提交谈判响应文件的截止之日起90天。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2"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10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w:t>
            </w:r>
          </w:p>
        </w:tc>
        <w:tc>
          <w:tcPr>
            <w:tcW w:w="836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正本的份数：</w:t>
            </w:r>
            <w:r>
              <w:rPr>
                <w:rFonts w:hint="eastAsia" w:ascii="宋体" w:hAnsi="宋体" w:eastAsia="宋体" w:cs="宋体"/>
                <w:sz w:val="24"/>
                <w:szCs w:val="24"/>
                <w:highlight w:val="none"/>
                <w:u w:val="single"/>
              </w:rPr>
              <w:t xml:space="preserve"> 壹 </w:t>
            </w:r>
            <w:r>
              <w:rPr>
                <w:rFonts w:hint="eastAsia" w:ascii="宋体" w:hAnsi="宋体" w:eastAsia="宋体" w:cs="宋体"/>
                <w:sz w:val="24"/>
                <w:szCs w:val="24"/>
                <w:highlight w:val="none"/>
              </w:rPr>
              <w:t xml:space="preserve"> 份；副本的份数:</w:t>
            </w:r>
            <w:r>
              <w:rPr>
                <w:rFonts w:hint="eastAsia" w:ascii="宋体" w:hAnsi="宋体" w:eastAsia="宋体" w:cs="宋体"/>
                <w:sz w:val="24"/>
                <w:szCs w:val="24"/>
                <w:highlight w:val="none"/>
                <w:u w:val="single"/>
              </w:rPr>
              <w:t xml:space="preserve"> 贰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；报价一览表：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份；电子版（U盘）：</w:t>
            </w:r>
            <w:r>
              <w:rPr>
                <w:rFonts w:hint="eastAsia" w:ascii="宋体" w:hAnsi="宋体" w:eastAsia="宋体" w:cs="宋体"/>
                <w:sz w:val="24"/>
                <w:szCs w:val="24"/>
                <w:highlight w:val="none"/>
                <w:u w:val="single"/>
                <w:lang w:val="en-US" w:eastAsia="zh-CN"/>
              </w:rPr>
              <w:t xml:space="preserve"> 贰 </w:t>
            </w:r>
            <w:r>
              <w:rPr>
                <w:rFonts w:hint="eastAsia" w:ascii="宋体" w:hAnsi="宋体" w:eastAsia="宋体" w:cs="宋体"/>
                <w:sz w:val="24"/>
                <w:szCs w:val="24"/>
                <w:highlight w:val="none"/>
                <w:lang w:eastAsia="zh-CN"/>
              </w:rPr>
              <w:t>份（需在盘面上标注</w:t>
            </w:r>
            <w:r>
              <w:rPr>
                <w:rFonts w:hint="eastAsia" w:ascii="宋体" w:hAnsi="宋体" w:eastAsia="宋体" w:cs="宋体"/>
                <w:sz w:val="24"/>
                <w:szCs w:val="24"/>
                <w:highlight w:val="none"/>
                <w:lang w:val="en-US" w:eastAsia="zh-CN"/>
              </w:rPr>
              <w:t>供应商全称、项目名称、编号）</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电子版包括：电子U盘内须附</w:t>
            </w:r>
            <w:r>
              <w:rPr>
                <w:rFonts w:hint="eastAsia" w:ascii="宋体" w:hAnsi="宋体" w:cs="宋体"/>
                <w:b/>
                <w:bCs/>
                <w:sz w:val="24"/>
                <w:szCs w:val="24"/>
                <w:highlight w:val="none"/>
                <w:lang w:val="en-US" w:eastAsia="zh-CN"/>
              </w:rPr>
              <w:t>谈判</w:t>
            </w:r>
            <w:r>
              <w:rPr>
                <w:rFonts w:hint="eastAsia" w:ascii="宋体" w:hAnsi="宋体" w:eastAsia="宋体" w:cs="宋体"/>
                <w:b/>
                <w:bCs/>
                <w:sz w:val="24"/>
                <w:szCs w:val="24"/>
                <w:highlight w:val="none"/>
                <w:lang w:val="en-US" w:eastAsia="zh-CN"/>
              </w:rPr>
              <w:t>响应文件WORD版本（可编辑）、完整彩色扫描件的PDF版本。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35"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10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w:t>
            </w:r>
          </w:p>
        </w:tc>
        <w:tc>
          <w:tcPr>
            <w:tcW w:w="836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eastAsia="zh-CN"/>
              </w:rPr>
              <w:t>谈判响应文件正本、所有副本、电子版本、报价一览表分开密封装在单独的信封中（封袋不得有破损），且在信封上标明“正本”、“副本”、“电子版本”、“报价一览表”字样。封袋应加贴封条，并在封线处加盖谈判供应商公章，封袋正面要粘贴供应商名称、项目名称、项目编号等标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10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18.1</w:t>
            </w:r>
          </w:p>
        </w:tc>
        <w:tc>
          <w:tcPr>
            <w:tcW w:w="836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谈判时间：</w:t>
            </w:r>
            <w:r>
              <w:rPr>
                <w:rStyle w:val="94"/>
                <w:rFonts w:hint="eastAsia" w:ascii="宋体" w:hAnsi="宋体" w:eastAsia="宋体" w:cs="宋体"/>
                <w:color w:val="000000"/>
                <w:kern w:val="0"/>
                <w:sz w:val="24"/>
                <w:szCs w:val="24"/>
                <w:highlight w:val="none"/>
              </w:rPr>
              <w:t>2022年</w:t>
            </w:r>
            <w:r>
              <w:rPr>
                <w:rStyle w:val="94"/>
                <w:rFonts w:hint="eastAsia" w:ascii="宋体" w:hAnsi="宋体" w:cs="宋体"/>
                <w:color w:val="000000"/>
                <w:kern w:val="0"/>
                <w:sz w:val="24"/>
                <w:szCs w:val="24"/>
                <w:highlight w:val="none"/>
              </w:rPr>
              <w:t>08月16日</w:t>
            </w:r>
            <w:r>
              <w:rPr>
                <w:rStyle w:val="94"/>
                <w:rFonts w:hint="eastAsia" w:ascii="宋体" w:hAnsi="宋体" w:cs="宋体"/>
                <w:sz w:val="24"/>
                <w:szCs w:val="24"/>
                <w:highlight w:val="none"/>
                <w:lang w:val="en-US"/>
              </w:rPr>
              <w:t>09</w:t>
            </w:r>
            <w:r>
              <w:rPr>
                <w:rStyle w:val="94"/>
                <w:rFonts w:hint="eastAsia" w:ascii="宋体" w:hAnsi="宋体" w:eastAsia="宋体" w:cs="宋体"/>
                <w:sz w:val="24"/>
                <w:szCs w:val="24"/>
                <w:highlight w:val="none"/>
              </w:rPr>
              <w:t>时</w:t>
            </w:r>
            <w:r>
              <w:rPr>
                <w:rStyle w:val="94"/>
                <w:rFonts w:hint="eastAsia" w:ascii="宋体" w:hAnsi="宋体" w:cs="宋体"/>
                <w:sz w:val="24"/>
                <w:szCs w:val="24"/>
                <w:highlight w:val="none"/>
                <w:lang w:val="en-US"/>
              </w:rPr>
              <w:t>30</w:t>
            </w:r>
            <w:r>
              <w:rPr>
                <w:rStyle w:val="94"/>
                <w:rFonts w:hint="eastAsia" w:ascii="宋体" w:hAnsi="宋体" w:eastAsia="宋体" w:cs="宋体"/>
                <w:sz w:val="24"/>
                <w:szCs w:val="24"/>
                <w:highlight w:val="none"/>
              </w:rPr>
              <w:t>分</w:t>
            </w:r>
            <w:r>
              <w:rPr>
                <w:rStyle w:val="94"/>
                <w:rFonts w:hint="eastAsia" w:ascii="宋体" w:hAnsi="宋体" w:eastAsia="宋体" w:cs="宋体"/>
                <w:sz w:val="24"/>
                <w:szCs w:val="24"/>
                <w:highlight w:val="none"/>
                <w:lang w:val="en-US"/>
              </w:rPr>
              <w:t>00</w:t>
            </w:r>
            <w:r>
              <w:rPr>
                <w:rStyle w:val="94"/>
                <w:rFonts w:hint="eastAsia" w:ascii="宋体" w:hAnsi="宋体" w:eastAsia="宋体" w:cs="宋体"/>
                <w:sz w:val="24"/>
                <w:szCs w:val="24"/>
                <w:highlight w:val="none"/>
              </w:rPr>
              <w:t>秒</w:t>
            </w:r>
            <w:r>
              <w:rPr>
                <w:rFonts w:hint="eastAsia" w:ascii="宋体" w:hAnsi="宋体" w:eastAsia="宋体" w:cs="宋体"/>
                <w:color w:val="000000"/>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pacing w:val="-6"/>
                <w:sz w:val="24"/>
                <w:szCs w:val="24"/>
                <w:highlight w:val="none"/>
              </w:rPr>
            </w:pPr>
            <w:r>
              <w:rPr>
                <w:rFonts w:hint="eastAsia" w:ascii="宋体" w:hAnsi="宋体" w:eastAsia="宋体" w:cs="宋体"/>
                <w:color w:val="000000"/>
                <w:sz w:val="24"/>
                <w:szCs w:val="24"/>
                <w:highlight w:val="none"/>
              </w:rPr>
              <w:t>谈判地</w:t>
            </w:r>
            <w:r>
              <w:rPr>
                <w:rFonts w:hint="eastAsia" w:ascii="宋体" w:hAnsi="宋体" w:cs="宋体"/>
                <w:color w:val="000000"/>
                <w:sz w:val="24"/>
                <w:szCs w:val="24"/>
                <w:highlight w:val="none"/>
                <w:lang w:val="en-US" w:eastAsia="zh-CN"/>
              </w:rPr>
              <w:t>点</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西安市</w:t>
            </w:r>
            <w:r>
              <w:rPr>
                <w:rFonts w:hint="eastAsia" w:ascii="宋体" w:hAnsi="宋体" w:eastAsia="宋体" w:cs="宋体"/>
                <w:sz w:val="24"/>
                <w:szCs w:val="24"/>
                <w:highlight w:val="none"/>
                <w:lang w:eastAsia="zh-CN"/>
              </w:rPr>
              <w:t>未央区凤城五路与明光路十字天朗经开中心</w:t>
            </w:r>
            <w:r>
              <w:rPr>
                <w:rFonts w:hint="eastAsia" w:ascii="宋体" w:hAnsi="宋体" w:eastAsia="宋体" w:cs="宋体"/>
                <w:sz w:val="24"/>
                <w:szCs w:val="24"/>
                <w:highlight w:val="none"/>
                <w:lang w:val="en-US" w:eastAsia="zh-CN"/>
              </w:rPr>
              <w:t>10楼11002室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谈判响应文件接收人</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rPr>
              <w:t>陕西嘉唐建设项目管理有限公司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2"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11</w:t>
            </w:r>
          </w:p>
        </w:tc>
        <w:tc>
          <w:tcPr>
            <w:tcW w:w="10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w:t>
            </w:r>
          </w:p>
        </w:tc>
        <w:tc>
          <w:tcPr>
            <w:tcW w:w="836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谈判时间：</w:t>
            </w:r>
            <w:r>
              <w:rPr>
                <w:rStyle w:val="94"/>
                <w:rFonts w:hint="eastAsia" w:ascii="宋体" w:hAnsi="宋体" w:eastAsia="宋体" w:cs="宋体"/>
                <w:color w:val="000000"/>
                <w:kern w:val="0"/>
                <w:sz w:val="24"/>
                <w:szCs w:val="24"/>
                <w:highlight w:val="none"/>
              </w:rPr>
              <w:t>2022年</w:t>
            </w:r>
            <w:r>
              <w:rPr>
                <w:rStyle w:val="94"/>
                <w:rFonts w:hint="eastAsia" w:ascii="宋体" w:hAnsi="宋体" w:cs="宋体"/>
                <w:color w:val="000000"/>
                <w:kern w:val="0"/>
                <w:sz w:val="24"/>
                <w:szCs w:val="24"/>
                <w:highlight w:val="none"/>
              </w:rPr>
              <w:t>08月16日</w:t>
            </w:r>
            <w:r>
              <w:rPr>
                <w:rStyle w:val="94"/>
                <w:rFonts w:hint="eastAsia" w:ascii="宋体" w:hAnsi="宋体" w:cs="宋体"/>
                <w:sz w:val="24"/>
                <w:szCs w:val="24"/>
                <w:highlight w:val="none"/>
                <w:lang w:val="en-US"/>
              </w:rPr>
              <w:t>09</w:t>
            </w:r>
            <w:r>
              <w:rPr>
                <w:rStyle w:val="94"/>
                <w:rFonts w:hint="eastAsia" w:ascii="宋体" w:hAnsi="宋体" w:eastAsia="宋体" w:cs="宋体"/>
                <w:sz w:val="24"/>
                <w:szCs w:val="24"/>
                <w:highlight w:val="none"/>
              </w:rPr>
              <w:t>时</w:t>
            </w:r>
            <w:r>
              <w:rPr>
                <w:rStyle w:val="94"/>
                <w:rFonts w:hint="eastAsia" w:ascii="宋体" w:hAnsi="宋体" w:cs="宋体"/>
                <w:sz w:val="24"/>
                <w:szCs w:val="24"/>
                <w:highlight w:val="none"/>
                <w:lang w:val="en-US"/>
              </w:rPr>
              <w:t>30</w:t>
            </w:r>
            <w:r>
              <w:rPr>
                <w:rStyle w:val="94"/>
                <w:rFonts w:hint="eastAsia" w:ascii="宋体" w:hAnsi="宋体" w:eastAsia="宋体" w:cs="宋体"/>
                <w:sz w:val="24"/>
                <w:szCs w:val="24"/>
                <w:highlight w:val="none"/>
              </w:rPr>
              <w:t>分</w:t>
            </w:r>
            <w:r>
              <w:rPr>
                <w:rStyle w:val="94"/>
                <w:rFonts w:hint="eastAsia" w:ascii="宋体" w:hAnsi="宋体" w:eastAsia="宋体" w:cs="宋体"/>
                <w:sz w:val="24"/>
                <w:szCs w:val="24"/>
                <w:highlight w:val="none"/>
                <w:lang w:val="en-US"/>
              </w:rPr>
              <w:t>00</w:t>
            </w:r>
            <w:r>
              <w:rPr>
                <w:rStyle w:val="94"/>
                <w:rFonts w:hint="eastAsia" w:ascii="宋体" w:hAnsi="宋体" w:eastAsia="宋体" w:cs="宋体"/>
                <w:sz w:val="24"/>
                <w:szCs w:val="24"/>
                <w:highlight w:val="none"/>
              </w:rPr>
              <w:t>秒</w:t>
            </w:r>
            <w:r>
              <w:rPr>
                <w:rFonts w:hint="eastAsia" w:ascii="宋体" w:hAnsi="宋体" w:eastAsia="宋体" w:cs="宋体"/>
                <w:color w:val="000000"/>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谈判地点：</w:t>
            </w:r>
            <w:r>
              <w:rPr>
                <w:rFonts w:hint="eastAsia" w:ascii="宋体" w:hAnsi="宋体" w:eastAsia="宋体" w:cs="宋体"/>
                <w:sz w:val="24"/>
                <w:szCs w:val="24"/>
                <w:highlight w:val="none"/>
              </w:rPr>
              <w:t>西安市</w:t>
            </w:r>
            <w:r>
              <w:rPr>
                <w:rFonts w:hint="eastAsia" w:ascii="宋体" w:hAnsi="宋体" w:eastAsia="宋体" w:cs="宋体"/>
                <w:sz w:val="24"/>
                <w:szCs w:val="24"/>
                <w:highlight w:val="none"/>
                <w:lang w:eastAsia="zh-CN"/>
              </w:rPr>
              <w:t>未央区凤城五路与明光路十字天朗经开中心</w:t>
            </w:r>
            <w:r>
              <w:rPr>
                <w:rFonts w:hint="eastAsia" w:ascii="宋体" w:hAnsi="宋体" w:eastAsia="宋体" w:cs="宋体"/>
                <w:sz w:val="24"/>
                <w:szCs w:val="24"/>
                <w:highlight w:val="none"/>
                <w:lang w:val="en-US" w:eastAsia="zh-CN"/>
              </w:rPr>
              <w:t>10楼11002室。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12</w:t>
            </w:r>
          </w:p>
        </w:tc>
        <w:tc>
          <w:tcPr>
            <w:tcW w:w="10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24.1</w:t>
            </w:r>
          </w:p>
        </w:tc>
        <w:tc>
          <w:tcPr>
            <w:tcW w:w="836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评审方法：最低评标价法 （详见第五章）。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13</w:t>
            </w:r>
          </w:p>
        </w:tc>
        <w:tc>
          <w:tcPr>
            <w:tcW w:w="10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29</w:t>
            </w:r>
          </w:p>
        </w:tc>
        <w:tc>
          <w:tcPr>
            <w:tcW w:w="836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540" w:rightChars="257"/>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招标代理服务费</w:t>
            </w:r>
            <w:r>
              <w:rPr>
                <w:rFonts w:hint="eastAsia" w:ascii="宋体" w:hAnsi="宋体" w:eastAsia="宋体" w:cs="宋体"/>
                <w:color w:val="000000"/>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highlight w:val="none"/>
              </w:rPr>
            </w:pPr>
            <w:bookmarkStart w:id="15" w:name="OLE_LINK10"/>
            <w:bookmarkStart w:id="16" w:name="OLE_LINK9"/>
            <w:r>
              <w:rPr>
                <w:rFonts w:hint="eastAsia" w:ascii="宋体" w:hAnsi="宋体" w:eastAsia="宋体" w:cs="宋体"/>
                <w:sz w:val="24"/>
                <w:szCs w:val="24"/>
                <w:highlight w:val="none"/>
                <w:lang w:val="en-US" w:eastAsia="zh-CN"/>
              </w:rPr>
              <w:t>29.1</w:t>
            </w:r>
            <w:bookmarkEnd w:id="15"/>
            <w:bookmarkEnd w:id="16"/>
            <w:r>
              <w:rPr>
                <w:rFonts w:hint="eastAsia" w:ascii="宋体" w:hAnsi="宋体" w:eastAsia="宋体" w:cs="宋体"/>
                <w:sz w:val="24"/>
                <w:highlight w:val="none"/>
                <w:lang w:val="en-US" w:eastAsia="zh-CN"/>
              </w:rPr>
              <w:t>招标代理服务费的计算方法：参照国家计委颁发的《招标代理服务收费管理暂行办法》（计价格[2002]1980号）和国家发展改革委员会办公厅颁发的《关于招标代理服务收费有关问题的通知》（发改办价格[2003]857号）的有关规定执行,不足壹万元按壹万元计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pacing w:val="-20"/>
                <w:sz w:val="24"/>
                <w:szCs w:val="24"/>
                <w:highlight w:val="none"/>
              </w:rPr>
            </w:pPr>
            <w:r>
              <w:rPr>
                <w:rFonts w:hint="eastAsia" w:ascii="宋体" w:hAnsi="宋体" w:eastAsia="宋体" w:cs="宋体"/>
                <w:color w:val="000000"/>
                <w:sz w:val="24"/>
                <w:szCs w:val="24"/>
                <w:highlight w:val="none"/>
                <w:lang w:val="en-US" w:eastAsia="zh-CN"/>
              </w:rPr>
              <w:t>29.2</w:t>
            </w:r>
            <w:r>
              <w:rPr>
                <w:rFonts w:hint="eastAsia" w:ascii="宋体" w:hAnsi="宋体" w:eastAsia="宋体" w:cs="宋体"/>
                <w:color w:val="000000"/>
                <w:sz w:val="24"/>
                <w:szCs w:val="24"/>
                <w:highlight w:val="none"/>
              </w:rPr>
              <w:t>成交单位在领取成交通知书前，须向采购代理机构支付代理服务费。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10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银行</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账户</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信息</w:t>
            </w:r>
          </w:p>
        </w:tc>
        <w:tc>
          <w:tcPr>
            <w:tcW w:w="83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代理服务费账户：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公司名称：陕西嘉唐建设项目管理有限公司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账    号:  112011580000141313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 户 行：西安银行股份有限公司含光门支行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auto"/>
                <w:sz w:val="24"/>
                <w:szCs w:val="24"/>
                <w:highlight w:val="none"/>
                <w:lang w:val="en-US" w:eastAsia="zh-CN"/>
              </w:rPr>
              <w:t>请成交供应商按照要求将服务费汇入以上指定账户，如因自身原因发生错误，产生的不利后果均由供应商自行承担。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B050"/>
                <w:kern w:val="2"/>
                <w:sz w:val="24"/>
                <w:szCs w:val="24"/>
                <w:highlight w:val="none"/>
                <w:lang w:val="en-US" w:eastAsia="zh-CN" w:bidi="ar-SA"/>
              </w:rPr>
            </w:pPr>
            <w:r>
              <w:rPr>
                <w:rFonts w:hint="eastAsia" w:ascii="宋体" w:hAnsi="宋体" w:eastAsia="宋体" w:cs="宋体"/>
                <w:sz w:val="24"/>
                <w:szCs w:val="24"/>
                <w:highlight w:val="none"/>
                <w:lang w:val="en-US" w:eastAsia="zh-CN"/>
              </w:rPr>
              <w:t>15</w:t>
            </w:r>
          </w:p>
        </w:tc>
        <w:tc>
          <w:tcPr>
            <w:tcW w:w="103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w:t>
            </w:r>
          </w:p>
        </w:tc>
        <w:tc>
          <w:tcPr>
            <w:tcW w:w="8364"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履约验收：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涉及履约验收的，验收费用由成交供应商支付，费用标准按成交金额的5‰计算，不足5000元的，按5000元收取。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16</w:t>
            </w:r>
          </w:p>
        </w:tc>
        <w:tc>
          <w:tcPr>
            <w:tcW w:w="10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B050"/>
                <w:sz w:val="24"/>
                <w:szCs w:val="24"/>
                <w:highlight w:val="none"/>
                <w:lang w:val="en-US" w:eastAsia="zh-CN"/>
              </w:rPr>
            </w:pPr>
            <w:r>
              <w:rPr>
                <w:rFonts w:hint="eastAsia" w:ascii="宋体" w:hAnsi="宋体" w:eastAsia="宋体" w:cs="宋体"/>
                <w:b/>
                <w:bCs/>
                <w:color w:val="auto"/>
                <w:sz w:val="24"/>
                <w:szCs w:val="24"/>
                <w:highlight w:val="none"/>
                <w:lang w:val="en-US" w:eastAsia="zh-CN"/>
              </w:rPr>
              <w:t>保证金</w:t>
            </w:r>
          </w:p>
        </w:tc>
        <w:tc>
          <w:tcPr>
            <w:tcW w:w="8364"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5"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17</w:t>
            </w:r>
          </w:p>
        </w:tc>
        <w:tc>
          <w:tcPr>
            <w:tcW w:w="10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核心产品</w:t>
            </w:r>
          </w:p>
        </w:tc>
        <w:tc>
          <w:tcPr>
            <w:tcW w:w="8364"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lang w:val="en-US" w:eastAsia="zh-CN"/>
              </w:rPr>
            </w:pPr>
            <w:r>
              <w:rPr>
                <w:rFonts w:hint="eastAsia" w:ascii="宋体" w:hAnsi="宋体" w:cs="宋体"/>
                <w:color w:val="000000"/>
                <w:kern w:val="0"/>
                <w:sz w:val="24"/>
                <w:highlight w:val="none"/>
                <w:lang w:bidi="ar"/>
              </w:rPr>
              <w:t>智慧教学系统</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75寸一体机</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86寸一体机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5"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18</w:t>
            </w:r>
          </w:p>
        </w:tc>
        <w:tc>
          <w:tcPr>
            <w:tcW w:w="103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融资平台</w:t>
            </w:r>
          </w:p>
        </w:tc>
        <w:tc>
          <w:tcPr>
            <w:tcW w:w="8364"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网址：http://www.ccgp-shaanxi.gov.cn/zcdservice/zcd/shanxi/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5" w:hRule="atLeast"/>
          <w:jc w:val="center"/>
        </w:trPr>
        <w:tc>
          <w:tcPr>
            <w:tcW w:w="5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bookmarkStart w:id="17" w:name="_Toc393281138"/>
            <w:bookmarkStart w:id="18" w:name="_Toc393284380"/>
            <w:bookmarkStart w:id="19" w:name="_Toc393284673"/>
            <w:bookmarkStart w:id="20" w:name="_Toc389836556"/>
            <w:bookmarkStart w:id="21" w:name="_Toc370906267"/>
          </w:p>
        </w:tc>
        <w:tc>
          <w:tcPr>
            <w:tcW w:w="1034" w:type="dxa"/>
            <w:vAlign w:val="center"/>
          </w:tcPr>
          <w:p>
            <w:pPr>
              <w:pStyle w:val="95"/>
              <w:spacing w:line="360" w:lineRule="auto"/>
              <w:ind w:firstLine="0" w:firstLine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其他</w:t>
            </w:r>
          </w:p>
        </w:tc>
        <w:tc>
          <w:tcPr>
            <w:tcW w:w="8364"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1.本项目属性为货物。</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2.本项目采购标的所属行业为</w:t>
            </w:r>
            <w:r>
              <w:rPr>
                <w:rFonts w:hint="eastAsia" w:ascii="宋体" w:hAnsi="宋体" w:eastAsia="宋体" w:cs="宋体"/>
                <w:b/>
                <w:bCs/>
                <w:color w:val="auto"/>
                <w:sz w:val="24"/>
                <w:highlight w:val="none"/>
              </w:rPr>
              <w:t>工业</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3.按照《西安市财政局关于促进政府采购公平竞争优化营商环境的通知》（市财函〔2021) 431号）规定：供应商登记免费领取招标文件的，如不参与项目投标，应在递交投标文件截止时间前一日以书面形式（格式如下，签字盖章后发回代理机构邮箱shanxijiatang@163.com即可）告知釆购代理机构。否则，采购代理机构可以向财政部门反映情况并提供相应的佐证。供应商一年内累计出现三次该情形，将被监管部门记录为失信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不参与投标告知函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（招标代理机构名称）：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经研究决定，由于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（不参与原因），我单位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（单位名称）确认不参与关于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（项目名称）的投标活动。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单位名称（盖章）：</w:t>
            </w:r>
          </w:p>
          <w:p>
            <w:pPr>
              <w:pStyle w:val="95"/>
              <w:spacing w:line="360" w:lineRule="auto"/>
              <w:ind w:firstLine="480" w:firstLineChars="200"/>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法定代表人或授权代表（签字或盖章）：</w:t>
            </w:r>
          </w:p>
        </w:tc>
      </w:tr>
    </w:tbl>
    <w:p>
      <w:pPr>
        <w:spacing w:before="156" w:beforeLines="50" w:line="360" w:lineRule="auto"/>
        <w:jc w:val="center"/>
        <w:rPr>
          <w:rFonts w:hint="eastAsia" w:ascii="宋体" w:hAnsi="宋体" w:eastAsia="宋体" w:cs="宋体"/>
          <w:b/>
          <w:sz w:val="32"/>
          <w:szCs w:val="32"/>
          <w:highlight w:val="none"/>
        </w:rPr>
      </w:pPr>
    </w:p>
    <w:p>
      <w:pPr>
        <w:spacing w:before="156" w:beforeLines="50" w:line="360" w:lineRule="auto"/>
        <w:jc w:val="center"/>
        <w:rPr>
          <w:rFonts w:hint="eastAsia" w:ascii="宋体" w:hAnsi="宋体" w:eastAsia="宋体" w:cs="宋体"/>
          <w:b/>
          <w:sz w:val="32"/>
          <w:szCs w:val="32"/>
          <w:highlight w:val="none"/>
        </w:rPr>
      </w:pPr>
    </w:p>
    <w:p>
      <w:pPr>
        <w:spacing w:before="156" w:beforeLines="50" w:line="360" w:lineRule="auto"/>
        <w:jc w:val="center"/>
        <w:rPr>
          <w:rFonts w:hint="eastAsia" w:ascii="宋体" w:hAnsi="宋体" w:eastAsia="宋体" w:cs="宋体"/>
          <w:b/>
          <w:sz w:val="32"/>
          <w:szCs w:val="32"/>
          <w:highlight w:val="none"/>
        </w:rPr>
      </w:pPr>
    </w:p>
    <w:p>
      <w:pPr>
        <w:spacing w:before="156" w:beforeLines="50" w:line="360" w:lineRule="auto"/>
        <w:jc w:val="center"/>
        <w:rPr>
          <w:rFonts w:hint="eastAsia" w:ascii="宋体" w:hAnsi="宋体" w:eastAsia="宋体" w:cs="宋体"/>
          <w:b/>
          <w:sz w:val="32"/>
          <w:szCs w:val="32"/>
          <w:highlight w:val="none"/>
        </w:rPr>
      </w:pPr>
    </w:p>
    <w:p>
      <w:pPr>
        <w:spacing w:before="156" w:beforeLines="50" w:line="360" w:lineRule="auto"/>
        <w:jc w:val="center"/>
        <w:rPr>
          <w:rFonts w:hint="eastAsia" w:ascii="宋体" w:hAnsi="宋体" w:eastAsia="宋体" w:cs="宋体"/>
          <w:b/>
          <w:sz w:val="32"/>
          <w:szCs w:val="32"/>
          <w:highlight w:val="none"/>
        </w:rPr>
      </w:pPr>
    </w:p>
    <w:p>
      <w:pPr>
        <w:spacing w:before="156" w:beforeLines="50" w:line="360" w:lineRule="auto"/>
        <w:jc w:val="center"/>
        <w:rPr>
          <w:rFonts w:hint="eastAsia" w:ascii="宋体" w:hAnsi="宋体" w:eastAsia="宋体" w:cs="宋体"/>
          <w:b/>
          <w:sz w:val="32"/>
          <w:szCs w:val="32"/>
          <w:highlight w:val="none"/>
        </w:rPr>
      </w:pPr>
    </w:p>
    <w:p>
      <w:pPr>
        <w:spacing w:before="156" w:beforeLines="50" w:line="360" w:lineRule="auto"/>
        <w:jc w:val="center"/>
        <w:rPr>
          <w:rFonts w:hint="eastAsia" w:ascii="宋体" w:hAnsi="宋体" w:eastAsia="宋体" w:cs="宋体"/>
          <w:b/>
          <w:sz w:val="32"/>
          <w:szCs w:val="32"/>
          <w:highlight w:val="none"/>
        </w:rPr>
      </w:pPr>
    </w:p>
    <w:p>
      <w:pPr>
        <w:pStyle w:val="2"/>
        <w:rPr>
          <w:rFonts w:hint="eastAsia" w:ascii="宋体" w:hAnsi="宋体" w:eastAsia="宋体" w:cs="宋体"/>
          <w:b/>
          <w:sz w:val="32"/>
          <w:szCs w:val="32"/>
          <w:highlight w:val="none"/>
        </w:rPr>
      </w:pPr>
    </w:p>
    <w:p>
      <w:pPr>
        <w:pStyle w:val="2"/>
        <w:rPr>
          <w:rFonts w:hint="eastAsia"/>
          <w:highlight w:val="none"/>
        </w:rPr>
      </w:pPr>
    </w:p>
    <w:p>
      <w:pPr>
        <w:spacing w:before="156" w:beforeLines="50" w:line="360" w:lineRule="auto"/>
        <w:jc w:val="center"/>
        <w:rPr>
          <w:rFonts w:hint="eastAsia" w:ascii="宋体" w:hAnsi="宋体" w:eastAsia="宋体" w:cs="宋体"/>
          <w:b/>
          <w:sz w:val="32"/>
          <w:szCs w:val="32"/>
          <w:highlight w:val="none"/>
        </w:rPr>
      </w:pPr>
    </w:p>
    <w:p>
      <w:pPr>
        <w:pStyle w:val="2"/>
        <w:rPr>
          <w:rFonts w:hint="eastAsia" w:ascii="宋体" w:hAnsi="宋体" w:eastAsia="宋体" w:cs="宋体"/>
          <w:b/>
          <w:sz w:val="32"/>
          <w:szCs w:val="32"/>
          <w:highlight w:val="none"/>
        </w:rPr>
      </w:pPr>
    </w:p>
    <w:p>
      <w:pPr>
        <w:rPr>
          <w:rFonts w:hint="eastAsia"/>
          <w:highlight w:val="none"/>
        </w:rPr>
      </w:pPr>
    </w:p>
    <w:p>
      <w:pPr>
        <w:rPr>
          <w:rFonts w:hint="eastAsia"/>
          <w:highlight w:val="none"/>
        </w:rPr>
      </w:pPr>
    </w:p>
    <w:p>
      <w:pPr>
        <w:spacing w:before="156" w:beforeLines="50"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一.总  则</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1.资金来源</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1.1本次竞争性谈判采购所签合同使用财政性资金支付，资金已落实到位。</w:t>
      </w:r>
    </w:p>
    <w:p>
      <w:pPr>
        <w:keepNext w:val="0"/>
        <w:keepLines w:val="0"/>
        <w:pageBreakBefore w:val="0"/>
        <w:widowControl w:val="0"/>
        <w:numPr>
          <w:ilvl w:val="0"/>
          <w:numId w:val="2"/>
        </w:numPr>
        <w:kinsoku/>
        <w:wordWrap/>
        <w:overflowPunct/>
        <w:topLinePunct w:val="0"/>
        <w:autoSpaceDE/>
        <w:autoSpaceDN/>
        <w:bidi w:val="0"/>
        <w:spacing w:line="500" w:lineRule="exact"/>
        <w:ind w:left="0" w:leftChars="0" w:right="0" w:rightChars="0"/>
        <w:jc w:val="both"/>
        <w:textAlignment w:val="auto"/>
        <w:outlineLvl w:val="9"/>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名词解释</w:t>
      </w:r>
    </w:p>
    <w:p>
      <w:pPr>
        <w:keepNext w:val="0"/>
        <w:keepLines w:val="0"/>
        <w:pageBreakBefore w:val="0"/>
        <w:widowControl w:val="0"/>
        <w:tabs>
          <w:tab w:val="left" w:pos="7665"/>
        </w:tabs>
        <w:kinsoku/>
        <w:wordWrap/>
        <w:overflowPunct/>
        <w:topLinePunct w:val="0"/>
        <w:autoSpaceDE/>
        <w:autoSpaceDN/>
        <w:bidi w:val="0"/>
        <w:spacing w:line="500" w:lineRule="exact"/>
        <w:ind w:left="0" w:leftChars="0" w:right="0" w:rightChars="0" w:firstLine="480" w:firstLineChars="200"/>
        <w:jc w:val="both"/>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2.1采购人：</w:t>
      </w:r>
      <w:r>
        <w:rPr>
          <w:rFonts w:hint="eastAsia" w:ascii="宋体" w:hAnsi="宋体" w:cs="宋体"/>
          <w:color w:val="000000"/>
          <w:sz w:val="24"/>
          <w:highlight w:val="none"/>
          <w:lang w:val="en-US" w:eastAsia="zh-CN"/>
        </w:rPr>
        <w:t>西安市碑林区朱雀大街小学</w:t>
      </w:r>
    </w:p>
    <w:p>
      <w:pPr>
        <w:keepNext w:val="0"/>
        <w:keepLines w:val="0"/>
        <w:pageBreakBefore w:val="0"/>
        <w:widowControl w:val="0"/>
        <w:tabs>
          <w:tab w:val="left" w:pos="7665"/>
        </w:tabs>
        <w:kinsoku/>
        <w:wordWrap/>
        <w:overflowPunct/>
        <w:topLinePunct w:val="0"/>
        <w:autoSpaceDE/>
        <w:autoSpaceDN/>
        <w:bidi w:val="0"/>
        <w:spacing w:line="500" w:lineRule="exact"/>
        <w:ind w:left="0" w:leftChars="0" w:right="0" w:rightChars="0" w:firstLine="480" w:firstLineChars="200"/>
        <w:jc w:val="both"/>
        <w:textAlignment w:val="auto"/>
        <w:outlineLvl w:val="9"/>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2.2监督机构：</w:t>
      </w:r>
      <w:r>
        <w:rPr>
          <w:rFonts w:hint="eastAsia" w:ascii="宋体" w:hAnsi="宋体" w:eastAsia="宋体" w:cs="宋体"/>
          <w:color w:val="000000"/>
          <w:sz w:val="24"/>
          <w:highlight w:val="none"/>
          <w:lang w:val="en-US" w:eastAsia="zh-CN"/>
        </w:rPr>
        <w:t>西安市</w:t>
      </w:r>
      <w:r>
        <w:rPr>
          <w:rFonts w:hint="eastAsia" w:ascii="宋体" w:hAnsi="宋体" w:eastAsia="宋体" w:cs="宋体"/>
          <w:color w:val="000000"/>
          <w:sz w:val="24"/>
          <w:highlight w:val="none"/>
          <w:lang w:eastAsia="zh-CN"/>
        </w:rPr>
        <w:t>碑林区财政局、西安市碑林区教育局</w:t>
      </w:r>
    </w:p>
    <w:p>
      <w:pPr>
        <w:keepNext w:val="0"/>
        <w:keepLines w:val="0"/>
        <w:pageBreakBefore w:val="0"/>
        <w:widowControl w:val="0"/>
        <w:tabs>
          <w:tab w:val="left" w:pos="7665"/>
        </w:tabs>
        <w:kinsoku/>
        <w:wordWrap/>
        <w:overflowPunct/>
        <w:topLinePunct w:val="0"/>
        <w:autoSpaceDE/>
        <w:autoSpaceDN/>
        <w:bidi w:val="0"/>
        <w:spacing w:line="500" w:lineRule="exact"/>
        <w:ind w:left="0" w:leftChars="0" w:right="0" w:rightChars="0" w:firstLine="480" w:firstLineChars="200"/>
        <w:jc w:val="both"/>
        <w:textAlignment w:val="auto"/>
        <w:outlineLvl w:val="9"/>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2.3采购代理机构：</w:t>
      </w:r>
      <w:r>
        <w:rPr>
          <w:rFonts w:hint="eastAsia" w:ascii="宋体" w:hAnsi="宋体" w:eastAsia="宋体" w:cs="宋体"/>
          <w:sz w:val="24"/>
          <w:szCs w:val="24"/>
          <w:highlight w:val="none"/>
        </w:rPr>
        <w:t>陕西嘉唐建设项目管理有限公司</w:t>
      </w:r>
    </w:p>
    <w:p>
      <w:pPr>
        <w:keepNext w:val="0"/>
        <w:keepLines w:val="0"/>
        <w:pageBreakBefore w:val="0"/>
        <w:widowControl w:val="0"/>
        <w:tabs>
          <w:tab w:val="left" w:pos="7665"/>
        </w:tabs>
        <w:kinsoku/>
        <w:wordWrap/>
        <w:overflowPunct/>
        <w:topLinePunct w:val="0"/>
        <w:autoSpaceDE/>
        <w:autoSpaceDN/>
        <w:bidi w:val="0"/>
        <w:spacing w:line="500" w:lineRule="exact"/>
        <w:ind w:left="0" w:leftChars="0"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2.4</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：是指响应和符合</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szCs w:val="24"/>
          <w:highlight w:val="none"/>
        </w:rPr>
        <w:t>文件规定资格条件且参与</w:t>
      </w:r>
      <w:r>
        <w:rPr>
          <w:rFonts w:hint="eastAsia" w:ascii="宋体" w:hAnsi="宋体" w:eastAsia="宋体" w:cs="宋体"/>
          <w:color w:val="000000"/>
          <w:sz w:val="24"/>
          <w:szCs w:val="24"/>
          <w:highlight w:val="none"/>
          <w:lang w:eastAsia="zh-CN"/>
        </w:rPr>
        <w:t>谈判</w:t>
      </w:r>
      <w:r>
        <w:rPr>
          <w:rFonts w:hint="eastAsia" w:ascii="宋体" w:hAnsi="宋体" w:eastAsia="宋体" w:cs="宋体"/>
          <w:color w:val="000000"/>
          <w:sz w:val="24"/>
          <w:szCs w:val="24"/>
          <w:highlight w:val="none"/>
        </w:rPr>
        <w:t>竞争的法人</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rPr>
        <w:t>其他组织或者自然人。</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2.5产品是指本</w:t>
      </w:r>
      <w:r>
        <w:rPr>
          <w:rFonts w:hint="eastAsia" w:ascii="宋体" w:hAnsi="宋体" w:eastAsia="宋体" w:cs="宋体"/>
          <w:color w:val="000000"/>
          <w:sz w:val="24"/>
          <w:szCs w:val="24"/>
          <w:highlight w:val="none"/>
          <w:lang w:eastAsia="zh-CN"/>
        </w:rPr>
        <w:t>谈判</w:t>
      </w:r>
      <w:r>
        <w:rPr>
          <w:rFonts w:hint="eastAsia" w:ascii="宋体" w:hAnsi="宋体" w:eastAsia="宋体" w:cs="宋体"/>
          <w:color w:val="000000"/>
          <w:sz w:val="24"/>
          <w:szCs w:val="24"/>
          <w:highlight w:val="none"/>
        </w:rPr>
        <w:t>文件中第四</w:t>
      </w:r>
      <w:r>
        <w:rPr>
          <w:rFonts w:hint="eastAsia" w:ascii="宋体" w:hAnsi="宋体" w:eastAsia="宋体" w:cs="宋体"/>
          <w:color w:val="000000"/>
          <w:sz w:val="24"/>
          <w:highlight w:val="none"/>
        </w:rPr>
        <w:t>章所述所有产品。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2.6服务是指</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为满足</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highlight w:val="none"/>
        </w:rPr>
        <w:t>文件要求而提供的服务。</w:t>
      </w:r>
    </w:p>
    <w:p>
      <w:pPr>
        <w:keepNext w:val="0"/>
        <w:keepLines w:val="0"/>
        <w:pageBreakBefore w:val="0"/>
        <w:widowControl w:val="0"/>
        <w:numPr>
          <w:ilvl w:val="0"/>
          <w:numId w:val="0"/>
        </w:numPr>
        <w:wordWrap/>
        <w:overflowPunct/>
        <w:topLinePunct w:val="0"/>
        <w:autoSpaceDE/>
        <w:autoSpaceDN/>
        <w:bidi w:val="0"/>
        <w:spacing w:line="50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2.7需要落实的政府采购政策：</w:t>
      </w:r>
    </w:p>
    <w:p>
      <w:pPr>
        <w:keepNext w:val="0"/>
        <w:keepLines w:val="0"/>
        <w:pageBreakBefore w:val="0"/>
        <w:widowControl w:val="0"/>
        <w:numPr>
          <w:ilvl w:val="0"/>
          <w:numId w:val="0"/>
        </w:numPr>
        <w:wordWrap/>
        <w:overflowPunct/>
        <w:topLinePunct w:val="0"/>
        <w:autoSpaceDE/>
        <w:autoSpaceDN/>
        <w:bidi w:val="0"/>
        <w:spacing w:line="500" w:lineRule="exact"/>
        <w:ind w:firstLine="480" w:firstLineChars="200"/>
        <w:textAlignment w:val="auto"/>
        <w:rPr>
          <w:rFonts w:hint="eastAsia" w:ascii="宋体" w:hAnsi="宋体" w:eastAsia="宋体" w:cs="宋体"/>
          <w:bCs/>
          <w:color w:val="333333"/>
          <w:sz w:val="24"/>
          <w:szCs w:val="32"/>
          <w:highlight w:val="none"/>
          <w:shd w:val="clear" w:color="auto" w:fill="FFFFFF"/>
        </w:rPr>
      </w:pPr>
      <w:r>
        <w:rPr>
          <w:rFonts w:hint="eastAsia" w:ascii="宋体" w:hAnsi="宋体" w:eastAsia="宋体" w:cs="宋体"/>
          <w:bCs/>
          <w:color w:val="333333"/>
          <w:sz w:val="24"/>
          <w:szCs w:val="32"/>
          <w:highlight w:val="none"/>
          <w:shd w:val="clear" w:color="auto" w:fill="FFFFFF"/>
        </w:rPr>
        <w:t>①《政府采购促进中小企业发展管理办法》（财库〔2020〕46号）；</w:t>
      </w:r>
    </w:p>
    <w:p>
      <w:pPr>
        <w:keepNext w:val="0"/>
        <w:keepLines w:val="0"/>
        <w:pageBreakBefore w:val="0"/>
        <w:widowControl w:val="0"/>
        <w:numPr>
          <w:ilvl w:val="0"/>
          <w:numId w:val="0"/>
        </w:numPr>
        <w:wordWrap/>
        <w:overflowPunct/>
        <w:topLinePunct w:val="0"/>
        <w:autoSpaceDE/>
        <w:autoSpaceDN/>
        <w:bidi w:val="0"/>
        <w:spacing w:line="500" w:lineRule="exact"/>
        <w:ind w:firstLine="480" w:firstLineChars="200"/>
        <w:textAlignment w:val="auto"/>
        <w:rPr>
          <w:rFonts w:hint="eastAsia" w:ascii="宋体" w:hAnsi="宋体" w:eastAsia="宋体" w:cs="宋体"/>
          <w:bCs/>
          <w:color w:val="333333"/>
          <w:sz w:val="24"/>
          <w:szCs w:val="32"/>
          <w:highlight w:val="none"/>
          <w:shd w:val="clear" w:color="auto" w:fill="FFFFFF"/>
        </w:rPr>
      </w:pPr>
      <w:r>
        <w:rPr>
          <w:rFonts w:hint="eastAsia" w:ascii="宋体" w:hAnsi="宋体" w:eastAsia="宋体" w:cs="宋体"/>
          <w:bCs/>
          <w:color w:val="333333"/>
          <w:sz w:val="24"/>
          <w:szCs w:val="32"/>
          <w:highlight w:val="none"/>
          <w:shd w:val="clear" w:color="auto" w:fill="FFFFFF"/>
        </w:rPr>
        <w:t>②《财政部司法部关于政府采购支持监狱企业发展有关问题的通知》（财库〔2014〕68号）；</w:t>
      </w:r>
    </w:p>
    <w:p>
      <w:pPr>
        <w:keepNext w:val="0"/>
        <w:keepLines w:val="0"/>
        <w:pageBreakBefore w:val="0"/>
        <w:widowControl w:val="0"/>
        <w:numPr>
          <w:ilvl w:val="0"/>
          <w:numId w:val="0"/>
        </w:numPr>
        <w:wordWrap/>
        <w:overflowPunct/>
        <w:topLinePunct w:val="0"/>
        <w:autoSpaceDE/>
        <w:autoSpaceDN/>
        <w:bidi w:val="0"/>
        <w:spacing w:line="500" w:lineRule="exact"/>
        <w:ind w:firstLine="480" w:firstLineChars="200"/>
        <w:textAlignment w:val="auto"/>
        <w:rPr>
          <w:rFonts w:hint="eastAsia" w:ascii="宋体" w:hAnsi="宋体" w:eastAsia="宋体" w:cs="宋体"/>
          <w:bCs/>
          <w:color w:val="333333"/>
          <w:sz w:val="24"/>
          <w:szCs w:val="32"/>
          <w:highlight w:val="none"/>
          <w:shd w:val="clear" w:color="auto" w:fill="FFFFFF"/>
        </w:rPr>
      </w:pPr>
      <w:r>
        <w:rPr>
          <w:rFonts w:hint="eastAsia" w:ascii="宋体" w:hAnsi="宋体" w:eastAsia="宋体" w:cs="宋体"/>
          <w:bCs/>
          <w:color w:val="333333"/>
          <w:sz w:val="24"/>
          <w:szCs w:val="32"/>
          <w:highlight w:val="none"/>
          <w:shd w:val="clear" w:color="auto" w:fill="FFFFFF"/>
        </w:rPr>
        <w:t>③《财政部民政部中国残疾人联合会关于促进残疾人就业政府采购政策的通知》（财库〔2017〕141号）；</w:t>
      </w:r>
    </w:p>
    <w:p>
      <w:pPr>
        <w:keepNext w:val="0"/>
        <w:keepLines w:val="0"/>
        <w:pageBreakBefore w:val="0"/>
        <w:widowControl w:val="0"/>
        <w:numPr>
          <w:ilvl w:val="0"/>
          <w:numId w:val="0"/>
        </w:numPr>
        <w:wordWrap/>
        <w:overflowPunct/>
        <w:topLinePunct w:val="0"/>
        <w:autoSpaceDE/>
        <w:autoSpaceDN/>
        <w:bidi w:val="0"/>
        <w:spacing w:line="500" w:lineRule="exact"/>
        <w:ind w:firstLine="480" w:firstLineChars="200"/>
        <w:textAlignment w:val="auto"/>
        <w:rPr>
          <w:rFonts w:hint="eastAsia" w:ascii="宋体" w:hAnsi="宋体" w:eastAsia="宋体" w:cs="宋体"/>
          <w:bCs/>
          <w:color w:val="333333"/>
          <w:sz w:val="24"/>
          <w:szCs w:val="32"/>
          <w:highlight w:val="none"/>
          <w:shd w:val="clear" w:color="auto" w:fill="FFFFFF"/>
        </w:rPr>
      </w:pPr>
      <w:r>
        <w:rPr>
          <w:rFonts w:hint="eastAsia" w:ascii="宋体" w:hAnsi="宋体" w:eastAsia="宋体" w:cs="宋体"/>
          <w:bCs/>
          <w:color w:val="333333"/>
          <w:sz w:val="24"/>
          <w:szCs w:val="32"/>
          <w:highlight w:val="none"/>
          <w:shd w:val="clear" w:color="auto" w:fill="FFFFFF"/>
        </w:rPr>
        <w:t>④《财政部 国家发展改革委关于印发(节能产品政府采购实施意见)的通知》(财库〔2004〕185号)；</w:t>
      </w:r>
    </w:p>
    <w:p>
      <w:pPr>
        <w:keepNext w:val="0"/>
        <w:keepLines w:val="0"/>
        <w:pageBreakBefore w:val="0"/>
        <w:widowControl w:val="0"/>
        <w:numPr>
          <w:ilvl w:val="0"/>
          <w:numId w:val="0"/>
        </w:numPr>
        <w:wordWrap/>
        <w:overflowPunct/>
        <w:topLinePunct w:val="0"/>
        <w:autoSpaceDE/>
        <w:autoSpaceDN/>
        <w:bidi w:val="0"/>
        <w:spacing w:line="500" w:lineRule="exact"/>
        <w:ind w:firstLine="480" w:firstLineChars="200"/>
        <w:textAlignment w:val="auto"/>
        <w:rPr>
          <w:rFonts w:hint="eastAsia" w:ascii="宋体" w:hAnsi="宋体" w:eastAsia="宋体" w:cs="宋体"/>
          <w:bCs/>
          <w:color w:val="333333"/>
          <w:sz w:val="24"/>
          <w:szCs w:val="32"/>
          <w:highlight w:val="none"/>
          <w:shd w:val="clear" w:color="auto" w:fill="FFFFFF"/>
        </w:rPr>
      </w:pPr>
      <w:r>
        <w:rPr>
          <w:rFonts w:hint="eastAsia" w:ascii="宋体" w:hAnsi="宋体" w:eastAsia="宋体" w:cs="宋体"/>
          <w:bCs/>
          <w:color w:val="333333"/>
          <w:sz w:val="24"/>
          <w:szCs w:val="32"/>
          <w:highlight w:val="none"/>
          <w:shd w:val="clear" w:color="auto" w:fill="FFFFFF"/>
        </w:rPr>
        <w:t>⑤《国务院办公厅关于建立政府强制采购节能产品制度的通知》(国办发〔2007〕51号)；</w:t>
      </w:r>
    </w:p>
    <w:p>
      <w:pPr>
        <w:keepNext w:val="0"/>
        <w:keepLines w:val="0"/>
        <w:pageBreakBefore w:val="0"/>
        <w:widowControl w:val="0"/>
        <w:numPr>
          <w:ilvl w:val="0"/>
          <w:numId w:val="0"/>
        </w:numPr>
        <w:wordWrap/>
        <w:overflowPunct/>
        <w:topLinePunct w:val="0"/>
        <w:autoSpaceDE/>
        <w:autoSpaceDN/>
        <w:bidi w:val="0"/>
        <w:spacing w:line="500" w:lineRule="exact"/>
        <w:ind w:firstLine="480" w:firstLineChars="200"/>
        <w:textAlignment w:val="auto"/>
        <w:rPr>
          <w:rFonts w:hint="eastAsia" w:ascii="宋体" w:hAnsi="宋体" w:eastAsia="宋体" w:cs="宋体"/>
          <w:bCs/>
          <w:color w:val="333333"/>
          <w:sz w:val="24"/>
          <w:szCs w:val="32"/>
          <w:highlight w:val="none"/>
          <w:shd w:val="clear" w:color="auto" w:fill="FFFFFF"/>
        </w:rPr>
      </w:pPr>
      <w:r>
        <w:rPr>
          <w:rFonts w:hint="eastAsia" w:ascii="宋体" w:hAnsi="宋体" w:eastAsia="宋体" w:cs="宋体"/>
          <w:bCs/>
          <w:color w:val="333333"/>
          <w:sz w:val="24"/>
          <w:szCs w:val="32"/>
          <w:highlight w:val="none"/>
          <w:shd w:val="clear" w:color="auto" w:fill="FFFFFF"/>
        </w:rPr>
        <w:t>⑥《财政部环保总局关于环境标志产品政府采购实施的意见》(财库〔2006〕90号)；</w:t>
      </w:r>
    </w:p>
    <w:p>
      <w:pPr>
        <w:keepNext w:val="0"/>
        <w:keepLines w:val="0"/>
        <w:pageBreakBefore w:val="0"/>
        <w:widowControl w:val="0"/>
        <w:numPr>
          <w:ilvl w:val="0"/>
          <w:numId w:val="0"/>
        </w:numPr>
        <w:wordWrap/>
        <w:overflowPunct/>
        <w:topLinePunct w:val="0"/>
        <w:autoSpaceDE/>
        <w:autoSpaceDN/>
        <w:bidi w:val="0"/>
        <w:spacing w:line="500" w:lineRule="exact"/>
        <w:ind w:firstLine="480" w:firstLineChars="200"/>
        <w:textAlignment w:val="auto"/>
        <w:rPr>
          <w:rFonts w:hint="eastAsia" w:ascii="宋体" w:hAnsi="宋体" w:eastAsia="宋体" w:cs="宋体"/>
          <w:bCs/>
          <w:color w:val="333333"/>
          <w:sz w:val="24"/>
          <w:szCs w:val="32"/>
          <w:highlight w:val="none"/>
          <w:shd w:val="clear" w:color="auto" w:fill="FFFFFF"/>
        </w:rPr>
      </w:pPr>
      <w:r>
        <w:rPr>
          <w:rFonts w:hint="eastAsia" w:ascii="宋体" w:hAnsi="宋体" w:eastAsia="宋体" w:cs="宋体"/>
          <w:bCs/>
          <w:color w:val="333333"/>
          <w:sz w:val="24"/>
          <w:szCs w:val="32"/>
          <w:highlight w:val="none"/>
          <w:shd w:val="clear" w:color="auto" w:fill="FFFFFF"/>
        </w:rPr>
        <w:t>⑦《财政部发展改革委生态环境部市场监管总局关于调整优化节能产品、环境标志产品政府采购执行机制的通知》（财库〔2019〕9号）；</w:t>
      </w:r>
    </w:p>
    <w:p>
      <w:pPr>
        <w:keepNext w:val="0"/>
        <w:keepLines w:val="0"/>
        <w:pageBreakBefore w:val="0"/>
        <w:widowControl w:val="0"/>
        <w:numPr>
          <w:ilvl w:val="0"/>
          <w:numId w:val="0"/>
        </w:numPr>
        <w:wordWrap/>
        <w:overflowPunct/>
        <w:topLinePunct w:val="0"/>
        <w:autoSpaceDE/>
        <w:autoSpaceDN/>
        <w:bidi w:val="0"/>
        <w:spacing w:line="500" w:lineRule="exact"/>
        <w:ind w:firstLine="480" w:firstLineChars="200"/>
        <w:textAlignment w:val="auto"/>
        <w:rPr>
          <w:rFonts w:hint="eastAsia" w:ascii="宋体" w:hAnsi="宋体" w:eastAsia="宋体" w:cs="宋体"/>
          <w:bCs/>
          <w:color w:val="333333"/>
          <w:sz w:val="24"/>
          <w:szCs w:val="32"/>
          <w:highlight w:val="none"/>
          <w:shd w:val="clear" w:color="auto" w:fill="FFFFFF"/>
        </w:rPr>
      </w:pPr>
      <w:r>
        <w:rPr>
          <w:rFonts w:hint="eastAsia" w:ascii="宋体" w:hAnsi="宋体" w:eastAsia="宋体" w:cs="宋体"/>
          <w:bCs/>
          <w:color w:val="333333"/>
          <w:sz w:val="24"/>
          <w:szCs w:val="32"/>
          <w:highlight w:val="none"/>
          <w:shd w:val="clear" w:color="auto" w:fill="FFFFFF"/>
        </w:rPr>
        <w:t>⑧《关于印发环境标志产品政府采购品目清单的通知》（财库〔2019〕18号）；</w:t>
      </w:r>
    </w:p>
    <w:p>
      <w:pPr>
        <w:keepNext w:val="0"/>
        <w:keepLines w:val="0"/>
        <w:pageBreakBefore w:val="0"/>
        <w:widowControl w:val="0"/>
        <w:numPr>
          <w:ilvl w:val="0"/>
          <w:numId w:val="0"/>
        </w:numPr>
        <w:wordWrap/>
        <w:overflowPunct/>
        <w:topLinePunct w:val="0"/>
        <w:autoSpaceDE/>
        <w:autoSpaceDN/>
        <w:bidi w:val="0"/>
        <w:spacing w:line="500" w:lineRule="exact"/>
        <w:ind w:firstLine="480" w:firstLineChars="200"/>
        <w:textAlignment w:val="auto"/>
        <w:rPr>
          <w:rFonts w:hint="eastAsia" w:ascii="宋体" w:hAnsi="宋体" w:eastAsia="宋体" w:cs="宋体"/>
          <w:bCs/>
          <w:color w:val="333333"/>
          <w:sz w:val="24"/>
          <w:szCs w:val="32"/>
          <w:highlight w:val="none"/>
          <w:shd w:val="clear" w:color="auto" w:fill="FFFFFF"/>
        </w:rPr>
      </w:pPr>
      <w:r>
        <w:rPr>
          <w:rFonts w:hint="eastAsia" w:ascii="宋体" w:hAnsi="宋体" w:eastAsia="宋体" w:cs="宋体"/>
          <w:bCs/>
          <w:color w:val="333333"/>
          <w:sz w:val="24"/>
          <w:szCs w:val="32"/>
          <w:highlight w:val="none"/>
          <w:shd w:val="clear" w:color="auto" w:fill="FFFFFF"/>
        </w:rPr>
        <w:t>⑨《关于印发节能产品政府采购品目清单的通知》（财库〔2019〕19号）；</w:t>
      </w:r>
    </w:p>
    <w:p>
      <w:pPr>
        <w:keepNext w:val="0"/>
        <w:keepLines w:val="0"/>
        <w:pageBreakBefore w:val="0"/>
        <w:widowControl w:val="0"/>
        <w:numPr>
          <w:ilvl w:val="0"/>
          <w:numId w:val="0"/>
        </w:numPr>
        <w:wordWrap/>
        <w:overflowPunct/>
        <w:topLinePunct w:val="0"/>
        <w:autoSpaceDE/>
        <w:autoSpaceDN/>
        <w:bidi w:val="0"/>
        <w:spacing w:line="500" w:lineRule="exact"/>
        <w:ind w:firstLine="480" w:firstLineChars="200"/>
        <w:textAlignment w:val="auto"/>
        <w:rPr>
          <w:rFonts w:hint="eastAsia" w:ascii="宋体" w:hAnsi="宋体" w:eastAsia="宋体" w:cs="宋体"/>
          <w:bCs/>
          <w:color w:val="333333"/>
          <w:sz w:val="24"/>
          <w:szCs w:val="32"/>
          <w:highlight w:val="none"/>
          <w:shd w:val="clear" w:color="auto" w:fill="FFFFFF"/>
        </w:rPr>
      </w:pPr>
      <w:r>
        <w:rPr>
          <w:rFonts w:hint="eastAsia" w:ascii="宋体" w:hAnsi="宋体" w:eastAsia="宋体" w:cs="宋体"/>
          <w:bCs/>
          <w:color w:val="333333"/>
          <w:sz w:val="24"/>
          <w:szCs w:val="32"/>
          <w:highlight w:val="none"/>
          <w:shd w:val="clear" w:color="auto" w:fill="FFFFFF"/>
        </w:rPr>
        <w:t>⑩《财政部农业农村部国家乡村振兴局关于运用政府采购政策支持乡村产业振兴的通知》（财库〔2021〕19号）；</w:t>
      </w:r>
    </w:p>
    <w:p>
      <w:pPr>
        <w:keepNext w:val="0"/>
        <w:keepLines w:val="0"/>
        <w:pageBreakBefore w:val="0"/>
        <w:widowControl w:val="0"/>
        <w:numPr>
          <w:ilvl w:val="0"/>
          <w:numId w:val="0"/>
        </w:numPr>
        <w:wordWrap/>
        <w:overflowPunct/>
        <w:topLinePunct w:val="0"/>
        <w:autoSpaceDE/>
        <w:autoSpaceDN/>
        <w:bidi w:val="0"/>
        <w:spacing w:line="500" w:lineRule="exact"/>
        <w:ind w:firstLine="480" w:firstLineChars="200"/>
        <w:textAlignment w:val="auto"/>
        <w:rPr>
          <w:rFonts w:hint="eastAsia" w:ascii="宋体" w:hAnsi="宋体" w:eastAsia="宋体" w:cs="宋体"/>
          <w:bCs/>
          <w:color w:val="333333"/>
          <w:sz w:val="24"/>
          <w:szCs w:val="32"/>
          <w:highlight w:val="none"/>
          <w:shd w:val="clear" w:color="auto" w:fill="FFFFFF"/>
        </w:rPr>
      </w:pPr>
      <w:r>
        <w:rPr>
          <w:rFonts w:hint="eastAsia" w:ascii="宋体" w:hAnsi="宋体" w:eastAsia="宋体" w:cs="宋体"/>
          <w:bCs/>
          <w:color w:val="333333"/>
          <w:sz w:val="24"/>
          <w:szCs w:val="32"/>
          <w:highlight w:val="none"/>
          <w:shd w:val="clear" w:color="auto" w:fill="FFFFFF"/>
        </w:rPr>
        <w:t>⑪《陕西省财政厅关于印发陕西省中小企业政府采购信用融资办法》（陕财办采〔2018〕23号）；</w:t>
      </w:r>
    </w:p>
    <w:p>
      <w:pPr>
        <w:keepNext w:val="0"/>
        <w:keepLines w:val="0"/>
        <w:pageBreakBefore w:val="0"/>
        <w:widowControl w:val="0"/>
        <w:numPr>
          <w:ilvl w:val="0"/>
          <w:numId w:val="0"/>
        </w:numPr>
        <w:wordWrap/>
        <w:overflowPunct/>
        <w:topLinePunct w:val="0"/>
        <w:autoSpaceDE/>
        <w:autoSpaceDN/>
        <w:bidi w:val="0"/>
        <w:spacing w:line="500" w:lineRule="exact"/>
        <w:ind w:firstLine="480" w:firstLineChars="200"/>
        <w:textAlignment w:val="auto"/>
        <w:rPr>
          <w:rFonts w:hint="eastAsia" w:ascii="宋体" w:hAnsi="宋体" w:eastAsia="宋体" w:cs="宋体"/>
          <w:bCs/>
          <w:color w:val="333333"/>
          <w:sz w:val="24"/>
          <w:szCs w:val="32"/>
          <w:highlight w:val="none"/>
          <w:shd w:val="clear" w:color="auto" w:fill="FFFFFF"/>
          <w:lang w:eastAsia="zh-CN"/>
        </w:rPr>
      </w:pPr>
      <w:r>
        <w:rPr>
          <w:rFonts w:hint="eastAsia" w:ascii="宋体" w:hAnsi="宋体" w:eastAsia="宋体" w:cs="宋体"/>
          <w:bCs/>
          <w:color w:val="333333"/>
          <w:sz w:val="24"/>
          <w:szCs w:val="32"/>
          <w:highlight w:val="none"/>
          <w:shd w:val="clear" w:color="auto" w:fill="FFFFFF"/>
        </w:rPr>
        <w:t>⑫《陕西省财政厅关于加快推进我省中小企业政府采购信用融资工作的通知》（陕财办采〔2020〕15号）</w:t>
      </w:r>
      <w:r>
        <w:rPr>
          <w:rFonts w:hint="eastAsia" w:ascii="宋体" w:hAnsi="宋体" w:eastAsia="宋体" w:cs="宋体"/>
          <w:bCs/>
          <w:color w:val="333333"/>
          <w:sz w:val="24"/>
          <w:szCs w:val="32"/>
          <w:highlight w:val="none"/>
          <w:shd w:val="clear" w:color="auto" w:fill="FFFFFF"/>
          <w:lang w:eastAsia="zh-CN"/>
        </w:rPr>
        <w:t>；</w:t>
      </w:r>
    </w:p>
    <w:p>
      <w:pPr>
        <w:keepNext w:val="0"/>
        <w:keepLines w:val="0"/>
        <w:pageBreakBefore w:val="0"/>
        <w:widowControl w:val="0"/>
        <w:numPr>
          <w:ilvl w:val="0"/>
          <w:numId w:val="0"/>
        </w:numPr>
        <w:wordWrap/>
        <w:overflowPunct/>
        <w:topLinePunct w:val="0"/>
        <w:autoSpaceDE/>
        <w:autoSpaceDN/>
        <w:bidi w:val="0"/>
        <w:spacing w:line="50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Cs/>
          <w:color w:val="333333"/>
          <w:sz w:val="24"/>
          <w:szCs w:val="32"/>
          <w:highlight w:val="none"/>
          <w:shd w:val="clear" w:color="auto" w:fill="FFFFFF"/>
          <w:lang w:eastAsia="zh-CN"/>
        </w:rPr>
        <w:t>⑬《关于进一步加大政府采购支持中小企业力度的通知》（财库﹝2022﹞19号）。</w:t>
      </w:r>
    </w:p>
    <w:p>
      <w:pPr>
        <w:keepNext w:val="0"/>
        <w:keepLines w:val="0"/>
        <w:pageBreakBefore w:val="0"/>
        <w:widowControl w:val="0"/>
        <w:numPr>
          <w:ilvl w:val="0"/>
          <w:numId w:val="0"/>
        </w:numPr>
        <w:wordWrap/>
        <w:overflowPunct/>
        <w:topLinePunct w:val="0"/>
        <w:autoSpaceDE/>
        <w:autoSpaceDN/>
        <w:bidi w:val="0"/>
        <w:spacing w:line="500" w:lineRule="exact"/>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合格的</w:t>
      </w:r>
      <w:r>
        <w:rPr>
          <w:rFonts w:hint="eastAsia" w:ascii="宋体" w:hAnsi="宋体" w:eastAsia="宋体" w:cs="宋体"/>
          <w:b/>
          <w:sz w:val="24"/>
          <w:szCs w:val="24"/>
          <w:highlight w:val="none"/>
          <w:lang w:eastAsia="zh-CN"/>
        </w:rPr>
        <w:t>谈判供应商</w:t>
      </w:r>
    </w:p>
    <w:p>
      <w:pPr>
        <w:keepNext w:val="0"/>
        <w:keepLines w:val="0"/>
        <w:pageBreakBefore w:val="0"/>
        <w:widowControl w:val="0"/>
        <w:numPr>
          <w:ilvl w:val="0"/>
          <w:numId w:val="0"/>
        </w:numPr>
        <w:wordWrap/>
        <w:overflowPunct/>
        <w:topLinePunct w:val="0"/>
        <w:autoSpaceDE/>
        <w:autoSpaceDN/>
        <w:bidi w:val="0"/>
        <w:spacing w:line="500" w:lineRule="exact"/>
        <w:ind w:firstLine="240" w:firstLineChars="100"/>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3.1</w:t>
      </w:r>
      <w:r>
        <w:rPr>
          <w:rFonts w:hint="eastAsia" w:ascii="宋体" w:hAnsi="宋体" w:eastAsia="宋体" w:cs="宋体"/>
          <w:b w:val="0"/>
          <w:bCs/>
          <w:sz w:val="24"/>
          <w:szCs w:val="24"/>
          <w:highlight w:val="none"/>
          <w:lang w:eastAsia="zh-CN"/>
        </w:rPr>
        <w:t>《政府采购法》第二十二条第一款规定的供应商基本资格条件</w:t>
      </w:r>
      <w:r>
        <w:rPr>
          <w:rFonts w:hint="eastAsia" w:ascii="宋体" w:hAnsi="宋体" w:eastAsia="宋体" w:cs="宋体"/>
          <w:b w:val="0"/>
          <w:bCs/>
          <w:sz w:val="24"/>
          <w:szCs w:val="24"/>
          <w:highlight w:val="none"/>
          <w:lang w:val="en-US" w:eastAsia="zh-CN"/>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（3）具有履行合同所必需的产品和专业技术能力；</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w:t>
      </w:r>
      <w:r>
        <w:rPr>
          <w:rFonts w:hint="eastAsia" w:ascii="宋体" w:hAnsi="宋体" w:eastAsia="宋体" w:cs="宋体"/>
          <w:sz w:val="24"/>
          <w:szCs w:val="24"/>
          <w:highlight w:val="none"/>
          <w:lang w:eastAsia="zh-CN"/>
        </w:rPr>
        <w:t>记</w:t>
      </w:r>
      <w:r>
        <w:rPr>
          <w:rFonts w:hint="eastAsia" w:ascii="宋体" w:hAnsi="宋体" w:eastAsia="宋体" w:cs="宋体"/>
          <w:sz w:val="24"/>
          <w:szCs w:val="24"/>
          <w:highlight w:val="none"/>
        </w:rPr>
        <w:t>录；</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w:t>
      </w:r>
      <w:r>
        <w:rPr>
          <w:rFonts w:hint="eastAsia" w:ascii="宋体" w:hAnsi="宋体" w:eastAsia="宋体" w:cs="宋体"/>
          <w:sz w:val="24"/>
          <w:szCs w:val="24"/>
          <w:highlight w:val="none"/>
          <w:lang w:eastAsia="zh-CN"/>
        </w:rPr>
        <w:t>记</w:t>
      </w:r>
      <w:r>
        <w:rPr>
          <w:rFonts w:hint="eastAsia" w:ascii="宋体" w:hAnsi="宋体" w:eastAsia="宋体" w:cs="宋体"/>
          <w:sz w:val="24"/>
          <w:szCs w:val="24"/>
          <w:highlight w:val="none"/>
        </w:rPr>
        <w:t>录；</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（6）法律、行政法规规定的其他条件</w:t>
      </w:r>
      <w:r>
        <w:rPr>
          <w:rFonts w:hint="eastAsia" w:ascii="宋体" w:hAnsi="宋体" w:eastAsia="宋体" w:cs="宋体"/>
          <w:sz w:val="24"/>
          <w:szCs w:val="24"/>
          <w:highlight w:val="none"/>
          <w:lang w:eastAsia="zh-CN"/>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根据本次采购项目的特殊要求，规定的供应商特殊条件（见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谈判</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必须在陕西嘉唐建设项目管理有限公司</w:t>
      </w:r>
      <w:r>
        <w:rPr>
          <w:rFonts w:hint="eastAsia" w:ascii="宋体" w:hAnsi="宋体" w:eastAsia="宋体" w:cs="宋体"/>
          <w:sz w:val="24"/>
          <w:szCs w:val="24"/>
          <w:highlight w:val="none"/>
          <w:lang w:val="en-US" w:eastAsia="zh-CN"/>
        </w:rPr>
        <w:t>领取</w:t>
      </w:r>
      <w:r>
        <w:rPr>
          <w:rFonts w:hint="eastAsia" w:ascii="宋体" w:hAnsi="宋体" w:eastAsia="宋体" w:cs="宋体"/>
          <w:sz w:val="24"/>
          <w:szCs w:val="24"/>
          <w:highlight w:val="none"/>
        </w:rPr>
        <w:t>竞争性谈判文件，方可参加竞争性谈判。</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谈判费用自理。不论谈判的结果如何，</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均应自行承担所有与参加谈判有关的费用。</w:t>
      </w:r>
    </w:p>
    <w:p>
      <w:pPr>
        <w:keepNext w:val="0"/>
        <w:keepLines w:val="0"/>
        <w:pageBreakBefore w:val="0"/>
        <w:widowControl w:val="0"/>
        <w:tabs>
          <w:tab w:val="left" w:pos="747"/>
        </w:tabs>
        <w:kinsoku/>
        <w:wordWrap/>
        <w:overflowPunct/>
        <w:topLinePunct w:val="0"/>
        <w:autoSpaceDE/>
        <w:autoSpaceDN/>
        <w:bidi w:val="0"/>
        <w:adjustRightInd/>
        <w:snapToGrid w:val="0"/>
        <w:spacing w:line="500" w:lineRule="exact"/>
        <w:ind w:right="0" w:rightChars="0"/>
        <w:jc w:val="both"/>
        <w:textAlignment w:val="auto"/>
        <w:outlineLvl w:val="9"/>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4.合格的货物（产品）和服务</w:t>
      </w:r>
    </w:p>
    <w:p>
      <w:pPr>
        <w:keepNext w:val="0"/>
        <w:keepLines w:val="0"/>
        <w:pageBreakBefore w:val="0"/>
        <w:widowControl w:val="0"/>
        <w:tabs>
          <w:tab w:val="left" w:pos="747"/>
        </w:tabs>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4.1</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提供的所有货物和服务，必须是合法生产、合法来源，符合国家有关标准要求，并满足</w:t>
      </w:r>
      <w:r>
        <w:rPr>
          <w:rFonts w:hint="eastAsia" w:ascii="宋体" w:hAnsi="宋体" w:eastAsia="宋体" w:cs="宋体"/>
          <w:color w:val="000000"/>
          <w:sz w:val="24"/>
          <w:highlight w:val="none"/>
          <w:lang w:eastAsia="zh-CN"/>
        </w:rPr>
        <w:t>竞争性谈判</w:t>
      </w:r>
      <w:r>
        <w:rPr>
          <w:rFonts w:hint="eastAsia" w:ascii="宋体" w:hAnsi="宋体" w:eastAsia="宋体" w:cs="宋体"/>
          <w:color w:val="000000"/>
          <w:sz w:val="24"/>
          <w:highlight w:val="none"/>
        </w:rPr>
        <w:t>文件规定的规格、参数、质量、价格、有效期、售后服务及</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须承担的运输、安装、技术支持、培训和</w:t>
      </w:r>
      <w:r>
        <w:rPr>
          <w:rFonts w:hint="eastAsia" w:ascii="宋体" w:hAnsi="宋体" w:eastAsia="宋体" w:cs="宋体"/>
          <w:color w:val="000000"/>
          <w:sz w:val="24"/>
          <w:highlight w:val="none"/>
          <w:lang w:eastAsia="zh-CN"/>
        </w:rPr>
        <w:t>竞争性谈判</w:t>
      </w:r>
      <w:r>
        <w:rPr>
          <w:rFonts w:hint="eastAsia" w:ascii="宋体" w:hAnsi="宋体" w:eastAsia="宋体" w:cs="宋体"/>
          <w:color w:val="000000"/>
          <w:sz w:val="24"/>
          <w:highlight w:val="none"/>
        </w:rPr>
        <w:t>文件规定的其它伴随服务等要求。</w:t>
      </w:r>
    </w:p>
    <w:p>
      <w:pPr>
        <w:keepNext w:val="0"/>
        <w:keepLines w:val="0"/>
        <w:pageBreakBefore w:val="0"/>
        <w:widowControl w:val="0"/>
        <w:tabs>
          <w:tab w:val="left" w:pos="747"/>
        </w:tabs>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highlight w:val="none"/>
        </w:rPr>
        <w:t>4.2采购人有权拒绝接受任何不合格的产品和服务，由此产生的费用及相关后果均由</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自行承担。</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.竞争性谈判响应文件内容的真实性</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应保证其竞争性谈判响应文件中所提供的所有有关谈判的资料、信息是真实的、并且来源于合法的渠道。因竞争性谈判响应文件中所提供的有关谈判的资料、信息不真实、或者其来源不合法而导致的所有法律责任，由</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自行承担。</w:t>
      </w:r>
    </w:p>
    <w:p>
      <w:pPr>
        <w:keepNext w:val="0"/>
        <w:keepLines w:val="0"/>
        <w:pageBreakBefore w:val="0"/>
        <w:widowControl w:val="0"/>
        <w:wordWrap/>
        <w:overflowPunct/>
        <w:topLinePunct w:val="0"/>
        <w:autoSpaceDE/>
        <w:autoSpaceDN/>
        <w:bidi w:val="0"/>
        <w:spacing w:before="156" w:beforeLines="50" w:line="500" w:lineRule="exact"/>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二.竞争性谈判文件</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6.竞争性谈判文件构成</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 竞争性谈判文件规定了要求提供的货物和服务，竞争性谈判程序和合同条件在竞争性谈判文件中均有说明。竞争性谈判文件共六章，内容如下：</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第一章 竞争性谈判公告</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第二章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w:t>
      </w:r>
    </w:p>
    <w:p>
      <w:pPr>
        <w:keepNext w:val="0"/>
        <w:keepLines w:val="0"/>
        <w:pageBreakBefore w:val="0"/>
        <w:widowControl w:val="0"/>
        <w:wordWrap/>
        <w:overflowPunct/>
        <w:topLinePunct w:val="0"/>
        <w:autoSpaceDE/>
        <w:autoSpaceDN/>
        <w:bidi w:val="0"/>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第三章 合同条款及格式</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第四章 竞争性谈判内容及技术要求 </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第五章 评审方法</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第六章 竞争性谈判响应文件格式及构成</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应认真阅读竞争性谈判文件中所有的事项、格式、条款和规范等要求。如果</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没有按照竞争性谈判文件要求提交全部资料，或者竞争性谈判响应文件没有对竞争性谈判文件在各方面都做出实质性响应，由此带来的不利于</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的谈判结果，其风险由</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承担。</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6.3本竞争性谈判文件的解释权归陕西嘉唐建设项目管理有限公司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如发现</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文件内容与现行法律法规不相符的情况，以现行法律法规为准。</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7.竞争性谈判文件的修改和澄清</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7.1在</w:t>
      </w:r>
      <w:r>
        <w:rPr>
          <w:rFonts w:hint="eastAsia" w:ascii="宋体" w:hAnsi="宋体" w:eastAsia="宋体" w:cs="宋体"/>
          <w:sz w:val="24"/>
          <w:szCs w:val="24"/>
          <w:highlight w:val="none"/>
          <w:lang w:eastAsia="zh-CN"/>
        </w:rPr>
        <w:t>谈判响应</w:t>
      </w:r>
      <w:r>
        <w:rPr>
          <w:rFonts w:hint="eastAsia" w:ascii="宋体" w:hAnsi="宋体" w:eastAsia="宋体" w:cs="宋体"/>
          <w:sz w:val="24"/>
          <w:szCs w:val="24"/>
          <w:highlight w:val="none"/>
        </w:rPr>
        <w:t>文件递交截止时间前，采购代理机构可以视采购具体情况，延长</w:t>
      </w:r>
      <w:r>
        <w:rPr>
          <w:rFonts w:hint="eastAsia" w:ascii="宋体" w:hAnsi="宋体" w:eastAsia="宋体" w:cs="宋体"/>
          <w:sz w:val="24"/>
          <w:szCs w:val="24"/>
          <w:highlight w:val="none"/>
          <w:lang w:eastAsia="zh-CN"/>
        </w:rPr>
        <w:t>谈判响应文件递交</w:t>
      </w:r>
      <w:r>
        <w:rPr>
          <w:rFonts w:hint="eastAsia" w:ascii="宋体" w:hAnsi="宋体" w:eastAsia="宋体" w:cs="宋体"/>
          <w:sz w:val="24"/>
          <w:szCs w:val="24"/>
          <w:highlight w:val="none"/>
        </w:rPr>
        <w:t>截止时间和</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时间并在财政部门指定的媒体上发布变更公告，同时将变更时间书面通知所有</w:t>
      </w:r>
      <w:r>
        <w:rPr>
          <w:rFonts w:hint="eastAsia" w:ascii="宋体" w:hAnsi="宋体" w:eastAsia="宋体" w:cs="宋体"/>
          <w:sz w:val="24"/>
          <w:szCs w:val="24"/>
          <w:highlight w:val="none"/>
          <w:lang w:eastAsia="zh-CN"/>
        </w:rPr>
        <w:t>获取谈判</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的供应商</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7.2采购代理机构如果对已发出的</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文件进行修改，将在</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文件要求提交</w:t>
      </w:r>
      <w:r>
        <w:rPr>
          <w:rFonts w:hint="eastAsia" w:ascii="宋体" w:hAnsi="宋体" w:eastAsia="宋体" w:cs="宋体"/>
          <w:sz w:val="24"/>
          <w:szCs w:val="24"/>
          <w:highlight w:val="none"/>
          <w:lang w:eastAsia="zh-CN"/>
        </w:rPr>
        <w:t>谈判响应</w:t>
      </w:r>
      <w:r>
        <w:rPr>
          <w:rFonts w:hint="eastAsia" w:ascii="宋体" w:hAnsi="宋体" w:eastAsia="宋体" w:cs="宋体"/>
          <w:sz w:val="24"/>
          <w:szCs w:val="24"/>
          <w:highlight w:val="none"/>
        </w:rPr>
        <w:t>文件截止时间</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个工作</w:t>
      </w:r>
      <w:r>
        <w:rPr>
          <w:rFonts w:hint="eastAsia" w:ascii="宋体" w:hAnsi="宋体" w:eastAsia="宋体" w:cs="宋体"/>
          <w:sz w:val="24"/>
          <w:szCs w:val="24"/>
          <w:highlight w:val="none"/>
        </w:rPr>
        <w:t>日前，在发布</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公告的财政部门指定媒体上发布</w:t>
      </w:r>
      <w:r>
        <w:rPr>
          <w:rFonts w:hint="eastAsia" w:ascii="宋体" w:hAnsi="宋体" w:eastAsia="宋体" w:cs="宋体"/>
          <w:sz w:val="24"/>
          <w:szCs w:val="24"/>
          <w:highlight w:val="none"/>
          <w:lang w:eastAsia="zh-CN"/>
        </w:rPr>
        <w:t>变更</w:t>
      </w:r>
      <w:r>
        <w:rPr>
          <w:rFonts w:hint="eastAsia" w:ascii="宋体" w:hAnsi="宋体" w:eastAsia="宋体" w:cs="宋体"/>
          <w:sz w:val="24"/>
          <w:szCs w:val="24"/>
          <w:highlight w:val="none"/>
        </w:rPr>
        <w:t>公告，并以书面形式通知所有</w:t>
      </w:r>
      <w:r>
        <w:rPr>
          <w:rFonts w:hint="eastAsia" w:ascii="宋体" w:hAnsi="宋体" w:eastAsia="宋体" w:cs="宋体"/>
          <w:sz w:val="24"/>
          <w:szCs w:val="24"/>
          <w:highlight w:val="none"/>
          <w:lang w:eastAsia="zh-CN"/>
        </w:rPr>
        <w:t>获取谈判</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的供应商</w:t>
      </w:r>
      <w:r>
        <w:rPr>
          <w:rFonts w:hint="eastAsia" w:ascii="宋体" w:hAnsi="宋体" w:eastAsia="宋体" w:cs="宋体"/>
          <w:sz w:val="24"/>
          <w:szCs w:val="24"/>
          <w:highlight w:val="none"/>
        </w:rPr>
        <w:t>。该澄清或者修改的内容为</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 xml:space="preserve">文件的组成部分。 </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w:t>
      </w:r>
      <w:r>
        <w:rPr>
          <w:rFonts w:hint="eastAsia" w:ascii="宋体" w:hAnsi="宋体" w:eastAsia="宋体" w:cs="宋体"/>
          <w:color w:val="auto"/>
          <w:sz w:val="24"/>
          <w:szCs w:val="24"/>
          <w:highlight w:val="none"/>
        </w:rPr>
        <w:t>已经</w:t>
      </w:r>
      <w:r>
        <w:rPr>
          <w:rFonts w:hint="eastAsia" w:ascii="宋体" w:hAnsi="宋体" w:eastAsia="宋体" w:cs="宋体"/>
          <w:color w:val="auto"/>
          <w:sz w:val="24"/>
          <w:szCs w:val="24"/>
          <w:highlight w:val="none"/>
          <w:lang w:eastAsia="zh-CN"/>
        </w:rPr>
        <w:t>领取</w:t>
      </w:r>
      <w:r>
        <w:rPr>
          <w:rFonts w:hint="eastAsia" w:ascii="宋体" w:hAnsi="宋体" w:eastAsia="宋体" w:cs="宋体"/>
          <w:color w:val="auto"/>
          <w:sz w:val="24"/>
          <w:szCs w:val="24"/>
          <w:highlight w:val="none"/>
        </w:rPr>
        <w:t>竞争性谈判文件的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对竞争性谈判文件有疑问的，均应在谈判截止日期2日前以书面形式向采购代理机构提出。采购代理机构视情况必要时将书面答</w:t>
      </w:r>
      <w:r>
        <w:rPr>
          <w:rFonts w:hint="eastAsia" w:ascii="宋体" w:hAnsi="宋体" w:eastAsia="宋体" w:cs="宋体"/>
          <w:sz w:val="24"/>
          <w:szCs w:val="24"/>
          <w:highlight w:val="none"/>
        </w:rPr>
        <w:t>复传送给</w:t>
      </w:r>
      <w:r>
        <w:rPr>
          <w:rFonts w:hint="eastAsia" w:ascii="宋体" w:hAnsi="宋体" w:eastAsia="宋体" w:cs="宋体"/>
          <w:sz w:val="24"/>
          <w:szCs w:val="24"/>
          <w:highlight w:val="none"/>
          <w:lang w:eastAsia="zh-CN"/>
        </w:rPr>
        <w:t>所有获取</w:t>
      </w:r>
      <w:r>
        <w:rPr>
          <w:rFonts w:hint="eastAsia" w:ascii="宋体" w:hAnsi="宋体" w:eastAsia="宋体" w:cs="宋体"/>
          <w:sz w:val="24"/>
          <w:szCs w:val="24"/>
          <w:highlight w:val="none"/>
        </w:rPr>
        <w:t>竞争性谈判文件的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b/>
          <w:sz w:val="36"/>
          <w:szCs w:val="36"/>
          <w:highlight w:val="none"/>
        </w:rPr>
      </w:pPr>
      <w:r>
        <w:rPr>
          <w:rFonts w:hint="eastAsia" w:ascii="宋体" w:hAnsi="宋体" w:eastAsia="宋体" w:cs="宋体"/>
          <w:sz w:val="24"/>
          <w:szCs w:val="24"/>
          <w:highlight w:val="none"/>
        </w:rPr>
        <w:t>7.4</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在收到上述通知后，应立即向</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代理机构回函确认。</w:t>
      </w:r>
    </w:p>
    <w:p>
      <w:pPr>
        <w:keepNext w:val="0"/>
        <w:keepLines w:val="0"/>
        <w:pageBreakBefore w:val="0"/>
        <w:widowControl w:val="0"/>
        <w:wordWrap/>
        <w:overflowPunct/>
        <w:topLinePunct w:val="0"/>
        <w:autoSpaceDE/>
        <w:autoSpaceDN/>
        <w:bidi w:val="0"/>
        <w:spacing w:before="156" w:beforeLines="50" w:line="500" w:lineRule="exact"/>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三.竞争性谈判响应文件的编制</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8. 谈判语言和谈判货币</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提交的竞争性谈判响应文件以及</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与采购代理机构就有关谈判的所有来往函电均应使用中文。</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8.2谈判应以人民币报价。任何包含非人民币报价的谈判将被作无效响应处理。</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9.竞争性谈判响应文件的构成</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9.1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提交的竞争性谈判响应文件应包括下列部分的内容：</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按照</w:t>
      </w:r>
      <w:r>
        <w:rPr>
          <w:rFonts w:hint="eastAsia" w:ascii="宋体" w:hAnsi="宋体" w:eastAsia="宋体" w:cs="宋体"/>
          <w:sz w:val="24"/>
          <w:szCs w:val="24"/>
          <w:highlight w:val="none"/>
          <w:lang w:eastAsia="zh-CN"/>
        </w:rPr>
        <w:t>供应商须知</w:t>
      </w:r>
      <w:r>
        <w:rPr>
          <w:rFonts w:hint="eastAsia" w:ascii="宋体" w:hAnsi="宋体" w:eastAsia="宋体" w:cs="宋体"/>
          <w:sz w:val="24"/>
          <w:szCs w:val="24"/>
          <w:highlight w:val="none"/>
        </w:rPr>
        <w:t>的要求和竞争性谈判文件规定格式填写的</w:t>
      </w:r>
      <w:r>
        <w:rPr>
          <w:rFonts w:hint="eastAsia" w:ascii="宋体" w:hAnsi="宋体" w:eastAsia="宋体" w:cs="宋体"/>
          <w:sz w:val="24"/>
          <w:szCs w:val="24"/>
          <w:highlight w:val="none"/>
          <w:lang w:eastAsia="zh-CN"/>
        </w:rPr>
        <w:t>谈判响应函</w:t>
      </w:r>
      <w:r>
        <w:rPr>
          <w:rFonts w:hint="eastAsia" w:ascii="宋体" w:hAnsi="宋体" w:eastAsia="宋体" w:cs="宋体"/>
          <w:sz w:val="24"/>
          <w:szCs w:val="24"/>
          <w:highlight w:val="none"/>
        </w:rPr>
        <w:t>、谈判报价表、</w:t>
      </w:r>
      <w:r>
        <w:rPr>
          <w:rFonts w:hint="eastAsia" w:ascii="宋体" w:hAnsi="宋体" w:eastAsia="宋体" w:cs="宋体"/>
          <w:sz w:val="24"/>
          <w:szCs w:val="24"/>
          <w:highlight w:val="none"/>
          <w:lang w:eastAsia="zh-CN"/>
        </w:rPr>
        <w:t>法定代表人</w:t>
      </w:r>
      <w:r>
        <w:rPr>
          <w:rFonts w:hint="eastAsia" w:ascii="宋体" w:hAnsi="宋体" w:eastAsia="宋体" w:cs="宋体"/>
          <w:sz w:val="24"/>
          <w:szCs w:val="24"/>
          <w:highlight w:val="none"/>
        </w:rPr>
        <w:t>授权书。</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（2）按照竞争性谈判文件的要求编制的谈判方案说明书，内容应包括设备和服务的详细说明、技术规格响应表、设备配置说明、彩页</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生产厂家出具的、相应的产品功能证明材料（包括但不限于测试报告、官网和功能截图等）</w:t>
      </w:r>
      <w:r>
        <w:rPr>
          <w:rFonts w:hint="eastAsia" w:ascii="宋体" w:hAnsi="宋体" w:eastAsia="宋体" w:cs="宋体"/>
          <w:sz w:val="24"/>
          <w:szCs w:val="24"/>
          <w:highlight w:val="none"/>
        </w:rPr>
        <w:t>，质量保证和售后服务承诺等。</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（3）按照竞争性谈判文件</w:t>
      </w:r>
      <w:r>
        <w:rPr>
          <w:rFonts w:hint="eastAsia" w:ascii="宋体" w:hAnsi="宋体" w:eastAsia="宋体" w:cs="宋体"/>
          <w:sz w:val="24"/>
          <w:szCs w:val="24"/>
          <w:highlight w:val="none"/>
          <w:lang w:eastAsia="zh-CN"/>
        </w:rPr>
        <w:t>供应商须知</w:t>
      </w:r>
      <w:r>
        <w:rPr>
          <w:rFonts w:hint="eastAsia" w:ascii="宋体" w:hAnsi="宋体" w:eastAsia="宋体" w:cs="宋体"/>
          <w:sz w:val="24"/>
          <w:szCs w:val="24"/>
          <w:highlight w:val="none"/>
        </w:rPr>
        <w:t>前附表的要求提交的资格证明文件；</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（4）竞争性谈判文件中要求的其他证明文件</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 如果在竞争性谈判文件中没有允许提供备选方案，则每个</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只允许提交一个谈判方案，否则，其谈判将被作谈判无效处理。</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9.3本次</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的最小单元为“</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可根据自身的资质情况和经营范围对本次项目进行响应，不得将其子目再行分解或只对本次项目中的品目进行不完全响应，任何不完全的响应将</w:t>
      </w:r>
      <w:r>
        <w:rPr>
          <w:rFonts w:hint="eastAsia" w:ascii="宋体" w:hAnsi="宋体" w:eastAsia="宋体" w:cs="宋体"/>
          <w:sz w:val="24"/>
          <w:szCs w:val="24"/>
          <w:highlight w:val="none"/>
          <w:lang w:eastAsia="zh-CN"/>
        </w:rPr>
        <w:t>按无效响应处理</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10.竞争性谈判响应文件格式</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10.1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应按照竞争性谈判文件中“竞争性谈判响应文件格式及构成”所提供的格式和要求制作竞争性谈判响应文件，明确表达谈判意愿，详细说明谈判方案、承诺及价格。</w:t>
      </w:r>
    </w:p>
    <w:p>
      <w:pPr>
        <w:keepNext w:val="0"/>
        <w:keepLines w:val="0"/>
        <w:pageBreakBefore w:val="0"/>
        <w:widowControl w:val="0"/>
        <w:wordWrap/>
        <w:overflowPunct/>
        <w:topLinePunct w:val="0"/>
        <w:autoSpaceDE/>
        <w:autoSpaceDN/>
        <w:bidi w:val="0"/>
        <w:spacing w:line="50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10.2按竞争性谈判文件第9条的内容与要求和第六章提供的格式编写其竞争性谈判响应文件，</w:t>
      </w:r>
      <w:r>
        <w:rPr>
          <w:rFonts w:hint="eastAsia" w:ascii="宋体" w:hAnsi="宋体" w:eastAsia="宋体" w:cs="宋体"/>
          <w:b/>
          <w:bCs/>
          <w:sz w:val="24"/>
          <w:highlight w:val="none"/>
          <w:lang w:eastAsia="zh-CN"/>
        </w:rPr>
        <w:t>供应商</w:t>
      </w:r>
      <w:r>
        <w:rPr>
          <w:rFonts w:hint="eastAsia" w:ascii="宋体" w:hAnsi="宋体" w:eastAsia="宋体" w:cs="宋体"/>
          <w:b/>
          <w:bCs/>
          <w:sz w:val="24"/>
          <w:highlight w:val="none"/>
        </w:rPr>
        <w:t>不得缺少或留空任何竞争性谈判文件要求填写的表格或提交的资料。</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11.谈判报价</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rPr>
        <w:t>11.1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应在谈判报价表中标明完成本次</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所要求的货物、服务并验收至合格的所有费用，包括设备（产品）费、安装调试费、运杂费（含保险）、仓储保管费、质保期维护</w:t>
      </w:r>
      <w:r>
        <w:rPr>
          <w:rFonts w:hint="eastAsia" w:ascii="宋体" w:hAnsi="宋体" w:eastAsia="宋体" w:cs="宋体"/>
          <w:sz w:val="24"/>
          <w:szCs w:val="24"/>
          <w:highlight w:val="none"/>
          <w:lang w:eastAsia="zh-CN"/>
        </w:rPr>
        <w:t>、招标代理服务费、税金</w:t>
      </w:r>
      <w:r>
        <w:rPr>
          <w:rFonts w:hint="eastAsia" w:ascii="宋体" w:hAnsi="宋体" w:eastAsia="宋体" w:cs="宋体"/>
          <w:sz w:val="24"/>
          <w:szCs w:val="24"/>
          <w:highlight w:val="none"/>
        </w:rPr>
        <w:t>等其他一切相关费用。谈判报价表中标明本次货物、服务的所有单项价格和总价，任何有选择的报价将不予接受，按无效响应处理。</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11.2谈判报价表中标明的价格应为履行合同的固定价格，不得以任何理由予以变更。以可调整的价格提交的竞争性谈判响应文件按无效响应处理。</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szCs w:val="24"/>
          <w:highlight w:val="none"/>
        </w:rPr>
        <w:t>11.3</w:t>
      </w:r>
      <w:r>
        <w:rPr>
          <w:rFonts w:hint="eastAsia" w:ascii="宋体" w:hAnsi="宋体" w:eastAsia="宋体" w:cs="宋体"/>
          <w:sz w:val="24"/>
          <w:highlight w:val="none"/>
        </w:rPr>
        <w:t>谈判报价：总包交钥匙价（精确到小数点后二位）。</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12.证明</w:t>
      </w:r>
      <w:r>
        <w:rPr>
          <w:rFonts w:hint="eastAsia" w:ascii="宋体" w:hAnsi="宋体" w:eastAsia="宋体" w:cs="宋体"/>
          <w:b/>
          <w:sz w:val="24"/>
          <w:szCs w:val="24"/>
          <w:highlight w:val="none"/>
          <w:lang w:eastAsia="zh-CN"/>
        </w:rPr>
        <w:t>供应商</w:t>
      </w:r>
      <w:r>
        <w:rPr>
          <w:rFonts w:hint="eastAsia" w:ascii="宋体" w:hAnsi="宋体" w:eastAsia="宋体" w:cs="宋体"/>
          <w:b/>
          <w:sz w:val="24"/>
          <w:szCs w:val="24"/>
          <w:highlight w:val="none"/>
        </w:rPr>
        <w:t>合格和资格的文件</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应按照竞争性谈判文件</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的要求，在竞争性谈判响应文件中提交合格的资格证明文件。如果资格证明文件不全或不合格的，其谈判按无效响应处理。</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13.证明</w:t>
      </w:r>
      <w:r>
        <w:rPr>
          <w:rFonts w:hint="eastAsia" w:ascii="宋体" w:hAnsi="宋体" w:eastAsia="宋体" w:cs="宋体"/>
          <w:b/>
          <w:sz w:val="24"/>
          <w:szCs w:val="24"/>
          <w:highlight w:val="none"/>
          <w:lang w:eastAsia="zh-CN"/>
        </w:rPr>
        <w:t>货物（产品）</w:t>
      </w:r>
      <w:r>
        <w:rPr>
          <w:rFonts w:hint="eastAsia" w:ascii="宋体" w:hAnsi="宋体" w:eastAsia="宋体" w:cs="宋体"/>
          <w:b/>
          <w:sz w:val="24"/>
          <w:szCs w:val="24"/>
          <w:highlight w:val="none"/>
        </w:rPr>
        <w:t>符合竞争性谈判文件规定的文件</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在竞争性谈判响应文件中提交产品和服务满足竞争性谈判文件要求并符合国家法律法规、行业管理部门要求的其他强制性标准的证明文件。缺少证明文件或证明文件不合格的谈判，与竞争性谈判文件要求有重大偏离的谈判，不符合国家法律法规、行业管理部门要求的其他强制性标准的谈判将按无效响应处理。</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13.2上述证明文件可以是文字资料、图纸、图片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宣传彩页等，所有证明文件表达意思必须统一。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如需</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提供样品，</w:t>
      </w:r>
      <w:r>
        <w:rPr>
          <w:rFonts w:hint="eastAsia" w:ascii="宋体" w:hAnsi="宋体" w:eastAsia="宋体" w:cs="宋体"/>
          <w:sz w:val="24"/>
          <w:szCs w:val="24"/>
          <w:highlight w:val="none"/>
          <w:lang w:eastAsia="zh-CN"/>
        </w:rPr>
        <w:t>样品必须与谈判响应</w:t>
      </w:r>
      <w:r>
        <w:rPr>
          <w:rFonts w:hint="eastAsia" w:ascii="宋体" w:hAnsi="宋体" w:eastAsia="宋体" w:cs="宋体"/>
          <w:sz w:val="24"/>
          <w:szCs w:val="24"/>
          <w:highlight w:val="none"/>
        </w:rPr>
        <w:t>文件的表述完全符合。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包括：</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产品主要技术指标和性能的详细说明；</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生产厂家出具的、相应的产品功能证明材料（包括但不限于测试报告、官网和功能截图等）</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逐条对竞争性谈判文件提出的技术要求和商务要求进行应答，说明所提供的产品和服务对竞争性谈判的技术和商务要求是否做出了实质性响应并提供支持文件；</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（4）供货范围和服务内容的详细说明。</w:t>
      </w:r>
    </w:p>
    <w:p>
      <w:pPr>
        <w:keepNext w:val="0"/>
        <w:keepLines w:val="0"/>
        <w:pageBreakBefore w:val="0"/>
        <w:widowControl w:val="0"/>
        <w:tabs>
          <w:tab w:val="right" w:pos="8788"/>
        </w:tabs>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bCs w:val="0"/>
          <w:sz w:val="24"/>
          <w:szCs w:val="24"/>
          <w:highlight w:val="none"/>
        </w:rPr>
        <w:t>1</w:t>
      </w:r>
      <w:r>
        <w:rPr>
          <w:rFonts w:hint="eastAsia" w:ascii="宋体" w:hAnsi="宋体" w:eastAsia="宋体" w:cs="宋体"/>
          <w:b/>
          <w:bCs w:val="0"/>
          <w:sz w:val="24"/>
          <w:szCs w:val="24"/>
          <w:highlight w:val="none"/>
          <w:lang w:val="en-US" w:eastAsia="zh-CN"/>
        </w:rPr>
        <w:t>4</w:t>
      </w:r>
      <w:r>
        <w:rPr>
          <w:rFonts w:hint="eastAsia" w:ascii="宋体" w:hAnsi="宋体" w:eastAsia="宋体" w:cs="宋体"/>
          <w:b/>
          <w:bCs w:val="0"/>
          <w:sz w:val="24"/>
          <w:szCs w:val="24"/>
          <w:highlight w:val="none"/>
        </w:rPr>
        <w:t>.谈判有效期</w:t>
      </w:r>
      <w:r>
        <w:rPr>
          <w:rFonts w:hint="eastAsia" w:ascii="宋体" w:hAnsi="宋体" w:eastAsia="宋体" w:cs="宋体"/>
          <w:b/>
          <w:sz w:val="24"/>
          <w:szCs w:val="24"/>
          <w:highlight w:val="none"/>
        </w:rPr>
        <w:tab/>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响应文件应在“供应商须知前附表”中规定的期限内保持有效。谈判有效期不满足规定有效期的谈判</w:t>
      </w:r>
      <w:r>
        <w:rPr>
          <w:rFonts w:hint="eastAsia" w:ascii="宋体" w:hAnsi="宋体" w:eastAsia="宋体" w:cs="宋体"/>
          <w:sz w:val="24"/>
          <w:highlight w:val="none"/>
        </w:rPr>
        <w:t>将被视为非响应性谈判而予以拒绝</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.2在特殊情况下，在原谈判有效期期满之前，采购代理机构可向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提出延长谈判有效期的要求。这种要求与答复均应以书面的形式。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可以拒绝采购代理机构的这种要求。同意延长的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既不能要求也不允许修改其竞争性谈判响应文件，但要相应延长其谈判的有效期。</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.竞争性谈判响应文件的式样和签署</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应按照</w:t>
      </w:r>
      <w:r>
        <w:rPr>
          <w:rFonts w:hint="eastAsia" w:ascii="宋体" w:hAnsi="宋体" w:eastAsia="宋体" w:cs="宋体"/>
          <w:sz w:val="24"/>
          <w:szCs w:val="24"/>
          <w:highlight w:val="none"/>
          <w:lang w:eastAsia="zh-CN"/>
        </w:rPr>
        <w:t>供应商须知</w:t>
      </w:r>
      <w:r>
        <w:rPr>
          <w:rFonts w:hint="eastAsia" w:ascii="宋体" w:hAnsi="宋体" w:eastAsia="宋体" w:cs="宋体"/>
          <w:sz w:val="24"/>
          <w:szCs w:val="24"/>
          <w:highlight w:val="none"/>
        </w:rPr>
        <w:t>的要求,</w:t>
      </w:r>
      <w:r>
        <w:rPr>
          <w:rFonts w:hint="eastAsia" w:ascii="宋体" w:hAnsi="宋体" w:eastAsia="宋体" w:cs="宋体"/>
          <w:sz w:val="24"/>
          <w:szCs w:val="24"/>
          <w:highlight w:val="none"/>
          <w:lang w:eastAsia="zh-CN"/>
        </w:rPr>
        <w:t>提交</w:t>
      </w:r>
      <w:r>
        <w:rPr>
          <w:rFonts w:hint="eastAsia" w:ascii="宋体" w:hAnsi="宋体" w:eastAsia="宋体" w:cs="宋体"/>
          <w:sz w:val="24"/>
          <w:szCs w:val="24"/>
          <w:highlight w:val="none"/>
        </w:rPr>
        <w:t>一份竞争性谈判响应文件正本和“</w:t>
      </w:r>
      <w:r>
        <w:rPr>
          <w:rFonts w:hint="eastAsia" w:ascii="宋体" w:hAnsi="宋体" w:eastAsia="宋体" w:cs="宋体"/>
          <w:sz w:val="24"/>
          <w:szCs w:val="24"/>
          <w:highlight w:val="none"/>
          <w:lang w:eastAsia="zh-CN"/>
        </w:rPr>
        <w:t>供应商须知</w:t>
      </w:r>
      <w:r>
        <w:rPr>
          <w:rFonts w:hint="eastAsia" w:ascii="宋体" w:hAnsi="宋体" w:eastAsia="宋体" w:cs="宋体"/>
          <w:sz w:val="24"/>
          <w:szCs w:val="24"/>
          <w:highlight w:val="none"/>
        </w:rPr>
        <w:t>前附表”中规定数量的副本，每套竞争性谈判响应文件封面须清楚地标明“正本”或“副本”。同时提供与</w:t>
      </w:r>
      <w:r>
        <w:rPr>
          <w:rFonts w:hint="eastAsia" w:ascii="宋体" w:hAnsi="宋体" w:eastAsia="宋体" w:cs="宋体"/>
          <w:sz w:val="24"/>
          <w:szCs w:val="24"/>
          <w:highlight w:val="none"/>
          <w:lang w:eastAsia="zh-CN"/>
        </w:rPr>
        <w:t>竞争性谈判响应文件</w:t>
      </w:r>
      <w:r>
        <w:rPr>
          <w:rFonts w:hint="eastAsia" w:ascii="宋体" w:hAnsi="宋体" w:eastAsia="宋体" w:cs="宋体"/>
          <w:sz w:val="24"/>
          <w:szCs w:val="24"/>
          <w:highlight w:val="none"/>
        </w:rPr>
        <w:t>正本内容一致的</w:t>
      </w:r>
      <w:r>
        <w:rPr>
          <w:rFonts w:hint="eastAsia" w:ascii="宋体" w:hAnsi="宋体" w:eastAsia="宋体" w:cs="宋体"/>
          <w:spacing w:val="4"/>
          <w:sz w:val="24"/>
          <w:szCs w:val="24"/>
          <w:highlight w:val="none"/>
        </w:rPr>
        <w:t>电子版</w:t>
      </w:r>
      <w:r>
        <w:rPr>
          <w:rFonts w:hint="eastAsia" w:ascii="宋体" w:hAnsi="宋体" w:eastAsia="宋体" w:cs="宋体"/>
          <w:spacing w:val="4"/>
          <w:sz w:val="24"/>
          <w:szCs w:val="24"/>
          <w:highlight w:val="none"/>
          <w:lang w:eastAsia="zh-CN"/>
        </w:rPr>
        <w:t>（</w:t>
      </w:r>
      <w:r>
        <w:rPr>
          <w:rFonts w:hint="eastAsia" w:ascii="宋体" w:hAnsi="宋体" w:eastAsia="宋体" w:cs="宋体"/>
          <w:sz w:val="24"/>
          <w:szCs w:val="24"/>
          <w:highlight w:val="none"/>
        </w:rPr>
        <w:t>U盘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lang w:eastAsia="zh-CN"/>
        </w:rPr>
        <w:t>份及报价一览表</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lang w:eastAsia="zh-CN"/>
        </w:rPr>
        <w:t>份，</w:t>
      </w:r>
      <w:r>
        <w:rPr>
          <w:rFonts w:hint="eastAsia" w:ascii="宋体" w:hAnsi="宋体" w:eastAsia="宋体" w:cs="宋体"/>
          <w:sz w:val="24"/>
          <w:szCs w:val="24"/>
          <w:highlight w:val="none"/>
        </w:rPr>
        <w:t>并标注</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全称、项目名称、项目编号，并与竞争性谈判响应文件同时递交。</w:t>
      </w:r>
      <w:r>
        <w:rPr>
          <w:rFonts w:hint="eastAsia" w:ascii="宋体" w:hAnsi="宋体" w:eastAsia="宋体" w:cs="宋体"/>
          <w:b/>
          <w:bCs/>
          <w:sz w:val="24"/>
          <w:szCs w:val="24"/>
          <w:highlight w:val="none"/>
          <w:lang w:val="en-US" w:eastAsia="zh-CN"/>
        </w:rPr>
        <w:t>电子版包括：电子U盘内须附</w:t>
      </w:r>
      <w:r>
        <w:rPr>
          <w:rFonts w:hint="eastAsia" w:ascii="宋体" w:hAnsi="宋体" w:cs="宋体"/>
          <w:b/>
          <w:bCs/>
          <w:sz w:val="24"/>
          <w:szCs w:val="24"/>
          <w:highlight w:val="none"/>
          <w:lang w:val="en-US" w:eastAsia="zh-CN"/>
        </w:rPr>
        <w:t>谈判</w:t>
      </w:r>
      <w:r>
        <w:rPr>
          <w:rFonts w:hint="eastAsia" w:ascii="宋体" w:hAnsi="宋体" w:eastAsia="宋体" w:cs="宋体"/>
          <w:b/>
          <w:bCs/>
          <w:sz w:val="24"/>
          <w:szCs w:val="24"/>
          <w:highlight w:val="none"/>
          <w:lang w:val="en-US" w:eastAsia="zh-CN"/>
        </w:rPr>
        <w:t>响应文件WORD版本（可编辑）、完整彩色扫描件的PDF版本（包含签字盖章内容）。</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.2竞争性谈判响应文件正本和副本均需打印或用不褪色、不变质的墨水书写，由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的法定代表人或</w:t>
      </w:r>
      <w:r>
        <w:rPr>
          <w:rFonts w:hint="eastAsia" w:ascii="宋体" w:hAnsi="宋体" w:eastAsia="宋体" w:cs="宋体"/>
          <w:sz w:val="24"/>
          <w:szCs w:val="24"/>
          <w:highlight w:val="none"/>
          <w:lang w:eastAsia="zh-CN"/>
        </w:rPr>
        <w:t>被授权人按谈判文件的规定签署</w:t>
      </w:r>
      <w:r>
        <w:rPr>
          <w:rFonts w:hint="eastAsia" w:ascii="宋体" w:hAnsi="宋体" w:eastAsia="宋体" w:cs="宋体"/>
          <w:b w:val="0"/>
          <w:bCs w:val="0"/>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.3任何行间插字、涂改和增删，必须由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的法定代表人或其授权代表在旁边签字才有效。</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lang w:eastAsia="zh-CN"/>
        </w:rPr>
        <w:t>供应商</w:t>
      </w:r>
      <w:r>
        <w:rPr>
          <w:rFonts w:hint="eastAsia" w:ascii="宋体" w:hAnsi="宋体" w:eastAsia="宋体" w:cs="宋体"/>
          <w:b w:val="0"/>
          <w:bCs w:val="0"/>
          <w:sz w:val="24"/>
          <w:szCs w:val="24"/>
          <w:highlight w:val="none"/>
        </w:rPr>
        <w:t>名称应填写全称</w:t>
      </w:r>
      <w:r>
        <w:rPr>
          <w:rFonts w:hint="eastAsia" w:ascii="宋体" w:hAnsi="宋体" w:eastAsia="宋体" w:cs="宋体"/>
          <w:b w:val="0"/>
          <w:bCs w:val="0"/>
          <w:color w:val="auto"/>
          <w:sz w:val="24"/>
          <w:szCs w:val="24"/>
          <w:highlight w:val="none"/>
        </w:rPr>
        <w:t>，竞争性谈判响应文件正本必须</w:t>
      </w:r>
      <w:r>
        <w:rPr>
          <w:rFonts w:hint="eastAsia" w:ascii="宋体" w:hAnsi="宋体" w:eastAsia="宋体" w:cs="宋体"/>
          <w:b w:val="0"/>
          <w:bCs w:val="0"/>
          <w:color w:val="auto"/>
          <w:sz w:val="24"/>
          <w:szCs w:val="24"/>
          <w:highlight w:val="none"/>
          <w:lang w:eastAsia="zh-CN"/>
        </w:rPr>
        <w:t>逐页加盖供应商公章</w:t>
      </w:r>
      <w:r>
        <w:rPr>
          <w:rFonts w:hint="eastAsia" w:ascii="宋体" w:hAnsi="宋体" w:eastAsia="宋体" w:cs="宋体"/>
          <w:b w:val="0"/>
          <w:bCs w:val="0"/>
          <w:color w:val="auto"/>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sz w:val="24"/>
          <w:szCs w:val="24"/>
          <w:highlight w:val="none"/>
          <w:lang w:val="en-US" w:eastAsia="zh-CN"/>
        </w:rPr>
        <w:t>15.5</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eastAsia="zh-CN"/>
        </w:rPr>
        <w:t>竞争性谈判响应</w:t>
      </w:r>
      <w:r>
        <w:rPr>
          <w:rFonts w:hint="eastAsia" w:ascii="宋体" w:hAnsi="宋体" w:eastAsia="宋体" w:cs="宋体"/>
          <w:b w:val="0"/>
          <w:bCs w:val="0"/>
          <w:sz w:val="24"/>
          <w:szCs w:val="24"/>
          <w:highlight w:val="none"/>
        </w:rPr>
        <w:t>文件正本和副本</w:t>
      </w:r>
      <w:r>
        <w:rPr>
          <w:rFonts w:hint="eastAsia" w:ascii="宋体" w:hAnsi="宋体" w:eastAsia="宋体" w:cs="宋体"/>
          <w:b w:val="0"/>
          <w:bCs w:val="0"/>
          <w:sz w:val="24"/>
          <w:szCs w:val="24"/>
          <w:highlight w:val="none"/>
          <w:lang w:eastAsia="zh-CN"/>
        </w:rPr>
        <w:t>按照竞争性谈判文件</w:t>
      </w:r>
      <w:r>
        <w:rPr>
          <w:rFonts w:hint="eastAsia" w:ascii="宋体" w:hAnsi="宋体" w:eastAsia="宋体" w:cs="宋体"/>
          <w:b w:val="0"/>
          <w:bCs w:val="0"/>
          <w:sz w:val="24"/>
          <w:szCs w:val="24"/>
          <w:highlight w:val="none"/>
        </w:rPr>
        <w:t>第六章</w:t>
      </w:r>
      <w:r>
        <w:rPr>
          <w:rFonts w:hint="eastAsia" w:ascii="宋体" w:hAnsi="宋体" w:eastAsia="宋体" w:cs="宋体"/>
          <w:b w:val="0"/>
          <w:bCs w:val="0"/>
          <w:sz w:val="24"/>
          <w:szCs w:val="24"/>
          <w:highlight w:val="none"/>
          <w:lang w:eastAsia="zh-CN"/>
        </w:rPr>
        <w:t>规定的</w:t>
      </w:r>
      <w:r>
        <w:rPr>
          <w:rFonts w:hint="eastAsia" w:ascii="宋体" w:hAnsi="宋体" w:eastAsia="宋体" w:cs="宋体"/>
          <w:b w:val="0"/>
          <w:bCs w:val="0"/>
          <w:sz w:val="24"/>
          <w:szCs w:val="24"/>
          <w:highlight w:val="none"/>
        </w:rPr>
        <w:t>顺序编排</w:t>
      </w:r>
      <w:r>
        <w:rPr>
          <w:rFonts w:hint="eastAsia" w:ascii="宋体" w:hAnsi="宋体" w:eastAsia="宋体" w:cs="宋体"/>
          <w:b w:val="0"/>
          <w:bCs w:val="0"/>
          <w:sz w:val="24"/>
          <w:szCs w:val="24"/>
          <w:highlight w:val="none"/>
          <w:lang w:eastAsia="zh-CN"/>
        </w:rPr>
        <w:t>、并应</w:t>
      </w:r>
      <w:r>
        <w:rPr>
          <w:rFonts w:hint="eastAsia" w:ascii="宋体" w:hAnsi="宋体" w:eastAsia="宋体" w:cs="宋体"/>
          <w:b w:val="0"/>
          <w:bCs w:val="0"/>
          <w:sz w:val="24"/>
          <w:szCs w:val="24"/>
          <w:highlight w:val="none"/>
          <w:lang w:val="zh-CN"/>
        </w:rPr>
        <w:t>编制目录，</w:t>
      </w:r>
      <w:r>
        <w:rPr>
          <w:rFonts w:hint="eastAsia" w:ascii="宋体" w:hAnsi="宋体" w:eastAsia="宋体" w:cs="宋体"/>
          <w:b w:val="0"/>
          <w:bCs w:val="0"/>
          <w:sz w:val="24"/>
          <w:szCs w:val="24"/>
          <w:highlight w:val="none"/>
        </w:rPr>
        <w:t>逐页标注连续页码</w:t>
      </w:r>
      <w:r>
        <w:rPr>
          <w:rFonts w:hint="eastAsia" w:ascii="宋体" w:hAnsi="宋体" w:eastAsia="宋体" w:cs="宋体"/>
          <w:b w:val="0"/>
          <w:bCs w:val="0"/>
          <w:sz w:val="24"/>
          <w:szCs w:val="24"/>
          <w:highlight w:val="none"/>
          <w:lang w:eastAsia="zh-CN"/>
        </w:rPr>
        <w:t>，并分别</w:t>
      </w:r>
      <w:r>
        <w:rPr>
          <w:rFonts w:hint="eastAsia" w:ascii="宋体" w:hAnsi="宋体" w:eastAsia="宋体" w:cs="宋体"/>
          <w:b w:val="0"/>
          <w:bCs w:val="0"/>
          <w:sz w:val="24"/>
          <w:szCs w:val="24"/>
          <w:highlight w:val="none"/>
          <w:lang w:val="zh-CN"/>
        </w:rPr>
        <w:t>胶装成册</w:t>
      </w:r>
      <w:r>
        <w:rPr>
          <w:rFonts w:hint="eastAsia" w:ascii="宋体" w:hAnsi="宋体" w:eastAsia="宋体" w:cs="宋体"/>
          <w:b w:val="0"/>
          <w:bCs w:val="0"/>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因字迹潦草、表述不清或不按竞争性谈判文件格式编制的竞争性谈判响应文件，所引起的对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不利的后果，由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自行负责。</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谈判响应</w:t>
      </w:r>
      <w:r>
        <w:rPr>
          <w:rFonts w:hint="eastAsia" w:ascii="宋体" w:hAnsi="宋体" w:eastAsia="宋体" w:cs="宋体"/>
          <w:sz w:val="24"/>
          <w:szCs w:val="24"/>
          <w:highlight w:val="none"/>
        </w:rPr>
        <w:t>文件的副本、电子版须和正本保持一致。若正本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副本</w:t>
      </w:r>
      <w:r>
        <w:rPr>
          <w:rFonts w:hint="eastAsia" w:ascii="宋体" w:hAnsi="宋体" w:eastAsia="宋体" w:cs="宋体"/>
          <w:sz w:val="24"/>
          <w:szCs w:val="24"/>
          <w:highlight w:val="none"/>
          <w:lang w:eastAsia="zh-CN"/>
        </w:rPr>
        <w:t>和电子版</w:t>
      </w:r>
      <w:r>
        <w:rPr>
          <w:rFonts w:hint="eastAsia" w:ascii="宋体" w:hAnsi="宋体" w:eastAsia="宋体" w:cs="宋体"/>
          <w:sz w:val="24"/>
          <w:szCs w:val="24"/>
          <w:highlight w:val="none"/>
        </w:rPr>
        <w:t>有不一致的内容，以正本为准。</w:t>
      </w:r>
    </w:p>
    <w:p>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keepNext w:val="0"/>
        <w:keepLines w:val="0"/>
        <w:pageBreakBefore w:val="0"/>
        <w:widowControl w:val="0"/>
        <w:wordWrap/>
        <w:overflowPunct/>
        <w:topLinePunct w:val="0"/>
        <w:autoSpaceDE/>
        <w:autoSpaceDN/>
        <w:bidi w:val="0"/>
        <w:spacing w:before="156" w:beforeLines="50" w:line="500" w:lineRule="exact"/>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四.竞争性谈判响应文件的递交</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.竞争性谈判响应文件的密封和标记</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w:t>
      </w:r>
      <w:r>
        <w:rPr>
          <w:rFonts w:hint="eastAsia" w:ascii="宋体" w:hAnsi="宋体" w:eastAsia="宋体" w:cs="宋体"/>
          <w:sz w:val="24"/>
          <w:highlight w:val="none"/>
        </w:rPr>
        <w:t>报价一览表除在竞争性谈判响应文件内装订外，再制作一份单独</w:t>
      </w:r>
      <w:r>
        <w:rPr>
          <w:rFonts w:hint="eastAsia" w:ascii="宋体" w:hAnsi="宋体" w:eastAsia="宋体" w:cs="宋体"/>
          <w:sz w:val="24"/>
          <w:highlight w:val="none"/>
          <w:lang w:eastAsia="zh-CN"/>
        </w:rPr>
        <w:t>密封在封袋</w:t>
      </w:r>
      <w:r>
        <w:rPr>
          <w:rFonts w:hint="eastAsia" w:ascii="宋体" w:hAnsi="宋体" w:eastAsia="宋体" w:cs="宋体"/>
          <w:sz w:val="24"/>
          <w:highlight w:val="none"/>
        </w:rPr>
        <w:t>中。封线处加贴封条并加盖</w:t>
      </w:r>
      <w:r>
        <w:rPr>
          <w:rFonts w:hint="eastAsia" w:ascii="宋体" w:hAnsi="宋体" w:eastAsia="宋体" w:cs="宋体"/>
          <w:sz w:val="24"/>
          <w:highlight w:val="none"/>
          <w:lang w:eastAsia="zh-CN"/>
        </w:rPr>
        <w:t>谈判供应商</w:t>
      </w:r>
      <w:r>
        <w:rPr>
          <w:rFonts w:hint="eastAsia" w:ascii="宋体" w:hAnsi="宋体" w:eastAsia="宋体" w:cs="宋体"/>
          <w:sz w:val="24"/>
          <w:highlight w:val="none"/>
        </w:rPr>
        <w:t>公章</w:t>
      </w:r>
      <w:r>
        <w:rPr>
          <w:rFonts w:hint="eastAsia" w:ascii="宋体" w:hAnsi="宋体" w:eastAsia="宋体" w:cs="宋体"/>
          <w:sz w:val="24"/>
          <w:highlight w:val="none"/>
          <w:lang w:eastAsia="zh-CN"/>
        </w:rPr>
        <w:t>、</w:t>
      </w:r>
      <w:r>
        <w:rPr>
          <w:rFonts w:hint="eastAsia" w:ascii="宋体" w:hAnsi="宋体" w:eastAsia="宋体" w:cs="宋体"/>
          <w:sz w:val="24"/>
          <w:highlight w:val="none"/>
        </w:rPr>
        <w:t>法定代表人或授权委托代理人签字，封袋正面要粘贴标识，单独递交（该单独密封报价一览表的谈判报价必须与竞争性谈判响应文件正本中的报价一览表（报价表）谈判报价一致，若不一致，则按单独密封的报价一览表为准。</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.2谈判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应将竞争性谈判响应文件正本、所有的副本以及电子版本、报价一览表分开密封装在单独的信封中</w:t>
      </w:r>
      <w:r>
        <w:rPr>
          <w:rFonts w:hint="eastAsia" w:ascii="宋体" w:hAnsi="宋体" w:eastAsia="宋体" w:cs="宋体"/>
          <w:sz w:val="24"/>
          <w:highlight w:val="none"/>
        </w:rPr>
        <w:t>（封袋不得有破损）</w:t>
      </w:r>
      <w:r>
        <w:rPr>
          <w:rFonts w:hint="eastAsia" w:ascii="宋体" w:hAnsi="宋体" w:eastAsia="宋体" w:cs="宋体"/>
          <w:sz w:val="24"/>
          <w:szCs w:val="24"/>
          <w:highlight w:val="none"/>
        </w:rPr>
        <w:t>，且在信封上标明“正本”“副本”“电子版本”“报价一览表”字样。</w:t>
      </w:r>
      <w:r>
        <w:rPr>
          <w:rFonts w:hint="eastAsia" w:ascii="宋体" w:hAnsi="宋体" w:eastAsia="宋体" w:cs="宋体"/>
          <w:color w:val="030303"/>
          <w:kern w:val="0"/>
          <w:sz w:val="24"/>
          <w:highlight w:val="none"/>
        </w:rPr>
        <w:t>封袋应加贴封条，并在封线处加盖谈判供应商公章</w:t>
      </w:r>
      <w:r>
        <w:rPr>
          <w:rFonts w:hint="eastAsia" w:ascii="宋体" w:hAnsi="宋体" w:eastAsia="宋体" w:cs="宋体"/>
          <w:color w:val="030303"/>
          <w:kern w:val="0"/>
          <w:sz w:val="24"/>
          <w:highlight w:val="none"/>
          <w:lang w:eastAsia="zh-CN"/>
        </w:rPr>
        <w:t>、</w:t>
      </w:r>
      <w:r>
        <w:rPr>
          <w:rFonts w:hint="eastAsia" w:ascii="宋体" w:hAnsi="宋体" w:eastAsia="宋体" w:cs="宋体"/>
          <w:color w:val="030303"/>
          <w:kern w:val="0"/>
          <w:sz w:val="24"/>
          <w:highlight w:val="none"/>
          <w:lang w:val="en-US" w:eastAsia="zh-CN"/>
        </w:rPr>
        <w:t>法定代表人或授权委托代理人签字</w:t>
      </w:r>
      <w:r>
        <w:rPr>
          <w:rFonts w:hint="eastAsia" w:ascii="宋体" w:hAnsi="宋体" w:eastAsia="宋体" w:cs="宋体"/>
          <w:color w:val="030303"/>
          <w:kern w:val="0"/>
          <w:sz w:val="24"/>
          <w:highlight w:val="none"/>
        </w:rPr>
        <w:t>封袋正面要粘贴标识。</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.3外层包装请按以下要求标记：</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 谈判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的全称。</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 谈判项目名称、项目编号。</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3）正本、副本、电子版本、报价一览表“请勿在＿＿＿＿＿(</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时间)之前启封”。</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.4如果</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未对竞争性谈判响应文件按上述要求进行完好密封，由此产生的不利后果由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自行承担。</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．竞争性谈判响应文件的递交</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应按照竞争性谈判公告中规定的时间、地点，在规定的竞争性谈判响应文件递交截止时间前将全部竞争性谈判响应文件和谈判资料递交至采购代理机构接收人处。</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.2采购代理机构在竞争性谈判文件规定的竞争性谈判响应文件递交截止时间前，只负责竞争性谈判响应文件的接收、清点、造册登记工作，并请递交人签字确认，对其有效性不负任何责任；</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.3无论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成交与否，其竞争性谈判响应文件恕不退还。</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．迟交的竞争性谈判响应文件</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19.1按照</w:t>
      </w:r>
      <w:r>
        <w:rPr>
          <w:rFonts w:hint="eastAsia" w:ascii="宋体" w:hAnsi="宋体" w:eastAsia="宋体" w:cs="宋体"/>
          <w:sz w:val="24"/>
          <w:szCs w:val="24"/>
          <w:highlight w:val="none"/>
          <w:lang w:eastAsia="zh-CN"/>
        </w:rPr>
        <w:t>供应商须知</w:t>
      </w:r>
      <w:r>
        <w:rPr>
          <w:rFonts w:hint="eastAsia" w:ascii="宋体" w:hAnsi="宋体" w:eastAsia="宋体" w:cs="宋体"/>
          <w:sz w:val="24"/>
          <w:szCs w:val="24"/>
          <w:highlight w:val="none"/>
        </w:rPr>
        <w:t>的规定，</w:t>
      </w:r>
      <w:r>
        <w:rPr>
          <w:rFonts w:hint="eastAsia" w:ascii="宋体" w:hAnsi="宋体" w:eastAsia="宋体" w:cs="宋体"/>
          <w:sz w:val="24"/>
          <w:szCs w:val="24"/>
          <w:highlight w:val="none"/>
          <w:lang w:eastAsia="zh-CN"/>
        </w:rPr>
        <w:t>在递交谈判响应文件</w:t>
      </w:r>
      <w:r>
        <w:rPr>
          <w:rFonts w:hint="eastAsia" w:ascii="宋体" w:hAnsi="宋体" w:eastAsia="宋体" w:cs="宋体"/>
          <w:sz w:val="24"/>
          <w:szCs w:val="24"/>
          <w:highlight w:val="none"/>
        </w:rPr>
        <w:t>截止时间后</w:t>
      </w:r>
      <w:r>
        <w:rPr>
          <w:rFonts w:hint="eastAsia" w:ascii="宋体" w:hAnsi="宋体" w:eastAsia="宋体" w:cs="宋体"/>
          <w:sz w:val="24"/>
          <w:szCs w:val="24"/>
          <w:highlight w:val="none"/>
          <w:lang w:eastAsia="zh-CN"/>
        </w:rPr>
        <w:t>送达</w:t>
      </w:r>
      <w:r>
        <w:rPr>
          <w:rFonts w:hint="eastAsia" w:ascii="宋体" w:hAnsi="宋体" w:eastAsia="宋体" w:cs="宋体"/>
          <w:sz w:val="24"/>
          <w:szCs w:val="24"/>
          <w:highlight w:val="none"/>
        </w:rPr>
        <w:t>的竞争性谈判响应文件</w:t>
      </w:r>
      <w:r>
        <w:rPr>
          <w:rFonts w:hint="eastAsia" w:ascii="宋体" w:hAnsi="宋体" w:eastAsia="宋体" w:cs="宋体"/>
          <w:sz w:val="24"/>
          <w:szCs w:val="24"/>
          <w:highlight w:val="none"/>
          <w:lang w:eastAsia="zh-CN"/>
        </w:rPr>
        <w:t>，为无效响应文件，采购代理机构将拒绝接受</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19</w:t>
      </w:r>
      <w:r>
        <w:rPr>
          <w:rFonts w:hint="eastAsia" w:ascii="宋体" w:hAnsi="宋体" w:eastAsia="宋体" w:cs="宋体"/>
          <w:b/>
          <w:sz w:val="24"/>
          <w:szCs w:val="24"/>
          <w:highlight w:val="none"/>
        </w:rPr>
        <w:t>．谈判的修改与撤回</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在递交竞争性谈判响应文件后，可以修改或撤回其竞争性谈判响应文件，也可以提出价格变动声明，但</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必须在规定的谈判截止时间之前将修改或撤回或变动价格的书面通知文件递交到采购代理机构。</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的修改或撤回或变动价格的通知应按本须知第17条的规定编制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密封、标记和递交。</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在谈判截止时间之后，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不得对其谈判做任何修改或撤回。</w:t>
      </w:r>
    </w:p>
    <w:p>
      <w:pPr>
        <w:keepNext w:val="0"/>
        <w:keepLines w:val="0"/>
        <w:pageBreakBefore w:val="0"/>
        <w:widowControl w:val="0"/>
        <w:wordWrap/>
        <w:overflowPunct/>
        <w:topLinePunct w:val="0"/>
        <w:autoSpaceDE/>
        <w:autoSpaceDN/>
        <w:bidi w:val="0"/>
        <w:spacing w:before="156" w:beforeLines="50" w:line="500" w:lineRule="exact"/>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五.谈判与评审</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20</w:t>
      </w:r>
      <w:r>
        <w:rPr>
          <w:rFonts w:hint="eastAsia" w:ascii="宋体" w:hAnsi="宋体" w:eastAsia="宋体" w:cs="宋体"/>
          <w:b/>
          <w:sz w:val="24"/>
          <w:szCs w:val="24"/>
          <w:highlight w:val="none"/>
        </w:rPr>
        <w:t>.谈判</w:t>
      </w:r>
      <w:r>
        <w:rPr>
          <w:rFonts w:hint="eastAsia" w:ascii="宋体" w:hAnsi="宋体" w:eastAsia="宋体" w:cs="宋体"/>
          <w:b/>
          <w:sz w:val="24"/>
          <w:szCs w:val="24"/>
          <w:highlight w:val="none"/>
          <w:lang w:eastAsia="zh-CN"/>
        </w:rPr>
        <w:t>大会</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.1 采购代理机构在规定的时间和地点组织竞争性谈判。谈判时所有</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代表自愿参加，参加谈判的代表应签名报到以证明其出席。</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color w:val="auto"/>
          <w:sz w:val="24"/>
          <w:szCs w:val="24"/>
          <w:highlight w:val="none"/>
        </w:rPr>
        <w:t>.2</w:t>
      </w:r>
      <w:r>
        <w:rPr>
          <w:rFonts w:hint="eastAsia" w:ascii="宋体" w:hAnsi="宋体" w:eastAsia="宋体" w:cs="宋体"/>
          <w:sz w:val="24"/>
          <w:szCs w:val="24"/>
          <w:highlight w:val="none"/>
        </w:rPr>
        <w:t>在谈判时没有启封的竞争性谈判响应文件将原封退回给</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.3采购代理机构将做</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记录，存档备查。</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2</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．评审组织及评审原则</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.1按照《中华人民共和国政府采购法》</w:t>
      </w:r>
      <w:r>
        <w:rPr>
          <w:rFonts w:hint="eastAsia" w:ascii="宋体" w:hAnsi="宋体" w:eastAsia="宋体" w:cs="宋体"/>
          <w:sz w:val="24"/>
          <w:szCs w:val="24"/>
          <w:highlight w:val="none"/>
          <w:lang w:eastAsia="zh-CN"/>
        </w:rPr>
        <w:t>及实施条例</w:t>
      </w:r>
      <w:r>
        <w:rPr>
          <w:rFonts w:hint="eastAsia" w:ascii="宋体" w:hAnsi="宋体" w:eastAsia="宋体" w:cs="宋体"/>
          <w:sz w:val="24"/>
          <w:szCs w:val="24"/>
          <w:highlight w:val="none"/>
        </w:rPr>
        <w:t>和中华人民共和国财政部令第74号--《政府采购非招标采购方式管理办法》的规定，依法组建谈判小组。谈判小组由采购人代表和有关技术、经济等方面的专家组成，成员人数应当为</w:t>
      </w:r>
      <w:r>
        <w:rPr>
          <w:rFonts w:hint="eastAsia" w:ascii="宋体" w:hAnsi="宋体" w:eastAsia="宋体" w:cs="宋体"/>
          <w:sz w:val="24"/>
          <w:szCs w:val="24"/>
          <w:highlight w:val="none"/>
          <w:lang w:val="en-US" w:eastAsia="zh-CN"/>
        </w:rPr>
        <w:t>3人以上</w:t>
      </w:r>
      <w:r>
        <w:rPr>
          <w:rFonts w:hint="eastAsia" w:ascii="宋体" w:hAnsi="宋体" w:eastAsia="宋体" w:cs="宋体"/>
          <w:sz w:val="24"/>
          <w:szCs w:val="24"/>
          <w:highlight w:val="none"/>
        </w:rPr>
        <w:t>单数，其中采购人代表须持有授权书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谈判小组按照竞争性谈判文件规定的评审方法独立进行评审工作。</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.2竞争性谈判文件和竞争性谈判响应文件是评审的依据。在评审中，不得改变竞争性谈判文件中规定的评审标准、方法和成交条件。</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.3在谈判期间，对竞争性谈判响应文件中含义不明确、同类问题表述不一致或者有明显文字和计算错误的内容，</w:t>
      </w:r>
      <w:r>
        <w:rPr>
          <w:rFonts w:hint="eastAsia" w:ascii="宋体" w:hAnsi="宋体" w:eastAsia="宋体" w:cs="宋体"/>
          <w:color w:val="auto"/>
          <w:sz w:val="24"/>
          <w:szCs w:val="24"/>
          <w:highlight w:val="none"/>
        </w:rPr>
        <w:t>谈判小组可以书面形式（由</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小组专家签字）</w:t>
      </w: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作出必要的澄清、说明或者纠正。</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的澄清、说明或者补正应当采用书面形式，由其授权的代表签字，并不得超出竞争性谈判响应文件的范围或者改变竞争性谈判响应文件的实质性内容。</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.4如果</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在澄清规定期限内，未能答复或拒绝答复谈判小组提出的澄清要求，将由谈判小组根据其竞争性谈判响应文件按最大风险进行评审。</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.5谈判过程中的实质性变动：</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.5.1在谈判过程中，谈判小组可以根据谈判文件和谈判情况在最终报价之前实质性变动采购需求中的技术、服务要求以及合同草案条款，但不得变动竞争性谈判文件中的其他</w:t>
      </w:r>
      <w:r>
        <w:rPr>
          <w:rFonts w:hint="eastAsia" w:ascii="宋体" w:hAnsi="宋体" w:eastAsia="宋体" w:cs="宋体"/>
          <w:sz w:val="24"/>
          <w:szCs w:val="24"/>
          <w:highlight w:val="none"/>
          <w:lang w:eastAsia="zh-CN"/>
        </w:rPr>
        <w:t>内容</w:t>
      </w:r>
      <w:r>
        <w:rPr>
          <w:rFonts w:hint="eastAsia" w:ascii="宋体" w:hAnsi="宋体" w:eastAsia="宋体" w:cs="宋体"/>
          <w:sz w:val="24"/>
          <w:szCs w:val="24"/>
          <w:highlight w:val="none"/>
        </w:rPr>
        <w:t>。实质性变动的内容，须经采购人代表确认。</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.5.2对竞争性谈判文件做出的实质性变动是谈判文件的有效组成部分，谈判小组应当及时以书面形式通知所有参加谈判的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.6竞争性谈判响应文件的初审（含资格性检查和符合性检查）</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.6.1谈判小组将审查竞争性谈判响应文件是否完整、资格证明文件是否齐全等。</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.6.2计算错误将按以下方法更正：</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谈判响应</w:t>
      </w:r>
      <w:r>
        <w:rPr>
          <w:rFonts w:hint="eastAsia" w:ascii="宋体" w:hAnsi="宋体" w:eastAsia="宋体" w:cs="宋体"/>
          <w:sz w:val="24"/>
          <w:szCs w:val="24"/>
          <w:highlight w:val="none"/>
        </w:rPr>
        <w:t>文件中</w:t>
      </w:r>
      <w:r>
        <w:rPr>
          <w:rFonts w:hint="eastAsia" w:ascii="宋体" w:hAnsi="宋体" w:eastAsia="宋体" w:cs="宋体"/>
          <w:sz w:val="24"/>
          <w:szCs w:val="24"/>
          <w:highlight w:val="none"/>
          <w:lang w:eastAsia="zh-CN"/>
        </w:rPr>
        <w:t>报价</w:t>
      </w:r>
      <w:r>
        <w:rPr>
          <w:rFonts w:hint="eastAsia" w:ascii="宋体" w:hAnsi="宋体" w:eastAsia="宋体" w:cs="宋体"/>
          <w:sz w:val="24"/>
          <w:szCs w:val="24"/>
          <w:highlight w:val="none"/>
        </w:rPr>
        <w:t>一览表(报价表)内容与</w:t>
      </w:r>
      <w:r>
        <w:rPr>
          <w:rFonts w:hint="eastAsia" w:ascii="宋体" w:hAnsi="宋体" w:eastAsia="宋体" w:cs="宋体"/>
          <w:sz w:val="24"/>
          <w:szCs w:val="24"/>
          <w:highlight w:val="none"/>
          <w:lang w:eastAsia="zh-CN"/>
        </w:rPr>
        <w:t>谈判响应</w:t>
      </w:r>
      <w:r>
        <w:rPr>
          <w:rFonts w:hint="eastAsia" w:ascii="宋体" w:hAnsi="宋体" w:eastAsia="宋体" w:cs="宋体"/>
          <w:sz w:val="24"/>
          <w:szCs w:val="24"/>
          <w:highlight w:val="none"/>
        </w:rPr>
        <w:t>文件中</w:t>
      </w:r>
      <w:r>
        <w:rPr>
          <w:rFonts w:hint="eastAsia" w:ascii="宋体" w:hAnsi="宋体" w:eastAsia="宋体" w:cs="宋体"/>
          <w:sz w:val="24"/>
          <w:szCs w:val="24"/>
          <w:highlight w:val="none"/>
          <w:lang w:eastAsia="zh-CN"/>
        </w:rPr>
        <w:t>相应内容</w:t>
      </w:r>
      <w:r>
        <w:rPr>
          <w:rFonts w:hint="eastAsia" w:ascii="宋体" w:hAnsi="宋体" w:eastAsia="宋体" w:cs="宋体"/>
          <w:sz w:val="24"/>
          <w:szCs w:val="24"/>
          <w:highlight w:val="none"/>
        </w:rPr>
        <w:t>总金额不一致的，以</w:t>
      </w:r>
      <w:r>
        <w:rPr>
          <w:rFonts w:hint="eastAsia" w:ascii="宋体" w:hAnsi="宋体" w:eastAsia="宋体" w:cs="宋体"/>
          <w:sz w:val="24"/>
          <w:szCs w:val="24"/>
          <w:highlight w:val="none"/>
          <w:lang w:eastAsia="zh-CN"/>
        </w:rPr>
        <w:t>报价</w:t>
      </w:r>
      <w:r>
        <w:rPr>
          <w:rFonts w:hint="eastAsia" w:ascii="宋体" w:hAnsi="宋体" w:eastAsia="宋体" w:cs="宋体"/>
          <w:sz w:val="24"/>
          <w:szCs w:val="24"/>
          <w:highlight w:val="none"/>
        </w:rPr>
        <w:t>一览表(报价表)为准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如果单独密封的</w:t>
      </w:r>
      <w:r>
        <w:rPr>
          <w:rFonts w:hint="eastAsia" w:ascii="宋体" w:hAnsi="宋体" w:eastAsia="宋体" w:cs="宋体"/>
          <w:sz w:val="24"/>
          <w:szCs w:val="24"/>
          <w:highlight w:val="none"/>
          <w:lang w:eastAsia="zh-CN"/>
        </w:rPr>
        <w:t>报价</w:t>
      </w:r>
      <w:r>
        <w:rPr>
          <w:rFonts w:hint="eastAsia" w:ascii="宋体" w:hAnsi="宋体" w:eastAsia="宋体" w:cs="宋体"/>
          <w:sz w:val="24"/>
          <w:szCs w:val="24"/>
          <w:highlight w:val="none"/>
        </w:rPr>
        <w:t>一览表(报价表)与</w:t>
      </w:r>
      <w:r>
        <w:rPr>
          <w:rFonts w:hint="eastAsia" w:ascii="宋体" w:hAnsi="宋体" w:eastAsia="宋体" w:cs="宋体"/>
          <w:sz w:val="24"/>
          <w:szCs w:val="24"/>
          <w:highlight w:val="none"/>
          <w:lang w:eastAsia="zh-CN"/>
        </w:rPr>
        <w:t>谈判响应文件</w:t>
      </w:r>
      <w:r>
        <w:rPr>
          <w:rFonts w:hint="eastAsia" w:ascii="宋体" w:hAnsi="宋体" w:eastAsia="宋体" w:cs="宋体"/>
          <w:sz w:val="24"/>
          <w:szCs w:val="24"/>
          <w:highlight w:val="none"/>
        </w:rPr>
        <w:t>正本的</w:t>
      </w:r>
      <w:r>
        <w:rPr>
          <w:rFonts w:hint="eastAsia" w:ascii="宋体" w:hAnsi="宋体" w:eastAsia="宋体" w:cs="宋体"/>
          <w:sz w:val="24"/>
          <w:szCs w:val="24"/>
          <w:highlight w:val="none"/>
          <w:lang w:eastAsia="zh-CN"/>
        </w:rPr>
        <w:t>报价一览表</w:t>
      </w:r>
      <w:r>
        <w:rPr>
          <w:rFonts w:hint="eastAsia" w:ascii="宋体" w:hAnsi="宋体" w:eastAsia="宋体" w:cs="宋体"/>
          <w:sz w:val="24"/>
          <w:szCs w:val="24"/>
          <w:highlight w:val="none"/>
        </w:rPr>
        <w:t>(报价表)不一致，以单独密封的</w:t>
      </w:r>
      <w:r>
        <w:rPr>
          <w:rFonts w:hint="eastAsia" w:ascii="宋体" w:hAnsi="宋体" w:eastAsia="宋体" w:cs="宋体"/>
          <w:sz w:val="24"/>
          <w:szCs w:val="24"/>
          <w:highlight w:val="none"/>
          <w:lang w:eastAsia="zh-CN"/>
        </w:rPr>
        <w:t>报价</w:t>
      </w:r>
      <w:r>
        <w:rPr>
          <w:rFonts w:hint="eastAsia" w:ascii="宋体" w:hAnsi="宋体" w:eastAsia="宋体" w:cs="宋体"/>
          <w:sz w:val="24"/>
          <w:szCs w:val="24"/>
          <w:highlight w:val="none"/>
        </w:rPr>
        <w:t>一览表(报价表)为准。</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2）谈判响应</w:t>
      </w:r>
      <w:r>
        <w:rPr>
          <w:rFonts w:hint="eastAsia" w:ascii="宋体" w:hAnsi="宋体" w:eastAsia="宋体" w:cs="宋体"/>
          <w:sz w:val="24"/>
          <w:szCs w:val="24"/>
          <w:highlight w:val="none"/>
        </w:rPr>
        <w:t>文件的大写金额和小写金额不一致的，以大写金额为准；</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单价金额小数点或者百分比有明显错位的，以单独密封的报价一览表的总价为准，并修改单价；</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总价金额与按单价汇总金额不一致的，以单价金额计算结果为准</w:t>
      </w:r>
      <w:r>
        <w:rPr>
          <w:rFonts w:hint="eastAsia" w:ascii="宋体" w:hAnsi="宋体" w:eastAsia="宋体" w:cs="宋体"/>
          <w:sz w:val="24"/>
          <w:szCs w:val="24"/>
          <w:highlight w:val="none"/>
          <w:lang w:eastAsia="zh-CN"/>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按上述修正的</w:t>
      </w:r>
      <w:r>
        <w:rPr>
          <w:rFonts w:hint="eastAsia" w:ascii="宋体" w:hAnsi="宋体" w:eastAsia="宋体" w:cs="宋体"/>
          <w:sz w:val="24"/>
          <w:szCs w:val="24"/>
          <w:highlight w:val="none"/>
          <w:lang w:eastAsia="zh-CN"/>
        </w:rPr>
        <w:t>顺序和</w:t>
      </w:r>
      <w:r>
        <w:rPr>
          <w:rFonts w:hint="eastAsia" w:ascii="宋体" w:hAnsi="宋体" w:eastAsia="宋体" w:cs="宋体"/>
          <w:sz w:val="24"/>
          <w:szCs w:val="24"/>
          <w:highlight w:val="none"/>
        </w:rPr>
        <w:t>方法调整的报价应对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具有约束力。如果</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不接受修正后的价格，其</w:t>
      </w:r>
      <w:r>
        <w:rPr>
          <w:rFonts w:hint="eastAsia" w:ascii="宋体" w:hAnsi="宋体" w:eastAsia="宋体" w:cs="宋体"/>
          <w:sz w:val="24"/>
          <w:szCs w:val="24"/>
          <w:highlight w:val="none"/>
          <w:lang w:eastAsia="zh-CN"/>
        </w:rPr>
        <w:t>响应文件将按</w:t>
      </w:r>
      <w:r>
        <w:rPr>
          <w:rFonts w:hint="eastAsia" w:ascii="宋体" w:hAnsi="宋体" w:eastAsia="宋体" w:cs="宋体"/>
          <w:sz w:val="24"/>
          <w:szCs w:val="24"/>
          <w:highlight w:val="none"/>
        </w:rPr>
        <w:t>无效</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处理。</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.6.3对于竞争性</w:t>
      </w:r>
      <w:r>
        <w:rPr>
          <w:rFonts w:hint="eastAsia" w:ascii="宋体" w:hAnsi="宋体" w:eastAsia="宋体" w:cs="宋体"/>
          <w:sz w:val="24"/>
          <w:szCs w:val="24"/>
          <w:highlight w:val="none"/>
          <w:lang w:eastAsia="zh-CN"/>
        </w:rPr>
        <w:t>让谈判</w:t>
      </w:r>
      <w:r>
        <w:rPr>
          <w:rFonts w:hint="eastAsia" w:ascii="宋体" w:hAnsi="宋体" w:eastAsia="宋体" w:cs="宋体"/>
          <w:sz w:val="24"/>
          <w:szCs w:val="24"/>
          <w:highlight w:val="none"/>
        </w:rPr>
        <w:t>响应文件中明显的标点符号错误或不构成实质性偏差的不正规、不一致或不规则，采购</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可以接受。</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在详细评审之前，谈判小组要审查每份竞争性谈判响应文件是否实质上响应了竞争性谈判文件的要求。实质上响应的谈判应该是与竞争性谈判文件要求的全部条款、条件和规格参数相符，没有重大偏离的谈判。对关键条文的偏离、保留或反对将被认为是实质上的偏离。谈判小组决定谈判的响应性只根据谈判响应文件本身的内容，而不寻求外部的证据。</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实质上没有响应竞争性谈判文件要求的谈判将被拒绝。</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不得通过修正或撤销不合要求的偏离从而使其谈判成为实质性响应的谈判。如发现下列情况之一的，其谈判将构成非实质性响应，按无效响应处理：</w:t>
      </w:r>
    </w:p>
    <w:p>
      <w:pPr>
        <w:keepNext w:val="0"/>
        <w:keepLines w:val="0"/>
        <w:pageBreakBefore w:val="0"/>
        <w:widowControl w:val="0"/>
        <w:tabs>
          <w:tab w:val="left" w:pos="1260"/>
        </w:tabs>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（1）没有按照竞争性谈判文件要求提供的竞争性谈判响应文件、竞争性谈判响应文件构成有重大缺项、谈判响应文件格式不符合竞争性谈判文件要求；</w:t>
      </w:r>
    </w:p>
    <w:p>
      <w:pPr>
        <w:keepNext w:val="0"/>
        <w:keepLines w:val="0"/>
        <w:pageBreakBefore w:val="0"/>
        <w:widowControl w:val="0"/>
        <w:kinsoku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rPr>
        <w:t>（2）竞争性谈判响应文件未按竞争性谈判文件要求密封、签署、盖章的；</w:t>
      </w:r>
    </w:p>
    <w:p>
      <w:pPr>
        <w:keepNext w:val="0"/>
        <w:keepLines w:val="0"/>
        <w:pageBreakBefore w:val="0"/>
        <w:widowControl w:val="0"/>
        <w:tabs>
          <w:tab w:val="left" w:pos="1260"/>
        </w:tabs>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）资格证明文件不全的或无效的，或不符合国家规定的；</w:t>
      </w:r>
    </w:p>
    <w:p>
      <w:pPr>
        <w:keepNext w:val="0"/>
        <w:keepLines w:val="0"/>
        <w:pageBreakBefore w:val="0"/>
        <w:widowControl w:val="0"/>
        <w:tabs>
          <w:tab w:val="left" w:pos="1260"/>
        </w:tabs>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pacing w:val="-6"/>
          <w:sz w:val="24"/>
          <w:highlight w:val="none"/>
        </w:rPr>
        <w:t>无谈判有效期或有效期达不到竞争性谈判文件要求的</w:t>
      </w:r>
      <w:r>
        <w:rPr>
          <w:rFonts w:hint="eastAsia" w:ascii="宋体" w:hAnsi="宋体" w:eastAsia="宋体" w:cs="宋体"/>
          <w:sz w:val="24"/>
          <w:szCs w:val="24"/>
          <w:highlight w:val="none"/>
        </w:rPr>
        <w:t>；</w:t>
      </w:r>
    </w:p>
    <w:p>
      <w:pPr>
        <w:keepNext w:val="0"/>
        <w:keepLines w:val="0"/>
        <w:pageBreakBefore w:val="0"/>
        <w:widowControl w:val="0"/>
        <w:tabs>
          <w:tab w:val="left" w:pos="1260"/>
        </w:tabs>
        <w:wordWrap/>
        <w:overflowPunct/>
        <w:topLinePunct w:val="0"/>
        <w:autoSpaceDE/>
        <w:autoSpaceDN/>
        <w:bidi w:val="0"/>
        <w:spacing w:line="500" w:lineRule="exact"/>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）存在有重大缺漏项和重大技术偏离的</w:t>
      </w:r>
      <w:r>
        <w:rPr>
          <w:rFonts w:hint="eastAsia" w:ascii="宋体" w:hAnsi="宋体" w:eastAsia="宋体" w:cs="宋体"/>
          <w:b w:val="0"/>
          <w:bCs w:val="0"/>
          <w:sz w:val="24"/>
          <w:szCs w:val="24"/>
          <w:highlight w:val="none"/>
          <w:lang w:eastAsia="zh-CN"/>
        </w:rPr>
        <w:t>货物</w:t>
      </w:r>
      <w:r>
        <w:rPr>
          <w:rFonts w:hint="eastAsia" w:ascii="宋体" w:hAnsi="宋体" w:eastAsia="宋体" w:cs="宋体"/>
          <w:b w:val="0"/>
          <w:bCs w:val="0"/>
          <w:sz w:val="24"/>
          <w:szCs w:val="24"/>
          <w:highlight w:val="none"/>
        </w:rPr>
        <w:t>（产品）</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tabs>
          <w:tab w:val="left" w:pos="1260"/>
        </w:tabs>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有串通谈判、以他人名义谈判、行贿、</w:t>
      </w:r>
      <w:r>
        <w:rPr>
          <w:rFonts w:hint="eastAsia" w:ascii="宋体" w:hAnsi="宋体" w:eastAsia="宋体" w:cs="宋体"/>
          <w:sz w:val="24"/>
          <w:highlight w:val="none"/>
        </w:rPr>
        <w:t>提供虚假证明（包括第三方提供的虚假证明），开具虚假资质，出现虚假应答的，除按无效文件处理外，还将按照政府采购的有关规定进行处罚；</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）谈判总报价</w:t>
      </w:r>
      <w:r>
        <w:rPr>
          <w:rFonts w:hint="eastAsia" w:ascii="宋体" w:hAnsi="宋体" w:eastAsia="宋体" w:cs="宋体"/>
          <w:sz w:val="24"/>
          <w:szCs w:val="24"/>
          <w:highlight w:val="none"/>
          <w:lang w:eastAsia="zh-CN"/>
        </w:rPr>
        <w:t>超过</w:t>
      </w:r>
      <w:r>
        <w:rPr>
          <w:rFonts w:hint="eastAsia" w:ascii="宋体" w:hAnsi="宋体" w:eastAsia="宋体" w:cs="宋体"/>
          <w:sz w:val="24"/>
          <w:szCs w:val="24"/>
          <w:highlight w:val="none"/>
        </w:rPr>
        <w:t>竞争性谈判文件公布的采购预算的。</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谈判响应</w:t>
      </w:r>
      <w:r>
        <w:rPr>
          <w:rFonts w:hint="eastAsia" w:ascii="宋体" w:hAnsi="宋体" w:eastAsia="宋体" w:cs="宋体"/>
          <w:sz w:val="24"/>
          <w:szCs w:val="24"/>
          <w:highlight w:val="none"/>
        </w:rPr>
        <w:t>文件含有采购人不能接受的附加条件的</w:t>
      </w:r>
      <w:r>
        <w:rPr>
          <w:rFonts w:hint="eastAsia" w:ascii="宋体" w:hAnsi="宋体" w:eastAsia="宋体" w:cs="宋体"/>
          <w:sz w:val="24"/>
          <w:szCs w:val="24"/>
          <w:highlight w:val="none"/>
          <w:lang w:eastAsia="zh-CN"/>
        </w:rPr>
        <w:t>；</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（9）供应商被列入失信被执行人、重大税收违法案件当事人名单、政府采购严重违法失信行为记录名单的；</w:t>
      </w:r>
    </w:p>
    <w:p>
      <w:pPr>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（10）法律、法规规定的其他无效情形</w:t>
      </w:r>
      <w:r>
        <w:rPr>
          <w:rFonts w:hint="eastAsia" w:ascii="宋体" w:hAnsi="宋体" w:eastAsia="宋体" w:cs="宋体"/>
          <w:sz w:val="24"/>
          <w:szCs w:val="24"/>
          <w:highlight w:val="none"/>
          <w:lang w:eastAsia="zh-CN"/>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.7竞争性谈判响应文件的详细评审</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.7.1谈判小组将按照本须知第</w:t>
      </w:r>
      <w:r>
        <w:rPr>
          <w:rFonts w:hint="eastAsia" w:ascii="宋体" w:hAnsi="宋体" w:eastAsia="宋体" w:cs="宋体"/>
          <w:sz w:val="24"/>
          <w:szCs w:val="24"/>
          <w:highlight w:val="none"/>
          <w:lang w:eastAsia="zh-CN"/>
        </w:rPr>
        <w:t>22</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条规定，只对确定为实质性响应竞争性谈判文件要求的谈判进行详细评审。</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.7.2详细评审按照“</w:t>
      </w:r>
      <w:r>
        <w:rPr>
          <w:rFonts w:hint="eastAsia" w:ascii="宋体" w:hAnsi="宋体" w:eastAsia="宋体" w:cs="宋体"/>
          <w:sz w:val="24"/>
          <w:szCs w:val="24"/>
          <w:highlight w:val="none"/>
          <w:lang w:eastAsia="zh-CN"/>
        </w:rPr>
        <w:t>供应商须知</w:t>
      </w:r>
      <w:r>
        <w:rPr>
          <w:rFonts w:hint="eastAsia" w:ascii="宋体" w:hAnsi="宋体" w:eastAsia="宋体" w:cs="宋体"/>
          <w:sz w:val="24"/>
          <w:szCs w:val="24"/>
          <w:highlight w:val="none"/>
        </w:rPr>
        <w:t>前附表”的评审方法进行。</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.8成交候选人的确定</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谈判小组完成评审后，向采购人提出书面评审，并推荐</w:t>
      </w:r>
      <w:r>
        <w:rPr>
          <w:rFonts w:hint="eastAsia" w:ascii="宋体" w:hAnsi="宋体" w:eastAsia="宋体" w:cs="宋体"/>
          <w:color w:val="auto"/>
          <w:sz w:val="24"/>
          <w:szCs w:val="24"/>
          <w:highlight w:val="none"/>
        </w:rPr>
        <w:t>三名</w:t>
      </w:r>
      <w:r>
        <w:rPr>
          <w:rFonts w:hint="eastAsia" w:ascii="宋体" w:hAnsi="宋体" w:eastAsia="宋体" w:cs="宋体"/>
          <w:sz w:val="24"/>
          <w:szCs w:val="24"/>
          <w:highlight w:val="none"/>
        </w:rPr>
        <w:t>成交候选人，标明排列顺序。</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．评审过程的保密</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谈判小组成员和与评审活动有关的工作人员不得泄露有关竞争性谈判响应文件的评审和比较、成交候选人的推荐以及与评审有关的其他情况。</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．评审方法</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w:t>
      </w:r>
      <w:r>
        <w:rPr>
          <w:rFonts w:hint="eastAsia" w:ascii="宋体" w:hAnsi="宋体" w:eastAsia="宋体" w:cs="宋体"/>
          <w:sz w:val="24"/>
          <w:szCs w:val="24"/>
          <w:highlight w:val="none"/>
          <w:lang w:eastAsia="zh-CN"/>
        </w:rPr>
        <w:t>政府采购法》及实施条例</w:t>
      </w:r>
      <w:r>
        <w:rPr>
          <w:rFonts w:hint="eastAsia" w:ascii="宋体" w:hAnsi="宋体" w:eastAsia="宋体" w:cs="宋体"/>
          <w:sz w:val="24"/>
          <w:szCs w:val="24"/>
          <w:highlight w:val="none"/>
        </w:rPr>
        <w:t>、中华人民共和国财政部令第74号--《政府采购非招标采购方式管理办法》的规定，本次评审采用最低评标价法。</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最低评标价法，即在全部满足竞争性谈判文件实质性要求前提下，依据统一的价格要素评定最低报价，以提出最低报价的谈判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作为成交候选供应商并依次排序。</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．评审程序</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highlight w:val="none"/>
        </w:rPr>
      </w:pPr>
      <w:r>
        <w:rPr>
          <w:rFonts w:hint="eastAsia" w:ascii="宋体" w:hAnsi="宋体" w:eastAsia="宋体" w:cs="宋体"/>
          <w:sz w:val="24"/>
          <w:szCs w:val="24"/>
          <w:highlight w:val="none"/>
        </w:rPr>
        <w:t>按照竞争性谈判响应文件初审、澄清有关问题、分别谈判、二次报价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比较与评价、推荐成交候选供应商名单的工作程序进行评审。在上一步评审中被</w:t>
      </w:r>
      <w:r>
        <w:rPr>
          <w:rFonts w:hint="eastAsia" w:ascii="宋体" w:hAnsi="宋体" w:eastAsia="宋体" w:cs="宋体"/>
          <w:sz w:val="24"/>
          <w:szCs w:val="24"/>
          <w:highlight w:val="none"/>
          <w:lang w:eastAsia="zh-CN"/>
        </w:rPr>
        <w:t>认定无效文件</w:t>
      </w:r>
      <w:r>
        <w:rPr>
          <w:rFonts w:hint="eastAsia" w:ascii="宋体" w:hAnsi="宋体" w:eastAsia="宋体" w:cs="宋体"/>
          <w:sz w:val="24"/>
          <w:szCs w:val="24"/>
          <w:highlight w:val="none"/>
        </w:rPr>
        <w:t>者，不进入下一步的评审。</w:t>
      </w:r>
    </w:p>
    <w:p>
      <w:pPr>
        <w:keepNext w:val="0"/>
        <w:keepLines w:val="0"/>
        <w:pageBreakBefore w:val="0"/>
        <w:widowControl w:val="0"/>
        <w:wordWrap/>
        <w:overflowPunct/>
        <w:topLinePunct w:val="0"/>
        <w:autoSpaceDE/>
        <w:autoSpaceDN/>
        <w:bidi w:val="0"/>
        <w:spacing w:before="156" w:beforeLines="50" w:line="500" w:lineRule="exact"/>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六.成交、通知与签约</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．成交程序</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.1谈判小组根据评审方法的规定对谈判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进行评审排序，推荐3名成交候选人，作为评审结果。评审结果由全体评委签字确认。</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.2采购人根据谈判报告中推荐的成交候选人排列顺序，确定排名第一的为</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.3</w:t>
      </w:r>
      <w:r>
        <w:rPr>
          <w:rFonts w:hint="eastAsia" w:ascii="宋体" w:hAnsi="宋体" w:eastAsia="宋体" w:cs="宋体"/>
          <w:sz w:val="24"/>
          <w:highlight w:val="none"/>
        </w:rPr>
        <w:t>排名第一的成交候选人放弃成交、在规定期限内未能签订合同、因不可抗力不能履行合同、不按照竞争性谈判文件要求提交履约保证金，或者被查实存在影响成交结果的违法行为等情形，不符合成交条件的，采购人可以按照谈判小组提出的成交候选人名单排序依次确定其他成交候选人为</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，也可以重新组织竞争性谈判</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.3采购人也可以授权谈判小组评审后直接确定</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确定之后，成交结果将在财政部门指定的政府采购信息发布媒体上公告。</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或者其他利害关系人对评审结果有异议的，应当在</w:t>
      </w:r>
      <w:r>
        <w:rPr>
          <w:rFonts w:hint="eastAsia" w:ascii="宋体" w:hAnsi="宋体" w:eastAsia="宋体" w:cs="宋体"/>
          <w:sz w:val="24"/>
          <w:szCs w:val="24"/>
          <w:highlight w:val="none"/>
          <w:lang w:eastAsia="zh-CN"/>
        </w:rPr>
        <w:t>法律规定的时间内</w:t>
      </w:r>
      <w:r>
        <w:rPr>
          <w:rFonts w:hint="eastAsia" w:ascii="宋体" w:hAnsi="宋体" w:eastAsia="宋体" w:cs="宋体"/>
          <w:sz w:val="24"/>
          <w:szCs w:val="24"/>
          <w:highlight w:val="none"/>
        </w:rPr>
        <w:t>提出。</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．成交通知</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 采购代理机构向</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发出《成交通知书》。</w:t>
      </w:r>
      <w:r>
        <w:rPr>
          <w:rFonts w:hint="eastAsia" w:ascii="宋体" w:hAnsi="宋体" w:eastAsia="宋体" w:cs="宋体"/>
          <w:b/>
          <w:bCs/>
          <w:sz w:val="24"/>
          <w:szCs w:val="24"/>
          <w:highlight w:val="none"/>
          <w:lang w:eastAsia="zh-CN"/>
        </w:rPr>
        <w:t>成交供应商领取成交通知书时须携带法定代表人授权书及加盖单位公章的被授权人身份证复印件。</w:t>
      </w:r>
      <w:r>
        <w:rPr>
          <w:rFonts w:hint="eastAsia" w:ascii="宋体" w:hAnsi="宋体" w:eastAsia="宋体" w:cs="宋体"/>
          <w:b/>
          <w:bCs/>
          <w:sz w:val="24"/>
          <w:szCs w:val="24"/>
          <w:highlight w:val="none"/>
        </w:rPr>
        <w:t xml:space="preserve"> </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.2成交通知书对采购人和</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具有同等法律效力。成交通知书发出之后，采购人改变成交结果，或者</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放弃成交，应当承担相应的法律责任。</w:t>
      </w:r>
    </w:p>
    <w:p>
      <w:pPr>
        <w:keepNext w:val="0"/>
        <w:keepLines w:val="0"/>
        <w:pageBreakBefore w:val="0"/>
        <w:widowControl w:val="0"/>
        <w:wordWrap/>
        <w:overflowPunct/>
        <w:topLinePunct w:val="0"/>
        <w:autoSpaceDE/>
        <w:autoSpaceDN/>
        <w:bidi w:val="0"/>
        <w:spacing w:line="5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eastAsia="zh-CN"/>
        </w:rPr>
        <w:t>采购</w:t>
      </w:r>
      <w:r>
        <w:rPr>
          <w:rFonts w:hint="eastAsia" w:ascii="宋体" w:hAnsi="宋体" w:eastAsia="宋体" w:cs="宋体"/>
          <w:b/>
          <w:sz w:val="24"/>
          <w:szCs w:val="24"/>
          <w:highlight w:val="none"/>
        </w:rPr>
        <w:t>合同的签订</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.1采购人应当自成交通知书发出之日起三十日内，按照竞争性谈判文件和</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竞争性谈判响应文件（包括评审中形成的澄清文件）的约定，与</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签订书面合同。所签订的合同不得对竞争性谈判文件和</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的竞争性谈判响应文件（包括评审中形成的澄清文件）作实质性修改。</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.2采购人自采购合同签订之日起七个工作日内，将采购合同副本报同级人民政府财政部门备案。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eastAsia="zh-CN"/>
        </w:rPr>
        <w:t>招标代理服务费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28.1</w:t>
      </w:r>
      <w:r>
        <w:rPr>
          <w:rFonts w:hint="eastAsia" w:ascii="宋体" w:hAnsi="宋体" w:eastAsia="宋体" w:cs="宋体"/>
          <w:sz w:val="24"/>
          <w:highlight w:val="none"/>
          <w:lang w:val="en-US" w:eastAsia="zh-CN"/>
        </w:rPr>
        <w:t>招标代理服务费的计算方法：参照国家计委颁发的《招标代理服务收费管理暂行办法》（计价格[2002]1980号）和国家发展改革委员会办公厅颁发的《关于招标代理服务收费有关问题的通知》（发改办价格[2003]857号）的有关规定执行，不足壹万元按壹万元计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28.2</w:t>
      </w:r>
      <w:r>
        <w:rPr>
          <w:rFonts w:hint="eastAsia" w:ascii="宋体" w:hAnsi="宋体" w:eastAsia="宋体" w:cs="宋体"/>
          <w:sz w:val="24"/>
          <w:szCs w:val="24"/>
          <w:highlight w:val="none"/>
        </w:rPr>
        <w:t>成交单位在领取成交通知书前，须向采购代理机构一次性支付代理服务费。</w:t>
      </w:r>
    </w:p>
    <w:p>
      <w:pPr>
        <w:numPr>
          <w:ilvl w:val="0"/>
          <w:numId w:val="0"/>
        </w:numPr>
        <w:spacing w:line="60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29.履约验收</w:t>
      </w:r>
    </w:p>
    <w:p>
      <w:pPr>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30.1涉及履约验收的，验收费用由</w:t>
      </w:r>
      <w:r>
        <w:rPr>
          <w:rFonts w:hint="eastAsia" w:ascii="宋体" w:hAnsi="宋体" w:eastAsia="宋体" w:cs="宋体"/>
          <w:sz w:val="24"/>
          <w:szCs w:val="24"/>
          <w:highlight w:val="none"/>
          <w:u w:val="single"/>
          <w:lang w:val="en-US" w:eastAsia="zh-CN"/>
        </w:rPr>
        <w:t>成交供应商</w:t>
      </w:r>
      <w:r>
        <w:rPr>
          <w:rFonts w:hint="eastAsia" w:ascii="宋体" w:hAnsi="宋体" w:eastAsia="宋体" w:cs="宋体"/>
          <w:sz w:val="24"/>
          <w:szCs w:val="24"/>
          <w:highlight w:val="none"/>
          <w:lang w:val="en-US" w:eastAsia="zh-CN"/>
        </w:rPr>
        <w:t>支付，费用标准按成交金额的5‰计算，不足5000元的，按5000元收取。</w:t>
      </w:r>
    </w:p>
    <w:p>
      <w:pPr>
        <w:numPr>
          <w:ilvl w:val="0"/>
          <w:numId w:val="0"/>
        </w:numPr>
        <w:spacing w:line="60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30.质疑</w:t>
      </w:r>
    </w:p>
    <w:p>
      <w:pPr>
        <w:keepNext w:val="0"/>
        <w:keepLines w:val="0"/>
        <w:pageBreakBefore w:val="0"/>
        <w:widowControl w:val="0"/>
        <w:kinsoku/>
        <w:wordWrap/>
        <w:overflowPunct/>
        <w:topLinePunct w:val="0"/>
        <w:autoSpaceDE/>
        <w:autoSpaceDN/>
        <w:bidi w:val="0"/>
        <w:adjustRightInd/>
        <w:snapToGrid/>
        <w:spacing w:line="500" w:lineRule="exact"/>
        <w:ind w:left="0" w:leftChars="0" w:right="12" w:rightChars="0" w:firstLine="480" w:firstLineChars="0"/>
        <w:jc w:val="both"/>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30.1供应商认为谈判文件、采购过程、成交结果使自己的权益受到损害的，可以在知道或者应知其权益受到损害之日起7个工作日内，以书面形式向采购人、采购代理机构提出质疑。</w:t>
      </w:r>
    </w:p>
    <w:p>
      <w:pPr>
        <w:keepNext w:val="0"/>
        <w:keepLines w:val="0"/>
        <w:pageBreakBefore w:val="0"/>
        <w:widowControl w:val="0"/>
        <w:kinsoku/>
        <w:wordWrap/>
        <w:overflowPunct/>
        <w:topLinePunct w:val="0"/>
        <w:autoSpaceDE/>
        <w:autoSpaceDN/>
        <w:bidi w:val="0"/>
        <w:adjustRightInd/>
        <w:snapToGrid/>
        <w:spacing w:line="500" w:lineRule="exact"/>
        <w:ind w:left="0" w:leftChars="0" w:right="12" w:rightChars="0" w:firstLine="480" w:firstLineChars="0"/>
        <w:jc w:val="both"/>
        <w:textAlignment w:val="auto"/>
        <w:outlineLvl w:val="9"/>
        <w:rPr>
          <w:rStyle w:val="31"/>
          <w:rFonts w:hint="eastAsia" w:ascii="宋体" w:hAnsi="宋体" w:eastAsia="宋体" w:cs="宋体"/>
          <w:b/>
          <w:bCs w:val="0"/>
          <w:i w:val="0"/>
          <w:caps w:val="0"/>
          <w:color w:val="0000FF"/>
          <w:spacing w:val="0"/>
          <w:sz w:val="24"/>
          <w:szCs w:val="24"/>
          <w:highlight w:val="none"/>
          <w:shd w:val="clear" w:color="auto" w:fill="FFFFFF"/>
          <w:lang w:val="en-US" w:eastAsia="zh-CN"/>
        </w:rPr>
      </w:pPr>
      <w:r>
        <w:rPr>
          <w:rFonts w:hint="eastAsia" w:ascii="宋体" w:hAnsi="宋体" w:eastAsia="宋体" w:cs="宋体"/>
          <w:b w:val="0"/>
          <w:bCs w:val="0"/>
          <w:sz w:val="24"/>
          <w:szCs w:val="24"/>
          <w:highlight w:val="none"/>
          <w:lang w:val="en-US" w:eastAsia="zh-CN"/>
        </w:rPr>
        <w:t>30.2供应商必须在法定质疑期内一次性提出针对同一采购程序环节的质疑。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 w:leftChars="0" w:right="0" w:rightChars="0" w:firstLine="518" w:firstLineChars="216"/>
        <w:jc w:val="both"/>
        <w:textAlignment w:val="auto"/>
        <w:outlineLvl w:val="9"/>
        <w:rPr>
          <w:rStyle w:val="31"/>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val="0"/>
          <w:sz w:val="24"/>
          <w:szCs w:val="24"/>
          <w:highlight w:val="none"/>
          <w:lang w:val="en-US" w:eastAsia="zh-CN"/>
        </w:rPr>
        <w:t>30</w:t>
      </w:r>
      <w:r>
        <w:rPr>
          <w:rStyle w:val="31"/>
          <w:rFonts w:hint="eastAsia" w:ascii="宋体" w:hAnsi="宋体" w:eastAsia="宋体" w:cs="宋体"/>
          <w:b w:val="0"/>
          <w:bCs/>
          <w:i w:val="0"/>
          <w:caps w:val="0"/>
          <w:color w:val="000000"/>
          <w:spacing w:val="0"/>
          <w:sz w:val="24"/>
          <w:szCs w:val="24"/>
          <w:highlight w:val="none"/>
          <w:shd w:val="clear" w:color="auto" w:fill="FFFFFF"/>
          <w:lang w:val="en-US" w:eastAsia="zh-CN"/>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 w:leftChars="0" w:right="0" w:rightChars="0" w:firstLine="518" w:firstLineChars="216"/>
        <w:jc w:val="both"/>
        <w:textAlignment w:val="auto"/>
        <w:outlineLvl w:val="9"/>
        <w:rPr>
          <w:rStyle w:val="31"/>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val="0"/>
          <w:sz w:val="24"/>
          <w:szCs w:val="24"/>
          <w:highlight w:val="none"/>
          <w:lang w:val="en-US" w:eastAsia="zh-CN"/>
        </w:rPr>
        <w:t>30</w:t>
      </w:r>
      <w:r>
        <w:rPr>
          <w:rStyle w:val="31"/>
          <w:rFonts w:hint="eastAsia" w:ascii="宋体" w:hAnsi="宋体" w:eastAsia="宋体" w:cs="宋体"/>
          <w:b w:val="0"/>
          <w:bCs/>
          <w:i w:val="0"/>
          <w:caps w:val="0"/>
          <w:color w:val="000000"/>
          <w:spacing w:val="0"/>
          <w:sz w:val="24"/>
          <w:szCs w:val="24"/>
          <w:highlight w:val="none"/>
          <w:shd w:val="clear" w:color="auto" w:fill="FFFFFF"/>
          <w:lang w:val="en-US" w:eastAsia="zh-CN"/>
        </w:rPr>
        <w:t>.4以联合体形式参加政府采购活动的，其质疑应当由组成联合体的所有供应商共同提出。</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sz w:val="24"/>
          <w:szCs w:val="24"/>
          <w:highlight w:val="none"/>
          <w:lang w:val="en-US" w:eastAsia="zh-CN"/>
        </w:rPr>
        <w:t>.5供应商提出质疑应当提交质疑函和必要的证明材料。质疑函应当包括下列内容：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sz w:val="24"/>
          <w:szCs w:val="24"/>
          <w:highlight w:val="none"/>
          <w:lang w:val="en-US" w:eastAsia="zh-CN"/>
        </w:rPr>
        <w:t>.5.1供应商的姓名或者名称、地址、邮编、联系人及联系电话；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sz w:val="24"/>
          <w:szCs w:val="24"/>
          <w:highlight w:val="none"/>
          <w:lang w:val="en-US" w:eastAsia="zh-CN"/>
        </w:rPr>
        <w:t>.5.2质疑项目的名称、编号；</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sz w:val="24"/>
          <w:szCs w:val="24"/>
          <w:highlight w:val="none"/>
          <w:lang w:val="en-US" w:eastAsia="zh-CN"/>
        </w:rPr>
        <w:t>.5.3具体、明确的质疑事项和与质疑事项相关的请求；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sz w:val="24"/>
          <w:szCs w:val="24"/>
          <w:highlight w:val="none"/>
          <w:lang w:val="en-US" w:eastAsia="zh-CN"/>
        </w:rPr>
        <w:t>.5.4事实依据；</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sz w:val="24"/>
          <w:szCs w:val="24"/>
          <w:highlight w:val="none"/>
          <w:lang w:val="en-US" w:eastAsia="zh-CN"/>
        </w:rPr>
        <w:t>.5.5必要的法律依据；</w:t>
      </w:r>
    </w:p>
    <w:p>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Style w:val="31"/>
          <w:rFonts w:hint="eastAsia" w:ascii="宋体" w:hAnsi="宋体" w:eastAsia="宋体" w:cs="宋体"/>
          <w:b w:val="0"/>
          <w:bCs/>
          <w:i w:val="0"/>
          <w:caps w:val="0"/>
          <w:color w:val="000000"/>
          <w:spacing w:val="0"/>
          <w:sz w:val="24"/>
          <w:szCs w:val="24"/>
          <w:highlight w:val="none"/>
          <w:shd w:val="clear" w:color="auto" w:fill="FFFFFF"/>
          <w:lang w:eastAsia="zh-CN"/>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sz w:val="24"/>
          <w:szCs w:val="24"/>
          <w:highlight w:val="none"/>
          <w:lang w:val="en-US" w:eastAsia="zh-CN"/>
        </w:rPr>
        <w:t>.5.6提出质疑的日期。</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有下列情形之一的，属于无效质疑，采购代理机构和采购人不予受理：</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highlight w:val="none"/>
          <w:lang w:val="en-US" w:eastAsia="zh-CN"/>
        </w:rPr>
        <w:t>.6.1</w:t>
      </w:r>
      <w:r>
        <w:rPr>
          <w:rFonts w:hint="eastAsia" w:ascii="宋体" w:hAnsi="宋体" w:eastAsia="宋体" w:cs="宋体"/>
          <w:color w:val="auto"/>
          <w:sz w:val="24"/>
          <w:highlight w:val="none"/>
        </w:rPr>
        <w:t>质疑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不是参与本次政府采购项目的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highlight w:val="none"/>
          <w:lang w:val="en-US" w:eastAsia="zh-CN"/>
        </w:rPr>
        <w:t>.6.2</w:t>
      </w:r>
      <w:r>
        <w:rPr>
          <w:rFonts w:hint="eastAsia" w:ascii="宋体" w:hAnsi="宋体" w:eastAsia="宋体" w:cs="宋体"/>
          <w:color w:val="auto"/>
          <w:sz w:val="24"/>
          <w:highlight w:val="none"/>
        </w:rPr>
        <w:t>质疑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与质疑事项不存在利害关系的；</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highlight w:val="none"/>
          <w:lang w:val="en-US" w:eastAsia="zh-CN"/>
        </w:rPr>
        <w:t>.6.3</w:t>
      </w:r>
      <w:r>
        <w:rPr>
          <w:rFonts w:hint="eastAsia" w:ascii="宋体" w:hAnsi="宋体" w:eastAsia="宋体" w:cs="宋体"/>
          <w:color w:val="auto"/>
          <w:sz w:val="24"/>
          <w:highlight w:val="none"/>
        </w:rPr>
        <w:t>未在法定期限内提出质疑的；</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highlight w:val="none"/>
          <w:lang w:val="en-US" w:eastAsia="zh-CN"/>
        </w:rPr>
        <w:t>.6.4</w:t>
      </w:r>
      <w:r>
        <w:rPr>
          <w:rFonts w:hint="eastAsia" w:ascii="宋体" w:hAnsi="宋体" w:eastAsia="宋体" w:cs="宋体"/>
          <w:color w:val="auto"/>
          <w:sz w:val="24"/>
          <w:highlight w:val="none"/>
        </w:rPr>
        <w:t>质疑未以书面形式提出，或质疑</w:t>
      </w:r>
      <w:r>
        <w:rPr>
          <w:rFonts w:hint="eastAsia" w:ascii="宋体" w:hAnsi="宋体" w:eastAsia="宋体" w:cs="宋体"/>
          <w:color w:val="auto"/>
          <w:sz w:val="24"/>
          <w:highlight w:val="none"/>
          <w:lang w:eastAsia="zh-CN"/>
        </w:rPr>
        <w:t>函</w:t>
      </w:r>
      <w:r>
        <w:rPr>
          <w:rFonts w:hint="eastAsia" w:ascii="宋体" w:hAnsi="宋体" w:eastAsia="宋体" w:cs="宋体"/>
          <w:color w:val="auto"/>
          <w:sz w:val="24"/>
          <w:highlight w:val="none"/>
        </w:rPr>
        <w:t>主要内容构成不完整的；</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highlight w:val="none"/>
          <w:lang w:val="en-US" w:eastAsia="zh-CN"/>
        </w:rPr>
        <w:t>.6.5</w:t>
      </w:r>
      <w:r>
        <w:rPr>
          <w:rFonts w:hint="eastAsia" w:ascii="宋体" w:hAnsi="宋体" w:eastAsia="宋体" w:cs="宋体"/>
          <w:color w:val="auto"/>
          <w:sz w:val="24"/>
          <w:highlight w:val="none"/>
          <w:lang w:eastAsia="zh-CN"/>
        </w:rPr>
        <w:t>应当提交授权书而未提交的</w:t>
      </w:r>
      <w:r>
        <w:rPr>
          <w:rFonts w:hint="eastAsia" w:ascii="宋体" w:hAnsi="宋体" w:eastAsia="宋体" w:cs="宋体"/>
          <w:color w:val="auto"/>
          <w:sz w:val="24"/>
          <w:highlight w:val="none"/>
        </w:rPr>
        <w:t>；</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highlight w:val="none"/>
          <w:lang w:val="en-US" w:eastAsia="zh-CN"/>
        </w:rPr>
        <w:t>.6.6</w:t>
      </w:r>
      <w:r>
        <w:rPr>
          <w:rFonts w:hint="eastAsia" w:ascii="宋体" w:hAnsi="宋体" w:eastAsia="宋体" w:cs="宋体"/>
          <w:color w:val="auto"/>
          <w:sz w:val="24"/>
          <w:highlight w:val="none"/>
        </w:rPr>
        <w:t>以非法手段取得证据、材料的；</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highlight w:val="none"/>
          <w:lang w:val="en-US" w:eastAsia="zh-CN"/>
        </w:rPr>
        <w:t>.6.7</w:t>
      </w:r>
      <w:r>
        <w:rPr>
          <w:rFonts w:hint="eastAsia" w:ascii="宋体" w:hAnsi="宋体" w:eastAsia="宋体" w:cs="宋体"/>
          <w:color w:val="auto"/>
          <w:sz w:val="24"/>
          <w:highlight w:val="none"/>
        </w:rPr>
        <w:t>质疑答复后，同一质疑人就同一事项</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lang w:val="en-US" w:eastAsia="zh-CN"/>
        </w:rPr>
        <w:t>同一采购程序环节</w:t>
      </w:r>
      <w:r>
        <w:rPr>
          <w:rFonts w:hint="eastAsia" w:ascii="宋体" w:hAnsi="宋体" w:eastAsia="宋体" w:cs="宋体"/>
          <w:color w:val="auto"/>
          <w:sz w:val="24"/>
          <w:highlight w:val="none"/>
        </w:rPr>
        <w:t>再次提出质疑的；</w:t>
      </w:r>
    </w:p>
    <w:p>
      <w:pPr>
        <w:widowControl/>
        <w:spacing w:line="360" w:lineRule="auto"/>
        <w:ind w:firstLine="480" w:firstLineChars="200"/>
        <w:rPr>
          <w:rStyle w:val="31"/>
          <w:rFonts w:hint="eastAsia" w:ascii="宋体" w:hAnsi="宋体" w:eastAsia="宋体" w:cs="宋体"/>
          <w:b w:val="0"/>
          <w:bCs/>
          <w:i w:val="0"/>
          <w:caps w:val="0"/>
          <w:color w:val="auto"/>
          <w:spacing w:val="0"/>
          <w:sz w:val="24"/>
          <w:szCs w:val="24"/>
          <w:highlight w:val="none"/>
          <w:shd w:val="clear" w:color="auto" w:fill="FFFFFF"/>
          <w:lang w:eastAsia="zh-CN"/>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highlight w:val="none"/>
          <w:lang w:val="en-US" w:eastAsia="zh-CN"/>
        </w:rPr>
        <w:t>.6.8</w:t>
      </w:r>
      <w:r>
        <w:rPr>
          <w:rFonts w:hint="eastAsia" w:ascii="宋体" w:hAnsi="宋体" w:eastAsia="宋体" w:cs="宋体"/>
          <w:color w:val="auto"/>
          <w:sz w:val="24"/>
          <w:highlight w:val="none"/>
        </w:rPr>
        <w:t>不符合法律、法规、规章和政府采购监管机构规定的其他条件的。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12" w:right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质疑答复</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szCs w:val="24"/>
          <w:highlight w:val="none"/>
          <w:lang w:val="en-US" w:eastAsia="zh-CN"/>
        </w:rPr>
        <w:t>.7.1采购人或采购代理机构</w:t>
      </w:r>
      <w:r>
        <w:rPr>
          <w:rFonts w:hint="eastAsia" w:ascii="宋体" w:hAnsi="宋体" w:eastAsia="宋体" w:cs="宋体"/>
          <w:color w:val="auto"/>
          <w:sz w:val="24"/>
          <w:szCs w:val="24"/>
          <w:highlight w:val="none"/>
        </w:rPr>
        <w:t>在收到质疑函后7个工作日内作出答复，并以书面形式通知质疑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和其他有关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szCs w:val="24"/>
          <w:highlight w:val="none"/>
          <w:lang w:val="en-US" w:eastAsia="zh-CN"/>
        </w:rPr>
        <w:t>.7.2质疑供应商对采购人、采购代理机构的答复不满意，或者采购人、采购代理机构未在规定时间内作出答复的，可以在答复期满后15个工作日内向</w:t>
      </w:r>
      <w:r>
        <w:rPr>
          <w:rFonts w:hint="eastAsia" w:ascii="宋体" w:hAnsi="宋体" w:eastAsia="宋体" w:cs="宋体"/>
          <w:b/>
          <w:bCs/>
          <w:color w:val="auto"/>
          <w:sz w:val="24"/>
          <w:szCs w:val="24"/>
          <w:highlight w:val="none"/>
          <w:lang w:val="en-US" w:eastAsia="zh-CN"/>
        </w:rPr>
        <w:t>西安市碑林区财政局</w:t>
      </w:r>
      <w:r>
        <w:rPr>
          <w:rFonts w:hint="eastAsia" w:ascii="宋体" w:hAnsi="宋体" w:eastAsia="宋体" w:cs="宋体"/>
          <w:color w:val="auto"/>
          <w:sz w:val="24"/>
          <w:szCs w:val="24"/>
          <w:highlight w:val="none"/>
          <w:lang w:val="en-US" w:eastAsia="zh-CN"/>
        </w:rPr>
        <w:t>提起投诉。</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szCs w:val="24"/>
          <w:highlight w:val="none"/>
          <w:lang w:val="en-US" w:eastAsia="zh-CN"/>
        </w:rPr>
        <w:t>.8其他需要说明的事项</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szCs w:val="24"/>
          <w:highlight w:val="none"/>
          <w:lang w:val="en-US" w:eastAsia="zh-CN"/>
        </w:rPr>
        <w:t>.8.1质疑函须按财政部《质疑函范本》给定的格式进行填写，范本下载详见【财政部国库司（gks.mof.gov.cn）】网站〖首页·政府采购管理〗栏目中的《政府采购供应商质疑函范本》。《政府采购供应商质疑函范本》链接地址：</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http://gks.mof.gov.cn/ztztz/zhengfucaigouguanli/201802/t20180201_2804589.htm</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szCs w:val="24"/>
          <w:highlight w:val="none"/>
          <w:lang w:val="en-US" w:eastAsia="zh-CN"/>
        </w:rPr>
        <w:t>.8.2接收质疑函的方式：书面形式</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szCs w:val="24"/>
          <w:highlight w:val="none"/>
          <w:lang w:val="en-US" w:eastAsia="zh-CN"/>
        </w:rPr>
        <w:t>.8.3联系部门：</w:t>
      </w:r>
      <w:r>
        <w:rPr>
          <w:rFonts w:hint="eastAsia" w:ascii="宋体" w:hAnsi="宋体" w:eastAsia="宋体" w:cs="宋体"/>
          <w:sz w:val="24"/>
          <w:szCs w:val="24"/>
          <w:highlight w:val="none"/>
        </w:rPr>
        <w:t>陕西嘉唐建设项目管理有限公司</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szCs w:val="24"/>
          <w:highlight w:val="none"/>
          <w:lang w:val="en-US" w:eastAsia="zh-CN"/>
        </w:rPr>
        <w:t>.8.4联系电话：</w:t>
      </w:r>
      <w:r>
        <w:rPr>
          <w:rFonts w:hint="eastAsia" w:ascii="宋体" w:hAnsi="宋体" w:eastAsia="宋体" w:cs="宋体"/>
          <w:sz w:val="24"/>
          <w:szCs w:val="24"/>
          <w:highlight w:val="none"/>
        </w:rPr>
        <w:t>029-89351397</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399" w:leftChars="228" w:right="0" w:rightChars="0" w:hanging="1920" w:hangingChars="800"/>
        <w:jc w:val="left"/>
        <w:textAlignment w:val="auto"/>
        <w:outlineLvl w:val="9"/>
        <w:rPr>
          <w:rFonts w:hint="eastAsia" w:ascii="宋体" w:hAnsi="宋体" w:eastAsia="宋体" w:cs="宋体"/>
          <w:color w:val="auto"/>
          <w:szCs w:val="24"/>
          <w:highlight w:val="none"/>
        </w:rPr>
      </w:pPr>
      <w:r>
        <w:rPr>
          <w:rFonts w:hint="eastAsia" w:ascii="宋体" w:hAnsi="宋体" w:eastAsia="宋体" w:cs="宋体"/>
          <w:b w:val="0"/>
          <w:bCs w:val="0"/>
          <w:sz w:val="24"/>
          <w:szCs w:val="24"/>
          <w:highlight w:val="none"/>
          <w:lang w:val="en-US" w:eastAsia="zh-CN"/>
        </w:rPr>
        <w:t>30</w:t>
      </w:r>
      <w:r>
        <w:rPr>
          <w:rFonts w:hint="eastAsia" w:ascii="宋体" w:hAnsi="宋体" w:eastAsia="宋体" w:cs="宋体"/>
          <w:color w:val="auto"/>
          <w:sz w:val="24"/>
          <w:szCs w:val="24"/>
          <w:highlight w:val="none"/>
          <w:lang w:val="en-US" w:eastAsia="zh-CN"/>
        </w:rPr>
        <w:t>.8.5通讯地址：</w:t>
      </w:r>
      <w:r>
        <w:rPr>
          <w:rFonts w:hint="eastAsia" w:ascii="宋体" w:hAnsi="宋体" w:eastAsia="宋体" w:cs="宋体"/>
          <w:sz w:val="24"/>
          <w:szCs w:val="24"/>
          <w:highlight w:val="none"/>
        </w:rPr>
        <w:t>西安市</w:t>
      </w:r>
      <w:r>
        <w:rPr>
          <w:rFonts w:hint="eastAsia" w:ascii="宋体" w:hAnsi="宋体" w:eastAsia="宋体" w:cs="宋体"/>
          <w:sz w:val="24"/>
          <w:szCs w:val="24"/>
          <w:highlight w:val="none"/>
          <w:lang w:eastAsia="zh-CN"/>
        </w:rPr>
        <w:t>未央区凤城五路与明光路十字天朗经开中心</w:t>
      </w:r>
      <w:r>
        <w:rPr>
          <w:rFonts w:hint="eastAsia" w:ascii="宋体" w:hAnsi="宋体" w:eastAsia="宋体" w:cs="宋体"/>
          <w:sz w:val="24"/>
          <w:szCs w:val="24"/>
          <w:highlight w:val="none"/>
          <w:lang w:val="en-US" w:eastAsia="zh-CN"/>
        </w:rPr>
        <w:t>11002室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31</w:t>
      </w:r>
      <w:r>
        <w:rPr>
          <w:rFonts w:hint="eastAsia" w:ascii="宋体" w:hAnsi="宋体" w:eastAsia="宋体" w:cs="宋体"/>
          <w:b/>
          <w:sz w:val="24"/>
          <w:szCs w:val="24"/>
          <w:highlight w:val="none"/>
        </w:rPr>
        <w:t>.其他</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.1谈判步骤为：第一次报价---分别谈判---第二次报价---评审推荐</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谈判响应文件</w:t>
      </w:r>
      <w:r>
        <w:rPr>
          <w:rFonts w:hint="eastAsia" w:ascii="宋体" w:hAnsi="宋体" w:eastAsia="宋体" w:cs="宋体"/>
          <w:color w:val="auto"/>
          <w:sz w:val="24"/>
          <w:szCs w:val="24"/>
          <w:highlight w:val="none"/>
        </w:rPr>
        <w:t>拆封时的价格为第一次报价，无效</w:t>
      </w:r>
      <w:r>
        <w:rPr>
          <w:rFonts w:hint="eastAsia" w:ascii="宋体" w:hAnsi="宋体" w:eastAsia="宋体" w:cs="宋体"/>
          <w:color w:val="auto"/>
          <w:sz w:val="24"/>
          <w:szCs w:val="24"/>
          <w:highlight w:val="none"/>
          <w:lang w:eastAsia="zh-CN"/>
        </w:rPr>
        <w:t>谈判供应商</w:t>
      </w:r>
      <w:r>
        <w:rPr>
          <w:rFonts w:hint="eastAsia" w:ascii="宋体" w:hAnsi="宋体" w:eastAsia="宋体" w:cs="宋体"/>
          <w:color w:val="auto"/>
          <w:sz w:val="24"/>
          <w:szCs w:val="24"/>
          <w:highlight w:val="none"/>
        </w:rPr>
        <w:t>将不得进入</w:t>
      </w:r>
      <w:r>
        <w:rPr>
          <w:rFonts w:hint="eastAsia" w:ascii="宋体" w:hAnsi="宋体" w:eastAsia="宋体" w:cs="宋体"/>
          <w:color w:val="auto"/>
          <w:sz w:val="24"/>
          <w:szCs w:val="24"/>
          <w:highlight w:val="none"/>
          <w:lang w:eastAsia="zh-CN"/>
        </w:rPr>
        <w:t>第二次</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.2当第二次报价全部超过</w:t>
      </w:r>
      <w:r>
        <w:rPr>
          <w:rFonts w:hint="eastAsia" w:ascii="宋体" w:hAnsi="宋体" w:eastAsia="宋体" w:cs="宋体"/>
          <w:sz w:val="24"/>
          <w:highlight w:val="none"/>
          <w:lang w:eastAsia="zh-CN"/>
        </w:rPr>
        <w:t>谈判文件规定的采购预算（或最高限价）</w:t>
      </w:r>
      <w:r>
        <w:rPr>
          <w:rFonts w:hint="eastAsia" w:ascii="宋体" w:hAnsi="宋体" w:eastAsia="宋体" w:cs="宋体"/>
          <w:sz w:val="24"/>
          <w:highlight w:val="none"/>
        </w:rPr>
        <w:t>或均低于公认的制作成本时，谈判小组有权决定是否谈判失败或进行第三次报价。当第三次报价若超出财政预算，且采购人又无力支付，谈判小组有权决定谈判失败。</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pacing w:val="5"/>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.3</w:t>
      </w:r>
      <w:r>
        <w:rPr>
          <w:rFonts w:hint="eastAsia" w:ascii="宋体" w:hAnsi="宋体" w:eastAsia="宋体" w:cs="宋体"/>
          <w:spacing w:val="5"/>
          <w:sz w:val="24"/>
          <w:highlight w:val="none"/>
        </w:rPr>
        <w:t>在采购过程中符合竞争要求的供应商不足3家的，且采购单位或谈判小组不推荐的，须终止</w:t>
      </w:r>
      <w:r>
        <w:rPr>
          <w:rFonts w:hint="eastAsia" w:ascii="宋体" w:hAnsi="宋体" w:eastAsia="宋体" w:cs="宋体"/>
          <w:spacing w:val="5"/>
          <w:sz w:val="24"/>
          <w:highlight w:val="none"/>
          <w:lang w:eastAsia="zh-CN"/>
        </w:rPr>
        <w:t>谈判</w:t>
      </w:r>
      <w:r>
        <w:rPr>
          <w:rFonts w:hint="eastAsia" w:ascii="宋体" w:hAnsi="宋体" w:eastAsia="宋体" w:cs="宋体"/>
          <w:spacing w:val="5"/>
          <w:sz w:val="24"/>
          <w:highlight w:val="none"/>
        </w:rPr>
        <w:t>采购活动，发布项目终止公告并说明原因，重新开展采购活动。</w:t>
      </w:r>
    </w:p>
    <w:p>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4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损失的，还应当对超过部分予以赔偿，并依法承担相应法律责任。</w:t>
      </w:r>
    </w:p>
    <w:p>
      <w:pPr>
        <w:pStyle w:val="3"/>
        <w:jc w:val="both"/>
        <w:outlineLvl w:val="9"/>
        <w:rPr>
          <w:rFonts w:hint="eastAsia" w:ascii="宋体" w:hAnsi="宋体" w:eastAsia="宋体" w:cs="宋体"/>
          <w:b/>
          <w:bCs/>
          <w:sz w:val="36"/>
          <w:szCs w:val="36"/>
          <w:highlight w:val="none"/>
        </w:rPr>
      </w:pPr>
      <w:bookmarkStart w:id="22" w:name="_Toc409690876"/>
      <w:bookmarkStart w:id="23" w:name="_Toc31299"/>
      <w:bookmarkStart w:id="24" w:name="_Toc20645"/>
      <w:bookmarkStart w:id="25" w:name="_Toc425781309"/>
      <w:bookmarkStart w:id="26" w:name="_Toc8912"/>
      <w:bookmarkStart w:id="27" w:name="_Toc405358615"/>
      <w:bookmarkStart w:id="28" w:name="_Toc25472"/>
      <w:bookmarkStart w:id="29" w:name="_Toc75232033"/>
      <w:bookmarkStart w:id="30" w:name="_Toc409690877"/>
      <w:bookmarkStart w:id="31" w:name="_Toc7665"/>
      <w:bookmarkStart w:id="32" w:name="_Toc19921"/>
    </w:p>
    <w:p>
      <w:pP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br w:type="page"/>
      </w:r>
    </w:p>
    <w:p>
      <w:pPr>
        <w:pStyle w:val="3"/>
        <w:jc w:val="center"/>
        <w:rPr>
          <w:rFonts w:hint="eastAsia" w:ascii="宋体" w:hAnsi="宋体" w:eastAsia="宋体" w:cs="宋体"/>
          <w:b/>
          <w:bCs/>
          <w:sz w:val="36"/>
          <w:szCs w:val="36"/>
          <w:highlight w:val="none"/>
        </w:rPr>
      </w:pPr>
      <w:bookmarkStart w:id="33" w:name="_Toc23782"/>
      <w:r>
        <w:rPr>
          <w:rFonts w:hint="eastAsia" w:ascii="宋体" w:hAnsi="宋体" w:eastAsia="宋体" w:cs="宋体"/>
          <w:b/>
          <w:bCs/>
          <w:sz w:val="36"/>
          <w:szCs w:val="36"/>
          <w:highlight w:val="none"/>
        </w:rPr>
        <w:t>第三章 合同条款</w:t>
      </w:r>
      <w:bookmarkEnd w:id="22"/>
      <w:bookmarkEnd w:id="23"/>
      <w:bookmarkEnd w:id="24"/>
      <w:r>
        <w:rPr>
          <w:rFonts w:hint="eastAsia" w:ascii="宋体" w:hAnsi="宋体" w:eastAsia="宋体" w:cs="宋体"/>
          <w:b/>
          <w:bCs/>
          <w:sz w:val="36"/>
          <w:szCs w:val="36"/>
          <w:highlight w:val="none"/>
        </w:rPr>
        <w:t>及格式</w:t>
      </w:r>
      <w:bookmarkEnd w:id="25"/>
      <w:bookmarkEnd w:id="26"/>
      <w:bookmarkEnd w:id="33"/>
    </w:p>
    <w:p>
      <w:pPr>
        <w:pStyle w:val="4"/>
        <w:jc w:val="center"/>
        <w:rPr>
          <w:rFonts w:hint="eastAsia" w:ascii="宋体" w:hAnsi="宋体" w:eastAsia="宋体" w:cs="宋体"/>
          <w:highlight w:val="none"/>
        </w:rPr>
      </w:pPr>
      <w:bookmarkStart w:id="34" w:name="_Toc31424"/>
      <w:bookmarkStart w:id="35" w:name="_Toc425781310"/>
      <w:r>
        <w:rPr>
          <w:rFonts w:hint="eastAsia" w:ascii="宋体" w:hAnsi="宋体" w:eastAsia="宋体" w:cs="宋体"/>
          <w:highlight w:val="none"/>
        </w:rPr>
        <w:t>合同</w:t>
      </w:r>
      <w:bookmarkEnd w:id="27"/>
      <w:r>
        <w:rPr>
          <w:rFonts w:hint="eastAsia" w:ascii="宋体" w:hAnsi="宋体" w:eastAsia="宋体" w:cs="宋体"/>
          <w:highlight w:val="none"/>
        </w:rPr>
        <w:t>前附表</w:t>
      </w:r>
      <w:bookmarkEnd w:id="34"/>
      <w:bookmarkEnd w:id="35"/>
    </w:p>
    <w:p>
      <w:pPr>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本表是对合同条款的具体补充和修改，如有矛盾，应以本资料表为准。</w:t>
      </w:r>
    </w:p>
    <w:tbl>
      <w:tblPr>
        <w:tblStyle w:val="28"/>
        <w:tblW w:w="907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6"/>
        <w:gridCol w:w="80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1" w:hRule="atLeast"/>
          <w:tblHeader/>
        </w:trPr>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条款号</w:t>
            </w:r>
          </w:p>
        </w:tc>
        <w:tc>
          <w:tcPr>
            <w:tcW w:w="80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31" w:hRule="exact"/>
        </w:trPr>
        <w:tc>
          <w:tcPr>
            <w:tcW w:w="99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075" w:type="dxa"/>
            <w:vAlign w:val="center"/>
          </w:tcPr>
          <w:p>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名称：</w:t>
            </w:r>
            <w:r>
              <w:rPr>
                <w:rFonts w:hint="eastAsia" w:ascii="宋体" w:hAnsi="宋体" w:cs="宋体"/>
                <w:sz w:val="24"/>
                <w:szCs w:val="24"/>
                <w:highlight w:val="none"/>
                <w:lang w:eastAsia="zh-CN"/>
              </w:rPr>
              <w:t>西安市碑林区朱雀大街小学</w:t>
            </w:r>
          </w:p>
          <w:p>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址：碑林区朱雀大街北段58号</w:t>
            </w:r>
          </w:p>
          <w:p>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西安市碑林区朱雀大街小学智慧教室设备提升项目</w:t>
            </w:r>
          </w:p>
          <w:p>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资金来源：财政资金，资金已落实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2" w:hRule="exact"/>
        </w:trPr>
        <w:tc>
          <w:tcPr>
            <w:tcW w:w="99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075" w:type="dxa"/>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交货期：自合同签订之日起至2022年08月25日前完成全部项目内容，并交付采购人验收合格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99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075" w:type="dxa"/>
            <w:vAlign w:val="center"/>
          </w:tcPr>
          <w:p>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交货地点：采购人指定交货地点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99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075" w:type="dxa"/>
            <w:vAlign w:val="center"/>
          </w:tcPr>
          <w:p>
            <w:pPr>
              <w:pStyle w:val="44"/>
              <w:spacing w:line="360" w:lineRule="auto"/>
              <w:ind w:firstLine="0" w:firstLineChars="0"/>
              <w:jc w:val="left"/>
              <w:rPr>
                <w:rFonts w:hint="eastAsia" w:ascii="宋体" w:hAnsi="宋体" w:eastAsia="宋体" w:cs="宋体"/>
                <w:highlight w:val="none"/>
              </w:rPr>
            </w:pPr>
            <w:r>
              <w:rPr>
                <w:rFonts w:hint="eastAsia" w:ascii="宋体" w:hAnsi="宋体" w:eastAsia="宋体" w:cs="宋体"/>
                <w:highlight w:val="none"/>
              </w:rPr>
              <w:t>质保期:自终验合格之日起开始计算，质保</w:t>
            </w:r>
            <w:r>
              <w:rPr>
                <w:rFonts w:hint="eastAsia" w:ascii="宋体" w:hAnsi="宋体" w:eastAsia="宋体" w:cs="宋体"/>
                <w:highlight w:val="none"/>
                <w:lang w:eastAsia="zh-CN"/>
              </w:rPr>
              <w:t>期</w:t>
            </w:r>
            <w:r>
              <w:rPr>
                <w:rFonts w:hint="eastAsia" w:ascii="宋体" w:hAnsi="宋体" w:eastAsia="宋体" w:cs="宋体"/>
                <w:highlight w:val="none"/>
                <w:lang w:val="en-US" w:eastAsia="zh-CN"/>
              </w:rPr>
              <w:t>1</w:t>
            </w:r>
            <w:r>
              <w:rPr>
                <w:rFonts w:hint="eastAsia" w:ascii="宋体" w:hAnsi="宋体" w:eastAsia="宋体" w:cs="宋体"/>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7" w:hRule="atLeast"/>
        </w:trPr>
        <w:tc>
          <w:tcPr>
            <w:tcW w:w="99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075" w:type="dxa"/>
            <w:vAlign w:val="center"/>
          </w:tcPr>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合同总价即</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价，</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应在</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报价表中标明完成本次</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所要求的货物、服务且验收合格的所有费用，包括但不限于包括但不限于设备（产品）费、安装调试费、运杂费（含保险）、仓储保管费、验收费、招标代理服务费、税金</w:t>
            </w:r>
            <w:r>
              <w:rPr>
                <w:rFonts w:hint="eastAsia" w:ascii="宋体" w:hAnsi="宋体" w:eastAsia="宋体" w:cs="宋体"/>
                <w:sz w:val="24"/>
                <w:szCs w:val="24"/>
                <w:highlight w:val="none"/>
                <w:lang w:eastAsia="zh-CN"/>
              </w:rPr>
              <w:t>等其他一切相关费用。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2.合同总价一次包死，不受市场价变化或实际工作量变化的影响。</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3.付款方式和程序：</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（1）由采购人负责结算，供应商必须开具全额发票给采购人（附详细清单）。</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（2）付款方式： </w:t>
            </w:r>
          </w:p>
          <w:p>
            <w:pPr>
              <w:spacing w:line="360" w:lineRule="auto"/>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 xml:space="preserve">全部产品配送到位、安装调试、验收合格且完成技术培训后，支付合同总价款的 </w:t>
            </w:r>
            <w:r>
              <w:rPr>
                <w:rFonts w:hint="eastAsia" w:ascii="宋体" w:hAnsi="宋体" w:cs="宋体"/>
                <w:sz w:val="24"/>
                <w:szCs w:val="24"/>
                <w:highlight w:val="none"/>
                <w:lang w:val="en-US" w:eastAsia="zh-CN"/>
              </w:rPr>
              <w:t>100</w:t>
            </w:r>
            <w:r>
              <w:rPr>
                <w:rFonts w:hint="eastAsia" w:ascii="宋体" w:hAnsi="宋体" w:eastAsia="宋体" w:cs="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7" w:hRule="atLeast"/>
        </w:trPr>
        <w:tc>
          <w:tcPr>
            <w:tcW w:w="99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8075" w:type="dxa"/>
            <w:vAlign w:val="center"/>
          </w:tcPr>
          <w:p>
            <w:pPr>
              <w:spacing w:line="360" w:lineRule="auto"/>
              <w:rPr>
                <w:rFonts w:hint="eastAsia" w:ascii="宋体" w:hAnsi="宋体" w:eastAsia="宋体" w:cs="宋体"/>
                <w:b/>
                <w:sz w:val="24"/>
                <w:szCs w:val="24"/>
                <w:highlight w:val="none"/>
              </w:rPr>
            </w:pPr>
            <w:r>
              <w:rPr>
                <w:rFonts w:hint="eastAsia" w:ascii="宋体" w:hAnsi="宋体" w:eastAsia="宋体" w:cs="宋体"/>
                <w:b/>
                <w:kern w:val="0"/>
                <w:sz w:val="24"/>
                <w:highlight w:val="none"/>
              </w:rPr>
              <w:t>安装、调试要求：</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1.由供应商负责派技术人员到现场进行免费安装、调试至验收合格。</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2.供应商应在合同签订后一周内，向采购人提供安装、调试及试运行的进度计划表。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pPr>
              <w:spacing w:line="360" w:lineRule="auto"/>
              <w:jc w:val="left"/>
              <w:rPr>
                <w:rFonts w:hint="eastAsia" w:ascii="宋体" w:hAnsi="宋体" w:eastAsia="宋体" w:cs="宋体"/>
                <w:highlight w:val="none"/>
              </w:rPr>
            </w:pPr>
            <w:r>
              <w:rPr>
                <w:rFonts w:hint="eastAsia" w:ascii="宋体" w:hAnsi="宋体" w:eastAsia="宋体" w:cs="宋体"/>
                <w:sz w:val="24"/>
                <w:szCs w:val="24"/>
                <w:highlight w:val="none"/>
              </w:rPr>
              <w:t>4.安装和调试期间所发生的费用均由供应商负责。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7" w:hRule="atLeast"/>
        </w:trPr>
        <w:tc>
          <w:tcPr>
            <w:tcW w:w="99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8075" w:type="dxa"/>
            <w:vAlign w:val="center"/>
          </w:tcPr>
          <w:p>
            <w:pPr>
              <w:spacing w:line="360" w:lineRule="auto"/>
              <w:rPr>
                <w:rFonts w:hint="eastAsia" w:ascii="宋体" w:hAnsi="宋体" w:eastAsia="宋体" w:cs="宋体"/>
                <w:b/>
                <w:kern w:val="0"/>
                <w:sz w:val="24"/>
                <w:highlight w:val="none"/>
              </w:rPr>
            </w:pPr>
            <w:r>
              <w:rPr>
                <w:rFonts w:hint="eastAsia" w:ascii="宋体" w:hAnsi="宋体" w:eastAsia="宋体" w:cs="宋体"/>
                <w:b/>
                <w:kern w:val="0"/>
                <w:sz w:val="24"/>
                <w:highlight w:val="none"/>
              </w:rPr>
              <w:t>技术支持：</w:t>
            </w:r>
          </w:p>
          <w:p>
            <w:pPr>
              <w:spacing w:line="360" w:lineRule="auto"/>
              <w:rPr>
                <w:rFonts w:hint="eastAsia" w:ascii="宋体" w:hAnsi="宋体" w:eastAsia="宋体" w:cs="宋体"/>
                <w:sz w:val="24"/>
                <w:szCs w:val="24"/>
                <w:highlight w:val="none"/>
              </w:rPr>
            </w:pPr>
            <w:r>
              <w:rPr>
                <w:rFonts w:hint="eastAsia" w:ascii="宋体" w:hAnsi="宋体" w:eastAsia="宋体" w:cs="宋体"/>
                <w:sz w:val="24"/>
                <w:highlight w:val="none"/>
              </w:rPr>
              <w:t>提供全年7×24小时的技术咨询服务。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2" w:hRule="atLeast"/>
        </w:trPr>
        <w:tc>
          <w:tcPr>
            <w:tcW w:w="996"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8075" w:type="dxa"/>
            <w:vAlign w:val="center"/>
          </w:tcPr>
          <w:p>
            <w:pPr>
              <w:spacing w:line="360" w:lineRule="auto"/>
              <w:rPr>
                <w:rFonts w:hint="eastAsia" w:ascii="宋体" w:hAnsi="宋体" w:eastAsia="宋体" w:cs="宋体"/>
                <w:b/>
                <w:kern w:val="0"/>
                <w:sz w:val="24"/>
                <w:highlight w:val="none"/>
              </w:rPr>
            </w:pPr>
            <w:r>
              <w:rPr>
                <w:rFonts w:hint="eastAsia" w:ascii="宋体" w:hAnsi="宋体" w:eastAsia="宋体" w:cs="宋体"/>
                <w:b/>
                <w:kern w:val="0"/>
                <w:sz w:val="24"/>
                <w:highlight w:val="none"/>
              </w:rPr>
              <w:t>技术资料要求：</w:t>
            </w:r>
          </w:p>
          <w:p>
            <w:pPr>
              <w:pStyle w:val="12"/>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供应商应向采购人提供全套中文技术资料一套，其费用包括在谈判报价中：</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1.完整的设备(产品)操作使用手册和维护、修理技术文件，图纸、保修卡等；</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2.制造厂的检验、测试报告、设备(产品)检验合格证书，质量保证书等文件验收时须一并提供；</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3.设备(产品)验收标准；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4.技术说明书及必须的其它技术资料；</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5.使用说明书；</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6.系统安装，调试、维修线路图及原理图；</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7.零部件目录；</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8.备品备件、易损件清单；</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9.项目完工后提供竣工验收报告；</w:t>
            </w:r>
          </w:p>
          <w:p>
            <w:pPr>
              <w:pStyle w:val="12"/>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10.合同中要求的其他文件资料。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trPr>
        <w:tc>
          <w:tcPr>
            <w:tcW w:w="996"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8075" w:type="dxa"/>
            <w:vAlign w:val="center"/>
          </w:tcPr>
          <w:p>
            <w:pPr>
              <w:pStyle w:val="12"/>
              <w:spacing w:line="360" w:lineRule="auto"/>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质量保证：</w:t>
            </w:r>
          </w:p>
          <w:p>
            <w:pPr>
              <w:spacing w:line="360" w:lineRule="auto"/>
              <w:ind w:firstLine="360" w:firstLineChars="150"/>
              <w:rPr>
                <w:rFonts w:hint="eastAsia" w:ascii="宋体" w:hAnsi="宋体" w:eastAsia="宋体" w:cs="宋体"/>
                <w:kern w:val="0"/>
                <w:sz w:val="24"/>
                <w:highlight w:val="none"/>
              </w:rPr>
            </w:pPr>
            <w:r>
              <w:rPr>
                <w:rFonts w:hint="eastAsia" w:ascii="宋体" w:hAnsi="宋体" w:eastAsia="宋体" w:cs="宋体"/>
                <w:sz w:val="24"/>
                <w:szCs w:val="24"/>
                <w:highlight w:val="none"/>
              </w:rPr>
              <w:t xml:space="preserve"> 供应商</w:t>
            </w:r>
            <w:r>
              <w:rPr>
                <w:rFonts w:hint="eastAsia" w:ascii="宋体" w:hAnsi="宋体" w:eastAsia="宋体" w:cs="宋体"/>
                <w:kern w:val="0"/>
                <w:sz w:val="24"/>
                <w:highlight w:val="none"/>
              </w:rPr>
              <w:t>提供的</w:t>
            </w:r>
            <w:r>
              <w:rPr>
                <w:rFonts w:hint="eastAsia" w:ascii="宋体" w:hAnsi="宋体" w:eastAsia="宋体" w:cs="宋体"/>
                <w:sz w:val="24"/>
                <w:szCs w:val="24"/>
                <w:highlight w:val="none"/>
              </w:rPr>
              <w:t>设备(产品)</w:t>
            </w:r>
            <w:r>
              <w:rPr>
                <w:rFonts w:hint="eastAsia" w:ascii="宋体" w:hAnsi="宋体" w:eastAsia="宋体" w:cs="宋体"/>
                <w:kern w:val="0"/>
                <w:sz w:val="24"/>
                <w:highlight w:val="none"/>
              </w:rPr>
              <w:t>及材料必须保证质量可靠，为市场最新或主流</w:t>
            </w:r>
            <w:r>
              <w:rPr>
                <w:rFonts w:hint="eastAsia" w:ascii="宋体" w:hAnsi="宋体" w:eastAsia="宋体" w:cs="宋体"/>
                <w:sz w:val="24"/>
                <w:szCs w:val="24"/>
                <w:highlight w:val="none"/>
              </w:rPr>
              <w:t>设备(产品)</w:t>
            </w:r>
            <w:r>
              <w:rPr>
                <w:rFonts w:hint="eastAsia" w:ascii="宋体" w:hAnsi="宋体" w:eastAsia="宋体" w:cs="宋体"/>
                <w:kern w:val="0"/>
                <w:sz w:val="24"/>
                <w:highlight w:val="none"/>
              </w:rPr>
              <w:t>，进货渠道正常，配置合理齐全，应全面满足竞争性谈判文件的要求，竞争性谈判文件未明确要求的内容，</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须按谈判</w:t>
            </w:r>
            <w:r>
              <w:rPr>
                <w:rFonts w:hint="eastAsia" w:ascii="宋体" w:hAnsi="宋体" w:eastAsia="宋体" w:cs="宋体"/>
                <w:sz w:val="24"/>
                <w:szCs w:val="24"/>
                <w:highlight w:val="none"/>
              </w:rPr>
              <w:t>设备(产品)</w:t>
            </w:r>
            <w:r>
              <w:rPr>
                <w:rFonts w:hint="eastAsia" w:ascii="宋体" w:hAnsi="宋体" w:eastAsia="宋体" w:cs="宋体"/>
                <w:kern w:val="0"/>
                <w:sz w:val="24"/>
                <w:highlight w:val="none"/>
              </w:rPr>
              <w:t>主流标准配置或以采购人的补充要求为准。所供设备(产品)工艺质量应严格按国家最新发布的规范标准执行，如发生质量问题由供应商承担全部责任。</w:t>
            </w:r>
          </w:p>
          <w:p>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kern w:val="0"/>
                <w:sz w:val="24"/>
                <w:highlight w:val="none"/>
              </w:rPr>
              <w:t>供应商应保证合同项下所供设备是合同规定厂家供货生产的，全新未使用过的，并完全符合合同规定的质量、规格等要求。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8" w:hRule="atLeast"/>
        </w:trPr>
        <w:tc>
          <w:tcPr>
            <w:tcW w:w="996"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8075" w:type="dxa"/>
            <w:vAlign w:val="center"/>
          </w:tcPr>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验收：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由采购人和供应商共同对项目整体进行验收。其内容包括确认设备(产品)的产地、规格、型号和数量，对其设备(产品)技术指标、性能参数以及工程质量是否达到现行国家有关验收规范“合格”标准进行逐项检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1.所验设备(产品)的指标、性能参数通过验收达不到竞争性谈判文件要求和谈判响应文件承诺的，或在使用中发现采购人不能容忍的缺陷等，将视为设备(产品)验收不合格，供应商应无条件免费更换或退货。</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2.若发现供应商有弄虚作假的，在谈判阶段故意或随意夸大设备(产品)技术性能，供应商应无条件退货，并赔偿采购人相应的损失。</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3.验收标准：按竞争性谈判文件、谈判响应文件及澄清函等技术指标进行验收。各项指标均应符合验收标准及要求。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4.验收合格后，填写验收单，双方签字生效。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5.验收依据：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a)合同文本；</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b)谈判响应文件及澄清函、竞争性谈判文件；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c)国家和行业制定的相应的标准和规范。</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szCs w:val="24"/>
                <w:highlight w:val="none"/>
              </w:rPr>
              <w:t>d)设备(产品)验收清单（注明各部件的品名、数量、规格型号和原产地或生产厂家）。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996"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8075" w:type="dxa"/>
            <w:vAlign w:val="center"/>
          </w:tcPr>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质保及维保服务（提供售后服务承诺书）：</w:t>
            </w:r>
          </w:p>
          <w:p>
            <w:pPr>
              <w:tabs>
                <w:tab w:val="left" w:pos="10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1）供应商应提供可承担维修职能的公司、全资分公司或办事处，并驻守多名维护技术人员，并提供地点、联系人（常驻工程师）及联系电话（服务热线），随时解答各种疑问（需提供相关证明材料）。</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2）服务方式:现场服务，自终验合格之日起开始计算，质保期</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年，并提供终身维修（护）。在质量保证期内发生重大故障，维修工程师抵达现场时间≤8小时。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3）每年至少四次上门维护，回访。</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4）对于存在质量问题或者短少的设备，供应商应在接到采购人的通知2个日历日内负责修复，调换、重新制作或补齐。</w:t>
            </w:r>
          </w:p>
          <w:p>
            <w:pPr>
              <w:tabs>
                <w:tab w:val="left" w:pos="108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5）设备质量出现问题，如属于三包产品供应商应负责三包（包修、包换、包退），费用由供应商承担。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质保期内免收全部维修费用，终身维护保养并保证配件供应。在设备最终验收后的质量保证期内，供应商应对由于设计、工艺或材料的缺陷而产生的故障负责（负责解决并承担全部费用）。质保期满后如出现此类问题亦应负责。</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7）谈判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及所投设备(产品)的生产厂商应承诺质保期、维保期的售后服务条款（包括具体的服务内容、故障响应时间、响应方式、维修措施及时限、维护响应计划等方面），未提供任何质保期、维保期的售后服务条款或提供的内容不实的以不满足</w:t>
            </w:r>
            <w:r>
              <w:rPr>
                <w:rFonts w:hint="eastAsia" w:ascii="宋体" w:hAnsi="宋体" w:eastAsia="宋体" w:cs="宋体"/>
                <w:kern w:val="0"/>
                <w:sz w:val="24"/>
                <w:highlight w:val="none"/>
              </w:rPr>
              <w:t>竞争性谈判文件</w:t>
            </w:r>
            <w:r>
              <w:rPr>
                <w:rFonts w:hint="eastAsia" w:ascii="宋体" w:hAnsi="宋体" w:eastAsia="宋体" w:cs="宋体"/>
                <w:sz w:val="24"/>
                <w:szCs w:val="24"/>
                <w:highlight w:val="none"/>
              </w:rPr>
              <w:t>要求对待。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0" w:hRule="atLeast"/>
        </w:trPr>
        <w:tc>
          <w:tcPr>
            <w:tcW w:w="996" w:type="dxa"/>
            <w:vAlign w:val="center"/>
          </w:tcPr>
          <w:p>
            <w:pPr>
              <w:pStyle w:val="12"/>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8075" w:type="dxa"/>
            <w:vAlign w:val="center"/>
          </w:tcPr>
          <w:p>
            <w:pPr>
              <w:spacing w:line="360" w:lineRule="auto"/>
              <w:rPr>
                <w:rFonts w:hint="eastAsia" w:ascii="宋体" w:hAnsi="宋体" w:eastAsia="宋体" w:cs="宋体"/>
                <w:b/>
                <w:kern w:val="0"/>
                <w:sz w:val="24"/>
                <w:highlight w:val="none"/>
              </w:rPr>
            </w:pPr>
            <w:r>
              <w:rPr>
                <w:rFonts w:hint="eastAsia" w:ascii="宋体" w:hAnsi="宋体" w:eastAsia="宋体" w:cs="宋体"/>
                <w:b/>
                <w:kern w:val="0"/>
                <w:sz w:val="24"/>
                <w:highlight w:val="none"/>
              </w:rPr>
              <w:t>其它:</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1．谈判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须按报价一览表（统一格式）和谈判分项报价表（统一格式）的内容填写单价、总价及其他事项。</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2．谈判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所报的谈判价在合同执行过程中是固定不变的，不得以任何理由予以变更。</w:t>
            </w:r>
          </w:p>
        </w:tc>
      </w:tr>
    </w:tbl>
    <w:p>
      <w:pPr>
        <w:jc w:val="center"/>
        <w:rPr>
          <w:rFonts w:hint="eastAsia" w:ascii="宋体" w:hAnsi="宋体" w:eastAsia="宋体" w:cs="宋体"/>
          <w:b/>
          <w:sz w:val="52"/>
          <w:szCs w:val="52"/>
          <w:highlight w:val="none"/>
          <w:lang w:eastAsia="zh-CN"/>
        </w:rPr>
      </w:pPr>
      <w:r>
        <w:rPr>
          <w:rFonts w:hint="eastAsia" w:ascii="宋体" w:hAnsi="宋体" w:eastAsia="宋体" w:cs="宋体"/>
          <w:sz w:val="24"/>
          <w:szCs w:val="24"/>
          <w:highlight w:val="none"/>
        </w:rPr>
        <w:br w:type="page"/>
      </w:r>
    </w:p>
    <w:p>
      <w:pPr>
        <w:jc w:val="center"/>
        <w:rPr>
          <w:rFonts w:hint="eastAsia" w:ascii="宋体" w:hAnsi="宋体" w:eastAsia="宋体" w:cs="宋体"/>
          <w:b/>
          <w:sz w:val="52"/>
          <w:szCs w:val="52"/>
          <w:highlight w:val="none"/>
          <w:lang w:eastAsia="zh-CN"/>
        </w:rPr>
      </w:pPr>
    </w:p>
    <w:p>
      <w:pPr>
        <w:jc w:val="center"/>
        <w:rPr>
          <w:rFonts w:hint="eastAsia" w:ascii="宋体" w:hAnsi="宋体" w:eastAsia="宋体" w:cs="宋体"/>
          <w:b/>
          <w:bCs/>
          <w:sz w:val="48"/>
          <w:szCs w:val="44"/>
          <w:highlight w:val="none"/>
        </w:rPr>
      </w:pPr>
      <w:r>
        <w:rPr>
          <w:rFonts w:hint="eastAsia" w:ascii="宋体" w:hAnsi="宋体" w:eastAsia="宋体" w:cs="宋体"/>
          <w:b/>
          <w:bCs/>
          <w:sz w:val="48"/>
          <w:szCs w:val="44"/>
          <w:highlight w:val="none"/>
          <w:lang w:val="en-US" w:eastAsia="zh-CN"/>
        </w:rPr>
        <w:t>西安市碑林区朱雀大街小学智慧教室设备提升项目合同</w:t>
      </w:r>
    </w:p>
    <w:p>
      <w:pPr>
        <w:pStyle w:val="9"/>
        <w:rPr>
          <w:rFonts w:hint="eastAsia" w:ascii="宋体" w:hAnsi="宋体" w:eastAsia="宋体" w:cs="宋体"/>
          <w:sz w:val="28"/>
          <w:szCs w:val="24"/>
          <w:highlight w:val="none"/>
        </w:rPr>
      </w:pPr>
    </w:p>
    <w:p>
      <w:pPr>
        <w:pStyle w:val="9"/>
        <w:rPr>
          <w:rFonts w:hint="eastAsia" w:ascii="宋体" w:hAnsi="宋体" w:eastAsia="宋体" w:cs="宋体"/>
          <w:sz w:val="28"/>
          <w:szCs w:val="24"/>
          <w:highlight w:val="none"/>
        </w:rPr>
      </w:pPr>
    </w:p>
    <w:p>
      <w:pPr>
        <w:jc w:val="center"/>
        <w:rPr>
          <w:rFonts w:hint="eastAsia" w:ascii="宋体" w:hAnsi="宋体" w:eastAsia="宋体" w:cs="宋体"/>
          <w:b/>
          <w:bCs/>
          <w:sz w:val="2"/>
          <w:szCs w:val="24"/>
          <w:highlight w:val="none"/>
        </w:rPr>
      </w:pPr>
      <w:r>
        <w:rPr>
          <w:rFonts w:hint="eastAsia" w:ascii="宋体" w:hAnsi="宋体" w:eastAsia="宋体" w:cs="宋体"/>
          <w:b/>
          <w:bCs/>
          <w:sz w:val="28"/>
          <w:szCs w:val="24"/>
          <w:highlight w:val="none"/>
        </w:rPr>
        <w:t>（示范文本）</w:t>
      </w:r>
    </w:p>
    <w:p>
      <w:pPr>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br w:type="page"/>
      </w:r>
      <w:r>
        <w:rPr>
          <w:rFonts w:hint="eastAsia" w:ascii="宋体" w:hAnsi="宋体" w:eastAsia="宋体" w:cs="宋体"/>
          <w:b/>
          <w:sz w:val="24"/>
          <w:highlight w:val="none"/>
        </w:rPr>
        <w:t>采购人（全称）：</w:t>
      </w:r>
      <w:r>
        <w:rPr>
          <w:rFonts w:hint="eastAsia" w:ascii="宋体" w:hAnsi="宋体" w:eastAsia="宋体" w:cs="宋体"/>
          <w:b/>
          <w:sz w:val="24"/>
          <w:highlight w:val="none"/>
          <w:u w:val="single"/>
        </w:rPr>
        <w:t xml:space="preserve">                                      </w:t>
      </w:r>
    </w:p>
    <w:p>
      <w:pPr>
        <w:adjustRightInd w:val="0"/>
        <w:snapToGrid w:val="0"/>
        <w:spacing w:line="58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供应商（全称）：</w:t>
      </w:r>
      <w:r>
        <w:rPr>
          <w:rFonts w:hint="eastAsia" w:ascii="宋体" w:hAnsi="宋体" w:eastAsia="宋体" w:cs="宋体"/>
          <w:b/>
          <w:sz w:val="24"/>
          <w:highlight w:val="none"/>
          <w:u w:val="single"/>
        </w:rPr>
        <w:t xml:space="preserve">                                   </w:t>
      </w:r>
      <w:r>
        <w:rPr>
          <w:rFonts w:hint="eastAsia" w:ascii="宋体" w:hAnsi="宋体" w:eastAsia="宋体" w:cs="宋体"/>
          <w:sz w:val="24"/>
          <w:highlight w:val="none"/>
          <w:u w:val="single"/>
        </w:rPr>
        <w:t xml:space="preserve">   </w:t>
      </w:r>
    </w:p>
    <w:p>
      <w:pPr>
        <w:adjustRightInd w:val="0"/>
        <w:snapToGrid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根据《中华人民共和国</w:t>
      </w:r>
      <w:r>
        <w:rPr>
          <w:rFonts w:hint="eastAsia" w:ascii="宋体" w:hAnsi="宋体" w:eastAsia="宋体" w:cs="宋体"/>
          <w:sz w:val="24"/>
          <w:highlight w:val="none"/>
          <w:lang w:eastAsia="zh-CN"/>
        </w:rPr>
        <w:t>民法典</w:t>
      </w:r>
      <w:r>
        <w:rPr>
          <w:rFonts w:hint="eastAsia" w:ascii="宋体" w:hAnsi="宋体" w:eastAsia="宋体" w:cs="宋体"/>
          <w:sz w:val="24"/>
          <w:highlight w:val="none"/>
        </w:rPr>
        <w:t>》及其他有关法律、法规，遵循平等、自愿、公平和诚信的原则，双方就下述项目范围与相关服务事项协商一致，订立本合同。</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一、项目概况</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1. 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2. 项目地点：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3. 项目</w:t>
      </w:r>
      <w:r>
        <w:rPr>
          <w:rFonts w:hint="eastAsia" w:ascii="宋体" w:hAnsi="宋体" w:eastAsia="宋体" w:cs="宋体"/>
          <w:kern w:val="0"/>
          <w:sz w:val="24"/>
          <w:highlight w:val="none"/>
        </w:rPr>
        <w:t>内容</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二、组成本合同的文件</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1. 协议书；</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2. 成交通知书、谈判响应文件、谈判文件、澄清、谈判补充文件（或委托书）；</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相关服务建议书；</w:t>
      </w:r>
    </w:p>
    <w:p>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4. 附录，即：附表内相关服务的范围和内容；</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本合同签订后，双方依法签订的补充协议也是本合同文件的组成部分。</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三、合同价款</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合同总价（大写）：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合同总价即成交价，合同总价一次包死，不受市场价变化或实际工作量变化的影响，合同价格为含税价，供应商（</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）提供产品所发生的一切税（包括增值税）费等都已包含于合同价款中。</w:t>
      </w:r>
    </w:p>
    <w:p>
      <w:pPr>
        <w:adjustRightInd w:val="0"/>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四、结算方式：</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（1）结算单位：由采购人以人民币负责结算，在付款前，供应商必须开具全额发票给采购人。</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szCs w:val="24"/>
          <w:highlight w:val="none"/>
        </w:rPr>
        <w:t>付款方式：详见竞争性谈判文件</w:t>
      </w:r>
      <w:r>
        <w:rPr>
          <w:rFonts w:hint="eastAsia" w:ascii="宋体" w:hAnsi="宋体" w:eastAsia="宋体" w:cs="宋体"/>
          <w:sz w:val="24"/>
          <w:szCs w:val="24"/>
          <w:highlight w:val="none"/>
          <w:lang w:eastAsia="zh-CN"/>
        </w:rPr>
        <w:t>合同前附表</w:t>
      </w:r>
      <w:r>
        <w:rPr>
          <w:rFonts w:hint="eastAsia" w:ascii="宋体" w:hAnsi="宋体" w:eastAsia="宋体" w:cs="宋体"/>
          <w:sz w:val="24"/>
          <w:szCs w:val="24"/>
          <w:highlight w:val="none"/>
        </w:rPr>
        <w:t>。</w:t>
      </w:r>
    </w:p>
    <w:p>
      <w:pPr>
        <w:adjustRightInd w:val="0"/>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五、</w:t>
      </w:r>
      <w:r>
        <w:rPr>
          <w:rFonts w:hint="eastAsia" w:ascii="宋体" w:hAnsi="宋体" w:eastAsia="宋体" w:cs="宋体"/>
          <w:b/>
          <w:sz w:val="24"/>
          <w:highlight w:val="none"/>
          <w:lang w:eastAsia="zh-CN"/>
        </w:rPr>
        <w:t>交货</w:t>
      </w:r>
      <w:r>
        <w:rPr>
          <w:rFonts w:hint="eastAsia" w:ascii="宋体" w:hAnsi="宋体" w:eastAsia="宋体" w:cs="宋体"/>
          <w:b/>
          <w:sz w:val="24"/>
          <w:highlight w:val="none"/>
        </w:rPr>
        <w:t>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交货期：详见竞争性谈判文件合同前附表。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交货地点：采购人指定交货地点</w:t>
      </w:r>
      <w:r>
        <w:rPr>
          <w:rFonts w:hint="eastAsia" w:ascii="宋体" w:hAnsi="宋体" w:eastAsia="宋体" w:cs="宋体"/>
          <w:color w:val="auto"/>
          <w:sz w:val="24"/>
          <w:szCs w:val="22"/>
          <w:highlight w:val="none"/>
          <w:lang w:eastAsia="zh-CN"/>
        </w:rPr>
        <w:t>。</w:t>
      </w:r>
    </w:p>
    <w:p>
      <w:pPr>
        <w:adjustRightInd w:val="0"/>
        <w:snapToGrid w:val="0"/>
        <w:spacing w:line="360" w:lineRule="auto"/>
        <w:rPr>
          <w:rFonts w:hint="eastAsia" w:ascii="宋体" w:hAnsi="宋体" w:eastAsia="宋体" w:cs="宋体"/>
          <w:b/>
          <w:color w:val="auto"/>
          <w:sz w:val="24"/>
          <w:szCs w:val="22"/>
          <w:highlight w:val="none"/>
          <w:lang w:eastAsia="zh-CN"/>
        </w:rPr>
      </w:pPr>
      <w:r>
        <w:rPr>
          <w:rFonts w:hint="eastAsia" w:ascii="宋体" w:hAnsi="宋体" w:eastAsia="宋体" w:cs="宋体"/>
          <w:b/>
          <w:color w:val="auto"/>
          <w:sz w:val="24"/>
          <w:szCs w:val="22"/>
          <w:highlight w:val="none"/>
          <w:lang w:eastAsia="zh-CN"/>
        </w:rPr>
        <w:t>六、质保期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详见竞争性谈判文件合同前附表。</w:t>
      </w:r>
    </w:p>
    <w:p>
      <w:pPr>
        <w:numPr>
          <w:ilvl w:val="0"/>
          <w:numId w:val="0"/>
        </w:numPr>
        <w:spacing w:line="360" w:lineRule="auto"/>
        <w:rPr>
          <w:rFonts w:hint="eastAsia" w:ascii="宋体" w:hAnsi="宋体" w:eastAsia="宋体" w:cs="宋体"/>
          <w:b/>
          <w:sz w:val="24"/>
          <w:highlight w:val="none"/>
        </w:rPr>
      </w:pPr>
      <w:r>
        <w:rPr>
          <w:rFonts w:hint="eastAsia" w:ascii="宋体" w:hAnsi="宋体" w:eastAsia="宋体" w:cs="宋体"/>
          <w:b/>
          <w:sz w:val="24"/>
          <w:highlight w:val="none"/>
          <w:lang w:eastAsia="zh-CN"/>
        </w:rPr>
        <w:t>七</w:t>
      </w:r>
      <w:r>
        <w:rPr>
          <w:rFonts w:hint="eastAsia" w:ascii="宋体" w:hAnsi="宋体" w:eastAsia="宋体" w:cs="宋体"/>
          <w:b/>
          <w:sz w:val="24"/>
          <w:highlight w:val="none"/>
        </w:rPr>
        <w:t>、双方承诺</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1. 供应商向采购人承诺，按照本合同约定提供相关服务。</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2. 采购人向供应商承诺，按照本合同约定支付服务款项。</w:t>
      </w:r>
    </w:p>
    <w:p>
      <w:pPr>
        <w:tabs>
          <w:tab w:val="left" w:pos="840"/>
        </w:tabs>
        <w:spacing w:line="360" w:lineRule="auto"/>
        <w:rPr>
          <w:rFonts w:hint="eastAsia" w:ascii="宋体" w:hAnsi="宋体" w:eastAsia="宋体" w:cs="宋体"/>
          <w:b/>
          <w:sz w:val="24"/>
          <w:highlight w:val="none"/>
        </w:rPr>
      </w:pPr>
      <w:r>
        <w:rPr>
          <w:rFonts w:hint="eastAsia" w:ascii="宋体" w:hAnsi="宋体" w:eastAsia="宋体" w:cs="宋体"/>
          <w:b/>
          <w:sz w:val="24"/>
          <w:highlight w:val="none"/>
          <w:lang w:eastAsia="zh-CN"/>
        </w:rPr>
        <w:t>八</w:t>
      </w:r>
      <w:r>
        <w:rPr>
          <w:rFonts w:hint="eastAsia" w:ascii="宋体" w:hAnsi="宋体" w:eastAsia="宋体" w:cs="宋体"/>
          <w:b/>
          <w:sz w:val="24"/>
          <w:highlight w:val="none"/>
        </w:rPr>
        <w:t>、内容及要求：</w:t>
      </w:r>
    </w:p>
    <w:p>
      <w:pPr>
        <w:tabs>
          <w:tab w:val="left" w:pos="84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即交付的设备（产品）、服务内容、数量与谈判响应文件、竞争性谈判文件等所指明的，或者与本合同所指明的设备（产品）、服务内容相一致。（附清单）</w:t>
      </w:r>
    </w:p>
    <w:p>
      <w:pPr>
        <w:spacing w:after="120" w:afterLine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供货</w:t>
      </w:r>
      <w:r>
        <w:rPr>
          <w:rFonts w:hint="eastAsia" w:ascii="宋体" w:hAnsi="宋体" w:eastAsia="宋体" w:cs="宋体"/>
          <w:b/>
          <w:sz w:val="32"/>
          <w:szCs w:val="32"/>
          <w:highlight w:val="none"/>
          <w:lang w:eastAsia="zh-CN"/>
        </w:rPr>
        <w:t>内容</w:t>
      </w:r>
      <w:r>
        <w:rPr>
          <w:rFonts w:hint="eastAsia" w:ascii="宋体" w:hAnsi="宋体" w:eastAsia="宋体" w:cs="宋体"/>
          <w:b/>
          <w:sz w:val="32"/>
          <w:szCs w:val="32"/>
          <w:highlight w:val="none"/>
        </w:rPr>
        <w:t>一览表</w:t>
      </w:r>
    </w:p>
    <w:tbl>
      <w:tblPr>
        <w:tblStyle w:val="28"/>
        <w:tblW w:w="95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5"/>
        <w:gridCol w:w="960"/>
        <w:gridCol w:w="1485"/>
        <w:gridCol w:w="1695"/>
        <w:gridCol w:w="825"/>
        <w:gridCol w:w="735"/>
        <w:gridCol w:w="1050"/>
        <w:gridCol w:w="1215"/>
        <w:gridCol w:w="9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vAlign w:val="center"/>
          </w:tcPr>
          <w:p>
            <w:pPr>
              <w:spacing w:before="163"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序号</w:t>
            </w:r>
          </w:p>
        </w:tc>
        <w:tc>
          <w:tcPr>
            <w:tcW w:w="960" w:type="dxa"/>
            <w:vAlign w:val="center"/>
          </w:tcPr>
          <w:p>
            <w:pPr>
              <w:spacing w:before="163"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名称</w:t>
            </w:r>
          </w:p>
        </w:tc>
        <w:tc>
          <w:tcPr>
            <w:tcW w:w="1485" w:type="dxa"/>
            <w:tcBorders>
              <w:right w:val="single" w:color="auto" w:sz="4" w:space="0"/>
            </w:tcBorders>
            <w:vAlign w:val="center"/>
          </w:tcPr>
          <w:p>
            <w:pPr>
              <w:pStyle w:val="4"/>
              <w:adjustRightInd w:val="0"/>
              <w:snapToGrid w:val="0"/>
              <w:ind w:lef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品牌、规格及型号</w:t>
            </w:r>
          </w:p>
        </w:tc>
        <w:tc>
          <w:tcPr>
            <w:tcW w:w="1695" w:type="dxa"/>
            <w:tcBorders>
              <w:left w:val="single" w:color="auto" w:sz="4" w:space="0"/>
            </w:tcBorders>
            <w:vAlign w:val="center"/>
          </w:tcPr>
          <w:p>
            <w:pPr>
              <w:pStyle w:val="4"/>
              <w:adjustRightInd w:val="0"/>
              <w:snapToGrid w:val="0"/>
              <w:ind w:lef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原产地及 制造厂名</w:t>
            </w:r>
          </w:p>
        </w:tc>
        <w:tc>
          <w:tcPr>
            <w:tcW w:w="825" w:type="dxa"/>
            <w:tcBorders>
              <w:right w:val="single" w:color="auto" w:sz="4" w:space="0"/>
            </w:tcBorders>
            <w:vAlign w:val="center"/>
          </w:tcPr>
          <w:p>
            <w:pPr>
              <w:pStyle w:val="4"/>
              <w:adjustRightInd w:val="0"/>
              <w:snapToGrid w:val="0"/>
              <w:ind w:lef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单价</w:t>
            </w:r>
          </w:p>
        </w:tc>
        <w:tc>
          <w:tcPr>
            <w:tcW w:w="735" w:type="dxa"/>
            <w:tcBorders>
              <w:left w:val="single" w:color="auto" w:sz="4" w:space="0"/>
              <w:right w:val="single" w:color="auto" w:sz="4" w:space="0"/>
            </w:tcBorders>
            <w:vAlign w:val="center"/>
          </w:tcPr>
          <w:p>
            <w:pPr>
              <w:pStyle w:val="4"/>
              <w:adjustRightInd w:val="0"/>
              <w:snapToGrid w:val="0"/>
              <w:ind w:lef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数量</w:t>
            </w:r>
          </w:p>
        </w:tc>
        <w:tc>
          <w:tcPr>
            <w:tcW w:w="1050" w:type="dxa"/>
            <w:tcBorders>
              <w:left w:val="single" w:color="auto" w:sz="4" w:space="0"/>
            </w:tcBorders>
            <w:vAlign w:val="center"/>
          </w:tcPr>
          <w:p>
            <w:pPr>
              <w:pStyle w:val="4"/>
              <w:ind w:lef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交付地点</w:t>
            </w:r>
          </w:p>
        </w:tc>
        <w:tc>
          <w:tcPr>
            <w:tcW w:w="1215" w:type="dxa"/>
            <w:tcBorders>
              <w:right w:val="single" w:color="auto" w:sz="4" w:space="0"/>
            </w:tcBorders>
            <w:vAlign w:val="center"/>
          </w:tcPr>
          <w:p>
            <w:pPr>
              <w:pStyle w:val="4"/>
              <w:ind w:lef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交付时间</w:t>
            </w:r>
          </w:p>
        </w:tc>
        <w:tc>
          <w:tcPr>
            <w:tcW w:w="903" w:type="dxa"/>
            <w:tcBorders>
              <w:right w:val="single" w:color="auto" w:sz="4" w:space="0"/>
            </w:tcBorders>
            <w:vAlign w:val="center"/>
          </w:tcPr>
          <w:p>
            <w:pPr>
              <w:pStyle w:val="4"/>
              <w:ind w:lef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vAlign w:val="top"/>
          </w:tcPr>
          <w:p>
            <w:pPr>
              <w:spacing w:before="163" w:beforeLines="50" w:line="360" w:lineRule="auto"/>
              <w:jc w:val="center"/>
              <w:rPr>
                <w:rFonts w:hint="eastAsia" w:ascii="宋体" w:hAnsi="宋体" w:eastAsia="宋体" w:cs="宋体"/>
                <w:szCs w:val="24"/>
                <w:highlight w:val="none"/>
              </w:rPr>
            </w:pPr>
          </w:p>
        </w:tc>
        <w:tc>
          <w:tcPr>
            <w:tcW w:w="960" w:type="dxa"/>
            <w:vAlign w:val="top"/>
          </w:tcPr>
          <w:p>
            <w:pPr>
              <w:spacing w:before="163" w:beforeLines="50" w:line="360" w:lineRule="auto"/>
              <w:jc w:val="center"/>
              <w:rPr>
                <w:rFonts w:hint="eastAsia" w:ascii="宋体" w:hAnsi="宋体" w:eastAsia="宋体" w:cs="宋体"/>
                <w:szCs w:val="24"/>
                <w:highlight w:val="none"/>
              </w:rPr>
            </w:pPr>
          </w:p>
        </w:tc>
        <w:tc>
          <w:tcPr>
            <w:tcW w:w="1485" w:type="dxa"/>
            <w:tcBorders>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1695" w:type="dxa"/>
            <w:tcBorders>
              <w:lef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825" w:type="dxa"/>
            <w:tcBorders>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735" w:type="dxa"/>
            <w:tcBorders>
              <w:left w:val="single" w:color="auto" w:sz="4" w:space="0"/>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1050" w:type="dxa"/>
            <w:tcBorders>
              <w:lef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1215" w:type="dxa"/>
            <w:tcBorders>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903" w:type="dxa"/>
            <w:tcBorders>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vAlign w:val="top"/>
          </w:tcPr>
          <w:p>
            <w:pPr>
              <w:spacing w:before="163" w:beforeLines="50" w:line="360" w:lineRule="auto"/>
              <w:jc w:val="center"/>
              <w:rPr>
                <w:rFonts w:hint="eastAsia" w:ascii="宋体" w:hAnsi="宋体" w:eastAsia="宋体" w:cs="宋体"/>
                <w:szCs w:val="24"/>
                <w:highlight w:val="none"/>
              </w:rPr>
            </w:pPr>
          </w:p>
        </w:tc>
        <w:tc>
          <w:tcPr>
            <w:tcW w:w="960" w:type="dxa"/>
            <w:vAlign w:val="top"/>
          </w:tcPr>
          <w:p>
            <w:pPr>
              <w:spacing w:before="163" w:beforeLines="50" w:line="360" w:lineRule="auto"/>
              <w:jc w:val="center"/>
              <w:rPr>
                <w:rFonts w:hint="eastAsia" w:ascii="宋体" w:hAnsi="宋体" w:eastAsia="宋体" w:cs="宋体"/>
                <w:szCs w:val="24"/>
                <w:highlight w:val="none"/>
              </w:rPr>
            </w:pPr>
          </w:p>
        </w:tc>
        <w:tc>
          <w:tcPr>
            <w:tcW w:w="1485" w:type="dxa"/>
            <w:tcBorders>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1695" w:type="dxa"/>
            <w:tcBorders>
              <w:lef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825" w:type="dxa"/>
            <w:tcBorders>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735" w:type="dxa"/>
            <w:tcBorders>
              <w:left w:val="single" w:color="auto" w:sz="4" w:space="0"/>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1050" w:type="dxa"/>
            <w:tcBorders>
              <w:lef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1215" w:type="dxa"/>
            <w:tcBorders>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903" w:type="dxa"/>
            <w:tcBorders>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vAlign w:val="top"/>
          </w:tcPr>
          <w:p>
            <w:pPr>
              <w:spacing w:before="163" w:beforeLines="50" w:line="360" w:lineRule="auto"/>
              <w:jc w:val="center"/>
              <w:rPr>
                <w:rFonts w:hint="eastAsia" w:ascii="宋体" w:hAnsi="宋体" w:eastAsia="宋体" w:cs="宋体"/>
                <w:szCs w:val="24"/>
                <w:highlight w:val="none"/>
              </w:rPr>
            </w:pPr>
          </w:p>
        </w:tc>
        <w:tc>
          <w:tcPr>
            <w:tcW w:w="960" w:type="dxa"/>
            <w:vAlign w:val="top"/>
          </w:tcPr>
          <w:p>
            <w:pPr>
              <w:spacing w:before="163" w:beforeLines="50" w:line="360" w:lineRule="auto"/>
              <w:jc w:val="center"/>
              <w:rPr>
                <w:rFonts w:hint="eastAsia" w:ascii="宋体" w:hAnsi="宋体" w:eastAsia="宋体" w:cs="宋体"/>
                <w:szCs w:val="24"/>
                <w:highlight w:val="none"/>
              </w:rPr>
            </w:pPr>
          </w:p>
        </w:tc>
        <w:tc>
          <w:tcPr>
            <w:tcW w:w="1485" w:type="dxa"/>
            <w:tcBorders>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1695" w:type="dxa"/>
            <w:tcBorders>
              <w:lef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825" w:type="dxa"/>
            <w:tcBorders>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735" w:type="dxa"/>
            <w:tcBorders>
              <w:left w:val="single" w:color="auto" w:sz="4" w:space="0"/>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1050" w:type="dxa"/>
            <w:tcBorders>
              <w:lef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1215" w:type="dxa"/>
            <w:tcBorders>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903" w:type="dxa"/>
            <w:tcBorders>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vAlign w:val="top"/>
          </w:tcPr>
          <w:p>
            <w:pPr>
              <w:spacing w:before="163" w:beforeLines="50" w:line="360" w:lineRule="auto"/>
              <w:jc w:val="center"/>
              <w:rPr>
                <w:rFonts w:hint="eastAsia" w:ascii="宋体" w:hAnsi="宋体" w:eastAsia="宋体" w:cs="宋体"/>
                <w:szCs w:val="24"/>
                <w:highlight w:val="none"/>
              </w:rPr>
            </w:pPr>
          </w:p>
        </w:tc>
        <w:tc>
          <w:tcPr>
            <w:tcW w:w="960" w:type="dxa"/>
            <w:vAlign w:val="top"/>
          </w:tcPr>
          <w:p>
            <w:pPr>
              <w:spacing w:before="163" w:beforeLines="50" w:line="360" w:lineRule="auto"/>
              <w:jc w:val="center"/>
              <w:rPr>
                <w:rFonts w:hint="eastAsia" w:ascii="宋体" w:hAnsi="宋体" w:eastAsia="宋体" w:cs="宋体"/>
                <w:szCs w:val="24"/>
                <w:highlight w:val="none"/>
              </w:rPr>
            </w:pPr>
          </w:p>
        </w:tc>
        <w:tc>
          <w:tcPr>
            <w:tcW w:w="1485" w:type="dxa"/>
            <w:tcBorders>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1695" w:type="dxa"/>
            <w:tcBorders>
              <w:lef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825" w:type="dxa"/>
            <w:tcBorders>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735" w:type="dxa"/>
            <w:tcBorders>
              <w:left w:val="single" w:color="auto" w:sz="4" w:space="0"/>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1050" w:type="dxa"/>
            <w:tcBorders>
              <w:lef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1215" w:type="dxa"/>
            <w:tcBorders>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c>
          <w:tcPr>
            <w:tcW w:w="903" w:type="dxa"/>
            <w:tcBorders>
              <w:right w:val="single" w:color="auto" w:sz="4" w:space="0"/>
            </w:tcBorders>
            <w:vAlign w:val="top"/>
          </w:tcPr>
          <w:p>
            <w:pPr>
              <w:spacing w:before="163" w:beforeLines="50" w:line="360" w:lineRule="auto"/>
              <w:jc w:val="center"/>
              <w:rPr>
                <w:rFonts w:hint="eastAsia" w:ascii="宋体" w:hAnsi="宋体" w:eastAsia="宋体" w:cs="宋体"/>
                <w:szCs w:val="24"/>
                <w:highlight w:val="none"/>
              </w:rPr>
            </w:pPr>
          </w:p>
        </w:tc>
      </w:tr>
    </w:tbl>
    <w:p>
      <w:pPr>
        <w:pStyle w:val="9"/>
        <w:rPr>
          <w:rFonts w:hint="eastAsia" w:ascii="宋体" w:hAnsi="宋体" w:eastAsia="宋体" w:cs="宋体"/>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九、安装、调试要求：</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详见竞争性谈判文件合同前附表。</w:t>
      </w:r>
    </w:p>
    <w:p>
      <w:pPr>
        <w:tabs>
          <w:tab w:val="left" w:pos="840"/>
        </w:tabs>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十、技术支持：</w:t>
      </w:r>
    </w:p>
    <w:p>
      <w:pPr>
        <w:spacing w:line="360" w:lineRule="auto"/>
        <w:ind w:firstLine="787" w:firstLineChars="328"/>
        <w:rPr>
          <w:rFonts w:hint="eastAsia" w:ascii="宋体" w:hAnsi="宋体" w:eastAsia="宋体" w:cs="宋体"/>
          <w:sz w:val="24"/>
          <w:highlight w:val="none"/>
        </w:rPr>
      </w:pPr>
      <w:r>
        <w:rPr>
          <w:rFonts w:hint="eastAsia" w:ascii="宋体" w:hAnsi="宋体" w:eastAsia="宋体" w:cs="宋体"/>
          <w:sz w:val="24"/>
          <w:highlight w:val="none"/>
        </w:rPr>
        <w:t>提供全年7×24小时的技术咨询服务。</w:t>
      </w:r>
    </w:p>
    <w:p>
      <w:pPr>
        <w:numPr>
          <w:ilvl w:val="0"/>
          <w:numId w:val="3"/>
        </w:num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技术培训：</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   </w:t>
      </w:r>
      <w:r>
        <w:rPr>
          <w:rFonts w:hint="eastAsia" w:ascii="宋体" w:hAnsi="宋体" w:eastAsia="宋体" w:cs="宋体"/>
          <w:b/>
          <w:sz w:val="24"/>
          <w:highlight w:val="none"/>
          <w:lang w:val="en-US" w:eastAsia="zh-CN"/>
        </w:rPr>
        <w:t xml:space="preserve"> </w:t>
      </w:r>
      <w:r>
        <w:rPr>
          <w:rFonts w:hint="eastAsia" w:ascii="宋体" w:hAnsi="宋体" w:eastAsia="宋体" w:cs="宋体"/>
          <w:b/>
          <w:sz w:val="24"/>
          <w:highlight w:val="none"/>
        </w:rPr>
        <w:t xml:space="preserve">  </w:t>
      </w:r>
      <w:r>
        <w:rPr>
          <w:rFonts w:hint="eastAsia" w:ascii="宋体" w:hAnsi="宋体" w:eastAsia="宋体" w:cs="宋体"/>
          <w:sz w:val="24"/>
          <w:szCs w:val="24"/>
          <w:highlight w:val="none"/>
        </w:rPr>
        <w:t>详见竞争性谈判文件合同前附表。</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十二、技术资料要求：</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详见竞争性谈判文件合同前附表。</w:t>
      </w:r>
      <w:r>
        <w:rPr>
          <w:rFonts w:hint="eastAsia" w:ascii="宋体" w:hAnsi="宋体" w:eastAsia="宋体" w:cs="宋体"/>
          <w:sz w:val="24"/>
          <w:szCs w:val="24"/>
          <w:highlight w:val="none"/>
          <w:lang w:eastAsia="zh-CN"/>
        </w:rPr>
        <w:t xml:space="preserve">  </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十三、质量保证：</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szCs w:val="24"/>
          <w:highlight w:val="none"/>
        </w:rPr>
        <w:t xml:space="preserve">  详见竞争性谈判文件合同前附表。</w:t>
      </w:r>
    </w:p>
    <w:p>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十四、验收:</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详见竞争性谈判文件合同前附表。</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十五、质保及维保服务（提供售后服务承诺书）：</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详见竞争性谈判文件合同前附表。</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十六、保密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双方须对工作中了解到的使用单位技术、机密等进行严格保密，不得向他人泄漏。</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十七、知识产权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谈判产品及服务不会出现因第三方提出侵犯其专利权、商标权或其它知识产权而引发法律或经济纠纷，否则由供应商承担全部责任。任何被供应商用于未经授权的商业目的行为所造成的违约或侵权责任由供应商承但。</w:t>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十八、合同争议的解决：</w:t>
      </w:r>
      <w:r>
        <w:rPr>
          <w:rFonts w:hint="eastAsia" w:ascii="宋体" w:hAnsi="宋体" w:eastAsia="宋体" w:cs="宋体"/>
          <w:sz w:val="24"/>
          <w:highlight w:val="none"/>
        </w:rPr>
        <w:t>合同执行中发生争议的，当事人双方应协商解决，协商达不成一致时，可向当地行政仲裁机关申请仲裁或者向人民法院提请诉讼。</w:t>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十九、</w:t>
      </w:r>
      <w:r>
        <w:rPr>
          <w:rFonts w:hint="eastAsia" w:ascii="宋体" w:hAnsi="宋体" w:eastAsia="宋体" w:cs="宋体"/>
          <w:sz w:val="24"/>
          <w:highlight w:val="none"/>
        </w:rPr>
        <w:t>在发生不可抗力情况下的应对措施和解决办法。</w:t>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二十、</w:t>
      </w:r>
      <w:r>
        <w:rPr>
          <w:rFonts w:hint="eastAsia" w:ascii="宋体" w:hAnsi="宋体" w:eastAsia="宋体" w:cs="宋体"/>
          <w:sz w:val="24"/>
          <w:highlight w:val="none"/>
        </w:rPr>
        <w:t>合同一经签订，不得擅自变更、中止或者终止合同。对确需变更、调整或者中止、终止合同的，应按规定履行相应的手续。</w:t>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二十一、违约责任：</w:t>
      </w:r>
      <w:r>
        <w:rPr>
          <w:rFonts w:hint="eastAsia" w:ascii="宋体" w:hAnsi="宋体" w:eastAsia="宋体" w:cs="宋体"/>
          <w:sz w:val="24"/>
          <w:highlight w:val="none"/>
        </w:rPr>
        <w:t>依据《中华人民共和国</w:t>
      </w:r>
      <w:r>
        <w:rPr>
          <w:rFonts w:hint="eastAsia" w:ascii="宋体" w:hAnsi="宋体" w:eastAsia="宋体" w:cs="宋体"/>
          <w:sz w:val="24"/>
          <w:highlight w:val="none"/>
          <w:lang w:eastAsia="zh-CN"/>
        </w:rPr>
        <w:t>民法典</w:t>
      </w:r>
      <w:r>
        <w:rPr>
          <w:rFonts w:hint="eastAsia" w:ascii="宋体" w:hAnsi="宋体" w:eastAsia="宋体" w:cs="宋体"/>
          <w:sz w:val="24"/>
          <w:highlight w:val="none"/>
        </w:rPr>
        <w:t>》、《中华人民共和国政府采购法》的相关条款和本合同约定，成交供应商未全面履行合同义务或者发生违约，采购单位会同采购代理机构有权终止合同，依法向成交供应商进行经济索赔，并报请政府采购监督管理机关进行相应的行政处罚。采购单位违约的，应当赔偿给成交供应商造成的经济损失。</w:t>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二十二、其他（</w:t>
      </w:r>
      <w:r>
        <w:rPr>
          <w:rFonts w:hint="eastAsia" w:ascii="宋体" w:hAnsi="宋体" w:eastAsia="宋体" w:cs="宋体"/>
          <w:sz w:val="24"/>
          <w:highlight w:val="none"/>
        </w:rPr>
        <w:t>在合同中具体明确）</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二十三、合同订立</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1. 订立时间：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2. 订立地点：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tabs>
          <w:tab w:val="left" w:pos="980"/>
        </w:tabs>
        <w:kinsoku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本合同一式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份，具有同等法律效力，双方各执</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份，监管部门备案壹份、采购代理机构存档壹份。各方签字盖章后生效，合同执行完毕自动失效。（合同的服务承诺则长期有效）。</w:t>
      </w:r>
    </w:p>
    <w:p>
      <w:pPr>
        <w:pStyle w:val="9"/>
        <w:rPr>
          <w:rFonts w:hint="eastAsia" w:ascii="宋体" w:hAnsi="宋体" w:eastAsia="宋体" w:cs="宋体"/>
          <w:highlight w:val="none"/>
        </w:rPr>
      </w:pP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采购人：</w:t>
      </w:r>
      <w:bookmarkStart w:id="36" w:name="OLE_LINK5"/>
      <w:r>
        <w:rPr>
          <w:rFonts w:hint="eastAsia" w:ascii="宋体" w:hAnsi="宋体" w:eastAsia="宋体" w:cs="宋体"/>
          <w:sz w:val="24"/>
          <w:highlight w:val="none"/>
          <w:u w:val="single"/>
        </w:rPr>
        <w:t xml:space="preserve">   （盖章）         </w:t>
      </w:r>
      <w:r>
        <w:rPr>
          <w:rFonts w:hint="eastAsia" w:ascii="宋体" w:hAnsi="宋体" w:eastAsia="宋体" w:cs="宋体"/>
          <w:sz w:val="24"/>
          <w:highlight w:val="none"/>
        </w:rPr>
        <w:t xml:space="preserve"> </w:t>
      </w:r>
      <w:bookmarkEnd w:id="36"/>
      <w:r>
        <w:rPr>
          <w:rFonts w:hint="eastAsia" w:ascii="宋体" w:hAnsi="宋体" w:eastAsia="宋体" w:cs="宋体"/>
          <w:sz w:val="24"/>
          <w:highlight w:val="none"/>
        </w:rPr>
        <w:t xml:space="preserve">     供应商：</w:t>
      </w:r>
      <w:r>
        <w:rPr>
          <w:rFonts w:hint="eastAsia" w:ascii="宋体" w:hAnsi="宋体" w:eastAsia="宋体" w:cs="宋体"/>
          <w:sz w:val="24"/>
          <w:highlight w:val="none"/>
          <w:u w:val="single"/>
        </w:rPr>
        <w:t xml:space="preserve">   （盖章）         </w:t>
      </w:r>
      <w:r>
        <w:rPr>
          <w:rFonts w:hint="eastAsia" w:ascii="宋体" w:hAnsi="宋体" w:eastAsia="宋体" w:cs="宋体"/>
          <w:sz w:val="24"/>
          <w:highlight w:val="none"/>
        </w:rPr>
        <w:t xml:space="preserve"> </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 xml:space="preserve">地  址：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地  址： </w:t>
      </w:r>
      <w:r>
        <w:rPr>
          <w:rFonts w:hint="eastAsia" w:ascii="宋体" w:hAnsi="宋体" w:eastAsia="宋体" w:cs="宋体"/>
          <w:sz w:val="24"/>
          <w:highlight w:val="none"/>
          <w:u w:val="single"/>
        </w:rPr>
        <w:t xml:space="preserve">                   </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邮政编码：</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邮政编码：</w:t>
      </w:r>
      <w:r>
        <w:rPr>
          <w:rFonts w:hint="eastAsia" w:ascii="宋体" w:hAnsi="宋体" w:eastAsia="宋体" w:cs="宋体"/>
          <w:sz w:val="24"/>
          <w:highlight w:val="none"/>
          <w:u w:val="single"/>
        </w:rPr>
        <w:t xml:space="preserve">                  </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法定代表人或其授权                法定代表人或其授权</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的代理人：</w:t>
      </w:r>
      <w:r>
        <w:rPr>
          <w:rFonts w:hint="eastAsia" w:ascii="宋体" w:hAnsi="宋体" w:eastAsia="宋体" w:cs="宋体"/>
          <w:sz w:val="24"/>
          <w:highlight w:val="none"/>
          <w:u w:val="single"/>
        </w:rPr>
        <w:t xml:space="preserve">（签字）          </w:t>
      </w:r>
      <w:r>
        <w:rPr>
          <w:rFonts w:hint="eastAsia" w:ascii="宋体" w:hAnsi="宋体" w:eastAsia="宋体" w:cs="宋体"/>
          <w:sz w:val="24"/>
          <w:highlight w:val="none"/>
        </w:rPr>
        <w:t xml:space="preserve">      的代理人：</w:t>
      </w:r>
      <w:r>
        <w:rPr>
          <w:rFonts w:hint="eastAsia" w:ascii="宋体" w:hAnsi="宋体" w:eastAsia="宋体" w:cs="宋体"/>
          <w:sz w:val="24"/>
          <w:highlight w:val="none"/>
          <w:u w:val="single"/>
        </w:rPr>
        <w:t xml:space="preserve">（签字）          </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开户银行：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开户银行：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账  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账  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电  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电  话：</w:t>
      </w:r>
      <w:r>
        <w:rPr>
          <w:rFonts w:hint="eastAsia" w:ascii="宋体" w:hAnsi="宋体" w:eastAsia="宋体" w:cs="宋体"/>
          <w:sz w:val="24"/>
          <w:highlight w:val="none"/>
          <w:u w:val="single"/>
        </w:rPr>
        <w:t xml:space="preserve">                    </w:t>
      </w:r>
    </w:p>
    <w:p>
      <w:pPr>
        <w:adjustRightInd w:val="0"/>
        <w:snapToGrid w:val="0"/>
        <w:spacing w:line="360" w:lineRule="auto"/>
        <w:ind w:firstLine="475" w:firstLineChars="198"/>
        <w:rPr>
          <w:rFonts w:hint="eastAsia" w:ascii="宋体" w:hAnsi="宋体" w:eastAsia="宋体" w:cs="宋体"/>
          <w:sz w:val="24"/>
          <w:highlight w:val="none"/>
        </w:rPr>
      </w:pPr>
      <w:r>
        <w:rPr>
          <w:rFonts w:hint="eastAsia" w:ascii="宋体" w:hAnsi="宋体" w:eastAsia="宋体" w:cs="宋体"/>
          <w:sz w:val="24"/>
          <w:highlight w:val="none"/>
        </w:rPr>
        <w:t>传  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传  真：</w:t>
      </w:r>
      <w:r>
        <w:rPr>
          <w:rFonts w:hint="eastAsia" w:ascii="宋体" w:hAnsi="宋体" w:eastAsia="宋体" w:cs="宋体"/>
          <w:sz w:val="24"/>
          <w:highlight w:val="none"/>
          <w:u w:val="single"/>
        </w:rPr>
        <w:t xml:space="preserve">                    </w:t>
      </w:r>
    </w:p>
    <w:p>
      <w:pPr>
        <w:adjustRightInd w:val="0"/>
        <w:snapToGrid w:val="0"/>
        <w:spacing w:line="360" w:lineRule="auto"/>
        <w:ind w:firstLine="475" w:firstLineChars="198"/>
        <w:rPr>
          <w:rFonts w:hint="eastAsia" w:ascii="宋体" w:hAnsi="宋体" w:eastAsia="宋体" w:cs="宋体"/>
          <w:b/>
          <w:sz w:val="44"/>
          <w:szCs w:val="44"/>
          <w:highlight w:val="none"/>
        </w:rPr>
      </w:pPr>
      <w:r>
        <w:rPr>
          <w:rFonts w:hint="eastAsia" w:ascii="宋体" w:hAnsi="宋体" w:eastAsia="宋体" w:cs="宋体"/>
          <w:sz w:val="24"/>
          <w:highlight w:val="none"/>
        </w:rPr>
        <w:t>电子邮箱：</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电子邮箱：</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adjustRightInd w:val="0"/>
        <w:snapToGrid w:val="0"/>
        <w:spacing w:line="400" w:lineRule="exact"/>
        <w:ind w:firstLine="475" w:firstLineChars="198"/>
        <w:rPr>
          <w:rFonts w:hint="eastAsia" w:ascii="宋体" w:hAnsi="宋体" w:eastAsia="宋体" w:cs="宋体"/>
          <w:sz w:val="24"/>
          <w:szCs w:val="24"/>
          <w:highlight w:val="none"/>
          <w:lang w:val="en-US" w:eastAsia="zh-CN"/>
        </w:rPr>
      </w:pPr>
    </w:p>
    <w:p>
      <w:pPr>
        <w:adjustRightInd w:val="0"/>
        <w:snapToGrid w:val="0"/>
        <w:spacing w:line="360" w:lineRule="auto"/>
        <w:ind w:firstLine="475" w:firstLineChars="198"/>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鉴证方（盖章）：</w:t>
      </w:r>
    </w:p>
    <w:p>
      <w:pPr>
        <w:pStyle w:val="2"/>
        <w:outlineLvl w:val="9"/>
        <w:rPr>
          <w:rFonts w:hint="eastAsia" w:ascii="宋体" w:hAnsi="宋体" w:eastAsia="宋体" w:cs="宋体"/>
          <w:sz w:val="24"/>
          <w:szCs w:val="24"/>
          <w:highlight w:val="none"/>
          <w:lang w:val="en-US" w:eastAsia="zh-CN"/>
        </w:rPr>
      </w:pPr>
    </w:p>
    <w:p>
      <w:pPr>
        <w:rPr>
          <w:rFonts w:hint="eastAsia" w:ascii="宋体" w:hAnsi="宋体" w:eastAsia="宋体" w:cs="宋体"/>
          <w:sz w:val="24"/>
          <w:szCs w:val="24"/>
          <w:highlight w:val="none"/>
          <w:lang w:val="en-US" w:eastAsia="zh-CN"/>
        </w:rPr>
      </w:pPr>
    </w:p>
    <w:p>
      <w:pPr>
        <w:pStyle w:val="2"/>
        <w:outlineLvl w:val="9"/>
        <w:rPr>
          <w:rFonts w:hint="eastAsia" w:ascii="宋体" w:hAnsi="宋体" w:eastAsia="宋体" w:cs="宋体"/>
          <w:sz w:val="24"/>
          <w:szCs w:val="24"/>
          <w:highlight w:val="none"/>
          <w:lang w:val="en-US" w:eastAsia="zh-CN"/>
        </w:rPr>
      </w:pPr>
    </w:p>
    <w:p>
      <w:pPr>
        <w:rPr>
          <w:rFonts w:hint="eastAsia" w:ascii="宋体" w:hAnsi="宋体" w:eastAsia="宋体" w:cs="宋体"/>
          <w:sz w:val="24"/>
          <w:szCs w:val="24"/>
          <w:highlight w:val="none"/>
          <w:lang w:val="en-US" w:eastAsia="zh-CN"/>
        </w:rPr>
      </w:pPr>
    </w:p>
    <w:p>
      <w:pPr>
        <w:pStyle w:val="2"/>
        <w:outlineLvl w:val="9"/>
        <w:rPr>
          <w:rFonts w:hint="eastAsia" w:ascii="宋体" w:hAnsi="宋体" w:eastAsia="宋体" w:cs="宋体"/>
          <w:sz w:val="24"/>
          <w:szCs w:val="24"/>
          <w:highlight w:val="none"/>
          <w:lang w:val="en-US" w:eastAsia="zh-CN"/>
        </w:rPr>
      </w:pPr>
    </w:p>
    <w:p>
      <w:pPr>
        <w:rPr>
          <w:rFonts w:hint="eastAsia" w:ascii="宋体" w:hAnsi="宋体" w:eastAsia="宋体" w:cs="宋体"/>
          <w:sz w:val="24"/>
          <w:szCs w:val="24"/>
          <w:highlight w:val="none"/>
          <w:lang w:val="en-US" w:eastAsia="zh-CN"/>
        </w:rPr>
      </w:pPr>
    </w:p>
    <w:p>
      <w:pPr>
        <w:pStyle w:val="2"/>
        <w:outlineLvl w:val="9"/>
        <w:rPr>
          <w:rFonts w:hint="eastAsia" w:ascii="宋体" w:hAnsi="宋体" w:eastAsia="宋体" w:cs="宋体"/>
          <w:sz w:val="24"/>
          <w:szCs w:val="24"/>
          <w:highlight w:val="none"/>
          <w:lang w:val="en-US" w:eastAsia="zh-CN"/>
        </w:rPr>
      </w:pPr>
    </w:p>
    <w:p>
      <w:pPr>
        <w:rPr>
          <w:rFonts w:hint="eastAsia" w:ascii="宋体" w:hAnsi="宋体" w:eastAsia="宋体" w:cs="宋体"/>
          <w:sz w:val="24"/>
          <w:szCs w:val="24"/>
          <w:highlight w:val="none"/>
          <w:lang w:val="en-US" w:eastAsia="zh-CN"/>
        </w:rPr>
      </w:pPr>
    </w:p>
    <w:p>
      <w:pPr>
        <w:pStyle w:val="2"/>
        <w:outlineLvl w:val="9"/>
        <w:rPr>
          <w:rFonts w:hint="eastAsia" w:ascii="宋体" w:hAnsi="宋体" w:eastAsia="宋体" w:cs="宋体"/>
          <w:sz w:val="24"/>
          <w:szCs w:val="24"/>
          <w:highlight w:val="none"/>
          <w:lang w:val="en-US" w:eastAsia="zh-CN"/>
        </w:rPr>
      </w:pPr>
    </w:p>
    <w:p>
      <w:pPr>
        <w:rPr>
          <w:rFonts w:hint="eastAsia" w:ascii="宋体" w:hAnsi="宋体" w:eastAsia="宋体" w:cs="宋体"/>
          <w:sz w:val="24"/>
          <w:szCs w:val="24"/>
          <w:highlight w:val="none"/>
          <w:lang w:val="en-US" w:eastAsia="zh-CN"/>
        </w:rPr>
      </w:pPr>
    </w:p>
    <w:p>
      <w:pPr>
        <w:pStyle w:val="2"/>
        <w:outlineLvl w:val="9"/>
        <w:rPr>
          <w:rFonts w:hint="eastAsia" w:ascii="宋体" w:hAnsi="宋体" w:eastAsia="宋体" w:cs="宋体"/>
          <w:sz w:val="24"/>
          <w:szCs w:val="24"/>
          <w:highlight w:val="none"/>
          <w:lang w:val="en-US" w:eastAsia="zh-CN"/>
        </w:rPr>
      </w:pPr>
    </w:p>
    <w:p>
      <w:pPr>
        <w:rPr>
          <w:rFonts w:hint="eastAsia" w:ascii="宋体" w:hAnsi="宋体" w:eastAsia="宋体" w:cs="宋体"/>
          <w:sz w:val="24"/>
          <w:szCs w:val="24"/>
          <w:highlight w:val="none"/>
          <w:lang w:val="en-US" w:eastAsia="zh-CN"/>
        </w:rPr>
      </w:pPr>
    </w:p>
    <w:p>
      <w:pPr>
        <w:rPr>
          <w:rFonts w:hint="eastAsia" w:ascii="宋体" w:hAnsi="宋体" w:eastAsia="宋体" w:cs="宋体"/>
          <w:highlight w:val="none"/>
          <w:lang w:val="en-US" w:eastAsia="zh-CN"/>
        </w:rPr>
        <w:sectPr>
          <w:headerReference r:id="rId8" w:type="default"/>
          <w:footerReference r:id="rId9" w:type="default"/>
          <w:pgSz w:w="11906" w:h="16838"/>
          <w:pgMar w:top="1440" w:right="1440" w:bottom="1440" w:left="1440" w:header="851" w:footer="850" w:gutter="0"/>
          <w:pgBorders>
            <w:top w:val="none" w:sz="0" w:space="0"/>
            <w:left w:val="none" w:sz="0" w:space="0"/>
            <w:bottom w:val="none" w:sz="0" w:space="0"/>
            <w:right w:val="none" w:sz="0" w:space="0"/>
          </w:pgBorders>
          <w:pgNumType w:fmt="decimal" w:start="4"/>
          <w:cols w:space="720" w:num="1"/>
          <w:rtlGutter w:val="0"/>
          <w:docGrid w:type="lines" w:linePitch="312" w:charSpace="0"/>
        </w:sectPr>
      </w:pPr>
    </w:p>
    <w:bookmarkEnd w:id="28"/>
    <w:bookmarkEnd w:id="29"/>
    <w:bookmarkEnd w:id="30"/>
    <w:bookmarkEnd w:id="31"/>
    <w:p>
      <w:pPr>
        <w:pStyle w:val="3"/>
        <w:numPr>
          <w:ilvl w:val="0"/>
          <w:numId w:val="4"/>
        </w:numPr>
        <w:spacing w:line="360" w:lineRule="auto"/>
        <w:jc w:val="center"/>
        <w:rPr>
          <w:rFonts w:hint="eastAsia" w:ascii="宋体" w:hAnsi="宋体" w:eastAsia="宋体" w:cs="宋体"/>
          <w:b/>
          <w:bCs/>
          <w:sz w:val="36"/>
          <w:szCs w:val="36"/>
          <w:highlight w:val="none"/>
        </w:rPr>
      </w:pPr>
      <w:bookmarkStart w:id="37" w:name="_Toc32341"/>
      <w:bookmarkStart w:id="38" w:name="_Toc405358616"/>
      <w:bookmarkStart w:id="39" w:name="_Toc425781311"/>
      <w:r>
        <w:rPr>
          <w:rFonts w:hint="eastAsia" w:ascii="宋体" w:hAnsi="宋体" w:eastAsia="宋体" w:cs="宋体"/>
          <w:b/>
          <w:bCs/>
          <w:sz w:val="36"/>
          <w:szCs w:val="36"/>
          <w:highlight w:val="none"/>
          <w:lang w:val="en-US" w:eastAsia="zh-CN"/>
        </w:rPr>
        <w:t xml:space="preserve"> </w:t>
      </w:r>
      <w:bookmarkStart w:id="40" w:name="_Toc28646"/>
      <w:r>
        <w:rPr>
          <w:rFonts w:hint="eastAsia" w:ascii="宋体" w:hAnsi="宋体" w:eastAsia="宋体" w:cs="宋体"/>
          <w:b/>
          <w:bCs/>
          <w:sz w:val="36"/>
          <w:szCs w:val="36"/>
          <w:highlight w:val="none"/>
        </w:rPr>
        <w:t>竞争性谈判内容及技术要求</w:t>
      </w:r>
      <w:bookmarkEnd w:id="32"/>
      <w:bookmarkEnd w:id="37"/>
      <w:bookmarkEnd w:id="38"/>
      <w:bookmarkEnd w:id="39"/>
      <w:bookmarkEnd w:id="40"/>
      <w:bookmarkStart w:id="41" w:name="_Toc405191192"/>
      <w:bookmarkStart w:id="42" w:name="_Toc405358632"/>
    </w:p>
    <w:tbl>
      <w:tblPr>
        <w:tblStyle w:val="28"/>
        <w:tblW w:w="14914" w:type="dxa"/>
        <w:jc w:val="center"/>
        <w:tblLayout w:type="fixed"/>
        <w:tblCellMar>
          <w:top w:w="0" w:type="dxa"/>
          <w:left w:w="108" w:type="dxa"/>
          <w:bottom w:w="0" w:type="dxa"/>
          <w:right w:w="108" w:type="dxa"/>
        </w:tblCellMar>
      </w:tblPr>
      <w:tblGrid>
        <w:gridCol w:w="751"/>
        <w:gridCol w:w="980"/>
        <w:gridCol w:w="12007"/>
        <w:gridCol w:w="549"/>
        <w:gridCol w:w="627"/>
      </w:tblGrid>
      <w:tr>
        <w:tblPrEx>
          <w:tblCellMar>
            <w:top w:w="0" w:type="dxa"/>
            <w:left w:w="108" w:type="dxa"/>
            <w:bottom w:w="0" w:type="dxa"/>
            <w:right w:w="108" w:type="dxa"/>
          </w:tblCellMar>
        </w:tblPrEx>
        <w:trPr>
          <w:trHeight w:val="938"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序号</w:t>
            </w:r>
          </w:p>
        </w:tc>
        <w:tc>
          <w:tcPr>
            <w:tcW w:w="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项目</w:t>
            </w:r>
          </w:p>
        </w:tc>
        <w:tc>
          <w:tcPr>
            <w:tcW w:w="120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产品参数</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单位</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数量</w:t>
            </w:r>
          </w:p>
        </w:tc>
      </w:tr>
      <w:tr>
        <w:tblPrEx>
          <w:tblCellMar>
            <w:top w:w="0" w:type="dxa"/>
            <w:left w:w="108" w:type="dxa"/>
            <w:bottom w:w="0" w:type="dxa"/>
            <w:right w:w="108" w:type="dxa"/>
          </w:tblCellMar>
        </w:tblPrEx>
        <w:trPr>
          <w:trHeight w:val="202" w:hRule="atLeast"/>
          <w:jc w:val="center"/>
        </w:trPr>
        <w:tc>
          <w:tcPr>
            <w:tcW w:w="1491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textAlignment w:val="center"/>
              <w:rPr>
                <w:rFonts w:ascii="宋体" w:hAnsi="宋体" w:cs="宋体"/>
                <w:b/>
                <w:bCs/>
                <w:color w:val="000000"/>
                <w:kern w:val="0"/>
                <w:sz w:val="24"/>
                <w:szCs w:val="24"/>
                <w:highlight w:val="none"/>
                <w:bdr w:val="single" w:color="000000" w:sz="4" w:space="0"/>
                <w:lang w:bidi="ar"/>
              </w:rPr>
            </w:pPr>
            <w:r>
              <w:rPr>
                <w:sz w:val="24"/>
                <w:szCs w:val="24"/>
                <w:highlight w:val="none"/>
              </w:rPr>
              <w:drawing>
                <wp:anchor distT="0" distB="0" distL="114300" distR="114300" simplePos="0" relativeHeight="251659264" behindDoc="0" locked="0" layoutInCell="1" allowOverlap="1">
                  <wp:simplePos x="0" y="0"/>
                  <wp:positionH relativeFrom="column">
                    <wp:posOffset>1330325</wp:posOffset>
                  </wp:positionH>
                  <wp:positionV relativeFrom="paragraph">
                    <wp:posOffset>0</wp:posOffset>
                  </wp:positionV>
                  <wp:extent cx="9525" cy="9525"/>
                  <wp:effectExtent l="0" t="0" r="0" b="0"/>
                  <wp:wrapNone/>
                  <wp:docPr id="5" name="图片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_22"/>
                          <pic:cNvPicPr>
                            <a:picLocks noChangeAspect="1"/>
                          </pic:cNvPicPr>
                        </pic:nvPicPr>
                        <pic:blipFill>
                          <a:blip r:embed="rId13"/>
                          <a:stretch>
                            <a:fillRect/>
                          </a:stretch>
                        </pic:blipFill>
                        <pic:spPr>
                          <a:xfrm>
                            <a:off x="0" y="0"/>
                            <a:ext cx="9525" cy="9525"/>
                          </a:xfrm>
                          <a:prstGeom prst="rect">
                            <a:avLst/>
                          </a:prstGeom>
                          <a:noFill/>
                          <a:ln>
                            <a:noFill/>
                          </a:ln>
                        </pic:spPr>
                      </pic:pic>
                    </a:graphicData>
                  </a:graphic>
                </wp:anchor>
              </w:drawing>
            </w:r>
            <w:r>
              <w:rPr>
                <w:sz w:val="24"/>
                <w:szCs w:val="24"/>
                <w:highlight w:val="none"/>
              </w:rPr>
              <w:drawing>
                <wp:anchor distT="0" distB="0" distL="114300" distR="114300" simplePos="0" relativeHeight="251660288" behindDoc="0" locked="0" layoutInCell="1" allowOverlap="1">
                  <wp:simplePos x="0" y="0"/>
                  <wp:positionH relativeFrom="column">
                    <wp:posOffset>1330325</wp:posOffset>
                  </wp:positionH>
                  <wp:positionV relativeFrom="paragraph">
                    <wp:posOffset>0</wp:posOffset>
                  </wp:positionV>
                  <wp:extent cx="9525" cy="9525"/>
                  <wp:effectExtent l="0" t="0" r="0" b="0"/>
                  <wp:wrapNone/>
                  <wp:docPr id="10" name="图片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_10"/>
                          <pic:cNvPicPr>
                            <a:picLocks noChangeAspect="1"/>
                          </pic:cNvPicPr>
                        </pic:nvPicPr>
                        <pic:blipFill>
                          <a:blip r:embed="rId14"/>
                          <a:stretch>
                            <a:fillRect/>
                          </a:stretch>
                        </pic:blipFill>
                        <pic:spPr>
                          <a:xfrm>
                            <a:off x="0" y="0"/>
                            <a:ext cx="9525" cy="9525"/>
                          </a:xfrm>
                          <a:prstGeom prst="rect">
                            <a:avLst/>
                          </a:prstGeom>
                          <a:noFill/>
                          <a:ln>
                            <a:noFill/>
                          </a:ln>
                        </pic:spPr>
                      </pic:pic>
                    </a:graphicData>
                  </a:graphic>
                </wp:anchor>
              </w:drawing>
            </w:r>
            <w:r>
              <w:rPr>
                <w:sz w:val="24"/>
                <w:szCs w:val="24"/>
                <w:highlight w:val="none"/>
              </w:rPr>
              <w:drawing>
                <wp:anchor distT="0" distB="0" distL="114300" distR="114300" simplePos="0" relativeHeight="251661312" behindDoc="0" locked="0" layoutInCell="1" allowOverlap="1">
                  <wp:simplePos x="0" y="0"/>
                  <wp:positionH relativeFrom="column">
                    <wp:posOffset>2540000</wp:posOffset>
                  </wp:positionH>
                  <wp:positionV relativeFrom="paragraph">
                    <wp:posOffset>0</wp:posOffset>
                  </wp:positionV>
                  <wp:extent cx="9525" cy="9525"/>
                  <wp:effectExtent l="0" t="0" r="0" b="0"/>
                  <wp:wrapNone/>
                  <wp:docPr id="28" name="图片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_23"/>
                          <pic:cNvPicPr>
                            <a:picLocks noChangeAspect="1"/>
                          </pic:cNvPicPr>
                        </pic:nvPicPr>
                        <pic:blipFill>
                          <a:blip r:embed="rId15"/>
                          <a:stretch>
                            <a:fillRect/>
                          </a:stretch>
                        </pic:blipFill>
                        <pic:spPr>
                          <a:xfrm>
                            <a:off x="0" y="0"/>
                            <a:ext cx="9525" cy="9525"/>
                          </a:xfrm>
                          <a:prstGeom prst="rect">
                            <a:avLst/>
                          </a:prstGeom>
                          <a:noFill/>
                          <a:ln>
                            <a:noFill/>
                          </a:ln>
                        </pic:spPr>
                      </pic:pic>
                    </a:graphicData>
                  </a:graphic>
                </wp:anchor>
              </w:drawing>
            </w:r>
            <w:r>
              <w:rPr>
                <w:sz w:val="24"/>
                <w:szCs w:val="24"/>
                <w:highlight w:val="none"/>
              </w:rPr>
              <w:drawing>
                <wp:anchor distT="0" distB="0" distL="114300" distR="114300" simplePos="0" relativeHeight="251662336" behindDoc="0" locked="0" layoutInCell="1" allowOverlap="1">
                  <wp:simplePos x="0" y="0"/>
                  <wp:positionH relativeFrom="column">
                    <wp:posOffset>2940050</wp:posOffset>
                  </wp:positionH>
                  <wp:positionV relativeFrom="paragraph">
                    <wp:posOffset>0</wp:posOffset>
                  </wp:positionV>
                  <wp:extent cx="9525" cy="9525"/>
                  <wp:effectExtent l="0" t="0" r="0" b="0"/>
                  <wp:wrapNone/>
                  <wp:docPr id="11" name="图片_22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_22_SpCnt_1"/>
                          <pic:cNvPicPr>
                            <a:picLocks noChangeAspect="1"/>
                          </pic:cNvPicPr>
                        </pic:nvPicPr>
                        <pic:blipFill>
                          <a:blip r:embed="rId13"/>
                          <a:stretch>
                            <a:fillRect/>
                          </a:stretch>
                        </pic:blipFill>
                        <pic:spPr>
                          <a:xfrm>
                            <a:off x="0" y="0"/>
                            <a:ext cx="9525" cy="9525"/>
                          </a:xfrm>
                          <a:prstGeom prst="rect">
                            <a:avLst/>
                          </a:prstGeom>
                          <a:noFill/>
                          <a:ln>
                            <a:noFill/>
                          </a:ln>
                        </pic:spPr>
                      </pic:pic>
                    </a:graphicData>
                  </a:graphic>
                </wp:anchor>
              </w:drawing>
            </w:r>
            <w:r>
              <w:rPr>
                <w:sz w:val="24"/>
                <w:szCs w:val="24"/>
                <w:highlight w:val="none"/>
              </w:rPr>
              <w:drawing>
                <wp:anchor distT="0" distB="0" distL="114300" distR="114300" simplePos="0" relativeHeight="251663360" behindDoc="0" locked="0" layoutInCell="1" allowOverlap="1">
                  <wp:simplePos x="0" y="0"/>
                  <wp:positionH relativeFrom="column">
                    <wp:posOffset>2940050</wp:posOffset>
                  </wp:positionH>
                  <wp:positionV relativeFrom="paragraph">
                    <wp:posOffset>0</wp:posOffset>
                  </wp:positionV>
                  <wp:extent cx="11430" cy="9525"/>
                  <wp:effectExtent l="0" t="0" r="0" b="0"/>
                  <wp:wrapNone/>
                  <wp:docPr id="7" name="图片_22_SpCn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_22_SpCnt_2"/>
                          <pic:cNvPicPr>
                            <a:picLocks noChangeAspect="1"/>
                          </pic:cNvPicPr>
                        </pic:nvPicPr>
                        <pic:blipFill>
                          <a:blip r:embed="rId16"/>
                          <a:stretch>
                            <a:fillRect/>
                          </a:stretch>
                        </pic:blipFill>
                        <pic:spPr>
                          <a:xfrm>
                            <a:off x="0" y="0"/>
                            <a:ext cx="11430" cy="9525"/>
                          </a:xfrm>
                          <a:prstGeom prst="rect">
                            <a:avLst/>
                          </a:prstGeom>
                          <a:noFill/>
                          <a:ln>
                            <a:noFill/>
                          </a:ln>
                        </pic:spPr>
                      </pic:pic>
                    </a:graphicData>
                  </a:graphic>
                </wp:anchor>
              </w:drawing>
            </w:r>
            <w:r>
              <w:rPr>
                <w:sz w:val="24"/>
                <w:szCs w:val="24"/>
                <w:highlight w:val="none"/>
              </w:rPr>
              <w:drawing>
                <wp:anchor distT="0" distB="0" distL="114300" distR="114300" simplePos="0" relativeHeight="251664384" behindDoc="0" locked="0" layoutInCell="1" allowOverlap="1">
                  <wp:simplePos x="0" y="0"/>
                  <wp:positionH relativeFrom="column">
                    <wp:posOffset>2940050</wp:posOffset>
                  </wp:positionH>
                  <wp:positionV relativeFrom="paragraph">
                    <wp:posOffset>0</wp:posOffset>
                  </wp:positionV>
                  <wp:extent cx="9525" cy="9525"/>
                  <wp:effectExtent l="0" t="0" r="0" b="0"/>
                  <wp:wrapNone/>
                  <wp:docPr id="24" name="图片_22_SpCn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_22_SpCnt_3"/>
                          <pic:cNvPicPr>
                            <a:picLocks noChangeAspect="1"/>
                          </pic:cNvPicPr>
                        </pic:nvPicPr>
                        <pic:blipFill>
                          <a:blip r:embed="rId14"/>
                          <a:stretch>
                            <a:fillRect/>
                          </a:stretch>
                        </pic:blipFill>
                        <pic:spPr>
                          <a:xfrm>
                            <a:off x="0" y="0"/>
                            <a:ext cx="9525" cy="9525"/>
                          </a:xfrm>
                          <a:prstGeom prst="rect">
                            <a:avLst/>
                          </a:prstGeom>
                          <a:noFill/>
                          <a:ln>
                            <a:noFill/>
                          </a:ln>
                        </pic:spPr>
                      </pic:pic>
                    </a:graphicData>
                  </a:graphic>
                </wp:anchor>
              </w:drawing>
            </w:r>
            <w:r>
              <w:rPr>
                <w:sz w:val="24"/>
                <w:szCs w:val="24"/>
                <w:highlight w:val="none"/>
              </w:rPr>
              <w:drawing>
                <wp:anchor distT="0" distB="0" distL="114300" distR="114300" simplePos="0" relativeHeight="251665408" behindDoc="0" locked="0" layoutInCell="1" allowOverlap="1">
                  <wp:simplePos x="0" y="0"/>
                  <wp:positionH relativeFrom="column">
                    <wp:posOffset>4149725</wp:posOffset>
                  </wp:positionH>
                  <wp:positionV relativeFrom="paragraph">
                    <wp:posOffset>0</wp:posOffset>
                  </wp:positionV>
                  <wp:extent cx="95250" cy="28575"/>
                  <wp:effectExtent l="0" t="0" r="0" b="0"/>
                  <wp:wrapNone/>
                  <wp:docPr id="12" name="Picture_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_78"/>
                          <pic:cNvPicPr>
                            <a:picLocks noChangeAspect="1"/>
                          </pic:cNvPicPr>
                        </pic:nvPicPr>
                        <pic:blipFill>
                          <a:blip r:embed="rId17"/>
                          <a:stretch>
                            <a:fillRect/>
                          </a:stretch>
                        </pic:blipFill>
                        <pic:spPr>
                          <a:xfrm>
                            <a:off x="0" y="0"/>
                            <a:ext cx="95250" cy="28575"/>
                          </a:xfrm>
                          <a:prstGeom prst="rect">
                            <a:avLst/>
                          </a:prstGeom>
                          <a:noFill/>
                          <a:ln>
                            <a:noFill/>
                          </a:ln>
                        </pic:spPr>
                      </pic:pic>
                    </a:graphicData>
                  </a:graphic>
                </wp:anchor>
              </w:drawing>
            </w:r>
            <w:r>
              <w:rPr>
                <w:sz w:val="24"/>
                <w:szCs w:val="24"/>
                <w:highlight w:val="none"/>
              </w:rPr>
              <w:drawing>
                <wp:anchor distT="0" distB="0" distL="114300" distR="114300" simplePos="0" relativeHeight="251666432" behindDoc="0" locked="0" layoutInCell="1" allowOverlap="1">
                  <wp:simplePos x="0" y="0"/>
                  <wp:positionH relativeFrom="column">
                    <wp:posOffset>4149725</wp:posOffset>
                  </wp:positionH>
                  <wp:positionV relativeFrom="paragraph">
                    <wp:posOffset>0</wp:posOffset>
                  </wp:positionV>
                  <wp:extent cx="104775" cy="19050"/>
                  <wp:effectExtent l="0" t="0" r="0" b="0"/>
                  <wp:wrapNone/>
                  <wp:docPr id="21" name="Picture_78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_78_SpCnt_1"/>
                          <pic:cNvPicPr>
                            <a:picLocks noChangeAspect="1"/>
                          </pic:cNvPicPr>
                        </pic:nvPicPr>
                        <pic:blipFill>
                          <a:blip r:embed="rId18"/>
                          <a:stretch>
                            <a:fillRect/>
                          </a:stretch>
                        </pic:blipFill>
                        <pic:spPr>
                          <a:xfrm>
                            <a:off x="0" y="0"/>
                            <a:ext cx="104775" cy="19050"/>
                          </a:xfrm>
                          <a:prstGeom prst="rect">
                            <a:avLst/>
                          </a:prstGeom>
                          <a:noFill/>
                          <a:ln>
                            <a:noFill/>
                          </a:ln>
                        </pic:spPr>
                      </pic:pic>
                    </a:graphicData>
                  </a:graphic>
                </wp:anchor>
              </w:drawing>
            </w:r>
            <w:r>
              <w:rPr>
                <w:sz w:val="24"/>
                <w:szCs w:val="24"/>
                <w:highlight w:val="none"/>
              </w:rPr>
              <w:drawing>
                <wp:anchor distT="0" distB="0" distL="114300" distR="114300" simplePos="0" relativeHeight="251667456" behindDoc="0" locked="0" layoutInCell="1" allowOverlap="1">
                  <wp:simplePos x="0" y="0"/>
                  <wp:positionH relativeFrom="column">
                    <wp:posOffset>4149725</wp:posOffset>
                  </wp:positionH>
                  <wp:positionV relativeFrom="paragraph">
                    <wp:posOffset>0</wp:posOffset>
                  </wp:positionV>
                  <wp:extent cx="95250" cy="28575"/>
                  <wp:effectExtent l="0" t="0" r="0" b="0"/>
                  <wp:wrapNone/>
                  <wp:docPr id="23" name="Picture_78_SpCn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_78_SpCnt_2"/>
                          <pic:cNvPicPr>
                            <a:picLocks noChangeAspect="1"/>
                          </pic:cNvPicPr>
                        </pic:nvPicPr>
                        <pic:blipFill>
                          <a:blip r:embed="rId17"/>
                          <a:stretch>
                            <a:fillRect/>
                          </a:stretch>
                        </pic:blipFill>
                        <pic:spPr>
                          <a:xfrm>
                            <a:off x="0" y="0"/>
                            <a:ext cx="95250" cy="28575"/>
                          </a:xfrm>
                          <a:prstGeom prst="rect">
                            <a:avLst/>
                          </a:prstGeom>
                          <a:noFill/>
                          <a:ln>
                            <a:noFill/>
                          </a:ln>
                        </pic:spPr>
                      </pic:pic>
                    </a:graphicData>
                  </a:graphic>
                </wp:anchor>
              </w:drawing>
            </w:r>
            <w:r>
              <w:rPr>
                <w:sz w:val="24"/>
                <w:szCs w:val="24"/>
                <w:highlight w:val="none"/>
              </w:rPr>
              <w:drawing>
                <wp:anchor distT="0" distB="0" distL="114300" distR="114300" simplePos="0" relativeHeight="251668480" behindDoc="0" locked="0" layoutInCell="1" allowOverlap="1">
                  <wp:simplePos x="0" y="0"/>
                  <wp:positionH relativeFrom="column">
                    <wp:posOffset>4149725</wp:posOffset>
                  </wp:positionH>
                  <wp:positionV relativeFrom="paragraph">
                    <wp:posOffset>0</wp:posOffset>
                  </wp:positionV>
                  <wp:extent cx="104775" cy="19050"/>
                  <wp:effectExtent l="0" t="0" r="0" b="0"/>
                  <wp:wrapNone/>
                  <wp:docPr id="25" name="Picture_78_SpCn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_78_SpCnt_3"/>
                          <pic:cNvPicPr>
                            <a:picLocks noChangeAspect="1"/>
                          </pic:cNvPicPr>
                        </pic:nvPicPr>
                        <pic:blipFill>
                          <a:blip r:embed="rId18"/>
                          <a:stretch>
                            <a:fillRect/>
                          </a:stretch>
                        </pic:blipFill>
                        <pic:spPr>
                          <a:xfrm>
                            <a:off x="0" y="0"/>
                            <a:ext cx="104775" cy="19050"/>
                          </a:xfrm>
                          <a:prstGeom prst="rect">
                            <a:avLst/>
                          </a:prstGeom>
                          <a:noFill/>
                          <a:ln>
                            <a:noFill/>
                          </a:ln>
                        </pic:spPr>
                      </pic:pic>
                    </a:graphicData>
                  </a:graphic>
                </wp:anchor>
              </w:drawing>
            </w:r>
            <w:r>
              <w:rPr>
                <w:sz w:val="24"/>
                <w:szCs w:val="24"/>
                <w:highlight w:val="none"/>
              </w:rPr>
              <w:drawing>
                <wp:anchor distT="0" distB="0" distL="114300" distR="114300" simplePos="0" relativeHeight="251669504" behindDoc="0" locked="0" layoutInCell="1" allowOverlap="1">
                  <wp:simplePos x="0" y="0"/>
                  <wp:positionH relativeFrom="column">
                    <wp:posOffset>4149725</wp:posOffset>
                  </wp:positionH>
                  <wp:positionV relativeFrom="paragraph">
                    <wp:posOffset>0</wp:posOffset>
                  </wp:positionV>
                  <wp:extent cx="104775" cy="19050"/>
                  <wp:effectExtent l="0" t="0" r="0" b="0"/>
                  <wp:wrapNone/>
                  <wp:docPr id="16" name="Picture_78_SpCn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_78_SpCnt_4"/>
                          <pic:cNvPicPr>
                            <a:picLocks noChangeAspect="1"/>
                          </pic:cNvPicPr>
                        </pic:nvPicPr>
                        <pic:blipFill>
                          <a:blip r:embed="rId18"/>
                          <a:stretch>
                            <a:fillRect/>
                          </a:stretch>
                        </pic:blipFill>
                        <pic:spPr>
                          <a:xfrm>
                            <a:off x="0" y="0"/>
                            <a:ext cx="104775" cy="19050"/>
                          </a:xfrm>
                          <a:prstGeom prst="rect">
                            <a:avLst/>
                          </a:prstGeom>
                          <a:noFill/>
                          <a:ln>
                            <a:noFill/>
                          </a:ln>
                        </pic:spPr>
                      </pic:pic>
                    </a:graphicData>
                  </a:graphic>
                </wp:anchor>
              </w:drawing>
            </w:r>
            <w:r>
              <w:rPr>
                <w:sz w:val="24"/>
                <w:szCs w:val="24"/>
                <w:highlight w:val="none"/>
              </w:rPr>
              <w:drawing>
                <wp:anchor distT="0" distB="0" distL="114300" distR="114300" simplePos="0" relativeHeight="251670528" behindDoc="0" locked="0" layoutInCell="1" allowOverlap="1">
                  <wp:simplePos x="0" y="0"/>
                  <wp:positionH relativeFrom="column">
                    <wp:posOffset>4149725</wp:posOffset>
                  </wp:positionH>
                  <wp:positionV relativeFrom="paragraph">
                    <wp:posOffset>0</wp:posOffset>
                  </wp:positionV>
                  <wp:extent cx="104775" cy="19050"/>
                  <wp:effectExtent l="0" t="0" r="0" b="0"/>
                  <wp:wrapNone/>
                  <wp:docPr id="13" name="Picture_78_SpCn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_78_SpCnt_5"/>
                          <pic:cNvPicPr>
                            <a:picLocks noChangeAspect="1"/>
                          </pic:cNvPicPr>
                        </pic:nvPicPr>
                        <pic:blipFill>
                          <a:blip r:embed="rId18"/>
                          <a:stretch>
                            <a:fillRect/>
                          </a:stretch>
                        </pic:blipFill>
                        <pic:spPr>
                          <a:xfrm>
                            <a:off x="0" y="0"/>
                            <a:ext cx="104775" cy="19050"/>
                          </a:xfrm>
                          <a:prstGeom prst="rect">
                            <a:avLst/>
                          </a:prstGeom>
                          <a:noFill/>
                          <a:ln>
                            <a:noFill/>
                          </a:ln>
                        </pic:spPr>
                      </pic:pic>
                    </a:graphicData>
                  </a:graphic>
                </wp:anchor>
              </w:drawing>
            </w:r>
            <w:r>
              <w:rPr>
                <w:sz w:val="24"/>
                <w:szCs w:val="24"/>
                <w:highlight w:val="none"/>
              </w:rPr>
              <w:drawing>
                <wp:anchor distT="0" distB="0" distL="114300" distR="114300" simplePos="0" relativeHeight="251671552" behindDoc="0" locked="0" layoutInCell="1" allowOverlap="1">
                  <wp:simplePos x="0" y="0"/>
                  <wp:positionH relativeFrom="column">
                    <wp:posOffset>4149725</wp:posOffset>
                  </wp:positionH>
                  <wp:positionV relativeFrom="paragraph">
                    <wp:posOffset>0</wp:posOffset>
                  </wp:positionV>
                  <wp:extent cx="104775" cy="19050"/>
                  <wp:effectExtent l="0" t="0" r="0" b="0"/>
                  <wp:wrapNone/>
                  <wp:docPr id="14" name="Picture_78_SpCn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_78_SpCnt_6"/>
                          <pic:cNvPicPr>
                            <a:picLocks noChangeAspect="1"/>
                          </pic:cNvPicPr>
                        </pic:nvPicPr>
                        <pic:blipFill>
                          <a:blip r:embed="rId18"/>
                          <a:stretch>
                            <a:fillRect/>
                          </a:stretch>
                        </pic:blipFill>
                        <pic:spPr>
                          <a:xfrm>
                            <a:off x="0" y="0"/>
                            <a:ext cx="104775" cy="19050"/>
                          </a:xfrm>
                          <a:prstGeom prst="rect">
                            <a:avLst/>
                          </a:prstGeom>
                          <a:noFill/>
                          <a:ln>
                            <a:noFill/>
                          </a:ln>
                        </pic:spPr>
                      </pic:pic>
                    </a:graphicData>
                  </a:graphic>
                </wp:anchor>
              </w:drawing>
            </w:r>
            <w:r>
              <w:rPr>
                <w:sz w:val="24"/>
                <w:szCs w:val="24"/>
                <w:highlight w:val="none"/>
              </w:rPr>
              <w:drawing>
                <wp:anchor distT="0" distB="0" distL="114300" distR="114300" simplePos="0" relativeHeight="251672576" behindDoc="0" locked="0" layoutInCell="1" allowOverlap="1">
                  <wp:simplePos x="0" y="0"/>
                  <wp:positionH relativeFrom="column">
                    <wp:posOffset>4149725</wp:posOffset>
                  </wp:positionH>
                  <wp:positionV relativeFrom="paragraph">
                    <wp:posOffset>0</wp:posOffset>
                  </wp:positionV>
                  <wp:extent cx="95250" cy="28575"/>
                  <wp:effectExtent l="0" t="0" r="0" b="0"/>
                  <wp:wrapNone/>
                  <wp:docPr id="29" name="Picture_78_SpCnt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_78_SpCnt_7"/>
                          <pic:cNvPicPr>
                            <a:picLocks noChangeAspect="1"/>
                          </pic:cNvPicPr>
                        </pic:nvPicPr>
                        <pic:blipFill>
                          <a:blip r:embed="rId17"/>
                          <a:stretch>
                            <a:fillRect/>
                          </a:stretch>
                        </pic:blipFill>
                        <pic:spPr>
                          <a:xfrm>
                            <a:off x="0" y="0"/>
                            <a:ext cx="95250" cy="28575"/>
                          </a:xfrm>
                          <a:prstGeom prst="rect">
                            <a:avLst/>
                          </a:prstGeom>
                          <a:noFill/>
                          <a:ln>
                            <a:noFill/>
                          </a:ln>
                        </pic:spPr>
                      </pic:pic>
                    </a:graphicData>
                  </a:graphic>
                </wp:anchor>
              </w:drawing>
            </w:r>
            <w:r>
              <w:rPr>
                <w:sz w:val="24"/>
                <w:szCs w:val="24"/>
                <w:highlight w:val="none"/>
              </w:rPr>
              <w:drawing>
                <wp:anchor distT="0" distB="0" distL="114300" distR="114300" simplePos="0" relativeHeight="251673600" behindDoc="0" locked="0" layoutInCell="1" allowOverlap="1">
                  <wp:simplePos x="0" y="0"/>
                  <wp:positionH relativeFrom="column">
                    <wp:posOffset>4149725</wp:posOffset>
                  </wp:positionH>
                  <wp:positionV relativeFrom="paragraph">
                    <wp:posOffset>0</wp:posOffset>
                  </wp:positionV>
                  <wp:extent cx="9525" cy="9525"/>
                  <wp:effectExtent l="0" t="0" r="0" b="0"/>
                  <wp:wrapNone/>
                  <wp:docPr id="30" name="图片_23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_23_SpCnt_1"/>
                          <pic:cNvPicPr>
                            <a:picLocks noChangeAspect="1"/>
                          </pic:cNvPicPr>
                        </pic:nvPicPr>
                        <pic:blipFill>
                          <a:blip r:embed="rId15"/>
                          <a:stretch>
                            <a:fillRect/>
                          </a:stretch>
                        </pic:blipFill>
                        <pic:spPr>
                          <a:xfrm>
                            <a:off x="0" y="0"/>
                            <a:ext cx="9525" cy="9525"/>
                          </a:xfrm>
                          <a:prstGeom prst="rect">
                            <a:avLst/>
                          </a:prstGeom>
                          <a:noFill/>
                          <a:ln>
                            <a:noFill/>
                          </a:ln>
                        </pic:spPr>
                      </pic:pic>
                    </a:graphicData>
                  </a:graphic>
                </wp:anchor>
              </w:drawing>
            </w:r>
            <w:r>
              <w:rPr>
                <w:sz w:val="24"/>
                <w:szCs w:val="24"/>
                <w:highlight w:val="none"/>
              </w:rPr>
              <w:drawing>
                <wp:anchor distT="0" distB="0" distL="114300" distR="114300" simplePos="0" relativeHeight="251674624" behindDoc="0" locked="0" layoutInCell="1" allowOverlap="1">
                  <wp:simplePos x="0" y="0"/>
                  <wp:positionH relativeFrom="column">
                    <wp:posOffset>4149725</wp:posOffset>
                  </wp:positionH>
                  <wp:positionV relativeFrom="paragraph">
                    <wp:posOffset>0</wp:posOffset>
                  </wp:positionV>
                  <wp:extent cx="95250" cy="28575"/>
                  <wp:effectExtent l="0" t="0" r="0" b="0"/>
                  <wp:wrapNone/>
                  <wp:docPr id="19" name="Picture_78_SpCn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_78_SpCnt_8"/>
                          <pic:cNvPicPr>
                            <a:picLocks noChangeAspect="1"/>
                          </pic:cNvPicPr>
                        </pic:nvPicPr>
                        <pic:blipFill>
                          <a:blip r:embed="rId17"/>
                          <a:stretch>
                            <a:fillRect/>
                          </a:stretch>
                        </pic:blipFill>
                        <pic:spPr>
                          <a:xfrm>
                            <a:off x="0" y="0"/>
                            <a:ext cx="95250" cy="28575"/>
                          </a:xfrm>
                          <a:prstGeom prst="rect">
                            <a:avLst/>
                          </a:prstGeom>
                          <a:noFill/>
                          <a:ln>
                            <a:noFill/>
                          </a:ln>
                        </pic:spPr>
                      </pic:pic>
                    </a:graphicData>
                  </a:graphic>
                </wp:anchor>
              </w:drawing>
            </w:r>
            <w:r>
              <w:rPr>
                <w:sz w:val="24"/>
                <w:szCs w:val="24"/>
                <w:highlight w:val="none"/>
              </w:rPr>
              <w:drawing>
                <wp:anchor distT="0" distB="0" distL="114300" distR="114300" simplePos="0" relativeHeight="251675648" behindDoc="0" locked="0" layoutInCell="1" allowOverlap="1">
                  <wp:simplePos x="0" y="0"/>
                  <wp:positionH relativeFrom="column">
                    <wp:posOffset>4149725</wp:posOffset>
                  </wp:positionH>
                  <wp:positionV relativeFrom="paragraph">
                    <wp:posOffset>0</wp:posOffset>
                  </wp:positionV>
                  <wp:extent cx="95250" cy="28575"/>
                  <wp:effectExtent l="0" t="0" r="0" b="0"/>
                  <wp:wrapNone/>
                  <wp:docPr id="20" name="Picture_78_SpCnt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_78_SpCnt_9"/>
                          <pic:cNvPicPr>
                            <a:picLocks noChangeAspect="1"/>
                          </pic:cNvPicPr>
                        </pic:nvPicPr>
                        <pic:blipFill>
                          <a:blip r:embed="rId17"/>
                          <a:stretch>
                            <a:fillRect/>
                          </a:stretch>
                        </pic:blipFill>
                        <pic:spPr>
                          <a:xfrm>
                            <a:off x="0" y="0"/>
                            <a:ext cx="95250" cy="28575"/>
                          </a:xfrm>
                          <a:prstGeom prst="rect">
                            <a:avLst/>
                          </a:prstGeom>
                          <a:noFill/>
                          <a:ln>
                            <a:noFill/>
                          </a:ln>
                        </pic:spPr>
                      </pic:pic>
                    </a:graphicData>
                  </a:graphic>
                </wp:anchor>
              </w:drawing>
            </w:r>
            <w:r>
              <w:rPr>
                <w:sz w:val="24"/>
                <w:szCs w:val="24"/>
                <w:highlight w:val="none"/>
              </w:rPr>
              <w:drawing>
                <wp:anchor distT="0" distB="0" distL="114300" distR="114300" simplePos="0" relativeHeight="251676672" behindDoc="0" locked="0" layoutInCell="1" allowOverlap="1">
                  <wp:simplePos x="0" y="0"/>
                  <wp:positionH relativeFrom="column">
                    <wp:posOffset>4149725</wp:posOffset>
                  </wp:positionH>
                  <wp:positionV relativeFrom="paragraph">
                    <wp:posOffset>0</wp:posOffset>
                  </wp:positionV>
                  <wp:extent cx="95250" cy="28575"/>
                  <wp:effectExtent l="0" t="0" r="0" b="0"/>
                  <wp:wrapNone/>
                  <wp:docPr id="15" name="Picture_78_SpCnt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_78_SpCnt_10"/>
                          <pic:cNvPicPr>
                            <a:picLocks noChangeAspect="1"/>
                          </pic:cNvPicPr>
                        </pic:nvPicPr>
                        <pic:blipFill>
                          <a:blip r:embed="rId17"/>
                          <a:stretch>
                            <a:fillRect/>
                          </a:stretch>
                        </pic:blipFill>
                        <pic:spPr>
                          <a:xfrm>
                            <a:off x="0" y="0"/>
                            <a:ext cx="95250" cy="28575"/>
                          </a:xfrm>
                          <a:prstGeom prst="rect">
                            <a:avLst/>
                          </a:prstGeom>
                          <a:noFill/>
                          <a:ln>
                            <a:noFill/>
                          </a:ln>
                        </pic:spPr>
                      </pic:pic>
                    </a:graphicData>
                  </a:graphic>
                </wp:anchor>
              </w:drawing>
            </w:r>
            <w:r>
              <w:rPr>
                <w:sz w:val="24"/>
                <w:szCs w:val="24"/>
                <w:highlight w:val="none"/>
              </w:rPr>
              <w:drawing>
                <wp:anchor distT="0" distB="0" distL="114300" distR="114300" simplePos="0" relativeHeight="251677696" behindDoc="0" locked="0" layoutInCell="1" allowOverlap="1">
                  <wp:simplePos x="0" y="0"/>
                  <wp:positionH relativeFrom="column">
                    <wp:posOffset>4149725</wp:posOffset>
                  </wp:positionH>
                  <wp:positionV relativeFrom="paragraph">
                    <wp:posOffset>0</wp:posOffset>
                  </wp:positionV>
                  <wp:extent cx="95250" cy="28575"/>
                  <wp:effectExtent l="0" t="0" r="0" b="0"/>
                  <wp:wrapNone/>
                  <wp:docPr id="18" name="Picture_78_SpCnt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_78_SpCnt_11"/>
                          <pic:cNvPicPr>
                            <a:picLocks noChangeAspect="1"/>
                          </pic:cNvPicPr>
                        </pic:nvPicPr>
                        <pic:blipFill>
                          <a:blip r:embed="rId17"/>
                          <a:stretch>
                            <a:fillRect/>
                          </a:stretch>
                        </pic:blipFill>
                        <pic:spPr>
                          <a:xfrm>
                            <a:off x="0" y="0"/>
                            <a:ext cx="95250" cy="28575"/>
                          </a:xfrm>
                          <a:prstGeom prst="rect">
                            <a:avLst/>
                          </a:prstGeom>
                          <a:noFill/>
                          <a:ln>
                            <a:noFill/>
                          </a:ln>
                        </pic:spPr>
                      </pic:pic>
                    </a:graphicData>
                  </a:graphic>
                </wp:anchor>
              </w:drawing>
            </w:r>
            <w:r>
              <w:rPr>
                <w:sz w:val="24"/>
                <w:szCs w:val="24"/>
                <w:highlight w:val="none"/>
              </w:rPr>
              <w:drawing>
                <wp:anchor distT="0" distB="0" distL="114300" distR="114300" simplePos="0" relativeHeight="251678720" behindDoc="0" locked="0" layoutInCell="1" allowOverlap="1">
                  <wp:simplePos x="0" y="0"/>
                  <wp:positionH relativeFrom="column">
                    <wp:posOffset>4149725</wp:posOffset>
                  </wp:positionH>
                  <wp:positionV relativeFrom="paragraph">
                    <wp:posOffset>0</wp:posOffset>
                  </wp:positionV>
                  <wp:extent cx="104775" cy="19050"/>
                  <wp:effectExtent l="0" t="0" r="0" b="0"/>
                  <wp:wrapNone/>
                  <wp:docPr id="32" name="Picture_78_SpCnt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_78_SpCnt_12"/>
                          <pic:cNvPicPr>
                            <a:picLocks noChangeAspect="1"/>
                          </pic:cNvPicPr>
                        </pic:nvPicPr>
                        <pic:blipFill>
                          <a:blip r:embed="rId18"/>
                          <a:stretch>
                            <a:fillRect/>
                          </a:stretch>
                        </pic:blipFill>
                        <pic:spPr>
                          <a:xfrm>
                            <a:off x="0" y="0"/>
                            <a:ext cx="104775" cy="19050"/>
                          </a:xfrm>
                          <a:prstGeom prst="rect">
                            <a:avLst/>
                          </a:prstGeom>
                          <a:noFill/>
                          <a:ln>
                            <a:noFill/>
                          </a:ln>
                        </pic:spPr>
                      </pic:pic>
                    </a:graphicData>
                  </a:graphic>
                </wp:anchor>
              </w:drawing>
            </w:r>
            <w:r>
              <w:rPr>
                <w:sz w:val="24"/>
                <w:szCs w:val="24"/>
                <w:highlight w:val="none"/>
              </w:rPr>
              <w:drawing>
                <wp:anchor distT="0" distB="0" distL="114300" distR="114300" simplePos="0" relativeHeight="251679744" behindDoc="0" locked="0" layoutInCell="1" allowOverlap="1">
                  <wp:simplePos x="0" y="0"/>
                  <wp:positionH relativeFrom="column">
                    <wp:posOffset>4149725</wp:posOffset>
                  </wp:positionH>
                  <wp:positionV relativeFrom="paragraph">
                    <wp:posOffset>0</wp:posOffset>
                  </wp:positionV>
                  <wp:extent cx="95250" cy="28575"/>
                  <wp:effectExtent l="0" t="0" r="0" b="0"/>
                  <wp:wrapNone/>
                  <wp:docPr id="8" name="Picture_78_SpCnt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_78_SpCnt_13"/>
                          <pic:cNvPicPr>
                            <a:picLocks noChangeAspect="1"/>
                          </pic:cNvPicPr>
                        </pic:nvPicPr>
                        <pic:blipFill>
                          <a:blip r:embed="rId17"/>
                          <a:stretch>
                            <a:fillRect/>
                          </a:stretch>
                        </pic:blipFill>
                        <pic:spPr>
                          <a:xfrm>
                            <a:off x="0" y="0"/>
                            <a:ext cx="95250" cy="28575"/>
                          </a:xfrm>
                          <a:prstGeom prst="rect">
                            <a:avLst/>
                          </a:prstGeom>
                          <a:noFill/>
                          <a:ln>
                            <a:noFill/>
                          </a:ln>
                        </pic:spPr>
                      </pic:pic>
                    </a:graphicData>
                  </a:graphic>
                </wp:anchor>
              </w:drawing>
            </w:r>
            <w:r>
              <w:rPr>
                <w:sz w:val="24"/>
                <w:szCs w:val="24"/>
                <w:highlight w:val="none"/>
              </w:rPr>
              <w:drawing>
                <wp:anchor distT="0" distB="0" distL="114300" distR="114300" simplePos="0" relativeHeight="251680768" behindDoc="0" locked="0" layoutInCell="1" allowOverlap="1">
                  <wp:simplePos x="0" y="0"/>
                  <wp:positionH relativeFrom="column">
                    <wp:posOffset>4645025</wp:posOffset>
                  </wp:positionH>
                  <wp:positionV relativeFrom="paragraph">
                    <wp:posOffset>0</wp:posOffset>
                  </wp:positionV>
                  <wp:extent cx="561975" cy="0"/>
                  <wp:effectExtent l="0" t="0" r="0" b="0"/>
                  <wp:wrapNone/>
                  <wp:docPr id="22" name="图片_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_83"/>
                          <pic:cNvPicPr>
                            <a:picLocks noChangeAspect="1"/>
                          </pic:cNvPicPr>
                        </pic:nvPicPr>
                        <pic:blipFill>
                          <a:blip r:embed="rId19"/>
                          <a:stretch>
                            <a:fillRect/>
                          </a:stretch>
                        </pic:blipFill>
                        <pic:spPr>
                          <a:xfrm>
                            <a:off x="0" y="0"/>
                            <a:ext cx="561975" cy="0"/>
                          </a:xfrm>
                          <a:prstGeom prst="rect">
                            <a:avLst/>
                          </a:prstGeom>
                          <a:noFill/>
                          <a:ln>
                            <a:noFill/>
                          </a:ln>
                        </pic:spPr>
                      </pic:pic>
                    </a:graphicData>
                  </a:graphic>
                </wp:anchor>
              </w:drawing>
            </w:r>
            <w:r>
              <w:rPr>
                <w:sz w:val="24"/>
                <w:szCs w:val="24"/>
                <w:highlight w:val="none"/>
              </w:rPr>
              <w:drawing>
                <wp:anchor distT="0" distB="0" distL="114300" distR="114300" simplePos="0" relativeHeight="251681792" behindDoc="0" locked="0" layoutInCell="1" allowOverlap="1">
                  <wp:simplePos x="0" y="0"/>
                  <wp:positionH relativeFrom="column">
                    <wp:posOffset>4645025</wp:posOffset>
                  </wp:positionH>
                  <wp:positionV relativeFrom="paragraph">
                    <wp:posOffset>0</wp:posOffset>
                  </wp:positionV>
                  <wp:extent cx="561975" cy="0"/>
                  <wp:effectExtent l="0" t="0" r="0" b="0"/>
                  <wp:wrapNone/>
                  <wp:docPr id="31" name="图片_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_85"/>
                          <pic:cNvPicPr>
                            <a:picLocks noChangeAspect="1"/>
                          </pic:cNvPicPr>
                        </pic:nvPicPr>
                        <pic:blipFill>
                          <a:blip r:embed="rId19"/>
                          <a:stretch>
                            <a:fillRect/>
                          </a:stretch>
                        </pic:blipFill>
                        <pic:spPr>
                          <a:xfrm>
                            <a:off x="0" y="0"/>
                            <a:ext cx="561975" cy="0"/>
                          </a:xfrm>
                          <a:prstGeom prst="rect">
                            <a:avLst/>
                          </a:prstGeom>
                          <a:noFill/>
                          <a:ln>
                            <a:noFill/>
                          </a:ln>
                        </pic:spPr>
                      </pic:pic>
                    </a:graphicData>
                  </a:graphic>
                </wp:anchor>
              </w:drawing>
            </w:r>
            <w:r>
              <w:rPr>
                <w:sz w:val="24"/>
                <w:szCs w:val="24"/>
                <w:highlight w:val="none"/>
              </w:rPr>
              <w:drawing>
                <wp:anchor distT="0" distB="0" distL="114300" distR="114300" simplePos="0" relativeHeight="251682816" behindDoc="0" locked="0" layoutInCell="1" allowOverlap="1">
                  <wp:simplePos x="0" y="0"/>
                  <wp:positionH relativeFrom="column">
                    <wp:posOffset>4645025</wp:posOffset>
                  </wp:positionH>
                  <wp:positionV relativeFrom="paragraph">
                    <wp:posOffset>0</wp:posOffset>
                  </wp:positionV>
                  <wp:extent cx="561975" cy="0"/>
                  <wp:effectExtent l="0" t="0" r="0" b="0"/>
                  <wp:wrapNone/>
                  <wp:docPr id="17" name="图片_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_87"/>
                          <pic:cNvPicPr>
                            <a:picLocks noChangeAspect="1"/>
                          </pic:cNvPicPr>
                        </pic:nvPicPr>
                        <pic:blipFill>
                          <a:blip r:embed="rId19"/>
                          <a:stretch>
                            <a:fillRect/>
                          </a:stretch>
                        </pic:blipFill>
                        <pic:spPr>
                          <a:xfrm>
                            <a:off x="0" y="0"/>
                            <a:ext cx="561975" cy="0"/>
                          </a:xfrm>
                          <a:prstGeom prst="rect">
                            <a:avLst/>
                          </a:prstGeom>
                          <a:noFill/>
                          <a:ln>
                            <a:noFill/>
                          </a:ln>
                        </pic:spPr>
                      </pic:pic>
                    </a:graphicData>
                  </a:graphic>
                </wp:anchor>
              </w:drawing>
            </w:r>
            <w:r>
              <w:rPr>
                <w:sz w:val="24"/>
                <w:szCs w:val="24"/>
                <w:highlight w:val="none"/>
              </w:rPr>
              <w:drawing>
                <wp:anchor distT="0" distB="0" distL="114300" distR="114300" simplePos="0" relativeHeight="251683840" behindDoc="0" locked="0" layoutInCell="1" allowOverlap="1">
                  <wp:simplePos x="0" y="0"/>
                  <wp:positionH relativeFrom="column">
                    <wp:posOffset>4645025</wp:posOffset>
                  </wp:positionH>
                  <wp:positionV relativeFrom="paragraph">
                    <wp:posOffset>0</wp:posOffset>
                  </wp:positionV>
                  <wp:extent cx="561975" cy="0"/>
                  <wp:effectExtent l="0" t="0" r="0" b="0"/>
                  <wp:wrapNone/>
                  <wp:docPr id="6" name="图片_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_82"/>
                          <pic:cNvPicPr>
                            <a:picLocks noChangeAspect="1"/>
                          </pic:cNvPicPr>
                        </pic:nvPicPr>
                        <pic:blipFill>
                          <a:blip r:embed="rId19"/>
                          <a:stretch>
                            <a:fillRect/>
                          </a:stretch>
                        </pic:blipFill>
                        <pic:spPr>
                          <a:xfrm>
                            <a:off x="0" y="0"/>
                            <a:ext cx="561975" cy="0"/>
                          </a:xfrm>
                          <a:prstGeom prst="rect">
                            <a:avLst/>
                          </a:prstGeom>
                          <a:noFill/>
                          <a:ln>
                            <a:noFill/>
                          </a:ln>
                        </pic:spPr>
                      </pic:pic>
                    </a:graphicData>
                  </a:graphic>
                </wp:anchor>
              </w:drawing>
            </w:r>
            <w:r>
              <w:rPr>
                <w:sz w:val="24"/>
                <w:szCs w:val="24"/>
                <w:highlight w:val="none"/>
              </w:rPr>
              <w:drawing>
                <wp:anchor distT="0" distB="0" distL="114300" distR="114300" simplePos="0" relativeHeight="251684864" behindDoc="0" locked="0" layoutInCell="1" allowOverlap="1">
                  <wp:simplePos x="0" y="0"/>
                  <wp:positionH relativeFrom="column">
                    <wp:posOffset>4645025</wp:posOffset>
                  </wp:positionH>
                  <wp:positionV relativeFrom="paragraph">
                    <wp:posOffset>0</wp:posOffset>
                  </wp:positionV>
                  <wp:extent cx="561975" cy="0"/>
                  <wp:effectExtent l="0" t="0" r="0" b="0"/>
                  <wp:wrapNone/>
                  <wp:docPr id="26" name="图片_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_86"/>
                          <pic:cNvPicPr>
                            <a:picLocks noChangeAspect="1"/>
                          </pic:cNvPicPr>
                        </pic:nvPicPr>
                        <pic:blipFill>
                          <a:blip r:embed="rId19"/>
                          <a:stretch>
                            <a:fillRect/>
                          </a:stretch>
                        </pic:blipFill>
                        <pic:spPr>
                          <a:xfrm>
                            <a:off x="0" y="0"/>
                            <a:ext cx="561975" cy="0"/>
                          </a:xfrm>
                          <a:prstGeom prst="rect">
                            <a:avLst/>
                          </a:prstGeom>
                          <a:noFill/>
                          <a:ln>
                            <a:noFill/>
                          </a:ln>
                        </pic:spPr>
                      </pic:pic>
                    </a:graphicData>
                  </a:graphic>
                </wp:anchor>
              </w:drawing>
            </w:r>
            <w:r>
              <w:rPr>
                <w:sz w:val="24"/>
                <w:szCs w:val="24"/>
                <w:highlight w:val="none"/>
              </w:rPr>
              <w:drawing>
                <wp:anchor distT="0" distB="0" distL="114300" distR="114300" simplePos="0" relativeHeight="251685888" behindDoc="0" locked="0" layoutInCell="1" allowOverlap="1">
                  <wp:simplePos x="0" y="0"/>
                  <wp:positionH relativeFrom="column">
                    <wp:posOffset>4645025</wp:posOffset>
                  </wp:positionH>
                  <wp:positionV relativeFrom="paragraph">
                    <wp:posOffset>0</wp:posOffset>
                  </wp:positionV>
                  <wp:extent cx="561975" cy="0"/>
                  <wp:effectExtent l="0" t="0" r="0" b="0"/>
                  <wp:wrapNone/>
                  <wp:docPr id="27" name="图片_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_88"/>
                          <pic:cNvPicPr>
                            <a:picLocks noChangeAspect="1"/>
                          </pic:cNvPicPr>
                        </pic:nvPicPr>
                        <pic:blipFill>
                          <a:blip r:embed="rId19"/>
                          <a:stretch>
                            <a:fillRect/>
                          </a:stretch>
                        </pic:blipFill>
                        <pic:spPr>
                          <a:xfrm>
                            <a:off x="0" y="0"/>
                            <a:ext cx="561975" cy="0"/>
                          </a:xfrm>
                          <a:prstGeom prst="rect">
                            <a:avLst/>
                          </a:prstGeom>
                          <a:noFill/>
                          <a:ln>
                            <a:noFill/>
                          </a:ln>
                        </pic:spPr>
                      </pic:pic>
                    </a:graphicData>
                  </a:graphic>
                </wp:anchor>
              </w:drawing>
            </w:r>
            <w:r>
              <w:rPr>
                <w:sz w:val="24"/>
                <w:szCs w:val="24"/>
                <w:highlight w:val="none"/>
              </w:rPr>
              <w:drawing>
                <wp:anchor distT="0" distB="0" distL="114300" distR="114300" simplePos="0" relativeHeight="251686912" behindDoc="0" locked="0" layoutInCell="1" allowOverlap="1">
                  <wp:simplePos x="0" y="0"/>
                  <wp:positionH relativeFrom="column">
                    <wp:posOffset>4645025</wp:posOffset>
                  </wp:positionH>
                  <wp:positionV relativeFrom="paragraph">
                    <wp:posOffset>0</wp:posOffset>
                  </wp:positionV>
                  <wp:extent cx="561975" cy="0"/>
                  <wp:effectExtent l="0" t="0" r="0" b="0"/>
                  <wp:wrapNone/>
                  <wp:docPr id="9" name="图片_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_84"/>
                          <pic:cNvPicPr>
                            <a:picLocks noChangeAspect="1"/>
                          </pic:cNvPicPr>
                        </pic:nvPicPr>
                        <pic:blipFill>
                          <a:blip r:embed="rId19"/>
                          <a:stretch>
                            <a:fillRect/>
                          </a:stretch>
                        </pic:blipFill>
                        <pic:spPr>
                          <a:xfrm>
                            <a:off x="0" y="0"/>
                            <a:ext cx="561975" cy="0"/>
                          </a:xfrm>
                          <a:prstGeom prst="rect">
                            <a:avLst/>
                          </a:prstGeom>
                          <a:noFill/>
                          <a:ln>
                            <a:noFill/>
                          </a:ln>
                        </pic:spPr>
                      </pic:pic>
                    </a:graphicData>
                  </a:graphic>
                </wp:anchor>
              </w:drawing>
            </w:r>
            <w:r>
              <w:rPr>
                <w:rFonts w:hint="eastAsia" w:ascii="宋体" w:hAnsi="宋体" w:cs="宋体"/>
                <w:b/>
                <w:bCs/>
                <w:color w:val="000000"/>
                <w:kern w:val="0"/>
                <w:sz w:val="24"/>
                <w:szCs w:val="24"/>
                <w:highlight w:val="none"/>
                <w:lang w:bidi="ar"/>
              </w:rPr>
              <w:t>（一）智慧互动教室（2个）</w:t>
            </w:r>
          </w:p>
        </w:tc>
      </w:tr>
      <w:tr>
        <w:tblPrEx>
          <w:tblCellMar>
            <w:top w:w="0" w:type="dxa"/>
            <w:left w:w="108" w:type="dxa"/>
            <w:bottom w:w="0" w:type="dxa"/>
            <w:right w:w="108" w:type="dxa"/>
          </w:tblCellMar>
        </w:tblPrEx>
        <w:trPr>
          <w:trHeight w:val="2366"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智慧教学系统</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教务管理：</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1、具备账号管理功能，可设定角色及其权限。</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2、具备学期、年级、班级管理功能。</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3、具备教材、行事历、课表管理功能。</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4、具备终端登录信息统计功能，可即时查询智慧教室系统使用情况。</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5、具备教学活动统计功能，能通过平台查询每位教师通过平台上课的总节次，上传的资源总数等信息。</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6、具备课程管理功能，支持创建校本课程。</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7、具备作息时间管理功能。</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课程包应用：</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8、提供K12各年段标准课程地图、创新课程地图供学校管理者与教师使用。在课程地图中，学校可依据地方或校定教学进度，创建或调整课程大纲，作为教师备课的依据。教师也可在自己的课程地图中，依据个人教学需求，制定个人教学计划，并根据个人教学计划来创建和调整课程大纲。课程地图支持多级目录，支持设定每级目录所需的课时。</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9、支持课程资源的管理以及课程资源与课程大纲的关联。教师可根据教学计划，按课时制定相应的教学课程包进行教学。建立课程包时可整合使用公共资源库中的资源、区域资源、校本资源或个人资源，将教材、微课、试卷、导学案等不同阶段教学活动中所需的资源添加至课程包内。</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10、教师通过课程包来管理学习活动的设计，在学习活动设计中，教师可以根据不同的教学模式来设计学习活动各个阶段的学习目标和学习内容。系统默认提供多种典型的教学模式模版，教师可直接使用；支持学校管理者自定义适用于本校的教学模式模板，供本校教师使用；支持教师根据个人教学习惯定义自己的教学模式，并可在教学模式中各环节中添加教材、微课、试卷、导学案等不同教学阶段所需资源。（提供相应的证明材料，包括但不限于检测报告、官网功能截图等）</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11、教师按照课程包教学设计可直接将备课资源应用到教学活动中，即对学生进行课程包的推送，学生可在线上完成课程包中安排的各个教学环节的学习任务。</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学习任务管理：</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12、教师可以将当日作业一次性发送给所有的学生，也可以分批次将不同的内容发送给不同的群组或个体。</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13、学生提交作业后教师可查询、批阅，教师批阅后，学生和家长都可查看批阅结果。</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14、教师可实时检视学生的学习进度、小组讨论过程、讨论成果报告、测验结果等，并依据学生的学习情况，适时提供新的学习任务或调整授课内容。</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评测诊断：</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15、测评管理系统，学校与教师可自建题目入库，或直接选择现有题目进行组卷、并推送给学生进行在线测试。教师可以管理个人题库，也可以查看校本题库、区域题库和云题库。</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16、支持在线完成评测的所有步骤：组卷、派卷、答卷、交卷、阅卷、诊断、统计分析等，系统自动完成客观题判卷，减轻教师阅卷工作量。</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17、提供分数段、知识能力、知识点覆盖、难度、正确率等多维度的统计分析功能，帮助教师找到学生知识掌握和能力训练的薄弱环节，从而进行有的放矢的补救教学。</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18、为学生提供基于知识结构树和能力素质模型的诊断报告，并提供错题本，方便学生查漏补缺。（提供相应的证明材料，包括但不限于检测报告、官网功能截图等）</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19、针对线下考试，提供录入学生的考试成绩，也可获得班级和年级报表，研究报告等各项数据的统计及诊断分析。（提供相应的证明材料，包括但不限于检测报告、官网功能截图等）</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20、可基于班级，年级，学校等不同群体样本输出统计分析数据，供教师、校长及教育管理单位查看。</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21、教师可布置纸本作业，学生以答题卡的方式答题。纸本作业同样可以查看诊断报告及提供有针对性的补救练习。</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22、家长可查看学生每次考试评测后的分析报告，也可以关注学生的作业完成情况，在此基础上与教师进行有效的沟通。</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23、系统中的学生测试的评测结果，应包含面向整个年级、班级、教研组以及学生的报告或报表，不少于4个，包含以下内容（每个报告内容有区别）：评测总体情况表、试卷作答详析表、知识监测分析图、能力强弱分析图、学能区间位次表、学生学能排名表、知识监测评估表、评测指标分析表、分数分段分布图、知识能力双向细目表、试题特征曲线图、试题选项比例表、得分、个人知识指标检测图、答题情况详情、个人能力强弱指标（不同学科有不同学科能力指标）。</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24、评测结果根据章节课时目录自动收录到学情中心，教师、学生在查看诊断报表，也可以对一次或多次评测结果进行横向和纵向的学情分析。及时了解知识掌握程度、知识点薄弱环节、成绩变化趋势。以做到及时调整教与学的方向和侧重点。</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25、教辅入库工具，帮助学校和教师批量完成各个学段教辅资料的入库。既帮助学校校本资源的收集建立，同时系统帮助教师批阅并收集学生学业完成情况，减轻教师批阅负担的同时，及时帮助教师收集学生学情并做分析。</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26、支持上传习题，习题的结构分为基础信息、知识点、提干、答案和解析；基础信息里包含题目类型，学科，学段，教材版本，能力，难易度，分值等信息；可设置此题目对应的知识点；题干可输入数学公式及图片，对应英语科目的题型可上传英语听力文件；上传的题目可进行二次编辑。（提供相应的证明材料，包括但不限于检测报告、官网功能截图等）</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自主学习：</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27、学生可以知识地图为索引，对知识节点中的课程进行系统的学习，系统记录学生完成的比例。</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28、学生可以根据自己的需求，选择知识点、课程，形成个性化的自主学习计划，并完成学习。</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29、课程包里除了包含微课外，还有一套测试卷，用于测试学生对此微课的理解程度。（提供相应的证明材料，包括但不限于检测报告、官网功能截图等）</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30、学生可对微课进行点赞和收藏。</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适性辅导：</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31、系统实时分析学生的学习情况，并推荐弱项课程供学生学习。</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32、教师制定辅导计划时，可以使用系统提供的课程，也可以上传自己的课程。教师可以根据每个学生的实际情况，为每个学生安排个性化的辅导计划。</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33、系统能根据学生在教学管理系统中的评测及诊断结果，自动为每个学生生成辅导计划，教师可直接批量或者部分发送给学生，也可修改后再发送给学生。</w:t>
            </w:r>
          </w:p>
          <w:p>
            <w:pPr>
              <w:widowControl/>
              <w:spacing w:line="360" w:lineRule="auto"/>
              <w:jc w:val="left"/>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34、学生按照辅导计划，完成“学习-&gt;评测-&gt;诊断-&gt;补救”完整的学习闭环。</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班</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r>
      <w:tr>
        <w:tblPrEx>
          <w:tblCellMar>
            <w:top w:w="0" w:type="dxa"/>
            <w:left w:w="108" w:type="dxa"/>
            <w:bottom w:w="0" w:type="dxa"/>
            <w:right w:w="108" w:type="dxa"/>
          </w:tblCellMar>
        </w:tblPrEx>
        <w:trPr>
          <w:trHeight w:val="1667"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移动终端管理</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分级授权</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1、支持按辖区创建分管理员，实现市、区（县）、校三级授权管理，分管理员只能管理辖区内的移动终端。</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固件升级</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1、固件管理。支持针对不同种类、型号的终端设备管理固件包。</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2、固件升级策略管理。可设置两种固件升级方式：强制升级，终端上线后立即升级；指定时间段升级，终端在设定的时间段内升级，避免升级过程影响终端应用。</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应用推送</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1、提供AppStore管理各种类型的应用。</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2、支持对指定终端推送AppStore中的应用，安卓终端自动安装。</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网络管控</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1、网址白名单管控。不在应用白名单之内的应用，只允许访问网址白名单中的网址。</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2、网址黑名单管控。任何应用都不允许访问网址黑名单中的网址。</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3、应用白名单管控。应用白名单中的应用，允许访问网址黑名单之外的所有网址。</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应用管控</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1、应用安装管控。支持设置应用安装管控策略，禁止终端安装许可范围之外的应用。</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2、应用卸载管控。支持设置应用卸载管控策略，禁止卸载受保护的应用。</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3、应用运行管控。支持设置应用运行管控策略，禁止终端运行指定的应用。</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4、应用信任管控。支持设置信任应用，被信任的应用不需要用户授权即可自动获得所需的权限。</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设备管控</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1、支持设置终端开机动画。</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2、支持启用/禁用USB调试。</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3、支持启用/禁用使用USB传送文件。</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4、支持启用/禁用外接存储设备。</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5、支持启用/禁用蓝牙。</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6、支持启用/禁用摄像头。</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7、支持启用/禁用未知来源应用安装。</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8、支持启用/禁用恢复出厂设置。</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9、支持设置终端无操作状态下进入休眠的时间。</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10、支持将终端与用户账号 绑定/解绑，被绑定的终端不能使用其它账号登录。</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设备远程控制</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1、支持远程收集指定终端在指定时间段内的运行日志。</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2、支持远程删除指定终端指定路径下的文件。</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3、支持远程清除指定终端外接存储设备上指定大小和类型的文件。</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4、支持远程启动指定终端上的应用。</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5、支持远程关机、重启指定的终端。</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6、支持远程重置指定的终端。</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设备状态</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1、支持查看指定终端的设备型号、用户名、用户账号、Mac地址、存储使用状况等。</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2、支持查看指定终端上应用的名称、包名、版本。</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设备使用情况统计</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1、支持查询每个学校各类设备在每天的使用情况，包括：设备类型、设备总数、当日使用设备数、平均使用时长（小时）、开机率。</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班</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w:t>
            </w:r>
          </w:p>
        </w:tc>
      </w:tr>
      <w:tr>
        <w:tblPrEx>
          <w:tblCellMar>
            <w:top w:w="0" w:type="dxa"/>
            <w:left w:w="108" w:type="dxa"/>
            <w:bottom w:w="0" w:type="dxa"/>
            <w:right w:w="108" w:type="dxa"/>
          </w:tblCellMar>
        </w:tblPrEx>
        <w:trPr>
          <w:trHeight w:val="62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教师</w:t>
            </w:r>
          </w:p>
          <w:p>
            <w:pPr>
              <w:widowControl/>
              <w:spacing w:line="360" w:lineRule="auto"/>
              <w:jc w:val="left"/>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桌面</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1、兼容Windows、Android操作系统；</w:t>
            </w:r>
          </w:p>
          <w:p>
            <w:pPr>
              <w:widowControl/>
              <w:spacing w:line="360" w:lineRule="auto"/>
              <w:jc w:val="left"/>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2、整合教学应用与课堂教学管理，支持课堂上教师常用应用的便捷收藏及调用。 </w:t>
            </w:r>
          </w:p>
          <w:p>
            <w:pPr>
              <w:widowControl/>
              <w:spacing w:line="360" w:lineRule="auto"/>
              <w:jc w:val="left"/>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3、支持通过课程表调用与该堂课关联的教学资源，支持调用本地资源、云端资源。</w:t>
            </w:r>
          </w:p>
          <w:p>
            <w:pPr>
              <w:widowControl/>
              <w:spacing w:line="360" w:lineRule="auto"/>
              <w:jc w:val="left"/>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4、支持选取试卷中的试题中做课堂练习。</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班</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w:t>
            </w:r>
          </w:p>
        </w:tc>
      </w:tr>
      <w:tr>
        <w:tblPrEx>
          <w:tblCellMar>
            <w:top w:w="0" w:type="dxa"/>
            <w:left w:w="108" w:type="dxa"/>
            <w:bottom w:w="0" w:type="dxa"/>
            <w:right w:w="108" w:type="dxa"/>
          </w:tblCellMar>
        </w:tblPrEx>
        <w:trPr>
          <w:trHeight w:val="175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智慧互动课堂软件</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after="240"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1、考勤管理：系统支持学生端考勤，点名查看学生端是否在线。教师可通过系统点名考察学生个人出勤情况；</w:t>
            </w:r>
          </w:p>
          <w:p>
            <w:pPr>
              <w:widowControl/>
              <w:spacing w:after="240"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2、分组管理：支持教师设置分组个数，学生可通过选择组号进入对应的分组，教师还可对学生选号分组后的结果重新调整，直接拖拽小组的成员进行重新划分小组，实现课堂分组讨论答题的学习模式。</w:t>
            </w:r>
          </w:p>
          <w:p>
            <w:pPr>
              <w:widowControl/>
              <w:spacing w:after="240"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课堂评测：</w:t>
            </w:r>
          </w:p>
          <w:p>
            <w:pPr>
              <w:widowControl/>
              <w:spacing w:after="240"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3、系统提供单选、多选、是非等多种评测题型，并且支持全体、分组进行答题，或者全体、分组进行抢答等多种答题方式。</w:t>
            </w:r>
          </w:p>
          <w:p>
            <w:pPr>
              <w:widowControl/>
              <w:spacing w:after="240"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4、系统支持开放式教学，教师端打开的既有的PPT、Word、网页或数影仪投射的实物试卷等无需做任何修改即可发起课堂评测。</w:t>
            </w:r>
          </w:p>
          <w:p>
            <w:pPr>
              <w:widowControl/>
              <w:spacing w:after="240"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5、教师在出题时可对题目数量、倒计时的时间、是否进行屏幕剪裁等进行设置。</w:t>
            </w:r>
          </w:p>
          <w:p>
            <w:pPr>
              <w:widowControl/>
              <w:spacing w:after="240"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6、教师出题后，学生端即刻收到题目，教师端可对学生提交答案的情况进行实时数量统计，并对答题时间进行自动计时，如果设置了倒计时，在答题最后10s内有催促学生尽快提交答案声音提示。</w:t>
            </w:r>
          </w:p>
          <w:p>
            <w:pPr>
              <w:widowControl/>
              <w:spacing w:after="240"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7、客观题学生作答提交后，教师可立即查看以数字、图表等形式统计的答题结果，包括每道题目的离散率、每个答案的人数、具体是哪些学生、占比等。</w:t>
            </w:r>
          </w:p>
          <w:p>
            <w:pPr>
              <w:widowControl/>
              <w:spacing w:after="240"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8、支持以答题卡等多种形式的评测，实现课中大量客观题的即时评测反馈和练习。</w:t>
            </w:r>
          </w:p>
          <w:p>
            <w:pPr>
              <w:widowControl/>
              <w:spacing w:after="240"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9、提供抢答、随机选号等多种答题模式，以激发学生的课堂参与积极性。</w:t>
            </w:r>
          </w:p>
          <w:p>
            <w:pPr>
              <w:widowControl/>
              <w:spacing w:after="240"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10、支持学生成绩统计、排序等功能，可生成当天成绩或学期成绩，支持成绩导出。</w:t>
            </w:r>
          </w:p>
          <w:p>
            <w:pPr>
              <w:widowControl/>
              <w:spacing w:after="240"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白板工具：</w:t>
            </w:r>
          </w:p>
          <w:p>
            <w:pPr>
              <w:widowControl/>
              <w:spacing w:after="240"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11、对于日常教学中的板书需求，系统提供了完整易学的电子白板功能及常用的学科板书工具，如：常见几何图形、汉字/英文格子，书法笔等。白板笔迹可根据需求保存或删除。收起白板回到教师原始课件，不会影响课件的再次使用。</w:t>
            </w:r>
          </w:p>
          <w:p>
            <w:pPr>
              <w:widowControl/>
              <w:spacing w:after="240"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12、系统可虚拟出多块白板供教师板书，并根据需要随时调出某一块白板呈现。</w:t>
            </w:r>
          </w:p>
          <w:p>
            <w:pPr>
              <w:widowControl/>
              <w:spacing w:after="240"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微课录制：</w:t>
            </w:r>
          </w:p>
          <w:p>
            <w:pPr>
              <w:widowControl/>
              <w:spacing w:after="240"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13、提供桌面级的微课录制工具。教师可以在备授课过程中，将课程的重点、难点录制成微视频，根据需要上传云平台管理，或随时推送给学生，供学生学习。</w:t>
            </w:r>
          </w:p>
          <w:p>
            <w:pPr>
              <w:widowControl/>
              <w:spacing w:after="240" w:line="360" w:lineRule="auto"/>
              <w:jc w:val="left"/>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14、支持异地同步课堂，实现跨地域的智慧课堂（主讲端和听讲端）进行互动。</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班</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r>
      <w:tr>
        <w:tblPrEx>
          <w:tblCellMar>
            <w:top w:w="0" w:type="dxa"/>
            <w:left w:w="108" w:type="dxa"/>
            <w:bottom w:w="0" w:type="dxa"/>
            <w:right w:w="108" w:type="dxa"/>
          </w:tblCellMar>
        </w:tblPrEx>
        <w:trPr>
          <w:trHeight w:val="415"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接收器</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ascii="宋体" w:hAnsi="宋体" w:cs="宋体"/>
                <w:color w:val="000000"/>
                <w:kern w:val="0"/>
                <w:sz w:val="24"/>
                <w:szCs w:val="24"/>
                <w:highlight w:val="none"/>
                <w:lang w:bidi="ar"/>
              </w:rPr>
              <w:t>1</w:t>
            </w:r>
            <w:r>
              <w:rPr>
                <w:rFonts w:hint="eastAsia" w:ascii="宋体" w:hAnsi="宋体" w:cs="宋体"/>
                <w:color w:val="000000"/>
                <w:kern w:val="0"/>
                <w:sz w:val="24"/>
                <w:szCs w:val="24"/>
                <w:highlight w:val="none"/>
                <w:lang w:bidi="ar"/>
              </w:rPr>
              <w:t>、产品材质：PC 塑胶外壳。</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ascii="宋体" w:hAnsi="宋体" w:cs="宋体"/>
                <w:color w:val="000000"/>
                <w:kern w:val="0"/>
                <w:sz w:val="24"/>
                <w:szCs w:val="24"/>
                <w:highlight w:val="none"/>
                <w:lang w:bidi="ar"/>
              </w:rPr>
              <w:t>2</w:t>
            </w:r>
            <w:r>
              <w:rPr>
                <w:rFonts w:hint="eastAsia" w:ascii="宋体" w:hAnsi="宋体" w:cs="宋体"/>
                <w:color w:val="000000"/>
                <w:kern w:val="0"/>
                <w:sz w:val="24"/>
                <w:szCs w:val="24"/>
                <w:highlight w:val="none"/>
                <w:lang w:bidi="ar"/>
              </w:rPr>
              <w:t>、数据接口：</w:t>
            </w:r>
            <w:r>
              <w:rPr>
                <w:rFonts w:hint="eastAsia" w:ascii="宋体" w:hAnsi="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bidi="ar"/>
              </w:rPr>
              <w:t>1 个 USB 接口。</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ascii="宋体" w:hAnsi="宋体" w:cs="宋体"/>
                <w:color w:val="000000"/>
                <w:kern w:val="0"/>
                <w:sz w:val="24"/>
                <w:szCs w:val="24"/>
                <w:highlight w:val="none"/>
                <w:lang w:bidi="ar"/>
              </w:rPr>
              <w:t>3</w:t>
            </w:r>
            <w:r>
              <w:rPr>
                <w:rFonts w:hint="eastAsia" w:ascii="宋体" w:hAnsi="宋体" w:cs="宋体"/>
                <w:color w:val="000000"/>
                <w:kern w:val="0"/>
                <w:sz w:val="24"/>
                <w:szCs w:val="24"/>
                <w:highlight w:val="none"/>
                <w:lang w:bidi="ar"/>
              </w:rPr>
              <w:t>、通讯技术：2.4GHz 通讯频段，专用通讯协议，</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ascii="宋体" w:hAnsi="宋体" w:cs="宋体"/>
                <w:color w:val="000000"/>
                <w:kern w:val="0"/>
                <w:sz w:val="24"/>
                <w:szCs w:val="24"/>
                <w:highlight w:val="none"/>
                <w:lang w:bidi="ar"/>
              </w:rPr>
              <w:t>4</w:t>
            </w:r>
            <w:r>
              <w:rPr>
                <w:rFonts w:hint="eastAsia" w:ascii="宋体" w:hAnsi="宋体" w:cs="宋体"/>
                <w:color w:val="000000"/>
                <w:kern w:val="0"/>
                <w:sz w:val="24"/>
                <w:szCs w:val="24"/>
                <w:highlight w:val="none"/>
                <w:lang w:bidi="ar"/>
              </w:rPr>
              <w:t>、双向数据确认。</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ascii="宋体" w:hAnsi="宋体" w:cs="宋体"/>
                <w:color w:val="000000"/>
                <w:kern w:val="0"/>
                <w:sz w:val="24"/>
                <w:szCs w:val="24"/>
                <w:highlight w:val="none"/>
                <w:lang w:bidi="ar"/>
              </w:rPr>
              <w:t>5</w:t>
            </w:r>
            <w:r>
              <w:rPr>
                <w:rFonts w:hint="eastAsia" w:ascii="宋体" w:hAnsi="宋体" w:cs="宋体"/>
                <w:color w:val="000000"/>
                <w:kern w:val="0"/>
                <w:sz w:val="24"/>
                <w:szCs w:val="24"/>
                <w:highlight w:val="none"/>
                <w:lang w:bidi="ar"/>
              </w:rPr>
              <w:t>、通信频道：1~80 个。</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ascii="宋体" w:hAnsi="宋体" w:cs="宋体"/>
                <w:color w:val="000000"/>
                <w:kern w:val="0"/>
                <w:sz w:val="24"/>
                <w:szCs w:val="24"/>
                <w:highlight w:val="none"/>
                <w:lang w:bidi="ar"/>
              </w:rPr>
              <w:t>6</w:t>
            </w:r>
            <w:r>
              <w:rPr>
                <w:rFonts w:hint="eastAsia" w:ascii="宋体" w:hAnsi="宋体" w:cs="宋体"/>
                <w:color w:val="000000"/>
                <w:kern w:val="0"/>
                <w:sz w:val="24"/>
                <w:szCs w:val="24"/>
                <w:highlight w:val="none"/>
                <w:lang w:bidi="ar"/>
              </w:rPr>
              <w:t>、射频功率：&lt;+10dBm，可通过软件设置高/中/低三档</w:t>
            </w:r>
          </w:p>
          <w:p>
            <w:pPr>
              <w:widowControl/>
              <w:spacing w:line="360" w:lineRule="auto"/>
              <w:jc w:val="left"/>
              <w:textAlignment w:val="top"/>
              <w:rPr>
                <w:rFonts w:ascii="宋体" w:hAnsi="宋体" w:cs="宋体"/>
                <w:color w:val="000000"/>
                <w:sz w:val="24"/>
                <w:szCs w:val="24"/>
                <w:highlight w:val="none"/>
              </w:rPr>
            </w:pPr>
            <w:r>
              <w:rPr>
                <w:rFonts w:ascii="宋体" w:hAnsi="宋体" w:cs="宋体"/>
                <w:color w:val="000000"/>
                <w:kern w:val="0"/>
                <w:sz w:val="24"/>
                <w:szCs w:val="24"/>
                <w:highlight w:val="none"/>
                <w:lang w:bidi="ar"/>
              </w:rPr>
              <w:t>7</w:t>
            </w:r>
            <w:r>
              <w:rPr>
                <w:rFonts w:hint="eastAsia" w:ascii="宋体" w:hAnsi="宋体" w:cs="宋体"/>
                <w:color w:val="000000"/>
                <w:kern w:val="0"/>
                <w:sz w:val="24"/>
                <w:szCs w:val="24"/>
                <w:highlight w:val="none"/>
                <w:lang w:bidi="ar"/>
              </w:rPr>
              <w:t>、通讯距离：无线信号发射不接收范围为半径 50 米。</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r>
      <w:tr>
        <w:tblPrEx>
          <w:tblCellMar>
            <w:top w:w="0" w:type="dxa"/>
            <w:left w:w="108" w:type="dxa"/>
            <w:bottom w:w="0" w:type="dxa"/>
            <w:right w:w="108" w:type="dxa"/>
          </w:tblCellMar>
        </w:tblPrEx>
        <w:trPr>
          <w:trHeight w:val="1647"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答题器</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ascii="宋体" w:hAnsi="宋体" w:cs="宋体"/>
                <w:color w:val="000000"/>
                <w:kern w:val="0"/>
                <w:sz w:val="24"/>
                <w:szCs w:val="24"/>
                <w:highlight w:val="none"/>
                <w:lang w:bidi="ar"/>
              </w:rPr>
              <w:t>1</w:t>
            </w:r>
            <w:r>
              <w:rPr>
                <w:rFonts w:hint="eastAsia" w:ascii="宋体" w:hAnsi="宋体" w:cs="宋体"/>
                <w:color w:val="000000"/>
                <w:kern w:val="0"/>
                <w:sz w:val="24"/>
                <w:szCs w:val="24"/>
                <w:highlight w:val="none"/>
                <w:lang w:bidi="ar"/>
              </w:rPr>
              <w:t xml:space="preserve">、液晶规格： </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128*48分辨率；可视面积：</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 xml:space="preserve"> 34 x 17 mm；状态图标： 通讯状态和电量显示等；显示内容： 中文、英文、数字和图标</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ascii="宋体" w:hAnsi="宋体" w:cs="宋体"/>
                <w:color w:val="000000"/>
                <w:kern w:val="0"/>
                <w:sz w:val="24"/>
                <w:szCs w:val="24"/>
                <w:highlight w:val="none"/>
                <w:lang w:bidi="ar"/>
              </w:rPr>
              <w:t>2</w:t>
            </w:r>
            <w:r>
              <w:rPr>
                <w:rFonts w:hint="eastAsia" w:ascii="宋体" w:hAnsi="宋体" w:cs="宋体"/>
                <w:color w:val="000000"/>
                <w:kern w:val="0"/>
                <w:sz w:val="24"/>
                <w:szCs w:val="24"/>
                <w:highlight w:val="none"/>
                <w:lang w:bidi="ar"/>
              </w:rPr>
              <w:t>、按键信息： 共14个按键，功能如下：</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◆10个答题键：【0~9】数字、【A~J】字母，</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◆A/B兼判断键【√/×】</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◆2个功能键：【OK】确认，【←】删除/返回；</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◆2个上翻/下翻键：【↑】/【↓】上翻/下翻，复用小数点和频点设置。</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ascii="宋体" w:hAnsi="宋体" w:cs="宋体"/>
                <w:color w:val="000000"/>
                <w:kern w:val="0"/>
                <w:sz w:val="24"/>
                <w:szCs w:val="24"/>
                <w:highlight w:val="none"/>
                <w:lang w:bidi="ar"/>
              </w:rPr>
              <w:t>3</w:t>
            </w:r>
            <w:r>
              <w:rPr>
                <w:rFonts w:hint="eastAsia" w:ascii="宋体" w:hAnsi="宋体" w:cs="宋体"/>
                <w:color w:val="000000"/>
                <w:kern w:val="0"/>
                <w:sz w:val="24"/>
                <w:szCs w:val="24"/>
                <w:highlight w:val="none"/>
                <w:lang w:bidi="ar"/>
              </w:rPr>
              <w:t>、供电方式：CR2032纽扣电池*2；工作时间：</w:t>
            </w:r>
            <w:r>
              <w:rPr>
                <w:rFonts w:hint="eastAsia" w:ascii="宋体" w:hAnsi="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bidi="ar"/>
              </w:rPr>
              <w:t>200个小时；待机时间：</w:t>
            </w:r>
            <w:r>
              <w:rPr>
                <w:rFonts w:hint="eastAsia" w:ascii="宋体" w:hAnsi="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bidi="ar"/>
              </w:rPr>
              <w:t>400个小时</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ascii="宋体" w:hAnsi="宋体" w:cs="宋体"/>
                <w:color w:val="000000"/>
                <w:kern w:val="0"/>
                <w:sz w:val="24"/>
                <w:szCs w:val="24"/>
                <w:highlight w:val="none"/>
                <w:lang w:bidi="ar"/>
              </w:rPr>
              <w:t>4</w:t>
            </w:r>
            <w:r>
              <w:rPr>
                <w:rFonts w:hint="eastAsia" w:ascii="宋体" w:hAnsi="宋体" w:cs="宋体"/>
                <w:color w:val="000000"/>
                <w:kern w:val="0"/>
                <w:sz w:val="24"/>
                <w:szCs w:val="24"/>
                <w:highlight w:val="none"/>
                <w:lang w:bidi="ar"/>
              </w:rPr>
              <w:t xml:space="preserve">、通信技术： 2.4GHz通讯频段，专用通讯协议，双向数据确认；信道数量： 1~80个；通信距离： 正向以基站为圆心半径50米，背向以基站为圆心半径30米； </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ascii="宋体" w:hAnsi="宋体" w:cs="宋体"/>
                <w:color w:val="000000"/>
                <w:kern w:val="0"/>
                <w:sz w:val="24"/>
                <w:szCs w:val="24"/>
                <w:highlight w:val="none"/>
                <w:lang w:bidi="ar"/>
              </w:rPr>
              <w:t>5</w:t>
            </w:r>
            <w:r>
              <w:rPr>
                <w:rFonts w:hint="eastAsia" w:ascii="宋体" w:hAnsi="宋体" w:cs="宋体"/>
                <w:color w:val="000000"/>
                <w:kern w:val="0"/>
                <w:sz w:val="24"/>
                <w:szCs w:val="24"/>
                <w:highlight w:val="none"/>
                <w:lang w:bidi="ar"/>
              </w:rPr>
              <w:t>、保密功能：支持自定义保密模式和非保密模式。</w:t>
            </w:r>
          </w:p>
          <w:p>
            <w:pPr>
              <w:widowControl/>
              <w:spacing w:line="360" w:lineRule="auto"/>
              <w:jc w:val="left"/>
              <w:textAlignment w:val="top"/>
              <w:rPr>
                <w:rFonts w:ascii="宋体" w:hAnsi="宋体" w:cs="宋体"/>
                <w:color w:val="000000"/>
                <w:sz w:val="24"/>
                <w:szCs w:val="24"/>
                <w:highlight w:val="none"/>
              </w:rPr>
            </w:pPr>
            <w:r>
              <w:rPr>
                <w:rFonts w:ascii="宋体" w:hAnsi="宋体" w:cs="宋体"/>
                <w:color w:val="000000"/>
                <w:kern w:val="0"/>
                <w:sz w:val="24"/>
                <w:szCs w:val="24"/>
                <w:highlight w:val="none"/>
                <w:lang w:bidi="ar"/>
              </w:rPr>
              <w:t>6</w:t>
            </w:r>
            <w:r>
              <w:rPr>
                <w:rFonts w:hint="eastAsia" w:ascii="宋体" w:hAnsi="宋体" w:cs="宋体"/>
                <w:color w:val="000000"/>
                <w:kern w:val="0"/>
                <w:sz w:val="24"/>
                <w:szCs w:val="24"/>
                <w:highlight w:val="none"/>
                <w:lang w:bidi="ar"/>
              </w:rPr>
              <w:t>、掉电保护：在线测验功能下支持断电或断线数据保护。</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110</w:t>
            </w:r>
          </w:p>
        </w:tc>
      </w:tr>
      <w:tr>
        <w:tblPrEx>
          <w:tblCellMar>
            <w:top w:w="0" w:type="dxa"/>
            <w:left w:w="108" w:type="dxa"/>
            <w:bottom w:w="0" w:type="dxa"/>
            <w:right w:w="108" w:type="dxa"/>
          </w:tblCellMar>
        </w:tblPrEx>
        <w:trPr>
          <w:trHeight w:val="722"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7</w:t>
            </w:r>
          </w:p>
        </w:tc>
        <w:tc>
          <w:tcPr>
            <w:tcW w:w="98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安装调试、技术及教学应用培训</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 xml:space="preserve">智慧教室强弱电线缆布放，软件安装、网络调试、学生端软件安装。 </w:t>
            </w:r>
          </w:p>
          <w:p>
            <w:pPr>
              <w:widowControl/>
              <w:spacing w:line="360" w:lineRule="auto"/>
              <w:jc w:val="left"/>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培训主要包括：课程理念的培训，教育信息化知识的培训，智慧教室智慧教学系统、智慧教室高效课堂互动管理系统、智慧教室自主学习系统、智慧教室适性辅导系统操作使用培训，教研活动支持，课程资源设计、教学活动设计，信息化技术应用，学校公开课技术支持，系统维护等。</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班</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r>
      <w:tr>
        <w:tblPrEx>
          <w:tblCellMar>
            <w:top w:w="0" w:type="dxa"/>
            <w:left w:w="108" w:type="dxa"/>
            <w:bottom w:w="0" w:type="dxa"/>
            <w:right w:w="108" w:type="dxa"/>
          </w:tblCellMar>
        </w:tblPrEx>
        <w:trPr>
          <w:trHeight w:val="106" w:hRule="atLeast"/>
          <w:jc w:val="center"/>
        </w:trPr>
        <w:tc>
          <w:tcPr>
            <w:tcW w:w="14914"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ascii="宋体" w:hAnsi="宋体" w:cs="宋体"/>
                <w:b/>
                <w:bCs/>
                <w:color w:val="000000"/>
                <w:kern w:val="0"/>
                <w:sz w:val="24"/>
                <w:szCs w:val="24"/>
                <w:highlight w:val="none"/>
                <w:lang w:bidi="ar"/>
              </w:rPr>
            </w:pPr>
            <w:r>
              <w:rPr>
                <w:rFonts w:hint="eastAsia" w:ascii="宋体" w:hAnsi="宋体" w:cs="宋体"/>
                <w:b/>
                <w:bCs/>
                <w:color w:val="000000"/>
                <w:kern w:val="0"/>
                <w:sz w:val="24"/>
                <w:szCs w:val="24"/>
                <w:highlight w:val="none"/>
                <w:lang w:bidi="ar"/>
              </w:rPr>
              <w:t>（二）适性翻转智慧教室（4个）</w:t>
            </w:r>
          </w:p>
        </w:tc>
      </w:tr>
      <w:tr>
        <w:tblPrEx>
          <w:tblCellMar>
            <w:top w:w="0" w:type="dxa"/>
            <w:left w:w="108" w:type="dxa"/>
            <w:bottom w:w="0" w:type="dxa"/>
            <w:right w:w="108" w:type="dxa"/>
          </w:tblCellMar>
        </w:tblPrEx>
        <w:trPr>
          <w:trHeight w:val="2292"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智慧教学系统</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教务管理：</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1、具备账号管理功能，可设定角色及其权限。</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2、具备学期、年级、班级管理功能。</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3、具备教材、行事历、课表管理功能。</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4、具备终端登录信息统计功能，可即时查询智慧教室系统使用情况。</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5、具备教学活动统计功能，能通过平台查询每位教师通过平台上课的总节次，上传的资源总数等信息。</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6、具备课程管理功能，支持创建校本课程。</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7、具备作息时间管理功能。</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课程包应用：</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8、提供K12各年段标准课程地图、创新课程地图供学校管理者与教师使用。在课程地图中，学校可依据地方或校定教学进度，创建或调整课程大纲，作为教师备课的依据。教师也可在自己的课程地图中，依据个人教学需求，制定个人教学计划，并根据个人教学计划来创建和调整课程大纲。课程地图支持多级目录，支持设定每级目录所需的课时。</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9、支持课程资源的管理以及课程资源与课程大纲的关联。教师可根据教学计划，按课时制定相应的教学课程包进行教学。建立课程包时可整合使用公共资源库中的资源、区域资源、校本资源或个人资源，将教材、微课、试卷、导学案等不同阶段教学活动中所需的资源添加至课程包内。</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10、教师通过课程包来管理学习活动的设计，在学习活动设计中，教师可以根据不同的教学模式来设计学习活动各个阶段的学习目标和学习内容。系统默认提供多种典型的教学模式模版，教师可直接使用；支持学校管理者自定义适用于本校的教学模式模板，供本校教师使用；支持教师根据个人教学习惯定义自己的教学模式，并可在教学模式中各环节中添加教材、微课、试卷、导学案等不同教学阶段所需资源。（提供相应的证明材料，包括但不限于检测报告、官网功能截图等）</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11、教师按照课程包教学设计可直接将备课资源应用到教学活动中，即对学生进行课程包的推送，学生可在线上完成课程包中安排的各个教学环节的学习任务。</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学习任务管理：</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12、教师可以将当日作业一次性发送给所有的学生，也可以分批次将不同的内容发送给不同的群组或个体。</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13、学生提交作业后教师可查询、批阅，教师批阅后，学生和家长都可查看批阅结果。</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14、教师可实时检视学生的学习进度、小组讨论过程、讨论成果报告、测验结果等，并依据学生的学习情况，适时提供新的学习任务或调整授课内容。</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评测诊断：</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15、测评管理系统，学校与教师可自建题目入库，或直接选择现有题目进行组卷、并推送给学生进行在线测试。教师可以管理个人题库，也可以查看校本题库、区域题库和云题库。</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16、支持在线完成评测的所有步骤：组卷、派卷、答卷、交卷、阅卷、诊断、统计分析等，系统自动完成客观题判卷，减轻教师阅卷工作量。</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17、提供分数段、知识能力、知识点覆盖、难度、正确率等多维度的统计分析功能，帮助教师找到学生知识掌握和能力训练的薄弱环节，从而进行有的放矢的补救教学。</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18、为学生提供基于知识结构树和能力素质模型的诊断报告，并提供错题本，方便学生查漏补缺。（提供相应的证明材料，包括但不限于检测报告、官网功能截图等）</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19、针对线下考试，提供录入学生的考试成绩，也可获得班级和年级报表，研究报告等各项数据的统计及诊断分析。（提供相应的证明材料，包括但不限于检测报告、官网功能截图等）</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20、可基于班级，年级，学校等不同群体样本输出统计分析数据，供教师、校长及教育管理单位查看。</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21、教师可布置纸本作业，学生以答题卡的方式答题。纸本作业同样可以查看诊断报告及提供有针对性的补救练习。</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22、家长可查看学生每次考试评测后的分析报告，也可以关注学生的作业完成情况，在此基础上与教师进行有效的沟通。</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23、系统中的学生测试的评测结果，应包含面向整个年级、班级、教研组以及学生的报告或报表，不少于4个，包含以下内容（每个报告内容有区别）：评测总体情况表、试卷作答详析表、知识监测分析图、能力强弱分析图、学能区间位次表、学生学能排名表、知识监测评估表、评测指标分析表、分数分段分布图、知识能力双向细目表、试题特征曲线图、试题选项比例表、得分、个人知识指标检测图、答题情况详情、个人能力强弱指标（不同学科有不同学科能力指标）。</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24、评测结果根据章节课时目录自动收录到学情中心，教师、学生在查看诊断报表，也可以对一次或多次评测结果进行横向和纵向的学情分析。及时了解知识掌握程度、知识点薄弱环节、成绩变化趋势。以做到及时调整教与学的方向和侧重点。</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25、教辅入库工具，帮助学校和教师批量完成各个学段教辅资料的入库。既帮助学校校本资源的收集建立，同时系统帮助教师批阅并收集学生学业完成情况，减轻教师批阅负担的同时，及时帮助教师收集学生学情并做分析。</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26、支持上传习题，习题的结构分为基础信息、知识点、提干、答案和解析；基础信息里包含题目类型，学科，学段，教材版本，能力，难易度，分值等信息；可设置此题目对应的知识点；题干可输入数学公式及图片，对应英语科目的题型可上传英语听力文件；上传的题目可进行二次编辑。（提供相应的证明材料，包括但不限于检测报告、官网功能截图等）</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自主学习：</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27、学生可以知识地图为索引，对知识节点中的课程进行系统的学习，系统记录学生完成的比例。</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28、学生可以根据自己的需求，选择知识点、课程，形成个性化的自主学习计划，并完成学习。</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bidi="ar"/>
              </w:rPr>
              <w:t>29、课程包里除了包含微课外，还有一套测试卷，用于测试学生对此微课的理解程度。（提供相应的证明材料，包括但不限于检测报告、官网功能截图等）</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30、学生可对微课进行点赞和收藏。</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适性辅导：</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31、系统实时分析学生的学习情况，并推荐弱项课程供学生学习。</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32、教师制定辅导计划时，可以使用系统提供的课程，也可以上传自己的课程。教师可以根据每个学生的实际情况，为每个学生安排个性化的辅导计划。</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33、系统能根据学生在教学管理系统中的评测及诊断结果，自动为每个学生生成辅导计划，教师可直接批量或者部分发送给学生，也可修改后再发送给学生。</w:t>
            </w:r>
          </w:p>
          <w:p>
            <w:pPr>
              <w:widowControl/>
              <w:spacing w:line="360" w:lineRule="auto"/>
              <w:jc w:val="left"/>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34、学生按照辅导计划，完成“学习-&gt;评测-&gt;诊断-&gt;补救”完整的学习闭环。</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班</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r>
      <w:tr>
        <w:tblPrEx>
          <w:tblCellMar>
            <w:top w:w="0" w:type="dxa"/>
            <w:left w:w="108" w:type="dxa"/>
            <w:bottom w:w="0" w:type="dxa"/>
            <w:right w:w="108" w:type="dxa"/>
          </w:tblCellMar>
        </w:tblPrEx>
        <w:trPr>
          <w:trHeight w:val="1963"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移动终端管理</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分级授权</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1、支持按辖区创建分管理员，实现市、区（县）、校三级授权管理，分管理员只能管理辖区内的移动终端。</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固件升级</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1、固件管理。支持针对不同种类、型号的终端设备管理固件包。</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2、固件升级策略管理。可设置两种固件升级方式：强制升级，终端上线后立即升级；指定时间段升级，终端在设定的时间段内升级，避免升级过程影响终端应用。</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应用推送</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1、提供AppStore管理各种类型的应用。</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2、支持对指定终端推送AppStore中的应用，安卓终端自动安装。</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网络管控</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1、网址白名单管控。不在应用白名单之内的应用，只允许访问网址白名单中的网址。</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2、网址黑名单管控。任何应用都不允许访问网址黑名单中的网址。</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3、应用白名单管控。应用白名单中的应用，允许访问网址黑名单之外的所有网址。</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应用管控</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1、应用安装管控。支持设置应用安装管控策略，禁止终端安装许可范围之外的应用。</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2、应用卸载管控。支持设置应用卸载管控策略，禁止卸载受保护的应用。</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3、应用运行管控。支持设置应用运行管控策略，禁止终端运行指定的应用。</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4、应用信任管控。支持设置信任应用，被信任的应用不需要用户授权即可自动获得所需的权限。</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设备管控</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1、支持设置终端开机动画。</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2、支持启用/禁用USB调试。</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3、支持启用/禁用使用USB传送文件。</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4、支持启用/禁用外接存储设备。</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5、支持启用/禁用蓝牙。</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6、支持启用/禁用摄像头。</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7、支持启用/禁用未知来源应用安装。</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8、支持启用/禁用恢复出厂设置。</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9、支持设置终端无操作状态下进入休眠的时间。</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10、支持将终端与用户账号 绑定/解绑，被绑定的终端不能使用其它账号登录。</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设备远程控制</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1、支持远程收集指定终端在指定时间段内的运行日志。</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2、支持远程删除指定终端指定路径下的文件。</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3、支持远程清除指定终端外接存储设备上指定大小和类型的文件。</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4、支持远程启动指定终端上的应用。</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5、支持远程关机、重启指定的终端。</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6、支持远程重置指定的终端。</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设备状态</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1、支持查看指定终端的设备型号、用户名、用户账号、Mac地址、存储使用状况等。</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2、支持查看指定终端上应用的名称、包名、版本。</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设备使用情况统计</w:t>
            </w:r>
          </w:p>
          <w:p>
            <w:pPr>
              <w:widowControl/>
              <w:spacing w:line="360" w:lineRule="auto"/>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1、支持查询每个学校各类设备在每天的使用情况，包括：设备类型、设备总数、当日使用设备数、平均使用时长（小时）、开机率。</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班</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w:t>
            </w:r>
          </w:p>
        </w:tc>
      </w:tr>
      <w:tr>
        <w:tblPrEx>
          <w:tblCellMar>
            <w:top w:w="0" w:type="dxa"/>
            <w:left w:w="108" w:type="dxa"/>
            <w:bottom w:w="0" w:type="dxa"/>
            <w:right w:w="108" w:type="dxa"/>
          </w:tblCellMar>
        </w:tblPrEx>
        <w:trPr>
          <w:trHeight w:val="62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教师</w:t>
            </w:r>
          </w:p>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桌面</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1、兼容Windows、Android操作系统；</w:t>
            </w:r>
          </w:p>
          <w:p>
            <w:pPr>
              <w:widowControl/>
              <w:spacing w:line="360" w:lineRule="auto"/>
              <w:jc w:val="left"/>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2、整合教学应用与课堂教学管理，支持课堂上教师常用应用的便捷收藏及调用。 </w:t>
            </w:r>
          </w:p>
          <w:p>
            <w:pPr>
              <w:widowControl/>
              <w:spacing w:line="360" w:lineRule="auto"/>
              <w:jc w:val="left"/>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3、支持通过课程表调用与该堂课关联的教学资源，支持调用本地资源、云端资源。</w:t>
            </w:r>
          </w:p>
          <w:p>
            <w:pPr>
              <w:widowControl/>
              <w:spacing w:line="360" w:lineRule="auto"/>
              <w:jc w:val="left"/>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4、支持选取试卷中的试题中做课堂练习。</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班</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w:t>
            </w:r>
          </w:p>
        </w:tc>
      </w:tr>
      <w:tr>
        <w:tblPrEx>
          <w:tblCellMar>
            <w:top w:w="0" w:type="dxa"/>
            <w:left w:w="108" w:type="dxa"/>
            <w:bottom w:w="0" w:type="dxa"/>
            <w:right w:w="108" w:type="dxa"/>
          </w:tblCellMar>
        </w:tblPrEx>
        <w:trPr>
          <w:trHeight w:val="191"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智慧课堂软件</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端-端互动：</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1、考勤管理：系统支持学生端考勤，点名查看学生端是否在线。教师可通过系统点名考察学生个人出勤情况；</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2、分组管理：支持教师设置分组个数，学生可通过选择组号进入对应的分组，教师还可对学生选号分组后的结果重新调整，直接拖拽小组的成员进行重新划分小组，实现课堂分组讨论答题的学习模式。</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3、屏幕互动：教师端可将教师屏幕动态地投射到学生端，动态分享时学生端处于锁屏状态，学生无法操作平板；还可将学生端的优秀成果分享至全班，或者将学生端的成果动态地分享至教师端进行展示。</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4、实时点评：可将学生端屏幕画面实时传送给教师端，支持教师进行实时点评课堂成果，支持对四个学生成品进行同屏比较，也可直接对单一学生作品成果进行点评、发起投票、加分等操作，教师点评过程可动态分享至学生端，点评后的板书可直接推送至学生端作为优秀范例。</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5、板书管理：教师可将教师端板书内容推送并保存在他所带科目的笔记中，学生可根据自己的见解再编辑修改将其保存在平板中。</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6、控制管理：实现教师端对学生端的控制，包括：</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A教师可对全体学生及部分指定学生锁屏及解锁，锁屏后禁止学生进行任何操作；当教师端发起评测时，学生端自动解锁，答题结束后又返回至锁屏状态。</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B教师可主动控制打开所有学生终端上的应用，如浏览器（并访问教师指定的URL）、照相机、计算器、小画板等学生答题辅助工具。</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C教师可对所有学生终端实现一键返回至学习桌面。</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D教师可以对所有学生端实现一键关机或重启。</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课堂评测：</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7、系统提供单选、多选、是非、填空、主观、语音、讨论等多种考察题型，并且支持全体、分组进行答题，或者全体、分组进行抢答等多种答题方式。</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8、系统支持开放式教学，教师端打开的既有的PPT、Word、网页或数影仪投射的实物试卷等无需做任何修改即可发起课堂评测。</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9、教师在出题时可对题目数量、倒计时的时间、是否进行屏幕剪裁等进行设置。</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10、教师出题后，学生端即刻收到题目，教师端可对学生提交答案的情况进行实时数量统计，并对答题时间进行自动计时，如果设置了倒计时，在答题最后10s内有催促学生尽快提交答案声音提示。</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11、客观题学生作答提交后，教师可立即查看以数字、图表等形式统计的答题结果，包括每道题目的离散率、每个答案的人数、具体是哪些学生、占比等。</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12、主观题学生端支持手写、打字、拍照上传等多种方式提交答案，学生端手写的主观题提交的答案在教师端可实现回放功能。</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13、主观题学生提交答案后，教师可预览学生的答案，可按照学号、姓名、成绩及提交顺序进行排序，可随机选择1名学生的答案进行点评分析，支持对学生提交的主观题答案进行回放，方便教师对学生答题进行过程性评价；还可同时选择4名学生的答案进行对比点评分析，点评的过程可发起人气投票，点评过程中可将屏幕动态分享至学生端，点评后的板书可直接推送至学生平板作为课堂笔记使用。</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14、支持课堂上以群聊的方式就某一个主题进行讨论，支持文字/语音表达。可针对小组推送讨论题，进行小组在线讨论。</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15、支持发送语音题给学生端，学生收到题目可进行录音提交。</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16、支持以答题卡、闯关等多种形式的评测，实现课中大量客观题的即时评测反馈和趣味闯关练习。</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17、提供抢答、随机选号等多种答题模式，以激发学生的课堂参与积极性。</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18、支持学生成绩统计、排序等功能，可生成当天成绩或学期成绩，支持成绩导出。</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19、为鼓励学生，教师对学生加分时，被加分的学生端显示金币弹出的动画。</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白板工具：</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20、对于日常教学中的板书需求，系统提供了完整易学的电子白板功能及常用的学科板书工具，如：常见几何图形、汉字/英文格子，书法笔等。白板笔迹可根据需求保存或删除。收起白板回到教师原始课件，不会影响课件的再次使用。</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21、系统可虚拟出多块白板供教师板书，并根据需要随时调出某一块白板呈现。</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微课录制：</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22、提供桌面级的微课录制工具。教师可以在备授课过程中，将课程的重点、难点录制成微视频，根据需要上传云平台管理，或随时推送给学生，供学生学习。</w:t>
            </w:r>
          </w:p>
          <w:p>
            <w:pPr>
              <w:widowControl/>
              <w:spacing w:line="360" w:lineRule="auto"/>
              <w:jc w:val="left"/>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24、支持异地同步课堂，实现跨地域的智慧课堂（主讲端和听讲端）进行互动。</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班</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r>
      <w:tr>
        <w:tblPrEx>
          <w:tblCellMar>
            <w:top w:w="0" w:type="dxa"/>
            <w:left w:w="108" w:type="dxa"/>
            <w:bottom w:w="0" w:type="dxa"/>
            <w:right w:w="108" w:type="dxa"/>
          </w:tblCellMar>
        </w:tblPrEx>
        <w:trPr>
          <w:trHeight w:val="300"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智慧学习学生端软件</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1、电子书包软件可跨平台使用，如Android、Windows，以满足在同一场域，不同平台的终端能混合使用的要求。</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2、学生端在线状态时会完成所有资料和工具的下载，在离线状态下仍然能够学习，重新回到在线状态时，会自动将离线状态下产生的数据和资料上传到云端。</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3、电子书包在开机后，可看到当天的课表，并标识当前正在进行的科目，学生可打开相应科目电子教材。</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4、学生端所有工具软件都被教师完全管控，未经允许的工具，学生端均无法安装和卸载；学生端浏览网页被完全管控，学生端只能浏览教师许可的网址。</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5、可读取PDF、SWF、Epub2、Epub3等格式的电子资料。</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6、提供个人资源库，分类管理学生的视频、音频、照片、素材等个人资源，并提供云端同步功能。</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7、下载过程无需学生干预。在线状态下，自动下载学习资料，自动下载并自动安装学习工具。</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8、个人、班级空间访问。</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9、学生端自动接收教师评测试卷、作业等，学生在终端上做答，交卷、交作业，查看评测结果。</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10、实现分组学习。</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11、学生可对每节课进行评价。</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12、分科目记录课堂笔记，笔记可以再编辑；记录课堂错题形成错题集，供补救和复习。</w:t>
            </w:r>
          </w:p>
          <w:p>
            <w:pPr>
              <w:widowControl/>
              <w:spacing w:line="360" w:lineRule="auto"/>
              <w:jc w:val="left"/>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13、账号、学习资料云端存储，可实现“多人一机”共享使用。</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用户</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220</w:t>
            </w:r>
          </w:p>
        </w:tc>
      </w:tr>
      <w:tr>
        <w:tblPrEx>
          <w:tblCellMar>
            <w:top w:w="0" w:type="dxa"/>
            <w:left w:w="108" w:type="dxa"/>
            <w:bottom w:w="0" w:type="dxa"/>
            <w:right w:w="108" w:type="dxa"/>
          </w:tblCellMar>
        </w:tblPrEx>
        <w:trPr>
          <w:trHeight w:val="1852"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数字教学资源</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1、资源应涵盖基础义务教育阶段的电子教材，包括人教版语文，人教PEP英语、北师大版数学等教材版本，配合客户端下载到本地，使用方便，实现资源的流转共享和个性化应用。</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2、扩展性强，能整合其他资源，具有开发性，能够自主上传资源，方便检索，可在线实时预览文档类资源并进行评价。</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3、系统提供教学资源内容丰富多样，包括教材、教案、试题、音视频、图片、高清在线微课程、动漫测试、仿真实验等八大类资源，覆盖教与学全过程。</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4、资源内容满足《国家课程标准》，能与数字教材匹配，能满足到章、到页的应用；资源能在资源管理工具下完成分类、查询、更新、升级、删除、导入。</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5、资源需要与多版本的数字教材匹配，与数字教材配套使用。</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6、提供与教材匹配的教辅题集，学科包括：语文、数学、英语等义务教育阶段的各个学科。</w:t>
            </w:r>
          </w:p>
          <w:p>
            <w:pPr>
              <w:widowControl/>
              <w:spacing w:line="360" w:lineRule="auto"/>
              <w:jc w:val="left"/>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7、提供基于全学科重要知识点的名师微课，课程时间在10-20分钟内。</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班</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r>
      <w:tr>
        <w:tblPrEx>
          <w:tblCellMar>
            <w:top w:w="0" w:type="dxa"/>
            <w:left w:w="108" w:type="dxa"/>
            <w:bottom w:w="0" w:type="dxa"/>
            <w:right w:w="108" w:type="dxa"/>
          </w:tblCellMar>
        </w:tblPrEx>
        <w:trPr>
          <w:trHeight w:val="1031"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智慧教室无线AP</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1、支持IEEE802.11 a/b/g/n/ac，</w:t>
            </w:r>
            <w:r>
              <w:rPr>
                <w:rFonts w:hint="eastAsia" w:ascii="宋体" w:hAnsi="宋体" w:cs="宋体"/>
                <w:color w:val="000000"/>
                <w:kern w:val="0"/>
                <w:sz w:val="24"/>
                <w:szCs w:val="24"/>
                <w:highlight w:val="none"/>
                <w:lang w:val="en-US" w:eastAsia="zh-CN" w:bidi="ar"/>
              </w:rPr>
              <w:t>不低于</w:t>
            </w:r>
            <w:r>
              <w:rPr>
                <w:rFonts w:hint="eastAsia" w:ascii="宋体" w:hAnsi="宋体" w:cs="宋体"/>
                <w:color w:val="000000"/>
                <w:kern w:val="0"/>
                <w:sz w:val="24"/>
                <w:szCs w:val="24"/>
                <w:highlight w:val="none"/>
                <w:lang w:bidi="ar"/>
              </w:rPr>
              <w:t>采用802.11AC WAVE2标准及QAM256技术，</w:t>
            </w:r>
            <w:r>
              <w:rPr>
                <w:rFonts w:hint="eastAsia" w:ascii="宋体" w:hAnsi="宋体" w:cs="宋体"/>
                <w:color w:val="000000"/>
                <w:kern w:val="0"/>
                <w:sz w:val="24"/>
                <w:szCs w:val="24"/>
                <w:highlight w:val="none"/>
                <w:lang w:val="en-US" w:eastAsia="zh-CN" w:bidi="ar"/>
              </w:rPr>
              <w:t>不低于</w:t>
            </w:r>
            <w:r>
              <w:rPr>
                <w:rFonts w:hint="eastAsia" w:ascii="宋体" w:hAnsi="宋体" w:cs="宋体"/>
                <w:color w:val="000000"/>
                <w:kern w:val="0"/>
                <w:sz w:val="24"/>
                <w:szCs w:val="24"/>
                <w:highlight w:val="none"/>
                <w:lang w:bidi="ar"/>
              </w:rPr>
              <w:t>2.4GHz&amp;5GHz并发，</w:t>
            </w:r>
            <w:r>
              <w:rPr>
                <w:rFonts w:hint="eastAsia" w:ascii="宋体" w:hAnsi="宋体" w:cs="宋体"/>
                <w:color w:val="000000"/>
                <w:kern w:val="0"/>
                <w:sz w:val="24"/>
                <w:szCs w:val="24"/>
                <w:highlight w:val="none"/>
                <w:lang w:val="en-US" w:eastAsia="zh-CN" w:bidi="ar"/>
              </w:rPr>
              <w:t>不低于</w:t>
            </w:r>
            <w:r>
              <w:rPr>
                <w:rFonts w:hint="eastAsia" w:ascii="宋体" w:hAnsi="宋体" w:cs="宋体"/>
                <w:color w:val="000000"/>
                <w:kern w:val="0"/>
                <w:sz w:val="24"/>
                <w:szCs w:val="24"/>
                <w:highlight w:val="none"/>
                <w:lang w:bidi="ar"/>
              </w:rPr>
              <w:t>800M@2.4G+867M@5G*2=三射频无线速率高达2600Mbps；</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2、支持高达500M的WAN to LAN转发速率；</w:t>
            </w:r>
            <w:r>
              <w:rPr>
                <w:rFonts w:hint="eastAsia" w:ascii="宋体" w:hAnsi="宋体" w:cs="宋体"/>
                <w:color w:val="000000"/>
                <w:kern w:val="0"/>
                <w:sz w:val="24"/>
                <w:szCs w:val="24"/>
                <w:highlight w:val="none"/>
                <w:lang w:val="en-US" w:eastAsia="zh-CN" w:bidi="ar"/>
              </w:rPr>
              <w:t>不低于</w:t>
            </w:r>
            <w:r>
              <w:rPr>
                <w:rFonts w:hint="eastAsia" w:ascii="宋体" w:hAnsi="宋体" w:cs="宋体"/>
                <w:color w:val="000000"/>
                <w:kern w:val="0"/>
                <w:sz w:val="24"/>
                <w:szCs w:val="24"/>
                <w:highlight w:val="none"/>
                <w:lang w:bidi="ar"/>
              </w:rPr>
              <w:t>1个USB3.0；</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ascii="宋体" w:hAnsi="宋体" w:cs="宋体"/>
                <w:color w:val="000000"/>
                <w:kern w:val="0"/>
                <w:sz w:val="24"/>
                <w:szCs w:val="24"/>
                <w:highlight w:val="none"/>
                <w:lang w:bidi="ar"/>
              </w:rPr>
              <w:t>3</w:t>
            </w:r>
            <w:r>
              <w:rPr>
                <w:rFonts w:hint="eastAsia" w:ascii="宋体" w:hAnsi="宋体" w:cs="宋体"/>
                <w:color w:val="000000"/>
                <w:kern w:val="0"/>
                <w:sz w:val="24"/>
                <w:szCs w:val="24"/>
                <w:highlight w:val="none"/>
                <w:lang w:bidi="ar"/>
              </w:rPr>
              <w:t>、最大可支持超过100个用户数；</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ascii="宋体" w:hAnsi="宋体" w:cs="宋体"/>
                <w:color w:val="000000"/>
                <w:kern w:val="0"/>
                <w:sz w:val="24"/>
                <w:szCs w:val="24"/>
                <w:highlight w:val="none"/>
                <w:lang w:bidi="ar"/>
              </w:rPr>
              <w:t>4</w:t>
            </w:r>
            <w:r>
              <w:rPr>
                <w:rFonts w:hint="eastAsia" w:ascii="宋体" w:hAnsi="宋体" w:cs="宋体"/>
                <w:color w:val="000000"/>
                <w:kern w:val="0"/>
                <w:sz w:val="24"/>
                <w:szCs w:val="24"/>
                <w:highlight w:val="none"/>
                <w:lang w:bidi="ar"/>
              </w:rPr>
              <w:t>、DC供电，支持DC 48V 65W/DC 48V 120W（二选一）；</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ascii="宋体" w:hAnsi="宋体" w:cs="宋体"/>
                <w:color w:val="000000"/>
                <w:kern w:val="0"/>
                <w:sz w:val="24"/>
                <w:szCs w:val="24"/>
                <w:highlight w:val="none"/>
                <w:lang w:bidi="ar"/>
              </w:rPr>
              <w:t>5</w:t>
            </w:r>
            <w:r>
              <w:rPr>
                <w:rFonts w:hint="eastAsia" w:ascii="宋体" w:hAnsi="宋体" w:cs="宋体"/>
                <w:color w:val="000000"/>
                <w:kern w:val="0"/>
                <w:sz w:val="24"/>
                <w:szCs w:val="24"/>
                <w:highlight w:val="none"/>
                <w:lang w:bidi="ar"/>
              </w:rPr>
              <w:t>、管控：管控学生健康上网，人性化管控学生上网时长、时段、上网内容；只需设定宽带大小，路由器自动实现网速分配；提供最大用户数限制；</w:t>
            </w:r>
          </w:p>
          <w:p>
            <w:pPr>
              <w:widowControl/>
              <w:spacing w:line="360" w:lineRule="auto"/>
              <w:jc w:val="left"/>
              <w:textAlignment w:val="top"/>
              <w:rPr>
                <w:rFonts w:ascii="宋体" w:hAnsi="宋体" w:cs="宋体"/>
                <w:color w:val="000000"/>
                <w:sz w:val="24"/>
                <w:szCs w:val="24"/>
                <w:highlight w:val="none"/>
              </w:rPr>
            </w:pPr>
            <w:r>
              <w:rPr>
                <w:rFonts w:ascii="宋体" w:hAnsi="宋体" w:cs="宋体"/>
                <w:color w:val="000000"/>
                <w:kern w:val="0"/>
                <w:sz w:val="24"/>
                <w:szCs w:val="24"/>
                <w:highlight w:val="none"/>
                <w:lang w:bidi="ar"/>
              </w:rPr>
              <w:t>6</w:t>
            </w:r>
            <w:r>
              <w:rPr>
                <w:rFonts w:hint="eastAsia" w:ascii="宋体" w:hAnsi="宋体" w:cs="宋体"/>
                <w:color w:val="000000"/>
                <w:kern w:val="0"/>
                <w:sz w:val="24"/>
                <w:szCs w:val="24"/>
                <w:highlight w:val="none"/>
                <w:lang w:bidi="ar"/>
              </w:rPr>
              <w:t>、无线加密：支持Open System，WPA-PSK，WPA2-PSA；</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r>
      <w:tr>
        <w:tblPrEx>
          <w:tblCellMar>
            <w:top w:w="0" w:type="dxa"/>
            <w:left w:w="108" w:type="dxa"/>
            <w:bottom w:w="0" w:type="dxa"/>
            <w:right w:w="108" w:type="dxa"/>
          </w:tblCellMar>
        </w:tblPrEx>
        <w:trPr>
          <w:trHeight w:val="1339"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学习专用平板</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1、操作系统：Android 5.0 以上；</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2、屏幕：屏幕尺寸：&gt;10寸；屏幕分辨率：≥1200*1920；触控：10点触控；护眼保护：低蓝光, 防炫光,近距离提醒；支持原笔迹手写；</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3、CPU：</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lang w:bidi="ar"/>
              </w:rPr>
              <w:t>四核，主频 ≥ 1.8GHz；</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4、Memory：RAM：≥2GB；ROM (FLASH/eMMC)：≥32GB；支持扩展 Micro SD：≥64GB；</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ascii="宋体" w:hAnsi="宋体" w:cs="宋体"/>
                <w:color w:val="000000"/>
                <w:kern w:val="0"/>
                <w:sz w:val="24"/>
                <w:szCs w:val="24"/>
                <w:highlight w:val="none"/>
                <w:lang w:bidi="ar"/>
              </w:rPr>
              <w:t>5</w:t>
            </w:r>
            <w:r>
              <w:rPr>
                <w:rFonts w:hint="eastAsia" w:ascii="宋体" w:hAnsi="宋体" w:cs="宋体"/>
                <w:color w:val="000000"/>
                <w:kern w:val="0"/>
                <w:sz w:val="24"/>
                <w:szCs w:val="24"/>
                <w:highlight w:val="none"/>
                <w:lang w:bidi="ar"/>
              </w:rPr>
              <w:t>、摄像头：前置摄像头：≥500万像素；后置摄像头：≥800万像素；自动对焦LED闪光灯；拍摄视频格式：支持1080p；</w:t>
            </w:r>
          </w:p>
          <w:p>
            <w:pPr>
              <w:widowControl/>
              <w:spacing w:line="360" w:lineRule="auto"/>
              <w:jc w:val="left"/>
              <w:textAlignment w:val="top"/>
              <w:rPr>
                <w:rFonts w:ascii="宋体" w:hAnsi="宋体" w:cs="宋体"/>
                <w:color w:val="000000"/>
                <w:kern w:val="0"/>
                <w:sz w:val="24"/>
                <w:szCs w:val="24"/>
                <w:highlight w:val="none"/>
                <w:lang w:bidi="ar"/>
              </w:rPr>
            </w:pPr>
            <w:r>
              <w:rPr>
                <w:rFonts w:ascii="宋体" w:hAnsi="宋体" w:cs="宋体"/>
                <w:color w:val="000000"/>
                <w:kern w:val="0"/>
                <w:sz w:val="24"/>
                <w:szCs w:val="24"/>
                <w:highlight w:val="none"/>
                <w:lang w:bidi="ar"/>
              </w:rPr>
              <w:t>6</w:t>
            </w:r>
            <w:r>
              <w:rPr>
                <w:rFonts w:hint="eastAsia" w:ascii="宋体" w:hAnsi="宋体" w:cs="宋体"/>
                <w:color w:val="000000"/>
                <w:kern w:val="0"/>
                <w:sz w:val="24"/>
                <w:szCs w:val="24"/>
                <w:highlight w:val="none"/>
                <w:lang w:bidi="ar"/>
              </w:rPr>
              <w:t>、支持重力感应器；</w:t>
            </w:r>
          </w:p>
          <w:p>
            <w:pPr>
              <w:widowControl/>
              <w:spacing w:line="360" w:lineRule="auto"/>
              <w:jc w:val="left"/>
              <w:textAlignment w:val="top"/>
              <w:rPr>
                <w:rFonts w:ascii="宋体" w:hAnsi="宋体" w:cs="宋体"/>
                <w:color w:val="000000"/>
                <w:kern w:val="0"/>
                <w:sz w:val="24"/>
                <w:szCs w:val="24"/>
                <w:highlight w:val="none"/>
                <w:lang w:bidi="ar"/>
              </w:rPr>
            </w:pPr>
            <w:r>
              <w:rPr>
                <w:rFonts w:ascii="宋体" w:hAnsi="宋体" w:cs="宋体"/>
                <w:color w:val="000000"/>
                <w:kern w:val="0"/>
                <w:sz w:val="24"/>
                <w:szCs w:val="24"/>
                <w:highlight w:val="none"/>
                <w:lang w:bidi="ar"/>
              </w:rPr>
              <w:t>7</w:t>
            </w:r>
            <w:r>
              <w:rPr>
                <w:rFonts w:hint="eastAsia" w:ascii="宋体" w:hAnsi="宋体" w:cs="宋体"/>
                <w:color w:val="000000"/>
                <w:kern w:val="0"/>
                <w:sz w:val="24"/>
                <w:szCs w:val="24"/>
                <w:highlight w:val="none"/>
                <w:lang w:bidi="ar"/>
              </w:rPr>
              <w:t>、电池容量：≥ 7000mAh；</w:t>
            </w:r>
          </w:p>
          <w:p>
            <w:pPr>
              <w:widowControl/>
              <w:spacing w:line="360" w:lineRule="auto"/>
              <w:jc w:val="left"/>
              <w:textAlignment w:val="top"/>
              <w:rPr>
                <w:rFonts w:ascii="宋体" w:hAnsi="宋体" w:cs="宋体"/>
                <w:color w:val="000000"/>
                <w:sz w:val="24"/>
                <w:szCs w:val="24"/>
                <w:highlight w:val="none"/>
              </w:rPr>
            </w:pPr>
            <w:r>
              <w:rPr>
                <w:rFonts w:ascii="宋体" w:hAnsi="宋体" w:cs="宋体"/>
                <w:color w:val="000000"/>
                <w:kern w:val="0"/>
                <w:sz w:val="24"/>
                <w:szCs w:val="24"/>
                <w:highlight w:val="none"/>
                <w:lang w:bidi="ar"/>
              </w:rPr>
              <w:t>8</w:t>
            </w:r>
            <w:r>
              <w:rPr>
                <w:rFonts w:hint="eastAsia" w:ascii="宋体" w:hAnsi="宋体" w:cs="宋体"/>
                <w:color w:val="000000"/>
                <w:kern w:val="0"/>
                <w:sz w:val="24"/>
                <w:szCs w:val="24"/>
                <w:highlight w:val="none"/>
                <w:lang w:bidi="ar"/>
              </w:rPr>
              <w:t>、配件：可站立式支架（保护套）；</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220</w:t>
            </w:r>
          </w:p>
        </w:tc>
      </w:tr>
      <w:tr>
        <w:tblPrEx>
          <w:tblCellMar>
            <w:top w:w="0" w:type="dxa"/>
            <w:left w:w="108" w:type="dxa"/>
            <w:bottom w:w="0" w:type="dxa"/>
            <w:right w:w="108" w:type="dxa"/>
          </w:tblCellMar>
        </w:tblPrEx>
        <w:trPr>
          <w:trHeight w:val="1544"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9</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学习专用平板智能充电柜</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1、主体材质：1.0-1.8mmSPCC冷轧碳素钢板与环保ABS工程塑料相结合。</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2、前后使用不同防盗锁，技术人员持专用钥匙才能打开后门，使用，维护前后分区，学生无法接触强电部分。</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3、优质静音脚轮，四轮万向，两轮刹车。</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4、内部分舱：前舱为平板放置充电区域，学生接触区域，无强电；后舱为电源管理控制区域，由专业管理人员控制。</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5、环保ABS工程塑料单机隔断，其中内置隔板上带有卡线槽且不划伤平板屏幕，同时又预留凹槽方便拿取电脑。</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6、一体化电源管理系统：</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A.具备定时开关机功能，可随心设置充电时间。</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B.过载保护：当功率异常过大后电流不稳时自动断电，防止损坏设备。</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C.标配防漏电、防短路多重保护系统，确保使用者人身安全。</w:t>
            </w:r>
          </w:p>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7、互循环散热结构，自动控制风扇在一定温度区域内启动风扇强制散热，充电过程中产生热量由风扇强制排出，保证设备在安全温度运行，整体安全可靠，节能环保。</w:t>
            </w:r>
          </w:p>
          <w:p>
            <w:pPr>
              <w:widowControl/>
              <w:spacing w:line="360" w:lineRule="auto"/>
              <w:jc w:val="left"/>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8、外置带有开关控制的外接电源，方便连接其他用电设备（教师笔记本等）。</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台</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r>
      <w:tr>
        <w:tblPrEx>
          <w:tblCellMar>
            <w:top w:w="0" w:type="dxa"/>
            <w:left w:w="108" w:type="dxa"/>
            <w:bottom w:w="0" w:type="dxa"/>
            <w:right w:w="108" w:type="dxa"/>
          </w:tblCellMar>
        </w:tblPrEx>
        <w:trPr>
          <w:trHeight w:val="722"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10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安装调试、技术及教学应用培训</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 xml:space="preserve">智慧教室强弱电线缆布放，软件安装、网络调试、学生端软件安装。 </w:t>
            </w:r>
          </w:p>
          <w:p>
            <w:pPr>
              <w:widowControl/>
              <w:spacing w:line="360" w:lineRule="auto"/>
              <w:jc w:val="left"/>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培训主要包括：课程理念的培训，教育信息化知识的培训，智慧教室智慧教学系统、智慧教室高效课堂互动管理系统、智慧教室自主学习系统、智慧教室适性辅导系统操作使用培训，教研活动支持，课程资源设计、教学活动设计，信息化技术应用，学校公开课技术支持，系统维护等。 </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班</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4</w:t>
            </w:r>
          </w:p>
        </w:tc>
      </w:tr>
      <w:tr>
        <w:tblPrEx>
          <w:tblCellMar>
            <w:top w:w="0" w:type="dxa"/>
            <w:left w:w="108" w:type="dxa"/>
            <w:bottom w:w="0" w:type="dxa"/>
            <w:right w:w="108" w:type="dxa"/>
          </w:tblCellMar>
        </w:tblPrEx>
        <w:trPr>
          <w:trHeight w:val="106" w:hRule="atLeast"/>
          <w:jc w:val="center"/>
        </w:trPr>
        <w:tc>
          <w:tcPr>
            <w:tcW w:w="1491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textAlignment w:val="center"/>
              <w:rPr>
                <w:rFonts w:ascii="宋体" w:hAnsi="宋体" w:cs="宋体"/>
                <w:color w:val="000000"/>
                <w:kern w:val="0"/>
                <w:sz w:val="24"/>
                <w:szCs w:val="24"/>
                <w:highlight w:val="none"/>
                <w:lang w:bidi="ar"/>
              </w:rPr>
            </w:pPr>
            <w:r>
              <w:rPr>
                <w:rFonts w:hint="eastAsia" w:ascii="宋体" w:hAnsi="宋体" w:cs="宋体"/>
                <w:b/>
                <w:bCs/>
                <w:color w:val="000000"/>
                <w:kern w:val="0"/>
                <w:sz w:val="24"/>
                <w:szCs w:val="24"/>
                <w:highlight w:val="none"/>
                <w:lang w:bidi="ar"/>
              </w:rPr>
              <w:t>（三）一体机（4个）</w:t>
            </w:r>
          </w:p>
        </w:tc>
      </w:tr>
      <w:tr>
        <w:tblPrEx>
          <w:tblCellMar>
            <w:top w:w="0" w:type="dxa"/>
            <w:left w:w="108" w:type="dxa"/>
            <w:bottom w:w="0" w:type="dxa"/>
            <w:right w:w="108" w:type="dxa"/>
          </w:tblCellMar>
        </w:tblPrEx>
        <w:trPr>
          <w:trHeight w:val="1651"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12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75寸一体机</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hd w:val="clear" w:color="auto" w:fill="FFFFFF"/>
              <w:tabs>
                <w:tab w:val="left" w:pos="720"/>
              </w:tabs>
              <w:spacing w:line="360" w:lineRule="auto"/>
              <w:jc w:val="left"/>
              <w:rPr>
                <w:sz w:val="24"/>
                <w:szCs w:val="24"/>
                <w:highlight w:val="none"/>
              </w:rPr>
            </w:pPr>
            <w:r>
              <w:rPr>
                <w:rFonts w:hint="eastAsia"/>
                <w:sz w:val="24"/>
                <w:szCs w:val="24"/>
                <w:highlight w:val="none"/>
              </w:rPr>
              <w:t>一、外观及音频设计</w:t>
            </w:r>
          </w:p>
          <w:p>
            <w:pPr>
              <w:pStyle w:val="85"/>
              <w:numPr>
                <w:ilvl w:val="0"/>
                <w:numId w:val="5"/>
              </w:numPr>
              <w:spacing w:line="360" w:lineRule="auto"/>
              <w:rPr>
                <w:rFonts w:ascii="宋体" w:hAnsi="宋体"/>
                <w:bCs/>
                <w:sz w:val="24"/>
                <w:szCs w:val="24"/>
                <w:highlight w:val="none"/>
              </w:rPr>
            </w:pPr>
            <w:r>
              <w:rPr>
                <w:rFonts w:hint="eastAsia" w:ascii="宋体" w:hAnsi="宋体"/>
                <w:bCs/>
                <w:sz w:val="24"/>
                <w:szCs w:val="24"/>
                <w:highlight w:val="none"/>
              </w:rPr>
              <w:t>整机采用一体设计，外部无任何可见内部功能模块连接线，边角采用弧形设计，表面无尖锐边缘或凸起。</w:t>
            </w:r>
          </w:p>
          <w:p>
            <w:pPr>
              <w:pStyle w:val="85"/>
              <w:numPr>
                <w:ilvl w:val="0"/>
                <w:numId w:val="5"/>
              </w:numPr>
              <w:spacing w:line="360" w:lineRule="auto"/>
              <w:rPr>
                <w:rFonts w:ascii="宋体" w:hAnsi="宋体"/>
                <w:bCs/>
                <w:sz w:val="24"/>
                <w:szCs w:val="24"/>
                <w:highlight w:val="none"/>
              </w:rPr>
            </w:pPr>
            <w:r>
              <w:rPr>
                <w:rFonts w:ascii="宋体" w:hAnsi="宋体"/>
                <w:bCs/>
                <w:sz w:val="24"/>
                <w:szCs w:val="24"/>
                <w:highlight w:val="none"/>
              </w:rPr>
              <w:t>整机具备抗振动、防跌落特性，保证整机运输或使用过程中不易受损。</w:t>
            </w:r>
          </w:p>
          <w:p>
            <w:pPr>
              <w:pStyle w:val="85"/>
              <w:numPr>
                <w:ilvl w:val="0"/>
                <w:numId w:val="5"/>
              </w:numPr>
              <w:spacing w:line="360" w:lineRule="auto"/>
              <w:rPr>
                <w:rFonts w:ascii="宋体" w:hAnsi="宋体"/>
                <w:bCs/>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rPr>
              <w:t>整机内置2.2声道扬声器，喇叭总功率不低于60W。需提供相应的功能证明材料（包括但不限于测试报告、官网和功能截图等）。</w:t>
            </w:r>
          </w:p>
          <w:p>
            <w:pPr>
              <w:pStyle w:val="85"/>
              <w:spacing w:line="360" w:lineRule="auto"/>
              <w:rPr>
                <w:rFonts w:ascii="宋体" w:hAnsi="宋体"/>
                <w:bCs/>
                <w:sz w:val="24"/>
                <w:szCs w:val="24"/>
                <w:highlight w:val="none"/>
              </w:rPr>
            </w:pPr>
            <w:r>
              <w:rPr>
                <w:rFonts w:hint="eastAsia" w:ascii="宋体" w:hAnsi="宋体"/>
                <w:bCs/>
                <w:sz w:val="24"/>
                <w:szCs w:val="24"/>
                <w:highlight w:val="none"/>
              </w:rPr>
              <w:t>二、屏幕显示设计</w:t>
            </w:r>
          </w:p>
          <w:p>
            <w:pPr>
              <w:pStyle w:val="85"/>
              <w:numPr>
                <w:ilvl w:val="0"/>
                <w:numId w:val="0"/>
              </w:numPr>
              <w:spacing w:line="360" w:lineRule="auto"/>
              <w:ind w:leftChars="0"/>
              <w:rPr>
                <w:rFonts w:ascii="宋体" w:hAnsi="宋体"/>
                <w:bCs/>
                <w:sz w:val="24"/>
                <w:szCs w:val="24"/>
                <w:highlight w:val="none"/>
              </w:rPr>
            </w:pPr>
            <w:r>
              <w:rPr>
                <w:rFonts w:hint="eastAsia" w:ascii="宋体" w:hAnsi="宋体"/>
                <w:bCs/>
                <w:sz w:val="24"/>
                <w:szCs w:val="24"/>
                <w:highlight w:val="none"/>
                <w:lang w:val="en-US" w:eastAsia="zh-CN"/>
              </w:rPr>
              <w:t>1.</w:t>
            </w:r>
            <w:r>
              <w:rPr>
                <w:rFonts w:ascii="宋体" w:hAnsi="宋体"/>
                <w:bCs/>
                <w:sz w:val="24"/>
                <w:szCs w:val="24"/>
                <w:highlight w:val="none"/>
              </w:rPr>
              <w:t>整机屏幕采用</w:t>
            </w:r>
            <w:r>
              <w:rPr>
                <w:rFonts w:hint="eastAsia" w:ascii="宋体" w:hAnsi="宋体"/>
                <w:bCs/>
                <w:sz w:val="24"/>
                <w:szCs w:val="24"/>
                <w:highlight w:val="none"/>
              </w:rPr>
              <w:t>≥75</w:t>
            </w:r>
            <w:r>
              <w:rPr>
                <w:rFonts w:ascii="宋体" w:hAnsi="宋体"/>
                <w:bCs/>
                <w:sz w:val="24"/>
                <w:szCs w:val="24"/>
                <w:highlight w:val="none"/>
              </w:rPr>
              <w:t>英寸 UHD超高清LED 液晶屏，显示比例16:9</w:t>
            </w:r>
            <w:r>
              <w:rPr>
                <w:rFonts w:hint="eastAsia" w:ascii="宋体" w:hAnsi="宋体"/>
                <w:bCs/>
                <w:sz w:val="24"/>
                <w:szCs w:val="24"/>
                <w:highlight w:val="none"/>
              </w:rPr>
              <w:t>，</w:t>
            </w:r>
            <w:r>
              <w:rPr>
                <w:rFonts w:ascii="宋体" w:hAnsi="宋体"/>
                <w:bCs/>
                <w:sz w:val="24"/>
                <w:szCs w:val="24"/>
                <w:highlight w:val="none"/>
              </w:rPr>
              <w:t>屏幕分辨率</w:t>
            </w:r>
            <w:r>
              <w:rPr>
                <w:rFonts w:hint="eastAsia" w:ascii="宋体" w:hAnsi="宋体"/>
                <w:bCs/>
                <w:sz w:val="24"/>
                <w:szCs w:val="24"/>
                <w:highlight w:val="none"/>
              </w:rPr>
              <w:t>≥</w:t>
            </w:r>
            <w:r>
              <w:rPr>
                <w:rFonts w:ascii="宋体" w:hAnsi="宋体"/>
                <w:bCs/>
                <w:sz w:val="24"/>
                <w:szCs w:val="24"/>
                <w:highlight w:val="none"/>
              </w:rPr>
              <w:t>3840*2160，具备防眩光效果</w:t>
            </w:r>
            <w:r>
              <w:rPr>
                <w:rFonts w:hint="eastAsia" w:ascii="宋体" w:hAnsi="宋体"/>
                <w:bCs/>
                <w:sz w:val="24"/>
                <w:szCs w:val="24"/>
                <w:highlight w:val="none"/>
              </w:rPr>
              <w:t>。</w:t>
            </w:r>
          </w:p>
          <w:p>
            <w:pPr>
              <w:pStyle w:val="85"/>
              <w:numPr>
                <w:ilvl w:val="0"/>
                <w:numId w:val="0"/>
              </w:numPr>
              <w:spacing w:line="360" w:lineRule="auto"/>
              <w:ind w:leftChars="0"/>
              <w:rPr>
                <w:rFonts w:ascii="宋体" w:hAnsi="宋体"/>
                <w:bCs/>
                <w:sz w:val="24"/>
                <w:szCs w:val="24"/>
                <w:highlight w:val="none"/>
              </w:rPr>
            </w:pPr>
            <w:r>
              <w:rPr>
                <w:rFonts w:hint="eastAsia" w:ascii="宋体" w:hAnsi="宋体"/>
                <w:bCs/>
                <w:sz w:val="24"/>
                <w:szCs w:val="24"/>
                <w:highlight w:val="none"/>
                <w:lang w:val="en-US" w:eastAsia="zh-CN"/>
              </w:rPr>
              <w:t>2.</w:t>
            </w:r>
            <w:r>
              <w:rPr>
                <w:rFonts w:ascii="宋体" w:hAnsi="宋体"/>
                <w:bCs/>
                <w:sz w:val="24"/>
                <w:szCs w:val="24"/>
                <w:highlight w:val="none"/>
              </w:rPr>
              <w:t>屏幕显示灰度分辨等级达到</w:t>
            </w:r>
            <w:r>
              <w:rPr>
                <w:rFonts w:hint="eastAsia" w:ascii="宋体" w:hAnsi="宋体"/>
                <w:bCs/>
                <w:sz w:val="24"/>
                <w:szCs w:val="24"/>
                <w:highlight w:val="none"/>
              </w:rPr>
              <w:t>256</w:t>
            </w:r>
            <w:r>
              <w:rPr>
                <w:rFonts w:ascii="宋体" w:hAnsi="宋体"/>
                <w:bCs/>
                <w:sz w:val="24"/>
                <w:szCs w:val="24"/>
                <w:highlight w:val="none"/>
              </w:rPr>
              <w:t>灰阶以上，保证画面显示效果细腻。</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sz w:val="24"/>
                <w:szCs w:val="24"/>
                <w:highlight w:val="none"/>
              </w:rPr>
            </w:pPr>
            <w:r>
              <w:rPr>
                <w:rFonts w:hint="eastAsia" w:ascii="宋体" w:hAnsi="宋体" w:cs="Arial"/>
                <w:color w:val="000000"/>
                <w:sz w:val="24"/>
                <w:szCs w:val="24"/>
                <w:highlight w:val="none"/>
                <w:lang w:val="en-US" w:eastAsia="zh-CN"/>
              </w:rPr>
              <w:t>3.</w:t>
            </w:r>
            <w:r>
              <w:rPr>
                <w:rFonts w:ascii="宋体" w:hAnsi="宋体" w:cs="Arial"/>
                <w:color w:val="000000"/>
                <w:sz w:val="24"/>
                <w:szCs w:val="24"/>
                <w:highlight w:val="none"/>
              </w:rPr>
              <w:t>采用</w:t>
            </w:r>
            <w:r>
              <w:rPr>
                <w:rFonts w:hint="eastAsia" w:ascii="宋体" w:hAnsi="宋体" w:cs="Arial"/>
                <w:color w:val="000000"/>
                <w:sz w:val="24"/>
                <w:szCs w:val="24"/>
                <w:highlight w:val="none"/>
              </w:rPr>
              <w:t>红外</w:t>
            </w:r>
            <w:r>
              <w:rPr>
                <w:rFonts w:ascii="宋体" w:hAnsi="宋体" w:cs="Arial"/>
                <w:color w:val="000000"/>
                <w:sz w:val="24"/>
                <w:szCs w:val="24"/>
                <w:highlight w:val="none"/>
              </w:rPr>
              <w:t>触控技术，支持Windows系统</w:t>
            </w:r>
            <w:r>
              <w:rPr>
                <w:rFonts w:hint="eastAsia" w:ascii="宋体" w:hAnsi="宋体" w:cs="Arial"/>
                <w:color w:val="000000"/>
                <w:sz w:val="24"/>
                <w:szCs w:val="24"/>
                <w:highlight w:val="none"/>
              </w:rPr>
              <w:t>及</w:t>
            </w:r>
            <w:r>
              <w:rPr>
                <w:rFonts w:ascii="宋体" w:hAnsi="宋体" w:cs="Arial"/>
                <w:color w:val="000000"/>
                <w:sz w:val="24"/>
                <w:szCs w:val="24"/>
                <w:highlight w:val="none"/>
              </w:rPr>
              <w:t>Android系统中进行10点或以上触</w:t>
            </w:r>
            <w:r>
              <w:rPr>
                <w:rFonts w:hint="eastAsia" w:ascii="宋体" w:hAnsi="宋体" w:cs="Arial"/>
                <w:color w:val="000000"/>
                <w:sz w:val="24"/>
                <w:szCs w:val="24"/>
                <w:highlight w:val="none"/>
              </w:rPr>
              <w:t>控</w:t>
            </w:r>
            <w:r>
              <w:rPr>
                <w:rFonts w:ascii="宋体" w:hAnsi="宋体" w:cs="Arial"/>
                <w:color w:val="000000"/>
                <w:sz w:val="24"/>
                <w:szCs w:val="24"/>
                <w:highlight w:val="none"/>
              </w:rPr>
              <w:t>。</w:t>
            </w:r>
          </w:p>
          <w:p>
            <w:pPr>
              <w:pStyle w:val="27"/>
              <w:spacing w:line="360" w:lineRule="auto"/>
              <w:ind w:firstLine="0" w:firstLineChars="0"/>
              <w:rPr>
                <w:sz w:val="24"/>
                <w:szCs w:val="24"/>
                <w:highlight w:val="none"/>
              </w:rPr>
            </w:pPr>
            <w:r>
              <w:rPr>
                <w:rFonts w:hint="eastAsia"/>
                <w:sz w:val="24"/>
                <w:szCs w:val="24"/>
                <w:highlight w:val="none"/>
              </w:rPr>
              <w:t>三、接口及按键</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1.</w:t>
            </w:r>
            <w:r>
              <w:rPr>
                <w:rFonts w:ascii="宋体" w:hAnsi="宋体" w:cs="Arial"/>
                <w:color w:val="000000"/>
                <w:sz w:val="24"/>
                <w:szCs w:val="24"/>
                <w:highlight w:val="none"/>
              </w:rPr>
              <w:t>整机具备不少于</w:t>
            </w:r>
            <w:r>
              <w:rPr>
                <w:rFonts w:hint="eastAsia" w:ascii="宋体" w:hAnsi="宋体" w:cs="宋体"/>
                <w:sz w:val="24"/>
                <w:szCs w:val="24"/>
                <w:highlight w:val="none"/>
              </w:rPr>
              <w:t>2路前置双系统USB3.0接口</w:t>
            </w:r>
            <w:r>
              <w:rPr>
                <w:rFonts w:ascii="宋体" w:hAnsi="宋体" w:cs="Arial"/>
                <w:color w:val="000000"/>
                <w:sz w:val="24"/>
                <w:szCs w:val="24"/>
                <w:highlight w:val="none"/>
              </w:rPr>
              <w:t>,双系统USB3.0接口支持Android系统、Windows系统读取外接移动存储设备,即插即用无需区分接口对应系统。</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Arial"/>
                <w:color w:val="000000"/>
                <w:sz w:val="24"/>
                <w:szCs w:val="24"/>
                <w:highlight w:val="none"/>
              </w:rPr>
              <w:t>整机具备不少于1路前置Typec接口，</w:t>
            </w:r>
            <w:r>
              <w:rPr>
                <w:rFonts w:ascii="宋体" w:hAnsi="宋体" w:cs="Arial"/>
                <w:color w:val="000000"/>
                <w:sz w:val="24"/>
                <w:szCs w:val="24"/>
                <w:highlight w:val="none"/>
              </w:rPr>
              <w:t>外接电脑设备通过标准TypeC线连接至整机TypeC口，可直接调用整机内置的摄像头、麦克风、扬声器，在外接电脑即可拍摄教室画面。</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3.</w:t>
            </w:r>
            <w:r>
              <w:rPr>
                <w:rFonts w:hint="eastAsia" w:ascii="宋体" w:hAnsi="宋体" w:cs="Arial"/>
                <w:color w:val="000000"/>
                <w:sz w:val="24"/>
                <w:szCs w:val="24"/>
                <w:highlight w:val="none"/>
              </w:rPr>
              <w:t>为避免整机按键过于复杂，造成老师使用上的误触，前置按键不多于6个，更多的功能可以直接在屏幕上触控操作。</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4.</w:t>
            </w:r>
            <w:r>
              <w:rPr>
                <w:rFonts w:ascii="宋体" w:hAnsi="宋体" w:cs="Arial"/>
                <w:color w:val="000000"/>
                <w:sz w:val="24"/>
                <w:szCs w:val="24"/>
                <w:highlight w:val="none"/>
              </w:rPr>
              <w:t>采用智能电子产品一键式设计：同一物理按键完成Android系统、Windows系统和节能熄屏操作，通过轻按按键实现节能熄屏/唤醒，长按按键实现关机。</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5.</w:t>
            </w:r>
            <w:r>
              <w:rPr>
                <w:rFonts w:ascii="宋体" w:hAnsi="宋体" w:cs="Arial"/>
                <w:color w:val="000000"/>
                <w:sz w:val="24"/>
                <w:szCs w:val="24"/>
                <w:highlight w:val="none"/>
              </w:rPr>
              <w:t>整机</w:t>
            </w:r>
            <w:r>
              <w:rPr>
                <w:rFonts w:hint="eastAsia" w:ascii="宋体" w:hAnsi="宋体" w:cs="Arial"/>
                <w:color w:val="000000"/>
                <w:sz w:val="24"/>
                <w:szCs w:val="24"/>
                <w:highlight w:val="none"/>
              </w:rPr>
              <w:t>具备减滤蓝光</w:t>
            </w:r>
            <w:r>
              <w:rPr>
                <w:rFonts w:ascii="宋体" w:hAnsi="宋体" w:cs="Arial"/>
                <w:color w:val="000000"/>
                <w:sz w:val="24"/>
                <w:szCs w:val="24"/>
                <w:highlight w:val="none"/>
              </w:rPr>
              <w:t>功能，可通过前置物理功能按键一键启用减滤蓝光模式，有效减少蓝光对学生危害</w:t>
            </w:r>
            <w:r>
              <w:rPr>
                <w:rFonts w:hint="eastAsia" w:ascii="宋体" w:hAnsi="宋体" w:cs="Arial"/>
                <w:color w:val="000000"/>
                <w:sz w:val="24"/>
                <w:szCs w:val="24"/>
                <w:highlight w:val="none"/>
              </w:rPr>
              <w:t>。</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ascii="宋体" w:hAnsi="宋体" w:cs="Arial"/>
                <w:color w:val="000000"/>
                <w:sz w:val="24"/>
                <w:szCs w:val="24"/>
                <w:highlight w:val="none"/>
              </w:rPr>
              <w:t>支持纸质护眼模式，在任意通道任意画面任意软件所在显示内容下可实时调整画面纹理</w:t>
            </w:r>
            <w:r>
              <w:rPr>
                <w:rFonts w:hint="eastAsia" w:ascii="宋体" w:hAnsi="宋体" w:cs="Arial"/>
                <w:color w:val="000000"/>
                <w:sz w:val="24"/>
                <w:szCs w:val="24"/>
                <w:highlight w:val="none"/>
              </w:rPr>
              <w:t>，</w:t>
            </w:r>
            <w:r>
              <w:rPr>
                <w:rFonts w:ascii="宋体" w:hAnsi="宋体" w:cs="Arial"/>
                <w:color w:val="000000"/>
                <w:sz w:val="24"/>
                <w:szCs w:val="24"/>
                <w:highlight w:val="none"/>
              </w:rPr>
              <w:t>同时支持色温调节和透明度调节。</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7.</w:t>
            </w:r>
            <w:r>
              <w:rPr>
                <w:rFonts w:ascii="宋体" w:hAnsi="宋体" w:cs="Arial"/>
                <w:color w:val="000000"/>
                <w:sz w:val="24"/>
                <w:szCs w:val="24"/>
                <w:highlight w:val="none"/>
              </w:rPr>
              <w:t>整机支持色彩空间可选，包含标准模式和sRGB模式，在sRGB模式下可做到高色准△E≤1.5</w:t>
            </w:r>
            <w:r>
              <w:rPr>
                <w:rFonts w:hint="eastAsia" w:ascii="宋体" w:hAnsi="宋体" w:cs="Arial"/>
                <w:color w:val="000000"/>
                <w:sz w:val="24"/>
                <w:szCs w:val="24"/>
                <w:highlight w:val="none"/>
              </w:rPr>
              <w:t>。</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8.</w:t>
            </w:r>
            <w:r>
              <w:rPr>
                <w:rFonts w:ascii="宋体" w:hAnsi="宋体" w:cs="Arial"/>
                <w:color w:val="000000"/>
                <w:sz w:val="24"/>
                <w:szCs w:val="24"/>
                <w:highlight w:val="none"/>
              </w:rPr>
              <w:t>设备支持通过前置物理按键一键启动录屏功能，可将屏幕中显示的所有内容与老师人声同时录制。</w:t>
            </w:r>
            <w:r>
              <w:rPr>
                <w:rFonts w:hint="eastAsia" w:ascii="宋体" w:hAnsi="宋体" w:cs="宋体"/>
                <w:sz w:val="24"/>
                <w:szCs w:val="24"/>
                <w:highlight w:val="none"/>
              </w:rPr>
              <w:t>需提供相应的功能证明材料（包括但不限于测试报告、官网和功能截图等）。</w:t>
            </w:r>
          </w:p>
          <w:p>
            <w:pPr>
              <w:pStyle w:val="27"/>
              <w:spacing w:line="360" w:lineRule="auto"/>
              <w:ind w:firstLine="0" w:firstLineChars="0"/>
              <w:rPr>
                <w:sz w:val="24"/>
                <w:szCs w:val="24"/>
                <w:highlight w:val="none"/>
              </w:rPr>
            </w:pPr>
            <w:r>
              <w:rPr>
                <w:rFonts w:hint="eastAsia"/>
                <w:sz w:val="24"/>
                <w:szCs w:val="24"/>
                <w:highlight w:val="none"/>
              </w:rPr>
              <w:t>四、整机功能</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ascii="宋体" w:hAnsi="宋体" w:cs="Arial"/>
                <w:color w:val="000000"/>
                <w:sz w:val="24"/>
                <w:szCs w:val="24"/>
                <w:highlight w:val="none"/>
              </w:rPr>
              <w:t>整机内置非独立的高清摄像头，支持远程巡课应用、二维码扫码功能，可AI识别人像，人像识别距离≥10米，摄像头像素数≥1300万，对角角度≥135°。</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2.</w:t>
            </w:r>
            <w:r>
              <w:rPr>
                <w:rFonts w:ascii="宋体" w:hAnsi="宋体" w:cs="Arial"/>
                <w:color w:val="000000"/>
                <w:sz w:val="24"/>
                <w:szCs w:val="24"/>
                <w:highlight w:val="none"/>
              </w:rPr>
              <w:t>整机内置非独立外扩展的麦克风，可用于录屏对音频进行采集。</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ascii="宋体" w:hAnsi="宋体" w:cs="Arial"/>
                <w:color w:val="000000"/>
                <w:sz w:val="24"/>
                <w:szCs w:val="24"/>
                <w:highlight w:val="none"/>
              </w:rPr>
              <w:t xml:space="preserve">整机支持蓝牙Bluetooth </w:t>
            </w:r>
            <w:r>
              <w:rPr>
                <w:rFonts w:hint="eastAsia" w:ascii="宋体" w:hAnsi="宋体" w:cs="Arial"/>
                <w:color w:val="000000"/>
                <w:sz w:val="24"/>
                <w:szCs w:val="24"/>
                <w:highlight w:val="none"/>
              </w:rPr>
              <w:t>5</w:t>
            </w:r>
            <w:r>
              <w:rPr>
                <w:rFonts w:ascii="宋体" w:hAnsi="宋体" w:cs="Arial"/>
                <w:color w:val="000000"/>
                <w:sz w:val="24"/>
                <w:szCs w:val="24"/>
                <w:highlight w:val="none"/>
              </w:rPr>
              <w:t>.2标准，能连接外部蓝牙音箱播放音频，也能接收外部手机通过蓝牙发送的文件。</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4.</w:t>
            </w:r>
            <w:r>
              <w:rPr>
                <w:rFonts w:ascii="宋体" w:hAnsi="宋体" w:cs="Arial"/>
                <w:color w:val="000000"/>
                <w:sz w:val="24"/>
                <w:szCs w:val="24"/>
                <w:highlight w:val="none"/>
              </w:rPr>
              <w:t>支持将自定义图片设置为开机画面。</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5.</w:t>
            </w:r>
            <w:r>
              <w:rPr>
                <w:rFonts w:ascii="宋体" w:hAnsi="宋体" w:cs="Arial"/>
                <w:color w:val="000000"/>
                <w:sz w:val="24"/>
                <w:szCs w:val="24"/>
                <w:highlight w:val="none"/>
              </w:rPr>
              <w:t>在PC系统出现异常或需要清除PC数据时，可插入带激活文件的U盘，在嵌入式系统的设置界面中启动PC一键还原功能，将PC系统恢复至出厂状态。</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6.</w:t>
            </w:r>
            <w:r>
              <w:rPr>
                <w:rFonts w:ascii="宋体" w:hAnsi="宋体" w:cs="Arial"/>
                <w:color w:val="000000"/>
                <w:sz w:val="24"/>
                <w:szCs w:val="24"/>
                <w:highlight w:val="none"/>
              </w:rPr>
              <w:t>整机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7.</w:t>
            </w:r>
            <w:r>
              <w:rPr>
                <w:rFonts w:ascii="宋体" w:hAnsi="宋体" w:cs="Arial"/>
                <w:color w:val="000000"/>
                <w:sz w:val="24"/>
                <w:szCs w:val="24"/>
                <w:highlight w:val="none"/>
              </w:rPr>
              <w:t>支持通道自动跳转功能，如整机处于正常使用状态，HDMI信号接入时，能自动识别并切换到对应的HDMI信号源通道，且断开后能回到上一通道，自动跳转前支持选择确认，待确认后再跳转。</w:t>
            </w:r>
          </w:p>
          <w:p>
            <w:pPr>
              <w:pStyle w:val="85"/>
              <w:spacing w:line="360" w:lineRule="auto"/>
              <w:rPr>
                <w:kern w:val="2"/>
                <w:sz w:val="24"/>
                <w:szCs w:val="24"/>
                <w:highlight w:val="none"/>
              </w:rPr>
            </w:pPr>
            <w:r>
              <w:rPr>
                <w:rFonts w:hint="eastAsia"/>
                <w:kern w:val="2"/>
                <w:sz w:val="24"/>
                <w:szCs w:val="24"/>
                <w:highlight w:val="none"/>
              </w:rPr>
              <w:t>五、嵌入式系统</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ascii="宋体" w:hAnsi="宋体" w:cs="Arial"/>
                <w:color w:val="000000"/>
                <w:sz w:val="24"/>
                <w:szCs w:val="24"/>
                <w:highlight w:val="none"/>
              </w:rPr>
              <w:t>系统版本不低于Android</w:t>
            </w:r>
            <w:r>
              <w:rPr>
                <w:rFonts w:hint="eastAsia" w:ascii="宋体" w:hAnsi="宋体" w:cs="Arial"/>
                <w:color w:val="000000"/>
                <w:sz w:val="24"/>
                <w:szCs w:val="24"/>
                <w:highlight w:val="none"/>
              </w:rPr>
              <w:t xml:space="preserve"> 11</w:t>
            </w:r>
            <w:r>
              <w:rPr>
                <w:rFonts w:ascii="宋体" w:hAnsi="宋体" w:cs="Arial"/>
                <w:color w:val="000000"/>
                <w:sz w:val="24"/>
                <w:szCs w:val="24"/>
                <w:highlight w:val="none"/>
              </w:rPr>
              <w:t>.0</w:t>
            </w:r>
            <w:r>
              <w:rPr>
                <w:rFonts w:hint="eastAsia" w:ascii="宋体" w:hAnsi="宋体" w:cs="Arial"/>
                <w:color w:val="000000"/>
                <w:sz w:val="24"/>
                <w:szCs w:val="24"/>
                <w:highlight w:val="none"/>
              </w:rPr>
              <w:t>。</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2.</w:t>
            </w:r>
            <w:r>
              <w:rPr>
                <w:rFonts w:ascii="宋体" w:hAnsi="宋体" w:cs="Arial"/>
                <w:color w:val="000000"/>
                <w:sz w:val="24"/>
                <w:szCs w:val="24"/>
                <w:highlight w:val="none"/>
              </w:rPr>
              <w:t>嵌入式Android操作系统下，互动白板支持不同背景颜色，同时提供学科专用背景，包括五线谱、信纸、田字格、英文格、篮球和足球场地平面图。</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3.</w:t>
            </w:r>
            <w:r>
              <w:rPr>
                <w:rFonts w:hint="eastAsia" w:ascii="宋体" w:hAnsi="宋体" w:cs="Arial"/>
                <w:color w:val="000000"/>
                <w:sz w:val="24"/>
                <w:szCs w:val="24"/>
                <w:highlight w:val="none"/>
              </w:rPr>
              <w:t>嵌入式Android操作系统下，白板支持对已经书写的笔迹和形状的颜色进行更换。</w:t>
            </w:r>
          </w:p>
          <w:p>
            <w:pPr>
              <w:pStyle w:val="27"/>
              <w:spacing w:line="360" w:lineRule="auto"/>
              <w:ind w:firstLine="0" w:firstLineChars="0"/>
              <w:rPr>
                <w:sz w:val="24"/>
                <w:szCs w:val="24"/>
                <w:highlight w:val="none"/>
              </w:rPr>
            </w:pPr>
            <w:r>
              <w:rPr>
                <w:rFonts w:hint="eastAsia"/>
                <w:sz w:val="24"/>
                <w:szCs w:val="24"/>
                <w:highlight w:val="none"/>
              </w:rPr>
              <w:t>六、电脑配置</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ascii="宋体" w:hAnsi="宋体" w:cs="Arial"/>
                <w:color w:val="000000"/>
                <w:sz w:val="24"/>
                <w:szCs w:val="24"/>
                <w:highlight w:val="none"/>
              </w:rPr>
              <w:t>采用抽拉内置式模块化电脑，抽拉内置式，PC模块可插入整机，可实现无单独接线的插拔。按压式卡扣方式，无需工具即可快速拆卸电脑模块。</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2.</w:t>
            </w:r>
            <w:r>
              <w:rPr>
                <w:rFonts w:ascii="宋体" w:hAnsi="宋体" w:cs="Arial"/>
                <w:color w:val="000000"/>
                <w:sz w:val="24"/>
                <w:szCs w:val="24"/>
                <w:highlight w:val="none"/>
              </w:rPr>
              <w:t xml:space="preserve">搭载Intel </w:t>
            </w:r>
            <w:r>
              <w:rPr>
                <w:rFonts w:hint="eastAsia" w:ascii="宋体" w:hAnsi="宋体" w:cs="Arial"/>
                <w:color w:val="000000"/>
                <w:sz w:val="24"/>
                <w:szCs w:val="24"/>
                <w:highlight w:val="none"/>
              </w:rPr>
              <w:t>10</w:t>
            </w:r>
            <w:r>
              <w:rPr>
                <w:rFonts w:ascii="宋体" w:hAnsi="宋体" w:cs="Arial"/>
                <w:color w:val="000000"/>
                <w:sz w:val="24"/>
                <w:szCs w:val="24"/>
                <w:highlight w:val="none"/>
              </w:rPr>
              <w:t>代酷睿 i</w:t>
            </w:r>
            <w:r>
              <w:rPr>
                <w:rFonts w:hint="eastAsia" w:ascii="宋体" w:hAnsi="宋体" w:cs="Arial"/>
                <w:color w:val="000000"/>
                <w:sz w:val="24"/>
                <w:szCs w:val="24"/>
                <w:highlight w:val="none"/>
              </w:rPr>
              <w:t>5或以上配置</w:t>
            </w:r>
            <w:r>
              <w:rPr>
                <w:rFonts w:ascii="宋体" w:hAnsi="宋体" w:cs="Arial"/>
                <w:color w:val="000000"/>
                <w:sz w:val="24"/>
                <w:szCs w:val="24"/>
                <w:highlight w:val="none"/>
              </w:rPr>
              <w:t>CPU</w:t>
            </w:r>
            <w:r>
              <w:rPr>
                <w:rFonts w:hint="eastAsia" w:ascii="宋体" w:hAnsi="宋体" w:cs="Arial"/>
                <w:color w:val="000000"/>
                <w:sz w:val="24"/>
                <w:szCs w:val="24"/>
                <w:highlight w:val="none"/>
              </w:rPr>
              <w:t>。内存：4GB DDR4笔记本内存或以上配置。硬盘：256GB SSD固态硬盘或以上配置。</w:t>
            </w:r>
          </w:p>
          <w:p>
            <w:pPr>
              <w:widowControl/>
              <w:spacing w:line="360" w:lineRule="auto"/>
              <w:jc w:val="left"/>
              <w:textAlignment w:val="top"/>
              <w:rPr>
                <w:rFonts w:ascii="宋体" w:hAnsi="宋体" w:cs="宋体"/>
                <w:color w:val="000000"/>
                <w:kern w:val="0"/>
                <w:sz w:val="24"/>
                <w:szCs w:val="24"/>
                <w:highlight w:val="none"/>
                <w:lang w:bidi="ar"/>
              </w:rPr>
            </w:pPr>
            <w:r>
              <w:rPr>
                <w:rFonts w:hint="eastAsia" w:ascii="宋体" w:hAnsi="宋体" w:cs="Arial"/>
                <w:color w:val="000000"/>
                <w:sz w:val="24"/>
                <w:szCs w:val="24"/>
                <w:highlight w:val="none"/>
                <w:lang w:val="en-US" w:eastAsia="zh-CN"/>
              </w:rPr>
              <w:t>3.</w:t>
            </w:r>
            <w:r>
              <w:rPr>
                <w:rFonts w:ascii="宋体" w:hAnsi="宋体" w:cs="Arial"/>
                <w:color w:val="000000"/>
                <w:sz w:val="24"/>
                <w:szCs w:val="24"/>
                <w:highlight w:val="none"/>
              </w:rPr>
              <w:t>具有独立非外扩展的电脑USB接口：电脑上至少具备</w:t>
            </w:r>
            <w:r>
              <w:rPr>
                <w:rFonts w:hint="eastAsia" w:ascii="宋体" w:hAnsi="宋体" w:cs="Arial"/>
                <w:color w:val="000000"/>
                <w:sz w:val="24"/>
                <w:szCs w:val="24"/>
                <w:highlight w:val="none"/>
              </w:rPr>
              <w:t>3</w:t>
            </w:r>
            <w:r>
              <w:rPr>
                <w:rFonts w:ascii="宋体" w:hAnsi="宋体" w:cs="Arial"/>
                <w:color w:val="000000"/>
                <w:sz w:val="24"/>
                <w:szCs w:val="24"/>
                <w:highlight w:val="none"/>
              </w:rPr>
              <w:t>个USB3.0 接口</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台</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w:t>
            </w:r>
          </w:p>
        </w:tc>
      </w:tr>
      <w:tr>
        <w:tblPrEx>
          <w:tblCellMar>
            <w:top w:w="0" w:type="dxa"/>
            <w:left w:w="108" w:type="dxa"/>
            <w:bottom w:w="0" w:type="dxa"/>
            <w:right w:w="108" w:type="dxa"/>
          </w:tblCellMar>
        </w:tblPrEx>
        <w:trPr>
          <w:trHeight w:val="1502"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86寸一体机</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hd w:val="clear" w:color="auto" w:fill="FFFFFF"/>
              <w:tabs>
                <w:tab w:val="left" w:pos="720"/>
              </w:tabs>
              <w:spacing w:line="360" w:lineRule="auto"/>
              <w:jc w:val="left"/>
              <w:rPr>
                <w:sz w:val="24"/>
                <w:szCs w:val="24"/>
                <w:highlight w:val="none"/>
              </w:rPr>
            </w:pPr>
            <w:r>
              <w:rPr>
                <w:rFonts w:hint="eastAsia"/>
                <w:sz w:val="24"/>
                <w:szCs w:val="24"/>
                <w:highlight w:val="none"/>
              </w:rPr>
              <w:t>一、外观及音频设计</w:t>
            </w:r>
          </w:p>
          <w:p>
            <w:pPr>
              <w:pStyle w:val="85"/>
              <w:numPr>
                <w:ilvl w:val="0"/>
                <w:numId w:val="0"/>
              </w:numPr>
              <w:spacing w:line="360" w:lineRule="auto"/>
              <w:ind w:leftChars="0"/>
              <w:rPr>
                <w:rFonts w:ascii="宋体" w:hAnsi="宋体"/>
                <w:bCs/>
                <w:sz w:val="24"/>
                <w:szCs w:val="24"/>
                <w:highlight w:val="none"/>
              </w:rPr>
            </w:pPr>
            <w:r>
              <w:rPr>
                <w:rFonts w:hint="eastAsia" w:ascii="宋体" w:hAnsi="宋体"/>
                <w:bCs/>
                <w:sz w:val="24"/>
                <w:szCs w:val="24"/>
                <w:highlight w:val="none"/>
                <w:lang w:val="en-US" w:eastAsia="zh-CN"/>
              </w:rPr>
              <w:t>1.</w:t>
            </w:r>
            <w:r>
              <w:rPr>
                <w:rFonts w:hint="eastAsia" w:ascii="宋体" w:hAnsi="宋体"/>
                <w:bCs/>
                <w:sz w:val="24"/>
                <w:szCs w:val="24"/>
                <w:highlight w:val="none"/>
              </w:rPr>
              <w:t>整机采用一体设计，外部无任何可见内部功能模块连接线，边角采用弧形设计，表面无尖锐边缘或凸起。</w:t>
            </w:r>
          </w:p>
          <w:p>
            <w:pPr>
              <w:pStyle w:val="85"/>
              <w:numPr>
                <w:ilvl w:val="0"/>
                <w:numId w:val="0"/>
              </w:numPr>
              <w:spacing w:line="360" w:lineRule="auto"/>
              <w:ind w:leftChars="0"/>
              <w:rPr>
                <w:rFonts w:ascii="宋体" w:hAnsi="宋体"/>
                <w:bCs/>
                <w:sz w:val="24"/>
                <w:szCs w:val="24"/>
                <w:highlight w:val="none"/>
              </w:rPr>
            </w:pPr>
            <w:r>
              <w:rPr>
                <w:rFonts w:hint="eastAsia" w:ascii="宋体" w:hAnsi="宋体"/>
                <w:bCs/>
                <w:sz w:val="24"/>
                <w:szCs w:val="24"/>
                <w:highlight w:val="none"/>
                <w:lang w:val="en-US" w:eastAsia="zh-CN"/>
              </w:rPr>
              <w:t>2.</w:t>
            </w:r>
            <w:r>
              <w:rPr>
                <w:rFonts w:ascii="宋体" w:hAnsi="宋体"/>
                <w:bCs/>
                <w:sz w:val="24"/>
                <w:szCs w:val="24"/>
                <w:highlight w:val="none"/>
              </w:rPr>
              <w:t>整机具备抗振动、防跌落特性，保证整机运输或使用过程中不易受损。</w:t>
            </w:r>
          </w:p>
          <w:p>
            <w:pPr>
              <w:pStyle w:val="85"/>
              <w:numPr>
                <w:ilvl w:val="0"/>
                <w:numId w:val="0"/>
              </w:numPr>
              <w:spacing w:line="360" w:lineRule="auto"/>
              <w:ind w:leftChars="0"/>
              <w:rPr>
                <w:rFonts w:ascii="宋体" w:hAnsi="宋体"/>
                <w:bCs/>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整机内置2.2声道扬声器，喇叭总功率不低于60W。需提供相应的功能证明材料（包括但不限于测试报告、官网和功能截图等）。</w:t>
            </w:r>
          </w:p>
          <w:p>
            <w:pPr>
              <w:pStyle w:val="85"/>
              <w:spacing w:line="360" w:lineRule="auto"/>
              <w:rPr>
                <w:rFonts w:ascii="宋体" w:hAnsi="宋体"/>
                <w:bCs/>
                <w:sz w:val="24"/>
                <w:szCs w:val="24"/>
                <w:highlight w:val="none"/>
              </w:rPr>
            </w:pPr>
            <w:r>
              <w:rPr>
                <w:rFonts w:hint="eastAsia" w:ascii="宋体" w:hAnsi="宋体"/>
                <w:bCs/>
                <w:sz w:val="24"/>
                <w:szCs w:val="24"/>
                <w:highlight w:val="none"/>
              </w:rPr>
              <w:t>二、屏幕显示设计</w:t>
            </w:r>
          </w:p>
          <w:p>
            <w:pPr>
              <w:pStyle w:val="85"/>
              <w:numPr>
                <w:ilvl w:val="0"/>
                <w:numId w:val="0"/>
              </w:numPr>
              <w:spacing w:line="360" w:lineRule="auto"/>
              <w:ind w:leftChars="0"/>
              <w:rPr>
                <w:rFonts w:ascii="宋体" w:hAnsi="宋体"/>
                <w:bCs/>
                <w:sz w:val="24"/>
                <w:szCs w:val="24"/>
                <w:highlight w:val="none"/>
              </w:rPr>
            </w:pPr>
            <w:r>
              <w:rPr>
                <w:rFonts w:hint="eastAsia" w:ascii="宋体" w:hAnsi="宋体"/>
                <w:bCs/>
                <w:sz w:val="24"/>
                <w:szCs w:val="24"/>
                <w:highlight w:val="none"/>
                <w:lang w:val="en-US" w:eastAsia="zh-CN"/>
              </w:rPr>
              <w:t>1.</w:t>
            </w:r>
            <w:r>
              <w:rPr>
                <w:rFonts w:ascii="宋体" w:hAnsi="宋体"/>
                <w:bCs/>
                <w:sz w:val="24"/>
                <w:szCs w:val="24"/>
                <w:highlight w:val="none"/>
              </w:rPr>
              <w:t>整机屏幕采用</w:t>
            </w:r>
            <w:r>
              <w:rPr>
                <w:rFonts w:hint="eastAsia" w:ascii="宋体" w:hAnsi="宋体"/>
                <w:bCs/>
                <w:sz w:val="24"/>
                <w:szCs w:val="24"/>
                <w:highlight w:val="none"/>
              </w:rPr>
              <w:t>≥86</w:t>
            </w:r>
            <w:r>
              <w:rPr>
                <w:rFonts w:ascii="宋体" w:hAnsi="宋体"/>
                <w:bCs/>
                <w:sz w:val="24"/>
                <w:szCs w:val="24"/>
                <w:highlight w:val="none"/>
              </w:rPr>
              <w:t>英寸 UHD超高清LED 液晶屏，显示比例16:9</w:t>
            </w:r>
            <w:r>
              <w:rPr>
                <w:rFonts w:hint="eastAsia" w:ascii="宋体" w:hAnsi="宋体"/>
                <w:bCs/>
                <w:sz w:val="24"/>
                <w:szCs w:val="24"/>
                <w:highlight w:val="none"/>
              </w:rPr>
              <w:t>，</w:t>
            </w:r>
            <w:r>
              <w:rPr>
                <w:rFonts w:ascii="宋体" w:hAnsi="宋体"/>
                <w:bCs/>
                <w:sz w:val="24"/>
                <w:szCs w:val="24"/>
                <w:highlight w:val="none"/>
              </w:rPr>
              <w:t>屏幕分辨率</w:t>
            </w:r>
            <w:r>
              <w:rPr>
                <w:rFonts w:hint="eastAsia" w:ascii="宋体" w:hAnsi="宋体"/>
                <w:bCs/>
                <w:sz w:val="24"/>
                <w:szCs w:val="24"/>
                <w:highlight w:val="none"/>
              </w:rPr>
              <w:t>≥</w:t>
            </w:r>
            <w:r>
              <w:rPr>
                <w:rFonts w:ascii="宋体" w:hAnsi="宋体"/>
                <w:bCs/>
                <w:sz w:val="24"/>
                <w:szCs w:val="24"/>
                <w:highlight w:val="none"/>
              </w:rPr>
              <w:t>3840*2160，具备防眩光效果</w:t>
            </w:r>
            <w:r>
              <w:rPr>
                <w:rFonts w:hint="eastAsia" w:ascii="宋体" w:hAnsi="宋体"/>
                <w:bCs/>
                <w:sz w:val="24"/>
                <w:szCs w:val="24"/>
                <w:highlight w:val="none"/>
              </w:rPr>
              <w:t>。</w:t>
            </w:r>
          </w:p>
          <w:p>
            <w:pPr>
              <w:pStyle w:val="85"/>
              <w:numPr>
                <w:ilvl w:val="0"/>
                <w:numId w:val="0"/>
              </w:numPr>
              <w:spacing w:line="360" w:lineRule="auto"/>
              <w:ind w:leftChars="0"/>
              <w:rPr>
                <w:rFonts w:ascii="宋体" w:hAnsi="宋体"/>
                <w:bCs/>
                <w:sz w:val="24"/>
                <w:szCs w:val="24"/>
                <w:highlight w:val="none"/>
              </w:rPr>
            </w:pPr>
            <w:r>
              <w:rPr>
                <w:rFonts w:hint="eastAsia" w:ascii="宋体" w:hAnsi="宋体"/>
                <w:bCs/>
                <w:sz w:val="24"/>
                <w:szCs w:val="24"/>
                <w:highlight w:val="none"/>
                <w:lang w:val="en-US" w:eastAsia="zh-CN"/>
              </w:rPr>
              <w:t>2.</w:t>
            </w:r>
            <w:r>
              <w:rPr>
                <w:rFonts w:ascii="宋体" w:hAnsi="宋体"/>
                <w:bCs/>
                <w:sz w:val="24"/>
                <w:szCs w:val="24"/>
                <w:highlight w:val="none"/>
              </w:rPr>
              <w:t>屏幕显示灰度分辨等级达到</w:t>
            </w:r>
            <w:r>
              <w:rPr>
                <w:rFonts w:hint="eastAsia" w:ascii="宋体" w:hAnsi="宋体"/>
                <w:bCs/>
                <w:sz w:val="24"/>
                <w:szCs w:val="24"/>
                <w:highlight w:val="none"/>
              </w:rPr>
              <w:t>256</w:t>
            </w:r>
            <w:r>
              <w:rPr>
                <w:rFonts w:ascii="宋体" w:hAnsi="宋体"/>
                <w:bCs/>
                <w:sz w:val="24"/>
                <w:szCs w:val="24"/>
                <w:highlight w:val="none"/>
              </w:rPr>
              <w:t>灰阶以上，保证画面显示效果细腻。</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sz w:val="24"/>
                <w:szCs w:val="24"/>
                <w:highlight w:val="none"/>
              </w:rPr>
            </w:pPr>
            <w:r>
              <w:rPr>
                <w:rFonts w:hint="eastAsia" w:ascii="宋体" w:hAnsi="宋体" w:cs="Arial"/>
                <w:color w:val="000000"/>
                <w:sz w:val="24"/>
                <w:szCs w:val="24"/>
                <w:highlight w:val="none"/>
                <w:lang w:val="en-US" w:eastAsia="zh-CN"/>
              </w:rPr>
              <w:t>3.</w:t>
            </w:r>
            <w:r>
              <w:rPr>
                <w:rFonts w:ascii="宋体" w:hAnsi="宋体" w:cs="Arial"/>
                <w:color w:val="000000"/>
                <w:sz w:val="24"/>
                <w:szCs w:val="24"/>
                <w:highlight w:val="none"/>
              </w:rPr>
              <w:t>采用</w:t>
            </w:r>
            <w:r>
              <w:rPr>
                <w:rFonts w:hint="eastAsia" w:ascii="宋体" w:hAnsi="宋体" w:cs="Arial"/>
                <w:color w:val="000000"/>
                <w:sz w:val="24"/>
                <w:szCs w:val="24"/>
                <w:highlight w:val="none"/>
              </w:rPr>
              <w:t>红外</w:t>
            </w:r>
            <w:r>
              <w:rPr>
                <w:rFonts w:ascii="宋体" w:hAnsi="宋体" w:cs="Arial"/>
                <w:color w:val="000000"/>
                <w:sz w:val="24"/>
                <w:szCs w:val="24"/>
                <w:highlight w:val="none"/>
              </w:rPr>
              <w:t>触控技术，支持Windows系统</w:t>
            </w:r>
            <w:r>
              <w:rPr>
                <w:rFonts w:hint="eastAsia" w:ascii="宋体" w:hAnsi="宋体" w:cs="Arial"/>
                <w:color w:val="000000"/>
                <w:sz w:val="24"/>
                <w:szCs w:val="24"/>
                <w:highlight w:val="none"/>
              </w:rPr>
              <w:t>及</w:t>
            </w:r>
            <w:r>
              <w:rPr>
                <w:rFonts w:ascii="宋体" w:hAnsi="宋体" w:cs="Arial"/>
                <w:color w:val="000000"/>
                <w:sz w:val="24"/>
                <w:szCs w:val="24"/>
                <w:highlight w:val="none"/>
              </w:rPr>
              <w:t>Android系统中进行10点或以上触</w:t>
            </w:r>
            <w:r>
              <w:rPr>
                <w:rFonts w:hint="eastAsia" w:ascii="宋体" w:hAnsi="宋体" w:cs="Arial"/>
                <w:color w:val="000000"/>
                <w:sz w:val="24"/>
                <w:szCs w:val="24"/>
                <w:highlight w:val="none"/>
              </w:rPr>
              <w:t>控</w:t>
            </w:r>
            <w:r>
              <w:rPr>
                <w:rFonts w:ascii="宋体" w:hAnsi="宋体" w:cs="Arial"/>
                <w:color w:val="000000"/>
                <w:sz w:val="24"/>
                <w:szCs w:val="24"/>
                <w:highlight w:val="none"/>
              </w:rPr>
              <w:t>。</w:t>
            </w:r>
          </w:p>
          <w:p>
            <w:pPr>
              <w:pStyle w:val="27"/>
              <w:spacing w:line="360" w:lineRule="auto"/>
              <w:ind w:firstLine="0" w:firstLineChars="0"/>
              <w:rPr>
                <w:sz w:val="24"/>
                <w:szCs w:val="24"/>
                <w:highlight w:val="none"/>
              </w:rPr>
            </w:pPr>
            <w:r>
              <w:rPr>
                <w:rFonts w:hint="eastAsia"/>
                <w:sz w:val="24"/>
                <w:szCs w:val="24"/>
                <w:highlight w:val="none"/>
              </w:rPr>
              <w:t>三、接口及按键</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1.</w:t>
            </w:r>
            <w:r>
              <w:rPr>
                <w:rFonts w:ascii="宋体" w:hAnsi="宋体" w:cs="Arial"/>
                <w:color w:val="000000"/>
                <w:sz w:val="24"/>
                <w:szCs w:val="24"/>
                <w:highlight w:val="none"/>
              </w:rPr>
              <w:t>整机具备不少于</w:t>
            </w:r>
            <w:r>
              <w:rPr>
                <w:rFonts w:hint="eastAsia" w:ascii="宋体" w:hAnsi="宋体" w:cs="宋体"/>
                <w:sz w:val="24"/>
                <w:szCs w:val="24"/>
                <w:highlight w:val="none"/>
              </w:rPr>
              <w:t>2路前置双系统USB3.0接口</w:t>
            </w:r>
            <w:r>
              <w:rPr>
                <w:rFonts w:ascii="宋体" w:hAnsi="宋体" w:cs="Arial"/>
                <w:color w:val="000000"/>
                <w:sz w:val="24"/>
                <w:szCs w:val="24"/>
                <w:highlight w:val="none"/>
              </w:rPr>
              <w:t>,双系统USB3.0接口支持Android系统、Windows系统读取外接移动存储设备,即插即用无需区分接口对应系统。</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Arial"/>
                <w:color w:val="000000"/>
                <w:sz w:val="24"/>
                <w:szCs w:val="24"/>
                <w:highlight w:val="none"/>
              </w:rPr>
              <w:t>整机具备不少于1路前置Typec接口，</w:t>
            </w:r>
            <w:r>
              <w:rPr>
                <w:rFonts w:ascii="宋体" w:hAnsi="宋体" w:cs="Arial"/>
                <w:color w:val="000000"/>
                <w:sz w:val="24"/>
                <w:szCs w:val="24"/>
                <w:highlight w:val="none"/>
              </w:rPr>
              <w:t>外接电脑设备通过标准TypeC线连接至整机TypeC口，可直接调用整机内置的摄像头、麦克风、扬声器，在外接电脑即可拍摄教室画面。</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3.</w:t>
            </w:r>
            <w:r>
              <w:rPr>
                <w:rFonts w:hint="eastAsia" w:ascii="宋体" w:hAnsi="宋体" w:cs="Arial"/>
                <w:color w:val="000000"/>
                <w:sz w:val="24"/>
                <w:szCs w:val="24"/>
                <w:highlight w:val="none"/>
              </w:rPr>
              <w:t>为避免整机按键过于复杂，造成老师使用上的误触，前置按键不多于6个，更多的功能可以直接在屏幕上触控操作。</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4.</w:t>
            </w:r>
            <w:r>
              <w:rPr>
                <w:rFonts w:ascii="宋体" w:hAnsi="宋体" w:cs="Arial"/>
                <w:color w:val="000000"/>
                <w:sz w:val="24"/>
                <w:szCs w:val="24"/>
                <w:highlight w:val="none"/>
              </w:rPr>
              <w:t>采用智能电子产品一键式设计：同一物理按键完成Android系统、Windows系统和节能熄屏操作，通过轻按按键实现节能熄屏/唤醒，长按按键实现关机。</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5.</w:t>
            </w:r>
            <w:r>
              <w:rPr>
                <w:rFonts w:ascii="宋体" w:hAnsi="宋体" w:cs="Arial"/>
                <w:color w:val="000000"/>
                <w:sz w:val="24"/>
                <w:szCs w:val="24"/>
                <w:highlight w:val="none"/>
              </w:rPr>
              <w:t>整机</w:t>
            </w:r>
            <w:r>
              <w:rPr>
                <w:rFonts w:hint="eastAsia" w:ascii="宋体" w:hAnsi="宋体" w:cs="Arial"/>
                <w:color w:val="000000"/>
                <w:sz w:val="24"/>
                <w:szCs w:val="24"/>
                <w:highlight w:val="none"/>
              </w:rPr>
              <w:t>具备减滤蓝光</w:t>
            </w:r>
            <w:r>
              <w:rPr>
                <w:rFonts w:ascii="宋体" w:hAnsi="宋体" w:cs="Arial"/>
                <w:color w:val="000000"/>
                <w:sz w:val="24"/>
                <w:szCs w:val="24"/>
                <w:highlight w:val="none"/>
              </w:rPr>
              <w:t>功能，可通过前置物理功能按键一键启用减滤蓝光模式，有效减少蓝光对学生危害</w:t>
            </w:r>
            <w:r>
              <w:rPr>
                <w:rFonts w:hint="eastAsia" w:ascii="宋体" w:hAnsi="宋体" w:cs="Arial"/>
                <w:color w:val="000000"/>
                <w:sz w:val="24"/>
                <w:szCs w:val="24"/>
                <w:highlight w:val="none"/>
              </w:rPr>
              <w:t>。</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ascii="宋体" w:hAnsi="宋体" w:cs="Arial"/>
                <w:color w:val="000000"/>
                <w:sz w:val="24"/>
                <w:szCs w:val="24"/>
                <w:highlight w:val="none"/>
              </w:rPr>
              <w:t>支持纸质护眼模式，在任意通道任意画面任意软件所在显示内容下可实时调整画面纹理</w:t>
            </w:r>
            <w:r>
              <w:rPr>
                <w:rFonts w:hint="eastAsia" w:ascii="宋体" w:hAnsi="宋体" w:cs="Arial"/>
                <w:color w:val="000000"/>
                <w:sz w:val="24"/>
                <w:szCs w:val="24"/>
                <w:highlight w:val="none"/>
              </w:rPr>
              <w:t>，</w:t>
            </w:r>
            <w:r>
              <w:rPr>
                <w:rFonts w:ascii="宋体" w:hAnsi="宋体" w:cs="Arial"/>
                <w:color w:val="000000"/>
                <w:sz w:val="24"/>
                <w:szCs w:val="24"/>
                <w:highlight w:val="none"/>
              </w:rPr>
              <w:t>同时支持色温调节和透明度调节。</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7.</w:t>
            </w:r>
            <w:r>
              <w:rPr>
                <w:rFonts w:ascii="宋体" w:hAnsi="宋体" w:cs="Arial"/>
                <w:color w:val="000000"/>
                <w:sz w:val="24"/>
                <w:szCs w:val="24"/>
                <w:highlight w:val="none"/>
              </w:rPr>
              <w:t>整机支持色彩空间可选，包含标准模式和sRGB模式，在sRGB模式下可做到高色准△E≤1.5</w:t>
            </w:r>
            <w:r>
              <w:rPr>
                <w:rFonts w:hint="eastAsia" w:ascii="宋体" w:hAnsi="宋体" w:cs="Arial"/>
                <w:color w:val="000000"/>
                <w:sz w:val="24"/>
                <w:szCs w:val="24"/>
                <w:highlight w:val="none"/>
              </w:rPr>
              <w:t>。</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8.</w:t>
            </w:r>
            <w:r>
              <w:rPr>
                <w:rFonts w:ascii="宋体" w:hAnsi="宋体" w:cs="Arial"/>
                <w:color w:val="000000"/>
                <w:sz w:val="24"/>
                <w:szCs w:val="24"/>
                <w:highlight w:val="none"/>
              </w:rPr>
              <w:t>设备支持通过前置物理按键一键启动录屏功能，可将屏幕中显示的所有内容与老师人声同时录制。</w:t>
            </w:r>
            <w:r>
              <w:rPr>
                <w:rFonts w:hint="eastAsia" w:ascii="宋体" w:hAnsi="宋体" w:cs="宋体"/>
                <w:sz w:val="24"/>
                <w:szCs w:val="24"/>
                <w:highlight w:val="none"/>
              </w:rPr>
              <w:t>需提供相应的功能证明材料（包括但不限于测试报告、官网和功能截图等）。</w:t>
            </w:r>
          </w:p>
          <w:p>
            <w:pPr>
              <w:pStyle w:val="27"/>
              <w:spacing w:line="360" w:lineRule="auto"/>
              <w:ind w:firstLine="0" w:firstLineChars="0"/>
              <w:rPr>
                <w:sz w:val="24"/>
                <w:szCs w:val="24"/>
                <w:highlight w:val="none"/>
              </w:rPr>
            </w:pPr>
            <w:r>
              <w:rPr>
                <w:rFonts w:hint="eastAsia"/>
                <w:sz w:val="24"/>
                <w:szCs w:val="24"/>
                <w:highlight w:val="none"/>
              </w:rPr>
              <w:t>四、整机功能</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ascii="宋体" w:hAnsi="宋体" w:cs="Arial"/>
                <w:color w:val="000000"/>
                <w:sz w:val="24"/>
                <w:szCs w:val="24"/>
                <w:highlight w:val="none"/>
              </w:rPr>
              <w:t>整机内置非独立的高清摄像头，支持远程巡课应用、二维码扫码功能，可AI识别人像，人像识别距离≥10米，摄像头像素数≥1300万，对角角度≥135°。</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2.</w:t>
            </w:r>
            <w:r>
              <w:rPr>
                <w:rFonts w:ascii="宋体" w:hAnsi="宋体" w:cs="Arial"/>
                <w:color w:val="000000"/>
                <w:sz w:val="24"/>
                <w:szCs w:val="24"/>
                <w:highlight w:val="none"/>
              </w:rPr>
              <w:t>整机内置非独立外扩展的麦克风，可用于录屏对音频进行采集。</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ascii="宋体" w:hAnsi="宋体" w:cs="Arial"/>
                <w:color w:val="000000"/>
                <w:sz w:val="24"/>
                <w:szCs w:val="24"/>
                <w:highlight w:val="none"/>
              </w:rPr>
              <w:t xml:space="preserve">整机支持蓝牙Bluetooth </w:t>
            </w:r>
            <w:r>
              <w:rPr>
                <w:rFonts w:hint="eastAsia" w:ascii="宋体" w:hAnsi="宋体" w:cs="Arial"/>
                <w:color w:val="000000"/>
                <w:sz w:val="24"/>
                <w:szCs w:val="24"/>
                <w:highlight w:val="none"/>
              </w:rPr>
              <w:t>5</w:t>
            </w:r>
            <w:r>
              <w:rPr>
                <w:rFonts w:ascii="宋体" w:hAnsi="宋体" w:cs="Arial"/>
                <w:color w:val="000000"/>
                <w:sz w:val="24"/>
                <w:szCs w:val="24"/>
                <w:highlight w:val="none"/>
              </w:rPr>
              <w:t>.2标准，能连接外部蓝牙音箱播放音频，也能接收外部手机通过蓝牙发送的文件。</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4.</w:t>
            </w:r>
            <w:r>
              <w:rPr>
                <w:rFonts w:ascii="宋体" w:hAnsi="宋体" w:cs="Arial"/>
                <w:color w:val="000000"/>
                <w:sz w:val="24"/>
                <w:szCs w:val="24"/>
                <w:highlight w:val="none"/>
              </w:rPr>
              <w:t>支持将自定义图片设置为开机画面。</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5.</w:t>
            </w:r>
            <w:r>
              <w:rPr>
                <w:rFonts w:ascii="宋体" w:hAnsi="宋体" w:cs="Arial"/>
                <w:color w:val="000000"/>
                <w:sz w:val="24"/>
                <w:szCs w:val="24"/>
                <w:highlight w:val="none"/>
              </w:rPr>
              <w:t>在PC系统出现异常或需要清除PC数据时，可插入带激活文件的U盘，在嵌入式系统的设置界面中启动PC一键还原功能，将PC系统恢复至出厂状态。</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6.</w:t>
            </w:r>
            <w:r>
              <w:rPr>
                <w:rFonts w:ascii="宋体" w:hAnsi="宋体" w:cs="Arial"/>
                <w:color w:val="000000"/>
                <w:sz w:val="24"/>
                <w:szCs w:val="24"/>
                <w:highlight w:val="none"/>
              </w:rPr>
              <w:t>整机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7.</w:t>
            </w:r>
            <w:r>
              <w:rPr>
                <w:rFonts w:ascii="宋体" w:hAnsi="宋体" w:cs="Arial"/>
                <w:color w:val="000000"/>
                <w:sz w:val="24"/>
                <w:szCs w:val="24"/>
                <w:highlight w:val="none"/>
              </w:rPr>
              <w:t>支持通道自动跳转功能，如整机处于正常使用状态，HDMI信号接入时，能自动识别并切换到对应的HDMI信号源通道，且断开后能回到上一通道，自动跳转前支持选择确认，待确认后再跳转。</w:t>
            </w:r>
          </w:p>
          <w:p>
            <w:pPr>
              <w:pStyle w:val="85"/>
              <w:spacing w:line="360" w:lineRule="auto"/>
              <w:rPr>
                <w:kern w:val="2"/>
                <w:sz w:val="24"/>
                <w:szCs w:val="24"/>
                <w:highlight w:val="none"/>
              </w:rPr>
            </w:pPr>
            <w:r>
              <w:rPr>
                <w:rFonts w:hint="eastAsia"/>
                <w:kern w:val="2"/>
                <w:sz w:val="24"/>
                <w:szCs w:val="24"/>
                <w:highlight w:val="none"/>
              </w:rPr>
              <w:t>五、嵌入式系统</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ascii="宋体" w:hAnsi="宋体" w:cs="Arial"/>
                <w:color w:val="000000"/>
                <w:sz w:val="24"/>
                <w:szCs w:val="24"/>
                <w:highlight w:val="none"/>
              </w:rPr>
              <w:t>系统版本不低于Android</w:t>
            </w:r>
            <w:r>
              <w:rPr>
                <w:rFonts w:hint="eastAsia" w:ascii="宋体" w:hAnsi="宋体" w:cs="Arial"/>
                <w:color w:val="000000"/>
                <w:sz w:val="24"/>
                <w:szCs w:val="24"/>
                <w:highlight w:val="none"/>
              </w:rPr>
              <w:t xml:space="preserve"> 11</w:t>
            </w:r>
            <w:r>
              <w:rPr>
                <w:rFonts w:ascii="宋体" w:hAnsi="宋体" w:cs="Arial"/>
                <w:color w:val="000000"/>
                <w:sz w:val="24"/>
                <w:szCs w:val="24"/>
                <w:highlight w:val="none"/>
              </w:rPr>
              <w:t>.0</w:t>
            </w:r>
            <w:r>
              <w:rPr>
                <w:rFonts w:hint="eastAsia" w:ascii="宋体" w:hAnsi="宋体" w:cs="Arial"/>
                <w:color w:val="000000"/>
                <w:sz w:val="24"/>
                <w:szCs w:val="24"/>
                <w:highlight w:val="none"/>
              </w:rPr>
              <w:t>。</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2.</w:t>
            </w:r>
            <w:r>
              <w:rPr>
                <w:rFonts w:ascii="宋体" w:hAnsi="宋体" w:cs="Arial"/>
                <w:color w:val="000000"/>
                <w:sz w:val="24"/>
                <w:szCs w:val="24"/>
                <w:highlight w:val="none"/>
              </w:rPr>
              <w:t>嵌入式Android操作系统下，互动白板支持不同背景颜色，同时提供学科专用背景，包括五线谱、信纸、田字格、英文格、篮球和足球场地平面图。</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3.</w:t>
            </w:r>
            <w:r>
              <w:rPr>
                <w:rFonts w:hint="eastAsia" w:ascii="宋体" w:hAnsi="宋体" w:cs="Arial"/>
                <w:color w:val="000000"/>
                <w:sz w:val="24"/>
                <w:szCs w:val="24"/>
                <w:highlight w:val="none"/>
              </w:rPr>
              <w:t>嵌入式Android操作系统下，白板支持对已经书写的笔迹和形状的颜色进行更换。</w:t>
            </w:r>
          </w:p>
          <w:p>
            <w:pPr>
              <w:pStyle w:val="27"/>
              <w:spacing w:line="360" w:lineRule="auto"/>
              <w:ind w:firstLine="0" w:firstLineChars="0"/>
              <w:rPr>
                <w:sz w:val="24"/>
                <w:szCs w:val="24"/>
                <w:highlight w:val="none"/>
              </w:rPr>
            </w:pPr>
            <w:r>
              <w:rPr>
                <w:rFonts w:hint="eastAsia"/>
                <w:sz w:val="24"/>
                <w:szCs w:val="24"/>
                <w:highlight w:val="none"/>
              </w:rPr>
              <w:t>六、电脑配置</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ascii="宋体" w:hAnsi="宋体" w:cs="Arial"/>
                <w:color w:val="000000"/>
                <w:sz w:val="24"/>
                <w:szCs w:val="24"/>
                <w:highlight w:val="none"/>
              </w:rPr>
              <w:t>采用抽拉内置式模块化电脑，抽拉内置式，PC模块可插入整机，可实现无单独接线的插拔。按压式卡扣方式，无需工具即可快速拆卸电脑模块。</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2.</w:t>
            </w:r>
            <w:r>
              <w:rPr>
                <w:rFonts w:ascii="宋体" w:hAnsi="宋体" w:cs="Arial"/>
                <w:color w:val="000000"/>
                <w:sz w:val="24"/>
                <w:szCs w:val="24"/>
                <w:highlight w:val="none"/>
              </w:rPr>
              <w:t xml:space="preserve">搭载Intel </w:t>
            </w:r>
            <w:r>
              <w:rPr>
                <w:rFonts w:hint="eastAsia" w:ascii="宋体" w:hAnsi="宋体" w:cs="Arial"/>
                <w:color w:val="000000"/>
                <w:sz w:val="24"/>
                <w:szCs w:val="24"/>
                <w:highlight w:val="none"/>
              </w:rPr>
              <w:t>10</w:t>
            </w:r>
            <w:r>
              <w:rPr>
                <w:rFonts w:ascii="宋体" w:hAnsi="宋体" w:cs="Arial"/>
                <w:color w:val="000000"/>
                <w:sz w:val="24"/>
                <w:szCs w:val="24"/>
                <w:highlight w:val="none"/>
              </w:rPr>
              <w:t>代酷睿 i</w:t>
            </w:r>
            <w:r>
              <w:rPr>
                <w:rFonts w:hint="eastAsia" w:ascii="宋体" w:hAnsi="宋体" w:cs="Arial"/>
                <w:color w:val="000000"/>
                <w:sz w:val="24"/>
                <w:szCs w:val="24"/>
                <w:highlight w:val="none"/>
              </w:rPr>
              <w:t>5或以上配置</w:t>
            </w:r>
            <w:r>
              <w:rPr>
                <w:rFonts w:ascii="宋体" w:hAnsi="宋体" w:cs="Arial"/>
                <w:color w:val="000000"/>
                <w:sz w:val="24"/>
                <w:szCs w:val="24"/>
                <w:highlight w:val="none"/>
              </w:rPr>
              <w:t>CPU</w:t>
            </w:r>
            <w:r>
              <w:rPr>
                <w:rFonts w:hint="eastAsia" w:ascii="宋体" w:hAnsi="宋体" w:cs="Arial"/>
                <w:color w:val="000000"/>
                <w:sz w:val="24"/>
                <w:szCs w:val="24"/>
                <w:highlight w:val="none"/>
              </w:rPr>
              <w:t>。内存：4GB DDR4笔记本内存或以上配置。硬盘：256GB SSD固态硬盘或以上配置。</w:t>
            </w:r>
          </w:p>
          <w:p>
            <w:pPr>
              <w:widowControl/>
              <w:spacing w:line="360" w:lineRule="auto"/>
              <w:jc w:val="left"/>
              <w:textAlignment w:val="top"/>
              <w:rPr>
                <w:rFonts w:ascii="宋体" w:hAnsi="宋体" w:cs="宋体"/>
                <w:color w:val="000000"/>
                <w:kern w:val="0"/>
                <w:sz w:val="24"/>
                <w:szCs w:val="24"/>
                <w:highlight w:val="none"/>
                <w:lang w:bidi="ar"/>
              </w:rPr>
            </w:pPr>
            <w:r>
              <w:rPr>
                <w:rFonts w:ascii="宋体" w:hAnsi="宋体" w:cs="Arial"/>
                <w:color w:val="000000"/>
                <w:sz w:val="24"/>
                <w:szCs w:val="24"/>
                <w:highlight w:val="none"/>
              </w:rPr>
              <w:t>具有独立非外扩展的电脑USB接口：电脑上至少具备</w:t>
            </w:r>
            <w:r>
              <w:rPr>
                <w:rFonts w:hint="eastAsia" w:ascii="宋体" w:hAnsi="宋体" w:cs="Arial"/>
                <w:color w:val="000000"/>
                <w:sz w:val="24"/>
                <w:szCs w:val="24"/>
                <w:highlight w:val="none"/>
              </w:rPr>
              <w:t>3</w:t>
            </w:r>
            <w:r>
              <w:rPr>
                <w:rFonts w:ascii="宋体" w:hAnsi="宋体" w:cs="Arial"/>
                <w:color w:val="000000"/>
                <w:sz w:val="24"/>
                <w:szCs w:val="24"/>
                <w:highlight w:val="none"/>
              </w:rPr>
              <w:t>个USB3.0 接口</w:t>
            </w:r>
            <w:r>
              <w:rPr>
                <w:rFonts w:hint="eastAsia" w:ascii="宋体" w:hAnsi="宋体" w:cs="Arial"/>
                <w:color w:val="000000"/>
                <w:sz w:val="24"/>
                <w:szCs w:val="24"/>
                <w:highlight w:val="none"/>
              </w:rPr>
              <w:t>。</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台</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w:t>
            </w:r>
          </w:p>
        </w:tc>
      </w:tr>
      <w:tr>
        <w:tblPrEx>
          <w:tblCellMar>
            <w:top w:w="0" w:type="dxa"/>
            <w:left w:w="108" w:type="dxa"/>
            <w:bottom w:w="0" w:type="dxa"/>
            <w:right w:w="108" w:type="dxa"/>
          </w:tblCellMar>
        </w:tblPrEx>
        <w:trPr>
          <w:trHeight w:val="1082"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ascii="宋体" w:hAnsi="宋体" w:cs="宋体"/>
                <w:color w:val="000000"/>
                <w:kern w:val="0"/>
                <w:sz w:val="24"/>
                <w:szCs w:val="24"/>
                <w:highlight w:val="none"/>
                <w:lang w:bidi="ar"/>
              </w:rPr>
            </w:pPr>
            <w:r>
              <w:rPr>
                <w:rFonts w:hint="eastAsia" w:ascii="宋体" w:hAnsi="宋体" w:cs="Arial"/>
                <w:color w:val="000000"/>
                <w:sz w:val="24"/>
                <w:szCs w:val="24"/>
                <w:highlight w:val="none"/>
              </w:rPr>
              <w:t>白板软件</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1.</w:t>
            </w:r>
            <w:r>
              <w:rPr>
                <w:rFonts w:ascii="宋体" w:hAnsi="宋体" w:cs="Arial"/>
                <w:color w:val="000000"/>
                <w:sz w:val="24"/>
                <w:szCs w:val="24"/>
                <w:highlight w:val="none"/>
              </w:rPr>
              <w:t>备授课一体化，具有备课模式及授课模式，且操作界面根据备课和授课使用场景不同而区别设计，符合用户使用需求。</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2.</w:t>
            </w:r>
            <w:r>
              <w:rPr>
                <w:rFonts w:ascii="宋体" w:hAnsi="宋体" w:cs="Arial"/>
                <w:color w:val="000000"/>
                <w:sz w:val="24"/>
                <w:szCs w:val="24"/>
                <w:highlight w:val="none"/>
              </w:rPr>
              <w:t>为使用方全体教师配备个人账号，形成一体的信息化教学账号体系；根据教师账号信息将教师云空间匹配至对应学校、学科校本资源库。</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3.</w:t>
            </w:r>
            <w:r>
              <w:rPr>
                <w:rFonts w:ascii="宋体" w:hAnsi="宋体" w:cs="Arial"/>
                <w:color w:val="000000"/>
                <w:sz w:val="24"/>
                <w:szCs w:val="24"/>
                <w:highlight w:val="none"/>
              </w:rPr>
              <w:t>支持通过数字账号、微信二维码、硬件密钥方式登录教师个人账号。</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4.</w:t>
            </w:r>
            <w:r>
              <w:rPr>
                <w:rFonts w:ascii="宋体" w:hAnsi="宋体" w:cs="Arial"/>
                <w:color w:val="000000"/>
                <w:sz w:val="24"/>
                <w:szCs w:val="24"/>
                <w:highlight w:val="none"/>
              </w:rPr>
              <w:t>提供白板软件手机APP版，方便</w:t>
            </w:r>
            <w:r>
              <w:rPr>
                <w:rFonts w:hint="eastAsia" w:ascii="宋体" w:hAnsi="宋体" w:cs="Arial"/>
                <w:color w:val="000000"/>
                <w:sz w:val="24"/>
                <w:szCs w:val="24"/>
                <w:highlight w:val="none"/>
              </w:rPr>
              <w:t>老师</w:t>
            </w:r>
            <w:r>
              <w:rPr>
                <w:rFonts w:ascii="宋体" w:hAnsi="宋体" w:cs="Arial"/>
                <w:color w:val="000000"/>
                <w:sz w:val="24"/>
                <w:szCs w:val="24"/>
                <w:highlight w:val="none"/>
              </w:rPr>
              <w:t>随时随地查看课件。</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5.</w:t>
            </w:r>
            <w:r>
              <w:rPr>
                <w:rFonts w:ascii="宋体" w:hAnsi="宋体" w:cs="Arial"/>
                <w:color w:val="000000"/>
                <w:sz w:val="24"/>
                <w:szCs w:val="24"/>
                <w:highlight w:val="none"/>
              </w:rPr>
              <w:t>提供在线云课堂功能，无需额外安装部署直播软件，可实现语音直播、课件同步、互动工具等远程教学功能。</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6.</w:t>
            </w:r>
            <w:r>
              <w:rPr>
                <w:rFonts w:ascii="宋体" w:hAnsi="宋体" w:cs="Arial"/>
                <w:color w:val="000000"/>
                <w:sz w:val="24"/>
                <w:szCs w:val="24"/>
                <w:highlight w:val="none"/>
              </w:rPr>
              <w:t>教师可一键生成云课堂课程海报</w:t>
            </w:r>
            <w:r>
              <w:rPr>
                <w:rFonts w:hint="eastAsia" w:ascii="宋体" w:hAnsi="宋体" w:cs="Arial"/>
                <w:color w:val="000000"/>
                <w:sz w:val="24"/>
                <w:szCs w:val="24"/>
                <w:highlight w:val="none"/>
              </w:rPr>
              <w:t>，</w:t>
            </w:r>
            <w:r>
              <w:rPr>
                <w:rFonts w:ascii="宋体" w:hAnsi="宋体" w:cs="Arial"/>
                <w:color w:val="000000"/>
                <w:sz w:val="24"/>
                <w:szCs w:val="24"/>
                <w:highlight w:val="none"/>
              </w:rPr>
              <w:t>学生扫描课程海报微信二维码即可加入直播课堂，无需额外安装APP。</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7.</w:t>
            </w:r>
            <w:r>
              <w:rPr>
                <w:rFonts w:ascii="宋体" w:hAnsi="宋体" w:cs="Arial"/>
                <w:color w:val="000000"/>
                <w:sz w:val="24"/>
                <w:szCs w:val="24"/>
                <w:highlight w:val="none"/>
              </w:rPr>
              <w:t>为老师提供可扩展，易于学校管理，安全可靠的云存储空间，根据教师使用时长与教学资料制作频率提供可扩展升级至不小于200G的个人云空间。</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8.</w:t>
            </w:r>
            <w:r>
              <w:rPr>
                <w:rFonts w:ascii="宋体" w:hAnsi="宋体" w:cs="Arial"/>
                <w:color w:val="000000"/>
                <w:sz w:val="24"/>
                <w:szCs w:val="24"/>
                <w:highlight w:val="none"/>
              </w:rPr>
              <w:t>互动教学课件支持定向精准分享：分享者可将互动课件、课件组精准推送至指定接收方账号云空间，接收方可在云空间接收并打开分享课件；</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9.</w:t>
            </w:r>
            <w:r>
              <w:rPr>
                <w:rFonts w:ascii="宋体" w:hAnsi="宋体" w:cs="Arial"/>
                <w:color w:val="000000"/>
                <w:sz w:val="24"/>
                <w:szCs w:val="24"/>
                <w:highlight w:val="none"/>
              </w:rPr>
              <w:t>支持快速录制胶囊式微课，微课可录制保存音频和课件的互动操作。</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10.</w:t>
            </w:r>
            <w:r>
              <w:rPr>
                <w:rFonts w:hint="eastAsia" w:ascii="宋体" w:hAnsi="宋体" w:cs="Arial"/>
                <w:color w:val="000000"/>
                <w:sz w:val="24"/>
                <w:szCs w:val="24"/>
                <w:highlight w:val="none"/>
              </w:rPr>
              <w:t>系统后台自动统计胶囊式微课的观看次数，便于教师做教研管理。</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11.</w:t>
            </w:r>
            <w:r>
              <w:rPr>
                <w:rFonts w:ascii="宋体" w:hAnsi="宋体" w:cs="Arial"/>
                <w:color w:val="000000"/>
                <w:sz w:val="24"/>
                <w:szCs w:val="24"/>
                <w:highlight w:val="none"/>
              </w:rPr>
              <w:t>支持课件内嵌图片、音视频等多媒体文件，兼容以下格式：mp3\wav\wma\ogg\aac\mp4\rmvb\wmv\avi\rm\3gp\mkv\flv\mov\png\bmp\jpg\jpeg\gif\svg\swf\ppt\pptx</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12.</w:t>
            </w:r>
            <w:r>
              <w:rPr>
                <w:rFonts w:ascii="宋体" w:hAnsi="宋体" w:cs="Arial"/>
                <w:color w:val="000000"/>
                <w:sz w:val="24"/>
                <w:szCs w:val="24"/>
                <w:highlight w:val="none"/>
              </w:rPr>
              <w:t>具备云端静默推送下载功能，无需用户手动下载即可实现应用的在线升级，升级具有信息验证机制，确保教学秩序不受干扰。</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13.</w:t>
            </w:r>
            <w:r>
              <w:rPr>
                <w:rFonts w:ascii="宋体" w:hAnsi="宋体" w:cs="Arial"/>
                <w:color w:val="000000"/>
                <w:sz w:val="24"/>
                <w:szCs w:val="24"/>
                <w:highlight w:val="none"/>
              </w:rPr>
              <w:t>课件回收站功能：按照删除时间存储已删除课件，支持用户在3天内自主或彻底删除单份/多份/全部已删除课件</w:t>
            </w:r>
            <w:r>
              <w:rPr>
                <w:rFonts w:hint="eastAsia" w:ascii="宋体" w:hAnsi="宋体" w:cs="Arial"/>
                <w:color w:val="000000"/>
                <w:sz w:val="24"/>
                <w:szCs w:val="24"/>
                <w:highlight w:val="none"/>
              </w:rPr>
              <w:t>。</w:t>
            </w:r>
            <w:r>
              <w:rPr>
                <w:rFonts w:ascii="宋体" w:hAnsi="宋体" w:cs="Arial"/>
                <w:color w:val="000000"/>
                <w:sz w:val="24"/>
                <w:szCs w:val="24"/>
                <w:highlight w:val="none"/>
              </w:rPr>
              <w:t xml:space="preserve"> </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14.</w:t>
            </w:r>
            <w:r>
              <w:rPr>
                <w:rFonts w:ascii="宋体" w:hAnsi="宋体" w:cs="Arial"/>
                <w:color w:val="000000"/>
                <w:sz w:val="24"/>
                <w:szCs w:val="24"/>
                <w:highlight w:val="none"/>
              </w:rPr>
              <w:t>板中板：支持授课过程中调用板中板辅助教学，可进行批注、加页及背景色切换；板中板支持插入图片、音视频素材进行独立讲解，不影响课件主画面。</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15.</w:t>
            </w:r>
            <w:r>
              <w:rPr>
                <w:rFonts w:ascii="宋体" w:hAnsi="宋体" w:cs="Arial"/>
                <w:color w:val="000000"/>
                <w:sz w:val="24"/>
                <w:szCs w:val="24"/>
                <w:highlight w:val="none"/>
              </w:rPr>
              <w:t>提供多种翻页按键布局，翻页按键可分布于屏幕单侧或左右两侧，支持上下翻页、课件页面预览及页面非线性跳转。</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16.</w:t>
            </w:r>
            <w:r>
              <w:rPr>
                <w:rFonts w:ascii="宋体" w:hAnsi="宋体" w:cs="Arial"/>
                <w:color w:val="000000"/>
                <w:sz w:val="24"/>
                <w:szCs w:val="24"/>
                <w:highlight w:val="none"/>
              </w:rPr>
              <w:t>内置专用美术画板工具，提供铅笔、毛笔、油画笔等笔触，具备符合绘画调色教学需求的模拟调色盘，可选择不同颜色混合调色，便于学生理解调色合成过程。</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宋体"/>
                <w:sz w:val="24"/>
                <w:szCs w:val="24"/>
                <w:highlight w:val="none"/>
                <w:lang w:val="en-US" w:eastAsia="zh-CN"/>
              </w:rPr>
              <w:t>17.</w:t>
            </w:r>
            <w:r>
              <w:rPr>
                <w:rFonts w:hint="eastAsia" w:ascii="宋体" w:hAnsi="宋体" w:cs="宋体"/>
                <w:sz w:val="24"/>
                <w:szCs w:val="24"/>
                <w:highlight w:val="none"/>
                <w:lang w:eastAsia="zh-CN"/>
              </w:rPr>
              <w:t>◆</w:t>
            </w:r>
            <w:r>
              <w:rPr>
                <w:rFonts w:ascii="宋体" w:hAnsi="宋体" w:cs="Arial"/>
                <w:color w:val="000000"/>
                <w:sz w:val="24"/>
                <w:szCs w:val="24"/>
                <w:highlight w:val="none"/>
              </w:rPr>
              <w:t>AI智能纠错：软件内置的AI智能语义分析模块，可对输入的英文文本的拼写、句型、语法进行错误检查，并支持一键纠错。</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18.</w:t>
            </w:r>
            <w:r>
              <w:rPr>
                <w:rFonts w:ascii="宋体" w:hAnsi="宋体" w:cs="Arial"/>
                <w:color w:val="000000"/>
                <w:sz w:val="24"/>
                <w:szCs w:val="24"/>
                <w:highlight w:val="none"/>
              </w:rPr>
              <w:t>配置英语学科听写工具，不少于</w:t>
            </w:r>
            <w:r>
              <w:rPr>
                <w:rFonts w:hint="eastAsia" w:ascii="宋体" w:hAnsi="宋体" w:cs="Arial"/>
                <w:color w:val="000000"/>
                <w:sz w:val="24"/>
                <w:szCs w:val="24"/>
                <w:highlight w:val="none"/>
              </w:rPr>
              <w:t>5</w:t>
            </w:r>
            <w:r>
              <w:rPr>
                <w:rFonts w:ascii="宋体" w:hAnsi="宋体" w:cs="Arial"/>
                <w:color w:val="000000"/>
                <w:sz w:val="24"/>
                <w:szCs w:val="24"/>
                <w:highlight w:val="none"/>
              </w:rPr>
              <w:t>000个英语单词，支持自定义选择单词。自定义听写频率和次数，一键生成听写卡；授课模式支持一键开启听写朗读。</w:t>
            </w:r>
            <w:r>
              <w:rPr>
                <w:rFonts w:hint="eastAsia" w:ascii="宋体" w:hAnsi="宋体" w:cs="宋体"/>
                <w:sz w:val="24"/>
                <w:szCs w:val="24"/>
                <w:highlight w:val="none"/>
              </w:rPr>
              <w:t>需提供相应的功能证明材料（包括但不限于测试报告、官网和功能截图等）。</w:t>
            </w:r>
          </w:p>
          <w:p>
            <w:pPr>
              <w:pStyle w:val="85"/>
              <w:numPr>
                <w:ilvl w:val="0"/>
                <w:numId w:val="0"/>
              </w:numPr>
              <w:spacing w:line="360" w:lineRule="auto"/>
              <w:ind w:leftChars="0"/>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19.</w:t>
            </w:r>
            <w:r>
              <w:rPr>
                <w:rFonts w:ascii="宋体" w:hAnsi="宋体" w:cs="Arial"/>
                <w:color w:val="000000"/>
                <w:sz w:val="24"/>
                <w:szCs w:val="24"/>
                <w:highlight w:val="none"/>
              </w:rPr>
              <w:t>提供古诗词、古文教学资源：包含原文、翻译、背景介绍、作者介绍、原文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pPr>
              <w:widowControl/>
              <w:spacing w:line="360" w:lineRule="auto"/>
              <w:jc w:val="left"/>
              <w:textAlignment w:val="top"/>
              <w:rPr>
                <w:rFonts w:ascii="宋体" w:hAnsi="宋体" w:cs="Arial"/>
                <w:color w:val="000000"/>
                <w:sz w:val="24"/>
                <w:szCs w:val="24"/>
                <w:highlight w:val="none"/>
              </w:rPr>
            </w:pPr>
            <w:r>
              <w:rPr>
                <w:rFonts w:hint="eastAsia" w:ascii="宋体" w:hAnsi="宋体" w:cs="Arial"/>
                <w:color w:val="000000"/>
                <w:sz w:val="24"/>
                <w:szCs w:val="24"/>
                <w:highlight w:val="none"/>
                <w:lang w:val="en-US" w:eastAsia="zh-CN"/>
              </w:rPr>
              <w:t>20.</w:t>
            </w:r>
            <w:r>
              <w:rPr>
                <w:rFonts w:ascii="宋体" w:hAnsi="宋体" w:cs="Arial"/>
                <w:color w:val="000000"/>
                <w:sz w:val="24"/>
                <w:szCs w:val="24"/>
                <w:highlight w:val="none"/>
              </w:rPr>
              <w:t>多学科课件库：提供涵盖语文、数学、英语全部教学章节的不少于</w:t>
            </w:r>
            <w:r>
              <w:rPr>
                <w:rFonts w:hint="eastAsia" w:ascii="宋体" w:hAnsi="宋体" w:cs="Arial"/>
                <w:color w:val="000000"/>
                <w:sz w:val="24"/>
                <w:szCs w:val="24"/>
                <w:highlight w:val="none"/>
              </w:rPr>
              <w:t>5</w:t>
            </w:r>
            <w:r>
              <w:rPr>
                <w:rFonts w:ascii="宋体" w:hAnsi="宋体" w:cs="Arial"/>
                <w:color w:val="000000"/>
                <w:sz w:val="24"/>
                <w:szCs w:val="24"/>
                <w:highlight w:val="none"/>
              </w:rPr>
              <w:t>000份的交互式课件。课件支持直接预览并下载，预览时支持拖动课堂活动、形状、几何、文本等元素；下载时课件可同步至教师个人云课件存储空间；课件支持教师在线评分。</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套</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w:t>
            </w:r>
          </w:p>
        </w:tc>
      </w:tr>
      <w:tr>
        <w:tblPrEx>
          <w:tblCellMar>
            <w:top w:w="0" w:type="dxa"/>
            <w:left w:w="108" w:type="dxa"/>
            <w:bottom w:w="0" w:type="dxa"/>
            <w:right w:w="108" w:type="dxa"/>
          </w:tblCellMar>
        </w:tblPrEx>
        <w:trPr>
          <w:trHeight w:val="2041"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ascii="宋体" w:hAnsi="宋体" w:cs="Arial"/>
                <w:color w:val="000000"/>
                <w:sz w:val="24"/>
                <w:szCs w:val="24"/>
                <w:highlight w:val="none"/>
              </w:rPr>
            </w:pPr>
            <w:r>
              <w:rPr>
                <w:rFonts w:hint="eastAsia" w:ascii="宋体" w:hAnsi="宋体" w:cs="Arial"/>
                <w:color w:val="000000"/>
                <w:sz w:val="24"/>
                <w:szCs w:val="24"/>
                <w:highlight w:val="none"/>
              </w:rPr>
              <w:t>视频展台</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pStyle w:val="38"/>
              <w:spacing w:line="360" w:lineRule="auto"/>
              <w:ind w:firstLine="0" w:firstLineChars="0"/>
              <w:rPr>
                <w:rFonts w:ascii="宋体" w:hAnsi="宋体" w:cs="Arial"/>
                <w:color w:val="000000"/>
                <w:sz w:val="24"/>
                <w:szCs w:val="24"/>
                <w:highlight w:val="none"/>
              </w:rPr>
            </w:pPr>
            <w:r>
              <w:rPr>
                <w:rFonts w:hint="eastAsia" w:ascii="宋体" w:hAnsi="宋体" w:cs="Arial"/>
                <w:color w:val="000000"/>
                <w:sz w:val="24"/>
                <w:szCs w:val="24"/>
                <w:highlight w:val="none"/>
              </w:rPr>
              <w:t>硬件参数：</w:t>
            </w:r>
          </w:p>
          <w:p>
            <w:pPr>
              <w:pStyle w:val="27"/>
              <w:numPr>
                <w:ilvl w:val="0"/>
                <w:numId w:val="0"/>
              </w:numPr>
              <w:spacing w:line="360" w:lineRule="auto"/>
              <w:ind w:leftChars="0"/>
              <w:rPr>
                <w:rFonts w:ascii="宋体" w:hAnsi="宋体" w:cs="宋体"/>
                <w:kern w:val="0"/>
                <w:sz w:val="24"/>
                <w:szCs w:val="24"/>
                <w:highlight w:val="none"/>
              </w:rPr>
            </w:pPr>
            <w:r>
              <w:rPr>
                <w:rFonts w:hint="eastAsia" w:hAnsi="宋体" w:cs="宋体"/>
                <w:kern w:val="0"/>
                <w:sz w:val="24"/>
                <w:szCs w:val="24"/>
                <w:highlight w:val="none"/>
                <w:lang w:val="en-US" w:eastAsia="zh-CN"/>
              </w:rPr>
              <w:t>1.</w:t>
            </w:r>
            <w:r>
              <w:rPr>
                <w:rFonts w:hint="eastAsia" w:ascii="宋体" w:hAnsi="宋体" w:cs="宋体"/>
                <w:kern w:val="0"/>
                <w:sz w:val="24"/>
                <w:szCs w:val="24"/>
                <w:highlight w:val="none"/>
              </w:rPr>
              <w:t>壁挂式安装，防盗防破坏，无锐角无利边设计，有效防止师生碰伤、划伤。</w:t>
            </w:r>
          </w:p>
          <w:p>
            <w:pPr>
              <w:pStyle w:val="27"/>
              <w:numPr>
                <w:ilvl w:val="0"/>
                <w:numId w:val="0"/>
              </w:numPr>
              <w:spacing w:line="360" w:lineRule="auto"/>
              <w:ind w:leftChars="0"/>
              <w:rPr>
                <w:rFonts w:ascii="宋体" w:hAnsi="宋体" w:cs="宋体"/>
                <w:kern w:val="0"/>
                <w:sz w:val="24"/>
                <w:szCs w:val="24"/>
                <w:highlight w:val="none"/>
              </w:rPr>
            </w:pPr>
            <w:r>
              <w:rPr>
                <w:rFonts w:hint="eastAsia" w:hAnsi="宋体" w:cs="宋体"/>
                <w:kern w:val="0"/>
                <w:sz w:val="24"/>
                <w:szCs w:val="24"/>
                <w:highlight w:val="none"/>
                <w:lang w:val="en-US" w:eastAsia="zh-CN"/>
              </w:rPr>
              <w:t>2.</w:t>
            </w:r>
            <w:r>
              <w:rPr>
                <w:rFonts w:hint="eastAsia" w:ascii="宋体" w:hAnsi="宋体" w:cs="宋体"/>
                <w:kern w:val="0"/>
                <w:sz w:val="24"/>
                <w:szCs w:val="24"/>
                <w:highlight w:val="none"/>
              </w:rPr>
              <w:t>采用三折叠开合式托板，展开后托板尺寸≥A4面积，收起时小巧不占空间，高效利用挂墙面积。</w:t>
            </w:r>
          </w:p>
          <w:p>
            <w:pPr>
              <w:pStyle w:val="27"/>
              <w:numPr>
                <w:ilvl w:val="0"/>
                <w:numId w:val="0"/>
              </w:numPr>
              <w:spacing w:line="360" w:lineRule="auto"/>
              <w:ind w:leftChars="0"/>
              <w:rPr>
                <w:rFonts w:ascii="宋体" w:hAnsi="宋体" w:cs="宋体"/>
                <w:kern w:val="0"/>
                <w:sz w:val="24"/>
                <w:szCs w:val="24"/>
                <w:highlight w:val="none"/>
              </w:rPr>
            </w:pPr>
            <w:r>
              <w:rPr>
                <w:rFonts w:hint="eastAsia" w:hAnsi="宋体" w:cs="宋体"/>
                <w:kern w:val="0"/>
                <w:sz w:val="24"/>
                <w:szCs w:val="24"/>
                <w:highlight w:val="none"/>
                <w:lang w:val="en-US" w:eastAsia="zh-CN"/>
              </w:rPr>
              <w:t>3.</w:t>
            </w:r>
            <w:r>
              <w:rPr>
                <w:rFonts w:hint="eastAsia" w:ascii="宋体" w:hAnsi="宋体" w:cs="宋体"/>
                <w:kern w:val="0"/>
                <w:sz w:val="24"/>
                <w:szCs w:val="24"/>
                <w:highlight w:val="none"/>
              </w:rPr>
              <w:t>采用</w:t>
            </w:r>
            <w:r>
              <w:rPr>
                <w:rFonts w:hint="eastAsia" w:ascii="宋体" w:hAnsi="宋体"/>
                <w:bCs/>
                <w:sz w:val="24"/>
                <w:szCs w:val="24"/>
                <w:highlight w:val="none"/>
              </w:rPr>
              <w:t>≥</w:t>
            </w:r>
            <w:r>
              <w:rPr>
                <w:rFonts w:hint="eastAsia" w:ascii="宋体" w:hAnsi="宋体" w:cs="宋体"/>
                <w:kern w:val="0"/>
                <w:sz w:val="24"/>
                <w:szCs w:val="24"/>
                <w:highlight w:val="none"/>
              </w:rPr>
              <w:t>800W像素自动对焦摄像头，可拍摄A4画幅。</w:t>
            </w:r>
          </w:p>
          <w:p>
            <w:pPr>
              <w:pStyle w:val="27"/>
              <w:numPr>
                <w:ilvl w:val="0"/>
                <w:numId w:val="0"/>
              </w:numPr>
              <w:spacing w:line="360" w:lineRule="auto"/>
              <w:ind w:leftChars="0"/>
              <w:rPr>
                <w:rFonts w:ascii="宋体" w:hAnsi="宋体" w:cs="宋体"/>
                <w:kern w:val="0"/>
                <w:sz w:val="24"/>
                <w:szCs w:val="24"/>
                <w:highlight w:val="none"/>
              </w:rPr>
            </w:pPr>
            <w:r>
              <w:rPr>
                <w:rFonts w:hint="eastAsia" w:hAnsi="宋体" w:cs="宋体"/>
                <w:kern w:val="0"/>
                <w:sz w:val="24"/>
                <w:szCs w:val="24"/>
                <w:highlight w:val="none"/>
                <w:lang w:val="en-US" w:eastAsia="zh-CN"/>
              </w:rPr>
              <w:t>4.</w:t>
            </w:r>
            <w:r>
              <w:rPr>
                <w:rFonts w:hint="eastAsia" w:ascii="宋体" w:hAnsi="宋体" w:cs="宋体"/>
                <w:kern w:val="0"/>
                <w:sz w:val="24"/>
                <w:szCs w:val="24"/>
                <w:highlight w:val="none"/>
              </w:rPr>
              <w:t>展台按键采用电容式触摸按键，可实现一键启动展台画面、画面放大、画面缩小、画面旋转、拍照截图等功能，同时也支持在一体机或电脑上进行同样的操作。</w:t>
            </w:r>
          </w:p>
          <w:p>
            <w:pPr>
              <w:pStyle w:val="27"/>
              <w:numPr>
                <w:ilvl w:val="0"/>
                <w:numId w:val="0"/>
              </w:numPr>
              <w:spacing w:line="360" w:lineRule="auto"/>
              <w:ind w:leftChars="0"/>
              <w:rPr>
                <w:rFonts w:ascii="宋体" w:hAnsi="宋体" w:cs="宋体"/>
                <w:kern w:val="0"/>
                <w:sz w:val="24"/>
                <w:szCs w:val="24"/>
                <w:highlight w:val="none"/>
              </w:rPr>
            </w:pPr>
            <w:r>
              <w:rPr>
                <w:rFonts w:hint="eastAsia" w:hAnsi="宋体" w:cs="宋体"/>
                <w:kern w:val="0"/>
                <w:sz w:val="24"/>
                <w:szCs w:val="24"/>
                <w:highlight w:val="none"/>
                <w:lang w:val="en-US" w:eastAsia="zh-CN"/>
              </w:rPr>
              <w:t>5.</w:t>
            </w:r>
            <w:r>
              <w:rPr>
                <w:rFonts w:hint="eastAsia" w:ascii="宋体" w:hAnsi="宋体" w:cs="宋体"/>
                <w:kern w:val="0"/>
                <w:sz w:val="24"/>
                <w:szCs w:val="24"/>
                <w:highlight w:val="none"/>
              </w:rPr>
              <w:t>为保证兼容性及稳定性，视频展台需与一体机为同一品牌厂家。</w:t>
            </w:r>
          </w:p>
          <w:p>
            <w:pPr>
              <w:pStyle w:val="38"/>
              <w:spacing w:line="360" w:lineRule="auto"/>
              <w:ind w:firstLine="0" w:firstLineChars="0"/>
              <w:rPr>
                <w:rFonts w:ascii="宋体" w:hAnsi="宋体" w:cs="Arial"/>
                <w:color w:val="000000"/>
                <w:sz w:val="24"/>
                <w:szCs w:val="24"/>
                <w:highlight w:val="none"/>
              </w:rPr>
            </w:pPr>
            <w:r>
              <w:rPr>
                <w:rFonts w:hint="eastAsia" w:ascii="宋体" w:hAnsi="宋体" w:cs="Arial"/>
                <w:color w:val="000000"/>
                <w:sz w:val="24"/>
                <w:szCs w:val="24"/>
                <w:highlight w:val="none"/>
              </w:rPr>
              <w:t>软件参数：</w:t>
            </w:r>
          </w:p>
          <w:p>
            <w:pPr>
              <w:pStyle w:val="27"/>
              <w:numPr>
                <w:ilvl w:val="0"/>
                <w:numId w:val="0"/>
              </w:numPr>
              <w:spacing w:line="360" w:lineRule="auto"/>
              <w:ind w:leftChars="0"/>
              <w:rPr>
                <w:rFonts w:ascii="宋体" w:hAnsi="宋体" w:cs="宋体"/>
                <w:kern w:val="0"/>
                <w:sz w:val="24"/>
                <w:szCs w:val="24"/>
                <w:highlight w:val="none"/>
              </w:rPr>
            </w:pPr>
            <w:r>
              <w:rPr>
                <w:rFonts w:hint="eastAsia" w:hAnsi="宋体" w:cs="Arial"/>
                <w:color w:val="000000"/>
                <w:sz w:val="24"/>
                <w:szCs w:val="24"/>
                <w:highlight w:val="none"/>
                <w:lang w:val="en-US" w:eastAsia="zh-CN"/>
              </w:rPr>
              <w:t>1.</w:t>
            </w:r>
            <w:r>
              <w:rPr>
                <w:rFonts w:hint="eastAsia" w:ascii="宋体" w:hAnsi="宋体" w:cs="Arial"/>
                <w:color w:val="000000"/>
                <w:sz w:val="24"/>
                <w:szCs w:val="24"/>
                <w:highlight w:val="none"/>
              </w:rPr>
              <w:t>支持</w:t>
            </w:r>
            <w:r>
              <w:rPr>
                <w:rFonts w:hint="eastAsia" w:ascii="宋体" w:hAnsi="宋体" w:cs="宋体"/>
                <w:kern w:val="0"/>
                <w:sz w:val="24"/>
                <w:szCs w:val="24"/>
                <w:highlight w:val="none"/>
              </w:rPr>
              <w:t>对展台画面进行放大、缩小、旋转、自适应、冻结画面等操作。</w:t>
            </w:r>
          </w:p>
          <w:p>
            <w:pPr>
              <w:pStyle w:val="27"/>
              <w:numPr>
                <w:ilvl w:val="0"/>
                <w:numId w:val="0"/>
              </w:numPr>
              <w:spacing w:line="360" w:lineRule="auto"/>
              <w:ind w:leftChars="0"/>
              <w:rPr>
                <w:rFonts w:ascii="宋体" w:hAnsi="宋体" w:cs="宋体"/>
                <w:kern w:val="0"/>
                <w:sz w:val="24"/>
                <w:szCs w:val="24"/>
                <w:highlight w:val="none"/>
                <w:lang w:val="zh-TW" w:eastAsia="zh-TW"/>
              </w:rPr>
            </w:pPr>
            <w:r>
              <w:rPr>
                <w:rFonts w:hint="eastAsia" w:hAnsi="宋体" w:cs="宋体"/>
                <w:kern w:val="0"/>
                <w:sz w:val="24"/>
                <w:szCs w:val="24"/>
                <w:highlight w:val="none"/>
                <w:lang w:val="en-US" w:eastAsia="zh-CN"/>
              </w:rPr>
              <w:t>2.</w:t>
            </w:r>
            <w:r>
              <w:rPr>
                <w:rFonts w:hint="eastAsia" w:ascii="宋体" w:hAnsi="宋体" w:cs="宋体"/>
                <w:kern w:val="0"/>
                <w:sz w:val="24"/>
                <w:szCs w:val="24"/>
                <w:highlight w:val="none"/>
              </w:rPr>
              <w:t>支持展台画面实时批注，预设多种笔划粗细及颜色供选择，且支持对展台画面联同批注内容进行同步缩放、移动。</w:t>
            </w:r>
          </w:p>
          <w:p>
            <w:pPr>
              <w:widowControl/>
              <w:spacing w:line="360" w:lineRule="auto"/>
              <w:jc w:val="left"/>
              <w:textAlignment w:val="top"/>
              <w:rPr>
                <w:rFonts w:ascii="宋体" w:hAnsi="宋体" w:cs="Arial"/>
                <w:color w:val="000000"/>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支持故障自动检测，在软件无法出现展台拍摄画面时，自动出现检测链接，帮助</w:t>
            </w:r>
            <w:r>
              <w:rPr>
                <w:rFonts w:hint="eastAsia" w:ascii="宋体" w:hAnsi="宋体" w:cs="Arial"/>
                <w:color w:val="000000"/>
                <w:sz w:val="24"/>
                <w:szCs w:val="24"/>
                <w:highlight w:val="none"/>
              </w:rPr>
              <w:t>用户检测“无画面”的原因，并给出引导性解决方案。可判断硬件连接、显卡驱动、摄像头占用、软件版本等问题。</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套</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w:t>
            </w:r>
          </w:p>
        </w:tc>
      </w:tr>
      <w:tr>
        <w:tblPrEx>
          <w:tblCellMar>
            <w:top w:w="0" w:type="dxa"/>
            <w:left w:w="108" w:type="dxa"/>
            <w:bottom w:w="0" w:type="dxa"/>
            <w:right w:w="108" w:type="dxa"/>
          </w:tblCellMar>
        </w:tblPrEx>
        <w:trPr>
          <w:trHeight w:val="7208"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ascii="宋体" w:hAnsi="宋体" w:cs="Arial"/>
                <w:color w:val="000000"/>
                <w:sz w:val="24"/>
                <w:szCs w:val="24"/>
                <w:highlight w:val="none"/>
              </w:rPr>
            </w:pPr>
            <w:r>
              <w:rPr>
                <w:rFonts w:hint="eastAsia" w:ascii="宋体" w:hAnsi="宋体" w:cs="Arial"/>
                <w:color w:val="000000"/>
                <w:sz w:val="24"/>
                <w:szCs w:val="24"/>
                <w:highlight w:val="none"/>
              </w:rPr>
              <w:t>推拉黑板</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外形尺寸：≥4000mm*1300mm。</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二、产品结构：内外双层结构，支持触摸电视偏一侧或居中安装方式,根据所配触摸电视适当调整。</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三、边框：外框铝型材正面尺寸≥68mm，壁厚≥1.2mm,香槟色工业铝型材。耐腐蚀、耐磨性达到GB/T5237-2008标准。内框铝型材正面尺寸≥50mm,壁厚1.0mm，香槟色工业铝型材，耐腐蚀、耐磨性达到GB/T5237-2008标准 。</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四、书写板面：采用厚度为</w:t>
            </w:r>
            <w:r>
              <w:rPr>
                <w:rFonts w:hint="eastAsia" w:ascii="宋体" w:hAnsi="宋体"/>
                <w:bCs/>
                <w:sz w:val="24"/>
                <w:szCs w:val="24"/>
                <w:highlight w:val="none"/>
              </w:rPr>
              <w:t>≥</w:t>
            </w:r>
            <w:r>
              <w:rPr>
                <w:rFonts w:hint="eastAsia" w:ascii="宋体" w:hAnsi="宋体" w:cs="宋体"/>
                <w:color w:val="000000"/>
                <w:kern w:val="0"/>
                <w:sz w:val="24"/>
                <w:szCs w:val="24"/>
                <w:highlight w:val="none"/>
              </w:rPr>
              <w:t>0.30mm高档墨绿色金属烤漆书写板，表面细致光洁，书写流畅，抗撞击、磨损、刮擦、不褪色。</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五、采用环保型双组份聚氨酯胶水，自动化流水线覆板作业，确保粘接牢固板面平整，甲醛释放量≤0.2mg/L，符合GB/T 28231-2011《书写板安全卫生要求》。</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六、夹层：采用高密度聚苯乙烯板做夹层，厚度≥18mm，面层平整，无折痕，不变形，吸音强且环保，书写无噪音。</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七、背板：采用高档优质镀锌板，厚度≥0.27mm，板面平整，镀层牢固、光滑而均匀。</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八、外框四角与绿板四角采用ABS工程塑料，模具一次成型，抗冲击力强。</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 xml:space="preserve">九、整套书写板的两端装置固定挡板，并设有滑动缓冲胶垫，缓解滑动发出的噪音以及强烈碰撞造成的损坏。配置带拉手的高档锌合金镶嵌式钩锁。 </w:t>
            </w:r>
          </w:p>
          <w:p>
            <w:pPr>
              <w:widowControl/>
              <w:spacing w:line="360" w:lineRule="auto"/>
              <w:jc w:val="left"/>
              <w:textAlignment w:val="top"/>
              <w:rPr>
                <w:rFonts w:hint="eastAsia"/>
                <w:highlight w:val="none"/>
                <w:lang w:eastAsia="zh-CN"/>
              </w:rPr>
            </w:pPr>
            <w:r>
              <w:rPr>
                <w:rFonts w:hint="eastAsia" w:ascii="宋体" w:hAnsi="宋体" w:cs="宋体"/>
                <w:color w:val="000000"/>
                <w:kern w:val="0"/>
                <w:sz w:val="24"/>
                <w:szCs w:val="24"/>
                <w:highlight w:val="none"/>
              </w:rPr>
              <w:t>十、滑轨与外框整体成型，具备独立、隐形的特点。滑轮采用隐形安装、传动，不露一根螺钉。滑轮后置，隔离滑轮与粉笔灰的接触面，杜绝长期使用后，因粉笔灰沉积导致书写板推拉困难，杜绝滑轮脱轨。</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套</w:t>
            </w:r>
          </w:p>
        </w:tc>
      </w:tr>
      <w:tr>
        <w:tblPrEx>
          <w:tblCellMar>
            <w:top w:w="0" w:type="dxa"/>
            <w:left w:w="108" w:type="dxa"/>
            <w:bottom w:w="0" w:type="dxa"/>
            <w:right w:w="108" w:type="dxa"/>
          </w:tblCellMar>
        </w:tblPrEx>
        <w:trPr>
          <w:trHeight w:val="183"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ascii="宋体" w:hAnsi="宋体" w:cs="Arial"/>
                <w:color w:val="000000"/>
                <w:sz w:val="24"/>
                <w:szCs w:val="24"/>
                <w:highlight w:val="none"/>
              </w:rPr>
            </w:pPr>
            <w:r>
              <w:rPr>
                <w:rFonts w:hint="eastAsia" w:ascii="宋体" w:hAnsi="宋体" w:cs="宋体"/>
                <w:color w:val="000000"/>
                <w:kern w:val="0"/>
                <w:sz w:val="24"/>
                <w:szCs w:val="24"/>
                <w:highlight w:val="none"/>
              </w:rPr>
              <w:t>音箱</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ascii="宋体" w:hAnsi="宋体" w:cs="宋体"/>
                <w:color w:val="000000"/>
                <w:kern w:val="0"/>
                <w:sz w:val="24"/>
                <w:szCs w:val="24"/>
                <w:highlight w:val="none"/>
              </w:rPr>
            </w:pPr>
            <w:r>
              <w:rPr>
                <w:rFonts w:hint="eastAsia" w:ascii="宋体" w:hAnsi="宋体"/>
                <w:kern w:val="0"/>
                <w:sz w:val="24"/>
                <w:szCs w:val="24"/>
                <w:highlight w:val="none"/>
              </w:rPr>
              <w:t>输出功率 120W*2 输入功率180W*2 噪音比78DB 产品尺寸430W*340D*135h</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套</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w:t>
            </w:r>
          </w:p>
        </w:tc>
      </w:tr>
      <w:tr>
        <w:tblPrEx>
          <w:tblCellMar>
            <w:top w:w="0" w:type="dxa"/>
            <w:left w:w="108" w:type="dxa"/>
            <w:bottom w:w="0" w:type="dxa"/>
            <w:right w:w="108" w:type="dxa"/>
          </w:tblCellMar>
        </w:tblPrEx>
        <w:trPr>
          <w:trHeight w:val="543"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讲桌</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ascii="宋体" w:hAnsi="宋体"/>
                <w:kern w:val="0"/>
                <w:sz w:val="24"/>
                <w:szCs w:val="24"/>
                <w:highlight w:val="none"/>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参考</w:t>
            </w:r>
            <w:r>
              <w:rPr>
                <w:rFonts w:hint="eastAsia" w:ascii="宋体" w:hAnsi="宋体"/>
                <w:kern w:val="0"/>
                <w:sz w:val="24"/>
                <w:szCs w:val="24"/>
                <w:highlight w:val="none"/>
              </w:rPr>
              <w:t>尺寸</w:t>
            </w:r>
            <w:r>
              <w:rPr>
                <w:rFonts w:hint="eastAsia" w:ascii="宋体" w:hAnsi="宋体"/>
                <w:kern w:val="0"/>
                <w:sz w:val="24"/>
                <w:szCs w:val="24"/>
                <w:highlight w:val="none"/>
                <w:lang w:val="en-US" w:eastAsia="zh-CN"/>
              </w:rPr>
              <w:t>范围</w:t>
            </w:r>
            <w:r>
              <w:rPr>
                <w:rFonts w:hint="eastAsia" w:ascii="宋体" w:hAnsi="宋体"/>
                <w:kern w:val="0"/>
                <w:sz w:val="24"/>
                <w:szCs w:val="24"/>
                <w:highlight w:val="none"/>
              </w:rPr>
              <w:t>：（1200）mm×（650）mm×（900）mm。</w:t>
            </w:r>
          </w:p>
          <w:p>
            <w:pPr>
              <w:spacing w:line="360" w:lineRule="auto"/>
              <w:jc w:val="left"/>
              <w:rPr>
                <w:rFonts w:ascii="宋体" w:hAnsi="宋体"/>
                <w:kern w:val="0"/>
                <w:sz w:val="24"/>
                <w:szCs w:val="24"/>
                <w:highlight w:val="none"/>
              </w:rPr>
            </w:pPr>
            <w:r>
              <w:rPr>
                <w:rFonts w:hint="eastAsia" w:ascii="宋体" w:hAnsi="宋体"/>
                <w:kern w:val="0"/>
                <w:sz w:val="24"/>
                <w:szCs w:val="24"/>
                <w:highlight w:val="none"/>
              </w:rPr>
              <w:t>2.采用三包围结构；台面和键盘托选用一次成型注塑（壁厚≥3mm），桌体采用钢制，承重部位材料厚度≥1.5mm，其它≥1.2mm。</w:t>
            </w:r>
          </w:p>
          <w:p>
            <w:pPr>
              <w:spacing w:line="360" w:lineRule="auto"/>
              <w:jc w:val="left"/>
              <w:rPr>
                <w:rFonts w:ascii="宋体" w:hAnsi="宋体"/>
                <w:kern w:val="0"/>
                <w:sz w:val="24"/>
                <w:szCs w:val="24"/>
                <w:highlight w:val="none"/>
              </w:rPr>
            </w:pPr>
            <w:r>
              <w:rPr>
                <w:rFonts w:hint="eastAsia" w:ascii="宋体" w:hAnsi="宋体"/>
                <w:kern w:val="0"/>
                <w:sz w:val="24"/>
                <w:szCs w:val="24"/>
                <w:highlight w:val="none"/>
              </w:rPr>
              <w:t>3. 显示器窗口上嵌式安装≥10mm厚钢化玻璃，有效显示范围≥20英寸宽屏，与所提供计算机显示器匹配。</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4. 结构要求：具有良好的防尘、防鼠、防火、防盗、防潮等功能</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套</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4</w:t>
            </w:r>
          </w:p>
        </w:tc>
      </w:tr>
      <w:tr>
        <w:tblPrEx>
          <w:tblCellMar>
            <w:top w:w="0" w:type="dxa"/>
            <w:left w:w="108" w:type="dxa"/>
            <w:bottom w:w="0" w:type="dxa"/>
            <w:right w:w="108" w:type="dxa"/>
          </w:tblCellMar>
        </w:tblPrEx>
        <w:trPr>
          <w:trHeight w:val="1711"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彩色打印机</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打印/复印/扫描</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打印功能</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黑白打印速度</w:t>
            </w:r>
            <w:r>
              <w:rPr>
                <w:rFonts w:hint="eastAsia" w:ascii="宋体" w:hAnsi="宋体" w:cs="宋体"/>
                <w:color w:val="000000"/>
                <w:kern w:val="0"/>
                <w:sz w:val="24"/>
                <w:szCs w:val="24"/>
                <w:highlight w:val="none"/>
                <w:lang w:val="en-US" w:eastAsia="zh-CN"/>
              </w:rPr>
              <w:t>≥</w:t>
            </w:r>
            <w:r>
              <w:rPr>
                <w:rFonts w:hint="eastAsia" w:ascii="宋体" w:hAnsi="宋体"/>
                <w:kern w:val="0"/>
                <w:sz w:val="24"/>
                <w:szCs w:val="24"/>
                <w:highlight w:val="none"/>
              </w:rPr>
              <w:t>16ppm</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彩色打印速度</w:t>
            </w:r>
            <w:r>
              <w:rPr>
                <w:rFonts w:hint="eastAsia" w:ascii="宋体" w:hAnsi="宋体" w:cs="宋体"/>
                <w:color w:val="000000"/>
                <w:kern w:val="0"/>
                <w:sz w:val="24"/>
                <w:szCs w:val="24"/>
                <w:highlight w:val="none"/>
                <w:lang w:val="en-US" w:eastAsia="zh-CN"/>
              </w:rPr>
              <w:t>≥</w:t>
            </w:r>
            <w:r>
              <w:rPr>
                <w:rFonts w:hint="eastAsia" w:ascii="宋体" w:hAnsi="宋体"/>
                <w:kern w:val="0"/>
                <w:sz w:val="24"/>
                <w:szCs w:val="24"/>
                <w:highlight w:val="none"/>
              </w:rPr>
              <w:t>16ppm</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打印分辨率</w:t>
            </w:r>
            <w:r>
              <w:rPr>
                <w:rFonts w:hint="eastAsia" w:ascii="宋体" w:hAnsi="宋体" w:cs="宋体"/>
                <w:color w:val="000000"/>
                <w:kern w:val="0"/>
                <w:sz w:val="24"/>
                <w:szCs w:val="24"/>
                <w:highlight w:val="none"/>
                <w:lang w:val="en-US" w:eastAsia="zh-CN"/>
              </w:rPr>
              <w:t>≥</w:t>
            </w:r>
            <w:r>
              <w:rPr>
                <w:rFonts w:hint="eastAsia" w:ascii="宋体" w:hAnsi="宋体"/>
                <w:kern w:val="0"/>
                <w:sz w:val="24"/>
                <w:szCs w:val="24"/>
                <w:highlight w:val="none"/>
              </w:rPr>
              <w:t>600×600dpi</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首页打印时间 黑白</w:t>
            </w:r>
            <w:r>
              <w:rPr>
                <w:rFonts w:hint="eastAsia" w:ascii="宋体" w:hAnsi="宋体"/>
                <w:kern w:val="0"/>
                <w:sz w:val="24"/>
                <w:szCs w:val="24"/>
                <w:highlight w:val="none"/>
                <w:lang w:val="en-US" w:eastAsia="zh-CN"/>
              </w:rPr>
              <w:t>≤</w:t>
            </w:r>
            <w:r>
              <w:rPr>
                <w:rFonts w:hint="eastAsia" w:ascii="宋体" w:hAnsi="宋体"/>
                <w:kern w:val="0"/>
                <w:sz w:val="24"/>
                <w:szCs w:val="24"/>
                <w:highlight w:val="none"/>
              </w:rPr>
              <w:t>11.8秒，彩色</w:t>
            </w:r>
            <w:r>
              <w:rPr>
                <w:rFonts w:hint="eastAsia" w:ascii="宋体" w:hAnsi="宋体"/>
                <w:kern w:val="0"/>
                <w:sz w:val="24"/>
                <w:szCs w:val="24"/>
                <w:highlight w:val="none"/>
                <w:lang w:val="en-US" w:eastAsia="zh-CN"/>
              </w:rPr>
              <w:t>≤</w:t>
            </w:r>
            <w:r>
              <w:rPr>
                <w:rFonts w:hint="eastAsia" w:ascii="宋体" w:hAnsi="宋体"/>
                <w:kern w:val="0"/>
                <w:sz w:val="24"/>
                <w:szCs w:val="24"/>
                <w:highlight w:val="none"/>
              </w:rPr>
              <w:t>13.7秒</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月打印负荷 大致3万页</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复印功能</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复印速度 黑白：</w:t>
            </w:r>
            <w:r>
              <w:rPr>
                <w:rFonts w:hint="eastAsia" w:ascii="宋体" w:hAnsi="宋体" w:cs="宋体"/>
                <w:color w:val="000000"/>
                <w:kern w:val="0"/>
                <w:sz w:val="24"/>
                <w:szCs w:val="24"/>
                <w:highlight w:val="none"/>
                <w:lang w:val="en-US" w:eastAsia="zh-CN"/>
              </w:rPr>
              <w:t>≥</w:t>
            </w:r>
            <w:r>
              <w:rPr>
                <w:rFonts w:hint="eastAsia" w:ascii="宋体" w:hAnsi="宋体"/>
                <w:kern w:val="0"/>
                <w:sz w:val="24"/>
                <w:szCs w:val="24"/>
                <w:highlight w:val="none"/>
              </w:rPr>
              <w:t>16cpm，彩色：</w:t>
            </w:r>
            <w:r>
              <w:rPr>
                <w:rFonts w:hint="eastAsia" w:ascii="宋体" w:hAnsi="宋体" w:cs="宋体"/>
                <w:color w:val="000000"/>
                <w:kern w:val="0"/>
                <w:sz w:val="24"/>
                <w:szCs w:val="24"/>
                <w:highlight w:val="none"/>
                <w:lang w:val="en-US" w:eastAsia="zh-CN"/>
              </w:rPr>
              <w:t>≥</w:t>
            </w:r>
            <w:r>
              <w:rPr>
                <w:rFonts w:hint="eastAsia" w:ascii="宋体" w:hAnsi="宋体"/>
                <w:kern w:val="0"/>
                <w:sz w:val="24"/>
                <w:szCs w:val="24"/>
                <w:highlight w:val="none"/>
              </w:rPr>
              <w:t>16cpm</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 xml:space="preserve">复印分辨率 </w:t>
            </w:r>
            <w:r>
              <w:rPr>
                <w:rFonts w:hint="eastAsia" w:ascii="宋体" w:hAnsi="宋体" w:cs="宋体"/>
                <w:color w:val="000000"/>
                <w:kern w:val="0"/>
                <w:sz w:val="24"/>
                <w:szCs w:val="24"/>
                <w:highlight w:val="none"/>
                <w:lang w:val="en-US" w:eastAsia="zh-CN"/>
              </w:rPr>
              <w:t>≥</w:t>
            </w:r>
            <w:r>
              <w:rPr>
                <w:rFonts w:hint="eastAsia" w:ascii="宋体" w:hAnsi="宋体"/>
                <w:kern w:val="0"/>
                <w:sz w:val="24"/>
                <w:szCs w:val="24"/>
                <w:highlight w:val="none"/>
              </w:rPr>
              <w:t>600×600dpi</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连续复印 1-99页</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缩放范围 25-400%</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扫描功能</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扫描控制器 标准配置</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扫描类型 平板式</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光学分辨率</w:t>
            </w:r>
            <w:r>
              <w:rPr>
                <w:rFonts w:hint="eastAsia" w:ascii="宋体" w:hAnsi="宋体" w:cs="宋体"/>
                <w:color w:val="000000"/>
                <w:kern w:val="0"/>
                <w:sz w:val="24"/>
                <w:szCs w:val="24"/>
                <w:highlight w:val="none"/>
                <w:lang w:val="en-US" w:eastAsia="zh-CN"/>
              </w:rPr>
              <w:t>≥</w:t>
            </w:r>
            <w:r>
              <w:rPr>
                <w:rFonts w:hint="eastAsia" w:ascii="宋体" w:hAnsi="宋体"/>
                <w:kern w:val="0"/>
                <w:sz w:val="24"/>
                <w:szCs w:val="24"/>
                <w:highlight w:val="none"/>
              </w:rPr>
              <w:t>1200dpi</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扫描尺寸 平板：215.9×297mm（最大）</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扫描格式</w:t>
            </w:r>
            <w:r>
              <w:rPr>
                <w:rFonts w:hint="eastAsia" w:ascii="宋体" w:hAnsi="宋体"/>
                <w:kern w:val="0"/>
                <w:sz w:val="24"/>
                <w:szCs w:val="24"/>
                <w:highlight w:val="none"/>
                <w:lang w:val="en-US" w:eastAsia="zh-CN"/>
              </w:rPr>
              <w:t>包含但不限于</w:t>
            </w:r>
            <w:r>
              <w:rPr>
                <w:rFonts w:hint="eastAsia" w:ascii="宋体" w:hAnsi="宋体"/>
                <w:kern w:val="0"/>
                <w:sz w:val="24"/>
                <w:szCs w:val="24"/>
                <w:highlight w:val="none"/>
              </w:rPr>
              <w:t>JPG，RAW(BMP)，PNG，TIFF，PDF</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色彩深度 彩色24位，黑白8位</w:t>
            </w:r>
          </w:p>
          <w:p>
            <w:pPr>
              <w:widowControl/>
              <w:spacing w:line="360" w:lineRule="auto"/>
              <w:jc w:val="left"/>
              <w:textAlignment w:val="top"/>
              <w:rPr>
                <w:rFonts w:ascii="宋体" w:hAnsi="宋体"/>
                <w:kern w:val="0"/>
                <w:sz w:val="24"/>
                <w:szCs w:val="24"/>
                <w:highlight w:val="none"/>
              </w:rPr>
            </w:pPr>
            <w:r>
              <w:rPr>
                <w:rFonts w:hint="eastAsia" w:ascii="宋体" w:hAnsi="宋体"/>
                <w:kern w:val="0"/>
                <w:sz w:val="24"/>
                <w:szCs w:val="24"/>
                <w:highlight w:val="none"/>
              </w:rPr>
              <w:t xml:space="preserve">灰度等级 </w:t>
            </w:r>
            <w:r>
              <w:rPr>
                <w:rFonts w:hint="eastAsia" w:ascii="宋体" w:hAnsi="宋体" w:cs="宋体"/>
                <w:color w:val="000000"/>
                <w:kern w:val="0"/>
                <w:sz w:val="24"/>
                <w:szCs w:val="24"/>
                <w:highlight w:val="none"/>
                <w:lang w:val="en-US" w:eastAsia="zh-CN"/>
              </w:rPr>
              <w:t>≥</w:t>
            </w:r>
            <w:r>
              <w:rPr>
                <w:rFonts w:hint="eastAsia" w:ascii="宋体" w:hAnsi="宋体"/>
                <w:kern w:val="0"/>
                <w:sz w:val="24"/>
                <w:szCs w:val="24"/>
                <w:highlight w:val="none"/>
              </w:rPr>
              <w:t>256级</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台</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2</w:t>
            </w:r>
          </w:p>
        </w:tc>
      </w:tr>
      <w:tr>
        <w:tblPrEx>
          <w:tblCellMar>
            <w:top w:w="0" w:type="dxa"/>
            <w:left w:w="108" w:type="dxa"/>
            <w:bottom w:w="0" w:type="dxa"/>
            <w:right w:w="108" w:type="dxa"/>
          </w:tblCellMar>
        </w:tblPrEx>
        <w:trPr>
          <w:trHeight w:val="106" w:hRule="atLeast"/>
          <w:jc w:val="center"/>
        </w:trPr>
        <w:tc>
          <w:tcPr>
            <w:tcW w:w="1491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textAlignment w:val="center"/>
              <w:rPr>
                <w:rFonts w:ascii="宋体" w:hAnsi="宋体" w:cs="宋体"/>
                <w:color w:val="000000"/>
                <w:kern w:val="0"/>
                <w:sz w:val="24"/>
                <w:szCs w:val="24"/>
                <w:highlight w:val="none"/>
                <w:lang w:bidi="ar"/>
              </w:rPr>
            </w:pPr>
            <w:r>
              <w:rPr>
                <w:rFonts w:hint="eastAsia" w:ascii="宋体" w:hAnsi="宋体" w:cs="宋体"/>
                <w:b/>
                <w:bCs/>
                <w:color w:val="000000"/>
                <w:kern w:val="0"/>
                <w:sz w:val="24"/>
                <w:szCs w:val="24"/>
                <w:highlight w:val="none"/>
                <w:lang w:bidi="ar"/>
              </w:rPr>
              <w:t>（四）电子班牌7个</w:t>
            </w:r>
          </w:p>
        </w:tc>
      </w:tr>
      <w:tr>
        <w:tblPrEx>
          <w:tblCellMar>
            <w:top w:w="0" w:type="dxa"/>
            <w:left w:w="108" w:type="dxa"/>
            <w:bottom w:w="0" w:type="dxa"/>
            <w:right w:w="108" w:type="dxa"/>
          </w:tblCellMar>
        </w:tblPrEx>
        <w:trPr>
          <w:trHeight w:val="2469"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pStyle w:val="27"/>
              <w:spacing w:line="360" w:lineRule="auto"/>
              <w:rPr>
                <w:sz w:val="24"/>
                <w:szCs w:val="24"/>
                <w:highlight w:val="none"/>
              </w:rPr>
            </w:pPr>
            <w:r>
              <w:rPr>
                <w:rFonts w:hint="eastAsia"/>
                <w:sz w:val="24"/>
                <w:szCs w:val="24"/>
                <w:highlight w:val="none"/>
              </w:rPr>
              <w:t>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电子班牌</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rPr>
              <w:t>1、安卓版本：Android 5.0</w:t>
            </w:r>
            <w:r>
              <w:rPr>
                <w:rFonts w:hint="eastAsia" w:ascii="宋体" w:hAnsi="宋体" w:cs="宋体"/>
                <w:color w:val="000000"/>
                <w:kern w:val="0"/>
                <w:sz w:val="24"/>
                <w:szCs w:val="24"/>
                <w:highlight w:val="none"/>
                <w:lang w:val="en-US" w:eastAsia="zh-CN"/>
              </w:rPr>
              <w:t>以上</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2、尺寸：</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21.5寸</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3、分辨率：</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1920*1080</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4、触摸屏：电容屏，多点触控</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5、亮度：</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400cd/m2</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6、对比度：</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3000:1</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7、可视角度：</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178度(H)/</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178度(V)</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8、CPU：ARM架构，</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四核，</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1.8GHZ</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9、RAM：</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2G</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10、ROM：</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16G</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11、TF卡：外接TF卡，可扩展到128G</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12、WiFi：802.11 b/g/n/ac</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13、蓝牙：蓝牙4.0</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14、HDMI：</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HDMI*1</w:t>
            </w:r>
          </w:p>
          <w:p>
            <w:pPr>
              <w:widowControl/>
              <w:spacing w:line="360" w:lineRule="auto"/>
              <w:jc w:val="left"/>
              <w:textAlignment w:val="top"/>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15、扬声器：</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Stereo、4W</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16、摄像头：前置200万像素以上</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17、USB接口：</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USB2.0*2</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18、HDMI：</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HDMI*1</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19、RJ45网口：</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RJ45*1</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20、国标3.5毫米耳机座（支持录音）</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21、刷卡器：支持RF刷卡模式，</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13.56M通用频率</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22、其它：支持人脸识别，支持定时开关机</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22、3C 认证，节能认证</w:t>
            </w:r>
          </w:p>
          <w:p>
            <w:pPr>
              <w:widowControl/>
              <w:spacing w:line="360" w:lineRule="auto"/>
              <w:jc w:val="left"/>
              <w:textAlignment w:val="top"/>
              <w:rPr>
                <w:rFonts w:ascii="宋体" w:hAnsi="宋体"/>
                <w:b/>
                <w:bCs/>
                <w:kern w:val="0"/>
                <w:sz w:val="24"/>
                <w:szCs w:val="24"/>
                <w:highlight w:val="none"/>
              </w:rPr>
            </w:pPr>
            <w:r>
              <w:rPr>
                <w:rFonts w:hint="eastAsia" w:ascii="宋体" w:hAnsi="宋体" w:cs="宋体"/>
                <w:color w:val="000000"/>
                <w:kern w:val="0"/>
                <w:sz w:val="24"/>
                <w:szCs w:val="24"/>
                <w:highlight w:val="none"/>
              </w:rPr>
              <w:t>23、质保期：</w:t>
            </w:r>
            <w:r>
              <w:rPr>
                <w:rFonts w:hint="eastAsia" w:ascii="宋体" w:hAnsi="宋体" w:cs="宋体"/>
                <w:color w:val="000000"/>
                <w:kern w:val="0"/>
                <w:sz w:val="24"/>
                <w:szCs w:val="24"/>
                <w:highlight w:val="none"/>
                <w:lang w:val="en-US" w:eastAsia="zh-CN"/>
              </w:rPr>
              <w:t>≥</w:t>
            </w:r>
            <w:r>
              <w:rPr>
                <w:rFonts w:hint="eastAsia" w:ascii="宋体" w:hAnsi="宋体" w:cs="宋体"/>
                <w:color w:val="000000"/>
                <w:kern w:val="0"/>
                <w:sz w:val="24"/>
                <w:szCs w:val="24"/>
                <w:highlight w:val="none"/>
              </w:rPr>
              <w:t>1年</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个</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w:t>
            </w:r>
          </w:p>
        </w:tc>
      </w:tr>
      <w:tr>
        <w:tblPrEx>
          <w:tblCellMar>
            <w:top w:w="0" w:type="dxa"/>
            <w:left w:w="108" w:type="dxa"/>
            <w:bottom w:w="0" w:type="dxa"/>
            <w:right w:w="108" w:type="dxa"/>
          </w:tblCellMar>
        </w:tblPrEx>
        <w:trPr>
          <w:trHeight w:val="209"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pStyle w:val="27"/>
              <w:spacing w:line="360" w:lineRule="auto"/>
              <w:rPr>
                <w:sz w:val="24"/>
                <w:szCs w:val="24"/>
                <w:highlight w:val="none"/>
              </w:rPr>
            </w:pPr>
            <w:r>
              <w:rPr>
                <w:rFonts w:hint="eastAsia"/>
                <w:sz w:val="24"/>
                <w:szCs w:val="24"/>
                <w:highlight w:val="none"/>
              </w:rPr>
              <w:t>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电子校牌管理系统</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校园空间</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1、校园个性化信息设置功能，可设置校训、校徽、校园公告。</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2、校园新闻发布功能，新闻发布方式支持：图文混排、外部链接、文档上传、图集、视频。可自定义校园新闻分类目录，可自定义分类名和分类图标。可将校园新闻设置为app轮播图。</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班级空间</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3、班级个性化信息设置功能，可设置班级宣言、班级Logo。</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4、班级值日生设置功能，可自定义班级值日项以及每个值日项所对应的值日生。</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5、班级之星设置功能，可授予班级之星称号给班级学生，授予称号时可设置该学生描述信息和展示图片。</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6、班级新闻发布功能，新闻发布方式支持：图文混排、外部链接、文档上传、图集、视频。</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7、班级共享管理功能，支持发布、审核、管理班级共享内容，共享类型支持：文档、图片、视频。</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通知管理</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8、通知管理功能，可发布、编辑、删除通知，通知可发布给指定人员，可查看通知接收人员阅读情况。</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9、通知内容支持文本和图片。</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10、支持不同角色人员发布通知时选择不同的接收对象范围。</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11、通知发送支持即时发送和定时发送方式。</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12、支持通知消息提醒。</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荣誉勋章</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13、支持为不同年级设置不同勋章。</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14、支持为班级颁发勋章。</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出勤考勤</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15、教师出勤功能，可查看、管理教师出勤信息。</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16、学生出勤功能，可设置不同年级学生出勤迟到时间，可分班级查看学生出勤信息。</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17、课程考勤功能，可查看、管理各节课程的教师、学生考勤信息。</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设备管理</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18、班牌管理功能，可将班牌绑定至对应教室，并可设定班牌的呈现模式。</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19、班牌支持普通模式、考试模式、轮播模式、通知模式、指示模式，可设置班牌所要呈现的模式及各模式要展示的数据。</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20、考试模式可设定考试名、考场信息、考试场次信息。</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21、轮播模式可设定轮播内容，支持图片、视频。</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22、通知模式可设定通知内容的文字大小。</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23、指示模式可设定班牌显示文字，并可设置位置导览图。</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24、校牌管理功能，可管理校牌、设定校牌要呈现内容。</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25、绑定管理功能，可为教师、学生绑定校园卡或人脸数据，绑定之后可在班牌上进行刷卡、刷脸登录。</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系统管理</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26、班牌、校牌设置功能，可设置学校位置、班牌展示名称、班牌皮肤、班牌定时开关机时间、校牌定时开关机时间、上课时间是否进入上课模式、出勤模式时间段及考勤设备。</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27、假期设置功能，可将学期中指定日期设置为假期。</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28、倒计时设置功能，可设置、管理倒计时信息。</w:t>
            </w:r>
          </w:p>
          <w:p>
            <w:pPr>
              <w:widowControl/>
              <w:spacing w:line="360" w:lineRule="auto"/>
              <w:jc w:val="left"/>
              <w:textAlignment w:val="top"/>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29、值日表管理功能，可批量导出、导入全校值日表。</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个</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w:t>
            </w:r>
          </w:p>
        </w:tc>
      </w:tr>
      <w:tr>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pStyle w:val="27"/>
              <w:spacing w:line="360" w:lineRule="auto"/>
              <w:rPr>
                <w:sz w:val="24"/>
                <w:szCs w:val="24"/>
                <w:highlight w:val="none"/>
              </w:rPr>
            </w:pPr>
            <w:r>
              <w:rPr>
                <w:rFonts w:hint="eastAsia"/>
                <w:sz w:val="24"/>
                <w:szCs w:val="24"/>
                <w:highlight w:val="none"/>
              </w:rPr>
              <w:t>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电子班牌APP</w:t>
            </w:r>
          </w:p>
        </w:tc>
        <w:tc>
          <w:tcPr>
            <w:tcW w:w="1200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具备多种展示模式。班牌支持普通模式、考试模式、轮播模式、通知模式、指示模式、上课模式、出勤模式；校牌支持展示模式、仪表盘模式、出勤模式。</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班牌普通模式</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1、展示学校名、校训、校园公告。</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2、展示班级名、班级Logo、班级宣言。</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3、展示天气信息、时间信息。</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4、展示校园新闻最新动态。</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5、展示校园空间。</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6、展示校园新闻。</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7、展示班级风采。</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8、展示班级空间。</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9、展示班级新闻。</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10、展示班级勋章。</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11、展示班级课表，并高亮显示当前上课课程。</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12、可查看不同时段的周课表。</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13、展示班级值日表，显示各值日项对应的值日生。</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14、可查看不同时段的周值日表。</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15、倒计时信息轮播展示。</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16、提示家长新留言。</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17、教师、学生刷卡签到、考勤。</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18、教师、学生刷卡、刷脸进入个人空间。</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19、可查看个人课表。</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20、可查看班级任课教师及学生信息。</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21、学生可查看家长留言并与家长进行沟通。</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22、教师可查看课程签到信息，可查看学生出勤信息。</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23、学生可查看个人学情分析。</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24、管理员可通过班牌为师生绑定校园卡、人脸信息。</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班牌考试模式</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25、展示考试名称、考场信息、考试场次信息。高亮显示当前场次信息。</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班牌通知模式</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26、根据后台设置的文字大小全屏展示通知内容。</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班牌轮播模式</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27、依据后台设置的轮播内容进行轮播。</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班牌指示模式</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28、展示后台设置的文字指示内容或位置导览图。</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班牌上课模式</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29、依据后台的设置展示班级名、教室名，当前课程及下一节课程，课程任课教师，学生出勤情况。</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30、学生可刷卡或刷脸进行课程签到。</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班牌出勤模式</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31、展示班级名、班级课表、班级值日表、班级学生出勤情况。</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32、学生通过班牌刷卡或刷脸签到、签退，并通知家长。</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校牌展示模式</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33、展示学校名、校训、校徽信息。</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34、展示校园新闻。</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35、展示校园公告。</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36、展示日期、天气信息。</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37、展示师生出勤统计信息。</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38、支持横屏和竖屏两种安装方式。</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校牌仪表盘模式</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39、对接校园大数据服务平台，展示校园大数据仪表盘。</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校牌出勤模式</w:t>
            </w:r>
          </w:p>
          <w:p>
            <w:pPr>
              <w:widowControl/>
              <w:spacing w:line="360" w:lineRule="auto"/>
              <w:jc w:val="left"/>
              <w:textAlignment w:val="top"/>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40、展示学校行事历、校园新闻。</w:t>
            </w:r>
          </w:p>
          <w:p>
            <w:pPr>
              <w:widowControl/>
              <w:spacing w:line="360" w:lineRule="auto"/>
              <w:jc w:val="left"/>
              <w:textAlignment w:val="top"/>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41、教师可刷卡或刷脸签到、签退。</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套</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7</w:t>
            </w:r>
          </w:p>
        </w:tc>
      </w:tr>
    </w:tbl>
    <w:p>
      <w:pPr>
        <w:rPr>
          <w:rFonts w:hint="eastAsia" w:ascii="宋体" w:hAnsi="宋体" w:eastAsia="宋体" w:cs="宋体"/>
          <w:highlight w:val="none"/>
        </w:rPr>
      </w:pPr>
    </w:p>
    <w:p>
      <w:pPr>
        <w:pStyle w:val="27"/>
        <w:rPr>
          <w:rFonts w:hint="eastAsia" w:ascii="宋体" w:hAnsi="宋体" w:eastAsia="宋体" w:cs="宋体"/>
          <w:highlight w:val="none"/>
        </w:rPr>
        <w:sectPr>
          <w:footerReference r:id="rId10" w:type="default"/>
          <w:pgSz w:w="16838" w:h="11906" w:orient="landscape"/>
          <w:pgMar w:top="1080" w:right="1440" w:bottom="1080" w:left="1440" w:header="851" w:footer="992" w:gutter="0"/>
          <w:pgNumType w:fmt="decimal"/>
          <w:cols w:space="425" w:num="1"/>
          <w:docGrid w:type="lines" w:linePitch="312" w:charSpace="0"/>
        </w:sectPr>
      </w:pPr>
    </w:p>
    <w:bookmarkEnd w:id="41"/>
    <w:p>
      <w:pPr>
        <w:pStyle w:val="3"/>
        <w:numPr>
          <w:ilvl w:val="0"/>
          <w:numId w:val="6"/>
        </w:numPr>
        <w:rPr>
          <w:rFonts w:hint="eastAsia" w:ascii="宋体" w:hAnsi="宋体" w:eastAsia="宋体" w:cs="宋体"/>
          <w:b/>
          <w:bCs/>
          <w:sz w:val="36"/>
          <w:szCs w:val="36"/>
          <w:highlight w:val="none"/>
          <w:lang w:eastAsia="zh-CN"/>
        </w:rPr>
      </w:pPr>
      <w:bookmarkStart w:id="43" w:name="_Toc17659"/>
      <w:bookmarkStart w:id="44" w:name="_Toc389568492"/>
      <w:bookmarkStart w:id="45" w:name="_Toc393284381"/>
      <w:bookmarkStart w:id="46" w:name="_Toc389836557"/>
      <w:bookmarkStart w:id="47" w:name="_Toc405191193"/>
      <w:bookmarkStart w:id="48" w:name="_Toc26400"/>
      <w:bookmarkStart w:id="49" w:name="_Toc370906268"/>
      <w:bookmarkStart w:id="50" w:name="_Toc393281139"/>
      <w:bookmarkStart w:id="51" w:name="_Toc22294"/>
      <w:bookmarkStart w:id="52" w:name="_Toc425781312"/>
      <w:bookmarkStart w:id="53" w:name="_Toc393284674"/>
      <w:bookmarkStart w:id="54" w:name="_Toc393281140"/>
      <w:bookmarkStart w:id="55" w:name="_Toc389836558"/>
      <w:bookmarkStart w:id="56" w:name="_Toc393284675"/>
      <w:bookmarkStart w:id="57" w:name="_Toc370906269"/>
      <w:bookmarkStart w:id="58" w:name="_Toc393371572"/>
      <w:bookmarkStart w:id="59" w:name="_Toc393285042"/>
      <w:bookmarkStart w:id="60" w:name="_Toc393284382"/>
      <w:bookmarkStart w:id="61" w:name="_Toc389568493"/>
      <w:r>
        <w:rPr>
          <w:rFonts w:hint="eastAsia" w:ascii="宋体" w:hAnsi="宋体" w:eastAsia="宋体" w:cs="宋体"/>
          <w:b/>
          <w:bCs/>
          <w:sz w:val="36"/>
          <w:szCs w:val="36"/>
          <w:highlight w:val="none"/>
          <w:lang w:eastAsia="zh-CN"/>
        </w:rPr>
        <w:t>评审方法</w:t>
      </w:r>
      <w:bookmarkEnd w:id="42"/>
      <w:bookmarkEnd w:id="43"/>
      <w:bookmarkEnd w:id="44"/>
      <w:bookmarkEnd w:id="45"/>
      <w:bookmarkEnd w:id="46"/>
      <w:bookmarkEnd w:id="47"/>
      <w:bookmarkEnd w:id="48"/>
      <w:bookmarkEnd w:id="49"/>
      <w:bookmarkEnd w:id="50"/>
      <w:bookmarkEnd w:id="51"/>
      <w:bookmarkEnd w:id="52"/>
      <w:bookmarkEnd w:id="53"/>
    </w:p>
    <w:p>
      <w:pPr>
        <w:numPr>
          <w:ilvl w:val="0"/>
          <w:numId w:val="0"/>
        </w:numPr>
        <w:rPr>
          <w:rFonts w:hint="eastAsia" w:ascii="宋体" w:hAnsi="宋体" w:eastAsia="宋体" w:cs="宋体"/>
          <w:highlight w:val="none"/>
          <w:lang w:eastAsia="zh-CN"/>
        </w:rPr>
      </w:pPr>
    </w:p>
    <w:bookmarkEnd w:id="54"/>
    <w:bookmarkEnd w:id="55"/>
    <w:bookmarkEnd w:id="56"/>
    <w:bookmarkEnd w:id="57"/>
    <w:bookmarkEnd w:id="58"/>
    <w:bookmarkEnd w:id="59"/>
    <w:bookmarkEnd w:id="60"/>
    <w:bookmarkEnd w:id="61"/>
    <w:p>
      <w:pPr>
        <w:keepNext w:val="0"/>
        <w:keepLines w:val="0"/>
        <w:pageBreakBefore w:val="0"/>
        <w:widowControl w:val="0"/>
        <w:kinsoku/>
        <w:wordWrap/>
        <w:overflowPunct/>
        <w:topLinePunct w:val="0"/>
        <w:autoSpaceDE/>
        <w:autoSpaceDN/>
        <w:bidi w:val="0"/>
        <w:adjustRightInd/>
        <w:snapToGrid/>
        <w:spacing w:after="120" w:afterLines="50" w:line="360" w:lineRule="auto"/>
        <w:ind w:left="0" w:leftChars="0" w:right="0" w:rightChars="0"/>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一．评审方法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textAlignment w:val="auto"/>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按照</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中华人民共和国</w:t>
      </w:r>
      <w:r>
        <w:rPr>
          <w:rFonts w:hint="eastAsia" w:ascii="宋体" w:hAnsi="宋体" w:eastAsia="宋体" w:cs="宋体"/>
          <w:spacing w:val="4"/>
          <w:sz w:val="24"/>
          <w:szCs w:val="24"/>
          <w:highlight w:val="none"/>
          <w:lang w:eastAsia="zh-CN"/>
        </w:rPr>
        <w:t>政府采购法》及实施条例</w:t>
      </w:r>
      <w:r>
        <w:rPr>
          <w:rFonts w:hint="eastAsia" w:ascii="宋体" w:hAnsi="宋体" w:eastAsia="宋体" w:cs="宋体"/>
          <w:spacing w:val="4"/>
          <w:sz w:val="24"/>
          <w:szCs w:val="24"/>
          <w:highlight w:val="none"/>
        </w:rPr>
        <w:t>、</w:t>
      </w:r>
      <w:r>
        <w:rPr>
          <w:rFonts w:hint="eastAsia" w:ascii="宋体" w:hAnsi="宋体" w:eastAsia="宋体" w:cs="宋体"/>
          <w:sz w:val="24"/>
          <w:szCs w:val="24"/>
          <w:highlight w:val="none"/>
        </w:rPr>
        <w:t>中华人民共和国财政部令第74号--《政府采购非招标采购方式管理办法》</w:t>
      </w:r>
      <w:r>
        <w:rPr>
          <w:rFonts w:hint="eastAsia" w:ascii="宋体" w:hAnsi="宋体" w:eastAsia="宋体" w:cs="宋体"/>
          <w:spacing w:val="4"/>
          <w:sz w:val="24"/>
          <w:szCs w:val="24"/>
          <w:highlight w:val="none"/>
        </w:rPr>
        <w:t>的规定，本次评审采用最低评标价法，</w:t>
      </w:r>
      <w:r>
        <w:rPr>
          <w:rFonts w:hint="eastAsia" w:ascii="宋体" w:hAnsi="宋体" w:eastAsia="宋体" w:cs="宋体"/>
          <w:sz w:val="24"/>
          <w:szCs w:val="24"/>
          <w:highlight w:val="none"/>
        </w:rPr>
        <w:t>即质量和服务均能满足谈判文件要求的供应商中，按照最后报价由低到高的顺序依次排序，推荐成交候选人。以提出最低报价的谈判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作为成交候选人。</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b/>
          <w:sz w:val="24"/>
          <w:szCs w:val="24"/>
          <w:highlight w:val="none"/>
          <w:lang w:eastAsia="zh-CN"/>
        </w:rPr>
      </w:pPr>
      <w:bookmarkStart w:id="62" w:name="_Toc370906270"/>
      <w:r>
        <w:rPr>
          <w:rFonts w:hint="eastAsia" w:ascii="宋体" w:hAnsi="宋体" w:eastAsia="宋体" w:cs="宋体"/>
          <w:b/>
          <w:sz w:val="24"/>
          <w:szCs w:val="24"/>
          <w:highlight w:val="none"/>
          <w:lang w:eastAsia="zh-CN"/>
        </w:rPr>
        <w:t>二、评审标准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2" w:firstLineChars="196"/>
        <w:textAlignment w:val="auto"/>
        <w:outlineLvl w:val="9"/>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2.1</w:t>
      </w:r>
      <w:r>
        <w:rPr>
          <w:rFonts w:hint="eastAsia" w:ascii="宋体" w:hAnsi="宋体" w:eastAsia="宋体" w:cs="宋体"/>
          <w:b/>
          <w:color w:val="000000"/>
          <w:sz w:val="24"/>
          <w:szCs w:val="24"/>
          <w:highlight w:val="none"/>
          <w:lang w:eastAsia="zh-CN"/>
        </w:rPr>
        <w:t>初步评审标准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0" w:firstLineChars="196"/>
        <w:textAlignment w:val="auto"/>
        <w:outlineLvl w:val="9"/>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sz w:val="24"/>
          <w:szCs w:val="24"/>
          <w:highlight w:val="none"/>
        </w:rPr>
        <w:t>2.1</w:t>
      </w: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资格性审查</w:t>
      </w:r>
      <w:r>
        <w:rPr>
          <w:rFonts w:hint="eastAsia" w:ascii="宋体" w:hAnsi="宋体" w:eastAsia="宋体" w:cs="宋体"/>
          <w:b w:val="0"/>
          <w:bCs w:val="0"/>
          <w:color w:val="000000"/>
          <w:sz w:val="24"/>
          <w:szCs w:val="24"/>
          <w:highlight w:val="none"/>
          <w:lang w:eastAsia="zh-CN"/>
        </w:rPr>
        <w:t>标准：见附件</w:t>
      </w: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lang w:eastAsia="zh-CN"/>
        </w:rPr>
        <w:t>初步审查要素表</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0" w:firstLineChars="196"/>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w:t>
      </w: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2符合性审查</w:t>
      </w:r>
      <w:r>
        <w:rPr>
          <w:rFonts w:hint="eastAsia" w:ascii="宋体" w:hAnsi="宋体" w:eastAsia="宋体" w:cs="宋体"/>
          <w:b w:val="0"/>
          <w:bCs w:val="0"/>
          <w:color w:val="000000"/>
          <w:sz w:val="24"/>
          <w:szCs w:val="24"/>
          <w:highlight w:val="none"/>
          <w:lang w:eastAsia="zh-CN"/>
        </w:rPr>
        <w:t>标准：见附件</w:t>
      </w: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lang w:eastAsia="zh-CN"/>
        </w:rPr>
        <w:t>初步审查要素表</w:t>
      </w:r>
    </w:p>
    <w:p>
      <w:pPr>
        <w:keepNext w:val="0"/>
        <w:keepLines w:val="0"/>
        <w:pageBreakBefore w:val="0"/>
        <w:widowControl w:val="0"/>
        <w:kinsoku/>
        <w:wordWrap/>
        <w:overflowPunct/>
        <w:topLinePunct w:val="0"/>
        <w:autoSpaceDE/>
        <w:autoSpaceDN/>
        <w:bidi w:val="0"/>
        <w:adjustRightInd/>
        <w:snapToGrid/>
        <w:spacing w:after="120" w:afterLines="50" w:line="360" w:lineRule="auto"/>
        <w:ind w:left="0" w:leftChars="0" w:right="0" w:rightChars="0"/>
        <w:jc w:val="both"/>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三</w:t>
      </w:r>
      <w:r>
        <w:rPr>
          <w:rFonts w:hint="eastAsia" w:ascii="宋体" w:hAnsi="宋体" w:eastAsia="宋体" w:cs="宋体"/>
          <w:b/>
          <w:kern w:val="0"/>
          <w:sz w:val="24"/>
          <w:szCs w:val="24"/>
          <w:highlight w:val="none"/>
          <w:lang w:val="en-US" w:eastAsia="zh-CN"/>
        </w:rPr>
        <w:t>、</w:t>
      </w:r>
      <w:r>
        <w:rPr>
          <w:rFonts w:hint="eastAsia" w:ascii="宋体" w:hAnsi="宋体" w:eastAsia="宋体" w:cs="宋体"/>
          <w:b/>
          <w:kern w:val="0"/>
          <w:sz w:val="24"/>
          <w:szCs w:val="24"/>
          <w:highlight w:val="none"/>
        </w:rPr>
        <w:t>评审程序</w:t>
      </w:r>
      <w:bookmarkEnd w:id="62"/>
    </w:p>
    <w:p>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44"/>
        <w:jc w:val="both"/>
        <w:textAlignment w:val="auto"/>
        <w:outlineLvl w:val="9"/>
        <w:rPr>
          <w:rFonts w:hint="eastAsia" w:ascii="宋体" w:hAnsi="宋体" w:eastAsia="宋体" w:cs="宋体"/>
          <w:b/>
          <w:bCs/>
          <w:spacing w:val="4"/>
          <w:sz w:val="24"/>
          <w:szCs w:val="24"/>
          <w:highlight w:val="none"/>
          <w:lang w:eastAsia="zh-CN"/>
        </w:rPr>
      </w:pPr>
      <w:r>
        <w:rPr>
          <w:rFonts w:hint="eastAsia" w:ascii="宋体" w:hAnsi="宋体" w:eastAsia="宋体" w:cs="宋体"/>
          <w:b/>
          <w:bCs/>
          <w:spacing w:val="4"/>
          <w:sz w:val="24"/>
          <w:szCs w:val="24"/>
          <w:highlight w:val="none"/>
          <w:lang w:eastAsia="zh-CN"/>
        </w:rPr>
        <w:t>按照初审、澄清有关问题、分别谈判、推荐成交候选人名单。在上一步评审中被作无效响应处理者，不得进入下一步的评审。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9"/>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lang w:val="en-US" w:eastAsia="zh-CN"/>
        </w:rPr>
        <w:t>1、</w:t>
      </w:r>
      <w:r>
        <w:rPr>
          <w:rFonts w:hint="eastAsia" w:ascii="宋体" w:hAnsi="宋体" w:eastAsia="宋体" w:cs="宋体"/>
          <w:b/>
          <w:bCs/>
          <w:spacing w:val="4"/>
          <w:sz w:val="24"/>
          <w:szCs w:val="24"/>
          <w:highlight w:val="none"/>
        </w:rPr>
        <w:t>对</w:t>
      </w:r>
      <w:r>
        <w:rPr>
          <w:rFonts w:hint="eastAsia" w:ascii="宋体" w:hAnsi="宋体" w:eastAsia="宋体" w:cs="宋体"/>
          <w:b/>
          <w:bCs/>
          <w:spacing w:val="4"/>
          <w:sz w:val="24"/>
          <w:szCs w:val="24"/>
          <w:highlight w:val="none"/>
          <w:lang w:eastAsia="zh-CN"/>
        </w:rPr>
        <w:t>谈判</w:t>
      </w:r>
      <w:r>
        <w:rPr>
          <w:rFonts w:hint="eastAsia" w:ascii="宋体" w:hAnsi="宋体" w:eastAsia="宋体" w:cs="宋体"/>
          <w:b/>
          <w:bCs/>
          <w:spacing w:val="4"/>
          <w:sz w:val="24"/>
          <w:szCs w:val="24"/>
          <w:highlight w:val="none"/>
        </w:rPr>
        <w:t>响应文件的初审：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72" w:firstLineChars="196"/>
        <w:jc w:val="both"/>
        <w:textAlignment w:val="auto"/>
        <w:outlineLvl w:val="9"/>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sz w:val="24"/>
          <w:szCs w:val="24"/>
          <w:highlight w:val="none"/>
          <w:lang w:val="en-US" w:eastAsia="zh-CN"/>
        </w:rPr>
        <w:t>1.1</w:t>
      </w:r>
      <w:r>
        <w:rPr>
          <w:rFonts w:hint="eastAsia" w:ascii="宋体" w:hAnsi="宋体" w:eastAsia="宋体" w:cs="宋体"/>
          <w:b/>
          <w:bCs/>
          <w:color w:val="000000"/>
          <w:sz w:val="24"/>
          <w:szCs w:val="24"/>
          <w:highlight w:val="none"/>
        </w:rPr>
        <w:t>资格性审查</w:t>
      </w:r>
      <w:r>
        <w:rPr>
          <w:rFonts w:hint="eastAsia" w:ascii="宋体" w:hAnsi="宋体" w:eastAsia="宋体" w:cs="宋体"/>
          <w:b/>
          <w:bCs/>
          <w:color w:val="000000"/>
          <w:sz w:val="24"/>
          <w:szCs w:val="24"/>
          <w:highlight w:val="none"/>
          <w:lang w:eastAsia="zh-CN"/>
        </w:rPr>
        <w:t>：</w:t>
      </w:r>
      <w:r>
        <w:rPr>
          <w:rFonts w:hint="eastAsia" w:ascii="宋体" w:hAnsi="宋体" w:cs="宋体"/>
          <w:b/>
          <w:bCs/>
          <w:color w:val="000000"/>
          <w:sz w:val="24"/>
          <w:szCs w:val="24"/>
          <w:highlight w:val="none"/>
          <w:lang w:val="en-US" w:eastAsia="zh-CN"/>
        </w:rPr>
        <w:t>采购人</w:t>
      </w:r>
      <w:r>
        <w:rPr>
          <w:rFonts w:hint="eastAsia" w:ascii="宋体" w:hAnsi="宋体" w:eastAsia="宋体" w:cs="宋体"/>
          <w:b/>
          <w:bCs/>
          <w:color w:val="000000"/>
          <w:sz w:val="24"/>
          <w:szCs w:val="24"/>
          <w:highlight w:val="none"/>
        </w:rPr>
        <w:t>将依据本章第 2.1.1 项规定的评审标准对</w:t>
      </w:r>
      <w:r>
        <w:rPr>
          <w:rFonts w:hint="eastAsia" w:ascii="宋体" w:hAnsi="宋体" w:eastAsia="宋体" w:cs="宋体"/>
          <w:b/>
          <w:bCs/>
          <w:color w:val="000000"/>
          <w:sz w:val="24"/>
          <w:szCs w:val="24"/>
          <w:highlight w:val="none"/>
          <w:lang w:eastAsia="zh-CN"/>
        </w:rPr>
        <w:t>谈判响应文件</w:t>
      </w:r>
      <w:r>
        <w:rPr>
          <w:rFonts w:hint="eastAsia" w:ascii="宋体" w:hAnsi="宋体" w:eastAsia="宋体" w:cs="宋体"/>
          <w:b/>
          <w:bCs/>
          <w:color w:val="000000"/>
          <w:sz w:val="24"/>
          <w:szCs w:val="24"/>
          <w:highlight w:val="none"/>
        </w:rPr>
        <w:t>进行资格性审查。有一项不符合评审标准的，</w:t>
      </w:r>
      <w:r>
        <w:rPr>
          <w:rFonts w:hint="eastAsia" w:ascii="宋体" w:hAnsi="宋体" w:eastAsia="宋体" w:cs="宋体"/>
          <w:b/>
          <w:bCs/>
          <w:color w:val="000000"/>
          <w:kern w:val="0"/>
          <w:sz w:val="24"/>
          <w:szCs w:val="24"/>
          <w:highlight w:val="none"/>
        </w:rPr>
        <w:t>将被视为未实质性响应</w:t>
      </w:r>
      <w:r>
        <w:rPr>
          <w:rFonts w:hint="eastAsia" w:ascii="宋体" w:hAnsi="宋体" w:eastAsia="宋体" w:cs="宋体"/>
          <w:b/>
          <w:bCs/>
          <w:color w:val="000000"/>
          <w:kern w:val="0"/>
          <w:sz w:val="24"/>
          <w:szCs w:val="24"/>
          <w:highlight w:val="none"/>
          <w:lang w:eastAsia="zh-CN"/>
        </w:rPr>
        <w:t>谈判</w:t>
      </w:r>
      <w:r>
        <w:rPr>
          <w:rFonts w:hint="eastAsia" w:ascii="宋体" w:hAnsi="宋体" w:eastAsia="宋体" w:cs="宋体"/>
          <w:b/>
          <w:bCs/>
          <w:color w:val="000000"/>
          <w:kern w:val="0"/>
          <w:sz w:val="24"/>
          <w:szCs w:val="24"/>
          <w:highlight w:val="none"/>
        </w:rPr>
        <w:t>文件</w:t>
      </w:r>
      <w:r>
        <w:rPr>
          <w:rFonts w:hint="eastAsia" w:ascii="宋体" w:hAnsi="宋体" w:eastAsia="宋体" w:cs="宋体"/>
          <w:b/>
          <w:bCs/>
          <w:color w:val="000000"/>
          <w:kern w:val="0"/>
          <w:sz w:val="24"/>
          <w:szCs w:val="24"/>
          <w:highlight w:val="none"/>
          <w:lang w:eastAsia="zh-CN"/>
        </w:rPr>
        <w:t>，其谈判响应文件将按无效文件处理</w:t>
      </w:r>
      <w:r>
        <w:rPr>
          <w:rFonts w:hint="eastAsia" w:ascii="宋体" w:hAnsi="宋体" w:eastAsia="宋体" w:cs="宋体"/>
          <w:b/>
          <w:bCs/>
          <w:color w:val="000000"/>
          <w:kern w:val="0"/>
          <w:sz w:val="24"/>
          <w:szCs w:val="24"/>
          <w:highlight w:val="none"/>
        </w:rPr>
        <w:t>。</w:t>
      </w:r>
    </w:p>
    <w:p>
      <w:pPr>
        <w:keepNext w:val="0"/>
        <w:keepLines w:val="0"/>
        <w:pageBreakBefore w:val="0"/>
        <w:widowControl w:val="0"/>
        <w:kinsoku/>
        <w:wordWrap/>
        <w:overflowPunct/>
        <w:topLinePunct w:val="0"/>
        <w:autoSpaceDE/>
        <w:autoSpaceDN/>
        <w:bidi w:val="0"/>
        <w:spacing w:line="360" w:lineRule="auto"/>
        <w:ind w:right="0" w:rightChars="0" w:firstLine="482"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1</w:t>
      </w:r>
      <w:r>
        <w:rPr>
          <w:rFonts w:hint="eastAsia" w:ascii="宋体" w:hAnsi="宋体" w:eastAsia="宋体" w:cs="宋体"/>
          <w:b/>
          <w:bCs/>
          <w:color w:val="000000"/>
          <w:sz w:val="24"/>
          <w:szCs w:val="24"/>
          <w:highlight w:val="none"/>
        </w:rPr>
        <w:t>.2符合性审查</w:t>
      </w:r>
      <w:r>
        <w:rPr>
          <w:rFonts w:hint="eastAsia" w:ascii="宋体" w:hAnsi="宋体" w:eastAsia="宋体" w:cs="宋体"/>
          <w:b/>
          <w:bCs/>
          <w:color w:val="000000"/>
          <w:sz w:val="24"/>
          <w:szCs w:val="24"/>
          <w:highlight w:val="none"/>
          <w:lang w:eastAsia="zh-CN"/>
        </w:rPr>
        <w:t>：谈判小组</w:t>
      </w:r>
      <w:r>
        <w:rPr>
          <w:rFonts w:hint="eastAsia" w:ascii="宋体" w:hAnsi="宋体" w:eastAsia="宋体" w:cs="宋体"/>
          <w:b/>
          <w:bCs/>
          <w:color w:val="000000"/>
          <w:sz w:val="24"/>
          <w:szCs w:val="24"/>
          <w:highlight w:val="none"/>
        </w:rPr>
        <w:t>根据本章第 2.1.2 项规定的评审标准对</w:t>
      </w:r>
      <w:r>
        <w:rPr>
          <w:rFonts w:hint="eastAsia" w:ascii="宋体" w:hAnsi="宋体" w:eastAsia="宋体" w:cs="宋体"/>
          <w:b/>
          <w:bCs/>
          <w:color w:val="000000"/>
          <w:sz w:val="24"/>
          <w:szCs w:val="24"/>
          <w:highlight w:val="none"/>
          <w:lang w:eastAsia="zh-CN"/>
        </w:rPr>
        <w:t>谈判响应文件</w:t>
      </w:r>
      <w:r>
        <w:rPr>
          <w:rFonts w:hint="eastAsia" w:ascii="宋体" w:hAnsi="宋体" w:eastAsia="宋体" w:cs="宋体"/>
          <w:b/>
          <w:bCs/>
          <w:color w:val="000000"/>
          <w:sz w:val="24"/>
          <w:szCs w:val="24"/>
          <w:highlight w:val="none"/>
        </w:rPr>
        <w:t>进行符合性评审。有一项不符合评审标准的，将被视为未实质性响应</w:t>
      </w:r>
      <w:r>
        <w:rPr>
          <w:rFonts w:hint="eastAsia" w:ascii="宋体" w:hAnsi="宋体" w:eastAsia="宋体" w:cs="宋体"/>
          <w:b/>
          <w:bCs/>
          <w:color w:val="000000"/>
          <w:sz w:val="24"/>
          <w:szCs w:val="24"/>
          <w:highlight w:val="none"/>
          <w:lang w:eastAsia="zh-CN"/>
        </w:rPr>
        <w:t>谈判</w:t>
      </w:r>
      <w:r>
        <w:rPr>
          <w:rFonts w:hint="eastAsia" w:ascii="宋体" w:hAnsi="宋体" w:eastAsia="宋体" w:cs="宋体"/>
          <w:b/>
          <w:bCs/>
          <w:color w:val="000000"/>
          <w:sz w:val="24"/>
          <w:szCs w:val="24"/>
          <w:highlight w:val="none"/>
        </w:rPr>
        <w:t>文件，其</w:t>
      </w:r>
      <w:r>
        <w:rPr>
          <w:rFonts w:hint="eastAsia" w:ascii="宋体" w:hAnsi="宋体" w:eastAsia="宋体" w:cs="宋体"/>
          <w:b/>
          <w:bCs/>
          <w:color w:val="000000"/>
          <w:sz w:val="24"/>
          <w:szCs w:val="24"/>
          <w:highlight w:val="none"/>
          <w:lang w:eastAsia="zh-CN"/>
        </w:rPr>
        <w:t>谈判</w:t>
      </w:r>
      <w:r>
        <w:rPr>
          <w:rFonts w:hint="eastAsia" w:ascii="宋体" w:hAnsi="宋体" w:eastAsia="宋体" w:cs="宋体"/>
          <w:b/>
          <w:bCs/>
          <w:color w:val="000000"/>
          <w:sz w:val="24"/>
          <w:szCs w:val="24"/>
          <w:highlight w:val="none"/>
        </w:rPr>
        <w:t>响应文件将按无效文件处理。</w:t>
      </w:r>
    </w:p>
    <w:p>
      <w:pPr>
        <w:keepNext w:val="0"/>
        <w:keepLines w:val="0"/>
        <w:pageBreakBefore w:val="0"/>
        <w:widowControl w:val="0"/>
        <w:kinsoku/>
        <w:wordWrap/>
        <w:overflowPunct/>
        <w:topLinePunct w:val="0"/>
        <w:autoSpaceDE/>
        <w:autoSpaceDN/>
        <w:bidi w:val="0"/>
        <w:spacing w:line="360" w:lineRule="auto"/>
        <w:ind w:right="0" w:rightChars="0" w:firstLine="482" w:firstLineChars="200"/>
        <w:jc w:val="both"/>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color w:val="000000"/>
          <w:sz w:val="24"/>
          <w:szCs w:val="24"/>
          <w:highlight w:val="none"/>
        </w:rPr>
        <w:t>在资格性审查</w:t>
      </w:r>
      <w:r>
        <w:rPr>
          <w:rFonts w:hint="eastAsia" w:ascii="宋体" w:hAnsi="宋体" w:eastAsia="宋体" w:cs="宋体"/>
          <w:b/>
          <w:bCs/>
          <w:color w:val="000000"/>
          <w:sz w:val="24"/>
          <w:szCs w:val="24"/>
          <w:highlight w:val="none"/>
          <w:lang w:eastAsia="zh-CN"/>
        </w:rPr>
        <w:t>阶</w:t>
      </w:r>
      <w:r>
        <w:rPr>
          <w:rFonts w:hint="eastAsia" w:ascii="宋体" w:hAnsi="宋体" w:eastAsia="宋体" w:cs="宋体"/>
          <w:b/>
          <w:bCs/>
          <w:color w:val="000000"/>
          <w:sz w:val="24"/>
          <w:szCs w:val="24"/>
          <w:highlight w:val="none"/>
        </w:rPr>
        <w:t>段，不符合</w:t>
      </w:r>
      <w:r>
        <w:rPr>
          <w:rFonts w:hint="eastAsia" w:ascii="宋体" w:hAnsi="宋体" w:eastAsia="宋体" w:cs="宋体"/>
          <w:b/>
          <w:bCs/>
          <w:color w:val="000000"/>
          <w:sz w:val="24"/>
          <w:szCs w:val="24"/>
          <w:highlight w:val="none"/>
          <w:lang w:eastAsia="zh-CN"/>
        </w:rPr>
        <w:t>谈判文件</w:t>
      </w:r>
      <w:r>
        <w:rPr>
          <w:rFonts w:hint="eastAsia" w:ascii="宋体" w:hAnsi="宋体" w:eastAsia="宋体" w:cs="宋体"/>
          <w:b/>
          <w:bCs/>
          <w:color w:val="000000"/>
          <w:sz w:val="24"/>
          <w:szCs w:val="24"/>
          <w:highlight w:val="none"/>
        </w:rPr>
        <w:t>要求的，不得进入符合性审查，在符合性审查时未通过的，不得进入后续评审环节。</w:t>
      </w:r>
    </w:p>
    <w:p>
      <w:pPr>
        <w:keepNext w:val="0"/>
        <w:keepLines w:val="0"/>
        <w:pageBreakBefore w:val="0"/>
        <w:widowControl w:val="0"/>
        <w:kinsoku/>
        <w:wordWrap/>
        <w:overflowPunct/>
        <w:topLinePunct w:val="0"/>
        <w:autoSpaceDE/>
        <w:autoSpaceDN/>
        <w:bidi w:val="0"/>
        <w:spacing w:before="120" w:beforeLines="50" w:after="120" w:afterLines="50" w:line="360" w:lineRule="auto"/>
        <w:ind w:right="0" w:rightChars="0" w:firstLine="482" w:firstLineChars="200"/>
        <w:jc w:val="both"/>
        <w:textAlignment w:val="auto"/>
        <w:outlineLvl w:val="9"/>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2、</w:t>
      </w:r>
      <w:r>
        <w:rPr>
          <w:rFonts w:hint="eastAsia" w:ascii="宋体" w:hAnsi="宋体" w:eastAsia="宋体" w:cs="宋体"/>
          <w:b/>
          <w:color w:val="000000"/>
          <w:sz w:val="24"/>
          <w:highlight w:val="none"/>
          <w:lang w:eastAsia="zh-CN"/>
        </w:rPr>
        <w:t>谈判响应</w:t>
      </w:r>
      <w:r>
        <w:rPr>
          <w:rFonts w:hint="eastAsia" w:ascii="宋体" w:hAnsi="宋体" w:eastAsia="宋体" w:cs="宋体"/>
          <w:b/>
          <w:color w:val="000000"/>
          <w:sz w:val="24"/>
          <w:highlight w:val="none"/>
        </w:rPr>
        <w:t>文件的澄清</w:t>
      </w:r>
    </w:p>
    <w:p>
      <w:pPr>
        <w:keepNext w:val="0"/>
        <w:keepLines w:val="0"/>
        <w:pageBreakBefore w:val="0"/>
        <w:widowControl w:val="0"/>
        <w:kinsoku/>
        <w:wordWrap/>
        <w:overflowPunct/>
        <w:topLinePunct w:val="0"/>
        <w:autoSpaceDE/>
        <w:autoSpaceDN/>
        <w:bidi w:val="0"/>
        <w:spacing w:line="360" w:lineRule="auto"/>
        <w:ind w:right="0" w:rightChars="0" w:firstLine="496" w:firstLineChars="200"/>
        <w:jc w:val="both"/>
        <w:textAlignment w:val="auto"/>
        <w:outlineLvl w:val="9"/>
        <w:rPr>
          <w:rFonts w:hint="eastAsia" w:ascii="宋体" w:hAnsi="宋体" w:eastAsia="宋体" w:cs="宋体"/>
          <w:b w:val="0"/>
          <w:bCs/>
          <w:spacing w:val="4"/>
          <w:sz w:val="24"/>
          <w:szCs w:val="24"/>
          <w:highlight w:val="none"/>
          <w:lang w:val="en-US" w:eastAsia="zh-CN"/>
        </w:rPr>
      </w:pPr>
      <w:r>
        <w:rPr>
          <w:rFonts w:hint="eastAsia" w:ascii="宋体" w:hAnsi="宋体" w:eastAsia="宋体" w:cs="宋体"/>
          <w:b w:val="0"/>
          <w:bCs/>
          <w:spacing w:val="4"/>
          <w:sz w:val="24"/>
          <w:szCs w:val="24"/>
          <w:highlight w:val="none"/>
          <w:lang w:val="en-US" w:eastAsia="zh-CN"/>
        </w:rPr>
        <w:t>2.1</w:t>
      </w:r>
      <w:r>
        <w:rPr>
          <w:rFonts w:hint="eastAsia" w:ascii="宋体" w:hAnsi="宋体" w:eastAsia="宋体" w:cs="宋体"/>
          <w:b w:val="0"/>
          <w:bCs/>
          <w:spacing w:val="4"/>
          <w:sz w:val="24"/>
          <w:szCs w:val="24"/>
          <w:highlight w:val="none"/>
          <w:lang w:eastAsia="zh-CN"/>
        </w:rPr>
        <w:t>谈判小组发现供应商的报价明显低于其他通过符合性审查的供应商的报价，有可能影响产品质量或者不能诚信履约的，</w:t>
      </w:r>
      <w:r>
        <w:rPr>
          <w:rFonts w:hint="eastAsia" w:ascii="宋体" w:hAnsi="宋体" w:eastAsia="宋体" w:cs="宋体"/>
          <w:b w:val="0"/>
          <w:bCs/>
          <w:spacing w:val="4"/>
          <w:sz w:val="24"/>
          <w:szCs w:val="24"/>
          <w:highlight w:val="none"/>
          <w:lang w:val="en-US" w:eastAsia="zh-CN"/>
        </w:rPr>
        <w:t>应当要求其在谈判现场合理的时间内做出书面说明，必要时提交相关证明材料。供应商不能证明其报价合理性的，谈判小组应当将其作为无效响应处理。</w:t>
      </w:r>
    </w:p>
    <w:p>
      <w:pPr>
        <w:keepNext w:val="0"/>
        <w:keepLines w:val="0"/>
        <w:pageBreakBefore w:val="0"/>
        <w:widowControl w:val="0"/>
        <w:kinsoku/>
        <w:wordWrap/>
        <w:overflowPunct/>
        <w:topLinePunct w:val="0"/>
        <w:autoSpaceDE/>
        <w:autoSpaceDN/>
        <w:bidi w:val="0"/>
        <w:spacing w:line="360" w:lineRule="auto"/>
        <w:ind w:right="0" w:rightChars="0" w:firstLine="480" w:firstLineChars="200"/>
        <w:jc w:val="both"/>
        <w:textAlignment w:val="auto"/>
        <w:outlineLvl w:val="9"/>
        <w:rPr>
          <w:rFonts w:hint="eastAsia" w:ascii="宋体" w:hAnsi="宋体" w:eastAsia="宋体" w:cs="宋体"/>
          <w:b w:val="0"/>
          <w:bCs/>
          <w:spacing w:val="4"/>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.2有效的书面澄清材料，是</w:t>
      </w:r>
      <w:r>
        <w:rPr>
          <w:rFonts w:hint="eastAsia" w:ascii="宋体" w:hAnsi="宋体" w:eastAsia="宋体" w:cs="宋体"/>
          <w:color w:val="000000"/>
          <w:sz w:val="24"/>
          <w:szCs w:val="24"/>
          <w:highlight w:val="none"/>
          <w:lang w:eastAsia="zh-CN"/>
        </w:rPr>
        <w:t>谈判响应</w:t>
      </w:r>
      <w:r>
        <w:rPr>
          <w:rFonts w:hint="eastAsia" w:ascii="宋体" w:hAnsi="宋体" w:eastAsia="宋体" w:cs="宋体"/>
          <w:color w:val="000000"/>
          <w:sz w:val="24"/>
          <w:szCs w:val="24"/>
          <w:highlight w:val="none"/>
        </w:rPr>
        <w:t>文件的补充材料，成为</w:t>
      </w:r>
      <w:r>
        <w:rPr>
          <w:rFonts w:hint="eastAsia" w:ascii="宋体" w:hAnsi="宋体" w:eastAsia="宋体" w:cs="宋体"/>
          <w:color w:val="000000"/>
          <w:sz w:val="24"/>
          <w:szCs w:val="24"/>
          <w:highlight w:val="none"/>
          <w:lang w:eastAsia="zh-CN"/>
        </w:rPr>
        <w:t>谈判响应</w:t>
      </w:r>
      <w:r>
        <w:rPr>
          <w:rFonts w:hint="eastAsia" w:ascii="宋体" w:hAnsi="宋体" w:eastAsia="宋体" w:cs="宋体"/>
          <w:color w:val="000000"/>
          <w:sz w:val="24"/>
          <w:szCs w:val="24"/>
          <w:highlight w:val="none"/>
        </w:rPr>
        <w:t>文件的组成部分。</w:t>
      </w:r>
    </w:p>
    <w:p>
      <w:pPr>
        <w:pStyle w:val="10"/>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3、谈判</w:t>
      </w:r>
    </w:p>
    <w:p>
      <w:pPr>
        <w:pStyle w:val="10"/>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bCs/>
          <w:spacing w:val="4"/>
          <w:sz w:val="24"/>
          <w:szCs w:val="24"/>
          <w:highlight w:val="none"/>
        </w:rPr>
      </w:pPr>
      <w:r>
        <w:rPr>
          <w:rFonts w:hint="eastAsia" w:ascii="宋体" w:hAnsi="宋体" w:eastAsia="宋体" w:cs="宋体"/>
          <w:sz w:val="24"/>
          <w:szCs w:val="24"/>
          <w:highlight w:val="none"/>
        </w:rPr>
        <w:t>谈判小组所有成员集中与单一供应商分别进行谈判，并要求供应商在规定的时间内提交最后报价。</w:t>
      </w:r>
    </w:p>
    <w:p>
      <w:pPr>
        <w:pStyle w:val="10"/>
        <w:keepNext w:val="0"/>
        <w:keepLines w:val="0"/>
        <w:pageBreakBefore w:val="0"/>
        <w:widowControl w:val="0"/>
        <w:kinsoku/>
        <w:wordWrap/>
        <w:overflowPunct/>
        <w:topLinePunct w:val="0"/>
        <w:autoSpaceDE/>
        <w:autoSpaceDN/>
        <w:bidi w:val="0"/>
        <w:spacing w:line="360" w:lineRule="auto"/>
        <w:ind w:firstLine="498" w:firstLineChars="200"/>
        <w:textAlignment w:val="auto"/>
        <w:outlineLvl w:val="9"/>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4、推荐成交候选人</w:t>
      </w:r>
    </w:p>
    <w:p>
      <w:pPr>
        <w:pStyle w:val="10"/>
        <w:keepNext w:val="0"/>
        <w:keepLines w:val="0"/>
        <w:pageBreakBefore w:val="0"/>
        <w:widowControl w:val="0"/>
        <w:kinsoku/>
        <w:wordWrap/>
        <w:overflowPunct/>
        <w:topLinePunct w:val="0"/>
        <w:autoSpaceDE/>
        <w:autoSpaceDN/>
        <w:bidi w:val="0"/>
        <w:spacing w:line="360" w:lineRule="auto"/>
        <w:ind w:firstLine="496" w:firstLineChars="200"/>
        <w:textAlignment w:val="auto"/>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由谈判小组依据谈判响应文件，从质量和服务均能满足谈判文件要求的供应商中，按照最后报价由低到高的顺序依次排序，推荐成交候选人。谈判报价相同的，按照技术指标优劣顺序排序或由全体谈判小组成员无记名投票，得票高者排序在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四</w:t>
      </w:r>
      <w:r>
        <w:rPr>
          <w:rFonts w:hint="eastAsia" w:ascii="宋体" w:hAnsi="宋体" w:eastAsia="宋体" w:cs="宋体"/>
          <w:b/>
          <w:sz w:val="24"/>
          <w:szCs w:val="24"/>
          <w:highlight w:val="none"/>
        </w:rPr>
        <w:t>、政策性扣减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1政策性扣减范围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1.1供应商符合小型、微型企业或监狱企业</w:t>
      </w:r>
      <w:r>
        <w:rPr>
          <w:rFonts w:hint="eastAsia" w:ascii="宋体" w:hAnsi="宋体" w:eastAsia="宋体" w:cs="宋体"/>
          <w:sz w:val="24"/>
          <w:szCs w:val="24"/>
          <w:highlight w:val="none"/>
          <w:lang w:eastAsia="zh-CN"/>
        </w:rPr>
        <w:t>、残疾人福利性单位</w:t>
      </w:r>
      <w:r>
        <w:rPr>
          <w:rFonts w:hint="eastAsia" w:ascii="宋体" w:hAnsi="宋体" w:eastAsia="宋体" w:cs="宋体"/>
          <w:sz w:val="24"/>
          <w:szCs w:val="24"/>
          <w:highlight w:val="none"/>
        </w:rPr>
        <w:t>条件的，其</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报价价格评审时将按相应比例进行扣减。</w:t>
      </w:r>
    </w:p>
    <w:p>
      <w:pPr>
        <w:autoSpaceDE w:val="0"/>
        <w:autoSpaceDN w:val="0"/>
        <w:adjustRightInd w:val="0"/>
        <w:snapToGrid w:val="0"/>
        <w:spacing w:line="360" w:lineRule="auto"/>
        <w:ind w:firstLine="627"/>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i w:val="0"/>
          <w:caps w:val="0"/>
          <w:color w:val="auto"/>
          <w:spacing w:val="0"/>
          <w:sz w:val="24"/>
          <w:szCs w:val="24"/>
          <w:highlight w:val="none"/>
          <w:shd w:val="clear" w:color="auto" w:fill="FFFFFF"/>
        </w:rPr>
        <w:t>①.《政府采购促进中小企业</w:t>
      </w:r>
      <w:r>
        <w:rPr>
          <w:rFonts w:hint="eastAsia" w:ascii="宋体" w:hAnsi="宋体" w:eastAsia="宋体" w:cs="宋体"/>
          <w:i w:val="0"/>
          <w:caps w:val="0"/>
          <w:color w:val="auto"/>
          <w:spacing w:val="0"/>
          <w:sz w:val="24"/>
          <w:szCs w:val="24"/>
          <w:highlight w:val="none"/>
          <w:shd w:val="clear" w:color="auto" w:fill="FFFFFF"/>
          <w:lang w:eastAsia="zh-CN"/>
        </w:rPr>
        <w:t>发展管理</w:t>
      </w:r>
      <w:r>
        <w:rPr>
          <w:rFonts w:hint="eastAsia" w:ascii="宋体" w:hAnsi="宋体" w:eastAsia="宋体" w:cs="宋体"/>
          <w:i w:val="0"/>
          <w:caps w:val="0"/>
          <w:color w:val="auto"/>
          <w:spacing w:val="0"/>
          <w:sz w:val="24"/>
          <w:szCs w:val="24"/>
          <w:highlight w:val="none"/>
          <w:shd w:val="clear" w:color="auto" w:fill="FFFFFF"/>
        </w:rPr>
        <w:t>办法》的通知--</w:t>
      </w:r>
      <w:r>
        <w:rPr>
          <w:rFonts w:hint="eastAsia" w:ascii="宋体" w:hAnsi="宋体" w:eastAsia="宋体" w:cs="宋体"/>
          <w:i w:val="0"/>
          <w:caps w:val="0"/>
          <w:color w:val="auto"/>
          <w:spacing w:val="0"/>
          <w:sz w:val="24"/>
          <w:szCs w:val="24"/>
          <w:highlight w:val="none"/>
          <w:shd w:val="clear" w:color="auto" w:fill="FFFFFF"/>
          <w:lang w:eastAsia="zh-CN"/>
        </w:rPr>
        <w:t>（财库﹝2020﹞46 号）</w:t>
      </w:r>
      <w:r>
        <w:rPr>
          <w:rFonts w:hint="eastAsia" w:ascii="宋体" w:hAnsi="宋体" w:eastAsia="宋体" w:cs="宋体"/>
          <w:i w:val="0"/>
          <w:caps w:val="0"/>
          <w:color w:val="auto"/>
          <w:spacing w:val="0"/>
          <w:sz w:val="24"/>
          <w:szCs w:val="24"/>
          <w:highlight w:val="none"/>
          <w:shd w:val="clear" w:color="auto" w:fill="FFFFFF"/>
        </w:rPr>
        <w:t>；</w:t>
      </w:r>
    </w:p>
    <w:p>
      <w:pPr>
        <w:autoSpaceDE w:val="0"/>
        <w:autoSpaceDN w:val="0"/>
        <w:adjustRightInd w:val="0"/>
        <w:snapToGrid w:val="0"/>
        <w:spacing w:line="360" w:lineRule="auto"/>
        <w:ind w:firstLine="627"/>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i w:val="0"/>
          <w:caps w:val="0"/>
          <w:color w:val="auto"/>
          <w:spacing w:val="0"/>
          <w:sz w:val="24"/>
          <w:szCs w:val="24"/>
          <w:highlight w:val="none"/>
          <w:shd w:val="clear" w:color="auto" w:fill="FFFFFF"/>
        </w:rPr>
        <w:t>②.财政部司法部关于政府采购支持监狱企业发展有关问题的通知--财库〔2014〕68号；</w:t>
      </w:r>
    </w:p>
    <w:p>
      <w:pPr>
        <w:autoSpaceDE w:val="0"/>
        <w:autoSpaceDN w:val="0"/>
        <w:adjustRightInd w:val="0"/>
        <w:snapToGrid w:val="0"/>
        <w:spacing w:line="360" w:lineRule="auto"/>
        <w:ind w:firstLine="627"/>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i w:val="0"/>
          <w:caps w:val="0"/>
          <w:color w:val="auto"/>
          <w:spacing w:val="0"/>
          <w:sz w:val="24"/>
          <w:szCs w:val="24"/>
          <w:highlight w:val="none"/>
          <w:shd w:val="clear" w:color="auto" w:fill="FFFFFF"/>
        </w:rPr>
        <w:t>③.《国务院办公厅关于建立政府强制采购节能产品制度的通知》--国办发〔２００７〕５１号；</w:t>
      </w:r>
    </w:p>
    <w:p>
      <w:pPr>
        <w:autoSpaceDE w:val="0"/>
        <w:autoSpaceDN w:val="0"/>
        <w:adjustRightInd w:val="0"/>
        <w:snapToGrid w:val="0"/>
        <w:spacing w:line="360" w:lineRule="auto"/>
        <w:ind w:firstLine="627"/>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i w:val="0"/>
          <w:caps w:val="0"/>
          <w:color w:val="auto"/>
          <w:spacing w:val="0"/>
          <w:sz w:val="24"/>
          <w:szCs w:val="24"/>
          <w:highlight w:val="none"/>
          <w:shd w:val="clear" w:color="auto" w:fill="FFFFFF"/>
        </w:rPr>
        <w:t>④.《节能产品政府采购实施意见》--（财库</w:t>
      </w: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ascii="宋体" w:hAnsi="宋体" w:eastAsia="宋体" w:cs="宋体"/>
          <w:i w:val="0"/>
          <w:caps w:val="0"/>
          <w:color w:val="auto"/>
          <w:spacing w:val="0"/>
          <w:sz w:val="24"/>
          <w:szCs w:val="24"/>
          <w:highlight w:val="none"/>
          <w:shd w:val="clear" w:color="auto" w:fill="FFFFFF"/>
        </w:rPr>
        <w:t>2004</w:t>
      </w: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ascii="宋体" w:hAnsi="宋体" w:eastAsia="宋体" w:cs="宋体"/>
          <w:i w:val="0"/>
          <w:caps w:val="0"/>
          <w:color w:val="auto"/>
          <w:spacing w:val="0"/>
          <w:sz w:val="24"/>
          <w:szCs w:val="24"/>
          <w:highlight w:val="none"/>
          <w:shd w:val="clear" w:color="auto" w:fill="FFFFFF"/>
        </w:rPr>
        <w:t>185号）；</w:t>
      </w:r>
    </w:p>
    <w:p>
      <w:pPr>
        <w:autoSpaceDE w:val="0"/>
        <w:autoSpaceDN w:val="0"/>
        <w:adjustRightInd w:val="0"/>
        <w:snapToGrid w:val="0"/>
        <w:spacing w:line="360" w:lineRule="auto"/>
        <w:ind w:firstLine="627"/>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i w:val="0"/>
          <w:caps w:val="0"/>
          <w:color w:val="auto"/>
          <w:spacing w:val="0"/>
          <w:sz w:val="24"/>
          <w:szCs w:val="24"/>
          <w:highlight w:val="none"/>
          <w:shd w:val="clear" w:color="auto" w:fill="FFFFFF"/>
        </w:rPr>
        <w:t>⑤.《环境标志产品政府采购实施的意见》--财库</w:t>
      </w: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ascii="宋体" w:hAnsi="宋体" w:eastAsia="宋体" w:cs="宋体"/>
          <w:i w:val="0"/>
          <w:caps w:val="0"/>
          <w:color w:val="auto"/>
          <w:spacing w:val="0"/>
          <w:sz w:val="24"/>
          <w:szCs w:val="24"/>
          <w:highlight w:val="none"/>
          <w:shd w:val="clear" w:color="auto" w:fill="FFFFFF"/>
        </w:rPr>
        <w:t>2006</w:t>
      </w: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ascii="宋体" w:hAnsi="宋体" w:eastAsia="宋体" w:cs="宋体"/>
          <w:i w:val="0"/>
          <w:caps w:val="0"/>
          <w:color w:val="auto"/>
          <w:spacing w:val="0"/>
          <w:sz w:val="24"/>
          <w:szCs w:val="24"/>
          <w:highlight w:val="none"/>
          <w:shd w:val="clear" w:color="auto" w:fill="FFFFFF"/>
        </w:rPr>
        <w:t>90号；</w:t>
      </w:r>
    </w:p>
    <w:p>
      <w:pPr>
        <w:autoSpaceDE w:val="0"/>
        <w:autoSpaceDN w:val="0"/>
        <w:adjustRightInd w:val="0"/>
        <w:snapToGrid w:val="0"/>
        <w:spacing w:line="360" w:lineRule="auto"/>
        <w:ind w:firstLine="627"/>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i w:val="0"/>
          <w:caps w:val="0"/>
          <w:color w:val="auto"/>
          <w:spacing w:val="0"/>
          <w:sz w:val="24"/>
          <w:szCs w:val="24"/>
          <w:highlight w:val="none"/>
          <w:shd w:val="clear" w:color="auto" w:fill="FFFFFF"/>
        </w:rPr>
        <w:t>⑥.三部门联合发布关于促进残疾人就业政府采购政策的通知财库〔2017〕141号；</w:t>
      </w:r>
    </w:p>
    <w:p>
      <w:pPr>
        <w:autoSpaceDE w:val="0"/>
        <w:autoSpaceDN w:val="0"/>
        <w:adjustRightInd w:val="0"/>
        <w:snapToGrid w:val="0"/>
        <w:spacing w:line="360" w:lineRule="auto"/>
        <w:ind w:firstLine="627"/>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i w:val="0"/>
          <w:caps w:val="0"/>
          <w:color w:val="auto"/>
          <w:spacing w:val="0"/>
          <w:sz w:val="24"/>
          <w:szCs w:val="24"/>
          <w:highlight w:val="none"/>
          <w:shd w:val="clear" w:color="auto" w:fill="FFFFFF"/>
        </w:rPr>
        <w:t>⑦.《财政部 发展改革委 生态环境部 市场监管总局关于调整优化节能产品、环境标志产品政府采购执行机制的通知》--（财库〔2019〕9号）；</w:t>
      </w:r>
    </w:p>
    <w:p>
      <w:pPr>
        <w:autoSpaceDE w:val="0"/>
        <w:autoSpaceDN w:val="0"/>
        <w:adjustRightInd w:val="0"/>
        <w:snapToGrid w:val="0"/>
        <w:spacing w:line="360" w:lineRule="auto"/>
        <w:ind w:firstLine="627"/>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i w:val="0"/>
          <w:caps w:val="0"/>
          <w:color w:val="auto"/>
          <w:spacing w:val="0"/>
          <w:sz w:val="24"/>
          <w:szCs w:val="24"/>
          <w:highlight w:val="none"/>
          <w:shd w:val="clear" w:color="auto" w:fill="FFFFFF"/>
        </w:rPr>
        <w:t>⑧.《财政部 国务院扶贫办关于运用政府采购政策支持脱贫攻坚的通知》--（财库〔2019〕27号）</w:t>
      </w:r>
      <w:r>
        <w:rPr>
          <w:rFonts w:hint="eastAsia" w:ascii="宋体" w:hAnsi="宋体" w:eastAsia="宋体" w:cs="宋体"/>
          <w:i w:val="0"/>
          <w:caps w:val="0"/>
          <w:color w:val="auto"/>
          <w:spacing w:val="0"/>
          <w:sz w:val="24"/>
          <w:szCs w:val="24"/>
          <w:highlight w:val="none"/>
          <w:shd w:val="clear" w:color="auto" w:fill="FFFFFF"/>
          <w:lang w:eastAsia="zh-CN"/>
        </w:rPr>
        <w:t>；</w:t>
      </w:r>
    </w:p>
    <w:p>
      <w:pPr>
        <w:autoSpaceDE w:val="0"/>
        <w:autoSpaceDN w:val="0"/>
        <w:adjustRightInd w:val="0"/>
        <w:snapToGrid w:val="0"/>
        <w:spacing w:line="360" w:lineRule="auto"/>
        <w:ind w:firstLine="627"/>
        <w:rPr>
          <w:rFonts w:hint="eastAsia" w:ascii="宋体" w:hAnsi="宋体" w:eastAsia="宋体" w:cs="宋体"/>
          <w:color w:val="auto"/>
          <w:sz w:val="24"/>
          <w:szCs w:val="24"/>
          <w:highlight w:val="none"/>
          <w:lang w:val="zh-CN" w:eastAsia="zh-CN"/>
        </w:rPr>
      </w:pPr>
      <w:r>
        <w:rPr>
          <w:rFonts w:hint="eastAsia" w:ascii="宋体" w:hAnsi="宋体" w:eastAsia="宋体" w:cs="宋体"/>
          <w:bCs/>
          <w:color w:val="333333"/>
          <w:sz w:val="24"/>
          <w:szCs w:val="32"/>
          <w:highlight w:val="none"/>
          <w:shd w:val="clear" w:color="auto" w:fill="FFFFFF"/>
          <w:lang w:val="en-US" w:eastAsia="zh-CN"/>
        </w:rPr>
        <w:t>⑨</w:t>
      </w:r>
      <w:r>
        <w:rPr>
          <w:rFonts w:hint="eastAsia" w:ascii="宋体" w:hAnsi="宋体" w:eastAsia="宋体" w:cs="宋体"/>
          <w:bCs/>
          <w:color w:val="333333"/>
          <w:sz w:val="24"/>
          <w:szCs w:val="32"/>
          <w:highlight w:val="none"/>
          <w:shd w:val="clear" w:color="auto" w:fill="FFFFFF"/>
          <w:lang w:eastAsia="zh-CN"/>
        </w:rPr>
        <w:t>《关于进一步加大政府采购支持中小企业力度的通知》（财库﹝2022﹞19号）</w:t>
      </w:r>
      <w:r>
        <w:rPr>
          <w:rFonts w:hint="eastAsia" w:ascii="宋体" w:hAnsi="宋体" w:eastAsia="宋体" w:cs="宋体"/>
          <w:i w:val="0"/>
          <w:caps w:val="0"/>
          <w:color w:val="auto"/>
          <w:spacing w:val="0"/>
          <w:sz w:val="24"/>
          <w:szCs w:val="24"/>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2、政策性扣减方式：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2.1供应商为非联合体参与</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的情况：在</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最终报价的基础上，对小微企业、监狱企业、残疾人福利性单位，按“</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%”进行扣减；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为联合体参与</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且联合协议中约定小型或微型企业的协议合同金额占到联合体协议合同总金额30％以上的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%”进行扣减；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2.3小微企业、监狱企业、残疾人福利性单位不重复享受优惠政策；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4谈判产品属于优先采购的节能产品范围的，须按照本章“四、政策性扣减 1、政策性扣减范围第1.3.2条规定提供相应的证明材料，每提供一个</w:t>
      </w:r>
      <w:r>
        <w:rPr>
          <w:rFonts w:hint="eastAsia" w:ascii="宋体" w:hAnsi="宋体" w:eastAsia="宋体" w:cs="宋体"/>
          <w:b w:val="0"/>
          <w:bCs w:val="0"/>
          <w:color w:val="auto"/>
          <w:sz w:val="24"/>
          <w:szCs w:val="24"/>
          <w:highlight w:val="none"/>
        </w:rPr>
        <w:t>按“</w:t>
      </w:r>
      <w:r>
        <w:rPr>
          <w:rFonts w:hint="eastAsia" w:ascii="宋体" w:hAnsi="宋体" w:eastAsia="宋体" w:cs="宋体"/>
          <w:b w:val="0"/>
          <w:bCs w:val="0"/>
          <w:color w:val="auto"/>
          <w:sz w:val="24"/>
          <w:szCs w:val="24"/>
          <w:highlight w:val="none"/>
          <w:lang w:eastAsia="zh-CN"/>
        </w:rPr>
        <w:t>总</w:t>
      </w:r>
      <w:r>
        <w:rPr>
          <w:rFonts w:hint="eastAsia" w:ascii="宋体" w:hAnsi="宋体" w:eastAsia="宋体" w:cs="宋体"/>
          <w:b w:val="0"/>
          <w:bCs w:val="0"/>
          <w:color w:val="auto"/>
          <w:sz w:val="24"/>
          <w:szCs w:val="24"/>
          <w:highlight w:val="none"/>
        </w:rPr>
        <w:t>报价×</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%”进行扣减；</w:t>
      </w:r>
      <w:r>
        <w:rPr>
          <w:rFonts w:hint="eastAsia" w:ascii="宋体" w:hAnsi="宋体" w:eastAsia="宋体" w:cs="宋体"/>
          <w:b w:val="0"/>
          <w:bCs w:val="0"/>
          <w:color w:val="auto"/>
          <w:sz w:val="24"/>
          <w:szCs w:val="24"/>
          <w:highlight w:val="none"/>
          <w:lang w:eastAsia="zh-CN"/>
        </w:rPr>
        <w:t>本项最高扣减不超过</w:t>
      </w:r>
      <w:r>
        <w:rPr>
          <w:rFonts w:hint="eastAsia" w:ascii="宋体" w:hAnsi="宋体" w:eastAsia="宋体" w:cs="宋体"/>
          <w:b w:val="0"/>
          <w:bCs w:val="0"/>
          <w:color w:val="auto"/>
          <w:sz w:val="24"/>
          <w:szCs w:val="24"/>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2.5、环境标志产品范围的，须按照本章“四、政策性扣减 1、政策性扣减范围规定提供相应的证明材料，每提供一个</w:t>
      </w:r>
      <w:r>
        <w:rPr>
          <w:rFonts w:hint="eastAsia" w:ascii="宋体" w:hAnsi="宋体" w:eastAsia="宋体" w:cs="宋体"/>
          <w:b w:val="0"/>
          <w:bCs w:val="0"/>
          <w:color w:val="auto"/>
          <w:sz w:val="24"/>
          <w:szCs w:val="24"/>
          <w:highlight w:val="none"/>
        </w:rPr>
        <w:t>按“</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报价×</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%”进行扣减；</w:t>
      </w:r>
      <w:r>
        <w:rPr>
          <w:rFonts w:hint="eastAsia" w:ascii="宋体" w:hAnsi="宋体" w:eastAsia="宋体" w:cs="宋体"/>
          <w:b w:val="0"/>
          <w:bCs w:val="0"/>
          <w:color w:val="auto"/>
          <w:sz w:val="24"/>
          <w:szCs w:val="24"/>
          <w:highlight w:val="none"/>
          <w:lang w:eastAsia="zh-CN"/>
        </w:rPr>
        <w:t>本项最高扣减不超过</w:t>
      </w:r>
      <w:r>
        <w:rPr>
          <w:rFonts w:hint="eastAsia" w:ascii="宋体" w:hAnsi="宋体" w:eastAsia="宋体" w:cs="宋体"/>
          <w:b w:val="0"/>
          <w:bCs w:val="0"/>
          <w:color w:val="auto"/>
          <w:sz w:val="24"/>
          <w:szCs w:val="24"/>
          <w:highlight w:val="none"/>
          <w:lang w:val="en-US" w:eastAsia="zh-CN"/>
        </w:rPr>
        <w:t>2%；</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享受支持中小型企业发展政策优惠的，可以同时享受节能、环境标志产品优先采购政策。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3、成交价格=成交供应商的有效</w:t>
      </w:r>
      <w:r>
        <w:rPr>
          <w:rFonts w:hint="eastAsia" w:ascii="宋体" w:hAnsi="宋体" w:eastAsia="宋体" w:cs="宋体"/>
          <w:b/>
          <w:bCs/>
          <w:sz w:val="24"/>
          <w:szCs w:val="24"/>
          <w:highlight w:val="none"/>
          <w:lang w:eastAsia="zh-CN"/>
        </w:rPr>
        <w:t>谈判</w:t>
      </w:r>
      <w:r>
        <w:rPr>
          <w:rFonts w:hint="eastAsia" w:ascii="宋体" w:hAnsi="宋体" w:eastAsia="宋体" w:cs="宋体"/>
          <w:b/>
          <w:bCs/>
          <w:sz w:val="24"/>
          <w:szCs w:val="24"/>
          <w:highlight w:val="none"/>
        </w:rPr>
        <w:t>报价。</w:t>
      </w:r>
    </w:p>
    <w:p>
      <w:pPr>
        <w:keepNext w:val="0"/>
        <w:keepLines w:val="0"/>
        <w:pageBreakBefore w:val="0"/>
        <w:widowControl w:val="0"/>
        <w:kinsoku/>
        <w:wordWrap/>
        <w:overflowPunct/>
        <w:topLinePunct w:val="0"/>
        <w:autoSpaceDE/>
        <w:autoSpaceDN/>
        <w:bidi w:val="0"/>
        <w:adjustRightInd/>
        <w:snapToGrid/>
        <w:spacing w:after="120" w:afterLines="50" w:line="360" w:lineRule="auto"/>
        <w:ind w:left="0" w:leftChars="0" w:right="0" w:rightChars="0"/>
        <w:jc w:val="both"/>
        <w:textAlignment w:val="auto"/>
        <w:outlineLvl w:val="9"/>
        <w:rPr>
          <w:rFonts w:hint="eastAsia" w:ascii="宋体" w:hAnsi="宋体" w:eastAsia="宋体" w:cs="宋体"/>
          <w:b/>
          <w:color w:val="FF0000"/>
          <w:kern w:val="0"/>
          <w:sz w:val="24"/>
          <w:szCs w:val="24"/>
          <w:highlight w:val="none"/>
          <w:lang w:eastAsia="zh-CN"/>
        </w:rPr>
      </w:pPr>
      <w:r>
        <w:rPr>
          <w:rFonts w:hint="eastAsia" w:ascii="宋体" w:hAnsi="宋体" w:eastAsia="宋体" w:cs="宋体"/>
          <w:b/>
          <w:kern w:val="0"/>
          <w:sz w:val="24"/>
          <w:szCs w:val="24"/>
          <w:highlight w:val="none"/>
          <w:lang w:eastAsia="zh-CN"/>
        </w:rPr>
        <w:t>五</w:t>
      </w:r>
      <w:r>
        <w:rPr>
          <w:rFonts w:hint="eastAsia" w:ascii="宋体" w:hAnsi="宋体" w:eastAsia="宋体" w:cs="宋体"/>
          <w:b/>
          <w:kern w:val="0"/>
          <w:sz w:val="24"/>
          <w:szCs w:val="24"/>
          <w:highlight w:val="none"/>
        </w:rPr>
        <w:t>、</w:t>
      </w:r>
      <w:r>
        <w:rPr>
          <w:rFonts w:hint="eastAsia" w:ascii="宋体" w:hAnsi="宋体" w:eastAsia="宋体" w:cs="宋体"/>
          <w:b/>
          <w:color w:val="auto"/>
          <w:kern w:val="0"/>
          <w:sz w:val="24"/>
          <w:szCs w:val="24"/>
          <w:highlight w:val="none"/>
          <w:lang w:eastAsia="zh-CN"/>
        </w:rPr>
        <w:t>成交</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1、谈判结果报告由谈判小组签字确认。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2、采购人根据谈判结果报告中推荐的成交候选人排列顺序确定</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，以复函通知采购代理</w:t>
      </w:r>
      <w:r>
        <w:rPr>
          <w:rFonts w:hint="eastAsia" w:ascii="宋体" w:hAnsi="宋体" w:eastAsia="宋体" w:cs="宋体"/>
          <w:sz w:val="24"/>
          <w:szCs w:val="24"/>
          <w:highlight w:val="none"/>
          <w:lang w:eastAsia="zh-CN"/>
        </w:rPr>
        <w:t>机构</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pacing w:val="4"/>
          <w:kern w:val="2"/>
          <w:sz w:val="24"/>
          <w:szCs w:val="24"/>
          <w:highlight w:val="none"/>
          <w:lang w:val="en-US" w:eastAsia="zh-CN" w:bidi="ar-SA"/>
        </w:rPr>
      </w:pPr>
      <w:r>
        <w:rPr>
          <w:rFonts w:hint="eastAsia" w:ascii="宋体" w:hAnsi="宋体" w:eastAsia="宋体" w:cs="宋体"/>
          <w:b/>
          <w:bCs/>
          <w:color w:val="auto"/>
          <w:spacing w:val="4"/>
          <w:kern w:val="2"/>
          <w:sz w:val="24"/>
          <w:szCs w:val="24"/>
          <w:highlight w:val="none"/>
          <w:lang w:val="en-US" w:eastAsia="zh-CN" w:bidi="ar-SA"/>
        </w:rPr>
        <w:t>六、特殊情况的处理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hint="eastAsia" w:ascii="宋体" w:hAnsi="宋体" w:eastAsia="宋体" w:cs="宋体"/>
          <w:b w:val="0"/>
          <w:bCs w:val="0"/>
          <w:color w:val="auto"/>
          <w:spacing w:val="4"/>
          <w:kern w:val="2"/>
          <w:sz w:val="24"/>
          <w:szCs w:val="24"/>
          <w:highlight w:val="none"/>
          <w:lang w:val="en-US" w:eastAsia="zh-CN" w:bidi="ar-SA"/>
        </w:rPr>
      </w:pPr>
      <w:r>
        <w:rPr>
          <w:rFonts w:hint="eastAsia" w:ascii="宋体" w:hAnsi="宋体" w:eastAsia="宋体" w:cs="宋体"/>
          <w:b w:val="0"/>
          <w:bCs w:val="0"/>
          <w:color w:val="auto"/>
          <w:spacing w:val="4"/>
          <w:kern w:val="2"/>
          <w:sz w:val="24"/>
          <w:szCs w:val="24"/>
          <w:highlight w:val="none"/>
          <w:lang w:val="en-US" w:eastAsia="zh-CN" w:bidi="ar-SA"/>
        </w:rPr>
        <w:t>谈判过程中，若出现本评审方法以外的特殊情况时，将暂停评审，待谈判小组商榷后，再进行评定。</w:t>
      </w:r>
    </w:p>
    <w:p>
      <w:pPr>
        <w:pStyle w:val="9"/>
        <w:rPr>
          <w:rFonts w:hint="eastAsia" w:ascii="宋体" w:hAnsi="宋体" w:eastAsia="宋体" w:cs="宋体"/>
          <w:szCs w:val="24"/>
          <w:highlight w:val="none"/>
          <w:lang w:val="en-US" w:eastAsia="zh-CN"/>
        </w:rPr>
      </w:pPr>
      <w:bookmarkStart w:id="63" w:name="_Toc409690878"/>
      <w:bookmarkStart w:id="64" w:name="_Toc1474"/>
      <w:bookmarkStart w:id="65" w:name="_Toc24123"/>
      <w:bookmarkStart w:id="66" w:name="_Toc425781313"/>
      <w:r>
        <w:rPr>
          <w:rFonts w:hint="eastAsia" w:ascii="宋体" w:hAnsi="宋体" w:eastAsia="宋体" w:cs="宋体"/>
          <w:b/>
          <w:bCs/>
          <w:sz w:val="24"/>
          <w:szCs w:val="24"/>
          <w:highlight w:val="none"/>
          <w:lang w:eastAsia="zh-CN"/>
        </w:rPr>
        <w:t>附件</w:t>
      </w:r>
      <w:r>
        <w:rPr>
          <w:rFonts w:hint="eastAsia" w:ascii="宋体" w:hAnsi="宋体" w:eastAsia="宋体" w:cs="宋体"/>
          <w:b/>
          <w:bCs/>
          <w:sz w:val="24"/>
          <w:szCs w:val="24"/>
          <w:highlight w:val="none"/>
          <w:lang w:val="en-US" w:eastAsia="zh-CN"/>
        </w:rPr>
        <w:t>1：</w:t>
      </w:r>
    </w:p>
    <w:p>
      <w:pPr>
        <w:pStyle w:val="9"/>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初步审查要素表</w:t>
      </w:r>
    </w:p>
    <w:tbl>
      <w:tblPr>
        <w:tblStyle w:val="2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33"/>
        <w:gridCol w:w="1953"/>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条款号</w:t>
            </w:r>
          </w:p>
        </w:tc>
        <w:tc>
          <w:tcPr>
            <w:tcW w:w="1953" w:type="dxa"/>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评审因素</w:t>
            </w:r>
          </w:p>
        </w:tc>
        <w:tc>
          <w:tcPr>
            <w:tcW w:w="6645" w:type="dxa"/>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vMerge w:val="restart"/>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2.1.1</w:t>
            </w:r>
          </w:p>
        </w:tc>
        <w:tc>
          <w:tcPr>
            <w:tcW w:w="633" w:type="dxa"/>
            <w:vMerge w:val="restart"/>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资格评审</w:t>
            </w:r>
          </w:p>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标准</w:t>
            </w:r>
          </w:p>
        </w:tc>
        <w:tc>
          <w:tcPr>
            <w:tcW w:w="1953" w:type="dxa"/>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营业执照等主体资格证明文件</w:t>
            </w:r>
          </w:p>
        </w:tc>
        <w:tc>
          <w:tcPr>
            <w:tcW w:w="6645" w:type="dxa"/>
            <w:vAlign w:val="center"/>
          </w:tcPr>
          <w:p>
            <w:pPr>
              <w:tabs>
                <w:tab w:val="left" w:pos="0"/>
              </w:tabs>
              <w:adjustRightInd w:val="0"/>
              <w:snapToGrid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i w:val="0"/>
                <w:caps w:val="0"/>
                <w:color w:val="auto"/>
                <w:spacing w:val="0"/>
                <w:sz w:val="24"/>
                <w:szCs w:val="24"/>
                <w:highlight w:val="none"/>
                <w:shd w:val="clear" w:color="auto" w:fill="FFFFFF"/>
                <w:lang w:val="en-US" w:eastAsia="zh-CN"/>
              </w:rPr>
              <w:t>具有独立承担民事责任能力的法人或其他组织，提供有效存续的营业执照或事业单位法人证书或非企业专业服务机构执业许可证或民办非企业单位登记证书或自然人的身份证明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633"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1953" w:type="dxa"/>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val="0"/>
                <w:color w:val="auto"/>
                <w:sz w:val="24"/>
                <w:szCs w:val="24"/>
                <w:highlight w:val="none"/>
              </w:rPr>
              <w:t>财务状况报告</w:t>
            </w:r>
          </w:p>
        </w:tc>
        <w:tc>
          <w:tcPr>
            <w:tcW w:w="6645" w:type="dxa"/>
            <w:vAlign w:val="center"/>
          </w:tcPr>
          <w:p>
            <w:pPr>
              <w:tabs>
                <w:tab w:val="left" w:pos="0"/>
              </w:tabs>
              <w:adjustRightInd w:val="0"/>
              <w:snapToGrid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i w:val="0"/>
                <w:caps w:val="0"/>
                <w:color w:val="auto"/>
                <w:spacing w:val="0"/>
                <w:sz w:val="24"/>
                <w:szCs w:val="24"/>
                <w:highlight w:val="none"/>
                <w:shd w:val="clear" w:color="auto" w:fill="FFFFFF"/>
                <w:lang w:val="en-US" w:eastAsia="zh-CN"/>
              </w:rPr>
              <w:t>提供经审计的2020年或2021年财务报告，包括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633"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1953" w:type="dxa"/>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val="0"/>
                <w:color w:val="auto"/>
                <w:sz w:val="24"/>
                <w:szCs w:val="24"/>
                <w:highlight w:val="none"/>
                <w:lang w:eastAsia="zh-CN"/>
              </w:rPr>
              <w:t>税收缴纳证明</w:t>
            </w:r>
          </w:p>
        </w:tc>
        <w:tc>
          <w:tcPr>
            <w:tcW w:w="6645" w:type="dxa"/>
            <w:vAlign w:val="center"/>
          </w:tcPr>
          <w:p>
            <w:pPr>
              <w:tabs>
                <w:tab w:val="left" w:pos="0"/>
              </w:tabs>
              <w:adjustRightInd w:val="0"/>
              <w:snapToGrid w:val="0"/>
              <w:spacing w:line="360" w:lineRule="auto"/>
              <w:jc w:val="left"/>
              <w:rPr>
                <w:rFonts w:hint="eastAsia" w:ascii="宋体" w:hAnsi="宋体" w:eastAsia="宋体" w:cs="宋体"/>
                <w:b w:val="0"/>
                <w:bCs/>
                <w:color w:val="auto"/>
                <w:sz w:val="24"/>
                <w:szCs w:val="24"/>
                <w:highlight w:val="none"/>
              </w:rPr>
            </w:pPr>
            <w:r>
              <w:rPr>
                <w:rFonts w:hint="eastAsia" w:ascii="宋体" w:hAnsi="宋体" w:cs="宋体"/>
                <w:i w:val="0"/>
                <w:caps w:val="0"/>
                <w:color w:val="auto"/>
                <w:spacing w:val="0"/>
                <w:sz w:val="24"/>
                <w:szCs w:val="24"/>
                <w:highlight w:val="none"/>
                <w:shd w:val="clear" w:color="auto" w:fill="FFFFFF"/>
                <w:lang w:val="en-US" w:eastAsia="zh-CN"/>
              </w:rPr>
              <w:t>提供已缴纳的2021年8月至今</w:t>
            </w:r>
            <w:r>
              <w:rPr>
                <w:rFonts w:hint="eastAsia" w:ascii="宋体" w:hAnsi="宋体" w:eastAsia="宋体" w:cs="宋体"/>
                <w:i w:val="0"/>
                <w:caps w:val="0"/>
                <w:color w:val="auto"/>
                <w:spacing w:val="0"/>
                <w:sz w:val="24"/>
                <w:szCs w:val="24"/>
                <w:highlight w:val="none"/>
                <w:shd w:val="clear" w:color="auto" w:fill="FFFFFF"/>
                <w:lang w:val="en-US" w:eastAsia="zh-CN"/>
              </w:rPr>
              <w:t>任意一个月的纳税证明或完税证明，纳税证明或完税证明上应有代收机构或税务机关的公章。依法免税的供应商应提供相关文件证明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633"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1953" w:type="dxa"/>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履约能力</w:t>
            </w:r>
            <w:r>
              <w:rPr>
                <w:rFonts w:hint="eastAsia" w:ascii="宋体" w:hAnsi="宋体" w:eastAsia="宋体" w:cs="宋体"/>
                <w:b w:val="0"/>
                <w:bCs w:val="0"/>
                <w:color w:val="auto"/>
                <w:sz w:val="24"/>
                <w:szCs w:val="24"/>
                <w:highlight w:val="none"/>
              </w:rPr>
              <w:t>承诺</w:t>
            </w:r>
            <w:r>
              <w:rPr>
                <w:rFonts w:hint="eastAsia" w:ascii="宋体" w:hAnsi="宋体" w:eastAsia="宋体" w:cs="宋体"/>
                <w:b w:val="0"/>
                <w:bCs w:val="0"/>
                <w:color w:val="auto"/>
                <w:sz w:val="24"/>
                <w:szCs w:val="24"/>
                <w:highlight w:val="none"/>
                <w:lang w:eastAsia="zh-CN"/>
              </w:rPr>
              <w:t>书</w:t>
            </w:r>
          </w:p>
        </w:tc>
        <w:tc>
          <w:tcPr>
            <w:tcW w:w="6645" w:type="dxa"/>
            <w:vAlign w:val="center"/>
          </w:tcPr>
          <w:p>
            <w:pPr>
              <w:tabs>
                <w:tab w:val="left" w:pos="0"/>
              </w:tabs>
              <w:adjustRightInd w:val="0"/>
              <w:snapToGrid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i w:val="0"/>
                <w:caps w:val="0"/>
                <w:color w:val="auto"/>
                <w:spacing w:val="0"/>
                <w:sz w:val="24"/>
                <w:szCs w:val="24"/>
                <w:highlight w:val="none"/>
                <w:shd w:val="clear" w:color="auto" w:fill="FFFFFF"/>
                <w:lang w:val="en-US" w:eastAsia="zh-CN"/>
              </w:rPr>
              <w:t>供应商须提供具有履行合同所必需的设备和专业技术能力的承诺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633"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1953" w:type="dxa"/>
            <w:vAlign w:val="center"/>
          </w:tcPr>
          <w:p>
            <w:pPr>
              <w:tabs>
                <w:tab w:val="left" w:pos="0"/>
              </w:tabs>
              <w:adjustRightInd w:val="0"/>
              <w:snapToGrid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社会保障资金</w:t>
            </w:r>
          </w:p>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缴纳证明</w:t>
            </w:r>
          </w:p>
        </w:tc>
        <w:tc>
          <w:tcPr>
            <w:tcW w:w="6645" w:type="dxa"/>
            <w:vAlign w:val="center"/>
          </w:tcPr>
          <w:p>
            <w:pPr>
              <w:tabs>
                <w:tab w:val="left" w:pos="0"/>
              </w:tabs>
              <w:adjustRightInd w:val="0"/>
              <w:snapToGrid w:val="0"/>
              <w:spacing w:line="360" w:lineRule="auto"/>
              <w:jc w:val="left"/>
              <w:rPr>
                <w:rFonts w:hint="eastAsia" w:ascii="宋体" w:hAnsi="宋体" w:eastAsia="宋体" w:cs="宋体"/>
                <w:b w:val="0"/>
                <w:bCs/>
                <w:color w:val="auto"/>
                <w:sz w:val="24"/>
                <w:szCs w:val="24"/>
                <w:highlight w:val="none"/>
                <w:lang w:eastAsia="zh-CN"/>
              </w:rPr>
            </w:pPr>
            <w:r>
              <w:rPr>
                <w:rFonts w:hint="eastAsia" w:ascii="宋体" w:hAnsi="宋体" w:cs="宋体"/>
                <w:i w:val="0"/>
                <w:caps w:val="0"/>
                <w:color w:val="auto"/>
                <w:spacing w:val="0"/>
                <w:sz w:val="24"/>
                <w:szCs w:val="24"/>
                <w:highlight w:val="none"/>
                <w:shd w:val="clear" w:color="auto" w:fill="FFFFFF"/>
                <w:lang w:val="en-US" w:eastAsia="zh-CN"/>
              </w:rPr>
              <w:t>提供已缴存的2021年8月至今</w:t>
            </w:r>
            <w:r>
              <w:rPr>
                <w:rFonts w:hint="eastAsia" w:ascii="宋体" w:hAnsi="宋体" w:eastAsia="宋体" w:cs="宋体"/>
                <w:i w:val="0"/>
                <w:caps w:val="0"/>
                <w:color w:val="auto"/>
                <w:spacing w:val="0"/>
                <w:sz w:val="24"/>
                <w:szCs w:val="24"/>
                <w:highlight w:val="none"/>
                <w:shd w:val="clear" w:color="auto" w:fill="FFFFFF"/>
                <w:lang w:val="en-US" w:eastAsia="zh-CN"/>
              </w:rPr>
              <w:t>任意一个月的社会保障资金缴存单据或社保机构开具的社会保险参保缴费情况证明，单据或证明上应有社保机构或代收机构的公章。依法不需要缴纳社会保障资金的供应商应提供相关文件证明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731"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633"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1953" w:type="dxa"/>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无重大违法记录</w:t>
            </w:r>
          </w:p>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书面声明</w:t>
            </w:r>
          </w:p>
        </w:tc>
        <w:tc>
          <w:tcPr>
            <w:tcW w:w="6645" w:type="dxa"/>
            <w:vAlign w:val="center"/>
          </w:tcPr>
          <w:p>
            <w:pPr>
              <w:tabs>
                <w:tab w:val="left" w:pos="0"/>
              </w:tabs>
              <w:adjustRightInd w:val="0"/>
              <w:snapToGrid w:val="0"/>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出具参加本次政府采购活动前三年内在经营活动中没有重大违法记录（包括但不限于未被列入失信被执行人、重大税收违法案件当事人名单、政府采购严重违法失信行为记录名单）的书面声明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633"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1953" w:type="dxa"/>
            <w:vAlign w:val="center"/>
          </w:tcPr>
          <w:p>
            <w:pPr>
              <w:tabs>
                <w:tab w:val="left" w:pos="0"/>
              </w:tabs>
              <w:adjustRightInd w:val="0"/>
              <w:snapToGrid w:val="0"/>
              <w:spacing w:line="360" w:lineRule="auto"/>
              <w:jc w:val="center"/>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法定代表人</w:t>
            </w:r>
          </w:p>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i w:val="0"/>
                <w:caps w:val="0"/>
                <w:color w:val="auto"/>
                <w:spacing w:val="0"/>
                <w:sz w:val="24"/>
                <w:szCs w:val="24"/>
                <w:highlight w:val="none"/>
                <w:shd w:val="clear" w:color="auto" w:fill="FFFFFF"/>
                <w:lang w:val="en-US" w:eastAsia="zh-CN"/>
              </w:rPr>
              <w:t>授权书</w:t>
            </w:r>
          </w:p>
        </w:tc>
        <w:tc>
          <w:tcPr>
            <w:tcW w:w="6645" w:type="dxa"/>
            <w:vAlign w:val="center"/>
          </w:tcPr>
          <w:p>
            <w:pPr>
              <w:tabs>
                <w:tab w:val="left" w:pos="0"/>
              </w:tabs>
              <w:adjustRightInd w:val="0"/>
              <w:snapToGrid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法定代表人授权书（附法定代表人、被授权人身份证复印件）及被授权人身份证（法定代表人直接参加谈判活动，须提供法定代表人身份证明及身份证原件）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31"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633"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1953" w:type="dxa"/>
            <w:vAlign w:val="center"/>
          </w:tcPr>
          <w:p>
            <w:pPr>
              <w:tabs>
                <w:tab w:val="left" w:pos="0"/>
              </w:tabs>
              <w:adjustRightInd w:val="0"/>
              <w:snapToGrid w:val="0"/>
              <w:spacing w:line="360" w:lineRule="auto"/>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i w:val="0"/>
                <w:caps w:val="0"/>
                <w:color w:val="auto"/>
                <w:spacing w:val="0"/>
                <w:sz w:val="24"/>
                <w:szCs w:val="24"/>
                <w:highlight w:val="none"/>
                <w:shd w:val="clear" w:color="auto" w:fill="FFFFFF"/>
                <w:lang w:val="en-US" w:eastAsia="zh-CN"/>
              </w:rPr>
              <w:t>不接受联合体谈判的书面声明</w:t>
            </w:r>
          </w:p>
        </w:tc>
        <w:tc>
          <w:tcPr>
            <w:tcW w:w="6645" w:type="dxa"/>
            <w:vAlign w:val="center"/>
          </w:tcPr>
          <w:p>
            <w:pPr>
              <w:tabs>
                <w:tab w:val="left" w:pos="0"/>
              </w:tabs>
              <w:adjustRightInd w:val="0"/>
              <w:snapToGrid w:val="0"/>
              <w:spacing w:line="360" w:lineRule="auto"/>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i w:val="0"/>
                <w:caps w:val="0"/>
                <w:color w:val="auto"/>
                <w:spacing w:val="0"/>
                <w:sz w:val="24"/>
                <w:szCs w:val="24"/>
                <w:highlight w:val="none"/>
                <w:shd w:val="clear" w:color="auto" w:fill="FFFFFF"/>
                <w:lang w:val="en-US" w:eastAsia="zh-CN"/>
              </w:rPr>
              <w:t>本项目不接受联合体谈判（书面声明）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2" w:type="dxa"/>
            <w:gridSpan w:val="4"/>
            <w:vAlign w:val="center"/>
          </w:tcPr>
          <w:p>
            <w:pPr>
              <w:tabs>
                <w:tab w:val="left" w:pos="0"/>
              </w:tabs>
              <w:adjustRightInd w:val="0"/>
              <w:snapToGrid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注：</w:t>
            </w:r>
            <w:r>
              <w:rPr>
                <w:rFonts w:hint="eastAsia" w:ascii="宋体" w:hAnsi="宋体" w:eastAsia="宋体" w:cs="宋体"/>
                <w:b w:val="0"/>
                <w:bCs/>
                <w:color w:val="auto"/>
                <w:sz w:val="24"/>
                <w:szCs w:val="24"/>
                <w:highlight w:val="none"/>
              </w:rPr>
              <w:t>以上为必备资质，缺一项或某项达不到要求，按无效</w:t>
            </w:r>
            <w:r>
              <w:rPr>
                <w:rFonts w:hint="eastAsia" w:ascii="宋体" w:hAnsi="宋体" w:eastAsia="宋体" w:cs="宋体"/>
                <w:b w:val="0"/>
                <w:bCs/>
                <w:color w:val="auto"/>
                <w:sz w:val="24"/>
                <w:szCs w:val="24"/>
                <w:highlight w:val="none"/>
                <w:lang w:eastAsia="zh-CN"/>
              </w:rPr>
              <w:t>文件</w:t>
            </w:r>
            <w:r>
              <w:rPr>
                <w:rFonts w:hint="eastAsia" w:ascii="宋体" w:hAnsi="宋体" w:eastAsia="宋体" w:cs="宋体"/>
                <w:b w:val="0"/>
                <w:bCs/>
                <w:color w:val="auto"/>
                <w:sz w:val="24"/>
                <w:szCs w:val="24"/>
                <w:highlight w:val="none"/>
              </w:rPr>
              <w:t>处理。资格审查时以</w:t>
            </w:r>
            <w:r>
              <w:rPr>
                <w:rFonts w:hint="eastAsia" w:ascii="宋体" w:hAnsi="宋体" w:eastAsia="宋体" w:cs="宋体"/>
                <w:b w:val="0"/>
                <w:bCs/>
                <w:color w:val="auto"/>
                <w:sz w:val="24"/>
                <w:szCs w:val="24"/>
                <w:highlight w:val="none"/>
                <w:lang w:eastAsia="zh-CN"/>
              </w:rPr>
              <w:t>谈判响应文件</w:t>
            </w:r>
            <w:r>
              <w:rPr>
                <w:rFonts w:hint="eastAsia" w:ascii="宋体" w:hAnsi="宋体" w:eastAsia="宋体" w:cs="宋体"/>
                <w:b w:val="0"/>
                <w:bCs/>
                <w:color w:val="auto"/>
                <w:sz w:val="24"/>
                <w:szCs w:val="24"/>
                <w:highlight w:val="none"/>
              </w:rPr>
              <w:t>中所附证明材料为准，原件备查。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vMerge w:val="restart"/>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2.1.2</w:t>
            </w:r>
          </w:p>
        </w:tc>
        <w:tc>
          <w:tcPr>
            <w:tcW w:w="633" w:type="dxa"/>
            <w:vMerge w:val="restart"/>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符合性评审标准</w:t>
            </w:r>
          </w:p>
        </w:tc>
        <w:tc>
          <w:tcPr>
            <w:tcW w:w="1953" w:type="dxa"/>
            <w:vAlign w:val="center"/>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谈判响应文件</w:t>
            </w:r>
            <w:r>
              <w:rPr>
                <w:rFonts w:hint="eastAsia" w:ascii="宋体" w:hAnsi="宋体" w:eastAsia="宋体" w:cs="宋体"/>
                <w:b w:val="0"/>
                <w:bCs/>
                <w:color w:val="auto"/>
                <w:sz w:val="24"/>
                <w:szCs w:val="24"/>
                <w:highlight w:val="none"/>
              </w:rPr>
              <w:t>的签署盖章</w:t>
            </w:r>
          </w:p>
        </w:tc>
        <w:tc>
          <w:tcPr>
            <w:tcW w:w="6645" w:type="dxa"/>
            <w:vAlign w:val="center"/>
          </w:tcPr>
          <w:p>
            <w:pPr>
              <w:tabs>
                <w:tab w:val="left" w:pos="0"/>
              </w:tabs>
              <w:adjustRightInd w:val="0"/>
              <w:snapToGrid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谈判响应文件</w:t>
            </w:r>
            <w:r>
              <w:rPr>
                <w:rFonts w:hint="eastAsia" w:ascii="宋体" w:hAnsi="宋体" w:eastAsia="宋体" w:cs="宋体"/>
                <w:b w:val="0"/>
                <w:bCs/>
                <w:color w:val="auto"/>
                <w:sz w:val="24"/>
                <w:szCs w:val="24"/>
                <w:highlight w:val="none"/>
              </w:rPr>
              <w:t>上法定代表人或其授权代表人的签字齐全并加盖公章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vMerge w:val="continue"/>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633" w:type="dxa"/>
            <w:vMerge w:val="continue"/>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1953" w:type="dxa"/>
            <w:vAlign w:val="center"/>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报价唯一</w:t>
            </w:r>
          </w:p>
        </w:tc>
        <w:tc>
          <w:tcPr>
            <w:tcW w:w="6645" w:type="dxa"/>
            <w:vAlign w:val="center"/>
          </w:tcPr>
          <w:p>
            <w:pPr>
              <w:tabs>
                <w:tab w:val="left" w:pos="0"/>
              </w:tabs>
              <w:adjustRightInd w:val="0"/>
              <w:snapToGrid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633"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1953" w:type="dxa"/>
            <w:vAlign w:val="center"/>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谈判响应文件</w:t>
            </w:r>
            <w:r>
              <w:rPr>
                <w:rFonts w:hint="eastAsia" w:ascii="宋体" w:hAnsi="宋体" w:eastAsia="宋体" w:cs="宋体"/>
                <w:b w:val="0"/>
                <w:bCs/>
                <w:color w:val="auto"/>
                <w:sz w:val="24"/>
                <w:szCs w:val="24"/>
                <w:highlight w:val="none"/>
              </w:rPr>
              <w:t>份数</w:t>
            </w:r>
          </w:p>
        </w:tc>
        <w:tc>
          <w:tcPr>
            <w:tcW w:w="6645" w:type="dxa"/>
            <w:vAlign w:val="center"/>
          </w:tcPr>
          <w:p>
            <w:pPr>
              <w:tabs>
                <w:tab w:val="left" w:pos="0"/>
              </w:tabs>
              <w:adjustRightInd w:val="0"/>
              <w:snapToGrid w:val="0"/>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应符合“</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vMerge w:val="continue"/>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633" w:type="dxa"/>
            <w:vMerge w:val="continue"/>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1953" w:type="dxa"/>
            <w:vAlign w:val="center"/>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谈判响应文件</w:t>
            </w:r>
            <w:r>
              <w:rPr>
                <w:rFonts w:hint="eastAsia" w:ascii="宋体" w:hAnsi="宋体" w:eastAsia="宋体" w:cs="宋体"/>
                <w:b w:val="0"/>
                <w:bCs/>
                <w:color w:val="auto"/>
                <w:sz w:val="24"/>
                <w:szCs w:val="24"/>
                <w:highlight w:val="none"/>
              </w:rPr>
              <w:t>内容</w:t>
            </w:r>
          </w:p>
        </w:tc>
        <w:tc>
          <w:tcPr>
            <w:tcW w:w="6645" w:type="dxa"/>
            <w:vAlign w:val="center"/>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谈判响应文件</w:t>
            </w:r>
            <w:r>
              <w:rPr>
                <w:rFonts w:hint="eastAsia" w:ascii="宋体" w:hAnsi="宋体" w:eastAsia="宋体" w:cs="宋体"/>
                <w:b w:val="0"/>
                <w:bCs/>
                <w:color w:val="auto"/>
                <w:sz w:val="24"/>
                <w:szCs w:val="24"/>
                <w:highlight w:val="none"/>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633" w:type="dxa"/>
            <w:vMerge w:val="continue"/>
            <w:vAlign w:val="center"/>
          </w:tcPr>
          <w:p>
            <w:pPr>
              <w:tabs>
                <w:tab w:val="left" w:pos="0"/>
              </w:tabs>
              <w:adjustRightInd w:val="0"/>
              <w:snapToGrid w:val="0"/>
              <w:spacing w:line="360" w:lineRule="auto"/>
              <w:jc w:val="center"/>
              <w:rPr>
                <w:rFonts w:hint="eastAsia" w:ascii="宋体" w:hAnsi="宋体" w:eastAsia="宋体" w:cs="宋体"/>
                <w:b w:val="0"/>
                <w:bCs/>
                <w:color w:val="auto"/>
                <w:sz w:val="24"/>
                <w:szCs w:val="24"/>
                <w:highlight w:val="none"/>
              </w:rPr>
            </w:pPr>
          </w:p>
        </w:tc>
        <w:tc>
          <w:tcPr>
            <w:tcW w:w="1953" w:type="dxa"/>
            <w:vAlign w:val="center"/>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w:t>
            </w:r>
            <w:r>
              <w:rPr>
                <w:rFonts w:hint="eastAsia" w:ascii="宋体" w:hAnsi="宋体" w:eastAsia="宋体" w:cs="宋体"/>
                <w:b w:val="0"/>
                <w:bCs/>
                <w:color w:val="auto"/>
                <w:sz w:val="24"/>
                <w:szCs w:val="24"/>
                <w:highlight w:val="none"/>
                <w:lang w:eastAsia="zh-CN"/>
              </w:rPr>
              <w:t>谈判文件</w:t>
            </w:r>
            <w:r>
              <w:rPr>
                <w:rFonts w:hint="eastAsia" w:ascii="宋体" w:hAnsi="宋体" w:eastAsia="宋体" w:cs="宋体"/>
                <w:b w:val="0"/>
                <w:bCs/>
                <w:color w:val="auto"/>
                <w:sz w:val="24"/>
                <w:szCs w:val="24"/>
                <w:highlight w:val="none"/>
              </w:rPr>
              <w:t>响应程度</w:t>
            </w:r>
          </w:p>
        </w:tc>
        <w:tc>
          <w:tcPr>
            <w:tcW w:w="6645" w:type="dxa"/>
            <w:vAlign w:val="center"/>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要求全面响应，不能有任何采购人不能接受的附加条件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vMerge w:val="continue"/>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633" w:type="dxa"/>
            <w:vMerge w:val="continue"/>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1953" w:type="dxa"/>
            <w:vAlign w:val="center"/>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交货</w:t>
            </w:r>
            <w:r>
              <w:rPr>
                <w:rFonts w:hint="eastAsia" w:ascii="宋体" w:hAnsi="宋体" w:eastAsia="宋体" w:cs="宋体"/>
                <w:b w:val="0"/>
                <w:bCs/>
                <w:color w:val="auto"/>
                <w:sz w:val="24"/>
                <w:szCs w:val="24"/>
                <w:highlight w:val="none"/>
              </w:rPr>
              <w:t>期</w:t>
            </w:r>
          </w:p>
        </w:tc>
        <w:tc>
          <w:tcPr>
            <w:tcW w:w="6645" w:type="dxa"/>
            <w:vAlign w:val="center"/>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应满足</w:t>
            </w:r>
            <w:r>
              <w:rPr>
                <w:rFonts w:hint="eastAsia" w:ascii="宋体" w:hAnsi="宋体" w:eastAsia="宋体" w:cs="宋体"/>
                <w:b w:val="0"/>
                <w:bCs/>
                <w:color w:val="auto"/>
                <w:sz w:val="24"/>
                <w:szCs w:val="24"/>
                <w:highlight w:val="none"/>
                <w:lang w:eastAsia="zh-CN"/>
              </w:rPr>
              <w:t>谈判文件</w:t>
            </w:r>
            <w:r>
              <w:rPr>
                <w:rFonts w:hint="eastAsia" w:ascii="宋体" w:hAnsi="宋体" w:eastAsia="宋体" w:cs="宋体"/>
                <w:b w:val="0"/>
                <w:bCs/>
                <w:color w:val="auto"/>
                <w:sz w:val="24"/>
                <w:szCs w:val="24"/>
                <w:highlight w:val="none"/>
              </w:rPr>
              <w:t>中要求的</w:t>
            </w:r>
            <w:r>
              <w:rPr>
                <w:rFonts w:hint="eastAsia" w:ascii="宋体" w:hAnsi="宋体" w:eastAsia="宋体" w:cs="宋体"/>
                <w:b w:val="0"/>
                <w:bCs/>
                <w:color w:val="auto"/>
                <w:sz w:val="24"/>
                <w:szCs w:val="24"/>
                <w:highlight w:val="none"/>
                <w:lang w:eastAsia="zh-CN"/>
              </w:rPr>
              <w:t>交货</w:t>
            </w:r>
            <w:r>
              <w:rPr>
                <w:rFonts w:hint="eastAsia" w:ascii="宋体" w:hAnsi="宋体" w:eastAsia="宋体" w:cs="宋体"/>
                <w:b w:val="0"/>
                <w:bCs/>
                <w:color w:val="auto"/>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vMerge w:val="continue"/>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633" w:type="dxa"/>
            <w:vMerge w:val="continue"/>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1953" w:type="dxa"/>
            <w:vAlign w:val="center"/>
          </w:tcPr>
          <w:p>
            <w:pPr>
              <w:tabs>
                <w:tab w:val="left" w:pos="0"/>
              </w:tabs>
              <w:adjustRightInd w:val="0"/>
              <w:snapToGrid w:val="0"/>
              <w:spacing w:line="36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质保期</w:t>
            </w:r>
          </w:p>
        </w:tc>
        <w:tc>
          <w:tcPr>
            <w:tcW w:w="6645" w:type="dxa"/>
            <w:vAlign w:val="center"/>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应满足</w:t>
            </w:r>
            <w:r>
              <w:rPr>
                <w:rFonts w:hint="eastAsia" w:ascii="宋体" w:hAnsi="宋体" w:eastAsia="宋体" w:cs="宋体"/>
                <w:b w:val="0"/>
                <w:bCs/>
                <w:color w:val="auto"/>
                <w:sz w:val="24"/>
                <w:szCs w:val="24"/>
                <w:highlight w:val="none"/>
                <w:lang w:eastAsia="zh-CN"/>
              </w:rPr>
              <w:t>谈判文件</w:t>
            </w:r>
            <w:r>
              <w:rPr>
                <w:rFonts w:hint="eastAsia" w:ascii="宋体" w:hAnsi="宋体" w:eastAsia="宋体" w:cs="宋体"/>
                <w:b w:val="0"/>
                <w:bCs/>
                <w:color w:val="auto"/>
                <w:sz w:val="24"/>
                <w:szCs w:val="24"/>
                <w:highlight w:val="none"/>
              </w:rPr>
              <w:t>中要求的</w:t>
            </w:r>
            <w:r>
              <w:rPr>
                <w:rFonts w:hint="eastAsia" w:ascii="宋体" w:hAnsi="宋体" w:eastAsia="宋体" w:cs="宋体"/>
                <w:b w:val="0"/>
                <w:bCs/>
                <w:color w:val="auto"/>
                <w:sz w:val="24"/>
                <w:szCs w:val="24"/>
                <w:highlight w:val="none"/>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vMerge w:val="continue"/>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633" w:type="dxa"/>
            <w:vMerge w:val="continue"/>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1953" w:type="dxa"/>
            <w:vAlign w:val="center"/>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实施</w:t>
            </w:r>
            <w:r>
              <w:rPr>
                <w:rFonts w:hint="eastAsia" w:ascii="宋体" w:hAnsi="宋体" w:eastAsia="宋体" w:cs="宋体"/>
                <w:b w:val="0"/>
                <w:bCs/>
                <w:color w:val="auto"/>
                <w:sz w:val="24"/>
                <w:szCs w:val="24"/>
                <w:highlight w:val="none"/>
              </w:rPr>
              <w:t>地点</w:t>
            </w:r>
          </w:p>
        </w:tc>
        <w:tc>
          <w:tcPr>
            <w:tcW w:w="6645" w:type="dxa"/>
            <w:vAlign w:val="center"/>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应满足</w:t>
            </w:r>
            <w:r>
              <w:rPr>
                <w:rFonts w:hint="eastAsia" w:ascii="宋体" w:hAnsi="宋体" w:eastAsia="宋体" w:cs="宋体"/>
                <w:b w:val="0"/>
                <w:bCs/>
                <w:color w:val="auto"/>
                <w:sz w:val="24"/>
                <w:szCs w:val="24"/>
                <w:highlight w:val="none"/>
                <w:lang w:eastAsia="zh-CN"/>
              </w:rPr>
              <w:t>谈判文件</w:t>
            </w:r>
            <w:r>
              <w:rPr>
                <w:rFonts w:hint="eastAsia" w:ascii="宋体" w:hAnsi="宋体" w:eastAsia="宋体" w:cs="宋体"/>
                <w:b w:val="0"/>
                <w:bCs/>
                <w:color w:val="auto"/>
                <w:sz w:val="24"/>
                <w:szCs w:val="24"/>
                <w:highlight w:val="none"/>
              </w:rPr>
              <w:t>中要求的</w:t>
            </w:r>
            <w:r>
              <w:rPr>
                <w:rFonts w:hint="eastAsia" w:ascii="宋体" w:hAnsi="宋体" w:eastAsia="宋体" w:cs="宋体"/>
                <w:b w:val="0"/>
                <w:bCs/>
                <w:color w:val="auto"/>
                <w:sz w:val="24"/>
                <w:szCs w:val="24"/>
                <w:highlight w:val="none"/>
                <w:lang w:eastAsia="zh-CN"/>
              </w:rPr>
              <w:t>实施</w:t>
            </w:r>
            <w:r>
              <w:rPr>
                <w:rFonts w:hint="eastAsia" w:ascii="宋体" w:hAnsi="宋体" w:eastAsia="宋体" w:cs="宋体"/>
                <w:b w:val="0"/>
                <w:bCs/>
                <w:color w:val="auto"/>
                <w:sz w:val="24"/>
                <w:szCs w:val="24"/>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vMerge w:val="continue"/>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633" w:type="dxa"/>
            <w:vMerge w:val="continue"/>
            <w:vAlign w:val="top"/>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p>
        </w:tc>
        <w:tc>
          <w:tcPr>
            <w:tcW w:w="1953" w:type="dxa"/>
            <w:vAlign w:val="center"/>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有效期</w:t>
            </w:r>
          </w:p>
        </w:tc>
        <w:tc>
          <w:tcPr>
            <w:tcW w:w="6645" w:type="dxa"/>
            <w:vAlign w:val="center"/>
          </w:tcPr>
          <w:p>
            <w:pPr>
              <w:tabs>
                <w:tab w:val="left" w:pos="0"/>
              </w:tabs>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应满足</w:t>
            </w:r>
            <w:r>
              <w:rPr>
                <w:rFonts w:hint="eastAsia" w:ascii="宋体" w:hAnsi="宋体" w:eastAsia="宋体" w:cs="宋体"/>
                <w:b w:val="0"/>
                <w:bCs/>
                <w:color w:val="auto"/>
                <w:sz w:val="24"/>
                <w:szCs w:val="24"/>
                <w:highlight w:val="none"/>
                <w:lang w:eastAsia="zh-CN"/>
              </w:rPr>
              <w:t>谈判文件</w:t>
            </w:r>
            <w:r>
              <w:rPr>
                <w:rFonts w:hint="eastAsia" w:ascii="宋体" w:hAnsi="宋体" w:eastAsia="宋体" w:cs="宋体"/>
                <w:b w:val="0"/>
                <w:bCs/>
                <w:color w:val="auto"/>
                <w:sz w:val="24"/>
                <w:szCs w:val="24"/>
                <w:highlight w:val="none"/>
              </w:rPr>
              <w:t>中的规定</w:t>
            </w:r>
          </w:p>
        </w:tc>
      </w:tr>
    </w:tbl>
    <w:p>
      <w:pPr>
        <w:pStyle w:val="9"/>
        <w:rPr>
          <w:rFonts w:hint="eastAsia" w:ascii="宋体" w:hAnsi="宋体" w:eastAsia="宋体" w:cs="宋体"/>
          <w:color w:val="FF0000"/>
          <w:spacing w:val="4"/>
          <w:kern w:val="2"/>
          <w:sz w:val="24"/>
          <w:szCs w:val="24"/>
          <w:highlight w:val="none"/>
          <w:lang w:val="en-US" w:eastAsia="zh-CN" w:bidi="ar-SA"/>
        </w:rPr>
        <w:sectPr>
          <w:pgSz w:w="11907" w:h="16840"/>
          <w:pgMar w:top="1417" w:right="1417" w:bottom="1417" w:left="1417" w:header="851" w:footer="850" w:gutter="0"/>
          <w:pgBorders>
            <w:top w:val="none" w:sz="0" w:space="0"/>
            <w:left w:val="none" w:sz="0" w:space="0"/>
            <w:bottom w:val="none" w:sz="0" w:space="0"/>
            <w:right w:val="none" w:sz="0" w:space="0"/>
          </w:pgBorders>
          <w:pgNumType w:fmt="decimal"/>
          <w:cols w:space="720" w:num="1"/>
          <w:rtlGutter w:val="0"/>
          <w:docGrid w:linePitch="286" w:charSpace="0"/>
        </w:sectPr>
      </w:pPr>
    </w:p>
    <w:bookmarkEnd w:id="63"/>
    <w:bookmarkEnd w:id="64"/>
    <w:bookmarkEnd w:id="65"/>
    <w:p>
      <w:pPr>
        <w:pStyle w:val="3"/>
        <w:numPr>
          <w:ilvl w:val="0"/>
          <w:numId w:val="6"/>
        </w:numPr>
        <w:rPr>
          <w:rFonts w:hint="eastAsia" w:ascii="宋体" w:hAnsi="宋体" w:eastAsia="宋体" w:cs="宋体"/>
          <w:b/>
          <w:bCs/>
          <w:sz w:val="36"/>
          <w:szCs w:val="36"/>
          <w:highlight w:val="none"/>
          <w:lang w:eastAsia="zh-CN"/>
        </w:rPr>
      </w:pPr>
      <w:bookmarkStart w:id="67" w:name="_Toc20805"/>
      <w:bookmarkStart w:id="68" w:name="_Toc8169"/>
      <w:bookmarkStart w:id="69" w:name="_Toc404670157"/>
      <w:r>
        <w:rPr>
          <w:rFonts w:hint="eastAsia" w:ascii="宋体" w:hAnsi="宋体" w:eastAsia="宋体" w:cs="宋体"/>
          <w:b/>
          <w:bCs/>
          <w:sz w:val="36"/>
          <w:szCs w:val="36"/>
          <w:highlight w:val="none"/>
          <w:lang w:eastAsia="zh-CN"/>
        </w:rPr>
        <w:t>竞争性谈判响应文件格式及构成</w:t>
      </w:r>
      <w:bookmarkEnd w:id="66"/>
      <w:bookmarkEnd w:id="67"/>
      <w:bookmarkEnd w:id="68"/>
      <w:bookmarkEnd w:id="69"/>
    </w:p>
    <w:p>
      <w:pPr>
        <w:rPr>
          <w:rFonts w:hint="eastAsia" w:ascii="宋体" w:hAnsi="宋体" w:eastAsia="宋体" w:cs="宋体"/>
          <w:b/>
          <w:sz w:val="36"/>
          <w:szCs w:val="36"/>
          <w:highlight w:val="none"/>
        </w:rPr>
      </w:pPr>
    </w:p>
    <w:p>
      <w:pPr>
        <w:rPr>
          <w:rFonts w:hint="eastAsia" w:ascii="宋体" w:hAnsi="宋体" w:eastAsia="宋体" w:cs="宋体"/>
          <w:b/>
          <w:sz w:val="32"/>
          <w:szCs w:val="32"/>
          <w:highlight w:val="none"/>
        </w:rPr>
      </w:pPr>
    </w:p>
    <w:p>
      <w:pPr>
        <w:pStyle w:val="5"/>
        <w:ind w:left="0" w:leftChars="0" w:firstLine="0" w:firstLineChars="0"/>
        <w:rPr>
          <w:rFonts w:hint="eastAsia" w:ascii="宋体" w:hAnsi="宋体" w:eastAsia="宋体" w:cs="宋体"/>
          <w:highlight w:val="none"/>
          <w:lang w:val="en-US" w:eastAsia="zh-CN"/>
        </w:rPr>
      </w:pPr>
      <w:r>
        <w:rPr>
          <w:rFonts w:hint="eastAsia" w:ascii="宋体" w:hAnsi="宋体" w:eastAsia="宋体" w:cs="宋体"/>
          <w:b/>
          <w:sz w:val="32"/>
          <w:szCs w:val="32"/>
          <w:highlight w:val="none"/>
        </w:rPr>
        <w:t>项目编号：</w:t>
      </w:r>
      <w:r>
        <w:rPr>
          <w:rFonts w:hint="eastAsia" w:ascii="宋体" w:hAnsi="宋体" w:eastAsia="宋体" w:cs="宋体"/>
          <w:b/>
          <w:sz w:val="32"/>
          <w:szCs w:val="32"/>
          <w:highlight w:val="none"/>
          <w:lang w:eastAsia="zh-CN"/>
        </w:rPr>
        <w:t>SXJTZB-ZC-JT20220708</w:t>
      </w:r>
    </w:p>
    <w:p>
      <w:pPr>
        <w:ind w:firstLine="5405" w:firstLineChars="1923"/>
        <w:rPr>
          <w:rFonts w:hint="eastAsia" w:ascii="宋体" w:hAnsi="宋体" w:eastAsia="宋体" w:cs="宋体"/>
          <w:b/>
          <w:sz w:val="36"/>
          <w:szCs w:val="36"/>
          <w:highlight w:val="none"/>
        </w:rPr>
      </w:pP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（正本或副本）</w:t>
      </w:r>
    </w:p>
    <w:p>
      <w:pPr>
        <w:jc w:val="center"/>
        <w:rPr>
          <w:rFonts w:hint="eastAsia" w:ascii="宋体" w:hAnsi="宋体" w:eastAsia="宋体" w:cs="宋体"/>
          <w:b/>
          <w:sz w:val="36"/>
          <w:szCs w:val="36"/>
          <w:highlight w:val="none"/>
        </w:rPr>
      </w:pPr>
    </w:p>
    <w:p>
      <w:pPr>
        <w:jc w:val="both"/>
        <w:rPr>
          <w:rFonts w:hint="eastAsia" w:ascii="宋体" w:hAnsi="宋体" w:eastAsia="宋体" w:cs="宋体"/>
          <w:b/>
          <w:sz w:val="36"/>
          <w:szCs w:val="36"/>
          <w:highlight w:val="none"/>
        </w:rPr>
      </w:pPr>
    </w:p>
    <w:p>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jc w:val="center"/>
        <w:rPr>
          <w:rFonts w:hint="eastAsia" w:ascii="宋体" w:hAnsi="宋体" w:cs="宋体"/>
          <w:b/>
          <w:sz w:val="44"/>
          <w:szCs w:val="44"/>
          <w:highlight w:val="none"/>
          <w:lang w:eastAsia="zh-CN"/>
        </w:rPr>
      </w:pPr>
      <w:r>
        <w:rPr>
          <w:rFonts w:hint="eastAsia" w:ascii="宋体" w:hAnsi="宋体" w:cs="宋体"/>
          <w:b/>
          <w:sz w:val="44"/>
          <w:szCs w:val="44"/>
          <w:highlight w:val="none"/>
          <w:lang w:eastAsia="zh-CN"/>
        </w:rPr>
        <w:t>西安市碑林区朱雀大街小学智慧教室设备</w:t>
      </w:r>
    </w:p>
    <w:p>
      <w:pPr>
        <w:jc w:val="center"/>
        <w:rPr>
          <w:rFonts w:hint="eastAsia" w:ascii="宋体" w:hAnsi="宋体" w:eastAsia="宋体" w:cs="宋体"/>
          <w:b/>
          <w:sz w:val="48"/>
          <w:szCs w:val="48"/>
          <w:highlight w:val="none"/>
          <w:lang w:eastAsia="zh-CN"/>
        </w:rPr>
      </w:pPr>
      <w:r>
        <w:rPr>
          <w:rFonts w:hint="eastAsia" w:ascii="宋体" w:hAnsi="宋体" w:cs="宋体"/>
          <w:b/>
          <w:sz w:val="44"/>
          <w:szCs w:val="44"/>
          <w:highlight w:val="none"/>
          <w:lang w:eastAsia="zh-CN"/>
        </w:rPr>
        <w:t>提升项目</w:t>
      </w:r>
    </w:p>
    <w:p>
      <w:pPr>
        <w:pStyle w:val="2"/>
        <w:outlineLvl w:val="9"/>
        <w:rPr>
          <w:rFonts w:hint="eastAsia" w:ascii="宋体" w:hAnsi="宋体" w:eastAsia="宋体" w:cs="宋体"/>
          <w:highlight w:val="none"/>
        </w:rPr>
      </w:pPr>
    </w:p>
    <w:p>
      <w:pPr>
        <w:pStyle w:val="2"/>
        <w:outlineLvl w:val="9"/>
        <w:rPr>
          <w:rFonts w:hint="eastAsia" w:ascii="宋体" w:hAnsi="宋体" w:eastAsia="宋体" w:cs="宋体"/>
          <w:highlight w:val="none"/>
        </w:rPr>
      </w:pPr>
    </w:p>
    <w:p>
      <w:pPr>
        <w:pStyle w:val="9"/>
        <w:rPr>
          <w:rFonts w:hint="eastAsia" w:ascii="宋体" w:hAnsi="宋体" w:eastAsia="宋体" w:cs="宋体"/>
          <w:highlight w:val="none"/>
        </w:rPr>
      </w:pPr>
    </w:p>
    <w:p>
      <w:pPr>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竞争性谈判响应文件</w:t>
      </w:r>
    </w:p>
    <w:p>
      <w:pPr>
        <w:jc w:val="center"/>
        <w:rPr>
          <w:rFonts w:hint="eastAsia" w:ascii="宋体" w:hAnsi="宋体" w:eastAsia="宋体" w:cs="宋体"/>
          <w:b/>
          <w:sz w:val="36"/>
          <w:szCs w:val="36"/>
          <w:highlight w:val="none"/>
        </w:rPr>
      </w:pPr>
    </w:p>
    <w:p>
      <w:pPr>
        <w:jc w:val="center"/>
        <w:rPr>
          <w:rFonts w:hint="eastAsia" w:ascii="宋体" w:hAnsi="宋体" w:eastAsia="宋体" w:cs="宋体"/>
          <w:b/>
          <w:sz w:val="36"/>
          <w:szCs w:val="36"/>
          <w:highlight w:val="none"/>
        </w:rPr>
      </w:pPr>
    </w:p>
    <w:p>
      <w:pPr>
        <w:jc w:val="center"/>
        <w:rPr>
          <w:rFonts w:hint="eastAsia" w:ascii="宋体" w:hAnsi="宋体" w:eastAsia="宋体" w:cs="宋体"/>
          <w:b/>
          <w:sz w:val="36"/>
          <w:szCs w:val="36"/>
          <w:highlight w:val="none"/>
        </w:rPr>
      </w:pPr>
    </w:p>
    <w:p>
      <w:pPr>
        <w:pStyle w:val="2"/>
        <w:outlineLvl w:val="9"/>
        <w:rPr>
          <w:rFonts w:hint="eastAsia" w:ascii="宋体" w:hAnsi="宋体" w:eastAsia="宋体" w:cs="宋体"/>
          <w:highlight w:val="none"/>
        </w:rPr>
      </w:pPr>
    </w:p>
    <w:p>
      <w:pPr>
        <w:jc w:val="both"/>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tabs>
          <w:tab w:val="center" w:pos="5346"/>
        </w:tabs>
        <w:spacing w:line="42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谈判</w:t>
      </w:r>
      <w:r>
        <w:rPr>
          <w:rFonts w:hint="eastAsia" w:ascii="宋体" w:hAnsi="宋体" w:eastAsia="宋体" w:cs="宋体"/>
          <w:b/>
          <w:sz w:val="32"/>
          <w:szCs w:val="32"/>
          <w:highlight w:val="none"/>
          <w:lang w:eastAsia="zh-CN"/>
        </w:rPr>
        <w:t>供应商</w:t>
      </w:r>
      <w:r>
        <w:rPr>
          <w:rFonts w:hint="eastAsia" w:ascii="宋体" w:hAnsi="宋体" w:eastAsia="宋体" w:cs="宋体"/>
          <w:b/>
          <w:sz w:val="32"/>
          <w:szCs w:val="32"/>
          <w:highlight w:val="none"/>
        </w:rPr>
        <w:t>名称</w:t>
      </w:r>
      <w:r>
        <w:rPr>
          <w:rFonts w:hint="eastAsia" w:ascii="宋体" w:hAnsi="宋体" w:eastAsia="宋体" w:cs="宋体"/>
          <w:b/>
          <w:sz w:val="32"/>
          <w:szCs w:val="32"/>
          <w:highlight w:val="none"/>
          <w:lang w:eastAsia="zh-CN"/>
        </w:rPr>
        <w:t>：</w:t>
      </w:r>
      <w:r>
        <w:rPr>
          <w:rFonts w:hint="eastAsia" w:ascii="宋体" w:hAnsi="宋体" w:eastAsia="宋体" w:cs="宋体"/>
          <w:b/>
          <w:sz w:val="32"/>
          <w:szCs w:val="32"/>
          <w:highlight w:val="none"/>
        </w:rPr>
        <w:t>（盖章）</w:t>
      </w:r>
    </w:p>
    <w:p>
      <w:pPr>
        <w:ind w:firstLine="3036" w:firstLineChars="945"/>
        <w:rPr>
          <w:rFonts w:hint="eastAsia" w:ascii="宋体" w:hAnsi="宋体" w:eastAsia="宋体" w:cs="宋体"/>
          <w:b/>
          <w:sz w:val="36"/>
          <w:szCs w:val="36"/>
          <w:highlight w:val="none"/>
          <w:lang w:val="en-US" w:eastAsia="zh-CN"/>
        </w:rPr>
      </w:pPr>
      <w:r>
        <w:rPr>
          <w:rFonts w:hint="eastAsia" w:ascii="宋体" w:hAnsi="宋体" w:eastAsia="宋体" w:cs="宋体"/>
          <w:b/>
          <w:sz w:val="32"/>
          <w:szCs w:val="32"/>
          <w:highlight w:val="none"/>
          <w:lang w:val="en-US" w:eastAsia="zh-CN"/>
        </w:rPr>
        <w:t xml:space="preserve"> </w:t>
      </w:r>
      <w:r>
        <w:rPr>
          <w:rFonts w:hint="eastAsia" w:ascii="宋体" w:hAnsi="宋体" w:cs="宋体"/>
          <w:b/>
          <w:sz w:val="32"/>
          <w:szCs w:val="32"/>
          <w:highlight w:val="none"/>
          <w:lang w:val="en-US" w:eastAsia="zh-CN"/>
        </w:rPr>
        <w:t xml:space="preserve"> </w:t>
      </w:r>
      <w:r>
        <w:rPr>
          <w:rFonts w:hint="eastAsia" w:ascii="宋体" w:hAnsi="宋体" w:eastAsia="宋体" w:cs="宋体"/>
          <w:b/>
          <w:sz w:val="32"/>
          <w:szCs w:val="32"/>
          <w:highlight w:val="none"/>
        </w:rPr>
        <w:t>年   月</w:t>
      </w:r>
      <w:r>
        <w:rPr>
          <w:rFonts w:hint="eastAsia" w:ascii="宋体" w:hAnsi="宋体" w:eastAsia="宋体" w:cs="宋体"/>
          <w:b/>
          <w:sz w:val="32"/>
          <w:szCs w:val="32"/>
          <w:highlight w:val="none"/>
          <w:lang w:val="en-US" w:eastAsia="zh-CN"/>
        </w:rPr>
        <w:t xml:space="preserve">   日</w:t>
      </w:r>
    </w:p>
    <w:p>
      <w:pPr>
        <w:jc w:val="both"/>
        <w:rPr>
          <w:rFonts w:hint="eastAsia" w:ascii="宋体" w:hAnsi="宋体" w:eastAsia="宋体" w:cs="宋体"/>
          <w:b/>
          <w:bCs/>
          <w:spacing w:val="4"/>
          <w:sz w:val="32"/>
          <w:szCs w:val="32"/>
          <w:highlight w:val="none"/>
          <w:lang w:val="en-US" w:eastAsia="zh-CN"/>
        </w:rPr>
      </w:pPr>
      <w:r>
        <w:rPr>
          <w:rFonts w:hint="eastAsia" w:ascii="宋体" w:hAnsi="宋体" w:eastAsia="宋体" w:cs="宋体"/>
          <w:b/>
          <w:bCs/>
          <w:spacing w:val="4"/>
          <w:sz w:val="32"/>
          <w:szCs w:val="32"/>
          <w:highlight w:val="none"/>
          <w:lang w:val="en-US" w:eastAsia="zh-CN"/>
        </w:rPr>
        <w:t xml:space="preserve"> </w:t>
      </w:r>
    </w:p>
    <w:p>
      <w:pPr>
        <w:jc w:val="center"/>
        <w:rPr>
          <w:rFonts w:hint="eastAsia" w:ascii="宋体" w:hAnsi="宋体" w:eastAsia="宋体" w:cs="宋体"/>
          <w:b/>
          <w:bCs/>
          <w:spacing w:val="4"/>
          <w:sz w:val="32"/>
          <w:szCs w:val="32"/>
          <w:highlight w:val="none"/>
        </w:rPr>
      </w:pPr>
    </w:p>
    <w:p>
      <w:pPr>
        <w:pStyle w:val="9"/>
        <w:rPr>
          <w:rFonts w:hint="eastAsia" w:ascii="宋体" w:hAnsi="宋体" w:eastAsia="宋体" w:cs="宋体"/>
          <w:highlight w:val="none"/>
        </w:rPr>
      </w:pPr>
    </w:p>
    <w:p>
      <w:pPr>
        <w:jc w:val="center"/>
        <w:rPr>
          <w:rFonts w:hint="eastAsia" w:ascii="宋体" w:hAnsi="宋体" w:eastAsia="宋体" w:cs="宋体"/>
          <w:b/>
          <w:bCs/>
          <w:spacing w:val="4"/>
          <w:sz w:val="44"/>
          <w:szCs w:val="44"/>
          <w:highlight w:val="none"/>
        </w:rPr>
      </w:pPr>
    </w:p>
    <w:p>
      <w:pPr>
        <w:jc w:val="center"/>
        <w:rPr>
          <w:rFonts w:hint="eastAsia" w:ascii="宋体" w:hAnsi="宋体" w:eastAsia="宋体" w:cs="宋体"/>
          <w:b/>
          <w:bCs/>
          <w:spacing w:val="4"/>
          <w:sz w:val="44"/>
          <w:szCs w:val="44"/>
          <w:highlight w:val="none"/>
        </w:rPr>
      </w:pPr>
      <w:r>
        <w:rPr>
          <w:rFonts w:hint="eastAsia" w:ascii="宋体" w:hAnsi="宋体" w:eastAsia="宋体" w:cs="宋体"/>
          <w:b/>
          <w:bCs/>
          <w:spacing w:val="4"/>
          <w:sz w:val="44"/>
          <w:szCs w:val="44"/>
          <w:highlight w:val="none"/>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一、</w:t>
      </w:r>
      <w:r>
        <w:rPr>
          <w:rFonts w:hint="eastAsia" w:ascii="宋体" w:hAnsi="宋体" w:eastAsia="宋体" w:cs="宋体"/>
          <w:spacing w:val="4"/>
          <w:sz w:val="24"/>
          <w:szCs w:val="24"/>
          <w:highlight w:val="none"/>
        </w:rPr>
        <w:t>谈判响应函</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二、</w:t>
      </w:r>
      <w:r>
        <w:rPr>
          <w:rFonts w:hint="eastAsia" w:ascii="宋体" w:hAnsi="宋体" w:eastAsia="宋体" w:cs="宋体"/>
          <w:spacing w:val="4"/>
          <w:sz w:val="24"/>
          <w:szCs w:val="24"/>
          <w:highlight w:val="none"/>
        </w:rPr>
        <w:t>谈判报价表 (报价一览表)</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三、</w:t>
      </w:r>
      <w:r>
        <w:rPr>
          <w:rFonts w:hint="eastAsia" w:ascii="宋体" w:hAnsi="宋体" w:eastAsia="宋体" w:cs="宋体"/>
          <w:sz w:val="24"/>
          <w:szCs w:val="24"/>
          <w:highlight w:val="none"/>
        </w:rPr>
        <w:t>谈判方案说明书</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商务</w:t>
      </w:r>
      <w:r>
        <w:rPr>
          <w:rFonts w:hint="eastAsia" w:ascii="宋体" w:hAnsi="宋体" w:eastAsia="宋体" w:cs="宋体"/>
          <w:sz w:val="24"/>
          <w:szCs w:val="24"/>
          <w:highlight w:val="none"/>
          <w:lang w:eastAsia="zh-CN"/>
        </w:rPr>
        <w:t>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陕西省政府采购供应商拒绝政府采购领域商业贿赂承诺书</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资格证明文件</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七、其它资料       </w:t>
      </w:r>
    </w:p>
    <w:p>
      <w:pPr>
        <w:spacing w:line="480" w:lineRule="auto"/>
        <w:ind w:firstLine="1574" w:firstLineChars="635"/>
        <w:rPr>
          <w:rFonts w:hint="eastAsia" w:ascii="宋体" w:hAnsi="宋体" w:eastAsia="宋体" w:cs="宋体"/>
          <w:spacing w:val="4"/>
          <w:sz w:val="24"/>
          <w:szCs w:val="24"/>
          <w:highlight w:val="none"/>
        </w:rPr>
      </w:pPr>
    </w:p>
    <w:p>
      <w:pPr>
        <w:spacing w:line="480" w:lineRule="auto"/>
        <w:ind w:left="105"/>
        <w:rPr>
          <w:rFonts w:hint="eastAsia" w:ascii="宋体" w:hAnsi="宋体" w:eastAsia="宋体" w:cs="宋体"/>
          <w:spacing w:val="4"/>
          <w:sz w:val="24"/>
          <w:szCs w:val="24"/>
          <w:highlight w:val="none"/>
        </w:rPr>
      </w:pPr>
    </w:p>
    <w:p>
      <w:pPr>
        <w:spacing w:line="440" w:lineRule="exact"/>
        <w:jc w:val="center"/>
        <w:rPr>
          <w:rFonts w:hint="eastAsia" w:ascii="宋体" w:hAnsi="宋体" w:eastAsia="宋体" w:cs="宋体"/>
          <w:b/>
          <w:spacing w:val="4"/>
          <w:sz w:val="32"/>
          <w:szCs w:val="32"/>
          <w:highlight w:val="none"/>
        </w:rPr>
      </w:pPr>
    </w:p>
    <w:p>
      <w:pPr>
        <w:spacing w:line="440" w:lineRule="exact"/>
        <w:jc w:val="center"/>
        <w:rPr>
          <w:rFonts w:hint="eastAsia" w:ascii="宋体" w:hAnsi="宋体" w:eastAsia="宋体" w:cs="宋体"/>
          <w:b/>
          <w:spacing w:val="4"/>
          <w:sz w:val="32"/>
          <w:szCs w:val="32"/>
          <w:highlight w:val="none"/>
        </w:rPr>
      </w:pPr>
    </w:p>
    <w:p>
      <w:pPr>
        <w:spacing w:line="440" w:lineRule="exact"/>
        <w:jc w:val="center"/>
        <w:rPr>
          <w:rFonts w:hint="eastAsia" w:ascii="宋体" w:hAnsi="宋体" w:eastAsia="宋体" w:cs="宋体"/>
          <w:b/>
          <w:spacing w:val="4"/>
          <w:sz w:val="32"/>
          <w:szCs w:val="32"/>
          <w:highlight w:val="none"/>
        </w:rPr>
      </w:pPr>
    </w:p>
    <w:p>
      <w:pPr>
        <w:spacing w:line="440" w:lineRule="exact"/>
        <w:jc w:val="center"/>
        <w:rPr>
          <w:rFonts w:hint="eastAsia" w:ascii="宋体" w:hAnsi="宋体" w:eastAsia="宋体" w:cs="宋体"/>
          <w:b/>
          <w:spacing w:val="4"/>
          <w:sz w:val="32"/>
          <w:szCs w:val="32"/>
          <w:highlight w:val="none"/>
        </w:rPr>
      </w:pPr>
    </w:p>
    <w:p>
      <w:pPr>
        <w:pStyle w:val="9"/>
        <w:rPr>
          <w:rFonts w:hint="eastAsia" w:ascii="宋体" w:hAnsi="宋体" w:eastAsia="宋体" w:cs="宋体"/>
          <w:b/>
          <w:spacing w:val="4"/>
          <w:sz w:val="32"/>
          <w:szCs w:val="32"/>
          <w:highlight w:val="none"/>
        </w:rPr>
      </w:pPr>
    </w:p>
    <w:p>
      <w:pPr>
        <w:pStyle w:val="9"/>
        <w:rPr>
          <w:rFonts w:hint="eastAsia" w:ascii="宋体" w:hAnsi="宋体" w:eastAsia="宋体" w:cs="宋体"/>
          <w:b/>
          <w:spacing w:val="4"/>
          <w:sz w:val="32"/>
          <w:szCs w:val="32"/>
          <w:highlight w:val="none"/>
        </w:rPr>
      </w:pPr>
    </w:p>
    <w:p>
      <w:pPr>
        <w:pStyle w:val="9"/>
        <w:rPr>
          <w:rFonts w:hint="eastAsia" w:ascii="宋体" w:hAnsi="宋体" w:eastAsia="宋体" w:cs="宋体"/>
          <w:b/>
          <w:spacing w:val="4"/>
          <w:sz w:val="32"/>
          <w:szCs w:val="32"/>
          <w:highlight w:val="none"/>
        </w:rPr>
      </w:pPr>
    </w:p>
    <w:p>
      <w:pPr>
        <w:spacing w:line="440" w:lineRule="exact"/>
        <w:jc w:val="center"/>
        <w:rPr>
          <w:rFonts w:hint="eastAsia" w:ascii="宋体" w:hAnsi="宋体" w:eastAsia="宋体" w:cs="宋体"/>
          <w:b/>
          <w:spacing w:val="4"/>
          <w:sz w:val="32"/>
          <w:szCs w:val="32"/>
          <w:highlight w:val="none"/>
        </w:rPr>
      </w:pPr>
    </w:p>
    <w:p>
      <w:pPr>
        <w:spacing w:line="440" w:lineRule="exact"/>
        <w:jc w:val="center"/>
        <w:rPr>
          <w:rFonts w:hint="eastAsia" w:ascii="宋体" w:hAnsi="宋体" w:eastAsia="宋体" w:cs="宋体"/>
          <w:b/>
          <w:spacing w:val="4"/>
          <w:sz w:val="32"/>
          <w:szCs w:val="32"/>
          <w:highlight w:val="none"/>
        </w:rPr>
      </w:pPr>
    </w:p>
    <w:p>
      <w:pPr>
        <w:rPr>
          <w:rFonts w:hint="eastAsia"/>
          <w:highlight w:val="none"/>
        </w:rPr>
      </w:pPr>
    </w:p>
    <w:p>
      <w:pPr>
        <w:spacing w:line="440" w:lineRule="exact"/>
        <w:jc w:val="center"/>
        <w:rPr>
          <w:rFonts w:hint="eastAsia" w:ascii="宋体" w:hAnsi="宋体" w:eastAsia="宋体" w:cs="宋体"/>
          <w:b/>
          <w:spacing w:val="4"/>
          <w:sz w:val="32"/>
          <w:szCs w:val="32"/>
          <w:highlight w:val="none"/>
        </w:rPr>
      </w:pPr>
    </w:p>
    <w:p>
      <w:pPr>
        <w:spacing w:line="440" w:lineRule="exact"/>
        <w:jc w:val="center"/>
        <w:rPr>
          <w:rFonts w:hint="eastAsia" w:ascii="宋体" w:hAnsi="宋体" w:eastAsia="宋体" w:cs="宋体"/>
          <w:b/>
          <w:spacing w:val="4"/>
          <w:sz w:val="32"/>
          <w:szCs w:val="32"/>
          <w:highlight w:val="none"/>
        </w:rPr>
      </w:pPr>
    </w:p>
    <w:p>
      <w:pPr>
        <w:spacing w:line="440" w:lineRule="exact"/>
        <w:jc w:val="center"/>
        <w:rPr>
          <w:rFonts w:hint="eastAsia" w:ascii="宋体" w:hAnsi="宋体" w:eastAsia="宋体" w:cs="宋体"/>
          <w:b/>
          <w:spacing w:val="4"/>
          <w:sz w:val="32"/>
          <w:szCs w:val="32"/>
          <w:highlight w:val="none"/>
        </w:rPr>
      </w:pPr>
      <w:r>
        <w:rPr>
          <w:rFonts w:hint="eastAsia" w:ascii="宋体" w:hAnsi="宋体" w:eastAsia="宋体" w:cs="宋体"/>
          <w:b/>
          <w:spacing w:val="4"/>
          <w:sz w:val="32"/>
          <w:szCs w:val="32"/>
          <w:highlight w:val="none"/>
        </w:rPr>
        <w:t>一、谈判响应函</w:t>
      </w:r>
    </w:p>
    <w:p>
      <w:pPr>
        <w:spacing w:line="440" w:lineRule="exact"/>
        <w:jc w:val="left"/>
        <w:rPr>
          <w:rFonts w:hint="eastAsia" w:ascii="宋体" w:hAnsi="宋体" w:eastAsia="宋体" w:cs="宋体"/>
          <w:spacing w:val="4"/>
          <w:sz w:val="24"/>
          <w:highlight w:val="none"/>
        </w:rPr>
      </w:pPr>
    </w:p>
    <w:p>
      <w:pPr>
        <w:spacing w:line="360" w:lineRule="auto"/>
        <w:jc w:val="left"/>
        <w:rPr>
          <w:rFonts w:hint="eastAsia" w:ascii="宋体" w:hAnsi="宋体" w:eastAsia="宋体" w:cs="宋体"/>
          <w:spacing w:val="4"/>
          <w:sz w:val="24"/>
          <w:highlight w:val="none"/>
          <w:u w:val="single"/>
          <w:lang w:eastAsia="zh-CN"/>
        </w:rPr>
      </w:pPr>
      <w:r>
        <w:rPr>
          <w:rFonts w:hint="eastAsia" w:ascii="宋体" w:hAnsi="宋体" w:eastAsia="宋体" w:cs="宋体"/>
          <w:spacing w:val="4"/>
          <w:sz w:val="24"/>
          <w:highlight w:val="none"/>
        </w:rPr>
        <w:t>致：</w:t>
      </w:r>
      <w:r>
        <w:rPr>
          <w:rFonts w:hint="eastAsia" w:ascii="宋体" w:hAnsi="宋体" w:eastAsia="宋体" w:cs="宋体"/>
          <w:spacing w:val="4"/>
          <w:sz w:val="24"/>
          <w:highlight w:val="none"/>
          <w:u w:val="single"/>
          <w:lang w:eastAsia="zh-CN"/>
        </w:rPr>
        <w:t>采购人名称</w:t>
      </w:r>
      <w:r>
        <w:rPr>
          <w:rFonts w:hint="eastAsia" w:ascii="宋体" w:hAnsi="宋体" w:eastAsia="宋体" w:cs="宋体"/>
          <w:spacing w:val="4"/>
          <w:sz w:val="24"/>
          <w:highlight w:val="none"/>
          <w:u w:val="single"/>
          <w:lang w:val="en-US" w:eastAsia="zh-CN"/>
        </w:rPr>
        <w:t>/陕西嘉唐建设项目管理有限公司</w:t>
      </w:r>
    </w:p>
    <w:p>
      <w:pPr>
        <w:spacing w:line="360" w:lineRule="auto"/>
        <w:jc w:val="left"/>
        <w:rPr>
          <w:rFonts w:hint="eastAsia" w:ascii="宋体" w:hAnsi="宋体" w:eastAsia="宋体" w:cs="宋体"/>
          <w:spacing w:val="4"/>
          <w:sz w:val="24"/>
          <w:highlight w:val="none"/>
          <w:u w:val="single"/>
        </w:rPr>
      </w:pPr>
    </w:p>
    <w:p>
      <w:pPr>
        <w:spacing w:line="360" w:lineRule="auto"/>
        <w:ind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rPr>
        <w:t xml:space="preserve">根据贵方“ </w:t>
      </w:r>
      <w:r>
        <w:rPr>
          <w:rFonts w:hint="eastAsia" w:ascii="宋体" w:hAnsi="宋体" w:eastAsia="宋体" w:cs="宋体"/>
          <w:spacing w:val="4"/>
          <w:sz w:val="24"/>
          <w:highlight w:val="none"/>
          <w:u w:val="single"/>
        </w:rPr>
        <w:t xml:space="preserve">  </w:t>
      </w:r>
      <w:r>
        <w:rPr>
          <w:rFonts w:hint="eastAsia" w:ascii="宋体" w:hAnsi="宋体" w:eastAsia="宋体" w:cs="宋体"/>
          <w:color w:val="auto"/>
          <w:spacing w:val="4"/>
          <w:sz w:val="24"/>
          <w:highlight w:val="none"/>
          <w:u w:val="single"/>
        </w:rPr>
        <w:t xml:space="preserve">                   </w:t>
      </w:r>
      <w:r>
        <w:rPr>
          <w:rFonts w:hint="eastAsia" w:ascii="宋体" w:hAnsi="宋体" w:eastAsia="宋体" w:cs="宋体"/>
          <w:color w:val="auto"/>
          <w:spacing w:val="4"/>
          <w:sz w:val="24"/>
          <w:highlight w:val="none"/>
        </w:rPr>
        <w:t>”项目的谈判邀请</w:t>
      </w:r>
      <w:r>
        <w:rPr>
          <w:rFonts w:hint="eastAsia" w:ascii="宋体" w:hAnsi="宋体" w:eastAsia="宋体" w:cs="宋体"/>
          <w:color w:val="auto"/>
          <w:spacing w:val="4"/>
          <w:sz w:val="24"/>
          <w:highlight w:val="none"/>
          <w:u w:val="single"/>
        </w:rPr>
        <w:t>(项目编号：            )</w:t>
      </w:r>
      <w:r>
        <w:rPr>
          <w:rFonts w:hint="eastAsia" w:ascii="宋体" w:hAnsi="宋体" w:eastAsia="宋体" w:cs="宋体"/>
          <w:color w:val="auto"/>
          <w:spacing w:val="4"/>
          <w:sz w:val="24"/>
          <w:highlight w:val="none"/>
        </w:rPr>
        <w:t>，签字代表</w:t>
      </w:r>
      <w:r>
        <w:rPr>
          <w:rFonts w:hint="eastAsia" w:ascii="宋体" w:hAnsi="宋体" w:eastAsia="宋体" w:cs="宋体"/>
          <w:color w:val="auto"/>
          <w:spacing w:val="4"/>
          <w:sz w:val="24"/>
          <w:highlight w:val="none"/>
          <w:u w:val="single"/>
        </w:rPr>
        <w:t>（全名、职务）</w:t>
      </w:r>
      <w:r>
        <w:rPr>
          <w:rFonts w:hint="eastAsia" w:ascii="宋体" w:hAnsi="宋体" w:eastAsia="宋体" w:cs="宋体"/>
          <w:color w:val="auto"/>
          <w:spacing w:val="4"/>
          <w:sz w:val="24"/>
          <w:highlight w:val="none"/>
        </w:rPr>
        <w:t>经正式授权并代表谈判</w:t>
      </w:r>
      <w:r>
        <w:rPr>
          <w:rFonts w:hint="eastAsia" w:ascii="宋体" w:hAnsi="宋体" w:eastAsia="宋体" w:cs="宋体"/>
          <w:color w:val="auto"/>
          <w:spacing w:val="4"/>
          <w:sz w:val="24"/>
          <w:highlight w:val="none"/>
          <w:lang w:eastAsia="zh-CN"/>
        </w:rPr>
        <w:t>供应商</w:t>
      </w:r>
      <w:r>
        <w:rPr>
          <w:rFonts w:hint="eastAsia" w:ascii="宋体" w:hAnsi="宋体" w:eastAsia="宋体" w:cs="宋体"/>
          <w:color w:val="auto"/>
          <w:spacing w:val="4"/>
          <w:sz w:val="24"/>
          <w:highlight w:val="none"/>
          <w:u w:val="single"/>
        </w:rPr>
        <w:t>(谈判</w:t>
      </w:r>
      <w:r>
        <w:rPr>
          <w:rFonts w:hint="eastAsia" w:ascii="宋体" w:hAnsi="宋体" w:eastAsia="宋体" w:cs="宋体"/>
          <w:color w:val="auto"/>
          <w:spacing w:val="4"/>
          <w:sz w:val="24"/>
          <w:highlight w:val="none"/>
          <w:u w:val="single"/>
          <w:lang w:eastAsia="zh-CN"/>
        </w:rPr>
        <w:t>供应商</w:t>
      </w:r>
      <w:r>
        <w:rPr>
          <w:rFonts w:hint="eastAsia" w:ascii="宋体" w:hAnsi="宋体" w:eastAsia="宋体" w:cs="宋体"/>
          <w:color w:val="auto"/>
          <w:spacing w:val="4"/>
          <w:sz w:val="24"/>
          <w:highlight w:val="none"/>
          <w:u w:val="single"/>
        </w:rPr>
        <w:t>名称、地址)</w:t>
      </w:r>
      <w:r>
        <w:rPr>
          <w:rFonts w:hint="eastAsia" w:ascii="宋体" w:hAnsi="宋体" w:eastAsia="宋体" w:cs="宋体"/>
          <w:color w:val="auto"/>
          <w:spacing w:val="4"/>
          <w:sz w:val="24"/>
          <w:highlight w:val="none"/>
        </w:rPr>
        <w:t xml:space="preserve"> 提交竞争性谈判响应文件正本一份、副本一式</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rPr>
        <w:t>份</w:t>
      </w:r>
      <w:r>
        <w:rPr>
          <w:rFonts w:hint="eastAsia" w:ascii="宋体" w:hAnsi="宋体" w:eastAsia="宋体" w:cs="宋体"/>
          <w:color w:val="auto"/>
          <w:spacing w:val="4"/>
          <w:sz w:val="24"/>
          <w:highlight w:val="none"/>
          <w:lang w:eastAsia="zh-CN"/>
        </w:rPr>
        <w:t>，电子版</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u w:val="none"/>
          <w:lang w:val="en-US" w:eastAsia="zh-CN"/>
        </w:rPr>
        <w:t>份，</w:t>
      </w:r>
      <w:r>
        <w:rPr>
          <w:rFonts w:hint="eastAsia" w:ascii="宋体" w:hAnsi="宋体" w:eastAsia="宋体" w:cs="宋体"/>
          <w:color w:val="auto"/>
          <w:spacing w:val="4"/>
          <w:sz w:val="24"/>
          <w:highlight w:val="none"/>
          <w:lang w:eastAsia="zh-CN"/>
        </w:rPr>
        <w:t>报价一览表</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lang w:val="en-US" w:eastAsia="zh-CN"/>
        </w:rPr>
        <w:t>份</w:t>
      </w:r>
      <w:r>
        <w:rPr>
          <w:rFonts w:hint="eastAsia" w:ascii="宋体" w:hAnsi="宋体" w:eastAsia="宋体" w:cs="宋体"/>
          <w:color w:val="auto"/>
          <w:spacing w:val="4"/>
          <w:sz w:val="24"/>
          <w:highlight w:val="none"/>
        </w:rPr>
        <w:t>。</w:t>
      </w:r>
    </w:p>
    <w:p>
      <w:pPr>
        <w:spacing w:line="360" w:lineRule="auto"/>
        <w:ind w:left="549" w:leftChars="251" w:hanging="22" w:hangingChars="9"/>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我方承诺如下：</w:t>
      </w:r>
    </w:p>
    <w:p>
      <w:pPr>
        <w:numPr>
          <w:ilvl w:val="0"/>
          <w:numId w:val="7"/>
        </w:numPr>
        <w:tabs>
          <w:tab w:val="left" w:pos="2160"/>
        </w:tabs>
        <w:spacing w:line="360" w:lineRule="auto"/>
        <w:ind w:left="0" w:firstLine="0"/>
        <w:jc w:val="left"/>
        <w:rPr>
          <w:rFonts w:hint="eastAsia" w:ascii="宋体" w:hAnsi="宋体" w:eastAsia="宋体" w:cs="宋体"/>
          <w:spacing w:val="4"/>
          <w:sz w:val="24"/>
          <w:szCs w:val="24"/>
          <w:highlight w:val="none"/>
        </w:rPr>
      </w:pPr>
      <w:r>
        <w:rPr>
          <w:rFonts w:hint="eastAsia" w:ascii="宋体" w:hAnsi="宋体" w:eastAsia="宋体" w:cs="宋体"/>
          <w:spacing w:val="4"/>
          <w:sz w:val="24"/>
          <w:highlight w:val="none"/>
        </w:rPr>
        <w:t>谈判</w:t>
      </w:r>
      <w:r>
        <w:rPr>
          <w:rFonts w:hint="eastAsia" w:ascii="宋体" w:hAnsi="宋体" w:eastAsia="宋体" w:cs="宋体"/>
          <w:spacing w:val="4"/>
          <w:sz w:val="24"/>
          <w:szCs w:val="24"/>
          <w:highlight w:val="none"/>
        </w:rPr>
        <w:t>报价为</w:t>
      </w:r>
      <w:r>
        <w:rPr>
          <w:rFonts w:hint="eastAsia" w:ascii="宋体" w:hAnsi="宋体" w:eastAsia="宋体" w:cs="宋体"/>
          <w:spacing w:val="4"/>
          <w:sz w:val="24"/>
          <w:szCs w:val="24"/>
          <w:highlight w:val="none"/>
          <w:lang w:eastAsia="zh-CN"/>
        </w:rPr>
        <w:t>小写：</w:t>
      </w: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lang w:eastAsia="zh-CN"/>
        </w:rPr>
        <w:t>大写：</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pacing w:val="4"/>
          <w:sz w:val="24"/>
          <w:szCs w:val="24"/>
          <w:highlight w:val="none"/>
        </w:rPr>
        <w:t>）。</w:t>
      </w:r>
    </w:p>
    <w:p>
      <w:pPr>
        <w:numPr>
          <w:ilvl w:val="0"/>
          <w:numId w:val="7"/>
        </w:numPr>
        <w:tabs>
          <w:tab w:val="left" w:pos="2160"/>
        </w:tabs>
        <w:spacing w:line="360" w:lineRule="auto"/>
        <w:ind w:left="0" w:firstLine="0"/>
        <w:jc w:val="left"/>
        <w:rPr>
          <w:rFonts w:hint="eastAsia" w:ascii="宋体" w:hAnsi="宋体" w:eastAsia="宋体" w:cs="宋体"/>
          <w:spacing w:val="4"/>
          <w:sz w:val="24"/>
          <w:highlight w:val="none"/>
        </w:rPr>
      </w:pPr>
      <w:r>
        <w:rPr>
          <w:rFonts w:hint="eastAsia" w:ascii="宋体" w:hAnsi="宋体" w:eastAsia="宋体" w:cs="宋体"/>
          <w:spacing w:val="4"/>
          <w:sz w:val="24"/>
          <w:szCs w:val="24"/>
          <w:highlight w:val="none"/>
        </w:rPr>
        <w:t>如果成交，我们根据竞争性谈判文件的规定，履行合同的责任和义务</w:t>
      </w:r>
      <w:r>
        <w:rPr>
          <w:rFonts w:hint="eastAsia" w:ascii="宋体" w:hAnsi="宋体" w:eastAsia="宋体" w:cs="宋体"/>
          <w:spacing w:val="4"/>
          <w:sz w:val="24"/>
          <w:highlight w:val="none"/>
        </w:rPr>
        <w:t>。</w:t>
      </w:r>
    </w:p>
    <w:p>
      <w:pPr>
        <w:numPr>
          <w:ilvl w:val="0"/>
          <w:numId w:val="7"/>
        </w:numPr>
        <w:tabs>
          <w:tab w:val="left" w:pos="2160"/>
        </w:tabs>
        <w:spacing w:line="360" w:lineRule="auto"/>
        <w:ind w:left="0" w:firstLine="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我们已详细阅读和审核全部竞争性谈判文件（含修改部分，如有的话），及有关附件，我们知道必须放弃提出含糊不清或误解的问题的权利。</w:t>
      </w:r>
    </w:p>
    <w:p>
      <w:pPr>
        <w:numPr>
          <w:ilvl w:val="0"/>
          <w:numId w:val="7"/>
        </w:numPr>
        <w:tabs>
          <w:tab w:val="left" w:pos="2160"/>
        </w:tabs>
        <w:spacing w:line="360" w:lineRule="auto"/>
        <w:ind w:left="0" w:firstLine="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我们同意在谈判有效期内（自谈判之日起</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u w:val="single"/>
          <w:lang w:val="en-US" w:eastAsia="zh-CN"/>
        </w:rPr>
        <w:t xml:space="preserve">  </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天），本谈判响应函对我方具有约束力。</w:t>
      </w:r>
    </w:p>
    <w:p>
      <w:pPr>
        <w:numPr>
          <w:ilvl w:val="0"/>
          <w:numId w:val="7"/>
        </w:numPr>
        <w:tabs>
          <w:tab w:val="left" w:pos="2160"/>
        </w:tabs>
        <w:spacing w:line="360" w:lineRule="auto"/>
        <w:ind w:left="0" w:firstLine="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 xml:space="preserve">同意提供贵方可能另外要求的与本谈判有关的任何证据和资料。 </w:t>
      </w:r>
    </w:p>
    <w:p>
      <w:pPr>
        <w:numPr>
          <w:ilvl w:val="0"/>
          <w:numId w:val="7"/>
        </w:numPr>
        <w:tabs>
          <w:tab w:val="left" w:pos="2160"/>
        </w:tabs>
        <w:spacing w:line="360" w:lineRule="auto"/>
        <w:ind w:left="0" w:firstLine="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我们同意，如果成交，向</w:t>
      </w:r>
      <w:r>
        <w:rPr>
          <w:rFonts w:hint="eastAsia" w:ascii="宋体" w:hAnsi="宋体" w:eastAsia="宋体" w:cs="宋体"/>
          <w:sz w:val="24"/>
          <w:szCs w:val="24"/>
          <w:highlight w:val="none"/>
        </w:rPr>
        <w:t>陕西嘉唐建设项目管理有限公司</w:t>
      </w:r>
      <w:r>
        <w:rPr>
          <w:rFonts w:hint="eastAsia" w:ascii="宋体" w:hAnsi="宋体" w:eastAsia="宋体" w:cs="宋体"/>
          <w:spacing w:val="4"/>
          <w:sz w:val="24"/>
          <w:highlight w:val="none"/>
        </w:rPr>
        <w:t>交纳</w:t>
      </w:r>
      <w:r>
        <w:rPr>
          <w:rFonts w:hint="eastAsia" w:ascii="宋体" w:hAnsi="宋体" w:eastAsia="宋体" w:cs="宋体"/>
          <w:spacing w:val="4"/>
          <w:sz w:val="24"/>
          <w:highlight w:val="none"/>
          <w:lang w:eastAsia="zh-CN"/>
        </w:rPr>
        <w:t>招标代理服务费</w:t>
      </w:r>
      <w:r>
        <w:rPr>
          <w:rFonts w:hint="eastAsia" w:ascii="宋体" w:hAnsi="宋体" w:eastAsia="宋体" w:cs="宋体"/>
          <w:spacing w:val="4"/>
          <w:sz w:val="24"/>
          <w:highlight w:val="none"/>
        </w:rPr>
        <w:t>。</w:t>
      </w:r>
    </w:p>
    <w:p>
      <w:pPr>
        <w:numPr>
          <w:ilvl w:val="0"/>
          <w:numId w:val="7"/>
        </w:numPr>
        <w:tabs>
          <w:tab w:val="left" w:pos="2160"/>
        </w:tabs>
        <w:spacing w:line="360" w:lineRule="auto"/>
        <w:ind w:left="0" w:firstLine="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与本谈判有关的一切正式往来通讯为：</w:t>
      </w:r>
    </w:p>
    <w:p>
      <w:pPr>
        <w:spacing w:line="360" w:lineRule="auto"/>
        <w:ind w:firstLine="1240" w:firstLineChars="5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联系地址：</w:t>
      </w:r>
    </w:p>
    <w:p>
      <w:pPr>
        <w:spacing w:line="360" w:lineRule="auto"/>
        <w:ind w:firstLine="1240" w:firstLineChars="5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邮政编码：</w:t>
      </w:r>
    </w:p>
    <w:p>
      <w:pPr>
        <w:spacing w:line="360" w:lineRule="auto"/>
        <w:ind w:firstLine="1240" w:firstLineChars="5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电    话：</w:t>
      </w:r>
    </w:p>
    <w:p>
      <w:pPr>
        <w:spacing w:line="360" w:lineRule="auto"/>
        <w:ind w:firstLine="1240" w:firstLineChars="5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传    真：</w:t>
      </w:r>
    </w:p>
    <w:p>
      <w:pPr>
        <w:spacing w:line="360" w:lineRule="auto"/>
        <w:ind w:firstLine="1240" w:firstLineChars="5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谈判</w:t>
      </w:r>
      <w:r>
        <w:rPr>
          <w:rFonts w:hint="eastAsia" w:ascii="宋体" w:hAnsi="宋体" w:eastAsia="宋体" w:cs="宋体"/>
          <w:spacing w:val="4"/>
          <w:sz w:val="24"/>
          <w:highlight w:val="none"/>
          <w:lang w:eastAsia="zh-CN"/>
        </w:rPr>
        <w:t>供应商</w:t>
      </w:r>
      <w:r>
        <w:rPr>
          <w:rFonts w:hint="eastAsia" w:ascii="宋体" w:hAnsi="宋体" w:eastAsia="宋体" w:cs="宋体"/>
          <w:spacing w:val="4"/>
          <w:sz w:val="24"/>
          <w:highlight w:val="none"/>
        </w:rPr>
        <w:t>名称（盖章）：</w:t>
      </w:r>
    </w:p>
    <w:p>
      <w:pPr>
        <w:spacing w:line="360" w:lineRule="auto"/>
        <w:ind w:firstLine="1240" w:firstLineChars="5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lang w:eastAsia="zh-CN"/>
        </w:rPr>
        <w:t>法定代表人</w:t>
      </w:r>
      <w:r>
        <w:rPr>
          <w:rFonts w:hint="eastAsia" w:ascii="宋体" w:hAnsi="宋体" w:eastAsia="宋体" w:cs="宋体"/>
          <w:spacing w:val="4"/>
          <w:sz w:val="24"/>
          <w:highlight w:val="none"/>
          <w:lang w:val="en-US" w:eastAsia="zh-CN"/>
        </w:rPr>
        <w:t>或</w:t>
      </w:r>
      <w:r>
        <w:rPr>
          <w:rFonts w:hint="eastAsia" w:ascii="宋体" w:hAnsi="宋体" w:eastAsia="宋体" w:cs="宋体"/>
          <w:spacing w:val="4"/>
          <w:sz w:val="24"/>
          <w:highlight w:val="none"/>
          <w:lang w:eastAsia="zh-CN"/>
        </w:rPr>
        <w:t>被授权人</w:t>
      </w:r>
      <w:r>
        <w:rPr>
          <w:rFonts w:hint="eastAsia" w:ascii="宋体" w:hAnsi="宋体" w:eastAsia="宋体" w:cs="宋体"/>
          <w:spacing w:val="4"/>
          <w:sz w:val="24"/>
          <w:highlight w:val="none"/>
        </w:rPr>
        <w:t>：</w:t>
      </w:r>
      <w:r>
        <w:rPr>
          <w:rFonts w:hint="eastAsia" w:ascii="宋体" w:hAnsi="宋体" w:eastAsia="宋体" w:cs="宋体"/>
          <w:spacing w:val="4"/>
          <w:sz w:val="24"/>
          <w:highlight w:val="none"/>
          <w:u w:val="single"/>
          <w:lang w:val="en-US" w:eastAsia="zh-CN"/>
        </w:rPr>
        <w:t xml:space="preserve">      </w:t>
      </w:r>
      <w:r>
        <w:rPr>
          <w:rFonts w:hint="eastAsia" w:ascii="宋体" w:hAnsi="宋体" w:eastAsia="宋体" w:cs="宋体"/>
          <w:spacing w:val="4"/>
          <w:sz w:val="24"/>
          <w:highlight w:val="none"/>
          <w:lang w:val="en-US" w:eastAsia="zh-CN"/>
        </w:rPr>
        <w:t>（</w:t>
      </w:r>
      <w:r>
        <w:rPr>
          <w:rFonts w:hint="eastAsia" w:ascii="宋体" w:hAnsi="宋体" w:eastAsia="宋体" w:cs="宋体"/>
          <w:spacing w:val="4"/>
          <w:sz w:val="24"/>
          <w:highlight w:val="none"/>
        </w:rPr>
        <w:t>签字</w:t>
      </w:r>
      <w:r>
        <w:rPr>
          <w:rFonts w:hint="eastAsia" w:ascii="宋体" w:hAnsi="宋体" w:eastAsia="宋体" w:cs="宋体"/>
          <w:spacing w:val="4"/>
          <w:sz w:val="24"/>
          <w:highlight w:val="none"/>
          <w:lang w:eastAsia="zh-CN"/>
        </w:rPr>
        <w:t>或盖章</w:t>
      </w:r>
      <w:r>
        <w:rPr>
          <w:rFonts w:hint="eastAsia" w:ascii="宋体" w:hAnsi="宋体" w:eastAsia="宋体" w:cs="宋体"/>
          <w:spacing w:val="4"/>
          <w:sz w:val="24"/>
          <w:highlight w:val="none"/>
          <w:lang w:val="en-US" w:eastAsia="zh-CN"/>
        </w:rPr>
        <w:t>）</w:t>
      </w:r>
    </w:p>
    <w:p>
      <w:pPr>
        <w:spacing w:line="360" w:lineRule="auto"/>
        <w:ind w:firstLine="1240" w:firstLineChars="5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日    期：</w:t>
      </w:r>
    </w:p>
    <w:p>
      <w:pPr>
        <w:spacing w:line="360" w:lineRule="auto"/>
        <w:rPr>
          <w:rFonts w:hint="eastAsia" w:ascii="宋体" w:hAnsi="宋体" w:eastAsia="宋体" w:cs="宋体"/>
          <w:sz w:val="28"/>
          <w:highlight w:val="none"/>
        </w:rPr>
      </w:pPr>
      <w:r>
        <w:rPr>
          <w:rFonts w:hint="eastAsia" w:ascii="宋体" w:hAnsi="宋体" w:eastAsia="宋体" w:cs="宋体"/>
          <w:sz w:val="28"/>
          <w:highlight w:val="none"/>
        </w:rPr>
        <w:t xml:space="preserve">           </w:t>
      </w:r>
    </w:p>
    <w:p>
      <w:pPr>
        <w:jc w:val="center"/>
        <w:rPr>
          <w:rFonts w:hint="eastAsia" w:ascii="宋体" w:hAnsi="宋体" w:eastAsia="宋体" w:cs="宋体"/>
          <w:b/>
          <w:sz w:val="32"/>
          <w:szCs w:val="32"/>
          <w:highlight w:val="none"/>
        </w:rPr>
      </w:pPr>
      <w:r>
        <w:rPr>
          <w:rFonts w:hint="eastAsia" w:ascii="宋体" w:hAnsi="宋体" w:eastAsia="宋体" w:cs="宋体"/>
          <w:b/>
          <w:sz w:val="28"/>
          <w:highlight w:val="none"/>
        </w:rPr>
        <w:br w:type="page"/>
      </w:r>
      <w:r>
        <w:rPr>
          <w:rFonts w:hint="eastAsia" w:ascii="宋体" w:hAnsi="宋体" w:eastAsia="宋体" w:cs="宋体"/>
          <w:b/>
          <w:sz w:val="32"/>
          <w:szCs w:val="32"/>
          <w:highlight w:val="none"/>
          <w:lang w:eastAsia="zh-CN"/>
        </w:rPr>
        <w:t>二</w:t>
      </w:r>
      <w:r>
        <w:rPr>
          <w:rFonts w:hint="eastAsia" w:ascii="宋体" w:hAnsi="宋体" w:eastAsia="宋体" w:cs="宋体"/>
          <w:b/>
          <w:sz w:val="32"/>
          <w:szCs w:val="32"/>
          <w:highlight w:val="none"/>
        </w:rPr>
        <w:t>、谈判报价表</w:t>
      </w:r>
    </w:p>
    <w:p>
      <w:pPr>
        <w:jc w:val="center"/>
        <w:rPr>
          <w:rFonts w:hint="eastAsia" w:ascii="宋体" w:hAnsi="宋体" w:eastAsia="宋体" w:cs="宋体"/>
          <w:b/>
          <w:sz w:val="36"/>
          <w:szCs w:val="36"/>
          <w:highlight w:val="none"/>
        </w:rPr>
      </w:pPr>
    </w:p>
    <w:p>
      <w:pPr>
        <w:jc w:val="center"/>
        <w:rPr>
          <w:rFonts w:hint="eastAsia" w:ascii="宋体" w:hAnsi="宋体" w:eastAsia="宋体" w:cs="宋体"/>
          <w:sz w:val="30"/>
          <w:szCs w:val="30"/>
          <w:highlight w:val="none"/>
        </w:rPr>
      </w:pPr>
      <w:r>
        <w:rPr>
          <w:rFonts w:hint="eastAsia" w:ascii="宋体" w:hAnsi="宋体" w:eastAsia="宋体" w:cs="宋体"/>
          <w:sz w:val="30"/>
          <w:szCs w:val="30"/>
          <w:highlight w:val="none"/>
          <w:lang w:val="en-US" w:eastAsia="zh-CN"/>
        </w:rPr>
        <w:t>2</w:t>
      </w:r>
      <w:r>
        <w:rPr>
          <w:rFonts w:hint="eastAsia" w:ascii="宋体" w:hAnsi="宋体" w:eastAsia="宋体" w:cs="宋体"/>
          <w:sz w:val="30"/>
          <w:szCs w:val="30"/>
          <w:highlight w:val="none"/>
        </w:rPr>
        <w:t>.1报价一览表</w:t>
      </w:r>
    </w:p>
    <w:p>
      <w:pPr>
        <w:jc w:val="left"/>
        <w:rPr>
          <w:rFonts w:hint="eastAsia" w:ascii="宋体" w:hAnsi="宋体" w:eastAsia="宋体" w:cs="宋体"/>
          <w:sz w:val="24"/>
          <w:highlight w:val="none"/>
        </w:rPr>
      </w:pPr>
      <w:r>
        <w:rPr>
          <w:rFonts w:hint="eastAsia" w:ascii="宋体" w:hAnsi="宋体" w:eastAsia="宋体" w:cs="宋体"/>
          <w:sz w:val="24"/>
          <w:highlight w:val="none"/>
        </w:rPr>
        <w:t xml:space="preserve">                                                </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 xml:space="preserve">名称：                                                 </w:t>
      </w:r>
    </w:p>
    <w:p>
      <w:pPr>
        <w:jc w:val="left"/>
        <w:rPr>
          <w:rFonts w:hint="eastAsia" w:ascii="宋体" w:hAnsi="宋体" w:eastAsia="宋体" w:cs="宋体"/>
          <w:sz w:val="24"/>
          <w:highlight w:val="none"/>
        </w:rPr>
      </w:pPr>
      <w:r>
        <w:rPr>
          <w:rFonts w:hint="eastAsia" w:ascii="宋体" w:hAnsi="宋体" w:eastAsia="宋体" w:cs="宋体"/>
          <w:sz w:val="24"/>
          <w:szCs w:val="24"/>
          <w:highlight w:val="none"/>
        </w:rPr>
        <w:t xml:space="preserve">项目编号：  </w:t>
      </w:r>
      <w:r>
        <w:rPr>
          <w:rFonts w:hint="eastAsia" w:ascii="宋体" w:hAnsi="宋体" w:eastAsia="宋体" w:cs="宋体"/>
          <w:sz w:val="24"/>
          <w:highlight w:val="none"/>
        </w:rPr>
        <w:t xml:space="preserve">                                                  </w:t>
      </w:r>
    </w:p>
    <w:tbl>
      <w:tblPr>
        <w:tblStyle w:val="28"/>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60"/>
        <w:gridCol w:w="1520"/>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2611" w:type="dxa"/>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谈判总报价</w:t>
            </w:r>
          </w:p>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（元）</w:t>
            </w:r>
          </w:p>
        </w:tc>
        <w:tc>
          <w:tcPr>
            <w:tcW w:w="2460" w:type="dxa"/>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交货</w:t>
            </w:r>
            <w:r>
              <w:rPr>
                <w:rFonts w:hint="eastAsia" w:ascii="宋体" w:hAnsi="宋体" w:eastAsia="宋体" w:cs="宋体"/>
                <w:sz w:val="24"/>
                <w:szCs w:val="24"/>
                <w:highlight w:val="none"/>
                <w:lang w:eastAsia="zh-CN"/>
              </w:rPr>
              <w:t>期</w:t>
            </w:r>
          </w:p>
        </w:tc>
        <w:tc>
          <w:tcPr>
            <w:tcW w:w="1520" w:type="dxa"/>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质保期</w:t>
            </w:r>
          </w:p>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（年）</w:t>
            </w:r>
          </w:p>
        </w:tc>
        <w:tc>
          <w:tcPr>
            <w:tcW w:w="2992" w:type="dxa"/>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2611" w:type="dxa"/>
            <w:vAlign w:val="center"/>
          </w:tcPr>
          <w:p>
            <w:pPr>
              <w:jc w:val="center"/>
              <w:rPr>
                <w:rFonts w:hint="eastAsia" w:ascii="宋体" w:hAnsi="宋体" w:eastAsia="宋体" w:cs="宋体"/>
                <w:sz w:val="24"/>
                <w:szCs w:val="24"/>
                <w:highlight w:val="none"/>
              </w:rPr>
            </w:pPr>
          </w:p>
        </w:tc>
        <w:tc>
          <w:tcPr>
            <w:tcW w:w="2460" w:type="dxa"/>
            <w:vAlign w:val="center"/>
          </w:tcPr>
          <w:p>
            <w:pPr>
              <w:jc w:val="center"/>
              <w:rPr>
                <w:rFonts w:hint="eastAsia" w:ascii="宋体" w:hAnsi="宋体" w:eastAsia="宋体" w:cs="宋体"/>
                <w:sz w:val="24"/>
                <w:szCs w:val="24"/>
                <w:highlight w:val="none"/>
              </w:rPr>
            </w:pPr>
          </w:p>
        </w:tc>
        <w:tc>
          <w:tcPr>
            <w:tcW w:w="1520" w:type="dxa"/>
            <w:vAlign w:val="center"/>
          </w:tcPr>
          <w:p>
            <w:pPr>
              <w:jc w:val="center"/>
              <w:rPr>
                <w:rFonts w:hint="eastAsia" w:ascii="宋体" w:hAnsi="宋体" w:eastAsia="宋体" w:cs="宋体"/>
                <w:sz w:val="24"/>
                <w:szCs w:val="24"/>
                <w:highlight w:val="none"/>
              </w:rPr>
            </w:pPr>
          </w:p>
        </w:tc>
        <w:tc>
          <w:tcPr>
            <w:tcW w:w="2992" w:type="dxa"/>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583" w:type="dxa"/>
            <w:gridSpan w:val="4"/>
            <w:vAlign w:val="center"/>
          </w:tcPr>
          <w:p>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总报价：人民币（大写）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583" w:type="dxa"/>
            <w:gridSpan w:val="4"/>
            <w:vAlign w:val="center"/>
          </w:tcPr>
          <w:p>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备注：表内报价内容以元为单位，保留小数点后</w:t>
            </w:r>
            <w:r>
              <w:rPr>
                <w:rFonts w:hint="eastAsia" w:ascii="宋体" w:hAnsi="宋体" w:eastAsia="宋体" w:cs="宋体"/>
                <w:b w:val="0"/>
                <w:bCs/>
                <w:sz w:val="24"/>
                <w:szCs w:val="24"/>
                <w:highlight w:val="none"/>
              </w:rPr>
              <w:t>两位。</w:t>
            </w:r>
          </w:p>
        </w:tc>
      </w:tr>
    </w:tbl>
    <w:p>
      <w:pPr>
        <w:spacing w:line="120" w:lineRule="exact"/>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rPr>
          <w:rFonts w:hint="eastAsia" w:ascii="宋体" w:hAnsi="宋体" w:eastAsia="宋体" w:cs="宋体"/>
          <w:sz w:val="24"/>
          <w:highlight w:val="none"/>
        </w:rPr>
      </w:pPr>
    </w:p>
    <w:p>
      <w:pPr>
        <w:spacing w:line="280" w:lineRule="exact"/>
        <w:ind w:right="540" w:rightChars="257"/>
        <w:jc w:val="left"/>
        <w:rPr>
          <w:rFonts w:hint="eastAsia" w:ascii="宋体" w:hAnsi="宋体" w:eastAsia="宋体" w:cs="宋体"/>
          <w:sz w:val="24"/>
          <w:highlight w:val="none"/>
        </w:rPr>
      </w:pPr>
      <w:r>
        <w:rPr>
          <w:rFonts w:hint="eastAsia" w:ascii="宋体" w:hAnsi="宋体" w:eastAsia="宋体" w:cs="宋体"/>
          <w:sz w:val="24"/>
          <w:highlight w:val="none"/>
        </w:rPr>
        <w:t>谈判</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（加盖单位公章）   </w:t>
      </w:r>
    </w:p>
    <w:p>
      <w:pPr>
        <w:spacing w:line="280" w:lineRule="exact"/>
        <w:ind w:right="540" w:rightChars="257"/>
        <w:jc w:val="left"/>
        <w:rPr>
          <w:rFonts w:hint="eastAsia" w:ascii="宋体" w:hAnsi="宋体" w:eastAsia="宋体" w:cs="宋体"/>
          <w:sz w:val="24"/>
          <w:highlight w:val="none"/>
        </w:rPr>
      </w:pPr>
    </w:p>
    <w:p>
      <w:pPr>
        <w:spacing w:line="280" w:lineRule="exact"/>
        <w:ind w:right="540" w:rightChars="257"/>
        <w:jc w:val="left"/>
        <w:rPr>
          <w:rFonts w:hint="eastAsia" w:ascii="宋体" w:hAnsi="宋体" w:eastAsia="宋体" w:cs="宋体"/>
          <w:sz w:val="24"/>
          <w:highlight w:val="none"/>
        </w:rPr>
      </w:pPr>
    </w:p>
    <w:p>
      <w:pPr>
        <w:spacing w:line="280" w:lineRule="exact"/>
        <w:ind w:right="540" w:rightChars="257"/>
        <w:jc w:val="left"/>
        <w:rPr>
          <w:rFonts w:hint="eastAsia" w:ascii="宋体" w:hAnsi="宋体" w:eastAsia="宋体" w:cs="宋体"/>
          <w:sz w:val="24"/>
          <w:highlight w:val="none"/>
        </w:rPr>
      </w:pPr>
      <w:r>
        <w:rPr>
          <w:rFonts w:hint="eastAsia" w:ascii="宋体" w:hAnsi="宋体" w:eastAsia="宋体" w:cs="宋体"/>
          <w:sz w:val="24"/>
          <w:highlight w:val="none"/>
          <w:lang w:eastAsia="zh-CN"/>
        </w:rPr>
        <w:t>法定代表人</w:t>
      </w:r>
      <w:r>
        <w:rPr>
          <w:rFonts w:hint="eastAsia" w:ascii="宋体" w:hAnsi="宋体" w:eastAsia="宋体" w:cs="宋体"/>
          <w:sz w:val="24"/>
          <w:highlight w:val="none"/>
          <w:lang w:val="en-US" w:eastAsia="zh-CN"/>
        </w:rPr>
        <w:t>或</w:t>
      </w:r>
      <w:r>
        <w:rPr>
          <w:rFonts w:hint="eastAsia" w:ascii="宋体" w:hAnsi="宋体" w:eastAsia="宋体" w:cs="宋体"/>
          <w:sz w:val="24"/>
          <w:highlight w:val="none"/>
          <w:lang w:eastAsia="zh-CN"/>
        </w:rPr>
        <w:t>被授权人</w:t>
      </w:r>
      <w:r>
        <w:rPr>
          <w:rFonts w:hint="eastAsia" w:ascii="宋体" w:hAnsi="宋体" w:eastAsia="宋体" w:cs="宋体"/>
          <w:sz w:val="24"/>
          <w:highlight w:val="non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签字</w:t>
      </w:r>
      <w:r>
        <w:rPr>
          <w:rFonts w:hint="eastAsia" w:ascii="宋体" w:hAnsi="宋体" w:eastAsia="宋体" w:cs="宋体"/>
          <w:sz w:val="24"/>
          <w:highlight w:val="none"/>
          <w:lang w:eastAsia="zh-CN"/>
        </w:rPr>
        <w:t>或盖章</w:t>
      </w:r>
      <w:r>
        <w:rPr>
          <w:rFonts w:hint="eastAsia" w:ascii="宋体" w:hAnsi="宋体" w:eastAsia="宋体" w:cs="宋体"/>
          <w:sz w:val="24"/>
          <w:highlight w:val="none"/>
          <w:lang w:val="en-US" w:eastAsia="zh-CN"/>
        </w:rPr>
        <w:t>）</w:t>
      </w:r>
    </w:p>
    <w:p>
      <w:pPr>
        <w:spacing w:line="280" w:lineRule="exact"/>
        <w:ind w:right="540" w:rightChars="257"/>
        <w:jc w:val="left"/>
        <w:rPr>
          <w:rFonts w:hint="eastAsia" w:ascii="宋体" w:hAnsi="宋体" w:eastAsia="宋体" w:cs="宋体"/>
          <w:sz w:val="24"/>
          <w:highlight w:val="none"/>
        </w:rPr>
      </w:pPr>
    </w:p>
    <w:p>
      <w:pPr>
        <w:spacing w:line="280" w:lineRule="exact"/>
        <w:ind w:right="540" w:rightChars="257"/>
        <w:rPr>
          <w:rFonts w:hint="eastAsia" w:ascii="宋体" w:hAnsi="宋体" w:eastAsia="宋体" w:cs="宋体"/>
          <w:sz w:val="24"/>
          <w:highlight w:val="none"/>
        </w:rPr>
      </w:pPr>
      <w:r>
        <w:rPr>
          <w:rFonts w:hint="eastAsia" w:ascii="宋体" w:hAnsi="宋体" w:eastAsia="宋体" w:cs="宋体"/>
          <w:sz w:val="24"/>
          <w:highlight w:val="none"/>
        </w:rPr>
        <w:t>日    期：</w:t>
      </w:r>
    </w:p>
    <w:p>
      <w:pPr>
        <w:jc w:val="center"/>
        <w:rPr>
          <w:rFonts w:hint="eastAsia" w:ascii="宋体" w:hAnsi="宋体" w:eastAsia="宋体" w:cs="宋体"/>
          <w:sz w:val="30"/>
          <w:szCs w:val="30"/>
          <w:highlight w:val="none"/>
        </w:rPr>
      </w:pPr>
    </w:p>
    <w:p>
      <w:pPr>
        <w:spacing w:before="120" w:beforeLines="50" w:after="120" w:afterLines="50" w:line="400" w:lineRule="atLeast"/>
        <w:rPr>
          <w:rFonts w:hint="eastAsia" w:ascii="宋体" w:hAnsi="宋体" w:eastAsia="宋体" w:cs="宋体"/>
          <w:szCs w:val="21"/>
          <w:highlight w:val="none"/>
          <w:u w:val="single"/>
        </w:rPr>
      </w:pPr>
      <w:r>
        <w:rPr>
          <w:rFonts w:hint="eastAsia" w:ascii="宋体" w:hAnsi="宋体" w:eastAsia="宋体" w:cs="宋体"/>
          <w:sz w:val="24"/>
          <w:highlight w:val="none"/>
        </w:rPr>
        <w:t>注：本表应按“</w:t>
      </w:r>
      <w:r>
        <w:rPr>
          <w:rFonts w:hint="eastAsia" w:ascii="宋体" w:hAnsi="宋体" w:eastAsia="宋体" w:cs="宋体"/>
          <w:sz w:val="24"/>
          <w:highlight w:val="none"/>
          <w:lang w:eastAsia="zh-CN"/>
        </w:rPr>
        <w:t>供应商须知</w:t>
      </w:r>
      <w:r>
        <w:rPr>
          <w:rFonts w:hint="eastAsia" w:ascii="宋体" w:hAnsi="宋体" w:eastAsia="宋体" w:cs="宋体"/>
          <w:sz w:val="24"/>
          <w:highlight w:val="none"/>
        </w:rPr>
        <w:t>”的规定密封单独提交。严格按照表格格式报价。</w:t>
      </w:r>
    </w:p>
    <w:p>
      <w:pPr>
        <w:jc w:val="center"/>
        <w:rPr>
          <w:rFonts w:hint="eastAsia" w:ascii="宋体" w:hAnsi="宋体" w:eastAsia="宋体" w:cs="宋体"/>
          <w:sz w:val="30"/>
          <w:szCs w:val="30"/>
          <w:highlight w:val="none"/>
        </w:rPr>
      </w:pPr>
    </w:p>
    <w:p>
      <w:pPr>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br w:type="page"/>
      </w:r>
      <w:r>
        <w:rPr>
          <w:rFonts w:hint="eastAsia" w:ascii="宋体" w:hAnsi="宋体" w:eastAsia="宋体" w:cs="宋体"/>
          <w:b/>
          <w:bCs/>
          <w:sz w:val="30"/>
          <w:szCs w:val="30"/>
          <w:highlight w:val="none"/>
          <w:lang w:val="en-US" w:eastAsia="zh-CN"/>
        </w:rPr>
        <w:t>2</w:t>
      </w:r>
      <w:r>
        <w:rPr>
          <w:rFonts w:hint="eastAsia" w:ascii="宋体" w:hAnsi="宋体" w:eastAsia="宋体" w:cs="宋体"/>
          <w:b/>
          <w:bCs/>
          <w:sz w:val="30"/>
          <w:szCs w:val="30"/>
          <w:highlight w:val="none"/>
        </w:rPr>
        <w:t>.2谈判分项报价表</w:t>
      </w:r>
    </w:p>
    <w:p>
      <w:pPr>
        <w:jc w:val="center"/>
        <w:rPr>
          <w:rFonts w:hint="eastAsia" w:ascii="宋体" w:hAnsi="宋体" w:eastAsia="宋体" w:cs="宋体"/>
          <w:sz w:val="30"/>
          <w:szCs w:val="30"/>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t xml:space="preserve">项目名称：                                                    </w:t>
      </w:r>
    </w:p>
    <w:p>
      <w:pPr>
        <w:rPr>
          <w:rFonts w:hint="eastAsia" w:ascii="宋体" w:hAnsi="宋体" w:eastAsia="宋体" w:cs="宋体"/>
          <w:sz w:val="24"/>
          <w:highlight w:val="none"/>
        </w:rPr>
      </w:pPr>
      <w:r>
        <w:rPr>
          <w:rFonts w:hint="eastAsia" w:ascii="宋体" w:hAnsi="宋体" w:eastAsia="宋体" w:cs="宋体"/>
          <w:sz w:val="24"/>
          <w:highlight w:val="none"/>
        </w:rPr>
        <w:t>项目编号：</w:t>
      </w:r>
    </w:p>
    <w:p>
      <w:pPr>
        <w:jc w:val="right"/>
        <w:rPr>
          <w:rFonts w:hint="eastAsia" w:ascii="宋体" w:hAnsi="宋体" w:eastAsia="宋体" w:cs="宋体"/>
          <w:sz w:val="24"/>
          <w:highlight w:val="none"/>
        </w:rPr>
      </w:pPr>
      <w:r>
        <w:rPr>
          <w:rFonts w:hint="eastAsia" w:ascii="宋体" w:hAnsi="宋体" w:eastAsia="宋体" w:cs="宋体"/>
          <w:sz w:val="24"/>
          <w:highlight w:val="none"/>
        </w:rPr>
        <w:t>单位：元</w:t>
      </w:r>
    </w:p>
    <w:tbl>
      <w:tblPr>
        <w:tblStyle w:val="28"/>
        <w:tblW w:w="9756" w:type="dxa"/>
        <w:tblInd w:w="-415" w:type="dxa"/>
        <w:tblLayout w:type="fixed"/>
        <w:tblCellMar>
          <w:top w:w="0" w:type="dxa"/>
          <w:left w:w="28" w:type="dxa"/>
          <w:bottom w:w="0" w:type="dxa"/>
          <w:right w:w="28" w:type="dxa"/>
        </w:tblCellMar>
      </w:tblPr>
      <w:tblGrid>
        <w:gridCol w:w="753"/>
        <w:gridCol w:w="557"/>
        <w:gridCol w:w="916"/>
        <w:gridCol w:w="1203"/>
        <w:gridCol w:w="955"/>
        <w:gridCol w:w="1255"/>
        <w:gridCol w:w="1087"/>
        <w:gridCol w:w="901"/>
        <w:gridCol w:w="876"/>
        <w:gridCol w:w="1253"/>
      </w:tblGrid>
      <w:tr>
        <w:tblPrEx>
          <w:tblCellMar>
            <w:top w:w="0" w:type="dxa"/>
            <w:left w:w="28" w:type="dxa"/>
            <w:bottom w:w="0" w:type="dxa"/>
            <w:right w:w="28" w:type="dxa"/>
          </w:tblCellMar>
        </w:tblPrEx>
        <w:trPr>
          <w:trHeight w:val="926" w:hRule="atLeast"/>
        </w:trPr>
        <w:tc>
          <w:tcPr>
            <w:tcW w:w="753" w:type="dxa"/>
            <w:vMerge w:val="restart"/>
            <w:tcBorders>
              <w:top w:val="single" w:color="auto" w:sz="6" w:space="0"/>
              <w:left w:val="single" w:color="auto" w:sz="6" w:space="0"/>
            </w:tcBorders>
            <w:vAlign w:val="center"/>
          </w:tcPr>
          <w:p>
            <w:pPr>
              <w:spacing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w:t>
            </w:r>
          </w:p>
          <w:p>
            <w:pPr>
              <w:spacing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费用</w:t>
            </w:r>
          </w:p>
        </w:tc>
        <w:tc>
          <w:tcPr>
            <w:tcW w:w="557"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szCs w:val="22"/>
                <w:highlight w:val="none"/>
              </w:rPr>
            </w:pPr>
            <w:r>
              <w:rPr>
                <w:rFonts w:hint="eastAsia"/>
                <w:sz w:val="24"/>
                <w:szCs w:val="22"/>
                <w:highlight w:val="none"/>
              </w:rPr>
              <w:t>序号</w:t>
            </w:r>
          </w:p>
        </w:tc>
        <w:tc>
          <w:tcPr>
            <w:tcW w:w="916"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szCs w:val="22"/>
                <w:highlight w:val="none"/>
              </w:rPr>
            </w:pPr>
            <w:r>
              <w:rPr>
                <w:rFonts w:hint="eastAsia"/>
                <w:sz w:val="24"/>
                <w:szCs w:val="22"/>
                <w:highlight w:val="none"/>
              </w:rPr>
              <w:t>名称</w:t>
            </w:r>
          </w:p>
        </w:tc>
        <w:tc>
          <w:tcPr>
            <w:tcW w:w="1203" w:type="dxa"/>
            <w:tcBorders>
              <w:top w:val="single" w:color="auto" w:sz="6" w:space="0"/>
              <w:left w:val="single" w:color="auto" w:sz="6" w:space="0"/>
              <w:bottom w:val="single" w:color="auto" w:sz="6" w:space="0"/>
              <w:right w:val="single" w:color="auto" w:sz="6" w:space="0"/>
            </w:tcBorders>
            <w:vAlign w:val="center"/>
          </w:tcPr>
          <w:p>
            <w:pPr>
              <w:jc w:val="center"/>
              <w:rPr>
                <w:rFonts w:hint="default"/>
                <w:sz w:val="24"/>
                <w:szCs w:val="22"/>
                <w:highlight w:val="none"/>
                <w:lang w:val="en-US" w:eastAsia="zh-CN"/>
              </w:rPr>
            </w:pPr>
            <w:r>
              <w:rPr>
                <w:rFonts w:hint="eastAsia"/>
                <w:sz w:val="24"/>
                <w:szCs w:val="22"/>
                <w:highlight w:val="none"/>
                <w:lang w:val="en-US" w:eastAsia="zh-CN"/>
              </w:rPr>
              <w:t>生产厂家</w:t>
            </w:r>
          </w:p>
        </w:tc>
        <w:tc>
          <w:tcPr>
            <w:tcW w:w="955" w:type="dxa"/>
            <w:tcBorders>
              <w:top w:val="single" w:color="auto" w:sz="6" w:space="0"/>
              <w:left w:val="single" w:color="auto" w:sz="6" w:space="0"/>
              <w:bottom w:val="single" w:color="auto" w:sz="6" w:space="0"/>
              <w:right w:val="single" w:color="auto" w:sz="6" w:space="0"/>
            </w:tcBorders>
            <w:vAlign w:val="center"/>
          </w:tcPr>
          <w:p>
            <w:pPr>
              <w:jc w:val="center"/>
              <w:rPr>
                <w:rFonts w:hint="default"/>
                <w:sz w:val="24"/>
                <w:szCs w:val="22"/>
                <w:highlight w:val="none"/>
                <w:lang w:val="en-US" w:eastAsia="zh-CN"/>
              </w:rPr>
            </w:pPr>
            <w:r>
              <w:rPr>
                <w:rFonts w:hint="eastAsia"/>
                <w:sz w:val="24"/>
                <w:szCs w:val="22"/>
                <w:highlight w:val="none"/>
                <w:lang w:val="en-US" w:eastAsia="zh-CN"/>
              </w:rPr>
              <w:t>品牌</w:t>
            </w:r>
          </w:p>
        </w:tc>
        <w:tc>
          <w:tcPr>
            <w:tcW w:w="1255"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szCs w:val="22"/>
                <w:highlight w:val="none"/>
                <w:lang w:val="en-US" w:eastAsia="zh-CN"/>
              </w:rPr>
            </w:pPr>
            <w:r>
              <w:rPr>
                <w:rFonts w:hint="eastAsia"/>
                <w:sz w:val="24"/>
                <w:szCs w:val="22"/>
                <w:highlight w:val="none"/>
              </w:rPr>
              <w:t>规格型号</w:t>
            </w:r>
          </w:p>
        </w:tc>
        <w:tc>
          <w:tcPr>
            <w:tcW w:w="1087"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szCs w:val="22"/>
                <w:highlight w:val="none"/>
              </w:rPr>
            </w:pPr>
            <w:r>
              <w:rPr>
                <w:rFonts w:hint="eastAsia"/>
                <w:sz w:val="24"/>
                <w:szCs w:val="22"/>
                <w:highlight w:val="none"/>
              </w:rPr>
              <w:t>数量</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szCs w:val="22"/>
                <w:highlight w:val="none"/>
              </w:rPr>
            </w:pPr>
            <w:r>
              <w:rPr>
                <w:rFonts w:hint="eastAsia"/>
                <w:sz w:val="24"/>
                <w:szCs w:val="22"/>
                <w:highlight w:val="none"/>
              </w:rPr>
              <w:t>单位</w:t>
            </w:r>
          </w:p>
        </w:tc>
        <w:tc>
          <w:tcPr>
            <w:tcW w:w="876"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szCs w:val="22"/>
                <w:highlight w:val="none"/>
              </w:rPr>
            </w:pPr>
            <w:r>
              <w:rPr>
                <w:rFonts w:hint="eastAsia"/>
                <w:sz w:val="24"/>
                <w:szCs w:val="22"/>
                <w:highlight w:val="none"/>
              </w:rPr>
              <w:t>单价</w:t>
            </w:r>
          </w:p>
        </w:tc>
        <w:tc>
          <w:tcPr>
            <w:tcW w:w="1253"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szCs w:val="22"/>
                <w:highlight w:val="none"/>
              </w:rPr>
            </w:pPr>
            <w:r>
              <w:rPr>
                <w:rFonts w:hint="eastAsia"/>
                <w:sz w:val="24"/>
                <w:szCs w:val="22"/>
                <w:highlight w:val="none"/>
              </w:rPr>
              <w:t>总价</w:t>
            </w:r>
          </w:p>
        </w:tc>
      </w:tr>
      <w:tr>
        <w:tblPrEx>
          <w:tblCellMar>
            <w:top w:w="0" w:type="dxa"/>
            <w:left w:w="28" w:type="dxa"/>
            <w:bottom w:w="0" w:type="dxa"/>
            <w:right w:w="28" w:type="dxa"/>
          </w:tblCellMar>
        </w:tblPrEx>
        <w:trPr>
          <w:trHeight w:val="1157" w:hRule="atLeast"/>
        </w:trPr>
        <w:tc>
          <w:tcPr>
            <w:tcW w:w="753" w:type="dxa"/>
            <w:vMerge w:val="continue"/>
            <w:tcBorders>
              <w:left w:val="single" w:color="auto" w:sz="6" w:space="0"/>
            </w:tcBorders>
            <w:vAlign w:val="center"/>
          </w:tcPr>
          <w:p>
            <w:pPr>
              <w:spacing w:before="240" w:beforeLines="100"/>
              <w:jc w:val="center"/>
              <w:rPr>
                <w:rFonts w:hint="eastAsia" w:ascii="宋体" w:hAnsi="宋体" w:eastAsia="宋体" w:cs="宋体"/>
                <w:sz w:val="24"/>
                <w:szCs w:val="24"/>
                <w:highlight w:val="none"/>
              </w:rPr>
            </w:pPr>
          </w:p>
        </w:tc>
        <w:tc>
          <w:tcPr>
            <w:tcW w:w="557" w:type="dxa"/>
            <w:tcBorders>
              <w:top w:val="single" w:color="auto" w:sz="6" w:space="0"/>
              <w:left w:val="single" w:color="auto" w:sz="6" w:space="0"/>
              <w:bottom w:val="single" w:color="auto" w:sz="4" w:space="0"/>
              <w:right w:val="single" w:color="auto" w:sz="6" w:space="0"/>
            </w:tcBorders>
            <w:vAlign w:val="center"/>
          </w:tcPr>
          <w:p>
            <w:pPr>
              <w:spacing w:before="120" w:beforeLine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16" w:type="dxa"/>
            <w:tcBorders>
              <w:top w:val="single" w:color="auto" w:sz="6" w:space="0"/>
              <w:left w:val="single" w:color="auto" w:sz="6" w:space="0"/>
              <w:bottom w:val="single" w:color="auto" w:sz="4" w:space="0"/>
              <w:right w:val="single" w:color="auto" w:sz="6" w:space="0"/>
            </w:tcBorders>
            <w:vAlign w:val="center"/>
          </w:tcPr>
          <w:p>
            <w:pPr>
              <w:spacing w:before="120" w:beforeLines="50"/>
              <w:jc w:val="center"/>
              <w:rPr>
                <w:rFonts w:hint="eastAsia" w:ascii="宋体" w:hAnsi="宋体" w:eastAsia="宋体" w:cs="宋体"/>
                <w:sz w:val="24"/>
                <w:szCs w:val="24"/>
                <w:highlight w:val="none"/>
              </w:rPr>
            </w:pPr>
          </w:p>
        </w:tc>
        <w:tc>
          <w:tcPr>
            <w:tcW w:w="1203" w:type="dxa"/>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eastAsia="宋体" w:cs="宋体"/>
                <w:sz w:val="24"/>
                <w:szCs w:val="24"/>
                <w:highlight w:val="none"/>
              </w:rPr>
            </w:pPr>
          </w:p>
        </w:tc>
        <w:tc>
          <w:tcPr>
            <w:tcW w:w="955" w:type="dxa"/>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eastAsia="宋体" w:cs="宋体"/>
                <w:sz w:val="24"/>
                <w:szCs w:val="24"/>
                <w:highlight w:val="none"/>
              </w:rPr>
            </w:pPr>
          </w:p>
        </w:tc>
        <w:tc>
          <w:tcPr>
            <w:tcW w:w="1255" w:type="dxa"/>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eastAsia="宋体" w:cs="宋体"/>
                <w:sz w:val="24"/>
                <w:szCs w:val="24"/>
                <w:highlight w:val="none"/>
              </w:rPr>
            </w:pPr>
          </w:p>
        </w:tc>
        <w:tc>
          <w:tcPr>
            <w:tcW w:w="1087" w:type="dxa"/>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eastAsia="宋体" w:cs="宋体"/>
                <w:sz w:val="24"/>
                <w:szCs w:val="24"/>
                <w:highlight w:val="none"/>
              </w:rPr>
            </w:pPr>
          </w:p>
        </w:tc>
        <w:tc>
          <w:tcPr>
            <w:tcW w:w="901" w:type="dxa"/>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eastAsia="宋体" w:cs="宋体"/>
                <w:sz w:val="24"/>
                <w:szCs w:val="24"/>
                <w:highlight w:val="none"/>
              </w:rPr>
            </w:pPr>
          </w:p>
        </w:tc>
        <w:tc>
          <w:tcPr>
            <w:tcW w:w="876" w:type="dxa"/>
            <w:tcBorders>
              <w:top w:val="single" w:color="auto" w:sz="6" w:space="0"/>
              <w:left w:val="single" w:color="auto" w:sz="6" w:space="0"/>
              <w:bottom w:val="single" w:color="auto" w:sz="4" w:space="0"/>
              <w:right w:val="single" w:color="auto" w:sz="6" w:space="0"/>
            </w:tcBorders>
            <w:vAlign w:val="center"/>
          </w:tcPr>
          <w:p>
            <w:pPr>
              <w:spacing w:before="120" w:beforeLines="50"/>
              <w:jc w:val="center"/>
              <w:rPr>
                <w:rFonts w:hint="eastAsia" w:ascii="宋体" w:hAnsi="宋体" w:eastAsia="宋体" w:cs="宋体"/>
                <w:sz w:val="24"/>
                <w:szCs w:val="24"/>
                <w:highlight w:val="none"/>
              </w:rPr>
            </w:pPr>
          </w:p>
        </w:tc>
        <w:tc>
          <w:tcPr>
            <w:tcW w:w="1253" w:type="dxa"/>
            <w:tcBorders>
              <w:top w:val="single" w:color="auto" w:sz="6" w:space="0"/>
              <w:left w:val="single" w:color="auto" w:sz="6" w:space="0"/>
              <w:bottom w:val="single" w:color="auto" w:sz="4" w:space="0"/>
              <w:right w:val="single" w:color="auto" w:sz="6" w:space="0"/>
            </w:tcBorders>
            <w:vAlign w:val="center"/>
          </w:tcPr>
          <w:p>
            <w:pPr>
              <w:spacing w:before="120" w:beforeLines="50"/>
              <w:jc w:val="center"/>
              <w:rPr>
                <w:rFonts w:hint="eastAsia" w:ascii="宋体" w:hAnsi="宋体" w:eastAsia="宋体" w:cs="宋体"/>
                <w:sz w:val="24"/>
                <w:szCs w:val="24"/>
                <w:highlight w:val="none"/>
              </w:rPr>
            </w:pPr>
          </w:p>
        </w:tc>
      </w:tr>
      <w:tr>
        <w:tblPrEx>
          <w:tblCellMar>
            <w:top w:w="0" w:type="dxa"/>
            <w:left w:w="28" w:type="dxa"/>
            <w:bottom w:w="0" w:type="dxa"/>
            <w:right w:w="28" w:type="dxa"/>
          </w:tblCellMar>
        </w:tblPrEx>
        <w:trPr>
          <w:trHeight w:val="967" w:hRule="atLeast"/>
        </w:trPr>
        <w:tc>
          <w:tcPr>
            <w:tcW w:w="753" w:type="dxa"/>
            <w:vMerge w:val="continue"/>
            <w:tcBorders>
              <w:left w:val="single" w:color="auto" w:sz="6" w:space="0"/>
            </w:tcBorders>
            <w:vAlign w:val="center"/>
          </w:tcPr>
          <w:p>
            <w:pPr>
              <w:spacing w:before="240" w:beforeLines="100"/>
              <w:jc w:val="center"/>
              <w:rPr>
                <w:rFonts w:hint="eastAsia" w:ascii="宋体" w:hAnsi="宋体" w:eastAsia="宋体" w:cs="宋体"/>
                <w:sz w:val="24"/>
                <w:szCs w:val="24"/>
                <w:highlight w:val="none"/>
              </w:rPr>
            </w:pPr>
          </w:p>
        </w:tc>
        <w:tc>
          <w:tcPr>
            <w:tcW w:w="557" w:type="dxa"/>
            <w:tcBorders>
              <w:top w:val="single" w:color="auto" w:sz="4" w:space="0"/>
              <w:left w:val="single" w:color="auto" w:sz="6" w:space="0"/>
              <w:bottom w:val="single" w:color="auto" w:sz="4" w:space="0"/>
              <w:right w:val="single" w:color="auto" w:sz="6" w:space="0"/>
            </w:tcBorders>
            <w:vAlign w:val="center"/>
          </w:tcPr>
          <w:p>
            <w:pPr>
              <w:spacing w:before="240" w:beforeLine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916"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sz w:val="24"/>
                <w:szCs w:val="24"/>
                <w:highlight w:val="none"/>
              </w:rPr>
            </w:pPr>
          </w:p>
        </w:tc>
        <w:tc>
          <w:tcPr>
            <w:tcW w:w="120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sz w:val="24"/>
                <w:szCs w:val="24"/>
                <w:highlight w:val="none"/>
              </w:rPr>
            </w:pPr>
          </w:p>
        </w:tc>
        <w:tc>
          <w:tcPr>
            <w:tcW w:w="955"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sz w:val="24"/>
                <w:szCs w:val="24"/>
                <w:highlight w:val="none"/>
              </w:rPr>
            </w:pPr>
          </w:p>
        </w:tc>
        <w:tc>
          <w:tcPr>
            <w:tcW w:w="1255"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sz w:val="24"/>
                <w:szCs w:val="24"/>
                <w:highlight w:val="none"/>
              </w:rPr>
            </w:pPr>
          </w:p>
        </w:tc>
        <w:tc>
          <w:tcPr>
            <w:tcW w:w="1087"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sz w:val="24"/>
                <w:szCs w:val="24"/>
                <w:highlight w:val="none"/>
                <w:lang w:val="en-US" w:eastAsia="zh-CN"/>
              </w:rPr>
            </w:pPr>
          </w:p>
        </w:tc>
        <w:tc>
          <w:tcPr>
            <w:tcW w:w="901" w:type="dxa"/>
            <w:tcBorders>
              <w:top w:val="single" w:color="auto" w:sz="4" w:space="0"/>
              <w:left w:val="single" w:color="auto" w:sz="6" w:space="0"/>
              <w:bottom w:val="single" w:color="auto" w:sz="4" w:space="0"/>
              <w:right w:val="single" w:color="auto" w:sz="6" w:space="0"/>
            </w:tcBorders>
            <w:vAlign w:val="center"/>
          </w:tcPr>
          <w:p>
            <w:pPr>
              <w:jc w:val="center"/>
              <w:rPr>
                <w:rFonts w:hint="eastAsia" w:ascii="宋体" w:hAnsi="宋体" w:eastAsia="宋体" w:cs="宋体"/>
                <w:sz w:val="24"/>
                <w:szCs w:val="24"/>
                <w:highlight w:val="none"/>
              </w:rPr>
            </w:pPr>
          </w:p>
        </w:tc>
        <w:tc>
          <w:tcPr>
            <w:tcW w:w="876" w:type="dxa"/>
            <w:tcBorders>
              <w:top w:val="single" w:color="auto" w:sz="4" w:space="0"/>
              <w:left w:val="single" w:color="auto" w:sz="6" w:space="0"/>
              <w:bottom w:val="single" w:color="auto" w:sz="4" w:space="0"/>
              <w:right w:val="single" w:color="auto" w:sz="6" w:space="0"/>
            </w:tcBorders>
            <w:vAlign w:val="center"/>
          </w:tcPr>
          <w:p>
            <w:pPr>
              <w:spacing w:before="120" w:beforeLines="50"/>
              <w:jc w:val="center"/>
              <w:rPr>
                <w:rFonts w:hint="eastAsia" w:ascii="宋体" w:hAnsi="宋体" w:eastAsia="宋体" w:cs="宋体"/>
                <w:sz w:val="24"/>
                <w:szCs w:val="24"/>
                <w:highlight w:val="none"/>
              </w:rPr>
            </w:pPr>
          </w:p>
        </w:tc>
        <w:tc>
          <w:tcPr>
            <w:tcW w:w="1253" w:type="dxa"/>
            <w:tcBorders>
              <w:top w:val="single" w:color="auto" w:sz="4" w:space="0"/>
              <w:left w:val="single" w:color="auto" w:sz="6" w:space="0"/>
              <w:bottom w:val="single" w:color="auto" w:sz="4" w:space="0"/>
              <w:right w:val="single" w:color="auto" w:sz="6" w:space="0"/>
            </w:tcBorders>
            <w:vAlign w:val="center"/>
          </w:tcPr>
          <w:p>
            <w:pPr>
              <w:spacing w:before="120" w:beforeLines="50"/>
              <w:jc w:val="center"/>
              <w:rPr>
                <w:rFonts w:hint="eastAsia" w:ascii="宋体" w:hAnsi="宋体" w:eastAsia="宋体" w:cs="宋体"/>
                <w:sz w:val="24"/>
                <w:szCs w:val="24"/>
                <w:highlight w:val="none"/>
              </w:rPr>
            </w:pPr>
          </w:p>
        </w:tc>
      </w:tr>
      <w:tr>
        <w:tblPrEx>
          <w:tblCellMar>
            <w:top w:w="0" w:type="dxa"/>
            <w:left w:w="28" w:type="dxa"/>
            <w:bottom w:w="0" w:type="dxa"/>
            <w:right w:w="28" w:type="dxa"/>
          </w:tblCellMar>
        </w:tblPrEx>
        <w:trPr>
          <w:trHeight w:val="1016" w:hRule="atLeast"/>
        </w:trPr>
        <w:tc>
          <w:tcPr>
            <w:tcW w:w="753" w:type="dxa"/>
            <w:vMerge w:val="continue"/>
            <w:tcBorders>
              <w:left w:val="single" w:color="auto" w:sz="6" w:space="0"/>
            </w:tcBorders>
            <w:vAlign w:val="center"/>
          </w:tcPr>
          <w:p>
            <w:pPr>
              <w:spacing w:before="240" w:beforeLines="100"/>
              <w:jc w:val="center"/>
              <w:rPr>
                <w:rFonts w:hint="eastAsia" w:ascii="宋体" w:hAnsi="宋体" w:eastAsia="宋体" w:cs="宋体"/>
                <w:sz w:val="24"/>
                <w:szCs w:val="24"/>
                <w:highlight w:val="none"/>
              </w:rPr>
            </w:pPr>
          </w:p>
        </w:tc>
        <w:tc>
          <w:tcPr>
            <w:tcW w:w="557" w:type="dxa"/>
            <w:tcBorders>
              <w:top w:val="single" w:color="auto" w:sz="4" w:space="0"/>
              <w:left w:val="single" w:color="auto" w:sz="6" w:space="0"/>
              <w:bottom w:val="single" w:color="auto" w:sz="6" w:space="0"/>
              <w:right w:val="single" w:color="auto" w:sz="6" w:space="0"/>
            </w:tcBorders>
            <w:vAlign w:val="center"/>
          </w:tcPr>
          <w:p>
            <w:pPr>
              <w:spacing w:before="240" w:beforeLine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916"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highlight w:val="none"/>
              </w:rPr>
            </w:pPr>
          </w:p>
        </w:tc>
        <w:tc>
          <w:tcPr>
            <w:tcW w:w="120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highlight w:val="none"/>
              </w:rPr>
            </w:pPr>
          </w:p>
        </w:tc>
        <w:tc>
          <w:tcPr>
            <w:tcW w:w="955"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highlight w:val="none"/>
              </w:rPr>
            </w:pPr>
          </w:p>
        </w:tc>
        <w:tc>
          <w:tcPr>
            <w:tcW w:w="1255"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highlight w:val="none"/>
              </w:rPr>
            </w:pPr>
          </w:p>
        </w:tc>
        <w:tc>
          <w:tcPr>
            <w:tcW w:w="1087"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highlight w:val="none"/>
              </w:rPr>
            </w:pPr>
          </w:p>
        </w:tc>
        <w:tc>
          <w:tcPr>
            <w:tcW w:w="901"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highlight w:val="none"/>
              </w:rPr>
            </w:pPr>
          </w:p>
        </w:tc>
        <w:tc>
          <w:tcPr>
            <w:tcW w:w="876"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szCs w:val="24"/>
                <w:highlight w:val="none"/>
              </w:rPr>
            </w:pPr>
          </w:p>
        </w:tc>
        <w:tc>
          <w:tcPr>
            <w:tcW w:w="1253"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szCs w:val="24"/>
                <w:highlight w:val="none"/>
              </w:rPr>
            </w:pPr>
          </w:p>
        </w:tc>
      </w:tr>
      <w:tr>
        <w:tblPrEx>
          <w:tblCellMar>
            <w:top w:w="0" w:type="dxa"/>
            <w:left w:w="28" w:type="dxa"/>
            <w:bottom w:w="0" w:type="dxa"/>
            <w:right w:w="28" w:type="dxa"/>
          </w:tblCellMar>
        </w:tblPrEx>
        <w:trPr>
          <w:trHeight w:val="1029" w:hRule="atLeast"/>
        </w:trPr>
        <w:tc>
          <w:tcPr>
            <w:tcW w:w="753" w:type="dxa"/>
            <w:vMerge w:val="continue"/>
            <w:tcBorders>
              <w:left w:val="single" w:color="auto" w:sz="6" w:space="0"/>
            </w:tcBorders>
            <w:vAlign w:val="center"/>
          </w:tcPr>
          <w:p>
            <w:pPr>
              <w:spacing w:before="240" w:beforeLines="100"/>
              <w:jc w:val="center"/>
              <w:rPr>
                <w:rFonts w:hint="eastAsia" w:ascii="宋体" w:hAnsi="宋体" w:eastAsia="宋体" w:cs="宋体"/>
                <w:sz w:val="24"/>
                <w:szCs w:val="24"/>
                <w:highlight w:val="none"/>
              </w:rPr>
            </w:pPr>
          </w:p>
        </w:tc>
        <w:tc>
          <w:tcPr>
            <w:tcW w:w="557" w:type="dxa"/>
            <w:tcBorders>
              <w:top w:val="single" w:color="auto" w:sz="4" w:space="0"/>
              <w:left w:val="single" w:color="auto" w:sz="6" w:space="0"/>
              <w:bottom w:val="single" w:color="auto" w:sz="6" w:space="0"/>
              <w:right w:val="single" w:color="auto" w:sz="6" w:space="0"/>
            </w:tcBorders>
            <w:vAlign w:val="center"/>
          </w:tcPr>
          <w:p>
            <w:pPr>
              <w:spacing w:before="240" w:beforeLine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916"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highlight w:val="none"/>
              </w:rPr>
            </w:pPr>
          </w:p>
        </w:tc>
        <w:tc>
          <w:tcPr>
            <w:tcW w:w="120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highlight w:val="none"/>
              </w:rPr>
            </w:pPr>
          </w:p>
        </w:tc>
        <w:tc>
          <w:tcPr>
            <w:tcW w:w="955"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highlight w:val="none"/>
              </w:rPr>
            </w:pPr>
          </w:p>
        </w:tc>
        <w:tc>
          <w:tcPr>
            <w:tcW w:w="1255"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highlight w:val="none"/>
              </w:rPr>
            </w:pPr>
          </w:p>
        </w:tc>
        <w:tc>
          <w:tcPr>
            <w:tcW w:w="1087"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highlight w:val="none"/>
              </w:rPr>
            </w:pPr>
          </w:p>
        </w:tc>
        <w:tc>
          <w:tcPr>
            <w:tcW w:w="901"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highlight w:val="none"/>
              </w:rPr>
            </w:pPr>
          </w:p>
        </w:tc>
        <w:tc>
          <w:tcPr>
            <w:tcW w:w="876"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szCs w:val="24"/>
                <w:highlight w:val="none"/>
              </w:rPr>
            </w:pPr>
          </w:p>
        </w:tc>
        <w:tc>
          <w:tcPr>
            <w:tcW w:w="1253"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szCs w:val="24"/>
                <w:highlight w:val="none"/>
              </w:rPr>
            </w:pPr>
          </w:p>
        </w:tc>
      </w:tr>
      <w:tr>
        <w:tblPrEx>
          <w:tblCellMar>
            <w:top w:w="0" w:type="dxa"/>
            <w:left w:w="28" w:type="dxa"/>
            <w:bottom w:w="0" w:type="dxa"/>
            <w:right w:w="28" w:type="dxa"/>
          </w:tblCellMar>
        </w:tblPrEx>
        <w:trPr>
          <w:trHeight w:val="916" w:hRule="atLeast"/>
        </w:trPr>
        <w:tc>
          <w:tcPr>
            <w:tcW w:w="2226" w:type="dxa"/>
            <w:gridSpan w:val="3"/>
            <w:tcBorders>
              <w:top w:val="single" w:color="auto" w:sz="4" w:space="0"/>
              <w:left w:val="single" w:color="auto" w:sz="6" w:space="0"/>
              <w:bottom w:val="single" w:color="auto" w:sz="4" w:space="0"/>
              <w:right w:val="single" w:color="auto" w:sz="4" w:space="0"/>
            </w:tcBorders>
            <w:vAlign w:val="center"/>
          </w:tcPr>
          <w:p>
            <w:pPr>
              <w:spacing w:before="120" w:beforeLines="50"/>
              <w:jc w:val="center"/>
              <w:rPr>
                <w:rFonts w:hint="eastAsia" w:ascii="宋体" w:hAnsi="宋体" w:eastAsia="宋体" w:cs="宋体"/>
                <w:sz w:val="24"/>
                <w:highlight w:val="none"/>
              </w:rPr>
            </w:pPr>
            <w:r>
              <w:rPr>
                <w:rFonts w:hint="eastAsia" w:ascii="宋体" w:hAnsi="宋体" w:eastAsia="宋体" w:cs="宋体"/>
                <w:sz w:val="24"/>
                <w:highlight w:val="none"/>
              </w:rPr>
              <w:t>合计</w:t>
            </w:r>
          </w:p>
        </w:tc>
        <w:tc>
          <w:tcPr>
            <w:tcW w:w="7530" w:type="dxa"/>
            <w:gridSpan w:val="7"/>
            <w:tcBorders>
              <w:top w:val="single" w:color="auto" w:sz="4" w:space="0"/>
              <w:left w:val="single" w:color="auto" w:sz="4" w:space="0"/>
              <w:bottom w:val="single" w:color="auto" w:sz="4" w:space="0"/>
              <w:right w:val="single" w:color="auto" w:sz="6" w:space="0"/>
            </w:tcBorders>
            <w:vAlign w:val="center"/>
          </w:tcPr>
          <w:p>
            <w:pPr>
              <w:spacing w:before="120" w:beforeLines="50"/>
              <w:jc w:val="both"/>
              <w:rPr>
                <w:rFonts w:hint="eastAsia" w:ascii="宋体" w:hAnsi="宋体" w:eastAsia="宋体" w:cs="宋体"/>
                <w:sz w:val="24"/>
                <w:highlight w:val="none"/>
              </w:rPr>
            </w:pPr>
            <w:r>
              <w:rPr>
                <w:rFonts w:hint="eastAsia" w:ascii="宋体" w:hAnsi="宋体" w:eastAsia="宋体" w:cs="宋体"/>
                <w:sz w:val="24"/>
                <w:highlight w:val="none"/>
              </w:rPr>
              <w:t xml:space="preserve"> 大写：                            小写：      </w:t>
            </w:r>
          </w:p>
        </w:tc>
      </w:tr>
      <w:tr>
        <w:tblPrEx>
          <w:tblCellMar>
            <w:top w:w="0" w:type="dxa"/>
            <w:left w:w="28" w:type="dxa"/>
            <w:bottom w:w="0" w:type="dxa"/>
            <w:right w:w="28" w:type="dxa"/>
          </w:tblCellMar>
        </w:tblPrEx>
        <w:trPr>
          <w:trHeight w:val="1005" w:hRule="atLeast"/>
        </w:trPr>
        <w:tc>
          <w:tcPr>
            <w:tcW w:w="2226" w:type="dxa"/>
            <w:gridSpan w:val="3"/>
            <w:tcBorders>
              <w:top w:val="single" w:color="auto" w:sz="4" w:space="0"/>
              <w:left w:val="single" w:color="auto" w:sz="6" w:space="0"/>
              <w:bottom w:val="single" w:color="auto" w:sz="6" w:space="0"/>
              <w:right w:val="single" w:color="auto" w:sz="4" w:space="0"/>
            </w:tcBorders>
            <w:vAlign w:val="center"/>
          </w:tcPr>
          <w:p>
            <w:pPr>
              <w:spacing w:before="120" w:beforeLines="50"/>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7530" w:type="dxa"/>
            <w:gridSpan w:val="7"/>
            <w:tcBorders>
              <w:top w:val="single" w:color="auto" w:sz="4" w:space="0"/>
              <w:left w:val="single" w:color="auto" w:sz="4" w:space="0"/>
              <w:bottom w:val="single" w:color="auto" w:sz="6" w:space="0"/>
              <w:right w:val="single" w:color="auto" w:sz="6" w:space="0"/>
            </w:tcBorders>
            <w:vAlign w:val="center"/>
          </w:tcPr>
          <w:p>
            <w:pPr>
              <w:spacing w:before="120" w:beforeLines="50"/>
              <w:jc w:val="both"/>
              <w:rPr>
                <w:rFonts w:hint="eastAsia" w:ascii="宋体" w:hAnsi="宋体" w:eastAsia="宋体" w:cs="宋体"/>
                <w:sz w:val="24"/>
                <w:highlight w:val="none"/>
              </w:rPr>
            </w:pPr>
            <w:r>
              <w:rPr>
                <w:rFonts w:hint="eastAsia" w:ascii="宋体" w:hAnsi="宋体" w:eastAsia="宋体" w:cs="宋体"/>
                <w:sz w:val="24"/>
                <w:highlight w:val="none"/>
              </w:rPr>
              <w:t>表内报价内容以元为单位，保留小数点后两位。</w:t>
            </w:r>
          </w:p>
        </w:tc>
      </w:tr>
    </w:tbl>
    <w:p>
      <w:pPr>
        <w:spacing w:line="280" w:lineRule="exact"/>
        <w:ind w:right="540" w:rightChars="257"/>
        <w:jc w:val="left"/>
        <w:rPr>
          <w:rFonts w:hint="eastAsia" w:ascii="宋体" w:hAnsi="宋体" w:eastAsia="宋体" w:cs="宋体"/>
          <w:sz w:val="24"/>
          <w:highlight w:val="none"/>
        </w:rPr>
      </w:pPr>
    </w:p>
    <w:p>
      <w:pPr>
        <w:spacing w:line="280" w:lineRule="exact"/>
        <w:ind w:right="540" w:rightChars="257"/>
        <w:jc w:val="left"/>
        <w:rPr>
          <w:rFonts w:hint="eastAsia" w:ascii="宋体" w:hAnsi="宋体" w:eastAsia="宋体" w:cs="宋体"/>
          <w:sz w:val="24"/>
          <w:highlight w:val="none"/>
          <w:u w:val="single"/>
        </w:rPr>
      </w:pPr>
      <w:r>
        <w:rPr>
          <w:rFonts w:hint="eastAsia" w:ascii="宋体" w:hAnsi="宋体" w:eastAsia="宋体" w:cs="宋体"/>
          <w:sz w:val="24"/>
          <w:highlight w:val="none"/>
        </w:rPr>
        <w:t>谈判</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（加盖单位公章）      </w:t>
      </w:r>
    </w:p>
    <w:p>
      <w:pPr>
        <w:spacing w:line="280" w:lineRule="exact"/>
        <w:ind w:right="540" w:rightChars="257"/>
        <w:jc w:val="left"/>
        <w:rPr>
          <w:rFonts w:hint="eastAsia" w:ascii="宋体" w:hAnsi="宋体" w:eastAsia="宋体" w:cs="宋体"/>
          <w:sz w:val="24"/>
          <w:highlight w:val="none"/>
        </w:rPr>
      </w:pPr>
    </w:p>
    <w:p>
      <w:pPr>
        <w:spacing w:line="280" w:lineRule="exact"/>
        <w:ind w:right="540" w:rightChars="257"/>
        <w:jc w:val="left"/>
        <w:rPr>
          <w:rFonts w:hint="eastAsia" w:ascii="宋体" w:hAnsi="宋体" w:eastAsia="宋体" w:cs="宋体"/>
          <w:sz w:val="24"/>
          <w:highlight w:val="none"/>
        </w:rPr>
      </w:pPr>
      <w:r>
        <w:rPr>
          <w:rFonts w:hint="eastAsia" w:ascii="宋体" w:hAnsi="宋体" w:eastAsia="宋体" w:cs="宋体"/>
          <w:sz w:val="24"/>
          <w:highlight w:val="none"/>
          <w:lang w:eastAsia="zh-CN"/>
        </w:rPr>
        <w:t>法定代表人</w:t>
      </w:r>
      <w:r>
        <w:rPr>
          <w:rFonts w:hint="eastAsia" w:ascii="宋体" w:hAnsi="宋体" w:eastAsia="宋体" w:cs="宋体"/>
          <w:sz w:val="24"/>
          <w:highlight w:val="none"/>
          <w:lang w:val="en-US" w:eastAsia="zh-CN"/>
        </w:rPr>
        <w:t>或</w:t>
      </w:r>
      <w:r>
        <w:rPr>
          <w:rFonts w:hint="eastAsia" w:ascii="宋体" w:hAnsi="宋体" w:eastAsia="宋体" w:cs="宋体"/>
          <w:sz w:val="24"/>
          <w:highlight w:val="none"/>
          <w:lang w:eastAsia="zh-CN"/>
        </w:rPr>
        <w:t>被授权人</w:t>
      </w:r>
      <w:r>
        <w:rPr>
          <w:rFonts w:hint="eastAsia" w:ascii="宋体" w:hAnsi="宋体" w:eastAsia="宋体" w:cs="宋体"/>
          <w:sz w:val="24"/>
          <w:highlight w:val="non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签字</w:t>
      </w:r>
      <w:r>
        <w:rPr>
          <w:rFonts w:hint="eastAsia" w:ascii="宋体" w:hAnsi="宋体" w:eastAsia="宋体" w:cs="宋体"/>
          <w:sz w:val="24"/>
          <w:highlight w:val="none"/>
          <w:lang w:eastAsia="zh-CN"/>
        </w:rPr>
        <w:t>或盖章</w:t>
      </w:r>
      <w:r>
        <w:rPr>
          <w:rFonts w:hint="eastAsia" w:ascii="宋体" w:hAnsi="宋体" w:eastAsia="宋体" w:cs="宋体"/>
          <w:sz w:val="24"/>
          <w:highlight w:val="none"/>
          <w:lang w:val="en-US" w:eastAsia="zh-CN"/>
        </w:rPr>
        <w:t>）</w:t>
      </w:r>
    </w:p>
    <w:p>
      <w:pPr>
        <w:spacing w:line="280" w:lineRule="exact"/>
        <w:ind w:right="540" w:rightChars="257"/>
        <w:jc w:val="left"/>
        <w:rPr>
          <w:rFonts w:hint="eastAsia" w:ascii="宋体" w:hAnsi="宋体" w:eastAsia="宋体" w:cs="宋体"/>
          <w:sz w:val="24"/>
          <w:highlight w:val="none"/>
        </w:rPr>
      </w:pPr>
    </w:p>
    <w:p>
      <w:pPr>
        <w:spacing w:line="280" w:lineRule="exact"/>
        <w:ind w:right="540" w:rightChars="257"/>
        <w:rPr>
          <w:rFonts w:hint="eastAsia" w:ascii="宋体" w:hAnsi="宋体" w:eastAsia="宋体" w:cs="宋体"/>
          <w:sz w:val="24"/>
          <w:highlight w:val="none"/>
        </w:rPr>
      </w:pPr>
      <w:r>
        <w:rPr>
          <w:rFonts w:hint="eastAsia" w:ascii="宋体" w:hAnsi="宋体" w:eastAsia="宋体" w:cs="宋体"/>
          <w:sz w:val="24"/>
          <w:highlight w:val="none"/>
        </w:rPr>
        <w:t>日    期：</w:t>
      </w:r>
    </w:p>
    <w:p>
      <w:pPr>
        <w:spacing w:line="440" w:lineRule="exact"/>
        <w:rPr>
          <w:rFonts w:hint="eastAsia" w:ascii="宋体" w:hAnsi="宋体" w:eastAsia="宋体" w:cs="宋体"/>
          <w:sz w:val="36"/>
          <w:highlight w:val="none"/>
        </w:rPr>
      </w:pPr>
    </w:p>
    <w:p>
      <w:pPr>
        <w:spacing w:line="440" w:lineRule="exact"/>
        <w:rPr>
          <w:rFonts w:hint="eastAsia" w:ascii="宋体" w:hAnsi="宋体" w:eastAsia="宋体" w:cs="宋体"/>
          <w:sz w:val="24"/>
          <w:highlight w:val="none"/>
        </w:rPr>
      </w:pPr>
      <w:r>
        <w:rPr>
          <w:rFonts w:hint="eastAsia" w:ascii="宋体" w:hAnsi="宋体" w:eastAsia="宋体" w:cs="宋体"/>
          <w:sz w:val="24"/>
          <w:highlight w:val="none"/>
        </w:rPr>
        <w:t>注：1. 如果按单价计算的结果与总价不一致，以单价为准修正总价。</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2．如果不提供详细分项报价将视为没有实质性响应竞争性谈判文件。</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可适当调整该表格式，但不得减少信息内容。</w:t>
      </w:r>
    </w:p>
    <w:p>
      <w:pPr>
        <w:spacing w:line="360" w:lineRule="auto"/>
        <w:jc w:val="center"/>
        <w:rPr>
          <w:rFonts w:hint="eastAsia" w:ascii="宋体" w:hAnsi="宋体" w:eastAsia="宋体" w:cs="宋体"/>
          <w:b/>
          <w:sz w:val="32"/>
          <w:szCs w:val="32"/>
          <w:highlight w:val="none"/>
        </w:rPr>
      </w:pPr>
      <w:r>
        <w:rPr>
          <w:rFonts w:hint="eastAsia" w:ascii="宋体" w:hAnsi="宋体" w:eastAsia="宋体" w:cs="宋体"/>
          <w:sz w:val="24"/>
          <w:highlight w:val="none"/>
        </w:rPr>
        <w:br w:type="page"/>
      </w:r>
      <w:r>
        <w:rPr>
          <w:rFonts w:hint="eastAsia" w:ascii="宋体" w:hAnsi="宋体" w:eastAsia="宋体" w:cs="宋体"/>
          <w:b/>
          <w:sz w:val="32"/>
          <w:szCs w:val="32"/>
          <w:highlight w:val="none"/>
          <w:lang w:eastAsia="zh-CN"/>
        </w:rPr>
        <w:t>三</w:t>
      </w:r>
      <w:r>
        <w:rPr>
          <w:rFonts w:hint="eastAsia" w:ascii="宋体" w:hAnsi="宋体" w:eastAsia="宋体" w:cs="宋体"/>
          <w:b/>
          <w:sz w:val="32"/>
          <w:szCs w:val="32"/>
          <w:highlight w:val="none"/>
        </w:rPr>
        <w:t>、谈判方案说明书</w:t>
      </w:r>
    </w:p>
    <w:p>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按照竞争性谈判文件的要求编制的谈判方案说明书，内容包括设备（产品）技术说明、组织供货和和服务的详细说明、技术规格响应表、设备（产品）配置说明彩页</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生产厂家出具的、相应的功能证明材料（包括但不限于测试报告、官网和功能截图等）</w:t>
      </w:r>
      <w:r>
        <w:rPr>
          <w:rFonts w:hint="eastAsia" w:ascii="宋体" w:hAnsi="宋体" w:eastAsia="宋体" w:cs="宋体"/>
          <w:sz w:val="24"/>
          <w:szCs w:val="24"/>
          <w:highlight w:val="none"/>
        </w:rPr>
        <w:t>，质量保证和售后服务承诺等。</w:t>
      </w:r>
      <w:r>
        <w:rPr>
          <w:rFonts w:hint="eastAsia" w:ascii="宋体" w:hAnsi="宋体" w:eastAsia="宋体" w:cs="宋体"/>
          <w:b/>
          <w:sz w:val="24"/>
          <w:szCs w:val="24"/>
          <w:highlight w:val="none"/>
        </w:rPr>
        <w:t>至少应包括</w:t>
      </w:r>
      <w:r>
        <w:rPr>
          <w:rFonts w:hint="eastAsia" w:ascii="宋体" w:hAnsi="宋体" w:eastAsia="宋体" w:cs="宋体"/>
          <w:b/>
          <w:sz w:val="24"/>
          <w:szCs w:val="24"/>
          <w:highlight w:val="none"/>
          <w:lang w:eastAsia="zh-CN"/>
        </w:rPr>
        <w:t>：</w:t>
      </w:r>
    </w:p>
    <w:p>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1、完成项目的技术方案，要求谈判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针对本项目的需求提出全面、完整的技术方案；</w:t>
      </w:r>
    </w:p>
    <w:p>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2、谈判设备（产品）的商标、型号、功能、技术规格、详细的供货配置清单（原材料说明、结构图、效果图如有）；</w:t>
      </w:r>
    </w:p>
    <w:p>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highlight w:val="none"/>
          <w:lang w:eastAsia="zh-CN"/>
        </w:rPr>
        <w:t>产品来源渠道合法的证明文件（包括但不限于销售协议、代理协议、原厂授权等）；</w:t>
      </w:r>
    </w:p>
    <w:p>
      <w:pPr>
        <w:keepNext w:val="0"/>
        <w:keepLines w:val="0"/>
        <w:pageBreakBefore w:val="0"/>
        <w:widowControl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、填写技术规格响应表（见附表）并提供支持文件；</w:t>
      </w:r>
    </w:p>
    <w:p>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、谈判产品的制造商情况及原产地、质量标准、检测标准、是否符合国家规范及相关认证等；</w:t>
      </w:r>
    </w:p>
    <w:p>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、谈判产品的彩页</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生产厂家出具的、相应的功能证明材料（包括但不限于测试报告、官网和功能截图等）</w:t>
      </w:r>
      <w:r>
        <w:rPr>
          <w:rFonts w:hint="eastAsia" w:ascii="宋体" w:hAnsi="宋体" w:eastAsia="宋体" w:cs="宋体"/>
          <w:sz w:val="24"/>
          <w:szCs w:val="24"/>
          <w:highlight w:val="none"/>
        </w:rPr>
        <w:t>；</w:t>
      </w:r>
    </w:p>
    <w:p>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、技术规格优于或偏离谈判要求的指标；</w:t>
      </w:r>
    </w:p>
    <w:p>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、服务范围和服务内容的详细说明；</w:t>
      </w:r>
    </w:p>
    <w:p>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、质量保证措施、培训方案、售后服务方案、响应时间、验收依据等。</w:t>
      </w:r>
    </w:p>
    <w:p>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、提供的维保服务点的名称、地址、电话联系人、应在谈判文件中说明；</w:t>
      </w:r>
    </w:p>
    <w:p>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、供应商服务承诺书；</w:t>
      </w:r>
    </w:p>
    <w:p>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、供应商认为有必要说明的问题。</w:t>
      </w:r>
    </w:p>
    <w:p>
      <w:pPr>
        <w:keepNext w:val="0"/>
        <w:keepLines w:val="0"/>
        <w:pageBreakBefore w:val="0"/>
        <w:widowControl w:val="0"/>
        <w:wordWrap/>
        <w:overflowPunct/>
        <w:topLinePunct w:val="0"/>
        <w:autoSpaceDE/>
        <w:autoSpaceDN/>
        <w:bidi w:val="0"/>
        <w:adjustRightInd/>
        <w:snapToGrid/>
        <w:spacing w:line="480" w:lineRule="exact"/>
        <w:ind w:left="3259" w:leftChars="1552" w:right="0" w:right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lang w:eastAsia="zh-CN"/>
        </w:rPr>
        <w:t>被授权人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lang w:val="en-US" w:eastAsia="zh-CN"/>
        </w:rPr>
        <w:t>）</w:t>
      </w:r>
    </w:p>
    <w:p>
      <w:pPr>
        <w:keepNext w:val="0"/>
        <w:keepLines w:val="0"/>
        <w:pageBreakBefore w:val="0"/>
        <w:widowControl w:val="0"/>
        <w:wordWrap/>
        <w:overflowPunct/>
        <w:topLinePunct w:val="0"/>
        <w:autoSpaceDE/>
        <w:autoSpaceDN/>
        <w:bidi w:val="0"/>
        <w:adjustRightInd/>
        <w:snapToGrid/>
        <w:spacing w:line="480" w:lineRule="exact"/>
        <w:ind w:left="3259" w:leftChars="1552" w:right="0" w:right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公      章：</w:t>
      </w:r>
    </w:p>
    <w:p>
      <w:pPr>
        <w:keepNext w:val="0"/>
        <w:keepLines w:val="0"/>
        <w:pageBreakBefore w:val="0"/>
        <w:widowControl w:val="0"/>
        <w:wordWrap/>
        <w:overflowPunct/>
        <w:topLinePunct w:val="0"/>
        <w:autoSpaceDE/>
        <w:autoSpaceDN/>
        <w:bidi w:val="0"/>
        <w:adjustRightInd/>
        <w:snapToGrid/>
        <w:spacing w:line="480" w:lineRule="exact"/>
        <w:ind w:left="3259" w:leftChars="1552" w:right="0" w:right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keepNext w:val="0"/>
        <w:keepLines w:val="0"/>
        <w:pageBreakBefore w:val="0"/>
        <w:widowControl w:val="0"/>
        <w:wordWrap/>
        <w:overflowPunct/>
        <w:topLinePunct w:val="0"/>
        <w:autoSpaceDE/>
        <w:autoSpaceDN/>
        <w:bidi w:val="0"/>
        <w:adjustRightInd/>
        <w:snapToGrid/>
        <w:spacing w:line="480" w:lineRule="exact"/>
        <w:ind w:right="0" w:rightChars="0"/>
        <w:jc w:val="both"/>
        <w:textAlignment w:val="auto"/>
        <w:outlineLvl w:val="9"/>
        <w:rPr>
          <w:rFonts w:hint="eastAsia" w:ascii="宋体" w:hAnsi="宋体" w:eastAsia="宋体" w:cs="宋体"/>
          <w:b/>
          <w:sz w:val="24"/>
          <w:szCs w:val="24"/>
          <w:highlight w:val="none"/>
        </w:rPr>
      </w:pPr>
      <w:r>
        <w:rPr>
          <w:rFonts w:hint="eastAsia" w:ascii="宋体" w:hAnsi="宋体" w:eastAsia="宋体" w:cs="宋体"/>
          <w:b/>
          <w:sz w:val="36"/>
          <w:highlight w:val="none"/>
        </w:rPr>
        <w:br w:type="page"/>
      </w:r>
      <w:r>
        <w:rPr>
          <w:rFonts w:hint="eastAsia" w:ascii="宋体" w:hAnsi="宋体" w:eastAsia="宋体" w:cs="宋体"/>
          <w:b/>
          <w:sz w:val="24"/>
          <w:szCs w:val="24"/>
          <w:highlight w:val="none"/>
        </w:rPr>
        <w:t>附表1：</w:t>
      </w:r>
    </w:p>
    <w:p>
      <w:pPr>
        <w:spacing w:after="12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技术规格响应表</w:t>
      </w:r>
    </w:p>
    <w:p>
      <w:pPr>
        <w:spacing w:after="120"/>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spacing w:after="120"/>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28"/>
        <w:tblW w:w="88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0"/>
        <w:gridCol w:w="1853"/>
        <w:gridCol w:w="1985"/>
        <w:gridCol w:w="2268"/>
        <w:gridCol w:w="1006"/>
        <w:gridCol w:w="7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010" w:type="dxa"/>
            <w:tcBorders>
              <w:bottom w:val="nil"/>
            </w:tcBorders>
            <w:vAlign w:val="top"/>
          </w:tcPr>
          <w:p>
            <w:pPr>
              <w:spacing w:before="120" w:beforeLine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853" w:type="dxa"/>
            <w:tcBorders>
              <w:bottom w:val="nil"/>
            </w:tcBorders>
            <w:vAlign w:val="top"/>
          </w:tcPr>
          <w:p>
            <w:pPr>
              <w:spacing w:before="120" w:beforeLine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1985" w:type="dxa"/>
            <w:tcBorders>
              <w:bottom w:val="nil"/>
            </w:tcBorders>
            <w:vAlign w:val="top"/>
          </w:tcPr>
          <w:p>
            <w:pPr>
              <w:spacing w:before="120" w:beforeLine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竞争性谈判规格 ☆1</w:t>
            </w:r>
          </w:p>
        </w:tc>
        <w:tc>
          <w:tcPr>
            <w:tcW w:w="2268" w:type="dxa"/>
            <w:tcBorders>
              <w:bottom w:val="nil"/>
            </w:tcBorders>
            <w:vAlign w:val="top"/>
          </w:tcPr>
          <w:p>
            <w:pPr>
              <w:spacing w:before="120" w:beforeLine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竞争性谈判响应规格 ☆2</w:t>
            </w:r>
          </w:p>
        </w:tc>
        <w:tc>
          <w:tcPr>
            <w:tcW w:w="1006" w:type="dxa"/>
            <w:tcBorders>
              <w:bottom w:val="nil"/>
            </w:tcBorders>
            <w:vAlign w:val="top"/>
          </w:tcPr>
          <w:p>
            <w:pPr>
              <w:spacing w:before="120" w:beforeLine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r>
              <w:rPr>
                <w:rFonts w:hint="eastAsia" w:ascii="宋体" w:hAnsi="宋体" w:eastAsia="宋体" w:cs="宋体"/>
                <w:sz w:val="24"/>
                <w:szCs w:val="24"/>
                <w:highlight w:val="none"/>
                <w:lang w:eastAsia="zh-CN"/>
              </w:rPr>
              <w:t>说明</w:t>
            </w:r>
          </w:p>
        </w:tc>
        <w:tc>
          <w:tcPr>
            <w:tcW w:w="722" w:type="dxa"/>
            <w:tcBorders>
              <w:bottom w:val="nil"/>
            </w:tcBorders>
            <w:vAlign w:val="top"/>
          </w:tcPr>
          <w:p>
            <w:pPr>
              <w:spacing w:before="120" w:beforeLine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7" w:hRule="atLeast"/>
          <w:jc w:val="center"/>
        </w:trPr>
        <w:tc>
          <w:tcPr>
            <w:tcW w:w="1010" w:type="dxa"/>
            <w:tcBorders>
              <w:top w:val="single" w:color="auto" w:sz="12" w:space="0"/>
              <w:left w:val="single" w:color="auto" w:sz="12"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853"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985"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2268"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006"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722" w:type="dxa"/>
            <w:tcBorders>
              <w:top w:val="single" w:color="auto" w:sz="12" w:space="0"/>
              <w:left w:val="single" w:color="auto" w:sz="6" w:space="0"/>
              <w:bottom w:val="single" w:color="auto" w:sz="12" w:space="0"/>
              <w:right w:val="single" w:color="auto" w:sz="12" w:space="0"/>
            </w:tcBorders>
            <w:vAlign w:val="top"/>
          </w:tcPr>
          <w:p>
            <w:pP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7" w:hRule="atLeast"/>
          <w:jc w:val="center"/>
        </w:trPr>
        <w:tc>
          <w:tcPr>
            <w:tcW w:w="1010" w:type="dxa"/>
            <w:tcBorders>
              <w:top w:val="single" w:color="auto" w:sz="12" w:space="0"/>
              <w:left w:val="single" w:color="auto" w:sz="12"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853"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985"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2268"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006"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722" w:type="dxa"/>
            <w:tcBorders>
              <w:top w:val="single" w:color="auto" w:sz="12" w:space="0"/>
              <w:left w:val="single" w:color="auto" w:sz="6" w:space="0"/>
              <w:bottom w:val="single" w:color="auto" w:sz="12" w:space="0"/>
              <w:right w:val="single" w:color="auto" w:sz="12" w:space="0"/>
            </w:tcBorders>
            <w:vAlign w:val="top"/>
          </w:tcPr>
          <w:p>
            <w:pP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7" w:hRule="atLeast"/>
          <w:jc w:val="center"/>
        </w:trPr>
        <w:tc>
          <w:tcPr>
            <w:tcW w:w="1010" w:type="dxa"/>
            <w:tcBorders>
              <w:top w:val="single" w:color="auto" w:sz="12" w:space="0"/>
              <w:left w:val="single" w:color="auto" w:sz="12"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853"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985"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2268"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006"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722" w:type="dxa"/>
            <w:tcBorders>
              <w:top w:val="single" w:color="auto" w:sz="12" w:space="0"/>
              <w:left w:val="single" w:color="auto" w:sz="6" w:space="0"/>
              <w:bottom w:val="single" w:color="auto" w:sz="12" w:space="0"/>
              <w:right w:val="single" w:color="auto" w:sz="12" w:space="0"/>
            </w:tcBorders>
            <w:vAlign w:val="top"/>
          </w:tcPr>
          <w:p>
            <w:pP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7" w:hRule="atLeast"/>
          <w:jc w:val="center"/>
        </w:trPr>
        <w:tc>
          <w:tcPr>
            <w:tcW w:w="1010" w:type="dxa"/>
            <w:tcBorders>
              <w:top w:val="single" w:color="auto" w:sz="12" w:space="0"/>
              <w:left w:val="single" w:color="auto" w:sz="12"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853"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985"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2268"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006"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722" w:type="dxa"/>
            <w:tcBorders>
              <w:top w:val="single" w:color="auto" w:sz="12" w:space="0"/>
              <w:left w:val="single" w:color="auto" w:sz="6" w:space="0"/>
              <w:bottom w:val="single" w:color="auto" w:sz="12" w:space="0"/>
              <w:right w:val="single" w:color="auto" w:sz="12" w:space="0"/>
            </w:tcBorders>
            <w:vAlign w:val="top"/>
          </w:tcPr>
          <w:p>
            <w:pP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7" w:hRule="atLeast"/>
          <w:jc w:val="center"/>
        </w:trPr>
        <w:tc>
          <w:tcPr>
            <w:tcW w:w="1010" w:type="dxa"/>
            <w:tcBorders>
              <w:top w:val="single" w:color="auto" w:sz="12" w:space="0"/>
              <w:left w:val="single" w:color="auto" w:sz="12"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853"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985"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2268"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006"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722" w:type="dxa"/>
            <w:tcBorders>
              <w:top w:val="single" w:color="auto" w:sz="12" w:space="0"/>
              <w:left w:val="single" w:color="auto" w:sz="6" w:space="0"/>
              <w:bottom w:val="single" w:color="auto" w:sz="12" w:space="0"/>
              <w:right w:val="single" w:color="auto" w:sz="12" w:space="0"/>
            </w:tcBorders>
            <w:vAlign w:val="top"/>
          </w:tcPr>
          <w:p>
            <w:pP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7" w:hRule="atLeast"/>
          <w:jc w:val="center"/>
        </w:trPr>
        <w:tc>
          <w:tcPr>
            <w:tcW w:w="1010" w:type="dxa"/>
            <w:tcBorders>
              <w:top w:val="single" w:color="auto" w:sz="12" w:space="0"/>
              <w:left w:val="single" w:color="auto" w:sz="12"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853"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985"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2268"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006"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722" w:type="dxa"/>
            <w:tcBorders>
              <w:top w:val="single" w:color="auto" w:sz="12" w:space="0"/>
              <w:left w:val="single" w:color="auto" w:sz="6" w:space="0"/>
              <w:bottom w:val="single" w:color="auto" w:sz="12" w:space="0"/>
              <w:right w:val="single" w:color="auto" w:sz="12" w:space="0"/>
            </w:tcBorders>
            <w:vAlign w:val="top"/>
          </w:tcPr>
          <w:p>
            <w:pP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7" w:hRule="atLeast"/>
          <w:jc w:val="center"/>
        </w:trPr>
        <w:tc>
          <w:tcPr>
            <w:tcW w:w="1010" w:type="dxa"/>
            <w:tcBorders>
              <w:top w:val="single" w:color="auto" w:sz="12" w:space="0"/>
              <w:left w:val="single" w:color="auto" w:sz="12"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853"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985"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2268"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1006" w:type="dxa"/>
            <w:tcBorders>
              <w:top w:val="single" w:color="auto" w:sz="12" w:space="0"/>
              <w:left w:val="single" w:color="auto" w:sz="6" w:space="0"/>
              <w:bottom w:val="single" w:color="auto" w:sz="12" w:space="0"/>
              <w:right w:val="single" w:color="auto" w:sz="6" w:space="0"/>
            </w:tcBorders>
            <w:vAlign w:val="top"/>
          </w:tcPr>
          <w:p>
            <w:pPr>
              <w:rPr>
                <w:rFonts w:hint="eastAsia" w:ascii="宋体" w:hAnsi="宋体" w:eastAsia="宋体" w:cs="宋体"/>
                <w:sz w:val="24"/>
                <w:szCs w:val="24"/>
                <w:highlight w:val="none"/>
              </w:rPr>
            </w:pPr>
          </w:p>
        </w:tc>
        <w:tc>
          <w:tcPr>
            <w:tcW w:w="722" w:type="dxa"/>
            <w:tcBorders>
              <w:top w:val="single" w:color="auto" w:sz="12" w:space="0"/>
              <w:left w:val="single" w:color="auto" w:sz="6" w:space="0"/>
              <w:bottom w:val="single" w:color="auto" w:sz="12" w:space="0"/>
              <w:right w:val="single" w:color="auto" w:sz="12" w:space="0"/>
            </w:tcBorders>
            <w:vAlign w:val="top"/>
          </w:tcPr>
          <w:p>
            <w:pP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7" w:hRule="atLeast"/>
          <w:jc w:val="center"/>
        </w:trPr>
        <w:tc>
          <w:tcPr>
            <w:tcW w:w="1010" w:type="dxa"/>
            <w:tcBorders>
              <w:top w:val="single" w:color="auto" w:sz="12" w:space="0"/>
              <w:left w:val="single" w:color="auto" w:sz="12" w:space="0"/>
              <w:right w:val="single" w:color="auto" w:sz="6" w:space="0"/>
            </w:tcBorders>
            <w:vAlign w:val="top"/>
          </w:tcPr>
          <w:p>
            <w:pPr>
              <w:rPr>
                <w:rFonts w:hint="eastAsia" w:ascii="宋体" w:hAnsi="宋体" w:eastAsia="宋体" w:cs="宋体"/>
                <w:sz w:val="24"/>
                <w:szCs w:val="24"/>
                <w:highlight w:val="none"/>
              </w:rPr>
            </w:pPr>
          </w:p>
        </w:tc>
        <w:tc>
          <w:tcPr>
            <w:tcW w:w="1853" w:type="dxa"/>
            <w:tcBorders>
              <w:top w:val="single" w:color="auto" w:sz="12" w:space="0"/>
              <w:left w:val="single" w:color="auto" w:sz="6" w:space="0"/>
              <w:right w:val="single" w:color="auto" w:sz="6" w:space="0"/>
            </w:tcBorders>
            <w:vAlign w:val="top"/>
          </w:tcPr>
          <w:p>
            <w:pPr>
              <w:rPr>
                <w:rFonts w:hint="eastAsia" w:ascii="宋体" w:hAnsi="宋体" w:eastAsia="宋体" w:cs="宋体"/>
                <w:sz w:val="24"/>
                <w:szCs w:val="24"/>
                <w:highlight w:val="none"/>
              </w:rPr>
            </w:pPr>
          </w:p>
        </w:tc>
        <w:tc>
          <w:tcPr>
            <w:tcW w:w="1985" w:type="dxa"/>
            <w:tcBorders>
              <w:top w:val="single" w:color="auto" w:sz="12" w:space="0"/>
              <w:left w:val="single" w:color="auto" w:sz="6" w:space="0"/>
              <w:right w:val="single" w:color="auto" w:sz="6" w:space="0"/>
            </w:tcBorders>
            <w:vAlign w:val="top"/>
          </w:tcPr>
          <w:p>
            <w:pPr>
              <w:rPr>
                <w:rFonts w:hint="eastAsia" w:ascii="宋体" w:hAnsi="宋体" w:eastAsia="宋体" w:cs="宋体"/>
                <w:sz w:val="24"/>
                <w:szCs w:val="24"/>
                <w:highlight w:val="none"/>
              </w:rPr>
            </w:pPr>
          </w:p>
        </w:tc>
        <w:tc>
          <w:tcPr>
            <w:tcW w:w="2268" w:type="dxa"/>
            <w:tcBorders>
              <w:top w:val="single" w:color="auto" w:sz="12" w:space="0"/>
              <w:left w:val="single" w:color="auto" w:sz="6" w:space="0"/>
              <w:right w:val="single" w:color="auto" w:sz="6" w:space="0"/>
            </w:tcBorders>
            <w:vAlign w:val="top"/>
          </w:tcPr>
          <w:p>
            <w:pPr>
              <w:rPr>
                <w:rFonts w:hint="eastAsia" w:ascii="宋体" w:hAnsi="宋体" w:eastAsia="宋体" w:cs="宋体"/>
                <w:sz w:val="24"/>
                <w:szCs w:val="24"/>
                <w:highlight w:val="none"/>
              </w:rPr>
            </w:pPr>
          </w:p>
        </w:tc>
        <w:tc>
          <w:tcPr>
            <w:tcW w:w="1006" w:type="dxa"/>
            <w:tcBorders>
              <w:top w:val="single" w:color="auto" w:sz="12" w:space="0"/>
              <w:left w:val="single" w:color="auto" w:sz="6" w:space="0"/>
              <w:right w:val="single" w:color="auto" w:sz="6" w:space="0"/>
            </w:tcBorders>
            <w:vAlign w:val="top"/>
          </w:tcPr>
          <w:p>
            <w:pPr>
              <w:rPr>
                <w:rFonts w:hint="eastAsia" w:ascii="宋体" w:hAnsi="宋体" w:eastAsia="宋体" w:cs="宋体"/>
                <w:sz w:val="24"/>
                <w:szCs w:val="24"/>
                <w:highlight w:val="none"/>
              </w:rPr>
            </w:pPr>
          </w:p>
        </w:tc>
        <w:tc>
          <w:tcPr>
            <w:tcW w:w="722" w:type="dxa"/>
            <w:tcBorders>
              <w:top w:val="single" w:color="auto" w:sz="12" w:space="0"/>
              <w:left w:val="single" w:color="auto" w:sz="6" w:space="0"/>
              <w:right w:val="single" w:color="auto" w:sz="12" w:space="0"/>
            </w:tcBorders>
            <w:vAlign w:val="top"/>
          </w:tcPr>
          <w:p>
            <w:pPr>
              <w:rPr>
                <w:rFonts w:hint="eastAsia" w:ascii="宋体" w:hAnsi="宋体" w:eastAsia="宋体" w:cs="宋体"/>
                <w:sz w:val="24"/>
                <w:szCs w:val="24"/>
                <w:highlight w:val="none"/>
              </w:rPr>
            </w:pPr>
          </w:p>
        </w:tc>
      </w:tr>
    </w:tbl>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sz w:val="24"/>
          <w:szCs w:val="24"/>
          <w:highlight w:val="none"/>
        </w:rPr>
      </w:pPr>
    </w:p>
    <w:p>
      <w:pPr>
        <w:tabs>
          <w:tab w:val="left" w:pos="3045"/>
        </w:tabs>
        <w:spacing w:line="28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lang w:eastAsia="zh-CN"/>
        </w:rPr>
        <w:t>被授权人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lang w:val="en-US" w:eastAsia="zh-CN"/>
        </w:rPr>
        <w:t>）</w:t>
      </w:r>
    </w:p>
    <w:p>
      <w:pPr>
        <w:tabs>
          <w:tab w:val="left" w:pos="3045"/>
        </w:tabs>
        <w:spacing w:line="280" w:lineRule="exact"/>
        <w:rPr>
          <w:rFonts w:hint="eastAsia" w:ascii="宋体" w:hAnsi="宋体" w:eastAsia="宋体" w:cs="宋体"/>
          <w:sz w:val="24"/>
          <w:szCs w:val="24"/>
          <w:highlight w:val="none"/>
        </w:rPr>
      </w:pPr>
    </w:p>
    <w:p>
      <w:pPr>
        <w:spacing w:line="280" w:lineRule="exact"/>
        <w:rPr>
          <w:rFonts w:hint="eastAsia" w:ascii="宋体" w:hAnsi="宋体" w:eastAsia="宋体" w:cs="宋体"/>
          <w:sz w:val="24"/>
          <w:szCs w:val="24"/>
          <w:highlight w:val="none"/>
        </w:rPr>
      </w:pPr>
    </w:p>
    <w:p>
      <w:pPr>
        <w:spacing w:line="280" w:lineRule="exact"/>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公      章：</w:t>
      </w: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spacing w:line="360" w:lineRule="auto"/>
        <w:ind w:left="-59" w:leftChars="-28" w:firstLine="57" w:firstLineChars="2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注: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 ☆1 指竞争性谈判文件中的技术规格(参数),谈判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应按照竞争性谈判文件中的内容逐条抄写。</w:t>
      </w:r>
    </w:p>
    <w:p>
      <w:pPr>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☆2 指谈判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拟提供的谈判产品的功能及技术规格(参数),</w:t>
      </w:r>
      <w:r>
        <w:rPr>
          <w:rFonts w:hint="eastAsia" w:ascii="宋体" w:hAnsi="宋体" w:eastAsia="宋体" w:cs="宋体"/>
          <w:sz w:val="24"/>
          <w:szCs w:val="24"/>
          <w:highlight w:val="none"/>
          <w:lang w:eastAsia="zh-CN"/>
        </w:rPr>
        <w:t>谈判供应商</w:t>
      </w:r>
      <w:r>
        <w:rPr>
          <w:rFonts w:hint="eastAsia" w:ascii="宋体" w:hAnsi="宋体" w:eastAsia="宋体" w:cs="宋体"/>
          <w:sz w:val="24"/>
          <w:szCs w:val="24"/>
          <w:highlight w:val="none"/>
        </w:rPr>
        <w:t>应逐条如实填写。</w:t>
      </w:r>
    </w:p>
    <w:p>
      <w:pPr>
        <w:tabs>
          <w:tab w:val="left" w:pos="668"/>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偏离说明填写：优于、满足或低于</w:t>
      </w:r>
      <w:r>
        <w:rPr>
          <w:rFonts w:hint="eastAsia" w:ascii="宋体" w:hAnsi="宋体" w:eastAsia="宋体" w:cs="宋体"/>
          <w:sz w:val="24"/>
          <w:szCs w:val="24"/>
          <w:highlight w:val="none"/>
          <w:lang w:eastAsia="zh-CN"/>
        </w:rPr>
        <w:t>。</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6"/>
        <w:spacing w:before="327" w:beforeLines="100"/>
        <w:jc w:val="center"/>
        <w:rPr>
          <w:rFonts w:hint="eastAsia" w:ascii="宋体" w:hAnsi="宋体" w:eastAsia="宋体" w:cs="宋体"/>
          <w:sz w:val="32"/>
          <w:szCs w:val="32"/>
          <w:highlight w:val="none"/>
        </w:rPr>
      </w:pPr>
      <w:bookmarkStart w:id="70" w:name="_Toc9218"/>
      <w:bookmarkStart w:id="71" w:name="_Toc23455"/>
      <w:bookmarkStart w:id="72" w:name="_Toc2621"/>
      <w:bookmarkStart w:id="73" w:name="_Toc1379"/>
      <w:bookmarkStart w:id="74" w:name="_Toc21284"/>
      <w:r>
        <w:rPr>
          <w:rFonts w:hint="eastAsia" w:ascii="宋体" w:hAnsi="宋体" w:eastAsia="宋体" w:cs="宋体"/>
          <w:sz w:val="32"/>
          <w:szCs w:val="32"/>
          <w:highlight w:val="none"/>
          <w:lang w:eastAsia="zh-CN"/>
        </w:rPr>
        <w:t>四</w:t>
      </w:r>
      <w:r>
        <w:rPr>
          <w:rFonts w:hint="eastAsia" w:ascii="宋体" w:hAnsi="宋体" w:eastAsia="宋体" w:cs="宋体"/>
          <w:sz w:val="32"/>
          <w:szCs w:val="32"/>
          <w:highlight w:val="none"/>
        </w:rPr>
        <w:t>、</w:t>
      </w:r>
      <w:bookmarkEnd w:id="70"/>
      <w:bookmarkEnd w:id="71"/>
      <w:bookmarkEnd w:id="72"/>
      <w:bookmarkEnd w:id="73"/>
      <w:bookmarkEnd w:id="74"/>
      <w:r>
        <w:rPr>
          <w:rFonts w:hint="eastAsia" w:ascii="宋体" w:hAnsi="宋体" w:eastAsia="宋体" w:cs="宋体"/>
          <w:sz w:val="32"/>
          <w:szCs w:val="32"/>
          <w:highlight w:val="none"/>
          <w:lang w:val="en-US" w:eastAsia="zh-CN"/>
        </w:rPr>
        <w:t>商务条款偏离表</w:t>
      </w:r>
    </w:p>
    <w:p>
      <w:pPr>
        <w:pStyle w:val="23"/>
        <w:keepNext w:val="0"/>
        <w:keepLines w:val="0"/>
        <w:pageBreakBefore w:val="0"/>
        <w:widowControl w:val="0"/>
        <w:suppressLineNumbers w:val="0"/>
        <w:kinsoku/>
        <w:wordWrap/>
        <w:overflowPunct/>
        <w:topLinePunct w:val="0"/>
        <w:autoSpaceDE/>
        <w:autoSpaceDN/>
        <w:bidi w:val="0"/>
        <w:adjustRightInd/>
        <w:snapToGrid/>
        <w:spacing w:before="165" w:beforeLines="50" w:beforeAutospacing="0" w:after="165" w:afterLines="50" w:afterAutospacing="0"/>
        <w:ind w:right="0"/>
        <w:jc w:val="left"/>
        <w:textAlignment w:val="auto"/>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项目编号：</w:t>
      </w:r>
    </w:p>
    <w:p>
      <w:pPr>
        <w:pStyle w:val="23"/>
        <w:keepNext w:val="0"/>
        <w:keepLines w:val="0"/>
        <w:pageBreakBefore w:val="0"/>
        <w:widowControl w:val="0"/>
        <w:suppressLineNumbers w:val="0"/>
        <w:kinsoku/>
        <w:wordWrap/>
        <w:overflowPunct/>
        <w:topLinePunct w:val="0"/>
        <w:autoSpaceDE/>
        <w:autoSpaceDN/>
        <w:bidi w:val="0"/>
        <w:adjustRightInd/>
        <w:snapToGrid/>
        <w:spacing w:before="165" w:beforeLines="50" w:beforeAutospacing="0" w:after="165" w:afterLines="50" w:afterAutospacing="0"/>
        <w:ind w:right="0"/>
        <w:jc w:val="left"/>
        <w:textAlignment w:val="auto"/>
        <w:outlineLvl w:val="9"/>
        <w:rPr>
          <w:rFonts w:hint="eastAsia" w:ascii="宋体" w:hAnsi="宋体" w:eastAsia="宋体" w:cs="宋体"/>
          <w:highlight w:val="none"/>
          <w:u w:val="single"/>
          <w:lang w:val="en-US" w:eastAsia="zh-CN"/>
        </w:rPr>
      </w:pPr>
      <w:r>
        <w:rPr>
          <w:rFonts w:hint="eastAsia" w:ascii="宋体" w:hAnsi="宋体" w:eastAsia="宋体" w:cs="宋体"/>
          <w:highlight w:val="none"/>
          <w:lang w:val="en-US" w:eastAsia="zh-CN"/>
        </w:rPr>
        <w:t>项目名称：</w:t>
      </w:r>
    </w:p>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bl>
      <w:tblPr>
        <w:tblStyle w:val="28"/>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right="0"/>
              <w:jc w:val="center"/>
              <w:rPr>
                <w:rFonts w:hint="eastAsia" w:ascii="宋体" w:hAnsi="宋体" w:eastAsia="宋体" w:cs="宋体"/>
                <w:highlight w:val="none"/>
                <w:lang w:val="en-US"/>
              </w:rPr>
            </w:pPr>
            <w:r>
              <w:rPr>
                <w:rFonts w:hint="eastAsia" w:ascii="宋体" w:hAnsi="宋体" w:eastAsia="宋体" w:cs="宋体"/>
                <w:highlight w:val="none"/>
                <w:lang w:val="en-US" w:eastAsia="zh-CN"/>
              </w:rPr>
              <w:t>序号</w:t>
            </w:r>
          </w:p>
        </w:tc>
        <w:tc>
          <w:tcPr>
            <w:tcW w:w="193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right="0"/>
              <w:jc w:val="center"/>
              <w:rPr>
                <w:rFonts w:hint="eastAsia" w:ascii="宋体" w:hAnsi="宋体" w:eastAsia="宋体" w:cs="宋体"/>
                <w:highlight w:val="none"/>
                <w:lang w:val="en-US"/>
              </w:rPr>
            </w:pPr>
            <w:r>
              <w:rPr>
                <w:rFonts w:hint="eastAsia" w:ascii="宋体" w:hAnsi="宋体" w:eastAsia="宋体" w:cs="宋体"/>
                <w:highlight w:val="none"/>
                <w:lang w:val="en-US" w:eastAsia="zh-CN"/>
              </w:rPr>
              <w:t>谈判文件条目号</w:t>
            </w:r>
          </w:p>
        </w:tc>
        <w:tc>
          <w:tcPr>
            <w:tcW w:w="199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right="0"/>
              <w:jc w:val="center"/>
              <w:rPr>
                <w:rFonts w:hint="eastAsia" w:ascii="宋体" w:hAnsi="宋体" w:eastAsia="宋体" w:cs="宋体"/>
                <w:highlight w:val="none"/>
                <w:lang w:val="en-US"/>
              </w:rPr>
            </w:pPr>
            <w:r>
              <w:rPr>
                <w:rFonts w:hint="eastAsia" w:ascii="宋体" w:hAnsi="宋体" w:eastAsia="宋体" w:cs="宋体"/>
                <w:highlight w:val="none"/>
                <w:lang w:val="en-US" w:eastAsia="zh-CN"/>
              </w:rPr>
              <w:t>谈判文件的商务条款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right="0"/>
              <w:jc w:val="center"/>
              <w:rPr>
                <w:rFonts w:hint="eastAsia" w:ascii="宋体" w:hAnsi="宋体" w:eastAsia="宋体" w:cs="宋体"/>
                <w:highlight w:val="none"/>
                <w:lang w:val="en-US"/>
              </w:rPr>
            </w:pPr>
            <w:r>
              <w:rPr>
                <w:rFonts w:hint="eastAsia" w:ascii="宋体" w:hAnsi="宋体" w:eastAsia="宋体" w:cs="宋体"/>
                <w:highlight w:val="none"/>
                <w:lang w:val="en-US" w:eastAsia="zh-CN"/>
              </w:rPr>
              <w:t>谈判响应文件的商务条款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right="0"/>
              <w:jc w:val="center"/>
              <w:rPr>
                <w:rFonts w:hint="eastAsia" w:ascii="宋体" w:hAnsi="宋体" w:eastAsia="宋体" w:cs="宋体"/>
                <w:highlight w:val="none"/>
                <w:lang w:val="en-US"/>
              </w:rPr>
            </w:pPr>
            <w:r>
              <w:rPr>
                <w:rFonts w:hint="eastAsia" w:ascii="宋体" w:hAnsi="宋体" w:eastAsia="宋体" w:cs="宋体"/>
                <w:highlight w:val="none"/>
                <w:lang w:val="en-US" w:eastAsia="zh-CN"/>
              </w:rPr>
              <w:t>偏离</w:t>
            </w:r>
          </w:p>
        </w:tc>
        <w:tc>
          <w:tcPr>
            <w:tcW w:w="944"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right="0"/>
              <w:jc w:val="center"/>
              <w:rPr>
                <w:rFonts w:hint="eastAsia" w:ascii="宋体" w:hAnsi="宋体" w:eastAsia="宋体" w:cs="宋体"/>
                <w:highlight w:val="none"/>
                <w:lang w:val="en-US"/>
              </w:rPr>
            </w:pPr>
            <w:r>
              <w:rPr>
                <w:rFonts w:hint="eastAsia" w:ascii="宋体" w:hAnsi="宋体" w:eastAsia="宋体" w:cs="宋体"/>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tc>
      </w:tr>
    </w:tbl>
    <w:p>
      <w:pPr>
        <w:pStyle w:val="23"/>
        <w:keepNext w:val="0"/>
        <w:keepLines w:val="0"/>
        <w:widowControl w:val="0"/>
        <w:suppressLineNumbers w:val="0"/>
        <w:spacing w:before="0" w:beforeAutospacing="0" w:after="0" w:afterAutospacing="0"/>
        <w:ind w:right="0"/>
        <w:jc w:val="left"/>
        <w:rPr>
          <w:rFonts w:hint="eastAsia" w:ascii="宋体" w:hAnsi="宋体" w:eastAsia="宋体" w:cs="宋体"/>
          <w:highlight w:val="none"/>
          <w:lang w:val="en-US"/>
        </w:rPr>
      </w:pPr>
      <w:r>
        <w:rPr>
          <w:rFonts w:hint="eastAsia" w:ascii="宋体" w:hAnsi="宋体" w:eastAsia="宋体" w:cs="宋体"/>
          <w:highlight w:val="none"/>
          <w:lang w:val="en-US"/>
        </w:rPr>
        <w:t>说明：</w:t>
      </w:r>
    </w:p>
    <w:p>
      <w:pPr>
        <w:pStyle w:val="23"/>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highlight w:val="none"/>
          <w:lang w:val="en-US"/>
        </w:rPr>
      </w:pPr>
      <w:r>
        <w:rPr>
          <w:rFonts w:hint="eastAsia" w:ascii="宋体" w:hAnsi="宋体" w:eastAsia="宋体" w:cs="宋体"/>
          <w:highlight w:val="none"/>
          <w:lang w:val="en-US"/>
        </w:rPr>
        <w:t>1.本表只填写</w:t>
      </w:r>
      <w:r>
        <w:rPr>
          <w:rFonts w:hint="eastAsia" w:ascii="宋体" w:hAnsi="宋体" w:eastAsia="宋体" w:cs="宋体"/>
          <w:highlight w:val="none"/>
          <w:lang w:val="en-US" w:eastAsia="zh-CN"/>
        </w:rPr>
        <w:t>谈判响应</w:t>
      </w:r>
      <w:r>
        <w:rPr>
          <w:rFonts w:hint="eastAsia" w:ascii="宋体" w:hAnsi="宋体" w:eastAsia="宋体" w:cs="宋体"/>
          <w:highlight w:val="none"/>
          <w:lang w:val="en-US"/>
        </w:rPr>
        <w:t>文件中与</w:t>
      </w:r>
      <w:r>
        <w:rPr>
          <w:rFonts w:hint="eastAsia" w:ascii="宋体" w:hAnsi="宋体" w:eastAsia="宋体" w:cs="宋体"/>
          <w:highlight w:val="none"/>
          <w:lang w:val="en-US" w:eastAsia="zh-CN"/>
        </w:rPr>
        <w:t>谈判</w:t>
      </w:r>
      <w:r>
        <w:rPr>
          <w:rFonts w:hint="eastAsia" w:ascii="宋体" w:hAnsi="宋体" w:eastAsia="宋体" w:cs="宋体"/>
          <w:highlight w:val="none"/>
          <w:lang w:val="en-US"/>
        </w:rPr>
        <w:t>文件有偏离（包括正偏离和负偏离）的内容，</w:t>
      </w:r>
      <w:r>
        <w:rPr>
          <w:rFonts w:hint="eastAsia" w:ascii="宋体" w:hAnsi="宋体" w:eastAsia="宋体" w:cs="宋体"/>
          <w:highlight w:val="none"/>
          <w:lang w:val="en-US" w:eastAsia="zh-CN"/>
        </w:rPr>
        <w:t>谈判响应</w:t>
      </w:r>
      <w:r>
        <w:rPr>
          <w:rFonts w:hint="eastAsia" w:ascii="宋体" w:hAnsi="宋体" w:eastAsia="宋体" w:cs="宋体"/>
          <w:highlight w:val="none"/>
          <w:lang w:val="en-US"/>
        </w:rPr>
        <w:t>文件中商务响应与</w:t>
      </w:r>
      <w:r>
        <w:rPr>
          <w:rFonts w:hint="eastAsia" w:ascii="宋体" w:hAnsi="宋体" w:eastAsia="宋体" w:cs="宋体"/>
          <w:highlight w:val="none"/>
          <w:lang w:val="en-US" w:eastAsia="zh-CN"/>
        </w:rPr>
        <w:t>谈判</w:t>
      </w:r>
      <w:r>
        <w:rPr>
          <w:rFonts w:hint="eastAsia" w:ascii="宋体" w:hAnsi="宋体" w:eastAsia="宋体" w:cs="宋体"/>
          <w:highlight w:val="none"/>
          <w:lang w:val="en-US"/>
        </w:rPr>
        <w:t>文件要求完全一致的，不用在此表中列出，但必须提交空白表。</w:t>
      </w:r>
    </w:p>
    <w:p>
      <w:pPr>
        <w:pStyle w:val="23"/>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highlight w:val="none"/>
          <w:lang w:val="en-US"/>
        </w:rPr>
      </w:pPr>
      <w:r>
        <w:rPr>
          <w:rFonts w:hint="eastAsia" w:ascii="宋体" w:hAnsi="宋体" w:eastAsia="宋体" w:cs="宋体"/>
          <w:highlight w:val="none"/>
          <w:lang w:val="en-US"/>
        </w:rPr>
        <w:t>2.</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必须据实填写，不得虚假响应，否则将取消其</w:t>
      </w:r>
      <w:r>
        <w:rPr>
          <w:rFonts w:hint="eastAsia" w:ascii="宋体" w:hAnsi="宋体" w:eastAsia="宋体" w:cs="宋体"/>
          <w:highlight w:val="none"/>
          <w:lang w:val="en-US" w:eastAsia="zh-CN"/>
        </w:rPr>
        <w:t>谈判或成交</w:t>
      </w:r>
      <w:r>
        <w:rPr>
          <w:rFonts w:hint="eastAsia" w:ascii="宋体" w:hAnsi="宋体" w:eastAsia="宋体" w:cs="宋体"/>
          <w:highlight w:val="none"/>
          <w:lang w:val="en-US"/>
        </w:rPr>
        <w:t>资格，并按有关规定进处罚。</w:t>
      </w:r>
    </w:p>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lang w:val="en-US"/>
        </w:rPr>
      </w:pPr>
    </w:p>
    <w:p>
      <w:pPr>
        <w:pStyle w:val="23"/>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val="en-US"/>
        </w:rPr>
        <w:t>名称：</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rPr>
        <w:t>（单位公章）</w:t>
      </w:r>
    </w:p>
    <w:p>
      <w:pPr>
        <w:pStyle w:val="23"/>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sz w:val="24"/>
          <w:szCs w:val="24"/>
          <w:highlight w:val="none"/>
          <w:lang w:val="en-US"/>
        </w:rPr>
      </w:pPr>
    </w:p>
    <w:p>
      <w:pPr>
        <w:tabs>
          <w:tab w:val="left" w:pos="3045"/>
        </w:tabs>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lang w:eastAsia="zh-CN"/>
        </w:rPr>
        <w:t>被授权人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lang w:val="en-US" w:eastAsia="zh-CN"/>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 xml:space="preserve"> </w:t>
      </w:r>
    </w:p>
    <w:p>
      <w:pPr>
        <w:spacing w:line="400" w:lineRule="exact"/>
        <w:ind w:firstLine="480" w:firstLineChars="200"/>
        <w:jc w:val="center"/>
        <w:rPr>
          <w:rFonts w:hint="eastAsia" w:ascii="宋体" w:hAnsi="宋体" w:eastAsia="宋体" w:cs="宋体"/>
          <w:sz w:val="24"/>
          <w:szCs w:val="24"/>
          <w:highlight w:val="none"/>
        </w:rPr>
      </w:pPr>
    </w:p>
    <w:p>
      <w:pPr>
        <w:spacing w:line="360" w:lineRule="auto"/>
        <w:ind w:left="525" w:leftChars="250"/>
        <w:rPr>
          <w:rFonts w:hint="eastAsia" w:ascii="宋体" w:hAnsi="宋体" w:eastAsia="宋体" w:cs="宋体"/>
          <w:b/>
          <w:bCs/>
          <w:sz w:val="28"/>
          <w:szCs w:val="28"/>
          <w:highlight w:val="none"/>
        </w:rPr>
      </w:pPr>
    </w:p>
    <w:p>
      <w:pPr>
        <w:jc w:val="center"/>
        <w:rPr>
          <w:rFonts w:hint="eastAsia" w:ascii="宋体" w:hAnsi="宋体" w:eastAsia="宋体" w:cs="宋体"/>
          <w:b/>
          <w:sz w:val="32"/>
          <w:szCs w:val="32"/>
          <w:highlight w:val="none"/>
        </w:rPr>
      </w:pPr>
      <w:r>
        <w:rPr>
          <w:rFonts w:hint="eastAsia" w:ascii="宋体" w:hAnsi="宋体" w:eastAsia="宋体" w:cs="宋体"/>
          <w:highlight w:val="none"/>
        </w:rPr>
        <w:br w:type="page"/>
      </w:r>
      <w:r>
        <w:rPr>
          <w:rFonts w:hint="eastAsia" w:ascii="宋体" w:hAnsi="宋体" w:eastAsia="宋体" w:cs="宋体"/>
          <w:b/>
          <w:sz w:val="32"/>
          <w:szCs w:val="32"/>
          <w:highlight w:val="none"/>
          <w:lang w:eastAsia="zh-CN"/>
        </w:rPr>
        <w:t>五</w:t>
      </w:r>
      <w:r>
        <w:rPr>
          <w:rFonts w:hint="eastAsia" w:ascii="宋体" w:hAnsi="宋体" w:eastAsia="宋体" w:cs="宋体"/>
          <w:b/>
          <w:sz w:val="32"/>
          <w:szCs w:val="32"/>
          <w:highlight w:val="none"/>
        </w:rPr>
        <w:t>、陕西省政府采购供应商拒绝政府采购领域商业贿赂承诺书</w:t>
      </w:r>
    </w:p>
    <w:p>
      <w:pPr>
        <w:widowControl/>
        <w:spacing w:line="408" w:lineRule="auto"/>
        <w:ind w:left="239" w:leftChars="114" w:firstLine="470" w:firstLineChars="196"/>
        <w:jc w:val="left"/>
        <w:rPr>
          <w:rFonts w:hint="eastAsia" w:ascii="宋体" w:hAnsi="宋体" w:eastAsia="宋体" w:cs="宋体"/>
          <w:kern w:val="0"/>
          <w:sz w:val="24"/>
          <w:highlight w:val="none"/>
        </w:rPr>
      </w:pP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为响应党中央、国务院关于治理政府采购领域商业贿赂行为的号召，我公司在此庄严承诺：</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1、在参与政府采购活动中遵纪守法、诚信经营、公平竞标。</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2、不向政府采购人、采购代理机构和政府采购评审专家进行任何形式的商业贿赂以谋取交易机会。</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3、不向政府采购代理机构和采购人提供虚假资质文件或采用虚假应标方式参与政府采购市场竞争并谋取成交。</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4、不采取“围标、陪标”等商业欺诈手段获得政府采购定单。</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5、不采取不正当手段诋毁、排挤其他供应商。</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6、不在提供商品和服务时“偷梁换柱、以次充好”损害采购人的合法权益。</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7、不与采购人、采购代理机构政府采购评审专家或其它供应商恶意串通，进行质疑和投诉，维护政府采购市场秩序。</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8、尊重和接受政府采购监督管理部门的监督和政府采购代理机构竞争性谈判采购要求，承担因违约行为给采购人造成的损失。</w:t>
      </w:r>
    </w:p>
    <w:p>
      <w:pPr>
        <w:widowControl/>
        <w:spacing w:line="408" w:lineRule="auto"/>
        <w:ind w:left="239" w:leftChars="114"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9、不发生其他有悖于政府采购公开、公平、公正和诚信原则的行为。</w:t>
      </w:r>
    </w:p>
    <w:p>
      <w:pPr>
        <w:widowControl/>
        <w:spacing w:line="408" w:lineRule="auto"/>
        <w:ind w:left="239" w:leftChars="114" w:firstLine="470" w:firstLineChars="196"/>
        <w:jc w:val="left"/>
        <w:rPr>
          <w:rFonts w:hint="eastAsia" w:ascii="宋体" w:hAnsi="宋体" w:eastAsia="宋体" w:cs="宋体"/>
          <w:kern w:val="0"/>
          <w:sz w:val="24"/>
          <w:highlight w:val="none"/>
        </w:rPr>
      </w:pPr>
    </w:p>
    <w:p>
      <w:pPr>
        <w:widowControl/>
        <w:spacing w:line="408"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承诺单位：（盖章）</w:t>
      </w:r>
    </w:p>
    <w:p>
      <w:pPr>
        <w:widowControl/>
        <w:spacing w:line="408"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法定代表人</w:t>
      </w:r>
      <w:r>
        <w:rPr>
          <w:rFonts w:hint="eastAsia" w:ascii="宋体" w:hAnsi="宋体" w:eastAsia="宋体" w:cs="宋体"/>
          <w:kern w:val="0"/>
          <w:sz w:val="24"/>
          <w:highlight w:val="none"/>
          <w:lang w:val="en-US" w:eastAsia="zh-CN"/>
        </w:rPr>
        <w:t>或</w:t>
      </w:r>
      <w:r>
        <w:rPr>
          <w:rFonts w:hint="eastAsia" w:ascii="宋体" w:hAnsi="宋体" w:eastAsia="宋体" w:cs="宋体"/>
          <w:kern w:val="0"/>
          <w:sz w:val="24"/>
          <w:highlight w:val="none"/>
          <w:lang w:eastAsia="zh-CN"/>
        </w:rPr>
        <w:t>被授权人</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签字</w:t>
      </w:r>
      <w:r>
        <w:rPr>
          <w:rFonts w:hint="eastAsia" w:ascii="宋体" w:hAnsi="宋体" w:eastAsia="宋体" w:cs="宋体"/>
          <w:kern w:val="0"/>
          <w:sz w:val="24"/>
          <w:highlight w:val="none"/>
          <w:lang w:eastAsia="zh-CN"/>
        </w:rPr>
        <w:t>或盖章</w:t>
      </w:r>
      <w:r>
        <w:rPr>
          <w:rFonts w:hint="eastAsia" w:ascii="宋体" w:hAnsi="宋体" w:eastAsia="宋体" w:cs="宋体"/>
          <w:kern w:val="0"/>
          <w:sz w:val="24"/>
          <w:highlight w:val="none"/>
          <w:lang w:val="en-US" w:eastAsia="zh-CN"/>
        </w:rPr>
        <w:t>）</w:t>
      </w:r>
    </w:p>
    <w:p>
      <w:pPr>
        <w:widowControl/>
        <w:spacing w:line="408"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地  址：       </w:t>
      </w:r>
    </w:p>
    <w:p>
      <w:pPr>
        <w:widowControl/>
        <w:spacing w:line="408"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邮  编：</w:t>
      </w:r>
    </w:p>
    <w:p>
      <w:pPr>
        <w:widowControl/>
        <w:spacing w:line="408"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电  话：                        </w:t>
      </w:r>
    </w:p>
    <w:p>
      <w:pPr>
        <w:widowControl/>
        <w:spacing w:line="408" w:lineRule="auto"/>
        <w:ind w:left="239" w:leftChars="114"/>
        <w:jc w:val="right"/>
        <w:rPr>
          <w:rFonts w:hint="eastAsia" w:ascii="宋体" w:hAnsi="宋体" w:eastAsia="宋体" w:cs="宋体"/>
          <w:kern w:val="0"/>
          <w:sz w:val="24"/>
          <w:highlight w:val="none"/>
        </w:rPr>
      </w:pPr>
      <w:r>
        <w:rPr>
          <w:rFonts w:hint="eastAsia" w:ascii="宋体" w:hAnsi="宋体" w:eastAsia="宋体" w:cs="宋体"/>
          <w:kern w:val="0"/>
          <w:sz w:val="24"/>
          <w:highlight w:val="none"/>
        </w:rPr>
        <w:t>                                     年  月  日</w:t>
      </w:r>
    </w:p>
    <w:p>
      <w:pPr>
        <w:numPr>
          <w:ilvl w:val="0"/>
          <w:numId w:val="8"/>
        </w:numPr>
        <w:spacing w:before="240" w:line="360" w:lineRule="auto"/>
        <w:ind w:left="1"/>
        <w:jc w:val="center"/>
        <w:rPr>
          <w:rFonts w:hint="eastAsia" w:ascii="宋体" w:hAnsi="宋体" w:eastAsia="宋体" w:cs="宋体"/>
          <w:b/>
          <w:sz w:val="32"/>
          <w:szCs w:val="32"/>
          <w:highlight w:val="none"/>
        </w:rPr>
      </w:pPr>
      <w:r>
        <w:rPr>
          <w:rFonts w:hint="eastAsia" w:ascii="宋体" w:hAnsi="宋体" w:eastAsia="宋体" w:cs="宋体"/>
          <w:b/>
          <w:sz w:val="36"/>
          <w:szCs w:val="36"/>
          <w:highlight w:val="none"/>
        </w:rPr>
        <w:br w:type="page"/>
      </w:r>
      <w:r>
        <w:rPr>
          <w:rFonts w:hint="eastAsia" w:ascii="宋体" w:hAnsi="宋体" w:eastAsia="宋体" w:cs="宋体"/>
          <w:b/>
          <w:sz w:val="32"/>
          <w:szCs w:val="32"/>
          <w:highlight w:val="none"/>
        </w:rPr>
        <w:t>资格证明文件</w:t>
      </w:r>
    </w:p>
    <w:p>
      <w:pPr>
        <w:pStyle w:val="27"/>
        <w:spacing w:line="480" w:lineRule="auto"/>
        <w:ind w:left="0" w:leftChars="0" w:firstLine="241" w:firstLineChars="100"/>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（一）基本资格条件：符合《中华人民共和国政府采购法》第二十二条的规定，并提供以下资料：</w:t>
      </w:r>
    </w:p>
    <w:p>
      <w:pPr>
        <w:pStyle w:val="27"/>
        <w:spacing w:line="48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（1）具有独立承担民事责任能力的法人或其他组织，提供有效存续的营业执照或事业单位法人证书或非企业专业服务机构执业许可证或民办非企业单位登记证书或自然人的身份证明；</w:t>
      </w:r>
    </w:p>
    <w:p>
      <w:pPr>
        <w:pStyle w:val="27"/>
        <w:spacing w:line="48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（2）财务状况报告：提供经审计的2020年或2021年财务报告，包括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p>
    <w:p>
      <w:pPr>
        <w:pStyle w:val="27"/>
        <w:spacing w:line="48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（3）税收缴纳证明：</w:t>
      </w:r>
      <w:r>
        <w:rPr>
          <w:rFonts w:hint="eastAsia" w:ascii="宋体" w:hAnsi="宋体" w:cs="宋体"/>
          <w:i w:val="0"/>
          <w:caps w:val="0"/>
          <w:color w:val="auto"/>
          <w:spacing w:val="0"/>
          <w:sz w:val="24"/>
          <w:szCs w:val="24"/>
          <w:highlight w:val="none"/>
          <w:shd w:val="clear" w:color="auto" w:fill="FFFFFF"/>
          <w:lang w:val="en-US" w:eastAsia="zh-CN"/>
        </w:rPr>
        <w:t>提供已缴纳的2021年8月至今</w:t>
      </w:r>
      <w:r>
        <w:rPr>
          <w:rFonts w:hint="eastAsia" w:ascii="宋体" w:hAnsi="宋体" w:eastAsia="宋体" w:cs="宋体"/>
          <w:i w:val="0"/>
          <w:caps w:val="0"/>
          <w:color w:val="auto"/>
          <w:spacing w:val="0"/>
          <w:sz w:val="24"/>
          <w:szCs w:val="24"/>
          <w:highlight w:val="none"/>
          <w:shd w:val="clear" w:color="auto" w:fill="FFFFFF"/>
          <w:lang w:val="en-US" w:eastAsia="zh-CN"/>
        </w:rPr>
        <w:t>任意一个月的纳税证明或完税证明，纳税证明或完税证明上应有代收机构或税务机关的公章。依法免税的供应商应提供相关文件证明；</w:t>
      </w:r>
    </w:p>
    <w:p>
      <w:pPr>
        <w:pStyle w:val="27"/>
        <w:spacing w:line="48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（4）供应商须提供具有履行合同所必需的设备和专业技术能力的承诺；</w:t>
      </w:r>
    </w:p>
    <w:p>
      <w:pPr>
        <w:pStyle w:val="27"/>
        <w:spacing w:line="48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（5）社会保障资金缴纳证明：</w:t>
      </w:r>
      <w:r>
        <w:rPr>
          <w:rFonts w:hint="eastAsia" w:ascii="宋体" w:hAnsi="宋体" w:cs="宋体"/>
          <w:i w:val="0"/>
          <w:caps w:val="0"/>
          <w:color w:val="auto"/>
          <w:spacing w:val="0"/>
          <w:sz w:val="24"/>
          <w:szCs w:val="24"/>
          <w:highlight w:val="none"/>
          <w:shd w:val="clear" w:color="auto" w:fill="FFFFFF"/>
          <w:lang w:val="en-US" w:eastAsia="zh-CN"/>
        </w:rPr>
        <w:t>提供已缴存的2021年8月至今</w:t>
      </w:r>
      <w:r>
        <w:rPr>
          <w:rFonts w:hint="eastAsia" w:ascii="宋体" w:hAnsi="宋体" w:eastAsia="宋体" w:cs="宋体"/>
          <w:i w:val="0"/>
          <w:caps w:val="0"/>
          <w:color w:val="auto"/>
          <w:spacing w:val="0"/>
          <w:sz w:val="24"/>
          <w:szCs w:val="24"/>
          <w:highlight w:val="none"/>
          <w:shd w:val="clear" w:color="auto" w:fill="FFFFFF"/>
          <w:lang w:val="en-US" w:eastAsia="zh-CN"/>
        </w:rPr>
        <w:t>任意一个月的社会保障资金缴存单据或社保机构开具的社会保险参保缴费情况证明，单据或证明上应有社保机构或代收机构的公章。依法不需要缴纳社会保障资金的供应商应提供相关文件证明；</w:t>
      </w:r>
    </w:p>
    <w:p>
      <w:pPr>
        <w:pStyle w:val="27"/>
        <w:spacing w:line="48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（6）出具参加本次政府采购活动前三年内在经营活动中没有重大违法记录（包括但不限于未被列入失信被执行人、重大税收违法案件当事人名单、政府采购严重违法失信行为记录名单）的书面声明；</w:t>
      </w:r>
    </w:p>
    <w:p>
      <w:pPr>
        <w:pStyle w:val="27"/>
        <w:spacing w:line="480" w:lineRule="auto"/>
        <w:ind w:left="0" w:leftChars="0" w:firstLine="241" w:firstLineChars="100"/>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（二）落实政府采购政策需满足的资格要求：</w:t>
      </w:r>
      <w:r>
        <w:rPr>
          <w:rFonts w:hint="eastAsia" w:ascii="宋体" w:hAnsi="宋体" w:cs="宋体"/>
          <w:b/>
          <w:bCs/>
          <w:i w:val="0"/>
          <w:caps w:val="0"/>
          <w:color w:val="auto"/>
          <w:spacing w:val="0"/>
          <w:sz w:val="24"/>
          <w:szCs w:val="24"/>
          <w:highlight w:val="none"/>
          <w:shd w:val="clear" w:color="auto" w:fill="FFFFFF"/>
          <w:lang w:val="en-US" w:eastAsia="zh-CN"/>
        </w:rPr>
        <w:t>本项目非专门面向中小企业采购。</w:t>
      </w:r>
    </w:p>
    <w:p>
      <w:pPr>
        <w:pStyle w:val="27"/>
        <w:spacing w:line="480" w:lineRule="auto"/>
        <w:ind w:left="0" w:leftChars="0" w:firstLine="241" w:firstLineChars="100"/>
        <w:rPr>
          <w:rFonts w:hint="eastAsia"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（三）特定资格条件：</w:t>
      </w:r>
    </w:p>
    <w:p>
      <w:pPr>
        <w:pStyle w:val="27"/>
        <w:spacing w:line="48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（1）法定代表人授权书（附法定代表人、被授权人身份证复印件）及被授权人身份证（法定代表人直接参加谈判活动，须提供法定代表人身份证明及身份证原件）；</w:t>
      </w:r>
    </w:p>
    <w:p>
      <w:pPr>
        <w:pStyle w:val="27"/>
        <w:spacing w:line="480" w:lineRule="auto"/>
        <w:ind w:left="0" w:leftChars="0" w:firstLine="240" w:firstLineChars="1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（2）本项目不接受联合体谈判（提供书面声明）。</w:t>
      </w:r>
    </w:p>
    <w:p>
      <w:pPr>
        <w:pStyle w:val="27"/>
        <w:rPr>
          <w:rFonts w:hint="eastAsia" w:ascii="宋体" w:hAnsi="宋体" w:eastAsia="宋体" w:cs="宋体"/>
          <w:highlight w:val="none"/>
          <w:lang w:val="en-US" w:eastAsia="zh-CN"/>
        </w:rPr>
      </w:pPr>
    </w:p>
    <w:p>
      <w:pPr>
        <w:pStyle w:val="27"/>
        <w:rPr>
          <w:rFonts w:hint="eastAsia" w:ascii="宋体" w:hAnsi="宋体" w:eastAsia="宋体" w:cs="宋体"/>
          <w:highlight w:val="none"/>
          <w:lang w:val="en-US" w:eastAsia="zh-CN"/>
        </w:rPr>
      </w:pPr>
    </w:p>
    <w:p>
      <w:pPr>
        <w:spacing w:line="440" w:lineRule="exact"/>
        <w:ind w:left="-359" w:leftChars="-171" w:firstLine="496" w:firstLineChars="200"/>
        <w:jc w:val="center"/>
        <w:rPr>
          <w:rFonts w:hint="eastAsia" w:ascii="宋体" w:hAnsi="宋体" w:eastAsia="宋体" w:cs="宋体"/>
          <w:spacing w:val="4"/>
          <w:sz w:val="24"/>
          <w:highlight w:val="none"/>
        </w:rPr>
      </w:pPr>
    </w:p>
    <w:p>
      <w:pPr>
        <w:spacing w:line="440" w:lineRule="exact"/>
        <w:ind w:left="-359" w:leftChars="-171" w:firstLine="496" w:firstLineChars="200"/>
        <w:jc w:val="center"/>
        <w:rPr>
          <w:rFonts w:hint="eastAsia" w:ascii="宋体" w:hAnsi="宋体" w:eastAsia="宋体" w:cs="宋体"/>
          <w:spacing w:val="4"/>
          <w:sz w:val="24"/>
          <w:highlight w:val="none"/>
        </w:rPr>
      </w:pPr>
    </w:p>
    <w:p>
      <w:pPr>
        <w:spacing w:line="440" w:lineRule="exact"/>
        <w:ind w:left="-359" w:leftChars="-171" w:firstLine="496" w:firstLineChars="200"/>
        <w:jc w:val="center"/>
        <w:rPr>
          <w:rFonts w:hint="eastAsia" w:ascii="宋体" w:hAnsi="宋体" w:eastAsia="宋体" w:cs="宋体"/>
          <w:spacing w:val="4"/>
          <w:sz w:val="24"/>
          <w:highlight w:val="none"/>
        </w:rPr>
      </w:pPr>
    </w:p>
    <w:p>
      <w:pPr>
        <w:spacing w:line="440" w:lineRule="exact"/>
        <w:ind w:left="-359" w:leftChars="-171" w:firstLine="496" w:firstLineChars="200"/>
        <w:jc w:val="center"/>
        <w:rPr>
          <w:rFonts w:hint="eastAsia" w:ascii="宋体" w:hAnsi="宋体" w:eastAsia="宋体" w:cs="宋体"/>
          <w:spacing w:val="4"/>
          <w:sz w:val="24"/>
          <w:highlight w:val="none"/>
        </w:rPr>
      </w:pPr>
    </w:p>
    <w:p>
      <w:pPr>
        <w:spacing w:line="440" w:lineRule="exact"/>
        <w:ind w:left="-359" w:leftChars="-171" w:firstLine="496" w:firstLineChars="200"/>
        <w:jc w:val="center"/>
        <w:rPr>
          <w:rFonts w:hint="eastAsia" w:ascii="宋体" w:hAnsi="宋体" w:eastAsia="宋体" w:cs="宋体"/>
          <w:spacing w:val="4"/>
          <w:sz w:val="24"/>
          <w:highlight w:val="none"/>
        </w:rPr>
      </w:pPr>
    </w:p>
    <w:p>
      <w:pPr>
        <w:spacing w:line="440" w:lineRule="exact"/>
        <w:ind w:left="-359" w:leftChars="-171" w:firstLine="496" w:firstLineChars="200"/>
        <w:jc w:val="center"/>
        <w:rPr>
          <w:rFonts w:hint="eastAsia" w:ascii="宋体" w:hAnsi="宋体" w:eastAsia="宋体" w:cs="宋体"/>
          <w:spacing w:val="4"/>
          <w:sz w:val="24"/>
          <w:highlight w:val="none"/>
        </w:rPr>
      </w:pPr>
    </w:p>
    <w:p>
      <w:pPr>
        <w:spacing w:line="440" w:lineRule="exact"/>
        <w:ind w:left="-359" w:leftChars="-171" w:firstLine="496" w:firstLineChars="200"/>
        <w:jc w:val="center"/>
        <w:rPr>
          <w:rFonts w:hint="eastAsia" w:ascii="宋体" w:hAnsi="宋体" w:eastAsia="宋体" w:cs="宋体"/>
          <w:spacing w:val="4"/>
          <w:sz w:val="24"/>
          <w:highlight w:val="none"/>
        </w:rPr>
      </w:pPr>
    </w:p>
    <w:p>
      <w:pPr>
        <w:spacing w:line="440" w:lineRule="exact"/>
        <w:ind w:left="-359" w:leftChars="-171" w:firstLine="496" w:firstLineChars="200"/>
        <w:jc w:val="center"/>
        <w:rPr>
          <w:rFonts w:hint="eastAsia" w:ascii="宋体" w:hAnsi="宋体" w:eastAsia="宋体" w:cs="宋体"/>
          <w:spacing w:val="4"/>
          <w:sz w:val="24"/>
          <w:highlight w:val="none"/>
        </w:rPr>
      </w:pPr>
    </w:p>
    <w:p>
      <w:pPr>
        <w:spacing w:line="440" w:lineRule="exact"/>
        <w:ind w:left="-359" w:leftChars="-171" w:firstLine="496" w:firstLineChars="200"/>
        <w:jc w:val="center"/>
        <w:rPr>
          <w:rFonts w:hint="eastAsia" w:ascii="宋体" w:hAnsi="宋体" w:eastAsia="宋体" w:cs="宋体"/>
          <w:spacing w:val="4"/>
          <w:sz w:val="24"/>
          <w:highlight w:val="none"/>
        </w:rPr>
      </w:pPr>
    </w:p>
    <w:p>
      <w:pPr>
        <w:spacing w:line="440" w:lineRule="exact"/>
        <w:ind w:left="-359" w:leftChars="-171" w:firstLine="496" w:firstLineChars="200"/>
        <w:jc w:val="center"/>
        <w:rPr>
          <w:rFonts w:hint="eastAsia" w:ascii="宋体" w:hAnsi="宋体" w:eastAsia="宋体" w:cs="宋体"/>
          <w:spacing w:val="4"/>
          <w:sz w:val="24"/>
          <w:highlight w:val="none"/>
        </w:rPr>
      </w:pPr>
    </w:p>
    <w:p>
      <w:pPr>
        <w:spacing w:line="440" w:lineRule="exact"/>
        <w:ind w:left="-359" w:leftChars="-171" w:firstLine="496" w:firstLineChars="200"/>
        <w:jc w:val="center"/>
        <w:rPr>
          <w:rFonts w:hint="eastAsia" w:ascii="宋体" w:hAnsi="宋体" w:eastAsia="宋体" w:cs="宋体"/>
          <w:spacing w:val="4"/>
          <w:sz w:val="24"/>
          <w:highlight w:val="none"/>
        </w:rPr>
      </w:pPr>
    </w:p>
    <w:p>
      <w:pPr>
        <w:spacing w:line="440" w:lineRule="exact"/>
        <w:ind w:left="-359" w:leftChars="-171" w:firstLine="496" w:firstLineChars="200"/>
        <w:jc w:val="center"/>
        <w:rPr>
          <w:rFonts w:hint="eastAsia" w:ascii="宋体" w:hAnsi="宋体" w:eastAsia="宋体" w:cs="宋体"/>
          <w:spacing w:val="4"/>
          <w:sz w:val="24"/>
          <w:highlight w:val="none"/>
        </w:rPr>
      </w:pPr>
    </w:p>
    <w:p>
      <w:pPr>
        <w:spacing w:line="440" w:lineRule="exact"/>
        <w:ind w:left="-359" w:leftChars="-171" w:firstLine="496" w:firstLineChars="200"/>
        <w:jc w:val="center"/>
        <w:rPr>
          <w:rFonts w:hint="eastAsia" w:ascii="宋体" w:hAnsi="宋体" w:eastAsia="宋体" w:cs="宋体"/>
          <w:spacing w:val="4"/>
          <w:sz w:val="24"/>
          <w:highlight w:val="none"/>
        </w:rPr>
      </w:pPr>
    </w:p>
    <w:p>
      <w:pPr>
        <w:spacing w:line="440" w:lineRule="exact"/>
        <w:ind w:left="-359" w:leftChars="-171" w:firstLine="496" w:firstLineChars="200"/>
        <w:jc w:val="center"/>
        <w:rPr>
          <w:rFonts w:hint="eastAsia" w:ascii="宋体" w:hAnsi="宋体" w:eastAsia="宋体" w:cs="宋体"/>
          <w:spacing w:val="4"/>
          <w:sz w:val="24"/>
          <w:highlight w:val="none"/>
        </w:rPr>
      </w:pPr>
    </w:p>
    <w:p>
      <w:pPr>
        <w:spacing w:line="440" w:lineRule="exact"/>
        <w:ind w:left="-359" w:leftChars="-171" w:firstLine="496" w:firstLineChars="200"/>
        <w:jc w:val="center"/>
        <w:rPr>
          <w:rFonts w:hint="eastAsia" w:ascii="宋体" w:hAnsi="宋体" w:eastAsia="宋体" w:cs="宋体"/>
          <w:spacing w:val="4"/>
          <w:sz w:val="24"/>
          <w:highlight w:val="none"/>
        </w:rPr>
      </w:pPr>
    </w:p>
    <w:p>
      <w:pPr>
        <w:spacing w:line="440" w:lineRule="exact"/>
        <w:ind w:left="-359" w:leftChars="-171" w:firstLine="496" w:firstLineChars="200"/>
        <w:jc w:val="center"/>
        <w:rPr>
          <w:rFonts w:hint="eastAsia" w:ascii="宋体" w:hAnsi="宋体" w:eastAsia="宋体" w:cs="宋体"/>
          <w:spacing w:val="4"/>
          <w:sz w:val="24"/>
          <w:highlight w:val="none"/>
        </w:rPr>
      </w:pPr>
    </w:p>
    <w:p>
      <w:pPr>
        <w:spacing w:line="440" w:lineRule="exact"/>
        <w:jc w:val="both"/>
        <w:rPr>
          <w:rFonts w:hint="eastAsia" w:ascii="宋体" w:hAnsi="宋体" w:eastAsia="宋体" w:cs="宋体"/>
          <w:spacing w:val="4"/>
          <w:sz w:val="24"/>
          <w:highlight w:val="none"/>
        </w:rPr>
      </w:pPr>
    </w:p>
    <w:p>
      <w:pPr>
        <w:spacing w:line="440" w:lineRule="exact"/>
        <w:ind w:left="-359" w:leftChars="-171" w:firstLine="496" w:firstLineChars="200"/>
        <w:jc w:val="center"/>
        <w:rPr>
          <w:rFonts w:hint="eastAsia" w:ascii="宋体" w:hAnsi="宋体" w:eastAsia="宋体" w:cs="宋体"/>
          <w:spacing w:val="4"/>
          <w:sz w:val="24"/>
          <w:szCs w:val="32"/>
          <w:highlight w:val="none"/>
        </w:rPr>
      </w:pPr>
      <w:r>
        <w:rPr>
          <w:rFonts w:hint="eastAsia" w:ascii="宋体" w:hAnsi="宋体" w:eastAsia="宋体" w:cs="宋体"/>
          <w:spacing w:val="4"/>
          <w:sz w:val="24"/>
          <w:highlight w:val="none"/>
        </w:rPr>
        <w:t xml:space="preserve">  </w:t>
      </w:r>
      <w:r>
        <w:rPr>
          <w:rFonts w:hint="eastAsia" w:ascii="宋体" w:hAnsi="宋体" w:eastAsia="宋体" w:cs="宋体"/>
          <w:spacing w:val="4"/>
          <w:sz w:val="24"/>
          <w:szCs w:val="32"/>
          <w:highlight w:val="none"/>
        </w:rPr>
        <w:t xml:space="preserve"> </w:t>
      </w:r>
    </w:p>
    <w:p>
      <w:pPr>
        <w:spacing w:line="440" w:lineRule="exact"/>
        <w:ind w:left="-359" w:leftChars="-171" w:firstLine="643" w:firstLineChars="200"/>
        <w:jc w:val="center"/>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法定代表人身份证明</w:t>
      </w:r>
    </w:p>
    <w:p>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kern w:val="0"/>
          <w:sz w:val="24"/>
          <w:highlight w:val="none"/>
        </w:rPr>
        <w:t>名称：</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p>
    <w:p>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统一社会信用代码：</w:t>
      </w:r>
      <w:r>
        <w:rPr>
          <w:rFonts w:hint="eastAsia" w:ascii="宋体" w:hAnsi="宋体" w:eastAsia="宋体" w:cs="宋体"/>
          <w:kern w:val="0"/>
          <w:sz w:val="24"/>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注册地址：</w:t>
      </w:r>
      <w:r>
        <w:rPr>
          <w:rFonts w:hint="eastAsia" w:ascii="宋体" w:hAnsi="宋体" w:eastAsia="宋体" w:cs="宋体"/>
          <w:kern w:val="0"/>
          <w:sz w:val="24"/>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成立时间：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年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日</w:t>
      </w:r>
    </w:p>
    <w:p>
      <w:pPr>
        <w:autoSpaceDE w:val="0"/>
        <w:autoSpaceDN w:val="0"/>
        <w:adjustRightInd w:val="0"/>
        <w:snapToGrid w:val="0"/>
        <w:spacing w:before="120" w:beforeLines="50" w:line="360" w:lineRule="auto"/>
        <w:jc w:val="left"/>
        <w:rPr>
          <w:rFonts w:hint="eastAsia" w:ascii="宋体" w:hAnsi="宋体" w:eastAsia="宋体" w:cs="宋体"/>
          <w:kern w:val="0"/>
          <w:sz w:val="24"/>
          <w:highlight w:val="none"/>
          <w:u w:val="single"/>
        </w:rPr>
      </w:pPr>
      <w:r>
        <w:rPr>
          <w:rFonts w:hint="eastAsia" w:ascii="宋体" w:hAnsi="宋体" w:eastAsia="宋体" w:cs="宋体"/>
          <w:kern w:val="0"/>
          <w:sz w:val="24"/>
          <w:highlight w:val="none"/>
        </w:rPr>
        <w:t>经营期限：</w:t>
      </w:r>
      <w:r>
        <w:rPr>
          <w:rFonts w:hint="eastAsia" w:ascii="宋体" w:hAnsi="宋体" w:eastAsia="宋体" w:cs="宋体"/>
          <w:kern w:val="0"/>
          <w:sz w:val="24"/>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姓名：</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性别：</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年龄：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系</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名称）的法定代表人。</w:t>
      </w:r>
    </w:p>
    <w:p>
      <w:pPr>
        <w:autoSpaceDE w:val="0"/>
        <w:autoSpaceDN w:val="0"/>
        <w:adjustRightInd w:val="0"/>
        <w:snapToGrid w:val="0"/>
        <w:spacing w:before="120" w:beforeLines="50"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特此证明。</w:t>
      </w:r>
    </w:p>
    <w:p>
      <w:pPr>
        <w:autoSpaceDE w:val="0"/>
        <w:autoSpaceDN w:val="0"/>
        <w:adjustRightInd w:val="0"/>
        <w:snapToGrid w:val="0"/>
        <w:spacing w:before="120" w:beforeLines="50" w:line="360" w:lineRule="auto"/>
        <w:jc w:val="left"/>
        <w:rPr>
          <w:rFonts w:hint="eastAsia" w:ascii="宋体" w:hAnsi="宋体" w:eastAsia="宋体" w:cs="宋体"/>
          <w:kern w:val="0"/>
          <w:szCs w:val="21"/>
          <w:highlight w:val="none"/>
        </w:rPr>
      </w:pPr>
      <w:r>
        <w:rPr>
          <w:rFonts w:hint="eastAsia" w:ascii="宋体" w:hAnsi="宋体" w:eastAsia="宋体" w:cs="宋体"/>
          <w:szCs w:val="21"/>
          <w:highlight w:val="none"/>
        </w:rPr>
        <w:t>附：法定代表人身份证复印件</w:t>
      </w:r>
    </w:p>
    <w:tbl>
      <w:tblPr>
        <w:tblStyle w:val="29"/>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pPr>
              <w:snapToGrid w:val="0"/>
              <w:spacing w:line="480" w:lineRule="auto"/>
              <w:jc w:val="center"/>
              <w:rPr>
                <w:rFonts w:hint="eastAsia" w:ascii="宋体" w:hAnsi="宋体" w:eastAsia="宋体" w:cs="宋体"/>
                <w:szCs w:val="21"/>
                <w:highlight w:val="none"/>
              </w:rPr>
            </w:pPr>
          </w:p>
          <w:p>
            <w:pPr>
              <w:snapToGrid w:val="0"/>
              <w:spacing w:line="480" w:lineRule="auto"/>
              <w:jc w:val="center"/>
              <w:rPr>
                <w:rFonts w:hint="eastAsia" w:ascii="宋体" w:hAnsi="宋体" w:eastAsia="宋体" w:cs="宋体"/>
                <w:szCs w:val="21"/>
                <w:highlight w:val="none"/>
              </w:rPr>
            </w:pPr>
          </w:p>
          <w:p>
            <w:pPr>
              <w:autoSpaceDE w:val="0"/>
              <w:autoSpaceDN w:val="0"/>
              <w:adjustRightInd w:val="0"/>
              <w:snapToGrid w:val="0"/>
              <w:spacing w:before="120" w:beforeLines="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法定代表人身份证复印件</w:t>
            </w:r>
            <w:r>
              <w:rPr>
                <w:rFonts w:hint="eastAsia" w:ascii="宋体" w:hAnsi="宋体" w:eastAsia="宋体" w:cs="宋体"/>
                <w:szCs w:val="21"/>
                <w:highlight w:val="none"/>
                <w:lang w:eastAsia="zh-CN"/>
              </w:rPr>
              <w:t>粘</w:t>
            </w:r>
            <w:r>
              <w:rPr>
                <w:rFonts w:hint="eastAsia" w:ascii="宋体" w:hAnsi="宋体" w:eastAsia="宋体" w:cs="宋体"/>
                <w:szCs w:val="21"/>
                <w:highlight w:val="none"/>
              </w:rPr>
              <w:t>贴处</w:t>
            </w:r>
          </w:p>
          <w:p>
            <w:pPr>
              <w:autoSpaceDE w:val="0"/>
              <w:autoSpaceDN w:val="0"/>
              <w:adjustRightInd w:val="0"/>
              <w:snapToGrid w:val="0"/>
              <w:spacing w:before="120" w:beforeLines="50" w:line="360" w:lineRule="auto"/>
              <w:jc w:val="center"/>
              <w:rPr>
                <w:rFonts w:hint="eastAsia" w:ascii="宋体" w:hAnsi="宋体" w:eastAsia="宋体" w:cs="宋体"/>
                <w:kern w:val="0"/>
                <w:szCs w:val="21"/>
                <w:highlight w:val="none"/>
                <w:lang w:val="en-US" w:eastAsia="zh-CN"/>
              </w:rPr>
            </w:pPr>
            <w:r>
              <w:rPr>
                <w:rFonts w:hint="eastAsia" w:ascii="宋体" w:hAnsi="宋体" w:eastAsia="宋体" w:cs="宋体"/>
                <w:szCs w:val="21"/>
                <w:highlight w:val="none"/>
                <w:lang w:val="en-US" w:eastAsia="zh-CN"/>
              </w:rPr>
              <w:t>(正反面）</w:t>
            </w:r>
          </w:p>
          <w:p>
            <w:pPr>
              <w:snapToGrid w:val="0"/>
              <w:spacing w:line="480" w:lineRule="auto"/>
              <w:jc w:val="center"/>
              <w:rPr>
                <w:rFonts w:hint="eastAsia" w:ascii="宋体" w:hAnsi="宋体" w:eastAsia="宋体" w:cs="宋体"/>
                <w:szCs w:val="21"/>
                <w:highlight w:val="none"/>
              </w:rPr>
            </w:pPr>
          </w:p>
          <w:p>
            <w:pPr>
              <w:snapToGrid w:val="0"/>
              <w:spacing w:line="480" w:lineRule="auto"/>
              <w:jc w:val="center"/>
              <w:rPr>
                <w:rFonts w:hint="eastAsia" w:ascii="宋体" w:hAnsi="宋体" w:eastAsia="宋体" w:cs="宋体"/>
                <w:szCs w:val="21"/>
                <w:highlight w:val="none"/>
              </w:rPr>
            </w:pPr>
          </w:p>
        </w:tc>
      </w:tr>
    </w:tbl>
    <w:p>
      <w:pPr>
        <w:snapToGrid w:val="0"/>
        <w:spacing w:line="480" w:lineRule="auto"/>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 w:val="24"/>
          <w:highlight w:val="none"/>
        </w:rPr>
      </w:pPr>
    </w:p>
    <w:p>
      <w:pPr>
        <w:adjustRightInd w:val="0"/>
        <w:snapToGrid w:val="0"/>
        <w:spacing w:line="360" w:lineRule="auto"/>
        <w:ind w:right="420"/>
        <w:rPr>
          <w:rFonts w:hint="eastAsia" w:ascii="宋体" w:hAnsi="宋体" w:eastAsia="宋体" w:cs="宋体"/>
          <w:sz w:val="24"/>
          <w:highlight w:val="none"/>
        </w:rPr>
      </w:pPr>
    </w:p>
    <w:p>
      <w:pPr>
        <w:adjustRightInd w:val="0"/>
        <w:snapToGrid w:val="0"/>
        <w:spacing w:line="360" w:lineRule="auto"/>
        <w:ind w:right="420"/>
        <w:rPr>
          <w:rFonts w:hint="eastAsia" w:ascii="宋体" w:hAnsi="宋体" w:eastAsia="宋体" w:cs="宋体"/>
          <w:sz w:val="24"/>
          <w:highlight w:val="none"/>
        </w:rPr>
      </w:pPr>
    </w:p>
    <w:p>
      <w:pPr>
        <w:adjustRightInd w:val="0"/>
        <w:snapToGrid w:val="0"/>
        <w:spacing w:line="360" w:lineRule="auto"/>
        <w:ind w:right="420"/>
        <w:rPr>
          <w:rFonts w:hint="eastAsia" w:ascii="宋体" w:hAnsi="宋体" w:eastAsia="宋体" w:cs="宋体"/>
          <w:sz w:val="24"/>
          <w:highlight w:val="none"/>
        </w:rPr>
      </w:pPr>
    </w:p>
    <w:p>
      <w:pPr>
        <w:adjustRightInd w:val="0"/>
        <w:snapToGrid w:val="0"/>
        <w:spacing w:line="360" w:lineRule="auto"/>
        <w:ind w:right="420"/>
        <w:rPr>
          <w:rFonts w:hint="eastAsia" w:ascii="宋体" w:hAnsi="宋体" w:eastAsia="宋体" w:cs="宋体"/>
          <w:sz w:val="24"/>
          <w:highlight w:val="none"/>
        </w:rPr>
      </w:pPr>
    </w:p>
    <w:p>
      <w:pPr>
        <w:adjustRightInd w:val="0"/>
        <w:snapToGrid w:val="0"/>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名称（</w:t>
      </w:r>
      <w:r>
        <w:rPr>
          <w:rFonts w:hint="eastAsia" w:ascii="宋体" w:hAnsi="宋体" w:eastAsia="宋体" w:cs="宋体"/>
          <w:sz w:val="24"/>
          <w:highlight w:val="none"/>
          <w:lang w:eastAsia="zh-CN"/>
        </w:rPr>
        <w:t>公章</w:t>
      </w:r>
      <w:r>
        <w:rPr>
          <w:rFonts w:hint="eastAsia" w:ascii="宋体" w:hAnsi="宋体" w:eastAsia="宋体" w:cs="宋体"/>
          <w:sz w:val="24"/>
          <w:highlight w:val="none"/>
        </w:rPr>
        <w:t>）：</w:t>
      </w:r>
    </w:p>
    <w:p>
      <w:pPr>
        <w:adjustRightInd w:val="0"/>
        <w:snapToGrid w:val="0"/>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日期：    年  月  日</w:t>
      </w:r>
    </w:p>
    <w:p>
      <w:pPr>
        <w:pStyle w:val="9"/>
        <w:rPr>
          <w:rFonts w:hint="eastAsia" w:ascii="宋体" w:hAnsi="宋体" w:eastAsia="宋体" w:cs="宋体"/>
          <w:highlight w:val="none"/>
        </w:rPr>
      </w:pPr>
    </w:p>
    <w:p>
      <w:pPr>
        <w:adjustRightInd w:val="0"/>
        <w:snapToGrid w:val="0"/>
        <w:spacing w:line="360" w:lineRule="auto"/>
        <w:ind w:right="42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说明：仅限法定代表人参加</w:t>
      </w:r>
      <w:r>
        <w:rPr>
          <w:rFonts w:hint="eastAsia" w:ascii="宋体" w:hAnsi="宋体" w:eastAsia="宋体" w:cs="宋体"/>
          <w:b/>
          <w:bCs/>
          <w:sz w:val="24"/>
          <w:szCs w:val="24"/>
          <w:highlight w:val="none"/>
          <w:lang w:eastAsia="zh-CN"/>
        </w:rPr>
        <w:t>谈判</w:t>
      </w:r>
      <w:r>
        <w:rPr>
          <w:rFonts w:hint="eastAsia" w:ascii="宋体" w:hAnsi="宋体" w:eastAsia="宋体" w:cs="宋体"/>
          <w:b/>
          <w:bCs/>
          <w:sz w:val="24"/>
          <w:szCs w:val="24"/>
          <w:highlight w:val="none"/>
        </w:rPr>
        <w:t>时提供</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2" w:firstLineChars="200"/>
        <w:textAlignment w:val="auto"/>
        <w:outlineLvl w:val="9"/>
        <w:rPr>
          <w:rFonts w:hint="eastAsia" w:ascii="宋体" w:hAnsi="宋体" w:eastAsia="宋体" w:cs="宋体"/>
          <w:b/>
          <w:bCs/>
          <w:sz w:val="24"/>
          <w:szCs w:val="24"/>
          <w:highlight w:val="none"/>
          <w:lang w:val="en-US" w:eastAsia="zh-CN"/>
        </w:rPr>
      </w:pPr>
    </w:p>
    <w:p>
      <w:pPr>
        <w:pStyle w:val="9"/>
        <w:rPr>
          <w:rFonts w:hint="eastAsia" w:ascii="宋体" w:hAnsi="宋体" w:eastAsia="宋体" w:cs="宋体"/>
          <w:b/>
          <w:bCs/>
          <w:sz w:val="24"/>
          <w:szCs w:val="24"/>
          <w:highlight w:val="none"/>
          <w:lang w:val="en-US" w:eastAsia="zh-CN"/>
        </w:rPr>
      </w:pPr>
    </w:p>
    <w:p>
      <w:pPr>
        <w:pStyle w:val="9"/>
        <w:rPr>
          <w:rFonts w:hint="eastAsia" w:ascii="宋体" w:hAnsi="宋体" w:eastAsia="宋体" w:cs="宋体"/>
          <w:b/>
          <w:bCs/>
          <w:sz w:val="24"/>
          <w:szCs w:val="24"/>
          <w:highlight w:val="none"/>
          <w:lang w:val="en-US" w:eastAsia="zh-CN"/>
        </w:rPr>
      </w:pPr>
    </w:p>
    <w:p>
      <w:pPr>
        <w:pStyle w:val="6"/>
        <w:spacing w:before="327" w:beforeLines="100"/>
        <w:jc w:val="center"/>
        <w:rPr>
          <w:rFonts w:hint="eastAsia" w:ascii="宋体" w:hAnsi="宋体" w:eastAsia="宋体" w:cs="宋体"/>
          <w:spacing w:val="4"/>
          <w:sz w:val="24"/>
          <w:szCs w:val="30"/>
          <w:highlight w:val="none"/>
        </w:rPr>
      </w:pPr>
      <w:r>
        <w:rPr>
          <w:rFonts w:hint="eastAsia" w:ascii="宋体" w:hAnsi="宋体" w:eastAsia="宋体" w:cs="宋体"/>
          <w:sz w:val="32"/>
          <w:szCs w:val="32"/>
          <w:highlight w:val="none"/>
        </w:rPr>
        <w:t>法定代表人授权书</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spacing w:val="4"/>
          <w:sz w:val="24"/>
          <w:szCs w:val="30"/>
          <w:highlight w:val="none"/>
          <w:lang w:eastAsia="zh-CN"/>
        </w:rPr>
      </w:pPr>
      <w:r>
        <w:rPr>
          <w:rFonts w:hint="eastAsia" w:ascii="宋体" w:hAnsi="宋体" w:eastAsia="宋体" w:cs="宋体"/>
          <w:spacing w:val="4"/>
          <w:sz w:val="24"/>
          <w:szCs w:val="30"/>
          <w:highlight w:val="none"/>
        </w:rPr>
        <w:t>致：</w:t>
      </w:r>
      <w:r>
        <w:rPr>
          <w:rFonts w:hint="eastAsia" w:ascii="宋体" w:hAnsi="宋体" w:eastAsia="宋体" w:cs="宋体"/>
          <w:b w:val="0"/>
          <w:bCs/>
          <w:spacing w:val="4"/>
          <w:sz w:val="24"/>
          <w:szCs w:val="24"/>
          <w:highlight w:val="none"/>
          <w:u w:val="single"/>
          <w:lang w:eastAsia="zh-CN"/>
        </w:rPr>
        <w:t>采购人名称</w:t>
      </w:r>
      <w:r>
        <w:rPr>
          <w:rFonts w:hint="eastAsia" w:ascii="宋体" w:hAnsi="宋体" w:eastAsia="宋体" w:cs="宋体"/>
          <w:b w:val="0"/>
          <w:bCs/>
          <w:spacing w:val="4"/>
          <w:sz w:val="24"/>
          <w:szCs w:val="24"/>
          <w:highlight w:val="none"/>
          <w:u w:val="single"/>
          <w:lang w:val="en-US" w:eastAsia="zh-CN"/>
        </w:rPr>
        <w:t>/陕西嘉唐建设项目管理有限公司</w:t>
      </w:r>
    </w:p>
    <w:p>
      <w:pPr>
        <w:keepNext w:val="0"/>
        <w:keepLines w:val="0"/>
        <w:pageBreakBefore w:val="0"/>
        <w:widowControl w:val="0"/>
        <w:kinsoku/>
        <w:wordWrap/>
        <w:overflowPunct/>
        <w:topLinePunct w:val="0"/>
        <w:autoSpaceDE/>
        <w:autoSpaceDN/>
        <w:bidi w:val="0"/>
        <w:adjustRightInd/>
        <w:snapToGrid/>
        <w:spacing w:line="500" w:lineRule="exact"/>
        <w:ind w:firstLine="744" w:firstLineChars="300"/>
        <w:jc w:val="left"/>
        <w:textAlignment w:val="auto"/>
        <w:outlineLvl w:val="9"/>
        <w:rPr>
          <w:rFonts w:hint="eastAsia" w:ascii="宋体" w:hAnsi="宋体" w:eastAsia="宋体" w:cs="宋体"/>
          <w:spacing w:val="4"/>
          <w:sz w:val="24"/>
          <w:szCs w:val="30"/>
          <w:highlight w:val="none"/>
        </w:rPr>
      </w:pPr>
      <w:r>
        <w:rPr>
          <w:rFonts w:hint="eastAsia" w:ascii="宋体" w:hAnsi="宋体" w:eastAsia="宋体" w:cs="宋体"/>
          <w:spacing w:val="4"/>
          <w:sz w:val="24"/>
          <w:szCs w:val="30"/>
          <w:highlight w:val="none"/>
          <w:u w:val="single"/>
        </w:rPr>
        <w:t>(</w:t>
      </w:r>
      <w:r>
        <w:rPr>
          <w:rFonts w:hint="eastAsia" w:ascii="宋体" w:hAnsi="宋体" w:eastAsia="宋体" w:cs="宋体"/>
          <w:spacing w:val="4"/>
          <w:sz w:val="24"/>
          <w:szCs w:val="30"/>
          <w:highlight w:val="none"/>
          <w:u w:val="single"/>
          <w:lang w:val="en-US" w:eastAsia="zh-CN"/>
        </w:rPr>
        <w:t xml:space="preserve"> </w:t>
      </w:r>
      <w:r>
        <w:rPr>
          <w:rFonts w:hint="eastAsia" w:ascii="宋体" w:hAnsi="宋体" w:eastAsia="宋体" w:cs="宋体"/>
          <w:spacing w:val="4"/>
          <w:sz w:val="24"/>
          <w:szCs w:val="30"/>
          <w:highlight w:val="none"/>
          <w:u w:val="single"/>
          <w:lang w:eastAsia="zh-CN"/>
        </w:rPr>
        <w:t>供应商</w:t>
      </w:r>
      <w:r>
        <w:rPr>
          <w:rFonts w:hint="eastAsia" w:ascii="宋体" w:hAnsi="宋体" w:eastAsia="宋体" w:cs="宋体"/>
          <w:spacing w:val="4"/>
          <w:sz w:val="24"/>
          <w:szCs w:val="30"/>
          <w:highlight w:val="none"/>
          <w:u w:val="single"/>
        </w:rPr>
        <w:t xml:space="preserve">名称)      </w:t>
      </w:r>
      <w:r>
        <w:rPr>
          <w:rFonts w:hint="eastAsia" w:ascii="宋体" w:hAnsi="宋体" w:eastAsia="宋体" w:cs="宋体"/>
          <w:spacing w:val="4"/>
          <w:sz w:val="24"/>
          <w:szCs w:val="30"/>
          <w:highlight w:val="none"/>
        </w:rPr>
        <w:t>按中华人民共和国法律于</w:t>
      </w:r>
      <w:r>
        <w:rPr>
          <w:rFonts w:hint="eastAsia" w:ascii="宋体" w:hAnsi="宋体" w:eastAsia="宋体" w:cs="宋体"/>
          <w:spacing w:val="4"/>
          <w:sz w:val="24"/>
          <w:szCs w:val="30"/>
          <w:highlight w:val="none"/>
          <w:u w:val="single"/>
        </w:rPr>
        <w:t>（  年  月  日 ）</w:t>
      </w:r>
      <w:r>
        <w:rPr>
          <w:rFonts w:hint="eastAsia" w:ascii="宋体" w:hAnsi="宋体" w:eastAsia="宋体" w:cs="宋体"/>
          <w:spacing w:val="4"/>
          <w:sz w:val="24"/>
          <w:szCs w:val="30"/>
          <w:highlight w:val="none"/>
          <w:u w:val="single"/>
          <w:lang w:val="en-US" w:eastAsia="zh-CN"/>
        </w:rPr>
        <w:t xml:space="preserve"> </w:t>
      </w:r>
      <w:r>
        <w:rPr>
          <w:rFonts w:hint="eastAsia" w:ascii="宋体" w:hAnsi="宋体" w:eastAsia="宋体" w:cs="宋体"/>
          <w:spacing w:val="4"/>
          <w:sz w:val="24"/>
          <w:szCs w:val="30"/>
          <w:highlight w:val="none"/>
        </w:rPr>
        <w:t xml:space="preserve">成立。      </w:t>
      </w:r>
      <w:r>
        <w:rPr>
          <w:rFonts w:hint="eastAsia" w:ascii="宋体" w:hAnsi="宋体" w:eastAsia="宋体" w:cs="宋体"/>
          <w:spacing w:val="4"/>
          <w:sz w:val="24"/>
          <w:szCs w:val="30"/>
          <w:highlight w:val="none"/>
          <w:u w:val="single"/>
        </w:rPr>
        <w:t xml:space="preserve">     </w:t>
      </w:r>
      <w:r>
        <w:rPr>
          <w:rFonts w:hint="eastAsia" w:ascii="宋体" w:hAnsi="宋体" w:eastAsia="宋体" w:cs="宋体"/>
          <w:spacing w:val="4"/>
          <w:sz w:val="24"/>
          <w:szCs w:val="30"/>
          <w:highlight w:val="none"/>
          <w:u w:val="none"/>
        </w:rPr>
        <w:t>法定代表人</w:t>
      </w:r>
      <w:r>
        <w:rPr>
          <w:rFonts w:hint="eastAsia" w:ascii="宋体" w:hAnsi="宋体" w:eastAsia="宋体" w:cs="宋体"/>
          <w:spacing w:val="4"/>
          <w:sz w:val="24"/>
          <w:szCs w:val="30"/>
          <w:highlight w:val="none"/>
          <w:u w:val="single"/>
          <w:lang w:val="en-US" w:eastAsia="zh-CN"/>
        </w:rPr>
        <w:t xml:space="preserve">  </w:t>
      </w:r>
      <w:r>
        <w:rPr>
          <w:rFonts w:hint="eastAsia" w:ascii="宋体" w:hAnsi="宋体" w:eastAsia="宋体" w:cs="宋体"/>
          <w:spacing w:val="4"/>
          <w:sz w:val="24"/>
          <w:szCs w:val="30"/>
          <w:highlight w:val="none"/>
          <w:u w:val="single"/>
        </w:rPr>
        <w:t>姓名</w:t>
      </w:r>
      <w:r>
        <w:rPr>
          <w:rFonts w:hint="eastAsia" w:ascii="宋体" w:hAnsi="宋体" w:eastAsia="宋体" w:cs="宋体"/>
          <w:spacing w:val="4"/>
          <w:sz w:val="24"/>
          <w:szCs w:val="30"/>
          <w:highlight w:val="none"/>
          <w:u w:val="single"/>
          <w:lang w:val="en-US" w:eastAsia="zh-CN"/>
        </w:rPr>
        <w:t xml:space="preserve">   </w:t>
      </w:r>
      <w:r>
        <w:rPr>
          <w:rFonts w:hint="eastAsia" w:ascii="宋体" w:hAnsi="宋体" w:eastAsia="宋体" w:cs="宋体"/>
          <w:spacing w:val="4"/>
          <w:sz w:val="24"/>
          <w:szCs w:val="30"/>
          <w:highlight w:val="none"/>
          <w:u w:val="none"/>
        </w:rPr>
        <w:t>特授权</w:t>
      </w:r>
      <w:r>
        <w:rPr>
          <w:rFonts w:hint="eastAsia" w:ascii="宋体" w:hAnsi="宋体" w:eastAsia="宋体" w:cs="宋体"/>
          <w:spacing w:val="4"/>
          <w:sz w:val="24"/>
          <w:szCs w:val="30"/>
          <w:highlight w:val="none"/>
          <w:u w:val="single"/>
          <w:lang w:val="en-US" w:eastAsia="zh-CN"/>
        </w:rPr>
        <w:t xml:space="preserve">  </w:t>
      </w:r>
      <w:r>
        <w:rPr>
          <w:rFonts w:hint="eastAsia" w:ascii="宋体" w:hAnsi="宋体" w:eastAsia="宋体" w:cs="宋体"/>
          <w:spacing w:val="4"/>
          <w:sz w:val="24"/>
          <w:szCs w:val="30"/>
          <w:highlight w:val="none"/>
          <w:u w:val="single"/>
          <w:lang w:eastAsia="zh-CN"/>
        </w:rPr>
        <w:t>被授权人</w:t>
      </w:r>
      <w:r>
        <w:rPr>
          <w:rFonts w:hint="eastAsia" w:ascii="宋体" w:hAnsi="宋体" w:eastAsia="宋体" w:cs="宋体"/>
          <w:spacing w:val="4"/>
          <w:sz w:val="24"/>
          <w:szCs w:val="30"/>
          <w:highlight w:val="none"/>
          <w:u w:val="single"/>
        </w:rPr>
        <w:t>姓名</w:t>
      </w:r>
      <w:r>
        <w:rPr>
          <w:rFonts w:hint="eastAsia" w:ascii="宋体" w:hAnsi="宋体" w:eastAsia="宋体" w:cs="宋体"/>
          <w:spacing w:val="4"/>
          <w:sz w:val="24"/>
          <w:szCs w:val="30"/>
          <w:highlight w:val="none"/>
          <w:u w:val="single"/>
          <w:lang w:val="en-US" w:eastAsia="zh-CN"/>
        </w:rPr>
        <w:t xml:space="preserve">  </w:t>
      </w:r>
      <w:r>
        <w:rPr>
          <w:rFonts w:hint="eastAsia" w:ascii="宋体" w:hAnsi="宋体" w:eastAsia="宋体" w:cs="宋体"/>
          <w:spacing w:val="4"/>
          <w:sz w:val="24"/>
          <w:szCs w:val="30"/>
          <w:highlight w:val="none"/>
          <w:u w:val="none"/>
        </w:rPr>
        <w:t>代表我公司全权办理针对本次</w:t>
      </w:r>
      <w:r>
        <w:rPr>
          <w:rFonts w:hint="eastAsia" w:ascii="宋体" w:hAnsi="宋体" w:eastAsia="宋体" w:cs="宋体"/>
          <w:spacing w:val="4"/>
          <w:sz w:val="24"/>
          <w:szCs w:val="30"/>
          <w:highlight w:val="none"/>
          <w:u w:val="single"/>
          <w:lang w:val="en-US" w:eastAsia="zh-CN"/>
        </w:rPr>
        <w:t xml:space="preserve">  </w:t>
      </w:r>
      <w:r>
        <w:rPr>
          <w:rFonts w:hint="eastAsia" w:ascii="宋体" w:hAnsi="宋体" w:eastAsia="宋体" w:cs="宋体"/>
          <w:spacing w:val="4"/>
          <w:sz w:val="24"/>
          <w:szCs w:val="30"/>
          <w:highlight w:val="none"/>
          <w:u w:val="single"/>
          <w:lang w:eastAsia="zh-CN"/>
        </w:rPr>
        <w:t>项目名称、</w:t>
      </w:r>
      <w:r>
        <w:rPr>
          <w:rFonts w:hint="eastAsia" w:ascii="宋体" w:hAnsi="宋体" w:eastAsia="宋体" w:cs="宋体"/>
          <w:spacing w:val="4"/>
          <w:sz w:val="24"/>
          <w:szCs w:val="30"/>
          <w:highlight w:val="none"/>
          <w:u w:val="single"/>
        </w:rPr>
        <w:t xml:space="preserve">项目编号   </w:t>
      </w:r>
      <w:r>
        <w:rPr>
          <w:rFonts w:hint="eastAsia" w:ascii="宋体" w:hAnsi="宋体" w:eastAsia="宋体" w:cs="宋体"/>
          <w:spacing w:val="4"/>
          <w:sz w:val="24"/>
          <w:szCs w:val="30"/>
          <w:highlight w:val="none"/>
        </w:rPr>
        <w:t>项目的谈判、签约等具体工作，并签署全部有关的文件、协议及合同。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宋体" w:hAnsi="宋体" w:eastAsia="宋体" w:cs="宋体"/>
          <w:spacing w:val="4"/>
          <w:sz w:val="24"/>
          <w:szCs w:val="30"/>
          <w:highlight w:val="none"/>
        </w:rPr>
      </w:pPr>
      <w:r>
        <w:rPr>
          <w:rFonts w:hint="eastAsia" w:ascii="宋体" w:hAnsi="宋体" w:eastAsia="宋体" w:cs="宋体"/>
          <w:spacing w:val="4"/>
          <w:sz w:val="24"/>
          <w:szCs w:val="30"/>
          <w:highlight w:val="none"/>
        </w:rPr>
        <w:t>我公司对被授权人的签名负全部责任。</w:t>
      </w:r>
    </w:p>
    <w:p>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宋体" w:hAnsi="宋体" w:eastAsia="宋体" w:cs="宋体"/>
          <w:spacing w:val="4"/>
          <w:sz w:val="24"/>
          <w:szCs w:val="30"/>
          <w:highlight w:val="none"/>
        </w:rPr>
      </w:pPr>
      <w:r>
        <w:rPr>
          <w:rFonts w:hint="eastAsia" w:ascii="宋体" w:hAnsi="宋体" w:eastAsia="宋体" w:cs="宋体"/>
          <w:spacing w:val="4"/>
          <w:sz w:val="24"/>
          <w:szCs w:val="30"/>
          <w:highlight w:val="none"/>
        </w:rPr>
        <w:t>本授权有效期：      年      月      日至      年      月      日。</w:t>
      </w:r>
    </w:p>
    <w:p>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宋体" w:hAnsi="宋体" w:eastAsia="宋体" w:cs="宋体"/>
          <w:spacing w:val="4"/>
          <w:sz w:val="24"/>
          <w:szCs w:val="30"/>
          <w:highlight w:val="none"/>
        </w:rPr>
      </w:pPr>
    </w:p>
    <w:tbl>
      <w:tblPr>
        <w:tblStyle w:val="28"/>
        <w:tblW w:w="8190" w:type="dxa"/>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eastAsia="zh-CN"/>
              </w:rPr>
              <w:t>被授权人</w:t>
            </w:r>
            <w:r>
              <w:rPr>
                <w:rFonts w:hint="eastAsia" w:ascii="宋体" w:hAnsi="宋体" w:eastAsia="宋体" w:cs="宋体"/>
                <w:spacing w:val="4"/>
                <w:sz w:val="24"/>
                <w:highlight w:val="none"/>
                <w:lang w:eastAsia="zh-CN"/>
              </w:rPr>
              <w:t>签字或盖章</w:t>
            </w:r>
            <w:r>
              <w:rPr>
                <w:rFonts w:hint="eastAsia" w:ascii="宋体" w:hAnsi="宋体" w:eastAsia="宋体" w:cs="宋体"/>
                <w:spacing w:val="4"/>
                <w:sz w:val="24"/>
                <w:highlight w:val="none"/>
              </w:rPr>
              <w:t>：</w:t>
            </w:r>
          </w:p>
        </w:tc>
        <w:tc>
          <w:tcPr>
            <w:tcW w:w="3990" w:type="dxa"/>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spacing w:val="4"/>
                <w:sz w:val="24"/>
                <w:highlight w:val="none"/>
              </w:rPr>
            </w:pPr>
            <w:r>
              <w:rPr>
                <w:rFonts w:hint="eastAsia" w:ascii="宋体" w:hAnsi="宋体" w:eastAsia="宋体" w:cs="宋体"/>
                <w:spacing w:val="4"/>
                <w:sz w:val="24"/>
                <w:highlight w:val="none"/>
                <w:lang w:eastAsia="zh-CN"/>
              </w:rPr>
              <w:t>法定代表人签字或盖章</w:t>
            </w:r>
            <w:r>
              <w:rPr>
                <w:rFonts w:hint="eastAsia" w:ascii="宋体" w:hAnsi="宋体" w:eastAsia="宋体" w:cs="宋体"/>
                <w:spacing w:val="4"/>
                <w:sz w:val="24"/>
                <w:highlight w:val="none"/>
              </w:rPr>
              <w:t>：</w:t>
            </w:r>
          </w:p>
        </w:tc>
      </w:tr>
      <w:tr>
        <w:tblPrEx>
          <w:tblCellMar>
            <w:top w:w="0" w:type="dxa"/>
            <w:left w:w="108" w:type="dxa"/>
            <w:bottom w:w="0" w:type="dxa"/>
            <w:right w:w="108" w:type="dxa"/>
          </w:tblCellMar>
        </w:tblPrEx>
        <w:trPr>
          <w:trHeight w:val="600" w:hRule="atLeast"/>
        </w:trPr>
        <w:tc>
          <w:tcPr>
            <w:tcW w:w="4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spacing w:val="4"/>
                <w:sz w:val="24"/>
                <w:highlight w:val="none"/>
              </w:rPr>
            </w:pPr>
            <w:r>
              <w:rPr>
                <w:rFonts w:hint="eastAsia" w:ascii="宋体" w:hAnsi="宋体" w:eastAsia="宋体" w:cs="宋体"/>
                <w:spacing w:val="4"/>
                <w:sz w:val="24"/>
                <w:highlight w:val="none"/>
              </w:rPr>
              <w:t>职务：</w:t>
            </w:r>
          </w:p>
        </w:tc>
        <w:tc>
          <w:tcPr>
            <w:tcW w:w="3990" w:type="dxa"/>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spacing w:val="4"/>
                <w:sz w:val="24"/>
                <w:highlight w:val="none"/>
              </w:rPr>
            </w:pPr>
            <w:r>
              <w:rPr>
                <w:rFonts w:hint="eastAsia" w:ascii="宋体" w:hAnsi="宋体" w:eastAsia="宋体" w:cs="宋体"/>
                <w:spacing w:val="4"/>
                <w:sz w:val="24"/>
                <w:highlight w:val="none"/>
              </w:rPr>
              <w:t>职务：</w:t>
            </w:r>
          </w:p>
        </w:tc>
      </w:tr>
      <w:tr>
        <w:tblPrEx>
          <w:tblCellMar>
            <w:top w:w="0" w:type="dxa"/>
            <w:left w:w="108" w:type="dxa"/>
            <w:bottom w:w="0" w:type="dxa"/>
            <w:right w:w="108" w:type="dxa"/>
          </w:tblCellMar>
        </w:tblPrEx>
        <w:trPr>
          <w:trHeight w:val="600" w:hRule="atLeast"/>
        </w:trPr>
        <w:tc>
          <w:tcPr>
            <w:tcW w:w="4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spacing w:val="4"/>
                <w:sz w:val="24"/>
                <w:highlight w:val="none"/>
              </w:rPr>
            </w:pPr>
            <w:r>
              <w:rPr>
                <w:rFonts w:hint="eastAsia" w:ascii="宋体" w:hAnsi="宋体" w:eastAsia="宋体" w:cs="宋体"/>
                <w:spacing w:val="4"/>
                <w:sz w:val="24"/>
                <w:highlight w:val="none"/>
              </w:rPr>
              <w:t>身份证号：</w:t>
            </w:r>
          </w:p>
        </w:tc>
        <w:tc>
          <w:tcPr>
            <w:tcW w:w="3990" w:type="dxa"/>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spacing w:val="4"/>
                <w:sz w:val="24"/>
                <w:highlight w:val="none"/>
              </w:rPr>
            </w:pPr>
            <w:r>
              <w:rPr>
                <w:rFonts w:hint="eastAsia" w:ascii="宋体" w:hAnsi="宋体" w:eastAsia="宋体" w:cs="宋体"/>
                <w:spacing w:val="4"/>
                <w:sz w:val="24"/>
                <w:highlight w:val="none"/>
              </w:rPr>
              <w:t>身份证号：</w:t>
            </w:r>
          </w:p>
        </w:tc>
      </w:tr>
      <w:tr>
        <w:tblPrEx>
          <w:tblCellMar>
            <w:top w:w="0" w:type="dxa"/>
            <w:left w:w="108" w:type="dxa"/>
            <w:bottom w:w="0" w:type="dxa"/>
            <w:right w:w="108" w:type="dxa"/>
          </w:tblCellMar>
        </w:tblPrEx>
        <w:trPr>
          <w:trHeight w:val="600" w:hRule="atLeast"/>
        </w:trPr>
        <w:tc>
          <w:tcPr>
            <w:tcW w:w="4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spacing w:val="4"/>
                <w:sz w:val="24"/>
                <w:highlight w:val="none"/>
              </w:rPr>
            </w:pPr>
            <w:r>
              <w:rPr>
                <w:rFonts w:hint="eastAsia" w:ascii="宋体" w:hAnsi="宋体" w:eastAsia="宋体" w:cs="宋体"/>
                <w:spacing w:val="4"/>
                <w:sz w:val="24"/>
                <w:highlight w:val="none"/>
              </w:rPr>
              <w:t>所在部门：</w:t>
            </w:r>
          </w:p>
        </w:tc>
        <w:tc>
          <w:tcPr>
            <w:tcW w:w="3990" w:type="dxa"/>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spacing w:val="4"/>
                <w:sz w:val="24"/>
                <w:highlight w:val="none"/>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宋体" w:hAnsi="宋体" w:eastAsia="宋体" w:cs="宋体"/>
          <w:spacing w:val="4"/>
          <w:sz w:val="24"/>
          <w:highlight w:val="none"/>
        </w:rPr>
      </w:pPr>
    </w:p>
    <w:p>
      <w:pPr>
        <w:spacing w:line="440" w:lineRule="exact"/>
        <w:ind w:firstLine="505" w:firstLineChars="204"/>
        <w:rPr>
          <w:rFonts w:hint="eastAsia" w:ascii="宋体" w:hAnsi="宋体" w:eastAsia="宋体" w:cs="宋体"/>
          <w:spacing w:val="4"/>
          <w:sz w:val="24"/>
          <w:szCs w:val="30"/>
          <w:highlight w:val="none"/>
        </w:rPr>
      </w:pPr>
      <w:r>
        <w:rPr>
          <w:rFonts w:hint="eastAsia" w:ascii="宋体" w:hAnsi="宋体" w:eastAsia="宋体" w:cs="宋体"/>
          <w:spacing w:val="4"/>
          <w:sz w:val="24"/>
          <w:szCs w:val="30"/>
          <w:highlight w:val="none"/>
        </w:rPr>
        <w:t>附：</w:t>
      </w:r>
      <w:r>
        <w:rPr>
          <w:rFonts w:hint="eastAsia" w:ascii="宋体" w:hAnsi="宋体" w:eastAsia="宋体" w:cs="宋体"/>
          <w:spacing w:val="4"/>
          <w:sz w:val="24"/>
          <w:szCs w:val="30"/>
          <w:highlight w:val="none"/>
          <w:lang w:eastAsia="zh-CN"/>
        </w:rPr>
        <w:t>法定代表人</w:t>
      </w:r>
      <w:r>
        <w:rPr>
          <w:rFonts w:hint="eastAsia" w:ascii="宋体" w:hAnsi="宋体" w:eastAsia="宋体" w:cs="宋体"/>
          <w:spacing w:val="4"/>
          <w:sz w:val="24"/>
          <w:szCs w:val="30"/>
          <w:highlight w:val="none"/>
        </w:rPr>
        <w:t>、</w:t>
      </w:r>
      <w:r>
        <w:rPr>
          <w:rFonts w:hint="eastAsia" w:ascii="宋体" w:hAnsi="宋体" w:eastAsia="宋体" w:cs="宋体"/>
          <w:spacing w:val="4"/>
          <w:sz w:val="24"/>
          <w:highlight w:val="none"/>
          <w:lang w:val="en-US" w:eastAsia="zh-CN"/>
        </w:rPr>
        <w:t>被授权人</w:t>
      </w:r>
      <w:r>
        <w:rPr>
          <w:rFonts w:hint="eastAsia" w:ascii="宋体" w:hAnsi="宋体" w:eastAsia="宋体" w:cs="宋体"/>
          <w:spacing w:val="4"/>
          <w:sz w:val="24"/>
          <w:szCs w:val="30"/>
          <w:highlight w:val="none"/>
        </w:rPr>
        <w:t>身份证复印件</w:t>
      </w:r>
      <w:r>
        <w:rPr>
          <w:rFonts w:hint="eastAsia" w:ascii="宋体" w:hAnsi="宋体" w:eastAsia="宋体" w:cs="宋体"/>
          <w:spacing w:val="4"/>
          <w:sz w:val="24"/>
          <w:szCs w:val="30"/>
          <w:highlight w:val="none"/>
          <w:lang w:eastAsia="zh-CN"/>
        </w:rPr>
        <w:t>（正反面）</w:t>
      </w:r>
    </w:p>
    <w:p>
      <w:pPr>
        <w:spacing w:line="440" w:lineRule="exact"/>
        <w:rPr>
          <w:rFonts w:hint="eastAsia" w:ascii="宋体" w:hAnsi="宋体" w:eastAsia="宋体" w:cs="宋体"/>
          <w:spacing w:val="4"/>
          <w:sz w:val="24"/>
          <w:szCs w:val="30"/>
          <w:highlight w:val="none"/>
        </w:rPr>
      </w:pPr>
    </w:p>
    <w:p>
      <w:pPr>
        <w:pStyle w:val="9"/>
        <w:rPr>
          <w:rFonts w:hint="eastAsia" w:ascii="宋体" w:hAnsi="宋体" w:eastAsia="宋体" w:cs="宋体"/>
          <w:spacing w:val="4"/>
          <w:sz w:val="24"/>
          <w:szCs w:val="30"/>
          <w:highlight w:val="none"/>
        </w:rPr>
      </w:pPr>
    </w:p>
    <w:p>
      <w:pPr>
        <w:pStyle w:val="9"/>
        <w:rPr>
          <w:rFonts w:hint="eastAsia" w:ascii="宋体" w:hAnsi="宋体" w:eastAsia="宋体" w:cs="宋体"/>
          <w:spacing w:val="4"/>
          <w:sz w:val="24"/>
          <w:szCs w:val="30"/>
          <w:highlight w:val="none"/>
        </w:rPr>
      </w:pPr>
    </w:p>
    <w:p>
      <w:pPr>
        <w:pStyle w:val="9"/>
        <w:rPr>
          <w:rFonts w:hint="eastAsia" w:ascii="宋体" w:hAnsi="宋体" w:eastAsia="宋体" w:cs="宋体"/>
          <w:spacing w:val="4"/>
          <w:sz w:val="24"/>
          <w:szCs w:val="30"/>
          <w:highlight w:val="none"/>
        </w:rPr>
      </w:pPr>
    </w:p>
    <w:p>
      <w:pPr>
        <w:pStyle w:val="9"/>
        <w:rPr>
          <w:rFonts w:hint="eastAsia" w:ascii="宋体" w:hAnsi="宋体" w:eastAsia="宋体" w:cs="宋体"/>
          <w:spacing w:val="4"/>
          <w:sz w:val="24"/>
          <w:szCs w:val="30"/>
          <w:highlight w:val="none"/>
        </w:rPr>
      </w:pPr>
    </w:p>
    <w:p>
      <w:pPr>
        <w:spacing w:line="440" w:lineRule="exact"/>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30"/>
          <w:highlight w:val="none"/>
        </w:rPr>
        <w:t>谈</w:t>
      </w:r>
      <w:r>
        <w:rPr>
          <w:rFonts w:hint="eastAsia" w:ascii="宋体" w:hAnsi="宋体" w:eastAsia="宋体" w:cs="宋体"/>
          <w:spacing w:val="4"/>
          <w:sz w:val="24"/>
          <w:szCs w:val="24"/>
          <w:highlight w:val="none"/>
        </w:rPr>
        <w:t>判</w:t>
      </w:r>
      <w:r>
        <w:rPr>
          <w:rFonts w:hint="eastAsia" w:ascii="宋体" w:hAnsi="宋体" w:eastAsia="宋体" w:cs="宋体"/>
          <w:spacing w:val="4"/>
          <w:sz w:val="24"/>
          <w:szCs w:val="24"/>
          <w:highlight w:val="none"/>
          <w:lang w:eastAsia="zh-CN"/>
        </w:rPr>
        <w:t>供应商</w:t>
      </w:r>
      <w:r>
        <w:rPr>
          <w:rFonts w:hint="eastAsia" w:ascii="宋体" w:hAnsi="宋体" w:eastAsia="宋体" w:cs="宋体"/>
          <w:spacing w:val="4"/>
          <w:sz w:val="24"/>
          <w:szCs w:val="24"/>
          <w:highlight w:val="none"/>
        </w:rPr>
        <w:t>名称（盖章）：</w:t>
      </w:r>
    </w:p>
    <w:p>
      <w:pPr>
        <w:spacing w:line="440" w:lineRule="exact"/>
        <w:ind w:firstLine="496" w:firstLineChars="200"/>
        <w:rPr>
          <w:rFonts w:hint="eastAsia" w:ascii="宋体" w:hAnsi="宋体" w:eastAsia="宋体" w:cs="宋体"/>
          <w:spacing w:val="4"/>
          <w:sz w:val="24"/>
          <w:szCs w:val="24"/>
          <w:highlight w:val="none"/>
        </w:rPr>
      </w:pPr>
    </w:p>
    <w:p>
      <w:pPr>
        <w:spacing w:line="440" w:lineRule="exact"/>
        <w:ind w:firstLine="496"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日</w:t>
      </w:r>
      <w:r>
        <w:rPr>
          <w:rFonts w:hint="eastAsia" w:ascii="宋体" w:hAnsi="宋体" w:eastAsia="宋体" w:cs="宋体"/>
          <w:spacing w:val="4"/>
          <w:sz w:val="24"/>
          <w:szCs w:val="24"/>
          <w:highlight w:val="none"/>
          <w:lang w:val="en-US" w:eastAsia="zh-CN"/>
        </w:rPr>
        <w:t xml:space="preserve"> </w:t>
      </w:r>
      <w:r>
        <w:rPr>
          <w:rFonts w:hint="eastAsia" w:ascii="宋体" w:hAnsi="宋体" w:eastAsia="宋体" w:cs="宋体"/>
          <w:spacing w:val="4"/>
          <w:sz w:val="24"/>
          <w:szCs w:val="24"/>
          <w:highlight w:val="none"/>
        </w:rPr>
        <w:t>期：</w:t>
      </w:r>
    </w:p>
    <w:p>
      <w:pPr>
        <w:pStyle w:val="9"/>
        <w:rPr>
          <w:rFonts w:hint="eastAsia" w:ascii="宋体" w:hAnsi="宋体" w:eastAsia="宋体" w:cs="宋体"/>
          <w:highlight w:val="none"/>
        </w:rPr>
      </w:pPr>
    </w:p>
    <w:p>
      <w:pPr>
        <w:spacing w:line="440" w:lineRule="exact"/>
        <w:ind w:firstLine="482" w:firstLineChars="20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说明：说明：本授权书有效期自谈判之日起不得少于90天，仅限被授权人参加谈判时提供。</w:t>
      </w:r>
    </w:p>
    <w:p>
      <w:pPr>
        <w:pStyle w:val="9"/>
        <w:rPr>
          <w:rFonts w:hint="eastAsia" w:ascii="宋体" w:hAnsi="宋体" w:eastAsia="宋体" w:cs="宋体"/>
          <w:b/>
          <w:bCs/>
          <w:sz w:val="24"/>
          <w:szCs w:val="24"/>
          <w:highlight w:val="none"/>
          <w:lang w:val="zh-CN"/>
        </w:rPr>
      </w:pPr>
    </w:p>
    <w:p>
      <w:pPr>
        <w:pStyle w:val="9"/>
        <w:rPr>
          <w:rFonts w:hint="eastAsia" w:ascii="宋体" w:hAnsi="宋体" w:eastAsia="宋体" w:cs="宋体"/>
          <w:b/>
          <w:bCs/>
          <w:sz w:val="24"/>
          <w:szCs w:val="24"/>
          <w:highlight w:val="none"/>
          <w:lang w:val="zh-CN"/>
        </w:rPr>
      </w:pPr>
    </w:p>
    <w:p>
      <w:pPr>
        <w:numPr>
          <w:ilvl w:val="0"/>
          <w:numId w:val="8"/>
        </w:numPr>
        <w:ind w:left="1" w:leftChars="0" w:firstLine="0" w:firstLineChars="0"/>
        <w:jc w:val="center"/>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其他资料</w:t>
      </w:r>
    </w:p>
    <w:p>
      <w:pPr>
        <w:pStyle w:val="9"/>
        <w:widowControl w:val="0"/>
        <w:numPr>
          <w:ilvl w:val="0"/>
          <w:numId w:val="0"/>
        </w:numPr>
        <w:spacing w:after="120" w:afterLines="0"/>
        <w:jc w:val="both"/>
        <w:rPr>
          <w:rFonts w:hint="eastAsia" w:ascii="宋体" w:hAnsi="宋体" w:eastAsia="宋体" w:cs="宋体"/>
          <w:highlight w:val="none"/>
          <w:lang w:eastAsia="zh-CN"/>
        </w:rPr>
      </w:pPr>
    </w:p>
    <w:p>
      <w:pPr>
        <w:rPr>
          <w:rFonts w:hint="eastAsia" w:ascii="宋体" w:hAnsi="宋体" w:eastAsia="宋体" w:cs="宋体"/>
          <w:b/>
          <w:sz w:val="28"/>
          <w:szCs w:val="28"/>
          <w:highlight w:val="none"/>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lang w:eastAsia="zh-CN"/>
        </w:rPr>
        <w:t>、依据竞争性谈判文件要求，供应商认为有必要说明的其他内容。</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eastAsia="zh-CN"/>
        </w:rPr>
        <w:t>、其他可以证明供应商实力的文件。</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8"/>
          <w:szCs w:val="28"/>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8"/>
          <w:szCs w:val="28"/>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8"/>
          <w:szCs w:val="28"/>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8"/>
          <w:szCs w:val="28"/>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8"/>
          <w:szCs w:val="28"/>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8"/>
          <w:szCs w:val="28"/>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8"/>
          <w:szCs w:val="28"/>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8"/>
          <w:szCs w:val="28"/>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8"/>
          <w:szCs w:val="28"/>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8"/>
          <w:szCs w:val="28"/>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8"/>
          <w:szCs w:val="28"/>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8"/>
          <w:szCs w:val="28"/>
          <w:highlight w:val="none"/>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eastAsia="宋体" w:cs="宋体"/>
          <w:b w:val="0"/>
          <w:bCs w:val="0"/>
          <w:color w:val="auto"/>
          <w:sz w:val="28"/>
          <w:szCs w:val="28"/>
          <w:highlight w:val="none"/>
          <w:lang w:eastAsia="zh-CN"/>
        </w:rPr>
      </w:pPr>
    </w:p>
    <w:p>
      <w:pPr>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val="en-US" w:eastAsia="zh-CN"/>
        </w:rPr>
        <w:t>1</w:t>
      </w:r>
      <w:r>
        <w:rPr>
          <w:rFonts w:hint="eastAsia" w:ascii="宋体" w:hAnsi="宋体" w:eastAsia="宋体" w:cs="宋体"/>
          <w:b/>
          <w:sz w:val="28"/>
          <w:szCs w:val="28"/>
          <w:highlight w:val="none"/>
        </w:rPr>
        <w:t>：</w:t>
      </w:r>
    </w:p>
    <w:p>
      <w:pPr>
        <w:autoSpaceDE w:val="0"/>
        <w:autoSpaceDN w:val="0"/>
        <w:adjustRightInd w:val="0"/>
        <w:spacing w:line="360" w:lineRule="auto"/>
        <w:jc w:val="cente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一、中小企业声明函（货物）</w:t>
      </w:r>
    </w:p>
    <w:p>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p>
    <w:p>
      <w:pPr>
        <w:autoSpaceDE w:val="0"/>
        <w:autoSpaceDN w:val="0"/>
        <w:adjustRightIn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lang w:val="zh-CN"/>
        </w:rPr>
        <w:t>（单位名称）</w:t>
      </w:r>
      <w:r>
        <w:rPr>
          <w:rFonts w:hint="eastAsia" w:ascii="宋体" w:hAnsi="宋体" w:eastAsia="宋体" w:cs="宋体"/>
          <w:color w:val="auto"/>
          <w:sz w:val="24"/>
          <w:highlight w:val="none"/>
          <w:lang w:val="zh-CN"/>
        </w:rPr>
        <w:t>的</w:t>
      </w:r>
      <w:r>
        <w:rPr>
          <w:rFonts w:hint="eastAsia" w:ascii="宋体" w:hAnsi="宋体" w:eastAsia="宋体" w:cs="宋体"/>
          <w:color w:val="auto"/>
          <w:sz w:val="24"/>
          <w:highlight w:val="none"/>
          <w:u w:val="single"/>
          <w:lang w:val="zh-CN"/>
        </w:rPr>
        <w:t>（项目名称）</w:t>
      </w:r>
      <w:r>
        <w:rPr>
          <w:rFonts w:hint="eastAsia" w:ascii="宋体" w:hAnsi="宋体" w:eastAsia="宋体" w:cs="宋体"/>
          <w:color w:val="auto"/>
          <w:sz w:val="24"/>
          <w:highlight w:val="none"/>
          <w:lang w:val="zh-CN"/>
        </w:rPr>
        <w:t>采购活动，提 供的货物全部由符合政策要求的中小企业制造。相关企业 （含联合体中的中小企业、签订分包意向协议的中小企业） 的具体情况如下：</w:t>
      </w:r>
    </w:p>
    <w:p>
      <w:pPr>
        <w:autoSpaceDE w:val="0"/>
        <w:autoSpaceDN w:val="0"/>
        <w:adjustRightIn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lang w:val="zh-CN"/>
        </w:rPr>
        <w:t xml:space="preserve">（标的名称） </w:t>
      </w:r>
      <w:r>
        <w:rPr>
          <w:rFonts w:hint="eastAsia" w:ascii="宋体" w:hAnsi="宋体" w:eastAsia="宋体" w:cs="宋体"/>
          <w:color w:val="auto"/>
          <w:sz w:val="24"/>
          <w:highlight w:val="none"/>
          <w:lang w:val="zh-CN"/>
        </w:rPr>
        <w:t>，属于</w:t>
      </w:r>
      <w:r>
        <w:rPr>
          <w:rFonts w:hint="eastAsia" w:ascii="宋体" w:hAnsi="宋体" w:eastAsia="宋体" w:cs="宋体"/>
          <w:color w:val="auto"/>
          <w:sz w:val="24"/>
          <w:highlight w:val="none"/>
          <w:u w:val="single"/>
          <w:lang w:val="zh-CN"/>
        </w:rPr>
        <w:t>（采购文件中明确的所属行业）行业</w:t>
      </w:r>
      <w:r>
        <w:rPr>
          <w:rFonts w:hint="eastAsia" w:ascii="宋体" w:hAnsi="宋体" w:eastAsia="宋体" w:cs="宋体"/>
          <w:color w:val="auto"/>
          <w:sz w:val="24"/>
          <w:highlight w:val="none"/>
          <w:lang w:val="zh-CN"/>
        </w:rPr>
        <w:t>；制造商为</w:t>
      </w:r>
      <w:r>
        <w:rPr>
          <w:rFonts w:hint="eastAsia" w:ascii="宋体" w:hAnsi="宋体" w:eastAsia="宋体" w:cs="宋体"/>
          <w:color w:val="auto"/>
          <w:sz w:val="24"/>
          <w:highlight w:val="none"/>
          <w:u w:val="single"/>
          <w:lang w:val="zh-CN"/>
        </w:rPr>
        <w:t>（企业名称）</w:t>
      </w:r>
      <w:r>
        <w:rPr>
          <w:rFonts w:hint="eastAsia" w:ascii="宋体" w:hAnsi="宋体" w:eastAsia="宋体" w:cs="宋体"/>
          <w:color w:val="auto"/>
          <w:sz w:val="24"/>
          <w:highlight w:val="none"/>
          <w:lang w:val="zh-CN"/>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万元</w:t>
      </w:r>
      <w:r>
        <w:rPr>
          <w:rFonts w:hint="eastAsia" w:ascii="宋体" w:hAnsi="宋体" w:eastAsia="宋体" w:cs="宋体"/>
          <w:color w:val="auto"/>
          <w:sz w:val="30"/>
          <w:szCs w:val="30"/>
          <w:highlight w:val="none"/>
          <w:vertAlign w:val="superscript"/>
        </w:rPr>
        <w:t>1</w:t>
      </w:r>
      <w:r>
        <w:rPr>
          <w:rFonts w:hint="eastAsia" w:ascii="宋体" w:hAnsi="宋体" w:eastAsia="宋体" w:cs="宋体"/>
          <w:color w:val="auto"/>
          <w:sz w:val="24"/>
          <w:highlight w:val="none"/>
          <w:lang w:val="zh-CN"/>
        </w:rPr>
        <w:t>，属于（</w:t>
      </w:r>
      <w:r>
        <w:rPr>
          <w:rFonts w:hint="eastAsia" w:ascii="宋体" w:hAnsi="宋体" w:eastAsia="宋体" w:cs="宋体"/>
          <w:color w:val="auto"/>
          <w:sz w:val="24"/>
          <w:highlight w:val="none"/>
          <w:u w:val="single"/>
          <w:lang w:val="zh-CN"/>
        </w:rPr>
        <w:t>中型企业、小型企业、微型企业）</w:t>
      </w:r>
      <w:r>
        <w:rPr>
          <w:rFonts w:hint="eastAsia" w:ascii="宋体" w:hAnsi="宋体" w:eastAsia="宋体" w:cs="宋体"/>
          <w:color w:val="auto"/>
          <w:sz w:val="24"/>
          <w:highlight w:val="none"/>
          <w:lang w:val="zh-CN"/>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2. </w:t>
      </w:r>
      <w:r>
        <w:rPr>
          <w:rFonts w:hint="eastAsia" w:ascii="宋体" w:hAnsi="宋体" w:eastAsia="宋体" w:cs="宋体"/>
          <w:color w:val="auto"/>
          <w:sz w:val="24"/>
          <w:highlight w:val="none"/>
          <w:u w:val="single"/>
          <w:lang w:val="zh-CN"/>
        </w:rPr>
        <w:t xml:space="preserve">（标的名称） </w:t>
      </w:r>
      <w:r>
        <w:rPr>
          <w:rFonts w:hint="eastAsia" w:ascii="宋体" w:hAnsi="宋体" w:eastAsia="宋体" w:cs="宋体"/>
          <w:color w:val="auto"/>
          <w:sz w:val="24"/>
          <w:highlight w:val="none"/>
          <w:lang w:val="zh-CN"/>
        </w:rPr>
        <w:t>，属于</w:t>
      </w:r>
      <w:r>
        <w:rPr>
          <w:rFonts w:hint="eastAsia" w:ascii="宋体" w:hAnsi="宋体" w:eastAsia="宋体" w:cs="宋体"/>
          <w:color w:val="auto"/>
          <w:sz w:val="24"/>
          <w:highlight w:val="none"/>
          <w:u w:val="single"/>
          <w:lang w:val="zh-CN"/>
        </w:rPr>
        <w:t>（采购文件中明确的所属行业）行业</w:t>
      </w:r>
      <w:r>
        <w:rPr>
          <w:rFonts w:hint="eastAsia" w:ascii="宋体" w:hAnsi="宋体" w:eastAsia="宋体" w:cs="宋体"/>
          <w:color w:val="auto"/>
          <w:sz w:val="24"/>
          <w:highlight w:val="none"/>
          <w:lang w:val="zh-CN"/>
        </w:rPr>
        <w:t>；制造商为</w:t>
      </w:r>
      <w:r>
        <w:rPr>
          <w:rFonts w:hint="eastAsia" w:ascii="宋体" w:hAnsi="宋体" w:eastAsia="宋体" w:cs="宋体"/>
          <w:color w:val="auto"/>
          <w:sz w:val="24"/>
          <w:highlight w:val="none"/>
          <w:u w:val="single"/>
          <w:lang w:val="zh-CN"/>
        </w:rPr>
        <w:t>（企业名称）</w:t>
      </w:r>
      <w:r>
        <w:rPr>
          <w:rFonts w:hint="eastAsia" w:ascii="宋体" w:hAnsi="宋体" w:eastAsia="宋体" w:cs="宋体"/>
          <w:color w:val="auto"/>
          <w:sz w:val="24"/>
          <w:highlight w:val="none"/>
          <w:lang w:val="zh-CN"/>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万元，属于</w:t>
      </w:r>
      <w:r>
        <w:rPr>
          <w:rFonts w:hint="eastAsia" w:ascii="宋体" w:hAnsi="宋体" w:eastAsia="宋体" w:cs="宋体"/>
          <w:color w:val="auto"/>
          <w:sz w:val="24"/>
          <w:highlight w:val="none"/>
          <w:u w:val="single"/>
          <w:lang w:val="zh-CN"/>
        </w:rPr>
        <w:t>（中型企业、小型 企业、微型企业）</w:t>
      </w:r>
      <w:r>
        <w:rPr>
          <w:rFonts w:hint="eastAsia" w:ascii="宋体" w:hAnsi="宋体" w:eastAsia="宋体" w:cs="宋体"/>
          <w:color w:val="auto"/>
          <w:sz w:val="24"/>
          <w:highlight w:val="none"/>
          <w:lang w:val="zh-CN"/>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p>
    <w:p>
      <w:pPr>
        <w:autoSpaceDE w:val="0"/>
        <w:autoSpaceDN w:val="0"/>
        <w:adjustRightIn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以上企业，不属于大企业的分支机构，不存在控股股东为大企业的情形，也不存在与大企业的负责人为同一人的情形。</w:t>
      </w:r>
    </w:p>
    <w:p>
      <w:pPr>
        <w:autoSpaceDE w:val="0"/>
        <w:autoSpaceDN w:val="0"/>
        <w:adjustRightIn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本企业对上述声明内容的真实性负责。如有虚假，将依法承担相应责任。 </w:t>
      </w:r>
    </w:p>
    <w:p>
      <w:pPr>
        <w:pStyle w:val="2"/>
        <w:outlineLvl w:val="9"/>
        <w:rPr>
          <w:rFonts w:hint="eastAsia" w:ascii="宋体" w:hAnsi="宋体" w:eastAsia="宋体" w:cs="宋体"/>
          <w:color w:val="auto"/>
          <w:highlight w:val="none"/>
          <w:lang w:val="zh-CN"/>
        </w:rPr>
      </w:pPr>
    </w:p>
    <w:p>
      <w:pPr>
        <w:autoSpaceDE w:val="0"/>
        <w:autoSpaceDN w:val="0"/>
        <w:adjustRightInd w:val="0"/>
        <w:spacing w:line="360" w:lineRule="auto"/>
        <w:ind w:firstLine="4320" w:firstLineChars="18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企业名称（盖章）：</w:t>
      </w:r>
    </w:p>
    <w:p>
      <w:pPr>
        <w:autoSpaceDE w:val="0"/>
        <w:autoSpaceDN w:val="0"/>
        <w:adjustRightInd w:val="0"/>
        <w:spacing w:line="360" w:lineRule="auto"/>
        <w:ind w:firstLine="4320" w:firstLineChars="18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 期：</w:t>
      </w:r>
    </w:p>
    <w:p>
      <w:pPr>
        <w:autoSpaceDE w:val="0"/>
        <w:autoSpaceDN w:val="0"/>
        <w:adjustRightInd w:val="0"/>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pPr>
        <w:widowControl/>
        <w:jc w:val="left"/>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30"/>
          <w:szCs w:val="30"/>
          <w:highlight w:val="none"/>
          <w:vertAlign w:val="superscript"/>
        </w:rPr>
        <w:t>1</w:t>
      </w:r>
      <w:r>
        <w:rPr>
          <w:rFonts w:hint="eastAsia" w:ascii="宋体" w:hAnsi="宋体" w:eastAsia="宋体" w:cs="宋体"/>
          <w:color w:val="auto"/>
          <w:kern w:val="0"/>
          <w:sz w:val="18"/>
          <w:szCs w:val="18"/>
          <w:highlight w:val="none"/>
          <w:lang w:bidi="ar"/>
        </w:rPr>
        <w:t>从业人员、营业收入、资产总额填报上一年度数据，无上一年度数据的新成立企业可不填报。</w:t>
      </w:r>
    </w:p>
    <w:p>
      <w:pPr>
        <w:pStyle w:val="9"/>
        <w:rPr>
          <w:rFonts w:hint="eastAsia" w:ascii="宋体" w:hAnsi="宋体" w:eastAsia="宋体" w:cs="宋体"/>
          <w:color w:val="auto"/>
          <w:kern w:val="0"/>
          <w:sz w:val="18"/>
          <w:szCs w:val="18"/>
          <w:highlight w:val="none"/>
          <w:lang w:bidi="ar"/>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eastAsia="宋体" w:cs="宋体"/>
          <w:b w:val="0"/>
          <w:bCs w:val="0"/>
          <w:sz w:val="21"/>
          <w:szCs w:val="21"/>
          <w:highlight w:val="none"/>
          <w:lang w:eastAsia="zh-CN"/>
        </w:rPr>
      </w:pPr>
    </w:p>
    <w:p>
      <w:pPr>
        <w:spacing w:before="240" w:beforeLines="100" w:after="120" w:afterLines="50"/>
        <w:jc w:val="left"/>
        <w:outlineLvl w:val="9"/>
        <w:rPr>
          <w:rFonts w:hint="eastAsia" w:ascii="宋体" w:hAnsi="宋体" w:eastAsia="宋体" w:cs="宋体"/>
          <w:b/>
          <w:sz w:val="28"/>
          <w:szCs w:val="28"/>
          <w:highlight w:val="none"/>
        </w:rPr>
      </w:pPr>
      <w:bookmarkStart w:id="75" w:name="_Toc8591"/>
    </w:p>
    <w:p>
      <w:pPr>
        <w:spacing w:before="240" w:beforeLines="100" w:after="120" w:afterLines="50"/>
        <w:jc w:val="left"/>
        <w:outlineLvl w:val="0"/>
        <w:rPr>
          <w:rFonts w:hint="eastAsia" w:ascii="宋体" w:hAnsi="宋体" w:eastAsia="宋体" w:cs="宋体"/>
          <w:b/>
          <w:sz w:val="28"/>
          <w:szCs w:val="28"/>
          <w:highlight w:val="none"/>
        </w:rPr>
      </w:pPr>
      <w:bookmarkStart w:id="76" w:name="_Toc13128"/>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val="en-US" w:eastAsia="zh-CN"/>
        </w:rPr>
        <w:t>2</w:t>
      </w:r>
      <w:r>
        <w:rPr>
          <w:rFonts w:hint="eastAsia" w:ascii="宋体" w:hAnsi="宋体" w:eastAsia="宋体" w:cs="宋体"/>
          <w:b/>
          <w:sz w:val="28"/>
          <w:szCs w:val="28"/>
          <w:highlight w:val="none"/>
        </w:rPr>
        <w:t>：</w:t>
      </w:r>
      <w:bookmarkEnd w:id="76"/>
    </w:p>
    <w:p>
      <w:pPr>
        <w:spacing w:before="240" w:beforeLines="100" w:after="120" w:afterLines="50"/>
        <w:jc w:val="center"/>
        <w:outlineLvl w:val="0"/>
        <w:rPr>
          <w:rFonts w:hint="eastAsia" w:ascii="宋体" w:hAnsi="宋体" w:eastAsia="宋体" w:cs="宋体"/>
          <w:b/>
          <w:sz w:val="28"/>
          <w:szCs w:val="28"/>
          <w:highlight w:val="none"/>
          <w:lang w:eastAsia="zh-CN"/>
        </w:rPr>
      </w:pPr>
      <w:bookmarkStart w:id="77" w:name="_Toc13472"/>
      <w:r>
        <w:rPr>
          <w:rFonts w:hint="eastAsia" w:ascii="宋体" w:hAnsi="宋体" w:eastAsia="宋体" w:cs="宋体"/>
          <w:b/>
          <w:sz w:val="28"/>
          <w:szCs w:val="28"/>
          <w:highlight w:val="none"/>
        </w:rPr>
        <w:t>谈判产品属节能</w:t>
      </w:r>
      <w:r>
        <w:rPr>
          <w:rFonts w:hint="eastAsia" w:ascii="宋体" w:hAnsi="宋体" w:eastAsia="宋体" w:cs="宋体"/>
          <w:b/>
          <w:sz w:val="28"/>
          <w:szCs w:val="28"/>
          <w:highlight w:val="none"/>
          <w:lang w:eastAsia="zh-CN"/>
        </w:rPr>
        <w:t>、环境标志</w:t>
      </w:r>
      <w:r>
        <w:rPr>
          <w:rFonts w:hint="eastAsia" w:ascii="宋体" w:hAnsi="宋体" w:eastAsia="宋体" w:cs="宋体"/>
          <w:b/>
          <w:sz w:val="28"/>
          <w:szCs w:val="28"/>
          <w:highlight w:val="none"/>
        </w:rPr>
        <w:t>产品列表</w:t>
      </w:r>
      <w:bookmarkEnd w:id="75"/>
      <w:bookmarkEnd w:id="77"/>
    </w:p>
    <w:p>
      <w:pPr>
        <w:spacing w:before="240" w:beforeLines="100" w:after="120" w:afterLines="50"/>
        <w:outlineLvl w:val="9"/>
        <w:rPr>
          <w:rFonts w:hint="eastAsia" w:ascii="宋体" w:hAnsi="宋体" w:eastAsia="宋体" w:cs="宋体"/>
          <w:b/>
          <w:sz w:val="28"/>
          <w:szCs w:val="28"/>
          <w:highlight w:val="none"/>
        </w:rPr>
      </w:pPr>
    </w:p>
    <w:p>
      <w:pPr>
        <w:spacing w:before="240" w:beforeLines="100" w:after="120" w:afterLines="50"/>
        <w:outlineLvl w:val="0"/>
        <w:rPr>
          <w:rFonts w:hint="eastAsia" w:ascii="宋体" w:hAnsi="宋体" w:eastAsia="宋体" w:cs="宋体"/>
          <w:b w:val="0"/>
          <w:bCs/>
          <w:sz w:val="24"/>
          <w:szCs w:val="24"/>
          <w:highlight w:val="none"/>
          <w:lang w:eastAsia="zh-CN"/>
        </w:rPr>
      </w:pPr>
      <w:bookmarkStart w:id="78" w:name="_Toc18028"/>
      <w:r>
        <w:rPr>
          <w:rFonts w:hint="eastAsia" w:ascii="宋体" w:hAnsi="宋体" w:eastAsia="宋体" w:cs="宋体"/>
          <w:b w:val="0"/>
          <w:bCs/>
          <w:sz w:val="24"/>
          <w:szCs w:val="24"/>
          <w:highlight w:val="none"/>
          <w:lang w:eastAsia="zh-CN"/>
        </w:rPr>
        <w:t>项目名称：</w:t>
      </w:r>
      <w:bookmarkEnd w:id="78"/>
    </w:p>
    <w:p>
      <w:pPr>
        <w:spacing w:before="240" w:beforeLines="100" w:after="120" w:afterLines="50"/>
        <w:outlineLvl w:val="0"/>
        <w:rPr>
          <w:rFonts w:hint="eastAsia" w:ascii="宋体" w:hAnsi="宋体" w:eastAsia="宋体" w:cs="宋体"/>
          <w:b w:val="0"/>
          <w:bCs/>
          <w:sz w:val="24"/>
          <w:szCs w:val="24"/>
          <w:highlight w:val="none"/>
        </w:rPr>
      </w:pPr>
      <w:bookmarkStart w:id="79" w:name="_Toc14079"/>
      <w:r>
        <w:rPr>
          <w:rFonts w:hint="eastAsia" w:ascii="宋体" w:hAnsi="宋体" w:eastAsia="宋体" w:cs="宋体"/>
          <w:b w:val="0"/>
          <w:bCs/>
          <w:sz w:val="24"/>
          <w:szCs w:val="24"/>
          <w:highlight w:val="none"/>
        </w:rPr>
        <w:t>项目编号：</w:t>
      </w:r>
      <w:bookmarkEnd w:id="79"/>
    </w:p>
    <w:tbl>
      <w:tblPr>
        <w:tblStyle w:val="28"/>
        <w:tblW w:w="8930" w:type="dxa"/>
        <w:tblInd w:w="0" w:type="dxa"/>
        <w:tblLayout w:type="fixed"/>
        <w:tblCellMar>
          <w:top w:w="0" w:type="dxa"/>
          <w:left w:w="28" w:type="dxa"/>
          <w:bottom w:w="0" w:type="dxa"/>
          <w:right w:w="28" w:type="dxa"/>
        </w:tblCellMar>
      </w:tblPr>
      <w:tblGrid>
        <w:gridCol w:w="886"/>
        <w:gridCol w:w="1863"/>
        <w:gridCol w:w="2250"/>
        <w:gridCol w:w="1311"/>
        <w:gridCol w:w="1307"/>
        <w:gridCol w:w="1313"/>
      </w:tblGrid>
      <w:tr>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pPr>
              <w:spacing w:after="12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sz w:val="24"/>
                <w:highlight w:val="none"/>
              </w:rPr>
            </w:pPr>
            <w:r>
              <w:rPr>
                <w:rFonts w:hint="eastAsia" w:ascii="宋体" w:hAnsi="宋体" w:eastAsia="宋体" w:cs="宋体"/>
                <w:sz w:val="24"/>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pPr>
              <w:spacing w:before="120" w:beforeLines="50" w:after="120"/>
              <w:jc w:val="center"/>
              <w:rPr>
                <w:rFonts w:hint="eastAsia" w:ascii="宋体" w:hAnsi="宋体" w:eastAsia="宋体" w:cs="宋体"/>
                <w:sz w:val="24"/>
                <w:highlight w:val="none"/>
              </w:rPr>
            </w:pPr>
            <w:r>
              <w:rPr>
                <w:rFonts w:hint="eastAsia" w:ascii="宋体" w:hAnsi="宋体" w:eastAsia="宋体" w:cs="宋体"/>
                <w:sz w:val="24"/>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sz w:val="24"/>
                <w:highlight w:val="none"/>
              </w:rPr>
            </w:pPr>
            <w:r>
              <w:rPr>
                <w:rFonts w:hint="eastAsia" w:ascii="宋体" w:hAnsi="宋体" w:eastAsia="宋体" w:cs="宋体"/>
                <w:sz w:val="24"/>
                <w:highlight w:val="none"/>
              </w:rPr>
              <w:t>单价</w:t>
            </w:r>
          </w:p>
          <w:p>
            <w:pPr>
              <w:spacing w:after="120"/>
              <w:jc w:val="center"/>
              <w:rPr>
                <w:rFonts w:hint="eastAsia" w:ascii="宋体" w:hAnsi="宋体" w:eastAsia="宋体" w:cs="宋体"/>
                <w:bCs/>
                <w:sz w:val="24"/>
                <w:highlight w:val="none"/>
              </w:rPr>
            </w:pPr>
            <w:r>
              <w:rPr>
                <w:rFonts w:hint="eastAsia" w:ascii="宋体" w:hAnsi="宋体" w:eastAsia="宋体" w:cs="宋体"/>
                <w:sz w:val="24"/>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bCs/>
                <w:sz w:val="24"/>
                <w:highlight w:val="none"/>
              </w:rPr>
            </w:pPr>
            <w:r>
              <w:rPr>
                <w:rFonts w:hint="eastAsia" w:ascii="宋体" w:hAnsi="宋体" w:eastAsia="宋体" w:cs="宋体"/>
                <w:bCs/>
                <w:sz w:val="24"/>
                <w:highlight w:val="none"/>
              </w:rPr>
              <w:t>总价</w:t>
            </w:r>
          </w:p>
          <w:p>
            <w:pPr>
              <w:spacing w:after="120"/>
              <w:jc w:val="center"/>
              <w:rPr>
                <w:rFonts w:hint="eastAsia" w:ascii="宋体" w:hAnsi="宋体" w:eastAsia="宋体" w:cs="宋体"/>
                <w:bCs/>
                <w:sz w:val="24"/>
                <w:highlight w:val="none"/>
              </w:rPr>
            </w:pPr>
            <w:r>
              <w:rPr>
                <w:rFonts w:hint="eastAsia" w:ascii="宋体" w:hAnsi="宋体" w:eastAsia="宋体" w:cs="宋体"/>
                <w:bCs/>
                <w:sz w:val="24"/>
                <w:highlight w:val="none"/>
              </w:rPr>
              <w:t>（元）</w:t>
            </w:r>
          </w:p>
        </w:tc>
      </w:tr>
      <w:tr>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pPr>
              <w:spacing w:before="240" w:beforeLines="10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pPr>
              <w:spacing w:before="120" w:beforeLines="50"/>
              <w:jc w:val="center"/>
              <w:rPr>
                <w:rFonts w:hint="eastAsia" w:ascii="宋体" w:hAnsi="宋体" w:eastAsia="宋体" w:cs="宋体"/>
                <w:sz w:val="24"/>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240" w:beforeLines="10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240" w:beforeLines="100"/>
              <w:jc w:val="center"/>
              <w:rPr>
                <w:rFonts w:hint="eastAsia" w:ascii="宋体" w:hAnsi="宋体" w:eastAsia="宋体" w:cs="宋体"/>
                <w:sz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240" w:beforeLines="100"/>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240" w:beforeLines="100"/>
              <w:jc w:val="center"/>
              <w:rPr>
                <w:rFonts w:hint="eastAsia" w:ascii="宋体" w:hAnsi="宋体" w:eastAsia="宋体" w:cs="宋体"/>
                <w:sz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240" w:beforeLines="100"/>
              <w:jc w:val="center"/>
              <w:rPr>
                <w:rFonts w:hint="eastAsia" w:ascii="宋体" w:hAnsi="宋体" w:eastAsia="宋体" w:cs="宋体"/>
                <w:sz w:val="24"/>
                <w:highlight w:val="none"/>
              </w:rPr>
            </w:pPr>
            <w:r>
              <w:rPr>
                <w:rFonts w:hint="eastAsia" w:ascii="宋体" w:hAnsi="宋体" w:eastAsia="宋体" w:cs="宋体"/>
                <w:sz w:val="24"/>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240" w:beforeLines="100"/>
              <w:jc w:val="center"/>
              <w:rPr>
                <w:rFonts w:hint="eastAsia" w:ascii="宋体" w:hAnsi="宋体" w:eastAsia="宋体" w:cs="宋体"/>
                <w:b/>
                <w:sz w:val="24"/>
                <w:highlight w:val="none"/>
              </w:rPr>
            </w:pPr>
            <w:r>
              <w:rPr>
                <w:rFonts w:hint="eastAsia" w:ascii="宋体" w:hAnsi="宋体" w:eastAsia="宋体" w:cs="宋体"/>
                <w:sz w:val="24"/>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pPr>
              <w:spacing w:before="120" w:beforeLines="50"/>
              <w:jc w:val="left"/>
              <w:rPr>
                <w:rFonts w:hint="eastAsia" w:ascii="宋体" w:hAnsi="宋体" w:eastAsia="宋体" w:cs="宋体"/>
                <w:sz w:val="24"/>
                <w:highlight w:val="none"/>
              </w:rPr>
            </w:pPr>
            <w:r>
              <w:rPr>
                <w:rFonts w:hint="eastAsia" w:ascii="宋体" w:hAnsi="宋体" w:eastAsia="宋体" w:cs="宋体"/>
                <w:sz w:val="24"/>
                <w:highlight w:val="none"/>
              </w:rPr>
              <w:t>大写：                                小写：</w:t>
            </w: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pPr>
              <w:spacing w:before="120" w:beforeLines="50"/>
              <w:jc w:val="center"/>
              <w:rPr>
                <w:rFonts w:hint="eastAsia" w:ascii="宋体" w:hAnsi="宋体" w:eastAsia="宋体" w:cs="宋体"/>
                <w:sz w:val="24"/>
                <w:highlight w:val="none"/>
              </w:rPr>
            </w:pPr>
            <w:r>
              <w:rPr>
                <w:rFonts w:hint="eastAsia" w:ascii="宋体" w:hAnsi="宋体" w:eastAsia="宋体" w:cs="宋体"/>
                <w:spacing w:val="-6"/>
                <w:sz w:val="24"/>
                <w:highlight w:val="none"/>
              </w:rPr>
              <w:t>保留小数点后两位。</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说明：1、</w:t>
      </w:r>
      <w:r>
        <w:rPr>
          <w:rFonts w:hint="eastAsia" w:ascii="宋体" w:hAnsi="宋体" w:eastAsia="宋体" w:cs="宋体"/>
          <w:sz w:val="24"/>
          <w:szCs w:val="24"/>
          <w:highlight w:val="none"/>
          <w:lang w:eastAsia="zh-CN"/>
        </w:rPr>
        <w:t>供应商提供的属于节能、环境标志产品品目清单中优先采购的产品，须按谈判文件要求提供相关证明材料。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720" w:firstLineChars="3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2、未按上述要求提供、填写的，评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时不予以考虑。</w:t>
      </w:r>
    </w:p>
    <w:p>
      <w:pPr>
        <w:spacing w:before="100" w:beforeAutospacing="1" w:after="163" w:afterLines="50" w:line="360" w:lineRule="auto"/>
        <w:rPr>
          <w:rFonts w:hint="eastAsia" w:ascii="宋体" w:hAnsi="宋体" w:eastAsia="宋体" w:cs="宋体"/>
          <w:b/>
          <w:bCs/>
          <w:spacing w:val="6"/>
          <w:sz w:val="30"/>
          <w:szCs w:val="30"/>
          <w:highlight w:val="none"/>
        </w:rPr>
      </w:pPr>
    </w:p>
    <w:p>
      <w:pPr>
        <w:spacing w:before="100" w:beforeAutospacing="1" w:after="163" w:afterLines="50" w:line="360" w:lineRule="auto"/>
        <w:rPr>
          <w:rFonts w:hint="eastAsia" w:ascii="宋体" w:hAnsi="宋体" w:eastAsia="宋体" w:cs="宋体"/>
          <w:b/>
          <w:bCs/>
          <w:spacing w:val="6"/>
          <w:sz w:val="30"/>
          <w:szCs w:val="30"/>
          <w:highlight w:val="none"/>
        </w:rPr>
      </w:pPr>
    </w:p>
    <w:p>
      <w:pPr>
        <w:spacing w:before="100" w:beforeAutospacing="1" w:after="163" w:afterLines="50" w:line="360" w:lineRule="auto"/>
        <w:rPr>
          <w:rFonts w:hint="eastAsia" w:ascii="宋体" w:hAnsi="宋体" w:eastAsia="宋体" w:cs="宋体"/>
          <w:b/>
          <w:bCs/>
          <w:spacing w:val="6"/>
          <w:sz w:val="30"/>
          <w:szCs w:val="30"/>
          <w:highlight w:val="none"/>
        </w:rPr>
      </w:pPr>
      <w:r>
        <w:rPr>
          <w:rFonts w:hint="eastAsia" w:ascii="宋体" w:hAnsi="宋体" w:eastAsia="宋体" w:cs="宋体"/>
          <w:b/>
          <w:bCs/>
          <w:spacing w:val="6"/>
          <w:sz w:val="30"/>
          <w:szCs w:val="30"/>
          <w:highlight w:val="none"/>
        </w:rPr>
        <w:t>附件</w:t>
      </w:r>
      <w:r>
        <w:rPr>
          <w:rFonts w:hint="eastAsia" w:ascii="宋体" w:hAnsi="宋体" w:eastAsia="宋体" w:cs="宋体"/>
          <w:b/>
          <w:bCs/>
          <w:spacing w:val="6"/>
          <w:sz w:val="30"/>
          <w:szCs w:val="30"/>
          <w:highlight w:val="none"/>
          <w:lang w:val="en-US" w:eastAsia="zh-CN"/>
        </w:rPr>
        <w:t>3：</w:t>
      </w:r>
    </w:p>
    <w:p>
      <w:pPr>
        <w:spacing w:line="588" w:lineRule="exact"/>
        <w:jc w:val="center"/>
        <w:rPr>
          <w:rFonts w:hint="eastAsia" w:ascii="宋体" w:hAnsi="宋体" w:eastAsia="宋体" w:cs="宋体"/>
          <w:b/>
          <w:spacing w:val="6"/>
          <w:sz w:val="32"/>
          <w:szCs w:val="32"/>
          <w:highlight w:val="none"/>
        </w:rPr>
      </w:pPr>
      <w:bookmarkStart w:id="80" w:name="OLE_LINK13"/>
      <w:r>
        <w:rPr>
          <w:rFonts w:hint="eastAsia" w:ascii="宋体" w:hAnsi="宋体" w:eastAsia="宋体" w:cs="宋体"/>
          <w:b/>
          <w:spacing w:val="6"/>
          <w:sz w:val="32"/>
          <w:szCs w:val="32"/>
          <w:highlight w:val="none"/>
        </w:rPr>
        <w:t>残疾人福利性单位声明函</w:t>
      </w:r>
    </w:p>
    <w:bookmarkEnd w:id="80"/>
    <w:p>
      <w:pPr>
        <w:spacing w:line="588" w:lineRule="exact"/>
        <w:rPr>
          <w:rFonts w:hint="eastAsia" w:ascii="宋体" w:hAnsi="宋体" w:eastAsia="宋体" w:cs="宋体"/>
          <w:b/>
          <w:spacing w:val="6"/>
          <w:sz w:val="30"/>
          <w:szCs w:val="30"/>
          <w:highlight w:val="none"/>
        </w:rPr>
      </w:pPr>
    </w:p>
    <w:p>
      <w:pPr>
        <w:spacing w:line="588" w:lineRule="exact"/>
        <w:ind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sz w:val="24"/>
          <w:szCs w:val="24"/>
          <w:highlight w:val="none"/>
        </w:rPr>
        <w:t>〔2017〕 141</w:t>
      </w:r>
      <w:r>
        <w:rPr>
          <w:rFonts w:hint="eastAsia" w:ascii="宋体" w:hAnsi="宋体" w:eastAsia="宋体" w:cs="宋体"/>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本单位对上述声明的真实性负责。如有虚假，将依法承担相应责任。</w:t>
      </w:r>
    </w:p>
    <w:p>
      <w:pPr>
        <w:spacing w:line="588" w:lineRule="exact"/>
        <w:ind w:firstLine="504" w:firstLineChars="200"/>
        <w:rPr>
          <w:rFonts w:hint="eastAsia" w:ascii="宋体" w:hAnsi="宋体" w:eastAsia="宋体" w:cs="宋体"/>
          <w:spacing w:val="6"/>
          <w:sz w:val="24"/>
          <w:szCs w:val="24"/>
          <w:highlight w:val="none"/>
        </w:rPr>
      </w:pPr>
    </w:p>
    <w:p>
      <w:pPr>
        <w:spacing w:line="588" w:lineRule="exact"/>
        <w:ind w:firstLine="504" w:firstLineChars="200"/>
        <w:rPr>
          <w:rFonts w:hint="eastAsia" w:ascii="宋体" w:hAnsi="宋体" w:eastAsia="宋体" w:cs="宋体"/>
          <w:spacing w:val="6"/>
          <w:sz w:val="24"/>
          <w:szCs w:val="24"/>
          <w:highlight w:val="none"/>
        </w:rPr>
      </w:pPr>
    </w:p>
    <w:p>
      <w:pPr>
        <w:spacing w:line="588" w:lineRule="exact"/>
        <w:ind w:firstLine="504" w:firstLineChars="200"/>
        <w:rPr>
          <w:rFonts w:hint="eastAsia" w:ascii="宋体" w:hAnsi="宋体" w:eastAsia="宋体" w:cs="宋体"/>
          <w:spacing w:val="6"/>
          <w:sz w:val="24"/>
          <w:szCs w:val="24"/>
          <w:highlight w:val="none"/>
        </w:rPr>
      </w:pPr>
    </w:p>
    <w:p>
      <w:pPr>
        <w:spacing w:line="588" w:lineRule="exact"/>
        <w:ind w:firstLine="504" w:firstLineChars="200"/>
        <w:rPr>
          <w:rFonts w:hint="eastAsia" w:ascii="宋体" w:hAnsi="宋体" w:eastAsia="宋体" w:cs="宋体"/>
          <w:spacing w:val="6"/>
          <w:sz w:val="24"/>
          <w:szCs w:val="24"/>
          <w:highlight w:val="none"/>
        </w:rPr>
      </w:pPr>
    </w:p>
    <w:p>
      <w:pPr>
        <w:tabs>
          <w:tab w:val="left" w:pos="4860"/>
        </w:tabs>
        <w:spacing w:line="588" w:lineRule="exact"/>
        <w:ind w:right="1560" w:firstLine="504" w:firstLineChars="200"/>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单位名称（盖章）：</w:t>
      </w:r>
    </w:p>
    <w:p>
      <w:pPr>
        <w:tabs>
          <w:tab w:val="left" w:pos="4860"/>
        </w:tabs>
        <w:spacing w:line="588" w:lineRule="exact"/>
        <w:ind w:right="1560" w:firstLine="504" w:firstLineChars="200"/>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w:t>
      </w:r>
      <w:r>
        <w:rPr>
          <w:rFonts w:hint="eastAsia" w:ascii="宋体" w:hAnsi="宋体" w:eastAsia="宋体" w:cs="宋体"/>
          <w:spacing w:val="6"/>
          <w:sz w:val="24"/>
          <w:szCs w:val="24"/>
          <w:highlight w:val="none"/>
          <w:lang w:val="en-US" w:eastAsia="zh-CN"/>
        </w:rPr>
        <w:t xml:space="preserve"> </w:t>
      </w:r>
      <w:r>
        <w:rPr>
          <w:rFonts w:hint="eastAsia" w:ascii="宋体" w:hAnsi="宋体" w:eastAsia="宋体" w:cs="宋体"/>
          <w:spacing w:val="6"/>
          <w:sz w:val="24"/>
          <w:szCs w:val="24"/>
          <w:highlight w:val="none"/>
        </w:rPr>
        <w:t xml:space="preserve">日  </w:t>
      </w:r>
      <w:r>
        <w:rPr>
          <w:rFonts w:hint="eastAsia" w:ascii="宋体" w:hAnsi="宋体" w:eastAsia="宋体" w:cs="宋体"/>
          <w:spacing w:val="6"/>
          <w:sz w:val="24"/>
          <w:szCs w:val="24"/>
          <w:highlight w:val="none"/>
          <w:lang w:val="en-US" w:eastAsia="zh-CN"/>
        </w:rPr>
        <w:t xml:space="preserve">  </w:t>
      </w:r>
      <w:r>
        <w:rPr>
          <w:rFonts w:hint="eastAsia" w:ascii="宋体" w:hAnsi="宋体" w:eastAsia="宋体" w:cs="宋体"/>
          <w:spacing w:val="6"/>
          <w:sz w:val="24"/>
          <w:szCs w:val="24"/>
          <w:highlight w:val="none"/>
        </w:rPr>
        <w:t>期：</w:t>
      </w:r>
    </w:p>
    <w:p>
      <w:pPr>
        <w:tabs>
          <w:tab w:val="left" w:pos="1620"/>
          <w:tab w:val="left" w:pos="1800"/>
        </w:tabs>
        <w:spacing w:line="440" w:lineRule="exact"/>
        <w:ind w:right="540" w:rightChars="257"/>
        <w:rPr>
          <w:rFonts w:hint="eastAsia" w:ascii="宋体" w:hAnsi="宋体" w:eastAsia="宋体" w:cs="宋体"/>
          <w:highlight w:val="none"/>
        </w:rPr>
      </w:pPr>
    </w:p>
    <w:p>
      <w:pPr>
        <w:tabs>
          <w:tab w:val="left" w:pos="1620"/>
          <w:tab w:val="left" w:pos="1800"/>
        </w:tabs>
        <w:spacing w:line="440" w:lineRule="exact"/>
        <w:ind w:right="540" w:rightChars="257"/>
        <w:rPr>
          <w:rFonts w:hint="eastAsia" w:ascii="宋体" w:hAnsi="宋体" w:eastAsia="宋体" w:cs="宋体"/>
          <w:highlight w:val="none"/>
        </w:rPr>
      </w:pPr>
    </w:p>
    <w:p>
      <w:pPr>
        <w:rPr>
          <w:rFonts w:hint="eastAsia" w:ascii="宋体" w:hAnsi="宋体" w:eastAsia="宋体" w:cs="宋体"/>
          <w:b/>
          <w:kern w:val="0"/>
          <w:sz w:val="28"/>
          <w:szCs w:val="28"/>
          <w:highlight w:val="none"/>
          <w:lang w:eastAsia="en-US"/>
        </w:rPr>
      </w:pPr>
    </w:p>
    <w:p>
      <w:pPr>
        <w:rPr>
          <w:rFonts w:hint="eastAsia" w:ascii="宋体" w:hAnsi="宋体" w:eastAsia="宋体" w:cs="宋体"/>
          <w:b/>
          <w:kern w:val="0"/>
          <w:sz w:val="28"/>
          <w:szCs w:val="28"/>
          <w:highlight w:val="none"/>
          <w:lang w:eastAsia="en-US"/>
        </w:rPr>
      </w:pPr>
    </w:p>
    <w:p>
      <w:pPr>
        <w:rPr>
          <w:rFonts w:hint="eastAsia" w:ascii="宋体" w:hAnsi="宋体" w:eastAsia="宋体" w:cs="宋体"/>
          <w:b/>
          <w:kern w:val="0"/>
          <w:sz w:val="28"/>
          <w:szCs w:val="28"/>
          <w:highlight w:val="none"/>
          <w:lang w:eastAsia="en-US"/>
        </w:rPr>
      </w:pPr>
    </w:p>
    <w:p>
      <w:pPr>
        <w:rPr>
          <w:rFonts w:hint="eastAsia" w:ascii="宋体" w:hAnsi="宋体" w:eastAsia="宋体" w:cs="宋体"/>
          <w:b/>
          <w:kern w:val="0"/>
          <w:sz w:val="28"/>
          <w:szCs w:val="28"/>
          <w:highlight w:val="none"/>
          <w:lang w:eastAsia="en-US"/>
        </w:rPr>
      </w:pPr>
    </w:p>
    <w:p>
      <w:pPr>
        <w:rPr>
          <w:rFonts w:hint="eastAsia" w:ascii="宋体" w:hAnsi="宋体" w:eastAsia="宋体" w:cs="宋体"/>
          <w:b/>
          <w:kern w:val="0"/>
          <w:sz w:val="28"/>
          <w:szCs w:val="28"/>
          <w:highlight w:val="none"/>
          <w:lang w:eastAsia="en-US"/>
        </w:rPr>
      </w:pPr>
    </w:p>
    <w:p>
      <w:pPr>
        <w:rPr>
          <w:rFonts w:hint="eastAsia" w:ascii="宋体" w:hAnsi="宋体" w:eastAsia="宋体" w:cs="宋体"/>
          <w:b/>
          <w:kern w:val="0"/>
          <w:sz w:val="28"/>
          <w:szCs w:val="28"/>
          <w:highlight w:val="none"/>
          <w:lang w:eastAsia="en-US"/>
        </w:rPr>
      </w:pPr>
    </w:p>
    <w:p>
      <w:pPr>
        <w:rPr>
          <w:rFonts w:hint="eastAsia" w:ascii="宋体" w:hAnsi="宋体" w:eastAsia="宋体" w:cs="宋体"/>
          <w:b/>
          <w:kern w:val="0"/>
          <w:sz w:val="28"/>
          <w:szCs w:val="28"/>
          <w:highlight w:val="none"/>
          <w:lang w:eastAsia="en-US"/>
        </w:rPr>
      </w:pPr>
    </w:p>
    <w:p>
      <w:pPr>
        <w:rPr>
          <w:rFonts w:hint="eastAsia" w:ascii="宋体" w:hAnsi="宋体" w:eastAsia="宋体" w:cs="宋体"/>
          <w:b/>
          <w:kern w:val="0"/>
          <w:sz w:val="28"/>
          <w:szCs w:val="28"/>
          <w:highlight w:val="none"/>
          <w:lang w:eastAsia="en-US"/>
        </w:rPr>
      </w:pPr>
    </w:p>
    <w:p>
      <w:pPr>
        <w:pStyle w:val="9"/>
        <w:rPr>
          <w:rFonts w:hint="eastAsia" w:ascii="宋体" w:hAnsi="宋体" w:eastAsia="宋体" w:cs="宋体"/>
          <w:highlight w:val="none"/>
          <w:lang w:eastAsia="en-US"/>
        </w:rPr>
      </w:pPr>
    </w:p>
    <w:bookmarkEnd w:id="17"/>
    <w:bookmarkEnd w:id="18"/>
    <w:bookmarkEnd w:id="19"/>
    <w:bookmarkEnd w:id="20"/>
    <w:bookmarkEnd w:id="21"/>
    <w:p>
      <w:pPr>
        <w:pStyle w:val="9"/>
        <w:rPr>
          <w:rFonts w:hint="eastAsia" w:ascii="宋体" w:hAnsi="宋体" w:eastAsia="宋体" w:cs="宋体"/>
          <w:b/>
          <w:bCs/>
          <w:spacing w:val="6"/>
          <w:kern w:val="0"/>
          <w:sz w:val="30"/>
          <w:szCs w:val="30"/>
          <w:highlight w:val="none"/>
          <w:lang w:val="en-US" w:eastAsia="zh-CN" w:bidi="ar-SA"/>
        </w:rPr>
      </w:pPr>
    </w:p>
    <w:p>
      <w:pPr>
        <w:pStyle w:val="9"/>
        <w:rPr>
          <w:rFonts w:hint="eastAsia" w:ascii="宋体" w:hAnsi="宋体" w:eastAsia="宋体" w:cs="宋体"/>
          <w:b/>
          <w:bCs/>
          <w:spacing w:val="6"/>
          <w:kern w:val="0"/>
          <w:sz w:val="30"/>
          <w:szCs w:val="30"/>
          <w:highlight w:val="none"/>
          <w:lang w:val="en-US" w:eastAsia="zh-CN" w:bidi="ar-SA"/>
        </w:rPr>
      </w:pPr>
      <w:r>
        <w:rPr>
          <w:rFonts w:hint="eastAsia" w:ascii="宋体" w:hAnsi="宋体" w:eastAsia="宋体" w:cs="宋体"/>
          <w:b/>
          <w:bCs/>
          <w:spacing w:val="6"/>
          <w:kern w:val="0"/>
          <w:sz w:val="30"/>
          <w:szCs w:val="30"/>
          <w:highlight w:val="none"/>
          <w:lang w:val="en-US" w:eastAsia="zh-CN" w:bidi="ar-SA"/>
        </w:rPr>
        <w:t>附件4</w:t>
      </w:r>
      <w:r>
        <w:rPr>
          <w:rFonts w:hint="eastAsia" w:ascii="宋体" w:hAnsi="宋体" w:eastAsia="宋体" w:cs="宋体"/>
          <w:b/>
          <w:bCs/>
          <w:spacing w:val="6"/>
          <w:sz w:val="30"/>
          <w:szCs w:val="30"/>
          <w:highlight w:val="none"/>
          <w:lang w:val="en-US" w:eastAsia="zh-CN"/>
        </w:rPr>
        <w:t>：</w:t>
      </w:r>
    </w:p>
    <w:p>
      <w:pPr>
        <w:spacing w:line="500" w:lineRule="exact"/>
        <w:ind w:firstLine="643" w:firstLineChars="200"/>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监狱企业证明文件</w:t>
      </w:r>
    </w:p>
    <w:p>
      <w:pPr>
        <w:pStyle w:val="9"/>
        <w:rPr>
          <w:rFonts w:hint="eastAsia" w:ascii="宋体" w:hAnsi="宋体" w:eastAsia="宋体" w:cs="宋体"/>
          <w:highlight w:val="none"/>
          <w:lang w:eastAsia="zh-CN"/>
        </w:rPr>
      </w:pPr>
    </w:p>
    <w:p>
      <w:p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监狱企业参加政府采购活动时，应当提供由省级以上监狱管理局、戒毒管理局（含新疆生产建设兵团）出具的属于监狱企业的证明文件。</w:t>
      </w:r>
    </w:p>
    <w:p>
      <w:pPr>
        <w:spacing w:line="360" w:lineRule="auto"/>
        <w:ind w:right="640"/>
        <w:rPr>
          <w:rFonts w:hint="eastAsia" w:ascii="宋体" w:hAnsi="宋体" w:eastAsia="宋体" w:cs="宋体"/>
          <w:sz w:val="24"/>
          <w:szCs w:val="24"/>
          <w:highlight w:val="none"/>
        </w:rPr>
      </w:pPr>
    </w:p>
    <w:p>
      <w:pPr>
        <w:spacing w:line="360" w:lineRule="auto"/>
        <w:ind w:right="640"/>
        <w:rPr>
          <w:rFonts w:hint="eastAsia" w:ascii="宋体" w:hAnsi="宋体" w:eastAsia="宋体" w:cs="宋体"/>
          <w:sz w:val="24"/>
          <w:szCs w:val="24"/>
          <w:highlight w:val="none"/>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eastAsia="zh-CN"/>
        </w:rPr>
      </w:pPr>
    </w:p>
    <w:p>
      <w:pPr>
        <w:spacing w:line="360" w:lineRule="auto"/>
        <w:ind w:right="640"/>
        <w:rPr>
          <w:rFonts w:hint="eastAsia" w:ascii="宋体" w:hAnsi="宋体" w:eastAsia="宋体" w:cs="宋体"/>
          <w:sz w:val="24"/>
          <w:szCs w:val="24"/>
          <w:highlight w:val="none"/>
        </w:rPr>
      </w:pPr>
    </w:p>
    <w:sectPr>
      <w:headerReference r:id="rId11" w:type="default"/>
      <w:pgSz w:w="11907" w:h="16840"/>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74QjbUAQAApg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blqkoK9R5qTHz0mBqHD27AvZnvAS8T8UEGk75IiWAc9T1d9BVDJDw9qlZVVWKIY2x2EL94&#10;eu4DxDvhDElGQwMOMOvKjg8Qx9Q5JVWz7lZpnYeoLekR9ap6d5VfXEKIri0WSSzGbpMVh90wUdu5&#10;9oTMetyChlpcekr0vUWR08LMRpiN3WwcfFD7Lm9UagX8+0PEdnKXqcIIOxXG8WWe06ql/fjbz1lP&#10;v9f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e+EI21AEAAKYDAAAOAAAAAAAAAAEAIAAA&#10;ACIBAABkcnMvZTJvRG9jLnhtbFBLBQYAAAAABgAGAFkBAABo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223"/>
      </w:tabs>
      <w:rPr>
        <w:rFonts w:ascii="宋体" w:hAnsi="宋体"/>
        <w:szCs w:val="18"/>
        <w:lang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eastAsia="宋体"/>
                              <w:b w:val="0"/>
                              <w:bCs/>
                              <w:lang w:eastAsia="zh-CN"/>
                            </w:rPr>
                          </w:pPr>
                          <w:r>
                            <w:rPr>
                              <w:rFonts w:hint="eastAsia" w:eastAsia="宋体"/>
                              <w:b w:val="0"/>
                              <w:bCs/>
                              <w:lang w:eastAsia="zh-CN"/>
                            </w:rPr>
                            <w:t xml:space="preserve">第 </w:t>
                          </w:r>
                          <w:r>
                            <w:rPr>
                              <w:rFonts w:hint="eastAsia" w:eastAsia="宋体"/>
                              <w:b w:val="0"/>
                              <w:bCs/>
                              <w:lang w:eastAsia="zh-CN"/>
                            </w:rPr>
                            <w:fldChar w:fldCharType="begin"/>
                          </w:r>
                          <w:r>
                            <w:rPr>
                              <w:rFonts w:hint="eastAsia" w:eastAsia="宋体"/>
                              <w:b w:val="0"/>
                              <w:bCs/>
                              <w:lang w:eastAsia="zh-CN"/>
                            </w:rPr>
                            <w:instrText xml:space="preserve"> PAGE  \* MERGEFORMAT </w:instrText>
                          </w:r>
                          <w:r>
                            <w:rPr>
                              <w:rFonts w:hint="eastAsia" w:eastAsia="宋体"/>
                              <w:b w:val="0"/>
                              <w:bCs/>
                              <w:lang w:eastAsia="zh-CN"/>
                            </w:rPr>
                            <w:fldChar w:fldCharType="separate"/>
                          </w:r>
                          <w:r>
                            <w:rPr>
                              <w:rFonts w:hint="eastAsia" w:eastAsia="宋体"/>
                              <w:b w:val="0"/>
                              <w:bCs/>
                              <w:lang w:eastAsia="zh-CN"/>
                            </w:rPr>
                            <w:t>1</w:t>
                          </w:r>
                          <w:r>
                            <w:rPr>
                              <w:rFonts w:hint="eastAsia" w:eastAsia="宋体"/>
                              <w:b w:val="0"/>
                              <w:bCs/>
                              <w:lang w:eastAsia="zh-CN"/>
                            </w:rPr>
                            <w:fldChar w:fldCharType="end"/>
                          </w:r>
                          <w:r>
                            <w:rPr>
                              <w:rFonts w:hint="eastAsia" w:eastAsia="宋体"/>
                              <w:b w:val="0"/>
                              <w:bCs/>
                              <w:lang w:eastAsia="zh-CN"/>
                            </w:rPr>
                            <w:t xml:space="preserve"> 页 共 </w:t>
                          </w:r>
                          <w:r>
                            <w:rPr>
                              <w:rFonts w:hint="eastAsia" w:eastAsia="宋体"/>
                              <w:b w:val="0"/>
                              <w:bCs/>
                              <w:lang w:eastAsia="zh-CN"/>
                            </w:rPr>
                            <w:fldChar w:fldCharType="begin"/>
                          </w:r>
                          <w:r>
                            <w:rPr>
                              <w:rFonts w:hint="eastAsia" w:eastAsia="宋体"/>
                              <w:b w:val="0"/>
                              <w:bCs/>
                              <w:lang w:eastAsia="zh-CN"/>
                            </w:rPr>
                            <w:instrText xml:space="preserve"> NUMPAGES  \* MERGEFORMAT </w:instrText>
                          </w:r>
                          <w:r>
                            <w:rPr>
                              <w:rFonts w:hint="eastAsia" w:eastAsia="宋体"/>
                              <w:b w:val="0"/>
                              <w:bCs/>
                              <w:lang w:eastAsia="zh-CN"/>
                            </w:rPr>
                            <w:fldChar w:fldCharType="separate"/>
                          </w:r>
                          <w:r>
                            <w:rPr>
                              <w:rFonts w:hint="eastAsia" w:eastAsia="宋体"/>
                              <w:b w:val="0"/>
                              <w:bCs/>
                              <w:lang w:eastAsia="zh-CN"/>
                            </w:rPr>
                            <w:t>84</w:t>
                          </w:r>
                          <w:r>
                            <w:rPr>
                              <w:rFonts w:hint="eastAsia" w:eastAsia="宋体"/>
                              <w:b w:val="0"/>
                              <w:bCs/>
                              <w:lang w:eastAsia="zh-CN"/>
                            </w:rPr>
                            <w:fldChar w:fldCharType="end"/>
                          </w:r>
                          <w:r>
                            <w:rPr>
                              <w:rFonts w:hint="eastAsia" w:eastAsia="宋体"/>
                              <w:b w:val="0"/>
                              <w:bCs/>
                              <w:lang w:eastAsia="zh-CN"/>
                            </w:rPr>
                            <w:t xml:space="preserve"> 页</w:t>
                          </w:r>
                        </w:p>
                      </w:txbxContent>
                    </wps:txbx>
                    <wps:bodyPr vert="horz" wrap="none" lIns="0" tIns="0" rIns="0" bIns="0" anchor="t" upright="0">
                      <a:spAutoFit/>
                    </wps:bodyPr>
                  </wps:wsp>
                </a:graphicData>
              </a:graphic>
            </wp:anchor>
          </w:drawing>
        </mc:Choice>
        <mc:Fallback>
          <w:pict>
            <v:shape id="文本框 105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BOHWOS4wEAAL0D&#10;AAAOAAAAAAAAAAEAIAAAACIBAABkcnMvZTJvRG9jLnhtbFBLBQYAAAAABgAGAFkBAAB3BQAAAAA=&#10;">
              <v:fill on="f" focussize="0,0"/>
              <v:stroke on="f" weight="1.25pt"/>
              <v:imagedata o:title=""/>
              <o:lock v:ext="edit" aspectratio="f"/>
              <v:textbox inset="0mm,0mm,0mm,0mm" style="mso-fit-shape-to-text:t;">
                <w:txbxContent>
                  <w:p>
                    <w:pPr>
                      <w:pStyle w:val="16"/>
                      <w:rPr>
                        <w:rFonts w:hint="eastAsia" w:eastAsia="宋体"/>
                        <w:b w:val="0"/>
                        <w:bCs/>
                        <w:lang w:eastAsia="zh-CN"/>
                      </w:rPr>
                    </w:pPr>
                    <w:r>
                      <w:rPr>
                        <w:rFonts w:hint="eastAsia" w:eastAsia="宋体"/>
                        <w:b w:val="0"/>
                        <w:bCs/>
                        <w:lang w:eastAsia="zh-CN"/>
                      </w:rPr>
                      <w:t xml:space="preserve">第 </w:t>
                    </w:r>
                    <w:r>
                      <w:rPr>
                        <w:rFonts w:hint="eastAsia" w:eastAsia="宋体"/>
                        <w:b w:val="0"/>
                        <w:bCs/>
                        <w:lang w:eastAsia="zh-CN"/>
                      </w:rPr>
                      <w:fldChar w:fldCharType="begin"/>
                    </w:r>
                    <w:r>
                      <w:rPr>
                        <w:rFonts w:hint="eastAsia" w:eastAsia="宋体"/>
                        <w:b w:val="0"/>
                        <w:bCs/>
                        <w:lang w:eastAsia="zh-CN"/>
                      </w:rPr>
                      <w:instrText xml:space="preserve"> PAGE  \* MERGEFORMAT </w:instrText>
                    </w:r>
                    <w:r>
                      <w:rPr>
                        <w:rFonts w:hint="eastAsia" w:eastAsia="宋体"/>
                        <w:b w:val="0"/>
                        <w:bCs/>
                        <w:lang w:eastAsia="zh-CN"/>
                      </w:rPr>
                      <w:fldChar w:fldCharType="separate"/>
                    </w:r>
                    <w:r>
                      <w:rPr>
                        <w:rFonts w:hint="eastAsia" w:eastAsia="宋体"/>
                        <w:b w:val="0"/>
                        <w:bCs/>
                        <w:lang w:eastAsia="zh-CN"/>
                      </w:rPr>
                      <w:t>1</w:t>
                    </w:r>
                    <w:r>
                      <w:rPr>
                        <w:rFonts w:hint="eastAsia" w:eastAsia="宋体"/>
                        <w:b w:val="0"/>
                        <w:bCs/>
                        <w:lang w:eastAsia="zh-CN"/>
                      </w:rPr>
                      <w:fldChar w:fldCharType="end"/>
                    </w:r>
                    <w:r>
                      <w:rPr>
                        <w:rFonts w:hint="eastAsia" w:eastAsia="宋体"/>
                        <w:b w:val="0"/>
                        <w:bCs/>
                        <w:lang w:eastAsia="zh-CN"/>
                      </w:rPr>
                      <w:t xml:space="preserve"> 页 共 </w:t>
                    </w:r>
                    <w:r>
                      <w:rPr>
                        <w:rFonts w:hint="eastAsia" w:eastAsia="宋体"/>
                        <w:b w:val="0"/>
                        <w:bCs/>
                        <w:lang w:eastAsia="zh-CN"/>
                      </w:rPr>
                      <w:fldChar w:fldCharType="begin"/>
                    </w:r>
                    <w:r>
                      <w:rPr>
                        <w:rFonts w:hint="eastAsia" w:eastAsia="宋体"/>
                        <w:b w:val="0"/>
                        <w:bCs/>
                        <w:lang w:eastAsia="zh-CN"/>
                      </w:rPr>
                      <w:instrText xml:space="preserve"> NUMPAGES  \* MERGEFORMAT </w:instrText>
                    </w:r>
                    <w:r>
                      <w:rPr>
                        <w:rFonts w:hint="eastAsia" w:eastAsia="宋体"/>
                        <w:b w:val="0"/>
                        <w:bCs/>
                        <w:lang w:eastAsia="zh-CN"/>
                      </w:rPr>
                      <w:fldChar w:fldCharType="separate"/>
                    </w:r>
                    <w:r>
                      <w:rPr>
                        <w:rFonts w:hint="eastAsia" w:eastAsia="宋体"/>
                        <w:b w:val="0"/>
                        <w:bCs/>
                        <w:lang w:eastAsia="zh-CN"/>
                      </w:rPr>
                      <w:t>84</w:t>
                    </w:r>
                    <w:r>
                      <w:rPr>
                        <w:rFonts w:hint="eastAsia" w:eastAsia="宋体"/>
                        <w:b w:val="0"/>
                        <w:bCs/>
                        <w:lang w:eastAsia="zh-CN"/>
                      </w:rPr>
                      <w:fldChar w:fldCharType="end"/>
                    </w:r>
                    <w:r>
                      <w:rPr>
                        <w:rFonts w:hint="eastAsia" w:eastAsia="宋体"/>
                        <w:b w:val="0"/>
                        <w:bCs/>
                        <w:lang w:eastAsia="zh-CN"/>
                      </w:rPr>
                      <w:t xml:space="preserve"> 页</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eastAsia="宋体"/>
                              <w:b w:val="0"/>
                              <w:bCs/>
                              <w:lang w:eastAsia="zh-CN"/>
                            </w:rPr>
                          </w:pPr>
                        </w:p>
                      </w:txbxContent>
                    </wps:txbx>
                    <wps:bodyPr vert="horz" wrap="none" lIns="0" tIns="0" rIns="0" bIns="0" anchor="t"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aYJL0wAAAAUBAAAP&#10;AAAAAAAAAAEAIAAAACIAAABkcnMvZG93bnJldi54bWxQSwECFAAUAAAACACHTuJAampk9eQBAAC9&#10;AwAADgAAAAAAAAABACAAAAAiAQAAZHJzL2Uyb0RvYy54bWxQSwUGAAAAAAYABgBZAQAAeAUAAAAA&#10;">
              <v:fill on="f" focussize="0,0"/>
              <v:stroke on="f" weight="1.25pt"/>
              <v:imagedata o:title=""/>
              <o:lock v:ext="edit" aspectratio="f"/>
              <v:textbox inset="0mm,0mm,0mm,0mm" style="mso-fit-shape-to-text:t;">
                <w:txbxContent>
                  <w:p>
                    <w:pPr>
                      <w:pStyle w:val="16"/>
                      <w:rPr>
                        <w:rFonts w:hint="eastAsia" w:eastAsia="宋体"/>
                        <w:b w:val="0"/>
                        <w:bCs/>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500" w:lineRule="exact"/>
      <w:ind w:left="1530" w:hanging="1530" w:hangingChars="850"/>
      <w:rPr>
        <w:rFonts w:hint="default" w:hAnsi="宋体" w:eastAsia="宋体" w:cs="宋体"/>
        <w:sz w:val="18"/>
        <w:szCs w:val="1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00" w:lineRule="exact"/>
      <w:ind w:left="1530" w:hanging="1530" w:hangingChars="850"/>
      <w:jc w:val="left"/>
      <w:rPr>
        <w:rFonts w:hint="default" w:hAnsi="宋体" w:eastAsia="宋体" w:cs="宋体"/>
        <w:sz w:val="18"/>
        <w:szCs w:val="18"/>
        <w:lang w:val="en-US" w:eastAsia="zh-CN"/>
      </w:rPr>
    </w:pPr>
    <w:r>
      <w:rPr>
        <w:rFonts w:hint="eastAsia" w:hAnsi="宋体" w:cs="宋体"/>
        <w:sz w:val="18"/>
        <w:szCs w:val="18"/>
        <w:lang w:val="en-US" w:eastAsia="zh-CN"/>
      </w:rPr>
      <w:t>西安市碑林区朱雀大街小学智慧教室设备提升项目                                          竞争性谈判文件</w:t>
    </w:r>
  </w:p>
  <w:p>
    <w:pPr>
      <w:pBdr>
        <w:bottom w:val="none" w:color="auto" w:sz="0" w:space="0"/>
      </w:pBdr>
      <w:jc w:val="left"/>
      <w:rPr>
        <w:rFonts w:hint="eastAsia" w:ascii="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00" w:lineRule="exact"/>
      <w:ind w:left="1530" w:hanging="1530" w:hangingChars="850"/>
      <w:rPr>
        <w:rFonts w:hint="default" w:hAnsi="宋体" w:eastAsia="宋体" w:cs="宋体"/>
        <w:sz w:val="18"/>
        <w:szCs w:val="18"/>
        <w:lang w:val="en-US" w:eastAsia="zh-CN"/>
      </w:rPr>
    </w:pPr>
    <w:r>
      <w:rPr>
        <w:rFonts w:hint="eastAsia" w:hAnsi="宋体" w:cs="宋体"/>
        <w:sz w:val="18"/>
        <w:szCs w:val="18"/>
        <w:lang w:val="en-US" w:eastAsia="zh-CN"/>
      </w:rPr>
      <w:t>西安市碑林区朱雀大街小学智慧教室设备提升项目                                         竞争性谈判文件</w:t>
    </w:r>
  </w:p>
  <w:p>
    <w:pPr>
      <w:pBdr>
        <w:bottom w:val="none" w:color="auto" w:sz="0" w:space="0"/>
      </w:pBdr>
      <w:jc w:val="left"/>
      <w:rPr>
        <w:rFonts w:hint="eastAsia"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0AAAD"/>
    <w:multiLevelType w:val="singleLevel"/>
    <w:tmpl w:val="D1B0AAAD"/>
    <w:lvl w:ilvl="0" w:tentative="0">
      <w:start w:val="3"/>
      <w:numFmt w:val="decimal"/>
      <w:suff w:val="nothing"/>
      <w:lvlText w:val="%1、"/>
      <w:lvlJc w:val="left"/>
    </w:lvl>
  </w:abstractNum>
  <w:abstractNum w:abstractNumId="1">
    <w:nsid w:val="E0724B35"/>
    <w:multiLevelType w:val="singleLevel"/>
    <w:tmpl w:val="E0724B35"/>
    <w:lvl w:ilvl="0" w:tentative="0">
      <w:start w:val="6"/>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lvlText w:val="%1."/>
      <w:lvlJc w:val="left"/>
      <w:pPr>
        <w:ind w:left="425" w:hanging="425"/>
      </w:pPr>
      <w:rPr>
        <w:rFonts w:hint="default"/>
      </w:rPr>
    </w:lvl>
  </w:abstractNum>
  <w:abstractNum w:abstractNumId="3">
    <w:nsid w:val="0000000C"/>
    <w:multiLevelType w:val="singleLevel"/>
    <w:tmpl w:val="0000000C"/>
    <w:lvl w:ilvl="0" w:tentative="0">
      <w:start w:val="1"/>
      <w:numFmt w:val="decimal"/>
      <w:lvlText w:val="（%1）"/>
      <w:lvlJc w:val="left"/>
      <w:pPr>
        <w:tabs>
          <w:tab w:val="left" w:pos="720"/>
        </w:tabs>
        <w:ind w:left="720" w:hanging="720"/>
      </w:pPr>
      <w:rPr>
        <w:rFonts w:hint="eastAsia"/>
      </w:rPr>
    </w:lvl>
  </w:abstractNum>
  <w:abstractNum w:abstractNumId="4">
    <w:nsid w:val="53F7C726"/>
    <w:multiLevelType w:val="singleLevel"/>
    <w:tmpl w:val="53F7C726"/>
    <w:lvl w:ilvl="0" w:tentative="0">
      <w:start w:val="4"/>
      <w:numFmt w:val="chineseCounting"/>
      <w:suff w:val="space"/>
      <w:lvlText w:val="第%1章"/>
      <w:lvlJc w:val="left"/>
      <w:rPr>
        <w:rFonts w:hint="eastAsia"/>
      </w:rPr>
    </w:lvl>
  </w:abstractNum>
  <w:abstractNum w:abstractNumId="5">
    <w:nsid w:val="57036E04"/>
    <w:multiLevelType w:val="singleLevel"/>
    <w:tmpl w:val="57036E04"/>
    <w:lvl w:ilvl="0" w:tentative="0">
      <w:start w:val="11"/>
      <w:numFmt w:val="chineseCounting"/>
      <w:suff w:val="nothing"/>
      <w:lvlText w:val="%1、"/>
      <w:lvlJc w:val="left"/>
    </w:lvl>
  </w:abstractNum>
  <w:abstractNum w:abstractNumId="6">
    <w:nsid w:val="59B2460E"/>
    <w:multiLevelType w:val="singleLevel"/>
    <w:tmpl w:val="59B2460E"/>
    <w:lvl w:ilvl="0" w:tentative="0">
      <w:start w:val="2"/>
      <w:numFmt w:val="decimal"/>
      <w:suff w:val="nothing"/>
      <w:lvlText w:val="%1."/>
      <w:lvlJc w:val="left"/>
    </w:lvl>
  </w:abstractNum>
  <w:abstractNum w:abstractNumId="7">
    <w:nsid w:val="59CC62DA"/>
    <w:multiLevelType w:val="singleLevel"/>
    <w:tmpl w:val="59CC62DA"/>
    <w:lvl w:ilvl="0" w:tentative="0">
      <w:start w:val="5"/>
      <w:numFmt w:val="chineseCounting"/>
      <w:suff w:val="space"/>
      <w:lvlText w:val="第%1章"/>
      <w:lvlJc w:val="left"/>
    </w:lvl>
  </w:abstractNum>
  <w:num w:numId="1">
    <w:abstractNumId w:val="0"/>
  </w:num>
  <w:num w:numId="2">
    <w:abstractNumId w:val="6"/>
  </w:num>
  <w:num w:numId="3">
    <w:abstractNumId w:val="5"/>
  </w:num>
  <w:num w:numId="4">
    <w:abstractNumId w:val="4"/>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MmZhNDg0OTUwMzBiMDE5YjNlZDY0ZDA1NTJkODQifQ=="/>
  </w:docVars>
  <w:rsids>
    <w:rsidRoot w:val="00172A27"/>
    <w:rsid w:val="00002484"/>
    <w:rsid w:val="00006BA7"/>
    <w:rsid w:val="00006F34"/>
    <w:rsid w:val="00010923"/>
    <w:rsid w:val="000111C7"/>
    <w:rsid w:val="0001276B"/>
    <w:rsid w:val="00014C80"/>
    <w:rsid w:val="00016233"/>
    <w:rsid w:val="00021033"/>
    <w:rsid w:val="00025B34"/>
    <w:rsid w:val="000267AF"/>
    <w:rsid w:val="00027955"/>
    <w:rsid w:val="0003649E"/>
    <w:rsid w:val="00043A6E"/>
    <w:rsid w:val="00045639"/>
    <w:rsid w:val="000521D7"/>
    <w:rsid w:val="00056ACE"/>
    <w:rsid w:val="00060EEB"/>
    <w:rsid w:val="00064588"/>
    <w:rsid w:val="000674B2"/>
    <w:rsid w:val="00073361"/>
    <w:rsid w:val="00074585"/>
    <w:rsid w:val="000872DF"/>
    <w:rsid w:val="00091472"/>
    <w:rsid w:val="000A0EEC"/>
    <w:rsid w:val="000A61CD"/>
    <w:rsid w:val="000B0658"/>
    <w:rsid w:val="000B093E"/>
    <w:rsid w:val="000B278D"/>
    <w:rsid w:val="000B459C"/>
    <w:rsid w:val="000B7981"/>
    <w:rsid w:val="000C1C43"/>
    <w:rsid w:val="000D4AFC"/>
    <w:rsid w:val="000E0A5C"/>
    <w:rsid w:val="000E36B6"/>
    <w:rsid w:val="000E4B09"/>
    <w:rsid w:val="000E5810"/>
    <w:rsid w:val="000F12B3"/>
    <w:rsid w:val="000F1FAB"/>
    <w:rsid w:val="000F43C4"/>
    <w:rsid w:val="000F4EF5"/>
    <w:rsid w:val="001012D3"/>
    <w:rsid w:val="00101D2E"/>
    <w:rsid w:val="00114F25"/>
    <w:rsid w:val="00120BDC"/>
    <w:rsid w:val="001235CE"/>
    <w:rsid w:val="00143899"/>
    <w:rsid w:val="00161F97"/>
    <w:rsid w:val="001678B3"/>
    <w:rsid w:val="001700C1"/>
    <w:rsid w:val="00170B2B"/>
    <w:rsid w:val="00173268"/>
    <w:rsid w:val="00174104"/>
    <w:rsid w:val="00182880"/>
    <w:rsid w:val="00187357"/>
    <w:rsid w:val="00197147"/>
    <w:rsid w:val="00197406"/>
    <w:rsid w:val="001A17D4"/>
    <w:rsid w:val="001A5DCD"/>
    <w:rsid w:val="001A64D0"/>
    <w:rsid w:val="001B44D8"/>
    <w:rsid w:val="001C20E2"/>
    <w:rsid w:val="001D1D85"/>
    <w:rsid w:val="001E79C0"/>
    <w:rsid w:val="001F1213"/>
    <w:rsid w:val="001F12EF"/>
    <w:rsid w:val="001F19DA"/>
    <w:rsid w:val="001F5B4E"/>
    <w:rsid w:val="0020082E"/>
    <w:rsid w:val="00201522"/>
    <w:rsid w:val="00203FA8"/>
    <w:rsid w:val="00212DC4"/>
    <w:rsid w:val="002343D2"/>
    <w:rsid w:val="00236362"/>
    <w:rsid w:val="00236FA1"/>
    <w:rsid w:val="00244B0A"/>
    <w:rsid w:val="00247CA3"/>
    <w:rsid w:val="00250B9E"/>
    <w:rsid w:val="002520A6"/>
    <w:rsid w:val="0025545C"/>
    <w:rsid w:val="00257D4E"/>
    <w:rsid w:val="002637B7"/>
    <w:rsid w:val="002638C3"/>
    <w:rsid w:val="00271A48"/>
    <w:rsid w:val="00274316"/>
    <w:rsid w:val="002758B1"/>
    <w:rsid w:val="002849DA"/>
    <w:rsid w:val="0029418A"/>
    <w:rsid w:val="002A27C1"/>
    <w:rsid w:val="002B278F"/>
    <w:rsid w:val="002C0CB3"/>
    <w:rsid w:val="002C437F"/>
    <w:rsid w:val="002C54D6"/>
    <w:rsid w:val="002C71C7"/>
    <w:rsid w:val="002D1022"/>
    <w:rsid w:val="002D102D"/>
    <w:rsid w:val="002D1755"/>
    <w:rsid w:val="002D3B1A"/>
    <w:rsid w:val="002D6F88"/>
    <w:rsid w:val="002E56ED"/>
    <w:rsid w:val="002F05B0"/>
    <w:rsid w:val="002F078B"/>
    <w:rsid w:val="002F4A1D"/>
    <w:rsid w:val="00302AD2"/>
    <w:rsid w:val="00303867"/>
    <w:rsid w:val="00304CAD"/>
    <w:rsid w:val="00304D6D"/>
    <w:rsid w:val="00304F0F"/>
    <w:rsid w:val="003063B1"/>
    <w:rsid w:val="00312BED"/>
    <w:rsid w:val="00323890"/>
    <w:rsid w:val="00330651"/>
    <w:rsid w:val="00334C3F"/>
    <w:rsid w:val="00336AD7"/>
    <w:rsid w:val="003458C1"/>
    <w:rsid w:val="003465CC"/>
    <w:rsid w:val="00347D2F"/>
    <w:rsid w:val="00357CE2"/>
    <w:rsid w:val="003721E8"/>
    <w:rsid w:val="00375743"/>
    <w:rsid w:val="00386872"/>
    <w:rsid w:val="00393017"/>
    <w:rsid w:val="00394148"/>
    <w:rsid w:val="00395C68"/>
    <w:rsid w:val="003966C4"/>
    <w:rsid w:val="00396B47"/>
    <w:rsid w:val="003B78E9"/>
    <w:rsid w:val="003C0FAF"/>
    <w:rsid w:val="003C6DC2"/>
    <w:rsid w:val="003C776F"/>
    <w:rsid w:val="003D1D16"/>
    <w:rsid w:val="003D6284"/>
    <w:rsid w:val="003E4915"/>
    <w:rsid w:val="003E6081"/>
    <w:rsid w:val="003F130B"/>
    <w:rsid w:val="003F2F12"/>
    <w:rsid w:val="003F4456"/>
    <w:rsid w:val="004020A1"/>
    <w:rsid w:val="00411179"/>
    <w:rsid w:val="0041260E"/>
    <w:rsid w:val="00420ED1"/>
    <w:rsid w:val="00422D6B"/>
    <w:rsid w:val="00424A4F"/>
    <w:rsid w:val="0042612D"/>
    <w:rsid w:val="0043280F"/>
    <w:rsid w:val="00435505"/>
    <w:rsid w:val="00435769"/>
    <w:rsid w:val="00436607"/>
    <w:rsid w:val="00443716"/>
    <w:rsid w:val="00445BE2"/>
    <w:rsid w:val="004479C1"/>
    <w:rsid w:val="0045391E"/>
    <w:rsid w:val="004546A4"/>
    <w:rsid w:val="00456CBF"/>
    <w:rsid w:val="00466E45"/>
    <w:rsid w:val="0047581D"/>
    <w:rsid w:val="0047700F"/>
    <w:rsid w:val="00480B75"/>
    <w:rsid w:val="00482488"/>
    <w:rsid w:val="00490528"/>
    <w:rsid w:val="00492676"/>
    <w:rsid w:val="004A58AE"/>
    <w:rsid w:val="004B31F6"/>
    <w:rsid w:val="004C71F0"/>
    <w:rsid w:val="004C7C3F"/>
    <w:rsid w:val="004D235F"/>
    <w:rsid w:val="004E2C94"/>
    <w:rsid w:val="004E58C8"/>
    <w:rsid w:val="004E5C98"/>
    <w:rsid w:val="004F130E"/>
    <w:rsid w:val="004F44DC"/>
    <w:rsid w:val="00500550"/>
    <w:rsid w:val="005022A4"/>
    <w:rsid w:val="00503EB9"/>
    <w:rsid w:val="00505BCA"/>
    <w:rsid w:val="00510717"/>
    <w:rsid w:val="005136E4"/>
    <w:rsid w:val="00516F35"/>
    <w:rsid w:val="0051772E"/>
    <w:rsid w:val="005228EE"/>
    <w:rsid w:val="00523125"/>
    <w:rsid w:val="005238CA"/>
    <w:rsid w:val="00525409"/>
    <w:rsid w:val="005467AF"/>
    <w:rsid w:val="00546DE0"/>
    <w:rsid w:val="005506AB"/>
    <w:rsid w:val="005568B5"/>
    <w:rsid w:val="00556A7D"/>
    <w:rsid w:val="00560560"/>
    <w:rsid w:val="00574A3F"/>
    <w:rsid w:val="00576C50"/>
    <w:rsid w:val="00580A39"/>
    <w:rsid w:val="00580E5D"/>
    <w:rsid w:val="00585FC1"/>
    <w:rsid w:val="005862C6"/>
    <w:rsid w:val="00590687"/>
    <w:rsid w:val="0059373E"/>
    <w:rsid w:val="00595C1B"/>
    <w:rsid w:val="005A1E24"/>
    <w:rsid w:val="005B4922"/>
    <w:rsid w:val="005C0638"/>
    <w:rsid w:val="005C7F79"/>
    <w:rsid w:val="005D18C7"/>
    <w:rsid w:val="005D1FFA"/>
    <w:rsid w:val="005D4C29"/>
    <w:rsid w:val="005D6D64"/>
    <w:rsid w:val="005E2EC5"/>
    <w:rsid w:val="005E4467"/>
    <w:rsid w:val="005E7A43"/>
    <w:rsid w:val="005F2312"/>
    <w:rsid w:val="005F3E77"/>
    <w:rsid w:val="00602483"/>
    <w:rsid w:val="00602B05"/>
    <w:rsid w:val="0060391A"/>
    <w:rsid w:val="006048E4"/>
    <w:rsid w:val="00604F10"/>
    <w:rsid w:val="006054D7"/>
    <w:rsid w:val="00607FC4"/>
    <w:rsid w:val="006107D5"/>
    <w:rsid w:val="0061116E"/>
    <w:rsid w:val="006214A4"/>
    <w:rsid w:val="006240CB"/>
    <w:rsid w:val="0062506D"/>
    <w:rsid w:val="006320E0"/>
    <w:rsid w:val="00634E1C"/>
    <w:rsid w:val="00637BBF"/>
    <w:rsid w:val="00640DF1"/>
    <w:rsid w:val="006439FA"/>
    <w:rsid w:val="00645583"/>
    <w:rsid w:val="00646579"/>
    <w:rsid w:val="006504F2"/>
    <w:rsid w:val="0065092C"/>
    <w:rsid w:val="00652252"/>
    <w:rsid w:val="00655FE4"/>
    <w:rsid w:val="00656230"/>
    <w:rsid w:val="00660EEC"/>
    <w:rsid w:val="0066512E"/>
    <w:rsid w:val="006710E0"/>
    <w:rsid w:val="00671D58"/>
    <w:rsid w:val="0068218B"/>
    <w:rsid w:val="006832C3"/>
    <w:rsid w:val="006846B1"/>
    <w:rsid w:val="006858B9"/>
    <w:rsid w:val="00687D13"/>
    <w:rsid w:val="006A4D4A"/>
    <w:rsid w:val="006B132E"/>
    <w:rsid w:val="006B18D1"/>
    <w:rsid w:val="006B6CFF"/>
    <w:rsid w:val="006C2EE1"/>
    <w:rsid w:val="006C749A"/>
    <w:rsid w:val="006D4545"/>
    <w:rsid w:val="006E21EE"/>
    <w:rsid w:val="006E45AD"/>
    <w:rsid w:val="006E5B3B"/>
    <w:rsid w:val="006E610B"/>
    <w:rsid w:val="00703A99"/>
    <w:rsid w:val="00704388"/>
    <w:rsid w:val="007109F1"/>
    <w:rsid w:val="007156B8"/>
    <w:rsid w:val="00721BCE"/>
    <w:rsid w:val="00726635"/>
    <w:rsid w:val="00726FF5"/>
    <w:rsid w:val="0072740A"/>
    <w:rsid w:val="00734D36"/>
    <w:rsid w:val="00740FA0"/>
    <w:rsid w:val="00741CA8"/>
    <w:rsid w:val="00741CBF"/>
    <w:rsid w:val="00742668"/>
    <w:rsid w:val="00745DF7"/>
    <w:rsid w:val="00746CC0"/>
    <w:rsid w:val="00750456"/>
    <w:rsid w:val="00754DC6"/>
    <w:rsid w:val="00755638"/>
    <w:rsid w:val="00756757"/>
    <w:rsid w:val="007579B2"/>
    <w:rsid w:val="00760EDD"/>
    <w:rsid w:val="007621AD"/>
    <w:rsid w:val="00763F56"/>
    <w:rsid w:val="00767E1F"/>
    <w:rsid w:val="00770C95"/>
    <w:rsid w:val="0077438F"/>
    <w:rsid w:val="00775B3B"/>
    <w:rsid w:val="00777275"/>
    <w:rsid w:val="00783CF7"/>
    <w:rsid w:val="00793C1E"/>
    <w:rsid w:val="007A11EC"/>
    <w:rsid w:val="007A3764"/>
    <w:rsid w:val="007A41A4"/>
    <w:rsid w:val="007A45FA"/>
    <w:rsid w:val="007A5254"/>
    <w:rsid w:val="007A5CFB"/>
    <w:rsid w:val="007C2A9E"/>
    <w:rsid w:val="007C3E1B"/>
    <w:rsid w:val="007C3FE7"/>
    <w:rsid w:val="007D0DD1"/>
    <w:rsid w:val="007D19A6"/>
    <w:rsid w:val="007D1C9C"/>
    <w:rsid w:val="007D2D4E"/>
    <w:rsid w:val="007D5019"/>
    <w:rsid w:val="007E0D4C"/>
    <w:rsid w:val="007E4A4D"/>
    <w:rsid w:val="007E4EE7"/>
    <w:rsid w:val="007F25FF"/>
    <w:rsid w:val="00800C29"/>
    <w:rsid w:val="00801792"/>
    <w:rsid w:val="0080314D"/>
    <w:rsid w:val="0080405B"/>
    <w:rsid w:val="0080427A"/>
    <w:rsid w:val="00806763"/>
    <w:rsid w:val="008102D3"/>
    <w:rsid w:val="008124A4"/>
    <w:rsid w:val="00823966"/>
    <w:rsid w:val="00826E6D"/>
    <w:rsid w:val="00827BD1"/>
    <w:rsid w:val="008329B1"/>
    <w:rsid w:val="008447A8"/>
    <w:rsid w:val="00846A5A"/>
    <w:rsid w:val="0085008C"/>
    <w:rsid w:val="008515A8"/>
    <w:rsid w:val="008516EA"/>
    <w:rsid w:val="0085376C"/>
    <w:rsid w:val="008556C2"/>
    <w:rsid w:val="00855C2F"/>
    <w:rsid w:val="0086021E"/>
    <w:rsid w:val="008615E8"/>
    <w:rsid w:val="008678C0"/>
    <w:rsid w:val="00871E4A"/>
    <w:rsid w:val="00872BEA"/>
    <w:rsid w:val="00884BBE"/>
    <w:rsid w:val="00894278"/>
    <w:rsid w:val="008B1132"/>
    <w:rsid w:val="008B139E"/>
    <w:rsid w:val="008C3053"/>
    <w:rsid w:val="008C3D7B"/>
    <w:rsid w:val="008C7925"/>
    <w:rsid w:val="008C7FB7"/>
    <w:rsid w:val="008D2B75"/>
    <w:rsid w:val="008D2E45"/>
    <w:rsid w:val="008D32F1"/>
    <w:rsid w:val="008F3403"/>
    <w:rsid w:val="008F45B9"/>
    <w:rsid w:val="00902CE0"/>
    <w:rsid w:val="0090590A"/>
    <w:rsid w:val="00912624"/>
    <w:rsid w:val="00914258"/>
    <w:rsid w:val="00917EBE"/>
    <w:rsid w:val="00921262"/>
    <w:rsid w:val="009240CC"/>
    <w:rsid w:val="00925120"/>
    <w:rsid w:val="0093209F"/>
    <w:rsid w:val="0093299B"/>
    <w:rsid w:val="0094567A"/>
    <w:rsid w:val="00946D2F"/>
    <w:rsid w:val="00951617"/>
    <w:rsid w:val="00954051"/>
    <w:rsid w:val="00955741"/>
    <w:rsid w:val="00964241"/>
    <w:rsid w:val="00984701"/>
    <w:rsid w:val="009860B3"/>
    <w:rsid w:val="009A0E66"/>
    <w:rsid w:val="009A4659"/>
    <w:rsid w:val="009B60E6"/>
    <w:rsid w:val="009B7089"/>
    <w:rsid w:val="009C40B4"/>
    <w:rsid w:val="009C6C91"/>
    <w:rsid w:val="009D734C"/>
    <w:rsid w:val="009E20EF"/>
    <w:rsid w:val="009E4788"/>
    <w:rsid w:val="009E50EB"/>
    <w:rsid w:val="009E57B8"/>
    <w:rsid w:val="009E7BBD"/>
    <w:rsid w:val="009F357F"/>
    <w:rsid w:val="009F495B"/>
    <w:rsid w:val="009F6915"/>
    <w:rsid w:val="00A0107C"/>
    <w:rsid w:val="00A051C5"/>
    <w:rsid w:val="00A109B9"/>
    <w:rsid w:val="00A116EB"/>
    <w:rsid w:val="00A21EB2"/>
    <w:rsid w:val="00A23952"/>
    <w:rsid w:val="00A2527A"/>
    <w:rsid w:val="00A25B2D"/>
    <w:rsid w:val="00A2604F"/>
    <w:rsid w:val="00A30864"/>
    <w:rsid w:val="00A31A52"/>
    <w:rsid w:val="00A327C7"/>
    <w:rsid w:val="00A40EA1"/>
    <w:rsid w:val="00A44E18"/>
    <w:rsid w:val="00A60E14"/>
    <w:rsid w:val="00A61011"/>
    <w:rsid w:val="00A616D1"/>
    <w:rsid w:val="00A6390F"/>
    <w:rsid w:val="00A650D0"/>
    <w:rsid w:val="00A65719"/>
    <w:rsid w:val="00A667EC"/>
    <w:rsid w:val="00A72D9F"/>
    <w:rsid w:val="00A77E99"/>
    <w:rsid w:val="00A81A9C"/>
    <w:rsid w:val="00A823D4"/>
    <w:rsid w:val="00A85445"/>
    <w:rsid w:val="00A87528"/>
    <w:rsid w:val="00A96AB8"/>
    <w:rsid w:val="00AA1A8C"/>
    <w:rsid w:val="00AA62A6"/>
    <w:rsid w:val="00AA64FB"/>
    <w:rsid w:val="00AB2636"/>
    <w:rsid w:val="00AB3F25"/>
    <w:rsid w:val="00AB4980"/>
    <w:rsid w:val="00AB64F0"/>
    <w:rsid w:val="00AC1C3F"/>
    <w:rsid w:val="00AC50D2"/>
    <w:rsid w:val="00AD57E5"/>
    <w:rsid w:val="00AE08E3"/>
    <w:rsid w:val="00AE336A"/>
    <w:rsid w:val="00AE6E8A"/>
    <w:rsid w:val="00AE7981"/>
    <w:rsid w:val="00AF3C41"/>
    <w:rsid w:val="00B01B4B"/>
    <w:rsid w:val="00B06FF2"/>
    <w:rsid w:val="00B13C41"/>
    <w:rsid w:val="00B140EC"/>
    <w:rsid w:val="00B15A19"/>
    <w:rsid w:val="00B16AAE"/>
    <w:rsid w:val="00B2635F"/>
    <w:rsid w:val="00B265AB"/>
    <w:rsid w:val="00B27B37"/>
    <w:rsid w:val="00B332F3"/>
    <w:rsid w:val="00B337AB"/>
    <w:rsid w:val="00B33EA4"/>
    <w:rsid w:val="00B354CB"/>
    <w:rsid w:val="00B359FE"/>
    <w:rsid w:val="00B36015"/>
    <w:rsid w:val="00B40F30"/>
    <w:rsid w:val="00B42D1A"/>
    <w:rsid w:val="00B44F18"/>
    <w:rsid w:val="00B53568"/>
    <w:rsid w:val="00B53AB0"/>
    <w:rsid w:val="00B56BE3"/>
    <w:rsid w:val="00B5714D"/>
    <w:rsid w:val="00B57678"/>
    <w:rsid w:val="00B62168"/>
    <w:rsid w:val="00B63BAD"/>
    <w:rsid w:val="00B76AB7"/>
    <w:rsid w:val="00B91D32"/>
    <w:rsid w:val="00B95A23"/>
    <w:rsid w:val="00B95C3A"/>
    <w:rsid w:val="00B966AF"/>
    <w:rsid w:val="00BA15F3"/>
    <w:rsid w:val="00BA1C49"/>
    <w:rsid w:val="00BA4526"/>
    <w:rsid w:val="00BB1248"/>
    <w:rsid w:val="00BB26DA"/>
    <w:rsid w:val="00BB4176"/>
    <w:rsid w:val="00BB6D10"/>
    <w:rsid w:val="00BC27B0"/>
    <w:rsid w:val="00BC3A78"/>
    <w:rsid w:val="00BC40FA"/>
    <w:rsid w:val="00BC58A2"/>
    <w:rsid w:val="00BC5B8E"/>
    <w:rsid w:val="00BD2ACF"/>
    <w:rsid w:val="00BE09FE"/>
    <w:rsid w:val="00BF778C"/>
    <w:rsid w:val="00C01E33"/>
    <w:rsid w:val="00C0337B"/>
    <w:rsid w:val="00C03B72"/>
    <w:rsid w:val="00C0518C"/>
    <w:rsid w:val="00C06071"/>
    <w:rsid w:val="00C104F4"/>
    <w:rsid w:val="00C11F2C"/>
    <w:rsid w:val="00C15EBA"/>
    <w:rsid w:val="00C23B45"/>
    <w:rsid w:val="00C24915"/>
    <w:rsid w:val="00C31911"/>
    <w:rsid w:val="00C349A5"/>
    <w:rsid w:val="00C4027F"/>
    <w:rsid w:val="00C40483"/>
    <w:rsid w:val="00C41A13"/>
    <w:rsid w:val="00C4280E"/>
    <w:rsid w:val="00C50F71"/>
    <w:rsid w:val="00C5749B"/>
    <w:rsid w:val="00C664AE"/>
    <w:rsid w:val="00C66ACE"/>
    <w:rsid w:val="00C73478"/>
    <w:rsid w:val="00C7786A"/>
    <w:rsid w:val="00C82CDC"/>
    <w:rsid w:val="00C90053"/>
    <w:rsid w:val="00C95981"/>
    <w:rsid w:val="00CA78D0"/>
    <w:rsid w:val="00CA7BCC"/>
    <w:rsid w:val="00CC09EB"/>
    <w:rsid w:val="00CC24D4"/>
    <w:rsid w:val="00CC3A70"/>
    <w:rsid w:val="00CC791E"/>
    <w:rsid w:val="00CD202B"/>
    <w:rsid w:val="00CD33A5"/>
    <w:rsid w:val="00CD4629"/>
    <w:rsid w:val="00CE6428"/>
    <w:rsid w:val="00CE6EB1"/>
    <w:rsid w:val="00CF0B02"/>
    <w:rsid w:val="00CF2BE5"/>
    <w:rsid w:val="00CF3854"/>
    <w:rsid w:val="00CF507B"/>
    <w:rsid w:val="00D02A34"/>
    <w:rsid w:val="00D16F70"/>
    <w:rsid w:val="00D2021D"/>
    <w:rsid w:val="00D20BA2"/>
    <w:rsid w:val="00D21D5D"/>
    <w:rsid w:val="00D23072"/>
    <w:rsid w:val="00D23CFF"/>
    <w:rsid w:val="00D24FCE"/>
    <w:rsid w:val="00D264DF"/>
    <w:rsid w:val="00D31ADC"/>
    <w:rsid w:val="00D32601"/>
    <w:rsid w:val="00D330A6"/>
    <w:rsid w:val="00D37A18"/>
    <w:rsid w:val="00D40049"/>
    <w:rsid w:val="00D41968"/>
    <w:rsid w:val="00D4650C"/>
    <w:rsid w:val="00D509D2"/>
    <w:rsid w:val="00D523FC"/>
    <w:rsid w:val="00D5285E"/>
    <w:rsid w:val="00D52A96"/>
    <w:rsid w:val="00D55192"/>
    <w:rsid w:val="00D60B26"/>
    <w:rsid w:val="00D60C0D"/>
    <w:rsid w:val="00D61DBA"/>
    <w:rsid w:val="00D61ED8"/>
    <w:rsid w:val="00D63BD8"/>
    <w:rsid w:val="00D6736C"/>
    <w:rsid w:val="00D673F3"/>
    <w:rsid w:val="00D72246"/>
    <w:rsid w:val="00D739D6"/>
    <w:rsid w:val="00D8054C"/>
    <w:rsid w:val="00D8066E"/>
    <w:rsid w:val="00D813F3"/>
    <w:rsid w:val="00D84245"/>
    <w:rsid w:val="00D8555B"/>
    <w:rsid w:val="00D85DA3"/>
    <w:rsid w:val="00D863CB"/>
    <w:rsid w:val="00D86E22"/>
    <w:rsid w:val="00D86EF6"/>
    <w:rsid w:val="00D91700"/>
    <w:rsid w:val="00D930CE"/>
    <w:rsid w:val="00D97D1B"/>
    <w:rsid w:val="00DA21B2"/>
    <w:rsid w:val="00DA3AE4"/>
    <w:rsid w:val="00DA50A1"/>
    <w:rsid w:val="00DA519C"/>
    <w:rsid w:val="00DA6B5B"/>
    <w:rsid w:val="00DB143C"/>
    <w:rsid w:val="00DB332D"/>
    <w:rsid w:val="00DB6CFA"/>
    <w:rsid w:val="00DC13F2"/>
    <w:rsid w:val="00DC5BB4"/>
    <w:rsid w:val="00DD4F1B"/>
    <w:rsid w:val="00DE6561"/>
    <w:rsid w:val="00DF5581"/>
    <w:rsid w:val="00DF576E"/>
    <w:rsid w:val="00E01C24"/>
    <w:rsid w:val="00E04436"/>
    <w:rsid w:val="00E048DA"/>
    <w:rsid w:val="00E04CEB"/>
    <w:rsid w:val="00E1194E"/>
    <w:rsid w:val="00E12B32"/>
    <w:rsid w:val="00E14213"/>
    <w:rsid w:val="00E14B2D"/>
    <w:rsid w:val="00E21415"/>
    <w:rsid w:val="00E26204"/>
    <w:rsid w:val="00E3016B"/>
    <w:rsid w:val="00E34E6C"/>
    <w:rsid w:val="00E354D6"/>
    <w:rsid w:val="00E36357"/>
    <w:rsid w:val="00E40A47"/>
    <w:rsid w:val="00E446FF"/>
    <w:rsid w:val="00E525D1"/>
    <w:rsid w:val="00E53B87"/>
    <w:rsid w:val="00E57714"/>
    <w:rsid w:val="00E61B2C"/>
    <w:rsid w:val="00E74E8D"/>
    <w:rsid w:val="00E80065"/>
    <w:rsid w:val="00E81FCD"/>
    <w:rsid w:val="00E91031"/>
    <w:rsid w:val="00E94BEB"/>
    <w:rsid w:val="00E950BD"/>
    <w:rsid w:val="00E96609"/>
    <w:rsid w:val="00EA2AC7"/>
    <w:rsid w:val="00EB591B"/>
    <w:rsid w:val="00EC03B2"/>
    <w:rsid w:val="00EC0ACD"/>
    <w:rsid w:val="00EC20F9"/>
    <w:rsid w:val="00ED26B7"/>
    <w:rsid w:val="00ED707B"/>
    <w:rsid w:val="00EE2ECB"/>
    <w:rsid w:val="00EE5257"/>
    <w:rsid w:val="00F07923"/>
    <w:rsid w:val="00F1682B"/>
    <w:rsid w:val="00F16F91"/>
    <w:rsid w:val="00F20AD3"/>
    <w:rsid w:val="00F23757"/>
    <w:rsid w:val="00F40C3B"/>
    <w:rsid w:val="00F40F9D"/>
    <w:rsid w:val="00F4770A"/>
    <w:rsid w:val="00F4774A"/>
    <w:rsid w:val="00F47F7D"/>
    <w:rsid w:val="00F5035A"/>
    <w:rsid w:val="00F508C4"/>
    <w:rsid w:val="00F547BA"/>
    <w:rsid w:val="00F66744"/>
    <w:rsid w:val="00F811E3"/>
    <w:rsid w:val="00F872F7"/>
    <w:rsid w:val="00F95149"/>
    <w:rsid w:val="00FA2251"/>
    <w:rsid w:val="00FA2A52"/>
    <w:rsid w:val="00FA435D"/>
    <w:rsid w:val="00FA5505"/>
    <w:rsid w:val="00FB0DA1"/>
    <w:rsid w:val="00FC4FE5"/>
    <w:rsid w:val="00FE7439"/>
    <w:rsid w:val="00FF002E"/>
    <w:rsid w:val="011C1B4B"/>
    <w:rsid w:val="011F33CD"/>
    <w:rsid w:val="01380C45"/>
    <w:rsid w:val="01391806"/>
    <w:rsid w:val="01550293"/>
    <w:rsid w:val="01734D39"/>
    <w:rsid w:val="01C21AE5"/>
    <w:rsid w:val="02255673"/>
    <w:rsid w:val="023963FF"/>
    <w:rsid w:val="024B788D"/>
    <w:rsid w:val="025F5076"/>
    <w:rsid w:val="026C7F56"/>
    <w:rsid w:val="02720C98"/>
    <w:rsid w:val="029370C7"/>
    <w:rsid w:val="029E0CDB"/>
    <w:rsid w:val="02A5798A"/>
    <w:rsid w:val="02CC0768"/>
    <w:rsid w:val="02E16ED5"/>
    <w:rsid w:val="02ED361E"/>
    <w:rsid w:val="02F656C1"/>
    <w:rsid w:val="0314419D"/>
    <w:rsid w:val="03376B2F"/>
    <w:rsid w:val="03406F5E"/>
    <w:rsid w:val="0342363C"/>
    <w:rsid w:val="03467098"/>
    <w:rsid w:val="03633FCC"/>
    <w:rsid w:val="038D72DF"/>
    <w:rsid w:val="03A27284"/>
    <w:rsid w:val="03B5557A"/>
    <w:rsid w:val="03BE79C2"/>
    <w:rsid w:val="03CE35CB"/>
    <w:rsid w:val="03D64DF2"/>
    <w:rsid w:val="03FD2A29"/>
    <w:rsid w:val="03FE52CF"/>
    <w:rsid w:val="040510A4"/>
    <w:rsid w:val="041026CE"/>
    <w:rsid w:val="04204165"/>
    <w:rsid w:val="04325783"/>
    <w:rsid w:val="044871BE"/>
    <w:rsid w:val="04593C3C"/>
    <w:rsid w:val="04716658"/>
    <w:rsid w:val="0476673E"/>
    <w:rsid w:val="048552F8"/>
    <w:rsid w:val="04A2687F"/>
    <w:rsid w:val="04AD1F01"/>
    <w:rsid w:val="04B3368A"/>
    <w:rsid w:val="04BD253A"/>
    <w:rsid w:val="050A5168"/>
    <w:rsid w:val="05550E2D"/>
    <w:rsid w:val="056B3C24"/>
    <w:rsid w:val="05A44566"/>
    <w:rsid w:val="05C4432F"/>
    <w:rsid w:val="05D07DCA"/>
    <w:rsid w:val="060F05B3"/>
    <w:rsid w:val="06143FA1"/>
    <w:rsid w:val="062B640B"/>
    <w:rsid w:val="06894CA3"/>
    <w:rsid w:val="068B5F77"/>
    <w:rsid w:val="06925B6D"/>
    <w:rsid w:val="06C26EFB"/>
    <w:rsid w:val="06D864CC"/>
    <w:rsid w:val="06D909FA"/>
    <w:rsid w:val="06F4316F"/>
    <w:rsid w:val="06FA1444"/>
    <w:rsid w:val="06FB02F8"/>
    <w:rsid w:val="06FC6897"/>
    <w:rsid w:val="07215155"/>
    <w:rsid w:val="073238F9"/>
    <w:rsid w:val="07335CA7"/>
    <w:rsid w:val="0747745C"/>
    <w:rsid w:val="07593FB1"/>
    <w:rsid w:val="07596B6C"/>
    <w:rsid w:val="076F78AC"/>
    <w:rsid w:val="078157D1"/>
    <w:rsid w:val="07CF65FF"/>
    <w:rsid w:val="07D15135"/>
    <w:rsid w:val="07E433CB"/>
    <w:rsid w:val="07E56838"/>
    <w:rsid w:val="07F570D1"/>
    <w:rsid w:val="082552E5"/>
    <w:rsid w:val="082B3DA9"/>
    <w:rsid w:val="08315D7E"/>
    <w:rsid w:val="08712944"/>
    <w:rsid w:val="08C66B0F"/>
    <w:rsid w:val="08EE067E"/>
    <w:rsid w:val="08FB19A4"/>
    <w:rsid w:val="08FB3435"/>
    <w:rsid w:val="09015CED"/>
    <w:rsid w:val="09103136"/>
    <w:rsid w:val="091D7921"/>
    <w:rsid w:val="091F66B7"/>
    <w:rsid w:val="09362AAF"/>
    <w:rsid w:val="096C4452"/>
    <w:rsid w:val="09813404"/>
    <w:rsid w:val="099224C2"/>
    <w:rsid w:val="09993138"/>
    <w:rsid w:val="09A0016F"/>
    <w:rsid w:val="09A202AD"/>
    <w:rsid w:val="09A94FEB"/>
    <w:rsid w:val="09D92C37"/>
    <w:rsid w:val="09EE4538"/>
    <w:rsid w:val="09FE0774"/>
    <w:rsid w:val="0A1F33AB"/>
    <w:rsid w:val="0A3D4F01"/>
    <w:rsid w:val="0A43061B"/>
    <w:rsid w:val="0A552B46"/>
    <w:rsid w:val="0A581C4D"/>
    <w:rsid w:val="0A636D3F"/>
    <w:rsid w:val="0A7950D7"/>
    <w:rsid w:val="0A912549"/>
    <w:rsid w:val="0AAE27CA"/>
    <w:rsid w:val="0AF1320B"/>
    <w:rsid w:val="0AF17010"/>
    <w:rsid w:val="0B325978"/>
    <w:rsid w:val="0B3E5287"/>
    <w:rsid w:val="0B8B73D1"/>
    <w:rsid w:val="0B973E91"/>
    <w:rsid w:val="0BAB070F"/>
    <w:rsid w:val="0BB0283D"/>
    <w:rsid w:val="0BBB7301"/>
    <w:rsid w:val="0BCB7666"/>
    <w:rsid w:val="0BFC08A9"/>
    <w:rsid w:val="0C404B6D"/>
    <w:rsid w:val="0C46506D"/>
    <w:rsid w:val="0C4D4EF2"/>
    <w:rsid w:val="0C52142A"/>
    <w:rsid w:val="0C6D40AD"/>
    <w:rsid w:val="0C7A0B07"/>
    <w:rsid w:val="0C7D0506"/>
    <w:rsid w:val="0C9238A7"/>
    <w:rsid w:val="0CC9377A"/>
    <w:rsid w:val="0CE65F5C"/>
    <w:rsid w:val="0CEB1CAC"/>
    <w:rsid w:val="0D1A6EAD"/>
    <w:rsid w:val="0D2B0CC3"/>
    <w:rsid w:val="0D523EEC"/>
    <w:rsid w:val="0D631E83"/>
    <w:rsid w:val="0D795B47"/>
    <w:rsid w:val="0D9C4FE1"/>
    <w:rsid w:val="0DA53787"/>
    <w:rsid w:val="0DB830F2"/>
    <w:rsid w:val="0DC12C53"/>
    <w:rsid w:val="0DD451C6"/>
    <w:rsid w:val="0DE46F59"/>
    <w:rsid w:val="0E053A23"/>
    <w:rsid w:val="0E175F85"/>
    <w:rsid w:val="0E1A3232"/>
    <w:rsid w:val="0E6E1FAD"/>
    <w:rsid w:val="0E7A3FA8"/>
    <w:rsid w:val="0E9E01A5"/>
    <w:rsid w:val="0EC11AEA"/>
    <w:rsid w:val="0F192865"/>
    <w:rsid w:val="0F1F0F16"/>
    <w:rsid w:val="0F2913B8"/>
    <w:rsid w:val="0F2A60F9"/>
    <w:rsid w:val="0F360424"/>
    <w:rsid w:val="0F5831AD"/>
    <w:rsid w:val="0F596035"/>
    <w:rsid w:val="0F7F0EF9"/>
    <w:rsid w:val="0F8643C8"/>
    <w:rsid w:val="0F970C16"/>
    <w:rsid w:val="0FC51C5B"/>
    <w:rsid w:val="0FD6660F"/>
    <w:rsid w:val="0FDB7A2F"/>
    <w:rsid w:val="0FE9742C"/>
    <w:rsid w:val="0FF7696F"/>
    <w:rsid w:val="0FFD3487"/>
    <w:rsid w:val="100D0BAA"/>
    <w:rsid w:val="103F61FB"/>
    <w:rsid w:val="10564FC5"/>
    <w:rsid w:val="106C1DE0"/>
    <w:rsid w:val="108937EC"/>
    <w:rsid w:val="10997A37"/>
    <w:rsid w:val="10BE3BEC"/>
    <w:rsid w:val="10BE76B9"/>
    <w:rsid w:val="11193AC1"/>
    <w:rsid w:val="1137099C"/>
    <w:rsid w:val="113D31BD"/>
    <w:rsid w:val="11452DE3"/>
    <w:rsid w:val="11595AEB"/>
    <w:rsid w:val="116E43FC"/>
    <w:rsid w:val="1184339C"/>
    <w:rsid w:val="11A90675"/>
    <w:rsid w:val="11B5219D"/>
    <w:rsid w:val="12271C6A"/>
    <w:rsid w:val="122D1F2F"/>
    <w:rsid w:val="12301BDC"/>
    <w:rsid w:val="123861DF"/>
    <w:rsid w:val="123F6E4A"/>
    <w:rsid w:val="12423403"/>
    <w:rsid w:val="12922A85"/>
    <w:rsid w:val="12932D51"/>
    <w:rsid w:val="129912C1"/>
    <w:rsid w:val="12A13F4A"/>
    <w:rsid w:val="12D9642F"/>
    <w:rsid w:val="12E73A02"/>
    <w:rsid w:val="12E94609"/>
    <w:rsid w:val="12EE73D0"/>
    <w:rsid w:val="130D65BB"/>
    <w:rsid w:val="132A7A92"/>
    <w:rsid w:val="135037EB"/>
    <w:rsid w:val="135757F5"/>
    <w:rsid w:val="13683567"/>
    <w:rsid w:val="137F4E4D"/>
    <w:rsid w:val="139C2E50"/>
    <w:rsid w:val="139C423C"/>
    <w:rsid w:val="13BE14CF"/>
    <w:rsid w:val="14082AAE"/>
    <w:rsid w:val="14761934"/>
    <w:rsid w:val="1493244B"/>
    <w:rsid w:val="14933133"/>
    <w:rsid w:val="14F11BE1"/>
    <w:rsid w:val="150A61A4"/>
    <w:rsid w:val="150B2B45"/>
    <w:rsid w:val="151762C4"/>
    <w:rsid w:val="152775F9"/>
    <w:rsid w:val="152C403C"/>
    <w:rsid w:val="15365590"/>
    <w:rsid w:val="155B33AF"/>
    <w:rsid w:val="155E369E"/>
    <w:rsid w:val="158540DD"/>
    <w:rsid w:val="158F698D"/>
    <w:rsid w:val="159077EE"/>
    <w:rsid w:val="15A725B4"/>
    <w:rsid w:val="162C478D"/>
    <w:rsid w:val="167A6EE1"/>
    <w:rsid w:val="168B106C"/>
    <w:rsid w:val="168F788A"/>
    <w:rsid w:val="16937499"/>
    <w:rsid w:val="169E4C62"/>
    <w:rsid w:val="169E6C73"/>
    <w:rsid w:val="16E21383"/>
    <w:rsid w:val="16EE4D8D"/>
    <w:rsid w:val="16F7073B"/>
    <w:rsid w:val="170C2A11"/>
    <w:rsid w:val="171218BF"/>
    <w:rsid w:val="172E4372"/>
    <w:rsid w:val="17716DCB"/>
    <w:rsid w:val="17A15E8D"/>
    <w:rsid w:val="17D900FC"/>
    <w:rsid w:val="17E5449F"/>
    <w:rsid w:val="17EC6088"/>
    <w:rsid w:val="17FF3E78"/>
    <w:rsid w:val="18234875"/>
    <w:rsid w:val="1864109F"/>
    <w:rsid w:val="187301E8"/>
    <w:rsid w:val="187F72BD"/>
    <w:rsid w:val="18B05AB3"/>
    <w:rsid w:val="18B12C39"/>
    <w:rsid w:val="18BA6132"/>
    <w:rsid w:val="18E616BD"/>
    <w:rsid w:val="18F00A9C"/>
    <w:rsid w:val="18FB62CE"/>
    <w:rsid w:val="19002A77"/>
    <w:rsid w:val="19712C8F"/>
    <w:rsid w:val="198A0A74"/>
    <w:rsid w:val="19A741F4"/>
    <w:rsid w:val="19A74B16"/>
    <w:rsid w:val="19BD559E"/>
    <w:rsid w:val="19BF30E4"/>
    <w:rsid w:val="19C525B4"/>
    <w:rsid w:val="19D053A5"/>
    <w:rsid w:val="19D90C8C"/>
    <w:rsid w:val="19E77780"/>
    <w:rsid w:val="1A180187"/>
    <w:rsid w:val="1A277E78"/>
    <w:rsid w:val="1A3801B5"/>
    <w:rsid w:val="1A393AF1"/>
    <w:rsid w:val="1A526D38"/>
    <w:rsid w:val="1A667B51"/>
    <w:rsid w:val="1A846B3C"/>
    <w:rsid w:val="1AAB12DF"/>
    <w:rsid w:val="1AC43989"/>
    <w:rsid w:val="1AE6541E"/>
    <w:rsid w:val="1B1425D4"/>
    <w:rsid w:val="1B155FFD"/>
    <w:rsid w:val="1B402A55"/>
    <w:rsid w:val="1B6B5962"/>
    <w:rsid w:val="1B8E43E1"/>
    <w:rsid w:val="1B996F7A"/>
    <w:rsid w:val="1BB033C0"/>
    <w:rsid w:val="1BB905CA"/>
    <w:rsid w:val="1BB97074"/>
    <w:rsid w:val="1BD42381"/>
    <w:rsid w:val="1BF666F7"/>
    <w:rsid w:val="1C0376A9"/>
    <w:rsid w:val="1C352691"/>
    <w:rsid w:val="1C3C2C49"/>
    <w:rsid w:val="1C46561A"/>
    <w:rsid w:val="1C583D58"/>
    <w:rsid w:val="1C741799"/>
    <w:rsid w:val="1C976027"/>
    <w:rsid w:val="1CB373FC"/>
    <w:rsid w:val="1CB42226"/>
    <w:rsid w:val="1CC11963"/>
    <w:rsid w:val="1CFF7226"/>
    <w:rsid w:val="1D0F3782"/>
    <w:rsid w:val="1D375495"/>
    <w:rsid w:val="1D5C5BEF"/>
    <w:rsid w:val="1D6F2478"/>
    <w:rsid w:val="1DBC198B"/>
    <w:rsid w:val="1DCE386D"/>
    <w:rsid w:val="1DF319BC"/>
    <w:rsid w:val="1E077263"/>
    <w:rsid w:val="1E447513"/>
    <w:rsid w:val="1E625FC7"/>
    <w:rsid w:val="1E79088D"/>
    <w:rsid w:val="1EA02CCB"/>
    <w:rsid w:val="1EA53280"/>
    <w:rsid w:val="1F2532ED"/>
    <w:rsid w:val="1F4413C4"/>
    <w:rsid w:val="1F5336B8"/>
    <w:rsid w:val="1F58729C"/>
    <w:rsid w:val="1F613645"/>
    <w:rsid w:val="1F7A32C0"/>
    <w:rsid w:val="1F9D516C"/>
    <w:rsid w:val="1FF41D4F"/>
    <w:rsid w:val="1FFB5125"/>
    <w:rsid w:val="20046DF4"/>
    <w:rsid w:val="201261E5"/>
    <w:rsid w:val="20584083"/>
    <w:rsid w:val="205F62C2"/>
    <w:rsid w:val="208F4B9E"/>
    <w:rsid w:val="20A40058"/>
    <w:rsid w:val="20CC7A2F"/>
    <w:rsid w:val="20CF37AF"/>
    <w:rsid w:val="20D94630"/>
    <w:rsid w:val="20E436DD"/>
    <w:rsid w:val="20F40FA1"/>
    <w:rsid w:val="21025613"/>
    <w:rsid w:val="21180122"/>
    <w:rsid w:val="21241857"/>
    <w:rsid w:val="218A6D21"/>
    <w:rsid w:val="218E342C"/>
    <w:rsid w:val="21930149"/>
    <w:rsid w:val="21B06551"/>
    <w:rsid w:val="21CF79E5"/>
    <w:rsid w:val="21DF2183"/>
    <w:rsid w:val="21E2253A"/>
    <w:rsid w:val="21ED7819"/>
    <w:rsid w:val="21F532B8"/>
    <w:rsid w:val="220940AD"/>
    <w:rsid w:val="221148DD"/>
    <w:rsid w:val="222C02AA"/>
    <w:rsid w:val="224710EE"/>
    <w:rsid w:val="225E5E41"/>
    <w:rsid w:val="22D01E29"/>
    <w:rsid w:val="23007D7C"/>
    <w:rsid w:val="230B30C5"/>
    <w:rsid w:val="23186C79"/>
    <w:rsid w:val="239E66C2"/>
    <w:rsid w:val="23D531F5"/>
    <w:rsid w:val="23DF77B4"/>
    <w:rsid w:val="23EA7CFA"/>
    <w:rsid w:val="23EF0B7C"/>
    <w:rsid w:val="23F55045"/>
    <w:rsid w:val="23F66E49"/>
    <w:rsid w:val="240750AB"/>
    <w:rsid w:val="242E7C30"/>
    <w:rsid w:val="24395BDE"/>
    <w:rsid w:val="24397886"/>
    <w:rsid w:val="243C0FB3"/>
    <w:rsid w:val="244A407E"/>
    <w:rsid w:val="244F54A0"/>
    <w:rsid w:val="249B5864"/>
    <w:rsid w:val="24A468C4"/>
    <w:rsid w:val="250A47A5"/>
    <w:rsid w:val="254C7941"/>
    <w:rsid w:val="25693BC7"/>
    <w:rsid w:val="256C655A"/>
    <w:rsid w:val="256E4ED7"/>
    <w:rsid w:val="25812DAF"/>
    <w:rsid w:val="258B6430"/>
    <w:rsid w:val="259C1015"/>
    <w:rsid w:val="25B31C90"/>
    <w:rsid w:val="25DE628A"/>
    <w:rsid w:val="25E93E9C"/>
    <w:rsid w:val="25EE7FBB"/>
    <w:rsid w:val="26057846"/>
    <w:rsid w:val="261B3668"/>
    <w:rsid w:val="26202593"/>
    <w:rsid w:val="26464556"/>
    <w:rsid w:val="26862B83"/>
    <w:rsid w:val="26CB080D"/>
    <w:rsid w:val="26D73AE1"/>
    <w:rsid w:val="26D809B6"/>
    <w:rsid w:val="26E4095C"/>
    <w:rsid w:val="272A4E71"/>
    <w:rsid w:val="272C4A21"/>
    <w:rsid w:val="273A5C3F"/>
    <w:rsid w:val="273B6ADE"/>
    <w:rsid w:val="275554D5"/>
    <w:rsid w:val="279D398E"/>
    <w:rsid w:val="27B80983"/>
    <w:rsid w:val="27CD66DB"/>
    <w:rsid w:val="27F70507"/>
    <w:rsid w:val="2817327F"/>
    <w:rsid w:val="28395610"/>
    <w:rsid w:val="284B7976"/>
    <w:rsid w:val="28676D94"/>
    <w:rsid w:val="287F2EC6"/>
    <w:rsid w:val="289C400E"/>
    <w:rsid w:val="28BF6579"/>
    <w:rsid w:val="28D90011"/>
    <w:rsid w:val="28E22C2F"/>
    <w:rsid w:val="28F65342"/>
    <w:rsid w:val="292A65D8"/>
    <w:rsid w:val="29322093"/>
    <w:rsid w:val="293B36DC"/>
    <w:rsid w:val="29423CBE"/>
    <w:rsid w:val="297476BF"/>
    <w:rsid w:val="29870B96"/>
    <w:rsid w:val="29E04A1D"/>
    <w:rsid w:val="2A1B6413"/>
    <w:rsid w:val="2A767254"/>
    <w:rsid w:val="2A846F27"/>
    <w:rsid w:val="2A886FF1"/>
    <w:rsid w:val="2AB57E9E"/>
    <w:rsid w:val="2AD84DC3"/>
    <w:rsid w:val="2AD872B4"/>
    <w:rsid w:val="2AEF2C7F"/>
    <w:rsid w:val="2AFC7CED"/>
    <w:rsid w:val="2AFE7725"/>
    <w:rsid w:val="2B0706DE"/>
    <w:rsid w:val="2B32082B"/>
    <w:rsid w:val="2B4B2633"/>
    <w:rsid w:val="2B575859"/>
    <w:rsid w:val="2B5A5DEA"/>
    <w:rsid w:val="2BB71DD4"/>
    <w:rsid w:val="2C057206"/>
    <w:rsid w:val="2C07741C"/>
    <w:rsid w:val="2C4151B7"/>
    <w:rsid w:val="2C46687F"/>
    <w:rsid w:val="2C562B05"/>
    <w:rsid w:val="2C5E32BD"/>
    <w:rsid w:val="2C6D1F78"/>
    <w:rsid w:val="2C9E175F"/>
    <w:rsid w:val="2CA52151"/>
    <w:rsid w:val="2CA87275"/>
    <w:rsid w:val="2CDD4A0E"/>
    <w:rsid w:val="2CE9341F"/>
    <w:rsid w:val="2D0D48D4"/>
    <w:rsid w:val="2D2710C4"/>
    <w:rsid w:val="2D2D3275"/>
    <w:rsid w:val="2D497DF2"/>
    <w:rsid w:val="2D663E7F"/>
    <w:rsid w:val="2D8518F4"/>
    <w:rsid w:val="2D8661EA"/>
    <w:rsid w:val="2D8B72BF"/>
    <w:rsid w:val="2DA76189"/>
    <w:rsid w:val="2DEA41FB"/>
    <w:rsid w:val="2E090714"/>
    <w:rsid w:val="2E194A59"/>
    <w:rsid w:val="2E1A4EAC"/>
    <w:rsid w:val="2E2744B0"/>
    <w:rsid w:val="2EB11D52"/>
    <w:rsid w:val="2EB71FA8"/>
    <w:rsid w:val="2EC42D2F"/>
    <w:rsid w:val="2EFD7A07"/>
    <w:rsid w:val="2F095137"/>
    <w:rsid w:val="2F1D714F"/>
    <w:rsid w:val="2F335304"/>
    <w:rsid w:val="2F6F00BF"/>
    <w:rsid w:val="2F763A70"/>
    <w:rsid w:val="2F82488D"/>
    <w:rsid w:val="2F9154D6"/>
    <w:rsid w:val="2FA64B80"/>
    <w:rsid w:val="2FAF543E"/>
    <w:rsid w:val="2FC371AB"/>
    <w:rsid w:val="2FD34B5B"/>
    <w:rsid w:val="3018109B"/>
    <w:rsid w:val="30235A50"/>
    <w:rsid w:val="302A727F"/>
    <w:rsid w:val="303E5A10"/>
    <w:rsid w:val="304D6F7E"/>
    <w:rsid w:val="30561B0B"/>
    <w:rsid w:val="306E189E"/>
    <w:rsid w:val="307008BB"/>
    <w:rsid w:val="3070414A"/>
    <w:rsid w:val="307837AF"/>
    <w:rsid w:val="30873FAB"/>
    <w:rsid w:val="30AB1E19"/>
    <w:rsid w:val="30E078FE"/>
    <w:rsid w:val="310C1815"/>
    <w:rsid w:val="31114F97"/>
    <w:rsid w:val="312471E7"/>
    <w:rsid w:val="31782CAF"/>
    <w:rsid w:val="31DF7A93"/>
    <w:rsid w:val="31FA2350"/>
    <w:rsid w:val="3207269E"/>
    <w:rsid w:val="32365EB8"/>
    <w:rsid w:val="324B2A14"/>
    <w:rsid w:val="325F7707"/>
    <w:rsid w:val="326B6899"/>
    <w:rsid w:val="326F0CAF"/>
    <w:rsid w:val="327015D3"/>
    <w:rsid w:val="32933712"/>
    <w:rsid w:val="32B07654"/>
    <w:rsid w:val="32C13380"/>
    <w:rsid w:val="32E77493"/>
    <w:rsid w:val="332924F5"/>
    <w:rsid w:val="335E5CD2"/>
    <w:rsid w:val="33726344"/>
    <w:rsid w:val="337F0E2B"/>
    <w:rsid w:val="339A7D0A"/>
    <w:rsid w:val="33C66C8F"/>
    <w:rsid w:val="33C803EC"/>
    <w:rsid w:val="33C96759"/>
    <w:rsid w:val="33D07485"/>
    <w:rsid w:val="33DF4510"/>
    <w:rsid w:val="3401164F"/>
    <w:rsid w:val="34022123"/>
    <w:rsid w:val="343A7E40"/>
    <w:rsid w:val="343C732F"/>
    <w:rsid w:val="343F0519"/>
    <w:rsid w:val="34777188"/>
    <w:rsid w:val="347A2C1E"/>
    <w:rsid w:val="34827ADC"/>
    <w:rsid w:val="34856DB9"/>
    <w:rsid w:val="34A03DA1"/>
    <w:rsid w:val="34C05C2C"/>
    <w:rsid w:val="34E03C50"/>
    <w:rsid w:val="350E432D"/>
    <w:rsid w:val="3522062B"/>
    <w:rsid w:val="352660D9"/>
    <w:rsid w:val="353B029B"/>
    <w:rsid w:val="35410549"/>
    <w:rsid w:val="3554290A"/>
    <w:rsid w:val="357E6FD1"/>
    <w:rsid w:val="358D5123"/>
    <w:rsid w:val="360E412D"/>
    <w:rsid w:val="364A24B6"/>
    <w:rsid w:val="36647EB9"/>
    <w:rsid w:val="36697252"/>
    <w:rsid w:val="367C1894"/>
    <w:rsid w:val="368A57DF"/>
    <w:rsid w:val="36A56119"/>
    <w:rsid w:val="36B167E4"/>
    <w:rsid w:val="36BD28DB"/>
    <w:rsid w:val="36C97071"/>
    <w:rsid w:val="36D27F85"/>
    <w:rsid w:val="36D50DB9"/>
    <w:rsid w:val="36F47289"/>
    <w:rsid w:val="370666B6"/>
    <w:rsid w:val="37220FC2"/>
    <w:rsid w:val="372F6108"/>
    <w:rsid w:val="377214E8"/>
    <w:rsid w:val="37862E84"/>
    <w:rsid w:val="37AA5CCC"/>
    <w:rsid w:val="37AF3FEE"/>
    <w:rsid w:val="37F07439"/>
    <w:rsid w:val="37FF7451"/>
    <w:rsid w:val="381A11ED"/>
    <w:rsid w:val="384523F2"/>
    <w:rsid w:val="385F3CC8"/>
    <w:rsid w:val="38A31056"/>
    <w:rsid w:val="38D14BAE"/>
    <w:rsid w:val="38D94FF8"/>
    <w:rsid w:val="38FF73E9"/>
    <w:rsid w:val="392F3EDF"/>
    <w:rsid w:val="398F43C6"/>
    <w:rsid w:val="399177DC"/>
    <w:rsid w:val="39994E95"/>
    <w:rsid w:val="39A105E9"/>
    <w:rsid w:val="39AB2A00"/>
    <w:rsid w:val="39C656D7"/>
    <w:rsid w:val="39E319A4"/>
    <w:rsid w:val="39E43EB9"/>
    <w:rsid w:val="39FA244A"/>
    <w:rsid w:val="3A061A3B"/>
    <w:rsid w:val="3A0636E9"/>
    <w:rsid w:val="3A2C3E02"/>
    <w:rsid w:val="3A7D39C5"/>
    <w:rsid w:val="3AAD7671"/>
    <w:rsid w:val="3AD60D98"/>
    <w:rsid w:val="3AFD0385"/>
    <w:rsid w:val="3B001CCA"/>
    <w:rsid w:val="3B0332E7"/>
    <w:rsid w:val="3B0911E6"/>
    <w:rsid w:val="3B1C57B2"/>
    <w:rsid w:val="3B305869"/>
    <w:rsid w:val="3B3B1C9B"/>
    <w:rsid w:val="3B496345"/>
    <w:rsid w:val="3B6A1A68"/>
    <w:rsid w:val="3B6B5099"/>
    <w:rsid w:val="3B87005B"/>
    <w:rsid w:val="3B902053"/>
    <w:rsid w:val="3BAD25DA"/>
    <w:rsid w:val="3BBD2733"/>
    <w:rsid w:val="3BC66196"/>
    <w:rsid w:val="3BCC197B"/>
    <w:rsid w:val="3BD92149"/>
    <w:rsid w:val="3BF1547D"/>
    <w:rsid w:val="3C1E0393"/>
    <w:rsid w:val="3C2577C6"/>
    <w:rsid w:val="3C364171"/>
    <w:rsid w:val="3C60704F"/>
    <w:rsid w:val="3C744C18"/>
    <w:rsid w:val="3CAC1FA7"/>
    <w:rsid w:val="3CC750D9"/>
    <w:rsid w:val="3CD4535C"/>
    <w:rsid w:val="3CD47E60"/>
    <w:rsid w:val="3CE92652"/>
    <w:rsid w:val="3D304760"/>
    <w:rsid w:val="3D4B5F1A"/>
    <w:rsid w:val="3D5D315C"/>
    <w:rsid w:val="3D735430"/>
    <w:rsid w:val="3D794BE3"/>
    <w:rsid w:val="3DCF2323"/>
    <w:rsid w:val="3DDF7630"/>
    <w:rsid w:val="3E123ED2"/>
    <w:rsid w:val="3E292D05"/>
    <w:rsid w:val="3E2E4EC5"/>
    <w:rsid w:val="3E603030"/>
    <w:rsid w:val="3E92361A"/>
    <w:rsid w:val="3E941F30"/>
    <w:rsid w:val="3E9D1661"/>
    <w:rsid w:val="3EA57E41"/>
    <w:rsid w:val="3EAF6883"/>
    <w:rsid w:val="3EC7742B"/>
    <w:rsid w:val="3EDF43A1"/>
    <w:rsid w:val="3EF34430"/>
    <w:rsid w:val="3F495391"/>
    <w:rsid w:val="3F587059"/>
    <w:rsid w:val="3F8E3458"/>
    <w:rsid w:val="3FAC5D6A"/>
    <w:rsid w:val="3FF664DD"/>
    <w:rsid w:val="40076DAF"/>
    <w:rsid w:val="40551718"/>
    <w:rsid w:val="40BF4E05"/>
    <w:rsid w:val="411F25C7"/>
    <w:rsid w:val="41D3417C"/>
    <w:rsid w:val="41DC634A"/>
    <w:rsid w:val="42493F55"/>
    <w:rsid w:val="42557857"/>
    <w:rsid w:val="425C413F"/>
    <w:rsid w:val="4260284A"/>
    <w:rsid w:val="42817A5C"/>
    <w:rsid w:val="42B809A5"/>
    <w:rsid w:val="42C20897"/>
    <w:rsid w:val="42C2516F"/>
    <w:rsid w:val="42D83A36"/>
    <w:rsid w:val="42F71237"/>
    <w:rsid w:val="4323183B"/>
    <w:rsid w:val="43432ECC"/>
    <w:rsid w:val="437C019B"/>
    <w:rsid w:val="438216A4"/>
    <w:rsid w:val="43A51688"/>
    <w:rsid w:val="43BB59F2"/>
    <w:rsid w:val="43D76BD2"/>
    <w:rsid w:val="440D2682"/>
    <w:rsid w:val="441C78B8"/>
    <w:rsid w:val="445D1832"/>
    <w:rsid w:val="446332EA"/>
    <w:rsid w:val="44944E80"/>
    <w:rsid w:val="44D51E4A"/>
    <w:rsid w:val="44EF0953"/>
    <w:rsid w:val="44F608DF"/>
    <w:rsid w:val="45320E4E"/>
    <w:rsid w:val="454F78C2"/>
    <w:rsid w:val="4554231A"/>
    <w:rsid w:val="457A458F"/>
    <w:rsid w:val="45854404"/>
    <w:rsid w:val="459F0EDF"/>
    <w:rsid w:val="45A75D52"/>
    <w:rsid w:val="45AD537D"/>
    <w:rsid w:val="45C35A65"/>
    <w:rsid w:val="45C949EF"/>
    <w:rsid w:val="45D149DF"/>
    <w:rsid w:val="45E365E3"/>
    <w:rsid w:val="45F66D93"/>
    <w:rsid w:val="45FB5B2D"/>
    <w:rsid w:val="46190610"/>
    <w:rsid w:val="464B5DC3"/>
    <w:rsid w:val="465848A1"/>
    <w:rsid w:val="4666290D"/>
    <w:rsid w:val="466D2592"/>
    <w:rsid w:val="469429F8"/>
    <w:rsid w:val="469F6918"/>
    <w:rsid w:val="46C7392C"/>
    <w:rsid w:val="46DE7CD6"/>
    <w:rsid w:val="46F6477A"/>
    <w:rsid w:val="46FE6849"/>
    <w:rsid w:val="471805EA"/>
    <w:rsid w:val="471A2A66"/>
    <w:rsid w:val="471C03F9"/>
    <w:rsid w:val="472D26D6"/>
    <w:rsid w:val="473145F6"/>
    <w:rsid w:val="473B56EE"/>
    <w:rsid w:val="47415BA7"/>
    <w:rsid w:val="4742580A"/>
    <w:rsid w:val="47563AFE"/>
    <w:rsid w:val="475C14A6"/>
    <w:rsid w:val="476A59FF"/>
    <w:rsid w:val="47731BD0"/>
    <w:rsid w:val="47785046"/>
    <w:rsid w:val="4781333C"/>
    <w:rsid w:val="4791240D"/>
    <w:rsid w:val="47AB0DF7"/>
    <w:rsid w:val="47B47F78"/>
    <w:rsid w:val="47DB3AD2"/>
    <w:rsid w:val="481276E8"/>
    <w:rsid w:val="481B3258"/>
    <w:rsid w:val="48554282"/>
    <w:rsid w:val="486726B7"/>
    <w:rsid w:val="486A78E9"/>
    <w:rsid w:val="4871662B"/>
    <w:rsid w:val="48895761"/>
    <w:rsid w:val="48977A58"/>
    <w:rsid w:val="48A36C7C"/>
    <w:rsid w:val="48F06E9C"/>
    <w:rsid w:val="49014E2B"/>
    <w:rsid w:val="490913F6"/>
    <w:rsid w:val="49710197"/>
    <w:rsid w:val="49802A51"/>
    <w:rsid w:val="49975C79"/>
    <w:rsid w:val="49BD0AEA"/>
    <w:rsid w:val="49BE28CA"/>
    <w:rsid w:val="49C35B92"/>
    <w:rsid w:val="49FB02FC"/>
    <w:rsid w:val="4A0324B3"/>
    <w:rsid w:val="4A08255B"/>
    <w:rsid w:val="4A6E3956"/>
    <w:rsid w:val="4A8571F4"/>
    <w:rsid w:val="4A873352"/>
    <w:rsid w:val="4AB3145E"/>
    <w:rsid w:val="4AB42320"/>
    <w:rsid w:val="4AC71EB0"/>
    <w:rsid w:val="4AD25863"/>
    <w:rsid w:val="4B6551FB"/>
    <w:rsid w:val="4B96350F"/>
    <w:rsid w:val="4B9A6686"/>
    <w:rsid w:val="4BBA2890"/>
    <w:rsid w:val="4BD62F9A"/>
    <w:rsid w:val="4BFC52F4"/>
    <w:rsid w:val="4BFD56FB"/>
    <w:rsid w:val="4C0D09E6"/>
    <w:rsid w:val="4C0E5FCB"/>
    <w:rsid w:val="4C1F2E7F"/>
    <w:rsid w:val="4C3D3DF8"/>
    <w:rsid w:val="4C3E44E4"/>
    <w:rsid w:val="4C5A702F"/>
    <w:rsid w:val="4C730EA7"/>
    <w:rsid w:val="4CA42BB5"/>
    <w:rsid w:val="4CAF36BC"/>
    <w:rsid w:val="4CD25AC5"/>
    <w:rsid w:val="4CEC603F"/>
    <w:rsid w:val="4CF21890"/>
    <w:rsid w:val="4D134BD5"/>
    <w:rsid w:val="4D147203"/>
    <w:rsid w:val="4D231310"/>
    <w:rsid w:val="4D2E60E3"/>
    <w:rsid w:val="4D303CCD"/>
    <w:rsid w:val="4D754416"/>
    <w:rsid w:val="4D812256"/>
    <w:rsid w:val="4D87560F"/>
    <w:rsid w:val="4D9E2C43"/>
    <w:rsid w:val="4DBE32EF"/>
    <w:rsid w:val="4DDB3621"/>
    <w:rsid w:val="4DF35554"/>
    <w:rsid w:val="4E6B6E41"/>
    <w:rsid w:val="4E7F7D35"/>
    <w:rsid w:val="4E9253A6"/>
    <w:rsid w:val="4EC454A1"/>
    <w:rsid w:val="4EDF1038"/>
    <w:rsid w:val="4EF91953"/>
    <w:rsid w:val="4F6B03BF"/>
    <w:rsid w:val="4F843D25"/>
    <w:rsid w:val="4FB37D58"/>
    <w:rsid w:val="4FC93118"/>
    <w:rsid w:val="4FCC508E"/>
    <w:rsid w:val="4FF31BBA"/>
    <w:rsid w:val="5007302C"/>
    <w:rsid w:val="5031768D"/>
    <w:rsid w:val="504E44A1"/>
    <w:rsid w:val="50AF7B2F"/>
    <w:rsid w:val="50DA14F7"/>
    <w:rsid w:val="50DE7320"/>
    <w:rsid w:val="50E177A6"/>
    <w:rsid w:val="51151F25"/>
    <w:rsid w:val="51196930"/>
    <w:rsid w:val="51237D2E"/>
    <w:rsid w:val="51512233"/>
    <w:rsid w:val="51935A63"/>
    <w:rsid w:val="51937DEA"/>
    <w:rsid w:val="519E1B03"/>
    <w:rsid w:val="51A8518B"/>
    <w:rsid w:val="51CD01CB"/>
    <w:rsid w:val="51E23031"/>
    <w:rsid w:val="51E60C5B"/>
    <w:rsid w:val="51E717F1"/>
    <w:rsid w:val="51FF7A45"/>
    <w:rsid w:val="520410A5"/>
    <w:rsid w:val="5251752C"/>
    <w:rsid w:val="525967BF"/>
    <w:rsid w:val="525E649B"/>
    <w:rsid w:val="5269418D"/>
    <w:rsid w:val="5279675E"/>
    <w:rsid w:val="52B15409"/>
    <w:rsid w:val="52DE4579"/>
    <w:rsid w:val="531E4C24"/>
    <w:rsid w:val="533A0663"/>
    <w:rsid w:val="53612521"/>
    <w:rsid w:val="539443E3"/>
    <w:rsid w:val="53A768F2"/>
    <w:rsid w:val="53F14C59"/>
    <w:rsid w:val="53F3657F"/>
    <w:rsid w:val="54103BF9"/>
    <w:rsid w:val="54160288"/>
    <w:rsid w:val="543419E9"/>
    <w:rsid w:val="548475FE"/>
    <w:rsid w:val="548B6C5C"/>
    <w:rsid w:val="54C73FBF"/>
    <w:rsid w:val="54D413B8"/>
    <w:rsid w:val="54E766AF"/>
    <w:rsid w:val="55852ADB"/>
    <w:rsid w:val="558624F4"/>
    <w:rsid w:val="55965550"/>
    <w:rsid w:val="559F5B7A"/>
    <w:rsid w:val="55C077CA"/>
    <w:rsid w:val="55D1587F"/>
    <w:rsid w:val="55D4502F"/>
    <w:rsid w:val="55EF0CE8"/>
    <w:rsid w:val="55F31C41"/>
    <w:rsid w:val="55F47291"/>
    <w:rsid w:val="56091739"/>
    <w:rsid w:val="565E68F9"/>
    <w:rsid w:val="566442D9"/>
    <w:rsid w:val="56686B67"/>
    <w:rsid w:val="56EC69FC"/>
    <w:rsid w:val="57074F18"/>
    <w:rsid w:val="571651EF"/>
    <w:rsid w:val="573E3DB0"/>
    <w:rsid w:val="574127B6"/>
    <w:rsid w:val="57443494"/>
    <w:rsid w:val="574F6831"/>
    <w:rsid w:val="57874D27"/>
    <w:rsid w:val="57DC6531"/>
    <w:rsid w:val="58154293"/>
    <w:rsid w:val="585F19CC"/>
    <w:rsid w:val="585F66A5"/>
    <w:rsid w:val="58982D68"/>
    <w:rsid w:val="58AE61CC"/>
    <w:rsid w:val="58AF2E9F"/>
    <w:rsid w:val="58D4319A"/>
    <w:rsid w:val="5903488B"/>
    <w:rsid w:val="591D5698"/>
    <w:rsid w:val="592A208F"/>
    <w:rsid w:val="592F6FA9"/>
    <w:rsid w:val="59407485"/>
    <w:rsid w:val="594076DC"/>
    <w:rsid w:val="59476A66"/>
    <w:rsid w:val="598451C7"/>
    <w:rsid w:val="59961E40"/>
    <w:rsid w:val="59A6736A"/>
    <w:rsid w:val="59AF2530"/>
    <w:rsid w:val="59C81783"/>
    <w:rsid w:val="59D26CD0"/>
    <w:rsid w:val="59DF7D2A"/>
    <w:rsid w:val="5A0A5710"/>
    <w:rsid w:val="5A0E1B4B"/>
    <w:rsid w:val="5A21156A"/>
    <w:rsid w:val="5A221942"/>
    <w:rsid w:val="5A2C4568"/>
    <w:rsid w:val="5A5E224A"/>
    <w:rsid w:val="5A8137AF"/>
    <w:rsid w:val="5AAC69E7"/>
    <w:rsid w:val="5ABA1897"/>
    <w:rsid w:val="5B556B4B"/>
    <w:rsid w:val="5B763405"/>
    <w:rsid w:val="5BA15428"/>
    <w:rsid w:val="5BB23B5A"/>
    <w:rsid w:val="5BC14D25"/>
    <w:rsid w:val="5BDB5BEC"/>
    <w:rsid w:val="5BE0492F"/>
    <w:rsid w:val="5BEA5DCE"/>
    <w:rsid w:val="5C08720C"/>
    <w:rsid w:val="5C116A97"/>
    <w:rsid w:val="5C427E37"/>
    <w:rsid w:val="5C533FFE"/>
    <w:rsid w:val="5C602C23"/>
    <w:rsid w:val="5C6F4841"/>
    <w:rsid w:val="5C7D5081"/>
    <w:rsid w:val="5C82091C"/>
    <w:rsid w:val="5C8735BF"/>
    <w:rsid w:val="5C883263"/>
    <w:rsid w:val="5C8E34A7"/>
    <w:rsid w:val="5CD87D14"/>
    <w:rsid w:val="5CF039A9"/>
    <w:rsid w:val="5D142B37"/>
    <w:rsid w:val="5D252479"/>
    <w:rsid w:val="5D2F1EF0"/>
    <w:rsid w:val="5D3759FF"/>
    <w:rsid w:val="5D784DCE"/>
    <w:rsid w:val="5D8D3122"/>
    <w:rsid w:val="5D8E7E8B"/>
    <w:rsid w:val="5DEE7E37"/>
    <w:rsid w:val="5DEF48FB"/>
    <w:rsid w:val="5DF265F6"/>
    <w:rsid w:val="5DFC25F6"/>
    <w:rsid w:val="5E3B4CE0"/>
    <w:rsid w:val="5E3C4585"/>
    <w:rsid w:val="5E6428F2"/>
    <w:rsid w:val="5EC800B2"/>
    <w:rsid w:val="5EDF42AC"/>
    <w:rsid w:val="5EE16635"/>
    <w:rsid w:val="5EEF7822"/>
    <w:rsid w:val="5EF80BA4"/>
    <w:rsid w:val="5EFE0751"/>
    <w:rsid w:val="5F0C48FF"/>
    <w:rsid w:val="5F3A18F5"/>
    <w:rsid w:val="5F822590"/>
    <w:rsid w:val="5F9F0352"/>
    <w:rsid w:val="5FF24FD6"/>
    <w:rsid w:val="5FFC52A9"/>
    <w:rsid w:val="5FFF3FF3"/>
    <w:rsid w:val="600128D7"/>
    <w:rsid w:val="60265EBF"/>
    <w:rsid w:val="602B0BD5"/>
    <w:rsid w:val="602F7576"/>
    <w:rsid w:val="60317DF6"/>
    <w:rsid w:val="607654B5"/>
    <w:rsid w:val="60865C34"/>
    <w:rsid w:val="60976052"/>
    <w:rsid w:val="60A027A4"/>
    <w:rsid w:val="60A9153E"/>
    <w:rsid w:val="60B91430"/>
    <w:rsid w:val="61020C17"/>
    <w:rsid w:val="612A65CB"/>
    <w:rsid w:val="612D1A7D"/>
    <w:rsid w:val="616A76ED"/>
    <w:rsid w:val="61787F54"/>
    <w:rsid w:val="61973FCF"/>
    <w:rsid w:val="61B9596F"/>
    <w:rsid w:val="61C0205B"/>
    <w:rsid w:val="61F71E87"/>
    <w:rsid w:val="61FB1489"/>
    <w:rsid w:val="620F67EC"/>
    <w:rsid w:val="6245659C"/>
    <w:rsid w:val="625C74BD"/>
    <w:rsid w:val="62627429"/>
    <w:rsid w:val="626D5A4E"/>
    <w:rsid w:val="626F590C"/>
    <w:rsid w:val="627915D4"/>
    <w:rsid w:val="62791C6E"/>
    <w:rsid w:val="629B31C2"/>
    <w:rsid w:val="62B110A2"/>
    <w:rsid w:val="62BF6EC8"/>
    <w:rsid w:val="62CA59B1"/>
    <w:rsid w:val="62E73862"/>
    <w:rsid w:val="62FD69DA"/>
    <w:rsid w:val="631141BF"/>
    <w:rsid w:val="633D2BA7"/>
    <w:rsid w:val="63485C21"/>
    <w:rsid w:val="635F0CDB"/>
    <w:rsid w:val="63B90BAF"/>
    <w:rsid w:val="63D964CB"/>
    <w:rsid w:val="63DF01E1"/>
    <w:rsid w:val="63E01C96"/>
    <w:rsid w:val="63E16C2B"/>
    <w:rsid w:val="6407617A"/>
    <w:rsid w:val="641E13AB"/>
    <w:rsid w:val="64374225"/>
    <w:rsid w:val="64460FA7"/>
    <w:rsid w:val="64551292"/>
    <w:rsid w:val="646C5D5E"/>
    <w:rsid w:val="647C416F"/>
    <w:rsid w:val="64811D01"/>
    <w:rsid w:val="648E0CC6"/>
    <w:rsid w:val="64AA13C2"/>
    <w:rsid w:val="64AE3C3D"/>
    <w:rsid w:val="64E61BEE"/>
    <w:rsid w:val="64E624B6"/>
    <w:rsid w:val="64EF292A"/>
    <w:rsid w:val="64F403D3"/>
    <w:rsid w:val="65094CA5"/>
    <w:rsid w:val="65285389"/>
    <w:rsid w:val="656D720C"/>
    <w:rsid w:val="658A09A8"/>
    <w:rsid w:val="659B5144"/>
    <w:rsid w:val="65B456E9"/>
    <w:rsid w:val="65C663D9"/>
    <w:rsid w:val="65F86CC8"/>
    <w:rsid w:val="65FE5949"/>
    <w:rsid w:val="66063E6E"/>
    <w:rsid w:val="66094538"/>
    <w:rsid w:val="661013CA"/>
    <w:rsid w:val="662D3495"/>
    <w:rsid w:val="66354252"/>
    <w:rsid w:val="666839E8"/>
    <w:rsid w:val="666B10A2"/>
    <w:rsid w:val="668167CA"/>
    <w:rsid w:val="66827D25"/>
    <w:rsid w:val="66A7352E"/>
    <w:rsid w:val="66A76785"/>
    <w:rsid w:val="66AD1797"/>
    <w:rsid w:val="66D9246B"/>
    <w:rsid w:val="66E05BD7"/>
    <w:rsid w:val="66EB374E"/>
    <w:rsid w:val="670F7F24"/>
    <w:rsid w:val="67590B78"/>
    <w:rsid w:val="675F1FB6"/>
    <w:rsid w:val="678D1A58"/>
    <w:rsid w:val="67997863"/>
    <w:rsid w:val="67D20654"/>
    <w:rsid w:val="67D37FA9"/>
    <w:rsid w:val="67ED44E4"/>
    <w:rsid w:val="682560DB"/>
    <w:rsid w:val="684E012A"/>
    <w:rsid w:val="68731759"/>
    <w:rsid w:val="688D6E28"/>
    <w:rsid w:val="68AA326C"/>
    <w:rsid w:val="691E2698"/>
    <w:rsid w:val="692E7C4F"/>
    <w:rsid w:val="693862AF"/>
    <w:rsid w:val="69513F80"/>
    <w:rsid w:val="69892DD9"/>
    <w:rsid w:val="698F6CBE"/>
    <w:rsid w:val="69AB2D6B"/>
    <w:rsid w:val="69B35074"/>
    <w:rsid w:val="69BC7E73"/>
    <w:rsid w:val="69C208A8"/>
    <w:rsid w:val="69C956EA"/>
    <w:rsid w:val="6A294785"/>
    <w:rsid w:val="6A385E52"/>
    <w:rsid w:val="6A4F4C12"/>
    <w:rsid w:val="6AC7350B"/>
    <w:rsid w:val="6AC771D0"/>
    <w:rsid w:val="6AEF4F14"/>
    <w:rsid w:val="6B002DB9"/>
    <w:rsid w:val="6B4828A5"/>
    <w:rsid w:val="6B4E45EC"/>
    <w:rsid w:val="6B7A5565"/>
    <w:rsid w:val="6B867D33"/>
    <w:rsid w:val="6B8E3FA0"/>
    <w:rsid w:val="6BC333DB"/>
    <w:rsid w:val="6BDFC473"/>
    <w:rsid w:val="6BE31711"/>
    <w:rsid w:val="6BE956B3"/>
    <w:rsid w:val="6BEF2C93"/>
    <w:rsid w:val="6BF73E01"/>
    <w:rsid w:val="6C187B15"/>
    <w:rsid w:val="6C230991"/>
    <w:rsid w:val="6C403D92"/>
    <w:rsid w:val="6C436D34"/>
    <w:rsid w:val="6C687BEB"/>
    <w:rsid w:val="6CA44C94"/>
    <w:rsid w:val="6CE07F29"/>
    <w:rsid w:val="6CE56250"/>
    <w:rsid w:val="6D5A2765"/>
    <w:rsid w:val="6D6B59F2"/>
    <w:rsid w:val="6D73577F"/>
    <w:rsid w:val="6D737000"/>
    <w:rsid w:val="6DAA59BA"/>
    <w:rsid w:val="6DAB17F7"/>
    <w:rsid w:val="6DC30630"/>
    <w:rsid w:val="6DD726CA"/>
    <w:rsid w:val="6DE42E5A"/>
    <w:rsid w:val="6DE43B5D"/>
    <w:rsid w:val="6DFF5B0D"/>
    <w:rsid w:val="6E4D50B9"/>
    <w:rsid w:val="6E4F0506"/>
    <w:rsid w:val="6E5967B9"/>
    <w:rsid w:val="6E612BCD"/>
    <w:rsid w:val="6E813859"/>
    <w:rsid w:val="6EA16692"/>
    <w:rsid w:val="6EB26C3D"/>
    <w:rsid w:val="6F205941"/>
    <w:rsid w:val="6F8011C4"/>
    <w:rsid w:val="6FBF609B"/>
    <w:rsid w:val="6FC10BB2"/>
    <w:rsid w:val="6FC733A2"/>
    <w:rsid w:val="6FCF6002"/>
    <w:rsid w:val="6FE00C06"/>
    <w:rsid w:val="6FEA50D6"/>
    <w:rsid w:val="6FF43359"/>
    <w:rsid w:val="700E2DED"/>
    <w:rsid w:val="704476BC"/>
    <w:rsid w:val="70483B44"/>
    <w:rsid w:val="704D5DCD"/>
    <w:rsid w:val="70577F08"/>
    <w:rsid w:val="706332AE"/>
    <w:rsid w:val="70970C45"/>
    <w:rsid w:val="70DD2E8D"/>
    <w:rsid w:val="70E57245"/>
    <w:rsid w:val="70FB0F30"/>
    <w:rsid w:val="71037C95"/>
    <w:rsid w:val="7117547A"/>
    <w:rsid w:val="71301A47"/>
    <w:rsid w:val="71560F55"/>
    <w:rsid w:val="716F40E8"/>
    <w:rsid w:val="71803E88"/>
    <w:rsid w:val="71993415"/>
    <w:rsid w:val="719D0B20"/>
    <w:rsid w:val="71AA48DB"/>
    <w:rsid w:val="71B302D5"/>
    <w:rsid w:val="71BC7533"/>
    <w:rsid w:val="71CA62CE"/>
    <w:rsid w:val="71FC7BE0"/>
    <w:rsid w:val="723D1AC4"/>
    <w:rsid w:val="725E6713"/>
    <w:rsid w:val="72745145"/>
    <w:rsid w:val="72AD72E8"/>
    <w:rsid w:val="72E5585D"/>
    <w:rsid w:val="72EF1650"/>
    <w:rsid w:val="72FA61BE"/>
    <w:rsid w:val="73192D6C"/>
    <w:rsid w:val="73263C33"/>
    <w:rsid w:val="73534607"/>
    <w:rsid w:val="735D1848"/>
    <w:rsid w:val="73930709"/>
    <w:rsid w:val="73A3477D"/>
    <w:rsid w:val="73BFC59A"/>
    <w:rsid w:val="73DD1CA1"/>
    <w:rsid w:val="73E44D0F"/>
    <w:rsid w:val="7404143B"/>
    <w:rsid w:val="74180D9F"/>
    <w:rsid w:val="744A1CA1"/>
    <w:rsid w:val="7460768F"/>
    <w:rsid w:val="7463018C"/>
    <w:rsid w:val="747169C8"/>
    <w:rsid w:val="747E21A4"/>
    <w:rsid w:val="74892243"/>
    <w:rsid w:val="74964153"/>
    <w:rsid w:val="74B159CC"/>
    <w:rsid w:val="74C45759"/>
    <w:rsid w:val="74C46AF7"/>
    <w:rsid w:val="74CB6BAB"/>
    <w:rsid w:val="750061C9"/>
    <w:rsid w:val="751E6F30"/>
    <w:rsid w:val="752F3ED9"/>
    <w:rsid w:val="75350194"/>
    <w:rsid w:val="7566482B"/>
    <w:rsid w:val="7575513A"/>
    <w:rsid w:val="75890323"/>
    <w:rsid w:val="758903BD"/>
    <w:rsid w:val="75B312CC"/>
    <w:rsid w:val="75EC0074"/>
    <w:rsid w:val="762A506B"/>
    <w:rsid w:val="762B1882"/>
    <w:rsid w:val="764D4710"/>
    <w:rsid w:val="76592DDA"/>
    <w:rsid w:val="76913E01"/>
    <w:rsid w:val="76A9128B"/>
    <w:rsid w:val="76B729EE"/>
    <w:rsid w:val="770E7A7F"/>
    <w:rsid w:val="770F484F"/>
    <w:rsid w:val="77522ED9"/>
    <w:rsid w:val="77597671"/>
    <w:rsid w:val="776A72A3"/>
    <w:rsid w:val="778147E4"/>
    <w:rsid w:val="77AF0DED"/>
    <w:rsid w:val="77BB4FCC"/>
    <w:rsid w:val="77F55C80"/>
    <w:rsid w:val="780761D6"/>
    <w:rsid w:val="781E5C42"/>
    <w:rsid w:val="78240358"/>
    <w:rsid w:val="783C557E"/>
    <w:rsid w:val="78561BCA"/>
    <w:rsid w:val="78733A5F"/>
    <w:rsid w:val="788E4559"/>
    <w:rsid w:val="789E3D88"/>
    <w:rsid w:val="78A44B63"/>
    <w:rsid w:val="78A501F4"/>
    <w:rsid w:val="78B26191"/>
    <w:rsid w:val="78B7777B"/>
    <w:rsid w:val="78C5495A"/>
    <w:rsid w:val="78C63AB1"/>
    <w:rsid w:val="78DB5F7A"/>
    <w:rsid w:val="78E52D4B"/>
    <w:rsid w:val="78EF3943"/>
    <w:rsid w:val="78F22F1D"/>
    <w:rsid w:val="79047074"/>
    <w:rsid w:val="79110144"/>
    <w:rsid w:val="79165D8E"/>
    <w:rsid w:val="792C7B1C"/>
    <w:rsid w:val="79365D23"/>
    <w:rsid w:val="7941716A"/>
    <w:rsid w:val="79501ED7"/>
    <w:rsid w:val="795C49CC"/>
    <w:rsid w:val="796B11C3"/>
    <w:rsid w:val="79725F32"/>
    <w:rsid w:val="79735A39"/>
    <w:rsid w:val="79790747"/>
    <w:rsid w:val="79A17F37"/>
    <w:rsid w:val="79BB270F"/>
    <w:rsid w:val="79E33B70"/>
    <w:rsid w:val="79EB04D4"/>
    <w:rsid w:val="79F45CC1"/>
    <w:rsid w:val="79FF575B"/>
    <w:rsid w:val="7A094227"/>
    <w:rsid w:val="7A426292"/>
    <w:rsid w:val="7A426386"/>
    <w:rsid w:val="7A431FA0"/>
    <w:rsid w:val="7A4A7503"/>
    <w:rsid w:val="7A636281"/>
    <w:rsid w:val="7A983DCD"/>
    <w:rsid w:val="7AA72164"/>
    <w:rsid w:val="7AB818FD"/>
    <w:rsid w:val="7ADA7A89"/>
    <w:rsid w:val="7B1115C5"/>
    <w:rsid w:val="7B2C71D8"/>
    <w:rsid w:val="7B5551B6"/>
    <w:rsid w:val="7B603BC0"/>
    <w:rsid w:val="7B6334FC"/>
    <w:rsid w:val="7B695904"/>
    <w:rsid w:val="7B763128"/>
    <w:rsid w:val="7B763940"/>
    <w:rsid w:val="7B8008AE"/>
    <w:rsid w:val="7B8038CC"/>
    <w:rsid w:val="7B812306"/>
    <w:rsid w:val="7BA05750"/>
    <w:rsid w:val="7BC437DD"/>
    <w:rsid w:val="7BD52323"/>
    <w:rsid w:val="7C141DD7"/>
    <w:rsid w:val="7C331CAB"/>
    <w:rsid w:val="7C4C347A"/>
    <w:rsid w:val="7C594163"/>
    <w:rsid w:val="7C7A2537"/>
    <w:rsid w:val="7C7C54C8"/>
    <w:rsid w:val="7C966F9B"/>
    <w:rsid w:val="7C9B3417"/>
    <w:rsid w:val="7CA61704"/>
    <w:rsid w:val="7CD95239"/>
    <w:rsid w:val="7CDA1DE4"/>
    <w:rsid w:val="7D070B58"/>
    <w:rsid w:val="7D08374B"/>
    <w:rsid w:val="7D45265E"/>
    <w:rsid w:val="7D8064AF"/>
    <w:rsid w:val="7DC74949"/>
    <w:rsid w:val="7DCC57C0"/>
    <w:rsid w:val="7E0F43DF"/>
    <w:rsid w:val="7E4D5DC2"/>
    <w:rsid w:val="7E6D684F"/>
    <w:rsid w:val="7E761DB4"/>
    <w:rsid w:val="7EB2722A"/>
    <w:rsid w:val="7EB378B9"/>
    <w:rsid w:val="7EB476E6"/>
    <w:rsid w:val="7EBA57DE"/>
    <w:rsid w:val="7EC37706"/>
    <w:rsid w:val="7ED026CE"/>
    <w:rsid w:val="7EE13909"/>
    <w:rsid w:val="7F0C7452"/>
    <w:rsid w:val="7F1D6B1B"/>
    <w:rsid w:val="7F605361"/>
    <w:rsid w:val="7F7052A0"/>
    <w:rsid w:val="7F946C96"/>
    <w:rsid w:val="7F992922"/>
    <w:rsid w:val="7FB47D79"/>
    <w:rsid w:val="7FC43B94"/>
    <w:rsid w:val="7FF2666D"/>
    <w:rsid w:val="9DFF18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sz w:val="28"/>
    </w:rPr>
  </w:style>
  <w:style w:type="paragraph" w:styleId="4">
    <w:name w:val="heading 2"/>
    <w:basedOn w:val="1"/>
    <w:next w:val="5"/>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2">
    <w:name w:val="heading 4"/>
    <w:basedOn w:val="1"/>
    <w:next w:val="1"/>
    <w:link w:val="60"/>
    <w:qFormat/>
    <w:uiPriority w:val="0"/>
    <w:pPr>
      <w:keepNext/>
      <w:keepLines/>
      <w:spacing w:before="280" w:beforeLines="0" w:after="290" w:afterLines="0" w:line="376" w:lineRule="auto"/>
      <w:outlineLvl w:val="3"/>
    </w:pPr>
    <w:rPr>
      <w:rFonts w:ascii="Cambria" w:hAnsi="Cambria"/>
      <w:b/>
      <w:bCs/>
      <w:sz w:val="28"/>
      <w:szCs w:val="28"/>
      <w:lang w:eastAsia="en-US"/>
    </w:rPr>
  </w:style>
  <w:style w:type="character" w:default="1" w:styleId="30">
    <w:name w:val="Default Paragraph Font"/>
    <w:qFormat/>
    <w:uiPriority w:val="0"/>
    <w:rPr>
      <w:rFonts w:ascii="Arial" w:hAnsi="Arial" w:eastAsia="Times New Roman" w:cs="Verdana"/>
      <w:b/>
      <w:kern w:val="0"/>
      <w:sz w:val="24"/>
      <w:szCs w:val="24"/>
      <w:lang w:eastAsia="en-US"/>
    </w:rPr>
  </w:style>
  <w:style w:type="table" w:default="1" w:styleId="28">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spacing w:line="300" w:lineRule="auto"/>
      <w:ind w:firstLine="420" w:firstLineChars="200"/>
    </w:pPr>
    <w:rPr>
      <w:rFonts w:ascii="Times New Roman"/>
      <w:kern w:val="2"/>
      <w:sz w:val="21"/>
      <w:szCs w:val="24"/>
    </w:rPr>
  </w:style>
  <w:style w:type="paragraph" w:styleId="7">
    <w:name w:val="Document Map"/>
    <w:basedOn w:val="1"/>
    <w:qFormat/>
    <w:uiPriority w:val="0"/>
    <w:pPr>
      <w:shd w:val="clear" w:color="auto" w:fill="000080"/>
    </w:pPr>
  </w:style>
  <w:style w:type="paragraph" w:styleId="8">
    <w:name w:val="annotation text"/>
    <w:basedOn w:val="1"/>
    <w:link w:val="65"/>
    <w:unhideWhenUsed/>
    <w:qFormat/>
    <w:uiPriority w:val="99"/>
    <w:pPr>
      <w:jc w:val="left"/>
    </w:pPr>
    <w:rPr>
      <w:rFonts w:ascii="Arial" w:hAnsi="Arial" w:eastAsia="Times New Roman"/>
      <w:b/>
      <w:szCs w:val="24"/>
      <w:lang w:eastAsia="en-US"/>
    </w:rPr>
  </w:style>
  <w:style w:type="paragraph" w:styleId="9">
    <w:name w:val="Body Text"/>
    <w:basedOn w:val="1"/>
    <w:next w:val="1"/>
    <w:qFormat/>
    <w:uiPriority w:val="0"/>
    <w:pPr>
      <w:spacing w:after="120" w:afterLines="0"/>
    </w:pPr>
    <w:rPr>
      <w:rFonts w:ascii="Times New Roman"/>
      <w:kern w:val="2"/>
      <w:sz w:val="21"/>
    </w:rPr>
  </w:style>
  <w:style w:type="paragraph" w:styleId="10">
    <w:name w:val="Body Text Indent"/>
    <w:basedOn w:val="1"/>
    <w:qFormat/>
    <w:uiPriority w:val="0"/>
    <w:pPr>
      <w:ind w:firstLine="552"/>
    </w:pPr>
    <w:rPr>
      <w:rFonts w:ascii="宋体"/>
      <w:sz w:val="28"/>
    </w:rPr>
  </w:style>
  <w:style w:type="paragraph" w:styleId="11">
    <w:name w:val="toc 3"/>
    <w:basedOn w:val="1"/>
    <w:next w:val="1"/>
    <w:qFormat/>
    <w:uiPriority w:val="39"/>
    <w:pPr>
      <w:ind w:left="840" w:leftChars="400"/>
    </w:pPr>
  </w:style>
  <w:style w:type="paragraph" w:styleId="12">
    <w:name w:val="Plain Text"/>
    <w:basedOn w:val="1"/>
    <w:link w:val="73"/>
    <w:qFormat/>
    <w:uiPriority w:val="0"/>
    <w:rPr>
      <w:rFonts w:ascii="宋体" w:hAnsi="Courier New"/>
      <w:szCs w:val="21"/>
    </w:rPr>
  </w:style>
  <w:style w:type="paragraph" w:styleId="13">
    <w:name w:val="Date"/>
    <w:basedOn w:val="1"/>
    <w:next w:val="1"/>
    <w:link w:val="72"/>
    <w:qFormat/>
    <w:uiPriority w:val="0"/>
    <w:rPr>
      <w:rFonts w:ascii="宋体" w:hAnsi="Arial" w:eastAsia="Times New Roman"/>
      <w:b/>
      <w:sz w:val="24"/>
      <w:szCs w:val="24"/>
      <w:lang w:eastAsia="en-US"/>
    </w:rPr>
  </w:style>
  <w:style w:type="paragraph" w:styleId="14">
    <w:name w:val="Body Text Indent 2"/>
    <w:basedOn w:val="1"/>
    <w:link w:val="62"/>
    <w:qFormat/>
    <w:uiPriority w:val="0"/>
    <w:pPr>
      <w:spacing w:after="120" w:afterLines="0" w:line="480" w:lineRule="auto"/>
      <w:ind w:left="420" w:leftChars="200"/>
    </w:pPr>
    <w:rPr>
      <w:rFonts w:ascii="Arial" w:hAnsi="Arial" w:eastAsia="Times New Roman"/>
      <w:b/>
      <w:szCs w:val="24"/>
      <w:lang w:eastAsia="en-US"/>
    </w:rPr>
  </w:style>
  <w:style w:type="paragraph" w:styleId="15">
    <w:name w:val="Balloon Text"/>
    <w:basedOn w:val="1"/>
    <w:qFormat/>
    <w:uiPriority w:val="0"/>
    <w:rPr>
      <w:sz w:val="18"/>
      <w:szCs w:val="18"/>
    </w:rPr>
  </w:style>
  <w:style w:type="paragraph" w:styleId="16">
    <w:name w:val="footer"/>
    <w:basedOn w:val="1"/>
    <w:link w:val="74"/>
    <w:qFormat/>
    <w:uiPriority w:val="99"/>
    <w:pPr>
      <w:tabs>
        <w:tab w:val="center" w:pos="4153"/>
        <w:tab w:val="right" w:pos="8306"/>
      </w:tabs>
      <w:adjustRightInd w:val="0"/>
      <w:spacing w:line="240" w:lineRule="atLeast"/>
      <w:jc w:val="left"/>
      <w:textAlignment w:val="baseline"/>
    </w:pPr>
    <w:rPr>
      <w:rFonts w:ascii="Arial" w:hAnsi="Arial" w:eastAsia="Times New Roman"/>
      <w:b/>
      <w:kern w:val="0"/>
      <w:sz w:val="18"/>
      <w:szCs w:val="24"/>
      <w:lang w:eastAsia="en-US"/>
    </w:rPr>
  </w:style>
  <w:style w:type="paragraph" w:styleId="17">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Body Text Indent 3"/>
    <w:basedOn w:val="1"/>
    <w:link w:val="64"/>
    <w:unhideWhenUsed/>
    <w:qFormat/>
    <w:uiPriority w:val="99"/>
    <w:pPr>
      <w:spacing w:after="120"/>
      <w:ind w:left="420" w:leftChars="200"/>
    </w:pPr>
    <w:rPr>
      <w:rFonts w:ascii="Arial" w:hAnsi="Arial" w:eastAsia="Times New Roman"/>
      <w:b/>
      <w:sz w:val="16"/>
      <w:szCs w:val="16"/>
      <w:lang w:eastAsia="en-US"/>
    </w:rPr>
  </w:style>
  <w:style w:type="paragraph" w:styleId="20">
    <w:name w:val="toc 2"/>
    <w:basedOn w:val="1"/>
    <w:next w:val="1"/>
    <w:unhideWhenUsed/>
    <w:qFormat/>
    <w:uiPriority w:val="39"/>
    <w:pPr>
      <w:ind w:left="420" w:leftChars="200"/>
    </w:pPr>
  </w:style>
  <w:style w:type="paragraph" w:styleId="21">
    <w:name w:val="Body Text 2"/>
    <w:basedOn w:val="1"/>
    <w:unhideWhenUsed/>
    <w:qFormat/>
    <w:uiPriority w:val="99"/>
    <w:pPr>
      <w:spacing w:after="120" w:line="480" w:lineRule="auto"/>
    </w:p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3">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D3D3D"/>
      <w:kern w:val="0"/>
      <w:sz w:val="24"/>
      <w:lang w:val="en-US" w:eastAsia="zh-CN" w:bidi="ar"/>
    </w:rPr>
  </w:style>
  <w:style w:type="paragraph" w:styleId="24">
    <w:name w:val="Title"/>
    <w:basedOn w:val="1"/>
    <w:next w:val="1"/>
    <w:link w:val="63"/>
    <w:qFormat/>
    <w:uiPriority w:val="0"/>
    <w:pPr>
      <w:spacing w:before="240" w:beforeLines="0" w:after="60" w:afterLines="0"/>
      <w:jc w:val="center"/>
      <w:outlineLvl w:val="0"/>
    </w:pPr>
    <w:rPr>
      <w:rFonts w:ascii="Cambria" w:hAnsi="Cambria" w:eastAsia="Times New Roman"/>
      <w:b/>
      <w:bCs/>
      <w:sz w:val="32"/>
      <w:szCs w:val="32"/>
      <w:lang w:eastAsia="en-US"/>
    </w:rPr>
  </w:style>
  <w:style w:type="paragraph" w:styleId="25">
    <w:name w:val="annotation subject"/>
    <w:basedOn w:val="8"/>
    <w:next w:val="8"/>
    <w:link w:val="71"/>
    <w:unhideWhenUsed/>
    <w:qFormat/>
    <w:uiPriority w:val="99"/>
    <w:rPr>
      <w:bCs/>
    </w:rPr>
  </w:style>
  <w:style w:type="paragraph" w:styleId="26">
    <w:name w:val="Body Text First Indent"/>
    <w:basedOn w:val="9"/>
    <w:qFormat/>
    <w:uiPriority w:val="0"/>
    <w:pPr>
      <w:widowControl/>
      <w:ind w:firstLine="420" w:firstLineChars="100"/>
      <w:jc w:val="left"/>
    </w:pPr>
    <w:rPr>
      <w:rFonts w:ascii="Times New Roman" w:hAnsi="Times New Roman" w:eastAsia="宋体" w:cs="Times New Roman"/>
      <w:kern w:val="0"/>
      <w:szCs w:val="24"/>
    </w:rPr>
  </w:style>
  <w:style w:type="paragraph" w:styleId="27">
    <w:name w:val="Body Text First Indent 2"/>
    <w:basedOn w:val="10"/>
    <w:qFormat/>
    <w:uiPriority w:val="0"/>
    <w:pPr>
      <w:tabs>
        <w:tab w:val="left" w:pos="0"/>
      </w:tabs>
      <w:ind w:firstLine="420" w:firstLineChars="200"/>
    </w:pPr>
  </w:style>
  <w:style w:type="table" w:styleId="29">
    <w:name w:val="Table Grid"/>
    <w:basedOn w:val="2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Cs/>
    </w:rPr>
  </w:style>
  <w:style w:type="character" w:styleId="32">
    <w:name w:val="page number"/>
    <w:basedOn w:val="30"/>
    <w:qFormat/>
    <w:uiPriority w:val="0"/>
  </w:style>
  <w:style w:type="character" w:styleId="33">
    <w:name w:val="FollowedHyperlink"/>
    <w:unhideWhenUsed/>
    <w:qFormat/>
    <w:uiPriority w:val="99"/>
    <w:rPr>
      <w:rFonts w:ascii="Arial" w:hAnsi="Arial" w:eastAsia="Times New Roman" w:cs="Verdana"/>
      <w:b/>
      <w:color w:val="3D3D3D"/>
      <w:kern w:val="0"/>
      <w:sz w:val="24"/>
      <w:szCs w:val="24"/>
      <w:u w:val="none"/>
      <w:lang w:eastAsia="en-US"/>
    </w:rPr>
  </w:style>
  <w:style w:type="character" w:styleId="34">
    <w:name w:val="Hyperlink"/>
    <w:qFormat/>
    <w:uiPriority w:val="99"/>
    <w:rPr>
      <w:rFonts w:ascii="Arial" w:hAnsi="Arial" w:eastAsia="Times New Roman" w:cs="Verdana"/>
      <w:b/>
      <w:color w:val="0000FF"/>
      <w:kern w:val="0"/>
      <w:sz w:val="24"/>
      <w:szCs w:val="24"/>
      <w:u w:val="single"/>
      <w:lang w:eastAsia="en-US"/>
    </w:rPr>
  </w:style>
  <w:style w:type="character" w:styleId="35">
    <w:name w:val="annotation reference"/>
    <w:unhideWhenUsed/>
    <w:qFormat/>
    <w:uiPriority w:val="99"/>
    <w:rPr>
      <w:rFonts w:ascii="Arial" w:hAnsi="Arial" w:eastAsia="Times New Roman" w:cs="Verdana"/>
      <w:b/>
      <w:kern w:val="0"/>
      <w:sz w:val="21"/>
      <w:szCs w:val="21"/>
      <w:lang w:eastAsia="en-US"/>
    </w:rPr>
  </w:style>
  <w:style w:type="paragraph" w:customStyle="1" w:styleId="3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7">
    <w:name w:val="Body Text Indent 3"/>
    <w:basedOn w:val="1"/>
    <w:qFormat/>
    <w:uiPriority w:val="0"/>
    <w:pPr>
      <w:spacing w:line="410" w:lineRule="exact"/>
      <w:ind w:left="619" w:leftChars="295" w:firstLine="390" w:firstLineChars="179"/>
    </w:pPr>
    <w:rPr>
      <w:rFonts w:ascii="宋体" w:hAnsi="宋体"/>
      <w:spacing w:val="4"/>
    </w:rPr>
  </w:style>
  <w:style w:type="paragraph" w:customStyle="1" w:styleId="38">
    <w:name w:val="List Paragraph"/>
    <w:basedOn w:val="1"/>
    <w:qFormat/>
    <w:uiPriority w:val="34"/>
    <w:pPr>
      <w:ind w:firstLine="420" w:firstLineChars="200"/>
    </w:pPr>
    <w:rPr>
      <w:rFonts w:ascii="Calibri" w:hAnsi="Calibri"/>
      <w:sz w:val="28"/>
      <w:szCs w:val="28"/>
    </w:rPr>
  </w:style>
  <w:style w:type="paragraph" w:customStyle="1" w:styleId="39">
    <w:name w:val="正文 A"/>
    <w:qFormat/>
    <w:uiPriority w:val="0"/>
    <w:pPr>
      <w:widowControl w:val="0"/>
      <w:spacing w:line="288" w:lineRule="auto"/>
      <w:ind w:firstLine="200"/>
      <w:jc w:val="both"/>
    </w:pPr>
    <w:rPr>
      <w:rFonts w:ascii="Times New Roman" w:hAnsi="Times New Roman" w:eastAsia="Times New Roman" w:cs="Times New Roman"/>
      <w:color w:val="000000"/>
      <w:kern w:val="2"/>
      <w:sz w:val="21"/>
      <w:szCs w:val="21"/>
      <w:lang w:val="en-US" w:eastAsia="zh-CN" w:bidi="ar-SA"/>
    </w:rPr>
  </w:style>
  <w:style w:type="paragraph" w:customStyle="1" w:styleId="40">
    <w:name w:val="列出段落1"/>
    <w:basedOn w:val="1"/>
    <w:qFormat/>
    <w:uiPriority w:val="34"/>
    <w:pPr>
      <w:ind w:firstLine="420" w:firstLineChars="200"/>
    </w:pPr>
    <w:rPr>
      <w:rFonts w:ascii="Calibri" w:hAnsi="Calibri"/>
      <w:szCs w:val="22"/>
    </w:rPr>
  </w:style>
  <w:style w:type="paragraph" w:customStyle="1" w:styleId="41">
    <w:name w:val="List Paragraph1"/>
    <w:basedOn w:val="1"/>
    <w:qFormat/>
    <w:uiPriority w:val="34"/>
    <w:pPr>
      <w:ind w:firstLine="420" w:firstLineChars="200"/>
    </w:pPr>
  </w:style>
  <w:style w:type="paragraph" w:customStyle="1" w:styleId="42">
    <w:name w:val="段"/>
    <w:link w:val="75"/>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1"/>
      <w:szCs w:val="22"/>
      <w:lang w:val="en-US" w:eastAsia="zh-CN" w:bidi="ar-SA"/>
    </w:rPr>
  </w:style>
  <w:style w:type="paragraph" w:customStyle="1" w:styleId="43">
    <w:name w:val="(a)正文"/>
    <w:basedOn w:val="1"/>
    <w:qFormat/>
    <w:uiPriority w:val="0"/>
    <w:pPr>
      <w:widowControl/>
      <w:tabs>
        <w:tab w:val="left" w:pos="1871"/>
        <w:tab w:val="left" w:pos="2081"/>
      </w:tabs>
      <w:spacing w:line="360" w:lineRule="exact"/>
      <w:ind w:left="1871" w:hanging="510"/>
    </w:pPr>
    <w:rPr>
      <w:sz w:val="24"/>
    </w:rPr>
  </w:style>
  <w:style w:type="paragraph" w:customStyle="1" w:styleId="44">
    <w:name w:val="方案正文"/>
    <w:basedOn w:val="1"/>
    <w:qFormat/>
    <w:uiPriority w:val="0"/>
    <w:pPr>
      <w:adjustRightInd w:val="0"/>
      <w:snapToGrid w:val="0"/>
      <w:spacing w:line="360" w:lineRule="auto"/>
      <w:ind w:firstLine="480" w:firstLineChars="200"/>
      <w:jc w:val="left"/>
    </w:pPr>
    <w:rPr>
      <w:sz w:val="24"/>
      <w:szCs w:val="24"/>
    </w:rPr>
  </w:style>
  <w:style w:type="paragraph" w:customStyle="1" w:styleId="45">
    <w:name w:val="Body Text Indent"/>
    <w:basedOn w:val="1"/>
    <w:qFormat/>
    <w:uiPriority w:val="0"/>
    <w:pPr>
      <w:widowControl/>
      <w:ind w:firstLine="652" w:firstLineChars="233"/>
    </w:pPr>
    <w:rPr>
      <w:kern w:val="0"/>
      <w:sz w:val="28"/>
    </w:rPr>
  </w:style>
  <w:style w:type="paragraph" w:customStyle="1" w:styleId="46">
    <w:name w:val="样式 首行缩进:  0.8 厘米1"/>
    <w:basedOn w:val="1"/>
    <w:qFormat/>
    <w:uiPriority w:val="0"/>
    <w:pPr>
      <w:spacing w:before="60" w:after="60" w:line="288" w:lineRule="auto"/>
      <w:ind w:firstLine="454"/>
    </w:pPr>
    <w:rPr>
      <w:rFonts w:cs="宋体"/>
      <w:kern w:val="0"/>
      <w:sz w:val="24"/>
      <w:lang w:eastAsia="en-US"/>
    </w:rPr>
  </w:style>
  <w:style w:type="paragraph" w:customStyle="1" w:styleId="47">
    <w:name w:val="Normal"/>
    <w:qFormat/>
    <w:uiPriority w:val="0"/>
    <w:pPr>
      <w:widowControl w:val="0"/>
      <w:adjustRightInd w:val="0"/>
      <w:spacing w:line="315" w:lineRule="atLeast"/>
      <w:textAlignment w:val="baseline"/>
    </w:pPr>
    <w:rPr>
      <w:rFonts w:ascii="宋体" w:hAnsi="Times New Roman" w:eastAsia="宋体" w:cs="Times New Roman"/>
      <w:sz w:val="24"/>
      <w:szCs w:val="22"/>
      <w:lang w:val="en-US" w:eastAsia="zh-CN" w:bidi="ar-SA"/>
    </w:rPr>
  </w:style>
  <w:style w:type="paragraph" w:customStyle="1" w:styleId="48">
    <w:name w:val="【正文】"/>
    <w:basedOn w:val="21"/>
    <w:link w:val="69"/>
    <w:qFormat/>
    <w:uiPriority w:val="0"/>
    <w:pPr>
      <w:spacing w:after="0" w:line="360" w:lineRule="auto"/>
      <w:ind w:firstLine="200" w:firstLineChars="200"/>
    </w:pPr>
    <w:rPr>
      <w:rFonts w:ascii="仿宋" w:hAnsi="仿宋" w:eastAsia="仿宋"/>
      <w:sz w:val="24"/>
      <w:szCs w:val="28"/>
    </w:rPr>
  </w:style>
  <w:style w:type="paragraph" w:customStyle="1" w:styleId="49">
    <w:name w:val="Char1"/>
    <w:basedOn w:val="1"/>
    <w:qFormat/>
    <w:uiPriority w:val="0"/>
    <w:pPr>
      <w:tabs>
        <w:tab w:val="left" w:pos="360"/>
      </w:tabs>
      <w:ind w:left="360" w:hanging="360" w:hangingChars="200"/>
    </w:pPr>
    <w:rPr>
      <w:sz w:val="24"/>
      <w:szCs w:val="24"/>
    </w:rPr>
  </w:style>
  <w:style w:type="paragraph" w:customStyle="1" w:styleId="50">
    <w:name w:val="_Style 47"/>
    <w:basedOn w:val="3"/>
    <w:next w:val="1"/>
    <w:qFormat/>
    <w:uiPriority w:val="0"/>
    <w:pPr>
      <w:keepLines/>
      <w:widowControl/>
      <w:spacing w:before="480" w:beforeLines="0" w:line="276" w:lineRule="auto"/>
      <w:jc w:val="left"/>
      <w:outlineLvl w:val="9"/>
    </w:pPr>
    <w:rPr>
      <w:rFonts w:ascii="Cambria" w:hAnsi="Cambria" w:eastAsia="宋体" w:cs="Times New Roman"/>
      <w:b/>
      <w:bCs/>
      <w:color w:val="365F91"/>
      <w:kern w:val="0"/>
      <w:szCs w:val="28"/>
    </w:rPr>
  </w:style>
  <w:style w:type="paragraph" w:customStyle="1" w:styleId="51">
    <w:name w:val=" Char Char3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52">
    <w:name w:val="表格标题"/>
    <w:basedOn w:val="1"/>
    <w:qFormat/>
    <w:uiPriority w:val="0"/>
    <w:pPr>
      <w:adjustRightInd w:val="0"/>
      <w:snapToGrid w:val="0"/>
      <w:spacing w:before="50" w:beforeLines="50" w:after="50" w:afterLines="50"/>
      <w:ind w:left="22" w:leftChars="8"/>
      <w:jc w:val="center"/>
    </w:pPr>
    <w:rPr>
      <w:b/>
      <w:bCs/>
      <w:color w:val="000000"/>
      <w:sz w:val="32"/>
      <w:szCs w:val="32"/>
    </w:rPr>
  </w:style>
  <w:style w:type="paragraph" w:customStyle="1" w:styleId="53">
    <w:name w:val=" Char1"/>
    <w:basedOn w:val="1"/>
    <w:qFormat/>
    <w:uiPriority w:val="0"/>
    <w:pPr>
      <w:tabs>
        <w:tab w:val="left" w:pos="360"/>
      </w:tabs>
      <w:ind w:left="360" w:hanging="360" w:hangingChars="200"/>
    </w:pPr>
    <w:rPr>
      <w:sz w:val="24"/>
      <w:szCs w:val="24"/>
    </w:rPr>
  </w:style>
  <w:style w:type="paragraph" w:customStyle="1" w:styleId="54">
    <w:name w:val="表格文字中"/>
    <w:basedOn w:val="1"/>
    <w:qFormat/>
    <w:uiPriority w:val="0"/>
    <w:pPr>
      <w:adjustRightInd w:val="0"/>
      <w:snapToGrid w:val="0"/>
      <w:ind w:left="22" w:leftChars="8"/>
      <w:jc w:val="center"/>
    </w:pPr>
    <w:rPr>
      <w:kern w:val="0"/>
      <w:szCs w:val="24"/>
    </w:rPr>
  </w:style>
  <w:style w:type="paragraph" w:customStyle="1" w:styleId="55">
    <w:name w:val="Char Char Char Char"/>
    <w:basedOn w:val="1"/>
    <w:qFormat/>
    <w:uiPriority w:val="0"/>
    <w:pPr>
      <w:widowControl/>
      <w:spacing w:after="160" w:afterLines="0" w:line="240" w:lineRule="exact"/>
      <w:jc w:val="center"/>
    </w:pPr>
    <w:rPr>
      <w:rFonts w:ascii="宋体" w:hAnsi="宋体"/>
      <w:b/>
      <w:kern w:val="0"/>
      <w:sz w:val="28"/>
      <w:szCs w:val="28"/>
      <w:lang w:eastAsia="en-US"/>
    </w:rPr>
  </w:style>
  <w:style w:type="paragraph" w:customStyle="1" w:styleId="56">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57">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58">
    <w:name w:val="页眉 Char"/>
    <w:link w:val="17"/>
    <w:qFormat/>
    <w:uiPriority w:val="0"/>
    <w:rPr>
      <w:kern w:val="2"/>
      <w:sz w:val="18"/>
      <w:szCs w:val="18"/>
    </w:rPr>
  </w:style>
  <w:style w:type="character" w:customStyle="1" w:styleId="59">
    <w:name w:val="displayarti"/>
    <w:basedOn w:val="30"/>
    <w:qFormat/>
    <w:uiPriority w:val="0"/>
    <w:rPr>
      <w:color w:val="FFFFFF"/>
      <w:shd w:val="clear" w:color="auto" w:fill="A00000"/>
    </w:rPr>
  </w:style>
  <w:style w:type="character" w:customStyle="1" w:styleId="60">
    <w:name w:val="标题 4 Char"/>
    <w:link w:val="2"/>
    <w:qFormat/>
    <w:uiPriority w:val="0"/>
    <w:rPr>
      <w:rFonts w:ascii="Cambria" w:hAnsi="Cambria" w:eastAsia="宋体" w:cs="Times New Roman"/>
      <w:b/>
      <w:bCs/>
      <w:kern w:val="2"/>
      <w:sz w:val="28"/>
      <w:szCs w:val="28"/>
      <w:lang w:eastAsia="en-US"/>
    </w:rPr>
  </w:style>
  <w:style w:type="character" w:customStyle="1" w:styleId="61">
    <w:name w:val="page number"/>
    <w:basedOn w:val="30"/>
    <w:qFormat/>
    <w:uiPriority w:val="0"/>
  </w:style>
  <w:style w:type="character" w:customStyle="1" w:styleId="62">
    <w:name w:val="正文文本缩进 2 Char"/>
    <w:link w:val="14"/>
    <w:qFormat/>
    <w:uiPriority w:val="0"/>
    <w:rPr>
      <w:rFonts w:ascii="Arial" w:hAnsi="Arial" w:eastAsia="Times New Roman" w:cs="Verdana"/>
      <w:b/>
      <w:kern w:val="2"/>
      <w:sz w:val="21"/>
      <w:szCs w:val="24"/>
      <w:lang w:eastAsia="en-US"/>
    </w:rPr>
  </w:style>
  <w:style w:type="character" w:customStyle="1" w:styleId="63">
    <w:name w:val="标题 Char"/>
    <w:link w:val="24"/>
    <w:qFormat/>
    <w:uiPriority w:val="0"/>
    <w:rPr>
      <w:rFonts w:ascii="Cambria" w:hAnsi="Cambria" w:eastAsia="Times New Roman" w:cs="Verdana"/>
      <w:b/>
      <w:bCs/>
      <w:kern w:val="2"/>
      <w:sz w:val="32"/>
      <w:szCs w:val="32"/>
      <w:lang w:eastAsia="en-US"/>
    </w:rPr>
  </w:style>
  <w:style w:type="character" w:customStyle="1" w:styleId="64">
    <w:name w:val="正文文本缩进 3 Char"/>
    <w:link w:val="19"/>
    <w:semiHidden/>
    <w:qFormat/>
    <w:uiPriority w:val="99"/>
    <w:rPr>
      <w:rFonts w:ascii="Arial" w:hAnsi="Arial" w:eastAsia="Times New Roman" w:cs="Verdana"/>
      <w:b/>
      <w:kern w:val="2"/>
      <w:sz w:val="16"/>
      <w:szCs w:val="16"/>
      <w:lang w:eastAsia="en-US"/>
    </w:rPr>
  </w:style>
  <w:style w:type="character" w:customStyle="1" w:styleId="65">
    <w:name w:val="批注文字 Char"/>
    <w:link w:val="8"/>
    <w:qFormat/>
    <w:uiPriority w:val="99"/>
    <w:rPr>
      <w:rFonts w:ascii="Arial" w:hAnsi="Arial" w:eastAsia="Times New Roman" w:cs="Verdana"/>
      <w:b/>
      <w:kern w:val="2"/>
      <w:sz w:val="21"/>
      <w:szCs w:val="24"/>
      <w:lang w:eastAsia="en-US"/>
    </w:rPr>
  </w:style>
  <w:style w:type="character" w:customStyle="1" w:styleId="66">
    <w:name w:val="selected"/>
    <w:basedOn w:val="30"/>
    <w:qFormat/>
    <w:uiPriority w:val="0"/>
    <w:rPr>
      <w:shd w:val="clear" w:color="auto" w:fill="B00006"/>
    </w:rPr>
  </w:style>
  <w:style w:type="character" w:customStyle="1" w:styleId="67">
    <w:name w:val="apple-style-span"/>
    <w:basedOn w:val="30"/>
    <w:qFormat/>
    <w:uiPriority w:val="0"/>
  </w:style>
  <w:style w:type="character" w:customStyle="1" w:styleId="68">
    <w:name w:val="gpa"/>
    <w:basedOn w:val="30"/>
    <w:qFormat/>
    <w:uiPriority w:val="0"/>
    <w:rPr>
      <w:rFonts w:ascii="Arial" w:hAnsi="Arial" w:cs="Arial"/>
      <w:sz w:val="15"/>
      <w:szCs w:val="15"/>
    </w:rPr>
  </w:style>
  <w:style w:type="character" w:customStyle="1" w:styleId="69">
    <w:name w:val="【正文】 Char"/>
    <w:link w:val="48"/>
    <w:qFormat/>
    <w:uiPriority w:val="0"/>
    <w:rPr>
      <w:rFonts w:ascii="仿宋" w:hAnsi="仿宋" w:eastAsia="仿宋" w:cs="仿宋_GB2312"/>
      <w:kern w:val="2"/>
      <w:sz w:val="24"/>
      <w:szCs w:val="28"/>
    </w:rPr>
  </w:style>
  <w:style w:type="character" w:customStyle="1" w:styleId="70">
    <w:name w:val="普通文字1 Char2"/>
    <w:qFormat/>
    <w:uiPriority w:val="0"/>
    <w:rPr>
      <w:rFonts w:ascii="宋体" w:hAnsi="Courier New" w:eastAsia="宋体"/>
      <w:kern w:val="2"/>
      <w:sz w:val="21"/>
      <w:lang w:val="en-US" w:eastAsia="zh-CN" w:bidi="ar-SA"/>
    </w:rPr>
  </w:style>
  <w:style w:type="character" w:customStyle="1" w:styleId="71">
    <w:name w:val="批注主题 Char"/>
    <w:link w:val="25"/>
    <w:semiHidden/>
    <w:qFormat/>
    <w:uiPriority w:val="99"/>
    <w:rPr>
      <w:rFonts w:ascii="Arial" w:hAnsi="Arial" w:eastAsia="Times New Roman" w:cs="Verdana"/>
      <w:b/>
      <w:bCs/>
      <w:kern w:val="2"/>
      <w:sz w:val="21"/>
      <w:szCs w:val="24"/>
      <w:lang w:eastAsia="en-US"/>
    </w:rPr>
  </w:style>
  <w:style w:type="character" w:customStyle="1" w:styleId="72">
    <w:name w:val="日期 Char"/>
    <w:link w:val="13"/>
    <w:qFormat/>
    <w:uiPriority w:val="0"/>
    <w:rPr>
      <w:rFonts w:ascii="宋体" w:hAnsi="Arial" w:eastAsia="Times New Roman" w:cs="Verdana"/>
      <w:b/>
      <w:kern w:val="2"/>
      <w:sz w:val="24"/>
      <w:szCs w:val="24"/>
      <w:lang w:eastAsia="en-US"/>
    </w:rPr>
  </w:style>
  <w:style w:type="character" w:customStyle="1" w:styleId="73">
    <w:name w:val="纯文本 Char"/>
    <w:link w:val="12"/>
    <w:qFormat/>
    <w:uiPriority w:val="0"/>
    <w:rPr>
      <w:rFonts w:ascii="宋体" w:hAnsi="Courier New" w:cs="Courier New"/>
      <w:kern w:val="2"/>
      <w:sz w:val="21"/>
      <w:szCs w:val="21"/>
    </w:rPr>
  </w:style>
  <w:style w:type="character" w:customStyle="1" w:styleId="74">
    <w:name w:val="页脚 Char"/>
    <w:link w:val="16"/>
    <w:qFormat/>
    <w:uiPriority w:val="99"/>
    <w:rPr>
      <w:rFonts w:ascii="Arial" w:hAnsi="Arial" w:eastAsia="Times New Roman" w:cs="Verdana"/>
      <w:b/>
      <w:kern w:val="0"/>
      <w:sz w:val="18"/>
      <w:szCs w:val="24"/>
      <w:lang w:eastAsia="en-US"/>
    </w:rPr>
  </w:style>
  <w:style w:type="character" w:customStyle="1" w:styleId="75">
    <w:name w:val="段 Char Char"/>
    <w:link w:val="42"/>
    <w:qFormat/>
    <w:locked/>
    <w:uiPriority w:val="0"/>
    <w:rPr>
      <w:rFonts w:ascii="宋体" w:eastAsia="Times New Roman"/>
      <w:kern w:val="2"/>
      <w:sz w:val="21"/>
      <w:szCs w:val="22"/>
      <w:lang w:val="en-US" w:eastAsia="zh-CN" w:bidi="ar-SA"/>
    </w:rPr>
  </w:style>
  <w:style w:type="character" w:customStyle="1" w:styleId="76">
    <w:name w:val="style5 style5"/>
    <w:basedOn w:val="30"/>
    <w:qFormat/>
    <w:uiPriority w:val="0"/>
  </w:style>
  <w:style w:type="character" w:customStyle="1" w:styleId="77">
    <w:name w:val="纯文本 Char1"/>
    <w:qFormat/>
    <w:uiPriority w:val="0"/>
    <w:rPr>
      <w:rFonts w:ascii="宋体" w:hAnsi="Courier New" w:eastAsia="Times New Roman" w:cs="Courier New"/>
      <w:b/>
      <w:kern w:val="2"/>
      <w:sz w:val="21"/>
      <w:szCs w:val="21"/>
      <w:lang w:eastAsia="en-US"/>
    </w:rPr>
  </w:style>
  <w:style w:type="character" w:customStyle="1" w:styleId="78">
    <w:name w:val="font61"/>
    <w:basedOn w:val="30"/>
    <w:qFormat/>
    <w:uiPriority w:val="0"/>
    <w:rPr>
      <w:rFonts w:hint="eastAsia" w:ascii="宋体" w:hAnsi="宋体" w:eastAsia="宋体" w:cs="宋体"/>
      <w:color w:val="000000"/>
      <w:sz w:val="32"/>
      <w:szCs w:val="32"/>
      <w:u w:val="none"/>
    </w:rPr>
  </w:style>
  <w:style w:type="character" w:customStyle="1" w:styleId="79">
    <w:name w:val="font41"/>
    <w:basedOn w:val="30"/>
    <w:qFormat/>
    <w:uiPriority w:val="0"/>
    <w:rPr>
      <w:rFonts w:hint="eastAsia" w:ascii="宋体" w:hAnsi="宋体" w:eastAsia="宋体" w:cs="宋体"/>
      <w:color w:val="000000"/>
      <w:sz w:val="16"/>
      <w:szCs w:val="16"/>
      <w:u w:val="none"/>
    </w:rPr>
  </w:style>
  <w:style w:type="character" w:customStyle="1" w:styleId="80">
    <w:name w:val="font31"/>
    <w:basedOn w:val="30"/>
    <w:qFormat/>
    <w:uiPriority w:val="0"/>
    <w:rPr>
      <w:rFonts w:hint="eastAsia" w:ascii="宋体" w:hAnsi="宋体" w:eastAsia="宋体" w:cs="宋体"/>
      <w:color w:val="000000"/>
      <w:sz w:val="16"/>
      <w:szCs w:val="16"/>
      <w:u w:val="none"/>
    </w:rPr>
  </w:style>
  <w:style w:type="character" w:customStyle="1" w:styleId="81">
    <w:name w:val="font81"/>
    <w:basedOn w:val="30"/>
    <w:qFormat/>
    <w:uiPriority w:val="0"/>
    <w:rPr>
      <w:rFonts w:hint="eastAsia" w:ascii="宋体" w:hAnsi="宋体" w:eastAsia="宋体" w:cs="宋体"/>
      <w:color w:val="000000"/>
      <w:sz w:val="16"/>
      <w:szCs w:val="16"/>
      <w:u w:val="none"/>
    </w:rPr>
  </w:style>
  <w:style w:type="character" w:customStyle="1" w:styleId="82">
    <w:name w:val="font91"/>
    <w:basedOn w:val="30"/>
    <w:qFormat/>
    <w:uiPriority w:val="0"/>
    <w:rPr>
      <w:rFonts w:hint="eastAsia" w:ascii="宋体" w:hAnsi="宋体" w:eastAsia="宋体" w:cs="宋体"/>
      <w:color w:val="000000"/>
      <w:sz w:val="16"/>
      <w:szCs w:val="16"/>
      <w:u w:val="single"/>
    </w:rPr>
  </w:style>
  <w:style w:type="character" w:customStyle="1" w:styleId="83">
    <w:name w:val="font51"/>
    <w:basedOn w:val="30"/>
    <w:qFormat/>
    <w:uiPriority w:val="0"/>
    <w:rPr>
      <w:rFonts w:hint="eastAsia" w:ascii="宋体" w:hAnsi="宋体" w:eastAsia="宋体" w:cs="宋体"/>
      <w:color w:val="000000"/>
      <w:sz w:val="16"/>
      <w:szCs w:val="16"/>
      <w:u w:val="none"/>
    </w:rPr>
  </w:style>
  <w:style w:type="character" w:customStyle="1" w:styleId="84">
    <w:name w:val="font11"/>
    <w:basedOn w:val="30"/>
    <w:qFormat/>
    <w:uiPriority w:val="0"/>
    <w:rPr>
      <w:rFonts w:hint="eastAsia" w:ascii="宋体" w:hAnsi="宋体" w:eastAsia="宋体" w:cs="宋体"/>
      <w:color w:val="000000"/>
      <w:sz w:val="16"/>
      <w:szCs w:val="16"/>
      <w:u w:val="single"/>
    </w:rPr>
  </w:style>
  <w:style w:type="paragraph" w:customStyle="1" w:styleId="8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6">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87">
    <w:name w:val="font21"/>
    <w:basedOn w:val="30"/>
    <w:qFormat/>
    <w:uiPriority w:val="0"/>
    <w:rPr>
      <w:rFonts w:hint="eastAsia" w:ascii="仿宋_GB2312" w:eastAsia="仿宋_GB2312" w:cs="仿宋_GB2312"/>
      <w:color w:val="000000"/>
      <w:sz w:val="24"/>
      <w:szCs w:val="24"/>
      <w:u w:val="none"/>
    </w:rPr>
  </w:style>
  <w:style w:type="character" w:customStyle="1" w:styleId="88">
    <w:name w:val="font112"/>
    <w:basedOn w:val="30"/>
    <w:qFormat/>
    <w:uiPriority w:val="0"/>
    <w:rPr>
      <w:rFonts w:hint="default" w:ascii="Times New Roman" w:hAnsi="Times New Roman" w:cs="Times New Roman"/>
      <w:color w:val="000000"/>
      <w:sz w:val="18"/>
      <w:szCs w:val="18"/>
      <w:u w:val="none"/>
      <w:vertAlign w:val="superscript"/>
    </w:rPr>
  </w:style>
  <w:style w:type="character" w:customStyle="1" w:styleId="89">
    <w:name w:val="font181"/>
    <w:basedOn w:val="30"/>
    <w:qFormat/>
    <w:uiPriority w:val="0"/>
    <w:rPr>
      <w:rFonts w:hint="eastAsia" w:ascii="宋体" w:hAnsi="宋体" w:eastAsia="宋体" w:cs="宋体"/>
      <w:color w:val="969696"/>
      <w:sz w:val="18"/>
      <w:szCs w:val="18"/>
      <w:u w:val="none"/>
    </w:rPr>
  </w:style>
  <w:style w:type="character" w:customStyle="1" w:styleId="90">
    <w:name w:val="font201"/>
    <w:basedOn w:val="30"/>
    <w:qFormat/>
    <w:uiPriority w:val="0"/>
    <w:rPr>
      <w:rFonts w:hint="eastAsia" w:ascii="宋体" w:hAnsi="宋体" w:eastAsia="宋体" w:cs="宋体"/>
      <w:color w:val="000000"/>
      <w:sz w:val="18"/>
      <w:szCs w:val="18"/>
      <w:u w:val="none"/>
    </w:rPr>
  </w:style>
  <w:style w:type="character" w:customStyle="1" w:styleId="91">
    <w:name w:val="font191"/>
    <w:basedOn w:val="30"/>
    <w:qFormat/>
    <w:uiPriority w:val="0"/>
    <w:rPr>
      <w:rFonts w:hint="default" w:ascii="Tahoma" w:hAnsi="Tahoma" w:eastAsia="Tahoma" w:cs="Tahoma"/>
      <w:color w:val="000000"/>
      <w:sz w:val="18"/>
      <w:szCs w:val="18"/>
      <w:u w:val="none"/>
    </w:rPr>
  </w:style>
  <w:style w:type="character" w:customStyle="1" w:styleId="92">
    <w:name w:val="font161"/>
    <w:basedOn w:val="30"/>
    <w:qFormat/>
    <w:uiPriority w:val="0"/>
    <w:rPr>
      <w:rFonts w:hint="default" w:ascii="Tahoma" w:hAnsi="Tahoma" w:eastAsia="Tahoma" w:cs="Tahoma"/>
      <w:color w:val="000000"/>
      <w:sz w:val="18"/>
      <w:szCs w:val="18"/>
      <w:u w:val="none"/>
    </w:rPr>
  </w:style>
  <w:style w:type="character" w:customStyle="1" w:styleId="93">
    <w:name w:val="font171"/>
    <w:basedOn w:val="30"/>
    <w:qFormat/>
    <w:uiPriority w:val="0"/>
    <w:rPr>
      <w:rFonts w:hint="eastAsia" w:ascii="宋体" w:hAnsi="宋体" w:eastAsia="宋体" w:cs="宋体"/>
      <w:color w:val="000000"/>
      <w:sz w:val="18"/>
      <w:szCs w:val="18"/>
      <w:u w:val="none"/>
    </w:rPr>
  </w:style>
  <w:style w:type="character" w:customStyle="1" w:styleId="94">
    <w:name w:val="NormalCharacter"/>
    <w:qFormat/>
    <w:uiPriority w:val="99"/>
    <w:rPr>
      <w:rFonts w:ascii="宋体"/>
      <w:sz w:val="24"/>
      <w:lang w:val="en-US" w:eastAsia="zh-CN" w:bidi="ar-SA"/>
    </w:rPr>
  </w:style>
  <w:style w:type="paragraph" w:customStyle="1" w:styleId="95">
    <w:name w:val="4"/>
    <w:basedOn w:val="1"/>
    <w:next w:val="38"/>
    <w:qFormat/>
    <w:uiPriority w:val="34"/>
    <w:pPr>
      <w:ind w:firstLine="420" w:firstLineChars="200"/>
    </w:pPr>
  </w:style>
  <w:style w:type="paragraph" w:customStyle="1" w:styleId="9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陕西招标局</Company>
  <Pages>98</Pages>
  <Words>45807</Words>
  <Characters>48744</Characters>
  <Lines>215</Lines>
  <Paragraphs>60</Paragraphs>
  <TotalTime>1</TotalTime>
  <ScaleCrop>false</ScaleCrop>
  <LinksUpToDate>false</LinksUpToDate>
  <CharactersWithSpaces>50778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2016-03-17T00:58:00Z</dcterms:created>
  <dc:creator>HXZB</dc:creator>
  <cp:keywords>Birthday</cp:keywords>
  <cp:lastModifiedBy>姬鹏举</cp:lastModifiedBy>
  <cp:lastPrinted>2022-08-09T09:49:42Z</cp:lastPrinted>
  <dcterms:modified xsi:type="dcterms:W3CDTF">2022-08-09T09:49:51Z</dcterms:modified>
  <dc:subject>Birthday</dc:subject>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C29B6D209B1E4F8684828CB1D3227565</vt:lpwstr>
  </property>
</Properties>
</file>