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采购项目编号：SCZD2022-CS-161</w:t>
      </w:r>
      <w:r>
        <w:rPr>
          <w:rFonts w:hint="eastAsia" w:eastAsia="仿宋_GB2312"/>
          <w:b/>
          <w:bCs/>
          <w:sz w:val="30"/>
          <w:szCs w:val="30"/>
          <w:lang w:val="zh-CN"/>
        </w:rPr>
        <w:t>4/</w:t>
      </w:r>
      <w:r>
        <w:rPr>
          <w:rFonts w:eastAsia="仿宋_GB2312"/>
          <w:b/>
          <w:bCs/>
          <w:sz w:val="30"/>
          <w:szCs w:val="30"/>
          <w:lang w:val="zh-CN"/>
        </w:rPr>
        <w:t>001</w:t>
      </w:r>
    </w:p>
    <w:p>
      <w:pPr>
        <w:tabs>
          <w:tab w:val="left" w:pos="5670"/>
        </w:tabs>
        <w:autoSpaceDE w:val="0"/>
        <w:autoSpaceDN w:val="0"/>
        <w:adjustRightInd w:val="0"/>
        <w:snapToGrid w:val="0"/>
        <w:spacing w:line="360" w:lineRule="auto"/>
        <w:jc w:val="center"/>
        <w:rPr>
          <w:rFonts w:eastAsia="仿宋_GB2312"/>
          <w:sz w:val="30"/>
          <w:szCs w:val="30"/>
        </w:rPr>
      </w:pPr>
    </w:p>
    <w:p>
      <w:pPr>
        <w:tabs>
          <w:tab w:val="left" w:pos="5670"/>
        </w:tabs>
        <w:autoSpaceDE w:val="0"/>
        <w:autoSpaceDN w:val="0"/>
        <w:adjustRightInd w:val="0"/>
        <w:snapToGrid w:val="0"/>
        <w:spacing w:line="360" w:lineRule="auto"/>
        <w:jc w:val="center"/>
        <w:rPr>
          <w:rFonts w:eastAsia="仿宋_GB2312"/>
          <w:sz w:val="32"/>
          <w:szCs w:val="32"/>
        </w:rPr>
      </w:pPr>
    </w:p>
    <w:p>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pPr>
        <w:tabs>
          <w:tab w:val="left" w:pos="5670"/>
        </w:tabs>
        <w:autoSpaceDE w:val="0"/>
        <w:autoSpaceDN w:val="0"/>
        <w:adjustRightInd w:val="0"/>
        <w:snapToGrid w:val="0"/>
        <w:spacing w:line="360" w:lineRule="auto"/>
        <w:jc w:val="center"/>
        <w:rPr>
          <w:rFonts w:eastAsia="仿宋_GB2312"/>
          <w:sz w:val="32"/>
          <w:szCs w:val="32"/>
        </w:rPr>
      </w:pPr>
    </w:p>
    <w:p>
      <w:pPr>
        <w:tabs>
          <w:tab w:val="left" w:pos="5670"/>
        </w:tabs>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ab/>
      </w:r>
    </w:p>
    <w:p>
      <w:pPr>
        <w:tabs>
          <w:tab w:val="left" w:pos="5670"/>
        </w:tabs>
        <w:autoSpaceDE w:val="0"/>
        <w:autoSpaceDN w:val="0"/>
        <w:adjustRightInd w:val="0"/>
        <w:snapToGrid w:val="0"/>
        <w:spacing w:line="360" w:lineRule="auto"/>
        <w:jc w:val="center"/>
        <w:rPr>
          <w:rFonts w:eastAsia="仿宋_GB2312"/>
          <w:b/>
          <w:bCs/>
          <w:sz w:val="40"/>
          <w:szCs w:val="44"/>
        </w:rPr>
      </w:pPr>
      <w:r>
        <w:rPr>
          <w:rFonts w:hint="eastAsia" w:eastAsia="仿宋_GB2312"/>
          <w:b/>
          <w:bCs/>
          <w:sz w:val="40"/>
          <w:szCs w:val="44"/>
        </w:rPr>
        <w:t>西安市胸科医院门诊电教室电子显示屏采购项目</w:t>
      </w: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sz w:val="50"/>
          <w:szCs w:val="5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p>
    <w:p>
      <w:pPr>
        <w:pStyle w:val="23"/>
        <w:rPr>
          <w:rFonts w:ascii="Times New Roman" w:hAnsi="Times New Roman" w:eastAsia="仿宋_GB2312"/>
          <w:b/>
          <w:bCs/>
          <w:sz w:val="30"/>
          <w:szCs w:val="30"/>
        </w:rPr>
      </w:pPr>
    </w:p>
    <w:p>
      <w:pPr>
        <w:pStyle w:val="23"/>
        <w:rPr>
          <w:rFonts w:ascii="Times New Roman" w:hAnsi="Times New Roman" w:eastAsia="仿宋_GB2312"/>
          <w:b/>
          <w:bCs/>
          <w:sz w:val="30"/>
          <w:szCs w:val="30"/>
        </w:rPr>
      </w:pPr>
    </w:p>
    <w:p>
      <w:pPr>
        <w:pStyle w:val="23"/>
        <w:rPr>
          <w:rFonts w:ascii="Times New Roman" w:hAnsi="Times New Roman" w:eastAsia="仿宋_GB2312"/>
          <w:b/>
          <w:bCs/>
          <w:sz w:val="30"/>
          <w:szCs w:val="30"/>
        </w:rPr>
      </w:pPr>
    </w:p>
    <w:p>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二〇二二年</w:t>
      </w:r>
      <w:r>
        <w:rPr>
          <w:rFonts w:hint="eastAsia" w:eastAsia="仿宋_GB2312"/>
          <w:b/>
          <w:bCs/>
          <w:sz w:val="30"/>
          <w:szCs w:val="30"/>
          <w:lang w:val="zh-CN"/>
        </w:rPr>
        <w:t>八</w:t>
      </w:r>
      <w:r>
        <w:rPr>
          <w:rFonts w:eastAsia="仿宋_GB2312"/>
          <w:b/>
          <w:bCs/>
          <w:sz w:val="30"/>
          <w:szCs w:val="30"/>
          <w:lang w:val="zh-CN"/>
        </w:rPr>
        <w:t>月</w:t>
      </w:r>
    </w:p>
    <w:p>
      <w:pPr>
        <w:tabs>
          <w:tab w:val="left" w:pos="3739"/>
        </w:tabs>
        <w:jc w:val="left"/>
        <w:rPr>
          <w:rFonts w:eastAsia="仿宋_GB2312"/>
          <w:sz w:val="32"/>
          <w:szCs w:val="32"/>
        </w:rPr>
      </w:pPr>
      <w:r>
        <w:rPr>
          <w:rFonts w:eastAsia="仿宋_GB2312"/>
          <w:sz w:val="32"/>
          <w:szCs w:val="32"/>
        </w:rPr>
        <w:tab/>
      </w:r>
    </w:p>
    <w:p>
      <w:pPr>
        <w:rPr>
          <w:rFonts w:eastAsia="仿宋_GB2312"/>
          <w:sz w:val="32"/>
          <w:szCs w:val="32"/>
        </w:rPr>
      </w:pPr>
      <w:r>
        <w:rPr>
          <w:rFonts w:eastAsia="仿宋_GB2312"/>
          <w:sz w:val="32"/>
          <w:szCs w:val="32"/>
        </w:rPr>
        <w:br w:type="page"/>
      </w:r>
    </w:p>
    <w:p>
      <w:pPr>
        <w:pStyle w:val="23"/>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pPr>
        <w:pStyle w:val="15"/>
        <w:ind w:firstLine="0" w:firstLineChars="0"/>
        <w:jc w:val="center"/>
        <w:rPr>
          <w:rFonts w:eastAsia="仿宋_GB2312"/>
          <w:b/>
          <w:sz w:val="32"/>
          <w:szCs w:val="32"/>
        </w:rPr>
      </w:pPr>
      <w:r>
        <w:rPr>
          <w:rFonts w:eastAsia="仿宋_GB2312"/>
          <w:b/>
          <w:sz w:val="32"/>
          <w:szCs w:val="32"/>
        </w:rPr>
        <w:t>目  录</w:t>
      </w:r>
    </w:p>
    <w:p>
      <w:pPr>
        <w:pStyle w:val="35"/>
        <w:tabs>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w:t>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w:t>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5</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w:t>
      </w:r>
      <w:r>
        <w:rPr>
          <w:rFonts w:hint="eastAsia" w:ascii="Times New Roman" w:eastAsia="仿宋_GB2312"/>
          <w:sz w:val="28"/>
          <w:szCs w:val="28"/>
        </w:rPr>
        <w:t xml:space="preserve"> ..</w:t>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26</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w:t>
      </w:r>
      <w:r>
        <w:rPr>
          <w:rFonts w:hint="eastAsia" w:ascii="Times New Roman" w:eastAsia="仿宋_GB2312"/>
          <w:sz w:val="28"/>
          <w:szCs w:val="28"/>
        </w:rPr>
        <w:t>. .</w:t>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34</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w:t>
      </w:r>
      <w:r>
        <w:rPr>
          <w:rFonts w:hint="eastAsia" w:ascii="Times New Roman" w:eastAsia="仿宋_GB2312"/>
          <w:sz w:val="28"/>
          <w:szCs w:val="28"/>
        </w:rPr>
        <w:t>...</w:t>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38</w:t>
      </w:r>
      <w:r>
        <w:rPr>
          <w:rFonts w:ascii="Times New Roman" w:eastAsia="仿宋_GB2312"/>
          <w:sz w:val="28"/>
          <w:szCs w:val="28"/>
        </w:rPr>
        <w:fldChar w:fldCharType="end"/>
      </w:r>
      <w:r>
        <w:rPr>
          <w:rFonts w:ascii="Times New Roman" w:eastAsia="仿宋_GB2312"/>
          <w:sz w:val="28"/>
          <w:szCs w:val="28"/>
        </w:rPr>
        <w:fldChar w:fldCharType="end"/>
      </w:r>
    </w:p>
    <w:p>
      <w:pPr>
        <w:pStyle w:val="35"/>
        <w:tabs>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w:t>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39</w:t>
      </w:r>
      <w:r>
        <w:rPr>
          <w:rFonts w:ascii="Times New Roman" w:eastAsia="仿宋_GB2312"/>
          <w:sz w:val="28"/>
          <w:szCs w:val="28"/>
        </w:rPr>
        <w:fldChar w:fldCharType="end"/>
      </w:r>
      <w:r>
        <w:rPr>
          <w:rFonts w:ascii="Times New Roman" w:eastAsia="仿宋_GB2312"/>
          <w:sz w:val="28"/>
          <w:szCs w:val="28"/>
        </w:rPr>
        <w:fldChar w:fldCharType="end"/>
      </w:r>
    </w:p>
    <w:p>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pPr>
        <w:rPr>
          <w:rFonts w:eastAsia="仿宋_GB2312"/>
          <w:szCs w:val="20"/>
        </w:rPr>
      </w:pPr>
      <w:r>
        <w:rPr>
          <w:rFonts w:eastAsia="仿宋_GB2312"/>
          <w:szCs w:val="20"/>
        </w:rPr>
        <w:br w:type="page"/>
      </w:r>
    </w:p>
    <w:p>
      <w:pPr>
        <w:pStyle w:val="23"/>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3"/>
          <w:rFonts w:ascii="Times New Roman" w:hAnsi="Times New Roman" w:eastAsia="宋体"/>
          <w:sz w:val="36"/>
          <w:szCs w:val="36"/>
        </w:rPr>
      </w:pPr>
      <w:bookmarkStart w:id="0" w:name="_Toc58504445"/>
      <w:bookmarkStart w:id="1" w:name="_Toc68590965"/>
      <w:bookmarkStart w:id="2" w:name="_Toc21755"/>
      <w:bookmarkStart w:id="3" w:name="_Toc415499894"/>
      <w:bookmarkStart w:id="4" w:name="_Toc496324577"/>
      <w:bookmarkStart w:id="5" w:name="_Toc499711041"/>
      <w:bookmarkStart w:id="6" w:name="_Toc492955413"/>
      <w:bookmarkStart w:id="7" w:name="_Toc177817333"/>
      <w:bookmarkStart w:id="8" w:name="_Toc177189234"/>
      <w:bookmarkStart w:id="9" w:name="_Toc176882541"/>
      <w:bookmarkStart w:id="10" w:name="_Toc53722839"/>
      <w:bookmarkStart w:id="11" w:name="_Toc499711882"/>
      <w:bookmarkStart w:id="12" w:name="_Toc70687138"/>
      <w:bookmarkStart w:id="13" w:name="_Toc500746964"/>
      <w:bookmarkStart w:id="14" w:name="_Toc500747060"/>
      <w:bookmarkStart w:id="15" w:name="_Toc500747187"/>
      <w:bookmarkStart w:id="16" w:name="_Toc503063420"/>
      <w:bookmarkStart w:id="17" w:name="_Toc177995472"/>
      <w:bookmarkStart w:id="18" w:name="_Toc385992325"/>
      <w:bookmarkStart w:id="19" w:name="_Toc385992324"/>
      <w:r>
        <w:rPr>
          <w:rStyle w:val="203"/>
          <w:rFonts w:ascii="Times New Roman" w:hAnsi="Times New Roman" w:eastAsia="宋体"/>
          <w:sz w:val="36"/>
          <w:szCs w:val="36"/>
        </w:rPr>
        <w:t>第一章  磋商公告</w:t>
      </w:r>
      <w:bookmarkEnd w:id="0"/>
      <w:bookmarkEnd w:id="1"/>
      <w:bookmarkEnd w:id="2"/>
      <w:bookmarkEnd w:id="3"/>
    </w:p>
    <w:p>
      <w:pPr>
        <w:pStyle w:val="23"/>
        <w:spacing w:line="400" w:lineRule="exact"/>
        <w:rPr>
          <w:rFonts w:ascii="仿宋" w:hAnsi="仿宋" w:eastAsia="仿宋"/>
          <w:b/>
          <w:kern w:val="0"/>
          <w:sz w:val="24"/>
        </w:rPr>
      </w:pPr>
      <w:r>
        <w:rPr>
          <w:rFonts w:ascii="仿宋" w:hAnsi="仿宋" w:eastAsia="仿宋"/>
          <w:b/>
          <w:kern w:val="0"/>
          <w:sz w:val="24"/>
        </w:rPr>
        <w:t>项目概况</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门诊电教室电子显示屏采购项目采购</w:t>
      </w:r>
      <w:r>
        <w:rPr>
          <w:rFonts w:ascii="仿宋" w:hAnsi="仿宋" w:eastAsia="仿宋"/>
          <w:kern w:val="0"/>
          <w:sz w:val="24"/>
        </w:rPr>
        <w:t>项目的潜在供应商应在</w:t>
      </w:r>
      <w:r>
        <w:rPr>
          <w:rFonts w:hint="eastAsia" w:ascii="仿宋" w:hAnsi="仿宋" w:eastAsia="仿宋"/>
          <w:kern w:val="0"/>
          <w:sz w:val="24"/>
        </w:rPr>
        <w:t>西安市高新二路山西证券大厦八楼招标</w:t>
      </w:r>
      <w:r>
        <w:rPr>
          <w:rFonts w:hint="eastAsia" w:ascii="仿宋" w:hAnsi="仿宋" w:eastAsia="仿宋"/>
          <w:color w:val="000000" w:themeColor="text1"/>
          <w:kern w:val="0"/>
          <w:sz w:val="24"/>
        </w:rPr>
        <w:t>四部</w:t>
      </w:r>
      <w:r>
        <w:rPr>
          <w:rFonts w:ascii="仿宋" w:hAnsi="仿宋" w:eastAsia="仿宋"/>
          <w:color w:val="000000" w:themeColor="text1"/>
          <w:kern w:val="0"/>
          <w:sz w:val="24"/>
        </w:rPr>
        <w:t>获取</w:t>
      </w:r>
      <w:r>
        <w:rPr>
          <w:rFonts w:hint="eastAsia" w:ascii="仿宋" w:hAnsi="仿宋" w:eastAsia="仿宋"/>
          <w:color w:val="000000" w:themeColor="text1"/>
          <w:kern w:val="0"/>
          <w:sz w:val="24"/>
        </w:rPr>
        <w:t>采购</w:t>
      </w:r>
      <w:r>
        <w:rPr>
          <w:rFonts w:ascii="仿宋" w:hAnsi="仿宋" w:eastAsia="仿宋"/>
          <w:color w:val="000000" w:themeColor="text1"/>
          <w:kern w:val="0"/>
          <w:sz w:val="24"/>
        </w:rPr>
        <w:t>文件，并于2022年0</w:t>
      </w:r>
      <w:r>
        <w:rPr>
          <w:rFonts w:hint="eastAsia" w:ascii="仿宋" w:hAnsi="仿宋" w:eastAsia="仿宋"/>
          <w:color w:val="000000" w:themeColor="text1"/>
          <w:kern w:val="0"/>
          <w:sz w:val="24"/>
        </w:rPr>
        <w:t>9</w:t>
      </w:r>
      <w:r>
        <w:rPr>
          <w:rFonts w:ascii="仿宋" w:hAnsi="仿宋" w:eastAsia="仿宋"/>
          <w:color w:val="000000" w:themeColor="text1"/>
          <w:kern w:val="0"/>
          <w:sz w:val="24"/>
        </w:rPr>
        <w:t>月</w:t>
      </w:r>
      <w:r>
        <w:rPr>
          <w:rFonts w:hint="eastAsia" w:ascii="仿宋" w:hAnsi="仿宋" w:eastAsia="仿宋"/>
          <w:color w:val="000000" w:themeColor="text1"/>
          <w:kern w:val="0"/>
          <w:sz w:val="24"/>
        </w:rPr>
        <w:t>16</w:t>
      </w:r>
      <w:r>
        <w:rPr>
          <w:rFonts w:ascii="仿宋" w:hAnsi="仿宋" w:eastAsia="仿宋"/>
          <w:color w:val="000000" w:themeColor="text1"/>
          <w:kern w:val="0"/>
          <w:sz w:val="24"/>
        </w:rPr>
        <w:t xml:space="preserve">日 </w:t>
      </w:r>
      <w:r>
        <w:rPr>
          <w:rFonts w:hint="eastAsia" w:ascii="仿宋" w:hAnsi="仿宋" w:eastAsia="仿宋"/>
          <w:color w:val="000000" w:themeColor="text1"/>
          <w:kern w:val="0"/>
          <w:sz w:val="24"/>
        </w:rPr>
        <w:t>14</w:t>
      </w:r>
      <w:r>
        <w:rPr>
          <w:rFonts w:ascii="仿宋" w:hAnsi="仿宋" w:eastAsia="仿宋"/>
          <w:color w:val="000000" w:themeColor="text1"/>
          <w:kern w:val="0"/>
          <w:sz w:val="24"/>
        </w:rPr>
        <w:t>时00分（北京时间）</w:t>
      </w:r>
      <w:r>
        <w:rPr>
          <w:rFonts w:ascii="仿宋" w:hAnsi="仿宋" w:eastAsia="仿宋"/>
          <w:kern w:val="0"/>
          <w:sz w:val="24"/>
        </w:rPr>
        <w:t>前</w:t>
      </w:r>
      <w:r>
        <w:rPr>
          <w:rFonts w:hint="eastAsia" w:ascii="仿宋" w:hAnsi="仿宋" w:eastAsia="仿宋"/>
          <w:kern w:val="0"/>
          <w:sz w:val="24"/>
        </w:rPr>
        <w:t>提交响应文件</w:t>
      </w:r>
      <w:r>
        <w:rPr>
          <w:rFonts w:ascii="仿宋" w:hAnsi="仿宋" w:eastAsia="仿宋"/>
          <w:kern w:val="0"/>
          <w:sz w:val="24"/>
        </w:rPr>
        <w:t>。</w:t>
      </w:r>
    </w:p>
    <w:p>
      <w:pPr>
        <w:pStyle w:val="23"/>
        <w:spacing w:line="400" w:lineRule="exact"/>
        <w:rPr>
          <w:rFonts w:ascii="仿宋" w:hAnsi="仿宋" w:eastAsia="仿宋"/>
          <w:b/>
          <w:kern w:val="0"/>
          <w:sz w:val="24"/>
        </w:rPr>
      </w:pPr>
      <w:r>
        <w:rPr>
          <w:rFonts w:ascii="仿宋" w:hAnsi="仿宋" w:eastAsia="仿宋"/>
          <w:b/>
          <w:kern w:val="0"/>
          <w:sz w:val="24"/>
        </w:rPr>
        <w:t>一、项目基本情况</w:t>
      </w:r>
    </w:p>
    <w:p>
      <w:pPr>
        <w:pStyle w:val="23"/>
        <w:spacing w:line="400" w:lineRule="exact"/>
        <w:rPr>
          <w:rFonts w:ascii="仿宋" w:hAnsi="仿宋" w:eastAsia="仿宋"/>
          <w:kern w:val="0"/>
          <w:sz w:val="24"/>
        </w:rPr>
      </w:pPr>
      <w:r>
        <w:rPr>
          <w:rFonts w:hint="eastAsia" w:ascii="仿宋" w:hAnsi="仿宋" w:eastAsia="仿宋"/>
          <w:kern w:val="0"/>
          <w:sz w:val="24"/>
        </w:rPr>
        <w:t>项目编号：SCZD2022-CS-1614-001</w:t>
      </w:r>
    </w:p>
    <w:p>
      <w:pPr>
        <w:pStyle w:val="23"/>
        <w:spacing w:line="400" w:lineRule="exact"/>
        <w:rPr>
          <w:rFonts w:ascii="仿宋" w:hAnsi="仿宋" w:eastAsia="仿宋"/>
          <w:kern w:val="0"/>
          <w:sz w:val="24"/>
        </w:rPr>
      </w:pPr>
      <w:r>
        <w:rPr>
          <w:rFonts w:hint="eastAsia" w:ascii="仿宋" w:hAnsi="仿宋" w:eastAsia="仿宋"/>
          <w:kern w:val="0"/>
          <w:sz w:val="24"/>
        </w:rPr>
        <w:t>项目名称：门诊电教室电子显示屏采购项目</w:t>
      </w:r>
    </w:p>
    <w:p>
      <w:pPr>
        <w:pStyle w:val="23"/>
        <w:spacing w:line="400" w:lineRule="exact"/>
        <w:rPr>
          <w:rFonts w:ascii="仿宋" w:hAnsi="仿宋" w:eastAsia="仿宋"/>
          <w:kern w:val="0"/>
          <w:sz w:val="24"/>
        </w:rPr>
      </w:pPr>
      <w:r>
        <w:rPr>
          <w:rFonts w:hint="eastAsia" w:ascii="仿宋" w:hAnsi="仿宋" w:eastAsia="仿宋"/>
          <w:kern w:val="0"/>
          <w:sz w:val="24"/>
        </w:rPr>
        <w:t>采购方式：竞争性磋商</w:t>
      </w:r>
    </w:p>
    <w:p>
      <w:pPr>
        <w:pStyle w:val="23"/>
        <w:spacing w:line="400" w:lineRule="exact"/>
        <w:rPr>
          <w:rFonts w:ascii="仿宋" w:hAnsi="仿宋" w:eastAsia="仿宋"/>
          <w:kern w:val="0"/>
          <w:sz w:val="24"/>
        </w:rPr>
      </w:pPr>
      <w:r>
        <w:rPr>
          <w:rFonts w:hint="eastAsia" w:ascii="仿宋" w:hAnsi="仿宋" w:eastAsia="仿宋"/>
          <w:kern w:val="0"/>
          <w:sz w:val="24"/>
        </w:rPr>
        <w:t>预算金额：300,000.00元</w:t>
      </w:r>
    </w:p>
    <w:p>
      <w:pPr>
        <w:pStyle w:val="23"/>
        <w:spacing w:line="400" w:lineRule="exact"/>
        <w:rPr>
          <w:rFonts w:ascii="仿宋" w:hAnsi="仿宋" w:eastAsia="仿宋"/>
          <w:kern w:val="0"/>
          <w:sz w:val="24"/>
        </w:rPr>
      </w:pPr>
      <w:r>
        <w:rPr>
          <w:rFonts w:hint="eastAsia" w:ascii="仿宋" w:hAnsi="仿宋" w:eastAsia="仿宋"/>
          <w:kern w:val="0"/>
          <w:sz w:val="24"/>
        </w:rPr>
        <w:t>采购需求：</w:t>
      </w:r>
    </w:p>
    <w:tbl>
      <w:tblPr>
        <w:tblStyle w:val="50"/>
        <w:tblW w:w="9923" w:type="dxa"/>
        <w:tblInd w:w="-164" w:type="dxa"/>
        <w:tblLayout w:type="fixed"/>
        <w:tblCellMar>
          <w:top w:w="0" w:type="dxa"/>
          <w:left w:w="0" w:type="dxa"/>
          <w:bottom w:w="0" w:type="dxa"/>
          <w:right w:w="0" w:type="dxa"/>
        </w:tblCellMar>
      </w:tblPr>
      <w:tblGrid>
        <w:gridCol w:w="778"/>
        <w:gridCol w:w="1916"/>
        <w:gridCol w:w="1701"/>
        <w:gridCol w:w="1559"/>
        <w:gridCol w:w="1418"/>
        <w:gridCol w:w="2551"/>
      </w:tblGrid>
      <w:tr>
        <w:tblPrEx>
          <w:tblCellMar>
            <w:top w:w="0" w:type="dxa"/>
            <w:left w:w="0" w:type="dxa"/>
            <w:bottom w:w="0" w:type="dxa"/>
            <w:right w:w="0" w:type="dxa"/>
          </w:tblCellMar>
        </w:tblPrEx>
        <w:trPr>
          <w:trHeight w:val="728"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合同包号</w:t>
            </w:r>
          </w:p>
        </w:tc>
        <w:tc>
          <w:tcPr>
            <w:tcW w:w="19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合同包名称</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技术规格、参数及要求</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预算金额（元）</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是否接受联合体</w:t>
            </w:r>
          </w:p>
        </w:tc>
        <w:tc>
          <w:tcPr>
            <w:tcW w:w="25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合同履行期限</w:t>
            </w:r>
          </w:p>
        </w:tc>
      </w:tr>
      <w:tr>
        <w:tblPrEx>
          <w:tblCellMar>
            <w:top w:w="0" w:type="dxa"/>
            <w:left w:w="0" w:type="dxa"/>
            <w:bottom w:w="0" w:type="dxa"/>
            <w:right w:w="0" w:type="dxa"/>
          </w:tblCellMar>
        </w:tblPrEx>
        <w:trPr>
          <w:trHeight w:val="480"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rPr>
                <w:rFonts w:ascii="仿宋" w:hAnsi="仿宋" w:eastAsia="仿宋"/>
                <w:kern w:val="0"/>
                <w:sz w:val="24"/>
              </w:rPr>
            </w:pPr>
            <w:r>
              <w:rPr>
                <w:rFonts w:ascii="仿宋" w:hAnsi="仿宋" w:eastAsia="仿宋"/>
                <w:kern w:val="0"/>
                <w:sz w:val="24"/>
              </w:rPr>
              <w:t>1</w:t>
            </w:r>
          </w:p>
        </w:tc>
        <w:tc>
          <w:tcPr>
            <w:tcW w:w="19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rPr>
                <w:rFonts w:ascii="仿宋" w:hAnsi="仿宋" w:eastAsia="仿宋"/>
                <w:kern w:val="0"/>
                <w:sz w:val="24"/>
              </w:rPr>
            </w:pPr>
            <w:r>
              <w:rPr>
                <w:rFonts w:hint="eastAsia" w:ascii="仿宋" w:hAnsi="仿宋" w:eastAsia="仿宋"/>
                <w:kern w:val="0"/>
                <w:sz w:val="24"/>
              </w:rPr>
              <w:t>西安市胸科医院门诊电教室电子显示屏采购项目</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rPr>
                <w:rFonts w:ascii="仿宋" w:hAnsi="仿宋" w:eastAsia="仿宋"/>
                <w:kern w:val="0"/>
                <w:sz w:val="24"/>
              </w:rPr>
            </w:pPr>
            <w:r>
              <w:rPr>
                <w:rFonts w:ascii="仿宋" w:hAnsi="仿宋" w:eastAsia="仿宋"/>
                <w:kern w:val="0"/>
                <w:sz w:val="24"/>
              </w:rPr>
              <w:t>详见采购文件</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hint="eastAsia" w:ascii="仿宋" w:hAnsi="仿宋" w:eastAsia="仿宋"/>
                <w:kern w:val="0"/>
                <w:sz w:val="24"/>
              </w:rPr>
              <w:t>300,000.00</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jc w:val="center"/>
              <w:rPr>
                <w:rFonts w:ascii="仿宋" w:hAnsi="仿宋" w:eastAsia="仿宋"/>
                <w:kern w:val="0"/>
                <w:sz w:val="24"/>
              </w:rPr>
            </w:pPr>
            <w:r>
              <w:rPr>
                <w:rFonts w:ascii="仿宋" w:hAnsi="仿宋" w:eastAsia="仿宋"/>
                <w:kern w:val="0"/>
                <w:sz w:val="24"/>
              </w:rPr>
              <w:t>否</w:t>
            </w:r>
          </w:p>
        </w:tc>
        <w:tc>
          <w:tcPr>
            <w:tcW w:w="25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3"/>
              <w:spacing w:line="400" w:lineRule="exact"/>
              <w:rPr>
                <w:rFonts w:ascii="仿宋" w:hAnsi="仿宋" w:eastAsia="仿宋"/>
                <w:kern w:val="0"/>
                <w:sz w:val="24"/>
              </w:rPr>
            </w:pPr>
            <w:r>
              <w:rPr>
                <w:rFonts w:hint="eastAsia" w:ascii="仿宋" w:hAnsi="仿宋" w:eastAsia="仿宋"/>
                <w:kern w:val="0"/>
                <w:sz w:val="24"/>
              </w:rPr>
              <w:t>合同签订后，30日历天完成。</w:t>
            </w:r>
          </w:p>
        </w:tc>
      </w:tr>
    </w:tbl>
    <w:p>
      <w:pPr>
        <w:pStyle w:val="23"/>
        <w:spacing w:line="400" w:lineRule="exact"/>
        <w:rPr>
          <w:rFonts w:ascii="仿宋" w:hAnsi="仿宋" w:eastAsia="仿宋"/>
          <w:b/>
          <w:kern w:val="0"/>
          <w:sz w:val="24"/>
        </w:rPr>
      </w:pPr>
      <w:r>
        <w:rPr>
          <w:rFonts w:ascii="仿宋" w:hAnsi="仿宋" w:eastAsia="仿宋"/>
          <w:b/>
          <w:kern w:val="0"/>
          <w:sz w:val="24"/>
        </w:rPr>
        <w:t>二、申请人的资格要求：</w:t>
      </w:r>
    </w:p>
    <w:p>
      <w:pPr>
        <w:pStyle w:val="23"/>
        <w:spacing w:line="400" w:lineRule="exact"/>
        <w:ind w:firstLine="480" w:firstLineChars="200"/>
        <w:rPr>
          <w:rFonts w:ascii="仿宋" w:hAnsi="仿宋" w:eastAsia="仿宋"/>
          <w:kern w:val="0"/>
          <w:sz w:val="24"/>
        </w:rPr>
      </w:pPr>
      <w:r>
        <w:rPr>
          <w:rFonts w:ascii="仿宋" w:hAnsi="仿宋" w:eastAsia="仿宋"/>
          <w:kern w:val="0"/>
          <w:sz w:val="24"/>
        </w:rPr>
        <w:t>1.满足《中华人民共和国政府采购法》第二十二条规定;</w:t>
      </w:r>
    </w:p>
    <w:p>
      <w:pPr>
        <w:pStyle w:val="23"/>
        <w:spacing w:line="400" w:lineRule="exact"/>
        <w:ind w:firstLine="480" w:firstLineChars="200"/>
        <w:rPr>
          <w:rFonts w:ascii="仿宋" w:hAnsi="仿宋" w:eastAsia="仿宋"/>
          <w:kern w:val="0"/>
          <w:sz w:val="24"/>
        </w:rPr>
      </w:pPr>
      <w:r>
        <w:rPr>
          <w:rFonts w:ascii="仿宋" w:hAnsi="仿宋" w:eastAsia="仿宋"/>
          <w:kern w:val="0"/>
          <w:sz w:val="24"/>
        </w:rPr>
        <w:t>2.落实政府采购政策需满足的资格要求：</w:t>
      </w:r>
    </w:p>
    <w:p>
      <w:pPr>
        <w:pStyle w:val="23"/>
        <w:spacing w:line="400" w:lineRule="exact"/>
        <w:ind w:firstLine="480" w:firstLineChars="200"/>
        <w:rPr>
          <w:rFonts w:hint="eastAsia" w:ascii="仿宋" w:hAnsi="仿宋" w:eastAsia="仿宋"/>
          <w:kern w:val="0"/>
          <w:sz w:val="24"/>
        </w:rPr>
      </w:pPr>
      <w:r>
        <w:rPr>
          <w:rFonts w:hint="eastAsia" w:ascii="仿宋" w:hAnsi="仿宋" w:eastAsia="仿宋"/>
          <w:kern w:val="0"/>
          <w:sz w:val="24"/>
        </w:rPr>
        <w:t>本项目为专门面向中小企业的项目，供应商应为中小微企业、监狱企业或残疾人福利性单位。</w:t>
      </w:r>
    </w:p>
    <w:p>
      <w:pPr>
        <w:pStyle w:val="23"/>
        <w:spacing w:line="400" w:lineRule="exact"/>
        <w:ind w:firstLine="480" w:firstLineChars="200"/>
        <w:rPr>
          <w:rFonts w:ascii="仿宋" w:hAnsi="仿宋" w:eastAsia="仿宋"/>
          <w:kern w:val="0"/>
          <w:sz w:val="24"/>
        </w:rPr>
      </w:pPr>
      <w:r>
        <w:rPr>
          <w:rFonts w:ascii="仿宋" w:hAnsi="仿宋" w:eastAsia="仿宋"/>
          <w:kern w:val="0"/>
          <w:sz w:val="24"/>
        </w:rPr>
        <w:t>3.本项目的特定资格要求：</w:t>
      </w:r>
    </w:p>
    <w:p>
      <w:pPr>
        <w:pStyle w:val="23"/>
        <w:spacing w:line="400" w:lineRule="exact"/>
        <w:ind w:firstLine="480" w:firstLineChars="200"/>
        <w:rPr>
          <w:rFonts w:ascii="仿宋" w:hAnsi="仿宋" w:eastAsia="仿宋"/>
          <w:kern w:val="0"/>
          <w:sz w:val="24"/>
        </w:rPr>
      </w:pPr>
      <w:r>
        <w:rPr>
          <w:rFonts w:ascii="仿宋" w:hAnsi="仿宋" w:eastAsia="仿宋"/>
          <w:kern w:val="0"/>
          <w:sz w:val="24"/>
        </w:rPr>
        <w:t>合同包1(</w:t>
      </w:r>
      <w:r>
        <w:rPr>
          <w:rFonts w:hint="eastAsia" w:ascii="仿宋" w:hAnsi="仿宋" w:eastAsia="仿宋"/>
          <w:kern w:val="0"/>
          <w:sz w:val="24"/>
        </w:rPr>
        <w:t>西安市胸科医院门诊电教室电子显示屏采购项目</w:t>
      </w:r>
      <w:r>
        <w:rPr>
          <w:rFonts w:ascii="仿宋" w:hAnsi="仿宋" w:eastAsia="仿宋"/>
          <w:kern w:val="0"/>
          <w:sz w:val="24"/>
        </w:rPr>
        <w:t>)特定资格要求如下:</w:t>
      </w:r>
    </w:p>
    <w:p>
      <w:pPr>
        <w:pStyle w:val="23"/>
        <w:spacing w:line="400" w:lineRule="exact"/>
        <w:ind w:firstLine="480" w:firstLineChars="200"/>
        <w:rPr>
          <w:rFonts w:ascii="仿宋" w:hAnsi="仿宋" w:eastAsia="仿宋"/>
          <w:kern w:val="0"/>
          <w:sz w:val="24"/>
        </w:rPr>
      </w:pPr>
      <w:r>
        <w:rPr>
          <w:rFonts w:ascii="仿宋" w:hAnsi="仿宋" w:eastAsia="仿宋"/>
          <w:kern w:val="0"/>
          <w:sz w:val="24"/>
        </w:rPr>
        <w:t>3.1、供应商在递交</w:t>
      </w:r>
      <w:r>
        <w:rPr>
          <w:rFonts w:hint="eastAsia" w:ascii="仿宋" w:hAnsi="仿宋" w:eastAsia="仿宋"/>
          <w:kern w:val="0"/>
          <w:sz w:val="24"/>
        </w:rPr>
        <w:t>竞争性磋商响应</w:t>
      </w:r>
      <w:r>
        <w:rPr>
          <w:rFonts w:ascii="仿宋" w:hAnsi="仿宋" w:eastAsia="仿宋"/>
          <w:kern w:val="0"/>
          <w:sz w:val="24"/>
        </w:rPr>
        <w:t>文件截止时间前被“信用中国”网站和“中国政府采购网”上被列入失信被执行人、</w:t>
      </w:r>
      <w:r>
        <w:rPr>
          <w:rFonts w:hint="eastAsia" w:ascii="仿宋" w:hAnsi="仿宋" w:eastAsia="仿宋"/>
          <w:kern w:val="0"/>
          <w:sz w:val="24"/>
        </w:rPr>
        <w:t>重大</w:t>
      </w:r>
      <w:r>
        <w:rPr>
          <w:rFonts w:ascii="仿宋" w:hAnsi="仿宋" w:eastAsia="仿宋"/>
          <w:kern w:val="0"/>
          <w:sz w:val="24"/>
        </w:rPr>
        <w:t>税收违法</w:t>
      </w:r>
      <w:r>
        <w:rPr>
          <w:rFonts w:hint="eastAsia" w:ascii="仿宋" w:hAnsi="仿宋" w:eastAsia="仿宋"/>
          <w:kern w:val="0"/>
          <w:sz w:val="24"/>
        </w:rPr>
        <w:t>主体</w:t>
      </w:r>
      <w:r>
        <w:rPr>
          <w:rFonts w:ascii="仿宋" w:hAnsi="仿宋" w:eastAsia="仿宋"/>
          <w:kern w:val="0"/>
          <w:sz w:val="24"/>
        </w:rPr>
        <w:t>、政府采购严重违法失信行为记录名单的，不得参加</w:t>
      </w:r>
      <w:r>
        <w:rPr>
          <w:rFonts w:hint="eastAsia" w:ascii="仿宋" w:hAnsi="仿宋" w:eastAsia="仿宋"/>
          <w:kern w:val="0"/>
          <w:sz w:val="24"/>
        </w:rPr>
        <w:t>磋商</w:t>
      </w:r>
      <w:r>
        <w:rPr>
          <w:rFonts w:ascii="仿宋" w:hAnsi="仿宋" w:eastAsia="仿宋"/>
          <w:kern w:val="0"/>
          <w:sz w:val="24"/>
        </w:rPr>
        <w:t>；</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3.2、供应商参加本项目的合法授权人的授权委托书；</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3、</w:t>
      </w:r>
      <w:r>
        <w:rPr>
          <w:rFonts w:ascii="仿宋" w:hAnsi="仿宋" w:eastAsia="仿宋"/>
          <w:kern w:val="0"/>
          <w:sz w:val="24"/>
        </w:rPr>
        <w:t>供应商不得存在下列情形之一：</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（1）单位负责人为同一人或者存在直接控股、管理关系的不同供应商，不得参加本次采购活动；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（2）为本项目提供整体设计、规范编制或者项目管理、监理、检测等服务的供应商，不得再参加本项目的采购活动；</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3.</w:t>
      </w:r>
      <w:r>
        <w:rPr>
          <w:rFonts w:hint="eastAsia" w:ascii="仿宋" w:hAnsi="仿宋" w:eastAsia="仿宋"/>
          <w:kern w:val="0"/>
          <w:sz w:val="24"/>
        </w:rPr>
        <w:t>6、</w:t>
      </w:r>
      <w:r>
        <w:rPr>
          <w:rFonts w:ascii="仿宋" w:hAnsi="仿宋" w:eastAsia="仿宋"/>
          <w:kern w:val="0"/>
          <w:sz w:val="24"/>
        </w:rPr>
        <w:t>需向采购代理机构</w:t>
      </w:r>
      <w:r>
        <w:rPr>
          <w:rFonts w:hint="eastAsia" w:ascii="仿宋" w:hAnsi="仿宋" w:eastAsia="仿宋"/>
          <w:kern w:val="0"/>
          <w:sz w:val="24"/>
        </w:rPr>
        <w:t>免费获取竞争性磋商</w:t>
      </w:r>
      <w:r>
        <w:rPr>
          <w:rFonts w:ascii="仿宋" w:hAnsi="仿宋" w:eastAsia="仿宋"/>
          <w:kern w:val="0"/>
          <w:sz w:val="24"/>
        </w:rPr>
        <w:t>文件并登记备案，未向采购代理机构</w:t>
      </w:r>
      <w:r>
        <w:rPr>
          <w:rFonts w:hint="eastAsia" w:ascii="仿宋" w:hAnsi="仿宋" w:eastAsia="仿宋"/>
          <w:kern w:val="0"/>
          <w:sz w:val="24"/>
        </w:rPr>
        <w:t>免费获取竞争性磋商</w:t>
      </w:r>
      <w:r>
        <w:rPr>
          <w:rFonts w:ascii="仿宋" w:hAnsi="仿宋" w:eastAsia="仿宋"/>
          <w:kern w:val="0"/>
          <w:sz w:val="24"/>
        </w:rPr>
        <w:t>文件并登记备案的供应商均无资格参加</w:t>
      </w:r>
      <w:r>
        <w:rPr>
          <w:rFonts w:hint="eastAsia" w:ascii="仿宋" w:hAnsi="仿宋" w:eastAsia="仿宋"/>
          <w:kern w:val="0"/>
          <w:sz w:val="24"/>
        </w:rPr>
        <w:t>磋商</w:t>
      </w:r>
      <w:r>
        <w:rPr>
          <w:rFonts w:ascii="仿宋" w:hAnsi="仿宋" w:eastAsia="仿宋"/>
          <w:kern w:val="0"/>
          <w:sz w:val="24"/>
        </w:rPr>
        <w:t>。</w:t>
      </w:r>
    </w:p>
    <w:p>
      <w:pPr>
        <w:pStyle w:val="23"/>
        <w:spacing w:line="400" w:lineRule="exact"/>
        <w:rPr>
          <w:rFonts w:ascii="仿宋" w:hAnsi="仿宋" w:eastAsia="仿宋"/>
          <w:b/>
          <w:kern w:val="0"/>
          <w:sz w:val="24"/>
        </w:rPr>
      </w:pPr>
      <w:r>
        <w:rPr>
          <w:rFonts w:ascii="仿宋" w:hAnsi="仿宋" w:eastAsia="仿宋"/>
          <w:b/>
          <w:kern w:val="0"/>
          <w:sz w:val="24"/>
        </w:rPr>
        <w:t>三、获取</w:t>
      </w:r>
      <w:r>
        <w:rPr>
          <w:rFonts w:hint="eastAsia" w:ascii="仿宋" w:hAnsi="仿宋" w:eastAsia="仿宋"/>
          <w:b/>
          <w:kern w:val="0"/>
          <w:sz w:val="24"/>
        </w:rPr>
        <w:t>采购</w:t>
      </w:r>
      <w:r>
        <w:rPr>
          <w:rFonts w:ascii="仿宋" w:hAnsi="仿宋" w:eastAsia="仿宋"/>
          <w:b/>
          <w:kern w:val="0"/>
          <w:sz w:val="24"/>
        </w:rPr>
        <w:t>文件</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时间：</w:t>
      </w:r>
      <w:r>
        <w:rPr>
          <w:rFonts w:ascii="仿宋" w:hAnsi="仿宋" w:eastAsia="仿宋"/>
          <w:kern w:val="0"/>
          <w:sz w:val="24"/>
        </w:rPr>
        <w:t>2022年</w:t>
      </w:r>
      <w:r>
        <w:rPr>
          <w:rFonts w:hint="eastAsia" w:ascii="仿宋" w:hAnsi="仿宋" w:eastAsia="仿宋"/>
          <w:kern w:val="0"/>
          <w:sz w:val="24"/>
        </w:rPr>
        <w:t>8</w:t>
      </w:r>
      <w:r>
        <w:rPr>
          <w:rFonts w:ascii="仿宋" w:hAnsi="仿宋" w:eastAsia="仿宋"/>
          <w:kern w:val="0"/>
          <w:sz w:val="24"/>
        </w:rPr>
        <w:t>月</w:t>
      </w:r>
      <w:r>
        <w:rPr>
          <w:rFonts w:hint="eastAsia" w:ascii="仿宋" w:hAnsi="仿宋" w:eastAsia="仿宋"/>
          <w:kern w:val="0"/>
          <w:sz w:val="24"/>
        </w:rPr>
        <w:t>31</w:t>
      </w:r>
      <w:r>
        <w:rPr>
          <w:rFonts w:ascii="仿宋" w:hAnsi="仿宋" w:eastAsia="仿宋"/>
          <w:kern w:val="0"/>
          <w:sz w:val="24"/>
        </w:rPr>
        <w:t>日至2022年</w:t>
      </w:r>
      <w:r>
        <w:rPr>
          <w:rFonts w:hint="eastAsia" w:ascii="仿宋" w:hAnsi="仿宋" w:eastAsia="仿宋"/>
          <w:kern w:val="0"/>
          <w:sz w:val="24"/>
        </w:rPr>
        <w:t>9</w:t>
      </w:r>
      <w:r>
        <w:rPr>
          <w:rFonts w:ascii="仿宋" w:hAnsi="仿宋" w:eastAsia="仿宋"/>
          <w:kern w:val="0"/>
          <w:sz w:val="24"/>
        </w:rPr>
        <w:t>月</w:t>
      </w:r>
      <w:r>
        <w:rPr>
          <w:rFonts w:hint="eastAsia" w:ascii="仿宋" w:hAnsi="仿宋" w:eastAsia="仿宋"/>
          <w:kern w:val="0"/>
          <w:sz w:val="24"/>
        </w:rPr>
        <w:t>6</w:t>
      </w:r>
      <w:r>
        <w:rPr>
          <w:rFonts w:ascii="仿宋" w:hAnsi="仿宋" w:eastAsia="仿宋"/>
          <w:kern w:val="0"/>
          <w:sz w:val="24"/>
        </w:rPr>
        <w:t>日，每天上午 08:00:00 至 12:00:00 ，下午 14:00:00 至 18:00:00 （北京时间,法定节假日除外）</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地点：西安市高新二路山西证券大厦八楼招标四部</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方式：线下获取</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售价：免费赠送</w:t>
      </w:r>
    </w:p>
    <w:p>
      <w:pPr>
        <w:pStyle w:val="23"/>
        <w:spacing w:line="400" w:lineRule="exact"/>
        <w:rPr>
          <w:rFonts w:ascii="仿宋" w:hAnsi="仿宋" w:eastAsia="仿宋"/>
          <w:b/>
          <w:kern w:val="0"/>
          <w:sz w:val="24"/>
        </w:rPr>
      </w:pPr>
      <w:r>
        <w:rPr>
          <w:rFonts w:ascii="仿宋" w:hAnsi="仿宋" w:eastAsia="仿宋"/>
          <w:b/>
          <w:kern w:val="0"/>
          <w:sz w:val="24"/>
        </w:rPr>
        <w:t>四、</w:t>
      </w:r>
      <w:r>
        <w:rPr>
          <w:rFonts w:hint="eastAsia" w:ascii="仿宋" w:hAnsi="仿宋" w:eastAsia="仿宋"/>
          <w:b/>
          <w:kern w:val="0"/>
          <w:sz w:val="24"/>
        </w:rPr>
        <w:t>响应文件提交</w:t>
      </w:r>
    </w:p>
    <w:p>
      <w:pPr>
        <w:pStyle w:val="23"/>
        <w:spacing w:line="40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截止时间：</w:t>
      </w:r>
      <w:r>
        <w:rPr>
          <w:rFonts w:ascii="仿宋" w:hAnsi="仿宋" w:eastAsia="仿宋"/>
          <w:color w:val="000000"/>
          <w:kern w:val="0"/>
          <w:sz w:val="24"/>
        </w:rPr>
        <w:t>2022年0</w:t>
      </w:r>
      <w:r>
        <w:rPr>
          <w:rFonts w:hint="eastAsia" w:ascii="仿宋" w:hAnsi="仿宋" w:eastAsia="仿宋"/>
          <w:color w:val="000000"/>
          <w:kern w:val="0"/>
          <w:sz w:val="24"/>
        </w:rPr>
        <w:t>9</w:t>
      </w:r>
      <w:r>
        <w:rPr>
          <w:rFonts w:ascii="仿宋" w:hAnsi="仿宋" w:eastAsia="仿宋"/>
          <w:color w:val="000000"/>
          <w:kern w:val="0"/>
          <w:sz w:val="24"/>
        </w:rPr>
        <w:t>月</w:t>
      </w:r>
      <w:r>
        <w:rPr>
          <w:rFonts w:hint="eastAsia" w:ascii="仿宋" w:hAnsi="仿宋" w:eastAsia="仿宋"/>
          <w:color w:val="000000"/>
          <w:kern w:val="0"/>
          <w:sz w:val="24"/>
        </w:rPr>
        <w:t>16</w:t>
      </w:r>
      <w:r>
        <w:rPr>
          <w:rFonts w:ascii="仿宋" w:hAnsi="仿宋" w:eastAsia="仿宋"/>
          <w:color w:val="000000"/>
          <w:kern w:val="0"/>
          <w:sz w:val="24"/>
        </w:rPr>
        <w:t>日</w:t>
      </w:r>
      <w:r>
        <w:rPr>
          <w:rFonts w:hint="eastAsia" w:ascii="仿宋" w:hAnsi="仿宋" w:eastAsia="仿宋"/>
          <w:color w:val="000000"/>
          <w:kern w:val="0"/>
          <w:sz w:val="24"/>
        </w:rPr>
        <w:t>14</w:t>
      </w:r>
      <w:r>
        <w:rPr>
          <w:rFonts w:ascii="仿宋" w:hAnsi="仿宋" w:eastAsia="仿宋"/>
          <w:color w:val="000000"/>
          <w:kern w:val="0"/>
          <w:sz w:val="24"/>
        </w:rPr>
        <w:t>时00分00秒 </w:t>
      </w:r>
      <w:r>
        <w:rPr>
          <w:rFonts w:hint="eastAsia" w:ascii="仿宋" w:hAnsi="仿宋" w:eastAsia="仿宋"/>
          <w:color w:val="000000"/>
          <w:kern w:val="0"/>
          <w:sz w:val="24"/>
        </w:rPr>
        <w:t>（北京时间）</w:t>
      </w:r>
    </w:p>
    <w:p>
      <w:pPr>
        <w:pStyle w:val="23"/>
        <w:spacing w:line="40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地点：</w:t>
      </w:r>
      <w:r>
        <w:rPr>
          <w:rFonts w:ascii="仿宋" w:hAnsi="仿宋" w:eastAsia="仿宋"/>
          <w:color w:val="000000"/>
          <w:kern w:val="0"/>
          <w:sz w:val="24"/>
        </w:rPr>
        <w:t>西安市高新二路2号山西证券大厦</w:t>
      </w:r>
      <w:r>
        <w:rPr>
          <w:rFonts w:hint="eastAsia" w:ascii="仿宋" w:hAnsi="仿宋" w:eastAsia="仿宋"/>
          <w:color w:val="000000"/>
          <w:kern w:val="0"/>
          <w:sz w:val="24"/>
        </w:rPr>
        <w:t>8</w:t>
      </w:r>
      <w:r>
        <w:rPr>
          <w:rFonts w:ascii="仿宋" w:hAnsi="仿宋" w:eastAsia="仿宋"/>
          <w:color w:val="000000"/>
          <w:kern w:val="0"/>
          <w:sz w:val="24"/>
        </w:rPr>
        <w:t>层第</w:t>
      </w:r>
      <w:r>
        <w:rPr>
          <w:rFonts w:hint="eastAsia" w:ascii="仿宋" w:hAnsi="仿宋" w:eastAsia="仿宋"/>
          <w:color w:val="000000"/>
          <w:kern w:val="0"/>
          <w:sz w:val="24"/>
        </w:rPr>
        <w:t>2</w:t>
      </w:r>
      <w:r>
        <w:rPr>
          <w:rFonts w:ascii="仿宋" w:hAnsi="仿宋" w:eastAsia="仿宋"/>
          <w:color w:val="000000"/>
          <w:kern w:val="0"/>
          <w:sz w:val="24"/>
        </w:rPr>
        <w:t>会议室</w:t>
      </w:r>
    </w:p>
    <w:p>
      <w:pPr>
        <w:pStyle w:val="23"/>
        <w:spacing w:line="400" w:lineRule="exact"/>
        <w:rPr>
          <w:rFonts w:ascii="仿宋" w:hAnsi="仿宋" w:eastAsia="仿宋"/>
          <w:b/>
          <w:color w:val="000000"/>
          <w:kern w:val="0"/>
          <w:sz w:val="24"/>
        </w:rPr>
      </w:pPr>
      <w:r>
        <w:rPr>
          <w:rFonts w:ascii="仿宋" w:hAnsi="仿宋" w:eastAsia="仿宋"/>
          <w:b/>
          <w:color w:val="000000"/>
          <w:kern w:val="0"/>
          <w:sz w:val="24"/>
        </w:rPr>
        <w:t>五、</w:t>
      </w:r>
      <w:r>
        <w:rPr>
          <w:rFonts w:hint="eastAsia" w:ascii="仿宋" w:hAnsi="仿宋" w:eastAsia="仿宋"/>
          <w:b/>
          <w:color w:val="000000"/>
          <w:kern w:val="0"/>
          <w:sz w:val="24"/>
        </w:rPr>
        <w:t>开启</w:t>
      </w:r>
    </w:p>
    <w:p>
      <w:pPr>
        <w:pStyle w:val="23"/>
        <w:spacing w:line="40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时间：</w:t>
      </w:r>
      <w:r>
        <w:rPr>
          <w:rFonts w:ascii="仿宋" w:hAnsi="仿宋" w:eastAsia="仿宋"/>
          <w:color w:val="000000"/>
          <w:kern w:val="0"/>
          <w:sz w:val="24"/>
        </w:rPr>
        <w:t>2022年0</w:t>
      </w:r>
      <w:r>
        <w:rPr>
          <w:rFonts w:hint="eastAsia" w:ascii="仿宋" w:hAnsi="仿宋" w:eastAsia="仿宋"/>
          <w:color w:val="000000"/>
          <w:kern w:val="0"/>
          <w:sz w:val="24"/>
        </w:rPr>
        <w:t>9</w:t>
      </w:r>
      <w:r>
        <w:rPr>
          <w:rFonts w:ascii="仿宋" w:hAnsi="仿宋" w:eastAsia="仿宋"/>
          <w:color w:val="000000"/>
          <w:kern w:val="0"/>
          <w:sz w:val="24"/>
        </w:rPr>
        <w:t>月</w:t>
      </w:r>
      <w:r>
        <w:rPr>
          <w:rFonts w:hint="eastAsia" w:ascii="仿宋" w:hAnsi="仿宋" w:eastAsia="仿宋"/>
          <w:color w:val="000000"/>
          <w:kern w:val="0"/>
          <w:sz w:val="24"/>
        </w:rPr>
        <w:t>16</w:t>
      </w:r>
      <w:r>
        <w:rPr>
          <w:rFonts w:ascii="仿宋" w:hAnsi="仿宋" w:eastAsia="仿宋"/>
          <w:color w:val="000000"/>
          <w:kern w:val="0"/>
          <w:sz w:val="24"/>
        </w:rPr>
        <w:t xml:space="preserve">日 </w:t>
      </w:r>
      <w:r>
        <w:rPr>
          <w:rFonts w:hint="eastAsia" w:ascii="仿宋" w:hAnsi="仿宋" w:eastAsia="仿宋"/>
          <w:color w:val="000000"/>
          <w:kern w:val="0"/>
          <w:sz w:val="24"/>
        </w:rPr>
        <w:t>14</w:t>
      </w:r>
      <w:r>
        <w:rPr>
          <w:rFonts w:ascii="仿宋" w:hAnsi="仿宋" w:eastAsia="仿宋"/>
          <w:color w:val="000000"/>
          <w:kern w:val="0"/>
          <w:sz w:val="24"/>
        </w:rPr>
        <w:t>时00分00秒 </w:t>
      </w:r>
      <w:r>
        <w:rPr>
          <w:rFonts w:hint="eastAsia" w:ascii="仿宋" w:hAnsi="仿宋" w:eastAsia="仿宋"/>
          <w:color w:val="000000"/>
          <w:kern w:val="0"/>
          <w:sz w:val="24"/>
        </w:rPr>
        <w:t>（北京时间）</w:t>
      </w:r>
    </w:p>
    <w:p>
      <w:pPr>
        <w:pStyle w:val="23"/>
        <w:spacing w:line="40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地点：</w:t>
      </w:r>
      <w:r>
        <w:rPr>
          <w:rFonts w:ascii="仿宋" w:hAnsi="仿宋" w:eastAsia="仿宋"/>
          <w:color w:val="000000"/>
          <w:kern w:val="0"/>
          <w:sz w:val="24"/>
        </w:rPr>
        <w:t>西安市高新二路2号山西证券大厦</w:t>
      </w:r>
      <w:r>
        <w:rPr>
          <w:rFonts w:hint="eastAsia" w:ascii="仿宋" w:hAnsi="仿宋" w:eastAsia="仿宋"/>
          <w:color w:val="000000"/>
          <w:kern w:val="0"/>
          <w:sz w:val="24"/>
        </w:rPr>
        <w:t>8</w:t>
      </w:r>
      <w:r>
        <w:rPr>
          <w:rFonts w:ascii="仿宋" w:hAnsi="仿宋" w:eastAsia="仿宋"/>
          <w:color w:val="000000"/>
          <w:kern w:val="0"/>
          <w:sz w:val="24"/>
        </w:rPr>
        <w:t>层第</w:t>
      </w:r>
      <w:r>
        <w:rPr>
          <w:rFonts w:hint="eastAsia" w:ascii="仿宋" w:hAnsi="仿宋" w:eastAsia="仿宋"/>
          <w:color w:val="000000"/>
          <w:kern w:val="0"/>
          <w:sz w:val="24"/>
        </w:rPr>
        <w:t>2</w:t>
      </w:r>
      <w:r>
        <w:rPr>
          <w:rFonts w:ascii="仿宋" w:hAnsi="仿宋" w:eastAsia="仿宋"/>
          <w:color w:val="000000"/>
          <w:kern w:val="0"/>
          <w:sz w:val="24"/>
        </w:rPr>
        <w:t>会议室</w:t>
      </w:r>
    </w:p>
    <w:p>
      <w:pPr>
        <w:pStyle w:val="23"/>
        <w:spacing w:line="400" w:lineRule="exact"/>
        <w:rPr>
          <w:rFonts w:ascii="仿宋" w:hAnsi="仿宋" w:eastAsia="仿宋"/>
          <w:b/>
          <w:kern w:val="0"/>
          <w:sz w:val="24"/>
        </w:rPr>
      </w:pPr>
      <w:r>
        <w:rPr>
          <w:rFonts w:hint="eastAsia" w:ascii="仿宋" w:hAnsi="仿宋" w:eastAsia="仿宋"/>
          <w:b/>
          <w:kern w:val="0"/>
          <w:sz w:val="24"/>
        </w:rPr>
        <w:t>六</w:t>
      </w:r>
      <w:r>
        <w:rPr>
          <w:rFonts w:ascii="仿宋" w:hAnsi="仿宋" w:eastAsia="仿宋"/>
          <w:b/>
          <w:kern w:val="0"/>
          <w:sz w:val="24"/>
        </w:rPr>
        <w:t>、公告期限</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自本公告发布之日起3个工作日。</w:t>
      </w:r>
    </w:p>
    <w:p>
      <w:pPr>
        <w:pStyle w:val="23"/>
        <w:spacing w:line="400" w:lineRule="exact"/>
        <w:rPr>
          <w:rFonts w:ascii="仿宋" w:hAnsi="仿宋" w:eastAsia="仿宋"/>
          <w:b/>
          <w:kern w:val="0"/>
          <w:sz w:val="24"/>
        </w:rPr>
      </w:pPr>
      <w:r>
        <w:rPr>
          <w:rFonts w:ascii="仿宋" w:hAnsi="仿宋" w:eastAsia="仿宋"/>
          <w:b/>
          <w:kern w:val="0"/>
          <w:sz w:val="24"/>
        </w:rPr>
        <w:t>六、其他补充事宜</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注：</w:t>
      </w:r>
      <w:r>
        <w:rPr>
          <w:rFonts w:hint="eastAsia" w:ascii="仿宋" w:hAnsi="仿宋" w:eastAsia="仿宋"/>
          <w:kern w:val="0"/>
          <w:sz w:val="24"/>
        </w:rPr>
        <w:t>在西安市高新二路山西证券大厦8楼招标四部获取竞争性磋商文件，来时携带法人授权书和身份证复印件，登记备案后发送电子版竞争性磋商文件。</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2、落实政府采购政策：</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2.3 《财政部农业农村部国家乡村振兴局关于运用政府采购政策支持乡村产业振兴的通知》（财库〔2021〕19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2.4 《陕西省财政厅关于加快推进我省中小企业政府采购信用融资工作的通知》（陕财办采〔2020〕15 号）、陕西省财政厅关于印发《陕西省中小企业政府采购信用融资办法》（陕财办采〔2018〕23 号）。</w:t>
      </w:r>
    </w:p>
    <w:p>
      <w:pPr>
        <w:pStyle w:val="23"/>
        <w:spacing w:line="400" w:lineRule="exact"/>
        <w:ind w:firstLine="480" w:firstLineChars="200"/>
        <w:rPr>
          <w:rFonts w:ascii="仿宋" w:hAnsi="仿宋" w:eastAsia="仿宋"/>
          <w:kern w:val="0"/>
          <w:sz w:val="24"/>
        </w:rPr>
      </w:pPr>
      <w:r>
        <w:rPr>
          <w:rFonts w:hint="eastAsia" w:ascii="仿宋" w:hAnsi="仿宋" w:eastAsia="仿宋"/>
          <w:kern w:val="0"/>
          <w:sz w:val="24"/>
        </w:rPr>
        <w:t>若享受以上政策优惠的企业，提供相应声明函或品目清单范围内产品的有效认证证书。</w:t>
      </w:r>
    </w:p>
    <w:p>
      <w:pPr>
        <w:pStyle w:val="23"/>
        <w:spacing w:line="400" w:lineRule="exact"/>
        <w:rPr>
          <w:rFonts w:ascii="仿宋" w:hAnsi="仿宋" w:eastAsia="仿宋"/>
          <w:b/>
          <w:kern w:val="0"/>
          <w:sz w:val="24"/>
        </w:rPr>
      </w:pPr>
      <w:r>
        <w:rPr>
          <w:rFonts w:ascii="仿宋" w:hAnsi="仿宋" w:eastAsia="仿宋"/>
          <w:b/>
          <w:kern w:val="0"/>
          <w:sz w:val="24"/>
        </w:rPr>
        <w:t>七、对本次招标提出询问，请按以下方式联系。</w:t>
      </w:r>
    </w:p>
    <w:p>
      <w:pPr>
        <w:widowControl/>
        <w:snapToGrid w:val="0"/>
        <w:spacing w:line="400" w:lineRule="exact"/>
        <w:ind w:right="-197" w:rightChars="-94"/>
        <w:jc w:val="left"/>
        <w:rPr>
          <w:rFonts w:ascii="仿宋" w:hAnsi="仿宋" w:eastAsia="仿宋"/>
          <w:kern w:val="0"/>
          <w:sz w:val="24"/>
        </w:rPr>
      </w:pPr>
      <w:r>
        <w:rPr>
          <w:rFonts w:hint="eastAsia" w:ascii="仿宋" w:hAnsi="仿宋" w:eastAsia="仿宋"/>
          <w:kern w:val="0"/>
          <w:sz w:val="24"/>
        </w:rPr>
        <w:t>1、采购人信息：西安市胸科医院</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地址：陕西省西安市航天大道</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联系方式：</w:t>
      </w:r>
      <w:r>
        <w:rPr>
          <w:rFonts w:ascii="仿宋" w:hAnsi="仿宋" w:eastAsia="仿宋"/>
          <w:kern w:val="0"/>
          <w:sz w:val="24"/>
        </w:rPr>
        <w:t>0</w:t>
      </w:r>
      <w:r>
        <w:rPr>
          <w:rFonts w:hint="eastAsia" w:ascii="仿宋" w:hAnsi="仿宋" w:eastAsia="仿宋"/>
          <w:kern w:val="0"/>
          <w:sz w:val="24"/>
        </w:rPr>
        <w:t>29</w:t>
      </w:r>
      <w:r>
        <w:rPr>
          <w:rFonts w:ascii="仿宋" w:hAnsi="仿宋" w:eastAsia="仿宋"/>
          <w:kern w:val="0"/>
          <w:sz w:val="24"/>
        </w:rPr>
        <w:t>-</w:t>
      </w:r>
      <w:r>
        <w:t xml:space="preserve"> </w:t>
      </w:r>
      <w:r>
        <w:rPr>
          <w:rFonts w:ascii="仿宋" w:hAnsi="仿宋" w:eastAsia="仿宋"/>
          <w:kern w:val="0"/>
          <w:sz w:val="24"/>
        </w:rPr>
        <w:t>62500135</w:t>
      </w:r>
    </w:p>
    <w:p>
      <w:pPr>
        <w:widowControl/>
        <w:snapToGrid w:val="0"/>
        <w:spacing w:line="400" w:lineRule="exact"/>
        <w:ind w:right="-197" w:rightChars="-94"/>
        <w:jc w:val="left"/>
        <w:rPr>
          <w:rFonts w:ascii="仿宋" w:hAnsi="仿宋" w:eastAsia="仿宋"/>
          <w:kern w:val="0"/>
          <w:sz w:val="24"/>
        </w:rPr>
      </w:pPr>
      <w:r>
        <w:rPr>
          <w:rFonts w:hint="eastAsia" w:ascii="仿宋" w:hAnsi="仿宋" w:eastAsia="仿宋"/>
          <w:kern w:val="0"/>
          <w:sz w:val="24"/>
        </w:rPr>
        <w:t>2、采购代理机构信息</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名称：陕西省采购招标有限责任公司</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联系地址：西安市高新二路山西证券大厦8楼</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联系方式：029-88497916</w:t>
      </w:r>
    </w:p>
    <w:p>
      <w:pPr>
        <w:pStyle w:val="23"/>
        <w:spacing w:line="400" w:lineRule="exact"/>
        <w:rPr>
          <w:rFonts w:ascii="仿宋" w:hAnsi="仿宋" w:eastAsia="仿宋"/>
          <w:kern w:val="0"/>
          <w:sz w:val="24"/>
        </w:rPr>
      </w:pPr>
      <w:r>
        <w:rPr>
          <w:rFonts w:hint="eastAsia" w:ascii="仿宋" w:hAnsi="仿宋" w:eastAsia="仿宋"/>
          <w:kern w:val="0"/>
          <w:sz w:val="24"/>
        </w:rPr>
        <w:t>3、项目联系方式：</w:t>
      </w:r>
    </w:p>
    <w:p>
      <w:pPr>
        <w:pStyle w:val="23"/>
        <w:spacing w:line="400" w:lineRule="exact"/>
        <w:ind w:firstLine="360" w:firstLineChars="150"/>
        <w:rPr>
          <w:rFonts w:ascii="仿宋" w:hAnsi="仿宋" w:eastAsia="仿宋"/>
          <w:kern w:val="0"/>
          <w:sz w:val="24"/>
        </w:rPr>
      </w:pPr>
      <w:r>
        <w:rPr>
          <w:rFonts w:hint="eastAsia" w:ascii="仿宋" w:hAnsi="仿宋" w:eastAsia="仿宋"/>
          <w:kern w:val="0"/>
          <w:sz w:val="24"/>
        </w:rPr>
        <w:t>项目联系人：姜凯</w:t>
      </w:r>
    </w:p>
    <w:p>
      <w:pPr>
        <w:pStyle w:val="23"/>
        <w:spacing w:line="400" w:lineRule="exact"/>
        <w:ind w:firstLine="360" w:firstLineChars="150"/>
        <w:rPr>
          <w:rFonts w:ascii="仿宋" w:hAnsi="仿宋" w:eastAsia="仿宋"/>
          <w:kern w:val="0"/>
          <w:sz w:val="24"/>
        </w:rPr>
      </w:pPr>
      <w:r>
        <w:rPr>
          <w:rFonts w:hint="eastAsia" w:ascii="仿宋" w:hAnsi="仿宋" w:eastAsia="仿宋"/>
          <w:kern w:val="0"/>
          <w:sz w:val="24"/>
        </w:rPr>
        <w:t>电话：029-88497916</w:t>
      </w:r>
    </w:p>
    <w:p>
      <w:pPr>
        <w:widowControl/>
        <w:snapToGrid w:val="0"/>
        <w:spacing w:line="400" w:lineRule="exact"/>
        <w:ind w:right="-197" w:rightChars="-94" w:firstLine="360" w:firstLineChars="150"/>
        <w:jc w:val="right"/>
        <w:rPr>
          <w:rFonts w:ascii="仿宋" w:hAnsi="仿宋" w:eastAsia="仿宋"/>
          <w:sz w:val="24"/>
        </w:rPr>
      </w:pPr>
      <w:r>
        <w:rPr>
          <w:rFonts w:hint="eastAsia" w:ascii="仿宋" w:hAnsi="仿宋" w:eastAsia="仿宋"/>
          <w:sz w:val="24"/>
        </w:rPr>
        <w:t>陕西省采购招标有限责任公司</w:t>
      </w:r>
    </w:p>
    <w:p>
      <w:pPr>
        <w:pStyle w:val="23"/>
        <w:spacing w:line="400" w:lineRule="exact"/>
        <w:rPr>
          <w:rFonts w:ascii="Times New Roman" w:hAnsi="Times New Roman" w:eastAsia="仿宋_GB2312"/>
        </w:rPr>
      </w:pPr>
      <w:r>
        <w:rPr>
          <w:rFonts w:hint="eastAsia" w:ascii="仿宋" w:hAnsi="仿宋" w:eastAsia="仿宋"/>
          <w:sz w:val="24"/>
        </w:rPr>
        <w:t xml:space="preserve">                                                        2022年08月30日</w:t>
      </w:r>
      <w:r>
        <w:rPr>
          <w:rFonts w:ascii="Times New Roman" w:hAnsi="Times New Roman" w:eastAsia="仿宋_GB2312"/>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spacing w:line="360" w:lineRule="auto"/>
        <w:rPr>
          <w:rStyle w:val="203"/>
          <w:rFonts w:ascii="Times New Roman" w:hAnsi="Times New Roman" w:eastAsia="宋体"/>
          <w:sz w:val="36"/>
          <w:szCs w:val="36"/>
        </w:rPr>
      </w:pPr>
      <w:bookmarkStart w:id="20" w:name="_Toc249515389"/>
      <w:bookmarkStart w:id="21" w:name="_Toc58504446"/>
      <w:bookmarkStart w:id="22" w:name="_Toc21126"/>
      <w:bookmarkStart w:id="23" w:name="_Toc68590966"/>
      <w:bookmarkStart w:id="24" w:name="_Toc232395211"/>
      <w:bookmarkStart w:id="25" w:name="_Toc249515277"/>
      <w:bookmarkStart w:id="26" w:name="_Toc256342142"/>
      <w:bookmarkStart w:id="27" w:name="_Toc232176271"/>
      <w:bookmarkStart w:id="28" w:name="_Toc230099796"/>
      <w:bookmarkStart w:id="29" w:name="_Toc230013631"/>
      <w:bookmarkStart w:id="30" w:name="_Toc184043011"/>
      <w:bookmarkStart w:id="31" w:name="_Toc249525158"/>
      <w:bookmarkStart w:id="32" w:name="_Toc230583540"/>
      <w:bookmarkStart w:id="33" w:name="_Toc415499895"/>
      <w:bookmarkStart w:id="34" w:name="_Toc230013632"/>
      <w:bookmarkStart w:id="35" w:name="_Toc496324578"/>
      <w:bookmarkStart w:id="36" w:name="_Toc249515390"/>
      <w:bookmarkStart w:id="37" w:name="_Toc53722840"/>
      <w:bookmarkStart w:id="38" w:name="_Toc230099797"/>
      <w:bookmarkStart w:id="39" w:name="_Toc500747061"/>
      <w:bookmarkStart w:id="40" w:name="_Toc499711042"/>
      <w:bookmarkStart w:id="41" w:name="_Toc177189235"/>
      <w:bookmarkStart w:id="42" w:name="_Toc177995473"/>
      <w:bookmarkStart w:id="43" w:name="_Toc249525159"/>
      <w:bookmarkStart w:id="44" w:name="_Toc499711883"/>
      <w:bookmarkStart w:id="45" w:name="_Toc249515278"/>
      <w:bookmarkStart w:id="46" w:name="_Toc177817334"/>
      <w:bookmarkStart w:id="47" w:name="_Toc184043012"/>
      <w:bookmarkStart w:id="48" w:name="_Toc232395212"/>
      <w:bookmarkStart w:id="49" w:name="_Toc256342143"/>
      <w:bookmarkStart w:id="50" w:name="_Toc492955414"/>
      <w:bookmarkStart w:id="51" w:name="_Toc176882542"/>
      <w:bookmarkStart w:id="52" w:name="_Toc230583541"/>
      <w:bookmarkStart w:id="53" w:name="_Toc500747188"/>
      <w:bookmarkStart w:id="54" w:name="_Toc70687139"/>
      <w:bookmarkStart w:id="55" w:name="_Toc232176272"/>
      <w:bookmarkStart w:id="56" w:name="_Toc500746965"/>
      <w:bookmarkStart w:id="57" w:name="_Toc503063421"/>
      <w:r>
        <w:rPr>
          <w:rStyle w:val="203"/>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77"/>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eastAsia="仿宋_GB2312"/>
          <w:sz w:val="24"/>
        </w:rPr>
      </w:pPr>
      <w:r>
        <w:rPr>
          <w:rFonts w:eastAsia="仿宋_GB2312"/>
          <w:sz w:val="24"/>
        </w:rPr>
        <w:t>本表是对供应商须知的具体补充和修改，如有矛盾，均以本表为准。</w:t>
      </w:r>
    </w:p>
    <w:p>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9"/>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496324580"/>
            <w:bookmarkStart w:id="61" w:name="_Toc492955416"/>
            <w:bookmarkStart w:id="62" w:name="_Toc389620165"/>
            <w:bookmarkStart w:id="63" w:name="_Toc500747063"/>
            <w:bookmarkStart w:id="64" w:name="_Toc385992326"/>
            <w:bookmarkStart w:id="65" w:name="_Toc500746967"/>
            <w:bookmarkStart w:id="66" w:name="_Toc499711885"/>
            <w:bookmarkStart w:id="67" w:name="_Toc500747190"/>
            <w:bookmarkStart w:id="68" w:name="_Toc499711044"/>
            <w:bookmarkStart w:id="69" w:name="_Toc503063423"/>
            <w:r>
              <w:rPr>
                <w:rFonts w:ascii="Times New Roman" w:hAnsi="Times New Roman" w:eastAsia="仿宋_GB2312"/>
                <w:b/>
                <w:sz w:val="24"/>
                <w:szCs w:val="24"/>
              </w:rPr>
              <w:t>条款号</w:t>
            </w:r>
          </w:p>
        </w:tc>
        <w:tc>
          <w:tcPr>
            <w:tcW w:w="7650" w:type="dxa"/>
            <w:vAlign w:val="center"/>
          </w:tcPr>
          <w:p>
            <w:pPr>
              <w:pStyle w:val="29"/>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项目名称：</w:t>
            </w:r>
            <w:r>
              <w:rPr>
                <w:rFonts w:hint="eastAsia" w:ascii="Times New Roman" w:hAnsi="Times New Roman" w:eastAsia="仿宋_GB2312"/>
                <w:color w:val="000000"/>
                <w:sz w:val="24"/>
                <w:szCs w:val="24"/>
              </w:rPr>
              <w:t>西安市胸科医院门诊电教室电子显示屏采购项目</w:t>
            </w:r>
          </w:p>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项目编号：SCZD2022-CS-161</w:t>
            </w:r>
            <w:r>
              <w:rPr>
                <w:rFonts w:hint="eastAsia" w:ascii="Times New Roman" w:hAnsi="Times New Roman" w:eastAsia="仿宋_GB2312"/>
                <w:color w:val="000000"/>
                <w:sz w:val="24"/>
                <w:szCs w:val="24"/>
              </w:rPr>
              <w:t>4</w:t>
            </w:r>
            <w:r>
              <w:rPr>
                <w:rFonts w:ascii="Times New Roman" w:hAnsi="Times New Roman" w:eastAsia="仿宋_GB2312"/>
                <w:color w:val="000000"/>
                <w:sz w:val="24"/>
                <w:szCs w:val="24"/>
              </w:rPr>
              <w:t>/001</w:t>
            </w:r>
          </w:p>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资金来源：</w:t>
            </w:r>
            <w:r>
              <w:rPr>
                <w:rFonts w:hint="eastAsia" w:ascii="Times New Roman" w:hAnsi="Times New Roman" w:eastAsia="仿宋_GB2312"/>
                <w:color w:val="000000"/>
                <w:sz w:val="24"/>
                <w:szCs w:val="24"/>
              </w:rPr>
              <w:t>自筹</w:t>
            </w:r>
            <w:r>
              <w:rPr>
                <w:rFonts w:ascii="Times New Roman" w:hAnsi="Times New Roman" w:eastAsia="仿宋_GB2312"/>
                <w:color w:val="000000"/>
                <w:sz w:val="24"/>
                <w:szCs w:val="24"/>
              </w:rPr>
              <w:t>资金</w:t>
            </w:r>
          </w:p>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预算金额：</w:t>
            </w:r>
            <w:r>
              <w:rPr>
                <w:rFonts w:hint="eastAsia" w:ascii="Times New Roman" w:hAnsi="Times New Roman" w:eastAsia="仿宋_GB2312"/>
                <w:color w:val="000000"/>
                <w:sz w:val="24"/>
                <w:szCs w:val="24"/>
              </w:rPr>
              <w:t>30万元</w:t>
            </w:r>
          </w:p>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采购方式：竞争性磋商</w:t>
            </w:r>
          </w:p>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采购内容：详见本磋商文件第五章</w:t>
            </w:r>
          </w:p>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项目所属行业：</w:t>
            </w:r>
            <w:r>
              <w:rPr>
                <w:rFonts w:hint="eastAsia" w:ascii="Times New Roman" w:hAnsi="Times New Roman" w:eastAsia="仿宋_GB2312"/>
                <w:b/>
                <w:bCs/>
                <w:color w:val="000000"/>
                <w:sz w:val="24"/>
                <w:szCs w:val="24"/>
                <w:u w:val="single"/>
              </w:rPr>
              <w:t>其他未列明的行业</w:t>
            </w:r>
            <w:r>
              <w:rPr>
                <w:rFonts w:ascii="Times New Roman" w:hAnsi="Times New Roman" w:eastAsia="仿宋_GB2312"/>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pPr>
              <w:pStyle w:val="29"/>
              <w:adjustRightInd w:val="0"/>
              <w:snapToGrid w:val="0"/>
              <w:spacing w:line="24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采购人：</w:t>
            </w:r>
            <w:r>
              <w:rPr>
                <w:rFonts w:hint="eastAsia" w:ascii="Times New Roman" w:hAnsi="Times New Roman" w:eastAsia="仿宋_GB2312"/>
                <w:color w:val="000000"/>
                <w:sz w:val="24"/>
                <w:szCs w:val="24"/>
              </w:rPr>
              <w:t>西安市胸科医院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r>
              <w:rPr>
                <w:rFonts w:hint="eastAsia" w:ascii="Times New Roman" w:hAnsi="Times New Roman" w:eastAsia="仿宋_GB2312"/>
                <w:sz w:val="24"/>
                <w:szCs w:val="24"/>
              </w:rPr>
              <w:t>：</w:t>
            </w:r>
            <w:r>
              <w:rPr>
                <w:rFonts w:ascii="Times New Roman" w:hAnsi="Times New Roman" w:eastAsia="仿宋_GB2312"/>
                <w:sz w:val="24"/>
                <w:szCs w:val="24"/>
              </w:rPr>
              <w:t>发布磋商公告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pPr>
              <w:pStyle w:val="14"/>
              <w:spacing w:line="360" w:lineRule="auto"/>
              <w:rPr>
                <w:rFonts w:ascii="Times New Roman" w:eastAsia="仿宋_GB2312" w:cs="Times New Roman"/>
                <w:color w:val="auto"/>
                <w:kern w:val="2"/>
              </w:rPr>
            </w:pPr>
            <w:r>
              <w:rPr>
                <w:rFonts w:ascii="Times New Roman" w:eastAsia="仿宋_GB2312" w:cs="Times New Roman"/>
                <w:color w:val="auto"/>
              </w:rPr>
              <w:t>是否为专门面向中小企业采购：</w:t>
            </w:r>
            <w:r>
              <w:rPr>
                <w:rFonts w:hint="eastAsia" w:ascii="Times New Roman" w:eastAsia="仿宋_GB2312" w:cs="Times New Roman"/>
                <w:color w:val="auto"/>
                <w:u w:val="single"/>
              </w:rPr>
              <w:t>本项目为专门面向中小企业的项目，供应商应为中小微企业、监狱企业或残疾人福利性单位。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pPr>
              <w:spacing w:line="312" w:lineRule="auto"/>
              <w:rPr>
                <w:rFonts w:eastAsia="仿宋_GB2312"/>
                <w:sz w:val="24"/>
              </w:rPr>
            </w:pPr>
            <w:r>
              <w:rPr>
                <w:rFonts w:eastAsia="仿宋_GB2312"/>
                <w:sz w:val="24"/>
              </w:rPr>
              <w:t>成交响应报价为完成本项目并达到磋商文件要求所需要的全部费用，服务响应报价为提供磋商文件要求服务的所有费用，</w:t>
            </w:r>
            <w:r>
              <w:rPr>
                <w:rFonts w:hint="eastAsia" w:eastAsia="仿宋_GB2312"/>
                <w:sz w:val="24"/>
              </w:rPr>
              <w:t>包括但不限于管理人员和服务人员的人工费（工资、社保、福利等）、员工培训费、办公经费、劳保及人身意外保险费、企业法定利润、财务费用、管理费用和税金等一切费用。</w:t>
            </w:r>
          </w:p>
          <w:p>
            <w:pPr>
              <w:pStyle w:val="29"/>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pPr>
              <w:pStyle w:val="29"/>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tc>
        <w:tc>
          <w:tcPr>
            <w:tcW w:w="7650" w:type="dxa"/>
            <w:vAlign w:val="center"/>
          </w:tcPr>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本项目</w:t>
            </w:r>
            <w:r>
              <w:rPr>
                <w:rFonts w:hint="eastAsia" w:ascii="Times New Roman" w:hAnsi="Times New Roman" w:eastAsia="仿宋_GB2312"/>
                <w:sz w:val="24"/>
                <w:szCs w:val="24"/>
              </w:rPr>
              <w:t>不收取</w:t>
            </w:r>
            <w:r>
              <w:rPr>
                <w:rFonts w:ascii="Times New Roman" w:hAnsi="Times New Roman" w:eastAsia="仿宋_GB2312"/>
                <w:sz w:val="24"/>
                <w:szCs w:val="24"/>
              </w:rPr>
              <w:t>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磋商有效期：自响应文件递交之日起</w:t>
            </w:r>
            <w:r>
              <w:rPr>
                <w:rFonts w:ascii="Times New Roman" w:hAnsi="Times New Roman" w:eastAsia="仿宋_GB2312"/>
                <w:sz w:val="24"/>
                <w:szCs w:val="24"/>
                <w:u w:val="single"/>
              </w:rPr>
              <w:t xml:space="preserve">  60  </w:t>
            </w:r>
            <w:r>
              <w:rPr>
                <w:rFonts w:ascii="Times New Roman" w:hAnsi="Times New Roman" w:eastAsia="仿宋_GB231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pPr>
              <w:pStyle w:val="29"/>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17.2</w:t>
            </w:r>
          </w:p>
        </w:tc>
        <w:tc>
          <w:tcPr>
            <w:tcW w:w="7650" w:type="dxa"/>
            <w:vAlign w:val="center"/>
          </w:tcPr>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密封袋（箱）上须标注：</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（l）采购项目编号：</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 xml:space="preserve">    （2）项目名称：</w:t>
            </w:r>
          </w:p>
          <w:p>
            <w:pPr>
              <w:pStyle w:val="29"/>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（3）供应商的名称、地址、联系人、电话和传真。</w:t>
            </w:r>
          </w:p>
          <w:p>
            <w:pPr>
              <w:pStyle w:val="29"/>
              <w:adjustRightInd w:val="0"/>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pPr>
              <w:pStyle w:val="29"/>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本项目不要求提交样品。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pPr>
              <w:tabs>
                <w:tab w:val="left" w:pos="588"/>
              </w:tabs>
              <w:spacing w:line="360" w:lineRule="auto"/>
              <w:rPr>
                <w:rFonts w:eastAsia="仿宋_GB2312"/>
                <w:kern w:val="24"/>
                <w:sz w:val="24"/>
                <w:szCs w:val="21"/>
              </w:rPr>
            </w:pPr>
            <w:r>
              <w:rPr>
                <w:rFonts w:eastAsia="仿宋_GB2312"/>
                <w:kern w:val="24"/>
                <w:sz w:val="24"/>
                <w:szCs w:val="21"/>
              </w:rPr>
              <w:t>响应文件递交截止时间：20</w:t>
            </w:r>
            <w:r>
              <w:rPr>
                <w:rFonts w:hint="eastAsia" w:eastAsia="仿宋_GB2312"/>
                <w:kern w:val="24"/>
                <w:sz w:val="24"/>
                <w:szCs w:val="21"/>
              </w:rPr>
              <w:t>22</w:t>
            </w:r>
            <w:r>
              <w:rPr>
                <w:rFonts w:eastAsia="仿宋_GB2312"/>
                <w:kern w:val="24"/>
                <w:sz w:val="24"/>
                <w:szCs w:val="21"/>
              </w:rPr>
              <w:t>年</w:t>
            </w:r>
            <w:r>
              <w:rPr>
                <w:rFonts w:hint="eastAsia" w:eastAsia="仿宋_GB2312"/>
                <w:kern w:val="24"/>
                <w:sz w:val="24"/>
                <w:szCs w:val="21"/>
              </w:rPr>
              <w:t>09</w:t>
            </w:r>
            <w:r>
              <w:rPr>
                <w:rFonts w:eastAsia="仿宋_GB2312"/>
                <w:kern w:val="24"/>
                <w:sz w:val="24"/>
                <w:szCs w:val="21"/>
              </w:rPr>
              <w:t>月</w:t>
            </w:r>
            <w:r>
              <w:rPr>
                <w:rFonts w:hint="eastAsia" w:eastAsia="仿宋_GB2312"/>
                <w:kern w:val="24"/>
                <w:sz w:val="24"/>
                <w:szCs w:val="21"/>
              </w:rPr>
              <w:t>16</w:t>
            </w:r>
            <w:r>
              <w:rPr>
                <w:rFonts w:eastAsia="仿宋_GB2312"/>
                <w:kern w:val="24"/>
                <w:sz w:val="24"/>
                <w:szCs w:val="21"/>
              </w:rPr>
              <w:t>日</w:t>
            </w:r>
            <w:r>
              <w:rPr>
                <w:rFonts w:hint="eastAsia" w:eastAsia="仿宋_GB2312"/>
                <w:kern w:val="24"/>
                <w:sz w:val="24"/>
                <w:szCs w:val="21"/>
              </w:rPr>
              <w:t>14:00</w:t>
            </w:r>
            <w:r>
              <w:rPr>
                <w:rFonts w:eastAsia="仿宋_GB2312"/>
                <w:kern w:val="24"/>
                <w:sz w:val="24"/>
                <w:szCs w:val="21"/>
              </w:rPr>
              <w:t>（北京时间）。</w:t>
            </w:r>
          </w:p>
          <w:p>
            <w:pPr>
              <w:tabs>
                <w:tab w:val="left" w:pos="588"/>
              </w:tabs>
              <w:spacing w:line="360" w:lineRule="auto"/>
              <w:rPr>
                <w:rFonts w:eastAsia="仿宋_GB2312"/>
                <w:kern w:val="24"/>
                <w:sz w:val="24"/>
                <w:szCs w:val="21"/>
              </w:rPr>
            </w:pPr>
            <w:r>
              <w:rPr>
                <w:rFonts w:eastAsia="仿宋_GB2312"/>
                <w:kern w:val="24"/>
                <w:sz w:val="24"/>
                <w:szCs w:val="21"/>
              </w:rPr>
              <w:t>响应文件递交地点：</w:t>
            </w:r>
            <w:r>
              <w:rPr>
                <w:rFonts w:hint="eastAsia" w:eastAsia="仿宋_GB2312"/>
                <w:kern w:val="24"/>
                <w:sz w:val="24"/>
                <w:szCs w:val="21"/>
              </w:rPr>
              <w:t>西安市高新二路山西证券大厦八楼第2</w:t>
            </w:r>
            <w:r>
              <w:rPr>
                <w:rFonts w:eastAsia="仿宋_GB2312"/>
                <w:kern w:val="24"/>
                <w:sz w:val="24"/>
                <w:szCs w:val="21"/>
              </w:rPr>
              <w:t>会议室。</w:t>
            </w:r>
          </w:p>
          <w:p>
            <w:pPr>
              <w:tabs>
                <w:tab w:val="left" w:pos="588"/>
              </w:tabs>
              <w:spacing w:line="360" w:lineRule="auto"/>
              <w:rPr>
                <w:rFonts w:eastAsia="仿宋_GB2312"/>
                <w:sz w:val="24"/>
              </w:rPr>
            </w:pPr>
            <w:r>
              <w:rPr>
                <w:rFonts w:eastAsia="仿宋_GB2312"/>
                <w:kern w:val="24"/>
                <w:sz w:val="24"/>
                <w:szCs w:val="21"/>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9"/>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pPr>
              <w:spacing w:line="360" w:lineRule="exact"/>
              <w:rPr>
                <w:rFonts w:eastAsia="仿宋_GB2312"/>
                <w:sz w:val="24"/>
              </w:rPr>
            </w:pPr>
            <w:r>
              <w:rPr>
                <w:rFonts w:eastAsia="仿宋_GB2312"/>
                <w:sz w:val="24"/>
              </w:rPr>
              <w:t>磋商小组由</w:t>
            </w:r>
            <w:r>
              <w:rPr>
                <w:rFonts w:eastAsia="仿宋_GB2312"/>
                <w:b/>
                <w:bCs/>
                <w:sz w:val="24"/>
                <w:u w:val="single"/>
              </w:rPr>
              <w:t>3</w:t>
            </w:r>
            <w:r>
              <w:rPr>
                <w:rFonts w:eastAsia="仿宋_GB2312"/>
                <w:sz w:val="24"/>
              </w:rPr>
              <w:t>人组成，其中评审专家</w:t>
            </w:r>
            <w:r>
              <w:rPr>
                <w:rFonts w:hint="eastAsia" w:eastAsia="仿宋_GB2312"/>
                <w:sz w:val="24"/>
                <w:u w:val="single"/>
              </w:rPr>
              <w:t>2</w:t>
            </w:r>
            <w:r>
              <w:rPr>
                <w:rFonts w:eastAsia="仿宋_GB2312"/>
                <w:sz w:val="24"/>
              </w:rPr>
              <w:t>人，采购人代表</w:t>
            </w:r>
            <w:r>
              <w:rPr>
                <w:rFonts w:hint="eastAsia" w:eastAsia="仿宋_GB2312"/>
                <w:sz w:val="24"/>
                <w:u w:val="single"/>
              </w:rPr>
              <w:t>1</w:t>
            </w:r>
            <w:r>
              <w:rPr>
                <w:rFonts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80" w:type="dxa"/>
            <w:vAlign w:val="center"/>
          </w:tcPr>
          <w:p>
            <w:pPr>
              <w:jc w:val="center"/>
              <w:rPr>
                <w:rFonts w:eastAsia="仿宋_GB2312"/>
                <w:sz w:val="24"/>
              </w:rPr>
            </w:pPr>
            <w:r>
              <w:rPr>
                <w:rFonts w:eastAsia="仿宋_GB2312"/>
                <w:sz w:val="24"/>
              </w:rPr>
              <w:t>28.1</w:t>
            </w:r>
          </w:p>
        </w:tc>
        <w:tc>
          <w:tcPr>
            <w:tcW w:w="7650" w:type="dxa"/>
            <w:vAlign w:val="center"/>
          </w:tcPr>
          <w:p>
            <w:pPr>
              <w:jc w:val="left"/>
              <w:rPr>
                <w:rFonts w:eastAsia="仿宋_GB2312"/>
              </w:rPr>
            </w:pPr>
            <w:r>
              <w:rPr>
                <w:rFonts w:eastAsia="仿宋_GB2312"/>
                <w:sz w:val="24"/>
              </w:rPr>
              <w:t>本项目不要求履约保证金。</w:t>
            </w:r>
          </w:p>
        </w:tc>
      </w:tr>
    </w:tbl>
    <w:p>
      <w:pPr>
        <w:rPr>
          <w:rFonts w:eastAsia="仿宋_GB2312"/>
          <w:sz w:val="30"/>
          <w:szCs w:val="30"/>
        </w:rPr>
      </w:pPr>
      <w:bookmarkStart w:id="70" w:name="_Toc230013633"/>
      <w:bookmarkStart w:id="71" w:name="_Toc256342144"/>
      <w:bookmarkStart w:id="72" w:name="_Toc249525160"/>
      <w:bookmarkStart w:id="73" w:name="_Toc232176273"/>
      <w:bookmarkStart w:id="74" w:name="_Toc176882543"/>
      <w:bookmarkStart w:id="75" w:name="_Toc177995474"/>
      <w:bookmarkStart w:id="76" w:name="_Toc184043013"/>
      <w:bookmarkStart w:id="77" w:name="_Toc249515391"/>
      <w:bookmarkStart w:id="78" w:name="_Toc249515279"/>
      <w:bookmarkStart w:id="79" w:name="_Toc53722841"/>
      <w:bookmarkStart w:id="80" w:name="_Toc230099798"/>
      <w:bookmarkStart w:id="81" w:name="_Toc232395213"/>
      <w:bookmarkStart w:id="82" w:name="_Toc177189236"/>
      <w:bookmarkStart w:id="83" w:name="_Toc70687140"/>
      <w:bookmarkStart w:id="84" w:name="_Toc230583542"/>
      <w:bookmarkStart w:id="85" w:name="_Toc177817335"/>
      <w:r>
        <w:rPr>
          <w:rFonts w:eastAsia="仿宋_GB2312"/>
          <w:sz w:val="30"/>
          <w:szCs w:val="30"/>
        </w:rPr>
        <w:br w:type="page"/>
      </w:r>
    </w:p>
    <w:p>
      <w:pPr>
        <w:pStyle w:val="77"/>
        <w:spacing w:before="24" w:after="24"/>
        <w:jc w:val="center"/>
        <w:rPr>
          <w:rFonts w:eastAsia="仿宋_GB2312"/>
          <w:szCs w:val="32"/>
        </w:rPr>
      </w:pPr>
      <w:bookmarkStart w:id="86" w:name="_Toc68590968"/>
      <w:r>
        <w:rPr>
          <w:rFonts w:eastAsia="仿宋_GB2312"/>
          <w:szCs w:val="32"/>
        </w:rPr>
        <w:t>（二）供应商须知</w:t>
      </w:r>
      <w:bookmarkEnd w:id="86"/>
    </w:p>
    <w:p>
      <w:pPr>
        <w:pStyle w:val="77"/>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pPr>
        <w:rPr>
          <w:rFonts w:eastAsia="仿宋_GB2312"/>
        </w:rPr>
      </w:pPr>
    </w:p>
    <w:p>
      <w:pPr>
        <w:pStyle w:val="5"/>
        <w:rPr>
          <w:rFonts w:ascii="Times New Roman" w:hAnsi="Times New Roman" w:eastAsia="仿宋_GB2312"/>
          <w:b/>
          <w:sz w:val="24"/>
          <w:szCs w:val="21"/>
        </w:rPr>
      </w:pPr>
      <w:bookmarkStart w:id="88" w:name="_Hlt14560612"/>
      <w:bookmarkEnd w:id="88"/>
      <w:bookmarkStart w:id="89" w:name="_Toc249515392"/>
      <w:bookmarkStart w:id="90" w:name="_Toc249515280"/>
      <w:bookmarkStart w:id="91" w:name="_Toc184043014"/>
      <w:bookmarkStart w:id="92" w:name="_Toc249525161"/>
      <w:bookmarkStart w:id="93" w:name="_Toc25504"/>
      <w:r>
        <w:rPr>
          <w:rFonts w:ascii="Times New Roman" w:hAnsi="Times New Roman" w:eastAsia="仿宋_GB2312"/>
          <w:b/>
          <w:sz w:val="24"/>
          <w:szCs w:val="21"/>
        </w:rPr>
        <w:t>1.     项目说明</w:t>
      </w:r>
      <w:bookmarkEnd w:id="89"/>
      <w:bookmarkEnd w:id="90"/>
      <w:bookmarkEnd w:id="91"/>
      <w:bookmarkEnd w:id="92"/>
      <w:bookmarkEnd w:id="93"/>
    </w:p>
    <w:p>
      <w:pPr>
        <w:pStyle w:val="63"/>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pPr>
        <w:pStyle w:val="5"/>
        <w:rPr>
          <w:rFonts w:ascii="Times New Roman" w:hAnsi="Times New Roman" w:eastAsia="仿宋_GB2312"/>
          <w:b/>
          <w:sz w:val="24"/>
          <w:szCs w:val="21"/>
        </w:rPr>
      </w:pPr>
      <w:bookmarkStart w:id="94" w:name="_Toc249515393"/>
      <w:bookmarkStart w:id="95" w:name="_Toc31509"/>
      <w:bookmarkStart w:id="96" w:name="_Toc70687142"/>
      <w:bookmarkStart w:id="97" w:name="_Toc249515281"/>
      <w:bookmarkStart w:id="98" w:name="_Toc184043015"/>
      <w:bookmarkStart w:id="99" w:name="_Toc249525162"/>
      <w:r>
        <w:rPr>
          <w:rFonts w:ascii="Times New Roman" w:hAnsi="Times New Roman" w:eastAsia="仿宋_GB2312"/>
          <w:b/>
          <w:sz w:val="24"/>
          <w:szCs w:val="21"/>
        </w:rPr>
        <w:t>2.     定义</w:t>
      </w:r>
      <w:bookmarkEnd w:id="94"/>
      <w:bookmarkEnd w:id="95"/>
      <w:bookmarkEnd w:id="96"/>
      <w:bookmarkEnd w:id="97"/>
      <w:bookmarkEnd w:id="98"/>
      <w:bookmarkEnd w:id="99"/>
    </w:p>
    <w:p>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pPr>
        <w:pStyle w:val="23"/>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pPr>
        <w:pStyle w:val="23"/>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磋商小组：指依据《中华人民共和国政府采购法》和财政部《政府采购竞争性磋商采购方式管理暂行办法》有关规定组建，依法依规履行其职责和义务的机构。</w:t>
      </w:r>
    </w:p>
    <w:p>
      <w:pPr>
        <w:pStyle w:val="5"/>
        <w:rPr>
          <w:rFonts w:ascii="Times New Roman" w:hAnsi="Times New Roman" w:eastAsia="仿宋_GB2312"/>
          <w:b/>
          <w:sz w:val="24"/>
          <w:szCs w:val="21"/>
        </w:rPr>
      </w:pPr>
      <w:bookmarkStart w:id="100" w:name="_Toc184043016"/>
      <w:bookmarkStart w:id="101" w:name="_Toc249525163"/>
      <w:bookmarkStart w:id="102" w:name="_Toc385992329"/>
      <w:bookmarkStart w:id="103" w:name="_Toc23705"/>
      <w:bookmarkStart w:id="104" w:name="_Toc70687143"/>
      <w:bookmarkStart w:id="105" w:name="_Toc389620168"/>
      <w:bookmarkStart w:id="106" w:name="_Toc249515394"/>
      <w:bookmarkStart w:id="107" w:name="_Toc249515282"/>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、政府采购严重违法失信行为记录名单，否则不得参与政府采购活动。</w:t>
      </w:r>
    </w:p>
    <w:p>
      <w:pPr>
        <w:tabs>
          <w:tab w:val="left" w:pos="588"/>
        </w:tabs>
        <w:spacing w:line="360" w:lineRule="auto"/>
        <w:rPr>
          <w:rFonts w:eastAsia="仿宋_GB2312"/>
          <w:kern w:val="24"/>
          <w:sz w:val="24"/>
          <w:szCs w:val="21"/>
        </w:rPr>
      </w:pPr>
      <w:r>
        <w:rPr>
          <w:rFonts w:eastAsia="仿宋_GB2312"/>
          <w:kern w:val="24"/>
          <w:sz w:val="24"/>
          <w:szCs w:val="21"/>
        </w:rPr>
        <w:t>3.2.2  信用信息查询的时间：响应文件递交截止时间之后至磋商</w:t>
      </w:r>
      <w:r>
        <w:rPr>
          <w:rFonts w:eastAsia="仿宋_GB2312"/>
          <w:sz w:val="24"/>
        </w:rPr>
        <w:t>资格性检查结束</w:t>
      </w:r>
      <w:r>
        <w:rPr>
          <w:rFonts w:eastAsia="仿宋_GB2312"/>
          <w:kern w:val="24"/>
          <w:sz w:val="24"/>
          <w:szCs w:val="21"/>
        </w:rPr>
        <w:t xml:space="preserve">。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3.2.3  查询渠道：“信用中国”网站（www.creditchina.gov.cn）和中国政府采购网（www.ccgp.gov.cn）；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2</w:t>
      </w:r>
      <w:r>
        <w:rPr>
          <w:rFonts w:eastAsia="仿宋_GB2312"/>
          <w:kern w:val="24"/>
          <w:sz w:val="24"/>
          <w:szCs w:val="21"/>
        </w:rPr>
        <w:t>.5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p>
    <w:p>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pPr>
        <w:pStyle w:val="23"/>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pPr>
        <w:pStyle w:val="5"/>
        <w:rPr>
          <w:rFonts w:ascii="Times New Roman" w:hAnsi="Times New Roman" w:eastAsia="仿宋_GB2312"/>
          <w:b/>
          <w:sz w:val="24"/>
          <w:szCs w:val="21"/>
        </w:rPr>
      </w:pPr>
      <w:bookmarkStart w:id="108" w:name="_Toc249515283"/>
      <w:bookmarkStart w:id="109" w:name="_Toc249515395"/>
      <w:bookmarkStart w:id="110" w:name="_Toc184043017"/>
      <w:bookmarkStart w:id="111" w:name="_Toc70687144"/>
      <w:bookmarkStart w:id="112" w:name="_Toc26580"/>
      <w:bookmarkStart w:id="113" w:name="_Toc249525164"/>
      <w:bookmarkStart w:id="114" w:name="_Toc385992330"/>
      <w:bookmarkStart w:id="115" w:name="_Toc389620169"/>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pPr>
        <w:pStyle w:val="23"/>
        <w:rPr>
          <w:rFonts w:ascii="Times New Roman" w:hAnsi="Times New Roman" w:eastAsia="仿宋_GB2312"/>
        </w:rPr>
      </w:pPr>
    </w:p>
    <w:p>
      <w:pPr>
        <w:pStyle w:val="77"/>
        <w:spacing w:before="24" w:after="24"/>
        <w:ind w:left="3313"/>
        <w:rPr>
          <w:rFonts w:eastAsia="仿宋_GB2312"/>
          <w:sz w:val="30"/>
          <w:szCs w:val="30"/>
        </w:rPr>
      </w:pPr>
      <w:bookmarkStart w:id="116" w:name="_Toc68590970"/>
      <w:r>
        <w:rPr>
          <w:rFonts w:eastAsia="仿宋_GB2312"/>
          <w:sz w:val="30"/>
          <w:szCs w:val="30"/>
        </w:rPr>
        <w:t>二、磋商文件说明</w:t>
      </w:r>
      <w:bookmarkEnd w:id="116"/>
    </w:p>
    <w:p>
      <w:pPr>
        <w:rPr>
          <w:rFonts w:eastAsia="仿宋_GB2312"/>
        </w:rPr>
      </w:pPr>
    </w:p>
    <w:p>
      <w:pPr>
        <w:pStyle w:val="5"/>
        <w:numPr>
          <w:ilvl w:val="0"/>
          <w:numId w:val="5"/>
        </w:numPr>
        <w:rPr>
          <w:rFonts w:ascii="Times New Roman" w:hAnsi="Times New Roman" w:eastAsia="仿宋_GB2312"/>
          <w:b/>
          <w:sz w:val="24"/>
          <w:szCs w:val="21"/>
        </w:rPr>
      </w:pPr>
      <w:bookmarkStart w:id="117" w:name="_Toc128"/>
      <w:bookmarkStart w:id="118" w:name="_Toc249515397"/>
      <w:bookmarkStart w:id="119" w:name="_Toc249525166"/>
      <w:bookmarkStart w:id="120" w:name="_Toc385992332"/>
      <w:bookmarkStart w:id="121" w:name="_Toc184043019"/>
      <w:bookmarkStart w:id="122" w:name="_Toc70687146"/>
      <w:bookmarkStart w:id="123" w:name="_Toc389620171"/>
      <w:bookmarkStart w:id="124" w:name="_Toc249515285"/>
      <w:r>
        <w:rPr>
          <w:rFonts w:ascii="Times New Roman" w:hAnsi="Times New Roman" w:eastAsia="仿宋_GB2312"/>
          <w:b/>
          <w:sz w:val="24"/>
          <w:szCs w:val="21"/>
        </w:rPr>
        <w:t xml:space="preserve">    通知</w:t>
      </w:r>
      <w:bookmarkEnd w:id="117"/>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磋商文件用以阐明供应商所需提供的服务、工程或货物以及其它类似的义务、采购响应程序和合同条款。磋商文件包括如下五章内容：</w:t>
      </w:r>
    </w:p>
    <w:p>
      <w:pPr>
        <w:pStyle w:val="23"/>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w:t>
      </w:r>
    </w:p>
    <w:p>
      <w:pPr>
        <w:pStyle w:val="23"/>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pPr>
        <w:pStyle w:val="23"/>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pPr>
        <w:pStyle w:val="23"/>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pPr>
        <w:pStyle w:val="23"/>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pPr>
        <w:pStyle w:val="23"/>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rPr>
          <w:rFonts w:ascii="Times New Roman" w:hAnsi="Times New Roman" w:eastAsia="仿宋_GB2312"/>
          <w:b/>
          <w:sz w:val="24"/>
          <w:szCs w:val="21"/>
        </w:rPr>
      </w:pPr>
      <w:bookmarkStart w:id="126" w:name="_Toc249515398"/>
      <w:bookmarkStart w:id="127" w:name="_Toc249525167"/>
      <w:bookmarkStart w:id="128" w:name="_Toc249515286"/>
      <w:bookmarkStart w:id="129" w:name="_Toc184043020"/>
      <w:bookmarkStart w:id="130" w:name="_Toc389620172"/>
      <w:bookmarkStart w:id="131" w:name="_Toc385992333"/>
      <w:bookmarkStart w:id="132" w:name="_Toc70687147"/>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pPr>
        <w:tabs>
          <w:tab w:val="left" w:pos="588"/>
        </w:tabs>
        <w:spacing w:line="360" w:lineRule="auto"/>
        <w:ind w:left="840" w:hanging="840" w:hangingChars="350"/>
        <w:rPr>
          <w:rFonts w:eastAsia="仿宋_GB2312"/>
          <w:sz w:val="24"/>
        </w:rPr>
      </w:pPr>
      <w:bookmarkStart w:id="134" w:name="_Toc70687148"/>
      <w:bookmarkStart w:id="135" w:name="_Toc385992334"/>
      <w:bookmarkStart w:id="136" w:name="_Toc389620173"/>
      <w:r>
        <w:rPr>
          <w:rFonts w:eastAsia="仿宋_GB2312"/>
          <w:sz w:val="24"/>
        </w:rPr>
        <w:t xml:space="preserve">7.1    </w:t>
      </w:r>
      <w:bookmarkEnd w:id="134"/>
      <w:bookmarkEnd w:id="135"/>
      <w:bookmarkEnd w:id="136"/>
      <w:bookmarkStart w:id="137" w:name="_Toc70687149"/>
      <w:bookmarkStart w:id="138" w:name="_Toc389620174"/>
      <w:bookmarkStart w:id="139" w:name="_Toc500747065"/>
      <w:bookmarkStart w:id="140" w:name="_Toc385992335"/>
      <w:bookmarkStart w:id="141" w:name="_Toc500747192"/>
      <w:bookmarkStart w:id="142" w:name="_Toc496324582"/>
      <w:bookmarkStart w:id="143" w:name="_Toc499711046"/>
      <w:bookmarkStart w:id="144" w:name="_Toc503063425"/>
      <w:bookmarkStart w:id="145" w:name="_Toc53722843"/>
      <w:bookmarkStart w:id="146" w:name="_Toc499711887"/>
      <w:bookmarkStart w:id="147" w:name="_Toc500746969"/>
      <w:bookmarkStart w:id="148" w:name="_Toc492955418"/>
      <w:r>
        <w:rPr>
          <w:rFonts w:eastAsia="仿宋_GB2312"/>
          <w:sz w:val="24"/>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pPr>
        <w:pStyle w:val="23"/>
      </w:pPr>
    </w:p>
    <w:p>
      <w:pPr>
        <w:pStyle w:val="77"/>
        <w:spacing w:before="24" w:after="24"/>
        <w:ind w:left="3313"/>
        <w:rPr>
          <w:rFonts w:eastAsia="仿宋_GB2312"/>
          <w:sz w:val="30"/>
          <w:szCs w:val="30"/>
        </w:rPr>
      </w:pPr>
      <w:bookmarkStart w:id="149" w:name="_Toc177817337"/>
      <w:bookmarkStart w:id="150" w:name="_Toc232176275"/>
      <w:bookmarkStart w:id="151" w:name="_Toc256342146"/>
      <w:bookmarkStart w:id="152" w:name="_Toc249515400"/>
      <w:bookmarkStart w:id="153" w:name="_Toc68590971"/>
      <w:bookmarkStart w:id="154" w:name="_Toc232395215"/>
      <w:bookmarkStart w:id="155" w:name="_Toc184043022"/>
      <w:bookmarkStart w:id="156" w:name="_Toc177995476"/>
      <w:bookmarkStart w:id="157" w:name="_Toc177189238"/>
      <w:bookmarkStart w:id="158" w:name="_Toc249525169"/>
      <w:bookmarkStart w:id="159" w:name="_Toc230099800"/>
      <w:bookmarkStart w:id="160" w:name="_Toc230583544"/>
      <w:bookmarkStart w:id="161" w:name="_Toc176882545"/>
      <w:bookmarkStart w:id="162" w:name="_Toc230013635"/>
      <w:bookmarkStart w:id="163" w:name="_Toc249515288"/>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rPr>
          <w:rFonts w:ascii="Times New Roman" w:hAnsi="Times New Roman" w:eastAsia="仿宋_GB2312"/>
          <w:b/>
          <w:sz w:val="24"/>
          <w:szCs w:val="21"/>
        </w:rPr>
      </w:pPr>
      <w:bookmarkStart w:id="164" w:name="_Toc30150"/>
      <w:bookmarkStart w:id="165" w:name="_Toc184043023"/>
      <w:bookmarkStart w:id="166" w:name="_Toc249515289"/>
      <w:bookmarkStart w:id="167" w:name="_Toc70687150"/>
      <w:bookmarkStart w:id="168" w:name="_Toc249515401"/>
      <w:bookmarkStart w:id="169" w:name="_Toc249525170"/>
      <w:bookmarkStart w:id="170" w:name="_Toc389620176"/>
      <w:bookmarkStart w:id="171" w:name="_Toc385992337"/>
      <w:r>
        <w:rPr>
          <w:rFonts w:ascii="Times New Roman" w:hAnsi="Times New Roman" w:eastAsia="仿宋_GB2312"/>
          <w:b/>
          <w:sz w:val="24"/>
          <w:szCs w:val="21"/>
        </w:rPr>
        <w:t>8.     响应文件语言</w:t>
      </w:r>
      <w:bookmarkEnd w:id="164"/>
      <w:bookmarkEnd w:id="165"/>
      <w:bookmarkEnd w:id="166"/>
      <w:bookmarkEnd w:id="167"/>
      <w:bookmarkEnd w:id="168"/>
      <w:bookmarkEnd w:id="169"/>
    </w:p>
    <w:p>
      <w:pPr>
        <w:tabs>
          <w:tab w:val="left" w:pos="588"/>
        </w:tabs>
        <w:spacing w:line="360" w:lineRule="auto"/>
        <w:rPr>
          <w:rFonts w:eastAsia="仿宋_GB2312"/>
          <w:sz w:val="24"/>
        </w:rPr>
      </w:pPr>
      <w:r>
        <w:rPr>
          <w:rFonts w:eastAsia="仿宋_GB2312"/>
          <w:sz w:val="24"/>
        </w:rPr>
        <w:t>8.1    响应文件及与响应相关的所有文件均应以中文书写。</w:t>
      </w:r>
    </w:p>
    <w:p>
      <w:pPr>
        <w:pStyle w:val="5"/>
        <w:rPr>
          <w:rFonts w:ascii="Times New Roman" w:hAnsi="Times New Roman" w:eastAsia="仿宋_GB2312"/>
          <w:b/>
          <w:sz w:val="24"/>
          <w:szCs w:val="21"/>
        </w:rPr>
      </w:pPr>
      <w:bookmarkStart w:id="172" w:name="_Toc70687151"/>
      <w:bookmarkStart w:id="173" w:name="_Toc184043024"/>
      <w:bookmarkStart w:id="174" w:name="_Toc249515402"/>
      <w:bookmarkStart w:id="175" w:name="_Toc249515290"/>
      <w:bookmarkStart w:id="176" w:name="_Toc18327"/>
      <w:bookmarkStart w:id="177" w:name="_Toc249525171"/>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pPr>
        <w:pStyle w:val="5"/>
        <w:rPr>
          <w:rFonts w:ascii="Times New Roman" w:hAnsi="Times New Roman" w:eastAsia="仿宋_GB2312"/>
          <w:b/>
          <w:sz w:val="24"/>
          <w:szCs w:val="21"/>
        </w:rPr>
      </w:pPr>
      <w:bookmarkStart w:id="178" w:name="_Toc29318"/>
      <w:bookmarkStart w:id="179" w:name="_Toc70687152"/>
      <w:bookmarkStart w:id="180" w:name="_Toc385992338"/>
      <w:bookmarkStart w:id="181" w:name="_Toc389620177"/>
      <w:bookmarkStart w:id="182" w:name="_Toc249515403"/>
      <w:bookmarkStart w:id="183" w:name="_Toc249515291"/>
      <w:bookmarkStart w:id="184" w:name="_Toc184043025"/>
      <w:bookmarkStart w:id="185" w:name="_Toc249525172"/>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pPr>
        <w:pStyle w:val="5"/>
        <w:rPr>
          <w:rFonts w:ascii="Times New Roman" w:hAnsi="Times New Roman" w:eastAsia="仿宋_GB2312"/>
          <w:b/>
          <w:sz w:val="24"/>
          <w:szCs w:val="21"/>
        </w:rPr>
      </w:pPr>
      <w:bookmarkStart w:id="186" w:name="_Toc249525173"/>
      <w:bookmarkStart w:id="187" w:name="_Toc70687153"/>
      <w:bookmarkStart w:id="188" w:name="_Toc389620178"/>
      <w:bookmarkStart w:id="189" w:name="_Toc385992339"/>
      <w:bookmarkStart w:id="190" w:name="_Toc249515292"/>
      <w:bookmarkStart w:id="191" w:name="_Toc26312"/>
      <w:bookmarkStart w:id="192" w:name="_Toc249515404"/>
      <w:bookmarkStart w:id="193" w:name="_Toc184043026"/>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服务相关的所有税费，具体包括但不限于第五章列出的内容。供应商估算错误或漏项的风险一律由供应商承担。见</w:t>
      </w:r>
      <w:r>
        <w:rPr>
          <w:rFonts w:eastAsia="仿宋_GB2312"/>
          <w:b/>
          <w:kern w:val="24"/>
          <w:sz w:val="24"/>
          <w:szCs w:val="21"/>
        </w:rPr>
        <w:t>供应商须知前附表。</w:t>
      </w:r>
    </w:p>
    <w:p>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hint="eastAsia" w:eastAsia="仿宋_GB2312"/>
          <w:kern w:val="24"/>
          <w:sz w:val="24"/>
          <w:szCs w:val="21"/>
          <w:u w:val="single"/>
        </w:rPr>
        <w:t>服务</w:t>
      </w:r>
      <w:r>
        <w:rPr>
          <w:rFonts w:eastAsia="仿宋_GB2312"/>
          <w:kern w:val="24"/>
          <w:sz w:val="24"/>
          <w:szCs w:val="21"/>
        </w:rPr>
        <w:t>只允许有一个报价，采购人不接受有任何选择的报价。</w:t>
      </w:r>
    </w:p>
    <w:p>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pPr>
        <w:pStyle w:val="5"/>
        <w:rPr>
          <w:rFonts w:ascii="Times New Roman" w:hAnsi="Times New Roman" w:eastAsia="仿宋_GB2312"/>
          <w:b/>
          <w:sz w:val="24"/>
          <w:szCs w:val="21"/>
        </w:rPr>
      </w:pPr>
      <w:bookmarkStart w:id="195" w:name="_Toc249525175"/>
      <w:bookmarkStart w:id="196" w:name="_Toc184043028"/>
      <w:bookmarkStart w:id="197" w:name="_Toc249515294"/>
      <w:bookmarkStart w:id="198" w:name="_Toc20687"/>
      <w:bookmarkStart w:id="199" w:name="_Toc249515406"/>
      <w:bookmarkStart w:id="200" w:name="_Toc385992341"/>
      <w:bookmarkStart w:id="201" w:name="_Toc389620180"/>
      <w:bookmarkStart w:id="202" w:name="_Toc70687155"/>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pPr>
        <w:pStyle w:val="5"/>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r>
        <w:rPr>
          <w:rFonts w:hint="eastAsia" w:ascii="Times New Roman" w:hAnsi="Times New Roman" w:eastAsia="仿宋_GB2312"/>
          <w:b/>
          <w:sz w:val="24"/>
          <w:szCs w:val="21"/>
        </w:rPr>
        <w:t>：不收取</w:t>
      </w:r>
    </w:p>
    <w:p>
      <w:pPr>
        <w:pStyle w:val="5"/>
        <w:rPr>
          <w:rFonts w:ascii="Times New Roman" w:hAnsi="Times New Roman" w:eastAsia="仿宋_GB2312"/>
          <w:b/>
          <w:sz w:val="24"/>
          <w:szCs w:val="21"/>
        </w:rPr>
      </w:pPr>
      <w:bookmarkStart w:id="206" w:name="_Toc249525177"/>
      <w:bookmarkStart w:id="207" w:name="_Toc249515296"/>
      <w:bookmarkStart w:id="208" w:name="_Toc7949"/>
      <w:bookmarkStart w:id="209" w:name="_Toc249515408"/>
      <w:r>
        <w:rPr>
          <w:rFonts w:ascii="Times New Roman" w:hAnsi="Times New Roman" w:eastAsia="仿宋_GB2312"/>
          <w:b/>
          <w:sz w:val="24"/>
          <w:szCs w:val="21"/>
        </w:rPr>
        <w:t>15.    磋商有效期</w:t>
      </w:r>
      <w:bookmarkEnd w:id="206"/>
      <w:bookmarkEnd w:id="207"/>
      <w:bookmarkEnd w:id="208"/>
      <w:bookmarkEnd w:id="209"/>
    </w:p>
    <w:p>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rPr>
          <w:rFonts w:ascii="Times New Roman" w:hAnsi="Times New Roman" w:eastAsia="仿宋_GB2312"/>
          <w:b/>
          <w:sz w:val="24"/>
          <w:szCs w:val="21"/>
        </w:rPr>
      </w:pPr>
      <w:bookmarkStart w:id="210" w:name="_Toc249515297"/>
      <w:bookmarkStart w:id="211" w:name="_Toc16612"/>
      <w:bookmarkStart w:id="212" w:name="_Toc70687160"/>
      <w:bookmarkStart w:id="213" w:name="_Toc385992346"/>
      <w:bookmarkStart w:id="214" w:name="_Toc249525178"/>
      <w:bookmarkStart w:id="215" w:name="_Toc184043033"/>
      <w:bookmarkStart w:id="216" w:name="_Toc389620185"/>
      <w:bookmarkStart w:id="217" w:name="_Toc249515409"/>
      <w:r>
        <w:rPr>
          <w:rFonts w:ascii="Times New Roman" w:hAnsi="Times New Roman" w:eastAsia="仿宋_GB2312"/>
          <w:b/>
          <w:sz w:val="24"/>
          <w:szCs w:val="21"/>
        </w:rPr>
        <w:t>16.    响应文件的制作和签署</w:t>
      </w:r>
      <w:bookmarkEnd w:id="210"/>
      <w:bookmarkEnd w:id="211"/>
      <w:bookmarkEnd w:id="212"/>
      <w:bookmarkEnd w:id="213"/>
      <w:bookmarkEnd w:id="214"/>
      <w:bookmarkEnd w:id="215"/>
      <w:bookmarkEnd w:id="216"/>
      <w:bookmarkEnd w:id="217"/>
    </w:p>
    <w:p>
      <w:pPr>
        <w:tabs>
          <w:tab w:val="left" w:pos="588"/>
        </w:tabs>
        <w:spacing w:line="360" w:lineRule="auto"/>
        <w:ind w:left="840" w:hanging="840" w:hangingChars="350"/>
        <w:rPr>
          <w:rFonts w:eastAsia="仿宋_GB2312"/>
          <w:sz w:val="24"/>
        </w:rPr>
      </w:pPr>
      <w:r>
        <w:rPr>
          <w:rFonts w:eastAsia="仿宋_GB2312"/>
          <w:sz w:val="24"/>
        </w:rPr>
        <w:t>16.1   供应商应准备一份响应文件正本和“</w:t>
      </w:r>
      <w:r>
        <w:rPr>
          <w:rFonts w:eastAsia="仿宋_GB2312"/>
          <w:b/>
          <w:sz w:val="24"/>
        </w:rPr>
        <w:t>供应商须知前附表</w:t>
      </w:r>
      <w:r>
        <w:rPr>
          <w:rFonts w:eastAsia="仿宋_GB2312"/>
          <w:sz w:val="24"/>
        </w:rPr>
        <w:t>”中规定数目的副本，每套响应文件须清楚地标明“正本”、“副本”。若正本和副本不符，以正本为准。</w:t>
      </w:r>
    </w:p>
    <w:p>
      <w:pPr>
        <w:tabs>
          <w:tab w:val="left" w:pos="588"/>
        </w:tabs>
        <w:spacing w:line="360" w:lineRule="auto"/>
        <w:ind w:left="840" w:hanging="840" w:hangingChars="350"/>
        <w:rPr>
          <w:rFonts w:eastAsia="仿宋_GB2312"/>
          <w:sz w:val="24"/>
        </w:rPr>
      </w:pPr>
      <w:r>
        <w:rPr>
          <w:rFonts w:eastAsia="仿宋_GB2312"/>
          <w:sz w:val="24"/>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eastAsia="仿宋_GB2312"/>
          <w:sz w:val="24"/>
        </w:rPr>
      </w:pPr>
      <w:r>
        <w:rPr>
          <w:rFonts w:eastAsia="仿宋_GB2312"/>
          <w:sz w:val="24"/>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eastAsia="仿宋_GB2312"/>
          <w:sz w:val="24"/>
        </w:rPr>
      </w:pPr>
      <w:r>
        <w:rPr>
          <w:rFonts w:eastAsia="仿宋_GB2312"/>
          <w:sz w:val="24"/>
        </w:rPr>
        <w:t>16.4   任何行间插字、涂改或增删，必须由响应文件签字人将姓或首字母在旁边签字才有效。</w:t>
      </w:r>
    </w:p>
    <w:p>
      <w:pPr>
        <w:tabs>
          <w:tab w:val="left" w:pos="588"/>
        </w:tabs>
        <w:spacing w:line="360" w:lineRule="auto"/>
        <w:rPr>
          <w:rFonts w:eastAsia="仿宋_GB2312"/>
          <w:sz w:val="24"/>
        </w:rPr>
      </w:pPr>
      <w:r>
        <w:rPr>
          <w:rFonts w:eastAsia="仿宋_GB2312"/>
          <w:sz w:val="24"/>
        </w:rPr>
        <w:t>16.5   采购人不接受以电报、电话、传真、电子邮件形式递交的响应文件。</w:t>
      </w:r>
    </w:p>
    <w:p>
      <w:pPr>
        <w:tabs>
          <w:tab w:val="left" w:pos="588"/>
        </w:tabs>
        <w:spacing w:line="360" w:lineRule="auto"/>
        <w:ind w:left="840" w:hanging="840" w:hangingChars="350"/>
        <w:rPr>
          <w:rFonts w:eastAsia="仿宋_GB2312"/>
          <w:sz w:val="24"/>
        </w:rPr>
      </w:pPr>
      <w:r>
        <w:rPr>
          <w:rFonts w:eastAsia="仿宋_GB2312"/>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eastAsia="仿宋_GB2312"/>
          <w:sz w:val="24"/>
        </w:rPr>
      </w:pPr>
      <w:bookmarkStart w:id="218" w:name="_Hlt491765640"/>
      <w:bookmarkEnd w:id="218"/>
      <w:bookmarkStart w:id="219" w:name="_Toc184043034"/>
      <w:bookmarkStart w:id="220" w:name="_Toc177995477"/>
      <w:bookmarkStart w:id="221" w:name="_Toc177189239"/>
      <w:bookmarkStart w:id="222" w:name="_Toc500747066"/>
      <w:bookmarkStart w:id="223" w:name="_Toc500747193"/>
      <w:bookmarkStart w:id="224" w:name="_Toc53722844"/>
      <w:bookmarkStart w:id="225" w:name="_Toc385992347"/>
      <w:bookmarkStart w:id="226" w:name="_Toc230583545"/>
      <w:bookmarkStart w:id="227" w:name="_Toc230099801"/>
      <w:bookmarkStart w:id="228" w:name="_Toc70687161"/>
      <w:bookmarkStart w:id="229" w:name="_Toc249525179"/>
      <w:bookmarkStart w:id="230" w:name="_Toc249515410"/>
      <w:bookmarkStart w:id="231" w:name="_Toc496324583"/>
      <w:bookmarkStart w:id="232" w:name="_Toc503063426"/>
      <w:bookmarkStart w:id="233" w:name="_Toc499711047"/>
      <w:bookmarkStart w:id="234" w:name="_Toc500746970"/>
      <w:bookmarkStart w:id="235" w:name="_Toc256342147"/>
      <w:bookmarkStart w:id="236" w:name="_Toc492955419"/>
      <w:bookmarkStart w:id="237" w:name="_Toc230013636"/>
      <w:bookmarkStart w:id="238" w:name="_Toc176882546"/>
      <w:bookmarkStart w:id="239" w:name="_Toc389620186"/>
      <w:bookmarkStart w:id="240" w:name="_Toc177817338"/>
      <w:bookmarkStart w:id="241" w:name="_Toc499711888"/>
      <w:bookmarkStart w:id="242" w:name="_Toc232176276"/>
      <w:bookmarkStart w:id="243" w:name="_Toc232395216"/>
      <w:bookmarkStart w:id="244" w:name="_Toc249515298"/>
      <w:r>
        <w:rPr>
          <w:rFonts w:eastAsia="仿宋_GB2312"/>
          <w:sz w:val="24"/>
        </w:rPr>
        <w:t>16.7   响应文件应按照“资格证明文件”和“商务及技术文件”分成两部分，并用不可拆装的方式分别装订成册。</w:t>
      </w:r>
    </w:p>
    <w:p>
      <w:pPr>
        <w:pStyle w:val="23"/>
      </w:pPr>
    </w:p>
    <w:p>
      <w:pPr>
        <w:pStyle w:val="77"/>
        <w:spacing w:before="24" w:after="24"/>
        <w:jc w:val="center"/>
        <w:rPr>
          <w:rFonts w:eastAsia="仿宋_GB2312"/>
          <w:sz w:val="30"/>
          <w:szCs w:val="30"/>
        </w:rPr>
      </w:pPr>
      <w:bookmarkStart w:id="245" w:name="_Toc68590972"/>
      <w:r>
        <w:rPr>
          <w:rFonts w:eastAsia="仿宋_GB2312"/>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rFonts w:eastAsia="仿宋_GB2312"/>
        </w:rPr>
      </w:pPr>
    </w:p>
    <w:p>
      <w:pPr>
        <w:pStyle w:val="5"/>
        <w:rPr>
          <w:rFonts w:ascii="Times New Roman" w:hAnsi="Times New Roman" w:eastAsia="仿宋_GB2312"/>
          <w:b/>
          <w:sz w:val="24"/>
          <w:szCs w:val="21"/>
        </w:rPr>
      </w:pPr>
      <w:bookmarkStart w:id="246" w:name="_Toc70687162"/>
      <w:bookmarkStart w:id="247" w:name="_Toc249515299"/>
      <w:bookmarkStart w:id="248" w:name="_Toc249515411"/>
      <w:bookmarkStart w:id="249" w:name="_Toc385992348"/>
      <w:bookmarkStart w:id="250" w:name="_Toc249525180"/>
      <w:bookmarkStart w:id="251" w:name="_Toc389620187"/>
      <w:bookmarkStart w:id="252" w:name="_Toc184043035"/>
      <w:bookmarkStart w:id="253" w:name="_Toc4042"/>
      <w:r>
        <w:rPr>
          <w:rFonts w:ascii="Times New Roman" w:hAnsi="Times New Roman" w:eastAsia="仿宋_GB2312"/>
          <w:b/>
          <w:sz w:val="24"/>
          <w:szCs w:val="21"/>
        </w:rPr>
        <w:t>17.    响应文件的密封和标记</w:t>
      </w:r>
      <w:bookmarkEnd w:id="246"/>
      <w:bookmarkEnd w:id="247"/>
      <w:bookmarkEnd w:id="248"/>
      <w:bookmarkEnd w:id="249"/>
      <w:bookmarkEnd w:id="250"/>
      <w:bookmarkEnd w:id="251"/>
      <w:bookmarkEnd w:id="252"/>
      <w:bookmarkEnd w:id="253"/>
    </w:p>
    <w:p>
      <w:pPr>
        <w:tabs>
          <w:tab w:val="left" w:pos="588"/>
        </w:tabs>
        <w:spacing w:line="360" w:lineRule="auto"/>
        <w:ind w:left="840" w:hanging="840" w:hangingChars="350"/>
        <w:rPr>
          <w:rFonts w:eastAsia="仿宋_GB2312"/>
          <w:sz w:val="24"/>
        </w:rPr>
      </w:pPr>
      <w:bookmarkStart w:id="254" w:name="_Toc385992349"/>
      <w:bookmarkStart w:id="255" w:name="_Toc389620188"/>
      <w:bookmarkStart w:id="256" w:name="_Toc184043036"/>
      <w:bookmarkStart w:id="257" w:name="_Toc70687163"/>
      <w:r>
        <w:rPr>
          <w:rFonts w:eastAsia="仿宋_GB2312"/>
          <w:kern w:val="0"/>
          <w:sz w:val="24"/>
          <w:szCs w:val="21"/>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eastAsia="仿宋_GB2312"/>
          <w:sz w:val="24"/>
          <w:szCs w:val="21"/>
        </w:rPr>
      </w:pPr>
      <w:r>
        <w:rPr>
          <w:rFonts w:eastAsia="仿宋_GB2312"/>
          <w:kern w:val="0"/>
          <w:sz w:val="24"/>
          <w:szCs w:val="21"/>
        </w:rPr>
        <w:t>17.2   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pPr>
        <w:pStyle w:val="23"/>
        <w:ind w:left="840" w:hanging="840" w:hangingChars="350"/>
        <w:rPr>
          <w:rFonts w:ascii="Times New Roman" w:hAnsi="Times New Roman" w:eastAsia="仿宋_GB2312"/>
          <w:sz w:val="24"/>
        </w:rPr>
      </w:pPr>
      <w:r>
        <w:rPr>
          <w:rFonts w:ascii="Times New Roman" w:hAnsi="Times New Roman" w:eastAsia="仿宋_GB2312"/>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sz w:val="24"/>
        </w:rPr>
        <w:t>供应商须知前附表</w:t>
      </w:r>
      <w:r>
        <w:rPr>
          <w:rFonts w:ascii="Times New Roman" w:hAnsi="Times New Roman" w:eastAsia="仿宋_GB2312"/>
          <w:sz w:val="24"/>
        </w:rPr>
        <w:t>。</w:t>
      </w:r>
    </w:p>
    <w:bookmarkEnd w:id="254"/>
    <w:bookmarkEnd w:id="255"/>
    <w:p>
      <w:pPr>
        <w:pStyle w:val="5"/>
        <w:rPr>
          <w:rFonts w:ascii="Times New Roman" w:hAnsi="Times New Roman" w:eastAsia="仿宋_GB2312"/>
          <w:b/>
          <w:sz w:val="24"/>
          <w:szCs w:val="21"/>
        </w:rPr>
      </w:pPr>
      <w:bookmarkStart w:id="258" w:name="_Toc249515412"/>
      <w:bookmarkStart w:id="259" w:name="_Toc31171"/>
      <w:bookmarkStart w:id="260" w:name="_Toc249515300"/>
      <w:bookmarkStart w:id="261" w:name="_Toc249525181"/>
      <w:r>
        <w:rPr>
          <w:rFonts w:ascii="Times New Roman" w:hAnsi="Times New Roman" w:eastAsia="仿宋_GB2312"/>
          <w:b/>
          <w:sz w:val="24"/>
          <w:szCs w:val="21"/>
        </w:rPr>
        <w:t>18.    响应文件递交截止时间</w:t>
      </w:r>
      <w:bookmarkEnd w:id="256"/>
      <w:bookmarkEnd w:id="257"/>
      <w:bookmarkEnd w:id="258"/>
      <w:bookmarkEnd w:id="259"/>
      <w:bookmarkEnd w:id="260"/>
      <w:bookmarkEnd w:id="261"/>
    </w:p>
    <w:p>
      <w:pPr>
        <w:tabs>
          <w:tab w:val="left" w:pos="588"/>
        </w:tabs>
        <w:spacing w:line="360" w:lineRule="auto"/>
        <w:rPr>
          <w:rFonts w:eastAsia="仿宋_GB2312"/>
          <w:sz w:val="24"/>
        </w:rPr>
      </w:pPr>
      <w:bookmarkStart w:id="262" w:name="_Toc70687164"/>
      <w:bookmarkStart w:id="263" w:name="_Toc385992350"/>
      <w:bookmarkStart w:id="264" w:name="_Toc389620189"/>
      <w:bookmarkStart w:id="265" w:name="_Toc184043037"/>
      <w:r>
        <w:rPr>
          <w:rFonts w:eastAsia="仿宋_GB2312"/>
          <w:sz w:val="24"/>
        </w:rPr>
        <w:t>18.1   响应文件递交截止时间和地点见</w:t>
      </w:r>
      <w:r>
        <w:rPr>
          <w:rFonts w:eastAsia="仿宋_GB2312"/>
          <w:b/>
          <w:sz w:val="24"/>
        </w:rPr>
        <w:t>供应商须知前附表</w:t>
      </w:r>
      <w:r>
        <w:rPr>
          <w:rFonts w:eastAsia="仿宋_GB2312"/>
          <w:sz w:val="24"/>
        </w:rPr>
        <w:t>。</w:t>
      </w:r>
    </w:p>
    <w:p>
      <w:pPr>
        <w:tabs>
          <w:tab w:val="left" w:pos="588"/>
        </w:tabs>
        <w:spacing w:line="360" w:lineRule="auto"/>
        <w:ind w:left="840" w:hanging="840" w:hangingChars="350"/>
        <w:rPr>
          <w:rFonts w:eastAsia="仿宋_GB2312"/>
          <w:sz w:val="24"/>
        </w:rPr>
      </w:pPr>
      <w:r>
        <w:rPr>
          <w:rFonts w:eastAsia="仿宋_GB2312"/>
          <w:sz w:val="24"/>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eastAsia="仿宋_GB2312"/>
          <w:sz w:val="24"/>
        </w:rPr>
      </w:pPr>
      <w:r>
        <w:rPr>
          <w:rFonts w:eastAsia="仿宋_GB2312"/>
          <w:sz w:val="24"/>
        </w:rPr>
        <w:t>18.3   采购人可以按本须知第7条规定，通知修改磋商文件，适当延长响应文件递交截止时间。在此情况下，采购人和供应商受响应文件递交截止时间制约的所有权利和义务均应延长至新的截止期。</w:t>
      </w:r>
    </w:p>
    <w:p>
      <w:pPr>
        <w:pStyle w:val="5"/>
        <w:rPr>
          <w:rFonts w:ascii="Times New Roman" w:hAnsi="Times New Roman" w:eastAsia="仿宋_GB2312"/>
          <w:b/>
          <w:sz w:val="24"/>
          <w:szCs w:val="21"/>
        </w:rPr>
      </w:pPr>
      <w:bookmarkStart w:id="266" w:name="_Toc249515413"/>
      <w:bookmarkStart w:id="267" w:name="_Toc249515301"/>
      <w:bookmarkStart w:id="268" w:name="_Toc249525182"/>
      <w:bookmarkStart w:id="269" w:name="_Toc7175"/>
      <w:r>
        <w:rPr>
          <w:rFonts w:ascii="Times New Roman" w:hAnsi="Times New Roman" w:eastAsia="仿宋_GB2312"/>
          <w:b/>
          <w:sz w:val="24"/>
          <w:szCs w:val="21"/>
        </w:rPr>
        <w:t>19.    迟交的响应文件</w:t>
      </w:r>
      <w:bookmarkEnd w:id="262"/>
      <w:bookmarkEnd w:id="263"/>
      <w:bookmarkEnd w:id="264"/>
      <w:bookmarkEnd w:id="265"/>
      <w:bookmarkEnd w:id="266"/>
      <w:bookmarkEnd w:id="267"/>
      <w:bookmarkEnd w:id="268"/>
      <w:bookmarkEnd w:id="269"/>
    </w:p>
    <w:p>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pPr>
        <w:pStyle w:val="5"/>
        <w:rPr>
          <w:rFonts w:ascii="Times New Roman" w:hAnsi="Times New Roman" w:eastAsia="仿宋_GB2312"/>
          <w:b/>
          <w:sz w:val="24"/>
          <w:szCs w:val="21"/>
        </w:rPr>
      </w:pPr>
      <w:bookmarkStart w:id="270" w:name="_Toc249525183"/>
      <w:bookmarkStart w:id="271" w:name="_Toc249515302"/>
      <w:bookmarkStart w:id="272" w:name="_Toc389620190"/>
      <w:bookmarkStart w:id="273" w:name="_Toc10272"/>
      <w:bookmarkStart w:id="274" w:name="_Toc184043038"/>
      <w:bookmarkStart w:id="275" w:name="_Toc385992351"/>
      <w:bookmarkStart w:id="276" w:name="_Toc249515414"/>
      <w:bookmarkStart w:id="277" w:name="_Toc70687165"/>
      <w:r>
        <w:rPr>
          <w:rFonts w:ascii="Times New Roman" w:hAnsi="Times New Roman" w:eastAsia="仿宋_GB2312"/>
          <w:b/>
          <w:sz w:val="24"/>
          <w:szCs w:val="21"/>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sz w:val="24"/>
          <w:szCs w:val="21"/>
        </w:rPr>
        <w:t>回</w:t>
      </w:r>
    </w:p>
    <w:p>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pPr>
        <w:pStyle w:val="77"/>
        <w:spacing w:before="24" w:after="24"/>
        <w:ind w:left="3313"/>
        <w:rPr>
          <w:rFonts w:eastAsia="仿宋_GB2312"/>
          <w:sz w:val="30"/>
          <w:szCs w:val="30"/>
        </w:rPr>
      </w:pPr>
      <w:bookmarkStart w:id="278" w:name="_Hlt497729441"/>
      <w:bookmarkEnd w:id="278"/>
      <w:bookmarkStart w:id="279" w:name="_Hlt491765712"/>
      <w:bookmarkEnd w:id="279"/>
      <w:bookmarkStart w:id="280" w:name="_Toc249515303"/>
      <w:bookmarkStart w:id="281" w:name="_Toc249515415"/>
      <w:bookmarkStart w:id="282" w:name="_Toc249525184"/>
      <w:bookmarkStart w:id="283" w:name="_Toc256342148"/>
      <w:bookmarkStart w:id="284" w:name="_Toc68590973"/>
      <w:bookmarkStart w:id="285" w:name="_Toc496324584"/>
      <w:bookmarkStart w:id="286" w:name="_Toc499711048"/>
      <w:bookmarkStart w:id="287" w:name="_Toc176882547"/>
      <w:bookmarkStart w:id="288" w:name="_Toc500747067"/>
      <w:bookmarkStart w:id="289" w:name="_Toc177817339"/>
      <w:bookmarkStart w:id="290" w:name="_Toc53722845"/>
      <w:bookmarkStart w:id="291" w:name="_Toc500746971"/>
      <w:bookmarkStart w:id="292" w:name="_Toc503063427"/>
      <w:bookmarkStart w:id="293" w:name="_Toc177995478"/>
      <w:bookmarkStart w:id="294" w:name="_Toc385992352"/>
      <w:bookmarkStart w:id="295" w:name="_Toc492955420"/>
      <w:bookmarkStart w:id="296" w:name="_Toc177189240"/>
      <w:bookmarkStart w:id="297" w:name="_Toc499711889"/>
      <w:bookmarkStart w:id="298" w:name="_Toc70687166"/>
      <w:bookmarkStart w:id="299" w:name="_Toc500747194"/>
      <w:bookmarkStart w:id="300" w:name="_Toc184043039"/>
      <w:bookmarkStart w:id="301" w:name="_Toc389620191"/>
      <w:r>
        <w:rPr>
          <w:rFonts w:eastAsia="仿宋_GB2312"/>
          <w:sz w:val="30"/>
          <w:szCs w:val="30"/>
        </w:rPr>
        <w:t>五、评审与</w:t>
      </w:r>
      <w:bookmarkEnd w:id="280"/>
      <w:bookmarkEnd w:id="281"/>
      <w:bookmarkEnd w:id="282"/>
      <w:bookmarkEnd w:id="283"/>
      <w:r>
        <w:rPr>
          <w:rFonts w:eastAsia="仿宋_GB2312"/>
          <w:sz w:val="30"/>
          <w:szCs w:val="30"/>
        </w:rPr>
        <w:t>磋商</w:t>
      </w:r>
      <w:bookmarkEnd w:id="284"/>
    </w:p>
    <w:p>
      <w:pPr>
        <w:pStyle w:val="5"/>
        <w:numPr>
          <w:ilvl w:val="0"/>
          <w:numId w:val="6"/>
        </w:numPr>
        <w:rPr>
          <w:rFonts w:ascii="Times New Roman" w:hAnsi="Times New Roman" w:eastAsia="仿宋_GB2312"/>
          <w:b/>
          <w:sz w:val="24"/>
        </w:rPr>
      </w:pPr>
      <w:bookmarkStart w:id="302" w:name="_Toc249525186"/>
      <w:bookmarkStart w:id="303" w:name="_Toc249515417"/>
      <w:bookmarkStart w:id="304" w:name="_Toc16042"/>
      <w:bookmarkStart w:id="305" w:name="_Toc249515305"/>
      <w:r>
        <w:rPr>
          <w:rFonts w:ascii="Times New Roman" w:hAnsi="Times New Roman" w:eastAsia="仿宋_GB2312"/>
          <w:b/>
          <w:sz w:val="24"/>
        </w:rPr>
        <w:t xml:space="preserve">   磋商小组</w:t>
      </w:r>
      <w:bookmarkEnd w:id="302"/>
      <w:bookmarkEnd w:id="303"/>
      <w:bookmarkEnd w:id="304"/>
      <w:bookmarkEnd w:id="305"/>
    </w:p>
    <w:p>
      <w:pPr>
        <w:pStyle w:val="29"/>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pPr>
        <w:pStyle w:val="29"/>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pPr>
        <w:pStyle w:val="29"/>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pPr>
        <w:pStyle w:val="29"/>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pPr>
        <w:pStyle w:val="29"/>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pPr>
        <w:pStyle w:val="5"/>
        <w:rPr>
          <w:rFonts w:ascii="Times New Roman" w:hAnsi="Times New Roman" w:eastAsia="仿宋_GB2312"/>
          <w:b/>
          <w:sz w:val="24"/>
          <w:szCs w:val="21"/>
        </w:rPr>
      </w:pPr>
      <w:bookmarkStart w:id="306" w:name="_Toc249515418"/>
      <w:bookmarkStart w:id="307" w:name="_Toc20608"/>
      <w:bookmarkStart w:id="308" w:name="_Toc249515306"/>
      <w:bookmarkStart w:id="309" w:name="_Toc249525187"/>
      <w:bookmarkStart w:id="310" w:name="_Toc83547667"/>
      <w:r>
        <w:rPr>
          <w:rFonts w:ascii="Times New Roman" w:hAnsi="Times New Roman" w:eastAsia="仿宋_GB2312"/>
          <w:b/>
          <w:sz w:val="24"/>
          <w:szCs w:val="21"/>
        </w:rPr>
        <w:t>23.    磋商程序</w:t>
      </w:r>
    </w:p>
    <w:p>
      <w:pPr>
        <w:pStyle w:val="5"/>
        <w:tabs>
          <w:tab w:val="left" w:pos="360"/>
        </w:tabs>
        <w:rPr>
          <w:rFonts w:ascii="Times New Roman" w:hAnsi="Times New Roman" w:eastAsia="仿宋_GB2312"/>
          <w:b/>
          <w:sz w:val="24"/>
          <w:szCs w:val="21"/>
        </w:rPr>
      </w:pPr>
      <w:bookmarkStart w:id="311" w:name="_Toc58504507"/>
      <w:r>
        <w:rPr>
          <w:rFonts w:ascii="Times New Roman" w:hAnsi="Times New Roman" w:eastAsia="仿宋_GB2312"/>
          <w:b/>
          <w:sz w:val="24"/>
          <w:szCs w:val="21"/>
        </w:rPr>
        <w:t>23.1   磋商会议</w:t>
      </w:r>
      <w:bookmarkEnd w:id="311"/>
    </w:p>
    <w:p>
      <w:pPr>
        <w:pStyle w:val="23"/>
        <w:ind w:left="840" w:leftChars="400"/>
        <w:rPr>
          <w:rFonts w:ascii="Times New Roman" w:hAnsi="Times New Roman" w:eastAsia="仿宋_GB2312"/>
          <w:sz w:val="24"/>
          <w:szCs w:val="32"/>
        </w:rPr>
      </w:pPr>
      <w:bookmarkStart w:id="312" w:name="_Toc58504508"/>
      <w:r>
        <w:rPr>
          <w:rFonts w:ascii="Times New Roman" w:hAnsi="Times New Roman" w:eastAsia="仿宋_GB2312"/>
          <w:sz w:val="24"/>
          <w:szCs w:val="32"/>
        </w:rPr>
        <w:t>（1）在磋商文件规定的时间和地点，由采购代理机构组织磋商工作，供应商须委派代表参加，签名以证明其出席。</w:t>
      </w:r>
      <w:bookmarkEnd w:id="312"/>
    </w:p>
    <w:p>
      <w:pPr>
        <w:pStyle w:val="23"/>
        <w:ind w:left="840" w:leftChars="400"/>
        <w:rPr>
          <w:rFonts w:ascii="Times New Roman" w:hAnsi="Times New Roman" w:eastAsia="仿宋_GB2312"/>
          <w:sz w:val="24"/>
          <w:szCs w:val="32"/>
        </w:rPr>
      </w:pPr>
      <w:bookmarkStart w:id="313" w:name="_Toc58504509"/>
      <w:r>
        <w:rPr>
          <w:rFonts w:ascii="Times New Roman" w:hAnsi="Times New Roman" w:eastAsia="仿宋_GB2312"/>
          <w:sz w:val="24"/>
          <w:szCs w:val="32"/>
        </w:rPr>
        <w:t>（2）各供应商或其推荐的代表与采购监督人共同检查响应文件的密封情况，经检查无误后，签字确认。</w:t>
      </w:r>
      <w:bookmarkEnd w:id="313"/>
    </w:p>
    <w:p>
      <w:pPr>
        <w:pStyle w:val="23"/>
        <w:ind w:left="840" w:leftChars="400"/>
        <w:rPr>
          <w:rFonts w:ascii="Times New Roman" w:hAnsi="Times New Roman" w:eastAsia="仿宋_GB2312"/>
          <w:sz w:val="24"/>
          <w:szCs w:val="32"/>
        </w:rPr>
      </w:pPr>
      <w:bookmarkStart w:id="314" w:name="_Toc58504510"/>
      <w:r>
        <w:rPr>
          <w:rFonts w:ascii="Times New Roman" w:hAnsi="Times New Roman" w:eastAsia="仿宋_GB2312"/>
          <w:sz w:val="24"/>
          <w:szCs w:val="32"/>
        </w:rPr>
        <w:t>（3）采购代理机构工作人员按照顺序，将各供应商首次响应文件的份数等内容公布，无异议后，由供应商法定代表人（或授权代表人）和监督人签字确认。</w:t>
      </w:r>
      <w:bookmarkEnd w:id="314"/>
    </w:p>
    <w:p>
      <w:pPr>
        <w:pStyle w:val="5"/>
        <w:tabs>
          <w:tab w:val="left" w:pos="360"/>
        </w:tabs>
        <w:rPr>
          <w:rFonts w:ascii="Times New Roman" w:hAnsi="Times New Roman" w:eastAsia="仿宋_GB2312"/>
          <w:b/>
          <w:sz w:val="24"/>
          <w:szCs w:val="21"/>
        </w:rPr>
      </w:pPr>
      <w:bookmarkStart w:id="315" w:name="_Toc58504511"/>
      <w:r>
        <w:rPr>
          <w:rFonts w:ascii="Times New Roman" w:hAnsi="Times New Roman" w:eastAsia="仿宋_GB2312"/>
          <w:b/>
          <w:sz w:val="24"/>
          <w:szCs w:val="21"/>
        </w:rPr>
        <w:t>23.2   响应文件</w:t>
      </w:r>
      <w:bookmarkEnd w:id="306"/>
      <w:bookmarkEnd w:id="307"/>
      <w:bookmarkEnd w:id="308"/>
      <w:bookmarkEnd w:id="309"/>
      <w:bookmarkEnd w:id="310"/>
      <w:r>
        <w:rPr>
          <w:rFonts w:ascii="Times New Roman" w:hAnsi="Times New Roman" w:eastAsia="仿宋_GB2312"/>
          <w:b/>
          <w:sz w:val="24"/>
          <w:szCs w:val="21"/>
        </w:rPr>
        <w:t>评审</w:t>
      </w:r>
      <w:bookmarkEnd w:id="315"/>
    </w:p>
    <w:p>
      <w:pPr>
        <w:tabs>
          <w:tab w:val="left" w:pos="360"/>
          <w:tab w:val="left" w:pos="588"/>
        </w:tabs>
        <w:spacing w:line="360" w:lineRule="auto"/>
        <w:ind w:left="843" w:hanging="843" w:hangingChars="350"/>
        <w:rPr>
          <w:rFonts w:eastAsia="仿宋_GB2312"/>
          <w:sz w:val="24"/>
        </w:rPr>
      </w:pPr>
      <w:bookmarkStart w:id="316" w:name="_Toc83547671"/>
      <w:r>
        <w:rPr>
          <w:rFonts w:eastAsia="仿宋_GB2312"/>
          <w:b/>
          <w:sz w:val="24"/>
        </w:rPr>
        <w:t>23.2.1 响应文件的资格性审查</w:t>
      </w:r>
      <w:r>
        <w:rPr>
          <w:rFonts w:eastAsia="仿宋_GB2312"/>
          <w:sz w:val="24"/>
        </w:rPr>
        <w:t>。依据《政府采购法》第二十三条和磋商文件的规定</w:t>
      </w:r>
      <w:r>
        <w:rPr>
          <w:rFonts w:hint="eastAsia" w:eastAsia="仿宋_GB2312"/>
          <w:sz w:val="24"/>
        </w:rPr>
        <w:t>，</w:t>
      </w:r>
      <w:r>
        <w:rPr>
          <w:rFonts w:eastAsia="仿宋_GB2312"/>
          <w:b/>
          <w:sz w:val="24"/>
        </w:rPr>
        <w:t>采购代理机构负责</w:t>
      </w:r>
      <w:r>
        <w:rPr>
          <w:rFonts w:eastAsia="仿宋_GB2312"/>
          <w:sz w:val="24"/>
        </w:rPr>
        <w:t>对响应文件中的资格证明文件、信用查询记录等进行审查，以确认供应商具备相应资格。资格性审查出现下列情况者（但不限于），按无效文件处理：</w:t>
      </w:r>
    </w:p>
    <w:p>
      <w:pPr>
        <w:pStyle w:val="23"/>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pPr>
        <w:pStyle w:val="23"/>
        <w:ind w:left="840" w:leftChars="400"/>
        <w:rPr>
          <w:rFonts w:ascii="Times New Roman" w:hAnsi="Times New Roman" w:eastAsia="仿宋_GB2312"/>
          <w:sz w:val="24"/>
        </w:rPr>
      </w:pPr>
      <w:r>
        <w:rPr>
          <w:rFonts w:ascii="Times New Roman" w:hAnsi="Times New Roman" w:eastAsia="仿宋_GB2312"/>
          <w:sz w:val="24"/>
        </w:rPr>
        <w:t>（2）供应商没有经过正常渠道领取磋商文件或供应商的名称与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pPr>
        <w:pStyle w:val="23"/>
        <w:ind w:left="840" w:leftChars="400"/>
        <w:rPr>
          <w:rFonts w:ascii="Times New Roman" w:hAnsi="Times New Roman" w:eastAsia="仿宋_GB2312"/>
          <w:sz w:val="24"/>
        </w:rPr>
      </w:pPr>
      <w:r>
        <w:rPr>
          <w:rFonts w:ascii="Times New Roman" w:hAnsi="Times New Roman" w:eastAsia="仿宋_GB2312"/>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3"/>
        <w:ind w:left="840" w:leftChars="400"/>
        <w:rPr>
          <w:rFonts w:ascii="Times New Roman" w:hAnsi="Times New Roman" w:eastAsia="仿宋_GB2312"/>
          <w:sz w:val="24"/>
        </w:rPr>
      </w:pPr>
      <w:r>
        <w:rPr>
          <w:rFonts w:ascii="Times New Roman" w:hAnsi="Times New Roman" w:eastAsia="仿宋_GB2312"/>
          <w:sz w:val="24"/>
        </w:rPr>
        <w:t>（4）信用查询中列入失信被执行人、重大税收违法</w:t>
      </w:r>
      <w:r>
        <w:rPr>
          <w:rFonts w:hint="eastAsia" w:ascii="Times New Roman" w:hAnsi="Times New Roman" w:eastAsia="仿宋_GB2312"/>
          <w:sz w:val="24"/>
        </w:rPr>
        <w:t>失信主体</w:t>
      </w:r>
      <w:r>
        <w:rPr>
          <w:rFonts w:ascii="Times New Roman" w:hAnsi="Times New Roman" w:eastAsia="仿宋_GB2312"/>
          <w:sz w:val="24"/>
        </w:rPr>
        <w:t>、政府采购严重违法失信行为记录名单及其他不符合《中华人民共和国政府采购法》第二十二条规定条件的供应商。</w:t>
      </w:r>
    </w:p>
    <w:p>
      <w:pPr>
        <w:pStyle w:val="23"/>
        <w:ind w:left="840" w:leftChars="400"/>
        <w:rPr>
          <w:rFonts w:ascii="Times New Roman" w:hAnsi="Times New Roman" w:eastAsia="仿宋_GB2312"/>
          <w:sz w:val="24"/>
        </w:rPr>
      </w:pPr>
      <w:r>
        <w:rPr>
          <w:rFonts w:ascii="Times New Roman" w:hAnsi="Times New Roman" w:eastAsia="仿宋_GB2312"/>
          <w:sz w:val="24"/>
        </w:rPr>
        <w:t>（5）采购人或采购代理机构通过“信用中国”网站(www.creditchina.gov.cn)、中国政府采购网(www.ccgp.gov.cn) 等查询相关主体信用记录，并将查询网页打印、存档备查。</w:t>
      </w:r>
    </w:p>
    <w:p>
      <w:pPr>
        <w:pStyle w:val="23"/>
        <w:ind w:left="840" w:leftChars="400"/>
        <w:rPr>
          <w:rFonts w:ascii="Times New Roman" w:hAnsi="Times New Roman" w:eastAsia="仿宋_GB2312"/>
          <w:sz w:val="24"/>
        </w:rPr>
      </w:pPr>
      <w:r>
        <w:rPr>
          <w:rFonts w:ascii="Times New Roman" w:hAnsi="Times New Roman" w:eastAsia="仿宋_GB2312"/>
          <w:sz w:val="24"/>
        </w:rPr>
        <w:t>（6）查询时间为磋商文件发售期至评审截止时间前，此段时间段外，网站信息发生的任何变更均不作为资格审查依据。</w:t>
      </w:r>
    </w:p>
    <w:p>
      <w:pPr>
        <w:pStyle w:val="23"/>
        <w:ind w:left="840" w:leftChars="400"/>
        <w:rPr>
          <w:rFonts w:ascii="Times New Roman" w:hAnsi="Times New Roman" w:eastAsia="仿宋_GB2312"/>
          <w:sz w:val="24"/>
        </w:rPr>
      </w:pPr>
      <w:r>
        <w:rPr>
          <w:rFonts w:ascii="Times New Roman" w:hAnsi="Times New Roman" w:eastAsia="仿宋_GB2312"/>
          <w:sz w:val="24"/>
        </w:rPr>
        <w:t>供应商不良信用记录以采购人或采购代理机构查询结果为准。供应商自行提供的与网站信息不一致的其他证明材料亦不作为资格审查依据。</w:t>
      </w:r>
    </w:p>
    <w:p>
      <w:pPr>
        <w:pStyle w:val="23"/>
        <w:ind w:left="840" w:leftChars="400"/>
        <w:rPr>
          <w:rFonts w:ascii="Times New Roman" w:hAnsi="Times New Roman" w:eastAsia="仿宋_GB2312"/>
          <w:sz w:val="24"/>
        </w:rPr>
      </w:pPr>
      <w:r>
        <w:rPr>
          <w:rFonts w:ascii="Times New Roman" w:hAnsi="Times New Roman" w:eastAsia="仿宋_GB2312"/>
          <w:sz w:val="24"/>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3"/>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pPr>
        <w:pStyle w:val="23"/>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pPr>
        <w:pStyle w:val="23"/>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（2）磋商响应文件未按磋商文件要求进行法定代表人或其授权代表签字。</w:t>
      </w:r>
    </w:p>
    <w:p>
      <w:pPr>
        <w:pStyle w:val="23"/>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pPr>
        <w:pStyle w:val="23"/>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pPr>
        <w:pStyle w:val="23"/>
        <w:ind w:left="840" w:leftChars="400"/>
        <w:rPr>
          <w:rFonts w:ascii="Times New Roman" w:hAnsi="Times New Roman" w:eastAsia="仿宋_GB2312"/>
          <w:sz w:val="24"/>
        </w:rPr>
      </w:pPr>
      <w:r>
        <w:rPr>
          <w:rFonts w:ascii="Times New Roman" w:hAnsi="Times New Roman" w:eastAsia="仿宋_GB2312"/>
          <w:sz w:val="24"/>
        </w:rPr>
        <w:t>（5）首次磋商报价超出采购预算。</w:t>
      </w:r>
    </w:p>
    <w:p>
      <w:pPr>
        <w:pStyle w:val="23"/>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pPr>
        <w:pStyle w:val="23"/>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pPr>
        <w:pStyle w:val="23"/>
        <w:ind w:left="840" w:leftChars="400"/>
        <w:rPr>
          <w:rFonts w:ascii="Times New Roman" w:hAnsi="Times New Roman" w:eastAsia="仿宋_GB2312"/>
          <w:sz w:val="24"/>
        </w:rPr>
      </w:pPr>
      <w:r>
        <w:rPr>
          <w:rFonts w:ascii="Times New Roman" w:hAnsi="Times New Roman" w:eastAsia="仿宋_GB2312"/>
          <w:sz w:val="24"/>
        </w:rPr>
        <w:t>（8）响应文件中技术指标达不到采购要求。</w:t>
      </w:r>
    </w:p>
    <w:p>
      <w:pPr>
        <w:pStyle w:val="23"/>
        <w:ind w:left="840" w:leftChars="400"/>
        <w:rPr>
          <w:rFonts w:ascii="Times New Roman" w:hAnsi="Times New Roman" w:eastAsia="仿宋_GB2312"/>
          <w:sz w:val="24"/>
        </w:rPr>
      </w:pPr>
      <w:r>
        <w:rPr>
          <w:rFonts w:ascii="Times New Roman" w:hAnsi="Times New Roman" w:eastAsia="仿宋_GB2312"/>
          <w:sz w:val="24"/>
        </w:rPr>
        <w:t>（9）响应报价与市场价偏离较大，低于成本，形成不正当竞争。</w:t>
      </w:r>
    </w:p>
    <w:p>
      <w:pPr>
        <w:pStyle w:val="23"/>
        <w:ind w:left="840" w:leftChars="400"/>
        <w:rPr>
          <w:rFonts w:ascii="Times New Roman" w:hAnsi="Times New Roman" w:eastAsia="仿宋_GB2312"/>
          <w:sz w:val="24"/>
        </w:rPr>
      </w:pPr>
      <w:r>
        <w:rPr>
          <w:rFonts w:ascii="Times New Roman" w:hAnsi="Times New Roman" w:eastAsia="仿宋_GB2312"/>
          <w:sz w:val="24"/>
        </w:rPr>
        <w:t>（10）供应商提供虚假证明，开具虚假资质，出现虚假应答或故意隐瞒行为。</w:t>
      </w:r>
    </w:p>
    <w:p>
      <w:pPr>
        <w:pStyle w:val="5"/>
        <w:tabs>
          <w:tab w:val="left" w:pos="360"/>
        </w:tabs>
        <w:rPr>
          <w:rFonts w:ascii="Times New Roman" w:hAnsi="Times New Roman" w:eastAsia="仿宋_GB2312"/>
          <w:b/>
          <w:sz w:val="24"/>
          <w:szCs w:val="21"/>
        </w:rPr>
      </w:pPr>
      <w:bookmarkStart w:id="317" w:name="_Toc58504512"/>
      <w:r>
        <w:rPr>
          <w:rFonts w:ascii="Times New Roman" w:hAnsi="Times New Roman" w:eastAsia="仿宋_GB2312"/>
          <w:b/>
          <w:sz w:val="24"/>
          <w:szCs w:val="21"/>
        </w:rPr>
        <w:t>23.3   磋商</w:t>
      </w:r>
      <w:bookmarkEnd w:id="317"/>
    </w:p>
    <w:p>
      <w:pPr>
        <w:pStyle w:val="23"/>
        <w:ind w:left="840" w:hanging="840" w:hangingChars="350"/>
        <w:rPr>
          <w:rFonts w:ascii="Times New Roman" w:hAnsi="Times New Roman" w:eastAsia="仿宋_GB2312"/>
          <w:sz w:val="24"/>
        </w:rPr>
      </w:pPr>
      <w:bookmarkStart w:id="318" w:name="_Toc58504513"/>
      <w:r>
        <w:rPr>
          <w:rFonts w:ascii="Times New Roman" w:hAnsi="Times New Roman" w:eastAsia="仿宋_GB2312"/>
          <w:sz w:val="24"/>
        </w:rPr>
        <w:t>23.3.1 磋商小组集中与各供应商分别进行磋商，并给所有参加磋商供应商平等的磋商机会。</w:t>
      </w:r>
      <w:bookmarkEnd w:id="318"/>
    </w:p>
    <w:p>
      <w:pPr>
        <w:pStyle w:val="23"/>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3"/>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pPr>
        <w:pStyle w:val="23"/>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pPr>
        <w:pStyle w:val="23"/>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pPr>
        <w:pStyle w:val="23"/>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pPr>
        <w:pStyle w:val="23"/>
        <w:rPr>
          <w:rFonts w:ascii="Times New Roman" w:hAnsi="Times New Roman" w:eastAsia="仿宋_GB2312"/>
          <w:b/>
          <w:sz w:val="24"/>
          <w:szCs w:val="21"/>
        </w:rPr>
      </w:pPr>
      <w:r>
        <w:rPr>
          <w:rFonts w:ascii="Times New Roman" w:hAnsi="Times New Roman" w:eastAsia="仿宋_GB2312"/>
          <w:b/>
          <w:sz w:val="24"/>
          <w:szCs w:val="21"/>
        </w:rPr>
        <w:t>23.4   最后报价</w:t>
      </w:r>
    </w:p>
    <w:p>
      <w:pPr>
        <w:pStyle w:val="23"/>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pPr>
        <w:pStyle w:val="5"/>
        <w:rPr>
          <w:rFonts w:ascii="Times New Roman" w:hAnsi="Times New Roman" w:eastAsia="仿宋_GB2312"/>
          <w:b/>
          <w:bCs/>
          <w:sz w:val="24"/>
          <w:szCs w:val="21"/>
        </w:rPr>
      </w:pPr>
      <w:bookmarkStart w:id="319" w:name="_Toc164608660"/>
      <w:bookmarkStart w:id="320" w:name="_Toc164229387"/>
      <w:bookmarkStart w:id="321" w:name="_Toc150509297"/>
      <w:bookmarkStart w:id="322" w:name="_Toc13753"/>
      <w:bookmarkStart w:id="323" w:name="_Toc142311048"/>
      <w:bookmarkStart w:id="324" w:name="_Toc249515422"/>
      <w:bookmarkStart w:id="325" w:name="_Toc164351640"/>
      <w:bookmarkStart w:id="326" w:name="_Toc151193716"/>
      <w:bookmarkStart w:id="327" w:name="_Toc150774646"/>
      <w:bookmarkStart w:id="328" w:name="_Toc164608815"/>
      <w:bookmarkStart w:id="329" w:name="_Toc127151747"/>
      <w:bookmarkStart w:id="330" w:name="_Toc127151546"/>
      <w:bookmarkStart w:id="331" w:name="_Toc149720839"/>
      <w:bookmarkStart w:id="332" w:name="_Toc151193788"/>
      <w:bookmarkStart w:id="333" w:name="_Ref467307010"/>
      <w:bookmarkStart w:id="334" w:name="_Toc150480784"/>
      <w:bookmarkStart w:id="335" w:name="_Toc151193934"/>
      <w:bookmarkStart w:id="336" w:name="_Toc151193860"/>
      <w:bookmarkStart w:id="337" w:name="_Toc249515310"/>
      <w:bookmarkStart w:id="338" w:name="_Toc520356170"/>
      <w:bookmarkStart w:id="339" w:name="_Toc151193644"/>
      <w:bookmarkStart w:id="340" w:name="_Toc150774751"/>
      <w:bookmarkStart w:id="341" w:name="_Toc164229241"/>
      <w:bookmarkStart w:id="342" w:name="_Toc195842911"/>
      <w:bookmarkStart w:id="343" w:name="_Toc127161460"/>
      <w:bookmarkStart w:id="344" w:name="_Toc249525191"/>
      <w:bookmarkStart w:id="345" w:name="_Toc151190173"/>
      <w:r>
        <w:rPr>
          <w:rFonts w:ascii="Times New Roman" w:hAnsi="Times New Roman" w:eastAsia="仿宋_GB2312"/>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sz w:val="24"/>
          <w:szCs w:val="21"/>
        </w:rPr>
        <w:t>落实政府采购政策，详见第三章。</w:t>
      </w:r>
    </w:p>
    <w:p>
      <w:pPr>
        <w:rPr>
          <w:rFonts w:eastAsia="仿宋_GB2312"/>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77"/>
        <w:spacing w:before="24" w:after="24"/>
        <w:jc w:val="center"/>
        <w:rPr>
          <w:rFonts w:eastAsia="仿宋_GB2312"/>
          <w:sz w:val="30"/>
          <w:szCs w:val="30"/>
        </w:rPr>
      </w:pPr>
      <w:bookmarkStart w:id="346" w:name="_Hlt497729446"/>
      <w:bookmarkEnd w:id="346"/>
      <w:bookmarkStart w:id="347" w:name="_Hlt491765714"/>
      <w:bookmarkEnd w:id="347"/>
      <w:bookmarkStart w:id="348" w:name="_Toc249515311"/>
      <w:bookmarkStart w:id="349" w:name="_Toc68590974"/>
      <w:bookmarkStart w:id="350" w:name="_Toc232395218"/>
      <w:bookmarkStart w:id="351" w:name="_Toc249525192"/>
      <w:bookmarkStart w:id="352" w:name="_Toc232176278"/>
      <w:bookmarkStart w:id="353" w:name="_Toc249515423"/>
      <w:bookmarkStart w:id="354" w:name="_Toc256342149"/>
      <w:bookmarkStart w:id="355" w:name="_Toc496324585"/>
      <w:bookmarkStart w:id="356" w:name="_Toc499711049"/>
      <w:bookmarkStart w:id="357" w:name="_Toc500747068"/>
      <w:bookmarkStart w:id="358" w:name="_Toc177817340"/>
      <w:bookmarkStart w:id="359" w:name="_Toc177189241"/>
      <w:bookmarkStart w:id="360" w:name="_Toc503063428"/>
      <w:bookmarkStart w:id="361" w:name="_Toc492955421"/>
      <w:bookmarkStart w:id="362" w:name="_Toc176882548"/>
      <w:bookmarkStart w:id="363" w:name="_Toc385992360"/>
      <w:bookmarkStart w:id="364" w:name="_Toc500746972"/>
      <w:bookmarkStart w:id="365" w:name="_Toc500747195"/>
      <w:bookmarkStart w:id="366" w:name="_Toc389620199"/>
      <w:bookmarkStart w:id="367" w:name="_Toc53722846"/>
      <w:bookmarkStart w:id="368" w:name="_Toc499711890"/>
      <w:bookmarkStart w:id="369" w:name="_Toc184043047"/>
      <w:bookmarkStart w:id="370" w:name="_Toc177995479"/>
      <w:bookmarkStart w:id="371" w:name="_Toc70687174"/>
      <w:r>
        <w:rPr>
          <w:rFonts w:eastAsia="仿宋_GB2312"/>
          <w:sz w:val="30"/>
          <w:szCs w:val="30"/>
        </w:rPr>
        <w:t>六、确定成交单位、授予合同</w:t>
      </w:r>
      <w:bookmarkEnd w:id="348"/>
      <w:bookmarkEnd w:id="349"/>
      <w:bookmarkEnd w:id="350"/>
      <w:bookmarkEnd w:id="351"/>
      <w:bookmarkEnd w:id="352"/>
      <w:bookmarkEnd w:id="353"/>
      <w:bookmarkEnd w:id="354"/>
    </w:p>
    <w:p>
      <w:pPr>
        <w:rPr>
          <w:rFonts w:eastAsia="仿宋_GB2312"/>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numPr>
          <w:ilvl w:val="0"/>
          <w:numId w:val="7"/>
        </w:numPr>
        <w:rPr>
          <w:rFonts w:ascii="Times New Roman" w:hAnsi="Times New Roman" w:eastAsia="仿宋_GB2312"/>
          <w:b/>
          <w:bCs/>
          <w:sz w:val="24"/>
          <w:szCs w:val="21"/>
        </w:rPr>
      </w:pPr>
      <w:bookmarkStart w:id="372" w:name="_Toc27151"/>
      <w:bookmarkStart w:id="373" w:name="_Toc385992361"/>
      <w:bookmarkStart w:id="374" w:name="_Toc249525193"/>
      <w:bookmarkStart w:id="375" w:name="_Toc70687175"/>
      <w:bookmarkStart w:id="376" w:name="_Toc249515424"/>
      <w:bookmarkStart w:id="377" w:name="_Toc249515312"/>
      <w:bookmarkStart w:id="378" w:name="_Toc184043048"/>
      <w:bookmarkStart w:id="379" w:name="_Toc389620200"/>
      <w:r>
        <w:rPr>
          <w:rFonts w:ascii="Times New Roman" w:hAnsi="Times New Roman" w:eastAsia="仿宋_GB2312"/>
          <w:b/>
          <w:bCs/>
          <w:sz w:val="24"/>
          <w:szCs w:val="21"/>
        </w:rPr>
        <w:t xml:space="preserve">   确定成交</w:t>
      </w:r>
      <w:bookmarkEnd w:id="372"/>
      <w:bookmarkEnd w:id="373"/>
      <w:bookmarkEnd w:id="374"/>
      <w:bookmarkEnd w:id="375"/>
      <w:bookmarkEnd w:id="376"/>
      <w:bookmarkEnd w:id="377"/>
      <w:bookmarkEnd w:id="378"/>
      <w:bookmarkEnd w:id="379"/>
      <w:r>
        <w:rPr>
          <w:rFonts w:ascii="Times New Roman" w:hAnsi="Times New Roman" w:eastAsia="仿宋_GB2312"/>
          <w:b/>
          <w:bCs/>
          <w:sz w:val="24"/>
          <w:szCs w:val="21"/>
        </w:rPr>
        <w:t>单位</w:t>
      </w:r>
    </w:p>
    <w:p>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pPr>
        <w:tabs>
          <w:tab w:val="left" w:pos="588"/>
        </w:tabs>
        <w:spacing w:line="360" w:lineRule="auto"/>
        <w:rPr>
          <w:rFonts w:eastAsia="仿宋_GB2312"/>
          <w:sz w:val="24"/>
        </w:rPr>
      </w:pPr>
      <w:r>
        <w:rPr>
          <w:rFonts w:eastAsia="仿宋_GB2312"/>
          <w:sz w:val="24"/>
        </w:rPr>
        <w:t>25.4   采购代理机构将评审过程及成交供应商情况书面报监督机构备案。</w:t>
      </w:r>
      <w:bookmarkStart w:id="380" w:name="_Toc385992364"/>
      <w:bookmarkStart w:id="381" w:name="_Toc389620203"/>
    </w:p>
    <w:bookmarkEnd w:id="380"/>
    <w:bookmarkEnd w:id="381"/>
    <w:p>
      <w:pPr>
        <w:pStyle w:val="5"/>
        <w:rPr>
          <w:rFonts w:ascii="Times New Roman" w:hAnsi="Times New Roman" w:eastAsia="仿宋_GB2312"/>
          <w:b/>
          <w:bCs/>
          <w:sz w:val="24"/>
          <w:szCs w:val="21"/>
        </w:rPr>
      </w:pPr>
      <w:bookmarkStart w:id="382" w:name="_Toc385992365"/>
      <w:bookmarkStart w:id="383" w:name="_Toc389620204"/>
      <w:r>
        <w:rPr>
          <w:rFonts w:ascii="Times New Roman" w:hAnsi="Times New Roman" w:eastAsia="仿宋_GB2312"/>
          <w:b/>
          <w:bCs/>
          <w:sz w:val="24"/>
          <w:szCs w:val="21"/>
        </w:rPr>
        <w:t>26.    合同</w:t>
      </w:r>
    </w:p>
    <w:p>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360" w:lineRule="auto"/>
        <w:ind w:left="840" w:hanging="840" w:hangingChars="350"/>
        <w:rPr>
          <w:rFonts w:eastAsia="仿宋_GB2312"/>
          <w:sz w:val="24"/>
        </w:rPr>
      </w:pPr>
      <w:r>
        <w:rPr>
          <w:rFonts w:eastAsia="仿宋_GB2312"/>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360" w:lineRule="auto"/>
        <w:ind w:left="840" w:hanging="840" w:hangingChars="350"/>
        <w:rPr>
          <w:rFonts w:eastAsia="仿宋_GB2312"/>
          <w:sz w:val="24"/>
        </w:rPr>
      </w:pPr>
      <w:r>
        <w:rPr>
          <w:rFonts w:eastAsia="仿宋_GB2312"/>
          <w:sz w:val="24"/>
        </w:rPr>
        <w:t>26.3   成交供应商签订合同后，持合同原件到采购代理机构，或采购代理机构根据陕西省政府采购网合同备案结果办理保证金退还手续。</w:t>
      </w:r>
    </w:p>
    <w:p>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pPr>
        <w:tabs>
          <w:tab w:val="left" w:pos="588"/>
        </w:tabs>
        <w:spacing w:line="360" w:lineRule="auto"/>
        <w:rPr>
          <w:rFonts w:eastAsia="仿宋_GB2312"/>
          <w:sz w:val="24"/>
        </w:rPr>
      </w:pPr>
      <w:r>
        <w:rPr>
          <w:rFonts w:eastAsia="仿宋_GB2312"/>
          <w:sz w:val="24"/>
        </w:rPr>
        <w:t>27.1   供应商对政府采购活动事项有疑问的，可以向采购人提出询问。</w:t>
      </w:r>
    </w:p>
    <w:p>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eastAsia="仿宋_GB2312"/>
          <w:sz w:val="24"/>
        </w:rPr>
      </w:pPr>
      <w:r>
        <w:rPr>
          <w:rFonts w:eastAsia="仿宋_GB2312"/>
          <w:sz w:val="24"/>
        </w:rPr>
        <w:t>27.3   质疑供应商在法定质疑期内须一次性提出针对同一采购程序环节的质疑。</w:t>
      </w:r>
    </w:p>
    <w:p>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pPr>
        <w:pStyle w:val="67"/>
        <w:numPr>
          <w:ilvl w:val="0"/>
          <w:numId w:val="8"/>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供应商的姓名或者名称、地址、邮编、联系人及联系电话；</w:t>
      </w:r>
    </w:p>
    <w:p>
      <w:pPr>
        <w:pStyle w:val="67"/>
        <w:numPr>
          <w:ilvl w:val="0"/>
          <w:numId w:val="8"/>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质疑项目的名称、编号；</w:t>
      </w:r>
    </w:p>
    <w:p>
      <w:pPr>
        <w:pStyle w:val="67"/>
        <w:numPr>
          <w:ilvl w:val="0"/>
          <w:numId w:val="8"/>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具体、明确的质疑事项和与质疑事项相关的请求；</w:t>
      </w:r>
    </w:p>
    <w:p>
      <w:pPr>
        <w:pStyle w:val="67"/>
        <w:numPr>
          <w:ilvl w:val="0"/>
          <w:numId w:val="8"/>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事实依据；</w:t>
      </w:r>
    </w:p>
    <w:p>
      <w:pPr>
        <w:pStyle w:val="67"/>
        <w:numPr>
          <w:ilvl w:val="0"/>
          <w:numId w:val="8"/>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必要的法律依据；</w:t>
      </w:r>
    </w:p>
    <w:p>
      <w:pPr>
        <w:pStyle w:val="67"/>
        <w:numPr>
          <w:ilvl w:val="0"/>
          <w:numId w:val="8"/>
        </w:numPr>
        <w:tabs>
          <w:tab w:val="left" w:pos="588"/>
        </w:tabs>
        <w:spacing w:line="360" w:lineRule="auto"/>
        <w:ind w:left="846" w:hanging="6" w:firstLineChars="0"/>
        <w:jc w:val="left"/>
        <w:rPr>
          <w:rFonts w:ascii="Times New Roman" w:hAnsi="Times New Roman" w:eastAsia="仿宋_GB2312"/>
          <w:sz w:val="24"/>
        </w:rPr>
      </w:pPr>
      <w:r>
        <w:rPr>
          <w:rFonts w:ascii="Times New Roman" w:hAnsi="Times New Roman" w:eastAsia="仿宋_GB2312"/>
          <w:sz w:val="24"/>
        </w:rPr>
        <w:t>提出质疑的日期。</w:t>
      </w:r>
    </w:p>
    <w:p>
      <w:pPr>
        <w:pStyle w:val="67"/>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pPr>
        <w:tabs>
          <w:tab w:val="left" w:pos="588"/>
        </w:tabs>
        <w:spacing w:line="360" w:lineRule="auto"/>
        <w:ind w:left="840" w:leftChars="400"/>
        <w:rPr>
          <w:rFonts w:eastAsia="仿宋_GB2312"/>
          <w:sz w:val="24"/>
        </w:rPr>
      </w:pPr>
      <w:r>
        <w:rPr>
          <w:rFonts w:eastAsia="仿宋_GB2312"/>
          <w:sz w:val="24"/>
        </w:rPr>
        <w:t>联系人：李萍、王亚宁，联系电话：029-85235014</w:t>
      </w:r>
    </w:p>
    <w:p>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82"/>
    <w:bookmarkEnd w:id="383"/>
    <w:p>
      <w:pPr>
        <w:pStyle w:val="5"/>
        <w:rPr>
          <w:rFonts w:ascii="Times New Roman" w:hAnsi="Times New Roman" w:eastAsia="仿宋_GB2312"/>
          <w:b/>
          <w:bCs/>
          <w:sz w:val="24"/>
          <w:szCs w:val="21"/>
        </w:rPr>
      </w:pPr>
      <w:bookmarkStart w:id="384" w:name="_Toc25547"/>
      <w:r>
        <w:rPr>
          <w:rFonts w:ascii="Times New Roman" w:hAnsi="Times New Roman" w:eastAsia="仿宋_GB2312"/>
          <w:b/>
          <w:bCs/>
          <w:sz w:val="24"/>
          <w:szCs w:val="21"/>
        </w:rPr>
        <w:t>28.    履约保证金</w:t>
      </w:r>
    </w:p>
    <w:p>
      <w:pPr>
        <w:tabs>
          <w:tab w:val="left" w:pos="588"/>
        </w:tabs>
        <w:spacing w:line="360" w:lineRule="auto"/>
        <w:rPr>
          <w:rFonts w:eastAsia="仿宋_GB2312"/>
          <w:sz w:val="24"/>
        </w:rPr>
      </w:pPr>
      <w:r>
        <w:rPr>
          <w:rFonts w:eastAsia="仿宋_GB2312"/>
          <w:sz w:val="24"/>
        </w:rPr>
        <w:t>28.1   履约保证金金额见</w:t>
      </w:r>
      <w:r>
        <w:rPr>
          <w:rFonts w:eastAsia="仿宋_GB2312"/>
          <w:b/>
          <w:sz w:val="24"/>
        </w:rPr>
        <w:t>供应商须知前附表</w:t>
      </w:r>
      <w:r>
        <w:rPr>
          <w:rFonts w:eastAsia="仿宋_GB2312"/>
          <w:sz w:val="24"/>
        </w:rPr>
        <w:t>。</w:t>
      </w:r>
    </w:p>
    <w:p>
      <w:pPr>
        <w:tabs>
          <w:tab w:val="left" w:pos="588"/>
        </w:tabs>
        <w:spacing w:line="360" w:lineRule="auto"/>
        <w:rPr>
          <w:rFonts w:eastAsia="仿宋_GB2312"/>
          <w:sz w:val="24"/>
        </w:rPr>
      </w:pPr>
      <w:r>
        <w:rPr>
          <w:rFonts w:eastAsia="仿宋_GB2312"/>
          <w:sz w:val="24"/>
        </w:rPr>
        <w:t>28.2   履约保证金缴纳时间：合同签订前必须交纳至（采购人）。</w:t>
      </w:r>
    </w:p>
    <w:p>
      <w:pPr>
        <w:tabs>
          <w:tab w:val="left" w:pos="588"/>
        </w:tabs>
        <w:spacing w:line="360" w:lineRule="auto"/>
        <w:ind w:left="840" w:hanging="840" w:hangingChars="350"/>
        <w:rPr>
          <w:rFonts w:eastAsia="仿宋_GB2312"/>
          <w:sz w:val="24"/>
        </w:rPr>
      </w:pPr>
      <w:r>
        <w:rPr>
          <w:rFonts w:eastAsia="仿宋_GB2312"/>
          <w:sz w:val="24"/>
        </w:rPr>
        <w:t>28.3   履约保证金缴纳形式：成交供应商应当以支票、汇票、本票、保函（格式见附件2）等非现金形式缴纳。</w:t>
      </w:r>
    </w:p>
    <w:p>
      <w:pPr>
        <w:tabs>
          <w:tab w:val="left" w:pos="588"/>
        </w:tabs>
        <w:spacing w:line="360" w:lineRule="auto"/>
        <w:rPr>
          <w:rFonts w:eastAsia="仿宋_GB2312"/>
          <w:sz w:val="24"/>
        </w:rPr>
      </w:pPr>
      <w:r>
        <w:rPr>
          <w:rFonts w:eastAsia="仿宋_GB2312"/>
          <w:sz w:val="24"/>
        </w:rPr>
        <w:t>28.4   履约保证金收取单位名称：</w:t>
      </w:r>
    </w:p>
    <w:p>
      <w:pPr>
        <w:tabs>
          <w:tab w:val="left" w:pos="588"/>
        </w:tabs>
        <w:spacing w:line="360" w:lineRule="auto"/>
        <w:ind w:left="840" w:leftChars="400"/>
        <w:rPr>
          <w:rFonts w:eastAsia="仿宋_GB2312"/>
          <w:sz w:val="24"/>
        </w:rPr>
      </w:pPr>
      <w:r>
        <w:rPr>
          <w:rFonts w:eastAsia="仿宋_GB2312"/>
          <w:sz w:val="24"/>
        </w:rPr>
        <w:t>开户银行：</w:t>
      </w:r>
    </w:p>
    <w:p>
      <w:pPr>
        <w:tabs>
          <w:tab w:val="left" w:pos="588"/>
        </w:tabs>
        <w:spacing w:line="360" w:lineRule="auto"/>
        <w:ind w:left="840" w:leftChars="400"/>
        <w:rPr>
          <w:rFonts w:eastAsia="仿宋_GB2312"/>
          <w:sz w:val="24"/>
        </w:rPr>
      </w:pPr>
      <w:r>
        <w:rPr>
          <w:rFonts w:eastAsia="仿宋_GB2312"/>
          <w:sz w:val="24"/>
        </w:rPr>
        <w:t>账号：</w:t>
      </w:r>
    </w:p>
    <w:p>
      <w:pPr>
        <w:tabs>
          <w:tab w:val="left" w:pos="588"/>
        </w:tabs>
        <w:spacing w:line="360" w:lineRule="auto"/>
        <w:ind w:left="840" w:leftChars="400"/>
        <w:rPr>
          <w:rFonts w:eastAsia="仿宋_GB2312"/>
          <w:sz w:val="24"/>
        </w:rPr>
      </w:pPr>
      <w:r>
        <w:rPr>
          <w:rFonts w:eastAsia="仿宋_GB2312"/>
          <w:sz w:val="24"/>
        </w:rPr>
        <w:t>联系人：               联系电话：</w:t>
      </w:r>
    </w:p>
    <w:p>
      <w:pPr>
        <w:tabs>
          <w:tab w:val="left" w:pos="588"/>
        </w:tabs>
        <w:spacing w:line="360" w:lineRule="auto"/>
        <w:rPr>
          <w:rFonts w:eastAsia="仿宋_GB2312"/>
          <w:sz w:val="24"/>
        </w:rPr>
      </w:pPr>
      <w:r>
        <w:rPr>
          <w:rFonts w:eastAsia="仿宋_GB2312"/>
          <w:sz w:val="24"/>
        </w:rPr>
        <w:t>28.5   履约保证金退还的方式、时间、条件：*****</w:t>
      </w:r>
    </w:p>
    <w:p>
      <w:pPr>
        <w:tabs>
          <w:tab w:val="left" w:pos="588"/>
        </w:tabs>
        <w:spacing w:line="360" w:lineRule="auto"/>
        <w:rPr>
          <w:rFonts w:eastAsia="仿宋_GB2312"/>
          <w:sz w:val="24"/>
        </w:rPr>
      </w:pPr>
      <w:r>
        <w:rPr>
          <w:rFonts w:eastAsia="仿宋_GB2312"/>
          <w:sz w:val="24"/>
        </w:rPr>
        <w:t>28.6   履约保证金不予退还的情况：****</w:t>
      </w:r>
    </w:p>
    <w:p>
      <w:pPr>
        <w:tabs>
          <w:tab w:val="left" w:pos="588"/>
        </w:tabs>
        <w:spacing w:line="360" w:lineRule="auto"/>
        <w:rPr>
          <w:rFonts w:eastAsia="仿宋_GB2312"/>
          <w:sz w:val="24"/>
        </w:rPr>
      </w:pPr>
      <w:r>
        <w:rPr>
          <w:rFonts w:eastAsia="仿宋_GB2312"/>
          <w:sz w:val="24"/>
        </w:rPr>
        <w:t>28.7   逾期退还履约保证金的违约责任：****</w:t>
      </w:r>
    </w:p>
    <w:bookmarkEnd w:id="384"/>
    <w:p>
      <w:pPr>
        <w:pStyle w:val="67"/>
        <w:numPr>
          <w:ilvl w:val="0"/>
          <w:numId w:val="9"/>
        </w:numPr>
        <w:tabs>
          <w:tab w:val="left" w:pos="588"/>
        </w:tabs>
        <w:spacing w:line="360" w:lineRule="auto"/>
        <w:ind w:firstLineChars="0"/>
        <w:rPr>
          <w:rFonts w:eastAsia="仿宋_GB2312"/>
          <w:sz w:val="24"/>
        </w:rPr>
      </w:pPr>
      <w:bookmarkStart w:id="385" w:name="_Toc1585"/>
      <w:r>
        <w:rPr>
          <w:rFonts w:eastAsia="仿宋_GB2312"/>
          <w:sz w:val="24"/>
        </w:rPr>
        <w:t>29.1   成交供应商在领取成交通知书前，须向采购代理机构支付成交服务费，服务费由采购人与采购代理机构约定：参照原国家计委计价格〔2002〕1980号文和国家发改委发改办价格〔2003〕857号文的计算方法（按标段）收取。</w:t>
      </w:r>
    </w:p>
    <w:p>
      <w:pPr>
        <w:pStyle w:val="67"/>
        <w:numPr>
          <w:ilvl w:val="0"/>
          <w:numId w:val="9"/>
        </w:numPr>
        <w:snapToGrid w:val="0"/>
        <w:spacing w:line="360" w:lineRule="auto"/>
        <w:ind w:firstLineChars="0"/>
        <w:rPr>
          <w:rFonts w:eastAsia="仿宋_GB2312"/>
          <w:sz w:val="24"/>
        </w:rPr>
      </w:pPr>
      <w:r>
        <w:rPr>
          <w:rFonts w:eastAsia="仿宋_GB2312"/>
          <w:sz w:val="24"/>
        </w:rPr>
        <w:t>29.2   成交单位的代理服务费交纳信息</w:t>
      </w:r>
    </w:p>
    <w:p>
      <w:pPr>
        <w:pStyle w:val="67"/>
        <w:numPr>
          <w:ilvl w:val="0"/>
          <w:numId w:val="9"/>
        </w:numPr>
        <w:snapToGrid w:val="0"/>
        <w:spacing w:line="360" w:lineRule="auto"/>
        <w:ind w:firstLineChars="0"/>
        <w:rPr>
          <w:rFonts w:eastAsia="仿宋_GB2312"/>
          <w:sz w:val="24"/>
        </w:rPr>
      </w:pPr>
      <w:r>
        <w:rPr>
          <w:rFonts w:eastAsia="仿宋_GB2312"/>
          <w:sz w:val="24"/>
        </w:rPr>
        <w:t>银行户名：陕西省采购招标有限责任公司</w:t>
      </w:r>
    </w:p>
    <w:p>
      <w:pPr>
        <w:pStyle w:val="67"/>
        <w:numPr>
          <w:ilvl w:val="0"/>
          <w:numId w:val="9"/>
        </w:numPr>
        <w:snapToGrid w:val="0"/>
        <w:spacing w:line="360" w:lineRule="auto"/>
        <w:ind w:firstLineChars="0"/>
        <w:rPr>
          <w:rFonts w:eastAsia="仿宋_GB2312"/>
          <w:sz w:val="24"/>
        </w:rPr>
      </w:pPr>
      <w:r>
        <w:rPr>
          <w:rFonts w:eastAsia="仿宋_GB2312"/>
          <w:sz w:val="24"/>
        </w:rPr>
        <w:t>开户银行：中国光大银行西安友谊路支行</w:t>
      </w:r>
    </w:p>
    <w:p>
      <w:pPr>
        <w:pStyle w:val="67"/>
        <w:numPr>
          <w:ilvl w:val="0"/>
          <w:numId w:val="9"/>
        </w:numPr>
        <w:snapToGrid w:val="0"/>
        <w:spacing w:line="360" w:lineRule="auto"/>
        <w:ind w:firstLineChars="0"/>
        <w:rPr>
          <w:rFonts w:eastAsia="仿宋_GB2312"/>
          <w:sz w:val="24"/>
        </w:rPr>
      </w:pPr>
      <w:r>
        <w:rPr>
          <w:rFonts w:eastAsia="仿宋_GB2312"/>
          <w:sz w:val="24"/>
        </w:rPr>
        <w:t>账    号：78560188000095264</w:t>
      </w:r>
    </w:p>
    <w:p>
      <w:pPr>
        <w:pStyle w:val="67"/>
        <w:numPr>
          <w:ilvl w:val="0"/>
          <w:numId w:val="9"/>
        </w:numPr>
        <w:snapToGrid w:val="0"/>
        <w:spacing w:line="360" w:lineRule="auto"/>
        <w:ind w:firstLineChars="0"/>
        <w:rPr>
          <w:rFonts w:eastAsia="仿宋_GB2312"/>
          <w:sz w:val="24"/>
        </w:rPr>
      </w:pPr>
      <w:r>
        <w:rPr>
          <w:rFonts w:eastAsia="仿宋_GB2312"/>
          <w:sz w:val="24"/>
        </w:rPr>
        <w:t>联 系 人：张婕   联系电话：029-85263975</w:t>
      </w:r>
    </w:p>
    <w:p>
      <w:pPr>
        <w:pStyle w:val="5"/>
        <w:numPr>
          <w:ilvl w:val="0"/>
          <w:numId w:val="9"/>
        </w:numPr>
        <w:rPr>
          <w:rFonts w:ascii="Times New Roman" w:hAnsi="Times New Roman" w:eastAsia="仿宋_GB2312"/>
          <w:b/>
          <w:bCs/>
          <w:sz w:val="24"/>
          <w:szCs w:val="21"/>
        </w:rPr>
      </w:pPr>
      <w:r>
        <w:rPr>
          <w:rFonts w:ascii="Times New Roman" w:hAnsi="Times New Roman" w:eastAsia="仿宋_GB2312"/>
          <w:b/>
          <w:bCs/>
          <w:sz w:val="24"/>
          <w:szCs w:val="21"/>
        </w:rPr>
        <w:t xml:space="preserve">  采购人追加采购数量的权力</w:t>
      </w:r>
      <w:bookmarkEnd w:id="385"/>
    </w:p>
    <w:p>
      <w:pPr>
        <w:tabs>
          <w:tab w:val="left" w:pos="588"/>
        </w:tabs>
        <w:spacing w:line="360" w:lineRule="auto"/>
        <w:ind w:left="840" w:leftChars="400"/>
        <w:rPr>
          <w:rFonts w:eastAsia="仿宋_GB2312"/>
          <w:sz w:val="24"/>
        </w:rPr>
      </w:pPr>
      <w:bookmarkStart w:id="386" w:name="_Toc385992366"/>
      <w:bookmarkStart w:id="387" w:name="_Toc389620205"/>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5"/>
        <w:numPr>
          <w:ilvl w:val="0"/>
          <w:numId w:val="9"/>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pPr>
        <w:pStyle w:val="23"/>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pStyle w:val="23"/>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pPr>
        <w:pStyle w:val="5"/>
        <w:numPr>
          <w:ilvl w:val="0"/>
          <w:numId w:val="9"/>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pPr>
        <w:pStyle w:val="23"/>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pPr>
        <w:pStyle w:val="23"/>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3"/>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3"/>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pPr>
        <w:pStyle w:val="23"/>
        <w:tabs>
          <w:tab w:val="left" w:pos="567"/>
        </w:tabs>
        <w:ind w:left="840" w:leftChars="400"/>
      </w:pPr>
      <w:r>
        <w:drawing>
          <wp:inline distT="0" distB="0" distL="0" distR="0">
            <wp:extent cx="5756275" cy="3310255"/>
            <wp:effectExtent l="0" t="0" r="15875" b="444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5" cstate="print"/>
                    <a:srcRect/>
                    <a:stretch>
                      <a:fillRect/>
                    </a:stretch>
                  </pic:blipFill>
                  <pic:spPr>
                    <a:xfrm>
                      <a:off x="0" y="0"/>
                      <a:ext cx="5756275" cy="3310255"/>
                    </a:xfrm>
                    <a:prstGeom prst="rect">
                      <a:avLst/>
                    </a:prstGeom>
                    <a:ln>
                      <a:noFill/>
                    </a:ln>
                  </pic:spPr>
                </pic:pic>
              </a:graphicData>
            </a:graphic>
          </wp:inline>
        </w:drawing>
      </w:r>
    </w:p>
    <w:p>
      <w:pPr>
        <w:pStyle w:val="23"/>
        <w:ind w:left="735" w:hanging="735" w:hangingChars="350"/>
        <w:rPr>
          <w:rFonts w:ascii="Times New Roman" w:hAnsi="Times New Roman" w:eastAsia="仿宋_GB2312"/>
          <w:sz w:val="24"/>
        </w:rPr>
      </w:pPr>
      <w:r>
        <w:drawing>
          <wp:inline distT="0" distB="0" distL="0" distR="0">
            <wp:extent cx="5758815" cy="3242310"/>
            <wp:effectExtent l="0" t="0" r="13334" b="1524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16" cstate="print"/>
                    <a:srcRect/>
                    <a:stretch>
                      <a:fillRect/>
                    </a:stretch>
                  </pic:blipFill>
                  <pic:spPr>
                    <a:xfrm>
                      <a:off x="0" y="0"/>
                      <a:ext cx="5758815" cy="3242310"/>
                    </a:xfrm>
                    <a:prstGeom prst="rect">
                      <a:avLst/>
                    </a:prstGeom>
                    <a:ln>
                      <a:noFill/>
                    </a:ln>
                  </pic:spPr>
                </pic:pic>
              </a:graphicData>
            </a:graphic>
          </wp:inline>
        </w:drawing>
      </w:r>
    </w:p>
    <w:p>
      <w:pPr>
        <w:pStyle w:val="23"/>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pPr>
        <w:rPr>
          <w:rFonts w:eastAsia="仿宋_GB2312"/>
          <w:b/>
          <w:szCs w:val="21"/>
        </w:rPr>
      </w:pPr>
      <w:r>
        <w:rPr>
          <w:rFonts w:eastAsia="仿宋_GB2312"/>
        </w:rPr>
        <w:t xml:space="preserve"> </w:t>
      </w:r>
      <w:r>
        <w:rPr>
          <w:rFonts w:eastAsia="仿宋_GB2312"/>
          <w:b/>
          <w:szCs w:val="21"/>
        </w:rPr>
        <w:t>一、陕西建行（E政通）</w:t>
      </w:r>
    </w:p>
    <w:p>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pPr>
        <w:rPr>
          <w:rFonts w:eastAsia="仿宋_GB2312"/>
          <w:b/>
          <w:szCs w:val="21"/>
        </w:rPr>
      </w:pPr>
      <w:r>
        <w:rPr>
          <w:rFonts w:eastAsia="仿宋_GB2312"/>
          <w:b/>
          <w:szCs w:val="21"/>
        </w:rPr>
        <w:t>三、工商银行（政采贷）</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pPr>
        <w:rPr>
          <w:rFonts w:eastAsia="仿宋_GB2312"/>
          <w:b/>
          <w:szCs w:val="21"/>
        </w:rPr>
      </w:pPr>
      <w:r>
        <w:rPr>
          <w:rFonts w:eastAsia="仿宋_GB2312"/>
          <w:b/>
          <w:szCs w:val="21"/>
        </w:rPr>
        <w:t>四、中信银行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pPr>
        <w:rPr>
          <w:rFonts w:eastAsia="仿宋_GB2312"/>
          <w:b/>
          <w:szCs w:val="21"/>
        </w:rPr>
      </w:pPr>
      <w:r>
        <w:rPr>
          <w:rFonts w:eastAsia="仿宋_GB2312"/>
          <w:b/>
          <w:szCs w:val="21"/>
        </w:rPr>
        <w:t>六、浦发银行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pPr>
        <w:rPr>
          <w:rFonts w:eastAsia="仿宋_GB2312"/>
          <w:szCs w:val="21"/>
        </w:rPr>
      </w:pPr>
    </w:p>
    <w:p>
      <w:pPr>
        <w:rPr>
          <w:rFonts w:eastAsia="仿宋_GB2312"/>
          <w:b/>
          <w:szCs w:val="21"/>
        </w:rPr>
      </w:pPr>
      <w:r>
        <w:rPr>
          <w:rFonts w:eastAsia="仿宋_GB2312"/>
          <w:b/>
          <w:szCs w:val="21"/>
        </w:rPr>
        <w:t>七、兴业银行（政采贷）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pPr>
        <w:rPr>
          <w:rFonts w:eastAsia="仿宋_GB2312"/>
          <w:b/>
          <w:szCs w:val="21"/>
        </w:rPr>
      </w:pPr>
      <w:r>
        <w:rPr>
          <w:rFonts w:eastAsia="仿宋_GB2312"/>
          <w:b/>
          <w:szCs w:val="21"/>
        </w:rPr>
        <w:t>八、中国民生银行（政采贷）</w:t>
      </w:r>
    </w:p>
    <w:p>
      <w:pPr>
        <w:ind w:left="2310" w:leftChars="200" w:hanging="1890" w:hangingChars="900"/>
        <w:rPr>
          <w:rFonts w:eastAsia="仿宋_GB2312"/>
          <w:szCs w:val="21"/>
        </w:rPr>
      </w:pPr>
      <w:r>
        <w:rPr>
          <w:rFonts w:eastAsia="仿宋_GB2312"/>
          <w:szCs w:val="21"/>
        </w:rPr>
        <w:t>民生银行西安分行  联系人：陈经理 联系电话：61815275 /18821669199</w:t>
      </w:r>
      <w:r>
        <w:rPr>
          <w:rFonts w:eastAsia="仿宋_GB2312"/>
          <w:szCs w:val="21"/>
        </w:rPr>
        <w:br w:type="textWrapping"/>
      </w:r>
      <w:r>
        <w:rPr>
          <w:rFonts w:eastAsia="仿宋_GB2312"/>
          <w:szCs w:val="21"/>
        </w:rPr>
        <w:t xml:space="preserve">联系人：王经理 联系电话：61815280 /18591953690 </w:t>
      </w:r>
    </w:p>
    <w:p>
      <w:pPr>
        <w:rPr>
          <w:rFonts w:eastAsia="仿宋_GB2312"/>
          <w:b/>
          <w:szCs w:val="21"/>
        </w:rPr>
      </w:pPr>
      <w:r>
        <w:rPr>
          <w:rFonts w:eastAsia="仿宋_GB2312"/>
          <w:b/>
          <w:szCs w:val="21"/>
        </w:rPr>
        <w:t>九、浙商银行 （政采贷）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pPr>
        <w:rPr>
          <w:rFonts w:eastAsia="仿宋_GB2312"/>
          <w:b/>
          <w:szCs w:val="21"/>
        </w:rPr>
      </w:pPr>
      <w:r>
        <w:rPr>
          <w:rFonts w:eastAsia="仿宋_GB2312"/>
          <w:b/>
          <w:szCs w:val="21"/>
        </w:rPr>
        <w:t xml:space="preserve">十、 招商银行（政采贷） </w:t>
      </w:r>
    </w:p>
    <w:p>
      <w:pPr>
        <w:ind w:firstLine="420" w:firstLineChars="200"/>
        <w:rPr>
          <w:rFonts w:eastAsia="仿宋_GB2312"/>
          <w:szCs w:val="21"/>
        </w:rPr>
      </w:pPr>
      <w:r>
        <w:rPr>
          <w:rFonts w:eastAsia="仿宋_GB2312"/>
          <w:szCs w:val="21"/>
        </w:rPr>
        <w:t>招商银行西安分行   联系人：任瑾；85438988</w:t>
      </w:r>
    </w:p>
    <w:p>
      <w:pPr>
        <w:rPr>
          <w:rFonts w:eastAsia="仿宋_GB2312"/>
          <w:b/>
          <w:szCs w:val="21"/>
        </w:rPr>
      </w:pPr>
      <w:r>
        <w:rPr>
          <w:rFonts w:eastAsia="仿宋_GB2312"/>
          <w:b/>
          <w:szCs w:val="21"/>
        </w:rPr>
        <w:t xml:space="preserve">十一、 长安银行（小微贷） </w:t>
      </w:r>
    </w:p>
    <w:p>
      <w:pPr>
        <w:ind w:firstLine="420" w:firstLineChars="200"/>
        <w:rPr>
          <w:rFonts w:eastAsia="仿宋_GB2312"/>
          <w:szCs w:val="21"/>
        </w:rPr>
      </w:pPr>
      <w:r>
        <w:rPr>
          <w:rFonts w:eastAsia="仿宋_GB2312"/>
          <w:szCs w:val="21"/>
        </w:rPr>
        <w:t xml:space="preserve">长安银行西安曲江新区支行 地址：西安市曲江新区雁南一路3号  </w:t>
      </w:r>
    </w:p>
    <w:p>
      <w:pPr>
        <w:ind w:firstLine="420" w:firstLineChars="200"/>
        <w:rPr>
          <w:rFonts w:eastAsia="仿宋_GB2312"/>
          <w:szCs w:val="21"/>
        </w:rPr>
      </w:pPr>
      <w:r>
        <w:rPr>
          <w:rFonts w:eastAsia="仿宋_GB2312"/>
          <w:szCs w:val="21"/>
        </w:rPr>
        <w:t xml:space="preserve">联系人：陈瑶 13629266833 </w:t>
      </w:r>
    </w:p>
    <w:bookmarkEnd w:id="386"/>
    <w:bookmarkEnd w:id="387"/>
    <w:p>
      <w:pPr>
        <w:rPr>
          <w:rFonts w:ascii="仿宋_GB2312" w:hAnsi="仿宋_GB2312" w:eastAsia="仿宋_GB2312" w:cs="仿宋_GB2312"/>
          <w:b/>
          <w:szCs w:val="21"/>
        </w:rPr>
      </w:pPr>
      <w:bookmarkStart w:id="388" w:name="_Toc230099802"/>
      <w:bookmarkStart w:id="389" w:name="_Toc230013637"/>
      <w:bookmarkStart w:id="390" w:name="_Toc184025279"/>
      <w:bookmarkStart w:id="391" w:name="_Toc184114070"/>
      <w:r>
        <w:rPr>
          <w:rFonts w:hint="eastAsia" w:ascii="仿宋_GB2312" w:hAnsi="仿宋_GB2312" w:eastAsia="仿宋_GB2312" w:cs="仿宋_GB2312"/>
          <w:b/>
          <w:szCs w:val="21"/>
        </w:rPr>
        <w:t>十二、网商银行（合同贷）</w:t>
      </w:r>
      <w:r>
        <w:rPr>
          <w:rFonts w:hint="eastAsia" w:ascii="仿宋_GB2312" w:hAnsi="仿宋_GB2312" w:eastAsia="仿宋_GB2312" w:cs="仿宋_GB2312"/>
          <w:b/>
          <w:szCs w:val="21"/>
        </w:rPr>
        <w:br w:type="textWrapping"/>
      </w:r>
      <w:r>
        <w:rPr>
          <w:rFonts w:hint="eastAsia" w:ascii="仿宋_GB2312" w:hAnsi="仿宋_GB2312" w:eastAsia="仿宋_GB2312" w:cs="仿宋_GB2312"/>
          <w:b/>
          <w:szCs w:val="21"/>
        </w:rPr>
        <w:t>十三、中国邮政储蓄银行陕西省分行（政采贷）</w:t>
      </w:r>
    </w:p>
    <w:p>
      <w:pPr>
        <w:pStyle w:val="23"/>
        <w:tabs>
          <w:tab w:val="left" w:pos="567"/>
        </w:tabs>
        <w:rPr>
          <w:rFonts w:ascii="仿宋_GB2312" w:hAnsi="仿宋_GB2312" w:eastAsia="仿宋_GB2312" w:cs="仿宋_GB2312"/>
          <w:szCs w:val="21"/>
        </w:rPr>
      </w:pPr>
    </w:p>
    <w:p>
      <w:pPr>
        <w:pStyle w:val="23"/>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rPr>
              <w:t>13892535580</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13892383911</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18191815559</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18191356300</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13028431555</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18091365182</w:t>
            </w:r>
          </w:p>
        </w:tc>
      </w:tr>
    </w:tbl>
    <w:p>
      <w:pPr>
        <w:pStyle w:val="23"/>
        <w:tabs>
          <w:tab w:val="left" w:pos="567"/>
        </w:tabs>
        <w:rPr>
          <w:rFonts w:ascii="仿宋_GB2312" w:hAnsi="仿宋_GB2312" w:eastAsia="仿宋_GB2312" w:cs="仿宋_GB2312"/>
          <w:szCs w:val="21"/>
        </w:rPr>
      </w:pPr>
    </w:p>
    <w:p>
      <w:pPr>
        <w:pStyle w:val="23"/>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序号</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银行</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地址</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联系人</w:t>
            </w:r>
          </w:p>
        </w:tc>
        <w:tc>
          <w:tcPr>
            <w:tcW w:w="0" w:type="auto"/>
            <w:vAlign w:val="center"/>
          </w:tcPr>
          <w:p>
            <w:pPr>
              <w:spacing w:line="500" w:lineRule="exact"/>
              <w:jc w:val="center"/>
              <w:rPr>
                <w:rFonts w:ascii="仿宋_GB2312" w:hAnsi="仿宋_GB2312" w:eastAsia="仿宋_GB2312" w:cs="仿宋_GB2312"/>
                <w:b/>
                <w:bCs/>
                <w:kern w:val="0"/>
                <w:szCs w:val="21"/>
                <w:shd w:val="clear" w:color="auto" w:fill="FFFFFF"/>
              </w:rPr>
            </w:pPr>
            <w:r>
              <w:rPr>
                <w:rFonts w:hint="eastAsia" w:ascii="仿宋_GB2312" w:hAnsi="仿宋_GB2312" w:eastAsia="仿宋_GB2312" w:cs="仿宋_GB2312"/>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中国建设银行延安分行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延安市宝塔区中心街</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惠玉</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2</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中国工商银行延安分行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延安市宝塔区师范路</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姬悦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3</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北京银行延安分行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延安市宝塔区双拥大道</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奥宝森</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4</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邮储银行延安分行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延安市宝塔区枣园路志丹大厦</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杨慧花</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5</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光大银行延安分行</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延安市宝塔区卷烟厂东信时代一、二层</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汪昊田</w:t>
            </w:r>
          </w:p>
        </w:tc>
        <w:tc>
          <w:tcPr>
            <w:tcW w:w="0" w:type="auto"/>
            <w:vAlign w:val="center"/>
          </w:tcPr>
          <w:p>
            <w:pPr>
              <w:spacing w:line="500" w:lineRule="exact"/>
              <w:jc w:val="center"/>
              <w:rPr>
                <w:rFonts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shd w:val="clear" w:color="auto" w:fill="FFFFFF"/>
              </w:rPr>
              <w:t>13509115500</w:t>
            </w:r>
          </w:p>
        </w:tc>
      </w:tr>
    </w:tbl>
    <w:p>
      <w:pPr>
        <w:tabs>
          <w:tab w:val="left" w:pos="588"/>
        </w:tabs>
        <w:spacing w:line="360" w:lineRule="auto"/>
        <w:rPr>
          <w:rFonts w:eastAsia="仿宋_GB2312"/>
          <w:sz w:val="24"/>
        </w:rPr>
      </w:pPr>
      <w:r>
        <w:rPr>
          <w:rFonts w:eastAsia="仿宋_GB2312"/>
          <w:sz w:val="24"/>
        </w:rPr>
        <w:br w:type="page"/>
      </w:r>
    </w:p>
    <w:bookmarkEnd w:id="388"/>
    <w:bookmarkEnd w:id="389"/>
    <w:bookmarkEnd w:id="390"/>
    <w:bookmarkEnd w:id="391"/>
    <w:p>
      <w:pPr>
        <w:pStyle w:val="46"/>
        <w:spacing w:line="360" w:lineRule="auto"/>
        <w:rPr>
          <w:rStyle w:val="203"/>
          <w:rFonts w:ascii="Times New Roman" w:hAnsi="Times New Roman" w:eastAsia="宋体"/>
          <w:sz w:val="36"/>
          <w:szCs w:val="36"/>
        </w:rPr>
      </w:pPr>
      <w:bookmarkStart w:id="392" w:name="_Toc68590975"/>
      <w:bookmarkStart w:id="393" w:name="_Toc17469"/>
      <w:bookmarkStart w:id="394" w:name="_Toc58504447"/>
      <w:r>
        <w:rPr>
          <w:rStyle w:val="203"/>
          <w:rFonts w:ascii="Times New Roman" w:hAnsi="Times New Roman" w:eastAsia="宋体"/>
          <w:sz w:val="36"/>
          <w:szCs w:val="36"/>
        </w:rPr>
        <w:t>第三章  评审办法和标准</w:t>
      </w:r>
      <w:bookmarkEnd w:id="392"/>
    </w:p>
    <w:p>
      <w:pPr>
        <w:tabs>
          <w:tab w:val="left" w:pos="360"/>
          <w:tab w:val="left" w:pos="588"/>
        </w:tabs>
        <w:spacing w:line="360" w:lineRule="auto"/>
        <w:ind w:left="840"/>
        <w:rPr>
          <w:rFonts w:eastAsia="仿宋_GB2312"/>
          <w:sz w:val="24"/>
        </w:rPr>
      </w:pPr>
    </w:p>
    <w:p>
      <w:pPr>
        <w:pStyle w:val="77"/>
        <w:spacing w:before="24" w:after="24"/>
        <w:rPr>
          <w:rFonts w:eastAsia="仿宋_GB2312"/>
          <w:sz w:val="28"/>
          <w:szCs w:val="28"/>
        </w:rPr>
      </w:pPr>
      <w:bookmarkStart w:id="395" w:name="_Toc68590976"/>
      <w:bookmarkStart w:id="396" w:name="_Toc7005040"/>
      <w:r>
        <w:rPr>
          <w:rFonts w:eastAsia="仿宋_GB2312"/>
          <w:sz w:val="28"/>
          <w:szCs w:val="28"/>
        </w:rPr>
        <w:t>1.评审方法</w:t>
      </w:r>
      <w:bookmarkEnd w:id="395"/>
      <w:bookmarkEnd w:id="396"/>
    </w:p>
    <w:p>
      <w:pPr>
        <w:pStyle w:val="23"/>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77"/>
        <w:spacing w:before="24" w:after="24"/>
        <w:rPr>
          <w:rFonts w:eastAsia="仿宋_GB2312"/>
          <w:sz w:val="28"/>
          <w:szCs w:val="28"/>
        </w:rPr>
      </w:pPr>
      <w:bookmarkStart w:id="397" w:name="_Toc68590977"/>
      <w:bookmarkStart w:id="398" w:name="_Toc7005041"/>
      <w:r>
        <w:rPr>
          <w:rFonts w:eastAsia="仿宋_GB2312"/>
          <w:sz w:val="28"/>
          <w:szCs w:val="28"/>
        </w:rPr>
        <w:t>2.评审标准</w:t>
      </w:r>
      <w:bookmarkEnd w:id="397"/>
      <w:bookmarkEnd w:id="398"/>
    </w:p>
    <w:p>
      <w:pPr>
        <w:pStyle w:val="23"/>
        <w:rPr>
          <w:rFonts w:ascii="Times New Roman" w:hAnsi="Times New Roman" w:eastAsia="仿宋_GB2312"/>
          <w:sz w:val="24"/>
        </w:rPr>
      </w:pPr>
      <w:r>
        <w:rPr>
          <w:rFonts w:ascii="Times New Roman" w:hAnsi="Times New Roman" w:eastAsia="仿宋_GB2312"/>
          <w:sz w:val="24"/>
        </w:rPr>
        <w:t>2.1 资格审查和符合性评审标准：见附表一和附表二。</w:t>
      </w:r>
    </w:p>
    <w:p>
      <w:pPr>
        <w:pStyle w:val="23"/>
        <w:rPr>
          <w:rFonts w:ascii="Times New Roman" w:hAnsi="Times New Roman" w:eastAsia="仿宋_GB2312"/>
          <w:sz w:val="24"/>
        </w:rPr>
      </w:pPr>
      <w:r>
        <w:rPr>
          <w:rFonts w:ascii="Times New Roman" w:hAnsi="Times New Roman" w:eastAsia="仿宋_GB2312"/>
          <w:sz w:val="24"/>
        </w:rPr>
        <w:t>2.2 分值构成：总分100</w:t>
      </w:r>
      <w:bookmarkStart w:id="399" w:name="_Ref426362114"/>
      <w:r>
        <w:rPr>
          <w:rFonts w:ascii="Times New Roman" w:hAnsi="Times New Roman" w:eastAsia="仿宋_GB2312"/>
          <w:sz w:val="24"/>
        </w:rPr>
        <w:t>分</w:t>
      </w:r>
    </w:p>
    <w:p>
      <w:pPr>
        <w:pStyle w:val="23"/>
        <w:rPr>
          <w:rFonts w:ascii="Times New Roman" w:hAnsi="Times New Roman" w:eastAsia="仿宋_GB2312"/>
          <w:sz w:val="24"/>
        </w:rPr>
      </w:pPr>
      <w:r>
        <w:rPr>
          <w:rFonts w:ascii="Times New Roman" w:hAnsi="Times New Roman" w:eastAsia="仿宋_GB2312"/>
          <w:sz w:val="24"/>
        </w:rPr>
        <w:t>2.3 商务和技术评审标准</w:t>
      </w:r>
      <w:bookmarkEnd w:id="399"/>
    </w:p>
    <w:p>
      <w:pPr>
        <w:pStyle w:val="23"/>
        <w:rPr>
          <w:rFonts w:ascii="Times New Roman" w:hAnsi="Times New Roman" w:eastAsia="仿宋_GB2312"/>
          <w:sz w:val="24"/>
        </w:rPr>
      </w:pPr>
      <w:bookmarkStart w:id="400" w:name="_Ref426362140"/>
      <w:r>
        <w:rPr>
          <w:rFonts w:ascii="Times New Roman" w:hAnsi="Times New Roman" w:eastAsia="仿宋_GB2312"/>
          <w:sz w:val="24"/>
        </w:rPr>
        <w:t>2.3.1商务部分评分标准：见附表</w:t>
      </w:r>
      <w:bookmarkEnd w:id="400"/>
      <w:r>
        <w:rPr>
          <w:rFonts w:ascii="Times New Roman" w:hAnsi="Times New Roman" w:eastAsia="仿宋_GB2312"/>
          <w:sz w:val="24"/>
        </w:rPr>
        <w:t>三</w:t>
      </w:r>
    </w:p>
    <w:p>
      <w:pPr>
        <w:pStyle w:val="23"/>
        <w:rPr>
          <w:rFonts w:ascii="Times New Roman" w:hAnsi="Times New Roman" w:eastAsia="仿宋_GB2312"/>
          <w:sz w:val="24"/>
        </w:rPr>
      </w:pPr>
      <w:bookmarkStart w:id="401" w:name="_Ref426362158"/>
      <w:r>
        <w:rPr>
          <w:rFonts w:ascii="Times New Roman" w:hAnsi="Times New Roman" w:eastAsia="仿宋_GB2312"/>
          <w:sz w:val="24"/>
        </w:rPr>
        <w:t>2.3.2技术部分评分标准：见附表</w:t>
      </w:r>
      <w:bookmarkEnd w:id="401"/>
      <w:r>
        <w:rPr>
          <w:rFonts w:ascii="Times New Roman" w:hAnsi="Times New Roman" w:eastAsia="仿宋_GB2312"/>
          <w:sz w:val="24"/>
        </w:rPr>
        <w:t>四</w:t>
      </w:r>
    </w:p>
    <w:p>
      <w:pPr>
        <w:pStyle w:val="23"/>
        <w:rPr>
          <w:rFonts w:ascii="Times New Roman" w:hAnsi="Times New Roman" w:eastAsia="仿宋_GB2312"/>
          <w:sz w:val="24"/>
        </w:rPr>
      </w:pPr>
      <w:bookmarkStart w:id="402" w:name="_Ref426362176"/>
      <w:r>
        <w:rPr>
          <w:rFonts w:ascii="Times New Roman" w:hAnsi="Times New Roman" w:eastAsia="仿宋_GB2312"/>
          <w:sz w:val="24"/>
        </w:rPr>
        <w:t>2.3.3报价评分标准：</w:t>
      </w:r>
      <w:bookmarkEnd w:id="402"/>
      <w:r>
        <w:rPr>
          <w:rFonts w:ascii="Times New Roman" w:hAnsi="Times New Roman" w:eastAsia="仿宋_GB2312"/>
          <w:sz w:val="24"/>
        </w:rPr>
        <w:t>见附表五</w:t>
      </w:r>
    </w:p>
    <w:p>
      <w:pPr>
        <w:pStyle w:val="23"/>
        <w:ind w:firstLine="480" w:firstLineChars="200"/>
        <w:rPr>
          <w:rFonts w:ascii="Times New Roman" w:hAnsi="Times New Roman" w:eastAsia="仿宋_GB2312"/>
          <w:sz w:val="24"/>
        </w:rPr>
      </w:pPr>
      <w:r>
        <w:rPr>
          <w:rFonts w:ascii="Times New Roman" w:hAnsi="Times New Roman" w:eastAsia="仿宋_GB2312"/>
          <w:sz w:val="24"/>
        </w:rPr>
        <w:t>（1）根据《关于进一步加大政府采购支持中小企业力度的通知》（财库〔2022〕19号）、《政府采购促进中小企业发展管理办法》（财库〔2020〕46号）调整供应商参与评审的价格。对小型和微型企业产品的价格给予</w:t>
      </w:r>
      <w:r>
        <w:rPr>
          <w:rFonts w:ascii="Times New Roman" w:hAnsi="Times New Roman" w:eastAsia="仿宋_GB2312"/>
          <w:sz w:val="24"/>
          <w:u w:val="single"/>
        </w:rPr>
        <w:t>服务10%</w:t>
      </w:r>
      <w:r>
        <w:rPr>
          <w:rFonts w:ascii="Times New Roman" w:hAnsi="Times New Roman" w:eastAsia="仿宋_GB2312"/>
          <w:sz w:val="24"/>
        </w:rPr>
        <w:t>的扣除。如允许与小微企业组成联合体或向其分包的，且合同额占总金额30%以上的，给予</w:t>
      </w:r>
      <w:r>
        <w:rPr>
          <w:rFonts w:ascii="Times New Roman" w:hAnsi="Times New Roman" w:eastAsia="仿宋_GB2312"/>
          <w:sz w:val="24"/>
          <w:u w:val="single"/>
        </w:rPr>
        <w:t>4%</w:t>
      </w:r>
      <w:r>
        <w:rPr>
          <w:rFonts w:ascii="Times New Roman" w:hAnsi="Times New Roman" w:eastAsia="仿宋_GB2312"/>
          <w:sz w:val="24"/>
        </w:rPr>
        <w:t>的扣除。</w:t>
      </w:r>
    </w:p>
    <w:p>
      <w:pPr>
        <w:pStyle w:val="23"/>
        <w:rPr>
          <w:rFonts w:ascii="Times New Roman" w:hAnsi="Times New Roman" w:eastAsia="仿宋_GB2312"/>
          <w:sz w:val="24"/>
        </w:rPr>
      </w:pPr>
      <w:r>
        <w:rPr>
          <w:rFonts w:ascii="Times New Roman" w:hAnsi="Times New Roman" w:eastAsia="仿宋_GB2312"/>
          <w:sz w:val="24"/>
        </w:rPr>
        <w:t>注：监狱企业、残疾人福利性单位视同小微企业；残疾人福利性单位属于小型、微型企业的，不重复享受政策。</w:t>
      </w:r>
    </w:p>
    <w:p>
      <w:pPr>
        <w:pStyle w:val="23"/>
        <w:ind w:firstLine="480" w:firstLineChars="200"/>
        <w:rPr>
          <w:rFonts w:ascii="Times New Roman" w:hAnsi="Times New Roman" w:eastAsia="仿宋_GB2312"/>
          <w:sz w:val="24"/>
        </w:rPr>
      </w:pPr>
      <w:r>
        <w:rPr>
          <w:rFonts w:ascii="Times New Roman" w:hAnsi="Times New Roman" w:eastAsia="仿宋_GB2312"/>
          <w:sz w:val="24"/>
        </w:rPr>
        <w:t>（2）评审基准价。有效响应文件中的最后报价并按本款（1）和（2）进行调整的最低报价为评审基准价。</w:t>
      </w:r>
    </w:p>
    <w:p>
      <w:pPr>
        <w:pStyle w:val="23"/>
        <w:ind w:firstLine="480" w:firstLineChars="200"/>
        <w:rPr>
          <w:rFonts w:ascii="Times New Roman" w:hAnsi="Times New Roman" w:eastAsia="仿宋_GB2312"/>
          <w:sz w:val="24"/>
        </w:rPr>
      </w:pPr>
      <w:r>
        <w:rPr>
          <w:rFonts w:ascii="Times New Roman" w:hAnsi="Times New Roman" w:eastAsia="仿宋_GB2312"/>
          <w:sz w:val="24"/>
        </w:rPr>
        <w:t>（3）供应商报价（按本款（1）和（2）进行调整后价格）得分=(评审基准价／最后报价)×价格分满分分值</w:t>
      </w:r>
    </w:p>
    <w:p>
      <w:pPr>
        <w:tabs>
          <w:tab w:val="left" w:pos="588"/>
        </w:tabs>
        <w:spacing w:line="360" w:lineRule="auto"/>
        <w:rPr>
          <w:rFonts w:eastAsia="仿宋_GB2312"/>
          <w:sz w:val="24"/>
        </w:rPr>
      </w:pPr>
      <w:r>
        <w:rPr>
          <w:rFonts w:eastAsia="仿宋_GB2312"/>
          <w:sz w:val="24"/>
        </w:rPr>
        <w:t>2.3.4 响应文件出现下列情况之一者，磋商小组在评审过程中按以下原则修正：</w:t>
      </w:r>
    </w:p>
    <w:p>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pPr>
        <w:tabs>
          <w:tab w:val="left" w:pos="588"/>
        </w:tabs>
        <w:spacing w:line="360" w:lineRule="auto"/>
        <w:ind w:firstLine="600" w:firstLineChars="250"/>
        <w:rPr>
          <w:rFonts w:eastAsia="仿宋_GB2312"/>
          <w:sz w:val="24"/>
        </w:rPr>
      </w:pPr>
      <w:r>
        <w:rPr>
          <w:rFonts w:eastAsia="仿宋_GB2312"/>
          <w:sz w:val="24"/>
        </w:rPr>
        <w:t>（2）总价金额与按单价汇总金额不一致的，以单价金额计算结果为准；</w:t>
      </w:r>
    </w:p>
    <w:p>
      <w:pPr>
        <w:tabs>
          <w:tab w:val="left" w:pos="588"/>
        </w:tabs>
        <w:spacing w:line="360" w:lineRule="auto"/>
        <w:ind w:firstLine="600" w:firstLineChars="250"/>
        <w:rPr>
          <w:rFonts w:eastAsia="仿宋_GB2312"/>
          <w:sz w:val="24"/>
        </w:rPr>
      </w:pPr>
      <w:r>
        <w:rPr>
          <w:rFonts w:eastAsia="仿宋_GB2312"/>
          <w:sz w:val="24"/>
        </w:rPr>
        <w:t>（3）单价金额小数点有明显错位的，应以总价为准，并修改单价；</w:t>
      </w:r>
    </w:p>
    <w:p>
      <w:pPr>
        <w:tabs>
          <w:tab w:val="left" w:pos="588"/>
        </w:tabs>
        <w:spacing w:line="360" w:lineRule="auto"/>
        <w:ind w:firstLine="600" w:firstLineChars="250"/>
        <w:rPr>
          <w:rFonts w:eastAsia="仿宋_GB2312"/>
          <w:sz w:val="24"/>
        </w:rPr>
      </w:pPr>
      <w:r>
        <w:rPr>
          <w:rFonts w:eastAsia="仿宋_GB2312"/>
          <w:sz w:val="24"/>
        </w:rPr>
        <w:t>（4）对不同文字文本响应文件的解释发生异议的，以中文文本为准；</w:t>
      </w:r>
    </w:p>
    <w:p>
      <w:pPr>
        <w:tabs>
          <w:tab w:val="left" w:pos="588"/>
        </w:tabs>
        <w:spacing w:line="360" w:lineRule="auto"/>
        <w:ind w:firstLine="600" w:firstLineChars="250"/>
        <w:rPr>
          <w:rFonts w:eastAsia="仿宋_GB2312"/>
          <w:sz w:val="24"/>
        </w:rPr>
      </w:pPr>
      <w:r>
        <w:rPr>
          <w:rFonts w:eastAsia="仿宋_GB2312"/>
          <w:sz w:val="24"/>
        </w:rPr>
        <w:t>（5）文字与图表不一致的，以文字为准；</w:t>
      </w:r>
    </w:p>
    <w:p>
      <w:pPr>
        <w:tabs>
          <w:tab w:val="left" w:pos="588"/>
        </w:tabs>
        <w:spacing w:line="360" w:lineRule="auto"/>
        <w:ind w:firstLine="600" w:firstLineChars="250"/>
        <w:rPr>
          <w:rFonts w:eastAsia="仿宋_GB2312"/>
          <w:sz w:val="24"/>
        </w:rPr>
      </w:pPr>
      <w:r>
        <w:rPr>
          <w:rFonts w:eastAsia="仿宋_GB2312"/>
          <w:sz w:val="24"/>
        </w:rPr>
        <w:t>（6）正本与副本不一致的，以正本为准；</w:t>
      </w:r>
    </w:p>
    <w:p>
      <w:pPr>
        <w:tabs>
          <w:tab w:val="left" w:pos="588"/>
        </w:tabs>
        <w:spacing w:line="360" w:lineRule="auto"/>
        <w:ind w:firstLine="600" w:firstLineChars="250"/>
        <w:rPr>
          <w:rFonts w:eastAsia="仿宋_GB2312"/>
          <w:sz w:val="24"/>
        </w:rPr>
      </w:pPr>
      <w:r>
        <w:rPr>
          <w:rFonts w:eastAsia="仿宋_GB2312"/>
          <w:sz w:val="24"/>
        </w:rPr>
        <w:t>（7）响应文件的文字叙述与制造厂商的产品样本/检测报告不符时，以产品样本/检测报告为准。</w:t>
      </w:r>
    </w:p>
    <w:p>
      <w:pPr>
        <w:pStyle w:val="77"/>
        <w:spacing w:before="24" w:after="24"/>
        <w:rPr>
          <w:rFonts w:eastAsia="仿宋_GB2312"/>
          <w:sz w:val="28"/>
          <w:szCs w:val="28"/>
        </w:rPr>
      </w:pPr>
      <w:bookmarkStart w:id="403" w:name="_Toc7005042"/>
      <w:bookmarkStart w:id="404" w:name="_Toc68590978"/>
      <w:r>
        <w:rPr>
          <w:rFonts w:eastAsia="仿宋_GB2312"/>
          <w:sz w:val="28"/>
          <w:szCs w:val="28"/>
        </w:rPr>
        <w:t>3.评审程序</w:t>
      </w:r>
      <w:bookmarkEnd w:id="403"/>
      <w:bookmarkEnd w:id="404"/>
    </w:p>
    <w:p>
      <w:pPr>
        <w:pStyle w:val="23"/>
        <w:rPr>
          <w:rFonts w:ascii="Times New Roman" w:hAnsi="Times New Roman" w:eastAsia="仿宋_GB2312"/>
          <w:b/>
          <w:sz w:val="24"/>
        </w:rPr>
      </w:pPr>
      <w:bookmarkStart w:id="405" w:name="_Toc7005043"/>
      <w:r>
        <w:rPr>
          <w:rFonts w:ascii="Times New Roman" w:hAnsi="Times New Roman" w:eastAsia="仿宋_GB2312"/>
          <w:b/>
          <w:sz w:val="24"/>
        </w:rPr>
        <w:t>3.1资格审查及符合性审查</w:t>
      </w:r>
      <w:bookmarkEnd w:id="405"/>
    </w:p>
    <w:p>
      <w:pPr>
        <w:pStyle w:val="23"/>
        <w:rPr>
          <w:rFonts w:ascii="Times New Roman" w:hAnsi="Times New Roman" w:eastAsia="仿宋_GB2312"/>
          <w:sz w:val="24"/>
        </w:rPr>
      </w:pPr>
      <w:r>
        <w:rPr>
          <w:rFonts w:ascii="Times New Roman" w:hAnsi="Times New Roman" w:eastAsia="仿宋_GB2312"/>
          <w:sz w:val="24"/>
        </w:rPr>
        <w:t>3.1.1 采购代理机构按附表一所列审查标准对供应商资格进行审查，以确定供应商是否具备磋商资格。</w:t>
      </w:r>
    </w:p>
    <w:p>
      <w:pPr>
        <w:pStyle w:val="23"/>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pPr>
        <w:pStyle w:val="23"/>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3"/>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pPr>
        <w:pStyle w:val="23"/>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pPr>
        <w:pStyle w:val="23"/>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pPr>
        <w:pStyle w:val="23"/>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pPr>
        <w:pStyle w:val="23"/>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pPr>
        <w:pStyle w:val="23"/>
        <w:rPr>
          <w:rFonts w:ascii="Times New Roman" w:hAnsi="Times New Roman" w:eastAsia="仿宋_GB2312"/>
          <w:b/>
          <w:sz w:val="24"/>
        </w:rPr>
      </w:pPr>
      <w:bookmarkStart w:id="406" w:name="_Toc7005044"/>
      <w:r>
        <w:rPr>
          <w:rFonts w:ascii="Times New Roman" w:hAnsi="Times New Roman" w:eastAsia="仿宋_GB2312"/>
          <w:b/>
          <w:sz w:val="24"/>
        </w:rPr>
        <w:t>3.2 磋商</w:t>
      </w:r>
      <w:bookmarkEnd w:id="406"/>
    </w:p>
    <w:p>
      <w:pPr>
        <w:pStyle w:val="23"/>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pPr>
        <w:pStyle w:val="23"/>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3"/>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w:t>
      </w:r>
      <w:r>
        <w:rPr>
          <w:rFonts w:hint="eastAsia" w:ascii="Times New Roman" w:hAnsi="Times New Roman" w:eastAsia="仿宋_GB2312"/>
          <w:sz w:val="24"/>
        </w:rPr>
        <w:t>2</w:t>
      </w:r>
      <w:r>
        <w:rPr>
          <w:rFonts w:ascii="Times New Roman" w:hAnsi="Times New Roman" w:eastAsia="仿宋_GB2312"/>
          <w:sz w:val="24"/>
        </w:rPr>
        <w:t>家。</w:t>
      </w:r>
    </w:p>
    <w:p>
      <w:pPr>
        <w:pStyle w:val="23"/>
        <w:rPr>
          <w:rFonts w:ascii="Times New Roman" w:hAnsi="Times New Roman" w:eastAsia="仿宋_GB2312"/>
          <w:b/>
          <w:sz w:val="24"/>
        </w:rPr>
      </w:pPr>
      <w:bookmarkStart w:id="407" w:name="_Toc7005045"/>
      <w:r>
        <w:rPr>
          <w:rFonts w:ascii="Times New Roman" w:hAnsi="Times New Roman" w:eastAsia="仿宋_GB2312"/>
          <w:b/>
          <w:sz w:val="24"/>
        </w:rPr>
        <w:t>3.3评审</w:t>
      </w:r>
      <w:bookmarkEnd w:id="407"/>
    </w:p>
    <w:p>
      <w:pPr>
        <w:pStyle w:val="23"/>
        <w:rPr>
          <w:rFonts w:ascii="Times New Roman" w:hAnsi="Times New Roman" w:eastAsia="仿宋_GB2312"/>
          <w:sz w:val="24"/>
        </w:rPr>
      </w:pPr>
      <w:r>
        <w:rPr>
          <w:rFonts w:ascii="Times New Roman" w:hAnsi="Times New Roman" w:eastAsia="仿宋_GB2312"/>
          <w:sz w:val="24"/>
        </w:rPr>
        <w:t>3.3.1 比较与评价</w:t>
      </w:r>
    </w:p>
    <w:p>
      <w:pPr>
        <w:pStyle w:val="23"/>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pPr>
        <w:pStyle w:val="23"/>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3"/>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pPr>
        <w:pStyle w:val="23"/>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pPr>
        <w:pStyle w:val="23"/>
        <w:rPr>
          <w:rFonts w:ascii="Times New Roman" w:hAnsi="Times New Roman" w:eastAsia="仿宋_GB2312"/>
          <w:b/>
          <w:sz w:val="24"/>
        </w:rPr>
      </w:pPr>
      <w:r>
        <w:rPr>
          <w:rFonts w:ascii="Times New Roman" w:hAnsi="Times New Roman" w:eastAsia="仿宋_GB2312"/>
          <w:b/>
          <w:sz w:val="24"/>
        </w:rPr>
        <w:t>3.4 评审结果</w:t>
      </w:r>
    </w:p>
    <w:p>
      <w:pPr>
        <w:pStyle w:val="23"/>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pPr>
        <w:pStyle w:val="23"/>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pPr>
        <w:pStyle w:val="23"/>
        <w:rPr>
          <w:rFonts w:ascii="Times New Roman" w:hAnsi="Times New Roman" w:eastAsia="仿宋_GB2312"/>
          <w:sz w:val="24"/>
        </w:rPr>
      </w:pPr>
      <w:r>
        <w:rPr>
          <w:rFonts w:ascii="Times New Roman" w:hAnsi="Times New Roman" w:eastAsia="仿宋_GB2312"/>
          <w:sz w:val="24"/>
        </w:rPr>
        <w:br w:type="page"/>
      </w:r>
    </w:p>
    <w:p>
      <w:pPr>
        <w:spacing w:line="360" w:lineRule="auto"/>
        <w:jc w:val="center"/>
        <w:rPr>
          <w:rFonts w:eastAsia="仿宋_GB2312"/>
          <w:b/>
          <w:sz w:val="30"/>
          <w:szCs w:val="30"/>
        </w:rPr>
      </w:pPr>
      <w:r>
        <w:rPr>
          <w:rFonts w:eastAsia="仿宋_GB2312"/>
          <w:b/>
          <w:sz w:val="30"/>
          <w:szCs w:val="30"/>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eastAsia="仿宋_GB2312"/>
                <w:b/>
                <w:szCs w:val="21"/>
              </w:rPr>
            </w:pPr>
            <w:r>
              <w:rPr>
                <w:rFonts w:eastAsia="仿宋_GB2312"/>
                <w:b/>
                <w:szCs w:val="21"/>
              </w:rPr>
              <w:t>序号</w:t>
            </w:r>
          </w:p>
        </w:tc>
        <w:tc>
          <w:tcPr>
            <w:tcW w:w="2655" w:type="dxa"/>
            <w:vAlign w:val="center"/>
          </w:tcPr>
          <w:p>
            <w:pPr>
              <w:snapToGrid w:val="0"/>
              <w:jc w:val="center"/>
              <w:rPr>
                <w:rFonts w:eastAsia="仿宋_GB2312"/>
                <w:b/>
                <w:szCs w:val="21"/>
              </w:rPr>
            </w:pPr>
            <w:r>
              <w:rPr>
                <w:rFonts w:eastAsia="仿宋_GB2312"/>
                <w:b/>
                <w:szCs w:val="21"/>
              </w:rPr>
              <w:t>评审内容</w:t>
            </w:r>
          </w:p>
        </w:tc>
        <w:tc>
          <w:tcPr>
            <w:tcW w:w="4677" w:type="dxa"/>
            <w:vAlign w:val="center"/>
          </w:tcPr>
          <w:p>
            <w:pPr>
              <w:snapToGrid w:val="0"/>
              <w:jc w:val="center"/>
              <w:rPr>
                <w:rFonts w:eastAsia="仿宋_GB2312"/>
                <w:b/>
                <w:szCs w:val="21"/>
              </w:rPr>
            </w:pPr>
            <w:r>
              <w:rPr>
                <w:rFonts w:eastAsia="仿宋_GB2312"/>
                <w:b/>
                <w:szCs w:val="21"/>
              </w:rPr>
              <w:t>评审合格标准</w:t>
            </w:r>
          </w:p>
        </w:tc>
        <w:tc>
          <w:tcPr>
            <w:tcW w:w="1178" w:type="dxa"/>
            <w:vAlign w:val="center"/>
          </w:tcPr>
          <w:p>
            <w:pPr>
              <w:snapToGrid w:val="0"/>
              <w:jc w:val="center"/>
              <w:rPr>
                <w:rFonts w:eastAsia="仿宋_GB2312"/>
                <w:b/>
                <w:szCs w:val="21"/>
              </w:rPr>
            </w:pPr>
            <w:r>
              <w:rPr>
                <w:rFonts w:eastAsia="仿宋_GB2312"/>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b/>
                <w:szCs w:val="21"/>
              </w:rPr>
            </w:pPr>
            <w:r>
              <w:rPr>
                <w:rFonts w:eastAsia="仿宋_GB2312"/>
                <w:szCs w:val="21"/>
              </w:rPr>
              <w:t>1</w:t>
            </w:r>
          </w:p>
        </w:tc>
        <w:tc>
          <w:tcPr>
            <w:tcW w:w="2655" w:type="dxa"/>
            <w:vAlign w:val="center"/>
          </w:tcPr>
          <w:p>
            <w:pPr>
              <w:snapToGrid w:val="0"/>
              <w:jc w:val="left"/>
              <w:rPr>
                <w:rFonts w:eastAsia="仿宋_GB2312"/>
                <w:b/>
                <w:szCs w:val="21"/>
              </w:rPr>
            </w:pPr>
            <w:r>
              <w:rPr>
                <w:rFonts w:eastAsia="仿宋_GB2312"/>
                <w:szCs w:val="21"/>
              </w:rPr>
              <w:t>供应商名称</w:t>
            </w:r>
          </w:p>
        </w:tc>
        <w:tc>
          <w:tcPr>
            <w:tcW w:w="4677" w:type="dxa"/>
            <w:vAlign w:val="center"/>
          </w:tcPr>
          <w:p>
            <w:pPr>
              <w:snapToGrid w:val="0"/>
              <w:jc w:val="left"/>
              <w:rPr>
                <w:rFonts w:eastAsia="仿宋_GB2312"/>
                <w:b/>
                <w:szCs w:val="21"/>
              </w:rPr>
            </w:pPr>
            <w:r>
              <w:rPr>
                <w:rFonts w:eastAsia="仿宋_GB2312"/>
                <w:szCs w:val="21"/>
              </w:rPr>
              <w:t>与营业执照一致（符合法定工商变更程序除外）；</w:t>
            </w:r>
          </w:p>
        </w:tc>
        <w:tc>
          <w:tcPr>
            <w:tcW w:w="1178" w:type="dxa"/>
            <w:vAlign w:val="center"/>
          </w:tcPr>
          <w:p>
            <w:pPr>
              <w:snapToGrid w:val="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2</w:t>
            </w:r>
          </w:p>
        </w:tc>
        <w:tc>
          <w:tcPr>
            <w:tcW w:w="2655" w:type="dxa"/>
            <w:vAlign w:val="center"/>
          </w:tcPr>
          <w:p>
            <w:pPr>
              <w:snapToGrid w:val="0"/>
              <w:jc w:val="left"/>
              <w:rPr>
                <w:rFonts w:eastAsia="仿宋_GB2312"/>
                <w:szCs w:val="21"/>
              </w:rPr>
            </w:pPr>
            <w:r>
              <w:rPr>
                <w:rFonts w:eastAsia="仿宋_GB2312"/>
                <w:szCs w:val="21"/>
              </w:rPr>
              <w:t>具有独立承担民事责任的能力</w:t>
            </w:r>
          </w:p>
        </w:tc>
        <w:tc>
          <w:tcPr>
            <w:tcW w:w="4677" w:type="dxa"/>
          </w:tcPr>
          <w:p>
            <w:pPr>
              <w:snapToGrid w:val="0"/>
              <w:jc w:val="left"/>
              <w:rPr>
                <w:rFonts w:eastAsia="仿宋_GB2312"/>
                <w:szCs w:val="21"/>
              </w:rPr>
            </w:pPr>
            <w:r>
              <w:rPr>
                <w:rFonts w:eastAsia="仿宋_GB2312"/>
                <w:szCs w:val="21"/>
              </w:rPr>
              <w:t>提供了有效的法人或者其他组织的营业执照等证明文件，自然人的身份证明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3</w:t>
            </w:r>
          </w:p>
        </w:tc>
        <w:tc>
          <w:tcPr>
            <w:tcW w:w="2655" w:type="dxa"/>
            <w:shd w:val="clear" w:color="auto" w:fill="auto"/>
            <w:vAlign w:val="center"/>
          </w:tcPr>
          <w:p>
            <w:pPr>
              <w:snapToGrid w:val="0"/>
              <w:jc w:val="left"/>
              <w:rPr>
                <w:rFonts w:eastAsia="仿宋_GB2312"/>
                <w:szCs w:val="21"/>
              </w:rPr>
            </w:pPr>
            <w:r>
              <w:rPr>
                <w:rFonts w:eastAsia="仿宋_GB2312"/>
                <w:szCs w:val="21"/>
              </w:rPr>
              <w:t>具有健全的财务会计制度</w:t>
            </w:r>
          </w:p>
        </w:tc>
        <w:tc>
          <w:tcPr>
            <w:tcW w:w="4677" w:type="dxa"/>
            <w:shd w:val="clear" w:color="auto" w:fill="auto"/>
          </w:tcPr>
          <w:p>
            <w:pPr>
              <w:snapToGrid w:val="0"/>
              <w:jc w:val="left"/>
              <w:rPr>
                <w:rFonts w:eastAsia="仿宋_GB2312"/>
                <w:szCs w:val="21"/>
              </w:rPr>
            </w:pPr>
            <w:r>
              <w:rPr>
                <w:rFonts w:eastAsia="仿宋_GB2312"/>
                <w:szCs w:val="21"/>
              </w:rPr>
              <w:t>提供了满足磋商文件要求的经审计的财务报表或本年度基本开户银行出具的资信证明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4</w:t>
            </w:r>
          </w:p>
        </w:tc>
        <w:tc>
          <w:tcPr>
            <w:tcW w:w="2655" w:type="dxa"/>
            <w:shd w:val="clear" w:color="auto" w:fill="auto"/>
            <w:vAlign w:val="center"/>
          </w:tcPr>
          <w:p>
            <w:pPr>
              <w:snapToGrid w:val="0"/>
              <w:jc w:val="left"/>
              <w:rPr>
                <w:rFonts w:eastAsia="仿宋_GB2312"/>
                <w:szCs w:val="21"/>
              </w:rPr>
            </w:pPr>
            <w:r>
              <w:rPr>
                <w:rFonts w:eastAsia="仿宋_GB2312"/>
                <w:szCs w:val="21"/>
              </w:rPr>
              <w:t>具有履行合同所必需的设备和专业技术能力</w:t>
            </w:r>
          </w:p>
        </w:tc>
        <w:tc>
          <w:tcPr>
            <w:tcW w:w="4677" w:type="dxa"/>
            <w:shd w:val="clear" w:color="auto" w:fill="auto"/>
          </w:tcPr>
          <w:p>
            <w:pPr>
              <w:snapToGrid w:val="0"/>
              <w:jc w:val="left"/>
              <w:rPr>
                <w:rFonts w:eastAsia="仿宋_GB2312"/>
                <w:szCs w:val="21"/>
              </w:rPr>
            </w:pPr>
            <w:r>
              <w:rPr>
                <w:rFonts w:eastAsia="仿宋_GB2312"/>
                <w:szCs w:val="21"/>
              </w:rPr>
              <w:t>提供了可充分满足履行合同所需设备</w:t>
            </w:r>
            <w:r>
              <w:rPr>
                <w:rFonts w:hint="eastAsia" w:eastAsia="仿宋_GB2312"/>
                <w:szCs w:val="21"/>
              </w:rPr>
              <w:t>的</w:t>
            </w:r>
            <w:r>
              <w:rPr>
                <w:rFonts w:eastAsia="仿宋_GB2312"/>
                <w:szCs w:val="21"/>
              </w:rPr>
              <w:t>专业技术能力的证明材料或承诺</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5</w:t>
            </w:r>
          </w:p>
        </w:tc>
        <w:tc>
          <w:tcPr>
            <w:tcW w:w="2655" w:type="dxa"/>
            <w:vAlign w:val="center"/>
          </w:tcPr>
          <w:p>
            <w:pPr>
              <w:snapToGrid w:val="0"/>
              <w:jc w:val="left"/>
              <w:rPr>
                <w:rFonts w:eastAsia="仿宋_GB2312"/>
                <w:szCs w:val="21"/>
              </w:rPr>
            </w:pPr>
            <w:r>
              <w:rPr>
                <w:rFonts w:eastAsia="仿宋_GB2312"/>
                <w:szCs w:val="21"/>
              </w:rPr>
              <w:t>有依法缴纳税收和社会保障资金的良好记录</w:t>
            </w:r>
          </w:p>
        </w:tc>
        <w:tc>
          <w:tcPr>
            <w:tcW w:w="4677" w:type="dxa"/>
          </w:tcPr>
          <w:p>
            <w:pPr>
              <w:snapToGrid w:val="0"/>
              <w:jc w:val="left"/>
              <w:rPr>
                <w:rFonts w:eastAsia="仿宋_GB2312"/>
                <w:szCs w:val="21"/>
              </w:rPr>
            </w:pPr>
            <w:r>
              <w:rPr>
                <w:rFonts w:eastAsia="仿宋_GB2312"/>
                <w:szCs w:val="21"/>
              </w:rPr>
              <w:t>1.提供了磋商文件要求时间内的缴纳增值税和企业所得税的凭证（银行出具的缴税凭证或税务机关出具的证明的复印件，并加盖本单位公章）或免税证明（复印件加盖公章）。</w:t>
            </w:r>
          </w:p>
          <w:p>
            <w:pPr>
              <w:snapToGrid w:val="0"/>
              <w:jc w:val="left"/>
              <w:rPr>
                <w:rFonts w:eastAsia="仿宋_GB2312"/>
                <w:szCs w:val="21"/>
              </w:rPr>
            </w:pPr>
            <w:r>
              <w:rPr>
                <w:rFonts w:eastAsia="仿宋_GB2312"/>
                <w:szCs w:val="21"/>
              </w:rPr>
              <w:t>2. 提供了磋商文件要求时间内的社会保障资金缴纳记录（专用收据或社会保险缴纳清单）或免缴纳证明（复印件加盖公章）</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6</w:t>
            </w:r>
          </w:p>
        </w:tc>
        <w:tc>
          <w:tcPr>
            <w:tcW w:w="2655" w:type="dxa"/>
            <w:vAlign w:val="center"/>
          </w:tcPr>
          <w:p>
            <w:pPr>
              <w:snapToGrid w:val="0"/>
              <w:jc w:val="left"/>
              <w:rPr>
                <w:rFonts w:eastAsia="仿宋_GB2312"/>
                <w:szCs w:val="21"/>
              </w:rPr>
            </w:pPr>
            <w:r>
              <w:rPr>
                <w:rFonts w:eastAsia="仿宋_GB2312"/>
                <w:szCs w:val="21"/>
              </w:rPr>
              <w:t>参加政府采购活动前三年内，在经营活动中没有重大违法记录</w:t>
            </w:r>
          </w:p>
        </w:tc>
        <w:tc>
          <w:tcPr>
            <w:tcW w:w="4677" w:type="dxa"/>
          </w:tcPr>
          <w:p>
            <w:pPr>
              <w:snapToGrid w:val="0"/>
              <w:jc w:val="left"/>
              <w:rPr>
                <w:rFonts w:eastAsia="仿宋_GB2312"/>
                <w:szCs w:val="21"/>
              </w:rPr>
            </w:pPr>
            <w:r>
              <w:rPr>
                <w:rFonts w:eastAsia="仿宋_GB2312"/>
                <w:szCs w:val="21"/>
              </w:rPr>
              <w:t>提供了有效的参加政府采购活动前3年内在经营活动中没有重大违法记录的书面声明</w:t>
            </w:r>
          </w:p>
        </w:tc>
        <w:tc>
          <w:tcPr>
            <w:tcW w:w="1178" w:type="dxa"/>
            <w:vAlign w:val="center"/>
          </w:tcPr>
          <w:p>
            <w:pPr>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7</w:t>
            </w:r>
          </w:p>
        </w:tc>
        <w:tc>
          <w:tcPr>
            <w:tcW w:w="2655" w:type="dxa"/>
            <w:vAlign w:val="center"/>
          </w:tcPr>
          <w:p>
            <w:pPr>
              <w:snapToGrid w:val="0"/>
              <w:jc w:val="left"/>
              <w:rPr>
                <w:rFonts w:eastAsia="仿宋_GB2312"/>
                <w:szCs w:val="21"/>
              </w:rPr>
            </w:pPr>
            <w:r>
              <w:rPr>
                <w:rFonts w:eastAsia="仿宋_GB2312"/>
                <w:szCs w:val="21"/>
              </w:rPr>
              <w:t>法律、行政法规规定的其他条件</w:t>
            </w:r>
          </w:p>
        </w:tc>
        <w:tc>
          <w:tcPr>
            <w:tcW w:w="4677" w:type="dxa"/>
          </w:tcPr>
          <w:p>
            <w:pPr>
              <w:snapToGrid w:val="0"/>
              <w:jc w:val="left"/>
              <w:rPr>
                <w:rFonts w:eastAsia="仿宋_GB2312"/>
                <w:szCs w:val="21"/>
              </w:rPr>
            </w:pPr>
            <w:r>
              <w:rPr>
                <w:rFonts w:eastAsia="仿宋_GB2312"/>
                <w:szCs w:val="21"/>
              </w:rPr>
              <w:t>不存在违反法律、法规的情况</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8</w:t>
            </w:r>
          </w:p>
        </w:tc>
        <w:tc>
          <w:tcPr>
            <w:tcW w:w="2655" w:type="dxa"/>
            <w:vAlign w:val="center"/>
          </w:tcPr>
          <w:p>
            <w:pPr>
              <w:snapToGrid w:val="0"/>
              <w:jc w:val="left"/>
              <w:rPr>
                <w:rFonts w:eastAsia="仿宋_GB2312"/>
                <w:szCs w:val="21"/>
              </w:rPr>
            </w:pPr>
            <w:r>
              <w:rPr>
                <w:rFonts w:eastAsia="仿宋_GB2312"/>
                <w:szCs w:val="21"/>
              </w:rPr>
              <w:t>“信用中国”网站和中国政府采购网（www.ccgp.gov.cn）查询记录</w:t>
            </w:r>
          </w:p>
        </w:tc>
        <w:tc>
          <w:tcPr>
            <w:tcW w:w="4677" w:type="dxa"/>
          </w:tcPr>
          <w:p>
            <w:pPr>
              <w:snapToGrid w:val="0"/>
              <w:jc w:val="left"/>
              <w:rPr>
                <w:rFonts w:eastAsia="仿宋_GB2312"/>
                <w:szCs w:val="21"/>
              </w:rPr>
            </w:pPr>
            <w:r>
              <w:rPr>
                <w:rFonts w:eastAsia="仿宋_GB2312"/>
                <w:szCs w:val="21"/>
              </w:rPr>
              <w:t>未被“信用中国”网站（</w:t>
            </w:r>
            <w:r>
              <w:fldChar w:fldCharType="begin"/>
            </w:r>
            <w:r>
              <w:instrText xml:space="preserve"> HYPERLINK "http://www.creditchina.gov.cn）中列入失信被执行人和/" </w:instrText>
            </w:r>
            <w:r>
              <w:fldChar w:fldCharType="separate"/>
            </w:r>
            <w:r>
              <w:rPr>
                <w:rFonts w:eastAsia="仿宋_GB2312"/>
                <w:szCs w:val="21"/>
              </w:rPr>
              <w:t>www.creditchina.gov.cn）列入失信被执行人和</w:t>
            </w:r>
            <w:r>
              <w:rPr>
                <w:rFonts w:eastAsia="仿宋_GB2312"/>
                <w:szCs w:val="21"/>
              </w:rPr>
              <w:fldChar w:fldCharType="end"/>
            </w:r>
            <w:r>
              <w:rPr>
                <w:rFonts w:hint="eastAsia" w:eastAsia="仿宋_GB2312"/>
                <w:szCs w:val="21"/>
              </w:rPr>
              <w:t>重大税收违法失信主体，</w:t>
            </w:r>
            <w:r>
              <w:rPr>
                <w:rFonts w:eastAsia="仿宋_GB2312"/>
                <w:szCs w:val="21"/>
              </w:rPr>
              <w:t>未被中国政府采购网（www.ccgp.gov.cn）列入政府采购严重违法失信行为记录名单中被财政部门禁止参加政府采购活动的供应商（处罚决定规定的时间和地域范围内）</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9</w:t>
            </w:r>
          </w:p>
        </w:tc>
        <w:tc>
          <w:tcPr>
            <w:tcW w:w="2655" w:type="dxa"/>
            <w:vAlign w:val="center"/>
          </w:tcPr>
          <w:p>
            <w:pPr>
              <w:snapToGrid w:val="0"/>
              <w:jc w:val="left"/>
              <w:rPr>
                <w:rFonts w:eastAsia="仿宋_GB2312"/>
                <w:szCs w:val="21"/>
              </w:rPr>
            </w:pPr>
            <w:r>
              <w:rPr>
                <w:rFonts w:eastAsia="仿宋_GB2312"/>
                <w:szCs w:val="21"/>
              </w:rPr>
              <w:t>单位负责人为同一人或者存在控股、管理关系的不同单位，不得同时参加本项目的磋商。</w:t>
            </w:r>
          </w:p>
        </w:tc>
        <w:tc>
          <w:tcPr>
            <w:tcW w:w="4677" w:type="dxa"/>
          </w:tcPr>
          <w:p>
            <w:pPr>
              <w:snapToGrid w:val="0"/>
              <w:jc w:val="left"/>
              <w:rPr>
                <w:rFonts w:eastAsia="仿宋_GB2312"/>
                <w:szCs w:val="21"/>
              </w:rPr>
            </w:pPr>
            <w:r>
              <w:rPr>
                <w:rFonts w:eastAsia="仿宋_GB2312"/>
                <w:szCs w:val="21"/>
              </w:rPr>
              <w:t>提供了法人代表、控股股东、控股企业及管理、被管理单位情况声明且各供应商之间不存在单位负责人为同一人或者存在控股、管理关系情形。</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eastAsia="仿宋_GB2312"/>
                <w:szCs w:val="21"/>
              </w:rPr>
            </w:pPr>
            <w:r>
              <w:rPr>
                <w:rFonts w:eastAsia="仿宋_GB2312"/>
                <w:szCs w:val="21"/>
              </w:rPr>
              <w:t>10</w:t>
            </w:r>
          </w:p>
        </w:tc>
        <w:tc>
          <w:tcPr>
            <w:tcW w:w="2655" w:type="dxa"/>
            <w:vAlign w:val="center"/>
          </w:tcPr>
          <w:p>
            <w:pPr>
              <w:snapToGrid w:val="0"/>
              <w:jc w:val="left"/>
              <w:rPr>
                <w:rFonts w:eastAsia="仿宋_GB2312"/>
                <w:szCs w:val="21"/>
              </w:rPr>
            </w:pPr>
            <w:r>
              <w:rPr>
                <w:rFonts w:eastAsia="仿宋_GB2312"/>
                <w:szCs w:val="21"/>
              </w:rPr>
              <w:t>为本项目提供整体设计、规范编制或者项目管理、监理、检测等服务的供应商，不得再参加本项目磋商。</w:t>
            </w:r>
          </w:p>
        </w:tc>
        <w:tc>
          <w:tcPr>
            <w:tcW w:w="4677" w:type="dxa"/>
          </w:tcPr>
          <w:p>
            <w:pPr>
              <w:snapToGrid w:val="0"/>
              <w:jc w:val="left"/>
              <w:rPr>
                <w:rFonts w:eastAsia="仿宋_GB2312"/>
                <w:szCs w:val="21"/>
              </w:rPr>
            </w:pPr>
            <w:r>
              <w:rPr>
                <w:rFonts w:eastAsia="仿宋_GB2312"/>
                <w:szCs w:val="21"/>
              </w:rPr>
              <w:t>提供了供应商未为本项目提供整体设计、规范编制或者项目管理、监理、检测等服务的声明。</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2" w:type="dxa"/>
            <w:vAlign w:val="center"/>
          </w:tcPr>
          <w:p>
            <w:pPr>
              <w:snapToGrid w:val="0"/>
              <w:jc w:val="center"/>
              <w:rPr>
                <w:rFonts w:eastAsia="仿宋_GB2312"/>
                <w:szCs w:val="21"/>
              </w:rPr>
            </w:pPr>
            <w:r>
              <w:rPr>
                <w:rFonts w:eastAsia="仿宋_GB2312"/>
                <w:szCs w:val="21"/>
              </w:rPr>
              <w:t>1</w:t>
            </w:r>
            <w:r>
              <w:rPr>
                <w:rFonts w:hint="eastAsia" w:eastAsia="仿宋_GB2312"/>
                <w:szCs w:val="21"/>
              </w:rPr>
              <w:t>1</w:t>
            </w:r>
          </w:p>
        </w:tc>
        <w:tc>
          <w:tcPr>
            <w:tcW w:w="2655" w:type="dxa"/>
            <w:vAlign w:val="center"/>
          </w:tcPr>
          <w:p>
            <w:pPr>
              <w:snapToGrid w:val="0"/>
              <w:jc w:val="left"/>
              <w:rPr>
                <w:rFonts w:eastAsia="仿宋_GB2312"/>
                <w:szCs w:val="21"/>
              </w:rPr>
            </w:pPr>
            <w:r>
              <w:rPr>
                <w:rFonts w:eastAsia="仿宋_GB2312"/>
                <w:szCs w:val="21"/>
              </w:rPr>
              <w:t>供应商特定资格条件</w:t>
            </w:r>
          </w:p>
        </w:tc>
        <w:tc>
          <w:tcPr>
            <w:tcW w:w="4677" w:type="dxa"/>
          </w:tcPr>
          <w:p>
            <w:pPr>
              <w:snapToGrid w:val="0"/>
              <w:jc w:val="left"/>
              <w:rPr>
                <w:rFonts w:eastAsia="仿宋_GB2312"/>
                <w:szCs w:val="21"/>
              </w:rPr>
            </w:pPr>
            <w:r>
              <w:rPr>
                <w:rFonts w:hint="eastAsia" w:eastAsia="仿宋_GB2312"/>
                <w:szCs w:val="21"/>
              </w:rPr>
              <w:t>供应商参加本项目的合法授权人的授权委托书；</w:t>
            </w:r>
            <w:r>
              <w:rPr>
                <w:rFonts w:eastAsia="仿宋_GB2312"/>
                <w:szCs w:val="21"/>
              </w:rPr>
              <w:t xml:space="preserve"> </w:t>
            </w:r>
          </w:p>
        </w:tc>
        <w:tc>
          <w:tcPr>
            <w:tcW w:w="1178" w:type="dxa"/>
            <w:vAlign w:val="center"/>
          </w:tcPr>
          <w:p>
            <w:pPr>
              <w:snapToGrid w:val="0"/>
              <w:ind w:left="425"/>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4" w:type="dxa"/>
            <w:gridSpan w:val="3"/>
            <w:vAlign w:val="center"/>
          </w:tcPr>
          <w:p>
            <w:pPr>
              <w:snapToGrid w:val="0"/>
              <w:jc w:val="center"/>
              <w:rPr>
                <w:rFonts w:eastAsia="仿宋_GB2312"/>
                <w:szCs w:val="21"/>
              </w:rPr>
            </w:pPr>
            <w:r>
              <w:rPr>
                <w:rFonts w:eastAsia="仿宋_GB2312"/>
                <w:szCs w:val="21"/>
              </w:rPr>
              <w:t>结论（通过或未通过）</w:t>
            </w:r>
          </w:p>
        </w:tc>
        <w:tc>
          <w:tcPr>
            <w:tcW w:w="1178" w:type="dxa"/>
            <w:vAlign w:val="center"/>
          </w:tcPr>
          <w:p>
            <w:pPr>
              <w:snapToGrid w:val="0"/>
              <w:ind w:left="425"/>
              <w:jc w:val="center"/>
              <w:rPr>
                <w:rFonts w:eastAsia="仿宋_GB2312"/>
                <w:szCs w:val="21"/>
              </w:rPr>
            </w:pPr>
          </w:p>
        </w:tc>
      </w:tr>
    </w:tbl>
    <w:p>
      <w:pPr>
        <w:spacing w:line="0" w:lineRule="atLeast"/>
        <w:ind w:left="425"/>
        <w:rPr>
          <w:rFonts w:eastAsia="仿宋_GB2312"/>
          <w:szCs w:val="21"/>
        </w:rPr>
      </w:pPr>
      <w:r>
        <w:rPr>
          <w:rFonts w:eastAsia="仿宋_GB2312"/>
          <w:szCs w:val="21"/>
        </w:rPr>
        <w:t>注：符合要求用“○”表示，不符合用“×”表示。有一项不符合要求，结论为不合格。</w:t>
      </w:r>
    </w:p>
    <w:p>
      <w:pPr>
        <w:spacing w:line="360" w:lineRule="auto"/>
        <w:jc w:val="center"/>
        <w:rPr>
          <w:rFonts w:eastAsia="仿宋_GB2312"/>
          <w:b/>
          <w:sz w:val="28"/>
          <w:szCs w:val="28"/>
        </w:rPr>
      </w:pPr>
      <w:r>
        <w:rPr>
          <w:rFonts w:eastAsia="仿宋_GB2312"/>
          <w:szCs w:val="21"/>
        </w:rPr>
        <w:br w:type="page"/>
      </w:r>
      <w:r>
        <w:rPr>
          <w:rFonts w:eastAsia="仿宋_GB2312"/>
          <w:b/>
          <w:sz w:val="30"/>
          <w:szCs w:val="30"/>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序号</w:t>
            </w:r>
          </w:p>
        </w:tc>
        <w:tc>
          <w:tcPr>
            <w:tcW w:w="1723"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评审项目</w:t>
            </w:r>
          </w:p>
        </w:tc>
        <w:tc>
          <w:tcPr>
            <w:tcW w:w="5401"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评审标准</w:t>
            </w:r>
          </w:p>
        </w:tc>
        <w:tc>
          <w:tcPr>
            <w:tcW w:w="1313" w:type="dxa"/>
            <w:vAlign w:val="center"/>
          </w:tcPr>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评审结论</w:t>
            </w:r>
          </w:p>
          <w:p>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w:t>
            </w:r>
            <w:r>
              <w:rPr>
                <w:rFonts w:eastAsia="仿宋_GB2312"/>
                <w:szCs w:val="21"/>
              </w:rPr>
              <w:t>○</w:t>
            </w:r>
            <w:r>
              <w:rPr>
                <w:rFonts w:eastAsia="仿宋_GB2312"/>
                <w:b/>
                <w:caps/>
                <w:szCs w:val="21"/>
              </w:rPr>
              <w:t>/</w:t>
            </w:r>
            <w:r>
              <w:rPr>
                <w:rFonts w:eastAsia="仿宋_GB2312"/>
                <w:szCs w:val="21"/>
              </w:rPr>
              <w:t>×</w:t>
            </w:r>
            <w:r>
              <w:rPr>
                <w:rFonts w:eastAsia="仿宋_GB2312"/>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0"/>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响应文件签署盖章</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0"/>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报价</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0"/>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附加条件</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numPr>
                <w:ilvl w:val="0"/>
                <w:numId w:val="10"/>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公平竞争</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eastAsia="仿宋_GB2312"/>
                <w:szCs w:val="21"/>
              </w:rPr>
            </w:pPr>
            <w:r>
              <w:rPr>
                <w:rFonts w:eastAsia="仿宋_GB2312"/>
                <w:szCs w:val="21"/>
              </w:rPr>
              <w:t>弄虚作假、相互串通的情形见附注</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0"/>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其他无效情形</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响应文件有效期</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有效期满足磋商文件要求的；</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响应文件格式</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1"/>
              </w:numPr>
              <w:tabs>
                <w:tab w:val="left" w:pos="1260"/>
                <w:tab w:val="left" w:pos="1620"/>
              </w:tabs>
              <w:adjustRightInd w:val="0"/>
              <w:snapToGrid w:val="0"/>
              <w:textAlignment w:val="baseline"/>
              <w:rPr>
                <w:rFonts w:eastAsia="仿宋_GB2312"/>
                <w:szCs w:val="21"/>
              </w:rPr>
            </w:pPr>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备选方案</w:t>
            </w:r>
          </w:p>
        </w:tc>
        <w:tc>
          <w:tcPr>
            <w:tcW w:w="5401" w:type="dxa"/>
            <w:vAlign w:val="center"/>
          </w:tcPr>
          <w:p>
            <w:pPr>
              <w:tabs>
                <w:tab w:val="left" w:pos="1260"/>
                <w:tab w:val="left" w:pos="1620"/>
              </w:tabs>
              <w:adjustRightInd w:val="0"/>
              <w:snapToGrid w:val="0"/>
              <w:textAlignment w:val="baseline"/>
              <w:rPr>
                <w:rFonts w:eastAsia="仿宋_GB2312"/>
                <w:strike/>
                <w:szCs w:val="21"/>
              </w:rPr>
            </w:pPr>
            <w:r>
              <w:rPr>
                <w:rFonts w:eastAsia="仿宋_GB2312"/>
                <w:szCs w:val="21"/>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1"/>
              </w:numPr>
              <w:tabs>
                <w:tab w:val="left" w:pos="1260"/>
                <w:tab w:val="left" w:pos="1620"/>
              </w:tabs>
              <w:adjustRightInd w:val="0"/>
              <w:snapToGrid w:val="0"/>
              <w:textAlignment w:val="baseline"/>
              <w:rPr>
                <w:rFonts w:eastAsia="仿宋_GB2312"/>
                <w:szCs w:val="21"/>
              </w:rPr>
            </w:pPr>
            <w:bookmarkStart w:id="504" w:name="_GoBack"/>
            <w:bookmarkEnd w:id="504"/>
          </w:p>
        </w:tc>
        <w:tc>
          <w:tcPr>
            <w:tcW w:w="1723"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付款方式</w:t>
            </w:r>
          </w:p>
        </w:tc>
        <w:tc>
          <w:tcPr>
            <w:tcW w:w="5401" w:type="dxa"/>
            <w:vAlign w:val="center"/>
          </w:tcPr>
          <w:p>
            <w:pPr>
              <w:tabs>
                <w:tab w:val="left" w:pos="1260"/>
                <w:tab w:val="left" w:pos="1620"/>
              </w:tabs>
              <w:adjustRightInd w:val="0"/>
              <w:snapToGrid w:val="0"/>
              <w:textAlignment w:val="baseline"/>
              <w:rPr>
                <w:rFonts w:eastAsia="仿宋_GB2312"/>
                <w:szCs w:val="21"/>
              </w:rPr>
            </w:pPr>
            <w:r>
              <w:rPr>
                <w:rFonts w:eastAsia="仿宋_GB2312"/>
                <w:szCs w:val="21"/>
              </w:rPr>
              <w:t>磋商文件不允许偏差时，响应文件无负偏差；</w:t>
            </w:r>
          </w:p>
        </w:tc>
        <w:tc>
          <w:tcPr>
            <w:tcW w:w="1313" w:type="dxa"/>
            <w:vAlign w:val="center"/>
          </w:tcPr>
          <w:p>
            <w:pPr>
              <w:tabs>
                <w:tab w:val="left" w:pos="1260"/>
                <w:tab w:val="left" w:pos="1620"/>
              </w:tabs>
              <w:adjustRightInd w:val="0"/>
              <w:snapToGrid w:val="0"/>
              <w:textAlignment w:val="baseline"/>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7965" w:type="dxa"/>
            <w:gridSpan w:val="3"/>
            <w:vAlign w:val="center"/>
          </w:tcPr>
          <w:p>
            <w:pPr>
              <w:tabs>
                <w:tab w:val="left" w:pos="1260"/>
                <w:tab w:val="left" w:pos="1620"/>
              </w:tabs>
              <w:adjustRightInd w:val="0"/>
              <w:snapToGrid w:val="0"/>
              <w:jc w:val="center"/>
              <w:textAlignment w:val="baseline"/>
              <w:rPr>
                <w:rFonts w:eastAsia="仿宋_GB2312"/>
                <w:szCs w:val="21"/>
              </w:rPr>
            </w:pPr>
            <w:r>
              <w:rPr>
                <w:rFonts w:eastAsia="仿宋_GB2312"/>
                <w:b/>
                <w:szCs w:val="21"/>
              </w:rPr>
              <w:t>结论（通过或未通过）</w:t>
            </w:r>
          </w:p>
        </w:tc>
        <w:tc>
          <w:tcPr>
            <w:tcW w:w="1313" w:type="dxa"/>
            <w:vAlign w:val="center"/>
          </w:tcPr>
          <w:p>
            <w:pPr>
              <w:tabs>
                <w:tab w:val="left" w:pos="1260"/>
                <w:tab w:val="left" w:pos="1620"/>
              </w:tabs>
              <w:adjustRightInd w:val="0"/>
              <w:snapToGrid w:val="0"/>
              <w:textAlignment w:val="baseline"/>
              <w:rPr>
                <w:rFonts w:eastAsia="仿宋_GB2312"/>
                <w:szCs w:val="21"/>
              </w:rPr>
            </w:pPr>
          </w:p>
        </w:tc>
      </w:tr>
    </w:tbl>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2、有下列情形之一的，视为供应商相互串通：</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（1）不同供应商的响应文件由同一单位或者个人编制；</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（2）不同供应商委托同一单位或者个人办理参与磋商事宜；</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（4）不同供应商的响应文件异常一致或者报价呈规律性差异；</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（5）不同供应商的响应文件相互混装；</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3、有下列情形之一的，属于提供虚假材料谋取成交的行为：</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（1）使用伪造、变造的许可证件；</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（2）提供虚假的财务状况或者业绩；</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（4）提供虚假的信用状况；</w:t>
      </w:r>
    </w:p>
    <w:p>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（5）其他弄虚作假的行为。</w:t>
      </w:r>
    </w:p>
    <w:p>
      <w:pPr>
        <w:jc w:val="center"/>
        <w:rPr>
          <w:rFonts w:eastAsia="仿宋_GB2312"/>
          <w:b/>
          <w:sz w:val="30"/>
          <w:szCs w:val="30"/>
        </w:rPr>
      </w:pPr>
      <w:bookmarkStart w:id="408" w:name="_Toc410631198"/>
      <w:bookmarkStart w:id="409" w:name="_Toc414446034"/>
      <w:bookmarkStart w:id="410" w:name="_Toc7005048"/>
      <w:r>
        <w:rPr>
          <w:rFonts w:eastAsia="仿宋_GB2312"/>
          <w:b/>
          <w:sz w:val="30"/>
          <w:szCs w:val="30"/>
        </w:rPr>
        <w:t>附表三 评审因素及分值分配表</w:t>
      </w:r>
      <w:bookmarkEnd w:id="408"/>
      <w:bookmarkEnd w:id="409"/>
      <w:bookmarkEnd w:id="410"/>
    </w:p>
    <w:p>
      <w:pPr>
        <w:tabs>
          <w:tab w:val="left" w:pos="-94"/>
          <w:tab w:val="left" w:pos="1620"/>
        </w:tabs>
        <w:adjustRightInd w:val="0"/>
        <w:spacing w:line="360" w:lineRule="auto"/>
        <w:ind w:left="23" w:leftChars="11"/>
        <w:jc w:val="center"/>
        <w:textAlignment w:val="baseline"/>
        <w:rPr>
          <w:rFonts w:eastAsia="仿宋_GB2312"/>
          <w:szCs w:val="21"/>
        </w:rPr>
      </w:pPr>
      <w:r>
        <w:rPr>
          <w:rFonts w:eastAsia="仿宋_GB2312"/>
          <w:szCs w:val="21"/>
        </w:rPr>
        <w:t>（满分</w:t>
      </w:r>
      <w:r>
        <w:rPr>
          <w:rFonts w:hint="eastAsia" w:eastAsia="仿宋_GB2312"/>
          <w:szCs w:val="21"/>
        </w:rPr>
        <w:t>100</w:t>
      </w:r>
      <w:r>
        <w:rPr>
          <w:rFonts w:eastAsia="仿宋_GB2312"/>
          <w:szCs w:val="21"/>
        </w:rPr>
        <w:t>分）</w:t>
      </w:r>
    </w:p>
    <w:tbl>
      <w:tblPr>
        <w:tblStyle w:val="5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955"/>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评标</w:t>
            </w:r>
          </w:p>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因素</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权值%</w:t>
            </w:r>
          </w:p>
        </w:tc>
        <w:tc>
          <w:tcPr>
            <w:tcW w:w="7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价格分</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30</w:t>
            </w:r>
          </w:p>
        </w:tc>
        <w:tc>
          <w:tcPr>
            <w:tcW w:w="7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jc w:val="left"/>
              <w:rPr>
                <w:rFonts w:ascii="仿宋" w:hAnsi="仿宋" w:eastAsia="仿宋"/>
                <w:color w:val="000000"/>
                <w:sz w:val="24"/>
              </w:rPr>
            </w:pPr>
            <w:r>
              <w:rPr>
                <w:rFonts w:hint="eastAsia" w:ascii="仿宋" w:hAnsi="仿宋" w:eastAsia="仿宋"/>
                <w:color w:val="000000"/>
                <w:sz w:val="24"/>
              </w:rPr>
              <w:t>满足磋商文件要求且磋商价格最低的磋商报价为评标基准价，其价格分为满分。其他供应商的价格分统一按照下列公式计算：磋商报价得分=（评标基准价/磋商报价）×30。</w:t>
            </w:r>
          </w:p>
          <w:p>
            <w:pPr>
              <w:adjustRightInd w:val="0"/>
              <w:snapToGrid w:val="0"/>
              <w:spacing w:line="400" w:lineRule="exact"/>
              <w:ind w:firstLine="480"/>
              <w:jc w:val="left"/>
              <w:rPr>
                <w:rFonts w:ascii="仿宋" w:hAnsi="仿宋" w:eastAsia="仿宋"/>
                <w:color w:val="000000"/>
                <w:sz w:val="24"/>
              </w:rPr>
            </w:pPr>
            <w:r>
              <w:rPr>
                <w:rFonts w:hint="eastAsia" w:ascii="仿宋" w:hAnsi="仿宋" w:eastAsia="仿宋"/>
                <w:color w:val="000000"/>
                <w:sz w:val="24"/>
              </w:rPr>
              <w:t>注：根据《关于进一步加大政府采购支持中小企业力度的通知》（财库〔2022〕19号）、《政府采购促进中小企业发展管理办法》（财库〔2020〕46号）调整供应商参与评审的价格。对小型和微型企业产品的价格给予服务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083"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技术分</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45</w:t>
            </w:r>
          </w:p>
        </w:tc>
        <w:tc>
          <w:tcPr>
            <w:tcW w:w="7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 w:hAnsi="仿宋" w:eastAsia="仿宋"/>
                <w:color w:val="000000"/>
                <w:sz w:val="24"/>
              </w:rPr>
            </w:pPr>
            <w:r>
              <w:rPr>
                <w:rFonts w:hint="eastAsia" w:ascii="仿宋" w:hAnsi="仿宋" w:eastAsia="仿宋"/>
                <w:color w:val="000000"/>
                <w:sz w:val="24"/>
              </w:rPr>
              <w:t>1.磋商产品的技术参数明确，功能满足招标文件要求得35分。带</w:t>
            </w:r>
            <w:r>
              <w:rPr>
                <w:rFonts w:hint="eastAsia" w:ascii="仿宋" w:hAnsi="仿宋" w:eastAsia="仿宋" w:cs="宋体"/>
                <w:color w:val="000000"/>
              </w:rPr>
              <w:t>★</w:t>
            </w:r>
            <w:r>
              <w:rPr>
                <w:rFonts w:hint="eastAsia" w:ascii="仿宋" w:hAnsi="仿宋" w:eastAsia="仿宋"/>
                <w:color w:val="000000"/>
                <w:sz w:val="24"/>
              </w:rPr>
              <w:t>号参数为重要指标，每一项负偏离扣2分，无标记参数为一般指标，每一项负偏离扣1分，扣完为止。（以证明材料为依据）</w:t>
            </w:r>
          </w:p>
          <w:p>
            <w:pPr>
              <w:adjustRightInd w:val="0"/>
              <w:snapToGrid w:val="0"/>
              <w:spacing w:line="400" w:lineRule="exact"/>
              <w:rPr>
                <w:rFonts w:ascii="仿宋" w:hAnsi="仿宋" w:eastAsia="仿宋"/>
                <w:color w:val="000000"/>
                <w:sz w:val="24"/>
              </w:rPr>
            </w:pPr>
            <w:r>
              <w:rPr>
                <w:rFonts w:hint="eastAsia" w:ascii="仿宋" w:hAnsi="仿宋" w:eastAsia="仿宋"/>
                <w:color w:val="000000"/>
                <w:sz w:val="24"/>
              </w:rPr>
              <w:t>2. 磋商产品品牌的知名度、企业实力、生产设备水平、产品质量保证、资质认证及及荣誉等。由评委会进行综合评议，按差别计1-5分。</w:t>
            </w:r>
          </w:p>
          <w:p>
            <w:pPr>
              <w:pStyle w:val="2"/>
              <w:spacing w:line="400" w:lineRule="exact"/>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rPr>
              <w:t xml:space="preserve"> 磋商</w:t>
            </w:r>
            <w:r>
              <w:rPr>
                <w:rFonts w:hint="eastAsia" w:ascii="仿宋" w:hAnsi="仿宋" w:eastAsia="仿宋"/>
                <w:color w:val="000000"/>
                <w:sz w:val="24"/>
                <w:szCs w:val="24"/>
              </w:rPr>
              <w:t>单位针对本项目有具体的供货组织安排，详细的人员、财力调配、运输、派送措施等计1-5分。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83" w:type="dxa"/>
            <w:vMerge w:val="continue"/>
            <w:tcBorders>
              <w:left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5</w:t>
            </w:r>
          </w:p>
        </w:tc>
        <w:tc>
          <w:tcPr>
            <w:tcW w:w="7421" w:type="dxa"/>
            <w:tcBorders>
              <w:top w:val="single" w:color="auto" w:sz="4" w:space="0"/>
              <w:left w:val="single" w:color="auto" w:sz="4" w:space="0"/>
              <w:bottom w:val="single" w:color="auto" w:sz="4" w:space="0"/>
              <w:right w:val="single" w:color="auto" w:sz="4" w:space="0"/>
            </w:tcBorders>
            <w:vAlign w:val="center"/>
          </w:tcPr>
          <w:p>
            <w:pPr>
              <w:pStyle w:val="23"/>
              <w:spacing w:line="400" w:lineRule="exact"/>
              <w:rPr>
                <w:rFonts w:ascii="仿宋" w:hAnsi="仿宋" w:eastAsia="仿宋"/>
                <w:color w:val="000000"/>
                <w:sz w:val="24"/>
              </w:rPr>
            </w:pPr>
            <w:r>
              <w:rPr>
                <w:rFonts w:hint="eastAsia" w:ascii="仿宋" w:hAnsi="仿宋" w:eastAsia="仿宋"/>
                <w:color w:val="000000"/>
                <w:sz w:val="24"/>
              </w:rPr>
              <w:t>具备完备的施工技术人员，并提供响应证书，人员安排合理。由评委会根据人员安排情况、根据证明材料等进行综合赋分计0-5分。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83" w:type="dxa"/>
            <w:vMerge w:val="restart"/>
            <w:tcBorders>
              <w:left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lang w:val="zh-CN"/>
              </w:rPr>
            </w:pPr>
            <w:r>
              <w:rPr>
                <w:rFonts w:hint="eastAsia" w:ascii="仿宋" w:hAnsi="仿宋" w:eastAsia="仿宋"/>
                <w:color w:val="000000"/>
                <w:sz w:val="24"/>
                <w:lang w:val="zh-CN"/>
              </w:rPr>
              <w:t>商务分</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ascii="仿宋" w:hAnsi="仿宋" w:eastAsia="仿宋"/>
                <w:color w:val="000000"/>
                <w:sz w:val="24"/>
              </w:rPr>
              <w:t>5</w:t>
            </w:r>
          </w:p>
        </w:tc>
        <w:tc>
          <w:tcPr>
            <w:tcW w:w="7421" w:type="dxa"/>
            <w:tcBorders>
              <w:top w:val="single" w:color="auto" w:sz="4" w:space="0"/>
              <w:left w:val="single" w:color="auto" w:sz="4" w:space="0"/>
              <w:bottom w:val="single" w:color="auto" w:sz="4" w:space="0"/>
              <w:right w:val="single" w:color="auto" w:sz="4" w:space="0"/>
            </w:tcBorders>
            <w:vAlign w:val="center"/>
          </w:tcPr>
          <w:p>
            <w:pPr>
              <w:pStyle w:val="23"/>
              <w:spacing w:line="400" w:lineRule="exact"/>
              <w:rPr>
                <w:rFonts w:ascii="仿宋" w:hAnsi="仿宋" w:eastAsia="仿宋"/>
                <w:color w:val="000000"/>
                <w:sz w:val="24"/>
                <w:lang w:val="zh-CN"/>
              </w:rPr>
            </w:pPr>
            <w:r>
              <w:rPr>
                <w:rFonts w:hint="eastAsia" w:ascii="仿宋" w:hAnsi="仿宋" w:eastAsia="仿宋"/>
                <w:color w:val="000000"/>
                <w:sz w:val="24"/>
                <w:lang w:val="zh-CN"/>
              </w:rPr>
              <w:t>同类业绩：提供2019年1月1日至今类似项目业绩，提供业绩清单及合同扫描件（合同内容须体现本次磋商设备），</w:t>
            </w:r>
            <w:r>
              <w:rPr>
                <w:rFonts w:hint="eastAsia" w:ascii="仿宋" w:hAnsi="仿宋" w:eastAsia="仿宋"/>
                <w:color w:val="36363D"/>
                <w:sz w:val="24"/>
                <w:lang w:val="zh-CN"/>
              </w:rPr>
              <w:t>每提供一份计</w:t>
            </w:r>
            <w:r>
              <w:rPr>
                <w:rFonts w:ascii="仿宋" w:hAnsi="仿宋" w:eastAsia="仿宋"/>
                <w:color w:val="36363D"/>
                <w:sz w:val="24"/>
              </w:rPr>
              <w:t>1</w:t>
            </w:r>
            <w:r>
              <w:rPr>
                <w:rFonts w:hint="eastAsia" w:ascii="仿宋" w:hAnsi="仿宋" w:eastAsia="仿宋"/>
                <w:color w:val="36363D"/>
                <w:sz w:val="24"/>
                <w:lang w:val="zh-CN"/>
              </w:rPr>
              <w:t>分，最高得</w:t>
            </w:r>
            <w:r>
              <w:rPr>
                <w:rFonts w:ascii="仿宋" w:hAnsi="仿宋" w:eastAsia="仿宋"/>
                <w:color w:val="36363D"/>
                <w:sz w:val="24"/>
              </w:rPr>
              <w:t>5</w:t>
            </w:r>
            <w:r>
              <w:rPr>
                <w:rFonts w:hint="eastAsia" w:ascii="仿宋" w:hAnsi="仿宋" w:eastAsia="仿宋"/>
                <w:color w:val="36363D"/>
                <w:sz w:val="24"/>
                <w:lang w:val="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83" w:type="dxa"/>
            <w:vMerge w:val="continue"/>
            <w:tcBorders>
              <w:left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lang w:val="zh-CN"/>
              </w:rPr>
            </w:pP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ascii="仿宋" w:hAnsi="仿宋" w:eastAsia="仿宋"/>
                <w:color w:val="000000"/>
                <w:sz w:val="24"/>
              </w:rPr>
              <w:t>10</w:t>
            </w:r>
          </w:p>
        </w:tc>
        <w:tc>
          <w:tcPr>
            <w:tcW w:w="7421" w:type="dxa"/>
            <w:tcBorders>
              <w:top w:val="single" w:color="auto" w:sz="4" w:space="0"/>
              <w:left w:val="single" w:color="auto" w:sz="4" w:space="0"/>
              <w:bottom w:val="single" w:color="auto" w:sz="4" w:space="0"/>
              <w:right w:val="single" w:color="auto" w:sz="4" w:space="0"/>
            </w:tcBorders>
            <w:vAlign w:val="center"/>
          </w:tcPr>
          <w:p>
            <w:pPr>
              <w:pStyle w:val="23"/>
              <w:spacing w:line="400" w:lineRule="exact"/>
              <w:rPr>
                <w:rFonts w:ascii="仿宋" w:hAnsi="仿宋" w:eastAsia="仿宋"/>
                <w:color w:val="000000"/>
                <w:sz w:val="24"/>
                <w:lang w:val="zh-CN"/>
              </w:rPr>
            </w:pPr>
            <w:r>
              <w:rPr>
                <w:rFonts w:hint="eastAsia" w:ascii="仿宋" w:hAnsi="仿宋" w:eastAsia="仿宋"/>
                <w:color w:val="000000"/>
                <w:sz w:val="24"/>
                <w:lang w:val="zh-CN"/>
              </w:rPr>
              <w:t>售后服务方案详细、具体、可行, 备品备件情况明确，拟投入售后服务人员配置情况、交付用户后出现故障响应时间、质保内容及范围等根据优劣计0-</w:t>
            </w:r>
            <w:r>
              <w:rPr>
                <w:rFonts w:ascii="仿宋" w:hAnsi="仿宋" w:eastAsia="仿宋"/>
                <w:color w:val="000000"/>
                <w:sz w:val="24"/>
              </w:rPr>
              <w:t>10</w:t>
            </w:r>
            <w:r>
              <w:rPr>
                <w:rFonts w:hint="eastAsia" w:ascii="仿宋" w:hAnsi="仿宋" w:eastAsia="仿宋"/>
                <w:color w:val="00000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83"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lang w:val="zh-CN"/>
              </w:rPr>
            </w:pP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olor w:val="000000"/>
                <w:sz w:val="24"/>
              </w:rPr>
            </w:pPr>
            <w:r>
              <w:rPr>
                <w:rFonts w:hint="eastAsia" w:ascii="仿宋" w:hAnsi="仿宋" w:eastAsia="仿宋"/>
                <w:color w:val="000000"/>
                <w:sz w:val="24"/>
              </w:rPr>
              <w:t>5</w:t>
            </w:r>
          </w:p>
        </w:tc>
        <w:tc>
          <w:tcPr>
            <w:tcW w:w="7421" w:type="dxa"/>
            <w:tcBorders>
              <w:top w:val="single" w:color="auto" w:sz="4" w:space="0"/>
              <w:left w:val="single" w:color="auto" w:sz="4" w:space="0"/>
              <w:bottom w:val="single" w:color="auto" w:sz="4" w:space="0"/>
              <w:right w:val="single" w:color="auto" w:sz="4" w:space="0"/>
            </w:tcBorders>
            <w:vAlign w:val="center"/>
          </w:tcPr>
          <w:p>
            <w:pPr>
              <w:pStyle w:val="23"/>
              <w:spacing w:line="400" w:lineRule="exact"/>
              <w:rPr>
                <w:rFonts w:ascii="仿宋" w:hAnsi="仿宋" w:eastAsia="仿宋"/>
                <w:color w:val="000000"/>
                <w:sz w:val="24"/>
                <w:lang w:val="zh-CN"/>
              </w:rPr>
            </w:pPr>
            <w:r>
              <w:rPr>
                <w:rFonts w:hint="eastAsia" w:ascii="仿宋" w:hAnsi="仿宋" w:eastAsia="仿宋"/>
                <w:color w:val="000000"/>
                <w:sz w:val="24"/>
                <w:lang w:val="zh-CN"/>
              </w:rPr>
              <w:t>培训措施：提供详尽的培训方案及培训计划，并列出培训的具体内容及方确保使用人员能够独立操作，并进行简单故障排查处理。根据培训服务承诺内容的完整程度、优劣程度，由评委会进行综合评议计0-5分。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000000"/>
                <w:sz w:val="24"/>
                <w:lang w:val="zh-CN"/>
              </w:rPr>
            </w:pPr>
            <w:r>
              <w:rPr>
                <w:rFonts w:hint="eastAsia" w:ascii="仿宋_GB2312" w:eastAsia="仿宋_GB2312"/>
                <w:color w:val="000000"/>
                <w:sz w:val="24"/>
                <w:lang w:val="zh-CN"/>
              </w:rPr>
              <w:t>总分</w:t>
            </w:r>
          </w:p>
        </w:tc>
        <w:tc>
          <w:tcPr>
            <w:tcW w:w="74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000000"/>
                <w:sz w:val="24"/>
              </w:rPr>
            </w:pPr>
            <w:r>
              <w:rPr>
                <w:rFonts w:hint="eastAsia" w:ascii="仿宋_GB2312" w:eastAsia="仿宋_GB2312"/>
                <w:color w:val="000000"/>
                <w:sz w:val="24"/>
                <w:lang w:val="zh-CN"/>
              </w:rPr>
              <w:t>100分</w:t>
            </w:r>
          </w:p>
        </w:tc>
      </w:tr>
    </w:tbl>
    <w:p>
      <w:pPr>
        <w:jc w:val="center"/>
        <w:rPr>
          <w:rFonts w:eastAsia="仿宋_GB2312"/>
          <w:b/>
          <w:kern w:val="0"/>
          <w:sz w:val="30"/>
          <w:szCs w:val="30"/>
        </w:rPr>
      </w:pPr>
      <w:r>
        <w:rPr>
          <w:rFonts w:eastAsia="仿宋_GB2312"/>
          <w:szCs w:val="21"/>
        </w:rPr>
        <w:br w:type="page"/>
      </w:r>
    </w:p>
    <w:p>
      <w:pPr>
        <w:pStyle w:val="46"/>
        <w:spacing w:line="360" w:lineRule="auto"/>
        <w:rPr>
          <w:rStyle w:val="203"/>
          <w:rFonts w:ascii="Times New Roman" w:hAnsi="Times New Roman" w:eastAsia="宋体"/>
          <w:sz w:val="36"/>
          <w:szCs w:val="36"/>
        </w:rPr>
      </w:pPr>
      <w:bookmarkStart w:id="411" w:name="_Toc68590979"/>
      <w:r>
        <w:rPr>
          <w:rStyle w:val="203"/>
          <w:rFonts w:ascii="Times New Roman" w:hAnsi="Times New Roman" w:eastAsia="宋体"/>
          <w:sz w:val="36"/>
          <w:szCs w:val="36"/>
        </w:rPr>
        <w:t xml:space="preserve">第四章  </w:t>
      </w:r>
      <w:bookmarkEnd w:id="19"/>
      <w:bookmarkEnd w:id="393"/>
      <w:bookmarkEnd w:id="394"/>
      <w:bookmarkEnd w:id="411"/>
      <w:bookmarkStart w:id="412" w:name="_Toc492955459"/>
      <w:bookmarkStart w:id="413" w:name="_Toc500747106"/>
      <w:bookmarkStart w:id="414" w:name="_Toc499711928"/>
      <w:bookmarkStart w:id="415" w:name="_Toc232395222"/>
      <w:bookmarkStart w:id="416" w:name="_Toc230583552"/>
      <w:bookmarkStart w:id="417" w:name="_Toc496324623"/>
      <w:bookmarkStart w:id="418" w:name="_Toc256342152"/>
      <w:bookmarkStart w:id="419" w:name="_Toc177189245"/>
      <w:bookmarkStart w:id="420" w:name="_Toc499711087"/>
      <w:bookmarkStart w:id="421" w:name="_Toc500747233"/>
      <w:bookmarkStart w:id="422" w:name="_Toc177817344"/>
      <w:bookmarkStart w:id="423" w:name="_Toc503063458"/>
      <w:bookmarkStart w:id="424" w:name="_Toc249525250"/>
      <w:bookmarkStart w:id="425" w:name="_Toc53722865"/>
      <w:bookmarkStart w:id="426" w:name="_Toc230099803"/>
      <w:bookmarkStart w:id="427" w:name="_Toc184043058"/>
      <w:bookmarkStart w:id="428" w:name="_Toc232176282"/>
      <w:bookmarkStart w:id="429" w:name="_Toc249515482"/>
      <w:bookmarkStart w:id="430" w:name="_Toc249515369"/>
      <w:bookmarkStart w:id="431" w:name="_Toc415499897"/>
      <w:bookmarkStart w:id="432" w:name="_Toc176882552"/>
      <w:bookmarkStart w:id="433" w:name="_Toc230013638"/>
      <w:bookmarkStart w:id="434" w:name="_Toc70687202"/>
      <w:bookmarkStart w:id="435" w:name="_Toc28450"/>
      <w:bookmarkStart w:id="436" w:name="_Toc177995483"/>
      <w:bookmarkStart w:id="437" w:name="_Toc500747010"/>
      <w:r>
        <w:rPr>
          <w:rStyle w:val="203"/>
          <w:rFonts w:ascii="Times New Roman" w:hAnsi="Times New Roman" w:eastAsia="宋体"/>
          <w:sz w:val="36"/>
          <w:szCs w:val="36"/>
        </w:rPr>
        <w:t>拟签订的合同文本</w:t>
      </w:r>
    </w:p>
    <w:p>
      <w:pPr>
        <w:pStyle w:val="46"/>
        <w:spacing w:line="360" w:lineRule="auto"/>
        <w:rPr>
          <w:rFonts w:ascii="Times New Roman" w:hAnsi="Times New Roman" w:eastAsia="宋体"/>
          <w:sz w:val="36"/>
          <w:szCs w:val="36"/>
        </w:rPr>
      </w:pPr>
      <w:r>
        <w:rPr>
          <w:rFonts w:hint="eastAsia" w:ascii="仿宋" w:hAnsi="仿宋" w:eastAsia="仿宋"/>
          <w:sz w:val="21"/>
          <w:szCs w:val="24"/>
        </w:rPr>
        <w:t>（此合同主要条款，除商务条款外，其余部分只作为参考，最终合同一采购人给出的合同定稿为准。）</w:t>
      </w:r>
    </w:p>
    <w:p>
      <w:pPr>
        <w:spacing w:line="400" w:lineRule="exact"/>
        <w:rPr>
          <w:rFonts w:ascii="仿宋" w:hAnsi="仿宋" w:eastAsia="仿宋"/>
        </w:rPr>
      </w:pPr>
      <w:r>
        <w:rPr>
          <w:rFonts w:hint="eastAsia" w:ascii="仿宋" w:hAnsi="仿宋" w:eastAsia="仿宋"/>
        </w:rPr>
        <w:t>一、合同内容及金额：即成交人的磋商内容及其成交总金额：磋商报价为一次包死，不受市场价格变化或实际工作量变化影响，并作为最终结算的唯一依据。</w:t>
      </w:r>
    </w:p>
    <w:p>
      <w:pPr>
        <w:spacing w:line="400" w:lineRule="exact"/>
        <w:rPr>
          <w:rFonts w:ascii="仿宋" w:hAnsi="仿宋" w:eastAsia="仿宋"/>
        </w:rPr>
      </w:pPr>
      <w:r>
        <w:rPr>
          <w:rFonts w:hint="eastAsia" w:ascii="仿宋" w:hAnsi="仿宋" w:eastAsia="仿宋"/>
        </w:rPr>
        <w:t>二、质保期：三年。</w:t>
      </w:r>
    </w:p>
    <w:p>
      <w:pPr>
        <w:spacing w:line="400" w:lineRule="exact"/>
        <w:rPr>
          <w:rFonts w:ascii="仿宋" w:hAnsi="仿宋" w:eastAsia="仿宋"/>
        </w:rPr>
      </w:pPr>
      <w:r>
        <w:rPr>
          <w:rFonts w:hint="eastAsia" w:ascii="仿宋" w:hAnsi="仿宋" w:eastAsia="仿宋"/>
        </w:rPr>
        <w:t>成交人未征得采购人同意和谅解而单方面延迟服务，将按违约终止合同。</w:t>
      </w:r>
    </w:p>
    <w:p>
      <w:pPr>
        <w:spacing w:line="400" w:lineRule="exact"/>
        <w:rPr>
          <w:rFonts w:ascii="仿宋" w:hAnsi="仿宋" w:eastAsia="仿宋"/>
        </w:rPr>
      </w:pPr>
      <w:r>
        <w:rPr>
          <w:rFonts w:hint="eastAsia" w:ascii="仿宋" w:hAnsi="仿宋" w:eastAsia="仿宋"/>
        </w:rPr>
        <w:t>成交人遇到可能妨碍按时提供货物（服务）的情况，应当及时以书面形式通知采购人，说明原由、拖延的期限等；采购人、采购代理机构在收到通知后，尽快进行情况评估并确定是否通过修改合同，酌情延长服务时间或者通过协商加收误期赔偿金。</w:t>
      </w:r>
    </w:p>
    <w:p>
      <w:pPr>
        <w:spacing w:line="400" w:lineRule="exact"/>
        <w:rPr>
          <w:rFonts w:ascii="仿宋" w:hAnsi="仿宋" w:eastAsia="仿宋"/>
        </w:rPr>
      </w:pPr>
      <w:r>
        <w:rPr>
          <w:rFonts w:hint="eastAsia" w:ascii="仿宋" w:hAnsi="仿宋" w:eastAsia="仿宋"/>
        </w:rPr>
        <w:t>三、交货条件</w:t>
      </w:r>
    </w:p>
    <w:p>
      <w:pPr>
        <w:spacing w:line="400" w:lineRule="exact"/>
        <w:rPr>
          <w:rFonts w:ascii="仿宋" w:hAnsi="仿宋" w:eastAsia="仿宋"/>
        </w:rPr>
      </w:pPr>
      <w:r>
        <w:rPr>
          <w:rFonts w:hint="eastAsia" w:ascii="仿宋" w:hAnsi="仿宋" w:eastAsia="仿宋"/>
        </w:rPr>
        <w:t>1、服务地点：西安市胸科医院指定地点。</w:t>
      </w:r>
    </w:p>
    <w:p>
      <w:pPr>
        <w:spacing w:line="400" w:lineRule="exact"/>
        <w:rPr>
          <w:rFonts w:ascii="仿宋" w:hAnsi="仿宋" w:eastAsia="仿宋"/>
        </w:rPr>
      </w:pPr>
      <w:r>
        <w:rPr>
          <w:rFonts w:hint="eastAsia" w:ascii="仿宋" w:hAnsi="仿宋" w:eastAsia="仿宋"/>
        </w:rPr>
        <w:t>2、服务周期：合同签订后，30日历天完成。</w:t>
      </w:r>
    </w:p>
    <w:p>
      <w:pPr>
        <w:spacing w:line="400" w:lineRule="exact"/>
        <w:rPr>
          <w:rFonts w:ascii="仿宋" w:hAnsi="仿宋" w:eastAsia="仿宋"/>
        </w:rPr>
      </w:pPr>
      <w:r>
        <w:rPr>
          <w:rFonts w:hint="eastAsia" w:ascii="仿宋" w:hAnsi="仿宋" w:eastAsia="仿宋"/>
        </w:rPr>
        <w:t>四、结算方式：</w:t>
      </w:r>
    </w:p>
    <w:p>
      <w:pPr>
        <w:spacing w:line="400" w:lineRule="exact"/>
        <w:rPr>
          <w:rFonts w:ascii="仿宋" w:hAnsi="仿宋" w:eastAsia="仿宋"/>
        </w:rPr>
      </w:pPr>
      <w:r>
        <w:rPr>
          <w:rFonts w:hint="eastAsia" w:ascii="仿宋" w:hAnsi="仿宋" w:eastAsia="仿宋"/>
        </w:rPr>
        <w:t>1、付款：验收合格后付款100%。</w:t>
      </w:r>
    </w:p>
    <w:p>
      <w:pPr>
        <w:spacing w:line="400" w:lineRule="exact"/>
        <w:rPr>
          <w:rFonts w:ascii="仿宋" w:hAnsi="仿宋" w:eastAsia="仿宋"/>
        </w:rPr>
      </w:pPr>
      <w:r>
        <w:rPr>
          <w:rFonts w:hint="eastAsia" w:ascii="仿宋" w:hAnsi="仿宋" w:eastAsia="仿宋"/>
        </w:rPr>
        <w:t>2、结算单位：由西安市胸科医院与合同供应商结算，发票直开。</w:t>
      </w:r>
    </w:p>
    <w:p>
      <w:pPr>
        <w:spacing w:line="400" w:lineRule="exact"/>
        <w:rPr>
          <w:rFonts w:ascii="仿宋" w:hAnsi="仿宋" w:eastAsia="仿宋"/>
        </w:rPr>
      </w:pPr>
      <w:r>
        <w:rPr>
          <w:rFonts w:hint="eastAsia" w:ascii="仿宋" w:hAnsi="仿宋" w:eastAsia="仿宋"/>
        </w:rPr>
        <w:t>五、质量保证</w:t>
      </w:r>
    </w:p>
    <w:p>
      <w:pPr>
        <w:spacing w:line="400" w:lineRule="exact"/>
        <w:rPr>
          <w:rFonts w:ascii="仿宋" w:hAnsi="仿宋" w:eastAsia="仿宋"/>
        </w:rPr>
      </w:pPr>
      <w:r>
        <w:rPr>
          <w:rFonts w:hint="eastAsia" w:ascii="仿宋" w:hAnsi="仿宋" w:eastAsia="仿宋"/>
        </w:rPr>
        <w:t>1.本项目整体验收合格后质保期三年。</w:t>
      </w:r>
    </w:p>
    <w:p>
      <w:pPr>
        <w:spacing w:line="400" w:lineRule="exact"/>
        <w:rPr>
          <w:rFonts w:ascii="仿宋" w:hAnsi="仿宋" w:eastAsia="仿宋"/>
        </w:rPr>
      </w:pPr>
      <w:r>
        <w:rPr>
          <w:rFonts w:hint="eastAsia" w:ascii="仿宋" w:hAnsi="仿宋" w:eastAsia="仿宋"/>
        </w:rPr>
        <w:t>2.供应商应当保证所供产品的来源渠道正常，产品完全符合国家和合同规定的质量、规格、技术指标等要求，并在质保期内因产品质量问题引发的事故，由供应商承担经济赔偿责任以及其他法律责任。</w:t>
      </w:r>
    </w:p>
    <w:p>
      <w:pPr>
        <w:spacing w:line="400" w:lineRule="exact"/>
        <w:rPr>
          <w:rFonts w:ascii="仿宋" w:hAnsi="仿宋" w:eastAsia="仿宋"/>
        </w:rPr>
      </w:pPr>
      <w:r>
        <w:rPr>
          <w:rFonts w:hint="eastAsia" w:ascii="仿宋" w:hAnsi="仿宋" w:eastAsia="仿宋"/>
        </w:rPr>
        <w:t>3.在质保期内，如果发现产品的质量、规格、技术指标等存在与合同中任何一项不符，采购单位应在最短时间内，以书面形式向供应商提出索赔，同时通告采购代理机构。</w:t>
      </w:r>
    </w:p>
    <w:p>
      <w:pPr>
        <w:spacing w:line="400" w:lineRule="exact"/>
        <w:rPr>
          <w:rFonts w:ascii="仿宋" w:hAnsi="仿宋" w:eastAsia="仿宋"/>
        </w:rPr>
      </w:pPr>
      <w:r>
        <w:rPr>
          <w:rFonts w:hint="eastAsia" w:ascii="仿宋" w:hAnsi="仿宋" w:eastAsia="仿宋"/>
        </w:rPr>
        <w:t>4.供应商应当明确售后服务公约, 供应商必须按照使用单位人员通知的时间、数量、品种、品质要求准时送货，经验收合格后签字确认，不能以任何理由推托，一旦影响到正常工作，供应商应承担相应的经济赔偿。</w:t>
      </w:r>
    </w:p>
    <w:p>
      <w:pPr>
        <w:pStyle w:val="2"/>
        <w:rPr>
          <w:rFonts w:ascii="仿宋" w:hAnsi="仿宋" w:eastAsia="仿宋"/>
          <w:sz w:val="21"/>
          <w:szCs w:val="24"/>
        </w:rPr>
      </w:pPr>
      <w:r>
        <w:rPr>
          <w:rFonts w:hint="eastAsia" w:ascii="仿宋" w:hAnsi="仿宋" w:eastAsia="仿宋"/>
          <w:sz w:val="21"/>
          <w:szCs w:val="24"/>
        </w:rPr>
        <w:t>5.服务响应时间:乙方收到甲方的维修需求,_</w:t>
      </w:r>
      <w:r>
        <w:rPr>
          <w:rFonts w:hint="eastAsia" w:ascii="仿宋" w:hAnsi="仿宋" w:eastAsia="仿宋"/>
          <w:sz w:val="21"/>
          <w:szCs w:val="24"/>
          <w:u w:val="single"/>
        </w:rPr>
        <w:t>1</w:t>
      </w:r>
      <w:r>
        <w:rPr>
          <w:rFonts w:hint="eastAsia" w:ascii="仿宋" w:hAnsi="仿宋" w:eastAsia="仿宋"/>
          <w:sz w:val="21"/>
          <w:szCs w:val="24"/>
        </w:rPr>
        <w:t>_小时内电话响应, _</w:t>
      </w:r>
      <w:r>
        <w:rPr>
          <w:rFonts w:hint="eastAsia" w:ascii="仿宋" w:hAnsi="仿宋" w:eastAsia="仿宋"/>
          <w:sz w:val="21"/>
          <w:szCs w:val="24"/>
          <w:u w:val="single"/>
        </w:rPr>
        <w:t>4</w:t>
      </w:r>
      <w:r>
        <w:rPr>
          <w:rFonts w:hint="eastAsia" w:ascii="仿宋" w:hAnsi="仿宋" w:eastAsia="仿宋"/>
          <w:sz w:val="21"/>
          <w:szCs w:val="24"/>
        </w:rPr>
        <w:t>_小时内到达现场, _</w:t>
      </w:r>
      <w:r>
        <w:rPr>
          <w:rFonts w:hint="eastAsia" w:ascii="仿宋" w:hAnsi="仿宋" w:eastAsia="仿宋"/>
          <w:sz w:val="21"/>
          <w:szCs w:val="24"/>
          <w:u w:val="single"/>
        </w:rPr>
        <w:t>24</w:t>
      </w:r>
      <w:r>
        <w:rPr>
          <w:rFonts w:hint="eastAsia" w:ascii="仿宋" w:hAnsi="仿宋" w:eastAsia="仿宋"/>
          <w:sz w:val="21"/>
          <w:szCs w:val="24"/>
        </w:rPr>
        <w:t>_小时内排除故障。</w:t>
      </w:r>
    </w:p>
    <w:p>
      <w:pPr>
        <w:spacing w:line="400" w:lineRule="exact"/>
        <w:rPr>
          <w:rFonts w:ascii="仿宋" w:hAnsi="仿宋" w:eastAsia="仿宋"/>
        </w:rPr>
      </w:pPr>
      <w:r>
        <w:rPr>
          <w:rFonts w:hint="eastAsia" w:ascii="仿宋" w:hAnsi="仿宋" w:eastAsia="仿宋"/>
        </w:rPr>
        <w:t>六、安装及调试要求</w:t>
      </w:r>
    </w:p>
    <w:p>
      <w:pPr>
        <w:spacing w:line="400" w:lineRule="exact"/>
        <w:rPr>
          <w:rFonts w:ascii="仿宋" w:hAnsi="仿宋" w:eastAsia="仿宋"/>
        </w:rPr>
      </w:pPr>
      <w:r>
        <w:rPr>
          <w:rFonts w:hint="eastAsia" w:ascii="仿宋" w:hAnsi="仿宋" w:eastAsia="仿宋"/>
        </w:rPr>
        <w:t>1.供应商应遵守现场的一切规章制度，文明施工；</w:t>
      </w:r>
    </w:p>
    <w:p>
      <w:pPr>
        <w:spacing w:line="400" w:lineRule="exact"/>
        <w:rPr>
          <w:rFonts w:ascii="仿宋" w:hAnsi="仿宋" w:eastAsia="仿宋"/>
        </w:rPr>
      </w:pPr>
      <w:r>
        <w:rPr>
          <w:rFonts w:hint="eastAsia" w:ascii="仿宋" w:hAnsi="仿宋" w:eastAsia="仿宋"/>
        </w:rPr>
        <w:t>2.供应商负责保管、看护进场的设备及附配件直至完成安装调试后交付采购人；</w:t>
      </w:r>
    </w:p>
    <w:p>
      <w:pPr>
        <w:spacing w:line="400" w:lineRule="exact"/>
        <w:rPr>
          <w:rFonts w:ascii="仿宋" w:hAnsi="仿宋" w:eastAsia="仿宋"/>
        </w:rPr>
      </w:pPr>
      <w:r>
        <w:rPr>
          <w:rFonts w:hint="eastAsia" w:ascii="仿宋" w:hAnsi="仿宋" w:eastAsia="仿宋"/>
        </w:rPr>
        <w:t>3.供应商负责设备、安装设备（工具）等提供适当的保护、包装或覆盖等处理，直至验收合格，以免受损；</w:t>
      </w:r>
    </w:p>
    <w:p>
      <w:pPr>
        <w:spacing w:line="400" w:lineRule="exact"/>
        <w:rPr>
          <w:rFonts w:ascii="仿宋" w:hAnsi="仿宋" w:eastAsia="仿宋"/>
        </w:rPr>
      </w:pPr>
      <w:r>
        <w:rPr>
          <w:rFonts w:hint="eastAsia" w:ascii="仿宋" w:hAnsi="仿宋" w:eastAsia="仿宋"/>
        </w:rPr>
        <w:t>4.供应商施工工人、施工机械或在运输装卸途中对其他工程及邻近设备、管线等造成损坏，应由供应商负责修复及承担一切费用；</w:t>
      </w:r>
    </w:p>
    <w:p>
      <w:pPr>
        <w:spacing w:line="400" w:lineRule="exact"/>
        <w:rPr>
          <w:rFonts w:ascii="仿宋" w:hAnsi="仿宋" w:eastAsia="仿宋"/>
        </w:rPr>
      </w:pPr>
      <w:r>
        <w:rPr>
          <w:rFonts w:hint="eastAsia" w:ascii="仿宋" w:hAnsi="仿宋" w:eastAsia="仿宋"/>
        </w:rPr>
        <w:t>5.无论调试期间或保修过程中，供应商负责及时清理垃圾，并将包装物及垃圾堆放至甲方指定地点。</w:t>
      </w:r>
    </w:p>
    <w:p>
      <w:pPr>
        <w:pStyle w:val="2"/>
        <w:rPr>
          <w:rFonts w:ascii="仿宋" w:hAnsi="仿宋" w:eastAsia="仿宋"/>
          <w:sz w:val="21"/>
          <w:szCs w:val="24"/>
        </w:rPr>
      </w:pPr>
      <w:r>
        <w:rPr>
          <w:rFonts w:hint="eastAsia" w:ascii="仿宋" w:hAnsi="仿宋" w:eastAsia="仿宋"/>
          <w:sz w:val="21"/>
          <w:szCs w:val="24"/>
        </w:rPr>
        <w:t>6.验收:</w:t>
      </w:r>
      <w:r>
        <w:rPr>
          <w:rFonts w:hint="eastAsia" w:ascii="宋体" w:hAnsi="宋体" w:eastAsia="宋体" w:cs="宋体"/>
        </w:rPr>
        <w:t xml:space="preserve"> </w:t>
      </w:r>
      <w:r>
        <w:rPr>
          <w:rFonts w:hint="eastAsia" w:ascii="仿宋" w:hAnsi="仿宋" w:eastAsia="仿宋"/>
          <w:sz w:val="21"/>
          <w:szCs w:val="24"/>
        </w:rPr>
        <w:t>①产品到达甲方指定地点后，甲方根据合同要求，对产品进行外观等验收，确认产品。②产品安装并正常运行后，由乙方进行自检，合格后准备验收文件，并书面通知甲方。③甲方确认乙方的自检内容后，会同乙方（必要时请有关专家）进行验收，验收合格后，填写验收合格单。④验收依据：a、磋商文件、投标文件；b、本合同及附件文本；c、国家相应的标准、规范。d、甲方有权对乙方所提供产品进行破坏性检验及验收。</w:t>
      </w:r>
    </w:p>
    <w:p>
      <w:pPr>
        <w:spacing w:line="400" w:lineRule="exact"/>
        <w:rPr>
          <w:rFonts w:ascii="仿宋" w:hAnsi="仿宋" w:eastAsia="仿宋"/>
        </w:rPr>
      </w:pPr>
      <w:r>
        <w:rPr>
          <w:rFonts w:hint="eastAsia" w:ascii="仿宋" w:hAnsi="仿宋" w:eastAsia="仿宋"/>
        </w:rPr>
        <w:t>七、运输要求</w:t>
      </w:r>
    </w:p>
    <w:p>
      <w:pPr>
        <w:spacing w:line="400" w:lineRule="exact"/>
        <w:rPr>
          <w:rFonts w:ascii="仿宋" w:hAnsi="仿宋" w:eastAsia="仿宋"/>
        </w:rPr>
      </w:pPr>
      <w:r>
        <w:rPr>
          <w:rFonts w:hint="eastAsia" w:ascii="仿宋" w:hAnsi="仿宋" w:eastAsia="仿宋"/>
        </w:rPr>
        <w:t>1.供应商根据货物特性，自行选择运输及包装方式，承担一切运输费用，包死在合同总价内。</w:t>
      </w:r>
    </w:p>
    <w:p>
      <w:pPr>
        <w:spacing w:line="400" w:lineRule="exact"/>
        <w:rPr>
          <w:rFonts w:ascii="仿宋" w:hAnsi="仿宋" w:eastAsia="仿宋"/>
        </w:rPr>
      </w:pPr>
      <w:r>
        <w:rPr>
          <w:rFonts w:hint="eastAsia" w:ascii="仿宋" w:hAnsi="仿宋" w:eastAsia="仿宋"/>
        </w:rPr>
        <w:t>2.供应商应在合同规定的时间内完成该项工作。如因供应商责任而造成延期，每超过一天按合同结算款的（1‰）支付采购人误期赔偿金，直至完工或提供服务结束为止，所有因延期而产生的费用由供应商承担。</w:t>
      </w:r>
    </w:p>
    <w:p>
      <w:pPr>
        <w:spacing w:line="400" w:lineRule="exact"/>
        <w:rPr>
          <w:rFonts w:ascii="仿宋" w:hAnsi="仿宋" w:eastAsia="仿宋"/>
        </w:rPr>
      </w:pPr>
      <w:r>
        <w:rPr>
          <w:rFonts w:hint="eastAsia" w:ascii="仿宋" w:hAnsi="仿宋" w:eastAsia="仿宋"/>
        </w:rPr>
        <w:t>八、技术资料：</w:t>
      </w:r>
    </w:p>
    <w:p>
      <w:pPr>
        <w:spacing w:line="400" w:lineRule="exact"/>
        <w:rPr>
          <w:rFonts w:ascii="仿宋" w:hAnsi="仿宋" w:eastAsia="仿宋"/>
        </w:rPr>
      </w:pPr>
      <w:r>
        <w:rPr>
          <w:rFonts w:hint="eastAsia" w:ascii="仿宋" w:hAnsi="仿宋" w:eastAsia="仿宋"/>
        </w:rPr>
        <w:t>提供更换配件的合格证、说明书等相关资料。</w:t>
      </w:r>
    </w:p>
    <w:p>
      <w:pPr>
        <w:spacing w:line="400" w:lineRule="exact"/>
        <w:rPr>
          <w:rFonts w:ascii="仿宋" w:hAnsi="仿宋" w:eastAsia="仿宋"/>
        </w:rPr>
      </w:pPr>
      <w:r>
        <w:rPr>
          <w:rFonts w:hint="eastAsia" w:ascii="仿宋" w:hAnsi="仿宋" w:eastAsia="仿宋"/>
        </w:rPr>
        <w:t>九、双方责任</w:t>
      </w:r>
    </w:p>
    <w:p>
      <w:pPr>
        <w:spacing w:line="400" w:lineRule="exact"/>
        <w:rPr>
          <w:rFonts w:ascii="仿宋" w:hAnsi="仿宋" w:eastAsia="仿宋"/>
        </w:rPr>
      </w:pPr>
      <w:r>
        <w:rPr>
          <w:rFonts w:hint="eastAsia" w:ascii="仿宋" w:hAnsi="仿宋" w:eastAsia="仿宋"/>
        </w:rPr>
        <w:t>1、甲方责任</w:t>
      </w:r>
    </w:p>
    <w:p>
      <w:pPr>
        <w:spacing w:line="400" w:lineRule="exact"/>
        <w:rPr>
          <w:rFonts w:ascii="仿宋" w:hAnsi="仿宋" w:eastAsia="仿宋"/>
        </w:rPr>
      </w:pPr>
      <w:r>
        <w:rPr>
          <w:rFonts w:hint="eastAsia" w:ascii="仿宋" w:hAnsi="仿宋" w:eastAsia="仿宋"/>
        </w:rPr>
        <w:t>（1）按合同规定向乙方支付费用。</w:t>
      </w:r>
    </w:p>
    <w:p>
      <w:pPr>
        <w:spacing w:line="400" w:lineRule="exact"/>
        <w:rPr>
          <w:rFonts w:ascii="仿宋" w:hAnsi="仿宋" w:eastAsia="仿宋"/>
        </w:rPr>
      </w:pPr>
      <w:r>
        <w:rPr>
          <w:rFonts w:hint="eastAsia" w:ascii="仿宋" w:hAnsi="仿宋" w:eastAsia="仿宋"/>
        </w:rPr>
        <w:t xml:space="preserve">（2）负责协调乙方工作过程中与本项目有关单位的配合问题。 </w:t>
      </w:r>
    </w:p>
    <w:p>
      <w:pPr>
        <w:spacing w:line="400" w:lineRule="exact"/>
        <w:rPr>
          <w:rFonts w:ascii="仿宋" w:hAnsi="仿宋" w:eastAsia="仿宋"/>
        </w:rPr>
      </w:pPr>
      <w:r>
        <w:rPr>
          <w:rFonts w:hint="eastAsia" w:ascii="仿宋" w:hAnsi="仿宋" w:eastAsia="仿宋"/>
        </w:rPr>
        <w:t>2、乙方责任</w:t>
      </w:r>
    </w:p>
    <w:p>
      <w:pPr>
        <w:spacing w:line="400" w:lineRule="exact"/>
        <w:rPr>
          <w:rFonts w:ascii="仿宋" w:hAnsi="仿宋" w:eastAsia="仿宋"/>
        </w:rPr>
      </w:pPr>
      <w:r>
        <w:rPr>
          <w:rFonts w:hint="eastAsia" w:ascii="仿宋" w:hAnsi="仿宋" w:eastAsia="仿宋"/>
        </w:rPr>
        <w:t>（1）乙方应根据合同的规定，在双方约定的时间内完成交货及售后服务项目内容。</w:t>
      </w:r>
    </w:p>
    <w:p>
      <w:pPr>
        <w:spacing w:line="400" w:lineRule="exact"/>
        <w:rPr>
          <w:rFonts w:ascii="仿宋" w:hAnsi="仿宋" w:eastAsia="仿宋"/>
        </w:rPr>
      </w:pPr>
      <w:r>
        <w:rPr>
          <w:rFonts w:hint="eastAsia" w:ascii="仿宋" w:hAnsi="仿宋" w:eastAsia="仿宋"/>
        </w:rPr>
        <w:t>（2）乙方应根据工作需要，派出相关专业的工作人员进行项目配合及监督执行。</w:t>
      </w:r>
    </w:p>
    <w:p>
      <w:pPr>
        <w:spacing w:line="400" w:lineRule="exact"/>
        <w:rPr>
          <w:rFonts w:ascii="仿宋" w:hAnsi="仿宋" w:eastAsia="仿宋"/>
        </w:rPr>
      </w:pPr>
      <w:r>
        <w:rPr>
          <w:rFonts w:hint="eastAsia" w:ascii="仿宋" w:hAnsi="仿宋" w:eastAsia="仿宋"/>
        </w:rPr>
        <w:t>（3）乙方应按国家规定和本合同及单一来源采购文件约定的服务规范和要求进行服务，并对维保的设备质量负责。</w:t>
      </w:r>
    </w:p>
    <w:p>
      <w:pPr>
        <w:spacing w:line="400" w:lineRule="exact"/>
        <w:rPr>
          <w:rFonts w:ascii="仿宋" w:hAnsi="仿宋" w:eastAsia="仿宋"/>
        </w:rPr>
      </w:pPr>
      <w:r>
        <w:rPr>
          <w:rFonts w:hint="eastAsia" w:ascii="仿宋" w:hAnsi="仿宋" w:eastAsia="仿宋"/>
        </w:rPr>
        <w:t>十、采购项目执行内容需要调整时，经采购人同意后，可以对相应的内容进行调整，并协商确定价格差额计算方法和负担办法。</w:t>
      </w:r>
    </w:p>
    <w:p>
      <w:pPr>
        <w:spacing w:line="400" w:lineRule="exact"/>
        <w:rPr>
          <w:rFonts w:ascii="仿宋" w:hAnsi="仿宋" w:eastAsia="仿宋"/>
        </w:rPr>
      </w:pPr>
      <w:r>
        <w:rPr>
          <w:rFonts w:hint="eastAsia" w:ascii="仿宋" w:hAnsi="仿宋" w:eastAsia="仿宋"/>
        </w:rPr>
        <w:t>十一、合同争议的解决：合同执行中发生争议的，当事人双方应协商解决，协商达不成一致时，可向甲方所在地人民法院提请诉讼。</w:t>
      </w:r>
    </w:p>
    <w:p>
      <w:pPr>
        <w:spacing w:line="400" w:lineRule="exact"/>
        <w:rPr>
          <w:rFonts w:ascii="仿宋" w:hAnsi="仿宋" w:eastAsia="仿宋"/>
        </w:rPr>
      </w:pPr>
      <w:r>
        <w:rPr>
          <w:rFonts w:hint="eastAsia" w:ascii="仿宋" w:hAnsi="仿宋" w:eastAsia="仿宋"/>
        </w:rPr>
        <w:t>十二、在发生不可抗力情况下的应对措施和解决办法。</w:t>
      </w:r>
    </w:p>
    <w:p>
      <w:pPr>
        <w:spacing w:line="400" w:lineRule="exact"/>
        <w:rPr>
          <w:rFonts w:ascii="仿宋" w:hAnsi="仿宋" w:eastAsia="仿宋"/>
        </w:rPr>
      </w:pPr>
      <w:r>
        <w:rPr>
          <w:rFonts w:hint="eastAsia" w:ascii="仿宋" w:hAnsi="仿宋" w:eastAsia="仿宋"/>
        </w:rPr>
        <w:t>十三、合同一经签订，不得擅自变更、中止或者终止合同。对确需变更、调整或者中止、终止合同的，应按规定履行相应的手续。</w:t>
      </w:r>
    </w:p>
    <w:p>
      <w:pPr>
        <w:spacing w:line="400" w:lineRule="exact"/>
        <w:rPr>
          <w:rFonts w:ascii="仿宋" w:hAnsi="仿宋" w:eastAsia="仿宋"/>
        </w:rPr>
      </w:pPr>
      <w:r>
        <w:rPr>
          <w:rFonts w:hint="eastAsia" w:ascii="仿宋" w:hAnsi="仿宋" w:eastAsia="仿宋"/>
        </w:rPr>
        <w:t>十四、违约责任：依据《中华人民共和国民法典》、《中华人民共和国政府采购法》的相关条款和本合同约定，成交人未全面履行合同义务或者发生违约，采购人会同采购代理机构有权终止合同，依法向成交人要求经济索赔，并报请政府采购监督管理机关进行相应的行政处罚。采购人违约的，应当赔偿给成交人造成的经济损失。</w:t>
      </w:r>
    </w:p>
    <w:p>
      <w:pPr>
        <w:spacing w:line="400" w:lineRule="exact"/>
        <w:rPr>
          <w:rFonts w:ascii="仿宋" w:hAnsi="仿宋" w:eastAsia="仿宋"/>
        </w:rPr>
      </w:pPr>
      <w:r>
        <w:rPr>
          <w:rFonts w:hint="eastAsia" w:ascii="仿宋" w:hAnsi="仿宋" w:eastAsia="仿宋"/>
        </w:rPr>
        <w:t xml:space="preserve">十五、本合同壹式五份，甲方四份，乙方壹份。各方签字盖章后生效，合同执行完毕自动失效。（合同的服务承诺则长期有效）。 </w:t>
      </w:r>
    </w:p>
    <w:p>
      <w:pPr>
        <w:spacing w:line="400" w:lineRule="exact"/>
        <w:rPr>
          <w:rFonts w:ascii="仿宋" w:hAnsi="仿宋" w:eastAsia="仿宋"/>
        </w:rPr>
      </w:pPr>
      <w:r>
        <w:rPr>
          <w:rFonts w:hint="eastAsia" w:ascii="仿宋" w:hAnsi="仿宋" w:eastAsia="仿宋"/>
        </w:rPr>
        <w:t>十六、其它（在合同中具体明确）</w:t>
      </w:r>
    </w:p>
    <w:p>
      <w:pPr>
        <w:spacing w:line="400" w:lineRule="exact"/>
        <w:rPr>
          <w:rFonts w:ascii="仿宋" w:hAnsi="仿宋" w:eastAsia="仿宋"/>
        </w:rPr>
      </w:pPr>
    </w:p>
    <w:p>
      <w:pPr>
        <w:spacing w:line="400" w:lineRule="exact"/>
        <w:rPr>
          <w:rFonts w:ascii="仿宋" w:hAnsi="仿宋" w:eastAsia="仿宋"/>
        </w:rPr>
      </w:pPr>
      <w:r>
        <w:rPr>
          <w:rFonts w:hint="eastAsia" w:ascii="仿宋" w:hAnsi="仿宋" w:eastAsia="仿宋"/>
        </w:rPr>
        <w:t>甲    方                                乙    方</w:t>
      </w:r>
    </w:p>
    <w:p>
      <w:pPr>
        <w:spacing w:line="400" w:lineRule="exact"/>
        <w:rPr>
          <w:rFonts w:ascii="仿宋" w:hAnsi="仿宋" w:eastAsia="仿宋"/>
        </w:rPr>
      </w:pPr>
      <w:r>
        <w:rPr>
          <w:rFonts w:hint="eastAsia" w:ascii="仿宋" w:hAnsi="仿宋" w:eastAsia="仿宋"/>
        </w:rPr>
        <w:t>单位名称：                              单位名称：</w:t>
      </w:r>
    </w:p>
    <w:p>
      <w:pPr>
        <w:spacing w:line="400" w:lineRule="exact"/>
        <w:rPr>
          <w:rFonts w:ascii="仿宋" w:hAnsi="仿宋" w:eastAsia="仿宋"/>
        </w:rPr>
      </w:pPr>
      <w:r>
        <w:rPr>
          <w:rFonts w:hint="eastAsia" w:ascii="仿宋" w:hAnsi="仿宋" w:eastAsia="仿宋"/>
        </w:rPr>
        <w:t>地   址：                               地 址：</w:t>
      </w:r>
    </w:p>
    <w:p>
      <w:pPr>
        <w:spacing w:line="400" w:lineRule="exact"/>
        <w:rPr>
          <w:rFonts w:ascii="仿宋" w:hAnsi="仿宋" w:eastAsia="仿宋"/>
        </w:rPr>
      </w:pPr>
      <w:r>
        <w:rPr>
          <w:rFonts w:hint="eastAsia" w:ascii="仿宋" w:hAnsi="仿宋" w:eastAsia="仿宋"/>
        </w:rPr>
        <w:t>法人代表：                              法人代表：</w:t>
      </w:r>
    </w:p>
    <w:p>
      <w:pPr>
        <w:spacing w:line="400" w:lineRule="exact"/>
        <w:rPr>
          <w:rFonts w:ascii="仿宋" w:hAnsi="仿宋" w:eastAsia="仿宋"/>
        </w:rPr>
      </w:pPr>
      <w:r>
        <w:rPr>
          <w:rFonts w:hint="eastAsia" w:ascii="仿宋" w:hAnsi="仿宋" w:eastAsia="仿宋"/>
        </w:rPr>
        <w:t>负 责 人：                              负 责 人：</w:t>
      </w:r>
    </w:p>
    <w:p>
      <w:pPr>
        <w:spacing w:line="400" w:lineRule="exact"/>
        <w:rPr>
          <w:rFonts w:ascii="仿宋" w:hAnsi="仿宋" w:eastAsia="仿宋"/>
        </w:rPr>
      </w:pPr>
      <w:r>
        <w:rPr>
          <w:rFonts w:hint="eastAsia" w:ascii="仿宋" w:hAnsi="仿宋" w:eastAsia="仿宋"/>
        </w:rPr>
        <w:t xml:space="preserve">联系电话：                              联系电话：           </w:t>
      </w:r>
    </w:p>
    <w:p>
      <w:pPr>
        <w:spacing w:line="400" w:lineRule="exact"/>
        <w:rPr>
          <w:rFonts w:ascii="仿宋" w:hAnsi="仿宋" w:eastAsia="仿宋"/>
        </w:rPr>
      </w:pPr>
      <w:r>
        <w:rPr>
          <w:rFonts w:hint="eastAsia" w:ascii="仿宋" w:hAnsi="仿宋" w:eastAsia="仿宋"/>
        </w:rPr>
        <w:t xml:space="preserve">开 户 行：                              开 户 行： </w:t>
      </w:r>
    </w:p>
    <w:p>
      <w:pPr>
        <w:spacing w:line="400" w:lineRule="exact"/>
        <w:rPr>
          <w:rFonts w:ascii="仿宋" w:hAnsi="仿宋" w:eastAsia="仿宋"/>
        </w:rPr>
      </w:pPr>
      <w:r>
        <w:rPr>
          <w:rFonts w:hint="eastAsia" w:ascii="仿宋" w:hAnsi="仿宋" w:eastAsia="仿宋"/>
        </w:rPr>
        <w:t>账    号：                              账    号：</w:t>
      </w:r>
    </w:p>
    <w:p>
      <w:pPr>
        <w:spacing w:line="400" w:lineRule="exact"/>
        <w:rPr>
          <w:rFonts w:ascii="仿宋" w:hAnsi="仿宋" w:eastAsia="仿宋"/>
        </w:rPr>
      </w:pPr>
      <w:r>
        <w:rPr>
          <w:rFonts w:hint="eastAsia" w:ascii="仿宋" w:hAnsi="仿宋" w:eastAsia="仿宋"/>
        </w:rPr>
        <w:t>纳税人识别号：                          纳税人识别号：</w:t>
      </w:r>
    </w:p>
    <w:p>
      <w:pPr>
        <w:spacing w:line="400" w:lineRule="exact"/>
        <w:rPr>
          <w:rFonts w:ascii="仿宋" w:hAnsi="仿宋" w:eastAsia="仿宋"/>
        </w:rPr>
      </w:pPr>
      <w:r>
        <w:rPr>
          <w:rFonts w:hint="eastAsia" w:ascii="仿宋" w:hAnsi="仿宋" w:eastAsia="仿宋"/>
        </w:rPr>
        <w:t xml:space="preserve">签订日期：   年   月   日                签订日期：   年   月   日          </w:t>
      </w:r>
    </w:p>
    <w:p>
      <w:pPr>
        <w:spacing w:line="400" w:lineRule="exact"/>
        <w:rPr>
          <w:rFonts w:ascii="仿宋" w:hAnsi="仿宋" w:eastAsia="仿宋"/>
        </w:rPr>
      </w:pPr>
    </w:p>
    <w:p>
      <w:pPr>
        <w:spacing w:line="400" w:lineRule="exact"/>
        <w:rPr>
          <w:rFonts w:ascii="仿宋" w:hAnsi="仿宋" w:eastAsia="仿宋"/>
        </w:rPr>
      </w:pPr>
      <w:r>
        <w:rPr>
          <w:rFonts w:hint="eastAsia" w:ascii="仿宋" w:hAnsi="仿宋" w:eastAsia="仿宋"/>
        </w:rPr>
        <w:t>见证方名称（盖章）:</w:t>
      </w:r>
    </w:p>
    <w:p>
      <w:pPr>
        <w:spacing w:line="400" w:lineRule="exact"/>
        <w:rPr>
          <w:rFonts w:ascii="仿宋" w:hAnsi="仿宋" w:eastAsia="仿宋"/>
        </w:rPr>
      </w:pPr>
      <w:r>
        <w:rPr>
          <w:rFonts w:hint="eastAsia" w:ascii="仿宋" w:hAnsi="仿宋" w:eastAsia="仿宋"/>
        </w:rPr>
        <w:t>地址：</w:t>
      </w:r>
    </w:p>
    <w:p>
      <w:pPr>
        <w:spacing w:line="400" w:lineRule="exact"/>
        <w:rPr>
          <w:rFonts w:ascii="仿宋" w:hAnsi="仿宋" w:eastAsia="仿宋"/>
        </w:rPr>
      </w:pPr>
      <w:r>
        <w:rPr>
          <w:rFonts w:hint="eastAsia" w:ascii="仿宋" w:hAnsi="仿宋" w:eastAsia="仿宋"/>
        </w:rPr>
        <w:t>代表人：</w:t>
      </w:r>
    </w:p>
    <w:p>
      <w:pPr>
        <w:spacing w:line="400" w:lineRule="exact"/>
        <w:rPr>
          <w:rFonts w:ascii="仿宋" w:hAnsi="仿宋" w:eastAsia="仿宋"/>
        </w:rPr>
      </w:pPr>
      <w:r>
        <w:rPr>
          <w:rFonts w:hint="eastAsia" w:ascii="仿宋" w:hAnsi="仿宋" w:eastAsia="仿宋"/>
        </w:rPr>
        <w:t>电话：</w:t>
      </w:r>
    </w:p>
    <w:p>
      <w:pPr>
        <w:spacing w:line="400" w:lineRule="exact"/>
        <w:rPr>
          <w:rFonts w:ascii="仿宋" w:hAnsi="仿宋" w:eastAsia="仿宋"/>
        </w:rPr>
      </w:pPr>
      <w:r>
        <w:rPr>
          <w:rFonts w:hint="eastAsia" w:ascii="仿宋" w:hAnsi="仿宋" w:eastAsia="仿宋"/>
        </w:rPr>
        <w:t>开户银行：</w:t>
      </w:r>
    </w:p>
    <w:p>
      <w:pPr>
        <w:spacing w:line="400" w:lineRule="exact"/>
        <w:rPr>
          <w:rFonts w:ascii="仿宋" w:hAnsi="仿宋" w:eastAsia="仿宋"/>
        </w:rPr>
      </w:pPr>
      <w:r>
        <w:rPr>
          <w:rFonts w:hint="eastAsia" w:ascii="仿宋" w:hAnsi="仿宋" w:eastAsia="仿宋"/>
        </w:rPr>
        <w:t>帐号：</w:t>
      </w:r>
    </w:p>
    <w:p>
      <w:pPr>
        <w:widowControl/>
        <w:jc w:val="left"/>
        <w:rPr>
          <w:rFonts w:eastAsia="仿宋_GB2312"/>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6"/>
        <w:spacing w:line="360" w:lineRule="auto"/>
        <w:rPr>
          <w:rStyle w:val="203"/>
          <w:rFonts w:ascii="Times New Roman" w:hAnsi="Times New Roman" w:eastAsia="宋体"/>
          <w:sz w:val="36"/>
          <w:szCs w:val="36"/>
        </w:rPr>
      </w:pPr>
      <w:bookmarkStart w:id="438" w:name="_Toc68590980"/>
      <w:bookmarkStart w:id="439" w:name="_Toc58504448"/>
      <w:r>
        <w:rPr>
          <w:rStyle w:val="203"/>
          <w:rFonts w:ascii="Times New Roman" w:hAnsi="Times New Roman" w:eastAsia="宋体"/>
          <w:sz w:val="36"/>
          <w:szCs w:val="36"/>
        </w:rPr>
        <w:t>第五章  采购内容及要求</w:t>
      </w:r>
      <w:bookmarkEnd w:id="438"/>
      <w:bookmarkEnd w:id="439"/>
    </w:p>
    <w:p>
      <w:pPr>
        <w:rPr>
          <w:rFonts w:eastAsiaTheme="minorEastAsia"/>
        </w:rPr>
      </w:pPr>
      <w:r>
        <w:rPr>
          <w:rFonts w:hint="eastAsia" w:eastAsiaTheme="minorEastAsia"/>
        </w:rPr>
        <w:t>一、技术要求</w:t>
      </w:r>
    </w:p>
    <w:p>
      <w:pPr>
        <w:spacing w:line="400" w:lineRule="exact"/>
        <w:rPr>
          <w:rFonts w:ascii="仿宋" w:hAnsi="仿宋" w:eastAsia="仿宋"/>
          <w:bCs/>
          <w:color w:val="000000"/>
        </w:rPr>
      </w:pPr>
      <w:r>
        <w:rPr>
          <w:rFonts w:ascii="仿宋" w:hAnsi="仿宋" w:eastAsia="仿宋"/>
          <w:color w:val="000000"/>
        </w:rPr>
        <w:t>1</w:t>
      </w:r>
      <w:r>
        <w:rPr>
          <w:rFonts w:hint="eastAsia" w:ascii="仿宋" w:hAnsi="仿宋" w:eastAsia="仿宋"/>
          <w:bCs/>
          <w:color w:val="000000"/>
        </w:rPr>
        <w:t>.</w:t>
      </w:r>
      <w:r>
        <w:rPr>
          <w:rFonts w:ascii="仿宋" w:hAnsi="仿宋" w:eastAsia="仿宋"/>
          <w:bCs/>
          <w:color w:val="000000"/>
        </w:rPr>
        <w:t>LED显示屏(5.12</w:t>
      </w:r>
      <w:r>
        <w:rPr>
          <w:rFonts w:hint="eastAsia" w:ascii="仿宋" w:hAnsi="仿宋" w:eastAsia="仿宋"/>
          <w:bCs/>
          <w:color w:val="000000"/>
        </w:rPr>
        <w:t>米</w:t>
      </w:r>
      <w:r>
        <w:rPr>
          <w:rFonts w:ascii="仿宋" w:hAnsi="仿宋" w:eastAsia="仿宋"/>
          <w:bCs/>
          <w:color w:val="000000"/>
        </w:rPr>
        <w:t>*2.08</w:t>
      </w:r>
      <w:r>
        <w:rPr>
          <w:rFonts w:hint="eastAsia" w:ascii="仿宋" w:hAnsi="仿宋" w:eastAsia="仿宋"/>
          <w:bCs/>
          <w:color w:val="000000"/>
        </w:rPr>
        <w:t>米）</w:t>
      </w:r>
      <w:r>
        <w:rPr>
          <w:rFonts w:ascii="仿宋" w:hAnsi="仿宋" w:eastAsia="仿宋"/>
          <w:bCs/>
          <w:color w:val="000000"/>
        </w:rPr>
        <w:t>10.65</w:t>
      </w:r>
      <w:r>
        <w:rPr>
          <w:rFonts w:hint="eastAsia" w:ascii="仿宋" w:hAnsi="仿宋" w:eastAsia="仿宋"/>
          <w:bCs/>
          <w:color w:val="000000"/>
        </w:rPr>
        <w:t>平米</w:t>
      </w:r>
    </w:p>
    <w:p>
      <w:pPr>
        <w:spacing w:line="400" w:lineRule="exact"/>
        <w:rPr>
          <w:rFonts w:ascii="仿宋" w:hAnsi="仿宋" w:eastAsia="仿宋"/>
          <w:color w:val="000000"/>
        </w:rPr>
      </w:pPr>
      <w:r>
        <w:rPr>
          <w:rFonts w:hint="eastAsia" w:ascii="仿宋" w:hAnsi="仿宋" w:eastAsia="仿宋"/>
          <w:color w:val="000000"/>
        </w:rPr>
        <w:t>1、像素点间距 1.5mm</w:t>
      </w:r>
    </w:p>
    <w:p>
      <w:pPr>
        <w:spacing w:line="400" w:lineRule="exact"/>
        <w:rPr>
          <w:rFonts w:ascii="仿宋" w:hAnsi="仿宋" w:eastAsia="仿宋"/>
          <w:color w:val="000000"/>
        </w:rPr>
      </w:pPr>
      <w:r>
        <w:rPr>
          <w:rFonts w:hint="eastAsia" w:ascii="仿宋" w:hAnsi="仿宋" w:eastAsia="仿宋"/>
          <w:color w:val="000000"/>
        </w:rPr>
        <w:t>2、像素构成      1R、1G、1B</w:t>
      </w:r>
    </w:p>
    <w:p>
      <w:pPr>
        <w:spacing w:line="400" w:lineRule="exact"/>
        <w:rPr>
          <w:rFonts w:ascii="仿宋" w:hAnsi="仿宋" w:eastAsia="仿宋"/>
          <w:color w:val="000000"/>
        </w:rPr>
      </w:pPr>
      <w:r>
        <w:rPr>
          <w:rFonts w:hint="eastAsia" w:ascii="仿宋" w:hAnsi="仿宋" w:eastAsia="仿宋"/>
          <w:color w:val="000000"/>
        </w:rPr>
        <w:t>3、驱动方式  恒流驱动</w:t>
      </w:r>
    </w:p>
    <w:p>
      <w:pPr>
        <w:spacing w:line="400" w:lineRule="exact"/>
        <w:rPr>
          <w:rFonts w:ascii="仿宋" w:hAnsi="仿宋" w:eastAsia="仿宋"/>
          <w:color w:val="000000"/>
        </w:rPr>
      </w:pPr>
      <w:r>
        <w:rPr>
          <w:rFonts w:hint="eastAsia" w:ascii="仿宋" w:hAnsi="仿宋" w:eastAsia="仿宋"/>
          <w:color w:val="000000"/>
        </w:rPr>
        <w:t>4、供电方式  支持电源均流DC4.2V～DC4.5V供电</w:t>
      </w:r>
    </w:p>
    <w:p>
      <w:pPr>
        <w:spacing w:line="400" w:lineRule="exact"/>
        <w:rPr>
          <w:rFonts w:ascii="仿宋" w:hAnsi="仿宋" w:eastAsia="仿宋"/>
          <w:color w:val="000000"/>
        </w:rPr>
      </w:pPr>
      <w:r>
        <w:rPr>
          <w:rFonts w:hint="eastAsia" w:ascii="仿宋" w:hAnsi="仿宋" w:eastAsia="仿宋"/>
          <w:color w:val="000000"/>
        </w:rPr>
        <w:t xml:space="preserve">★5、模组平整度 ≤0.05mm </w:t>
      </w:r>
    </w:p>
    <w:p>
      <w:pPr>
        <w:spacing w:line="400" w:lineRule="exact"/>
        <w:rPr>
          <w:rFonts w:ascii="仿宋" w:hAnsi="仿宋" w:eastAsia="仿宋"/>
          <w:color w:val="000000"/>
        </w:rPr>
      </w:pPr>
      <w:r>
        <w:rPr>
          <w:rFonts w:hint="eastAsia" w:ascii="仿宋" w:hAnsi="仿宋" w:eastAsia="仿宋"/>
          <w:color w:val="000000"/>
        </w:rPr>
        <w:t>6、单元板分辨率 208*104=21632Dots</w:t>
      </w:r>
    </w:p>
    <w:p>
      <w:pPr>
        <w:spacing w:line="400" w:lineRule="exact"/>
        <w:rPr>
          <w:rFonts w:ascii="仿宋" w:hAnsi="仿宋" w:eastAsia="仿宋"/>
          <w:color w:val="000000"/>
        </w:rPr>
      </w:pPr>
      <w:r>
        <w:rPr>
          <w:rFonts w:hint="eastAsia" w:ascii="仿宋" w:hAnsi="仿宋" w:eastAsia="仿宋"/>
          <w:color w:val="000000"/>
        </w:rPr>
        <w:t>7、亮度  ≥700Cd/m²</w:t>
      </w:r>
    </w:p>
    <w:p>
      <w:pPr>
        <w:spacing w:line="400" w:lineRule="exact"/>
        <w:rPr>
          <w:rFonts w:ascii="仿宋" w:hAnsi="仿宋" w:eastAsia="仿宋"/>
          <w:color w:val="000000"/>
        </w:rPr>
      </w:pPr>
      <w:r>
        <w:rPr>
          <w:rFonts w:hint="eastAsia" w:ascii="仿宋" w:hAnsi="仿宋" w:eastAsia="仿宋"/>
          <w:color w:val="000000"/>
        </w:rPr>
        <w:t>8、亮度均匀性 ≥98%</w:t>
      </w:r>
    </w:p>
    <w:p>
      <w:pPr>
        <w:spacing w:line="400" w:lineRule="exact"/>
        <w:rPr>
          <w:rFonts w:ascii="仿宋" w:hAnsi="仿宋" w:eastAsia="仿宋"/>
          <w:color w:val="000000"/>
        </w:rPr>
      </w:pPr>
      <w:r>
        <w:rPr>
          <w:rFonts w:hint="eastAsia" w:ascii="仿宋" w:hAnsi="仿宋" w:eastAsia="仿宋"/>
          <w:color w:val="000000"/>
        </w:rPr>
        <w:t>9、色度均匀性 ±0.002Cx、Cy内</w:t>
      </w:r>
    </w:p>
    <w:p>
      <w:pPr>
        <w:spacing w:line="400" w:lineRule="exact"/>
        <w:rPr>
          <w:rFonts w:ascii="仿宋" w:hAnsi="仿宋" w:eastAsia="仿宋"/>
          <w:color w:val="000000"/>
        </w:rPr>
      </w:pPr>
      <w:r>
        <w:rPr>
          <w:rFonts w:hint="eastAsia" w:ascii="仿宋" w:hAnsi="仿宋" w:eastAsia="仿宋"/>
          <w:color w:val="000000"/>
        </w:rPr>
        <w:t>10、宽色域 ≥120% NTSC</w:t>
      </w:r>
    </w:p>
    <w:p>
      <w:pPr>
        <w:spacing w:line="400" w:lineRule="exact"/>
        <w:rPr>
          <w:rFonts w:ascii="仿宋" w:hAnsi="仿宋" w:eastAsia="仿宋"/>
          <w:color w:val="000000"/>
        </w:rPr>
      </w:pPr>
      <w:r>
        <w:rPr>
          <w:rFonts w:hint="eastAsia" w:ascii="仿宋" w:hAnsi="仿宋" w:eastAsia="仿宋"/>
          <w:color w:val="000000"/>
        </w:rPr>
        <w:t>★11、色温  1000-18000K</w:t>
      </w:r>
    </w:p>
    <w:p>
      <w:pPr>
        <w:spacing w:line="400" w:lineRule="exact"/>
        <w:rPr>
          <w:rFonts w:ascii="仿宋" w:hAnsi="仿宋" w:eastAsia="仿宋"/>
          <w:color w:val="000000"/>
        </w:rPr>
      </w:pPr>
      <w:r>
        <w:rPr>
          <w:rFonts w:hint="eastAsia" w:ascii="仿宋" w:hAnsi="仿宋" w:eastAsia="仿宋"/>
          <w:color w:val="000000"/>
        </w:rPr>
        <w:t>12、色温误差 色温为6500K时，100%、75%、50%、25%四档电平白场调节色温误差≤200K</w:t>
      </w:r>
    </w:p>
    <w:p>
      <w:pPr>
        <w:spacing w:line="400" w:lineRule="exact"/>
        <w:rPr>
          <w:rFonts w:ascii="仿宋" w:hAnsi="仿宋" w:eastAsia="仿宋"/>
          <w:color w:val="000000"/>
        </w:rPr>
      </w:pPr>
      <w:r>
        <w:rPr>
          <w:rFonts w:hint="eastAsia" w:ascii="仿宋" w:hAnsi="仿宋" w:eastAsia="仿宋"/>
          <w:color w:val="000000"/>
        </w:rPr>
        <w:t>13、水平视角 ≥160°</w:t>
      </w:r>
    </w:p>
    <w:p>
      <w:pPr>
        <w:spacing w:line="400" w:lineRule="exact"/>
        <w:rPr>
          <w:rFonts w:ascii="仿宋" w:hAnsi="仿宋" w:eastAsia="仿宋"/>
          <w:color w:val="000000"/>
        </w:rPr>
      </w:pPr>
      <w:r>
        <w:rPr>
          <w:rFonts w:hint="eastAsia" w:ascii="仿宋" w:hAnsi="仿宋" w:eastAsia="仿宋"/>
          <w:color w:val="000000"/>
        </w:rPr>
        <w:t>14、垂直视角 ≥160°</w:t>
      </w:r>
    </w:p>
    <w:p>
      <w:pPr>
        <w:spacing w:line="400" w:lineRule="exact"/>
        <w:rPr>
          <w:rFonts w:ascii="仿宋" w:hAnsi="仿宋" w:eastAsia="仿宋"/>
          <w:color w:val="000000"/>
        </w:rPr>
      </w:pPr>
      <w:r>
        <w:rPr>
          <w:rFonts w:hint="eastAsia" w:ascii="仿宋" w:hAnsi="仿宋" w:eastAsia="仿宋"/>
          <w:color w:val="000000"/>
        </w:rPr>
        <w:t>15、对比度  ≥7000：1</w:t>
      </w:r>
    </w:p>
    <w:p>
      <w:pPr>
        <w:spacing w:line="400" w:lineRule="exact"/>
        <w:rPr>
          <w:rFonts w:ascii="仿宋" w:hAnsi="仿宋" w:eastAsia="仿宋"/>
          <w:color w:val="000000"/>
        </w:rPr>
      </w:pPr>
      <w:r>
        <w:rPr>
          <w:rFonts w:hint="eastAsia" w:ascii="仿宋" w:hAnsi="仿宋" w:eastAsia="仿宋"/>
          <w:color w:val="000000"/>
        </w:rPr>
        <w:t>16、灰度等级 采用16bit技术</w:t>
      </w:r>
    </w:p>
    <w:p>
      <w:pPr>
        <w:spacing w:line="400" w:lineRule="exact"/>
        <w:rPr>
          <w:rFonts w:ascii="仿宋" w:hAnsi="仿宋" w:eastAsia="仿宋"/>
          <w:color w:val="000000"/>
        </w:rPr>
      </w:pPr>
      <w:r>
        <w:rPr>
          <w:rFonts w:hint="eastAsia" w:ascii="仿宋" w:hAnsi="仿宋" w:eastAsia="仿宋"/>
          <w:color w:val="000000"/>
        </w:rPr>
        <w:t>17、显示颜色 ≥281.4trillion</w:t>
      </w:r>
    </w:p>
    <w:p>
      <w:pPr>
        <w:spacing w:line="400" w:lineRule="exact"/>
        <w:rPr>
          <w:rFonts w:ascii="仿宋" w:hAnsi="仿宋" w:eastAsia="仿宋"/>
          <w:color w:val="000000"/>
        </w:rPr>
      </w:pPr>
      <w:r>
        <w:rPr>
          <w:rFonts w:hint="eastAsia" w:ascii="仿宋" w:hAnsi="仿宋" w:eastAsia="仿宋"/>
          <w:color w:val="000000"/>
        </w:rPr>
        <w:t>18、低亮高灰 亮度为10%时，信号处理深度（灰度级数）达到14bit</w:t>
      </w:r>
    </w:p>
    <w:p>
      <w:pPr>
        <w:spacing w:line="400" w:lineRule="exact"/>
        <w:rPr>
          <w:rFonts w:ascii="仿宋" w:hAnsi="仿宋" w:eastAsia="仿宋"/>
          <w:color w:val="000000"/>
        </w:rPr>
      </w:pPr>
      <w:r>
        <w:rPr>
          <w:rFonts w:hint="eastAsia" w:ascii="仿宋" w:hAnsi="仿宋" w:eastAsia="仿宋"/>
          <w:color w:val="000000"/>
        </w:rPr>
        <w:t>19、低亮高刷 亮度为10%时，刷新率达到3840Hz</w:t>
      </w:r>
    </w:p>
    <w:p>
      <w:pPr>
        <w:spacing w:line="400" w:lineRule="exact"/>
        <w:rPr>
          <w:rFonts w:ascii="仿宋" w:hAnsi="仿宋" w:eastAsia="仿宋"/>
          <w:color w:val="000000"/>
        </w:rPr>
      </w:pPr>
      <w:r>
        <w:rPr>
          <w:rFonts w:hint="eastAsia" w:ascii="仿宋" w:hAnsi="仿宋" w:eastAsia="仿宋"/>
          <w:color w:val="000000"/>
        </w:rPr>
        <w:t>20、刷新率  刷新率达到3840Hz</w:t>
      </w:r>
    </w:p>
    <w:p>
      <w:pPr>
        <w:spacing w:line="400" w:lineRule="exact"/>
        <w:rPr>
          <w:rFonts w:ascii="仿宋" w:hAnsi="仿宋" w:eastAsia="仿宋"/>
          <w:color w:val="000000"/>
        </w:rPr>
      </w:pPr>
      <w:r>
        <w:rPr>
          <w:rFonts w:hint="eastAsia" w:ascii="仿宋" w:hAnsi="仿宋" w:eastAsia="仿宋"/>
          <w:color w:val="000000"/>
        </w:rPr>
        <w:t>21、像素失控率 &lt;0.01%</w:t>
      </w:r>
    </w:p>
    <w:p>
      <w:pPr>
        <w:spacing w:line="400" w:lineRule="exact"/>
        <w:rPr>
          <w:rFonts w:ascii="仿宋" w:hAnsi="仿宋" w:eastAsia="仿宋"/>
          <w:color w:val="000000"/>
        </w:rPr>
      </w:pPr>
      <w:r>
        <w:rPr>
          <w:rFonts w:hint="eastAsia" w:ascii="仿宋" w:hAnsi="仿宋" w:eastAsia="仿宋"/>
          <w:color w:val="000000"/>
        </w:rPr>
        <w:t>22、发光点中心偏距 ＜1%</w:t>
      </w:r>
    </w:p>
    <w:p>
      <w:pPr>
        <w:spacing w:line="400" w:lineRule="exact"/>
        <w:rPr>
          <w:rFonts w:ascii="仿宋" w:hAnsi="仿宋" w:eastAsia="仿宋"/>
          <w:color w:val="000000"/>
        </w:rPr>
      </w:pPr>
      <w:r>
        <w:rPr>
          <w:rFonts w:hint="eastAsia" w:ascii="仿宋" w:hAnsi="仿宋" w:eastAsia="仿宋"/>
          <w:color w:val="000000"/>
        </w:rPr>
        <w:t>23、反光率  反光率≤1.5%</w:t>
      </w:r>
    </w:p>
    <w:p>
      <w:pPr>
        <w:spacing w:line="400" w:lineRule="exact"/>
        <w:rPr>
          <w:rFonts w:ascii="仿宋" w:hAnsi="仿宋" w:eastAsia="仿宋"/>
          <w:color w:val="000000"/>
        </w:rPr>
      </w:pPr>
      <w:r>
        <w:rPr>
          <w:rFonts w:hint="eastAsia" w:ascii="仿宋" w:hAnsi="仿宋" w:eastAsia="仿宋"/>
          <w:color w:val="000000"/>
        </w:rPr>
        <w:t>★24、画面延时 ≤500ns（纳秒级）</w:t>
      </w:r>
    </w:p>
    <w:p>
      <w:pPr>
        <w:spacing w:line="400" w:lineRule="exact"/>
        <w:rPr>
          <w:rFonts w:ascii="仿宋" w:hAnsi="仿宋" w:eastAsia="仿宋"/>
          <w:color w:val="000000"/>
        </w:rPr>
      </w:pPr>
      <w:r>
        <w:rPr>
          <w:rFonts w:hint="eastAsia" w:ascii="仿宋" w:hAnsi="仿宋" w:eastAsia="仿宋"/>
          <w:color w:val="000000"/>
        </w:rPr>
        <w:t>★25、噪声  1m范围内，测试4个位置（前后左右）噪音不大于2dB</w:t>
      </w:r>
    </w:p>
    <w:p>
      <w:pPr>
        <w:spacing w:line="400" w:lineRule="exact"/>
        <w:rPr>
          <w:rFonts w:ascii="仿宋" w:hAnsi="仿宋" w:eastAsia="仿宋"/>
          <w:color w:val="000000"/>
        </w:rPr>
      </w:pPr>
      <w:r>
        <w:rPr>
          <w:rFonts w:hint="eastAsia" w:ascii="仿宋" w:hAnsi="仿宋" w:eastAsia="仿宋"/>
          <w:color w:val="000000"/>
        </w:rPr>
        <w:t>26、峰值功耗 ≤400W/m²</w:t>
      </w:r>
    </w:p>
    <w:p>
      <w:pPr>
        <w:spacing w:line="400" w:lineRule="exact"/>
        <w:rPr>
          <w:rFonts w:ascii="仿宋" w:hAnsi="仿宋" w:eastAsia="仿宋"/>
          <w:color w:val="000000"/>
        </w:rPr>
      </w:pPr>
      <w:r>
        <w:rPr>
          <w:rFonts w:hint="eastAsia" w:ascii="仿宋" w:hAnsi="仿宋" w:eastAsia="仿宋"/>
          <w:color w:val="000000"/>
        </w:rPr>
        <w:t>27、平均功耗 ≤160W/m²</w:t>
      </w:r>
    </w:p>
    <w:p>
      <w:pPr>
        <w:spacing w:line="400" w:lineRule="exact"/>
        <w:rPr>
          <w:rFonts w:ascii="仿宋" w:hAnsi="仿宋" w:eastAsia="仿宋"/>
          <w:color w:val="000000"/>
        </w:rPr>
      </w:pPr>
      <w:r>
        <w:rPr>
          <w:rFonts w:hint="eastAsia" w:ascii="仿宋" w:hAnsi="仿宋" w:eastAsia="仿宋"/>
          <w:color w:val="000000"/>
        </w:rPr>
        <w:t>28、电流增益 电流增益调节范围：1%～199%</w:t>
      </w:r>
    </w:p>
    <w:p>
      <w:pPr>
        <w:spacing w:line="400" w:lineRule="exact"/>
        <w:rPr>
          <w:rFonts w:ascii="仿宋" w:hAnsi="仿宋" w:eastAsia="仿宋"/>
          <w:color w:val="000000"/>
        </w:rPr>
      </w:pPr>
      <w:r>
        <w:rPr>
          <w:rFonts w:hint="eastAsia" w:ascii="仿宋" w:hAnsi="仿宋" w:eastAsia="仿宋"/>
          <w:color w:val="000000"/>
        </w:rPr>
        <w:t>★29、模组表面绝缘 绝缘电阻应为5000MΩ</w:t>
      </w:r>
    </w:p>
    <w:p>
      <w:pPr>
        <w:spacing w:line="400" w:lineRule="exact"/>
        <w:rPr>
          <w:rFonts w:ascii="仿宋" w:hAnsi="仿宋" w:eastAsia="仿宋"/>
          <w:color w:val="000000"/>
        </w:rPr>
      </w:pPr>
      <w:r>
        <w:rPr>
          <w:rFonts w:hint="eastAsia" w:ascii="仿宋" w:hAnsi="仿宋" w:eastAsia="仿宋"/>
          <w:color w:val="000000"/>
        </w:rPr>
        <w:t>30、漏电流  ≤0.5mA</w:t>
      </w:r>
    </w:p>
    <w:p>
      <w:pPr>
        <w:spacing w:line="400" w:lineRule="exact"/>
        <w:rPr>
          <w:rFonts w:ascii="仿宋" w:hAnsi="仿宋" w:eastAsia="仿宋"/>
          <w:color w:val="000000"/>
        </w:rPr>
      </w:pPr>
      <w:r>
        <w:rPr>
          <w:rFonts w:hint="eastAsia" w:ascii="仿宋" w:hAnsi="仿宋" w:eastAsia="仿宋"/>
          <w:color w:val="000000"/>
        </w:rPr>
        <w:t>31、能源效率 ≥2.4cd/W</w:t>
      </w:r>
    </w:p>
    <w:p>
      <w:pPr>
        <w:spacing w:line="400" w:lineRule="exact"/>
        <w:rPr>
          <w:rFonts w:ascii="仿宋" w:hAnsi="仿宋" w:eastAsia="仿宋"/>
          <w:color w:val="000000"/>
        </w:rPr>
      </w:pPr>
      <w:r>
        <w:rPr>
          <w:rFonts w:hint="eastAsia" w:ascii="仿宋" w:hAnsi="仿宋" w:eastAsia="仿宋"/>
          <w:color w:val="000000"/>
        </w:rPr>
        <w:t>32、睡眠功耗 ≤100 W/m²</w:t>
      </w:r>
    </w:p>
    <w:p>
      <w:pPr>
        <w:spacing w:line="400" w:lineRule="exact"/>
        <w:rPr>
          <w:rFonts w:ascii="仿宋" w:hAnsi="仿宋" w:eastAsia="仿宋"/>
          <w:color w:val="000000"/>
        </w:rPr>
      </w:pPr>
      <w:r>
        <w:rPr>
          <w:rFonts w:hint="eastAsia" w:ascii="仿宋" w:hAnsi="仿宋" w:eastAsia="仿宋"/>
          <w:color w:val="000000"/>
        </w:rPr>
        <w:t>33、机械强度 ≥30Mpa</w:t>
      </w:r>
    </w:p>
    <w:p>
      <w:pPr>
        <w:spacing w:line="400" w:lineRule="exact"/>
        <w:rPr>
          <w:rFonts w:ascii="仿宋" w:hAnsi="仿宋" w:eastAsia="仿宋"/>
          <w:color w:val="000000"/>
        </w:rPr>
      </w:pPr>
      <w:r>
        <w:rPr>
          <w:rFonts w:hint="eastAsia" w:ascii="仿宋" w:hAnsi="仿宋" w:eastAsia="仿宋"/>
          <w:color w:val="000000"/>
        </w:rPr>
        <w:t>34、抗拉强度 230Mpa</w:t>
      </w:r>
    </w:p>
    <w:p>
      <w:pPr>
        <w:spacing w:line="400" w:lineRule="exact"/>
        <w:rPr>
          <w:rFonts w:ascii="仿宋" w:hAnsi="仿宋" w:eastAsia="仿宋"/>
          <w:color w:val="000000"/>
        </w:rPr>
      </w:pPr>
      <w:r>
        <w:rPr>
          <w:rFonts w:hint="eastAsia" w:ascii="仿宋" w:hAnsi="仿宋" w:eastAsia="仿宋"/>
          <w:color w:val="000000"/>
        </w:rPr>
        <w:t>★35、屈服强度 170Mpa</w:t>
      </w:r>
    </w:p>
    <w:p>
      <w:pPr>
        <w:spacing w:line="400" w:lineRule="exact"/>
        <w:rPr>
          <w:rFonts w:ascii="仿宋" w:hAnsi="仿宋" w:eastAsia="仿宋"/>
          <w:color w:val="000000"/>
        </w:rPr>
      </w:pPr>
      <w:r>
        <w:rPr>
          <w:rFonts w:hint="eastAsia" w:ascii="仿宋" w:hAnsi="仿宋" w:eastAsia="仿宋"/>
          <w:color w:val="000000"/>
        </w:rPr>
        <w:t>36、图像质量 LED显示屏图像质量主观评价优、支持4K超清技术、HDR高动态光照渲染技术；符合LED显示屏绿色健康分级认证技术</w:t>
      </w:r>
    </w:p>
    <w:p>
      <w:pPr>
        <w:spacing w:line="400" w:lineRule="exact"/>
        <w:rPr>
          <w:rFonts w:ascii="仿宋" w:hAnsi="仿宋" w:eastAsia="仿宋"/>
          <w:color w:val="000000"/>
        </w:rPr>
      </w:pPr>
      <w:r>
        <w:rPr>
          <w:rFonts w:hint="eastAsia" w:ascii="仿宋" w:hAnsi="仿宋" w:eastAsia="仿宋"/>
          <w:color w:val="000000"/>
        </w:rPr>
        <w:t>★37、智能节能  产品采用高端芯片，可智能调节正常工作与睡眠状态下的节能效果（动态节能，智能息屏），开启节能功能比没有开启节能45%以上</w:t>
      </w:r>
    </w:p>
    <w:p>
      <w:pPr>
        <w:spacing w:line="400" w:lineRule="exact"/>
        <w:rPr>
          <w:rFonts w:ascii="仿宋" w:hAnsi="仿宋" w:eastAsia="仿宋"/>
          <w:color w:val="000000"/>
        </w:rPr>
      </w:pPr>
      <w:r>
        <w:rPr>
          <w:rFonts w:hint="eastAsia" w:ascii="仿宋" w:hAnsi="仿宋" w:eastAsia="仿宋"/>
          <w:color w:val="000000"/>
        </w:rPr>
        <w:t>★38、SELV电路  具备SELV电路</w:t>
      </w:r>
    </w:p>
    <w:p>
      <w:pPr>
        <w:spacing w:line="400" w:lineRule="exact"/>
        <w:rPr>
          <w:rFonts w:ascii="仿宋" w:hAnsi="仿宋" w:eastAsia="仿宋"/>
          <w:color w:val="000000"/>
        </w:rPr>
      </w:pPr>
      <w:r>
        <w:rPr>
          <w:rFonts w:hint="eastAsia" w:ascii="仿宋" w:hAnsi="仿宋" w:eastAsia="仿宋"/>
          <w:color w:val="000000"/>
        </w:rPr>
        <w:t>39、人眼视觉舒适度  VICO指数≤1</w:t>
      </w:r>
    </w:p>
    <w:p>
      <w:pPr>
        <w:spacing w:line="400" w:lineRule="exact"/>
        <w:rPr>
          <w:rFonts w:ascii="仿宋" w:hAnsi="仿宋" w:eastAsia="仿宋"/>
          <w:color w:val="000000"/>
        </w:rPr>
      </w:pPr>
      <w:r>
        <w:rPr>
          <w:rFonts w:hint="eastAsia" w:ascii="仿宋" w:hAnsi="仿宋" w:eastAsia="仿宋"/>
          <w:color w:val="000000"/>
        </w:rPr>
        <w:t>40、能耗对比  对LED显示屏进行节能对比，达到能效一级标准</w:t>
      </w:r>
    </w:p>
    <w:p>
      <w:pPr>
        <w:spacing w:line="400" w:lineRule="exact"/>
        <w:rPr>
          <w:rFonts w:ascii="仿宋" w:hAnsi="仿宋" w:eastAsia="仿宋"/>
          <w:color w:val="000000"/>
        </w:rPr>
      </w:pPr>
      <w:r>
        <w:rPr>
          <w:rFonts w:hint="eastAsia" w:ascii="仿宋" w:hAnsi="仿宋" w:eastAsia="仿宋"/>
          <w:color w:val="000000"/>
        </w:rPr>
        <w:t>41、电源线柔韧性  拉力≥10kgf</w:t>
      </w:r>
    </w:p>
    <w:p>
      <w:pPr>
        <w:spacing w:line="400" w:lineRule="exact"/>
        <w:rPr>
          <w:rFonts w:ascii="仿宋" w:hAnsi="仿宋" w:eastAsia="仿宋"/>
          <w:color w:val="000000"/>
        </w:rPr>
      </w:pPr>
      <w:r>
        <w:rPr>
          <w:rFonts w:hint="eastAsia" w:ascii="仿宋" w:hAnsi="仿宋" w:eastAsia="仿宋"/>
          <w:color w:val="000000"/>
        </w:rPr>
        <w:t>42、信号延迟   ≤2.5ns</w:t>
      </w:r>
    </w:p>
    <w:p>
      <w:pPr>
        <w:spacing w:line="400" w:lineRule="exact"/>
        <w:rPr>
          <w:rFonts w:ascii="仿宋" w:hAnsi="仿宋" w:eastAsia="仿宋"/>
          <w:color w:val="000000"/>
        </w:rPr>
      </w:pPr>
      <w:r>
        <w:rPr>
          <w:rFonts w:hint="eastAsia" w:ascii="仿宋" w:hAnsi="仿宋" w:eastAsia="仿宋"/>
          <w:color w:val="000000"/>
        </w:rPr>
        <w:t>43、抗震实验   符合抗震10级要求</w:t>
      </w:r>
    </w:p>
    <w:p>
      <w:pPr>
        <w:spacing w:line="400" w:lineRule="exact"/>
        <w:rPr>
          <w:rFonts w:ascii="仿宋" w:hAnsi="仿宋" w:eastAsia="仿宋"/>
          <w:color w:val="000000"/>
        </w:rPr>
      </w:pPr>
      <w:r>
        <w:rPr>
          <w:rFonts w:hint="eastAsia" w:ascii="仿宋" w:hAnsi="仿宋" w:eastAsia="仿宋"/>
          <w:color w:val="000000"/>
        </w:rPr>
        <w:t>44、灯管红墨水试验   纯红墨水常温浸泡24H，无渗透，灯管气密性良好</w:t>
      </w:r>
    </w:p>
    <w:p>
      <w:pPr>
        <w:spacing w:line="400" w:lineRule="exact"/>
        <w:rPr>
          <w:rFonts w:ascii="仿宋" w:hAnsi="仿宋" w:eastAsia="仿宋"/>
          <w:color w:val="000000"/>
        </w:rPr>
      </w:pPr>
    </w:p>
    <w:p>
      <w:pPr>
        <w:spacing w:line="400" w:lineRule="exact"/>
        <w:rPr>
          <w:rFonts w:ascii="仿宋" w:hAnsi="仿宋" w:eastAsia="仿宋"/>
          <w:color w:val="000000"/>
        </w:rPr>
      </w:pPr>
      <w:r>
        <w:rPr>
          <w:rFonts w:hint="eastAsia" w:ascii="仿宋" w:hAnsi="仿宋" w:eastAsia="仿宋"/>
          <w:color w:val="000000"/>
        </w:rPr>
        <w:t>以上标★技术参数指标，需提供由CNAS、ILAC-MRA认证的第三方专业机构出具的检测报告复印件，并加盖制造厂商公章.</w:t>
      </w:r>
    </w:p>
    <w:p>
      <w:pPr>
        <w:spacing w:line="400" w:lineRule="exact"/>
        <w:rPr>
          <w:rFonts w:ascii="仿宋" w:hAnsi="仿宋" w:eastAsia="仿宋"/>
          <w:color w:val="000000"/>
        </w:rPr>
      </w:pPr>
      <w:r>
        <w:rPr>
          <w:rFonts w:hint="eastAsia" w:ascii="仿宋" w:hAnsi="仿宋" w:eastAsia="仿宋"/>
          <w:color w:val="000000"/>
        </w:rPr>
        <w:t>★1、LED显示屏生产厂家提供针对本项目授权及售后服务承诺书.（提供有效的证书复印件，加盖制造商公章）</w:t>
      </w:r>
    </w:p>
    <w:p>
      <w:pPr>
        <w:spacing w:line="400" w:lineRule="exact"/>
        <w:rPr>
          <w:rFonts w:ascii="仿宋" w:hAnsi="仿宋" w:eastAsia="仿宋"/>
          <w:color w:val="000000"/>
        </w:rPr>
      </w:pPr>
      <w:r>
        <w:rPr>
          <w:rFonts w:hint="eastAsia" w:ascii="仿宋" w:hAnsi="仿宋" w:eastAsia="仿宋"/>
          <w:color w:val="000000"/>
        </w:rPr>
        <w:t>★2、生产厂商通过3C，CE,ROHS，FCC认证（提供有效的证书复印件，加盖制造商公章）</w:t>
      </w:r>
    </w:p>
    <w:p>
      <w:pPr>
        <w:spacing w:line="400" w:lineRule="exact"/>
        <w:rPr>
          <w:rFonts w:ascii="仿宋" w:hAnsi="仿宋" w:eastAsia="仿宋"/>
          <w:color w:val="000000"/>
        </w:rPr>
      </w:pPr>
      <w:r>
        <w:rPr>
          <w:rFonts w:hint="eastAsia" w:ascii="仿宋" w:hAnsi="仿宋" w:eastAsia="仿宋"/>
          <w:color w:val="000000"/>
        </w:rPr>
        <w:t>★3、为了保证设备的安全性能以及人身安全,LED显示屏需符合《电器电子产品有害物质限制使用自愿性认证实施规则》及CQC21-NV330-2019《电器电子产品有害物质限制使用认证实施细则》的要求（提供有效的证书复印件，加盖制造商公章）</w:t>
      </w:r>
    </w:p>
    <w:p>
      <w:pPr>
        <w:spacing w:line="400" w:lineRule="exact"/>
        <w:rPr>
          <w:rFonts w:ascii="仿宋" w:hAnsi="仿宋" w:eastAsia="仿宋"/>
          <w:color w:val="000000"/>
        </w:rPr>
      </w:pPr>
      <w:r>
        <w:rPr>
          <w:rFonts w:hint="eastAsia" w:ascii="仿宋" w:hAnsi="仿宋" w:eastAsia="仿宋"/>
          <w:color w:val="000000"/>
        </w:rPr>
        <w:t>★4、投标LED显示屏制造厂商为省级以上制造业单项冠军企业（提供证明文件复印件并加盖制造厂商公章</w:t>
      </w:r>
    </w:p>
    <w:p>
      <w:pPr>
        <w:spacing w:line="400" w:lineRule="exact"/>
        <w:rPr>
          <w:rFonts w:ascii="仿宋" w:hAnsi="仿宋" w:eastAsia="仿宋"/>
          <w:color w:val="000000"/>
        </w:rPr>
      </w:pPr>
      <w:r>
        <w:rPr>
          <w:rFonts w:hint="eastAsia" w:ascii="仿宋" w:hAnsi="仿宋" w:eastAsia="仿宋"/>
          <w:color w:val="000000"/>
        </w:rPr>
        <w:t>★5、投标LED显示屏制造商具有法检信息化（智慧政法）最佳创新驱动解决方案奖（提供有效的证书复印件，加盖制造商公章）</w:t>
      </w:r>
    </w:p>
    <w:p>
      <w:pPr>
        <w:spacing w:line="400" w:lineRule="exact"/>
        <w:rPr>
          <w:rFonts w:ascii="仿宋" w:hAnsi="仿宋" w:eastAsia="仿宋"/>
          <w:color w:val="000000"/>
        </w:rPr>
      </w:pPr>
      <w:r>
        <w:rPr>
          <w:rFonts w:hint="eastAsia" w:ascii="仿宋" w:hAnsi="仿宋" w:eastAsia="仿宋"/>
          <w:color w:val="000000"/>
        </w:rPr>
        <w:t>★6、LED显示屏制造厂商具有对单元板消隐控制电路的产品技术证书（提供有效的证书复印件，加盖制造商公章</w:t>
      </w:r>
    </w:p>
    <w:p>
      <w:pPr>
        <w:spacing w:line="400" w:lineRule="exact"/>
        <w:rPr>
          <w:rFonts w:ascii="仿宋" w:hAnsi="仿宋" w:eastAsia="仿宋"/>
          <w:color w:val="000000"/>
        </w:rPr>
      </w:pPr>
      <w:r>
        <w:rPr>
          <w:rFonts w:hint="eastAsia" w:ascii="仿宋" w:hAnsi="仿宋" w:eastAsia="仿宋"/>
          <w:color w:val="000000"/>
        </w:rPr>
        <w:t>★7、投标LED显示屏制造厂商获得国家绿色工厂名单（提供证明文件复印件并加盖制造厂商公章）</w:t>
      </w:r>
    </w:p>
    <w:p>
      <w:pPr>
        <w:spacing w:line="400" w:lineRule="exact"/>
        <w:rPr>
          <w:rFonts w:ascii="仿宋" w:hAnsi="仿宋" w:eastAsia="仿宋"/>
          <w:color w:val="000000"/>
        </w:rPr>
      </w:pPr>
      <w:r>
        <w:rPr>
          <w:rFonts w:hint="eastAsia" w:ascii="仿宋" w:hAnsi="仿宋" w:eastAsia="仿宋"/>
          <w:color w:val="000000"/>
        </w:rPr>
        <w:t>★8、投标LED显示屏制造厂商具有LED大显示智能换算系统软件著作权（提供证明文件复印件并加盖制造厂商公章）</w:t>
      </w:r>
    </w:p>
    <w:p>
      <w:pPr>
        <w:spacing w:line="400" w:lineRule="exact"/>
        <w:rPr>
          <w:rFonts w:ascii="仿宋" w:hAnsi="仿宋" w:eastAsia="仿宋"/>
          <w:color w:val="000000"/>
        </w:rPr>
      </w:pPr>
      <w:r>
        <w:rPr>
          <w:rFonts w:hint="eastAsia" w:ascii="仿宋" w:hAnsi="仿宋" w:eastAsia="仿宋"/>
          <w:color w:val="000000"/>
        </w:rPr>
        <w:t>★9、投标LED显示屏制造厂商具有LED亮暗线调节器控制软件软件著作权（提供证明文件复印件并加盖制造厂商公章）</w:t>
      </w:r>
    </w:p>
    <w:p>
      <w:pPr>
        <w:spacing w:line="400" w:lineRule="exact"/>
        <w:rPr>
          <w:rFonts w:ascii="仿宋" w:hAnsi="仿宋" w:eastAsia="仿宋"/>
          <w:color w:val="000000"/>
        </w:rPr>
      </w:pPr>
      <w:r>
        <w:rPr>
          <w:rFonts w:ascii="仿宋" w:hAnsi="仿宋" w:eastAsia="仿宋"/>
          <w:color w:val="000000"/>
        </w:rPr>
        <w:t>2</w:t>
      </w:r>
      <w:r>
        <w:rPr>
          <w:rFonts w:hint="eastAsia" w:ascii="仿宋" w:hAnsi="仿宋" w:eastAsia="仿宋"/>
          <w:color w:val="000000"/>
        </w:rPr>
        <w:t>.</w:t>
      </w:r>
      <w:r>
        <w:rPr>
          <w:rFonts w:ascii="仿宋" w:hAnsi="仿宋" w:eastAsia="仿宋"/>
          <w:bCs/>
          <w:color w:val="000000"/>
        </w:rPr>
        <w:t>视频处理器</w:t>
      </w:r>
      <w:r>
        <w:rPr>
          <w:rFonts w:hint="eastAsia" w:ascii="仿宋" w:hAnsi="仿宋" w:eastAsia="仿宋"/>
          <w:bCs/>
          <w:color w:val="000000"/>
        </w:rPr>
        <w:t>：一台</w:t>
      </w:r>
    </w:p>
    <w:p>
      <w:pPr>
        <w:spacing w:line="400" w:lineRule="exact"/>
        <w:rPr>
          <w:rFonts w:ascii="仿宋" w:hAnsi="仿宋" w:eastAsia="仿宋"/>
          <w:color w:val="000000"/>
        </w:rPr>
      </w:pPr>
      <w:r>
        <w:rPr>
          <w:rFonts w:hint="eastAsia" w:ascii="仿宋" w:hAnsi="仿宋" w:eastAsia="仿宋"/>
          <w:color w:val="000000"/>
        </w:rPr>
        <w:t>1.支持丰富的数字信号接口，包括1路SDI，1路HDMI，2路DVI；</w:t>
      </w:r>
    </w:p>
    <w:p>
      <w:pPr>
        <w:spacing w:line="400" w:lineRule="exact"/>
        <w:rPr>
          <w:rFonts w:ascii="仿宋" w:hAnsi="仿宋" w:eastAsia="仿宋"/>
          <w:color w:val="000000"/>
        </w:rPr>
      </w:pPr>
      <w:r>
        <w:rPr>
          <w:rFonts w:hint="eastAsia" w:ascii="仿宋" w:hAnsi="仿宋" w:eastAsia="仿宋"/>
          <w:color w:val="000000"/>
        </w:rPr>
        <w:t>2.最大输入分辨率1920*1200@60Hz，支持分辨率任意设置；</w:t>
      </w:r>
    </w:p>
    <w:p>
      <w:pPr>
        <w:spacing w:line="400" w:lineRule="exact"/>
        <w:rPr>
          <w:rFonts w:ascii="仿宋" w:hAnsi="仿宋" w:eastAsia="仿宋"/>
          <w:color w:val="000000"/>
        </w:rPr>
      </w:pPr>
      <w:r>
        <w:rPr>
          <w:rFonts w:hint="eastAsia" w:ascii="仿宋" w:hAnsi="仿宋" w:eastAsia="仿宋"/>
          <w:color w:val="000000"/>
        </w:rPr>
        <w:t>3.最大带载520万像素，最宽可达8192点，或最高可达4096点；</w:t>
      </w:r>
    </w:p>
    <w:p>
      <w:pPr>
        <w:spacing w:line="400" w:lineRule="exact"/>
        <w:rPr>
          <w:rFonts w:ascii="仿宋" w:hAnsi="仿宋" w:eastAsia="仿宋"/>
          <w:color w:val="000000"/>
        </w:rPr>
      </w:pPr>
      <w:r>
        <w:rPr>
          <w:rFonts w:hint="eastAsia" w:ascii="仿宋" w:hAnsi="仿宋" w:eastAsia="仿宋"/>
          <w:color w:val="000000"/>
        </w:rPr>
        <w:t>4.支持视频源任意切换，任意缩放；</w:t>
      </w:r>
    </w:p>
    <w:p>
      <w:pPr>
        <w:spacing w:line="400" w:lineRule="exact"/>
        <w:rPr>
          <w:rFonts w:ascii="仿宋" w:hAnsi="仿宋" w:eastAsia="仿宋"/>
          <w:color w:val="000000"/>
        </w:rPr>
      </w:pPr>
      <w:r>
        <w:rPr>
          <w:rFonts w:hint="eastAsia" w:ascii="仿宋" w:hAnsi="仿宋" w:eastAsia="仿宋"/>
          <w:color w:val="000000"/>
        </w:rPr>
        <w:t>5.支持三画面显示，位置、大小可自由调节；</w:t>
      </w:r>
    </w:p>
    <w:p>
      <w:pPr>
        <w:spacing w:line="400" w:lineRule="exact"/>
        <w:rPr>
          <w:rFonts w:ascii="仿宋" w:hAnsi="仿宋" w:eastAsia="仿宋"/>
          <w:color w:val="000000"/>
        </w:rPr>
      </w:pPr>
      <w:r>
        <w:rPr>
          <w:rFonts w:hint="eastAsia" w:ascii="仿宋" w:hAnsi="仿宋" w:eastAsia="仿宋"/>
          <w:color w:val="000000"/>
        </w:rPr>
        <w:t>6.支持HDCP1.4；</w:t>
      </w:r>
    </w:p>
    <w:p>
      <w:pPr>
        <w:spacing w:line="400" w:lineRule="exact"/>
        <w:rPr>
          <w:rFonts w:ascii="仿宋" w:hAnsi="仿宋" w:eastAsia="仿宋"/>
          <w:color w:val="000000"/>
        </w:rPr>
      </w:pPr>
      <w:r>
        <w:rPr>
          <w:rFonts w:hint="eastAsia" w:ascii="仿宋" w:hAnsi="仿宋" w:eastAsia="仿宋"/>
          <w:color w:val="000000"/>
        </w:rPr>
        <w:t>7.双USB2.0高速通讯接口，用于电脑调试和主控间任意级联；</w:t>
      </w:r>
    </w:p>
    <w:p>
      <w:pPr>
        <w:spacing w:line="400" w:lineRule="exact"/>
        <w:rPr>
          <w:rFonts w:ascii="仿宋" w:hAnsi="仿宋" w:eastAsia="仿宋"/>
          <w:color w:val="000000"/>
        </w:rPr>
      </w:pPr>
      <w:r>
        <w:rPr>
          <w:rFonts w:hint="eastAsia" w:ascii="仿宋" w:hAnsi="仿宋" w:eastAsia="仿宋"/>
          <w:color w:val="000000"/>
        </w:rPr>
        <w:t>8.支持亮度和色温调节；</w:t>
      </w:r>
    </w:p>
    <w:p>
      <w:pPr>
        <w:spacing w:line="400" w:lineRule="exact"/>
        <w:rPr>
          <w:rFonts w:ascii="仿宋" w:hAnsi="仿宋" w:eastAsia="仿宋"/>
          <w:color w:val="000000"/>
        </w:rPr>
      </w:pPr>
      <w:r>
        <w:rPr>
          <w:rFonts w:hint="eastAsia" w:ascii="仿宋" w:hAnsi="仿宋" w:eastAsia="仿宋"/>
          <w:color w:val="000000"/>
        </w:rPr>
        <w:t>9.支持低亮高灰；</w:t>
      </w:r>
    </w:p>
    <w:p>
      <w:pPr>
        <w:spacing w:line="400" w:lineRule="exact"/>
        <w:rPr>
          <w:rFonts w:ascii="仿宋" w:hAnsi="仿宋" w:eastAsia="仿宋"/>
          <w:color w:val="000000"/>
        </w:rPr>
      </w:pPr>
      <w:r>
        <w:rPr>
          <w:rFonts w:hint="eastAsia" w:ascii="仿宋" w:hAnsi="仿宋" w:eastAsia="仿宋"/>
          <w:color w:val="000000"/>
        </w:rPr>
        <w:t>★须提供设备生产商针对本项目的授权和售后服务承诺函（加盖厂家公章）。</w:t>
      </w:r>
    </w:p>
    <w:p>
      <w:pPr>
        <w:spacing w:line="400" w:lineRule="exact"/>
        <w:rPr>
          <w:rFonts w:ascii="仿宋" w:hAnsi="仿宋" w:eastAsia="仿宋"/>
          <w:color w:val="000000"/>
        </w:rPr>
      </w:pPr>
      <w:r>
        <w:rPr>
          <w:rFonts w:hint="eastAsia" w:ascii="仿宋" w:hAnsi="仿宋" w:eastAsia="仿宋"/>
          <w:color w:val="000000"/>
        </w:rPr>
        <w:t>★视频控制设备可支持250N恒定作用力，外部防护罩可承受250N+10N的恒定作用力持续5S（提供厂家盖公章CMA、CNAS第三方检测报告）</w:t>
      </w:r>
    </w:p>
    <w:p>
      <w:pPr>
        <w:spacing w:line="400" w:lineRule="exact"/>
        <w:rPr>
          <w:rFonts w:ascii="仿宋" w:hAnsi="仿宋" w:eastAsia="仿宋"/>
          <w:color w:val="000000"/>
        </w:rPr>
      </w:pPr>
      <w:r>
        <w:rPr>
          <w:rFonts w:hint="eastAsia" w:ascii="仿宋" w:hAnsi="仿宋" w:eastAsia="仿宋"/>
          <w:color w:val="000000"/>
        </w:rPr>
        <w:t>★通过该发送可调试显示屏的色域坐标显 示不同坐标值色温，进行精确颜色管理;可 任意改变 0-255 灰阶不同灰度值的亮度显示 并进行任意调节;色温调整精度在 100K 以 内   （提供厂家盖公章CMA、CNAS第三方检测报告）</w:t>
      </w:r>
    </w:p>
    <w:p>
      <w:pPr>
        <w:spacing w:line="400" w:lineRule="exact"/>
        <w:rPr>
          <w:rFonts w:ascii="仿宋" w:hAnsi="仿宋" w:eastAsia="仿宋"/>
          <w:color w:val="000000"/>
        </w:rPr>
      </w:pPr>
      <w:r>
        <w:rPr>
          <w:rFonts w:hint="eastAsia" w:ascii="仿宋" w:hAnsi="仿宋" w:eastAsia="仿宋"/>
          <w:color w:val="000000"/>
        </w:rPr>
        <w:t>★视频控制设备可支持EUT的连接方法（提供厂家盖公章CMA、CNAS第三方检测报告）</w:t>
      </w:r>
    </w:p>
    <w:p>
      <w:pPr>
        <w:spacing w:line="400" w:lineRule="exact"/>
        <w:rPr>
          <w:rFonts w:ascii="仿宋" w:hAnsi="仿宋" w:eastAsia="仿宋"/>
          <w:color w:val="000000"/>
        </w:rPr>
      </w:pPr>
      <w:r>
        <w:rPr>
          <w:rFonts w:hint="eastAsia" w:ascii="仿宋" w:hAnsi="仿宋" w:eastAsia="仿宋"/>
          <w:color w:val="000000"/>
        </w:rPr>
        <w:t>★在-20°C-60°C下，控制器所有功能打开且参数设置到最大依然能正常工作，一直连续开 断电处理，控制器依然可以正常启动工作， 机箱结构配合散热风扇达到很好的扇热效果</w:t>
      </w:r>
    </w:p>
    <w:p>
      <w:pPr>
        <w:spacing w:line="400" w:lineRule="exact"/>
        <w:rPr>
          <w:rFonts w:ascii="仿宋" w:hAnsi="仿宋" w:eastAsia="仿宋"/>
          <w:color w:val="000000"/>
        </w:rPr>
      </w:pPr>
      <w:r>
        <w:rPr>
          <w:rFonts w:hint="eastAsia" w:ascii="仿宋" w:hAnsi="仿宋" w:eastAsia="仿宋"/>
          <w:color w:val="000000"/>
        </w:rPr>
        <w:t>★为高效兼容交流电网电源的连接方式，视频控制设备可支持与交流电网电源的单独连接（提供厂家盖公章CMA、CNAS第三方检测报告）</w:t>
      </w:r>
    </w:p>
    <w:p>
      <w:pPr>
        <w:spacing w:line="400" w:lineRule="exact"/>
        <w:rPr>
          <w:rFonts w:ascii="仿宋" w:hAnsi="仿宋" w:eastAsia="仿宋"/>
          <w:color w:val="000000"/>
        </w:rPr>
      </w:pPr>
      <w:r>
        <w:rPr>
          <w:rFonts w:hint="eastAsia" w:ascii="仿宋" w:hAnsi="仿宋" w:eastAsia="仿宋"/>
          <w:color w:val="000000"/>
        </w:rPr>
        <w:t>★可在局域网内实现通过 web 控制设备，支持 Windows、macOS、Linux、麒麟系统、 Android、iOS 等系统平台，支持电脑、平板、 手机等多种硬件平台。 （提供厂家盖公章CMA、CNAS第三方检测报告）</w:t>
      </w:r>
    </w:p>
    <w:p>
      <w:pPr>
        <w:spacing w:line="400" w:lineRule="exact"/>
        <w:rPr>
          <w:rFonts w:ascii="仿宋" w:hAnsi="仿宋" w:eastAsia="仿宋"/>
          <w:color w:val="000000"/>
        </w:rPr>
      </w:pPr>
      <w:r>
        <w:rPr>
          <w:rFonts w:hint="eastAsia" w:ascii="仿宋" w:hAnsi="仿宋" w:eastAsia="仿宋"/>
          <w:color w:val="000000"/>
        </w:rPr>
        <w:t>★可稳定的兼容显卡，网络盒子，会议系统， 拼接器，DVD，信号发生器等多种信号源 （提供厂家盖公章CMA、CNAS第三方检测报告）</w:t>
      </w:r>
    </w:p>
    <w:p>
      <w:pPr>
        <w:spacing w:line="400" w:lineRule="exact"/>
        <w:rPr>
          <w:rFonts w:ascii="仿宋" w:hAnsi="仿宋" w:eastAsia="仿宋"/>
          <w:color w:val="000000"/>
        </w:rPr>
      </w:pPr>
    </w:p>
    <w:p>
      <w:pPr>
        <w:spacing w:line="400" w:lineRule="exact"/>
        <w:rPr>
          <w:rFonts w:ascii="仿宋" w:hAnsi="仿宋" w:eastAsia="仿宋"/>
          <w:color w:val="000000"/>
        </w:rPr>
      </w:pPr>
      <w:r>
        <w:rPr>
          <w:rFonts w:ascii="仿宋" w:hAnsi="仿宋" w:eastAsia="仿宋"/>
          <w:color w:val="000000"/>
        </w:rPr>
        <w:t>3</w:t>
      </w:r>
      <w:r>
        <w:rPr>
          <w:rFonts w:hint="eastAsia" w:ascii="仿宋" w:hAnsi="仿宋" w:eastAsia="仿宋"/>
          <w:color w:val="000000"/>
        </w:rPr>
        <w:t>.接收卡：</w:t>
      </w:r>
      <w:r>
        <w:rPr>
          <w:rFonts w:ascii="仿宋" w:hAnsi="仿宋" w:eastAsia="仿宋"/>
          <w:color w:val="000000"/>
        </w:rPr>
        <w:t>32</w:t>
      </w:r>
      <w:r>
        <w:rPr>
          <w:rFonts w:hint="eastAsia" w:ascii="仿宋" w:hAnsi="仿宋" w:eastAsia="仿宋"/>
          <w:color w:val="000000"/>
        </w:rPr>
        <w:t>张</w:t>
      </w:r>
    </w:p>
    <w:p>
      <w:pPr>
        <w:spacing w:line="400" w:lineRule="exact"/>
        <w:rPr>
          <w:rFonts w:ascii="仿宋" w:hAnsi="仿宋" w:eastAsia="仿宋"/>
          <w:color w:val="000000"/>
        </w:rPr>
      </w:pPr>
      <w:r>
        <w:rPr>
          <w:rFonts w:ascii="仿宋" w:hAnsi="仿宋" w:eastAsia="仿宋"/>
          <w:color w:val="000000"/>
        </w:rPr>
        <w:t>1.</w:t>
      </w:r>
      <w:r>
        <w:rPr>
          <w:rFonts w:hint="eastAsia" w:ascii="仿宋" w:hAnsi="仿宋" w:eastAsia="仿宋"/>
          <w:color w:val="000000"/>
        </w:rPr>
        <w:t>集成HUB75，无需再配转接板，更方便，成本更低</w:t>
      </w:r>
    </w:p>
    <w:p>
      <w:pPr>
        <w:spacing w:line="400" w:lineRule="exact"/>
        <w:rPr>
          <w:rFonts w:ascii="仿宋" w:hAnsi="仿宋" w:eastAsia="仿宋"/>
          <w:color w:val="000000"/>
        </w:rPr>
      </w:pPr>
      <w:r>
        <w:rPr>
          <w:rFonts w:hint="eastAsia" w:ascii="仿宋" w:hAnsi="仿宋" w:eastAsia="仿宋"/>
          <w:color w:val="000000"/>
        </w:rPr>
        <w:t>2.减少接插连接件，减少故障点，故障率更低</w:t>
      </w:r>
    </w:p>
    <w:p>
      <w:pPr>
        <w:spacing w:line="400" w:lineRule="exact"/>
        <w:rPr>
          <w:rFonts w:ascii="仿宋" w:hAnsi="仿宋" w:eastAsia="仿宋"/>
          <w:color w:val="000000"/>
        </w:rPr>
      </w:pPr>
      <w:r>
        <w:rPr>
          <w:rFonts w:hint="eastAsia" w:ascii="仿宋" w:hAnsi="仿宋" w:eastAsia="仿宋"/>
          <w:color w:val="000000"/>
        </w:rPr>
        <w:t>3.支持常规芯片实现高刷新、高灰度、高亮度</w:t>
      </w:r>
    </w:p>
    <w:p>
      <w:pPr>
        <w:spacing w:line="400" w:lineRule="exact"/>
        <w:rPr>
          <w:rFonts w:ascii="仿宋" w:hAnsi="仿宋" w:eastAsia="仿宋"/>
          <w:color w:val="000000"/>
        </w:rPr>
      </w:pPr>
      <w:r>
        <w:rPr>
          <w:rFonts w:hint="eastAsia" w:ascii="仿宋" w:hAnsi="仿宋" w:eastAsia="仿宋"/>
          <w:color w:val="000000"/>
        </w:rPr>
        <w:t>4.全新灰度引擎，低灰度表现更佳</w:t>
      </w:r>
    </w:p>
    <w:p>
      <w:pPr>
        <w:spacing w:line="400" w:lineRule="exact"/>
        <w:rPr>
          <w:rFonts w:ascii="仿宋" w:hAnsi="仿宋" w:eastAsia="仿宋"/>
          <w:color w:val="000000"/>
        </w:rPr>
      </w:pPr>
      <w:r>
        <w:rPr>
          <w:rFonts w:hint="eastAsia" w:ascii="仿宋" w:hAnsi="仿宋" w:eastAsia="仿宋"/>
          <w:color w:val="000000"/>
        </w:rPr>
        <w:t>5.细节处理更完美，可消除单元板设计引起的某行偏暗、低灰偏红、鬼影等问题</w:t>
      </w:r>
    </w:p>
    <w:p>
      <w:pPr>
        <w:spacing w:line="400" w:lineRule="exact"/>
        <w:rPr>
          <w:rFonts w:ascii="仿宋" w:hAnsi="仿宋" w:eastAsia="仿宋"/>
          <w:color w:val="000000"/>
        </w:rPr>
      </w:pPr>
      <w:r>
        <w:rPr>
          <w:rFonts w:hint="eastAsia" w:ascii="仿宋" w:hAnsi="仿宋" w:eastAsia="仿宋"/>
          <w:color w:val="000000"/>
        </w:rPr>
        <w:t>6.支持高精度的色度、亮度一体化逐点校正</w:t>
      </w:r>
    </w:p>
    <w:p>
      <w:pPr>
        <w:spacing w:line="400" w:lineRule="exact"/>
        <w:rPr>
          <w:rFonts w:ascii="仿宋" w:hAnsi="仿宋" w:eastAsia="仿宋"/>
          <w:color w:val="000000"/>
        </w:rPr>
      </w:pPr>
      <w:r>
        <w:rPr>
          <w:rFonts w:hint="eastAsia" w:ascii="仿宋" w:hAnsi="仿宋" w:eastAsia="仿宋"/>
          <w:color w:val="000000"/>
        </w:rPr>
        <w:t>7.支持市场主流的常规芯片、PWM芯片、士兰芯片</w:t>
      </w:r>
    </w:p>
    <w:p>
      <w:pPr>
        <w:spacing w:line="400" w:lineRule="exact"/>
        <w:rPr>
          <w:rFonts w:ascii="仿宋" w:hAnsi="仿宋" w:eastAsia="仿宋"/>
          <w:color w:val="000000"/>
        </w:rPr>
      </w:pPr>
      <w:r>
        <w:rPr>
          <w:rFonts w:hint="eastAsia" w:ascii="仿宋" w:hAnsi="仿宋" w:eastAsia="仿宋"/>
          <w:color w:val="000000"/>
        </w:rPr>
        <w:t>8.支持静态到128扫之间的任意扫描类型</w:t>
      </w:r>
    </w:p>
    <w:p>
      <w:pPr>
        <w:spacing w:line="400" w:lineRule="exact"/>
        <w:rPr>
          <w:rFonts w:ascii="仿宋" w:hAnsi="仿宋" w:eastAsia="仿宋"/>
          <w:color w:val="000000"/>
        </w:rPr>
      </w:pPr>
      <w:r>
        <w:rPr>
          <w:rFonts w:hint="eastAsia" w:ascii="仿宋" w:hAnsi="仿宋" w:eastAsia="仿宋"/>
          <w:color w:val="000000"/>
        </w:rPr>
        <w:t>9.支持任意抽点，支持数据组偏移，可轻松实现各种异型屏、球形屏、创意显示屏</w:t>
      </w:r>
    </w:p>
    <w:p>
      <w:pPr>
        <w:spacing w:line="400" w:lineRule="exact"/>
        <w:rPr>
          <w:rFonts w:ascii="仿宋" w:hAnsi="仿宋" w:eastAsia="仿宋"/>
          <w:color w:val="000000"/>
        </w:rPr>
      </w:pPr>
      <w:r>
        <w:rPr>
          <w:rFonts w:hint="eastAsia" w:ascii="仿宋" w:hAnsi="仿宋" w:eastAsia="仿宋"/>
          <w:color w:val="000000"/>
        </w:rPr>
        <w:t>10.支持任意抽行抽列</w:t>
      </w:r>
    </w:p>
    <w:p>
      <w:pPr>
        <w:spacing w:line="400" w:lineRule="exact"/>
        <w:rPr>
          <w:rFonts w:ascii="仿宋" w:hAnsi="仿宋" w:eastAsia="仿宋"/>
          <w:color w:val="000000"/>
        </w:rPr>
      </w:pPr>
      <w:r>
        <w:rPr>
          <w:rFonts w:hint="eastAsia" w:ascii="仿宋" w:hAnsi="仿宋" w:eastAsia="仿宋"/>
          <w:color w:val="000000"/>
        </w:rPr>
        <w:t>11.支持箱体标定标序</w:t>
      </w:r>
    </w:p>
    <w:p>
      <w:pPr>
        <w:spacing w:line="400" w:lineRule="exact"/>
        <w:rPr>
          <w:rFonts w:ascii="仿宋" w:hAnsi="仿宋" w:eastAsia="仿宋"/>
          <w:color w:val="000000"/>
        </w:rPr>
      </w:pPr>
      <w:r>
        <w:rPr>
          <w:rFonts w:hint="eastAsia" w:ascii="仿宋" w:hAnsi="仿宋" w:eastAsia="仿宋"/>
          <w:color w:val="000000"/>
        </w:rPr>
        <w:t>12.单卡支持16组RGB信号输出</w:t>
      </w:r>
    </w:p>
    <w:p>
      <w:pPr>
        <w:spacing w:line="400" w:lineRule="exact"/>
        <w:rPr>
          <w:rFonts w:ascii="仿宋" w:hAnsi="仿宋" w:eastAsia="仿宋"/>
          <w:color w:val="000000"/>
        </w:rPr>
      </w:pPr>
      <w:r>
        <w:rPr>
          <w:rFonts w:hint="eastAsia" w:ascii="仿宋" w:hAnsi="仿宋" w:eastAsia="仿宋"/>
          <w:color w:val="000000"/>
        </w:rPr>
        <w:t>13.支持超大带载面积</w:t>
      </w:r>
    </w:p>
    <w:p>
      <w:pPr>
        <w:spacing w:line="400" w:lineRule="exact"/>
        <w:rPr>
          <w:rFonts w:ascii="仿宋" w:hAnsi="仿宋" w:eastAsia="仿宋"/>
          <w:color w:val="000000"/>
        </w:rPr>
      </w:pPr>
      <w:r>
        <w:rPr>
          <w:rFonts w:hint="eastAsia" w:ascii="仿宋" w:hAnsi="仿宋" w:eastAsia="仿宋"/>
          <w:color w:val="000000"/>
        </w:rPr>
        <w:t>14.支持DC3.8V~5.5V超宽工作电压</w:t>
      </w:r>
    </w:p>
    <w:p>
      <w:pPr>
        <w:spacing w:line="400" w:lineRule="exact"/>
        <w:rPr>
          <w:rFonts w:ascii="仿宋" w:hAnsi="仿宋" w:eastAsia="仿宋"/>
          <w:color w:val="000000"/>
        </w:rPr>
      </w:pPr>
      <w:r>
        <w:rPr>
          <w:rFonts w:hint="eastAsia" w:ascii="仿宋" w:hAnsi="仿宋" w:eastAsia="仿宋"/>
          <w:color w:val="000000"/>
        </w:rPr>
        <w:t>15.运输及存储温度为-40℃至125℃</w:t>
      </w:r>
    </w:p>
    <w:p>
      <w:pPr>
        <w:spacing w:line="400" w:lineRule="exact"/>
        <w:rPr>
          <w:rFonts w:ascii="仿宋" w:hAnsi="仿宋" w:eastAsia="仿宋"/>
          <w:color w:val="000000"/>
        </w:rPr>
      </w:pPr>
      <w:r>
        <w:rPr>
          <w:rFonts w:hint="eastAsia" w:ascii="仿宋" w:hAnsi="仿宋" w:eastAsia="仿宋"/>
          <w:color w:val="000000"/>
        </w:rPr>
        <w:t>16.工作温度范围为-25℃至75℃</w:t>
      </w:r>
    </w:p>
    <w:p>
      <w:pPr>
        <w:spacing w:line="400" w:lineRule="exact"/>
        <w:rPr>
          <w:rFonts w:ascii="仿宋" w:hAnsi="仿宋" w:eastAsia="仿宋"/>
          <w:color w:val="000000"/>
        </w:rPr>
      </w:pPr>
      <w:r>
        <w:rPr>
          <w:rFonts w:hint="eastAsia" w:ascii="仿宋" w:hAnsi="仿宋" w:eastAsia="仿宋"/>
          <w:color w:val="000000"/>
        </w:rPr>
        <w:t>★提供厂家售后服务承诺书和项目授权书；</w:t>
      </w:r>
    </w:p>
    <w:p>
      <w:pPr>
        <w:spacing w:line="400" w:lineRule="exact"/>
        <w:rPr>
          <w:rFonts w:ascii="仿宋" w:hAnsi="仿宋" w:eastAsia="仿宋"/>
          <w:color w:val="000000"/>
        </w:rPr>
      </w:pPr>
      <w:r>
        <w:rPr>
          <w:rFonts w:hint="eastAsia" w:ascii="仿宋" w:hAnsi="仿宋" w:eastAsia="仿宋"/>
          <w:color w:val="000000"/>
        </w:rPr>
        <w:t>★大屏幕参数设置必须提供国家新闻出版广电总局、广播电视规划院、广播电视计量检测中心检测报告；</w:t>
      </w:r>
    </w:p>
    <w:p>
      <w:pPr>
        <w:spacing w:line="400" w:lineRule="exact"/>
        <w:rPr>
          <w:rFonts w:ascii="仿宋" w:hAnsi="仿宋" w:eastAsia="仿宋"/>
          <w:color w:val="000000"/>
        </w:rPr>
      </w:pPr>
      <w:r>
        <w:rPr>
          <w:rFonts w:hint="eastAsia" w:ascii="仿宋" w:hAnsi="仿宋" w:eastAsia="仿宋"/>
          <w:color w:val="000000"/>
        </w:rPr>
        <w:t>★为保证接收卡能够持久运行，需具有电击和能量危险的防护（并提供CMA、CNAS、ilac-MRA的第三方厂家盖章检测报告）</w:t>
      </w:r>
    </w:p>
    <w:p>
      <w:pPr>
        <w:spacing w:line="400" w:lineRule="exact"/>
        <w:rPr>
          <w:rFonts w:ascii="仿宋" w:hAnsi="仿宋" w:eastAsia="仿宋"/>
          <w:color w:val="000000"/>
        </w:rPr>
      </w:pPr>
    </w:p>
    <w:p>
      <w:pPr>
        <w:spacing w:line="400" w:lineRule="exact"/>
        <w:rPr>
          <w:rFonts w:ascii="仿宋" w:hAnsi="仿宋" w:eastAsia="仿宋"/>
          <w:bCs/>
          <w:color w:val="000000"/>
        </w:rPr>
      </w:pPr>
      <w:r>
        <w:rPr>
          <w:rFonts w:ascii="仿宋" w:hAnsi="仿宋" w:eastAsia="仿宋"/>
          <w:color w:val="000000"/>
        </w:rPr>
        <w:t>4</w:t>
      </w:r>
      <w:r>
        <w:rPr>
          <w:rFonts w:hint="eastAsia" w:ascii="仿宋" w:hAnsi="仿宋" w:eastAsia="仿宋"/>
          <w:bCs/>
          <w:color w:val="000000"/>
        </w:rPr>
        <w:t>.</w:t>
      </w:r>
      <w:r>
        <w:rPr>
          <w:rFonts w:ascii="仿宋" w:hAnsi="仿宋" w:eastAsia="仿宋"/>
          <w:bCs/>
          <w:color w:val="000000"/>
        </w:rPr>
        <w:t>配电柜</w:t>
      </w:r>
      <w:r>
        <w:rPr>
          <w:rFonts w:hint="eastAsia" w:ascii="仿宋" w:hAnsi="仿宋" w:eastAsia="仿宋"/>
          <w:bCs/>
          <w:color w:val="000000"/>
        </w:rPr>
        <w:t>：一台</w:t>
      </w:r>
    </w:p>
    <w:p>
      <w:pPr>
        <w:spacing w:line="400" w:lineRule="exact"/>
        <w:rPr>
          <w:rFonts w:ascii="仿宋" w:hAnsi="仿宋" w:eastAsia="仿宋"/>
          <w:color w:val="000000"/>
        </w:rPr>
      </w:pPr>
      <w:r>
        <w:rPr>
          <w:rFonts w:hint="eastAsia" w:ascii="仿宋" w:hAnsi="仿宋" w:eastAsia="仿宋"/>
          <w:color w:val="000000"/>
        </w:rPr>
        <w:t>（1）</w:t>
      </w:r>
      <w:r>
        <w:rPr>
          <w:rFonts w:ascii="仿宋" w:hAnsi="仿宋" w:eastAsia="仿宋"/>
          <w:color w:val="000000"/>
        </w:rPr>
        <w:t>采用12KW配电柜给大屏设备供电需按照标准网络机房供电标准设计安装供电，分路供电，时序控制。电源供电二级防雷，设备、保护地分开，整个大屏接地系统接入大楼接地系统，关键信息设备端口防雷措施；</w:t>
      </w:r>
    </w:p>
    <w:p>
      <w:pPr>
        <w:spacing w:line="400" w:lineRule="exact"/>
        <w:rPr>
          <w:rFonts w:ascii="仿宋" w:hAnsi="仿宋" w:eastAsia="仿宋"/>
          <w:color w:val="000000"/>
        </w:rPr>
      </w:pPr>
      <w:r>
        <w:rPr>
          <w:rFonts w:hint="eastAsia" w:ascii="仿宋" w:hAnsi="仿宋" w:eastAsia="仿宋"/>
          <w:color w:val="000000"/>
        </w:rPr>
        <w:t>（2）</w:t>
      </w:r>
      <w:r>
        <w:rPr>
          <w:rFonts w:ascii="仿宋" w:hAnsi="仿宋" w:eastAsia="仿宋"/>
          <w:color w:val="000000"/>
        </w:rPr>
        <w:t>防护功能：具有防静电、抗震动、防电磁干扰、抗雷击等功能，具有电源过压、过流、断电保护；</w:t>
      </w:r>
    </w:p>
    <w:p>
      <w:pPr>
        <w:spacing w:line="400" w:lineRule="exact"/>
        <w:rPr>
          <w:rFonts w:ascii="仿宋" w:hAnsi="仿宋" w:eastAsia="仿宋"/>
          <w:color w:val="000000"/>
        </w:rPr>
      </w:pPr>
    </w:p>
    <w:p>
      <w:pPr>
        <w:spacing w:line="400" w:lineRule="exact"/>
        <w:rPr>
          <w:rFonts w:ascii="仿宋" w:hAnsi="仿宋" w:eastAsia="仿宋"/>
          <w:color w:val="000000"/>
        </w:rPr>
      </w:pPr>
      <w:r>
        <w:rPr>
          <w:rFonts w:ascii="仿宋" w:hAnsi="仿宋" w:eastAsia="仿宋"/>
          <w:color w:val="000000"/>
        </w:rPr>
        <w:t>5</w:t>
      </w:r>
      <w:r>
        <w:rPr>
          <w:rFonts w:hint="eastAsia" w:ascii="仿宋" w:hAnsi="仿宋" w:eastAsia="仿宋"/>
          <w:color w:val="000000"/>
        </w:rPr>
        <w:t>，</w:t>
      </w:r>
      <w:r>
        <w:rPr>
          <w:rFonts w:ascii="仿宋" w:hAnsi="仿宋" w:eastAsia="仿宋"/>
          <w:color w:val="000000"/>
        </w:rPr>
        <w:t>钢结构</w:t>
      </w:r>
      <w:r>
        <w:rPr>
          <w:rFonts w:hint="eastAsia" w:ascii="仿宋" w:hAnsi="仿宋" w:eastAsia="仿宋"/>
          <w:color w:val="000000"/>
        </w:rPr>
        <w:t xml:space="preserve">  </w:t>
      </w:r>
      <w:r>
        <w:rPr>
          <w:rFonts w:ascii="仿宋" w:hAnsi="仿宋" w:eastAsia="仿宋"/>
          <w:color w:val="000000"/>
        </w:rPr>
        <w:t>11.12</w:t>
      </w:r>
      <w:r>
        <w:rPr>
          <w:rFonts w:hint="eastAsia" w:ascii="仿宋" w:hAnsi="仿宋" w:eastAsia="仿宋"/>
          <w:color w:val="000000"/>
        </w:rPr>
        <w:t>平米</w:t>
      </w:r>
    </w:p>
    <w:p>
      <w:pPr>
        <w:spacing w:line="400" w:lineRule="exact"/>
        <w:rPr>
          <w:rFonts w:ascii="仿宋" w:hAnsi="仿宋" w:eastAsia="仿宋"/>
          <w:color w:val="000000"/>
        </w:rPr>
      </w:pPr>
      <w:r>
        <w:rPr>
          <w:rFonts w:ascii="仿宋" w:hAnsi="仿宋" w:eastAsia="仿宋"/>
          <w:color w:val="000000"/>
        </w:rPr>
        <w:t>LED高清屏幕采用水平安装（具体依照现场条件确定），安装结构能满足LED高清显示屏的整体均匀平滑要求，结构便于安装和调试。</w:t>
      </w:r>
    </w:p>
    <w:p>
      <w:pPr>
        <w:spacing w:line="400" w:lineRule="exact"/>
        <w:rPr>
          <w:rFonts w:ascii="仿宋" w:hAnsi="仿宋" w:eastAsia="仿宋"/>
          <w:color w:val="000000"/>
        </w:rPr>
      </w:pPr>
    </w:p>
    <w:p>
      <w:pPr>
        <w:spacing w:line="400" w:lineRule="exact"/>
        <w:rPr>
          <w:rFonts w:ascii="仿宋" w:hAnsi="仿宋" w:eastAsia="仿宋"/>
          <w:color w:val="000000"/>
        </w:rPr>
      </w:pPr>
      <w:r>
        <w:rPr>
          <w:rFonts w:ascii="仿宋" w:hAnsi="仿宋" w:eastAsia="仿宋"/>
          <w:color w:val="000000"/>
        </w:rPr>
        <w:t>6</w:t>
      </w:r>
      <w:r>
        <w:rPr>
          <w:rFonts w:hint="eastAsia" w:ascii="仿宋" w:hAnsi="仿宋" w:eastAsia="仿宋"/>
          <w:color w:val="000000"/>
        </w:rPr>
        <w:t>.</w:t>
      </w:r>
      <w:r>
        <w:rPr>
          <w:rFonts w:ascii="仿宋" w:hAnsi="仿宋" w:eastAsia="仿宋"/>
          <w:color w:val="000000"/>
        </w:rPr>
        <w:t>线缆</w:t>
      </w:r>
      <w:r>
        <w:rPr>
          <w:rFonts w:hint="eastAsia" w:ascii="仿宋" w:hAnsi="仿宋" w:eastAsia="仿宋"/>
          <w:color w:val="000000"/>
        </w:rPr>
        <w:t>：一项</w:t>
      </w:r>
    </w:p>
    <w:p>
      <w:pPr>
        <w:spacing w:line="400" w:lineRule="exact"/>
        <w:rPr>
          <w:rFonts w:ascii="仿宋" w:hAnsi="仿宋" w:eastAsia="仿宋"/>
          <w:color w:val="000000"/>
        </w:rPr>
      </w:pPr>
      <w:r>
        <w:rPr>
          <w:rFonts w:ascii="仿宋" w:hAnsi="仿宋" w:eastAsia="仿宋"/>
          <w:color w:val="000000"/>
        </w:rPr>
        <w:t>各类视频、音频线缆、电源线、信号传输线缆、网线、HDMI线，管道、桥架等制作安装,投标人综合考虑计入报价。</w:t>
      </w:r>
    </w:p>
    <w:p>
      <w:pPr>
        <w:spacing w:line="400" w:lineRule="exact"/>
        <w:rPr>
          <w:rFonts w:ascii="仿宋" w:hAnsi="仿宋" w:eastAsia="仿宋"/>
          <w:color w:val="000000"/>
        </w:rPr>
      </w:pPr>
      <w:r>
        <w:rPr>
          <w:rFonts w:ascii="仿宋" w:hAnsi="仿宋" w:eastAsia="仿宋"/>
          <w:color w:val="000000"/>
        </w:rPr>
        <w:t>项</w:t>
      </w:r>
    </w:p>
    <w:p>
      <w:pPr>
        <w:spacing w:line="400" w:lineRule="exact"/>
        <w:rPr>
          <w:rFonts w:ascii="仿宋" w:hAnsi="仿宋" w:eastAsia="仿宋"/>
          <w:color w:val="000000"/>
        </w:rPr>
      </w:pPr>
      <w:r>
        <w:rPr>
          <w:rFonts w:hint="eastAsia" w:ascii="仿宋" w:hAnsi="仿宋" w:eastAsia="仿宋"/>
          <w:color w:val="000000"/>
        </w:rPr>
        <w:t>7.电视机：</w:t>
      </w:r>
      <w:r>
        <w:rPr>
          <w:rFonts w:ascii="仿宋" w:hAnsi="仿宋" w:eastAsia="仿宋"/>
          <w:color w:val="000000"/>
        </w:rPr>
        <w:t>2</w:t>
      </w:r>
      <w:r>
        <w:rPr>
          <w:rFonts w:hint="eastAsia" w:ascii="仿宋" w:hAnsi="仿宋" w:eastAsia="仿宋"/>
          <w:color w:val="000000"/>
        </w:rPr>
        <w:t>台</w:t>
      </w:r>
    </w:p>
    <w:p>
      <w:pPr>
        <w:pStyle w:val="67"/>
        <w:spacing w:line="400" w:lineRule="exact"/>
        <w:ind w:left="420" w:firstLine="0" w:firstLineChars="0"/>
        <w:rPr>
          <w:rFonts w:ascii="仿宋" w:hAnsi="仿宋" w:eastAsia="仿宋"/>
          <w:color w:val="000000"/>
        </w:rPr>
      </w:pPr>
      <w:r>
        <w:rPr>
          <w:rFonts w:hint="eastAsia" w:ascii="仿宋" w:hAnsi="仿宋" w:eastAsia="仿宋"/>
          <w:color w:val="000000"/>
        </w:rPr>
        <w:t>尺寸：≥</w:t>
      </w:r>
      <w:r>
        <w:rPr>
          <w:rFonts w:ascii="仿宋" w:hAnsi="仿宋" w:eastAsia="仿宋"/>
          <w:color w:val="000000"/>
        </w:rPr>
        <w:t>85</w:t>
      </w:r>
      <w:r>
        <w:rPr>
          <w:rFonts w:hint="eastAsia" w:ascii="仿宋" w:hAnsi="仿宋" w:eastAsia="仿宋"/>
          <w:color w:val="000000"/>
        </w:rPr>
        <w:t>英寸</w:t>
      </w:r>
    </w:p>
    <w:p>
      <w:pPr>
        <w:pStyle w:val="67"/>
        <w:spacing w:line="400" w:lineRule="exact"/>
        <w:ind w:left="420" w:firstLine="0" w:firstLineChars="0"/>
        <w:rPr>
          <w:rFonts w:ascii="仿宋" w:hAnsi="仿宋" w:eastAsia="仿宋"/>
          <w:color w:val="000000"/>
        </w:rPr>
      </w:pPr>
      <w:r>
        <w:rPr>
          <w:rFonts w:hint="eastAsia" w:ascii="仿宋" w:hAnsi="仿宋" w:eastAsia="仿宋"/>
          <w:color w:val="000000"/>
        </w:rPr>
        <w:t>显示屏：</w:t>
      </w:r>
      <w:r>
        <w:rPr>
          <w:rFonts w:ascii="仿宋" w:hAnsi="仿宋" w:eastAsia="仿宋"/>
          <w:color w:val="000000"/>
        </w:rPr>
        <w:t>LED</w:t>
      </w:r>
    </w:p>
    <w:p>
      <w:pPr>
        <w:pStyle w:val="67"/>
        <w:spacing w:line="400" w:lineRule="exact"/>
        <w:ind w:left="420" w:firstLine="0" w:firstLineChars="0"/>
        <w:rPr>
          <w:rFonts w:ascii="仿宋" w:hAnsi="仿宋" w:eastAsia="仿宋"/>
          <w:color w:val="000000"/>
        </w:rPr>
      </w:pPr>
      <w:r>
        <w:rPr>
          <w:rFonts w:hint="eastAsia" w:ascii="仿宋" w:hAnsi="仿宋" w:eastAsia="仿宋"/>
          <w:color w:val="000000"/>
        </w:rPr>
        <w:t>接口：</w:t>
      </w:r>
      <w:r>
        <w:rPr>
          <w:rFonts w:ascii="仿宋" w:hAnsi="仿宋" w:eastAsia="仿宋"/>
          <w:color w:val="000000"/>
        </w:rPr>
        <w:t>2*USB2.0</w:t>
      </w:r>
      <w:r>
        <w:rPr>
          <w:rFonts w:hint="eastAsia" w:ascii="仿宋" w:hAnsi="仿宋" w:eastAsia="仿宋"/>
          <w:color w:val="000000"/>
        </w:rPr>
        <w:t>；</w:t>
      </w:r>
      <w:r>
        <w:rPr>
          <w:rFonts w:ascii="仿宋" w:hAnsi="仿宋" w:eastAsia="仿宋"/>
          <w:color w:val="000000"/>
        </w:rPr>
        <w:t>2*HDMI</w:t>
      </w:r>
    </w:p>
    <w:p>
      <w:pPr>
        <w:pStyle w:val="67"/>
        <w:spacing w:line="400" w:lineRule="exact"/>
        <w:ind w:left="420" w:firstLine="0" w:firstLineChars="0"/>
        <w:rPr>
          <w:rFonts w:ascii="仿宋" w:hAnsi="仿宋" w:eastAsia="仿宋"/>
          <w:color w:val="000000"/>
        </w:rPr>
      </w:pPr>
      <w:r>
        <w:rPr>
          <w:rFonts w:hint="eastAsia" w:ascii="仿宋" w:hAnsi="仿宋" w:eastAsia="仿宋"/>
          <w:color w:val="000000"/>
        </w:rPr>
        <w:t>显示比例：</w:t>
      </w:r>
      <w:r>
        <w:rPr>
          <w:rFonts w:ascii="仿宋" w:hAnsi="仿宋" w:eastAsia="仿宋"/>
          <w:color w:val="000000"/>
        </w:rPr>
        <w:t>16:9</w:t>
      </w:r>
    </w:p>
    <w:p>
      <w:pPr>
        <w:pStyle w:val="67"/>
        <w:spacing w:line="400" w:lineRule="exact"/>
        <w:ind w:left="420" w:firstLine="0" w:firstLineChars="0"/>
        <w:rPr>
          <w:rFonts w:ascii="仿宋" w:hAnsi="仿宋" w:eastAsia="仿宋"/>
          <w:color w:val="000000"/>
        </w:rPr>
      </w:pPr>
      <w:r>
        <w:rPr>
          <w:rFonts w:hint="eastAsia" w:ascii="仿宋" w:hAnsi="仿宋" w:eastAsia="仿宋"/>
          <w:color w:val="000000"/>
        </w:rPr>
        <w:t>分辨率：</w:t>
      </w:r>
      <w:r>
        <w:rPr>
          <w:rFonts w:ascii="仿宋" w:hAnsi="仿宋" w:eastAsia="仿宋"/>
          <w:color w:val="000000"/>
        </w:rPr>
        <w:t>3840*2160</w:t>
      </w:r>
    </w:p>
    <w:p>
      <w:pPr>
        <w:pStyle w:val="67"/>
        <w:spacing w:line="400" w:lineRule="exact"/>
        <w:ind w:left="420" w:firstLine="0" w:firstLineChars="0"/>
        <w:rPr>
          <w:rFonts w:ascii="仿宋" w:hAnsi="仿宋" w:eastAsia="仿宋"/>
          <w:color w:val="000000"/>
        </w:rPr>
      </w:pPr>
      <w:r>
        <w:rPr>
          <w:rFonts w:hint="eastAsia" w:ascii="仿宋" w:hAnsi="仿宋" w:eastAsia="仿宋"/>
          <w:color w:val="000000"/>
        </w:rPr>
        <w:t>亮度</w:t>
      </w:r>
      <w:r>
        <w:rPr>
          <w:rFonts w:ascii="仿宋" w:hAnsi="仿宋" w:eastAsia="仿宋"/>
          <w:color w:val="000000"/>
        </w:rPr>
        <w:t>:500mcd</w:t>
      </w:r>
    </w:p>
    <w:p>
      <w:pPr>
        <w:spacing w:line="400" w:lineRule="exact"/>
        <w:rPr>
          <w:rFonts w:ascii="宋体" w:hAnsi="宋体" w:eastAsia="宋体" w:cs="宋体"/>
          <w:sz w:val="28"/>
          <w:szCs w:val="28"/>
        </w:rPr>
      </w:pPr>
    </w:p>
    <w:p>
      <w:pPr>
        <w:rPr>
          <w:rFonts w:ascii="仿宋" w:hAnsi="仿宋" w:eastAsia="仿宋"/>
        </w:rPr>
      </w:pPr>
      <w:r>
        <w:rPr>
          <w:rFonts w:hint="eastAsia" w:ascii="仿宋" w:hAnsi="仿宋" w:eastAsia="仿宋"/>
        </w:rPr>
        <w:t>二、商务要求</w:t>
      </w:r>
    </w:p>
    <w:p>
      <w:pPr>
        <w:spacing w:before="120" w:beforeLines="50" w:after="120" w:afterLines="50" w:line="400" w:lineRule="exact"/>
        <w:rPr>
          <w:rFonts w:ascii="仿宋" w:hAnsi="仿宋" w:eastAsia="仿宋"/>
        </w:rPr>
      </w:pPr>
      <w:r>
        <w:rPr>
          <w:rFonts w:hint="eastAsia" w:ascii="仿宋" w:hAnsi="仿宋" w:eastAsia="仿宋"/>
        </w:rPr>
        <w:t>1、质保期不少于三年。</w:t>
      </w:r>
    </w:p>
    <w:p>
      <w:pPr>
        <w:pStyle w:val="23"/>
        <w:rPr>
          <w:rFonts w:ascii="仿宋" w:hAnsi="仿宋" w:eastAsia="仿宋"/>
        </w:rPr>
      </w:pPr>
      <w:r>
        <w:rPr>
          <w:rFonts w:hint="eastAsia" w:ascii="仿宋" w:hAnsi="仿宋" w:eastAsia="仿宋"/>
        </w:rPr>
        <w:t>2、服务响应时间</w:t>
      </w:r>
      <w:r>
        <w:rPr>
          <w:rFonts w:ascii="仿宋" w:hAnsi="仿宋" w:eastAsia="仿宋"/>
        </w:rPr>
        <w:t>:</w:t>
      </w:r>
      <w:r>
        <w:rPr>
          <w:rFonts w:hint="eastAsia" w:ascii="仿宋" w:hAnsi="仿宋" w:eastAsia="仿宋"/>
        </w:rPr>
        <w:t>乙方收到甲方的维修需求</w:t>
      </w:r>
      <w:r>
        <w:rPr>
          <w:rFonts w:ascii="仿宋" w:hAnsi="仿宋" w:eastAsia="仿宋"/>
        </w:rPr>
        <w:t>,_</w:t>
      </w:r>
      <w:r>
        <w:rPr>
          <w:rFonts w:ascii="仿宋" w:hAnsi="仿宋" w:eastAsia="仿宋"/>
          <w:u w:val="single"/>
        </w:rPr>
        <w:t>1</w:t>
      </w:r>
      <w:r>
        <w:rPr>
          <w:rFonts w:ascii="仿宋" w:hAnsi="仿宋" w:eastAsia="仿宋"/>
        </w:rPr>
        <w:t>_</w:t>
      </w:r>
      <w:r>
        <w:rPr>
          <w:rFonts w:hint="eastAsia" w:ascii="仿宋" w:hAnsi="仿宋" w:eastAsia="仿宋"/>
        </w:rPr>
        <w:t>小时内电话响应</w:t>
      </w:r>
      <w:r>
        <w:rPr>
          <w:rFonts w:ascii="仿宋" w:hAnsi="仿宋" w:eastAsia="仿宋"/>
        </w:rPr>
        <w:t xml:space="preserve">, </w:t>
      </w:r>
      <w:r>
        <w:rPr>
          <w:rFonts w:ascii="仿宋" w:hAnsi="仿宋" w:eastAsia="仿宋"/>
          <w:u w:val="single"/>
        </w:rPr>
        <w:t>_4_</w:t>
      </w:r>
      <w:r>
        <w:rPr>
          <w:rFonts w:hint="eastAsia" w:ascii="仿宋" w:hAnsi="仿宋" w:eastAsia="仿宋"/>
        </w:rPr>
        <w:t>小时内到达现场</w:t>
      </w:r>
      <w:r>
        <w:rPr>
          <w:rFonts w:ascii="仿宋" w:hAnsi="仿宋" w:eastAsia="仿宋"/>
        </w:rPr>
        <w:t xml:space="preserve">, </w:t>
      </w:r>
      <w:r>
        <w:rPr>
          <w:rFonts w:ascii="仿宋" w:hAnsi="仿宋" w:eastAsia="仿宋"/>
          <w:u w:val="single"/>
        </w:rPr>
        <w:t>_24_</w:t>
      </w:r>
      <w:r>
        <w:rPr>
          <w:rFonts w:hint="eastAsia" w:ascii="仿宋" w:hAnsi="仿宋" w:eastAsia="仿宋"/>
        </w:rPr>
        <w:t>小时内排除故障。</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46"/>
        <w:spacing w:line="360" w:lineRule="auto"/>
        <w:rPr>
          <w:rFonts w:ascii="Times New Roman" w:hAnsi="Times New Roman" w:eastAsia="宋体"/>
        </w:rPr>
      </w:pPr>
      <w:bookmarkStart w:id="440" w:name="_Toc58504449"/>
      <w:bookmarkStart w:id="441" w:name="_Toc385992401"/>
      <w:bookmarkStart w:id="442" w:name="_Toc31008"/>
      <w:bookmarkStart w:id="443" w:name="_Toc389620241"/>
      <w:bookmarkStart w:id="444" w:name="_Toc415499899"/>
      <w:bookmarkStart w:id="445" w:name="_Toc68590981"/>
      <w:r>
        <w:rPr>
          <w:rStyle w:val="203"/>
          <w:rFonts w:ascii="Times New Roman" w:hAnsi="Times New Roman" w:eastAsia="宋体"/>
          <w:sz w:val="36"/>
          <w:szCs w:val="36"/>
        </w:rPr>
        <w:t>第六章  磋商响应文件格式</w:t>
      </w:r>
      <w:bookmarkEnd w:id="440"/>
      <w:bookmarkEnd w:id="441"/>
      <w:bookmarkEnd w:id="442"/>
      <w:bookmarkEnd w:id="443"/>
      <w:bookmarkEnd w:id="444"/>
      <w:bookmarkEnd w:id="445"/>
      <w:bookmarkStart w:id="446" w:name="_Toc62196433"/>
    </w:p>
    <w:p>
      <w:pPr>
        <w:pStyle w:val="46"/>
        <w:spacing w:line="360" w:lineRule="auto"/>
        <w:jc w:val="right"/>
        <w:rPr>
          <w:rFonts w:ascii="Times New Roman" w:hAnsi="Times New Roman" w:eastAsia="宋体"/>
        </w:rPr>
      </w:pPr>
      <w:r>
        <w:rPr>
          <w:rFonts w:hint="eastAsia" w:ascii="Times New Roman" w:hAnsi="Times New Roman" w:eastAsia="宋体"/>
        </w:rPr>
        <w:t xml:space="preserve">  </w:t>
      </w:r>
      <w:r>
        <w:rPr>
          <w:rFonts w:ascii="Times New Roman"/>
          <w:lang w:val="zh-CN"/>
        </w:rPr>
        <w:t>正本/副本</w:t>
      </w:r>
      <w:bookmarkEnd w:id="446"/>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pPr>
        <w:tabs>
          <w:tab w:val="left" w:pos="5670"/>
        </w:tabs>
        <w:autoSpaceDE w:val="0"/>
        <w:autoSpaceDN w:val="0"/>
        <w:adjustRightInd w:val="0"/>
        <w:snapToGrid w:val="0"/>
        <w:spacing w:line="360" w:lineRule="auto"/>
        <w:jc w:val="center"/>
        <w:rPr>
          <w:rFonts w:eastAsia="仿宋_GB2312"/>
          <w:b/>
          <w:bCs/>
          <w:sz w:val="36"/>
          <w:szCs w:val="36"/>
          <w:lang w:val="zh-CN"/>
        </w:rPr>
      </w:pP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pPr>
        <w:pStyle w:val="195"/>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p>
      <w:pPr>
        <w:pStyle w:val="23"/>
        <w:rPr>
          <w:rFonts w:ascii="Times New Roman" w:hAnsi="Times New Roman"/>
        </w:rPr>
      </w:pPr>
    </w:p>
    <w:p>
      <w:pPr>
        <w:pStyle w:val="23"/>
        <w:rPr>
          <w:rFonts w:ascii="Times New Roman" w:hAnsi="Times New Roman"/>
        </w:rPr>
      </w:pPr>
    </w:p>
    <w:p>
      <w:pPr>
        <w:pStyle w:val="23"/>
        <w:rPr>
          <w:rFonts w:ascii="Times New Roman" w:hAnsi="Times New Roma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lang w:val="zh-CN"/>
        </w:rPr>
        <w:t>包  号：</w:t>
      </w: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pStyle w:val="23"/>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pPr>
        <w:spacing w:after="120"/>
        <w:rPr>
          <w:rFonts w:eastAsia="仿宋_GB2312"/>
        </w:rPr>
      </w:pPr>
    </w:p>
    <w:p>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pPr>
        <w:autoSpaceDE w:val="0"/>
        <w:autoSpaceDN w:val="0"/>
        <w:adjustRightInd w:val="0"/>
        <w:spacing w:line="348" w:lineRule="auto"/>
        <w:ind w:firstLine="400"/>
        <w:rPr>
          <w:rFonts w:eastAsia="仿宋_GB2312"/>
          <w:b/>
          <w:bCs/>
          <w:sz w:val="20"/>
        </w:rPr>
      </w:pPr>
    </w:p>
    <w:p>
      <w:pPr>
        <w:autoSpaceDE w:val="0"/>
        <w:autoSpaceDN w:val="0"/>
        <w:adjustRightInd w:val="0"/>
        <w:spacing w:line="348" w:lineRule="auto"/>
        <w:rPr>
          <w:rFonts w:eastAsia="仿宋_GB2312"/>
          <w:sz w:val="24"/>
        </w:rPr>
      </w:pPr>
      <w:r>
        <w:rPr>
          <w:rFonts w:eastAsia="仿宋_GB2312"/>
          <w:sz w:val="24"/>
          <w:lang w:val="zh-CN"/>
        </w:rPr>
        <w:t>陕西省采购招标有限责任公司：</w:t>
      </w:r>
    </w:p>
    <w:p>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pPr>
        <w:snapToGrid w:val="0"/>
        <w:spacing w:line="360" w:lineRule="auto"/>
        <w:ind w:firstLine="480" w:firstLineChars="200"/>
        <w:rPr>
          <w:rFonts w:eastAsia="仿宋_GB2312"/>
          <w:b/>
          <w:bCs/>
          <w:sz w:val="24"/>
          <w:lang w:val="zh-CN"/>
        </w:rPr>
      </w:pPr>
      <w:r>
        <w:rPr>
          <w:rFonts w:eastAsia="仿宋_GB2312"/>
          <w:sz w:val="24"/>
          <w:lang w:val="zh-CN"/>
        </w:rPr>
        <w:t>本授权自    年   月  日起生效。（</w:t>
      </w:r>
      <w:r>
        <w:rPr>
          <w:rFonts w:eastAsia="仿宋_GB2312"/>
          <w:b/>
          <w:sz w:val="24"/>
          <w:lang w:val="zh-CN"/>
        </w:rPr>
        <w:t>提示：此日期不应晚于磋商响应函签署日期</w:t>
      </w:r>
      <w:r>
        <w:rPr>
          <w:rFonts w:eastAsia="仿宋_GB2312"/>
          <w:sz w:val="24"/>
          <w:lang w:val="zh-CN"/>
        </w:rPr>
        <w:t>）</w:t>
      </w:r>
    </w:p>
    <w:p>
      <w:pPr>
        <w:autoSpaceDE w:val="0"/>
        <w:autoSpaceDN w:val="0"/>
        <w:adjustRightInd w:val="0"/>
        <w:spacing w:line="348" w:lineRule="auto"/>
        <w:rPr>
          <w:rFonts w:eastAsia="仿宋_GB2312"/>
          <w:sz w:val="24"/>
        </w:rPr>
      </w:pPr>
    </w:p>
    <w:p>
      <w:pPr>
        <w:autoSpaceDE w:val="0"/>
        <w:autoSpaceDN w:val="0"/>
        <w:adjustRightInd w:val="0"/>
        <w:spacing w:line="348" w:lineRule="auto"/>
        <w:rPr>
          <w:rFonts w:eastAsia="仿宋_GB2312"/>
          <w:sz w:val="24"/>
          <w:u w:val="single"/>
        </w:rPr>
      </w:pPr>
      <w:r>
        <w:rPr>
          <w:rFonts w:eastAsia="仿宋_GB2312"/>
          <w:sz w:val="24"/>
          <w:lang w:val="zh-CN"/>
        </w:rPr>
        <w:t>附：被授权人姓名：</w:t>
      </w:r>
      <w:r>
        <w:rPr>
          <w:rFonts w:eastAsia="仿宋_GB2312"/>
          <w:sz w:val="24"/>
          <w:u w:val="single"/>
        </w:rPr>
        <w:t xml:space="preserve">          </w:t>
      </w:r>
      <w:r>
        <w:rPr>
          <w:rFonts w:eastAsia="仿宋_GB2312"/>
          <w:sz w:val="24"/>
          <w:lang w:val="zh-CN"/>
        </w:rPr>
        <w:t>性别：</w:t>
      </w:r>
      <w:r>
        <w:rPr>
          <w:rFonts w:eastAsia="仿宋_GB2312"/>
          <w:sz w:val="24"/>
          <w:u w:val="single"/>
        </w:rPr>
        <w:t xml:space="preserve">    </w:t>
      </w:r>
      <w:r>
        <w:rPr>
          <w:rFonts w:eastAsia="仿宋_GB2312"/>
          <w:sz w:val="24"/>
          <w:lang w:val="zh-CN"/>
        </w:rPr>
        <w:t>年龄：</w:t>
      </w:r>
      <w:r>
        <w:rPr>
          <w:rFonts w:eastAsia="仿宋_GB2312"/>
          <w:sz w:val="24"/>
          <w:u w:val="single"/>
        </w:rPr>
        <w:t xml:space="preserve">        </w:t>
      </w:r>
    </w:p>
    <w:p>
      <w:pPr>
        <w:autoSpaceDE w:val="0"/>
        <w:autoSpaceDN w:val="0"/>
        <w:adjustRightInd w:val="0"/>
        <w:spacing w:line="348" w:lineRule="auto"/>
        <w:ind w:firstLine="630"/>
        <w:rPr>
          <w:rFonts w:eastAsia="仿宋_GB2312"/>
          <w:sz w:val="24"/>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通讯地址：</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邮政编码：</w:t>
      </w:r>
      <w:r>
        <w:rPr>
          <w:rFonts w:eastAsia="仿宋_GB2312"/>
          <w:sz w:val="24"/>
          <w:u w:val="single"/>
        </w:rPr>
        <w:t xml:space="preserve">                                      </w:t>
      </w:r>
    </w:p>
    <w:p>
      <w:pPr>
        <w:autoSpaceDE w:val="0"/>
        <w:autoSpaceDN w:val="0"/>
        <w:adjustRightInd w:val="0"/>
        <w:spacing w:line="348" w:lineRule="auto"/>
        <w:ind w:firstLine="63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lang w:val="zh-CN"/>
        </w:rPr>
        <w:t>传真：</w:t>
      </w:r>
      <w:r>
        <w:rPr>
          <w:rFonts w:eastAsia="仿宋_GB2312"/>
          <w:sz w:val="24"/>
          <w:u w:val="single"/>
        </w:rPr>
        <w:t xml:space="preserve">           </w:t>
      </w:r>
    </w:p>
    <w:p>
      <w:pPr>
        <w:autoSpaceDE w:val="0"/>
        <w:autoSpaceDN w:val="0"/>
        <w:adjustRightInd w:val="0"/>
        <w:spacing w:line="348" w:lineRule="auto"/>
        <w:rPr>
          <w:rFonts w:eastAsia="仿宋_GB2312"/>
          <w:sz w:val="24"/>
        </w:rPr>
      </w:pPr>
    </w:p>
    <w:p>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eastAsia="仿宋_GB2312"/>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eastAsia="仿宋_GB2312"/>
                <w:sz w:val="24"/>
                <w:lang w:val="zh-CN"/>
              </w:rPr>
            </w:pPr>
            <w:r>
              <w:rPr>
                <w:rFonts w:eastAsia="仿宋_GB2312"/>
                <w:sz w:val="24"/>
                <w:lang w:val="zh-CN"/>
              </w:rPr>
              <w:t>授权代表身份证复印件</w:t>
            </w:r>
          </w:p>
          <w:p>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pPr>
        <w:adjustRightInd w:val="0"/>
        <w:snapToGrid w:val="0"/>
        <w:spacing w:line="360" w:lineRule="auto"/>
        <w:rPr>
          <w:rFonts w:eastAsia="仿宋_GB2312"/>
          <w:sz w:val="24"/>
        </w:rPr>
      </w:pPr>
      <w:r>
        <w:rPr>
          <w:rFonts w:eastAsia="仿宋_GB2312"/>
          <w:sz w:val="24"/>
        </w:rPr>
        <w:t xml:space="preserve">     </w:t>
      </w:r>
    </w:p>
    <w:p>
      <w:pPr>
        <w:adjustRightInd w:val="0"/>
        <w:snapToGrid w:val="0"/>
        <w:spacing w:line="360" w:lineRule="auto"/>
        <w:rPr>
          <w:rFonts w:eastAsia="仿宋_GB2312"/>
          <w:sz w:val="24"/>
        </w:rPr>
      </w:pPr>
    </w:p>
    <w:p>
      <w:pPr>
        <w:adjustRightInd w:val="0"/>
        <w:snapToGrid w:val="0"/>
        <w:spacing w:line="360" w:lineRule="auto"/>
        <w:ind w:firstLine="480" w:firstLineChars="200"/>
        <w:rPr>
          <w:rFonts w:eastAsia="仿宋_GB2312"/>
          <w:sz w:val="24"/>
        </w:rPr>
      </w:pPr>
      <w:r>
        <w:rPr>
          <w:rFonts w:eastAsia="仿宋_GB2312"/>
          <w:sz w:val="24"/>
        </w:rPr>
        <w:t>供应商                         法定代表人</w:t>
      </w:r>
    </w:p>
    <w:p>
      <w:pPr>
        <w:adjustRightInd w:val="0"/>
        <w:snapToGrid w:val="0"/>
        <w:spacing w:line="360" w:lineRule="auto"/>
        <w:rPr>
          <w:rFonts w:eastAsia="仿宋_GB2312"/>
          <w:sz w:val="24"/>
        </w:rPr>
      </w:pPr>
      <w:r>
        <w:rPr>
          <w:rFonts w:eastAsia="仿宋_GB2312"/>
          <w:sz w:val="24"/>
        </w:rPr>
        <w:t xml:space="preserve">    （公章）：                       （签字）：</w:t>
      </w:r>
    </w:p>
    <w:p>
      <w:pPr>
        <w:spacing w:after="120"/>
        <w:rPr>
          <w:rFonts w:eastAsia="仿宋_GB2312"/>
        </w:rPr>
      </w:pPr>
      <w:r>
        <w:rPr>
          <w:rFonts w:eastAsia="仿宋_GB2312"/>
        </w:rPr>
        <w:br w:type="page"/>
      </w:r>
    </w:p>
    <w:p>
      <w:pPr>
        <w:autoSpaceDE w:val="0"/>
        <w:autoSpaceDN w:val="0"/>
        <w:adjustRightInd w:val="0"/>
        <w:jc w:val="center"/>
        <w:rPr>
          <w:rFonts w:eastAsia="仿宋_GB2312"/>
          <w:b/>
          <w:kern w:val="0"/>
          <w:sz w:val="28"/>
          <w:szCs w:val="28"/>
        </w:rPr>
      </w:pPr>
    </w:p>
    <w:p>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pPr>
        <w:autoSpaceDE w:val="0"/>
        <w:autoSpaceDN w:val="0"/>
        <w:adjustRightInd w:val="0"/>
        <w:spacing w:line="360" w:lineRule="auto"/>
        <w:jc w:val="left"/>
        <w:rPr>
          <w:rFonts w:eastAsia="仿宋_GB2312"/>
          <w:kern w:val="0"/>
          <w:sz w:val="24"/>
        </w:rPr>
      </w:pPr>
      <w:r>
        <w:rPr>
          <w:rFonts w:eastAsia="仿宋_GB2312"/>
          <w:kern w:val="0"/>
          <w:sz w:val="24"/>
        </w:rPr>
        <w:t>经营期限：</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eastAsia="仿宋_GB2312"/>
          <w:kern w:val="0"/>
          <w:sz w:val="24"/>
        </w:rPr>
        <w:t>（投标人名称）的法定代表人。</w:t>
      </w:r>
    </w:p>
    <w:p>
      <w:pPr>
        <w:autoSpaceDE w:val="0"/>
        <w:autoSpaceDN w:val="0"/>
        <w:adjustRightInd w:val="0"/>
        <w:spacing w:line="360" w:lineRule="auto"/>
        <w:jc w:val="left"/>
        <w:rPr>
          <w:rFonts w:eastAsia="仿宋_GB2312"/>
          <w:kern w:val="0"/>
          <w:sz w:val="24"/>
        </w:rPr>
      </w:pPr>
      <w:r>
        <w:rPr>
          <w:rFonts w:eastAsia="仿宋_GB2312"/>
          <w:kern w:val="0"/>
          <w:sz w:val="24"/>
        </w:rPr>
        <w:t>特此证明。</w:t>
      </w: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jc w:val="left"/>
        <w:rPr>
          <w:rFonts w:eastAsia="仿宋_GB2312"/>
          <w:kern w:val="0"/>
          <w:sz w:val="24"/>
        </w:rPr>
      </w:pPr>
    </w:p>
    <w:p>
      <w:pPr>
        <w:autoSpaceDE w:val="0"/>
        <w:autoSpaceDN w:val="0"/>
        <w:adjustRightInd w:val="0"/>
        <w:spacing w:line="360" w:lineRule="auto"/>
        <w:ind w:left="5399" w:leftChars="2571"/>
        <w:jc w:val="left"/>
        <w:rPr>
          <w:rFonts w:eastAsia="仿宋_GB2312"/>
          <w:kern w:val="0"/>
          <w:sz w:val="24"/>
        </w:rPr>
      </w:pPr>
      <w:r>
        <w:rPr>
          <w:rFonts w:eastAsia="仿宋_GB2312"/>
          <w:kern w:val="0"/>
          <w:sz w:val="24"/>
        </w:rPr>
        <w:t>投标人：           （公章）</w:t>
      </w:r>
    </w:p>
    <w:p>
      <w:pPr>
        <w:autoSpaceDE w:val="0"/>
        <w:autoSpaceDN w:val="0"/>
        <w:adjustRightInd w:val="0"/>
        <w:spacing w:line="360" w:lineRule="auto"/>
        <w:ind w:left="5399" w:leftChars="2571"/>
        <w:jc w:val="left"/>
        <w:rPr>
          <w:rFonts w:eastAsia="仿宋_GB2312"/>
          <w:kern w:val="0"/>
          <w:sz w:val="24"/>
        </w:rPr>
      </w:pPr>
    </w:p>
    <w:p>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pPr>
        <w:rPr>
          <w:rFonts w:eastAsia="仿宋_GB2312"/>
        </w:rPr>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jc w:val="center"/>
        <w:rPr>
          <w:rFonts w:ascii="仿宋_GB2312" w:hAnsi="仿宋_GB2312" w:eastAsia="仿宋_GB2312" w:cs="仿宋_GB2312"/>
          <w:b/>
          <w:sz w:val="28"/>
          <w:szCs w:val="28"/>
        </w:rPr>
      </w:pPr>
      <w:bookmarkStart w:id="447" w:name="_Toc60929129"/>
      <w:r>
        <w:rPr>
          <w:rFonts w:hint="eastAsia" w:ascii="仿宋_GB2312" w:hAnsi="仿宋_GB2312" w:eastAsia="仿宋_GB2312" w:cs="仿宋_GB2312"/>
          <w:b/>
          <w:sz w:val="28"/>
          <w:szCs w:val="28"/>
        </w:rPr>
        <w:t>3、授权代表本单位证明</w:t>
      </w:r>
      <w:bookmarkEnd w:id="447"/>
    </w:p>
    <w:p>
      <w:pPr>
        <w:spacing w:after="120"/>
      </w:pPr>
    </w:p>
    <w:p>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养老保险缴纳证明或劳动合同复印件</w:t>
      </w:r>
      <w:r>
        <w:rPr>
          <w:rFonts w:hint="eastAsia" w:ascii="仿宋" w:hAnsi="仿宋" w:eastAsia="仿宋"/>
          <w:sz w:val="28"/>
          <w:szCs w:val="28"/>
          <w:lang w:val="zh-CN"/>
        </w:rPr>
        <w:t>）</w:t>
      </w: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autoSpaceDE w:val="0"/>
        <w:autoSpaceDN w:val="0"/>
        <w:adjustRightInd w:val="0"/>
        <w:spacing w:line="348" w:lineRule="auto"/>
        <w:jc w:val="center"/>
        <w:rPr>
          <w:rFonts w:ascii="仿宋" w:hAnsi="仿宋" w:eastAsia="仿宋"/>
          <w:sz w:val="28"/>
          <w:szCs w:val="28"/>
          <w:lang w:val="zh-CN"/>
        </w:rPr>
      </w:pPr>
    </w:p>
    <w:p>
      <w:pPr>
        <w:pStyle w:val="23"/>
      </w:pPr>
    </w:p>
    <w:p>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pPr>
        <w:rPr>
          <w:rFonts w:eastAsia="仿宋_GB2312"/>
          <w:b/>
          <w:bCs/>
          <w:sz w:val="32"/>
          <w:szCs w:val="32"/>
          <w:lang w:val="zh-CN"/>
        </w:rPr>
      </w:pPr>
      <w:r>
        <w:rPr>
          <w:rFonts w:eastAsia="仿宋_GB2312"/>
          <w:b/>
          <w:bCs/>
          <w:sz w:val="32"/>
          <w:szCs w:val="32"/>
          <w:lang w:val="zh-CN"/>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pPr>
        <w:spacing w:after="120"/>
        <w:rPr>
          <w:rFonts w:eastAsia="仿宋_GB2312"/>
        </w:rPr>
      </w:pPr>
    </w:p>
    <w:p>
      <w:pPr>
        <w:numPr>
          <w:ilvl w:val="1"/>
          <w:numId w:val="12"/>
        </w:numPr>
        <w:tabs>
          <w:tab w:val="left" w:pos="993"/>
          <w:tab w:val="left" w:pos="1030"/>
          <w:tab w:val="left" w:pos="8364"/>
        </w:tabs>
        <w:snapToGrid w:val="0"/>
        <w:spacing w:after="120" w:afterLines="50" w:line="360" w:lineRule="auto"/>
        <w:ind w:right="-57" w:rightChars="-27"/>
        <w:jc w:val="left"/>
        <w:rPr>
          <w:rFonts w:eastAsia="仿宋_GB2312"/>
          <w:sz w:val="24"/>
        </w:rPr>
      </w:pPr>
      <w:r>
        <w:rPr>
          <w:rFonts w:eastAsia="仿宋_GB2312"/>
          <w:sz w:val="24"/>
        </w:rPr>
        <w:t>供应商的企业法人营业执照副本复印件（格式要求见附件6-1）；</w:t>
      </w:r>
    </w:p>
    <w:p>
      <w:pPr>
        <w:numPr>
          <w:ilvl w:val="1"/>
          <w:numId w:val="12"/>
        </w:numPr>
        <w:tabs>
          <w:tab w:val="left" w:pos="993"/>
          <w:tab w:val="left" w:pos="1030"/>
          <w:tab w:val="left" w:pos="8364"/>
        </w:tabs>
        <w:snapToGrid w:val="0"/>
        <w:spacing w:after="120" w:afterLines="50" w:line="360" w:lineRule="auto"/>
        <w:ind w:left="833" w:right="-57" w:rightChars="-27" w:hanging="413"/>
        <w:jc w:val="left"/>
        <w:rPr>
          <w:rFonts w:eastAsia="仿宋_GB2312"/>
          <w:sz w:val="24"/>
        </w:rPr>
      </w:pPr>
      <w:r>
        <w:rPr>
          <w:rFonts w:eastAsia="仿宋_GB2312"/>
          <w:sz w:val="24"/>
        </w:rPr>
        <w:t>供应商上一年度</w:t>
      </w:r>
      <w:r>
        <w:rPr>
          <w:rFonts w:hint="eastAsia" w:eastAsia="仿宋_GB2312"/>
          <w:sz w:val="24"/>
        </w:rPr>
        <w:t>（2020年度或2021年度）</w:t>
      </w:r>
      <w:r>
        <w:rPr>
          <w:rFonts w:eastAsia="仿宋_GB2312"/>
          <w:sz w:val="24"/>
        </w:rPr>
        <w:t>经审计的财务报表复印件（包括资产负债表、现金流量表、利润表），或本年度基本开户银行出具的资信证明（格式要求见附件6-2）；</w:t>
      </w:r>
    </w:p>
    <w:p>
      <w:pPr>
        <w:spacing w:after="120"/>
        <w:rPr>
          <w:rFonts w:eastAsia="仿宋_GB2312"/>
          <w:sz w:val="24"/>
        </w:rPr>
      </w:pPr>
      <w:r>
        <w:rPr>
          <w:rFonts w:eastAsia="仿宋_GB2312"/>
        </w:rPr>
        <w:t xml:space="preserve">       </w:t>
      </w:r>
      <w:r>
        <w:rPr>
          <w:rFonts w:eastAsia="仿宋_GB2312"/>
          <w:sz w:val="24"/>
        </w:rPr>
        <w:t>依法缴纳税收和社会保障资金的证明材料复印件（格式见附件6-3、6-4）</w:t>
      </w:r>
    </w:p>
    <w:p>
      <w:pPr>
        <w:numPr>
          <w:ilvl w:val="1"/>
          <w:numId w:val="12"/>
        </w:numPr>
        <w:tabs>
          <w:tab w:val="left" w:pos="993"/>
          <w:tab w:val="left" w:pos="1030"/>
          <w:tab w:val="left" w:pos="8364"/>
        </w:tabs>
        <w:snapToGrid w:val="0"/>
        <w:spacing w:after="120" w:afterLines="50" w:line="360" w:lineRule="auto"/>
        <w:ind w:left="993" w:right="-57" w:rightChars="-27" w:hanging="573"/>
        <w:jc w:val="left"/>
        <w:rPr>
          <w:rFonts w:eastAsia="仿宋_GB2312"/>
          <w:sz w:val="24"/>
        </w:rPr>
      </w:pPr>
      <w:r>
        <w:rPr>
          <w:rFonts w:eastAsia="仿宋_GB2312"/>
          <w:sz w:val="24"/>
        </w:rPr>
        <w:t>具备履行合同所必需的设备和专业技术能力的承诺原件（格式见附件6-5）；</w:t>
      </w:r>
    </w:p>
    <w:p>
      <w:pPr>
        <w:numPr>
          <w:ilvl w:val="1"/>
          <w:numId w:val="12"/>
        </w:numPr>
        <w:tabs>
          <w:tab w:val="left" w:pos="42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供应商参加政府采购活动前3年内在经营活动中没有重大违法记录的书面声明原件（格式见附件6-6）</w:t>
      </w:r>
    </w:p>
    <w:p>
      <w:pPr>
        <w:numPr>
          <w:ilvl w:val="1"/>
          <w:numId w:val="12"/>
        </w:numPr>
        <w:tabs>
          <w:tab w:val="left" w:pos="20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供应商控股股东名称、控股公司的名称和存在管理、被管理关系的单位名称说明（格式见附件6-7)</w:t>
      </w:r>
    </w:p>
    <w:p>
      <w:pPr>
        <w:numPr>
          <w:ilvl w:val="1"/>
          <w:numId w:val="12"/>
        </w:numPr>
        <w:tabs>
          <w:tab w:val="left" w:pos="220"/>
          <w:tab w:val="left" w:pos="420"/>
          <w:tab w:val="left" w:pos="8364"/>
        </w:tabs>
        <w:snapToGrid w:val="0"/>
        <w:spacing w:after="120" w:afterLines="50" w:line="360" w:lineRule="auto"/>
        <w:ind w:left="853" w:right="-57" w:rightChars="-27" w:hanging="433"/>
        <w:jc w:val="left"/>
        <w:rPr>
          <w:rFonts w:eastAsia="仿宋_GB2312"/>
          <w:sz w:val="24"/>
        </w:rPr>
      </w:pPr>
      <w:r>
        <w:rPr>
          <w:rFonts w:eastAsia="仿宋_GB2312"/>
          <w:sz w:val="24"/>
        </w:rPr>
        <w:t>供应商是否属于为本项目提供整体设计、规范编制或者项目管理、监理、检测等服务的供应商声明原件（格式见附件6-8)</w:t>
      </w:r>
    </w:p>
    <w:p>
      <w:pPr>
        <w:numPr>
          <w:ilvl w:val="1"/>
          <w:numId w:val="12"/>
        </w:numPr>
        <w:tabs>
          <w:tab w:val="left" w:pos="220"/>
          <w:tab w:val="left" w:pos="8364"/>
        </w:tabs>
        <w:snapToGrid w:val="0"/>
        <w:spacing w:after="120" w:afterLines="50" w:line="360" w:lineRule="auto"/>
        <w:ind w:left="853" w:right="-57" w:rightChars="-27" w:hanging="433"/>
        <w:jc w:val="left"/>
        <w:rPr>
          <w:rFonts w:eastAsia="仿宋_GB2312"/>
        </w:rPr>
      </w:pPr>
      <w:r>
        <w:rPr>
          <w:rFonts w:eastAsia="仿宋_GB2312"/>
          <w:sz w:val="24"/>
        </w:rPr>
        <w:t>证明供应商符合特定资格条件的证明材料；</w:t>
      </w:r>
      <w:r>
        <w:rPr>
          <w:rFonts w:hint="eastAsia" w:eastAsia="仿宋_GB2312"/>
          <w:sz w:val="24"/>
        </w:rPr>
        <w:t>见磋商公告</w:t>
      </w:r>
      <w:r>
        <w:rPr>
          <w:rFonts w:eastAsia="仿宋_GB2312"/>
        </w:rPr>
        <w:t xml:space="preserve"> </w:t>
      </w:r>
    </w:p>
    <w:p>
      <w:pPr>
        <w:adjustRightInd w:val="0"/>
        <w:spacing w:line="360" w:lineRule="auto"/>
        <w:ind w:firstLine="480" w:firstLineChars="200"/>
        <w:jc w:val="left"/>
        <w:textAlignment w:val="baseline"/>
        <w:rPr>
          <w:rFonts w:eastAsia="仿宋_GB2312"/>
          <w:sz w:val="24"/>
        </w:rPr>
      </w:pPr>
      <w:r>
        <w:rPr>
          <w:rFonts w:eastAsia="仿宋_GB2312"/>
          <w:sz w:val="24"/>
        </w:rPr>
        <w:t>以上提供的扫描件、复印件必须加盖供应商公章。</w:t>
      </w:r>
    </w:p>
    <w:p>
      <w:pPr>
        <w:spacing w:after="120"/>
        <w:rPr>
          <w:rFonts w:eastAsia="仿宋_GB2312"/>
        </w:rPr>
      </w:pPr>
      <w:r>
        <w:rPr>
          <w:rFonts w:eastAsia="仿宋_GB2312"/>
        </w:rPr>
        <w:br w:type="page"/>
      </w:r>
    </w:p>
    <w:p>
      <w:pPr>
        <w:adjustRightInd w:val="0"/>
        <w:spacing w:line="360" w:lineRule="auto"/>
        <w:ind w:firstLine="480" w:firstLineChars="200"/>
        <w:jc w:val="left"/>
        <w:textAlignment w:val="baseline"/>
        <w:rPr>
          <w:rFonts w:eastAsia="仿宋_GB2312"/>
          <w:sz w:val="24"/>
        </w:rPr>
      </w:pPr>
    </w:p>
    <w:p>
      <w:pPr>
        <w:jc w:val="left"/>
        <w:outlineLvl w:val="2"/>
        <w:rPr>
          <w:rFonts w:eastAsia="仿宋_GB2312"/>
          <w:b/>
          <w:sz w:val="24"/>
        </w:rPr>
      </w:pPr>
      <w:bookmarkStart w:id="448" w:name="_Toc7005120"/>
      <w:r>
        <w:rPr>
          <w:rFonts w:eastAsia="仿宋_GB2312"/>
          <w:b/>
          <w:sz w:val="24"/>
        </w:rPr>
        <w:t>6-1  供应商的企业法人营业执照副本复印件（加盖公章）</w:t>
      </w:r>
      <w:bookmarkEnd w:id="448"/>
    </w:p>
    <w:p>
      <w:pPr>
        <w:jc w:val="left"/>
        <w:rPr>
          <w:rFonts w:eastAsia="仿宋_GB2312"/>
          <w:sz w:val="24"/>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eastAsia="仿宋_GB2312"/>
          <w:b/>
          <w:sz w:val="28"/>
        </w:rPr>
      </w:pPr>
    </w:p>
    <w:p>
      <w:pPr>
        <w:adjustRightInd w:val="0"/>
        <w:spacing w:line="360" w:lineRule="atLeast"/>
        <w:jc w:val="left"/>
        <w:textAlignment w:val="baseline"/>
        <w:rPr>
          <w:rFonts w:eastAsia="仿宋_GB2312"/>
          <w:b/>
          <w:sz w:val="28"/>
        </w:rPr>
      </w:pPr>
      <w:r>
        <w:rPr>
          <w:rFonts w:eastAsia="仿宋_GB2312"/>
          <w:b/>
          <w:sz w:val="28"/>
        </w:rPr>
        <w:t xml:space="preserve"> </w:t>
      </w:r>
    </w:p>
    <w:p>
      <w:pPr>
        <w:jc w:val="left"/>
        <w:outlineLvl w:val="2"/>
        <w:rPr>
          <w:rFonts w:eastAsia="仿宋_GB2312"/>
          <w:b/>
          <w:sz w:val="24"/>
        </w:rPr>
      </w:pPr>
      <w:bookmarkStart w:id="449" w:name="_Toc7005121"/>
      <w:bookmarkStart w:id="450" w:name="_Ref527015333"/>
      <w:r>
        <w:rPr>
          <w:rFonts w:eastAsia="仿宋_GB2312"/>
          <w:b/>
          <w:sz w:val="24"/>
        </w:rPr>
        <w:t>6-2  上一年度</w:t>
      </w:r>
      <w:r>
        <w:rPr>
          <w:rFonts w:hint="eastAsia" w:eastAsia="仿宋_GB2312"/>
          <w:b/>
          <w:sz w:val="24"/>
        </w:rPr>
        <w:t>（2020年度或2021年度）</w:t>
      </w:r>
      <w:r>
        <w:rPr>
          <w:rFonts w:eastAsia="仿宋_GB2312"/>
          <w:b/>
          <w:sz w:val="24"/>
        </w:rPr>
        <w:t>经审计的财务报表</w:t>
      </w:r>
      <w:bookmarkEnd w:id="449"/>
      <w:bookmarkEnd w:id="450"/>
    </w:p>
    <w:p>
      <w:pPr>
        <w:spacing w:line="360" w:lineRule="auto"/>
        <w:rPr>
          <w:rFonts w:eastAsia="仿宋_GB2312"/>
          <w:szCs w:val="21"/>
        </w:rPr>
      </w:pPr>
    </w:p>
    <w:p>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提供供应商上一年度</w:t>
      </w:r>
      <w:r>
        <w:rPr>
          <w:rFonts w:hint="eastAsia" w:eastAsia="仿宋_GB2312"/>
          <w:sz w:val="24"/>
        </w:rPr>
        <w:t>（2020年度或2021年度）</w:t>
      </w:r>
      <w:r>
        <w:rPr>
          <w:rFonts w:eastAsia="仿宋_GB2312"/>
          <w:sz w:val="24"/>
        </w:rPr>
        <w:t>经审计的财务报表（包括资产负债表、现金流量表、利润表）复印件或扫描件、所有复印件或扫描件需加盖单位公章。</w:t>
      </w:r>
    </w:p>
    <w:p>
      <w:pPr>
        <w:spacing w:line="360" w:lineRule="auto"/>
        <w:rPr>
          <w:rFonts w:eastAsia="仿宋_GB2312"/>
          <w:szCs w:val="21"/>
        </w:rPr>
      </w:pPr>
    </w:p>
    <w:p>
      <w:pPr>
        <w:tabs>
          <w:tab w:val="left" w:pos="993"/>
          <w:tab w:val="left" w:pos="1030"/>
          <w:tab w:val="left" w:pos="8364"/>
        </w:tabs>
        <w:snapToGrid w:val="0"/>
        <w:spacing w:after="120" w:afterLines="50"/>
        <w:ind w:left="420" w:right="-57" w:rightChars="-27"/>
        <w:jc w:val="left"/>
        <w:rPr>
          <w:rFonts w:eastAsia="仿宋_GB2312"/>
          <w:b/>
          <w:spacing w:val="20"/>
          <w:sz w:val="24"/>
        </w:rPr>
      </w:pPr>
    </w:p>
    <w:p>
      <w:pPr>
        <w:jc w:val="left"/>
        <w:outlineLvl w:val="2"/>
        <w:rPr>
          <w:rFonts w:eastAsia="仿宋_GB2312"/>
          <w:b/>
          <w:sz w:val="24"/>
        </w:rPr>
      </w:pPr>
      <w:bookmarkStart w:id="451" w:name="_Toc7005122"/>
      <w:r>
        <w:rPr>
          <w:rFonts w:eastAsia="仿宋_GB2312"/>
          <w:b/>
          <w:sz w:val="24"/>
        </w:rPr>
        <w:t>或  6-2  本年度基本开户银行出具的资信证明</w:t>
      </w:r>
      <w:bookmarkEnd w:id="451"/>
    </w:p>
    <w:p>
      <w:pPr>
        <w:spacing w:line="360" w:lineRule="auto"/>
        <w:rPr>
          <w:rFonts w:eastAsia="仿宋_GB2312"/>
          <w:szCs w:val="21"/>
        </w:rPr>
      </w:pPr>
    </w:p>
    <w:p>
      <w:pPr>
        <w:widowControl/>
        <w:jc w:val="left"/>
        <w:rPr>
          <w:rFonts w:eastAsia="仿宋_GB2312"/>
          <w:b/>
          <w:spacing w:val="20"/>
          <w:sz w:val="24"/>
        </w:rPr>
      </w:pPr>
    </w:p>
    <w:p>
      <w:pPr>
        <w:tabs>
          <w:tab w:val="left" w:pos="5580"/>
        </w:tabs>
        <w:spacing w:before="120" w:line="360" w:lineRule="auto"/>
        <w:ind w:firstLine="480" w:firstLineChars="200"/>
        <w:rPr>
          <w:rFonts w:eastAsia="仿宋_GB2312"/>
          <w:sz w:val="24"/>
        </w:rPr>
      </w:pPr>
    </w:p>
    <w:p>
      <w:pPr>
        <w:jc w:val="left"/>
        <w:outlineLvl w:val="2"/>
        <w:rPr>
          <w:rFonts w:eastAsia="仿宋_GB2312"/>
          <w:b/>
          <w:sz w:val="24"/>
        </w:rPr>
      </w:pPr>
      <w:bookmarkStart w:id="452" w:name="_Toc7005123"/>
      <w:r>
        <w:rPr>
          <w:rFonts w:eastAsia="仿宋_GB2312"/>
          <w:b/>
          <w:sz w:val="24"/>
        </w:rPr>
        <w:t>6-3 依法缴纳税收的证明</w:t>
      </w:r>
      <w:bookmarkEnd w:id="452"/>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tabs>
          <w:tab w:val="left" w:pos="993"/>
          <w:tab w:val="left" w:pos="1030"/>
          <w:tab w:val="left" w:pos="8364"/>
        </w:tabs>
        <w:snapToGrid w:val="0"/>
        <w:spacing w:after="120" w:afterLines="50"/>
        <w:ind w:right="-57" w:rightChars="-27"/>
        <w:jc w:val="left"/>
        <w:rPr>
          <w:rFonts w:eastAsia="仿宋_GB2312"/>
          <w:sz w:val="24"/>
        </w:rPr>
      </w:pPr>
      <w:r>
        <w:rPr>
          <w:rFonts w:eastAsia="仿宋_GB2312"/>
          <w:sz w:val="24"/>
        </w:rPr>
        <w:t>说明：</w:t>
      </w: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r>
        <w:rPr>
          <w:rFonts w:eastAsia="仿宋_GB2312"/>
          <w:sz w:val="24"/>
        </w:rPr>
        <w:t>1、供应商应提供近六个月中任何一个月税</w:t>
      </w:r>
      <w:r>
        <w:rPr>
          <w:rFonts w:hint="eastAsia" w:eastAsia="仿宋_GB2312"/>
          <w:sz w:val="24"/>
        </w:rPr>
        <w:t>种</w:t>
      </w:r>
      <w:r>
        <w:rPr>
          <w:rFonts w:eastAsia="仿宋_GB2312"/>
          <w:sz w:val="24"/>
        </w:rPr>
        <w:t>的凭证（银行出具的缴税凭证或税务机关出具的证明的复印件，并加盖本单位公章）。</w:t>
      </w:r>
    </w:p>
    <w:p>
      <w:pPr>
        <w:tabs>
          <w:tab w:val="left" w:pos="993"/>
          <w:tab w:val="left" w:pos="1030"/>
          <w:tab w:val="left" w:pos="8364"/>
        </w:tabs>
        <w:snapToGrid w:val="0"/>
        <w:spacing w:after="120" w:afterLines="50"/>
        <w:ind w:right="-57" w:rightChars="-27" w:firstLine="720" w:firstLineChars="300"/>
        <w:jc w:val="left"/>
        <w:rPr>
          <w:rFonts w:eastAsia="仿宋_GB2312"/>
          <w:sz w:val="24"/>
        </w:rPr>
      </w:pPr>
      <w:r>
        <w:rPr>
          <w:rFonts w:eastAsia="仿宋_GB2312"/>
          <w:sz w:val="24"/>
        </w:rPr>
        <w:t>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spacing w:after="120"/>
        <w:rPr>
          <w:rFonts w:eastAsia="仿宋_GB2312"/>
        </w:rPr>
      </w:pPr>
    </w:p>
    <w:p>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pPr>
        <w:jc w:val="left"/>
        <w:outlineLvl w:val="2"/>
        <w:rPr>
          <w:rFonts w:eastAsia="仿宋_GB2312"/>
          <w:b/>
          <w:sz w:val="24"/>
        </w:rPr>
      </w:pPr>
      <w:bookmarkStart w:id="453" w:name="_Toc7005124"/>
      <w:r>
        <w:rPr>
          <w:rFonts w:eastAsia="仿宋_GB2312"/>
          <w:b/>
          <w:sz w:val="24"/>
        </w:rPr>
        <w:t>6-4社会保障资金缴纳记录</w:t>
      </w:r>
      <w:bookmarkEnd w:id="453"/>
    </w:p>
    <w:p>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pPr>
        <w:numPr>
          <w:ilvl w:val="0"/>
          <w:numId w:val="13"/>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供应商应提供近六个月中至少一个月的社会缴纳社会保险的凭据（专用收据或社会保险缴纳清单），并加盖本单位公章。</w:t>
      </w:r>
    </w:p>
    <w:p>
      <w:pPr>
        <w:numPr>
          <w:ilvl w:val="0"/>
          <w:numId w:val="13"/>
        </w:num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不需要缴纳社会保障资金的供应商，应提供相应文件证明其不需要缴纳社会保障资金。</w:t>
      </w:r>
    </w:p>
    <w:p>
      <w:pPr>
        <w:tabs>
          <w:tab w:val="left" w:pos="5580"/>
        </w:tabs>
        <w:spacing w:before="120" w:line="360" w:lineRule="auto"/>
        <w:ind w:firstLine="480" w:firstLineChars="200"/>
        <w:rPr>
          <w:rFonts w:eastAsia="仿宋_GB2312"/>
          <w:sz w:val="24"/>
        </w:rPr>
      </w:pPr>
    </w:p>
    <w:p>
      <w:pPr>
        <w:tabs>
          <w:tab w:val="left" w:pos="5580"/>
        </w:tabs>
        <w:spacing w:before="120" w:line="360" w:lineRule="auto"/>
        <w:ind w:firstLine="480" w:firstLineChars="200"/>
        <w:rPr>
          <w:rFonts w:eastAsia="仿宋_GB2312"/>
          <w:sz w:val="24"/>
        </w:rPr>
      </w:pPr>
    </w:p>
    <w:p>
      <w:pPr>
        <w:rPr>
          <w:rFonts w:eastAsia="仿宋_GB2312"/>
          <w:b/>
          <w:bCs/>
          <w:sz w:val="24"/>
        </w:rPr>
      </w:pPr>
      <w:bookmarkStart w:id="454" w:name="_Toc7005125"/>
      <w:r>
        <w:rPr>
          <w:rFonts w:eastAsia="仿宋_GB2312"/>
          <w:b/>
          <w:bCs/>
          <w:sz w:val="24"/>
        </w:rPr>
        <w:br w:type="page"/>
      </w:r>
    </w:p>
    <w:p>
      <w:pPr>
        <w:jc w:val="left"/>
        <w:outlineLvl w:val="2"/>
        <w:rPr>
          <w:rFonts w:eastAsia="仿宋_GB2312"/>
          <w:b/>
          <w:sz w:val="24"/>
        </w:rPr>
      </w:pPr>
      <w:r>
        <w:rPr>
          <w:rFonts w:eastAsia="仿宋_GB2312"/>
          <w:b/>
          <w:bCs/>
          <w:sz w:val="24"/>
        </w:rPr>
        <w:t xml:space="preserve">6-5 </w:t>
      </w:r>
      <w:r>
        <w:rPr>
          <w:rFonts w:eastAsia="仿宋_GB2312"/>
          <w:b/>
          <w:sz w:val="24"/>
        </w:rPr>
        <w:t>具备履行合同所必需的设备和专业技术能力承诺书</w:t>
      </w:r>
      <w:bookmarkEnd w:id="454"/>
      <w:r>
        <w:rPr>
          <w:rFonts w:eastAsia="仿宋_GB2312"/>
          <w:b/>
          <w:sz w:val="24"/>
        </w:rPr>
        <w:t xml:space="preserve">                                                                                                                                                                                                                                                                                                                                                                                                                                                                                                                                                                                                                                                                                                      </w:t>
      </w:r>
    </w:p>
    <w:p>
      <w:pPr>
        <w:ind w:firstLine="480"/>
        <w:rPr>
          <w:rFonts w:eastAsia="仿宋_GB2312"/>
          <w:kern w:val="0"/>
          <w:sz w:val="24"/>
        </w:rPr>
      </w:pPr>
    </w:p>
    <w:p>
      <w:pPr>
        <w:ind w:firstLine="480"/>
        <w:rPr>
          <w:rFonts w:eastAsia="仿宋_GB2312"/>
          <w:kern w:val="0"/>
          <w:sz w:val="24"/>
        </w:rPr>
      </w:pPr>
    </w:p>
    <w:p>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pPr>
        <w:ind w:firstLine="480"/>
        <w:rPr>
          <w:rFonts w:eastAsia="仿宋_GB2312"/>
          <w:kern w:val="0"/>
          <w:sz w:val="24"/>
        </w:rPr>
      </w:pPr>
    </w:p>
    <w:p>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pPr>
        <w:ind w:firstLine="480"/>
        <w:rPr>
          <w:rFonts w:eastAsia="仿宋_GB2312"/>
          <w:b/>
          <w:sz w:val="24"/>
        </w:rPr>
      </w:pPr>
    </w:p>
    <w:p>
      <w:pPr>
        <w:ind w:firstLine="480"/>
        <w:rPr>
          <w:rFonts w:eastAsia="仿宋_GB2312"/>
          <w:b/>
          <w:sz w:val="24"/>
        </w:rPr>
      </w:pPr>
    </w:p>
    <w:p>
      <w:pPr>
        <w:ind w:firstLine="480"/>
        <w:rPr>
          <w:rFonts w:eastAsia="仿宋_GB2312"/>
          <w:b/>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right="280"/>
        <w:rPr>
          <w:rFonts w:eastAsia="仿宋_GB2312"/>
          <w:sz w:val="24"/>
        </w:rPr>
      </w:pPr>
    </w:p>
    <w:p>
      <w:pPr>
        <w:tabs>
          <w:tab w:val="left" w:pos="5580"/>
        </w:tabs>
        <w:spacing w:before="120" w:line="360" w:lineRule="auto"/>
        <w:ind w:firstLine="480" w:firstLineChars="200"/>
        <w:rPr>
          <w:rFonts w:eastAsia="仿宋_GB2312"/>
          <w:sz w:val="24"/>
        </w:rPr>
      </w:pPr>
    </w:p>
    <w:p>
      <w:pPr>
        <w:widowControl/>
        <w:jc w:val="left"/>
        <w:rPr>
          <w:rFonts w:eastAsia="仿宋_GB2312"/>
          <w:b/>
          <w:sz w:val="24"/>
        </w:rPr>
      </w:pPr>
    </w:p>
    <w:p>
      <w:pPr>
        <w:numPr>
          <w:ilvl w:val="1"/>
          <w:numId w:val="14"/>
        </w:numPr>
        <w:jc w:val="left"/>
        <w:outlineLvl w:val="2"/>
        <w:rPr>
          <w:rFonts w:eastAsia="仿宋_GB2312"/>
          <w:b/>
          <w:sz w:val="24"/>
          <w:szCs w:val="22"/>
        </w:rPr>
      </w:pPr>
      <w:bookmarkStart w:id="455" w:name="_Toc7005126"/>
      <w:r>
        <w:rPr>
          <w:rFonts w:eastAsia="仿宋_GB2312"/>
          <w:b/>
          <w:sz w:val="24"/>
          <w:szCs w:val="22"/>
        </w:rPr>
        <w:t>供应商参加政府采购活动前3年内在经营活动中没有重大违法记录的书面声明（格式）</w:t>
      </w:r>
      <w:bookmarkEnd w:id="455"/>
    </w:p>
    <w:p>
      <w:pPr>
        <w:jc w:val="center"/>
        <w:rPr>
          <w:rFonts w:eastAsia="仿宋_GB2312"/>
          <w:sz w:val="24"/>
        </w:rPr>
      </w:pPr>
    </w:p>
    <w:p>
      <w:pPr>
        <w:jc w:val="center"/>
        <w:rPr>
          <w:rFonts w:eastAsia="仿宋_GB2312"/>
          <w:b/>
          <w:sz w:val="24"/>
        </w:rPr>
      </w:pPr>
      <w:r>
        <w:rPr>
          <w:rFonts w:eastAsia="仿宋_GB2312"/>
          <w:b/>
          <w:sz w:val="24"/>
        </w:rPr>
        <w:t>声明函</w:t>
      </w:r>
    </w:p>
    <w:p>
      <w:pPr>
        <w:jc w:val="center"/>
        <w:rPr>
          <w:rFonts w:eastAsia="仿宋_GB2312"/>
          <w:sz w:val="24"/>
        </w:rPr>
      </w:pPr>
    </w:p>
    <w:p>
      <w:pPr>
        <w:tabs>
          <w:tab w:val="left" w:pos="5580"/>
        </w:tabs>
        <w:spacing w:before="120" w:line="360" w:lineRule="auto"/>
        <w:rPr>
          <w:rFonts w:eastAsia="仿宋_GB2312"/>
          <w:sz w:val="24"/>
        </w:rPr>
      </w:pPr>
      <w:r>
        <w:rPr>
          <w:rFonts w:eastAsia="仿宋_GB2312"/>
          <w:sz w:val="24"/>
        </w:rPr>
        <w:t xml:space="preserve">陕西省采购招标有限责任公司：  </w:t>
      </w:r>
    </w:p>
    <w:p>
      <w:pPr>
        <w:tabs>
          <w:tab w:val="left" w:pos="5580"/>
        </w:tabs>
        <w:spacing w:before="120" w:line="360" w:lineRule="auto"/>
        <w:ind w:firstLine="480" w:firstLineChars="200"/>
        <w:rPr>
          <w:rFonts w:eastAsia="仿宋_GB2312"/>
          <w:sz w:val="24"/>
        </w:rPr>
      </w:pPr>
      <w:r>
        <w:rPr>
          <w:rFonts w:eastAsia="仿宋_GB2312"/>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eastAsia="仿宋_GB2312"/>
          <w:sz w:val="24"/>
        </w:rPr>
      </w:pPr>
      <w:r>
        <w:rPr>
          <w:rFonts w:eastAsia="仿宋_GB2312"/>
          <w:sz w:val="24"/>
        </w:rPr>
        <w:t>特此声明。</w:t>
      </w:r>
    </w:p>
    <w:p>
      <w:pPr>
        <w:tabs>
          <w:tab w:val="left" w:pos="5580"/>
        </w:tabs>
        <w:spacing w:before="120"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after="120"/>
        <w:rPr>
          <w:rFonts w:eastAsia="仿宋_GB2312"/>
        </w:rPr>
      </w:pPr>
    </w:p>
    <w:p>
      <w:pPr>
        <w:rPr>
          <w:rFonts w:eastAsia="仿宋_GB2312"/>
        </w:rPr>
      </w:pPr>
      <w:r>
        <w:rPr>
          <w:rFonts w:eastAsia="仿宋_GB2312"/>
        </w:rPr>
        <w:br w:type="page"/>
      </w:r>
    </w:p>
    <w:p>
      <w:pPr>
        <w:numPr>
          <w:ilvl w:val="1"/>
          <w:numId w:val="15"/>
        </w:numPr>
        <w:jc w:val="left"/>
        <w:outlineLvl w:val="2"/>
        <w:rPr>
          <w:rFonts w:eastAsia="仿宋_GB2312"/>
          <w:b/>
          <w:sz w:val="24"/>
          <w:szCs w:val="22"/>
        </w:rPr>
      </w:pPr>
      <w:bookmarkStart w:id="456" w:name="_Toc7005127"/>
      <w:r>
        <w:rPr>
          <w:rFonts w:eastAsia="仿宋_GB2312"/>
          <w:b/>
          <w:sz w:val="24"/>
          <w:szCs w:val="22"/>
        </w:rPr>
        <w:t xml:space="preserve"> 供应商控股股东名称、控股公司的名称和存在管理、被管理关系的单位名称说明</w:t>
      </w:r>
      <w:bookmarkEnd w:id="456"/>
    </w:p>
    <w:p>
      <w:pPr>
        <w:ind w:firstLine="420"/>
        <w:rPr>
          <w:rFonts w:eastAsia="仿宋_GB2312"/>
          <w:szCs w:val="21"/>
        </w:rPr>
      </w:pPr>
    </w:p>
    <w:p>
      <w:pPr>
        <w:rPr>
          <w:rFonts w:eastAsia="仿宋_GB2312"/>
          <w:sz w:val="24"/>
        </w:rPr>
      </w:pPr>
    </w:p>
    <w:p>
      <w:pPr>
        <w:rPr>
          <w:rFonts w:eastAsia="仿宋_GB2312"/>
          <w:sz w:val="24"/>
        </w:rPr>
      </w:pPr>
      <w:r>
        <w:rPr>
          <w:rFonts w:eastAsia="仿宋_GB2312"/>
          <w:sz w:val="24"/>
        </w:rPr>
        <w:t>陕西省采购招标有限责任公司：</w:t>
      </w:r>
    </w:p>
    <w:p>
      <w:pPr>
        <w:spacing w:after="120"/>
        <w:rPr>
          <w:rFonts w:eastAsia="仿宋_GB2312"/>
        </w:rPr>
      </w:pPr>
    </w:p>
    <w:p>
      <w:pPr>
        <w:ind w:firstLine="426"/>
        <w:rPr>
          <w:rFonts w:eastAsia="仿宋_GB2312"/>
          <w:sz w:val="24"/>
        </w:rPr>
      </w:pPr>
      <w:r>
        <w:rPr>
          <w:rFonts w:eastAsia="仿宋_GB2312"/>
          <w:sz w:val="24"/>
        </w:rPr>
        <w:t>与我方的法定代表人（单位负责人）为同一人的企业如下：</w:t>
      </w:r>
    </w:p>
    <w:p>
      <w:pPr>
        <w:ind w:firstLine="426"/>
        <w:rPr>
          <w:rFonts w:eastAsia="仿宋_GB2312"/>
          <w:sz w:val="24"/>
        </w:rPr>
      </w:pPr>
    </w:p>
    <w:p>
      <w:pPr>
        <w:ind w:firstLine="426"/>
        <w:rPr>
          <w:rFonts w:eastAsia="仿宋_GB2312"/>
          <w:sz w:val="24"/>
        </w:rPr>
      </w:pPr>
      <w:r>
        <w:rPr>
          <w:rFonts w:eastAsia="仿宋_GB2312"/>
          <w:sz w:val="24"/>
        </w:rPr>
        <w:t>我方的控股股东如下：</w:t>
      </w:r>
    </w:p>
    <w:p>
      <w:pPr>
        <w:ind w:firstLine="426"/>
        <w:rPr>
          <w:rFonts w:eastAsia="仿宋_GB2312"/>
          <w:sz w:val="24"/>
        </w:rPr>
      </w:pPr>
    </w:p>
    <w:p>
      <w:pPr>
        <w:ind w:firstLine="426"/>
        <w:rPr>
          <w:rFonts w:eastAsia="仿宋_GB2312"/>
          <w:sz w:val="24"/>
        </w:rPr>
      </w:pPr>
      <w:r>
        <w:rPr>
          <w:rFonts w:eastAsia="仿宋_GB2312"/>
          <w:sz w:val="24"/>
        </w:rPr>
        <w:t>我方直接控股的企业如下：</w:t>
      </w:r>
    </w:p>
    <w:p>
      <w:pPr>
        <w:ind w:firstLine="426"/>
        <w:rPr>
          <w:rFonts w:eastAsia="仿宋_GB2312"/>
          <w:sz w:val="24"/>
        </w:rPr>
      </w:pPr>
    </w:p>
    <w:p>
      <w:pPr>
        <w:ind w:firstLine="426"/>
        <w:rPr>
          <w:rFonts w:eastAsia="仿宋_GB2312"/>
          <w:sz w:val="24"/>
        </w:rPr>
      </w:pPr>
      <w:r>
        <w:rPr>
          <w:rFonts w:eastAsia="仿宋_GB2312"/>
          <w:sz w:val="24"/>
        </w:rPr>
        <w:t>与我方存在管理、被管理关系的单位名称如下：</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ind w:firstLine="420" w:firstLineChars="200"/>
        <w:rPr>
          <w:rFonts w:eastAsia="仿宋_GB2312"/>
          <w:szCs w:val="21"/>
        </w:rPr>
      </w:pPr>
    </w:p>
    <w:p>
      <w:pPr>
        <w:ind w:firstLine="420" w:firstLineChars="200"/>
        <w:rPr>
          <w:rFonts w:eastAsia="仿宋_GB2312"/>
          <w:szCs w:val="21"/>
        </w:rPr>
      </w:pPr>
    </w:p>
    <w:p>
      <w:pPr>
        <w:ind w:firstLine="420" w:firstLineChars="200"/>
        <w:rPr>
          <w:rFonts w:eastAsia="仿宋_GB2312"/>
          <w:szCs w:val="21"/>
        </w:rPr>
      </w:pPr>
    </w:p>
    <w:p>
      <w:pPr>
        <w:numPr>
          <w:ilvl w:val="1"/>
          <w:numId w:val="15"/>
        </w:numPr>
        <w:jc w:val="left"/>
        <w:outlineLvl w:val="2"/>
        <w:rPr>
          <w:rFonts w:eastAsia="仿宋_GB2312"/>
          <w:b/>
          <w:sz w:val="24"/>
          <w:szCs w:val="22"/>
        </w:rPr>
      </w:pPr>
      <w:bookmarkStart w:id="457" w:name="_Toc7005128"/>
      <w:r>
        <w:rPr>
          <w:rFonts w:eastAsia="仿宋_GB2312"/>
          <w:b/>
          <w:sz w:val="24"/>
          <w:szCs w:val="22"/>
        </w:rPr>
        <w:t xml:space="preserve"> 供应商是否属于为本项目提供整体设计、规范编制或者项目管理、监理、检测等服务的供应商声明</w:t>
      </w:r>
      <w:bookmarkEnd w:id="457"/>
    </w:p>
    <w:p>
      <w:pPr>
        <w:ind w:firstLine="420"/>
        <w:rPr>
          <w:rFonts w:eastAsia="仿宋_GB2312"/>
          <w:szCs w:val="21"/>
        </w:rPr>
      </w:pPr>
    </w:p>
    <w:p>
      <w:pPr>
        <w:spacing w:line="360" w:lineRule="auto"/>
        <w:rPr>
          <w:rFonts w:eastAsia="仿宋_GB2312"/>
          <w:szCs w:val="21"/>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pPr>
        <w:ind w:firstLine="426"/>
        <w:rPr>
          <w:rFonts w:eastAsia="仿宋_GB2312"/>
          <w:sz w:val="24"/>
        </w:rPr>
      </w:pPr>
    </w:p>
    <w:p>
      <w:pPr>
        <w:ind w:firstLine="426"/>
        <w:rPr>
          <w:rFonts w:eastAsia="仿宋_GB2312"/>
          <w:szCs w:val="21"/>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widowControl/>
        <w:jc w:val="left"/>
        <w:rPr>
          <w:rFonts w:eastAsia="仿宋_GB2312"/>
          <w:sz w:val="24"/>
          <w:szCs w:val="21"/>
          <w:u w:val="single"/>
        </w:rPr>
      </w:pPr>
    </w:p>
    <w:p>
      <w:pPr>
        <w:rPr>
          <w:rFonts w:eastAsia="仿宋_GB2312"/>
          <w:sz w:val="24"/>
        </w:rPr>
      </w:pPr>
    </w:p>
    <w:p>
      <w:pPr>
        <w:spacing w:after="120"/>
        <w:rPr>
          <w:rFonts w:eastAsia="仿宋_GB2312"/>
          <w:b/>
          <w:sz w:val="24"/>
        </w:rPr>
      </w:pPr>
      <w:bookmarkStart w:id="458" w:name="_Toc7005129"/>
      <w:r>
        <w:rPr>
          <w:rFonts w:eastAsia="仿宋_GB2312"/>
          <w:b/>
          <w:sz w:val="24"/>
        </w:rPr>
        <w:t>6-9证明供应商符合特定资格条件的证明材料</w:t>
      </w:r>
      <w:bookmarkEnd w:id="458"/>
      <w:r>
        <w:rPr>
          <w:rFonts w:eastAsia="仿宋_GB2312"/>
          <w:b/>
          <w:sz w:val="24"/>
        </w:rPr>
        <w:t>：</w:t>
      </w:r>
    </w:p>
    <w:p>
      <w:pPr>
        <w:pStyle w:val="23"/>
        <w:rPr>
          <w:rFonts w:ascii="Times New Roman" w:hAnsi="Times New Roman"/>
        </w:rPr>
      </w:pPr>
      <w:r>
        <w:rPr>
          <w:rFonts w:ascii="Times New Roman" w:hAnsi="Times New Roman"/>
        </w:rPr>
        <w:br w:type="page"/>
      </w:r>
    </w:p>
    <w:p>
      <w:pPr>
        <w:spacing w:after="120"/>
        <w:rPr>
          <w:rFonts w:eastAsia="仿宋_GB2312"/>
        </w:rPr>
      </w:pPr>
    </w:p>
    <w:p>
      <w:pPr>
        <w:pStyle w:val="195"/>
        <w:ind w:firstLine="6927" w:firstLineChars="2300"/>
        <w:rPr>
          <w:rFonts w:ascii="Times New Roman"/>
          <w:b/>
          <w:sz w:val="30"/>
          <w:szCs w:val="30"/>
          <w:lang w:val="zh-CN"/>
        </w:rPr>
      </w:pPr>
      <w:r>
        <w:rPr>
          <w:rFonts w:ascii="Times New Roman"/>
          <w:b/>
          <w:sz w:val="30"/>
          <w:szCs w:val="30"/>
          <w:lang w:val="zh-CN"/>
        </w:rPr>
        <w:t>正本/副本</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tabs>
          <w:tab w:val="left" w:pos="5670"/>
        </w:tabs>
        <w:autoSpaceDE w:val="0"/>
        <w:autoSpaceDN w:val="0"/>
        <w:adjustRightInd w:val="0"/>
        <w:snapToGrid w:val="0"/>
        <w:spacing w:line="360" w:lineRule="auto"/>
        <w:jc w:val="center"/>
        <w:rPr>
          <w:rFonts w:eastAsia="仿宋_GB2312"/>
          <w:sz w:val="19"/>
          <w:szCs w:val="19"/>
        </w:rPr>
      </w:pPr>
    </w:p>
    <w:p>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pPr>
        <w:tabs>
          <w:tab w:val="left" w:pos="5670"/>
        </w:tabs>
        <w:autoSpaceDE w:val="0"/>
        <w:autoSpaceDN w:val="0"/>
        <w:adjustRightInd w:val="0"/>
        <w:snapToGrid w:val="0"/>
        <w:spacing w:line="360" w:lineRule="auto"/>
        <w:jc w:val="center"/>
        <w:rPr>
          <w:rFonts w:eastAsia="仿宋_GB2312"/>
          <w:b/>
          <w:bCs/>
          <w:sz w:val="36"/>
          <w:szCs w:val="36"/>
          <w:lang w:val="zh-CN"/>
        </w:rPr>
      </w:pPr>
    </w:p>
    <w:p>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4"/>
        </w:rPr>
        <w:t>商务及技术文件</w:t>
      </w:r>
      <w:r>
        <w:rPr>
          <w:rFonts w:eastAsia="黑体"/>
          <w:b/>
          <w:bCs/>
          <w:sz w:val="32"/>
          <w:szCs w:val="32"/>
          <w:lang w:val="zh-CN"/>
        </w:rPr>
        <w:t>）</w:t>
      </w: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rPr>
          <w:rFonts w:eastAsia="仿宋_GB2312"/>
          <w:b/>
          <w:bCs/>
          <w:sz w:val="32"/>
          <w:szCs w:val="32"/>
          <w:lang w:val="zh-CN"/>
        </w:rPr>
      </w:pPr>
    </w:p>
    <w:p>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lang w:val="zh-CN"/>
        </w:rPr>
        <w:t>包  号：</w:t>
      </w:r>
      <w:r>
        <w:rPr>
          <w:rFonts w:eastAsia="仿宋_GB2312"/>
          <w:b/>
          <w:bCs/>
          <w:sz w:val="32"/>
          <w:szCs w:val="32"/>
          <w:u w:val="single"/>
        </w:rPr>
        <w:t xml:space="preserve">                </w:t>
      </w:r>
      <w:r>
        <w:rPr>
          <w:rFonts w:eastAsia="仿宋_GB2312"/>
          <w:b/>
          <w:bCs/>
          <w:sz w:val="32"/>
          <w:szCs w:val="32"/>
        </w:rPr>
        <w:t xml:space="preserve">   </w:t>
      </w:r>
    </w:p>
    <w:p>
      <w:pPr>
        <w:autoSpaceDE w:val="0"/>
        <w:autoSpaceDN w:val="0"/>
        <w:adjustRightInd w:val="0"/>
        <w:snapToGrid w:val="0"/>
        <w:spacing w:line="360" w:lineRule="auto"/>
        <w:rPr>
          <w:rFonts w:eastAsia="仿宋_GB2312"/>
          <w:sz w:val="30"/>
          <w:szCs w:val="30"/>
        </w:rPr>
      </w:pPr>
    </w:p>
    <w:p>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pPr>
        <w:autoSpaceDE w:val="0"/>
        <w:autoSpaceDN w:val="0"/>
        <w:adjustRightInd w:val="0"/>
        <w:snapToGrid w:val="0"/>
        <w:spacing w:line="360" w:lineRule="auto"/>
        <w:rPr>
          <w:rFonts w:eastAsia="仿宋_GB2312"/>
          <w:b/>
          <w:bCs/>
          <w:sz w:val="32"/>
          <w:szCs w:val="32"/>
        </w:rPr>
      </w:pPr>
    </w:p>
    <w:p>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pPr>
        <w:pStyle w:val="23"/>
        <w:rPr>
          <w:rFonts w:ascii="Times New Roman" w:hAnsi="Times New Roman"/>
        </w:rPr>
      </w:pPr>
      <w:r>
        <w:rPr>
          <w:rFonts w:ascii="Times New Roman" w:hAnsi="Times New Roman"/>
        </w:rPr>
        <w:br w:type="page"/>
      </w:r>
    </w:p>
    <w:p>
      <w:pPr>
        <w:pStyle w:val="4"/>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pPr>
        <w:spacing w:after="120"/>
        <w:ind w:firstLine="315" w:firstLineChars="150"/>
        <w:rPr>
          <w:rFonts w:eastAsia="仿宋_GB2312"/>
        </w:rPr>
      </w:pPr>
    </w:p>
    <w:p>
      <w:pPr>
        <w:spacing w:after="120" w:line="480" w:lineRule="auto"/>
        <w:ind w:firstLine="360" w:firstLineChars="150"/>
        <w:rPr>
          <w:rFonts w:eastAsia="仿宋_GB2312"/>
          <w:sz w:val="24"/>
        </w:rPr>
      </w:pPr>
      <w:r>
        <w:rPr>
          <w:rFonts w:eastAsia="仿宋_GB2312"/>
          <w:sz w:val="24"/>
        </w:rPr>
        <w:t>第一部分  磋商响应函</w:t>
      </w:r>
    </w:p>
    <w:p>
      <w:pPr>
        <w:spacing w:after="120" w:line="480" w:lineRule="auto"/>
        <w:ind w:firstLine="360" w:firstLineChars="150"/>
        <w:rPr>
          <w:rFonts w:eastAsia="仿宋_GB2312"/>
          <w:sz w:val="24"/>
        </w:rPr>
      </w:pPr>
      <w:r>
        <w:rPr>
          <w:rFonts w:eastAsia="仿宋_GB2312"/>
          <w:sz w:val="24"/>
        </w:rPr>
        <w:t xml:space="preserve">第二部分  磋商响应报价表 </w:t>
      </w:r>
    </w:p>
    <w:p>
      <w:pPr>
        <w:spacing w:after="120" w:line="480" w:lineRule="auto"/>
        <w:ind w:firstLine="360" w:firstLineChars="150"/>
        <w:rPr>
          <w:rFonts w:eastAsia="仿宋_GB2312"/>
          <w:sz w:val="24"/>
        </w:rPr>
      </w:pPr>
      <w:r>
        <w:rPr>
          <w:rFonts w:eastAsia="仿宋_GB2312"/>
          <w:sz w:val="24"/>
        </w:rPr>
        <w:t>第三部分  偏离表</w:t>
      </w:r>
    </w:p>
    <w:p>
      <w:pPr>
        <w:spacing w:after="120" w:line="480" w:lineRule="auto"/>
        <w:ind w:firstLine="360" w:firstLineChars="150"/>
        <w:rPr>
          <w:rFonts w:eastAsia="仿宋_GB2312"/>
          <w:sz w:val="24"/>
        </w:rPr>
      </w:pPr>
      <w:r>
        <w:rPr>
          <w:rFonts w:eastAsia="仿宋_GB2312"/>
          <w:sz w:val="24"/>
        </w:rPr>
        <w:t>第四部分  响应方案说明</w:t>
      </w:r>
    </w:p>
    <w:p>
      <w:pPr>
        <w:spacing w:after="120" w:line="480" w:lineRule="auto"/>
        <w:ind w:firstLine="360" w:firstLineChars="150"/>
        <w:rPr>
          <w:rFonts w:eastAsia="仿宋_GB2312"/>
          <w:sz w:val="24"/>
        </w:rPr>
      </w:pPr>
      <w:r>
        <w:rPr>
          <w:rFonts w:eastAsia="仿宋_GB2312"/>
          <w:sz w:val="24"/>
        </w:rPr>
        <w:t>第五部分  小微企业、监狱企业、残疾人福利单位声明函或证明</w:t>
      </w:r>
    </w:p>
    <w:p>
      <w:pPr>
        <w:pStyle w:val="23"/>
        <w:spacing w:line="480" w:lineRule="auto"/>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23"/>
        <w:ind w:firstLine="480"/>
        <w:rPr>
          <w:rFonts w:ascii="Times New Roman" w:hAnsi="Times New Roman" w:eastAsia="仿宋_GB2312"/>
          <w:sz w:val="24"/>
        </w:rPr>
      </w:pPr>
    </w:p>
    <w:p>
      <w:pPr>
        <w:pStyle w:val="4"/>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pPr>
        <w:autoSpaceDE w:val="0"/>
        <w:autoSpaceDN w:val="0"/>
        <w:adjustRightInd w:val="0"/>
        <w:snapToGrid w:val="0"/>
        <w:spacing w:line="312" w:lineRule="auto"/>
        <w:rPr>
          <w:rFonts w:eastAsia="仿宋_GB2312"/>
          <w:b/>
          <w:bCs/>
          <w:sz w:val="24"/>
          <w:lang w:val="zh-CN"/>
        </w:rPr>
      </w:pPr>
    </w:p>
    <w:p>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w:t>
      </w:r>
      <w:r>
        <w:rPr>
          <w:rFonts w:eastAsia="仿宋_GB2312"/>
          <w:sz w:val="24"/>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、愿意按照竞争性磋商文件中的要求，提供采购技术服务，完成合同的责任和义务。</w:t>
      </w:r>
    </w:p>
    <w:p>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eastAsia="仿宋_GB2312"/>
          <w:sz w:val="24"/>
        </w:rPr>
        <w:t xml:space="preserve">        </w:t>
      </w:r>
      <w:r>
        <w:rPr>
          <w:rFonts w:eastAsia="仿宋_GB2312"/>
          <w:sz w:val="24"/>
          <w:lang w:val="zh-CN"/>
        </w:rPr>
        <w:t>元），并对其后的磋商报价负法律责任。</w:t>
      </w:r>
    </w:p>
    <w:p>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、我方提交的响应文件正本一份、副本</w:t>
      </w:r>
      <w:r>
        <w:rPr>
          <w:rFonts w:eastAsia="仿宋_GB2312"/>
          <w:sz w:val="24"/>
          <w:u w:val="single"/>
          <w:lang w:val="zh-CN"/>
        </w:rPr>
        <w:t xml:space="preserve"> 两 </w:t>
      </w:r>
      <w:r>
        <w:rPr>
          <w:rFonts w:eastAsia="仿宋_GB2312"/>
          <w:sz w:val="24"/>
          <w:lang w:val="zh-CN"/>
        </w:rPr>
        <w:t>份。</w:t>
      </w:r>
    </w:p>
    <w:p>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pPr>
        <w:pStyle w:val="23"/>
        <w:rPr>
          <w:rFonts w:ascii="Times New Roman" w:hAnsi="Times New Roman" w:eastAsia="仿宋_GB2312"/>
        </w:rPr>
      </w:pPr>
    </w:p>
    <w:p>
      <w:pPr>
        <w:autoSpaceDE w:val="0"/>
        <w:autoSpaceDN w:val="0"/>
        <w:adjustRightInd w:val="0"/>
        <w:snapToGrid w:val="0"/>
        <w:spacing w:line="312" w:lineRule="auto"/>
        <w:rPr>
          <w:rFonts w:eastAsia="仿宋_GB2312"/>
          <w:sz w:val="24"/>
          <w:lang w:val="zh-CN"/>
        </w:rPr>
      </w:pPr>
      <w:r>
        <w:rPr>
          <w:rFonts w:eastAsia="仿宋_GB2312"/>
          <w:sz w:val="24"/>
          <w:lang w:val="zh-CN"/>
        </w:rPr>
        <w:t>供应商全称（公章）：</w:t>
      </w:r>
    </w:p>
    <w:p>
      <w:pPr>
        <w:pStyle w:val="23"/>
        <w:rPr>
          <w:rFonts w:ascii="Times New Roman" w:hAnsi="Times New Roman" w:eastAsia="仿宋_GB2312"/>
          <w:lang w:val="zh-CN"/>
        </w:rPr>
      </w:pPr>
    </w:p>
    <w:p>
      <w:pPr>
        <w:autoSpaceDE w:val="0"/>
        <w:autoSpaceDN w:val="0"/>
        <w:adjustRightInd w:val="0"/>
        <w:snapToGrid w:val="0"/>
        <w:spacing w:line="312" w:lineRule="auto"/>
        <w:rPr>
          <w:rFonts w:eastAsia="仿宋_GB2312"/>
          <w:sz w:val="24"/>
        </w:rPr>
      </w:pPr>
      <w:r>
        <w:rPr>
          <w:rFonts w:eastAsia="仿宋_GB2312"/>
          <w:sz w:val="24"/>
          <w:lang w:val="zh-CN"/>
        </w:rPr>
        <w:t>法定代表人或授权代表（签字）：</w:t>
      </w:r>
      <w:r>
        <w:rPr>
          <w:rFonts w:eastAsia="仿宋_GB2312"/>
          <w:sz w:val="24"/>
        </w:rPr>
        <w:t>______________________________</w:t>
      </w:r>
    </w:p>
    <w:p>
      <w:pPr>
        <w:pStyle w:val="23"/>
        <w:rPr>
          <w:rFonts w:ascii="Times New Roman" w:hAnsi="Times New Roman" w:eastAsia="仿宋_GB2312"/>
          <w:sz w:val="24"/>
        </w:rPr>
      </w:pPr>
      <w:r>
        <w:rPr>
          <w:rFonts w:ascii="Times New Roman" w:hAnsi="Times New Roman" w:eastAsia="仿宋_GB2312"/>
          <w:sz w:val="24"/>
        </w:rPr>
        <w:t xml:space="preserve">                 _____</w:t>
      </w:r>
      <w:r>
        <w:rPr>
          <w:rFonts w:ascii="Times New Roman" w:hAnsi="Times New Roman" w:eastAsia="仿宋_GB2312"/>
          <w:sz w:val="24"/>
          <w:lang w:val="zh-CN"/>
        </w:rPr>
        <w:t>年</w:t>
      </w:r>
      <w:r>
        <w:rPr>
          <w:rFonts w:ascii="Times New Roman" w:hAnsi="Times New Roman" w:eastAsia="仿宋_GB2312"/>
          <w:sz w:val="24"/>
        </w:rPr>
        <w:t>_____</w:t>
      </w:r>
      <w:r>
        <w:rPr>
          <w:rFonts w:ascii="Times New Roman" w:hAnsi="Times New Roman" w:eastAsia="仿宋_GB2312"/>
          <w:sz w:val="24"/>
          <w:lang w:val="zh-CN"/>
        </w:rPr>
        <w:t>月</w:t>
      </w:r>
      <w:r>
        <w:rPr>
          <w:rFonts w:ascii="Times New Roman" w:hAnsi="Times New Roman" w:eastAsia="仿宋_GB2312"/>
          <w:sz w:val="24"/>
        </w:rPr>
        <w:t>_____</w:t>
      </w:r>
      <w:r>
        <w:rPr>
          <w:rFonts w:ascii="Times New Roman" w:hAnsi="Times New Roman" w:eastAsia="仿宋_GB2312"/>
          <w:sz w:val="24"/>
          <w:lang w:val="zh-CN"/>
        </w:rPr>
        <w:t>日</w:t>
      </w:r>
    </w:p>
    <w:p>
      <w:pPr>
        <w:pStyle w:val="23"/>
        <w:rPr>
          <w:rFonts w:ascii="Times New Roman" w:hAnsi="Times New Roman" w:eastAsia="仿宋_GB2312"/>
        </w:rPr>
      </w:pPr>
    </w:p>
    <w:p>
      <w:pPr>
        <w:pStyle w:val="195"/>
        <w:ind w:firstLine="2640" w:firstLineChars="1100"/>
        <w:rPr>
          <w:rFonts w:ascii="Times New Roman" w:eastAsia="仿宋"/>
          <w:b/>
          <w:bCs/>
          <w:sz w:val="32"/>
          <w:szCs w:val="32"/>
        </w:rPr>
      </w:pPr>
      <w:bookmarkStart w:id="459" w:name="_Hlt520356241"/>
      <w:bookmarkEnd w:id="459"/>
      <w:r>
        <w:rPr>
          <w:rFonts w:ascii="Times New Roman"/>
        </w:rPr>
        <w:br w:type="page"/>
      </w:r>
      <w:bookmarkStart w:id="460" w:name="_Toc249515371"/>
      <w:bookmarkStart w:id="461" w:name="_Toc230583554"/>
      <w:bookmarkStart w:id="462" w:name="_Toc232176284"/>
      <w:bookmarkStart w:id="463" w:name="_Toc8496"/>
      <w:bookmarkStart w:id="464" w:name="_Toc249525252"/>
      <w:bookmarkStart w:id="465" w:name="_Toc232395224"/>
      <w:bookmarkStart w:id="466" w:name="_Toc256342154"/>
      <w:bookmarkStart w:id="467" w:name="_Toc415499901"/>
      <w:bookmarkStart w:id="468" w:name="_Toc230099805"/>
      <w:bookmarkStart w:id="469" w:name="_Toc230013640"/>
      <w:r>
        <w:rPr>
          <w:rFonts w:ascii="仿宋_GB2312" w:hAnsi="仿宋_GB2312" w:eastAsia="仿宋_GB2312" w:cs="仿宋_GB2312"/>
          <w:b/>
          <w:bCs/>
          <w:kern w:val="2"/>
          <w:sz w:val="32"/>
          <w:szCs w:val="32"/>
          <w:lang w:val="zh-CN"/>
        </w:rPr>
        <w:t>第二部分  磋商响应报价表</w:t>
      </w:r>
    </w:p>
    <w:p>
      <w:pPr>
        <w:autoSpaceDE w:val="0"/>
        <w:autoSpaceDN w:val="0"/>
        <w:adjustRightInd w:val="0"/>
        <w:snapToGrid w:val="0"/>
        <w:spacing w:line="360" w:lineRule="auto"/>
        <w:jc w:val="center"/>
        <w:rPr>
          <w:rFonts w:eastAsia="仿宋_GB2312"/>
          <w:b/>
          <w:bCs/>
          <w:sz w:val="32"/>
          <w:szCs w:val="32"/>
        </w:rPr>
      </w:pPr>
    </w:p>
    <w:p>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报价表</w:t>
      </w:r>
    </w:p>
    <w:p>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pPr>
              <w:pStyle w:val="23"/>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3"/>
              <w:rPr>
                <w:rFonts w:ascii="Times New Roman" w:hAnsi="Times New Roman" w:eastAsia="仿宋_GB2312"/>
                <w:sz w:val="24"/>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p>
          <w:p>
            <w:pPr>
              <w:pStyle w:val="23"/>
              <w:rPr>
                <w:rFonts w:ascii="Times New Roman" w:hAnsi="Times New Roman" w:eastAsia="仿宋_GB2312"/>
                <w:sz w:val="24"/>
                <w:u w:val="single"/>
              </w:rPr>
            </w:pPr>
            <w:r>
              <w:rPr>
                <w:rFonts w:ascii="Times New Roman" w:hAnsi="Times New Roman" w:eastAsia="仿宋_GB2312"/>
                <w:sz w:val="24"/>
              </w:rPr>
              <w:t xml:space="preserve">包号：（如有）          </w:t>
            </w:r>
            <w:r>
              <w:rPr>
                <w:rFonts w:ascii="Times New Roman" w:hAnsi="Times New Roman"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3"/>
              <w:jc w:val="center"/>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pPr>
              <w:pStyle w:val="23"/>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整（小写：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3"/>
              <w:jc w:val="center"/>
              <w:rPr>
                <w:rFonts w:ascii="Times New Roman" w:hAnsi="Times New Roman" w:eastAsia="仿宋_GB2312"/>
                <w:b/>
                <w:sz w:val="24"/>
              </w:rPr>
            </w:pPr>
            <w:r>
              <w:rPr>
                <w:rFonts w:hint="eastAsia" w:ascii="Times New Roman" w:hAnsi="Times New Roman" w:eastAsia="仿宋_GB2312"/>
                <w:b/>
                <w:sz w:val="24"/>
              </w:rPr>
              <w:t>服务周期</w:t>
            </w:r>
          </w:p>
        </w:tc>
        <w:tc>
          <w:tcPr>
            <w:tcW w:w="6697" w:type="dxa"/>
            <w:vAlign w:val="center"/>
          </w:tcPr>
          <w:p>
            <w:pPr>
              <w:pStyle w:val="23"/>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pPr>
              <w:pStyle w:val="23"/>
              <w:jc w:val="center"/>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pPr>
              <w:pStyle w:val="23"/>
              <w:rPr>
                <w:rFonts w:ascii="Times New Roman" w:hAnsi="Times New Roman" w:eastAsia="仿宋_GB2312"/>
                <w:sz w:val="24"/>
              </w:rPr>
            </w:pPr>
          </w:p>
        </w:tc>
      </w:tr>
    </w:tbl>
    <w:p>
      <w:pPr>
        <w:pStyle w:val="23"/>
        <w:rPr>
          <w:rFonts w:ascii="Times New Roman" w:hAnsi="Times New Roman" w:eastAsia="仿宋_GB2312"/>
          <w:lang w:val="zh-CN"/>
        </w:rPr>
      </w:pPr>
    </w:p>
    <w:p>
      <w:pPr>
        <w:autoSpaceDE w:val="0"/>
        <w:autoSpaceDN w:val="0"/>
        <w:adjustRightInd w:val="0"/>
        <w:snapToGrid w:val="0"/>
        <w:spacing w:line="360" w:lineRule="auto"/>
        <w:ind w:firstLine="1080" w:firstLineChars="45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pPr>
        <w:autoSpaceDE w:val="0"/>
        <w:autoSpaceDN w:val="0"/>
        <w:adjustRightInd w:val="0"/>
        <w:snapToGrid w:val="0"/>
        <w:spacing w:line="360" w:lineRule="auto"/>
        <w:ind w:firstLine="960" w:firstLineChars="400"/>
        <w:rPr>
          <w:rFonts w:eastAsia="仿宋_GB2312"/>
          <w:sz w:val="24"/>
          <w:lang w:val="zh-CN"/>
        </w:rPr>
      </w:pPr>
      <w:r>
        <w:rPr>
          <w:rFonts w:eastAsia="仿宋_GB2312"/>
          <w:sz w:val="24"/>
          <w:lang w:val="zh-CN"/>
        </w:rPr>
        <w:t>（公章）：                            （</w:t>
      </w:r>
      <w:r>
        <w:rPr>
          <w:rFonts w:eastAsia="仿宋_GB2312"/>
          <w:b/>
          <w:sz w:val="24"/>
          <w:lang w:val="zh-CN"/>
        </w:rPr>
        <w:t>签字</w:t>
      </w:r>
      <w:r>
        <w:rPr>
          <w:rFonts w:eastAsia="仿宋_GB2312"/>
          <w:sz w:val="24"/>
          <w:lang w:val="zh-CN"/>
        </w:rPr>
        <w:t>）：</w:t>
      </w: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ind w:firstLine="240" w:firstLineChars="10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 xml:space="preserve">年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pPr>
        <w:adjustRightInd w:val="0"/>
        <w:snapToGrid w:val="0"/>
        <w:spacing w:line="360" w:lineRule="auto"/>
        <w:jc w:val="center"/>
        <w:rPr>
          <w:rFonts w:eastAsia="仿宋_GB2312"/>
          <w:b/>
          <w:sz w:val="42"/>
        </w:rPr>
      </w:pPr>
    </w:p>
    <w:p>
      <w:pPr>
        <w:adjustRightInd w:val="0"/>
        <w:snapToGrid w:val="0"/>
        <w:spacing w:line="360" w:lineRule="auto"/>
        <w:jc w:val="center"/>
        <w:rPr>
          <w:rFonts w:eastAsia="仿宋_GB2312"/>
          <w:b/>
          <w:sz w:val="42"/>
        </w:rPr>
      </w:pPr>
    </w:p>
    <w:p>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（首次）分项报价表</w:t>
      </w:r>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r>
        <w:rPr>
          <w:rFonts w:eastAsia="仿宋_GB2312"/>
          <w:sz w:val="24"/>
        </w:rPr>
        <w:t>项目名称：</w:t>
      </w:r>
    </w:p>
    <w:tbl>
      <w:tblPr>
        <w:tblStyle w:val="50"/>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34"/>
        <w:gridCol w:w="2001"/>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134" w:type="dxa"/>
            <w:vAlign w:val="center"/>
          </w:tcPr>
          <w:p>
            <w:pPr>
              <w:adjustRightInd w:val="0"/>
              <w:snapToGrid w:val="0"/>
              <w:spacing w:line="360" w:lineRule="auto"/>
              <w:jc w:val="center"/>
              <w:rPr>
                <w:rFonts w:eastAsia="仿宋_GB2312"/>
                <w:sz w:val="24"/>
              </w:rPr>
            </w:pPr>
            <w:r>
              <w:rPr>
                <w:rFonts w:hint="eastAsia" w:eastAsia="仿宋_GB2312"/>
                <w:sz w:val="24"/>
              </w:rPr>
              <w:t>费用名称</w:t>
            </w:r>
          </w:p>
        </w:tc>
        <w:tc>
          <w:tcPr>
            <w:tcW w:w="2001" w:type="dxa"/>
            <w:vAlign w:val="center"/>
          </w:tcPr>
          <w:p>
            <w:pPr>
              <w:adjustRightInd w:val="0"/>
              <w:snapToGrid w:val="0"/>
              <w:spacing w:line="360" w:lineRule="auto"/>
              <w:jc w:val="center"/>
              <w:rPr>
                <w:rFonts w:eastAsia="仿宋_GB2312"/>
                <w:sz w:val="24"/>
              </w:rPr>
            </w:pPr>
            <w:r>
              <w:rPr>
                <w:rFonts w:hint="eastAsia" w:eastAsia="仿宋_GB2312"/>
                <w:sz w:val="24"/>
              </w:rPr>
              <w:t>费用明细</w:t>
            </w:r>
          </w:p>
          <w:p>
            <w:pPr>
              <w:adjustRightInd w:val="0"/>
              <w:snapToGrid w:val="0"/>
              <w:spacing w:line="360" w:lineRule="auto"/>
              <w:jc w:val="center"/>
              <w:rPr>
                <w:rFonts w:eastAsia="仿宋_GB2312"/>
                <w:sz w:val="24"/>
              </w:rPr>
            </w:pPr>
            <w:r>
              <w:rPr>
                <w:rFonts w:hint="eastAsia" w:eastAsia="仿宋_GB2312"/>
                <w:sz w:val="24"/>
              </w:rPr>
              <w:t>（详细内容）</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adjustRightInd w:val="0"/>
        <w:snapToGrid w:val="0"/>
        <w:spacing w:line="360" w:lineRule="auto"/>
        <w:ind w:firstLine="120" w:firstLineChars="50"/>
        <w:rPr>
          <w:rFonts w:eastAsia="仿宋_GB2312"/>
          <w:sz w:val="24"/>
        </w:rPr>
      </w:pPr>
      <w:r>
        <w:rPr>
          <w:rFonts w:eastAsia="仿宋_GB2312"/>
          <w:sz w:val="24"/>
        </w:rPr>
        <w:t>投标人                         法定代表人或授权代表</w:t>
      </w:r>
    </w:p>
    <w:p>
      <w:pPr>
        <w:adjustRightInd w:val="0"/>
        <w:snapToGrid w:val="0"/>
        <w:spacing w:line="360" w:lineRule="auto"/>
        <w:ind w:left="-525" w:leftChars="-250" w:firstLine="720" w:firstLineChars="300"/>
        <w:rPr>
          <w:rFonts w:eastAsia="仿宋_GB2312"/>
          <w:sz w:val="24"/>
        </w:rPr>
      </w:pPr>
      <w:r>
        <w:rPr>
          <w:rFonts w:eastAsia="仿宋_GB2312"/>
          <w:sz w:val="24"/>
        </w:rPr>
        <w:t>（公章）：                          （签字）：</w:t>
      </w:r>
    </w:p>
    <w:p>
      <w:pPr>
        <w:adjustRightInd w:val="0"/>
        <w:snapToGrid w:val="0"/>
        <w:spacing w:line="360" w:lineRule="auto"/>
        <w:jc w:val="center"/>
        <w:rPr>
          <w:rFonts w:eastAsia="仿宋_GB2312"/>
          <w:b/>
          <w:sz w:val="42"/>
        </w:rPr>
      </w:pPr>
    </w:p>
    <w:p>
      <w:pPr>
        <w:spacing w:line="288" w:lineRule="auto"/>
        <w:ind w:left="424" w:leftChars="202"/>
        <w:rPr>
          <w:rFonts w:eastAsia="仿宋_GB2312"/>
          <w:bCs/>
          <w:sz w:val="24"/>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pStyle w:val="23"/>
        <w:rPr>
          <w:rFonts w:ascii="Times New Roman" w:hAnsi="Times New Roman" w:eastAsia="仿宋_GB2312"/>
        </w:rPr>
      </w:pPr>
    </w:p>
    <w:p>
      <w:pPr>
        <w:rPr>
          <w:rFonts w:eastAsia="仿宋_GB2312"/>
          <w:b/>
          <w:sz w:val="28"/>
          <w:szCs w:val="28"/>
        </w:rPr>
      </w:pPr>
    </w:p>
    <w:p>
      <w:pPr>
        <w:pStyle w:val="23"/>
        <w:rPr>
          <w:rFonts w:ascii="Times New Roman" w:hAnsi="Times New Roman" w:eastAsia="仿宋_GB2312"/>
        </w:rPr>
      </w:pPr>
      <w:r>
        <w:rPr>
          <w:rFonts w:ascii="Times New Roman" w:hAnsi="Times New Roman" w:eastAsia="仿宋_GB2312"/>
        </w:rPr>
        <w:br w:type="page"/>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60"/>
      <w:bookmarkEnd w:id="461"/>
      <w:bookmarkEnd w:id="462"/>
      <w:bookmarkEnd w:id="463"/>
      <w:bookmarkEnd w:id="464"/>
      <w:bookmarkEnd w:id="465"/>
      <w:bookmarkEnd w:id="466"/>
      <w:bookmarkEnd w:id="467"/>
      <w:bookmarkEnd w:id="468"/>
      <w:bookmarkEnd w:id="469"/>
      <w:bookmarkStart w:id="470" w:name="_Toc389620242"/>
      <w:bookmarkStart w:id="471" w:name="_Toc499711088"/>
      <w:bookmarkStart w:id="472" w:name="_Toc177995484"/>
      <w:bookmarkStart w:id="473" w:name="_Toc70687203"/>
      <w:bookmarkStart w:id="474" w:name="_Toc385992402"/>
      <w:bookmarkStart w:id="475" w:name="_Toc177189246"/>
      <w:bookmarkStart w:id="476" w:name="_Toc492955460"/>
      <w:bookmarkStart w:id="477" w:name="_Toc230099806"/>
      <w:bookmarkStart w:id="478" w:name="_Toc232395225"/>
      <w:bookmarkStart w:id="479" w:name="_Toc232176285"/>
      <w:bookmarkStart w:id="480" w:name="_Toc249515372"/>
      <w:bookmarkStart w:id="481" w:name="_Toc499711929"/>
      <w:bookmarkStart w:id="482" w:name="_Toc249525253"/>
      <w:bookmarkStart w:id="483" w:name="_Toc176882553"/>
      <w:bookmarkStart w:id="484" w:name="_Toc225933091"/>
      <w:bookmarkStart w:id="485" w:name="_Toc83547687"/>
      <w:bookmarkStart w:id="486" w:name="_Toc256342155"/>
      <w:bookmarkStart w:id="487" w:name="_Toc500747011"/>
      <w:bookmarkStart w:id="488" w:name="_Toc53722866"/>
      <w:bookmarkStart w:id="489" w:name="_Toc496324624"/>
      <w:bookmarkStart w:id="490" w:name="_Toc500747107"/>
      <w:bookmarkStart w:id="491" w:name="_Toc230583555"/>
      <w:bookmarkStart w:id="492" w:name="_Toc500747234"/>
      <w:bookmarkStart w:id="493" w:name="_Toc184043059"/>
      <w:bookmarkStart w:id="494" w:name="_Toc503063459"/>
      <w:bookmarkStart w:id="495" w:name="_Toc177817345"/>
      <w:bookmarkStart w:id="496" w:name="_Toc230013641"/>
      <w:bookmarkStart w:id="497" w:name="_Toc415499902"/>
    </w:p>
    <w:p>
      <w:pPr>
        <w:pStyle w:val="4"/>
        <w:jc w:val="center"/>
        <w:rPr>
          <w:rFonts w:ascii="仿宋_GB2312" w:hAnsi="仿宋_GB2312" w:eastAsia="仿宋_GB2312" w:cs="仿宋_GB2312"/>
          <w:b/>
          <w:bCs/>
        </w:rPr>
      </w:pPr>
      <w:r>
        <w:rPr>
          <w:rFonts w:ascii="仿宋_GB2312" w:hAnsi="仿宋_GB2312" w:eastAsia="仿宋_GB2312" w:cs="仿宋_GB2312"/>
          <w:b/>
          <w:bCs/>
        </w:rPr>
        <w:t>第三部分  偏离表</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pPr>
        <w:pStyle w:val="23"/>
        <w:rPr>
          <w:rFonts w:ascii="Times New Roman" w:hAnsi="Times New Roman" w:eastAsia="仿宋_GB2312"/>
          <w:sz w:val="24"/>
        </w:rPr>
      </w:pPr>
      <w:r>
        <w:rPr>
          <w:rFonts w:ascii="Times New Roman" w:hAnsi="Times New Roman" w:eastAsia="仿宋_GB2312"/>
          <w:sz w:val="24"/>
        </w:rPr>
        <w:t>项目编号：</w:t>
      </w:r>
    </w:p>
    <w:p>
      <w:pPr>
        <w:pStyle w:val="23"/>
        <w:rPr>
          <w:rFonts w:ascii="Times New Roman" w:hAnsi="Times New Roman" w:eastAsia="仿宋_GB2312"/>
          <w:sz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2835"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磋商文件商务、合同条款</w:t>
            </w:r>
          </w:p>
        </w:tc>
        <w:tc>
          <w:tcPr>
            <w:tcW w:w="1701"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完全响应</w:t>
            </w:r>
          </w:p>
        </w:tc>
        <w:tc>
          <w:tcPr>
            <w:tcW w:w="1417"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有偏离</w:t>
            </w:r>
          </w:p>
        </w:tc>
        <w:tc>
          <w:tcPr>
            <w:tcW w:w="2195" w:type="dxa"/>
          </w:tcPr>
          <w:p>
            <w:pPr>
              <w:pStyle w:val="29"/>
              <w:jc w:val="center"/>
              <w:rPr>
                <w:rFonts w:ascii="Times New Roman" w:hAnsi="Times New Roman" w:eastAsia="仿宋_GB2312"/>
                <w:sz w:val="24"/>
                <w:szCs w:val="24"/>
              </w:rPr>
            </w:pPr>
            <w:r>
              <w:rPr>
                <w:rFonts w:ascii="Times New Roman" w:hAnsi="Times New Roman" w:eastAsia="仿宋_GB2312"/>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jc w:val="center"/>
              <w:rPr>
                <w:rFonts w:ascii="Times New Roman" w:hAnsi="Times New Roman" w:eastAsia="仿宋_GB2312"/>
                <w:sz w:val="24"/>
                <w:szCs w:val="24"/>
              </w:rPr>
            </w:pPr>
          </w:p>
        </w:tc>
        <w:tc>
          <w:tcPr>
            <w:tcW w:w="2835" w:type="dxa"/>
          </w:tcPr>
          <w:p>
            <w:pPr>
              <w:pStyle w:val="29"/>
              <w:jc w:val="center"/>
              <w:rPr>
                <w:rFonts w:ascii="Times New Roman" w:hAnsi="Times New Roman" w:eastAsia="仿宋_GB2312"/>
                <w:sz w:val="24"/>
                <w:szCs w:val="24"/>
              </w:rPr>
            </w:pPr>
          </w:p>
        </w:tc>
        <w:tc>
          <w:tcPr>
            <w:tcW w:w="1701" w:type="dxa"/>
          </w:tcPr>
          <w:p>
            <w:pPr>
              <w:pStyle w:val="29"/>
              <w:jc w:val="center"/>
              <w:rPr>
                <w:rFonts w:ascii="Times New Roman" w:hAnsi="Times New Roman" w:eastAsia="仿宋_GB2312"/>
                <w:sz w:val="24"/>
                <w:szCs w:val="24"/>
              </w:rPr>
            </w:pPr>
          </w:p>
        </w:tc>
        <w:tc>
          <w:tcPr>
            <w:tcW w:w="1417" w:type="dxa"/>
          </w:tcPr>
          <w:p>
            <w:pPr>
              <w:pStyle w:val="29"/>
              <w:jc w:val="center"/>
              <w:rPr>
                <w:rFonts w:ascii="Times New Roman" w:hAnsi="Times New Roman" w:eastAsia="仿宋_GB2312"/>
                <w:sz w:val="24"/>
                <w:szCs w:val="24"/>
              </w:rPr>
            </w:pPr>
          </w:p>
        </w:tc>
        <w:tc>
          <w:tcPr>
            <w:tcW w:w="2195" w:type="dxa"/>
          </w:tcPr>
          <w:p>
            <w:pPr>
              <w:pStyle w:val="29"/>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jc w:val="center"/>
              <w:rPr>
                <w:rFonts w:ascii="Times New Roman" w:hAnsi="Times New Roman" w:eastAsia="仿宋_GB2312"/>
                <w:sz w:val="24"/>
                <w:szCs w:val="24"/>
              </w:rPr>
            </w:pPr>
          </w:p>
        </w:tc>
        <w:tc>
          <w:tcPr>
            <w:tcW w:w="1417" w:type="dxa"/>
          </w:tcPr>
          <w:p>
            <w:pPr>
              <w:pStyle w:val="29"/>
              <w:ind w:left="1080" w:leftChars="257" w:hanging="540"/>
              <w:jc w:val="center"/>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vAlign w:val="center"/>
          </w:tcPr>
          <w:p>
            <w:pPr>
              <w:spacing w:line="360" w:lineRule="auto"/>
              <w:jc w:val="center"/>
              <w:rPr>
                <w:rFonts w:eastAsia="仿宋_GB2312"/>
                <w:bCs/>
                <w:sz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9"/>
              <w:ind w:left="1080" w:leftChars="257" w:hanging="540"/>
              <w:rPr>
                <w:rFonts w:ascii="Times New Roman" w:hAnsi="Times New Roman" w:eastAsia="仿宋_GB2312"/>
                <w:sz w:val="24"/>
                <w:szCs w:val="24"/>
              </w:rPr>
            </w:pPr>
          </w:p>
        </w:tc>
        <w:tc>
          <w:tcPr>
            <w:tcW w:w="2835" w:type="dxa"/>
          </w:tcPr>
          <w:p>
            <w:pPr>
              <w:pStyle w:val="29"/>
              <w:ind w:left="1080" w:leftChars="257" w:hanging="540"/>
              <w:rPr>
                <w:rFonts w:ascii="Times New Roman" w:hAnsi="Times New Roman" w:eastAsia="仿宋_GB2312"/>
                <w:sz w:val="24"/>
                <w:szCs w:val="24"/>
              </w:rPr>
            </w:pPr>
          </w:p>
        </w:tc>
        <w:tc>
          <w:tcPr>
            <w:tcW w:w="1701" w:type="dxa"/>
          </w:tcPr>
          <w:p>
            <w:pPr>
              <w:pStyle w:val="29"/>
              <w:ind w:left="1080" w:leftChars="257" w:hanging="540"/>
              <w:rPr>
                <w:rFonts w:ascii="Times New Roman" w:hAnsi="Times New Roman" w:eastAsia="仿宋_GB2312"/>
                <w:sz w:val="24"/>
                <w:szCs w:val="24"/>
              </w:rPr>
            </w:pPr>
          </w:p>
        </w:tc>
        <w:tc>
          <w:tcPr>
            <w:tcW w:w="1417" w:type="dxa"/>
          </w:tcPr>
          <w:p>
            <w:pPr>
              <w:pStyle w:val="29"/>
              <w:ind w:left="1080" w:leftChars="257" w:hanging="540"/>
              <w:rPr>
                <w:rFonts w:ascii="Times New Roman" w:hAnsi="Times New Roman" w:eastAsia="仿宋_GB2312"/>
                <w:sz w:val="24"/>
                <w:szCs w:val="24"/>
              </w:rPr>
            </w:pPr>
          </w:p>
        </w:tc>
        <w:tc>
          <w:tcPr>
            <w:tcW w:w="2195" w:type="dxa"/>
          </w:tcPr>
          <w:p>
            <w:pPr>
              <w:pStyle w:val="29"/>
              <w:ind w:left="1080" w:leftChars="257" w:hanging="540"/>
              <w:rPr>
                <w:rFonts w:ascii="Times New Roman" w:hAnsi="Times New Roman" w:eastAsia="仿宋_GB2312"/>
                <w:sz w:val="24"/>
                <w:szCs w:val="24"/>
              </w:rPr>
            </w:pPr>
          </w:p>
        </w:tc>
      </w:tr>
    </w:tbl>
    <w:p>
      <w:pPr>
        <w:pStyle w:val="29"/>
        <w:ind w:left="1080" w:leftChars="257" w:hanging="540"/>
        <w:rPr>
          <w:rFonts w:ascii="Times New Roman" w:hAnsi="Times New Roman" w:eastAsia="仿宋_GB2312"/>
          <w:sz w:val="24"/>
          <w:szCs w:val="24"/>
        </w:rPr>
      </w:pPr>
    </w:p>
    <w:p>
      <w:pPr>
        <w:spacing w:before="120" w:after="120" w:line="360" w:lineRule="auto"/>
        <w:ind w:firstLine="480" w:firstLineChars="200"/>
        <w:rPr>
          <w:rFonts w:eastAsia="仿宋_GB2312"/>
          <w:sz w:val="24"/>
          <w:u w:val="single"/>
        </w:rPr>
      </w:pPr>
      <w:r>
        <w:rPr>
          <w:rFonts w:eastAsia="仿宋_GB2312"/>
          <w:sz w:val="24"/>
        </w:rPr>
        <w:t xml:space="preserve">供应商（公章）： </w:t>
      </w:r>
      <w:r>
        <w:rPr>
          <w:rFonts w:eastAsia="仿宋_GB2312"/>
          <w:sz w:val="24"/>
          <w:u w:val="single"/>
        </w:rPr>
        <w:t xml:space="preserve">              </w:t>
      </w:r>
      <w:r>
        <w:rPr>
          <w:rFonts w:eastAsia="仿宋_GB2312"/>
          <w:sz w:val="24"/>
        </w:rPr>
        <w:t>法定代表人或其授权代表（签字或盖章）：</w:t>
      </w:r>
      <w:r>
        <w:rPr>
          <w:rFonts w:eastAsia="仿宋_GB2312"/>
          <w:sz w:val="24"/>
          <w:u w:val="single"/>
        </w:rPr>
        <w:t xml:space="preserve">                  </w:t>
      </w:r>
    </w:p>
    <w:p>
      <w:pPr>
        <w:spacing w:before="120" w:after="120" w:line="360" w:lineRule="auto"/>
        <w:ind w:firstLine="4320" w:firstLineChars="18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napToGrid w:val="0"/>
        <w:spacing w:after="120" w:afterLines="50"/>
        <w:ind w:left="910" w:leftChars="203" w:hanging="484" w:hangingChars="202"/>
        <w:rPr>
          <w:rFonts w:eastAsia="仿宋_GB2312"/>
        </w:rPr>
      </w:pPr>
      <w:r>
        <w:rPr>
          <w:rFonts w:eastAsia="仿宋_GB2312"/>
          <w:sz w:val="24"/>
        </w:rPr>
        <w:t>注：</w:t>
      </w:r>
      <w:r>
        <w:rPr>
          <w:rFonts w:eastAsia="仿宋_GB2312"/>
        </w:rPr>
        <w:tab/>
      </w:r>
      <w:r>
        <w:rPr>
          <w:rFonts w:eastAsia="仿宋_GB2312"/>
        </w:rPr>
        <w:t>1、对完全响应的，在下表相应列中标注“○”。对有偏离的条目在本表相应列中标注“正偏离”或“负偏离”，并在“偏离简述”栏中加以说明。</w:t>
      </w:r>
    </w:p>
    <w:p>
      <w:pPr>
        <w:snapToGrid w:val="0"/>
        <w:spacing w:after="120" w:afterLines="50"/>
        <w:ind w:left="842" w:leftChars="401"/>
        <w:rPr>
          <w:rFonts w:eastAsia="仿宋_GB2312"/>
        </w:rPr>
      </w:pPr>
      <w:r>
        <w:rPr>
          <w:rFonts w:eastAsia="仿宋_GB2312"/>
        </w:rPr>
        <w:t>2、正偏离是指应答的条件高于磋商文件要求，负偏离是指应答的条件低于磋商文件要求，正偏离项目不作扣分处理。</w:t>
      </w:r>
    </w:p>
    <w:p>
      <w:pPr>
        <w:snapToGrid w:val="0"/>
        <w:spacing w:after="120" w:afterLines="50"/>
        <w:ind w:left="842" w:leftChars="401"/>
        <w:rPr>
          <w:rFonts w:eastAsia="仿宋_GB2312"/>
        </w:rPr>
      </w:pPr>
      <w:r>
        <w:rPr>
          <w:rFonts w:eastAsia="仿宋_GB2312"/>
        </w:rPr>
        <w:t>3、供应商须完整填写响应表。如果未完整填写本表的各项内容则视作供应商已经对磋商文件相关要求和内容完全理解并同意，其报价为在此基础上的完全价格。</w:t>
      </w:r>
    </w:p>
    <w:p>
      <w:pPr>
        <w:snapToGrid w:val="0"/>
        <w:spacing w:after="120" w:afterLines="50"/>
        <w:ind w:left="842" w:leftChars="401"/>
        <w:rPr>
          <w:rFonts w:eastAsia="仿宋_GB2312"/>
        </w:rPr>
      </w:pPr>
      <w:r>
        <w:rPr>
          <w:rFonts w:eastAsia="仿宋_GB2312"/>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9"/>
        <w:ind w:left="1080" w:leftChars="257" w:hanging="540"/>
        <w:rPr>
          <w:rFonts w:ascii="Times New Roman" w:hAnsi="Times New Roman" w:eastAsia="仿宋_GB2312"/>
          <w:sz w:val="24"/>
          <w:szCs w:val="24"/>
        </w:rPr>
      </w:pPr>
    </w:p>
    <w:p>
      <w:pPr>
        <w:pStyle w:val="5"/>
        <w:jc w:val="center"/>
        <w:rPr>
          <w:rFonts w:ascii="Times New Roman" w:hAnsi="Times New Roman" w:eastAsia="仿宋_GB2312"/>
        </w:rPr>
      </w:pPr>
      <w:bookmarkStart w:id="498" w:name="_Toc416103825"/>
      <w:bookmarkStart w:id="499" w:name="_Toc410631184"/>
      <w:bookmarkStart w:id="500" w:name="_Toc7005136"/>
      <w:bookmarkStart w:id="501" w:name="_Toc414445775"/>
      <w:r>
        <w:rPr>
          <w:rFonts w:ascii="仿宋_GB2312" w:hAnsi="仿宋_GB2312" w:eastAsia="仿宋_GB2312" w:cs="仿宋_GB2312"/>
          <w:b/>
          <w:bCs/>
          <w:sz w:val="28"/>
          <w:szCs w:val="36"/>
        </w:rPr>
        <w:t>二、技术偏离表</w:t>
      </w:r>
      <w:bookmarkEnd w:id="498"/>
      <w:bookmarkEnd w:id="499"/>
      <w:bookmarkEnd w:id="500"/>
      <w:bookmarkEnd w:id="501"/>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3"/>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eastAsia="仿宋_GB2312"/>
                <w:sz w:val="24"/>
              </w:rPr>
            </w:pPr>
            <w:r>
              <w:rPr>
                <w:rFonts w:eastAsia="仿宋_GB2312"/>
                <w:sz w:val="24"/>
              </w:rPr>
              <w:t>磋商文件技术条款要求</w:t>
            </w:r>
          </w:p>
        </w:tc>
        <w:tc>
          <w:tcPr>
            <w:tcW w:w="1932" w:type="dxa"/>
          </w:tcPr>
          <w:p>
            <w:pPr>
              <w:spacing w:line="400" w:lineRule="exact"/>
              <w:jc w:val="center"/>
              <w:rPr>
                <w:rFonts w:eastAsia="仿宋_GB2312"/>
                <w:sz w:val="24"/>
              </w:rPr>
            </w:pPr>
            <w:r>
              <w:rPr>
                <w:rFonts w:hint="eastAsia" w:eastAsia="仿宋_GB2312"/>
                <w:sz w:val="24"/>
              </w:rPr>
              <w:t>供应商响应文件内容</w:t>
            </w:r>
          </w:p>
        </w:tc>
        <w:tc>
          <w:tcPr>
            <w:tcW w:w="1236" w:type="dxa"/>
          </w:tcPr>
          <w:p>
            <w:pPr>
              <w:spacing w:line="400" w:lineRule="exact"/>
              <w:jc w:val="center"/>
              <w:rPr>
                <w:rFonts w:eastAsia="仿宋_GB2312"/>
                <w:sz w:val="24"/>
              </w:rPr>
            </w:pPr>
            <w:r>
              <w:rPr>
                <w:rFonts w:eastAsia="仿宋_GB2312"/>
                <w:sz w:val="24"/>
              </w:rPr>
              <w:t>响应</w:t>
            </w:r>
            <w:r>
              <w:rPr>
                <w:rFonts w:hint="eastAsia" w:eastAsia="仿宋_GB2312"/>
                <w:sz w:val="24"/>
              </w:rPr>
              <w:t>情况</w:t>
            </w:r>
          </w:p>
        </w:tc>
        <w:tc>
          <w:tcPr>
            <w:tcW w:w="1236" w:type="dxa"/>
          </w:tcPr>
          <w:p>
            <w:pPr>
              <w:spacing w:line="400" w:lineRule="exact"/>
              <w:jc w:val="center"/>
              <w:rPr>
                <w:rFonts w:eastAsia="仿宋_GB2312"/>
                <w:sz w:val="24"/>
              </w:rPr>
            </w:pPr>
            <w:r>
              <w:rPr>
                <w:rFonts w:eastAsia="仿宋_GB2312"/>
                <w:sz w:val="24"/>
              </w:rPr>
              <w:t>有偏离</w:t>
            </w:r>
          </w:p>
        </w:tc>
        <w:tc>
          <w:tcPr>
            <w:tcW w:w="2394" w:type="dxa"/>
          </w:tcPr>
          <w:p>
            <w:pPr>
              <w:spacing w:line="400" w:lineRule="exact"/>
              <w:jc w:val="center"/>
              <w:rPr>
                <w:rFonts w:eastAsia="仿宋_GB2312"/>
                <w:sz w:val="24"/>
              </w:rPr>
            </w:pPr>
            <w:r>
              <w:rPr>
                <w:rFonts w:eastAsia="仿宋_GB2312"/>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eastAsia="仿宋_GB2312"/>
                <w:sz w:val="24"/>
              </w:rPr>
            </w:pPr>
          </w:p>
        </w:tc>
        <w:tc>
          <w:tcPr>
            <w:tcW w:w="1932" w:type="dxa"/>
          </w:tcPr>
          <w:p>
            <w:pPr>
              <w:spacing w:line="400" w:lineRule="exact"/>
              <w:rPr>
                <w:rFonts w:eastAsia="仿宋_GB2312"/>
                <w:bCs/>
                <w:sz w:val="24"/>
              </w:rPr>
            </w:pPr>
          </w:p>
        </w:tc>
        <w:tc>
          <w:tcPr>
            <w:tcW w:w="1236" w:type="dxa"/>
          </w:tcPr>
          <w:p>
            <w:pPr>
              <w:spacing w:line="400" w:lineRule="exact"/>
              <w:rPr>
                <w:rFonts w:eastAsia="仿宋_GB2312"/>
                <w:sz w:val="24"/>
              </w:rPr>
            </w:pPr>
          </w:p>
        </w:tc>
        <w:tc>
          <w:tcPr>
            <w:tcW w:w="1236" w:type="dxa"/>
          </w:tcPr>
          <w:p>
            <w:pPr>
              <w:spacing w:line="400" w:lineRule="exact"/>
              <w:rPr>
                <w:rFonts w:eastAsia="仿宋_GB2312"/>
                <w:sz w:val="24"/>
              </w:rPr>
            </w:pPr>
          </w:p>
        </w:tc>
        <w:tc>
          <w:tcPr>
            <w:tcW w:w="2394" w:type="dxa"/>
          </w:tcPr>
          <w:p>
            <w:pPr>
              <w:spacing w:line="400" w:lineRule="exact"/>
              <w:rPr>
                <w:rFonts w:eastAsia="仿宋_GB2312"/>
                <w:sz w:val="24"/>
              </w:rPr>
            </w:pPr>
          </w:p>
        </w:tc>
      </w:tr>
    </w:tbl>
    <w:p>
      <w:pPr>
        <w:spacing w:before="120" w:after="120" w:line="360" w:lineRule="auto"/>
        <w:ind w:firstLine="480" w:firstLineChars="200"/>
        <w:rPr>
          <w:rFonts w:eastAsia="仿宋_GB2312"/>
          <w:sz w:val="24"/>
          <w:u w:val="single"/>
        </w:rPr>
      </w:pPr>
      <w:r>
        <w:rPr>
          <w:rFonts w:eastAsia="仿宋_GB2312"/>
          <w:sz w:val="24"/>
        </w:rPr>
        <w:t xml:space="preserve">供应商（公章）：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法定代表人或其授权代表（签字或盖章）：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pacing w:line="360" w:lineRule="auto"/>
        <w:rPr>
          <w:rFonts w:eastAsia="仿宋_GB2312"/>
        </w:rPr>
      </w:pPr>
    </w:p>
    <w:p>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对响应</w:t>
      </w:r>
      <w:r>
        <w:rPr>
          <w:rFonts w:hint="eastAsia" w:eastAsia="仿宋_GB2312"/>
        </w:rPr>
        <w:t>情况</w:t>
      </w:r>
      <w:r>
        <w:rPr>
          <w:rFonts w:eastAsia="仿宋_GB2312"/>
        </w:rPr>
        <w:t>条目在本表相应列中标注“</w:t>
      </w:r>
      <w:r>
        <w:rPr>
          <w:rFonts w:hint="eastAsia" w:eastAsia="仿宋_GB2312"/>
        </w:rPr>
        <w:t>√</w:t>
      </w:r>
      <w:r>
        <w:rPr>
          <w:rFonts w:eastAsia="仿宋_GB2312"/>
        </w:rPr>
        <w:t>”。对有偏离的条目在本表相应列中标注“正偏离”或“负偏离”。并在“偏离简述”栏中加以说明。</w:t>
      </w:r>
    </w:p>
    <w:p>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eastAsia="仿宋_GB2312"/>
        </w:rPr>
      </w:pPr>
      <w:r>
        <w:rPr>
          <w:rFonts w:eastAsia="仿宋_GB2312"/>
        </w:rPr>
        <w:t>3</w:t>
      </w:r>
      <w:r>
        <w:rPr>
          <w:rFonts w:eastAsia="仿宋_GB2312"/>
        </w:rPr>
        <w:tab/>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eastAsia="仿宋_GB2312"/>
        </w:rPr>
      </w:pPr>
      <w:r>
        <w:rPr>
          <w:rFonts w:eastAsia="仿宋_GB2312"/>
        </w:rPr>
        <w:t>4</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eastAsia="仿宋_GB2312"/>
          <w:b/>
          <w:sz w:val="32"/>
          <w:szCs w:val="32"/>
        </w:rPr>
      </w:pPr>
    </w:p>
    <w:p>
      <w:pPr>
        <w:autoSpaceDE w:val="0"/>
        <w:autoSpaceDN w:val="0"/>
        <w:adjustRightInd w:val="0"/>
        <w:snapToGrid w:val="0"/>
        <w:spacing w:line="360" w:lineRule="auto"/>
        <w:jc w:val="center"/>
        <w:rPr>
          <w:rFonts w:eastAsia="仿宋_GB2312"/>
          <w:b/>
          <w:bCs/>
          <w:sz w:val="24"/>
        </w:rPr>
      </w:pPr>
      <w:r>
        <w:rPr>
          <w:rFonts w:eastAsia="仿宋_GB2312"/>
        </w:rPr>
        <w:br w:type="page"/>
      </w:r>
    </w:p>
    <w:p>
      <w:pPr>
        <w:pStyle w:val="4"/>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pPr>
        <w:pStyle w:val="23"/>
        <w:rPr>
          <w:rFonts w:ascii="Times New Roman" w:hAnsi="Times New Roman" w:eastAsia="仿宋_GB2312"/>
          <w:lang w:val="zh-CN"/>
        </w:rPr>
      </w:pPr>
    </w:p>
    <w:p>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pPr>
        <w:pStyle w:val="23"/>
        <w:rPr>
          <w:rFonts w:ascii="Times New Roman" w:hAnsi="Times New Roman" w:eastAsia="仿宋_GB2312"/>
          <w:lang w:val="zh-CN"/>
        </w:rPr>
      </w:pPr>
      <w:r>
        <w:rPr>
          <w:rFonts w:ascii="Times New Roman" w:hAnsi="Times New Roman" w:eastAsia="仿宋_GB2312"/>
          <w:lang w:val="zh-CN"/>
        </w:rPr>
        <w:br w:type="page"/>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pStyle w:val="4"/>
        <w:rPr>
          <w:rFonts w:ascii="仿宋_GB2312" w:hAnsi="仿宋_GB2312" w:eastAsia="仿宋_GB2312" w:cs="仿宋_GB2312"/>
          <w:b/>
          <w:bCs/>
        </w:rPr>
      </w:pPr>
      <w:r>
        <w:rPr>
          <w:rFonts w:ascii="仿宋_GB2312" w:hAnsi="仿宋_GB2312" w:eastAsia="仿宋_GB2312" w:cs="仿宋_GB2312"/>
          <w:b/>
          <w:bCs/>
        </w:rPr>
        <w:t>第五部分 小微企业、监狱企业、残疾人福利单位声明函或证明</w:t>
      </w:r>
      <w:bookmarkStart w:id="502" w:name="_Toc7005133"/>
    </w:p>
    <w:p>
      <w:pPr>
        <w:pStyle w:val="195"/>
        <w:rPr>
          <w:rFonts w:ascii="Times New Roman" w:eastAsia="仿宋"/>
          <w:b/>
          <w:bCs/>
          <w:sz w:val="32"/>
          <w:szCs w:val="32"/>
        </w:rPr>
      </w:pPr>
    </w:p>
    <w:p>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中小企业声明函(服务)</w:t>
      </w:r>
    </w:p>
    <w:p>
      <w:pPr>
        <w:rPr>
          <w:rFonts w:eastAsia="仿宋_GB2312"/>
          <w:kern w:val="0"/>
          <w:sz w:val="30"/>
          <w:szCs w:val="30"/>
        </w:rPr>
      </w:pPr>
    </w:p>
    <w:p>
      <w:pPr>
        <w:spacing w:line="560" w:lineRule="exact"/>
        <w:ind w:firstLine="480" w:firstLineChars="200"/>
        <w:rPr>
          <w:rFonts w:eastAsia="仿宋_GB2312"/>
          <w:kern w:val="0"/>
          <w:sz w:val="24"/>
        </w:rPr>
      </w:pPr>
      <w:r>
        <w:rPr>
          <w:rFonts w:eastAsia="仿宋_GB2312"/>
          <w:kern w:val="0"/>
          <w:sz w:val="24"/>
        </w:rPr>
        <w:t>本公司(联合体)郑重声明，根据《政府采购促进中小企业发展管理办法》(财库(2020)46号)的规定，本公司(联合体)参加</w:t>
      </w:r>
      <w:r>
        <w:rPr>
          <w:rFonts w:eastAsia="仿宋_GB2312"/>
          <w:kern w:val="0"/>
          <w:sz w:val="24"/>
          <w:u w:val="single"/>
        </w:rPr>
        <w:t xml:space="preserve">  (单位名称) </w:t>
      </w:r>
      <w:r>
        <w:rPr>
          <w:rFonts w:eastAsia="仿宋_GB2312"/>
          <w:kern w:val="0"/>
          <w:sz w:val="24"/>
        </w:rPr>
        <w:t xml:space="preserve"> 的</w:t>
      </w:r>
      <w:r>
        <w:rPr>
          <w:rFonts w:eastAsia="仿宋_GB2312"/>
          <w:kern w:val="0"/>
          <w:sz w:val="24"/>
          <w:u w:val="single"/>
        </w:rPr>
        <w:t xml:space="preserve"> (项目名称) 采购</w:t>
      </w:r>
      <w:r>
        <w:rPr>
          <w:rFonts w:eastAsia="仿宋_GB2312"/>
          <w:kern w:val="0"/>
          <w:sz w:val="24"/>
        </w:rPr>
        <w:t>活动，工程的施工单位全部为符合政策要求的中小企业(或者:服务全部由符合政策要求的中小企业承接)。相关企业(含联合体中的中小企业、签订分包意向协议的中小企业)的具体情况如下：</w:t>
      </w:r>
    </w:p>
    <w:p>
      <w:pPr>
        <w:pStyle w:val="67"/>
        <w:numPr>
          <w:ilvl w:val="0"/>
          <w:numId w:val="16"/>
        </w:numPr>
        <w:spacing w:line="560" w:lineRule="exact"/>
        <w:ind w:firstLineChars="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(标的名称)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(采购文件中明的所属行业) </w:t>
      </w:r>
      <w:r>
        <w:rPr>
          <w:rFonts w:ascii="Times New Roman" w:hAnsi="Times New Roman" w:eastAsia="仿宋_GB2312"/>
          <w:kern w:val="0"/>
          <w:sz w:val="24"/>
          <w:szCs w:val="24"/>
        </w:rPr>
        <w:t>；承建(承接)企业为</w:t>
      </w:r>
      <w:r>
        <w:rPr>
          <w:rFonts w:ascii="Times New Roman" w:hAnsi="Times New Roman" w:eastAsia="仿宋_GB2312"/>
          <w:kern w:val="0"/>
          <w:sz w:val="24"/>
          <w:szCs w:val="24"/>
          <w:u w:val="single"/>
        </w:rPr>
        <w:t xml:space="preserve"> (企业名称)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万元，属于</w:t>
      </w:r>
      <w:r>
        <w:rPr>
          <w:rFonts w:ascii="Times New Roman" w:hAnsi="Times New Roman" w:eastAsia="仿宋_GB2312"/>
          <w:kern w:val="0"/>
          <w:sz w:val="24"/>
          <w:szCs w:val="24"/>
          <w:u w:val="single"/>
        </w:rPr>
        <w:t xml:space="preserve"> (中型企必、小型企业、微型企业) </w:t>
      </w:r>
      <w:r>
        <w:rPr>
          <w:rFonts w:ascii="Times New Roman" w:hAnsi="Times New Roman" w:eastAsia="仿宋_GB2312"/>
          <w:kern w:val="0"/>
          <w:sz w:val="24"/>
          <w:szCs w:val="24"/>
        </w:rPr>
        <w:t>；</w:t>
      </w:r>
    </w:p>
    <w:p>
      <w:pPr>
        <w:spacing w:line="560" w:lineRule="exact"/>
        <w:ind w:firstLine="480" w:firstLineChars="200"/>
        <w:rPr>
          <w:rFonts w:eastAsia="仿宋_GB2312"/>
          <w:kern w:val="0"/>
          <w:sz w:val="24"/>
        </w:rPr>
      </w:pPr>
      <w:r>
        <w:rPr>
          <w:rFonts w:eastAsia="仿宋_GB2312"/>
          <w:kern w:val="0"/>
          <w:sz w:val="24"/>
        </w:rPr>
        <w:t xml:space="preserve">2. </w:t>
      </w:r>
      <w:r>
        <w:rPr>
          <w:rFonts w:eastAsia="仿宋_GB2312"/>
          <w:kern w:val="0"/>
          <w:sz w:val="24"/>
          <w:u w:val="single"/>
        </w:rPr>
        <w:t xml:space="preserve"> (标的名称) </w:t>
      </w:r>
      <w:r>
        <w:rPr>
          <w:rFonts w:eastAsia="仿宋_GB2312"/>
          <w:kern w:val="0"/>
          <w:sz w:val="24"/>
        </w:rPr>
        <w:t>，属于</w:t>
      </w:r>
      <w:r>
        <w:rPr>
          <w:rFonts w:eastAsia="仿宋_GB2312"/>
          <w:kern w:val="0"/>
          <w:sz w:val="24"/>
          <w:u w:val="single"/>
        </w:rPr>
        <w:t xml:space="preserve"> (采购文件中明的所属行业) </w:t>
      </w:r>
      <w:r>
        <w:rPr>
          <w:rFonts w:eastAsia="仿宋_GB2312"/>
          <w:kern w:val="0"/>
          <w:sz w:val="24"/>
        </w:rPr>
        <w:t>；承建(承接)企业为</w:t>
      </w:r>
      <w:r>
        <w:rPr>
          <w:rFonts w:eastAsia="仿宋_GB2312"/>
          <w:kern w:val="0"/>
          <w:sz w:val="24"/>
          <w:u w:val="single"/>
        </w:rPr>
        <w:t xml:space="preserve"> (企业名称)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(中型企必、小型企业、微型企业) </w:t>
      </w:r>
      <w:r>
        <w:rPr>
          <w:rFonts w:eastAsia="仿宋_GB2312"/>
          <w:kern w:val="0"/>
          <w:sz w:val="24"/>
        </w:rPr>
        <w:t>；</w:t>
      </w:r>
    </w:p>
    <w:p>
      <w:pPr>
        <w:spacing w:line="560" w:lineRule="exact"/>
        <w:ind w:firstLine="480" w:firstLineChars="200"/>
        <w:rPr>
          <w:rFonts w:eastAsia="仿宋_GB2312"/>
          <w:kern w:val="0"/>
          <w:sz w:val="24"/>
        </w:rPr>
      </w:pPr>
      <w:r>
        <w:rPr>
          <w:rFonts w:eastAsia="仿宋_GB2312"/>
          <w:kern w:val="0"/>
          <w:sz w:val="24"/>
        </w:rPr>
        <w:t>……</w:t>
      </w:r>
    </w:p>
    <w:p>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pPr>
        <w:spacing w:line="560" w:lineRule="exact"/>
        <w:rPr>
          <w:rFonts w:eastAsia="仿宋_GB2312"/>
          <w:kern w:val="0"/>
          <w:sz w:val="24"/>
        </w:rPr>
      </w:pPr>
      <w:r>
        <w:rPr>
          <w:rFonts w:eastAsia="仿宋_GB2312"/>
          <w:kern w:val="0"/>
          <w:sz w:val="24"/>
        </w:rPr>
        <w:t xml:space="preserve">                                  企业名称(盖章):</w:t>
      </w:r>
    </w:p>
    <w:p>
      <w:pPr>
        <w:spacing w:line="560" w:lineRule="exact"/>
        <w:ind w:firstLine="4320" w:firstLineChars="1800"/>
        <w:rPr>
          <w:rFonts w:eastAsia="仿宋_GB2312"/>
          <w:kern w:val="0"/>
          <w:sz w:val="24"/>
        </w:rPr>
      </w:pPr>
      <w:r>
        <w:rPr>
          <w:rFonts w:eastAsia="仿宋_GB2312"/>
          <w:kern w:val="0"/>
          <w:sz w:val="24"/>
        </w:rPr>
        <w:t>日期：</w:t>
      </w:r>
    </w:p>
    <w:p>
      <w:pPr>
        <w:spacing w:line="560" w:lineRule="exact"/>
        <w:ind w:firstLine="5400" w:firstLineChars="1800"/>
        <w:rPr>
          <w:rFonts w:eastAsia="仿宋_GB2312"/>
          <w:kern w:val="0"/>
          <w:sz w:val="30"/>
          <w:szCs w:val="30"/>
        </w:rPr>
      </w:pPr>
    </w:p>
    <w:p>
      <w:pPr>
        <w:rPr>
          <w:rFonts w:eastAsia="仿宋_GB2312"/>
          <w:kern w:val="0"/>
          <w:sz w:val="30"/>
          <w:szCs w:val="30"/>
          <w:u w:val="single"/>
        </w:rPr>
      </w:pPr>
      <w:r>
        <w:rPr>
          <w:rFonts w:eastAsia="仿宋_GB2312"/>
          <w:kern w:val="0"/>
          <w:sz w:val="30"/>
          <w:szCs w:val="30"/>
        </w:rPr>
        <w:t xml:space="preserve"> </w:t>
      </w:r>
      <w:r>
        <w:rPr>
          <w:rFonts w:eastAsia="仿宋_GB2312"/>
          <w:kern w:val="0"/>
          <w:sz w:val="30"/>
          <w:szCs w:val="30"/>
          <w:u w:val="single"/>
        </w:rPr>
        <w:t xml:space="preserve">                                                   </w:t>
      </w:r>
    </w:p>
    <w:p>
      <w:pPr>
        <w:pStyle w:val="5"/>
        <w:jc w:val="center"/>
        <w:rPr>
          <w:rFonts w:eastAsia="仿宋_GB2312"/>
          <w:b/>
          <w:sz w:val="28"/>
          <w:szCs w:val="28"/>
        </w:rPr>
      </w:pPr>
      <w:r>
        <w:rPr>
          <w:rFonts w:ascii="Times New Roman" w:hAnsi="Times New Roman" w:eastAsia="仿宋_GB2312"/>
          <w:kern w:val="0"/>
          <w:szCs w:val="21"/>
        </w:rPr>
        <w:t>（从业人员、营业收入、资产总额填报上一年度数据，无上一年度数据的新成立企业可不填报）</w:t>
      </w:r>
      <w:r>
        <w:rPr>
          <w:rFonts w:eastAsia="仿宋_GB2312"/>
          <w:b/>
          <w:sz w:val="28"/>
          <w:szCs w:val="28"/>
        </w:rPr>
        <w:br w:type="page"/>
      </w:r>
    </w:p>
    <w:bookmarkEnd w:id="502"/>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pPr>
        <w:spacing w:line="360" w:lineRule="auto"/>
        <w:rPr>
          <w:rFonts w:eastAsia="仿宋_GB2312"/>
          <w:b/>
          <w:kern w:val="0"/>
          <w:sz w:val="24"/>
          <w:szCs w:val="20"/>
        </w:rPr>
      </w:pP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单位名称（公章）：</w:t>
      </w:r>
      <w:r>
        <w:rPr>
          <w:rFonts w:eastAsia="仿宋_GB2312"/>
          <w:kern w:val="0"/>
          <w:sz w:val="24"/>
          <w:u w:val="single"/>
        </w:rPr>
        <w:t xml:space="preserve">             </w:t>
      </w:r>
    </w:p>
    <w:p>
      <w:pPr>
        <w:widowControl/>
        <w:spacing w:before="100" w:beforeAutospacing="1" w:after="100" w:afterAutospacing="1" w:line="360" w:lineRule="auto"/>
        <w:jc w:val="left"/>
        <w:rPr>
          <w:rFonts w:eastAsia="仿宋_GB2312"/>
          <w:kern w:val="0"/>
          <w:sz w:val="24"/>
        </w:rPr>
      </w:pPr>
      <w:r>
        <w:rPr>
          <w:rFonts w:eastAsia="仿宋_GB2312"/>
          <w:kern w:val="0"/>
          <w:sz w:val="24"/>
        </w:rPr>
        <w:t xml:space="preserve"> 　法定代表人或授权代表（签字）:  </w:t>
      </w:r>
      <w:r>
        <w:rPr>
          <w:rFonts w:eastAsia="仿宋_GB2312"/>
          <w:kern w:val="0"/>
          <w:sz w:val="24"/>
          <w:u w:val="single"/>
        </w:rPr>
        <w:t xml:space="preserve">           </w:t>
      </w:r>
      <w:r>
        <w:rPr>
          <w:rFonts w:eastAsia="仿宋_GB2312"/>
          <w:kern w:val="0"/>
          <w:sz w:val="24"/>
        </w:rPr>
        <w:t xml:space="preserve">           </w:t>
      </w:r>
    </w:p>
    <w:p>
      <w:pPr>
        <w:widowControl/>
        <w:spacing w:before="100" w:beforeAutospacing="1" w:after="100" w:afterAutospacing="1" w:line="360" w:lineRule="auto"/>
        <w:ind w:firstLine="240" w:firstLineChars="100"/>
        <w:jc w:val="left"/>
        <w:rPr>
          <w:rFonts w:eastAsia="仿宋_GB2312"/>
          <w:kern w:val="0"/>
          <w:sz w:val="24"/>
          <w:u w:val="single"/>
        </w:rPr>
      </w:pPr>
      <w:r>
        <w:rPr>
          <w:rFonts w:eastAsia="仿宋_GB2312"/>
          <w:kern w:val="0"/>
          <w:sz w:val="24"/>
        </w:rPr>
        <w:t>日　期：</w:t>
      </w:r>
      <w:r>
        <w:rPr>
          <w:rFonts w:eastAsia="仿宋_GB2312"/>
          <w:kern w:val="0"/>
          <w:sz w:val="24"/>
          <w:u w:val="single"/>
        </w:rPr>
        <w:t xml:space="preserve">             </w:t>
      </w:r>
    </w:p>
    <w:p>
      <w:pPr>
        <w:widowControl/>
        <w:spacing w:before="100" w:beforeAutospacing="1" w:after="100" w:afterAutospacing="1" w:line="360" w:lineRule="auto"/>
        <w:jc w:val="left"/>
        <w:rPr>
          <w:rFonts w:eastAsia="仿宋_GB2312"/>
          <w:kern w:val="0"/>
          <w:sz w:val="24"/>
          <w:u w:val="single"/>
        </w:rPr>
      </w:pPr>
    </w:p>
    <w:p>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pPr>
        <w:rPr>
          <w:rFonts w:eastAsia="仿宋_GB2312"/>
          <w:sz w:val="32"/>
          <w:szCs w:val="32"/>
        </w:rPr>
      </w:pPr>
    </w:p>
    <w:p>
      <w:pPr>
        <w:pStyle w:val="5"/>
        <w:jc w:val="center"/>
        <w:rPr>
          <w:rFonts w:ascii="Times New Roman" w:hAnsi="Times New Roman" w:eastAsia="仿宋_GB2312"/>
          <w:b/>
          <w:sz w:val="32"/>
          <w:szCs w:val="32"/>
        </w:rPr>
      </w:pPr>
      <w:bookmarkStart w:id="503"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03"/>
    </w:p>
    <w:p>
      <w:pPr>
        <w:spacing w:after="120"/>
        <w:rPr>
          <w:rFonts w:eastAsia="仿宋_GB2312"/>
        </w:rPr>
      </w:pPr>
    </w:p>
    <w:p>
      <w:pPr>
        <w:jc w:val="center"/>
        <w:rPr>
          <w:rFonts w:eastAsia="仿宋_GB2312"/>
          <w:sz w:val="24"/>
        </w:rPr>
      </w:pPr>
      <w:r>
        <w:rPr>
          <w:rFonts w:eastAsia="仿宋_GB2312"/>
          <w:sz w:val="24"/>
        </w:rPr>
        <w:t>（注：符合条件的残疾人福利性单位请提供本函，不符合的不提供本函）</w:t>
      </w:r>
    </w:p>
    <w:p>
      <w:pPr>
        <w:rPr>
          <w:rFonts w:eastAsia="仿宋_GB2312"/>
          <w:sz w:val="24"/>
        </w:rPr>
      </w:pPr>
    </w:p>
    <w:p>
      <w:pPr>
        <w:spacing w:line="360" w:lineRule="auto"/>
        <w:rPr>
          <w:rFonts w:eastAsia="仿宋_GB2312"/>
          <w:sz w:val="24"/>
        </w:rPr>
      </w:pPr>
    </w:p>
    <w:p>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pPr>
        <w:spacing w:line="360" w:lineRule="auto"/>
        <w:rPr>
          <w:rFonts w:eastAsia="仿宋_GB2312"/>
          <w:sz w:val="24"/>
        </w:rPr>
      </w:pPr>
    </w:p>
    <w:p>
      <w:pPr>
        <w:rPr>
          <w:rFonts w:eastAsia="仿宋_GB2312"/>
          <w:sz w:val="24"/>
        </w:rPr>
      </w:pPr>
      <w:r>
        <w:rPr>
          <w:rFonts w:eastAsia="仿宋_GB2312"/>
          <w:sz w:val="24"/>
        </w:rPr>
        <w:t xml:space="preserve"> </w:t>
      </w:r>
    </w:p>
    <w:p>
      <w:pPr>
        <w:rPr>
          <w:rFonts w:eastAsia="仿宋_GB2312"/>
          <w:sz w:val="24"/>
        </w:rPr>
      </w:pPr>
    </w:p>
    <w:p>
      <w:pPr>
        <w:rPr>
          <w:rFonts w:eastAsia="仿宋_GB2312"/>
          <w:sz w:val="24"/>
        </w:rPr>
      </w:pPr>
      <w:r>
        <w:rPr>
          <w:rFonts w:eastAsia="仿宋_GB2312"/>
          <w:sz w:val="24"/>
        </w:rPr>
        <w:t xml:space="preserve"> </w:t>
      </w:r>
    </w:p>
    <w:p>
      <w:pPr>
        <w:rPr>
          <w:rFonts w:eastAsia="仿宋_GB2312"/>
          <w:sz w:val="24"/>
        </w:rPr>
      </w:pPr>
    </w:p>
    <w:p>
      <w:pPr>
        <w:ind w:firstLine="3600" w:firstLineChars="1500"/>
        <w:rPr>
          <w:rFonts w:eastAsia="仿宋_GB2312"/>
          <w:sz w:val="24"/>
        </w:rPr>
      </w:pPr>
      <w:r>
        <w:rPr>
          <w:rFonts w:eastAsia="仿宋_GB2312"/>
          <w:sz w:val="24"/>
        </w:rPr>
        <w:t>单位名称（公章）：</w:t>
      </w:r>
    </w:p>
    <w:p>
      <w:pPr>
        <w:rPr>
          <w:rFonts w:eastAsia="仿宋_GB2312"/>
          <w:sz w:val="24"/>
        </w:rPr>
      </w:pPr>
    </w:p>
    <w:p>
      <w:pPr>
        <w:ind w:firstLine="3600" w:firstLineChars="1500"/>
        <w:rPr>
          <w:rFonts w:eastAsia="仿宋_GB2312"/>
          <w:sz w:val="24"/>
        </w:rPr>
      </w:pPr>
      <w:r>
        <w:rPr>
          <w:rFonts w:eastAsia="仿宋_GB2312"/>
          <w:sz w:val="24"/>
        </w:rPr>
        <w:t>日  期：</w:t>
      </w:r>
    </w:p>
    <w:p>
      <w:pPr>
        <w:rPr>
          <w:rFonts w:eastAsia="仿宋_GB2312"/>
          <w:sz w:val="24"/>
        </w:rPr>
      </w:pPr>
    </w:p>
    <w:p>
      <w:pPr>
        <w:snapToGrid w:val="0"/>
        <w:spacing w:before="120" w:beforeLines="50"/>
        <w:jc w:val="center"/>
        <w:rPr>
          <w:rFonts w:eastAsia="仿宋_GB2312"/>
          <w:b/>
          <w:sz w:val="24"/>
          <w:szCs w:val="21"/>
        </w:rPr>
      </w:pPr>
    </w:p>
    <w:p>
      <w:pPr>
        <w:widowControl/>
        <w:jc w:val="left"/>
        <w:rPr>
          <w:rFonts w:eastAsia="仿宋_GB2312"/>
          <w:sz w:val="24"/>
        </w:rPr>
      </w:pPr>
      <w:r>
        <w:rPr>
          <w:rFonts w:eastAsia="仿宋_GB2312"/>
          <w:sz w:val="24"/>
        </w:rPr>
        <w:br w:type="page"/>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pPr>
        <w:spacing w:line="360" w:lineRule="auto"/>
        <w:rPr>
          <w:rFonts w:eastAsia="仿宋_GB2312"/>
          <w:sz w:val="24"/>
        </w:rPr>
      </w:pPr>
    </w:p>
    <w:p>
      <w:pPr>
        <w:spacing w:line="360" w:lineRule="auto"/>
        <w:rPr>
          <w:rFonts w:eastAsia="仿宋_GB2312"/>
          <w:sz w:val="24"/>
        </w:rPr>
      </w:pPr>
      <w:r>
        <w:rPr>
          <w:rFonts w:eastAsia="仿宋_GB2312"/>
          <w:sz w:val="24"/>
        </w:rPr>
        <w:t>陕西省采购招标有限责任公司：</w:t>
      </w:r>
    </w:p>
    <w:p>
      <w:pPr>
        <w:spacing w:line="360" w:lineRule="auto"/>
        <w:ind w:firstLine="480" w:firstLineChars="200"/>
        <w:rPr>
          <w:rFonts w:eastAsia="仿宋_GB2312"/>
          <w:sz w:val="24"/>
        </w:rPr>
      </w:pPr>
      <w:r>
        <w:rPr>
          <w:rFonts w:eastAsia="仿宋_GB2312"/>
          <w:sz w:val="24"/>
        </w:rPr>
        <w:t>我方在此声明，我方以下事项进行承诺：</w:t>
      </w:r>
    </w:p>
    <w:p>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pPr>
        <w:spacing w:line="360" w:lineRule="auto"/>
        <w:ind w:firstLine="480" w:firstLineChars="200"/>
        <w:rPr>
          <w:rFonts w:eastAsia="仿宋_GB2312"/>
          <w:sz w:val="24"/>
        </w:rPr>
      </w:pPr>
      <w:r>
        <w:rPr>
          <w:rFonts w:eastAsia="仿宋_GB2312"/>
          <w:sz w:val="24"/>
        </w:rPr>
        <w:t>（4） 我公司没有处于被责令停产、停业、投标资格被取消状态；</w:t>
      </w:r>
    </w:p>
    <w:p>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pPr>
        <w:spacing w:line="360" w:lineRule="auto"/>
        <w:ind w:firstLine="480" w:firstLineChars="200"/>
        <w:rPr>
          <w:rFonts w:eastAsia="仿宋_GB2312"/>
          <w:sz w:val="24"/>
        </w:rPr>
      </w:pPr>
      <w:r>
        <w:rPr>
          <w:rFonts w:eastAsia="仿宋_GB2312"/>
          <w:sz w:val="24"/>
        </w:rPr>
        <w:t>特此承诺。</w:t>
      </w:r>
    </w:p>
    <w:p>
      <w:pPr>
        <w:spacing w:line="360" w:lineRule="auto"/>
        <w:ind w:firstLine="480" w:firstLineChars="200"/>
        <w:rPr>
          <w:rFonts w:eastAsia="仿宋_GB2312"/>
          <w:sz w:val="24"/>
        </w:rPr>
      </w:pPr>
    </w:p>
    <w:p>
      <w:pPr>
        <w:spacing w:before="120" w:after="120" w:line="360" w:lineRule="auto"/>
        <w:ind w:firstLine="480" w:firstLineChars="200"/>
        <w:rPr>
          <w:rFonts w:eastAsia="仿宋_GB2312"/>
          <w:sz w:val="24"/>
          <w:u w:val="single"/>
        </w:rPr>
      </w:pPr>
      <w:r>
        <w:rPr>
          <w:rFonts w:eastAsia="仿宋_GB2312"/>
          <w:sz w:val="24"/>
        </w:rPr>
        <w:t xml:space="preserve">供应商名称（公章）： </w:t>
      </w:r>
      <w:r>
        <w:rPr>
          <w:rFonts w:eastAsia="仿宋_GB2312"/>
          <w:sz w:val="24"/>
          <w:u w:val="single"/>
        </w:rPr>
        <w:t xml:space="preserve">              </w:t>
      </w:r>
    </w:p>
    <w:p>
      <w:pPr>
        <w:spacing w:before="120" w:after="120" w:line="360" w:lineRule="auto"/>
        <w:ind w:firstLine="480" w:firstLineChars="20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pStyle w:val="23"/>
        <w:rPr>
          <w:rFonts w:ascii="Times New Roman" w:hAnsi="Times New Roman"/>
        </w:rPr>
      </w:pPr>
      <w:r>
        <w:rPr>
          <w:rFonts w:ascii="Times New Roman" w:hAnsi="Times New Roman"/>
        </w:rPr>
        <w:br w:type="page"/>
      </w:r>
    </w:p>
    <w:p>
      <w:pPr>
        <w:pStyle w:val="5"/>
        <w:rPr>
          <w:rFonts w:ascii="仿宋_GB2312" w:hAnsi="仿宋_GB2312" w:eastAsia="仿宋_GB2312" w:cs="仿宋_GB2312"/>
          <w:b/>
          <w:bCs/>
          <w:sz w:val="28"/>
          <w:szCs w:val="36"/>
          <w:lang w:val="zh-CN"/>
        </w:rPr>
      </w:pPr>
      <w:r>
        <w:rPr>
          <w:rFonts w:hint="eastAsia" w:ascii="仿宋_GB2312" w:hAnsi="仿宋_GB2312" w:eastAsia="仿宋_GB2312" w:cs="仿宋_GB2312"/>
          <w:b/>
          <w:bCs/>
          <w:sz w:val="28"/>
          <w:szCs w:val="36"/>
          <w:lang w:val="zh-CN"/>
        </w:rPr>
        <w:t>附件</w:t>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（最后）磋商响应报价表</w:t>
      </w:r>
    </w:p>
    <w:p>
      <w:pPr>
        <w:spacing w:after="120"/>
        <w:rPr>
          <w:rFonts w:eastAsia="仿宋_GB2312"/>
          <w:lang w:val="zh-CN"/>
        </w:rPr>
      </w:pPr>
      <w:r>
        <w:rPr>
          <w:rFonts w:eastAsia="仿宋_GB2312"/>
        </w:rPr>
        <w:t xml:space="preserve">                      </w:t>
      </w:r>
      <w:r>
        <w:rPr>
          <w:rFonts w:eastAsia="仿宋_GB2312"/>
          <w:lang w:val="zh-CN"/>
        </w:rPr>
        <w:t>（随身携带，单独提供，无需装订在响应文件中）</w:t>
      </w:r>
    </w:p>
    <w:p>
      <w:pPr>
        <w:pStyle w:val="23"/>
        <w:rPr>
          <w:rFonts w:ascii="Times New Roman" w:hAnsi="Times New Roman"/>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spacing w:after="120"/>
              <w:rPr>
                <w:rFonts w:eastAsia="仿宋_GB2312"/>
                <w:b/>
                <w:sz w:val="24"/>
              </w:rPr>
            </w:pPr>
            <w:r>
              <w:rPr>
                <w:rFonts w:eastAsia="仿宋_GB2312"/>
                <w:sz w:val="24"/>
                <w:lang w:val="zh-CN"/>
              </w:rPr>
              <w:br w:type="page"/>
            </w:r>
            <w:r>
              <w:rPr>
                <w:rFonts w:eastAsia="仿宋_GB2312"/>
                <w:b/>
                <w:sz w:val="24"/>
              </w:rPr>
              <w:t>项目编号及项目名称</w:t>
            </w:r>
          </w:p>
        </w:tc>
        <w:tc>
          <w:tcPr>
            <w:tcW w:w="6981" w:type="dxa"/>
            <w:vAlign w:val="center"/>
          </w:tcPr>
          <w:p>
            <w:pPr>
              <w:spacing w:after="120"/>
              <w:rPr>
                <w:rFonts w:eastAsia="仿宋_GB2312"/>
                <w:sz w:val="24"/>
                <w:u w:val="single"/>
              </w:rPr>
            </w:pPr>
            <w:r>
              <w:rPr>
                <w:rFonts w:eastAsia="仿宋_GB2312"/>
                <w:sz w:val="24"/>
              </w:rPr>
              <w:t>项目编号：</w:t>
            </w:r>
            <w:r>
              <w:rPr>
                <w:rFonts w:eastAsia="仿宋_GB2312"/>
                <w:sz w:val="24"/>
                <w:u w:val="single"/>
              </w:rPr>
              <w:t xml:space="preserve">              </w:t>
            </w:r>
          </w:p>
          <w:p>
            <w:pPr>
              <w:spacing w:after="120"/>
              <w:rPr>
                <w:rFonts w:eastAsia="仿宋_GB2312"/>
                <w:sz w:val="24"/>
              </w:rPr>
            </w:pPr>
            <w:r>
              <w:rPr>
                <w:rFonts w:eastAsia="仿宋_GB2312"/>
                <w:sz w:val="24"/>
              </w:rPr>
              <w:t>项目名称：</w:t>
            </w:r>
            <w:r>
              <w:rPr>
                <w:rFonts w:eastAsia="仿宋_GB2312"/>
                <w:sz w:val="24"/>
                <w:u w:val="single"/>
              </w:rPr>
              <w:t xml:space="preserve"> </w:t>
            </w:r>
            <w:r>
              <w:rPr>
                <w:rFonts w:eastAsia="仿宋_GB2312"/>
                <w:sz w:val="24"/>
              </w:rPr>
              <w:t xml:space="preserve"> </w:t>
            </w:r>
          </w:p>
          <w:p>
            <w:pPr>
              <w:spacing w:after="120"/>
              <w:rPr>
                <w:rFonts w:eastAsia="仿宋_GB2312"/>
                <w:sz w:val="24"/>
                <w:u w:val="single"/>
              </w:rPr>
            </w:pPr>
            <w:r>
              <w:rPr>
                <w:rFonts w:eastAsia="仿宋_GB2312"/>
                <w:sz w:val="24"/>
              </w:rPr>
              <w:t xml:space="preserve">包号：（如有）          </w:t>
            </w:r>
            <w:r>
              <w:rPr>
                <w:rFonts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jc w:val="center"/>
              <w:rPr>
                <w:rFonts w:eastAsia="仿宋_GB2312"/>
                <w:b/>
                <w:sz w:val="24"/>
              </w:rPr>
            </w:pPr>
            <w:r>
              <w:rPr>
                <w:rFonts w:eastAsia="仿宋_GB2312"/>
                <w:b/>
                <w:sz w:val="24"/>
              </w:rPr>
              <w:t>响应总价</w:t>
            </w:r>
          </w:p>
        </w:tc>
        <w:tc>
          <w:tcPr>
            <w:tcW w:w="6981" w:type="dxa"/>
            <w:vAlign w:val="center"/>
          </w:tcPr>
          <w:p>
            <w:pPr>
              <w:spacing w:after="120"/>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整（小写：</w:t>
            </w:r>
            <w:r>
              <w:rPr>
                <w:rFonts w:eastAsia="宋体"/>
                <w:sz w:val="24"/>
              </w:rPr>
              <w:t>¥</w:t>
            </w:r>
            <w:r>
              <w:rPr>
                <w:rFonts w:eastAsia="仿宋_GB2312"/>
                <w:sz w:val="24"/>
                <w:u w:val="single"/>
              </w:rPr>
              <w:t xml:space="preserve">      </w:t>
            </w:r>
            <w:r>
              <w:rPr>
                <w:rFonts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eastAsia="仿宋_GB2312"/>
                <w:b/>
                <w:sz w:val="24"/>
              </w:rPr>
            </w:pPr>
            <w:r>
              <w:rPr>
                <w:rFonts w:hint="eastAsia" w:eastAsia="仿宋_GB2312"/>
                <w:b/>
                <w:sz w:val="24"/>
              </w:rPr>
              <w:t>服务周期</w:t>
            </w:r>
          </w:p>
        </w:tc>
        <w:tc>
          <w:tcPr>
            <w:tcW w:w="6981" w:type="dxa"/>
            <w:vAlign w:val="center"/>
          </w:tcPr>
          <w:p>
            <w:pPr>
              <w:spacing w:after="12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jc w:val="center"/>
              <w:rPr>
                <w:rFonts w:eastAsia="仿宋_GB2312"/>
                <w:b/>
                <w:sz w:val="24"/>
              </w:rPr>
            </w:pPr>
            <w:r>
              <w:rPr>
                <w:rFonts w:eastAsia="仿宋_GB2312"/>
                <w:b/>
                <w:sz w:val="24"/>
              </w:rPr>
              <w:t>备注</w:t>
            </w:r>
          </w:p>
        </w:tc>
        <w:tc>
          <w:tcPr>
            <w:tcW w:w="6981" w:type="dxa"/>
            <w:vAlign w:val="center"/>
          </w:tcPr>
          <w:p>
            <w:pPr>
              <w:spacing w:after="120"/>
              <w:rPr>
                <w:rFonts w:eastAsia="仿宋_GB2312"/>
                <w:sz w:val="24"/>
              </w:rPr>
            </w:pPr>
          </w:p>
        </w:tc>
      </w:tr>
    </w:tbl>
    <w:p>
      <w:pPr>
        <w:pStyle w:val="23"/>
        <w:rPr>
          <w:rFonts w:ascii="Times New Roman" w:hAnsi="Times New Roman"/>
          <w:lang w:val="zh-CN"/>
        </w:rPr>
      </w:pPr>
    </w:p>
    <w:p>
      <w:pPr>
        <w:autoSpaceDE w:val="0"/>
        <w:autoSpaceDN w:val="0"/>
        <w:adjustRightInd w:val="0"/>
        <w:snapToGrid w:val="0"/>
        <w:spacing w:line="360" w:lineRule="auto"/>
        <w:rPr>
          <w:rFonts w:eastAsia="仿宋_GB2312"/>
          <w:b/>
          <w:bCs/>
          <w:sz w:val="24"/>
        </w:rPr>
      </w:pPr>
    </w:p>
    <w:p>
      <w:pPr>
        <w:autoSpaceDE w:val="0"/>
        <w:autoSpaceDN w:val="0"/>
        <w:adjustRightInd w:val="0"/>
        <w:snapToGrid w:val="0"/>
        <w:spacing w:line="360" w:lineRule="auto"/>
        <w:rPr>
          <w:rFonts w:eastAsia="仿宋_GB2312"/>
          <w:sz w:val="24"/>
        </w:rPr>
      </w:pPr>
      <w:r>
        <w:rPr>
          <w:rFonts w:eastAsia="仿宋_GB2312"/>
          <w:b/>
          <w:bCs/>
          <w:sz w:val="24"/>
        </w:rPr>
        <w:t xml:space="preserve">                                                                                     </w:t>
      </w:r>
    </w:p>
    <w:p>
      <w:pPr>
        <w:autoSpaceDE w:val="0"/>
        <w:autoSpaceDN w:val="0"/>
        <w:adjustRightInd w:val="0"/>
        <w:snapToGrid w:val="0"/>
        <w:spacing w:line="360" w:lineRule="auto"/>
        <w:ind w:firstLine="1080" w:firstLineChars="45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pPr>
        <w:autoSpaceDE w:val="0"/>
        <w:autoSpaceDN w:val="0"/>
        <w:adjustRightInd w:val="0"/>
        <w:snapToGrid w:val="0"/>
        <w:spacing w:line="360" w:lineRule="auto"/>
        <w:ind w:firstLine="960" w:firstLineChars="400"/>
        <w:rPr>
          <w:rFonts w:eastAsia="仿宋_GB2312"/>
          <w:sz w:val="24"/>
          <w:lang w:val="zh-CN"/>
        </w:rPr>
      </w:pPr>
      <w:r>
        <w:rPr>
          <w:rFonts w:eastAsia="仿宋_GB2312"/>
          <w:sz w:val="24"/>
          <w:lang w:val="zh-CN"/>
        </w:rPr>
        <w:t>（公章）：                            （</w:t>
      </w:r>
      <w:r>
        <w:rPr>
          <w:rFonts w:eastAsia="仿宋_GB2312"/>
          <w:b/>
          <w:sz w:val="24"/>
          <w:lang w:val="zh-CN"/>
        </w:rPr>
        <w:t>签字</w:t>
      </w:r>
      <w:r>
        <w:rPr>
          <w:rFonts w:eastAsia="仿宋_GB2312"/>
          <w:sz w:val="24"/>
          <w:lang w:val="zh-CN"/>
        </w:rPr>
        <w:t>）：</w:t>
      </w: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rPr>
          <w:rFonts w:eastAsia="仿宋_GB2312"/>
          <w:sz w:val="24"/>
          <w:lang w:val="zh-CN"/>
        </w:rPr>
      </w:pPr>
    </w:p>
    <w:p>
      <w:pPr>
        <w:autoSpaceDE w:val="0"/>
        <w:autoSpaceDN w:val="0"/>
        <w:adjustRightInd w:val="0"/>
        <w:snapToGrid w:val="0"/>
        <w:spacing w:line="360" w:lineRule="auto"/>
        <w:ind w:firstLine="240" w:firstLineChars="10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 xml:space="preserve">年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pPr>
        <w:spacing w:after="120"/>
        <w:rPr>
          <w:rFonts w:eastAsia="仿宋_GB2312"/>
          <w:b/>
          <w:bCs/>
          <w:sz w:val="30"/>
          <w:szCs w:val="30"/>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r>
        <w:rPr>
          <w:rFonts w:eastAsia="仿宋_GB2312"/>
          <w:lang w:val="zh-CN"/>
        </w:rPr>
        <w:br w:type="page"/>
      </w:r>
    </w:p>
    <w:p>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（最后）分项报价表</w:t>
      </w:r>
    </w:p>
    <w:p>
      <w:pPr>
        <w:pStyle w:val="23"/>
        <w:rPr>
          <w:rFonts w:ascii="Times New Roman" w:hAnsi="Times New Roman"/>
        </w:rPr>
      </w:pPr>
      <w:r>
        <w:rPr>
          <w:rFonts w:ascii="Times New Roman" w:hAnsi="Times New Roman"/>
        </w:rPr>
        <w:t xml:space="preserve">                      （随身携带，单独提供，无需装订在响应文件中）</w:t>
      </w:r>
    </w:p>
    <w:p>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pPr>
        <w:pStyle w:val="23"/>
        <w:rPr>
          <w:rFonts w:ascii="Times New Roman" w:hAnsi="Times New Roman"/>
        </w:rPr>
      </w:pPr>
      <w:r>
        <w:rPr>
          <w:rFonts w:ascii="Times New Roman" w:hAnsi="Times New Roman" w:eastAsia="仿宋_GB2312"/>
          <w:sz w:val="24"/>
        </w:rPr>
        <w:t>项目名称：</w:t>
      </w:r>
    </w:p>
    <w:tbl>
      <w:tblPr>
        <w:tblStyle w:val="50"/>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34"/>
        <w:gridCol w:w="2001"/>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jc w:val="center"/>
              <w:rPr>
                <w:rFonts w:eastAsia="仿宋_GB2312"/>
                <w:sz w:val="24"/>
              </w:rPr>
            </w:pPr>
            <w:r>
              <w:rPr>
                <w:rFonts w:eastAsia="仿宋_GB2312"/>
                <w:sz w:val="24"/>
              </w:rPr>
              <w:t>序号</w:t>
            </w:r>
          </w:p>
        </w:tc>
        <w:tc>
          <w:tcPr>
            <w:tcW w:w="1134" w:type="dxa"/>
            <w:vAlign w:val="center"/>
          </w:tcPr>
          <w:p>
            <w:pPr>
              <w:adjustRightInd w:val="0"/>
              <w:snapToGrid w:val="0"/>
              <w:spacing w:line="360" w:lineRule="auto"/>
              <w:jc w:val="center"/>
              <w:rPr>
                <w:rFonts w:eastAsia="仿宋_GB2312"/>
                <w:sz w:val="24"/>
              </w:rPr>
            </w:pPr>
            <w:r>
              <w:rPr>
                <w:rFonts w:hint="eastAsia" w:eastAsia="仿宋_GB2312"/>
                <w:sz w:val="24"/>
              </w:rPr>
              <w:t>费用名称</w:t>
            </w:r>
          </w:p>
        </w:tc>
        <w:tc>
          <w:tcPr>
            <w:tcW w:w="2001" w:type="dxa"/>
            <w:vAlign w:val="center"/>
          </w:tcPr>
          <w:p>
            <w:pPr>
              <w:adjustRightInd w:val="0"/>
              <w:snapToGrid w:val="0"/>
              <w:spacing w:line="360" w:lineRule="auto"/>
              <w:jc w:val="center"/>
              <w:rPr>
                <w:rFonts w:eastAsia="仿宋_GB2312"/>
                <w:sz w:val="24"/>
              </w:rPr>
            </w:pPr>
            <w:r>
              <w:rPr>
                <w:rFonts w:hint="eastAsia" w:eastAsia="仿宋_GB2312"/>
                <w:sz w:val="24"/>
              </w:rPr>
              <w:t>费用明细</w:t>
            </w:r>
          </w:p>
          <w:p>
            <w:pPr>
              <w:adjustRightInd w:val="0"/>
              <w:snapToGrid w:val="0"/>
              <w:spacing w:line="360" w:lineRule="auto"/>
              <w:jc w:val="center"/>
              <w:rPr>
                <w:rFonts w:eastAsia="仿宋_GB2312"/>
                <w:sz w:val="24"/>
              </w:rPr>
            </w:pPr>
            <w:r>
              <w:rPr>
                <w:rFonts w:hint="eastAsia" w:eastAsia="仿宋_GB2312"/>
                <w:sz w:val="24"/>
              </w:rPr>
              <w:t>（详细内容）</w:t>
            </w:r>
          </w:p>
        </w:tc>
        <w:tc>
          <w:tcPr>
            <w:tcW w:w="992" w:type="dxa"/>
            <w:vAlign w:val="center"/>
          </w:tcPr>
          <w:p>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pPr>
              <w:adjustRightInd w:val="0"/>
              <w:snapToGrid w:val="0"/>
              <w:spacing w:line="360" w:lineRule="auto"/>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1"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2001" w:type="dxa"/>
          </w:tcPr>
          <w:p>
            <w:pPr>
              <w:adjustRightInd w:val="0"/>
              <w:snapToGrid w:val="0"/>
              <w:spacing w:line="360" w:lineRule="auto"/>
              <w:rPr>
                <w:rFonts w:eastAsia="仿宋_GB2312"/>
                <w:sz w:val="24"/>
              </w:rPr>
            </w:pPr>
          </w:p>
        </w:tc>
        <w:tc>
          <w:tcPr>
            <w:tcW w:w="992" w:type="dxa"/>
            <w:vAlign w:val="center"/>
          </w:tcPr>
          <w:p>
            <w:pPr>
              <w:adjustRightInd w:val="0"/>
              <w:snapToGrid w:val="0"/>
              <w:spacing w:line="360" w:lineRule="auto"/>
              <w:rPr>
                <w:rFonts w:eastAsia="仿宋_GB2312"/>
                <w:sz w:val="24"/>
              </w:rPr>
            </w:pPr>
          </w:p>
        </w:tc>
        <w:tc>
          <w:tcPr>
            <w:tcW w:w="1276" w:type="dxa"/>
            <w:vAlign w:val="center"/>
          </w:tcPr>
          <w:p>
            <w:pPr>
              <w:adjustRightInd w:val="0"/>
              <w:snapToGrid w:val="0"/>
              <w:spacing w:line="360" w:lineRule="auto"/>
              <w:rPr>
                <w:rFonts w:eastAsia="仿宋_GB2312"/>
                <w:sz w:val="24"/>
              </w:rPr>
            </w:pPr>
          </w:p>
        </w:tc>
        <w:tc>
          <w:tcPr>
            <w:tcW w:w="1134" w:type="dxa"/>
            <w:vAlign w:val="center"/>
          </w:tcPr>
          <w:p>
            <w:pPr>
              <w:adjustRightInd w:val="0"/>
              <w:snapToGrid w:val="0"/>
              <w:spacing w:line="360" w:lineRule="auto"/>
              <w:rPr>
                <w:rFonts w:eastAsia="仿宋_GB2312"/>
                <w:sz w:val="24"/>
              </w:rPr>
            </w:pPr>
          </w:p>
        </w:tc>
        <w:tc>
          <w:tcPr>
            <w:tcW w:w="708" w:type="dxa"/>
            <w:vAlign w:val="center"/>
          </w:tcPr>
          <w:p>
            <w:pPr>
              <w:adjustRightInd w:val="0"/>
              <w:snapToGrid w:val="0"/>
              <w:spacing w:line="360" w:lineRule="auto"/>
              <w:rPr>
                <w:rFonts w:eastAsia="仿宋_GB2312"/>
                <w:sz w:val="24"/>
              </w:rPr>
            </w:pPr>
          </w:p>
        </w:tc>
      </w:tr>
    </w:tbl>
    <w:p>
      <w:pPr>
        <w:autoSpaceDE w:val="0"/>
        <w:autoSpaceDN w:val="0"/>
        <w:adjustRightInd w:val="0"/>
        <w:snapToGrid w:val="0"/>
        <w:spacing w:before="120" w:line="360" w:lineRule="auto"/>
        <w:ind w:left="-206" w:leftChars="-98"/>
        <w:jc w:val="left"/>
        <w:rPr>
          <w:rFonts w:eastAsia="仿宋"/>
          <w:kern w:val="0"/>
          <w:sz w:val="24"/>
          <w:szCs w:val="28"/>
        </w:rPr>
      </w:pPr>
    </w:p>
    <w:p>
      <w:pPr>
        <w:adjustRightInd w:val="0"/>
        <w:snapToGrid w:val="0"/>
        <w:spacing w:line="360" w:lineRule="auto"/>
        <w:ind w:firstLine="120" w:firstLineChars="50"/>
        <w:rPr>
          <w:rFonts w:eastAsia="仿宋_GB2312"/>
          <w:sz w:val="24"/>
        </w:rPr>
      </w:pPr>
      <w:r>
        <w:rPr>
          <w:rFonts w:eastAsia="仿宋_GB2312"/>
          <w:sz w:val="24"/>
        </w:rPr>
        <w:t>投标人                         法定代表人或授权代表</w:t>
      </w:r>
    </w:p>
    <w:p>
      <w:pPr>
        <w:adjustRightInd w:val="0"/>
        <w:snapToGrid w:val="0"/>
        <w:spacing w:line="360" w:lineRule="auto"/>
        <w:ind w:left="-525" w:leftChars="-250" w:firstLine="720" w:firstLineChars="300"/>
        <w:rPr>
          <w:rFonts w:eastAsia="仿宋_GB2312"/>
          <w:sz w:val="24"/>
        </w:rPr>
      </w:pPr>
      <w:r>
        <w:rPr>
          <w:rFonts w:eastAsia="仿宋_GB2312"/>
          <w:sz w:val="24"/>
        </w:rPr>
        <w:t>（公章）：                          （签字）：</w:t>
      </w:r>
    </w:p>
    <w:p>
      <w:pPr>
        <w:adjustRightInd w:val="0"/>
        <w:snapToGrid w:val="0"/>
        <w:spacing w:line="360" w:lineRule="auto"/>
        <w:jc w:val="center"/>
        <w:rPr>
          <w:rFonts w:eastAsia="仿宋_GB2312"/>
          <w:b/>
          <w:sz w:val="42"/>
        </w:rPr>
      </w:pPr>
    </w:p>
    <w:p>
      <w:pPr>
        <w:spacing w:line="288" w:lineRule="auto"/>
        <w:ind w:left="424" w:leftChars="202"/>
        <w:rPr>
          <w:rFonts w:eastAsia="仿宋_GB2312"/>
          <w:bCs/>
          <w:sz w:val="24"/>
        </w:rPr>
      </w:pPr>
    </w:p>
    <w:p>
      <w:pPr>
        <w:pStyle w:val="23"/>
        <w:rPr>
          <w:rFonts w:ascii="Times New Roman" w:hAnsi="Times New Roman" w:eastAsia="仿宋_GB2312"/>
        </w:rPr>
      </w:pPr>
    </w:p>
    <w:p>
      <w:pPr>
        <w:rPr>
          <w:rFonts w:eastAsia="仿宋_GB2312"/>
          <w:b/>
          <w:sz w:val="28"/>
          <w:szCs w:val="28"/>
        </w:rPr>
      </w:pPr>
    </w:p>
    <w:p>
      <w:pPr>
        <w:pStyle w:val="23"/>
      </w:pPr>
    </w:p>
    <w:p>
      <w:pPr>
        <w:pStyle w:val="23"/>
      </w:pPr>
    </w:p>
    <w:p>
      <w:pPr>
        <w:pStyle w:val="23"/>
      </w:pPr>
    </w:p>
    <w:p>
      <w:pPr>
        <w:pStyle w:val="23"/>
      </w:pPr>
    </w:p>
    <w:p>
      <w:pPr>
        <w:pStyle w:val="23"/>
      </w:pPr>
    </w:p>
    <w:p>
      <w:pPr>
        <w:pStyle w:val="23"/>
      </w:pPr>
    </w:p>
    <w:p>
      <w:pPr>
        <w:pStyle w:val="23"/>
      </w:pPr>
    </w:p>
    <w:sectPr>
      <w:footerReference r:id="rId13" w:type="first"/>
      <w:footerReference r:id="rId12"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097" o:spid="_x0000_s2053" o:spt="1" style="position:absolute;left:0pt;margin-top:0pt;height:12.05pt;width:10.55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2"/>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w:t>
                </w:r>
                <w:r>
                  <w:rPr>
                    <w:rFonts w:ascii="Times New Roman" w:hAnsi="Times New Roman"/>
                    <w:sz w:val="21"/>
                    <w:szCs w:val="21"/>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098" o:spid="_x0000_s2052" o:spt="1" style="position:absolute;left:0pt;margin-top:0pt;height:12pt;width:9.85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2"/>
                </w:pPr>
                <w:r>
                  <w:fldChar w:fldCharType="begin"/>
                </w:r>
                <w:r>
                  <w:instrText xml:space="preserve"> PAGE  \* MERGEFORMAT </w:instrText>
                </w:r>
                <w:r>
                  <w:fldChar w:fldCharType="separate"/>
                </w:r>
                <w:r>
                  <w:t>49</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099" o:spid="_x0000_s2051"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100" o:spid="_x0000_s2050" o:spt="1" style="position:absolute;left:0pt;margin-top:0pt;height:12pt;width:9.85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2"/>
                </w:pPr>
                <w:r>
                  <w:fldChar w:fldCharType="begin"/>
                </w:r>
                <w:r>
                  <w:instrText xml:space="preserve"> PAGE  \* MERGEFORMAT </w:instrText>
                </w:r>
                <w:r>
                  <w:fldChar w:fldCharType="separate"/>
                </w:r>
                <w:r>
                  <w:t>57</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101" o:spid="_x0000_s204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2"/>
                </w:pPr>
                <w:r>
                  <w:fldChar w:fldCharType="begin"/>
                </w:r>
                <w:r>
                  <w:instrText xml:space="preserve"> PAGE  \* MERGEFORMAT </w:instrText>
                </w:r>
                <w:r>
                  <w:fldChar w:fldCharType="separate"/>
                </w:r>
                <w:r>
                  <w:rPr>
                    <w:rFonts w:hint="eastAsia"/>
                  </w:rP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0000002"/>
    <w:multiLevelType w:val="multilevel"/>
    <w:tmpl w:val="00000002"/>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26"/>
      <w:lvlText w:val=""/>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05"/>
    <w:multiLevelType w:val="singleLevel"/>
    <w:tmpl w:val="00000005"/>
    <w:lvl w:ilvl="0" w:tentative="0">
      <w:start w:val="5"/>
      <w:numFmt w:val="decimal"/>
      <w:suff w:val="space"/>
      <w:lvlText w:val="%1."/>
      <w:lvlJc w:val="left"/>
    </w:lvl>
  </w:abstractNum>
  <w:abstractNum w:abstractNumId="5">
    <w:nsid w:val="00000006"/>
    <w:multiLevelType w:val="multilevel"/>
    <w:tmpl w:val="00000006"/>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6">
    <w:nsid w:val="00000007"/>
    <w:multiLevelType w:val="singleLevel"/>
    <w:tmpl w:val="00000007"/>
    <w:lvl w:ilvl="0" w:tentative="0">
      <w:start w:val="21"/>
      <w:numFmt w:val="decimal"/>
      <w:suff w:val="space"/>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singleLevel"/>
    <w:tmpl w:val="00000009"/>
    <w:lvl w:ilvl="0" w:tentative="0">
      <w:start w:val="1"/>
      <w:numFmt w:val="decimal"/>
      <w:lvlText w:val="%1."/>
      <w:lvlJc w:val="left"/>
      <w:pPr>
        <w:ind w:left="425" w:hanging="425"/>
      </w:pPr>
      <w:rPr>
        <w:rFonts w:hint="default"/>
      </w:rPr>
    </w:lvl>
  </w:abstractNum>
  <w:abstractNum w:abstractNumId="9">
    <w:nsid w:val="0000000A"/>
    <w:multiLevelType w:val="singleLevel"/>
    <w:tmpl w:val="0000000A"/>
    <w:lvl w:ilvl="0" w:tentative="0">
      <w:start w:val="1"/>
      <w:numFmt w:val="decimal"/>
      <w:lvlText w:val="%1)"/>
      <w:lvlJc w:val="left"/>
      <w:pPr>
        <w:ind w:left="567" w:hanging="425"/>
      </w:pPr>
      <w:rPr>
        <w:rFonts w:hint="default"/>
      </w:rPr>
    </w:lvl>
  </w:abstractNum>
  <w:abstractNum w:abstractNumId="10">
    <w:nsid w:val="0000000B"/>
    <w:multiLevelType w:val="singleLevel"/>
    <w:tmpl w:val="0000000B"/>
    <w:lvl w:ilvl="0" w:tentative="0">
      <w:start w:val="25"/>
      <w:numFmt w:val="decimal"/>
      <w:suff w:val="space"/>
      <w:lvlText w:val="%1."/>
      <w:lvlJc w:val="left"/>
    </w:lvl>
  </w:abstractNum>
  <w:abstractNum w:abstractNumId="11">
    <w:nsid w:val="0000000C"/>
    <w:multiLevelType w:val="multilevel"/>
    <w:tmpl w:val="0000000C"/>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0D"/>
    <w:multiLevelType w:val="multilevel"/>
    <w:tmpl w:val="0000000D"/>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3">
    <w:nsid w:val="0000000E"/>
    <w:multiLevelType w:val="multilevel"/>
    <w:tmpl w:val="0000000E"/>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4">
    <w:nsid w:val="0000000F"/>
    <w:multiLevelType w:val="multilevel"/>
    <w:tmpl w:val="0000000F"/>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4595970"/>
    <w:multiLevelType w:val="singleLevel"/>
    <w:tmpl w:val="44595970"/>
    <w:lvl w:ilvl="0" w:tentative="0">
      <w:start w:val="30"/>
      <w:numFmt w:val="decimal"/>
      <w:suff w:val="space"/>
      <w:lvlText w:val="%1."/>
      <w:lvlJc w:val="left"/>
    </w:lvl>
  </w:abstractNum>
  <w:num w:numId="1">
    <w:abstractNumId w:val="1"/>
  </w:num>
  <w:num w:numId="2">
    <w:abstractNumId w:val="0"/>
  </w:num>
  <w:num w:numId="3">
    <w:abstractNumId w:val="11"/>
  </w:num>
  <w:num w:numId="4">
    <w:abstractNumId w:val="14"/>
  </w:num>
  <w:num w:numId="5">
    <w:abstractNumId w:val="4"/>
  </w:num>
  <w:num w:numId="6">
    <w:abstractNumId w:val="6"/>
  </w:num>
  <w:num w:numId="7">
    <w:abstractNumId w:val="10"/>
  </w:num>
  <w:num w:numId="8">
    <w:abstractNumId w:val="3"/>
  </w:num>
  <w:num w:numId="9">
    <w:abstractNumId w:val="15"/>
  </w:num>
  <w:num w:numId="10">
    <w:abstractNumId w:val="8"/>
  </w:num>
  <w:num w:numId="11">
    <w:abstractNumId w:val="9"/>
  </w:num>
  <w:num w:numId="12">
    <w:abstractNumId w:val="2"/>
  </w:num>
  <w:num w:numId="13">
    <w:abstractNumId w:val="7"/>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cwOTFkMzE3NTc2YTE0YzU5ODU1ZjdhNDYzMzM3YmMifQ=="/>
  </w:docVars>
  <w:rsids>
    <w:rsidRoot w:val="00663133"/>
    <w:rsid w:val="00106461"/>
    <w:rsid w:val="00110A9D"/>
    <w:rsid w:val="001838F1"/>
    <w:rsid w:val="00315042"/>
    <w:rsid w:val="005711DE"/>
    <w:rsid w:val="00663133"/>
    <w:rsid w:val="00664A3B"/>
    <w:rsid w:val="00714730"/>
    <w:rsid w:val="00927E5E"/>
    <w:rsid w:val="00A615D2"/>
    <w:rsid w:val="00CE6E80"/>
    <w:rsid w:val="00D03FBF"/>
    <w:rsid w:val="00F00F4D"/>
    <w:rsid w:val="00FC662A"/>
    <w:rsid w:val="512B09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2"/>
    <w:qFormat/>
    <w:uiPriority w:val="99"/>
    <w:pPr>
      <w:tabs>
        <w:tab w:val="left" w:pos="588"/>
      </w:tabs>
      <w:spacing w:line="360" w:lineRule="auto"/>
      <w:outlineLvl w:val="2"/>
    </w:pPr>
    <w:rPr>
      <w:rFonts w:ascii="Tahoma" w:hAnsi="Tahoma"/>
    </w:rPr>
  </w:style>
  <w:style w:type="paragraph" w:styleId="6">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link w:val="135"/>
    <w:qFormat/>
    <w:uiPriority w:val="0"/>
    <w:pPr>
      <w:spacing w:line="360" w:lineRule="auto"/>
      <w:ind w:firstLine="200" w:firstLineChars="200"/>
    </w:pPr>
    <w:rPr>
      <w:sz w:val="24"/>
      <w:szCs w:val="20"/>
    </w:rPr>
  </w:style>
  <w:style w:type="paragraph" w:styleId="16">
    <w:name w:val="caption"/>
    <w:basedOn w:val="1"/>
    <w:next w:val="1"/>
    <w:link w:val="93"/>
    <w:qFormat/>
    <w:uiPriority w:val="0"/>
    <w:pPr>
      <w:spacing w:line="480" w:lineRule="auto"/>
    </w:pPr>
    <w:rPr>
      <w:rFonts w:ascii="华文中宋" w:eastAsia="华文中宋"/>
      <w:sz w:val="36"/>
      <w:szCs w:val="20"/>
    </w:rPr>
  </w:style>
  <w:style w:type="paragraph" w:styleId="17">
    <w:name w:val="index 5"/>
    <w:basedOn w:val="1"/>
    <w:next w:val="1"/>
    <w:qFormat/>
    <w:uiPriority w:val="99"/>
    <w:pPr>
      <w:ind w:left="800" w:leftChars="800"/>
    </w:pPr>
    <w:rPr>
      <w:rFonts w:eastAsia="宋体"/>
    </w:rPr>
  </w:style>
  <w:style w:type="paragraph" w:styleId="18">
    <w:name w:val="Document Map"/>
    <w:basedOn w:val="1"/>
    <w:link w:val="129"/>
    <w:qFormat/>
    <w:uiPriority w:val="99"/>
    <w:pPr>
      <w:spacing w:line="440" w:lineRule="exact"/>
    </w:pPr>
    <w:rPr>
      <w:rFonts w:ascii="宋体"/>
      <w:sz w:val="18"/>
      <w:szCs w:val="18"/>
    </w:rPr>
  </w:style>
  <w:style w:type="paragraph" w:styleId="19">
    <w:name w:val="toa heading"/>
    <w:basedOn w:val="1"/>
    <w:next w:val="1"/>
    <w:qFormat/>
    <w:uiPriority w:val="99"/>
    <w:pPr>
      <w:spacing w:before="120"/>
    </w:pPr>
    <w:rPr>
      <w:rFonts w:ascii="Cambria" w:hAnsi="Cambria" w:eastAsia="宋体"/>
      <w:sz w:val="24"/>
    </w:rPr>
  </w:style>
  <w:style w:type="paragraph" w:styleId="20">
    <w:name w:val="annotation text"/>
    <w:basedOn w:val="1"/>
    <w:link w:val="99"/>
    <w:qFormat/>
    <w:uiPriority w:val="0"/>
    <w:pPr>
      <w:jc w:val="left"/>
    </w:pPr>
    <w:rPr>
      <w:rFonts w:ascii="Tahoma" w:hAnsi="Tahoma"/>
    </w:rPr>
  </w:style>
  <w:style w:type="paragraph" w:styleId="21">
    <w:name w:val="Salutation"/>
    <w:basedOn w:val="14"/>
    <w:next w:val="14"/>
    <w:link w:val="198"/>
    <w:qFormat/>
    <w:uiPriority w:val="0"/>
    <w:rPr>
      <w:rFonts w:ascii="..ì." w:eastAsia="..ì." w:cs="Times New Roman"/>
      <w:color w:val="auto"/>
      <w:szCs w:val="20"/>
    </w:rPr>
  </w:style>
  <w:style w:type="paragraph" w:styleId="22">
    <w:name w:val="Body Text 3"/>
    <w:basedOn w:val="1"/>
    <w:link w:val="206"/>
    <w:qFormat/>
    <w:uiPriority w:val="99"/>
    <w:pPr>
      <w:spacing w:after="120"/>
    </w:pPr>
    <w:rPr>
      <w:rFonts w:eastAsia="宋体"/>
      <w:sz w:val="16"/>
      <w:szCs w:val="16"/>
    </w:rPr>
  </w:style>
  <w:style w:type="paragraph" w:styleId="23">
    <w:name w:val="Body Text"/>
    <w:basedOn w:val="1"/>
    <w:link w:val="133"/>
    <w:qFormat/>
    <w:uiPriority w:val="99"/>
    <w:pPr>
      <w:spacing w:line="360" w:lineRule="auto"/>
    </w:pPr>
    <w:rPr>
      <w:rFonts w:ascii="Tahoma" w:hAnsi="Tahoma"/>
    </w:rPr>
  </w:style>
  <w:style w:type="paragraph" w:styleId="24">
    <w:name w:val="Body Text Indent"/>
    <w:basedOn w:val="1"/>
    <w:link w:val="165"/>
    <w:qFormat/>
    <w:uiPriority w:val="99"/>
    <w:pPr>
      <w:widowControl/>
      <w:spacing w:line="360" w:lineRule="auto"/>
      <w:ind w:firstLine="709"/>
      <w:jc w:val="left"/>
    </w:pPr>
    <w:rPr>
      <w:rFonts w:ascii="Tahoma" w:hAnsi="Tahoma"/>
    </w:rPr>
  </w:style>
  <w:style w:type="paragraph" w:styleId="25">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6">
    <w:name w:val="List Bullet 2"/>
    <w:basedOn w:val="1"/>
    <w:qFormat/>
    <w:uiPriority w:val="0"/>
    <w:pPr>
      <w:numPr>
        <w:ilvl w:val="1"/>
        <w:numId w:val="1"/>
      </w:numPr>
      <w:spacing w:line="360" w:lineRule="auto"/>
    </w:pPr>
    <w:rPr>
      <w:sz w:val="24"/>
      <w:szCs w:val="28"/>
    </w:rPr>
  </w:style>
  <w:style w:type="paragraph" w:styleId="27">
    <w:name w:val="toc 5"/>
    <w:basedOn w:val="1"/>
    <w:next w:val="1"/>
    <w:qFormat/>
    <w:uiPriority w:val="39"/>
    <w:pPr>
      <w:spacing w:line="440" w:lineRule="exact"/>
      <w:ind w:left="1120"/>
      <w:jc w:val="left"/>
    </w:pPr>
    <w:rPr>
      <w:rFonts w:ascii="Calibri" w:hAnsi="Calibri"/>
      <w:sz w:val="18"/>
      <w:szCs w:val="18"/>
    </w:rPr>
  </w:style>
  <w:style w:type="paragraph" w:styleId="28">
    <w:name w:val="toc 3"/>
    <w:basedOn w:val="1"/>
    <w:next w:val="1"/>
    <w:qFormat/>
    <w:uiPriority w:val="39"/>
    <w:pPr>
      <w:tabs>
        <w:tab w:val="right" w:leader="dot" w:pos="8302"/>
      </w:tabs>
      <w:ind w:left="561"/>
      <w:jc w:val="left"/>
    </w:pPr>
    <w:rPr>
      <w:rFonts w:ascii="Calibri" w:hAnsi="Calibri"/>
      <w:iCs/>
      <w:sz w:val="20"/>
      <w:szCs w:val="20"/>
    </w:rPr>
  </w:style>
  <w:style w:type="paragraph" w:styleId="29">
    <w:name w:val="Plain Text"/>
    <w:basedOn w:val="1"/>
    <w:link w:val="220"/>
    <w:qFormat/>
    <w:uiPriority w:val="0"/>
    <w:pPr>
      <w:spacing w:line="360" w:lineRule="auto"/>
    </w:pPr>
    <w:rPr>
      <w:rFonts w:ascii="宋体" w:hAnsi="Courier New"/>
      <w:szCs w:val="21"/>
    </w:rPr>
  </w:style>
  <w:style w:type="paragraph" w:styleId="30">
    <w:name w:val="toc 8"/>
    <w:basedOn w:val="1"/>
    <w:next w:val="1"/>
    <w:qFormat/>
    <w:uiPriority w:val="39"/>
    <w:pPr>
      <w:spacing w:line="440" w:lineRule="exact"/>
      <w:ind w:left="1960"/>
      <w:jc w:val="left"/>
    </w:pPr>
    <w:rPr>
      <w:rFonts w:ascii="Calibri" w:hAnsi="Calibri"/>
      <w:sz w:val="18"/>
      <w:szCs w:val="18"/>
    </w:rPr>
  </w:style>
  <w:style w:type="paragraph" w:styleId="31">
    <w:name w:val="Date"/>
    <w:basedOn w:val="1"/>
    <w:next w:val="1"/>
    <w:link w:val="196"/>
    <w:qFormat/>
    <w:uiPriority w:val="99"/>
    <w:pPr>
      <w:spacing w:line="360" w:lineRule="auto"/>
      <w:ind w:left="2500" w:leftChars="2500"/>
    </w:pPr>
    <w:rPr>
      <w:rFonts w:ascii="Tahoma" w:hAnsi="Tahoma"/>
    </w:rPr>
  </w:style>
  <w:style w:type="paragraph" w:styleId="32">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3">
    <w:name w:val="Balloon Text"/>
    <w:basedOn w:val="1"/>
    <w:link w:val="95"/>
    <w:qFormat/>
    <w:uiPriority w:val="0"/>
    <w:rPr>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7"/>
    <w:qFormat/>
    <w:uiPriority w:val="99"/>
    <w:pPr>
      <w:spacing w:line="440" w:lineRule="exact"/>
    </w:pPr>
    <w:rPr>
      <w:b/>
      <w:bCs/>
      <w:sz w:val="24"/>
      <w:szCs w:val="28"/>
    </w:rPr>
  </w:style>
  <w:style w:type="paragraph" w:styleId="48">
    <w:name w:val="Body Text First Indent"/>
    <w:basedOn w:val="23"/>
    <w:link w:val="130"/>
    <w:qFormat/>
    <w:uiPriority w:val="0"/>
    <w:pPr>
      <w:spacing w:after="120" w:line="240" w:lineRule="auto"/>
      <w:ind w:firstLine="100" w:firstLineChars="100"/>
    </w:pPr>
  </w:style>
  <w:style w:type="paragraph" w:styleId="49">
    <w:name w:val="Body Text First Indent 2"/>
    <w:basedOn w:val="24"/>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qFormat/>
    <w:uiPriority w:val="99"/>
    <w:rPr>
      <w:color w:val="954F72"/>
      <w:u w:val="single"/>
    </w:rPr>
  </w:style>
  <w:style w:type="character" w:styleId="56">
    <w:name w:val="Emphasis"/>
    <w:qFormat/>
    <w:uiPriority w:val="0"/>
    <w:rPr>
      <w:i/>
      <w:iCs/>
    </w:rPr>
  </w:style>
  <w:style w:type="character" w:styleId="57">
    <w:name w:val="HTML Definition"/>
    <w:qFormat/>
    <w:uiPriority w:val="0"/>
  </w:style>
  <w:style w:type="character" w:styleId="58">
    <w:name w:val="HTML Variable"/>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qFormat/>
    <w:uiPriority w:val="0"/>
    <w:rPr>
      <w:rFonts w:ascii="Courier New" w:hAnsi="Courier New"/>
      <w:sz w:val="20"/>
    </w:rPr>
  </w:style>
  <w:style w:type="character" w:styleId="61">
    <w:name w:val="annotation reference"/>
    <w:qFormat/>
    <w:uiPriority w:val="0"/>
    <w:rPr>
      <w:sz w:val="21"/>
      <w:szCs w:val="21"/>
    </w:rPr>
  </w:style>
  <w:style w:type="character" w:styleId="62">
    <w:name w:val="HTML Cite"/>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link w:val="296"/>
    <w:qFormat/>
    <w:uiPriority w:val="0"/>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7"/>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15"/>
    <w:qFormat/>
    <w:uiPriority w:val="0"/>
    <w:pPr>
      <w:ind w:firstLine="420"/>
    </w:pPr>
    <w:rPr>
      <w:sz w:val="21"/>
      <w:szCs w:val="21"/>
    </w:rPr>
  </w:style>
  <w:style w:type="paragraph" w:customStyle="1" w:styleId="77">
    <w:name w:val="标题2"/>
    <w:basedOn w:val="4"/>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4"/>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5"/>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6"/>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3"/>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6"/>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3"/>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eastAsia="Arial Unicode MS"/>
      <w:kern w:val="2"/>
      <w:sz w:val="24"/>
      <w:szCs w:val="28"/>
    </w:rPr>
  </w:style>
  <w:style w:type="character" w:customStyle="1" w:styleId="98">
    <w:name w:val="del"/>
    <w:basedOn w:val="52"/>
    <w:qFormat/>
    <w:uiPriority w:val="0"/>
  </w:style>
  <w:style w:type="character" w:customStyle="1" w:styleId="99">
    <w:name w:val="批注文字 Char1"/>
    <w:link w:val="20"/>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7"/>
    <w:qFormat/>
    <w:uiPriority w:val="99"/>
    <w:rPr>
      <w:b/>
      <w:bCs/>
      <w:kern w:val="2"/>
      <w:sz w:val="24"/>
      <w:szCs w:val="28"/>
    </w:rPr>
  </w:style>
  <w:style w:type="character" w:customStyle="1" w:styleId="102">
    <w:name w:val="标题 2 Char"/>
    <w:link w:val="4"/>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10"/>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5"/>
    <w:qFormat/>
    <w:uiPriority w:val="99"/>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0"/>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3"/>
    <w:qFormat/>
    <w:uiPriority w:val="99"/>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9"/>
    <w:qFormat/>
    <w:uiPriority w:val="99"/>
    <w:rPr>
      <w:b/>
      <w:bCs/>
      <w:kern w:val="2"/>
      <w:sz w:val="24"/>
      <w:szCs w:val="28"/>
    </w:rPr>
  </w:style>
  <w:style w:type="character" w:customStyle="1" w:styleId="123">
    <w:name w:val="标题 Char"/>
    <w:link w:val="46"/>
    <w:qFormat/>
    <w:uiPriority w:val="0"/>
    <w:rPr>
      <w:rFonts w:ascii="Cambria" w:hAnsi="Cambria"/>
      <w:b/>
      <w:bCs/>
      <w:kern w:val="2"/>
      <w:sz w:val="32"/>
      <w:szCs w:val="32"/>
    </w:rPr>
  </w:style>
  <w:style w:type="character" w:customStyle="1" w:styleId="124">
    <w:name w:val="标题 9 Char"/>
    <w:link w:val="11"/>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8"/>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8"/>
    <w:qFormat/>
    <w:uiPriority w:val="99"/>
    <w:rPr>
      <w:rFonts w:ascii="Arial" w:hAnsi="Arial" w:eastAsia="黑体"/>
      <w:b/>
      <w:bCs/>
      <w:kern w:val="2"/>
      <w:sz w:val="24"/>
      <w:szCs w:val="28"/>
    </w:rPr>
  </w:style>
  <w:style w:type="character" w:customStyle="1" w:styleId="133">
    <w:name w:val="正文文本 Char"/>
    <w:link w:val="23"/>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15"/>
    <w:qFormat/>
    <w:uiPriority w:val="0"/>
    <w:rPr>
      <w:kern w:val="2"/>
      <w:sz w:val="24"/>
    </w:rPr>
  </w:style>
  <w:style w:type="character" w:customStyle="1" w:styleId="136">
    <w:name w:val="页脚 Char"/>
    <w:link w:val="2"/>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6"/>
    <w:qFormat/>
    <w:uiPriority w:val="0"/>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4"/>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2"/>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4"/>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5"/>
    <w:qFormat/>
    <w:uiPriority w:val="99"/>
    <w:rPr>
      <w:rFonts w:eastAsia="宋体"/>
      <w:sz w:val="24"/>
      <w:szCs w:val="20"/>
    </w:rPr>
  </w:style>
  <w:style w:type="paragraph" w:customStyle="1" w:styleId="173">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1"/>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1"/>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qFormat/>
    <w:uiPriority w:val="99"/>
    <w:rPr>
      <w:rFonts w:ascii="宋体" w:eastAsia="宋体"/>
      <w:sz w:val="24"/>
      <w:szCs w:val="20"/>
    </w:rPr>
  </w:style>
  <w:style w:type="character" w:customStyle="1" w:styleId="206">
    <w:name w:val="正文文本 3 Char"/>
    <w:basedOn w:val="52"/>
    <w:link w:val="22"/>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4"/>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4"/>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4"/>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9"/>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Id w:val="0"/>
      </w:numPr>
      <w:tabs>
        <w:tab w:val="left" w:pos="360"/>
      </w:tabs>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eastAsia="黑体"/>
      <w:sz w:val="21"/>
    </w:rPr>
  </w:style>
  <w:style w:type="character" w:customStyle="1" w:styleId="248">
    <w:name w:val="一级条标题 Char"/>
    <w:link w:val="241"/>
    <w:qFormat/>
    <w:uiPriority w:val="0"/>
    <w:rPr>
      <w:rFonts w:ascii="黑体" w:eastAsia="黑体"/>
      <w:sz w:val="21"/>
    </w:rPr>
  </w:style>
  <w:style w:type="character" w:customStyle="1" w:styleId="249">
    <w:name w:val="二级条标题 Char"/>
    <w:link w:val="242"/>
    <w:qFormat/>
    <w:uiPriority w:val="0"/>
    <w:rPr>
      <w:rFonts w:ascii="黑体" w:eastAsia="黑体"/>
      <w:sz w:val="21"/>
    </w:rPr>
  </w:style>
  <w:style w:type="character" w:customStyle="1" w:styleId="250">
    <w:name w:val="Heading 1 Char_cf5cc71f-b43d-49bf-939e-7564da3187cb"/>
    <w:qFormat/>
    <w:uiPriority w:val="0"/>
    <w:rPr>
      <w:rFonts w:ascii="黑体" w:hAnsi="Times New Roman" w:eastAsia="黑体" w:cs="Times New Roman"/>
      <w:kern w:val="0"/>
      <w:sz w:val="20"/>
      <w:szCs w:val="20"/>
    </w:rPr>
  </w:style>
  <w:style w:type="character" w:customStyle="1" w:styleId="251">
    <w:name w:val="Heading 2 Char_1427e570-120b-4fbe-8b1d-26b8feee5c86"/>
    <w:qFormat/>
    <w:uiPriority w:val="0"/>
    <w:rPr>
      <w:rFonts w:ascii="Times New Roman" w:hAnsi="Times New Roman" w:eastAsia="宋体" w:cs="Times New Roman"/>
      <w:b/>
      <w:kern w:val="0"/>
      <w:sz w:val="32"/>
      <w:szCs w:val="32"/>
    </w:rPr>
  </w:style>
  <w:style w:type="character" w:customStyle="1" w:styleId="252">
    <w:name w:val="标题 3 Char1"/>
    <w:qFormat/>
    <w:uiPriority w:val="99"/>
    <w:rPr>
      <w:rFonts w:eastAsia="宋体"/>
      <w:b/>
      <w:sz w:val="32"/>
      <w:lang w:val="en-US" w:eastAsia="zh-CN" w:bidi="ar-SA"/>
    </w:rPr>
  </w:style>
  <w:style w:type="character" w:customStyle="1" w:styleId="253">
    <w:name w:val="Heading 4 Char_66b9ca89-b742-4cc4-bd6c-6bbd3223d9df"/>
    <w:qFormat/>
    <w:uiPriority w:val="0"/>
    <w:rPr>
      <w:rFonts w:ascii="Times New Roman" w:hAnsi="Times New Roman" w:eastAsia="宋体" w:cs="Times New Roman"/>
      <w:b/>
      <w:kern w:val="0"/>
      <w:sz w:val="20"/>
      <w:szCs w:val="20"/>
    </w:rPr>
  </w:style>
  <w:style w:type="character" w:customStyle="1" w:styleId="254">
    <w:name w:val="Heading 5 Char_0c486ac9-d11c-48d5-bc4b-0b49f8ab0d45"/>
    <w:qFormat/>
    <w:uiPriority w:val="0"/>
    <w:rPr>
      <w:rFonts w:ascii="Times New Roman" w:hAnsi="Times New Roman" w:eastAsia="宋体" w:cs="Times New Roman"/>
      <w:b/>
      <w:bCs/>
      <w:sz w:val="28"/>
      <w:szCs w:val="28"/>
    </w:rPr>
  </w:style>
  <w:style w:type="character" w:customStyle="1" w:styleId="255">
    <w:name w:val="Heading 6 Char_6ced1792-28fc-4215-bfc9-3efbcfb4ee26"/>
    <w:qFormat/>
    <w:uiPriority w:val="0"/>
    <w:rPr>
      <w:rFonts w:ascii="Arial" w:hAnsi="Arial" w:eastAsia="黑体" w:cs="Times New Roman"/>
      <w:b/>
      <w:bCs/>
      <w:kern w:val="0"/>
      <w:sz w:val="24"/>
      <w:szCs w:val="24"/>
    </w:rPr>
  </w:style>
  <w:style w:type="character" w:customStyle="1" w:styleId="256">
    <w:name w:val="Heading 7 Char_e49a91ea-c33e-4600-b995-bc131a9b79f5"/>
    <w:qFormat/>
    <w:uiPriority w:val="0"/>
    <w:rPr>
      <w:rFonts w:ascii="Times New Roman" w:hAnsi="Times New Roman" w:eastAsia="宋体" w:cs="Times New Roman"/>
      <w:b/>
      <w:bCs/>
      <w:kern w:val="0"/>
      <w:sz w:val="24"/>
      <w:szCs w:val="24"/>
    </w:rPr>
  </w:style>
  <w:style w:type="character" w:customStyle="1" w:styleId="257">
    <w:name w:val="Heading 8 Char_62669ae1-9746-4369-a82f-c31c7db3b3a6"/>
    <w:qFormat/>
    <w:uiPriority w:val="0"/>
    <w:rPr>
      <w:rFonts w:ascii="Arial" w:hAnsi="Arial" w:eastAsia="黑体" w:cs="Times New Roman"/>
      <w:kern w:val="0"/>
      <w:sz w:val="24"/>
      <w:szCs w:val="24"/>
    </w:rPr>
  </w:style>
  <w:style w:type="character" w:customStyle="1" w:styleId="258">
    <w:name w:val="Heading 9 Char_0d653baa-60e4-47ce-bd37-43cd726562a1"/>
    <w:qFormat/>
    <w:uiPriority w:val="0"/>
    <w:rPr>
      <w:rFonts w:ascii="Arial" w:hAnsi="Arial" w:eastAsia="黑体" w:cs="Times New Roman"/>
      <w:kern w:val="0"/>
      <w:sz w:val="21"/>
      <w:szCs w:val="21"/>
    </w:rPr>
  </w:style>
  <w:style w:type="character" w:customStyle="1" w:styleId="259">
    <w:name w:val="Document Map Char"/>
    <w:qFormat/>
    <w:uiPriority w:val="0"/>
    <w:rPr>
      <w:rFonts w:ascii="Times New Roman" w:hAnsi="Times New Roman" w:eastAsia="宋体" w:cs="Times New Roman"/>
      <w:sz w:val="24"/>
      <w:szCs w:val="24"/>
      <w:shd w:val="clear" w:color="auto" w:fill="000080"/>
    </w:rPr>
  </w:style>
  <w:style w:type="character" w:customStyle="1" w:styleId="260">
    <w:name w:val="Date Char"/>
    <w:qFormat/>
    <w:uiPriority w:val="0"/>
    <w:rPr>
      <w:rFonts w:ascii="Times New Roman" w:hAnsi="Times New Roman" w:eastAsia="宋体" w:cs="Times New Roman"/>
      <w:sz w:val="20"/>
      <w:szCs w:val="20"/>
    </w:rPr>
  </w:style>
  <w:style w:type="character" w:customStyle="1" w:styleId="261">
    <w:name w:val="Header Char_e9f6c4ec-9381-4a6c-9d1e-87ec2e09788c"/>
    <w:qFormat/>
    <w:uiPriority w:val="0"/>
    <w:rPr>
      <w:rFonts w:ascii="Times New Roman" w:hAnsi="Times New Roman" w:eastAsia="宋体" w:cs="Times New Roman"/>
      <w:kern w:val="0"/>
      <w:sz w:val="20"/>
      <w:szCs w:val="20"/>
    </w:rPr>
  </w:style>
  <w:style w:type="character" w:customStyle="1" w:styleId="262">
    <w:name w:val="Footer Char_4786535d-b4bc-44d4-81bb-e999c73ca5c9"/>
    <w:qFormat/>
    <w:uiPriority w:val="0"/>
    <w:rPr>
      <w:rFonts w:ascii="Times New Roman" w:hAnsi="Times New Roman" w:eastAsia="宋体" w:cs="Times New Roman"/>
      <w:kern w:val="0"/>
      <w:sz w:val="20"/>
      <w:szCs w:val="20"/>
    </w:rPr>
  </w:style>
  <w:style w:type="character" w:customStyle="1" w:styleId="263">
    <w:name w:val="Plain Text Char"/>
    <w:qFormat/>
    <w:uiPriority w:val="0"/>
    <w:rPr>
      <w:rFonts w:ascii="宋体" w:hAnsi="Courier New" w:eastAsia="宋体" w:cs="Times New Roman"/>
      <w:sz w:val="20"/>
      <w:szCs w:val="20"/>
    </w:rPr>
  </w:style>
  <w:style w:type="character" w:customStyle="1" w:styleId="264">
    <w:name w:val="Body Text Indent 2 Char"/>
    <w:qFormat/>
    <w:uiPriority w:val="0"/>
    <w:rPr>
      <w:rFonts w:ascii="Times New Roman" w:hAnsi="Times New Roman" w:eastAsia="宋体" w:cs="Times New Roman"/>
      <w:sz w:val="30"/>
      <w:szCs w:val="30"/>
    </w:rPr>
  </w:style>
  <w:style w:type="character" w:customStyle="1" w:styleId="265">
    <w:name w:val="Body Text Indent 3 Char"/>
    <w:qFormat/>
    <w:uiPriority w:val="0"/>
    <w:rPr>
      <w:rFonts w:ascii="Times New Roman" w:hAnsi="Times New Roman" w:eastAsia="宋体" w:cs="Times New Roman"/>
      <w:sz w:val="30"/>
      <w:szCs w:val="30"/>
    </w:rPr>
  </w:style>
  <w:style w:type="character" w:customStyle="1" w:styleId="266">
    <w:name w:val="Body Text First Indent 2 Char"/>
    <w:qFormat/>
    <w:uiPriority w:val="0"/>
    <w:rPr>
      <w:rFonts w:ascii="Times New Roman" w:hAnsi="Times New Roman" w:eastAsia="宋体" w:cs="Times New Roman"/>
      <w:kern w:val="2"/>
      <w:sz w:val="24"/>
      <w:szCs w:val="24"/>
    </w:rPr>
  </w:style>
  <w:style w:type="character" w:customStyle="1" w:styleId="267">
    <w:name w:val="Body Text 2 Char"/>
    <w:qFormat/>
    <w:uiPriority w:val="0"/>
    <w:rPr>
      <w:rFonts w:ascii="宋体" w:hAnsi="Times New Roman" w:eastAsia="宋体" w:cs="Times New Roman"/>
      <w:sz w:val="20"/>
      <w:szCs w:val="20"/>
    </w:rPr>
  </w:style>
  <w:style w:type="character" w:customStyle="1" w:styleId="268">
    <w:name w:val="Balloon Text Char"/>
    <w:qFormat/>
    <w:uiPriority w:val="0"/>
    <w:rPr>
      <w:rFonts w:ascii="Times New Roman" w:hAnsi="Times New Roman" w:eastAsia="宋体" w:cs="Times New Roman"/>
      <w:sz w:val="18"/>
      <w:szCs w:val="18"/>
    </w:rPr>
  </w:style>
  <w:style w:type="character" w:customStyle="1" w:styleId="269">
    <w:name w:val="Salutation Char"/>
    <w:qFormat/>
    <w:uiPriority w:val="0"/>
    <w:rPr>
      <w:rFonts w:ascii="..ì." w:hAnsi="Times New Roman" w:eastAsia="..ì." w:cs="Times New Roman"/>
      <w:kern w:val="0"/>
      <w:sz w:val="20"/>
      <w:szCs w:val="20"/>
    </w:rPr>
  </w:style>
  <w:style w:type="character" w:customStyle="1" w:styleId="270">
    <w:name w:val="Note Heading Char"/>
    <w:qFormat/>
    <w:uiPriority w:val="0"/>
    <w:rPr>
      <w:rFonts w:ascii="..ì." w:hAnsi="Times New Roman" w:eastAsia="..ì." w:cs="Times New Roman"/>
      <w:kern w:val="0"/>
      <w:sz w:val="20"/>
      <w:szCs w:val="20"/>
    </w:rPr>
  </w:style>
  <w:style w:type="paragraph" w:customStyle="1" w:styleId="271">
    <w:name w:val="Revision1"/>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uiPriority w:val="0"/>
    <w:rPr>
      <w:rFonts w:ascii="Times New Roman" w:hAnsi="Times New Roman" w:eastAsia="宋体" w:cs="Times New Roman"/>
      <w:sz w:val="16"/>
      <w:szCs w:val="16"/>
    </w:rPr>
  </w:style>
  <w:style w:type="character" w:customStyle="1" w:styleId="274">
    <w:name w:val="Title Char_9e41791e-ce5e-4032-87e4-b8a46964a479"/>
    <w:qFormat/>
    <w:uiPriority w:val="0"/>
    <w:rPr>
      <w:rFonts w:ascii="Arial" w:hAnsi="Arial" w:eastAsia="宋体" w:cs="Times New Roman"/>
      <w:b/>
      <w:kern w:val="0"/>
      <w:sz w:val="20"/>
      <w:szCs w:val="20"/>
    </w:rPr>
  </w:style>
  <w:style w:type="character" w:customStyle="1" w:styleId="275">
    <w:name w:val="Comment Subject Char"/>
    <w:qFormat/>
    <w:uiPriority w:val="0"/>
    <w:rPr>
      <w:rFonts w:ascii="Times New Roman" w:hAnsi="Times New Roman" w:eastAsia="宋体" w:cs="Times New Roman"/>
      <w:b/>
      <w:bCs/>
      <w:sz w:val="24"/>
      <w:szCs w:val="24"/>
    </w:rPr>
  </w:style>
  <w:style w:type="character" w:customStyle="1" w:styleId="276">
    <w:name w:val="Comment Text Char"/>
    <w:qFormat/>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3"/>
    <w:next w:val="1"/>
    <w:qFormat/>
    <w:uiPriority w:val="39"/>
    <w:pPr>
      <w:widowControl/>
      <w:adjustRightInd/>
      <w:spacing w:before="480" w:after="0" w:line="276" w:lineRule="auto"/>
      <w:jc w:val="left"/>
      <w:textAlignment w:val="auto"/>
      <w:outlineLvl w:val="9"/>
    </w:pPr>
    <w:rPr>
      <w:rFonts w:ascii="Cambria" w:hAnsi="Cambria" w:eastAsia="宋体" w:cs="宋体"/>
      <w:color w:val="376092"/>
      <w:kern w:val="0"/>
      <w:sz w:val="28"/>
      <w:szCs w:val="28"/>
    </w:rPr>
  </w:style>
  <w:style w:type="character" w:customStyle="1" w:styleId="295">
    <w:name w:val="HTML 预设格式 Char"/>
    <w:basedOn w:val="52"/>
    <w:link w:val="43"/>
    <w:qFormat/>
    <w:uiPriority w:val="0"/>
    <w:rPr>
      <w:rFonts w:ascii="黑体" w:hAnsi="Courier New" w:eastAsia="黑体"/>
    </w:rPr>
  </w:style>
  <w:style w:type="character" w:customStyle="1" w:styleId="296">
    <w:name w:val="列出段落 Char"/>
    <w:link w:val="67"/>
    <w:uiPriority w:val="0"/>
    <w:rPr>
      <w:rFonts w:ascii="Calibri" w:hAnsi="Calibri"/>
      <w:kern w:val="2"/>
      <w:sz w:val="21"/>
      <w:szCs w:val="22"/>
    </w:rPr>
  </w:style>
  <w:style w:type="paragraph" w:customStyle="1" w:styleId="297">
    <w:name w:val="正文（缩进 2 字符）"/>
    <w:basedOn w:val="1"/>
    <w:qFormat/>
    <w:uiPriority w:val="0"/>
    <w:pPr>
      <w:widowControl/>
      <w:spacing w:line="400" w:lineRule="exact"/>
      <w:ind w:firstLine="200" w:firstLineChars="200"/>
    </w:pPr>
    <w:rPr>
      <w:rFonts w:ascii="Calibri Light" w:hAnsi="Calibri Light" w:eastAsia="华文仿宋"/>
      <w:kern w:val="0"/>
      <w:sz w:val="28"/>
      <w:szCs w:val="28"/>
    </w:rPr>
  </w:style>
  <w:style w:type="paragraph" w:customStyle="1" w:styleId="298">
    <w:name w:val="样式 10 磅"/>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819B1-A9A6-40F8-BD4F-29C68DD06B4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59</Pages>
  <Words>26645</Words>
  <Characters>30424</Characters>
  <Lines>260</Lines>
  <Paragraphs>73</Paragraphs>
  <TotalTime>22</TotalTime>
  <ScaleCrop>false</ScaleCrop>
  <LinksUpToDate>false</LinksUpToDate>
  <CharactersWithSpaces>34468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2022-08-26T08:06:00Z</dcterms:created>
  <dc:creator>Lv Ji_BM</dc:creator>
  <cp:lastModifiedBy>姜凯</cp:lastModifiedBy>
  <cp:lastPrinted>2021-01-08T03:14:00Z</cp:lastPrinted>
  <dcterms:modified xsi:type="dcterms:W3CDTF">2022-09-16T08:18:34Z</dcterms:modified>
  <dc:title>_x0001_</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56B23CD25BEC44299106AE554048704A</vt:lpwstr>
  </property>
</Properties>
</file>