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Relationships xmlns="http://schemas.openxmlformats.org/package/2006/relationships"><Relationship Id="rId4" Type="http://schemas.openxmlformats.org/officeDocument/2006/relationships/officeDocument" Target="word/document.xml"></Relationship><Relationship Id="rId2" Type="http://schemas.openxmlformats.org/package/2006/relationships/metadata/core-properties" Target="docProps/core.xml"></Relationship><Relationship Id="rId1" Type="http://schemas.openxmlformats.org/officeDocument/2006/relationships/extended-properties" Target="docProps/app.xml"></Relationship><Relationship Id="rId3"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w14="http://schemas.microsoft.com/office/word/2010/wordml" xmlns:w15="http://schemas.microsoft.com/office/word/2012/wordml" xmlns:r="http://schemas.openxmlformats.org/officeDocument/2006/relationships" xmlns:w="http://schemas.openxmlformats.org/wordprocessingml/2006/main" mc:Ignorable="w14 w15 wp14">
  <!--Powered by docx4j 6.0.1 (Apache licensed)-->
  <w:body>
    <w:p>
      <w:pPr>
        <w:spacing w:lineRule="auto" w:line="720"/>
        <w:jc w:val="center"/>
        <w:rPr>
          <w:rFonts w:hAnsi="Times New Roman" w:ascii="Times New Roman"/>
          <w:b/>
          <w:sz w:val="32"/>
          <w:szCs w:val="32"/>
        </w:rPr>
      </w:pPr>
    </w:p>
    <w:p>
      <w:pPr>
        <w:spacing w:lineRule="auto" w:line="720"/>
        <w:jc w:val="center"/>
        <w:rPr>
          <w:rFonts w:eastAsia="宋体" w:hAnsi="Times New Roman" w:ascii="Times New Roman" w:hint="eastAsia"/>
          <w:b/>
          <w:sz w:val="180"/>
          <w:szCs w:val="220"/>
          <w:lang w:eastAsia="zh-CN"/>
        </w:rPr>
      </w:pPr>
      <w:r>
        <w:rPr>
          <w:rFonts w:hAnsi="宋体" w:ascii="Times New Roman" w:hint="eastAsia"/>
          <w:b/>
          <w:sz w:val="32"/>
          <w:szCs w:val="32"/>
        </w:rPr>
        <w:t>招标编号：SCIT-ZG-SX2022110004</w:t>
      </w:r>
      <w:r>
        <w:rPr>
          <w:rFonts w:hAnsi="宋体" w:ascii="Times New Roman" w:hint="eastAsia"/>
          <w:b/>
          <w:sz w:val="32"/>
          <w:szCs w:val="32"/>
          <w:lang w:eastAsia="zh-CN" w:val="en-US"/>
        </w:rPr>
        <w:t xml:space="preserve"> </w:t>
      </w:r>
    </w:p>
    <w:p>
      <w:pPr>
        <w:jc w:val="center"/>
        <w:rPr>
          <w:rFonts w:hAnsi="宋体" w:ascii="Times New Roman"/>
          <w:b/>
          <w:sz w:val="72"/>
          <w:szCs w:val="72"/>
        </w:rPr>
      </w:pPr>
      <w:r>
        <w:rPr>
          <w:rFonts w:hAnsi="宋体" w:ascii="Times New Roman" w:hint="eastAsia"/>
          <w:b/>
          <w:sz w:val="52"/>
          <w:szCs w:val="52"/>
          <w:lang w:eastAsia="zh-CN"/>
        </w:rPr>
        <w:t>检验设</w:t>
      </w:r>
      <w:r>
        <w:rPr>
          <w:rFonts w:hAnsi="宋体" w:ascii="Times New Roman" w:hint="eastAsia"/>
          <w:b/>
          <w:sz w:val="52"/>
          <w:szCs w:val="52"/>
        </w:rPr>
        <w:t>备</w:t>
      </w:r>
      <w:r>
        <w:rPr>
          <w:rFonts w:hAnsi="宋体" w:ascii="Times New Roman" w:hint="eastAsia"/>
          <w:b/>
          <w:sz w:val="52"/>
          <w:szCs w:val="52"/>
          <w:lang w:eastAsia="zh-CN"/>
        </w:rPr>
        <w:t>一批</w:t>
      </w:r>
    </w:p>
    <w:p>
      <w:pPr>
        <w:jc w:val="center"/>
        <w:rPr>
          <w:rFonts w:hAnsi="宋体" w:ascii="Times New Roman"/>
          <w:b/>
          <w:sz w:val="52"/>
          <w:szCs w:val="52"/>
        </w:rPr>
      </w:pPr>
    </w:p>
    <w:p>
      <w:pPr>
        <w:jc w:val="center"/>
        <w:rPr>
          <w:rFonts w:hAnsi="宋体" w:ascii="Times New Roman"/>
          <w:b/>
          <w:sz w:val="52"/>
          <w:szCs w:val="52"/>
        </w:rPr>
      </w:pPr>
    </w:p>
    <w:p>
      <w:pPr>
        <w:jc w:val="center"/>
        <w:rPr>
          <w:rFonts w:hAnsi="Times New Roman" w:ascii="Times New Roman"/>
          <w:b/>
          <w:sz w:val="52"/>
          <w:szCs w:val="52"/>
        </w:rPr>
      </w:pPr>
      <w:r>
        <w:rPr>
          <w:rFonts w:hAnsi="宋体" w:ascii="Times New Roman" w:hint="eastAsia"/>
          <w:b/>
          <w:sz w:val="52"/>
          <w:szCs w:val="52"/>
        </w:rPr>
        <w:t>招</w:t>
      </w:r>
    </w:p>
    <w:p>
      <w:pPr>
        <w:jc w:val="center"/>
        <w:rPr>
          <w:rFonts w:hAnsi="Times New Roman" w:ascii="Times New Roman"/>
          <w:b/>
          <w:sz w:val="52"/>
          <w:szCs w:val="52"/>
        </w:rPr>
      </w:pPr>
      <w:r>
        <w:rPr>
          <w:rFonts w:hAnsi="Times New Roman" w:ascii="Times New Roman" w:hint="eastAsia"/>
          <w:b/>
          <w:sz w:val="52"/>
          <w:szCs w:val="52"/>
        </w:rPr>
        <w:t>标</w:t>
      </w:r>
    </w:p>
    <w:p>
      <w:pPr>
        <w:jc w:val="center"/>
        <w:rPr>
          <w:rFonts w:hAnsi="Times New Roman" w:ascii="Times New Roman"/>
          <w:b/>
          <w:sz w:val="52"/>
          <w:szCs w:val="52"/>
        </w:rPr>
      </w:pPr>
      <w:r>
        <w:rPr>
          <w:rFonts w:hAnsi="Times New Roman" w:ascii="Times New Roman" w:hint="eastAsia"/>
          <w:b/>
          <w:sz w:val="52"/>
          <w:szCs w:val="52"/>
        </w:rPr>
        <w:t>文</w:t>
      </w:r>
    </w:p>
    <w:p>
      <w:pPr>
        <w:jc w:val="center"/>
        <w:rPr>
          <w:rFonts w:hAnsi="Times New Roman" w:ascii="Times New Roman"/>
          <w:b/>
          <w:sz w:val="72"/>
          <w:szCs w:val="72"/>
        </w:rPr>
      </w:pPr>
      <w:r>
        <w:rPr>
          <w:rFonts w:hAnsi="Times New Roman" w:ascii="Times New Roman" w:hint="eastAsia"/>
          <w:b/>
          <w:sz w:val="52"/>
          <w:szCs w:val="52"/>
        </w:rPr>
        <w:t>件</w:t>
      </w:r>
    </w:p>
    <w:p>
      <w:pPr>
        <w:spacing w:lineRule="auto" w:line="360"/>
        <w:rPr>
          <w:rFonts w:hAnsi="Times New Roman" w:ascii="Times New Roman"/>
          <w:b/>
          <w:sz w:val="32"/>
          <w:szCs w:val="32"/>
        </w:rPr>
      </w:pPr>
    </w:p>
    <w:p>
      <w:pPr>
        <w:spacing w:lineRule="auto" w:line="360"/>
        <w:rPr>
          <w:rFonts w:hAnsi="Times New Roman" w:ascii="Times New Roman"/>
          <w:b/>
          <w:sz w:val="32"/>
          <w:szCs w:val="32"/>
        </w:rPr>
      </w:pPr>
    </w:p>
    <w:p>
      <w:pPr>
        <w:pStyle w:val="2"/>
        <w:rPr>
          <w:rFonts w:hAnsi="Times New Roman" w:ascii="Times New Roman"/>
          <w:b/>
          <w:sz w:val="32"/>
          <w:szCs w:val="32"/>
        </w:rPr>
      </w:pPr>
    </w:p>
    <w:p>
      <w:pPr>
        <w:pStyle w:val="2"/>
        <w:rPr>
          <w:rFonts w:hAnsi="Times New Roman" w:ascii="Times New Roman"/>
          <w:b/>
          <w:sz w:val="32"/>
          <w:szCs w:val="32"/>
        </w:rPr>
      </w:pPr>
    </w:p>
    <w:p>
      <w:pPr>
        <w:spacing w:lineRule="auto" w:line="360"/>
        <w:jc w:val="center"/>
        <w:rPr>
          <w:rFonts w:hAnsi="Times New Roman" w:ascii="Times New Roman"/>
          <w:b/>
          <w:sz w:val="32"/>
          <w:szCs w:val="32"/>
        </w:rPr>
      </w:pPr>
      <w:bookmarkStart w:name="_Toc3944" w:id="0"/>
      <w:r>
        <w:rPr>
          <w:rFonts w:hAnsi="Times New Roman" w:ascii="Times New Roman" w:hint="eastAsia"/>
          <w:b/>
          <w:sz w:val="32"/>
          <w:szCs w:val="32"/>
        </w:rPr>
        <w:t>中国</w:t>
      </w:r>
      <w:r>
        <w:rPr>
          <w:rFonts w:hAnsi="Times New Roman" w:ascii="Times New Roman"/>
          <w:b/>
          <w:sz w:val="32"/>
          <w:szCs w:val="32"/>
        </w:rPr>
        <w:t>·</w:t>
      </w:r>
      <w:r>
        <w:rPr>
          <w:rFonts w:hAnsi="Times New Roman" w:ascii="Times New Roman" w:hint="eastAsia"/>
          <w:b/>
          <w:sz w:val="32"/>
          <w:szCs w:val="32"/>
        </w:rPr>
        <w:t>陕西</w:t>
      </w:r>
    </w:p>
    <w:p>
      <w:pPr>
        <w:spacing w:lineRule="auto" w:line="360"/>
        <w:jc w:val="center"/>
        <w:rPr>
          <w:rFonts w:hAnsi="Times New Roman" w:ascii="Times New Roman"/>
          <w:b/>
          <w:sz w:val="32"/>
          <w:szCs w:val="32"/>
        </w:rPr>
      </w:pPr>
      <w:r>
        <w:rPr>
          <w:rFonts w:hAnsi="Times New Roman" w:ascii="Times New Roman" w:hint="eastAsia"/>
          <w:b/>
          <w:sz w:val="32"/>
          <w:szCs w:val="32"/>
        </w:rPr>
        <w:t>四川国际招标有限责任公司</w:t>
      </w:r>
    </w:p>
    <w:p>
      <w:pPr>
        <w:spacing w:lineRule="auto" w:line="360"/>
        <w:jc w:val="center"/>
        <w:rPr>
          <w:rFonts w:hAnsi="Times New Roman" w:ascii="Times New Roman"/>
          <w:b/>
          <w:sz w:val="32"/>
          <w:szCs w:val="32"/>
        </w:rPr>
      </w:pPr>
      <w:r>
        <w:rPr>
          <w:rFonts w:hAnsi="Times New Roman" w:ascii="Times New Roman" w:hint="eastAsia"/>
          <w:b/>
          <w:sz w:val="32"/>
          <w:szCs w:val="32"/>
        </w:rPr>
        <w:t>202</w:t>
      </w:r>
      <w:r>
        <w:rPr>
          <w:rFonts w:hAnsi="Times New Roman" w:ascii="Times New Roman" w:hint="eastAsia"/>
          <w:b/>
          <w:sz w:val="32"/>
          <w:szCs w:val="32"/>
          <w:lang w:eastAsia="zh-CN" w:val="en-US"/>
        </w:rPr>
        <w:t>2</w:t>
      </w:r>
      <w:r>
        <w:rPr>
          <w:rFonts w:hAnsi="Times New Roman" w:ascii="Times New Roman" w:hint="eastAsia"/>
          <w:b/>
          <w:sz w:val="32"/>
          <w:szCs w:val="32"/>
          <w:lang w:val="zh-CN"/>
        </w:rPr>
        <w:t>年</w:t>
      </w:r>
      <w:r>
        <w:rPr>
          <w:rFonts w:hAnsi="Times New Roman" w:ascii="Times New Roman" w:hint="eastAsia"/>
          <w:b/>
          <w:sz w:val="32"/>
          <w:szCs w:val="32"/>
          <w:lang w:eastAsia="zh-CN" w:val="en-US"/>
        </w:rPr>
        <w:t>11</w:t>
      </w:r>
      <w:r>
        <w:rPr>
          <w:rFonts w:hAnsi="Times New Roman" w:ascii="Times New Roman" w:hint="eastAsia"/>
          <w:b/>
          <w:sz w:val="32"/>
          <w:szCs w:val="32"/>
          <w:lang w:val="zh-CN"/>
        </w:rPr>
        <w:t>月</w:t>
      </w:r>
    </w:p>
    <w:p>
      <w:pPr>
        <w:spacing w:lineRule="auto" w:line="720"/>
        <w:jc w:val="center"/>
        <w:rPr>
          <w:rFonts w:hAnsi="Times New Roman" w:ascii="Times New Roman"/>
          <w:sz w:val="40"/>
        </w:rPr>
      </w:pPr>
      <w:r>
        <w:rPr>
          <w:rFonts w:hAnsi="Times New Roman" w:ascii="Times New Roman"/>
          <w:sz w:val="40"/>
        </w:rPr>
        <w:br w:type="page"/>
      </w:r>
      <w:r>
        <w:rPr>
          <w:rFonts w:hAnsi="Times New Roman" w:ascii="Times New Roman" w:hint="eastAsia"/>
          <w:sz w:val="40"/>
        </w:rPr>
        <w:t>目录</w:t>
      </w:r>
    </w:p>
    <w:p>
      <w:pPr>
        <w:pStyle w:val="12"/>
        <w:tabs>
          <w:tab w:pos="8959" w:leader="dot" w:val="right"/>
        </w:tabs>
        <w:rPr>
          <w:rFonts w:hAnsi="Times New Roman" w:ascii="Times New Roman"/>
          <w:bCs/>
          <w:color w:val="000000"/>
          <w:spacing w:val="-4"/>
          <w:sz w:val="24"/>
          <w:szCs w:val="24"/>
        </w:rPr>
      </w:pPr>
      <w:r>
        <w:rPr>
          <w:rFonts w:hAnsi="Times New Roman" w:ascii="Times New Roman"/>
          <w:kern w:val="2"/>
          <w:szCs w:val="24"/>
        </w:rPr>
        <w:fldChar w:fldCharType="begin"/>
      </w:r>
      <w:r>
        <w:rPr>
          <w:rFonts w:hAnsi="Times New Roman" w:ascii="Times New Roman"/>
          <w:kern w:val="2"/>
          <w:szCs w:val="24"/>
        </w:rPr>
        <w:instrText xml:space="preserve">TOC \o "1-1" \h \u </w:instrText>
      </w:r>
      <w:r>
        <w:rPr>
          <w:rFonts w:hAnsi="Times New Roman" w:ascii="Times New Roman"/>
          <w:kern w:val="2"/>
          <w:szCs w:val="24"/>
        </w:rPr>
        <w:fldChar w:fldCharType="separate"/>
      </w:r>
      <w:r>
        <w:fldChar w:fldCharType="begin"/>
      </w:r>
      <w:r>
        <w:instrText xml:space="preserve"> HYPERLINK \l "_Toc12243" </w:instrText>
      </w:r>
      <w:r>
        <w:fldChar w:fldCharType="separate"/>
      </w:r>
      <w:r>
        <w:rPr>
          <w:rFonts w:hAnsi="宋体" w:ascii="Times New Roman" w:hint="eastAsia"/>
          <w:bCs/>
          <w:color w:val="000000"/>
          <w:spacing w:val="-4"/>
          <w:sz w:val="24"/>
          <w:szCs w:val="24"/>
        </w:rPr>
        <w:t>第一章投标邀请</w:t>
      </w:r>
      <w:r>
        <w:rPr>
          <w:rFonts w:hAnsi="Times New Roman" w:ascii="Times New Roman"/>
          <w:bCs/>
          <w:color w:val="000000"/>
          <w:spacing w:val="-4"/>
          <w:sz w:val="24"/>
          <w:szCs w:val="24"/>
        </w:rPr>
        <w:tab/>
      </w:r>
      <w:r>
        <w:rPr>
          <w:rFonts w:hAnsi="Times New Roman" w:ascii="Times New Roman"/>
          <w:bCs/>
          <w:color w:val="000000"/>
          <w:spacing w:val="-4"/>
          <w:sz w:val="24"/>
          <w:szCs w:val="24"/>
        </w:rPr>
        <w:fldChar w:fldCharType="begin"/>
      </w:r>
      <w:r>
        <w:rPr>
          <w:rFonts w:hAnsi="Times New Roman" w:ascii="Times New Roman"/>
          <w:bCs/>
          <w:color w:val="000000"/>
          <w:spacing w:val="-4"/>
          <w:sz w:val="24"/>
          <w:szCs w:val="24"/>
        </w:rPr>
        <w:instrText xml:space="preserve"> PAGEREF _Toc12243 </w:instrText>
      </w:r>
      <w:r>
        <w:rPr>
          <w:rFonts w:hAnsi="Times New Roman" w:ascii="Times New Roman"/>
          <w:bCs/>
          <w:color w:val="000000"/>
          <w:spacing w:val="-4"/>
          <w:sz w:val="24"/>
          <w:szCs w:val="24"/>
        </w:rPr>
        <w:fldChar w:fldCharType="separate"/>
      </w:r>
      <w:r>
        <w:rPr>
          <w:rFonts w:hAnsi="Times New Roman" w:ascii="Times New Roman"/>
          <w:bCs/>
          <w:color w:val="000000"/>
          <w:spacing w:val="-4"/>
          <w:sz w:val="24"/>
          <w:szCs w:val="24"/>
        </w:rPr>
        <w:t>3</w:t>
      </w:r>
      <w:r>
        <w:rPr>
          <w:rFonts w:hAnsi="Times New Roman" w:ascii="Times New Roman"/>
          <w:bCs/>
          <w:color w:val="000000"/>
          <w:spacing w:val="-4"/>
          <w:sz w:val="24"/>
          <w:szCs w:val="24"/>
        </w:rPr>
        <w:fldChar w:fldCharType="end"/>
      </w:r>
      <w:r>
        <w:rPr>
          <w:rFonts w:hAnsi="Times New Roman" w:ascii="Times New Roman"/>
          <w:bCs/>
          <w:color w:val="000000"/>
          <w:spacing w:val="-4"/>
          <w:sz w:val="24"/>
          <w:szCs w:val="24"/>
        </w:rPr>
        <w:fldChar w:fldCharType="end"/>
      </w:r>
    </w:p>
    <w:p>
      <w:pPr>
        <w:pStyle w:val="12"/>
        <w:tabs>
          <w:tab w:pos="8959" w:leader="dot" w:val="right"/>
        </w:tabs>
        <w:rPr>
          <w:rFonts w:hAnsi="Times New Roman" w:ascii="Times New Roman"/>
          <w:bCs/>
          <w:color w:val="000000"/>
          <w:spacing w:val="-4"/>
          <w:sz w:val="24"/>
          <w:szCs w:val="24"/>
        </w:rPr>
      </w:pPr>
      <w:r>
        <w:fldChar w:fldCharType="begin"/>
      </w:r>
      <w:r>
        <w:instrText xml:space="preserve"> HYPERLINK \l "_Toc17487" </w:instrText>
      </w:r>
      <w:r>
        <w:fldChar w:fldCharType="separate"/>
      </w:r>
      <w:r>
        <w:rPr>
          <w:rFonts w:hAnsi="宋体" w:ascii="Times New Roman" w:hint="eastAsia"/>
          <w:bCs/>
          <w:color w:val="000000"/>
          <w:spacing w:val="-4"/>
          <w:sz w:val="24"/>
          <w:szCs w:val="24"/>
        </w:rPr>
        <w:t>第二章投标人须知</w:t>
      </w:r>
      <w:r>
        <w:rPr>
          <w:rFonts w:hAnsi="Times New Roman" w:ascii="Times New Roman"/>
          <w:bCs/>
          <w:color w:val="000000"/>
          <w:spacing w:val="-4"/>
          <w:sz w:val="24"/>
          <w:szCs w:val="24"/>
        </w:rPr>
        <w:tab/>
      </w:r>
      <w:r>
        <w:rPr>
          <w:rFonts w:hAnsi="Times New Roman" w:ascii="Times New Roman"/>
          <w:bCs/>
          <w:color w:val="000000"/>
          <w:spacing w:val="-4"/>
          <w:sz w:val="24"/>
          <w:szCs w:val="24"/>
        </w:rPr>
        <w:fldChar w:fldCharType="begin"/>
      </w:r>
      <w:r>
        <w:rPr>
          <w:rFonts w:hAnsi="Times New Roman" w:ascii="Times New Roman"/>
          <w:bCs/>
          <w:color w:val="000000"/>
          <w:spacing w:val="-4"/>
          <w:sz w:val="24"/>
          <w:szCs w:val="24"/>
        </w:rPr>
        <w:instrText xml:space="preserve"> PAGEREF _Toc17487 </w:instrText>
      </w:r>
      <w:r>
        <w:rPr>
          <w:rFonts w:hAnsi="Times New Roman" w:ascii="Times New Roman"/>
          <w:bCs/>
          <w:color w:val="000000"/>
          <w:spacing w:val="-4"/>
          <w:sz w:val="24"/>
          <w:szCs w:val="24"/>
        </w:rPr>
        <w:fldChar w:fldCharType="separate"/>
      </w:r>
      <w:r>
        <w:rPr>
          <w:rFonts w:hAnsi="Times New Roman" w:ascii="Times New Roman"/>
          <w:bCs/>
          <w:color w:val="000000"/>
          <w:spacing w:val="-4"/>
          <w:sz w:val="24"/>
          <w:szCs w:val="24"/>
        </w:rPr>
        <w:t>5</w:t>
      </w:r>
      <w:r>
        <w:rPr>
          <w:rFonts w:hAnsi="Times New Roman" w:ascii="Times New Roman"/>
          <w:bCs/>
          <w:color w:val="000000"/>
          <w:spacing w:val="-4"/>
          <w:sz w:val="24"/>
          <w:szCs w:val="24"/>
        </w:rPr>
        <w:fldChar w:fldCharType="end"/>
      </w:r>
      <w:r>
        <w:rPr>
          <w:rFonts w:hAnsi="Times New Roman" w:ascii="Times New Roman"/>
          <w:bCs/>
          <w:color w:val="000000"/>
          <w:spacing w:val="-4"/>
          <w:sz w:val="24"/>
          <w:szCs w:val="24"/>
        </w:rPr>
        <w:fldChar w:fldCharType="end"/>
      </w:r>
    </w:p>
    <w:p>
      <w:pPr>
        <w:pStyle w:val="12"/>
        <w:tabs>
          <w:tab w:pos="8959" w:leader="dot" w:val="right"/>
        </w:tabs>
        <w:rPr>
          <w:rFonts w:hAnsi="Times New Roman" w:ascii="Times New Roman"/>
          <w:bCs/>
          <w:color w:val="000000"/>
          <w:spacing w:val="-4"/>
          <w:sz w:val="24"/>
          <w:szCs w:val="24"/>
        </w:rPr>
      </w:pPr>
      <w:r>
        <w:fldChar w:fldCharType="begin"/>
      </w:r>
      <w:r>
        <w:instrText xml:space="preserve"> HYPERLINK \l "_Toc23631" </w:instrText>
      </w:r>
      <w:r>
        <w:fldChar w:fldCharType="separate"/>
      </w:r>
      <w:r>
        <w:rPr>
          <w:rFonts w:hAnsi="宋体" w:ascii="Times New Roman" w:hint="eastAsia"/>
          <w:bCs/>
          <w:color w:val="000000"/>
          <w:spacing w:val="-4"/>
          <w:sz w:val="24"/>
          <w:szCs w:val="24"/>
        </w:rPr>
        <w:t>第三章投标文件格式</w:t>
      </w:r>
      <w:r>
        <w:rPr>
          <w:rFonts w:hAnsi="Times New Roman" w:ascii="Times New Roman"/>
          <w:bCs/>
          <w:color w:val="000000"/>
          <w:spacing w:val="-4"/>
          <w:sz w:val="24"/>
          <w:szCs w:val="24"/>
        </w:rPr>
        <w:tab/>
      </w:r>
      <w:r>
        <w:rPr>
          <w:rFonts w:hAnsi="Times New Roman" w:ascii="Times New Roman"/>
          <w:bCs/>
          <w:color w:val="000000"/>
          <w:spacing w:val="-4"/>
          <w:sz w:val="24"/>
          <w:szCs w:val="24"/>
        </w:rPr>
        <w:fldChar w:fldCharType="begin"/>
      </w:r>
      <w:r>
        <w:rPr>
          <w:rFonts w:hAnsi="Times New Roman" w:ascii="Times New Roman"/>
          <w:bCs/>
          <w:color w:val="000000"/>
          <w:spacing w:val="-4"/>
          <w:sz w:val="24"/>
          <w:szCs w:val="24"/>
        </w:rPr>
        <w:instrText xml:space="preserve"> PAGEREF _Toc23631 </w:instrText>
      </w:r>
      <w:r>
        <w:rPr>
          <w:rFonts w:hAnsi="Times New Roman" w:ascii="Times New Roman"/>
          <w:bCs/>
          <w:color w:val="000000"/>
          <w:spacing w:val="-4"/>
          <w:sz w:val="24"/>
          <w:szCs w:val="24"/>
        </w:rPr>
        <w:fldChar w:fldCharType="separate"/>
      </w:r>
      <w:r>
        <w:rPr>
          <w:rFonts w:hAnsi="Times New Roman" w:ascii="Times New Roman"/>
          <w:bCs/>
          <w:color w:val="000000"/>
          <w:spacing w:val="-4"/>
          <w:sz w:val="24"/>
          <w:szCs w:val="24"/>
        </w:rPr>
        <w:t>14</w:t>
      </w:r>
      <w:r>
        <w:rPr>
          <w:rFonts w:hAnsi="Times New Roman" w:ascii="Times New Roman"/>
          <w:bCs/>
          <w:color w:val="000000"/>
          <w:spacing w:val="-4"/>
          <w:sz w:val="24"/>
          <w:szCs w:val="24"/>
        </w:rPr>
        <w:fldChar w:fldCharType="end"/>
      </w:r>
      <w:r>
        <w:rPr>
          <w:rFonts w:hAnsi="Times New Roman" w:ascii="Times New Roman"/>
          <w:bCs/>
          <w:color w:val="000000"/>
          <w:spacing w:val="-4"/>
          <w:sz w:val="24"/>
          <w:szCs w:val="24"/>
        </w:rPr>
        <w:fldChar w:fldCharType="end"/>
      </w:r>
    </w:p>
    <w:p>
      <w:pPr>
        <w:pStyle w:val="12"/>
        <w:tabs>
          <w:tab w:pos="8959" w:leader="dot" w:val="right"/>
        </w:tabs>
        <w:rPr>
          <w:rFonts w:hAnsi="Times New Roman" w:ascii="Times New Roman"/>
          <w:bCs/>
          <w:color w:val="000000"/>
          <w:spacing w:val="-4"/>
          <w:sz w:val="24"/>
          <w:szCs w:val="24"/>
        </w:rPr>
      </w:pPr>
      <w:r>
        <w:fldChar w:fldCharType="begin"/>
      </w:r>
      <w:r>
        <w:instrText xml:space="preserve"> HYPERLINK \l "_Toc10210" </w:instrText>
      </w:r>
      <w:r>
        <w:fldChar w:fldCharType="separate"/>
      </w:r>
      <w:r>
        <w:rPr>
          <w:rFonts w:hAnsi="宋体" w:ascii="Times New Roman" w:hint="eastAsia"/>
          <w:bCs/>
          <w:color w:val="000000"/>
          <w:spacing w:val="-4"/>
          <w:sz w:val="24"/>
          <w:szCs w:val="24"/>
        </w:rPr>
        <w:t>第四章投标人和投标产品的资格、资质性及其他类似效力要求</w:t>
      </w:r>
      <w:r>
        <w:rPr>
          <w:rFonts w:hAnsi="Times New Roman" w:ascii="Times New Roman"/>
          <w:bCs/>
          <w:color w:val="000000"/>
          <w:spacing w:val="-4"/>
          <w:sz w:val="24"/>
          <w:szCs w:val="24"/>
        </w:rPr>
        <w:tab/>
      </w:r>
      <w:r>
        <w:rPr>
          <w:rFonts w:hAnsi="Times New Roman" w:ascii="Times New Roman"/>
          <w:bCs/>
          <w:color w:val="000000"/>
          <w:spacing w:val="-4"/>
          <w:sz w:val="24"/>
          <w:szCs w:val="24"/>
        </w:rPr>
        <w:fldChar w:fldCharType="begin"/>
      </w:r>
      <w:r>
        <w:rPr>
          <w:rFonts w:hAnsi="Times New Roman" w:ascii="Times New Roman"/>
          <w:bCs/>
          <w:color w:val="000000"/>
          <w:spacing w:val="-4"/>
          <w:sz w:val="24"/>
          <w:szCs w:val="24"/>
        </w:rPr>
        <w:instrText xml:space="preserve"> PAGEREF _Toc10210 </w:instrText>
      </w:r>
      <w:r>
        <w:rPr>
          <w:rFonts w:hAnsi="Times New Roman" w:ascii="Times New Roman"/>
          <w:bCs/>
          <w:color w:val="000000"/>
          <w:spacing w:val="-4"/>
          <w:sz w:val="24"/>
          <w:szCs w:val="24"/>
        </w:rPr>
        <w:fldChar w:fldCharType="separate"/>
      </w:r>
      <w:r>
        <w:rPr>
          <w:rFonts w:hAnsi="Times New Roman" w:ascii="Times New Roman"/>
          <w:bCs/>
          <w:color w:val="000000"/>
          <w:spacing w:val="-4"/>
          <w:sz w:val="24"/>
          <w:szCs w:val="24"/>
        </w:rPr>
        <w:t>25</w:t>
      </w:r>
      <w:r>
        <w:rPr>
          <w:rFonts w:hAnsi="Times New Roman" w:ascii="Times New Roman"/>
          <w:bCs/>
          <w:color w:val="000000"/>
          <w:spacing w:val="-4"/>
          <w:sz w:val="24"/>
          <w:szCs w:val="24"/>
        </w:rPr>
        <w:fldChar w:fldCharType="end"/>
      </w:r>
      <w:r>
        <w:rPr>
          <w:rFonts w:hAnsi="Times New Roman" w:ascii="Times New Roman"/>
          <w:bCs/>
          <w:color w:val="000000"/>
          <w:spacing w:val="-4"/>
          <w:sz w:val="24"/>
          <w:szCs w:val="24"/>
        </w:rPr>
        <w:fldChar w:fldCharType="end"/>
      </w:r>
    </w:p>
    <w:p>
      <w:pPr>
        <w:pStyle w:val="12"/>
        <w:tabs>
          <w:tab w:pos="8959" w:leader="dot" w:val="right"/>
        </w:tabs>
        <w:rPr>
          <w:rFonts w:hAnsi="Times New Roman" w:ascii="Times New Roman"/>
          <w:bCs/>
          <w:color w:val="000000"/>
          <w:spacing w:val="-4"/>
          <w:sz w:val="24"/>
          <w:szCs w:val="24"/>
        </w:rPr>
      </w:pPr>
      <w:r>
        <w:fldChar w:fldCharType="begin"/>
      </w:r>
      <w:r>
        <w:instrText xml:space="preserve"> HYPERLINK \l "_Toc3745" </w:instrText>
      </w:r>
      <w:r>
        <w:fldChar w:fldCharType="separate"/>
      </w:r>
      <w:r>
        <w:rPr>
          <w:rFonts w:hAnsi="宋体" w:ascii="Times New Roman" w:hint="eastAsia"/>
          <w:bCs/>
          <w:color w:val="000000"/>
          <w:spacing w:val="-4"/>
          <w:sz w:val="24"/>
          <w:szCs w:val="24"/>
        </w:rPr>
        <w:t>第五章招标项目要求</w:t>
      </w:r>
      <w:r>
        <w:rPr>
          <w:rFonts w:hAnsi="Times New Roman" w:ascii="Times New Roman"/>
          <w:bCs/>
          <w:color w:val="000000"/>
          <w:spacing w:val="-4"/>
          <w:sz w:val="24"/>
          <w:szCs w:val="24"/>
        </w:rPr>
        <w:tab/>
      </w:r>
      <w:r>
        <w:rPr>
          <w:rFonts w:hAnsi="Times New Roman" w:ascii="Times New Roman"/>
          <w:bCs/>
          <w:color w:val="000000"/>
          <w:spacing w:val="-4"/>
          <w:sz w:val="24"/>
          <w:szCs w:val="24"/>
        </w:rPr>
        <w:fldChar w:fldCharType="begin"/>
      </w:r>
      <w:r>
        <w:rPr>
          <w:rFonts w:hAnsi="Times New Roman" w:ascii="Times New Roman"/>
          <w:bCs/>
          <w:color w:val="000000"/>
          <w:spacing w:val="-4"/>
          <w:sz w:val="24"/>
          <w:szCs w:val="24"/>
        </w:rPr>
        <w:instrText xml:space="preserve"> PAGEREF _Toc3745 </w:instrText>
      </w:r>
      <w:r>
        <w:rPr>
          <w:rFonts w:hAnsi="Times New Roman" w:ascii="Times New Roman"/>
          <w:bCs/>
          <w:color w:val="000000"/>
          <w:spacing w:val="-4"/>
          <w:sz w:val="24"/>
          <w:szCs w:val="24"/>
        </w:rPr>
        <w:fldChar w:fldCharType="separate"/>
      </w:r>
      <w:r>
        <w:rPr>
          <w:rFonts w:hAnsi="Times New Roman" w:ascii="Times New Roman"/>
          <w:bCs/>
          <w:color w:val="000000"/>
          <w:spacing w:val="-4"/>
          <w:sz w:val="24"/>
          <w:szCs w:val="24"/>
        </w:rPr>
        <w:t>40</w:t>
      </w:r>
      <w:r>
        <w:rPr>
          <w:rFonts w:hAnsi="Times New Roman" w:ascii="Times New Roman"/>
          <w:bCs/>
          <w:color w:val="000000"/>
          <w:spacing w:val="-4"/>
          <w:sz w:val="24"/>
          <w:szCs w:val="24"/>
        </w:rPr>
        <w:fldChar w:fldCharType="end"/>
      </w:r>
      <w:r>
        <w:rPr>
          <w:rFonts w:hAnsi="Times New Roman" w:ascii="Times New Roman"/>
          <w:bCs/>
          <w:color w:val="000000"/>
          <w:spacing w:val="-4"/>
          <w:sz w:val="24"/>
          <w:szCs w:val="24"/>
        </w:rPr>
        <w:fldChar w:fldCharType="end"/>
      </w:r>
    </w:p>
    <w:p>
      <w:pPr>
        <w:pStyle w:val="12"/>
        <w:tabs>
          <w:tab w:pos="8959" w:leader="dot" w:val="right"/>
        </w:tabs>
        <w:rPr>
          <w:rFonts w:hAnsi="Times New Roman" w:ascii="Times New Roman"/>
          <w:bCs/>
          <w:color w:val="000000"/>
          <w:spacing w:val="-4"/>
          <w:sz w:val="24"/>
          <w:szCs w:val="24"/>
        </w:rPr>
      </w:pPr>
      <w:r>
        <w:fldChar w:fldCharType="begin"/>
      </w:r>
      <w:r>
        <w:instrText xml:space="preserve"> HYPERLINK \l "_Toc12657" </w:instrText>
      </w:r>
      <w:r>
        <w:fldChar w:fldCharType="separate"/>
      </w:r>
      <w:r>
        <w:rPr>
          <w:rFonts w:hAnsi="宋体" w:ascii="Times New Roman" w:hint="eastAsia"/>
          <w:bCs/>
          <w:color w:val="000000"/>
          <w:spacing w:val="-4"/>
          <w:sz w:val="24"/>
          <w:szCs w:val="24"/>
        </w:rPr>
        <w:t>第六章评标办法</w:t>
      </w:r>
      <w:r>
        <w:rPr>
          <w:rFonts w:hAnsi="Times New Roman" w:ascii="Times New Roman"/>
          <w:bCs/>
          <w:color w:val="000000"/>
          <w:spacing w:val="-4"/>
          <w:sz w:val="24"/>
          <w:szCs w:val="24"/>
        </w:rPr>
        <w:tab/>
      </w:r>
      <w:r>
        <w:rPr>
          <w:rFonts w:hAnsi="Times New Roman" w:ascii="Times New Roman"/>
          <w:bCs/>
          <w:color w:val="000000"/>
          <w:spacing w:val="-4"/>
          <w:sz w:val="24"/>
          <w:szCs w:val="24"/>
        </w:rPr>
        <w:fldChar w:fldCharType="begin"/>
      </w:r>
      <w:r>
        <w:rPr>
          <w:rFonts w:hAnsi="Times New Roman" w:ascii="Times New Roman"/>
          <w:bCs/>
          <w:color w:val="000000"/>
          <w:spacing w:val="-4"/>
          <w:sz w:val="24"/>
          <w:szCs w:val="24"/>
        </w:rPr>
        <w:instrText xml:space="preserve"> PAGEREF _Toc12657 </w:instrText>
      </w:r>
      <w:r>
        <w:rPr>
          <w:rFonts w:hAnsi="Times New Roman" w:ascii="Times New Roman"/>
          <w:bCs/>
          <w:color w:val="000000"/>
          <w:spacing w:val="-4"/>
          <w:sz w:val="24"/>
          <w:szCs w:val="24"/>
        </w:rPr>
        <w:fldChar w:fldCharType="separate"/>
      </w:r>
      <w:r>
        <w:rPr>
          <w:rFonts w:hAnsi="Times New Roman" w:ascii="Times New Roman"/>
          <w:bCs/>
          <w:color w:val="000000"/>
          <w:spacing w:val="-4"/>
          <w:sz w:val="24"/>
          <w:szCs w:val="24"/>
        </w:rPr>
        <w:t>43</w:t>
      </w:r>
      <w:r>
        <w:rPr>
          <w:rFonts w:hAnsi="Times New Roman" w:ascii="Times New Roman"/>
          <w:bCs/>
          <w:color w:val="000000"/>
          <w:spacing w:val="-4"/>
          <w:sz w:val="24"/>
          <w:szCs w:val="24"/>
        </w:rPr>
        <w:fldChar w:fldCharType="end"/>
      </w:r>
      <w:r>
        <w:rPr>
          <w:rFonts w:hAnsi="Times New Roman" w:ascii="Times New Roman"/>
          <w:bCs/>
          <w:color w:val="000000"/>
          <w:spacing w:val="-4"/>
          <w:sz w:val="24"/>
          <w:szCs w:val="24"/>
        </w:rPr>
        <w:fldChar w:fldCharType="end"/>
      </w:r>
    </w:p>
    <w:p>
      <w:pPr>
        <w:pStyle w:val="12"/>
        <w:tabs>
          <w:tab w:pos="8959" w:leader="dot" w:val="right"/>
        </w:tabs>
        <w:rPr>
          <w:rFonts w:hAnsi="Times New Roman" w:ascii="Times New Roman"/>
        </w:rPr>
      </w:pPr>
      <w:r>
        <w:fldChar w:fldCharType="begin"/>
      </w:r>
      <w:r>
        <w:instrText xml:space="preserve"> HYPERLINK \l "_Toc27016" </w:instrText>
      </w:r>
      <w:r>
        <w:fldChar w:fldCharType="separate"/>
      </w:r>
      <w:r>
        <w:rPr>
          <w:rFonts w:hAnsi="宋体" w:ascii="Times New Roman" w:hint="eastAsia"/>
          <w:bCs/>
          <w:color w:val="000000"/>
          <w:spacing w:val="-4"/>
          <w:sz w:val="24"/>
          <w:szCs w:val="24"/>
        </w:rPr>
        <w:t>第七章合同条款（仅供参考）</w:t>
      </w:r>
      <w:r>
        <w:rPr>
          <w:rFonts w:hAnsi="Times New Roman" w:ascii="Times New Roman"/>
          <w:bCs/>
          <w:color w:val="000000"/>
          <w:spacing w:val="-4"/>
          <w:sz w:val="24"/>
          <w:szCs w:val="24"/>
        </w:rPr>
        <w:tab/>
      </w:r>
      <w:r>
        <w:rPr>
          <w:rFonts w:hAnsi="Times New Roman" w:ascii="Times New Roman"/>
          <w:bCs/>
          <w:color w:val="000000"/>
          <w:spacing w:val="-4"/>
          <w:sz w:val="24"/>
          <w:szCs w:val="24"/>
        </w:rPr>
        <w:fldChar w:fldCharType="begin"/>
      </w:r>
      <w:r>
        <w:rPr>
          <w:rFonts w:hAnsi="Times New Roman" w:ascii="Times New Roman"/>
          <w:bCs/>
          <w:color w:val="000000"/>
          <w:spacing w:val="-4"/>
          <w:sz w:val="24"/>
          <w:szCs w:val="24"/>
        </w:rPr>
        <w:instrText xml:space="preserve"> PAGEREF _Toc27016 </w:instrText>
      </w:r>
      <w:r>
        <w:rPr>
          <w:rFonts w:hAnsi="Times New Roman" w:ascii="Times New Roman"/>
          <w:bCs/>
          <w:color w:val="000000"/>
          <w:spacing w:val="-4"/>
          <w:sz w:val="24"/>
          <w:szCs w:val="24"/>
        </w:rPr>
        <w:fldChar w:fldCharType="separate"/>
      </w:r>
      <w:r>
        <w:rPr>
          <w:rFonts w:hAnsi="Times New Roman" w:ascii="Times New Roman"/>
          <w:bCs/>
          <w:color w:val="000000"/>
          <w:spacing w:val="-4"/>
          <w:sz w:val="24"/>
          <w:szCs w:val="24"/>
        </w:rPr>
        <w:t>49</w:t>
      </w:r>
      <w:r>
        <w:rPr>
          <w:rFonts w:hAnsi="Times New Roman" w:ascii="Times New Roman"/>
          <w:bCs/>
          <w:color w:val="000000"/>
          <w:spacing w:val="-4"/>
          <w:sz w:val="24"/>
          <w:szCs w:val="24"/>
        </w:rPr>
        <w:fldChar w:fldCharType="end"/>
      </w:r>
      <w:r>
        <w:rPr>
          <w:rFonts w:hAnsi="Times New Roman" w:ascii="Times New Roman"/>
          <w:bCs/>
          <w:color w:val="000000"/>
          <w:spacing w:val="-4"/>
          <w:sz w:val="24"/>
          <w:szCs w:val="24"/>
        </w:rPr>
        <w:fldChar w:fldCharType="end"/>
      </w:r>
    </w:p>
    <w:p>
      <w:pPr>
        <w:pStyle w:val="3"/>
        <w:spacing w:lineRule="auto" w:line="480"/>
        <w:jc w:val="center"/>
        <w:rPr>
          <w:rFonts w:hAnsi="Times New Roman" w:ascii="Times New Roman"/>
          <w:kern w:val="2"/>
          <w:szCs w:val="24"/>
        </w:rPr>
      </w:pPr>
      <w:r>
        <w:rPr>
          <w:rFonts w:hAnsi="Times New Roman" w:ascii="Times New Roman"/>
          <w:kern w:val="2"/>
          <w:szCs w:val="24"/>
        </w:rPr>
        <w:fldChar w:fldCharType="end"/>
      </w:r>
    </w:p>
    <w:p>
      <w:pPr>
        <w:pStyle w:val="3"/>
        <w:jc w:val="center"/>
        <w:rPr>
          <w:rFonts w:hAnsi="Times New Roman" w:ascii="Times New Roman"/>
          <w:kern w:val="2"/>
          <w:szCs w:val="24"/>
        </w:rPr>
      </w:pPr>
    </w:p>
    <w:p>
      <w:pPr>
        <w:pStyle w:val="3"/>
        <w:jc w:val="center"/>
        <w:rPr>
          <w:rFonts w:hAnsi="Times New Roman" w:ascii="Times New Roman"/>
          <w:kern w:val="2"/>
          <w:szCs w:val="24"/>
        </w:rPr>
      </w:pPr>
    </w:p>
    <w:bookmarkEnd w:id="0"/>
    <w:p>
      <w:pPr>
        <w:spacing w:lineRule="auto" w:line="360"/>
        <w:ind w:rightChars="15" w:right="51"/>
        <w:rPr>
          <w:rFonts w:hAnsi="Times New Roman" w:ascii="Times New Roman"/>
          <w:sz w:val="24"/>
          <w:szCs w:val="24"/>
        </w:rPr>
      </w:pPr>
    </w:p>
    <w:p>
      <w:pPr>
        <w:pStyle w:val="3"/>
        <w:jc w:val="center"/>
        <w:rPr>
          <w:rFonts w:hAnsi="Times New Roman" w:ascii="Times New Roman"/>
        </w:rPr>
      </w:pPr>
      <w:bookmarkStart w:name="_Toc2889" w:id="1"/>
      <w:bookmarkStart w:name="_Toc22329" w:id="2"/>
      <w:bookmarkStart w:name="_Toc5602" w:id="3"/>
      <w:r>
        <w:rPr>
          <w:rFonts w:hAnsi="Times New Roman" w:ascii="Times New Roman"/>
        </w:rPr>
        <w:br w:type="page"/>
      </w:r>
      <w:bookmarkStart w:name="_Toc12243" w:id="4"/>
      <w:bookmarkStart w:name="_Toc31835" w:id="5"/>
      <w:bookmarkStart w:name="_Toc11063" w:id="6"/>
      <w:r>
        <w:rPr>
          <w:rFonts w:hAnsi="Times New Roman" w:ascii="Times New Roman" w:hint="eastAsia"/>
        </w:rPr>
        <w:t>第一章投标邀请</w:t>
      </w:r>
      <w:bookmarkEnd w:id="1"/>
      <w:bookmarkEnd w:id="2"/>
      <w:bookmarkEnd w:id="3"/>
      <w:bookmarkEnd w:id="4"/>
      <w:bookmarkEnd w:id="5"/>
      <w:bookmarkEnd w:id="6"/>
    </w:p>
    <w:p>
      <w:pPr>
        <w:pStyle w:val="27"/>
        <w:spacing w:lineRule="exact" w:line="360"/>
        <w:ind w:firstLine="440"/>
        <w:rPr>
          <w:rFonts w:hAnsi="Times New Roman" w:ascii="Times New Roman"/>
          <w:sz w:val="22"/>
          <w:szCs w:val="22"/>
        </w:rPr>
      </w:pPr>
      <w:bookmarkStart w:name="_Toc213496267" w:id="7"/>
      <w:bookmarkStart w:name="_Toc24237" w:id="8"/>
      <w:bookmarkStart w:name="_Toc23046" w:id="9"/>
      <w:bookmarkStart w:name="_Toc213396945" w:id="10"/>
      <w:bookmarkStart w:name="_Toc217446031" w:id="11"/>
      <w:bookmarkStart w:name="_Toc213397009" w:id="12"/>
      <w:bookmarkStart w:name="_Toc15854" w:id="13"/>
      <w:bookmarkStart w:name="_Toc16540" w:id="14"/>
      <w:bookmarkStart w:name="_Toc213396759" w:id="15"/>
      <w:r>
        <w:rPr>
          <w:rFonts w:hAnsi="Times New Roman" w:ascii="Times New Roman" w:hint="eastAsia"/>
          <w:sz w:val="22"/>
          <w:szCs w:val="22"/>
        </w:rPr>
        <w:t>四川国际招标有限责任公司</w:t>
      </w:r>
      <w:bookmarkStart w:name="OLE_LINK4" w:id="16"/>
      <w:r>
        <w:rPr>
          <w:rFonts w:hAnsi="Times New Roman" w:ascii="Times New Roman" w:hint="eastAsia"/>
          <w:sz w:val="22"/>
          <w:szCs w:val="22"/>
        </w:rPr>
        <w:t>受西安市第一医院的委托</w:t>
      </w:r>
      <w:bookmarkEnd w:id="16"/>
      <w:r>
        <w:rPr>
          <w:rFonts w:hAnsi="Times New Roman" w:ascii="Times New Roman" w:hint="eastAsia"/>
          <w:sz w:val="22"/>
          <w:szCs w:val="22"/>
        </w:rPr>
        <w:t>，经政府采购管理部门批准，按照政府采购程序，拟对</w:t>
      </w:r>
      <w:r>
        <w:rPr>
          <w:rFonts w:hAnsi="Times New Roman" w:ascii="Times New Roman" w:hint="eastAsia"/>
          <w:sz w:val="22"/>
          <w:szCs w:val="22"/>
          <w:lang w:eastAsia="zh-CN"/>
        </w:rPr>
        <w:t>检验</w:t>
      </w:r>
      <w:r>
        <w:rPr>
          <w:rFonts w:hAnsi="Times New Roman" w:ascii="Times New Roman" w:hint="eastAsia"/>
          <w:sz w:val="22"/>
          <w:szCs w:val="22"/>
        </w:rPr>
        <w:t>设备</w:t>
      </w:r>
      <w:r>
        <w:rPr>
          <w:rFonts w:hAnsi="Times New Roman" w:ascii="Times New Roman" w:hint="eastAsia"/>
          <w:sz w:val="22"/>
          <w:szCs w:val="22"/>
          <w:lang w:eastAsia="zh-CN"/>
        </w:rPr>
        <w:t>一批</w:t>
      </w:r>
      <w:r>
        <w:rPr>
          <w:rFonts w:hAnsi="Times New Roman" w:ascii="Times New Roman" w:hint="eastAsia"/>
          <w:sz w:val="22"/>
          <w:szCs w:val="22"/>
        </w:rPr>
        <w:t>进行公开招标，欢迎符合资格条件的、有能力提供本项目所需货物和服务的供应商参加投标。</w:t>
      </w:r>
    </w:p>
    <w:p>
      <w:pPr>
        <w:pStyle w:val="27"/>
        <w:spacing w:lineRule="exact" w:line="360"/>
        <w:ind w:hangingChars="900" w:hanging="1980" w:left="1980"/>
        <w:rPr>
          <w:rFonts w:hAnsi="Times New Roman" w:ascii="Times New Roman"/>
          <w:sz w:val="22"/>
          <w:szCs w:val="22"/>
        </w:rPr>
      </w:pPr>
      <w:r>
        <w:rPr>
          <w:rFonts w:hAnsi="Times New Roman" w:ascii="Times New Roman" w:hint="eastAsia"/>
          <w:sz w:val="22"/>
          <w:szCs w:val="22"/>
        </w:rPr>
        <w:t>一、采购项目名称：</w:t>
      </w:r>
      <w:r>
        <w:rPr>
          <w:rFonts w:hAnsi="Times New Roman" w:ascii="Times New Roman" w:hint="eastAsia"/>
          <w:sz w:val="22"/>
          <w:szCs w:val="22"/>
          <w:lang w:eastAsia="zh-CN"/>
        </w:rPr>
        <w:t>检验</w:t>
      </w:r>
      <w:r>
        <w:rPr>
          <w:rFonts w:hAnsi="Times New Roman" w:ascii="Times New Roman" w:hint="eastAsia"/>
          <w:sz w:val="22"/>
          <w:szCs w:val="22"/>
        </w:rPr>
        <w:t>设备</w:t>
      </w:r>
      <w:r>
        <w:rPr>
          <w:rFonts w:hAnsi="Times New Roman" w:ascii="Times New Roman" w:hint="eastAsia"/>
          <w:sz w:val="22"/>
          <w:szCs w:val="22"/>
          <w:lang w:eastAsia="zh-CN"/>
        </w:rPr>
        <w:t>一批</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二、采购项目编号：SCIT-ZG-SX2022110004</w:t>
      </w:r>
      <w:r>
        <w:rPr>
          <w:rFonts w:hAnsi="Times New Roman" w:ascii="Times New Roman" w:hint="eastAsia"/>
          <w:sz w:val="22"/>
          <w:szCs w:val="22"/>
          <w:lang w:eastAsia="zh-CN" w:val="en-US"/>
        </w:rPr>
        <w:t xml:space="preserve"> </w:t>
      </w:r>
      <w:r>
        <w:rPr>
          <w:rFonts w:hint="eastAsia"/>
        </w:rPr>
        <w:t xml:space="preserve"> </w:t>
      </w:r>
    </w:p>
    <w:p>
      <w:pPr>
        <w:pStyle w:val="27"/>
        <w:spacing w:lineRule="exact" w:line="360"/>
        <w:ind w:firstLineChars="0" w:firstLine="0"/>
        <w:rPr>
          <w:rFonts w:hAnsi="Times New Roman" w:ascii="Times New Roman"/>
          <w:sz w:val="22"/>
          <w:szCs w:val="22"/>
        </w:rPr>
      </w:pPr>
      <w:bookmarkStart w:name="OLE_LINK5" w:id="17"/>
      <w:r>
        <w:rPr>
          <w:rFonts w:hAnsi="Times New Roman" w:ascii="Times New Roman" w:hint="eastAsia"/>
          <w:sz w:val="22"/>
          <w:szCs w:val="22"/>
        </w:rPr>
        <w:t>三、采购人名称：西安市第一医院</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地   址：西安市碑林区南大街粉巷30号</w:t>
      </w:r>
    </w:p>
    <w:p>
      <w:pPr>
        <w:pStyle w:val="27"/>
        <w:spacing w:lineRule="exact" w:line="360"/>
        <w:ind w:firstLineChars="0" w:firstLine="0"/>
        <w:rPr>
          <w:rFonts w:eastAsia="宋体" w:hAnsi="Times New Roman" w:ascii="Times New Roman" w:hint="default"/>
          <w:sz w:val="22"/>
          <w:szCs w:val="22"/>
          <w:lang w:eastAsia="zh-CN" w:val="en-US"/>
        </w:rPr>
      </w:pPr>
      <w:r>
        <w:rPr>
          <w:rFonts w:hAnsi="Times New Roman" w:ascii="Times New Roman" w:hint="eastAsia"/>
          <w:sz w:val="22"/>
          <w:szCs w:val="22"/>
        </w:rPr>
        <w:t xml:space="preserve">    联系电话：029-876309</w:t>
      </w:r>
      <w:r>
        <w:rPr>
          <w:rFonts w:hAnsi="Times New Roman" w:ascii="Times New Roman" w:hint="eastAsia"/>
          <w:sz w:val="22"/>
          <w:szCs w:val="22"/>
          <w:lang w:eastAsia="zh-CN" w:val="en-US"/>
        </w:rPr>
        <w:t>67</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四、采购代理机构名称：四川国际招标有限责任公司</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地址：西安市高新区唐延路</w:t>
      </w:r>
      <w:r>
        <w:rPr>
          <w:rFonts w:hAnsi="Times New Roman" w:ascii="Times New Roman"/>
          <w:sz w:val="22"/>
          <w:szCs w:val="22"/>
        </w:rPr>
        <w:t>35</w:t>
      </w:r>
      <w:r>
        <w:rPr>
          <w:rFonts w:hAnsi="Times New Roman" w:ascii="Times New Roman" w:hint="eastAsia"/>
          <w:sz w:val="22"/>
          <w:szCs w:val="22"/>
        </w:rPr>
        <w:t>号旺座现代城</w:t>
      </w:r>
      <w:r>
        <w:rPr>
          <w:rFonts w:hAnsi="Times New Roman" w:ascii="Times New Roman"/>
          <w:sz w:val="22"/>
          <w:szCs w:val="22"/>
        </w:rPr>
        <w:t>G</w:t>
      </w:r>
      <w:r>
        <w:rPr>
          <w:rFonts w:hAnsi="Times New Roman" w:ascii="Times New Roman" w:hint="eastAsia"/>
          <w:sz w:val="22"/>
          <w:szCs w:val="22"/>
        </w:rPr>
        <w:t>座</w:t>
      </w:r>
      <w:r>
        <w:rPr>
          <w:rFonts w:hAnsi="Times New Roman" w:ascii="Times New Roman"/>
          <w:sz w:val="22"/>
          <w:szCs w:val="22"/>
        </w:rPr>
        <w:t>2301</w:t>
      </w:r>
      <w:r>
        <w:rPr>
          <w:rFonts w:hAnsi="Times New Roman" w:ascii="Times New Roman" w:hint="eastAsia"/>
          <w:sz w:val="22"/>
          <w:szCs w:val="22"/>
        </w:rPr>
        <w:t>室</w:t>
      </w:r>
      <w:bookmarkEnd w:id="17"/>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五、采购内容和要求</w:t>
      </w:r>
    </w:p>
    <w:p>
      <w:pPr>
        <w:pStyle w:val="27"/>
        <w:spacing w:lineRule="exact" w:line="360"/>
        <w:ind w:firstLine="440"/>
        <w:rPr>
          <w:sz w:val="22"/>
          <w:szCs w:val="22"/>
        </w:rPr>
      </w:pPr>
      <w:r>
        <w:rPr>
          <w:rFonts w:hint="eastAsia"/>
          <w:sz w:val="22"/>
          <w:szCs w:val="22"/>
        </w:rPr>
        <w:t>本项目共1个包，采购医疗设备一批（具体详见招标文件）；</w:t>
      </w:r>
    </w:p>
    <w:tbl>
      <w:tblPr>
        <w:tblStyle w:val="16"/>
        <w:tblW w:type="pct" w:w="4996"/>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autofit"/>
        <w:tblCellMar>
          <w:top w:type="dxa" w:w="0"/>
          <w:left w:type="dxa" w:w="108"/>
          <w:bottom w:type="dxa" w:w="0"/>
          <w:right w:type="dxa" w:w="108"/>
        </w:tblCellMar>
      </w:tblPr>
      <w:tblGrid>
        <w:gridCol w:w="829"/>
        <w:gridCol w:w="2128"/>
        <w:gridCol w:w="1169"/>
        <w:gridCol w:w="1348"/>
        <w:gridCol w:w="3694"/>
      </w:tblGrid>
      <w:tr>
        <w:trPr>
          <w:trHeight w:hRule="atLeast" w:val="500"/>
        </w:trPr>
        <w:tc>
          <w:tcPr>
            <w:tcW w:type="pct" w:w="452"/>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序号</w:t>
            </w:r>
          </w:p>
        </w:tc>
        <w:tc>
          <w:tcPr>
            <w:tcW w:type="pct" w:w="1160"/>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货物名称</w:t>
            </w:r>
          </w:p>
        </w:tc>
        <w:tc>
          <w:tcPr>
            <w:tcW w:type="pct" w:w="637"/>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数量（台）</w:t>
            </w:r>
          </w:p>
        </w:tc>
        <w:tc>
          <w:tcPr>
            <w:tcW w:type="pct" w:w="735"/>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hAnsi="Times New Roman" w:ascii="Times New Roman" w:hint="eastAsia"/>
                <w:sz w:val="22"/>
                <w:szCs w:val="22"/>
                <w:lang w:eastAsia="zh-CN" w:val="en-US"/>
              </w:rPr>
              <w:t>预算（万元）</w:t>
            </w:r>
          </w:p>
        </w:tc>
        <w:tc>
          <w:tcPr>
            <w:tcW w:type="pct" w:w="2014"/>
          </w:tcPr>
          <w:p>
            <w:pPr>
              <w:pStyle w:val="27"/>
              <w:spacing w:lineRule="exact" w:line="360"/>
              <w:ind w:firstLineChars="0" w:firstLine="0"/>
              <w:jc w:val="center"/>
              <w:rPr>
                <w:rFonts w:cs="Times New Roman" w:eastAsia="宋体" w:hAnsi="Times New Roman" w:ascii="Times New Roman" w:hint="eastAsia"/>
                <w:sz w:val="22"/>
                <w:szCs w:val="22"/>
                <w:lang w:eastAsia="zh-CN"/>
              </w:rPr>
            </w:pPr>
            <w:r>
              <w:rPr>
                <w:rFonts w:cs="Times New Roman" w:eastAsia="宋体" w:hAnsi="Times New Roman" w:ascii="Times New Roman" w:hint="eastAsia"/>
                <w:sz w:val="22"/>
                <w:szCs w:val="22"/>
                <w:lang w:eastAsia="zh-CN" w:val="en-US"/>
              </w:rPr>
              <w:t>备注</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405"/>
        </w:trPr>
        <w:tc>
          <w:tcPr>
            <w:tcW w:type="pct" w:w="452"/>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1160"/>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全自动凝血分析仪</w:t>
            </w:r>
          </w:p>
        </w:tc>
        <w:tc>
          <w:tcPr>
            <w:tcW w:type="pct" w:w="637"/>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735"/>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60</w:t>
            </w:r>
          </w:p>
        </w:tc>
        <w:tc>
          <w:tcPr>
            <w:tcW w:type="pct" w:w="2014"/>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已做进口论证，允许采购进口产品</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160"/>
        </w:trPr>
        <w:tc>
          <w:tcPr>
            <w:tcW w:type="pct" w:w="452"/>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2</w:t>
            </w:r>
          </w:p>
        </w:tc>
        <w:tc>
          <w:tcPr>
            <w:tcW w:type="pct" w:w="1160"/>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全自动特定蛋白分析仪</w:t>
            </w:r>
          </w:p>
        </w:tc>
        <w:tc>
          <w:tcPr>
            <w:tcW w:type="pct" w:w="637"/>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735"/>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65</w:t>
            </w:r>
          </w:p>
        </w:tc>
        <w:tc>
          <w:tcPr>
            <w:tcW w:type="pct" w:w="2014"/>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已做进口论证，允许采购进口产品</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52"/>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3</w:t>
            </w:r>
          </w:p>
        </w:tc>
        <w:tc>
          <w:tcPr>
            <w:tcW w:type="pct" w:w="1160"/>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全自动粪便处理系统</w:t>
            </w:r>
          </w:p>
        </w:tc>
        <w:tc>
          <w:tcPr>
            <w:tcW w:type="pct" w:w="637"/>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rPr>
            </w:pPr>
            <w:r>
              <w:rPr>
                <w:rFonts w:cs="Times New Roman" w:eastAsia="宋体" w:hAnsi="Times New Roman" w:ascii="Times New Roman" w:hint="eastAsia"/>
                <w:sz w:val="22"/>
                <w:szCs w:val="22"/>
                <w:lang w:eastAsia="zh-CN" w:val="en-US"/>
              </w:rPr>
              <w:t>1</w:t>
            </w:r>
          </w:p>
        </w:tc>
        <w:tc>
          <w:tcPr>
            <w:tcW w:type="pct" w:w="735"/>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12</w:t>
            </w:r>
          </w:p>
        </w:tc>
        <w:tc>
          <w:tcPr>
            <w:tcW w:type="pct" w:w="2014"/>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52"/>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4</w:t>
            </w:r>
          </w:p>
        </w:tc>
        <w:tc>
          <w:tcPr>
            <w:tcW w:type="pct" w:w="1160"/>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全自动尿液分析仪一体机</w:t>
            </w:r>
          </w:p>
        </w:tc>
        <w:tc>
          <w:tcPr>
            <w:tcW w:type="pct" w:w="637"/>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735"/>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10</w:t>
            </w:r>
          </w:p>
        </w:tc>
        <w:tc>
          <w:tcPr>
            <w:tcW w:type="pct" w:w="2014"/>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52"/>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5</w:t>
            </w:r>
          </w:p>
        </w:tc>
        <w:tc>
          <w:tcPr>
            <w:tcW w:type="pct" w:w="1160"/>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新冠病毒核酸快速检测系统</w:t>
            </w:r>
          </w:p>
        </w:tc>
        <w:tc>
          <w:tcPr>
            <w:tcW w:type="pct" w:w="637"/>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2</w:t>
            </w:r>
          </w:p>
        </w:tc>
        <w:tc>
          <w:tcPr>
            <w:tcW w:type="pct" w:w="735"/>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40</w:t>
            </w:r>
          </w:p>
        </w:tc>
        <w:tc>
          <w:tcPr>
            <w:tcW w:type="pct" w:w="2014"/>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52"/>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6</w:t>
            </w:r>
          </w:p>
        </w:tc>
        <w:tc>
          <w:tcPr>
            <w:tcW w:type="pct" w:w="1160"/>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全自动血液免疫分析仪</w:t>
            </w:r>
          </w:p>
        </w:tc>
        <w:tc>
          <w:tcPr>
            <w:tcW w:type="pct" w:w="637"/>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1</w:t>
            </w:r>
          </w:p>
        </w:tc>
        <w:tc>
          <w:tcPr>
            <w:tcW w:type="pct" w:w="735"/>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9.8</w:t>
            </w:r>
          </w:p>
        </w:tc>
        <w:tc>
          <w:tcPr>
            <w:tcW w:type="pct" w:w="2014"/>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bl>
    <w:p>
      <w:pPr>
        <w:pStyle w:val="27"/>
        <w:spacing w:lineRule="exact" w:line="360"/>
        <w:ind w:firstLineChars="0" w:firstLine="0"/>
        <w:rPr>
          <w:rFonts w:cs="Times New Roman" w:eastAsia="宋体" w:hAnsi="Times New Roman" w:ascii="Times New Roman" w:hint="eastAsia"/>
          <w:sz w:val="22"/>
          <w:szCs w:val="22"/>
        </w:rPr>
      </w:pPr>
    </w:p>
    <w:p>
      <w:pPr>
        <w:pStyle w:val="27"/>
        <w:spacing w:lineRule="exact" w:line="360"/>
        <w:ind w:firstLineChars="0" w:firstLine="0" w:leftChars="0" w:left="0"/>
        <w:jc w:val="left"/>
        <w:rPr>
          <w:rFonts w:eastAsia="宋体" w:hint="eastAsia"/>
          <w:sz w:val="22"/>
          <w:szCs w:val="22"/>
          <w:lang w:eastAsia="zh-CN"/>
        </w:rPr>
      </w:pPr>
      <w:r>
        <w:rPr>
          <w:rFonts w:hint="eastAsia"/>
          <w:sz w:val="22"/>
          <w:szCs w:val="22"/>
        </w:rPr>
        <w:t>项目用途：自用</w:t>
      </w:r>
      <w:r>
        <w:rPr>
          <w:rFonts w:hint="eastAsia"/>
          <w:sz w:val="22"/>
          <w:szCs w:val="22"/>
          <w:lang w:eastAsia="zh-CN"/>
        </w:rPr>
        <w:t>；</w:t>
      </w:r>
      <w:r>
        <w:rPr>
          <w:rFonts w:hint="eastAsia"/>
          <w:sz w:val="22"/>
          <w:szCs w:val="22"/>
        </w:rPr>
        <w:t>资金性质：</w:t>
      </w:r>
      <w:r>
        <w:rPr>
          <w:rFonts w:hint="eastAsia"/>
          <w:sz w:val="22"/>
          <w:szCs w:val="22"/>
          <w:lang w:eastAsia="zh-CN" w:val="en-US"/>
        </w:rPr>
        <w:t>财政性</w:t>
      </w:r>
      <w:r>
        <w:rPr>
          <w:rFonts w:hint="eastAsia"/>
          <w:sz w:val="22"/>
          <w:szCs w:val="22"/>
        </w:rPr>
        <w:t>资金</w:t>
      </w:r>
      <w:r>
        <w:rPr>
          <w:rFonts w:hint="eastAsia"/>
          <w:sz w:val="22"/>
          <w:szCs w:val="22"/>
          <w:lang w:eastAsia="zh-CN"/>
        </w:rPr>
        <w:t>。</w:t>
      </w:r>
    </w:p>
    <w:p>
      <w:pPr>
        <w:pStyle w:val="27"/>
        <w:spacing w:lineRule="exact" w:line="360"/>
        <w:ind w:firstLineChars="0" w:firstLine="0" w:leftChars="0" w:left="0"/>
        <w:jc w:val="left"/>
        <w:rPr>
          <w:rFonts w:hAnsi="Times New Roman" w:ascii="Times New Roman"/>
          <w:sz w:val="22"/>
          <w:szCs w:val="22"/>
        </w:rPr>
      </w:pPr>
      <w:r>
        <w:rPr>
          <w:rFonts w:hAnsi="Times New Roman" w:ascii="Times New Roman" w:hint="eastAsia"/>
          <w:sz w:val="22"/>
          <w:szCs w:val="22"/>
        </w:rPr>
        <w:t>采购预算：</w:t>
      </w:r>
      <w:r>
        <w:rPr>
          <w:rFonts w:hAnsi="Times New Roman" w:ascii="Times New Roman" w:hint="eastAsia"/>
          <w:sz w:val="22"/>
          <w:szCs w:val="22"/>
          <w:lang w:eastAsia="zh-CN" w:val="en-US"/>
        </w:rPr>
        <w:t>196.8</w:t>
      </w:r>
      <w:r>
        <w:rPr>
          <w:rFonts w:hAnsi="Times New Roman" w:ascii="Times New Roman" w:hint="eastAsia"/>
          <w:sz w:val="22"/>
          <w:szCs w:val="22"/>
        </w:rPr>
        <w:t>万元；最高限价：</w:t>
      </w:r>
      <w:r>
        <w:rPr>
          <w:rFonts w:hAnsi="Times New Roman" w:ascii="Times New Roman" w:hint="eastAsia"/>
          <w:sz w:val="22"/>
          <w:szCs w:val="22"/>
          <w:lang w:eastAsia="zh-CN" w:val="en-US"/>
        </w:rPr>
        <w:t>195</w:t>
      </w:r>
      <w:r>
        <w:rPr>
          <w:rFonts w:hAnsi="Times New Roman" w:ascii="Times New Roman" w:hint="eastAsia"/>
          <w:sz w:val="22"/>
          <w:szCs w:val="22"/>
        </w:rPr>
        <w:t>万元。</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六、供应商资质要求：</w:t>
      </w:r>
    </w:p>
    <w:p>
      <w:pPr>
        <w:pStyle w:val="27"/>
        <w:spacing w:lineRule="exact" w:line="360"/>
        <w:ind w:firstLine="440"/>
        <w:rPr>
          <w:rFonts w:hAnsi="Times New Roman" w:ascii="Times New Roman"/>
          <w:sz w:val="22"/>
          <w:szCs w:val="22"/>
        </w:rPr>
      </w:pPr>
      <w:r>
        <w:rPr>
          <w:rFonts w:hAnsi="Times New Roman" w:ascii="Times New Roman"/>
          <w:sz w:val="22"/>
          <w:szCs w:val="22"/>
        </w:rPr>
        <w:t xml:space="preserve">1. </w:t>
      </w:r>
      <w:r>
        <w:rPr>
          <w:rFonts w:hAnsi="Times New Roman" w:ascii="Times New Roman" w:hint="eastAsia"/>
          <w:sz w:val="22"/>
          <w:szCs w:val="22"/>
        </w:rPr>
        <w:t>具备《中华人民共和国政府采购法》第二十二条规定的条件；</w:t>
      </w:r>
    </w:p>
    <w:p>
      <w:pPr>
        <w:pStyle w:val="27"/>
        <w:spacing w:lineRule="exact" w:line="360"/>
        <w:ind w:firstLine="440"/>
        <w:rPr>
          <w:rFonts w:hAnsi="Times New Roman" w:ascii="Times New Roman"/>
          <w:sz w:val="22"/>
          <w:szCs w:val="22"/>
        </w:rPr>
      </w:pPr>
      <w:r>
        <w:rPr>
          <w:rFonts w:hAnsi="Times New Roman" w:ascii="Times New Roman"/>
          <w:sz w:val="22"/>
          <w:szCs w:val="22"/>
        </w:rPr>
        <w:t>2. 具有独立承担民事责任能力的法人</w:t>
      </w:r>
      <w:r>
        <w:rPr>
          <w:rFonts w:hAnsi="Times New Roman" w:ascii="Times New Roman" w:hint="eastAsia"/>
          <w:sz w:val="22"/>
          <w:szCs w:val="22"/>
        </w:rPr>
        <w:t>、</w:t>
      </w:r>
      <w:r>
        <w:rPr>
          <w:rFonts w:hAnsi="Times New Roman" w:ascii="Times New Roman"/>
          <w:sz w:val="22"/>
          <w:szCs w:val="22"/>
        </w:rPr>
        <w:t>其他组织</w:t>
      </w:r>
      <w:r>
        <w:rPr>
          <w:rFonts w:hAnsi="Times New Roman" w:ascii="Times New Roman" w:hint="eastAsia"/>
          <w:sz w:val="22"/>
          <w:szCs w:val="22"/>
        </w:rPr>
        <w:t>或自然人</w:t>
      </w:r>
      <w:r>
        <w:rPr>
          <w:rFonts w:hAnsi="Times New Roman" w:ascii="Times New Roman"/>
          <w:sz w:val="22"/>
          <w:szCs w:val="22"/>
        </w:rPr>
        <w:t>，提供统一社会信用代码的营业执照</w:t>
      </w:r>
      <w:r>
        <w:rPr>
          <w:rFonts w:hAnsi="Times New Roman" w:ascii="Times New Roman" w:hint="eastAsia"/>
          <w:sz w:val="22"/>
          <w:szCs w:val="22"/>
        </w:rPr>
        <w:t>（事业单位具有有效的事业单位法人证书，自然人提供身份证明）；</w:t>
      </w:r>
    </w:p>
    <w:p>
      <w:pPr>
        <w:pStyle w:val="27"/>
        <w:spacing w:lineRule="exact" w:line="360"/>
        <w:ind w:firstLine="440"/>
        <w:rPr>
          <w:rFonts w:hAnsi="Times New Roman" w:ascii="Times New Roman"/>
          <w:sz w:val="22"/>
          <w:szCs w:val="22"/>
        </w:rPr>
      </w:pPr>
      <w:r>
        <w:rPr>
          <w:rFonts w:hAnsi="Times New Roman" w:ascii="Times New Roman"/>
          <w:sz w:val="22"/>
          <w:szCs w:val="22"/>
        </w:rPr>
        <w:t xml:space="preserve">3. </w:t>
      </w:r>
      <w:r>
        <w:rPr>
          <w:rFonts w:hAnsi="Times New Roman" w:ascii="Times New Roman" w:hint="eastAsia"/>
          <w:sz w:val="22"/>
          <w:szCs w:val="22"/>
        </w:rPr>
        <w:t>法定代表人授权书及被授权人身份证（法定代表人直接投标只须提交其身份证）；</w:t>
      </w:r>
    </w:p>
    <w:p>
      <w:pPr>
        <w:pStyle w:val="27"/>
        <w:spacing w:lineRule="exact" w:line="360"/>
        <w:ind w:firstLine="440"/>
        <w:rPr>
          <w:rFonts w:cs="Times New Roman" w:eastAsia="宋体" w:hAnsi="Times New Roman" w:ascii="Times New Roman"/>
          <w:sz w:val="22"/>
          <w:szCs w:val="22"/>
        </w:rPr>
      </w:pPr>
      <w:r>
        <w:rPr>
          <w:rFonts w:cs="Times New Roman" w:eastAsia="宋体" w:hAnsi="Times New Roman" w:ascii="Times New Roman"/>
          <w:sz w:val="22"/>
          <w:szCs w:val="22"/>
        </w:rPr>
        <w:t xml:space="preserve">4. </w:t>
      </w:r>
      <w:r>
        <w:rPr>
          <w:rFonts w:cs="Times New Roman" w:eastAsia="宋体" w:hAnsi="Times New Roman" w:ascii="Times New Roman" w:hint="eastAsia"/>
          <w:sz w:val="22"/>
          <w:szCs w:val="22"/>
        </w:rPr>
        <w:t>投标人未被列入失信被执行人、重大税收违法案件当事人名单、政府采购严重违法失信行为记录；</w:t>
      </w:r>
    </w:p>
    <w:p>
      <w:pPr>
        <w:pStyle w:val="27"/>
        <w:spacing w:lineRule="exact" w:line="360"/>
        <w:ind w:firstLine="440"/>
        <w:rPr>
          <w:rFonts w:hAnsi="Times New Roman" w:ascii="Times New Roman"/>
          <w:sz w:val="22"/>
          <w:szCs w:val="22"/>
        </w:rPr>
      </w:pPr>
      <w:r>
        <w:rPr>
          <w:rFonts w:hAnsi="Times New Roman" w:ascii="Times New Roman"/>
          <w:sz w:val="22"/>
          <w:szCs w:val="22"/>
        </w:rPr>
        <w:t>5.</w:t>
      </w:r>
      <w:r>
        <w:rPr>
          <w:rFonts w:cs="宋体" w:hAnsi="宋体" w:hint="eastAsia"/>
          <w:sz w:val="22"/>
          <w:szCs w:val="22"/>
        </w:rPr>
        <w:t>投标人所投产品为进口产品的，须提供进口产品制造厂家对投标产品的授权，或具有授权权限的代理商对投标产品的授权（且需提供该代理商具有有效授权权限的相关证明文件，证明文件需能显示产品制造厂家对投标产品授权链条的完整性）</w:t>
      </w:r>
      <w:r>
        <w:rPr>
          <w:rFonts w:hint="eastAsia"/>
          <w:sz w:val="22"/>
          <w:szCs w:val="22"/>
        </w:rPr>
        <w:t>；</w:t>
      </w:r>
    </w:p>
    <w:p>
      <w:pPr>
        <w:pStyle w:val="27"/>
        <w:spacing w:lineRule="exact" w:line="360"/>
        <w:ind w:firstLine="440"/>
        <w:rPr>
          <w:rFonts w:hAnsi="Times New Roman" w:ascii="Times New Roman"/>
          <w:sz w:val="22"/>
          <w:szCs w:val="22"/>
          <w:lang w:eastAsia="ko-KR"/>
        </w:rPr>
      </w:pPr>
      <w:r>
        <w:rPr>
          <w:rFonts w:hAnsi="Times New Roman" w:ascii="Times New Roman" w:hint="eastAsia"/>
          <w:sz w:val="22"/>
          <w:szCs w:val="22"/>
        </w:rPr>
        <w:t>6.</w:t>
      </w:r>
      <w:r>
        <w:rPr>
          <w:rFonts w:hAnsi="Times New Roman" w:ascii="Times New Roman" w:hint="eastAsia"/>
          <w:sz w:val="22"/>
          <w:szCs w:val="22"/>
          <w:lang w:eastAsia="ko-KR"/>
        </w:rPr>
        <w:t>所投产品应符合国家强制性标准，所投产品为医疗器械的须符合《医疗器械注册管理办法》要求并提供中华人民共和国医疗器械注册证；（按国家食品药品监督管理总局最新相关规定执行）；</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7.</w:t>
      </w:r>
      <w:r>
        <w:rPr>
          <w:rFonts w:hAnsi="Times New Roman" w:ascii="Times New Roman" w:hint="eastAsia"/>
          <w:sz w:val="22"/>
          <w:szCs w:val="22"/>
          <w:lang w:eastAsia="ko-KR"/>
        </w:rPr>
        <w:t>供应商须符合《医疗器械监督管理条例》要求，供应商为代理商的应提供《医疗器械经营许可证》或《医疗器械经营备案凭证》；供应商为制造厂商的应提供《医疗器械生产许可证》或《医疗器械生产备案凭证》；</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8</w:t>
      </w:r>
      <w:r>
        <w:rPr>
          <w:rFonts w:hAnsi="Times New Roman" w:ascii="Times New Roman"/>
          <w:sz w:val="22"/>
          <w:szCs w:val="22"/>
        </w:rPr>
        <w:t xml:space="preserve">. </w:t>
      </w:r>
      <w:r>
        <w:rPr>
          <w:rFonts w:hAnsi="Times New Roman" w:ascii="Times New Roman" w:hint="eastAsia"/>
          <w:sz w:val="22"/>
          <w:szCs w:val="22"/>
        </w:rPr>
        <w:t>本项目不接受联合体投标。</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七、采购项目需要落实的政府采购政策：</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依据《中华人民共和国政府采购法》及《中华人民共和国政府采购法实施条例》的有关规定，落实政府采购政策，详见招标文件。</w:t>
      </w:r>
    </w:p>
    <w:p>
      <w:pPr>
        <w:spacing w:lineRule="auto" w:line="360"/>
        <w:jc w:val="left"/>
        <w:rPr>
          <w:sz w:val="22"/>
        </w:rPr>
      </w:pPr>
      <w:r>
        <w:rPr>
          <w:rFonts w:hint="eastAsia"/>
          <w:sz w:val="22"/>
        </w:rPr>
        <w:t>（1）《政府采购促进中小企业发展管理办法》（财库〔2020〕46号）;</w:t>
      </w:r>
    </w:p>
    <w:p>
      <w:pPr>
        <w:spacing w:lineRule="auto" w:line="360"/>
        <w:jc w:val="left"/>
        <w:rPr>
          <w:sz w:val="22"/>
        </w:rPr>
      </w:pPr>
      <w:r>
        <w:rPr>
          <w:rFonts w:hint="eastAsia"/>
          <w:sz w:val="22"/>
        </w:rPr>
        <w:t>（2）《财政部司法部关于政府采购支持监狱企业发展有关问题通知》（财库〔2014〕68号）；</w:t>
      </w:r>
    </w:p>
    <w:p>
      <w:pPr>
        <w:spacing w:lineRule="auto" w:line="360"/>
        <w:jc w:val="left"/>
        <w:rPr>
          <w:sz w:val="22"/>
        </w:rPr>
      </w:pPr>
      <w:r>
        <w:rPr>
          <w:rFonts w:hint="eastAsia"/>
          <w:sz w:val="22"/>
        </w:rPr>
        <w:t>（3）《国务院办公厅关于建立政府强制采购节能产品制度的通知》（国办发〔2007〕51号）；</w:t>
      </w:r>
    </w:p>
    <w:p>
      <w:pPr>
        <w:spacing w:lineRule="auto" w:line="360"/>
        <w:jc w:val="left"/>
        <w:rPr>
          <w:sz w:val="22"/>
        </w:rPr>
      </w:pPr>
      <w:r>
        <w:rPr>
          <w:rFonts w:hint="eastAsia"/>
          <w:sz w:val="22"/>
        </w:rPr>
        <w:t>（4）《环境标志产品政府采购实施的意见》（财库〔2006〕90号）；</w:t>
      </w:r>
    </w:p>
    <w:p>
      <w:pPr>
        <w:spacing w:lineRule="auto" w:line="360"/>
        <w:jc w:val="left"/>
        <w:rPr>
          <w:sz w:val="22"/>
        </w:rPr>
      </w:pPr>
      <w:r>
        <w:rPr>
          <w:rFonts w:hint="eastAsia"/>
          <w:sz w:val="22"/>
        </w:rPr>
        <w:t>（5）《关于促进残疾人就业政府采购政策的通知》（财库〔2017〕141号）。</w:t>
      </w:r>
    </w:p>
    <w:p>
      <w:pPr>
        <w:spacing w:lineRule="auto" w:line="360"/>
        <w:jc w:val="left"/>
        <w:rPr>
          <w:sz w:val="22"/>
        </w:rPr>
      </w:pPr>
      <w:r>
        <w:rPr>
          <w:rFonts w:hint="eastAsia"/>
          <w:sz w:val="22"/>
        </w:rPr>
        <w:t>（6）《陕西省中小企业政府采购信用融资办法》（陕财办采〔2018〕23号）；</w:t>
      </w:r>
    </w:p>
    <w:p>
      <w:pPr>
        <w:spacing w:lineRule="auto" w:line="360"/>
        <w:jc w:val="left"/>
        <w:rPr>
          <w:sz w:val="22"/>
        </w:rPr>
      </w:pPr>
      <w:r>
        <w:rPr>
          <w:rFonts w:hint="eastAsia"/>
          <w:sz w:val="22"/>
        </w:rPr>
        <w:t>（7）其他需要落实的政府采购政策。</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八、招标文件获取时间、地点：</w:t>
      </w:r>
    </w:p>
    <w:p>
      <w:pPr>
        <w:pStyle w:val="27"/>
        <w:spacing w:lineRule="exact" w:line="360"/>
        <w:ind w:firstLine="440"/>
        <w:rPr>
          <w:rFonts w:hAnsi="Times New Roman" w:ascii="Times New Roman"/>
          <w:sz w:val="22"/>
          <w:szCs w:val="22"/>
        </w:rPr>
      </w:pPr>
      <w:r>
        <w:rPr>
          <w:rFonts w:hAnsi="Times New Roman" w:ascii="Times New Roman"/>
          <w:sz w:val="22"/>
          <w:szCs w:val="22"/>
        </w:rPr>
        <w:t xml:space="preserve">1. </w:t>
      </w:r>
      <w:r>
        <w:rPr>
          <w:rFonts w:hAnsi="Times New Roman" w:ascii="Times New Roman" w:hint="eastAsia"/>
          <w:sz w:val="22"/>
          <w:szCs w:val="22"/>
        </w:rPr>
        <w:t>获取时间：</w:t>
      </w:r>
      <w:r>
        <w:rPr>
          <w:rFonts w:hAnsi="Times New Roman" w:ascii="Times New Roman"/>
          <w:sz w:val="22"/>
          <w:szCs w:val="22"/>
        </w:rPr>
        <w:t>202</w:t>
      </w:r>
      <w:r>
        <w:rPr>
          <w:rFonts w:hAnsi="Times New Roman" w:ascii="Times New Roman" w:hint="eastAsia"/>
          <w:sz w:val="22"/>
          <w:szCs w:val="22"/>
          <w:lang w:eastAsia="zh-CN" w:val="en-US"/>
        </w:rPr>
        <w:t>2</w:t>
      </w:r>
      <w:r>
        <w:rPr>
          <w:rFonts w:hAnsi="Times New Roman" w:ascii="Times New Roman" w:hint="eastAsia"/>
          <w:sz w:val="22"/>
          <w:szCs w:val="22"/>
        </w:rPr>
        <w:t xml:space="preserve">年 </w:t>
      </w:r>
      <w:r>
        <w:rPr>
          <w:rFonts w:hAnsi="Times New Roman" w:ascii="Times New Roman" w:hint="eastAsia"/>
          <w:sz w:val="22"/>
          <w:szCs w:val="22"/>
          <w:lang w:eastAsia="zh-CN" w:val="en-US"/>
        </w:rPr>
        <w:t xml:space="preserve">11 </w:t>
      </w:r>
      <w:r>
        <w:rPr>
          <w:rFonts w:hAnsi="Times New Roman" w:ascii="Times New Roman" w:hint="eastAsia"/>
          <w:sz w:val="22"/>
          <w:szCs w:val="22"/>
        </w:rPr>
        <w:t xml:space="preserve">月 </w:t>
      </w:r>
      <w:r>
        <w:rPr>
          <w:rFonts w:hAnsi="Times New Roman" w:ascii="Times New Roman" w:hint="eastAsia"/>
          <w:sz w:val="22"/>
          <w:szCs w:val="22"/>
          <w:lang w:eastAsia="zh-CN" w:val="en-US"/>
        </w:rPr>
        <w:t xml:space="preserve">16 </w:t>
      </w:r>
      <w:r>
        <w:rPr>
          <w:rFonts w:hAnsi="Times New Roman" w:ascii="Times New Roman" w:hint="eastAsia"/>
          <w:sz w:val="22"/>
          <w:szCs w:val="22"/>
        </w:rPr>
        <w:t xml:space="preserve"> 日至</w:t>
      </w:r>
      <w:r>
        <w:rPr>
          <w:rFonts w:hAnsi="Times New Roman" w:ascii="Times New Roman"/>
          <w:sz w:val="22"/>
          <w:szCs w:val="22"/>
        </w:rPr>
        <w:t>202</w:t>
      </w:r>
      <w:r>
        <w:rPr>
          <w:rFonts w:hAnsi="Times New Roman" w:ascii="Times New Roman" w:hint="eastAsia"/>
          <w:sz w:val="22"/>
          <w:szCs w:val="22"/>
          <w:lang w:eastAsia="zh-CN" w:val="en-US"/>
        </w:rPr>
        <w:t>2</w:t>
      </w:r>
      <w:r>
        <w:rPr>
          <w:rFonts w:hAnsi="Times New Roman" w:ascii="Times New Roman" w:hint="eastAsia"/>
          <w:sz w:val="22"/>
          <w:szCs w:val="22"/>
        </w:rPr>
        <w:t xml:space="preserve">年 </w:t>
      </w:r>
      <w:r>
        <w:rPr>
          <w:rFonts w:hAnsi="Times New Roman" w:ascii="Times New Roman" w:hint="eastAsia"/>
          <w:sz w:val="22"/>
          <w:szCs w:val="22"/>
          <w:lang w:eastAsia="zh-CN" w:val="en-US"/>
        </w:rPr>
        <w:t xml:space="preserve">11 </w:t>
      </w:r>
      <w:r>
        <w:rPr>
          <w:rFonts w:hAnsi="Times New Roman" w:ascii="Times New Roman" w:hint="eastAsia"/>
          <w:sz w:val="22"/>
          <w:szCs w:val="22"/>
        </w:rPr>
        <w:t xml:space="preserve">月 </w:t>
      </w:r>
      <w:r>
        <w:rPr>
          <w:rFonts w:hAnsi="Times New Roman" w:ascii="Times New Roman" w:hint="eastAsia"/>
          <w:sz w:val="22"/>
          <w:szCs w:val="22"/>
          <w:lang w:eastAsia="zh-CN" w:val="en-US"/>
        </w:rPr>
        <w:t xml:space="preserve">23 </w:t>
      </w:r>
      <w:r>
        <w:rPr>
          <w:rFonts w:hAnsi="Times New Roman" w:ascii="Times New Roman" w:hint="eastAsia"/>
          <w:sz w:val="22"/>
          <w:szCs w:val="22"/>
        </w:rPr>
        <w:t>日上午</w:t>
      </w:r>
      <w:r>
        <w:rPr>
          <w:rFonts w:hAnsi="Times New Roman" w:ascii="Times New Roman"/>
          <w:sz w:val="22"/>
          <w:szCs w:val="22"/>
        </w:rPr>
        <w:t>9:00-11:30</w:t>
      </w:r>
      <w:r>
        <w:rPr>
          <w:rFonts w:hAnsi="Times New Roman" w:ascii="Times New Roman" w:hint="eastAsia"/>
          <w:sz w:val="22"/>
          <w:szCs w:val="22"/>
        </w:rPr>
        <w:t>，下午</w:t>
      </w:r>
      <w:r>
        <w:rPr>
          <w:rFonts w:hAnsi="Times New Roman" w:ascii="Times New Roman"/>
          <w:sz w:val="22"/>
          <w:szCs w:val="22"/>
        </w:rPr>
        <w:t xml:space="preserve">13:00-16:30 </w:t>
      </w:r>
      <w:r>
        <w:rPr>
          <w:rFonts w:hAnsi="Times New Roman" w:ascii="Times New Roman" w:hint="eastAsia"/>
          <w:sz w:val="22"/>
          <w:szCs w:val="22"/>
        </w:rPr>
        <w:t>（北京时间，法定节假日除外）；</w:t>
      </w:r>
    </w:p>
    <w:p>
      <w:pPr>
        <w:pStyle w:val="27"/>
        <w:spacing w:lineRule="exact" w:line="360"/>
        <w:ind w:firstLine="440"/>
        <w:rPr>
          <w:rFonts w:hAnsi="Times New Roman" w:ascii="Times New Roman"/>
          <w:sz w:val="22"/>
          <w:szCs w:val="22"/>
        </w:rPr>
      </w:pPr>
      <w:r>
        <w:rPr>
          <w:rFonts w:hAnsi="Times New Roman" w:ascii="Times New Roman"/>
          <w:sz w:val="22"/>
          <w:szCs w:val="22"/>
        </w:rPr>
        <w:t xml:space="preserve">2. </w:t>
      </w:r>
      <w:r>
        <w:rPr>
          <w:rFonts w:hAnsi="Times New Roman" w:ascii="Times New Roman" w:hint="eastAsia"/>
          <w:sz w:val="22"/>
          <w:szCs w:val="22"/>
        </w:rPr>
        <w:t>获取地点：西安市高新区唐延路</w:t>
      </w:r>
      <w:r>
        <w:rPr>
          <w:rFonts w:hAnsi="Times New Roman" w:ascii="Times New Roman"/>
          <w:sz w:val="22"/>
          <w:szCs w:val="22"/>
        </w:rPr>
        <w:t>35</w:t>
      </w:r>
      <w:r>
        <w:rPr>
          <w:rFonts w:hAnsi="Times New Roman" w:ascii="Times New Roman" w:hint="eastAsia"/>
          <w:sz w:val="22"/>
          <w:szCs w:val="22"/>
        </w:rPr>
        <w:t>号旺座现代城</w:t>
      </w:r>
      <w:r>
        <w:rPr>
          <w:rFonts w:hAnsi="Times New Roman" w:ascii="Times New Roman"/>
          <w:sz w:val="22"/>
          <w:szCs w:val="22"/>
        </w:rPr>
        <w:t>G</w:t>
      </w:r>
      <w:r>
        <w:rPr>
          <w:rFonts w:hAnsi="Times New Roman" w:ascii="Times New Roman" w:hint="eastAsia"/>
          <w:sz w:val="22"/>
          <w:szCs w:val="22"/>
        </w:rPr>
        <w:t>座</w:t>
      </w:r>
      <w:r>
        <w:rPr>
          <w:rFonts w:hAnsi="Times New Roman" w:ascii="Times New Roman"/>
          <w:sz w:val="22"/>
          <w:szCs w:val="22"/>
        </w:rPr>
        <w:t>2301</w:t>
      </w:r>
      <w:r>
        <w:rPr>
          <w:rFonts w:hAnsi="Times New Roman" w:ascii="Times New Roman" w:hint="eastAsia"/>
          <w:sz w:val="22"/>
          <w:szCs w:val="22"/>
        </w:rPr>
        <w:t>室；</w:t>
      </w:r>
    </w:p>
    <w:p>
      <w:pPr>
        <w:pStyle w:val="27"/>
        <w:spacing w:lineRule="exact" w:line="360"/>
        <w:ind w:firstLine="440"/>
        <w:rPr>
          <w:rFonts w:hAnsi="Times New Roman" w:ascii="Times New Roman"/>
          <w:sz w:val="22"/>
          <w:szCs w:val="22"/>
        </w:rPr>
      </w:pPr>
      <w:r>
        <w:rPr>
          <w:rFonts w:hAnsi="Times New Roman" w:ascii="Times New Roman"/>
          <w:sz w:val="22"/>
          <w:szCs w:val="22"/>
        </w:rPr>
        <w:t xml:space="preserve">3. </w:t>
      </w:r>
      <w:r>
        <w:rPr>
          <w:rFonts w:hAnsi="Times New Roman" w:ascii="Times New Roman" w:hint="eastAsia"/>
          <w:sz w:val="22"/>
          <w:szCs w:val="22"/>
        </w:rPr>
        <w:t>获取联系人：刘女士，电话：</w:t>
      </w:r>
      <w:r>
        <w:rPr>
          <w:rFonts w:hAnsi="Times New Roman" w:ascii="Times New Roman"/>
          <w:sz w:val="22"/>
          <w:szCs w:val="22"/>
        </w:rPr>
        <w:t>029-88854272</w:t>
      </w:r>
      <w:r>
        <w:rPr>
          <w:rFonts w:hAnsi="Times New Roman" w:ascii="Times New Roman" w:hint="eastAsia"/>
          <w:sz w:val="22"/>
          <w:szCs w:val="22"/>
        </w:rPr>
        <w:t>转</w:t>
      </w:r>
      <w:r>
        <w:rPr>
          <w:rFonts w:hAnsi="Times New Roman" w:ascii="Times New Roman"/>
          <w:sz w:val="22"/>
          <w:szCs w:val="22"/>
        </w:rPr>
        <w:t>8001</w:t>
      </w:r>
      <w:r>
        <w:rPr>
          <w:rFonts w:hAnsi="Times New Roman" w:ascii="Times New Roman" w:hint="eastAsia"/>
          <w:sz w:val="22"/>
          <w:szCs w:val="22"/>
        </w:rPr>
        <w:t>；</w:t>
      </w:r>
    </w:p>
    <w:p>
      <w:pPr>
        <w:pStyle w:val="27"/>
        <w:spacing w:lineRule="exact" w:line="360"/>
        <w:ind w:firstLine="440"/>
        <w:rPr>
          <w:rFonts w:hAnsi="Times New Roman" w:ascii="Times New Roman"/>
          <w:sz w:val="22"/>
          <w:szCs w:val="22"/>
        </w:rPr>
      </w:pPr>
      <w:r>
        <w:rPr>
          <w:rFonts w:hAnsi="Times New Roman" w:ascii="Times New Roman"/>
          <w:sz w:val="22"/>
          <w:szCs w:val="22"/>
        </w:rPr>
        <w:t xml:space="preserve">4. </w:t>
      </w:r>
      <w:r>
        <w:rPr>
          <w:rFonts w:hAnsi="Times New Roman" w:ascii="Times New Roman" w:hint="eastAsia"/>
          <w:sz w:val="22"/>
          <w:szCs w:val="22"/>
        </w:rPr>
        <w:t>文件售价：免费赠送，招标文件谢绝邮寄，投标资格不能转让。</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供应商获取招标文件时请携带单位介绍信、本人身份证复印件加盖公章，请自带</w:t>
      </w:r>
      <w:r>
        <w:rPr>
          <w:rFonts w:hAnsi="Times New Roman" w:ascii="Times New Roman"/>
          <w:sz w:val="22"/>
          <w:szCs w:val="22"/>
        </w:rPr>
        <w:t>U</w:t>
      </w:r>
      <w:r>
        <w:rPr>
          <w:rFonts w:hAnsi="Times New Roman" w:ascii="Times New Roman" w:hint="eastAsia"/>
          <w:sz w:val="22"/>
          <w:szCs w:val="22"/>
        </w:rPr>
        <w:t>盘拷取招标文件电子文档。</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九、投标文件递交截止时间及开标时间和地点：</w:t>
      </w:r>
    </w:p>
    <w:p>
      <w:pPr>
        <w:pStyle w:val="27"/>
        <w:spacing w:lineRule="exact" w:line="360"/>
        <w:ind w:firstLine="440"/>
        <w:rPr>
          <w:rFonts w:cs="宋体" w:hAnsi="宋体"/>
          <w:sz w:val="22"/>
          <w:szCs w:val="22"/>
        </w:rPr>
      </w:pPr>
      <w:r>
        <w:rPr>
          <w:rFonts w:hAnsi="Times New Roman" w:ascii="Times New Roman"/>
          <w:sz w:val="22"/>
          <w:szCs w:val="22"/>
        </w:rPr>
        <w:t xml:space="preserve">1. </w:t>
      </w:r>
      <w:r>
        <w:rPr>
          <w:rFonts w:hAnsi="Times New Roman" w:ascii="Times New Roman" w:hint="eastAsia"/>
          <w:sz w:val="22"/>
          <w:szCs w:val="22"/>
        </w:rPr>
        <w:t>投标文件</w:t>
      </w:r>
      <w:r>
        <w:rPr>
          <w:rFonts w:cs="宋体" w:hAnsi="宋体" w:hint="eastAsia"/>
          <w:sz w:val="22"/>
          <w:szCs w:val="22"/>
        </w:rPr>
        <w:t>递交截止时间：202</w:t>
      </w:r>
      <w:r>
        <w:rPr>
          <w:rFonts w:cs="宋体" w:hAnsi="宋体" w:hint="eastAsia"/>
          <w:sz w:val="22"/>
          <w:szCs w:val="22"/>
          <w:lang w:eastAsia="zh-CN" w:val="en-US"/>
        </w:rPr>
        <w:t>2</w:t>
      </w:r>
      <w:r>
        <w:rPr>
          <w:rFonts w:cs="宋体" w:hAnsi="宋体" w:hint="eastAsia"/>
          <w:sz w:val="22"/>
          <w:szCs w:val="22"/>
        </w:rPr>
        <w:t xml:space="preserve">年 </w:t>
      </w:r>
      <w:r>
        <w:rPr>
          <w:rFonts w:cs="宋体" w:hAnsi="宋体" w:hint="eastAsia"/>
          <w:sz w:val="22"/>
          <w:szCs w:val="22"/>
          <w:lang w:eastAsia="zh-CN" w:val="en-US"/>
        </w:rPr>
        <w:t xml:space="preserve"> 12</w:t>
      </w:r>
      <w:r>
        <w:rPr>
          <w:rFonts w:cs="宋体" w:hAnsi="宋体" w:hint="eastAsia"/>
          <w:sz w:val="22"/>
          <w:szCs w:val="22"/>
        </w:rPr>
        <w:t xml:space="preserve">  月 </w:t>
      </w:r>
      <w:r>
        <w:rPr>
          <w:rFonts w:cs="宋体" w:hAnsi="宋体" w:hint="eastAsia"/>
          <w:sz w:val="22"/>
          <w:szCs w:val="22"/>
          <w:lang w:eastAsia="zh-CN" w:val="en-US"/>
        </w:rPr>
        <w:t>13</w:t>
      </w:r>
      <w:r>
        <w:rPr>
          <w:rFonts w:cs="宋体" w:hAnsi="宋体" w:hint="eastAsia"/>
          <w:sz w:val="22"/>
          <w:szCs w:val="22"/>
        </w:rPr>
        <w:t xml:space="preserve"> 日</w:t>
      </w:r>
      <w:r>
        <w:rPr>
          <w:rFonts w:cs="宋体" w:hAnsi="宋体" w:hint="eastAsia"/>
          <w:sz w:val="22"/>
          <w:szCs w:val="22"/>
          <w:lang w:eastAsia="zh-CN" w:val="en-US"/>
        </w:rPr>
        <w:t>09</w:t>
      </w:r>
      <w:r>
        <w:rPr>
          <w:rFonts w:cs="宋体" w:hAnsi="宋体" w:hint="eastAsia"/>
          <w:sz w:val="22"/>
          <w:szCs w:val="22"/>
        </w:rPr>
        <w:t>:30（北京时间）</w:t>
      </w:r>
    </w:p>
    <w:p>
      <w:pPr>
        <w:pStyle w:val="27"/>
        <w:spacing w:lineRule="exact" w:line="360"/>
        <w:ind w:firstLine="440"/>
        <w:rPr>
          <w:rFonts w:cs="宋体" w:hAnsi="宋体"/>
          <w:sz w:val="22"/>
          <w:szCs w:val="22"/>
        </w:rPr>
      </w:pPr>
      <w:r>
        <w:rPr>
          <w:rFonts w:cs="宋体" w:hAnsi="宋体" w:hint="eastAsia"/>
          <w:sz w:val="22"/>
          <w:szCs w:val="22"/>
        </w:rPr>
        <w:t>2. 开标时间：202</w:t>
      </w:r>
      <w:r>
        <w:rPr>
          <w:rFonts w:cs="宋体" w:hAnsi="宋体" w:hint="eastAsia"/>
          <w:sz w:val="22"/>
          <w:szCs w:val="22"/>
          <w:lang w:eastAsia="zh-CN" w:val="en-US"/>
        </w:rPr>
        <w:t>2</w:t>
      </w:r>
      <w:r>
        <w:rPr>
          <w:rFonts w:cs="宋体" w:hAnsi="宋体" w:hint="eastAsia"/>
          <w:sz w:val="22"/>
          <w:szCs w:val="22"/>
        </w:rPr>
        <w:t xml:space="preserve">年 </w:t>
      </w:r>
      <w:r>
        <w:rPr>
          <w:rFonts w:cs="宋体" w:hAnsi="宋体" w:hint="eastAsia"/>
          <w:sz w:val="22"/>
          <w:szCs w:val="22"/>
          <w:lang w:eastAsia="zh-CN" w:val="en-US"/>
        </w:rPr>
        <w:t>12</w:t>
      </w:r>
      <w:r>
        <w:rPr>
          <w:rFonts w:cs="宋体" w:hAnsi="宋体" w:hint="eastAsia"/>
          <w:sz w:val="22"/>
          <w:szCs w:val="22"/>
        </w:rPr>
        <w:t xml:space="preserve">  月 </w:t>
      </w:r>
      <w:r>
        <w:rPr>
          <w:rFonts w:cs="宋体" w:hAnsi="宋体" w:hint="eastAsia"/>
          <w:sz w:val="22"/>
          <w:szCs w:val="22"/>
          <w:lang w:eastAsia="zh-CN" w:val="en-US"/>
        </w:rPr>
        <w:t>13</w:t>
      </w:r>
      <w:r>
        <w:rPr>
          <w:rFonts w:cs="宋体" w:hAnsi="宋体" w:hint="eastAsia"/>
          <w:sz w:val="22"/>
          <w:szCs w:val="22"/>
        </w:rPr>
        <w:t xml:space="preserve"> 日</w:t>
      </w:r>
      <w:r>
        <w:rPr>
          <w:rFonts w:cs="宋体" w:hAnsi="宋体" w:hint="eastAsia"/>
          <w:sz w:val="22"/>
          <w:szCs w:val="22"/>
          <w:lang w:eastAsia="zh-CN" w:val="en-US"/>
        </w:rPr>
        <w:t xml:space="preserve"> 09</w:t>
      </w:r>
      <w:r>
        <w:rPr>
          <w:rFonts w:cs="宋体" w:hAnsi="宋体" w:hint="eastAsia"/>
          <w:sz w:val="22"/>
          <w:szCs w:val="22"/>
        </w:rPr>
        <w:t>:30（北京时间）</w:t>
      </w:r>
    </w:p>
    <w:p>
      <w:pPr>
        <w:pStyle w:val="27"/>
        <w:spacing w:lineRule="exact" w:line="360"/>
        <w:ind w:firstLine="440"/>
        <w:rPr>
          <w:rFonts w:hAnsi="Times New Roman" w:ascii="Times New Roman"/>
          <w:sz w:val="22"/>
          <w:szCs w:val="22"/>
        </w:rPr>
      </w:pPr>
      <w:r>
        <w:rPr>
          <w:rFonts w:hAnsi="Times New Roman" w:ascii="Times New Roman"/>
          <w:sz w:val="22"/>
          <w:szCs w:val="22"/>
        </w:rPr>
        <w:t xml:space="preserve">3. </w:t>
      </w:r>
      <w:r>
        <w:rPr>
          <w:rFonts w:hAnsi="Times New Roman" w:ascii="Times New Roman" w:hint="eastAsia"/>
          <w:sz w:val="22"/>
          <w:szCs w:val="22"/>
        </w:rPr>
        <w:t>开标地点：西安市高新区唐延路</w:t>
      </w:r>
      <w:r>
        <w:rPr>
          <w:rFonts w:hAnsi="Times New Roman" w:ascii="Times New Roman"/>
          <w:sz w:val="22"/>
          <w:szCs w:val="22"/>
        </w:rPr>
        <w:t>35</w:t>
      </w:r>
      <w:r>
        <w:rPr>
          <w:rFonts w:hAnsi="Times New Roman" w:ascii="Times New Roman" w:hint="eastAsia"/>
          <w:sz w:val="22"/>
          <w:szCs w:val="22"/>
        </w:rPr>
        <w:t>号旺座现代城</w:t>
      </w:r>
      <w:r>
        <w:rPr>
          <w:rFonts w:hAnsi="Times New Roman" w:ascii="Times New Roman"/>
          <w:sz w:val="22"/>
          <w:szCs w:val="22"/>
        </w:rPr>
        <w:t>G</w:t>
      </w:r>
      <w:r>
        <w:rPr>
          <w:rFonts w:hAnsi="Times New Roman" w:ascii="Times New Roman" w:hint="eastAsia"/>
          <w:sz w:val="22"/>
          <w:szCs w:val="22"/>
        </w:rPr>
        <w:t>座</w:t>
      </w:r>
      <w:r>
        <w:rPr>
          <w:rFonts w:hAnsi="Times New Roman" w:ascii="Times New Roman"/>
          <w:sz w:val="22"/>
          <w:szCs w:val="22"/>
        </w:rPr>
        <w:t>2301</w:t>
      </w:r>
      <w:r>
        <w:rPr>
          <w:rFonts w:hAnsi="Times New Roman" w:ascii="Times New Roman" w:hint="eastAsia"/>
          <w:sz w:val="22"/>
          <w:szCs w:val="22"/>
        </w:rPr>
        <w:t>室。</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十、其他应说明的事项：</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采购项目联系人：郝先生</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联系方式：</w:t>
      </w:r>
      <w:r>
        <w:rPr>
          <w:rFonts w:hAnsi="Times New Roman" w:ascii="Times New Roman"/>
          <w:sz w:val="22"/>
          <w:szCs w:val="22"/>
        </w:rPr>
        <w:t>029-88854272</w:t>
      </w:r>
      <w:r>
        <w:rPr>
          <w:rFonts w:hAnsi="Times New Roman" w:ascii="Times New Roman" w:hint="eastAsia"/>
          <w:sz w:val="22"/>
          <w:szCs w:val="22"/>
        </w:rPr>
        <w:t>转</w:t>
      </w:r>
      <w:r>
        <w:rPr>
          <w:rFonts w:hAnsi="Times New Roman" w:ascii="Times New Roman"/>
          <w:sz w:val="22"/>
          <w:szCs w:val="22"/>
        </w:rPr>
        <w:t>8012</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采购代理机构开户名称：四川国际招标有限责任公司陕西分公司</w:t>
      </w:r>
    </w:p>
    <w:p>
      <w:pPr>
        <w:pStyle w:val="27"/>
        <w:spacing w:lineRule="exact" w:line="360"/>
        <w:ind w:firstLine="440"/>
        <w:rPr>
          <w:rFonts w:hAnsi="Times New Roman" w:ascii="Times New Roman"/>
          <w:sz w:val="22"/>
          <w:szCs w:val="22"/>
        </w:rPr>
      </w:pPr>
      <w:r>
        <w:rPr>
          <w:rFonts w:hAnsi="Times New Roman" w:ascii="Times New Roman" w:hint="eastAsia"/>
          <w:sz w:val="22"/>
          <w:szCs w:val="22"/>
        </w:rPr>
        <w:t>开户银行：中国民生银行股份有限公司西安高新开发区支行</w:t>
      </w:r>
    </w:p>
    <w:p>
      <w:pPr>
        <w:pStyle w:val="27"/>
        <w:spacing w:lineRule="exact" w:line="360"/>
        <w:ind w:firstLineChars="0" w:firstLine="0"/>
        <w:rPr>
          <w:rFonts w:hAnsi="Times New Roman" w:ascii="Times New Roman"/>
          <w:sz w:val="22"/>
          <w:szCs w:val="22"/>
        </w:rPr>
      </w:pPr>
      <w:r>
        <w:rPr>
          <w:rFonts w:hAnsi="Times New Roman" w:ascii="Times New Roman" w:hint="eastAsia"/>
          <w:sz w:val="22"/>
          <w:szCs w:val="22"/>
        </w:rPr>
        <w:t>十一、本采购公告的公告期限为</w:t>
      </w:r>
      <w:r>
        <w:rPr>
          <w:rFonts w:hAnsi="Times New Roman" w:ascii="Times New Roman"/>
          <w:sz w:val="22"/>
          <w:szCs w:val="22"/>
        </w:rPr>
        <w:t>5</w:t>
      </w:r>
      <w:r>
        <w:rPr>
          <w:rFonts w:hAnsi="Times New Roman" w:ascii="Times New Roman" w:hint="eastAsia"/>
          <w:sz w:val="22"/>
          <w:szCs w:val="22"/>
        </w:rPr>
        <w:t>个工作日。</w:t>
      </w:r>
    </w:p>
    <w:p>
      <w:pPr>
        <w:pStyle w:val="27"/>
        <w:spacing w:lineRule="exact" w:line="360"/>
        <w:ind w:firstLineChars="0" w:firstLine="0"/>
        <w:rPr>
          <w:rFonts w:hAnsi="Times New Roman" w:ascii="Times New Roman"/>
          <w:sz w:val="22"/>
          <w:szCs w:val="22"/>
        </w:rPr>
      </w:pPr>
    </w:p>
    <w:p>
      <w:pPr>
        <w:pStyle w:val="27"/>
        <w:spacing w:lineRule="exact" w:line="360"/>
        <w:ind w:firstLineChars="1800" w:firstLine="3960"/>
        <w:rPr>
          <w:rFonts w:hAnsi="Times New Roman" w:ascii="Times New Roman"/>
          <w:sz w:val="22"/>
          <w:szCs w:val="22"/>
        </w:rPr>
      </w:pPr>
      <w:r>
        <w:rPr>
          <w:rFonts w:hAnsi="Times New Roman" w:ascii="Times New Roman" w:hint="eastAsia"/>
          <w:sz w:val="22"/>
          <w:szCs w:val="22"/>
        </w:rPr>
        <w:t>四川国际招标有限责任公司</w:t>
      </w:r>
    </w:p>
    <w:p>
      <w:pPr>
        <w:pStyle w:val="27"/>
        <w:spacing w:lineRule="exact" w:line="360"/>
        <w:ind w:firstLineChars="0" w:firstLine="0"/>
        <w:rPr>
          <w:rFonts w:hAnsi="Times New Roman" w:ascii="Times New Roman"/>
          <w:sz w:val="22"/>
          <w:szCs w:val="22"/>
        </w:rPr>
      </w:pPr>
      <w:r>
        <w:rPr>
          <w:rFonts w:hAnsi="Times New Roman" w:ascii="Times New Roman"/>
          <w:sz w:val="22"/>
          <w:szCs w:val="22"/>
        </w:rPr>
        <w:t xml:space="preserve">                                           202</w:t>
      </w:r>
      <w:r>
        <w:rPr>
          <w:rFonts w:hAnsi="Times New Roman" w:ascii="Times New Roman" w:hint="eastAsia"/>
          <w:sz w:val="22"/>
          <w:szCs w:val="22"/>
          <w:lang w:eastAsia="zh-CN" w:val="en-US"/>
        </w:rPr>
        <w:t>2</w:t>
      </w:r>
      <w:r>
        <w:rPr>
          <w:rFonts w:hAnsi="Times New Roman" w:ascii="Times New Roman" w:hint="eastAsia"/>
          <w:sz w:val="22"/>
          <w:szCs w:val="22"/>
        </w:rPr>
        <w:t>年</w:t>
      </w:r>
      <w:r>
        <w:rPr>
          <w:rFonts w:hAnsi="Times New Roman" w:ascii="Times New Roman" w:hint="eastAsia"/>
          <w:sz w:val="22"/>
          <w:szCs w:val="22"/>
          <w:lang w:eastAsia="zh-CN" w:val="en-US"/>
        </w:rPr>
        <w:t>11</w:t>
      </w:r>
      <w:r>
        <w:rPr>
          <w:rFonts w:hAnsi="Times New Roman" w:ascii="Times New Roman" w:hint="eastAsia"/>
          <w:sz w:val="22"/>
          <w:szCs w:val="22"/>
        </w:rPr>
        <w:t>月</w:t>
      </w:r>
    </w:p>
    <w:p>
      <w:pPr>
        <w:pStyle w:val="27"/>
        <w:spacing w:lineRule="exact" w:line="360"/>
        <w:ind w:firstLineChars="0" w:firstLine="0"/>
        <w:jc w:val="center"/>
        <w:rPr>
          <w:rFonts w:hAnsi="Times New Roman" w:ascii="Times New Roman"/>
          <w:sz w:val="36"/>
          <w:szCs w:val="36"/>
        </w:rPr>
      </w:pPr>
      <w:bookmarkStart w:name="_Toc17487" w:id="18"/>
      <w:bookmarkStart w:name="_Toc20173" w:id="19"/>
      <w:bookmarkStart w:name="_Toc13578" w:id="20"/>
      <w:r>
        <w:rPr>
          <w:rFonts w:hAnsi="Times New Roman" w:ascii="Times New Roman"/>
        </w:rPr>
        <w:br w:type="page"/>
      </w:r>
      <w:r>
        <w:rPr>
          <w:rFonts w:hAnsi="Times New Roman" w:ascii="Times New Roman" w:hint="eastAsia"/>
          <w:b/>
          <w:kern w:val="44"/>
          <w:sz w:val="36"/>
          <w:szCs w:val="20"/>
        </w:rPr>
        <w:t>第二章投标人须知</w:t>
      </w:r>
      <w:bookmarkEnd w:id="7"/>
      <w:bookmarkEnd w:id="8"/>
      <w:bookmarkEnd w:id="9"/>
      <w:bookmarkEnd w:id="10"/>
      <w:bookmarkEnd w:id="11"/>
      <w:bookmarkEnd w:id="12"/>
      <w:bookmarkEnd w:id="13"/>
      <w:bookmarkEnd w:id="14"/>
      <w:bookmarkEnd w:id="15"/>
      <w:bookmarkEnd w:id="18"/>
      <w:bookmarkEnd w:id="19"/>
      <w:bookmarkEnd w:id="20"/>
      <w:bookmarkStart w:name="_Toc213396760" w:id="21"/>
      <w:bookmarkStart w:name="_Toc213496268" w:id="22"/>
      <w:bookmarkStart w:name="_Toc4373" w:id="23"/>
      <w:bookmarkStart w:name="_Toc213396946" w:id="24"/>
      <w:bookmarkStart w:name="_Toc20817" w:id="25"/>
      <w:bookmarkStart w:name="_Toc217446032" w:id="26"/>
      <w:bookmarkStart w:name="_Toc213397010" w:id="27"/>
      <w:bookmarkStart w:name="_Toc22279" w:id="28"/>
      <w:bookmarkStart w:name="_Toc5181" w:id="29"/>
      <w:bookmarkStart w:name="_Toc189727030" w:id="30"/>
      <w:bookmarkStart w:name="_Toc8615" w:id="31"/>
      <w:bookmarkStart w:name="_Toc12315" w:id="32"/>
    </w:p>
    <w:p>
      <w:pPr>
        <w:pStyle w:val="3"/>
        <w:rPr>
          <w:rFonts w:hAnsi="Times New Roman" w:ascii="Times New Roman"/>
          <w:sz w:val="24"/>
          <w:szCs w:val="24"/>
        </w:rPr>
      </w:pPr>
      <w:r>
        <w:rPr>
          <w:rFonts w:hAnsi="Times New Roman" w:ascii="Times New Roman" w:hint="eastAsia"/>
          <w:sz w:val="24"/>
          <w:szCs w:val="24"/>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Style w:val="15"/>
        <w:tblW w:type="dxa" w:w="8686"/>
        <w:jc w:val="center"/>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Layout w:type="fixed"/>
        <w:tblCellMar>
          <w:top w:type="dxa" w:w="0"/>
          <w:left w:type="dxa" w:w="0"/>
          <w:bottom w:type="dxa" w:w="0"/>
          <w:right w:type="dxa" w:w="0"/>
        </w:tblCellMar>
      </w:tblPr>
      <w:tblGrid>
        <w:gridCol w:w="532"/>
        <w:gridCol w:w="1780"/>
        <w:gridCol w:w="6374"/>
      </w:tblGrid>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exact" w:val="451"/>
          <w:tblHeader/>
          <w:jc w:val="center"/>
        </w:trPr>
        <w:tc>
          <w:tcPr>
            <w:tcW w:type="dxa" w:w="532"/>
            <w:tcBorders>
              <w:top w:space="0" w:sz="8" w:color="auto" w:val="single"/>
            </w:tcBorders>
            <w:vAlign w:val="center"/>
          </w:tcPr>
          <w:p>
            <w:pPr>
              <w:pStyle w:val="28"/>
              <w:ind w:left="9"/>
              <w:jc w:val="center"/>
              <w:rPr>
                <w:rFonts w:cs="Times New Roman" w:hAnsi="Times New Roman" w:ascii="Times New Roman"/>
                <w:kern w:val="2"/>
                <w:sz w:val="21"/>
                <w:szCs w:val="21"/>
              </w:rPr>
            </w:pPr>
            <w:r>
              <w:rPr>
                <w:rFonts w:cs="Times New Roman" w:hAnsi="Times New Roman" w:ascii="Times New Roman" w:hint="eastAsia"/>
                <w:kern w:val="2"/>
                <w:sz w:val="21"/>
                <w:szCs w:val="21"/>
              </w:rPr>
              <w:t>序号</w:t>
            </w:r>
          </w:p>
        </w:tc>
        <w:tc>
          <w:tcPr>
            <w:tcW w:type="dxa" w:w="1780"/>
            <w:tcBorders>
              <w:top w:space="0" w:sz="8" w:color="auto" w:val="single"/>
            </w:tcBorders>
            <w:vAlign w:val="center"/>
          </w:tcPr>
          <w:p>
            <w:pPr>
              <w:pStyle w:val="28"/>
              <w:ind w:left="38"/>
              <w:jc w:val="center"/>
              <w:rPr>
                <w:rFonts w:cs="Times New Roman" w:hAnsi="Times New Roman" w:ascii="Times New Roman"/>
                <w:kern w:val="2"/>
                <w:sz w:val="21"/>
                <w:szCs w:val="21"/>
              </w:rPr>
            </w:pPr>
            <w:r>
              <w:rPr>
                <w:rFonts w:cs="Times New Roman" w:hAnsi="Times New Roman" w:ascii="Times New Roman" w:hint="eastAsia"/>
                <w:kern w:val="2"/>
                <w:sz w:val="21"/>
                <w:szCs w:val="21"/>
              </w:rPr>
              <w:t>应知事项</w:t>
            </w:r>
          </w:p>
        </w:tc>
        <w:tc>
          <w:tcPr>
            <w:tcW w:type="dxa" w:w="6374"/>
            <w:tcBorders>
              <w:top w:space="0" w:sz="8" w:color="auto" w:val="single"/>
            </w:tcBorders>
            <w:vAlign w:val="center"/>
          </w:tcPr>
          <w:p>
            <w:pPr>
              <w:pStyle w:val="28"/>
              <w:jc w:val="center"/>
              <w:rPr>
                <w:rFonts w:cs="Times New Roman" w:hAnsi="Times New Roman" w:ascii="Times New Roman"/>
                <w:kern w:val="2"/>
                <w:sz w:val="21"/>
                <w:szCs w:val="21"/>
              </w:rPr>
            </w:pPr>
            <w:r>
              <w:rPr>
                <w:rFonts w:cs="Times New Roman" w:hAnsi="Times New Roman" w:ascii="Times New Roman" w:hint="eastAsia"/>
                <w:kern w:val="2"/>
                <w:sz w:val="21"/>
                <w:szCs w:val="21"/>
              </w:rPr>
              <w:t>说明和要求</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exact" w:val="1148"/>
          <w:jc w:val="center"/>
        </w:trPr>
        <w:tc>
          <w:tcPr>
            <w:tcW w:type="dxa" w:w="532"/>
            <w:vAlign w:val="center"/>
          </w:tcPr>
          <w:p>
            <w:pPr>
              <w:pStyle w:val="28"/>
              <w:jc w:val="center"/>
              <w:rPr>
                <w:rFonts w:cs="Times New Roman" w:hAnsi="Times New Roman" w:ascii="Times New Roman"/>
                <w:kern w:val="2"/>
                <w:sz w:val="21"/>
                <w:szCs w:val="21"/>
              </w:rPr>
            </w:pPr>
            <w:r>
              <w:rPr>
                <w:rFonts w:cs="Times New Roman" w:hAnsi="Times New Roman" w:ascii="Times New Roman"/>
                <w:kern w:val="2"/>
                <w:sz w:val="21"/>
                <w:szCs w:val="21"/>
              </w:rPr>
              <w:t>1</w:t>
            </w:r>
          </w:p>
        </w:tc>
        <w:tc>
          <w:tcPr>
            <w:tcW w:type="dxa" w:w="1780"/>
            <w:vAlign w:val="center"/>
          </w:tcPr>
          <w:p>
            <w:pPr>
              <w:pStyle w:val="28"/>
              <w:spacing w:lineRule="auto" w:line="276"/>
              <w:ind w:firstLineChars="200" w:firstLine="420"/>
              <w:rPr>
                <w:rFonts w:cs="Times New Roman" w:hAnsi="Times New Roman" w:ascii="Times New Roman"/>
                <w:kern w:val="2"/>
                <w:sz w:val="21"/>
                <w:szCs w:val="21"/>
              </w:rPr>
            </w:pPr>
            <w:r>
              <w:rPr>
                <w:rFonts w:cs="Times New Roman" w:hAnsi="Times New Roman" w:ascii="Times New Roman" w:hint="eastAsia"/>
                <w:kern w:val="2"/>
                <w:sz w:val="21"/>
                <w:szCs w:val="21"/>
              </w:rPr>
              <w:t>采购预算</w:t>
            </w:r>
          </w:p>
          <w:p>
            <w:pPr>
              <w:pStyle w:val="28"/>
              <w:spacing w:lineRule="auto" w:line="276"/>
              <w:ind w:firstLineChars="100" w:firstLine="210"/>
              <w:rPr>
                <w:rFonts w:cs="Times New Roman" w:hAnsi="Times New Roman" w:ascii="Times New Roman"/>
                <w:kern w:val="2"/>
                <w:sz w:val="21"/>
                <w:szCs w:val="21"/>
              </w:rPr>
            </w:pPr>
            <w:r>
              <w:rPr>
                <w:rFonts w:cs="Times New Roman" w:hAnsi="Times New Roman" w:ascii="Times New Roman" w:hint="eastAsia"/>
                <w:kern w:val="2"/>
                <w:sz w:val="21"/>
                <w:szCs w:val="21"/>
              </w:rPr>
              <w:t>（最高限价）</w:t>
            </w:r>
          </w:p>
        </w:tc>
        <w:tc>
          <w:tcPr>
            <w:tcW w:type="dxa" w:w="6374"/>
            <w:vAlign w:val="center"/>
          </w:tcPr>
          <w:p>
            <w:pPr>
              <w:pStyle w:val="28"/>
              <w:spacing w:lineRule="auto" w:line="276"/>
              <w:rPr>
                <w:rFonts w:cs="Times New Roman" w:hAnsi="Times New Roman" w:ascii="Times New Roman"/>
                <w:kern w:val="2"/>
                <w:sz w:val="21"/>
                <w:szCs w:val="21"/>
              </w:rPr>
            </w:pPr>
            <w:r>
              <w:rPr>
                <w:rFonts w:cs="Times New Roman" w:hAnsi="Times New Roman" w:ascii="Times New Roman" w:hint="eastAsia"/>
                <w:kern w:val="2"/>
                <w:sz w:val="21"/>
                <w:szCs w:val="21"/>
              </w:rPr>
              <w:t>本项目采购预算：</w:t>
            </w:r>
            <w:r>
              <w:rPr>
                <w:rFonts w:cs="Times New Roman" w:hAnsi="Times New Roman" w:ascii="Times New Roman" w:hint="eastAsia"/>
                <w:kern w:val="2"/>
                <w:sz w:val="21"/>
                <w:szCs w:val="21"/>
                <w:lang w:eastAsia="zh-CN" w:val="en-US"/>
              </w:rPr>
              <w:t>196.8</w:t>
            </w:r>
            <w:r>
              <w:rPr>
                <w:rFonts w:cs="Times New Roman" w:hAnsi="Times New Roman" w:ascii="Times New Roman" w:hint="eastAsia"/>
                <w:kern w:val="2"/>
                <w:sz w:val="21"/>
                <w:szCs w:val="21"/>
              </w:rPr>
              <w:t>万元；最高限价：</w:t>
            </w:r>
            <w:r>
              <w:rPr>
                <w:rFonts w:cs="Times New Roman" w:hAnsi="Times New Roman" w:ascii="Times New Roman" w:hint="eastAsia"/>
                <w:kern w:val="2"/>
                <w:sz w:val="21"/>
                <w:szCs w:val="21"/>
                <w:lang w:eastAsia="zh-CN" w:val="en-US"/>
              </w:rPr>
              <w:t>195</w:t>
            </w:r>
            <w:r>
              <w:rPr>
                <w:rFonts w:cs="Times New Roman" w:hAnsi="Times New Roman" w:ascii="Times New Roman" w:hint="eastAsia"/>
                <w:kern w:val="2"/>
                <w:sz w:val="21"/>
                <w:szCs w:val="21"/>
              </w:rPr>
              <w:t>万元</w:t>
            </w:r>
          </w:p>
          <w:p>
            <w:pPr>
              <w:pStyle w:val="28"/>
              <w:spacing w:lineRule="auto" w:line="276"/>
              <w:rPr>
                <w:rFonts w:cs="Times New Roman" w:hAnsi="Times New Roman" w:ascii="Times New Roman"/>
                <w:kern w:val="2"/>
                <w:sz w:val="21"/>
                <w:szCs w:val="21"/>
              </w:rPr>
            </w:pPr>
            <w:r>
              <w:rPr>
                <w:rFonts w:cs="Times New Roman" w:hAnsi="Times New Roman" w:ascii="Times New Roman" w:hint="eastAsia"/>
                <w:kern w:val="2"/>
                <w:sz w:val="21"/>
                <w:szCs w:val="21"/>
              </w:rPr>
              <w:t>投标报价</w:t>
            </w:r>
            <w:r>
              <w:rPr>
                <w:rFonts w:cs="Times New Roman" w:hAnsi="Times New Roman" w:ascii="Times New Roman" w:hint="eastAsia"/>
                <w:kern w:val="2"/>
                <w:sz w:val="21"/>
                <w:szCs w:val="21"/>
                <w:lang w:eastAsia="zh-CN"/>
              </w:rPr>
              <w:t>（</w:t>
            </w:r>
            <w:r>
              <w:rPr>
                <w:rFonts w:cs="Times New Roman" w:hAnsi="Times New Roman" w:ascii="Times New Roman" w:hint="eastAsia"/>
                <w:kern w:val="2"/>
                <w:sz w:val="21"/>
                <w:szCs w:val="21"/>
                <w:lang w:eastAsia="zh-CN" w:val="en-US"/>
              </w:rPr>
              <w:t>含单品目报价</w:t>
            </w:r>
            <w:r>
              <w:rPr>
                <w:rFonts w:cs="Times New Roman" w:hAnsi="Times New Roman" w:ascii="Times New Roman" w:hint="eastAsia"/>
                <w:kern w:val="2"/>
                <w:sz w:val="21"/>
                <w:szCs w:val="21"/>
                <w:lang w:eastAsia="zh-CN"/>
              </w:rPr>
              <w:t>）</w:t>
            </w:r>
            <w:r>
              <w:rPr>
                <w:rFonts w:cs="Times New Roman" w:hAnsi="Times New Roman" w:ascii="Times New Roman" w:hint="eastAsia"/>
                <w:kern w:val="2"/>
                <w:sz w:val="21"/>
                <w:szCs w:val="21"/>
              </w:rPr>
              <w:t>超过采购预算（最高限价）的投标文件，将被视为无效投标文件。</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exact" w:val="440"/>
          <w:jc w:val="center"/>
        </w:trPr>
        <w:tc>
          <w:tcPr>
            <w:tcW w:type="dxa" w:w="532"/>
            <w:vAlign w:val="center"/>
          </w:tcPr>
          <w:p>
            <w:pPr>
              <w:pStyle w:val="28"/>
              <w:jc w:val="center"/>
              <w:rPr>
                <w:rFonts w:cs="Times New Roman" w:hAnsi="Times New Roman" w:ascii="Times New Roman"/>
                <w:kern w:val="2"/>
                <w:sz w:val="21"/>
                <w:szCs w:val="21"/>
              </w:rPr>
            </w:pPr>
            <w:r>
              <w:rPr>
                <w:rFonts w:cs="Times New Roman" w:hAnsi="Times New Roman" w:ascii="Times New Roman"/>
                <w:kern w:val="2"/>
                <w:sz w:val="21"/>
                <w:szCs w:val="21"/>
              </w:rPr>
              <w:t>2</w:t>
            </w:r>
          </w:p>
        </w:tc>
        <w:tc>
          <w:tcPr>
            <w:tcW w:type="dxa" w:w="1780"/>
            <w:vAlign w:val="center"/>
          </w:tcPr>
          <w:p>
            <w:pPr>
              <w:pStyle w:val="28"/>
              <w:spacing w:lineRule="auto" w:line="276"/>
              <w:ind w:firstLineChars="100" w:firstLine="210" w:left="38"/>
              <w:rPr>
                <w:rFonts w:cs="Times New Roman" w:hAnsi="Times New Roman" w:ascii="Times New Roman"/>
                <w:kern w:val="2"/>
                <w:sz w:val="21"/>
                <w:szCs w:val="21"/>
              </w:rPr>
            </w:pPr>
            <w:r>
              <w:rPr>
                <w:rFonts w:cs="Times New Roman" w:hAnsi="Times New Roman" w:ascii="Times New Roman" w:hint="eastAsia"/>
                <w:kern w:val="2"/>
                <w:sz w:val="21"/>
                <w:szCs w:val="21"/>
              </w:rPr>
              <w:t>采购方式</w:t>
            </w:r>
          </w:p>
        </w:tc>
        <w:tc>
          <w:tcPr>
            <w:tcW w:type="dxa" w:w="6374"/>
            <w:vAlign w:val="center"/>
          </w:tcPr>
          <w:p>
            <w:pPr>
              <w:pStyle w:val="28"/>
              <w:spacing w:lineRule="auto" w:line="276"/>
              <w:ind w:firstLineChars="50" w:firstLine="105"/>
              <w:rPr>
                <w:rFonts w:cs="Times New Roman" w:hAnsi="Times New Roman" w:ascii="Times New Roman"/>
                <w:kern w:val="2"/>
                <w:sz w:val="21"/>
                <w:szCs w:val="21"/>
              </w:rPr>
            </w:pPr>
            <w:r>
              <w:rPr>
                <w:rFonts w:cs="Times New Roman" w:hAnsi="Times New Roman" w:ascii="Times New Roman" w:hint="eastAsia"/>
                <w:kern w:val="2"/>
                <w:sz w:val="21"/>
                <w:szCs w:val="21"/>
              </w:rPr>
              <w:t>公开招标</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514"/>
          <w:jc w:val="center"/>
        </w:trPr>
        <w:tc>
          <w:tcPr>
            <w:tcW w:type="dxa" w:w="532"/>
            <w:vAlign w:val="center"/>
          </w:tcPr>
          <w:p>
            <w:pPr>
              <w:pStyle w:val="28"/>
              <w:jc w:val="center"/>
              <w:rPr>
                <w:rFonts w:cs="Times New Roman" w:hAnsi="Times New Roman" w:ascii="Times New Roman"/>
                <w:kern w:val="2"/>
                <w:sz w:val="21"/>
                <w:szCs w:val="21"/>
              </w:rPr>
            </w:pPr>
            <w:r>
              <w:rPr>
                <w:rFonts w:cs="Times New Roman" w:hAnsi="Times New Roman" w:ascii="Times New Roman"/>
                <w:kern w:val="2"/>
                <w:sz w:val="21"/>
                <w:szCs w:val="21"/>
              </w:rPr>
              <w:t>3</w:t>
            </w:r>
          </w:p>
        </w:tc>
        <w:tc>
          <w:tcPr>
            <w:tcW w:type="dxa" w:w="1780"/>
            <w:vAlign w:val="center"/>
          </w:tcPr>
          <w:p>
            <w:pPr>
              <w:pStyle w:val="28"/>
              <w:spacing w:lineRule="auto" w:line="276"/>
              <w:ind w:firstLineChars="100" w:firstLine="210" w:left="96"/>
              <w:rPr>
                <w:rFonts w:cs="Times New Roman" w:hAnsi="Times New Roman" w:ascii="Times New Roman"/>
                <w:kern w:val="2"/>
                <w:sz w:val="21"/>
                <w:szCs w:val="21"/>
              </w:rPr>
            </w:pPr>
            <w:r>
              <w:rPr>
                <w:rFonts w:cs="Times New Roman" w:hAnsi="Times New Roman" w:ascii="Times New Roman" w:hint="eastAsia"/>
                <w:kern w:val="2"/>
                <w:sz w:val="21"/>
                <w:szCs w:val="21"/>
              </w:rPr>
              <w:t>评标方法</w:t>
            </w:r>
          </w:p>
        </w:tc>
        <w:tc>
          <w:tcPr>
            <w:tcW w:type="dxa" w:w="6374"/>
            <w:vAlign w:val="center"/>
          </w:tcPr>
          <w:p>
            <w:pPr>
              <w:pStyle w:val="28"/>
              <w:spacing w:lineRule="auto" w:line="276"/>
              <w:ind w:firstLineChars="50" w:firstLine="105"/>
              <w:rPr>
                <w:rFonts w:cs="Times New Roman" w:hAnsi="Times New Roman" w:ascii="Times New Roman"/>
                <w:kern w:val="2"/>
                <w:sz w:val="21"/>
                <w:szCs w:val="21"/>
              </w:rPr>
            </w:pPr>
            <w:r>
              <w:rPr>
                <w:rFonts w:cs="Times New Roman" w:hAnsi="Times New Roman" w:ascii="Times New Roman" w:hint="eastAsia"/>
                <w:kern w:val="2"/>
                <w:sz w:val="21"/>
                <w:szCs w:val="21"/>
              </w:rPr>
              <w:t>综合评分法</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660"/>
          <w:jc w:val="center"/>
        </w:trPr>
        <w:tc>
          <w:tcPr>
            <w:tcW w:type="dxa" w:w="532"/>
            <w:vAlign w:val="center"/>
          </w:tcPr>
          <w:p>
            <w:pPr>
              <w:pStyle w:val="28"/>
              <w:jc w:val="center"/>
              <w:rPr>
                <w:rFonts w:cs="Times New Roman" w:hAnsi="Times New Roman" w:ascii="Times New Roman"/>
                <w:kern w:val="2"/>
                <w:sz w:val="21"/>
                <w:szCs w:val="21"/>
              </w:rPr>
            </w:pPr>
            <w:r>
              <w:rPr>
                <w:rFonts w:cs="Times New Roman" w:hAnsi="Times New Roman" w:ascii="Times New Roman"/>
                <w:kern w:val="2"/>
                <w:sz w:val="21"/>
                <w:szCs w:val="21"/>
              </w:rPr>
              <w:t>4</w:t>
            </w:r>
          </w:p>
        </w:tc>
        <w:tc>
          <w:tcPr>
            <w:tcW w:type="dxa" w:w="1780"/>
            <w:vAlign w:val="center"/>
          </w:tcPr>
          <w:p>
            <w:pPr>
              <w:pStyle w:val="28"/>
              <w:spacing w:lineRule="auto" w:line="276"/>
              <w:ind w:left="96"/>
              <w:rPr>
                <w:rFonts w:cs="Times New Roman" w:hAnsi="Times New Roman" w:ascii="Times New Roman"/>
                <w:kern w:val="2"/>
                <w:sz w:val="21"/>
                <w:szCs w:val="21"/>
              </w:rPr>
            </w:pPr>
            <w:r>
              <w:rPr>
                <w:rFonts w:cs="Times New Roman" w:hAnsi="Times New Roman" w:ascii="Times New Roman" w:hint="eastAsia"/>
                <w:kern w:val="2"/>
                <w:sz w:val="21"/>
                <w:szCs w:val="21"/>
              </w:rPr>
              <w:t>投标保证金</w:t>
            </w:r>
          </w:p>
        </w:tc>
        <w:tc>
          <w:tcPr>
            <w:tcW w:type="dxa" w:w="6374"/>
            <w:vAlign w:val="center"/>
          </w:tcPr>
          <w:p>
            <w:pPr>
              <w:pStyle w:val="28"/>
              <w:spacing w:lineRule="auto" w:line="276"/>
              <w:ind w:firstLineChars="50" w:firstLine="105"/>
              <w:rPr>
                <w:rFonts w:cs="Times New Roman" w:hAnsi="Times New Roman" w:ascii="Times New Roman"/>
                <w:kern w:val="2"/>
                <w:sz w:val="21"/>
                <w:szCs w:val="21"/>
              </w:rPr>
            </w:pPr>
            <w:r>
              <w:rPr>
                <w:rFonts w:cs="Times New Roman" w:hAnsi="Times New Roman" w:ascii="Times New Roman" w:hint="eastAsia"/>
                <w:kern w:val="2"/>
                <w:sz w:val="21"/>
                <w:szCs w:val="21"/>
              </w:rPr>
              <w:t>本项目不适用</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571"/>
          <w:jc w:val="center"/>
        </w:trPr>
        <w:tc>
          <w:tcPr>
            <w:tcW w:type="dxa" w:w="532"/>
            <w:vAlign w:val="center"/>
          </w:tcPr>
          <w:p>
            <w:pPr>
              <w:pStyle w:val="28"/>
              <w:jc w:val="center"/>
              <w:rPr>
                <w:rFonts w:cs="Times New Roman" w:hAnsi="Times New Roman" w:ascii="Times New Roman"/>
                <w:kern w:val="2"/>
                <w:sz w:val="21"/>
                <w:szCs w:val="21"/>
              </w:rPr>
            </w:pPr>
            <w:bookmarkStart w:name="_Toc183582205" w:id="33"/>
            <w:bookmarkStart w:name="_Toc183682342" w:id="34"/>
            <w:bookmarkStart w:name="_Toc217446034" w:id="35"/>
            <w:r>
              <w:rPr>
                <w:rFonts w:cs="Times New Roman" w:hAnsi="Times New Roman" w:ascii="Times New Roman"/>
                <w:kern w:val="2"/>
                <w:sz w:val="21"/>
                <w:szCs w:val="21"/>
              </w:rPr>
              <w:t>5</w:t>
            </w:r>
          </w:p>
        </w:tc>
        <w:tc>
          <w:tcPr>
            <w:tcW w:type="dxa" w:w="1780"/>
            <w:vAlign w:val="center"/>
          </w:tcPr>
          <w:p>
            <w:pPr>
              <w:pStyle w:val="28"/>
              <w:spacing w:lineRule="auto" w:line="276"/>
              <w:ind w:left="96"/>
              <w:rPr>
                <w:rFonts w:cs="Times New Roman" w:hAnsi="Times New Roman" w:ascii="Times New Roman"/>
                <w:sz w:val="21"/>
                <w:szCs w:val="21"/>
                <w:lang w:val="zh-CN"/>
              </w:rPr>
            </w:pPr>
            <w:r>
              <w:rPr>
                <w:rFonts w:cs="Times New Roman" w:ascii="Times New Roman" w:hint="eastAsia"/>
                <w:sz w:val="21"/>
                <w:szCs w:val="21"/>
                <w:lang w:val="zh-CN"/>
              </w:rPr>
              <w:t>履约保证金</w:t>
            </w:r>
          </w:p>
        </w:tc>
        <w:tc>
          <w:tcPr>
            <w:tcW w:type="dxa" w:w="6374"/>
            <w:vAlign w:val="center"/>
          </w:tcPr>
          <w:p>
            <w:pPr>
              <w:pStyle w:val="28"/>
              <w:spacing w:lineRule="auto" w:line="276"/>
              <w:ind w:firstLineChars="50" w:firstLine="105"/>
              <w:rPr>
                <w:rFonts w:cs="Times New Roman" w:hAnsi="Times New Roman" w:ascii="Times New Roman"/>
                <w:kern w:val="2"/>
                <w:sz w:val="21"/>
                <w:szCs w:val="21"/>
                <w:lang w:val="zh-CN"/>
              </w:rPr>
            </w:pPr>
            <w:r>
              <w:rPr>
                <w:rFonts w:cs="Times New Roman" w:hAnsi="Times New Roman" w:ascii="Times New Roman" w:hint="eastAsia"/>
                <w:kern w:val="2"/>
                <w:sz w:val="21"/>
                <w:szCs w:val="21"/>
              </w:rPr>
              <w:t>本项目不适用</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571"/>
          <w:jc w:val="center"/>
        </w:trPr>
        <w:tc>
          <w:tcPr>
            <w:tcW w:type="dxa" w:w="532"/>
            <w:vAlign w:val="center"/>
          </w:tcPr>
          <w:p>
            <w:pPr>
              <w:pStyle w:val="28"/>
              <w:ind w:firstLineChars="50" w:firstLine="105"/>
              <w:jc w:val="center"/>
              <w:rPr>
                <w:rFonts w:cs="Times New Roman" w:hAnsi="Times New Roman" w:ascii="Times New Roman"/>
                <w:kern w:val="2"/>
                <w:sz w:val="18"/>
                <w:szCs w:val="18"/>
              </w:rPr>
            </w:pPr>
            <w:r>
              <w:rPr>
                <w:rFonts w:cs="Times New Roman" w:hAnsi="Times New Roman" w:ascii="Times New Roman" w:hint="eastAsia"/>
                <w:sz w:val="21"/>
                <w:szCs w:val="21"/>
              </w:rPr>
              <w:t>5</w:t>
            </w:r>
          </w:p>
        </w:tc>
        <w:tc>
          <w:tcPr>
            <w:tcW w:type="dxa" w:w="1780"/>
            <w:vAlign w:val="center"/>
          </w:tcPr>
          <w:p>
            <w:pPr>
              <w:pStyle w:val="28"/>
              <w:spacing w:lineRule="exact" w:line="370"/>
              <w:rPr>
                <w:rFonts w:cs="Times New Roman" w:hAnsi="Times New Roman" w:ascii="Times New Roman"/>
                <w:sz w:val="18"/>
                <w:szCs w:val="18"/>
                <w:lang w:val="zh-CN"/>
              </w:rPr>
            </w:pPr>
            <w:r>
              <w:rPr>
                <w:rFonts w:hint="eastAsia"/>
                <w:sz w:val="21"/>
                <w:szCs w:val="21"/>
              </w:rPr>
              <w:t>节能、环保产品政府采购政策</w:t>
            </w:r>
          </w:p>
        </w:tc>
        <w:tc>
          <w:tcPr>
            <w:tcW w:type="dxa" w:w="6374"/>
            <w:vAlign w:val="center"/>
          </w:tcPr>
          <w:p>
            <w:pPr>
              <w:pStyle w:val="28"/>
              <w:spacing w:lineRule="exact" w:line="370"/>
              <w:ind w:firstLineChars="50" w:firstLine="105"/>
              <w:rPr>
                <w:sz w:val="21"/>
                <w:szCs w:val="21"/>
                <w:lang w:val="zh-CN"/>
              </w:rPr>
            </w:pPr>
            <w:r>
              <w:rPr>
                <w:rFonts w:hint="eastAsia"/>
                <w:sz w:val="21"/>
                <w:szCs w:val="21"/>
                <w:lang w:val="zh-CN"/>
              </w:rPr>
              <w:t>节能、环保产品政府采购政策：</w:t>
            </w:r>
          </w:p>
          <w:p>
            <w:pPr>
              <w:pStyle w:val="28"/>
              <w:spacing w:lineRule="exact" w:line="370"/>
              <w:ind w:firstLineChars="50" w:firstLine="105"/>
              <w:rPr>
                <w:sz w:val="21"/>
                <w:szCs w:val="21"/>
                <w:lang w:val="zh-CN"/>
              </w:rPr>
            </w:pPr>
            <w:r>
              <w:rPr>
                <w:rFonts w:hint="eastAsia"/>
                <w:sz w:val="21"/>
                <w:szCs w:val="21"/>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8"/>
              <w:spacing w:lineRule="exact" w:line="370"/>
              <w:ind w:firstLineChars="50" w:firstLine="105"/>
              <w:rPr>
                <w:sz w:val="21"/>
                <w:szCs w:val="21"/>
                <w:lang w:val="zh-CN"/>
              </w:rPr>
            </w:pPr>
            <w:r>
              <w:rPr>
                <w:rFonts w:hint="eastAsia"/>
                <w:sz w:val="21"/>
                <w:szCs w:val="21"/>
                <w:lang w:val="zh-CN"/>
              </w:rPr>
              <w:t>本项目采购的产品属于品目清单范围内优先采购的，按照第六章《综合评分明细表》的规则进行加分。</w:t>
            </w:r>
          </w:p>
          <w:p>
            <w:pPr>
              <w:pStyle w:val="28"/>
              <w:spacing w:lineRule="exact" w:line="370"/>
              <w:ind w:firstLineChars="50" w:firstLine="105"/>
              <w:rPr>
                <w:rFonts w:cs="Times New Roman" w:hAnsi="Times New Roman" w:ascii="Times New Roman"/>
                <w:sz w:val="18"/>
                <w:szCs w:val="18"/>
                <w:lang w:val="zh-CN"/>
              </w:rPr>
            </w:pPr>
            <w:r>
              <w:rPr>
                <w:rFonts w:hint="eastAsia"/>
                <w:sz w:val="21"/>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571"/>
          <w:jc w:val="center"/>
        </w:trPr>
        <w:tc>
          <w:tcPr>
            <w:tcW w:type="dxa" w:w="532"/>
            <w:vAlign w:val="center"/>
          </w:tcPr>
          <w:p>
            <w:pPr>
              <w:pStyle w:val="28"/>
              <w:ind w:firstLineChars="50" w:firstLine="105"/>
              <w:rPr>
                <w:rFonts w:cs="Times New Roman" w:hAnsi="Times New Roman" w:ascii="Times New Roman"/>
                <w:sz w:val="18"/>
                <w:szCs w:val="18"/>
              </w:rPr>
            </w:pPr>
            <w:r>
              <w:rPr>
                <w:rFonts w:cs="Times New Roman" w:hAnsi="Times New Roman" w:ascii="Times New Roman" w:hint="eastAsia"/>
                <w:sz w:val="21"/>
                <w:szCs w:val="21"/>
              </w:rPr>
              <w:t>6</w:t>
            </w:r>
          </w:p>
        </w:tc>
        <w:tc>
          <w:tcPr>
            <w:tcW w:type="dxa" w:w="1780"/>
            <w:vAlign w:val="center"/>
          </w:tcPr>
          <w:p>
            <w:pPr>
              <w:pStyle w:val="28"/>
              <w:spacing w:lineRule="exact" w:line="370"/>
              <w:rPr>
                <w:rFonts w:cs="Times New Roman" w:hAnsi="Times New Roman" w:ascii="Times New Roman"/>
                <w:sz w:val="18"/>
                <w:szCs w:val="18"/>
                <w:lang w:val="zh-CN"/>
              </w:rPr>
            </w:pPr>
            <w:r>
              <w:rPr>
                <w:rFonts w:hint="eastAsia"/>
                <w:sz w:val="21"/>
                <w:szCs w:val="21"/>
              </w:rPr>
              <w:t>小微企业（监狱企业、残疾人福利性单位视同小微企业）价格扣除</w:t>
            </w:r>
          </w:p>
        </w:tc>
        <w:tc>
          <w:tcPr>
            <w:tcW w:type="dxa" w:w="6374"/>
            <w:vAlign w:val="center"/>
          </w:tcPr>
          <w:p>
            <w:pPr>
              <w:pStyle w:val="28"/>
              <w:spacing w:lineRule="exact" w:line="370"/>
              <w:rPr>
                <w:sz w:val="21"/>
                <w:szCs w:val="21"/>
              </w:rPr>
            </w:pPr>
            <w:r>
              <w:rPr>
                <w:rFonts w:hint="eastAsia"/>
                <w:sz w:val="21"/>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8"/>
              <w:spacing w:lineRule="exact" w:line="370"/>
              <w:rPr>
                <w:sz w:val="21"/>
                <w:szCs w:val="21"/>
              </w:rPr>
            </w:pPr>
            <w:r>
              <w:rPr>
                <w:rFonts w:hint="eastAsia"/>
                <w:sz w:val="21"/>
                <w:szCs w:val="21"/>
              </w:rPr>
              <w:t>2、参加政府采购活动的中小企业（监狱企业）提供《中小企业（监狱企业）声明函》原件，未提供的，视为放弃享受小微企业价格扣除优惠政策。</w:t>
            </w:r>
          </w:p>
          <w:p>
            <w:pPr>
              <w:pStyle w:val="28"/>
              <w:spacing w:lineRule="exact" w:line="370"/>
              <w:rPr>
                <w:sz w:val="21"/>
                <w:szCs w:val="21"/>
              </w:rPr>
            </w:pPr>
            <w:r>
              <w:rPr>
                <w:rFonts w:hint="eastAsia"/>
                <w:sz w:val="21"/>
                <w:szCs w:val="21"/>
              </w:rPr>
              <w:t>3</w:t>
            </w:r>
            <w:r>
              <w:rPr>
                <w:rFonts w:hint="eastAsia"/>
                <w:sz w:val="21"/>
                <w:szCs w:val="21"/>
                <w:lang w:eastAsia="zh-CN"/>
              </w:rPr>
              <w:t>、</w:t>
            </w:r>
            <w:r>
              <w:rPr>
                <w:rFonts w:hint="eastAsia"/>
                <w:sz w:val="21"/>
                <w:szCs w:val="21"/>
              </w:rPr>
              <w:t>参加政府采购活动的残疾人福利性单位应当提供《残疾人福利性单位声明函》原件，未提供的，视为放弃享受小微企业价格扣除优惠政策。</w:t>
            </w:r>
          </w:p>
          <w:p>
            <w:pPr>
              <w:pStyle w:val="28"/>
              <w:spacing w:lineRule="exact" w:line="370"/>
              <w:rPr>
                <w:rFonts w:cs="Times New Roman" w:hAnsi="Times New Roman" w:ascii="Times New Roman"/>
                <w:sz w:val="18"/>
                <w:szCs w:val="18"/>
                <w:lang w:val="zh-CN"/>
              </w:rPr>
            </w:pPr>
            <w:r>
              <w:rPr>
                <w:rFonts w:hint="eastAsia"/>
                <w:sz w:val="21"/>
                <w:szCs w:val="21"/>
                <w:lang w:eastAsia="zh-CN" w:val="en-US"/>
              </w:rPr>
              <w:t>4、</w:t>
            </w:r>
            <w:r>
              <w:rPr>
                <w:rFonts w:hint="eastAsia"/>
                <w:sz w:val="21"/>
                <w:szCs w:val="21"/>
              </w:rPr>
              <w:t>符合中小企业划分标准的个体工商户，在政府采购活动中视同中小企业。</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448"/>
          <w:jc w:val="center"/>
        </w:trPr>
        <w:tc>
          <w:tcPr>
            <w:tcW w:type="dxa" w:w="532"/>
            <w:vAlign w:val="center"/>
          </w:tcPr>
          <w:p>
            <w:pPr>
              <w:pStyle w:val="28"/>
              <w:jc w:val="center"/>
              <w:rPr>
                <w:rFonts w:cs="Times New Roman" w:hAnsi="Times New Roman" w:ascii="Times New Roman"/>
                <w:kern w:val="2"/>
                <w:sz w:val="21"/>
                <w:szCs w:val="21"/>
              </w:rPr>
            </w:pPr>
            <w:r>
              <w:rPr>
                <w:rFonts w:cs="Times New Roman" w:hAnsi="Times New Roman" w:ascii="Times New Roman"/>
                <w:kern w:val="2"/>
                <w:sz w:val="21"/>
                <w:szCs w:val="21"/>
              </w:rPr>
              <w:t>8</w:t>
            </w:r>
          </w:p>
        </w:tc>
        <w:tc>
          <w:tcPr>
            <w:tcW w:type="dxa" w:w="1780"/>
            <w:vAlign w:val="center"/>
          </w:tcPr>
          <w:p>
            <w:pPr>
              <w:pStyle w:val="28"/>
              <w:spacing w:lineRule="auto" w:line="276"/>
              <w:ind w:left="96"/>
              <w:rPr>
                <w:rFonts w:cs="Times New Roman" w:hAnsi="Times New Roman" w:ascii="Times New Roman"/>
                <w:kern w:val="2"/>
                <w:sz w:val="21"/>
                <w:szCs w:val="21"/>
              </w:rPr>
            </w:pPr>
            <w:r>
              <w:rPr>
                <w:rFonts w:cs="Times New Roman" w:ascii="Times New Roman" w:hint="eastAsia"/>
                <w:sz w:val="21"/>
                <w:szCs w:val="21"/>
                <w:lang w:val="zh-CN"/>
              </w:rPr>
              <w:t>招标服务费</w:t>
            </w:r>
          </w:p>
        </w:tc>
        <w:tc>
          <w:tcPr>
            <w:tcW w:type="dxa" w:w="6374"/>
            <w:vAlign w:val="center"/>
          </w:tcPr>
          <w:p>
            <w:pPr>
              <w:pStyle w:val="28"/>
              <w:ind w:firstLineChars="150" w:firstLine="315"/>
              <w:rPr>
                <w:rFonts w:cs="Times New Roman" w:hAnsi="Times New Roman" w:ascii="Times New Roman"/>
                <w:sz w:val="21"/>
                <w:szCs w:val="21"/>
                <w:lang w:val="zh-CN"/>
              </w:rPr>
            </w:pPr>
            <w:r>
              <w:rPr>
                <w:rFonts w:cs="Times New Roman" w:ascii="Times New Roman" w:hint="eastAsia"/>
                <w:sz w:val="21"/>
                <w:szCs w:val="21"/>
                <w:lang w:val="zh-CN"/>
              </w:rPr>
              <w:t>以中标金额作为计算基数</w:t>
            </w:r>
            <w:r>
              <w:rPr>
                <w:rFonts w:cs="Times New Roman" w:hAnsi="Times New Roman" w:ascii="Times New Roman"/>
                <w:sz w:val="21"/>
                <w:szCs w:val="21"/>
                <w:lang w:val="zh-CN"/>
              </w:rPr>
              <w:t>,</w:t>
            </w:r>
            <w:r>
              <w:rPr>
                <w:rFonts w:cs="Times New Roman" w:ascii="Times New Roman" w:hint="eastAsia"/>
                <w:sz w:val="21"/>
                <w:szCs w:val="21"/>
                <w:lang w:val="zh-CN"/>
              </w:rPr>
              <w:t>参照国家计委计价格</w:t>
            </w:r>
            <w:r>
              <w:rPr>
                <w:rFonts w:cs="Times New Roman" w:hAnsi="Times New Roman" w:ascii="Times New Roman"/>
                <w:sz w:val="21"/>
                <w:szCs w:val="21"/>
                <w:lang w:val="zh-CN"/>
              </w:rPr>
              <w:t>[2002]1980</w:t>
            </w:r>
            <w:r>
              <w:rPr>
                <w:rFonts w:cs="Times New Roman" w:ascii="Times New Roman" w:hint="eastAsia"/>
                <w:sz w:val="21"/>
                <w:szCs w:val="21"/>
                <w:lang w:val="zh-CN"/>
              </w:rPr>
              <w:t>号及发改办价格</w:t>
            </w:r>
            <w:r>
              <w:rPr>
                <w:rFonts w:cs="Times New Roman" w:hAnsi="Times New Roman" w:ascii="Times New Roman"/>
                <w:sz w:val="21"/>
                <w:szCs w:val="21"/>
                <w:lang w:val="zh-CN"/>
              </w:rPr>
              <w:t>[2003]857</w:t>
            </w:r>
            <w:r>
              <w:rPr>
                <w:rFonts w:cs="Times New Roman" w:ascii="Times New Roman" w:hint="eastAsia"/>
                <w:sz w:val="21"/>
                <w:szCs w:val="21"/>
                <w:lang w:val="zh-CN"/>
              </w:rPr>
              <w:t>号通知规定下浮</w:t>
            </w:r>
            <w:r>
              <w:rPr>
                <w:rFonts w:cs="Times New Roman" w:ascii="Times New Roman" w:hint="eastAsia"/>
                <w:sz w:val="21"/>
                <w:szCs w:val="21"/>
              </w:rPr>
              <w:t>2</w:t>
            </w:r>
            <w:r>
              <w:rPr>
                <w:rFonts w:cs="Times New Roman" w:hAnsi="Times New Roman" w:ascii="Times New Roman"/>
                <w:sz w:val="21"/>
                <w:szCs w:val="21"/>
                <w:lang w:val="zh-CN"/>
              </w:rPr>
              <w:t>0%</w:t>
            </w:r>
            <w:r>
              <w:rPr>
                <w:rFonts w:cs="Times New Roman" w:hAnsi="Times New Roman" w:ascii="Times New Roman"/>
                <w:b/>
                <w:sz w:val="21"/>
                <w:szCs w:val="21"/>
                <w:lang w:val="zh-CN"/>
              </w:rPr>
              <w:t>,</w:t>
            </w:r>
            <w:r>
              <w:rPr>
                <w:rFonts w:cs="Times New Roman" w:ascii="Times New Roman" w:hint="eastAsia"/>
                <w:sz w:val="21"/>
                <w:szCs w:val="21"/>
                <w:lang w:val="zh-CN"/>
              </w:rPr>
              <w:t>由中标人在领取中标通知书前向招标代理机构交纳招标服务费。</w:t>
            </w:r>
          </w:p>
          <w:p>
            <w:pPr>
              <w:pStyle w:val="28"/>
              <w:ind w:firstLineChars="50" w:firstLine="105"/>
              <w:rPr>
                <w:rFonts w:cs="Times New Roman" w:hAnsi="Times New Roman" w:ascii="Times New Roman"/>
                <w:sz w:val="21"/>
                <w:szCs w:val="21"/>
                <w:lang w:val="zh-CN"/>
              </w:rPr>
            </w:pPr>
          </w:p>
          <w:tbl>
            <w:tblPr>
              <w:tblStyle w:val="15"/>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1827"/>
              <w:gridCol w:w="1478"/>
              <w:gridCol w:w="1477"/>
              <w:gridCol w:w="1478"/>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520"/>
                <w:jc w:val="center"/>
              </w:trPr>
              <w:tc>
                <w:tcPr>
                  <w:tcW w:type="dxa" w:w="1827"/>
                  <w:tcBorders>
                    <w:top w:space="0" w:sz="4" w:color="auto" w:val="single"/>
                    <w:left w:space="0" w:sz="4" w:color="auto" w:val="single"/>
                    <w:bottom w:space="0" w:sz="4" w:color="auto" w:val="single"/>
                    <w:right w:space="0" w:sz="4" w:color="auto" w:val="single"/>
                  </w:tcBorders>
                </w:tcPr>
                <w:p>
                  <w:pPr>
                    <w:rPr>
                      <w:rFonts w:hAnsi="Times New Roman" w:ascii="Times New Roman"/>
                      <w:b/>
                      <w:sz w:val="18"/>
                      <w:szCs w:val="18"/>
                    </w:rPr>
                  </w:pPr>
                  <w:r>
                    <w:rPr>
                      <w:rFonts w:hAnsi="宋体" w:ascii="Times New Roman" w:hint="eastAsia"/>
                      <w:b/>
                      <w:sz w:val="18"/>
                      <w:szCs w:val="18"/>
                    </w:rPr>
                    <w:t>服务类型</w:t>
                  </w:r>
                  <w:r>
                    <w:rPr>
                      <w:rFonts w:hAnsi="Times New Roman" w:ascii="Times New Roman"/>
                      <w:b/>
                      <w:sz w:val="18"/>
                      <w:szCs w:val="18"/>
                    </w:rPr>
                    <w:t>/</w:t>
                  </w:r>
                  <w:r>
                    <w:rPr>
                      <w:rFonts w:hAnsi="宋体" w:ascii="Times New Roman" w:hint="eastAsia"/>
                      <w:b/>
                      <w:sz w:val="18"/>
                      <w:szCs w:val="18"/>
                    </w:rPr>
                    <w:t>费率</w:t>
                  </w:r>
                  <w:r>
                    <w:rPr>
                      <w:rFonts w:hAnsi="Times New Roman" w:ascii="Times New Roman"/>
                      <w:b/>
                      <w:sz w:val="18"/>
                      <w:szCs w:val="18"/>
                    </w:rPr>
                    <w:t>/</w:t>
                  </w:r>
                  <w:r>
                    <w:rPr>
                      <w:rFonts w:hAnsi="宋体" w:ascii="Times New Roman" w:hint="eastAsia"/>
                      <w:b/>
                      <w:sz w:val="18"/>
                      <w:szCs w:val="18"/>
                    </w:rPr>
                    <w:t>中标金额（万元）</w:t>
                  </w:r>
                </w:p>
              </w:tc>
              <w:tc>
                <w:tcPr>
                  <w:tcW w:type="dxa" w:w="1478"/>
                  <w:tcBorders>
                    <w:top w:space="0" w:sz="4" w:color="auto" w:val="single"/>
                    <w:left w:space="0" w:sz="4" w:color="auto" w:val="single"/>
                    <w:bottom w:space="0" w:sz="4" w:color="auto" w:val="single"/>
                    <w:right w:space="0" w:sz="4" w:color="auto" w:val="single"/>
                  </w:tcBorders>
                  <w:vAlign w:val="center"/>
                </w:tcPr>
                <w:p>
                  <w:pPr>
                    <w:jc w:val="center"/>
                    <w:rPr>
                      <w:rFonts w:hAnsi="Times New Roman" w:ascii="Times New Roman"/>
                      <w:b/>
                      <w:sz w:val="18"/>
                      <w:szCs w:val="18"/>
                    </w:rPr>
                  </w:pPr>
                  <w:r>
                    <w:rPr>
                      <w:rFonts w:hAnsi="宋体" w:ascii="Times New Roman" w:hint="eastAsia"/>
                      <w:b/>
                      <w:sz w:val="18"/>
                      <w:szCs w:val="18"/>
                    </w:rPr>
                    <w:t>货物招标</w:t>
                  </w:r>
                </w:p>
              </w:tc>
              <w:tc>
                <w:tcPr>
                  <w:tcW w:type="dxa" w:w="1477"/>
                  <w:tcBorders>
                    <w:top w:space="0" w:sz="4" w:color="auto" w:val="single"/>
                    <w:left w:space="0" w:sz="4" w:color="auto" w:val="single"/>
                    <w:bottom w:space="0" w:sz="4" w:color="auto" w:val="single"/>
                    <w:right w:space="0" w:sz="4" w:color="auto" w:val="single"/>
                  </w:tcBorders>
                  <w:vAlign w:val="center"/>
                </w:tcPr>
                <w:p>
                  <w:pPr>
                    <w:jc w:val="center"/>
                    <w:rPr>
                      <w:rFonts w:hAnsi="Times New Roman" w:ascii="Times New Roman"/>
                      <w:b/>
                      <w:sz w:val="18"/>
                      <w:szCs w:val="18"/>
                    </w:rPr>
                  </w:pPr>
                  <w:r>
                    <w:rPr>
                      <w:rFonts w:hAnsi="宋体" w:ascii="Times New Roman" w:hint="eastAsia"/>
                      <w:b/>
                      <w:sz w:val="18"/>
                      <w:szCs w:val="18"/>
                    </w:rPr>
                    <w:t>服务招标</w:t>
                  </w:r>
                </w:p>
              </w:tc>
              <w:tc>
                <w:tcPr>
                  <w:tcW w:type="dxa" w:w="1478"/>
                  <w:tcBorders>
                    <w:top w:space="0" w:sz="4" w:color="auto" w:val="single"/>
                    <w:left w:space="0" w:sz="4" w:color="auto" w:val="single"/>
                    <w:bottom w:space="0" w:sz="4" w:color="auto" w:val="single"/>
                    <w:right w:space="0" w:sz="4" w:color="auto" w:val="single"/>
                  </w:tcBorders>
                  <w:vAlign w:val="center"/>
                </w:tcPr>
                <w:p>
                  <w:pPr>
                    <w:jc w:val="center"/>
                    <w:rPr>
                      <w:rFonts w:hAnsi="Times New Roman" w:ascii="Times New Roman"/>
                      <w:b/>
                      <w:sz w:val="18"/>
                      <w:szCs w:val="18"/>
                    </w:rPr>
                  </w:pPr>
                  <w:r>
                    <w:rPr>
                      <w:rFonts w:hAnsi="宋体" w:ascii="Times New Roman" w:hint="eastAsia"/>
                      <w:b/>
                      <w:sz w:val="18"/>
                      <w:szCs w:val="18"/>
                    </w:rPr>
                    <w:t>工程招标</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39"/>
                <w:jc w:val="center"/>
              </w:trPr>
              <w:tc>
                <w:tcPr>
                  <w:tcW w:type="dxa" w:w="182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100</w:t>
                  </w:r>
                  <w:r>
                    <w:rPr>
                      <w:rFonts w:hAnsi="宋体" w:ascii="Times New Roman" w:hint="eastAsia"/>
                      <w:sz w:val="21"/>
                      <w:szCs w:val="11"/>
                    </w:rPr>
                    <w:t>以下</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1.5%</w:t>
                  </w:r>
                </w:p>
              </w:tc>
              <w:tc>
                <w:tcPr>
                  <w:tcW w:type="dxa" w:w="147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1.5%</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1.0%</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12"/>
                <w:jc w:val="center"/>
              </w:trPr>
              <w:tc>
                <w:tcPr>
                  <w:tcW w:type="dxa" w:w="182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100-500</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1.1%</w:t>
                  </w:r>
                </w:p>
              </w:tc>
              <w:tc>
                <w:tcPr>
                  <w:tcW w:type="dxa" w:w="147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0.8%</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0.7%</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12"/>
                <w:jc w:val="center"/>
              </w:trPr>
              <w:tc>
                <w:tcPr>
                  <w:tcW w:type="dxa" w:w="182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500-1000</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0.8%</w:t>
                  </w:r>
                </w:p>
              </w:tc>
              <w:tc>
                <w:tcPr>
                  <w:tcW w:type="dxa" w:w="147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0.45%</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0.55%</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12"/>
                <w:jc w:val="center"/>
              </w:trPr>
              <w:tc>
                <w:tcPr>
                  <w:tcW w:type="dxa" w:w="182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1000-5000</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0.5%</w:t>
                  </w:r>
                </w:p>
              </w:tc>
              <w:tc>
                <w:tcPr>
                  <w:tcW w:type="dxa" w:w="147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0.25%</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0.35%</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12"/>
                <w:jc w:val="center"/>
              </w:trPr>
              <w:tc>
                <w:tcPr>
                  <w:tcW w:type="dxa" w:w="182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5000-10000</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0.25%</w:t>
                  </w:r>
                </w:p>
              </w:tc>
              <w:tc>
                <w:tcPr>
                  <w:tcW w:type="dxa" w:w="147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0.1%</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0.2%</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12"/>
                <w:jc w:val="center"/>
              </w:trPr>
              <w:tc>
                <w:tcPr>
                  <w:tcW w:type="dxa" w:w="182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10000-100000</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0.05%</w:t>
                  </w:r>
                </w:p>
              </w:tc>
              <w:tc>
                <w:tcPr>
                  <w:tcW w:type="dxa" w:w="147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0.05%</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0.05%</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8"/>
                <w:jc w:val="center"/>
              </w:trPr>
              <w:tc>
                <w:tcPr>
                  <w:tcW w:type="dxa" w:w="182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1000000</w:t>
                  </w:r>
                  <w:r>
                    <w:rPr>
                      <w:rFonts w:hAnsi="宋体" w:ascii="Times New Roman" w:hint="eastAsia"/>
                      <w:sz w:val="21"/>
                      <w:szCs w:val="11"/>
                    </w:rPr>
                    <w:t>以上</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0.01%</w:t>
                  </w:r>
                </w:p>
              </w:tc>
              <w:tc>
                <w:tcPr>
                  <w:tcW w:type="dxa" w:w="1477"/>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0.01%</w:t>
                  </w:r>
                </w:p>
              </w:tc>
              <w:tc>
                <w:tcPr>
                  <w:tcW w:type="dxa" w:w="1478"/>
                  <w:tcBorders>
                    <w:top w:space="0" w:sz="4" w:color="auto" w:val="single"/>
                    <w:left w:space="0" w:sz="4" w:color="auto" w:val="single"/>
                    <w:bottom w:space="0" w:sz="4" w:color="auto" w:val="single"/>
                    <w:right w:space="0" w:sz="4" w:color="auto" w:val="single"/>
                  </w:tcBorders>
                </w:tcPr>
                <w:p>
                  <w:pPr>
                    <w:jc w:val="center"/>
                    <w:rPr>
                      <w:rFonts w:hAnsi="Times New Roman" w:ascii="Times New Roman"/>
                      <w:sz w:val="21"/>
                      <w:szCs w:val="11"/>
                    </w:rPr>
                  </w:pPr>
                  <w:r>
                    <w:rPr>
                      <w:rFonts w:hAnsi="Times New Roman" w:ascii="Times New Roman"/>
                      <w:sz w:val="21"/>
                      <w:szCs w:val="11"/>
                    </w:rPr>
                    <w:t>0.01%</w:t>
                  </w:r>
                </w:p>
              </w:tc>
            </w:tr>
          </w:tbl>
          <w:p>
            <w:pPr>
              <w:pStyle w:val="28"/>
              <w:rPr>
                <w:rFonts w:cs="Times New Roman" w:hAnsi="Times New Roman" w:ascii="Times New Roman"/>
                <w:b/>
                <w:bCs/>
                <w:kern w:val="2"/>
                <w:sz w:val="21"/>
                <w:szCs w:val="21"/>
              </w:rPr>
            </w:pPr>
          </w:p>
          <w:p>
            <w:pPr>
              <w:pStyle w:val="28"/>
              <w:ind w:firstLineChars="50" w:firstLine="105"/>
              <w:rPr>
                <w:rFonts w:cs="Times New Roman" w:hAnsi="Times New Roman" w:ascii="Times New Roman"/>
                <w:sz w:val="21"/>
                <w:szCs w:val="21"/>
                <w:lang w:val="zh-CN"/>
              </w:rPr>
            </w:pPr>
            <w:r>
              <w:rPr>
                <w:rFonts w:cs="Times New Roman" w:ascii="Times New Roman" w:hint="eastAsia"/>
                <w:sz w:val="21"/>
                <w:szCs w:val="21"/>
                <w:lang w:val="zh-CN"/>
              </w:rPr>
              <w:t>注</w:t>
            </w:r>
            <w:r>
              <w:rPr>
                <w:rFonts w:cs="Times New Roman" w:hAnsi="Times New Roman" w:ascii="Times New Roman"/>
                <w:sz w:val="21"/>
                <w:szCs w:val="21"/>
                <w:lang w:val="zh-CN"/>
              </w:rPr>
              <w:t>:1</w:t>
            </w:r>
            <w:r>
              <w:rPr>
                <w:rFonts w:cs="Times New Roman" w:ascii="Times New Roman" w:hint="eastAsia"/>
                <w:sz w:val="21"/>
                <w:szCs w:val="21"/>
                <w:lang w:val="zh-CN"/>
              </w:rPr>
              <w:t>、按本表费率计算的收费为招标代理服务全过程的收费基准价格。</w:t>
            </w:r>
            <w:r>
              <w:rPr>
                <w:rFonts w:cs="Times New Roman" w:hAnsi="Times New Roman" w:ascii="Times New Roman"/>
                <w:sz w:val="21"/>
                <w:szCs w:val="21"/>
                <w:lang w:val="zh-CN"/>
              </w:rPr>
              <w:t xml:space="preserve">  2</w:t>
            </w:r>
            <w:r>
              <w:rPr>
                <w:rFonts w:cs="Times New Roman" w:ascii="Times New Roman" w:hint="eastAsia"/>
                <w:sz w:val="21"/>
                <w:szCs w:val="21"/>
                <w:lang w:val="zh-CN"/>
              </w:rPr>
              <w:t>、招标代理服务收费按差额定率累进法计算。例如：某工程招标代理业务中标金额为</w:t>
            </w:r>
            <w:r>
              <w:rPr>
                <w:rFonts w:cs="Times New Roman" w:hAnsi="Times New Roman" w:ascii="Times New Roman"/>
                <w:sz w:val="21"/>
                <w:szCs w:val="21"/>
                <w:lang w:val="zh-CN"/>
              </w:rPr>
              <w:t>6000</w:t>
            </w:r>
            <w:r>
              <w:rPr>
                <w:rFonts w:cs="Times New Roman" w:ascii="Times New Roman" w:hint="eastAsia"/>
                <w:sz w:val="21"/>
                <w:szCs w:val="21"/>
                <w:lang w:val="zh-CN"/>
              </w:rPr>
              <w:t>万元，计算招标代理服务收费额如下：</w:t>
            </w:r>
            <w:r>
              <w:rPr>
                <w:rFonts w:cs="Times New Roman" w:hAnsi="Times New Roman" w:ascii="Times New Roman"/>
                <w:sz w:val="21"/>
                <w:szCs w:val="21"/>
                <w:lang w:val="zh-CN"/>
              </w:rPr>
              <w:t xml:space="preserve">  100</w:t>
            </w:r>
            <w:r>
              <w:rPr>
                <w:rFonts w:cs="Times New Roman" w:ascii="Times New Roman" w:hint="eastAsia"/>
                <w:sz w:val="21"/>
                <w:szCs w:val="21"/>
                <w:lang w:val="zh-CN"/>
              </w:rPr>
              <w:t>万元</w:t>
            </w:r>
            <w:r>
              <w:rPr>
                <w:rFonts w:cs="Times New Roman" w:hAnsi="Times New Roman" w:ascii="Times New Roman"/>
                <w:sz w:val="21"/>
                <w:szCs w:val="21"/>
                <w:lang w:val="zh-CN"/>
              </w:rPr>
              <w:t>×1.0%=1</w:t>
            </w:r>
            <w:r>
              <w:rPr>
                <w:rFonts w:cs="Times New Roman" w:ascii="Times New Roman" w:hint="eastAsia"/>
                <w:sz w:val="21"/>
                <w:szCs w:val="21"/>
                <w:lang w:val="zh-CN"/>
              </w:rPr>
              <w:t>万元</w:t>
            </w:r>
            <w:r>
              <w:rPr>
                <w:rFonts w:cs="Times New Roman" w:hAnsi="Times New Roman" w:ascii="Times New Roman"/>
                <w:sz w:val="21"/>
                <w:szCs w:val="21"/>
                <w:lang w:val="zh-CN"/>
              </w:rPr>
              <w:t xml:space="preserve">  (500-100)</w:t>
            </w:r>
            <w:r>
              <w:rPr>
                <w:rFonts w:cs="Times New Roman" w:ascii="Times New Roman" w:hint="eastAsia"/>
                <w:sz w:val="21"/>
                <w:szCs w:val="21"/>
                <w:lang w:val="zh-CN"/>
              </w:rPr>
              <w:t>万元</w:t>
            </w:r>
            <w:r>
              <w:rPr>
                <w:rFonts w:cs="Times New Roman" w:hAnsi="Times New Roman" w:ascii="Times New Roman"/>
                <w:sz w:val="21"/>
                <w:szCs w:val="21"/>
                <w:lang w:val="zh-CN"/>
              </w:rPr>
              <w:t>×0.7%=2.8</w:t>
            </w:r>
            <w:r>
              <w:rPr>
                <w:rFonts w:cs="Times New Roman" w:ascii="Times New Roman" w:hint="eastAsia"/>
                <w:sz w:val="21"/>
                <w:szCs w:val="21"/>
                <w:lang w:val="zh-CN"/>
              </w:rPr>
              <w:t>万元</w:t>
            </w:r>
            <w:r>
              <w:rPr>
                <w:rFonts w:cs="Times New Roman" w:hAnsi="Times New Roman" w:ascii="Times New Roman"/>
                <w:sz w:val="21"/>
                <w:szCs w:val="21"/>
                <w:lang w:val="zh-CN"/>
              </w:rPr>
              <w:t xml:space="preserve"> (1000-500)</w:t>
            </w:r>
            <w:r>
              <w:rPr>
                <w:rFonts w:cs="Times New Roman" w:ascii="Times New Roman" w:hint="eastAsia"/>
                <w:sz w:val="21"/>
                <w:szCs w:val="21"/>
                <w:lang w:val="zh-CN"/>
              </w:rPr>
              <w:t>万元</w:t>
            </w:r>
            <w:r>
              <w:rPr>
                <w:rFonts w:cs="Times New Roman" w:hAnsi="Times New Roman" w:ascii="Times New Roman"/>
                <w:sz w:val="21"/>
                <w:szCs w:val="21"/>
                <w:lang w:val="zh-CN"/>
              </w:rPr>
              <w:t>×0.55%=2.75</w:t>
            </w:r>
            <w:r>
              <w:rPr>
                <w:rFonts w:cs="Times New Roman" w:ascii="Times New Roman" w:hint="eastAsia"/>
                <w:sz w:val="21"/>
                <w:szCs w:val="21"/>
                <w:lang w:val="zh-CN"/>
              </w:rPr>
              <w:t>万元</w:t>
            </w:r>
            <w:r>
              <w:rPr>
                <w:rFonts w:cs="Times New Roman" w:hAnsi="Times New Roman" w:ascii="Times New Roman"/>
                <w:sz w:val="21"/>
                <w:szCs w:val="21"/>
                <w:lang w:val="zh-CN"/>
              </w:rPr>
              <w:t xml:space="preserve"> (5000-1000)</w:t>
            </w:r>
            <w:r>
              <w:rPr>
                <w:rFonts w:cs="Times New Roman" w:ascii="Times New Roman" w:hint="eastAsia"/>
                <w:sz w:val="21"/>
                <w:szCs w:val="21"/>
                <w:lang w:val="zh-CN"/>
              </w:rPr>
              <w:t>万元</w:t>
            </w:r>
            <w:r>
              <w:rPr>
                <w:rFonts w:cs="Times New Roman" w:hAnsi="Times New Roman" w:ascii="Times New Roman"/>
                <w:sz w:val="21"/>
                <w:szCs w:val="21"/>
                <w:lang w:val="zh-CN"/>
              </w:rPr>
              <w:t>×0.35%=14</w:t>
            </w:r>
            <w:r>
              <w:rPr>
                <w:rFonts w:cs="Times New Roman" w:ascii="Times New Roman" w:hint="eastAsia"/>
                <w:sz w:val="21"/>
                <w:szCs w:val="21"/>
                <w:lang w:val="zh-CN"/>
              </w:rPr>
              <w:t>万元</w:t>
            </w:r>
            <w:r>
              <w:rPr>
                <w:rFonts w:cs="Times New Roman" w:hAnsi="Times New Roman" w:ascii="Times New Roman"/>
                <w:sz w:val="21"/>
                <w:szCs w:val="21"/>
                <w:lang w:val="zh-CN"/>
              </w:rPr>
              <w:t xml:space="preserve"> (6000-5000)</w:t>
            </w:r>
            <w:r>
              <w:rPr>
                <w:rFonts w:cs="Times New Roman" w:ascii="Times New Roman" w:hint="eastAsia"/>
                <w:sz w:val="21"/>
                <w:szCs w:val="21"/>
                <w:lang w:val="zh-CN"/>
              </w:rPr>
              <w:t>万元</w:t>
            </w:r>
            <w:r>
              <w:rPr>
                <w:rFonts w:cs="Times New Roman" w:hAnsi="Times New Roman" w:ascii="Times New Roman"/>
                <w:sz w:val="21"/>
                <w:szCs w:val="21"/>
                <w:lang w:val="zh-CN"/>
              </w:rPr>
              <w:t>×0.2%=2</w:t>
            </w:r>
            <w:r>
              <w:rPr>
                <w:rFonts w:cs="Times New Roman" w:ascii="Times New Roman" w:hint="eastAsia"/>
                <w:sz w:val="21"/>
                <w:szCs w:val="21"/>
                <w:lang w:val="zh-CN"/>
              </w:rPr>
              <w:t>万元合计收费</w:t>
            </w:r>
            <w:r>
              <w:rPr>
                <w:rFonts w:cs="Times New Roman" w:hAnsi="Times New Roman" w:ascii="Times New Roman"/>
                <w:sz w:val="21"/>
                <w:szCs w:val="21"/>
                <w:lang w:val="zh-CN"/>
              </w:rPr>
              <w:t>=1</w:t>
            </w:r>
            <w:r>
              <w:rPr>
                <w:rFonts w:cs="Times New Roman" w:ascii="Times New Roman" w:hint="eastAsia"/>
                <w:sz w:val="21"/>
                <w:szCs w:val="21"/>
                <w:lang w:val="zh-CN"/>
              </w:rPr>
              <w:t>＋</w:t>
            </w:r>
            <w:r>
              <w:rPr>
                <w:rFonts w:cs="Times New Roman" w:hAnsi="Times New Roman" w:ascii="Times New Roman"/>
                <w:sz w:val="21"/>
                <w:szCs w:val="21"/>
                <w:lang w:val="zh-CN"/>
              </w:rPr>
              <w:t>2.8</w:t>
            </w:r>
            <w:r>
              <w:rPr>
                <w:rFonts w:cs="Times New Roman" w:ascii="Times New Roman" w:hint="eastAsia"/>
                <w:sz w:val="21"/>
                <w:szCs w:val="21"/>
                <w:lang w:val="zh-CN"/>
              </w:rPr>
              <w:t>＋</w:t>
            </w:r>
            <w:r>
              <w:rPr>
                <w:rFonts w:cs="Times New Roman" w:hAnsi="Times New Roman" w:ascii="Times New Roman"/>
                <w:sz w:val="21"/>
                <w:szCs w:val="21"/>
                <w:lang w:val="zh-CN"/>
              </w:rPr>
              <w:t>2.75</w:t>
            </w:r>
            <w:r>
              <w:rPr>
                <w:rFonts w:cs="Times New Roman" w:ascii="Times New Roman" w:hint="eastAsia"/>
                <w:sz w:val="21"/>
                <w:szCs w:val="21"/>
                <w:lang w:val="zh-CN"/>
              </w:rPr>
              <w:t>＋</w:t>
            </w:r>
            <w:r>
              <w:rPr>
                <w:rFonts w:cs="Times New Roman" w:hAnsi="Times New Roman" w:ascii="Times New Roman"/>
                <w:sz w:val="21"/>
                <w:szCs w:val="21"/>
                <w:lang w:val="zh-CN"/>
              </w:rPr>
              <w:t>14</w:t>
            </w:r>
            <w:r>
              <w:rPr>
                <w:rFonts w:cs="Times New Roman" w:ascii="Times New Roman" w:hint="eastAsia"/>
                <w:sz w:val="21"/>
                <w:szCs w:val="21"/>
                <w:lang w:val="zh-CN"/>
              </w:rPr>
              <w:t>＋</w:t>
            </w:r>
            <w:r>
              <w:rPr>
                <w:rFonts w:cs="Times New Roman" w:hAnsi="Times New Roman" w:ascii="Times New Roman"/>
                <w:sz w:val="21"/>
                <w:szCs w:val="21"/>
                <w:lang w:val="zh-CN"/>
              </w:rPr>
              <w:t>2=22.55(</w:t>
            </w:r>
            <w:r>
              <w:rPr>
                <w:rFonts w:cs="Times New Roman" w:ascii="Times New Roman" w:hint="eastAsia"/>
                <w:sz w:val="21"/>
                <w:szCs w:val="21"/>
                <w:lang w:val="zh-CN"/>
              </w:rPr>
              <w:t>万元</w:t>
            </w:r>
            <w:r>
              <w:rPr>
                <w:rFonts w:cs="Times New Roman" w:hAnsi="Times New Roman" w:ascii="Times New Roman"/>
                <w:sz w:val="21"/>
                <w:szCs w:val="21"/>
                <w:lang w:val="zh-CN"/>
              </w:rPr>
              <w:t>)</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721"/>
          <w:jc w:val="center"/>
        </w:trPr>
        <w:tc>
          <w:tcPr>
            <w:tcW w:type="dxa" w:w="532"/>
            <w:vAlign w:val="center"/>
          </w:tcPr>
          <w:p>
            <w:pPr>
              <w:pStyle w:val="28"/>
              <w:jc w:val="center"/>
              <w:rPr>
                <w:rFonts w:cs="Times New Roman" w:hAnsi="Times New Roman" w:ascii="Times New Roman"/>
                <w:kern w:val="2"/>
                <w:sz w:val="20"/>
                <w:szCs w:val="20"/>
              </w:rPr>
            </w:pPr>
            <w:r>
              <w:rPr>
                <w:rFonts w:cs="Times New Roman" w:hAnsi="Times New Roman" w:ascii="Times New Roman"/>
                <w:kern w:val="2"/>
                <w:sz w:val="20"/>
                <w:szCs w:val="20"/>
              </w:rPr>
              <w:t>9</w:t>
            </w:r>
          </w:p>
        </w:tc>
        <w:tc>
          <w:tcPr>
            <w:tcW w:type="dxa" w:w="1780"/>
            <w:vAlign w:val="center"/>
          </w:tcPr>
          <w:p>
            <w:pPr>
              <w:pStyle w:val="28"/>
              <w:ind w:firstLineChars="50" w:firstLine="105"/>
              <w:rPr>
                <w:rFonts w:cs="Times New Roman" w:ascii="Times New Roman"/>
                <w:sz w:val="21"/>
                <w:szCs w:val="21"/>
                <w:lang w:val="zh-CN"/>
              </w:rPr>
            </w:pPr>
            <w:r>
              <w:rPr>
                <w:rFonts w:cs="Times New Roman" w:ascii="Times New Roman" w:hint="eastAsia"/>
                <w:sz w:val="21"/>
                <w:szCs w:val="21"/>
                <w:lang w:val="zh-CN"/>
              </w:rPr>
              <w:t>本项目是否专门面向中小企业</w:t>
            </w:r>
          </w:p>
        </w:tc>
        <w:tc>
          <w:tcPr>
            <w:tcW w:type="dxa" w:w="6374"/>
            <w:vAlign w:val="center"/>
          </w:tcPr>
          <w:p>
            <w:pPr>
              <w:pStyle w:val="28"/>
              <w:ind w:firstLineChars="50" w:firstLine="105"/>
              <w:rPr>
                <w:rFonts w:cs="Times New Roman" w:ascii="Times New Roman"/>
                <w:sz w:val="21"/>
                <w:szCs w:val="21"/>
                <w:lang w:val="zh-CN"/>
              </w:rPr>
            </w:pPr>
            <w:r>
              <w:rPr>
                <w:rFonts w:cs="Times New Roman" w:ascii="Times New Roman" w:hint="eastAsia"/>
                <w:sz w:val="21"/>
                <w:szCs w:val="21"/>
                <w:lang w:val="zh-CN"/>
              </w:rPr>
              <w:t>否</w:t>
            </w: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721"/>
          <w:jc w:val="center"/>
        </w:trPr>
        <w:tc>
          <w:tcPr>
            <w:tcW w:type="dxa" w:w="532"/>
            <w:vAlign w:val="center"/>
          </w:tcPr>
          <w:p>
            <w:pPr>
              <w:pStyle w:val="28"/>
              <w:ind w:firstLineChars="50" w:firstLine="105"/>
              <w:rPr>
                <w:rFonts w:cs="Times New Roman" w:ascii="Times New Roman"/>
                <w:sz w:val="21"/>
                <w:szCs w:val="21"/>
              </w:rPr>
            </w:pPr>
            <w:bookmarkStart w:name="_Toc1793" w:id="36"/>
            <w:bookmarkStart w:name="_Toc23324" w:id="37"/>
            <w:bookmarkStart w:name="_Toc7492" w:id="38"/>
            <w:bookmarkStart w:name="_Toc22823" w:id="39"/>
            <w:r>
              <w:rPr>
                <w:rFonts w:cs="Times New Roman" w:ascii="Times New Roman" w:hint="eastAsia"/>
                <w:sz w:val="21"/>
                <w:szCs w:val="21"/>
              </w:rPr>
              <w:t>10</w:t>
            </w:r>
          </w:p>
        </w:tc>
        <w:tc>
          <w:tcPr>
            <w:tcW w:type="dxa" w:w="1780"/>
            <w:vAlign w:val="center"/>
          </w:tcPr>
          <w:p>
            <w:pPr>
              <w:pStyle w:val="28"/>
              <w:ind w:firstLineChars="50" w:firstLine="105"/>
              <w:rPr>
                <w:rFonts w:cs="Times New Roman" w:ascii="Times New Roman"/>
                <w:sz w:val="21"/>
                <w:szCs w:val="21"/>
                <w:lang w:val="zh-CN"/>
              </w:rPr>
            </w:pPr>
            <w:r>
              <w:rPr>
                <w:rFonts w:cs="Times New Roman" w:ascii="Times New Roman" w:hint="eastAsia"/>
                <w:sz w:val="21"/>
                <w:szCs w:val="21"/>
                <w:lang w:val="zh-CN"/>
              </w:rPr>
              <w:t>政府采购信用担保及信用融资政策</w:t>
            </w:r>
          </w:p>
          <w:p>
            <w:pPr>
              <w:pStyle w:val="28"/>
              <w:ind w:firstLineChars="50" w:firstLine="105"/>
              <w:rPr>
                <w:rFonts w:cs="Times New Roman" w:ascii="Times New Roman"/>
                <w:sz w:val="21"/>
                <w:szCs w:val="21"/>
                <w:lang w:val="zh-CN"/>
              </w:rPr>
            </w:pPr>
          </w:p>
        </w:tc>
        <w:tc>
          <w:tcPr>
            <w:tcW w:type="dxa" w:w="6374"/>
            <w:vAlign w:val="center"/>
          </w:tcPr>
          <w:p>
            <w:pPr>
              <w:adjustRightInd w:val="false"/>
              <w:snapToGrid w:val="false"/>
              <w:spacing w:lineRule="auto" w:line="360"/>
              <w:rPr>
                <w:rFonts w:hAnsi="宋体" w:ascii="Times New Roman"/>
                <w:sz w:val="21"/>
                <w:szCs w:val="21"/>
                <w:lang w:val="zh-CN"/>
              </w:rPr>
            </w:pPr>
            <w:r>
              <w:rPr>
                <w:rFonts w:hAnsi="宋体" w:ascii="Times New Roman" w:hint="eastAsia"/>
                <w:sz w:val="21"/>
                <w:szCs w:val="21"/>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rPr>
                <w:rFonts w:hAnsi="宋体" w:ascii="Times New Roman"/>
                <w:sz w:val="21"/>
                <w:szCs w:val="21"/>
                <w:lang w:val="zh-CN"/>
              </w:rPr>
            </w:pPr>
            <w:r>
              <w:rPr>
                <w:rFonts w:hAnsi="宋体" w:ascii="Times New Roman" w:hint="eastAsia"/>
                <w:sz w:val="21"/>
                <w:szCs w:val="21"/>
                <w:lang w:val="zh-CN"/>
              </w:rPr>
              <w:t>陕西省政府采购支持中小企业信用融资合作银行名单详见（陕西省政府采购网-采购动态-重要通知http://www.ccgp-shaanxi.gov.cn/）</w:t>
            </w:r>
          </w:p>
          <w:p>
            <w:pPr>
              <w:pStyle w:val="28"/>
              <w:ind w:firstLineChars="50" w:firstLine="105"/>
              <w:rPr>
                <w:rFonts w:cs="Times New Roman" w:ascii="Times New Roman"/>
                <w:sz w:val="21"/>
                <w:szCs w:val="21"/>
                <w:lang w:val="zh-CN"/>
              </w:rPr>
            </w:pPr>
          </w:p>
        </w:tc>
      </w:tr>
      <w:tr>
        <w:tblPrEx>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PrEx>
        <w:trPr>
          <w:trHeight w:hRule="atLeast" w:val="721"/>
          <w:jc w:val="center"/>
        </w:trPr>
        <w:tc>
          <w:tcPr>
            <w:tcW w:type="dxa" w:w="532"/>
            <w:vAlign w:val="center"/>
          </w:tcPr>
          <w:p>
            <w:pPr>
              <w:pStyle w:val="28"/>
              <w:jc w:val="center"/>
              <w:rPr>
                <w:rFonts w:cs="Times New Roman" w:ascii="Times New Roman"/>
                <w:sz w:val="21"/>
                <w:szCs w:val="21"/>
              </w:rPr>
            </w:pPr>
            <w:r>
              <w:rPr>
                <w:rFonts w:eastAsiaTheme="minorEastAsia" w:hAnsiTheme="minorEastAsia" w:asciiTheme="minorEastAsia" w:cs="Times New Roman" w:hint="eastAsia"/>
                <w:sz w:val="21"/>
                <w:szCs w:val="21"/>
                <w:lang w:val="zh-CN"/>
              </w:rPr>
              <w:t>1</w:t>
            </w:r>
            <w:r>
              <w:rPr>
                <w:rFonts w:eastAsiaTheme="minorEastAsia" w:hAnsiTheme="minorEastAsia" w:asciiTheme="minorEastAsia" w:cs="Times New Roman" w:hint="eastAsia"/>
                <w:sz w:val="21"/>
                <w:szCs w:val="21"/>
              </w:rPr>
              <w:t>1</w:t>
            </w:r>
          </w:p>
        </w:tc>
        <w:tc>
          <w:tcPr>
            <w:tcW w:type="dxa" w:w="1780"/>
            <w:vAlign w:val="center"/>
          </w:tcPr>
          <w:p>
            <w:pPr>
              <w:pStyle w:val="28"/>
              <w:spacing w:lineRule="auto" w:line="360"/>
              <w:ind w:firstLineChars="50" w:firstLine="105"/>
              <w:rPr>
                <w:rFonts w:cs="Times New Roman" w:ascii="Times New Roman"/>
                <w:sz w:val="21"/>
                <w:szCs w:val="21"/>
                <w:lang w:val="zh-CN"/>
              </w:rPr>
            </w:pPr>
            <w:r>
              <w:rPr>
                <w:rFonts w:eastAsiaTheme="minorEastAsia" w:hAnsiTheme="minorEastAsia" w:asciiTheme="minorEastAsia" w:cs="Times New Roman" w:hint="eastAsia"/>
                <w:sz w:val="21"/>
                <w:szCs w:val="21"/>
                <w:lang w:val="zh-CN"/>
              </w:rPr>
              <w:t>弃标说明</w:t>
            </w:r>
          </w:p>
        </w:tc>
        <w:tc>
          <w:tcPr>
            <w:tcW w:type="dxa" w:w="6374"/>
            <w:vAlign w:val="center"/>
          </w:tcPr>
          <w:p>
            <w:pPr>
              <w:adjustRightInd w:val="false"/>
              <w:snapToGrid w:val="false"/>
              <w:spacing w:lineRule="auto" w:line="360"/>
              <w:rPr>
                <w:rFonts w:eastAsiaTheme="minorEastAsia" w:hAnsiTheme="minorEastAsia" w:asciiTheme="minorEastAsia"/>
                <w:sz w:val="21"/>
                <w:szCs w:val="21"/>
                <w:lang w:val="zh-CN"/>
              </w:rPr>
            </w:pPr>
            <w:r>
              <w:rPr>
                <w:rFonts w:eastAsiaTheme="minorEastAsia" w:hAnsiTheme="minorEastAsia" w:asciiTheme="minorEastAsia" w:hint="eastAsia"/>
                <w:sz w:val="21"/>
                <w:szCs w:val="21"/>
                <w:lang w:val="zh-CN"/>
              </w:rPr>
              <w:t>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adjustRightInd w:val="false"/>
              <w:snapToGrid w:val="false"/>
              <w:spacing w:lineRule="auto" w:line="360"/>
              <w:rPr>
                <w:rFonts w:ascii="Times New Roman"/>
                <w:sz w:val="21"/>
                <w:szCs w:val="21"/>
                <w:lang w:val="zh-CN"/>
              </w:rPr>
            </w:pPr>
            <w:r>
              <w:rPr>
                <w:rFonts w:eastAsiaTheme="minorEastAsia" w:hAnsiTheme="minorEastAsia" w:asciiTheme="minorEastAsia" w:hint="eastAsia"/>
                <w:sz w:val="21"/>
                <w:szCs w:val="21"/>
                <w:lang w:val="zh-CN"/>
              </w:rPr>
              <w:t>注：领取本项目采购文件的供应商，如不参与投标，请在规定时间前将书面告知函回执至邮箱：</w:t>
            </w:r>
            <w:r>
              <w:rPr>
                <w:rFonts w:eastAsiaTheme="minorEastAsia" w:hAnsiTheme="minorEastAsia" w:asciiTheme="minorEastAsia" w:hint="eastAsia"/>
                <w:sz w:val="21"/>
                <w:szCs w:val="21"/>
                <w:lang w:eastAsia="zh-CN" w:val="en-US"/>
              </w:rPr>
              <w:t>654656125</w:t>
            </w:r>
            <w:r>
              <w:rPr>
                <w:rFonts w:eastAsiaTheme="minorEastAsia" w:hAnsiTheme="minorEastAsia" w:asciiTheme="minorEastAsia" w:hint="eastAsia"/>
                <w:sz w:val="21"/>
                <w:szCs w:val="21"/>
                <w:lang w:val="zh-CN"/>
              </w:rPr>
              <w:t>@qq.com</w:t>
            </w:r>
          </w:p>
        </w:tc>
      </w:tr>
    </w:tbl>
    <w:p>
      <w:pPr>
        <w:jc w:val="left"/>
        <w:rPr>
          <w:rFonts w:eastAsia="仿宋" w:hAnsi="Times New Roman" w:ascii="Times New Roman"/>
          <w:b/>
          <w:sz w:val="28"/>
          <w:szCs w:val="28"/>
        </w:rPr>
      </w:pPr>
    </w:p>
    <w:p>
      <w:pPr>
        <w:spacing w:lineRule="exact" w:line="460"/>
        <w:ind w:firstLineChars="200" w:firstLine="562" w:rightChars="50" w:right="170" w:left="-238"/>
        <w:rPr>
          <w:rFonts w:hAnsi="Times New Roman" w:ascii="Times New Roman"/>
          <w:sz w:val="22"/>
          <w:szCs w:val="21"/>
        </w:rPr>
      </w:pPr>
      <w:r>
        <w:rPr>
          <w:rFonts w:eastAsia="仿宋" w:hAnsi="Times New Roman" w:ascii="Times New Roman"/>
          <w:b/>
          <w:sz w:val="28"/>
          <w:szCs w:val="28"/>
        </w:rPr>
        <w:br w:type="page"/>
      </w:r>
      <w:bookmarkStart w:name="_Toc24931" w:id="40"/>
      <w:bookmarkStart w:name="_Toc5874" w:id="41"/>
      <w:r>
        <w:rPr>
          <w:rFonts w:hAnsi="Times New Roman" w:ascii="Times New Roman" w:hint="eastAsia"/>
          <w:b/>
          <w:kern w:val="44"/>
          <w:sz w:val="24"/>
          <w:szCs w:val="24"/>
        </w:rPr>
        <w:t>二、总则</w:t>
      </w:r>
      <w:bookmarkEnd w:id="36"/>
      <w:bookmarkEnd w:id="37"/>
      <w:bookmarkEnd w:id="38"/>
      <w:bookmarkEnd w:id="39"/>
      <w:bookmarkEnd w:id="40"/>
      <w:bookmarkEnd w:id="41"/>
    </w:p>
    <w:p>
      <w:pPr>
        <w:pStyle w:val="5"/>
        <w:spacing w:lineRule="auto" w:line="276"/>
        <w:rPr>
          <w:rFonts w:hAnsi="Times New Roman"/>
          <w:sz w:val="22"/>
          <w:szCs w:val="21"/>
        </w:rPr>
      </w:pPr>
      <w:bookmarkStart w:name="_Toc21879" w:id="42"/>
    </w:p>
    <w:p>
      <w:pPr>
        <w:pStyle w:val="5"/>
        <w:spacing w:lineRule="auto" w:line="276"/>
        <w:rPr>
          <w:rFonts w:hAnsi="Times New Roman"/>
          <w:sz w:val="22"/>
          <w:szCs w:val="21"/>
        </w:rPr>
      </w:pPr>
      <w:r>
        <w:rPr>
          <w:rFonts w:hAnsi="Times New Roman"/>
          <w:sz w:val="22"/>
          <w:szCs w:val="21"/>
        </w:rPr>
        <w:t>1.</w:t>
      </w:r>
      <w:bookmarkEnd w:id="33"/>
      <w:bookmarkEnd w:id="34"/>
      <w:r>
        <w:rPr>
          <w:rFonts w:hAnsi="Times New Roman" w:hint="eastAsia"/>
          <w:sz w:val="22"/>
        </w:rPr>
        <w:t>适用范围</w:t>
      </w:r>
      <w:bookmarkEnd w:id="35"/>
      <w:bookmarkEnd w:id="42"/>
    </w:p>
    <w:p>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本招标文件仅适用于本次公开招标采购项目。</w:t>
      </w:r>
    </w:p>
    <w:p>
      <w:pPr>
        <w:pStyle w:val="5"/>
        <w:spacing w:lineRule="auto" w:line="276"/>
        <w:rPr>
          <w:rFonts w:hAnsi="Times New Roman"/>
          <w:sz w:val="22"/>
          <w:szCs w:val="21"/>
        </w:rPr>
      </w:pPr>
      <w:bookmarkStart w:name="_Toc183582206" w:id="43"/>
      <w:bookmarkStart w:name="_Toc183682343" w:id="44"/>
      <w:bookmarkStart w:name="_Toc217446035" w:id="45"/>
      <w:bookmarkStart w:name="_Toc458" w:id="46"/>
      <w:r>
        <w:rPr>
          <w:rFonts w:hAnsi="Times New Roman"/>
          <w:sz w:val="22"/>
          <w:szCs w:val="21"/>
        </w:rPr>
        <w:t xml:space="preserve">2. </w:t>
      </w:r>
      <w:bookmarkEnd w:id="43"/>
      <w:bookmarkEnd w:id="44"/>
      <w:r>
        <w:rPr>
          <w:rFonts w:hAnsi="Times New Roman" w:hint="eastAsia"/>
          <w:sz w:val="22"/>
          <w:szCs w:val="21"/>
        </w:rPr>
        <w:t>有关</w:t>
      </w:r>
      <w:r>
        <w:rPr>
          <w:rFonts w:hAnsi="Times New Roman" w:hint="eastAsia"/>
          <w:sz w:val="22"/>
        </w:rPr>
        <w:t>定义</w:t>
      </w:r>
      <w:bookmarkEnd w:id="45"/>
      <w:bookmarkEnd w:id="46"/>
    </w:p>
    <w:p>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2.1 “</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 xml:space="preserve">系指依法进行政府采购的国家机关、事业单位、团体组织。本次招标的采购人是 </w:t>
      </w:r>
      <w:r>
        <w:rPr>
          <w:rFonts w:eastAsiaTheme="minorEastAsia" w:hAnsiTheme="minorEastAsia" w:asciiTheme="minorEastAsia" w:cs="宋体" w:hint="eastAsia"/>
          <w:sz w:val="22"/>
          <w:szCs w:val="21"/>
          <w:u w:val="single"/>
        </w:rPr>
        <w:t>西安市第一医院</w:t>
      </w:r>
      <w:r>
        <w:rPr>
          <w:rFonts w:hAnsi="Times New Roman" w:ascii="Times New Roman" w:hint="eastAsia"/>
          <w:sz w:val="22"/>
          <w:szCs w:val="21"/>
        </w:rPr>
        <w:t>。</w:t>
      </w:r>
    </w:p>
    <w:p>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2.2 “</w:t>
      </w:r>
      <w:r>
        <w:rPr>
          <w:rFonts w:hAnsi="宋体" w:ascii="Times New Roman" w:hint="eastAsia"/>
          <w:sz w:val="22"/>
          <w:szCs w:val="21"/>
        </w:rPr>
        <w:t>采购代理机构</w:t>
      </w:r>
      <w:r>
        <w:rPr>
          <w:rFonts w:hAnsi="Times New Roman" w:ascii="Times New Roman"/>
          <w:sz w:val="22"/>
          <w:szCs w:val="21"/>
        </w:rPr>
        <w:t xml:space="preserve">” </w:t>
      </w:r>
      <w:r>
        <w:rPr>
          <w:rFonts w:hAnsi="宋体" w:ascii="Times New Roman" w:hint="eastAsia"/>
          <w:sz w:val="22"/>
          <w:szCs w:val="21"/>
        </w:rPr>
        <w:t>系指根据采购人的委托依法办理招标事宜的采购机构。本次招标的采购代理机构是</w:t>
      </w:r>
      <w:r>
        <w:rPr>
          <w:rFonts w:hAnsi="宋体" w:ascii="Times New Roman" w:hint="eastAsia"/>
          <w:sz w:val="22"/>
          <w:szCs w:val="21"/>
          <w:u w:val="single"/>
        </w:rPr>
        <w:t>四川国际招标有限责任公司</w:t>
      </w:r>
      <w:r>
        <w:rPr>
          <w:rFonts w:hAnsi="宋体" w:ascii="Times New Roman" w:hint="eastAsia"/>
          <w:sz w:val="22"/>
          <w:szCs w:val="21"/>
        </w:rPr>
        <w:t>。</w:t>
      </w:r>
    </w:p>
    <w:p>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2.3 “</w:t>
      </w:r>
      <w:r>
        <w:rPr>
          <w:rFonts w:hAnsi="Times New Roman" w:ascii="Times New Roman" w:hint="eastAsia"/>
          <w:sz w:val="22"/>
          <w:szCs w:val="21"/>
        </w:rPr>
        <w:t>招标采购单位</w:t>
      </w:r>
      <w:r>
        <w:rPr>
          <w:rFonts w:hAnsi="Times New Roman" w:ascii="Times New Roman"/>
          <w:sz w:val="22"/>
          <w:szCs w:val="21"/>
        </w:rPr>
        <w:t>”</w:t>
      </w:r>
      <w:r>
        <w:rPr>
          <w:rFonts w:hAnsi="Times New Roman" w:ascii="Times New Roman" w:hint="eastAsia"/>
          <w:sz w:val="22"/>
          <w:szCs w:val="21"/>
        </w:rPr>
        <w:t>系指</w:t>
      </w:r>
      <w:r>
        <w:rPr>
          <w:rFonts w:hAnsi="Times New Roman" w:ascii="Times New Roman"/>
          <w:sz w:val="22"/>
          <w:szCs w:val="21"/>
        </w:rPr>
        <w:t>“</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采购代理机构</w:t>
      </w:r>
      <w:r>
        <w:rPr>
          <w:rFonts w:hAnsi="Times New Roman" w:ascii="Times New Roman"/>
          <w:sz w:val="22"/>
          <w:szCs w:val="21"/>
        </w:rPr>
        <w:t>”</w:t>
      </w:r>
      <w:r>
        <w:rPr>
          <w:rFonts w:hAnsi="Times New Roman" w:ascii="Times New Roman" w:hint="eastAsia"/>
          <w:sz w:val="22"/>
          <w:szCs w:val="21"/>
        </w:rPr>
        <w:t>的统称。</w:t>
      </w:r>
    </w:p>
    <w:p>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2.4 “</w:t>
      </w:r>
      <w:r>
        <w:rPr>
          <w:rFonts w:hAnsi="Times New Roman" w:ascii="Times New Roman" w:hint="eastAsia"/>
          <w:sz w:val="22"/>
          <w:szCs w:val="21"/>
        </w:rPr>
        <w:t>投标人</w:t>
      </w:r>
      <w:r>
        <w:rPr>
          <w:rFonts w:hAnsi="Times New Roman" w:ascii="Times New Roman"/>
          <w:sz w:val="22"/>
          <w:szCs w:val="21"/>
        </w:rPr>
        <w:t>”</w:t>
      </w:r>
      <w:r>
        <w:rPr>
          <w:rFonts w:hAnsi="Times New Roman" w:ascii="Times New Roman" w:hint="eastAsia"/>
          <w:sz w:val="22"/>
          <w:szCs w:val="21"/>
        </w:rPr>
        <w:t>系指购买了招标文件拟参加投标和向采购人提供服务的供应商。</w:t>
      </w:r>
    </w:p>
    <w:p>
      <w:pPr>
        <w:pStyle w:val="5"/>
        <w:spacing w:lineRule="exact" w:line="400"/>
        <w:rPr>
          <w:rFonts w:hAnsi="Times New Roman"/>
          <w:sz w:val="22"/>
          <w:szCs w:val="21"/>
        </w:rPr>
      </w:pPr>
      <w:bookmarkStart w:name="_Toc183682344" w:id="47"/>
      <w:bookmarkStart w:name="_Toc217390843" w:id="48"/>
      <w:bookmarkStart w:name="_Toc183582207" w:id="49"/>
      <w:bookmarkStart w:name="_Toc217446036" w:id="50"/>
      <w:bookmarkStart w:name="_Toc13323" w:id="51"/>
      <w:bookmarkStart w:name="_Toc89075875" w:id="52"/>
      <w:bookmarkStart w:name="_Toc18993" w:id="53"/>
      <w:bookmarkStart w:name="_Toc13653" w:id="54"/>
      <w:bookmarkStart w:name="_Toc217446038" w:id="55"/>
      <w:bookmarkStart w:name="_Toc183582209" w:id="56"/>
      <w:bookmarkStart w:name="_Toc183682346" w:id="57"/>
      <w:bookmarkStart w:name="_Toc6652" w:id="58"/>
      <w:bookmarkStart w:name="_Toc22869" w:id="59"/>
      <w:bookmarkStart w:name="_Toc77400779" w:id="60"/>
      <w:bookmarkStart w:name="_Toc24610" w:id="61"/>
      <w:r>
        <w:rPr>
          <w:rFonts w:hAnsi="Times New Roman"/>
          <w:sz w:val="22"/>
          <w:szCs w:val="21"/>
        </w:rPr>
        <w:t xml:space="preserve">3. </w:t>
      </w:r>
      <w:r>
        <w:rPr>
          <w:rFonts w:hAnsi="Times New Roman" w:hint="eastAsia"/>
          <w:sz w:val="22"/>
          <w:szCs w:val="21"/>
        </w:rPr>
        <w:t>合格的投标人</w:t>
      </w:r>
      <w:bookmarkEnd w:id="47"/>
      <w:bookmarkEnd w:id="48"/>
      <w:bookmarkEnd w:id="49"/>
      <w:bookmarkEnd w:id="50"/>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合格的投标人应具备以下条件：</w:t>
      </w:r>
    </w:p>
    <w:p>
      <w:pPr>
        <w:tabs>
          <w:tab w:pos="7665" w:val="left"/>
        </w:tabs>
        <w:spacing w:lineRule="exact" w:line="400"/>
        <w:ind w:firstLineChars="200" w:firstLine="440"/>
        <w:rPr>
          <w:rFonts w:hAnsi="Times New Roman" w:ascii="Times New Roman"/>
          <w:spacing w:val="-4"/>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）本招标文件规定的供应商资格条件</w:t>
      </w:r>
      <w:r>
        <w:rPr>
          <w:rFonts w:hAnsi="Times New Roman" w:ascii="Times New Roman" w:hint="eastAsia"/>
          <w:spacing w:val="-4"/>
          <w:sz w:val="22"/>
          <w:szCs w:val="21"/>
        </w:rPr>
        <w:t>；</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）遵守国家有关的法律、法规、规章和其他政策制度；</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）向采购代理机构登记并获取了招标文件。</w:t>
      </w:r>
    </w:p>
    <w:p>
      <w:pPr>
        <w:pStyle w:val="5"/>
        <w:spacing w:lineRule="exact" w:line="400"/>
        <w:rPr>
          <w:rFonts w:hAnsi="Times New Roman"/>
          <w:sz w:val="22"/>
          <w:szCs w:val="21"/>
        </w:rPr>
      </w:pPr>
      <w:bookmarkStart w:name="_Toc183582208" w:id="62"/>
      <w:bookmarkStart w:name="_Toc183682345" w:id="63"/>
      <w:bookmarkStart w:name="_Toc217446037" w:id="64"/>
      <w:r>
        <w:rPr>
          <w:rFonts w:hAnsi="Times New Roman"/>
          <w:sz w:val="22"/>
          <w:szCs w:val="21"/>
        </w:rPr>
        <w:t xml:space="preserve">4. </w:t>
      </w:r>
      <w:r>
        <w:rPr>
          <w:rFonts w:hAnsi="Times New Roman" w:hint="eastAsia"/>
          <w:sz w:val="22"/>
          <w:szCs w:val="21"/>
        </w:rPr>
        <w:t>投标费用</w:t>
      </w:r>
      <w:bookmarkEnd w:id="62"/>
      <w:bookmarkEnd w:id="63"/>
      <w:bookmarkEnd w:id="64"/>
    </w:p>
    <w:p>
      <w:pPr>
        <w:tabs>
          <w:tab w:pos="7665" w:val="left"/>
        </w:tabs>
        <w:spacing w:lineRule="exact" w:line="400"/>
        <w:ind w:firstLine="480"/>
        <w:rPr>
          <w:rFonts w:hAnsi="Times New Roman" w:ascii="Times New Roman"/>
          <w:sz w:val="22"/>
          <w:szCs w:val="21"/>
        </w:rPr>
      </w:pPr>
      <w:r>
        <w:rPr>
          <w:rFonts w:hAnsi="Times New Roman" w:ascii="Times New Roman" w:hint="eastAsia"/>
          <w:sz w:val="22"/>
          <w:szCs w:val="21"/>
        </w:rPr>
        <w:t>投标人参加投标的有关费用由投标人自行承担。</w:t>
      </w:r>
    </w:p>
    <w:p>
      <w:pPr>
        <w:pStyle w:val="5"/>
        <w:spacing w:lineRule="exact" w:line="400"/>
        <w:rPr>
          <w:rFonts w:hAnsi="Times New Roman"/>
          <w:sz w:val="22"/>
          <w:szCs w:val="21"/>
        </w:rPr>
      </w:pPr>
      <w:r>
        <w:rPr>
          <w:rFonts w:hAnsi="Times New Roman"/>
          <w:sz w:val="22"/>
          <w:szCs w:val="21"/>
        </w:rPr>
        <w:t xml:space="preserve">5. </w:t>
      </w:r>
      <w:r>
        <w:rPr>
          <w:rFonts w:hAnsi="Times New Roman" w:hint="eastAsia"/>
          <w:sz w:val="22"/>
          <w:szCs w:val="21"/>
        </w:rPr>
        <w:t>充分、公平竞争保障措施</w:t>
      </w:r>
    </w:p>
    <w:p>
      <w:pPr>
        <w:pStyle w:val="29"/>
        <w:spacing w:lineRule="exact" w:line="460"/>
        <w:ind w:firstLineChars="200" w:firstLine="440" w:left="1"/>
        <w:rPr>
          <w:rFonts w:hAnsi="Times New Roman" w:ascii="Times New Roman"/>
          <w:b/>
          <w:sz w:val="22"/>
        </w:rPr>
      </w:pPr>
      <w:r>
        <w:rPr>
          <w:rFonts w:hAnsi="Times New Roman" w:ascii="Times New Roman"/>
          <w:b/>
          <w:sz w:val="22"/>
          <w:szCs w:val="21"/>
        </w:rPr>
        <w:t xml:space="preserve">5.1 </w:t>
      </w:r>
      <w:r>
        <w:rPr>
          <w:rFonts w:hAnsi="Times New Roman" w:ascii="Times New Roman" w:hint="eastAsia"/>
          <w:b/>
          <w:sz w:val="22"/>
          <w:szCs w:val="21"/>
        </w:rPr>
        <w:t>提供相同品牌产品处理</w:t>
      </w:r>
      <w:r>
        <w:rPr>
          <w:rFonts w:hAnsi="Times New Roman" w:ascii="Times New Roman" w:hint="eastAsia"/>
          <w:b/>
          <w:sz w:val="22"/>
        </w:rPr>
        <w:t>。</w:t>
      </w:r>
    </w:p>
    <w:p>
      <w:pPr>
        <w:pStyle w:val="29"/>
        <w:spacing w:lineRule="exact" w:line="460"/>
        <w:ind w:firstLineChars="200" w:firstLine="440" w:left="1"/>
        <w:rPr>
          <w:rFonts w:hAnsi="Times New Roman" w:ascii="Times New Roman"/>
          <w:bCs/>
          <w:sz w:val="22"/>
        </w:rPr>
      </w:pPr>
      <w:r>
        <w:rPr>
          <w:rFonts w:hAnsi="Times New Roman" w:ascii="Times New Roman"/>
          <w:b/>
          <w:sz w:val="22"/>
        </w:rPr>
        <w:t xml:space="preserve">5.1.1 </w:t>
      </w:r>
      <w:r>
        <w:rPr>
          <w:rFonts w:hAnsi="Times New Roman" w:ascii="Times New Roman" w:hint="eastAsia"/>
          <w:bCs/>
          <w:sz w:val="22"/>
        </w:rPr>
        <w:t>非单一产品采购项目中，采购人根据采购项目技术构成、产品价格比重等合理确定核心产品。多家投标人提供的任一核心产品品牌相同的，视为提供相同品牌产品，本项目核心产品为</w:t>
      </w:r>
      <w:r>
        <w:rPr>
          <w:rFonts w:cs="Times New Roman" w:eastAsia="宋体" w:hAnsi="Times New Roman" w:ascii="Times New Roman" w:hint="eastAsia"/>
          <w:bCs/>
          <w:sz w:val="22"/>
        </w:rPr>
        <w:t>：</w:t>
      </w:r>
      <w:r>
        <w:rPr>
          <w:rFonts w:cs="Times New Roman" w:eastAsia="宋体" w:hAnsi="Times New Roman" w:ascii="Times New Roman" w:hint="eastAsia"/>
          <w:bCs/>
          <w:sz w:val="22"/>
          <w:lang w:eastAsia="zh-CN" w:val="en-US"/>
        </w:rPr>
        <w:t xml:space="preserve"> </w:t>
      </w:r>
      <w:r>
        <w:rPr>
          <w:rFonts w:cs="Times New Roman" w:eastAsia="宋体" w:hAnsi="Times New Roman" w:ascii="Times New Roman" w:hint="eastAsia"/>
          <w:bCs/>
          <w:sz w:val="22"/>
          <w:lang w:eastAsia="zh-CN"/>
        </w:rPr>
        <w:t>全自动凝血分析仪</w:t>
      </w:r>
      <w:r>
        <w:rPr>
          <w:rFonts w:cs="Times New Roman" w:eastAsia="宋体" w:hAnsi="Times New Roman" w:ascii="Times New Roman" w:hint="eastAsia"/>
          <w:bCs/>
          <w:sz w:val="22"/>
        </w:rPr>
        <w:t>。</w:t>
      </w:r>
    </w:p>
    <w:p>
      <w:pPr>
        <w:pStyle w:val="29"/>
        <w:spacing w:lineRule="exact" w:line="460"/>
        <w:ind w:firstLineChars="200" w:firstLine="440" w:left="1"/>
        <w:rPr>
          <w:rFonts w:hAnsi="Times New Roman" w:ascii="Times New Roman"/>
          <w:b/>
          <w:sz w:val="22"/>
        </w:rPr>
      </w:pPr>
      <w:r>
        <w:rPr>
          <w:rFonts w:hAnsi="Times New Roman" w:ascii="Times New Roman"/>
          <w:b/>
          <w:sz w:val="22"/>
        </w:rPr>
        <w:t xml:space="preserve">5.1.2 </w:t>
      </w:r>
      <w:r>
        <w:rPr>
          <w:rFonts w:hAnsi="Times New Roman" w:ascii="Times New Roman" w:hint="eastAsia"/>
          <w:b/>
          <w:sz w:val="22"/>
        </w:rPr>
        <w:t>采用综合评分法的采购项目。</w:t>
      </w:r>
    </w:p>
    <w:p>
      <w:pPr>
        <w:pStyle w:val="29"/>
        <w:spacing w:lineRule="exact" w:line="460"/>
        <w:ind w:firstLineChars="200" w:firstLine="440"/>
        <w:rPr>
          <w:rFonts w:hAnsi="Times New Roman" w:ascii="Times New Roman"/>
          <w:bCs/>
          <w:sz w:val="22"/>
        </w:rPr>
      </w:pPr>
      <w:r>
        <w:rPr>
          <w:rFonts w:hAnsi="Times New Roman" w:ascii="Times New Roman" w:hint="eastAsia"/>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29"/>
        <w:spacing w:lineRule="exact" w:line="460"/>
        <w:ind w:firstLineChars="200" w:firstLine="440" w:left="1"/>
        <w:rPr>
          <w:rFonts w:hAnsi="Times New Roman" w:ascii="Times New Roman"/>
          <w:sz w:val="22"/>
          <w:szCs w:val="21"/>
        </w:rPr>
      </w:pPr>
      <w:r>
        <w:rPr>
          <w:rFonts w:hAnsi="Times New Roman" w:ascii="Times New Roman"/>
          <w:b/>
          <w:sz w:val="22"/>
          <w:szCs w:val="21"/>
        </w:rPr>
        <w:t xml:space="preserve">5.2 </w:t>
      </w:r>
      <w:r>
        <w:rPr>
          <w:rFonts w:hAnsi="Times New Roman" w:ascii="Times New Roman" w:hint="eastAsia"/>
          <w:b/>
          <w:sz w:val="22"/>
          <w:szCs w:val="21"/>
        </w:rPr>
        <w:t>利害关系供应商处理。</w:t>
      </w:r>
      <w:r>
        <w:rPr>
          <w:rFonts w:hAnsi="Times New Roman" w:ascii="Times New Roman" w:hint="eastAsia"/>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29"/>
        <w:spacing w:lineRule="exact" w:line="460"/>
        <w:ind w:firstLineChars="200" w:firstLine="440" w:left="1"/>
        <w:rPr>
          <w:rFonts w:hAnsi="Times New Roman" w:ascii="Times New Roman"/>
          <w:sz w:val="22"/>
          <w:szCs w:val="21"/>
        </w:rPr>
      </w:pPr>
      <w:r>
        <w:rPr>
          <w:rFonts w:hAnsi="Times New Roman" w:ascii="Times New Roman"/>
          <w:b/>
          <w:sz w:val="22"/>
          <w:szCs w:val="21"/>
        </w:rPr>
        <w:t xml:space="preserve">5.3 </w:t>
      </w:r>
      <w:r>
        <w:rPr>
          <w:rFonts w:hAnsi="Times New Roman" w:ascii="Times New Roman" w:hint="eastAsia"/>
          <w:b/>
          <w:sz w:val="22"/>
          <w:szCs w:val="21"/>
        </w:rPr>
        <w:t>前期参与供应商处理。</w:t>
      </w:r>
      <w:r>
        <w:rPr>
          <w:rFonts w:hAnsi="Times New Roman" w:ascii="Times New Roman" w:hint="eastAsia"/>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9"/>
        <w:spacing w:lineRule="exact" w:line="460"/>
        <w:ind w:firstLineChars="200" w:firstLine="440" w:left="1"/>
        <w:rPr>
          <w:rFonts w:hAnsi="Times New Roman" w:ascii="Times New Roman"/>
          <w:sz w:val="22"/>
          <w:szCs w:val="21"/>
        </w:rPr>
      </w:pPr>
      <w:r>
        <w:rPr>
          <w:rFonts w:hAnsi="Times New Roman" w:ascii="Times New Roman"/>
          <w:b/>
          <w:sz w:val="22"/>
          <w:szCs w:val="21"/>
        </w:rPr>
        <w:t xml:space="preserve">5.4 </w:t>
      </w:r>
      <w:r>
        <w:rPr>
          <w:rFonts w:hAnsi="Times New Roman" w:ascii="Times New Roman" w:hint="eastAsia"/>
          <w:b/>
          <w:sz w:val="22"/>
          <w:szCs w:val="21"/>
        </w:rPr>
        <w:t>利害关系代理人处理。</w:t>
      </w:r>
      <w:r>
        <w:rPr>
          <w:rFonts w:hAnsi="Times New Roman" w:ascii="Times New Roman"/>
          <w:sz w:val="22"/>
          <w:szCs w:val="21"/>
        </w:rPr>
        <w:t>2</w:t>
      </w:r>
      <w:r>
        <w:rPr>
          <w:rFonts w:hAnsi="Times New Roman" w:ascii="Times New Roman" w:hint="eastAsia"/>
          <w:sz w:val="22"/>
          <w:szCs w:val="21"/>
        </w:rPr>
        <w:t>家以上的供应商不得在同一合同项下的采购项目中，同时委托同一个自然人、同一家庭的人员、同一单位的人员作为其代理人，否则，其投标文件作为无效处理。</w:t>
      </w:r>
    </w:p>
    <w:p>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三、招标文件</w:t>
      </w:r>
      <w:bookmarkEnd w:id="51"/>
      <w:bookmarkEnd w:id="52"/>
      <w:bookmarkEnd w:id="53"/>
      <w:bookmarkEnd w:id="54"/>
      <w:bookmarkEnd w:id="55"/>
      <w:bookmarkEnd w:id="56"/>
      <w:bookmarkEnd w:id="57"/>
      <w:bookmarkEnd w:id="58"/>
      <w:bookmarkEnd w:id="59"/>
      <w:bookmarkEnd w:id="60"/>
      <w:bookmarkEnd w:id="61"/>
    </w:p>
    <w:p>
      <w:pPr>
        <w:pStyle w:val="5"/>
        <w:spacing w:lineRule="exact" w:line="400"/>
        <w:rPr>
          <w:rFonts w:hAnsi="Times New Roman"/>
          <w:sz w:val="22"/>
          <w:szCs w:val="21"/>
        </w:rPr>
      </w:pPr>
      <w:bookmarkStart w:name="_Toc3193" w:id="65"/>
      <w:bookmarkStart w:name="_Toc217446039" w:id="66"/>
      <w:bookmarkStart w:name="_Toc183682347" w:id="67"/>
      <w:bookmarkStart w:name="_Toc183582210" w:id="68"/>
      <w:r>
        <w:rPr>
          <w:rFonts w:hAnsi="Times New Roman"/>
          <w:sz w:val="22"/>
          <w:szCs w:val="21"/>
        </w:rPr>
        <w:t>6</w:t>
      </w:r>
      <w:r>
        <w:rPr>
          <w:rFonts w:hAnsi="Times New Roman" w:hint="eastAsia"/>
          <w:sz w:val="22"/>
          <w:szCs w:val="21"/>
        </w:rPr>
        <w:t>．招标文件的构成</w:t>
      </w:r>
      <w:bookmarkEnd w:id="65"/>
      <w:bookmarkEnd w:id="66"/>
      <w:bookmarkEnd w:id="67"/>
      <w:bookmarkEnd w:id="68"/>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（一）投标邀请；</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（二）投标人须知；</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（三）投标文件格式；</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（四）投标人和投标产品（如涉及）的资格、资质性及其他类似效力要求；</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（五）投标人应当提供的资格、资质性及其他类似效力要求的相关证明材料；</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（六）招标项目要求；</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（七）评标办法；</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（八）合同主要条款。</w:t>
      </w:r>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6.2 </w:t>
      </w:r>
      <w:r>
        <w:rPr>
          <w:rFonts w:hAnsi="Times New Roman" w:ascii="Times New Roman" w:hint="eastAsia"/>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Rule="exact" w:line="400"/>
        <w:rPr>
          <w:rFonts w:hAnsi="Times New Roman"/>
          <w:sz w:val="22"/>
          <w:szCs w:val="21"/>
        </w:rPr>
      </w:pPr>
      <w:bookmarkStart w:name="_Toc183682348" w:id="69"/>
      <w:bookmarkStart w:name="_Toc183582211" w:id="70"/>
      <w:bookmarkStart w:name="_Toc217446040" w:id="71"/>
      <w:bookmarkStart w:name="_Toc12704" w:id="72"/>
      <w:r>
        <w:rPr>
          <w:rFonts w:hAnsi="Times New Roman"/>
          <w:sz w:val="22"/>
          <w:szCs w:val="21"/>
        </w:rPr>
        <w:t xml:space="preserve">7. </w:t>
      </w:r>
      <w:r>
        <w:rPr>
          <w:rFonts w:hAnsi="Times New Roman" w:hint="eastAsia"/>
          <w:sz w:val="22"/>
          <w:szCs w:val="21"/>
        </w:rPr>
        <w:t>招标文件的澄清</w:t>
      </w:r>
      <w:bookmarkEnd w:id="69"/>
      <w:bookmarkEnd w:id="70"/>
      <w:r>
        <w:rPr>
          <w:rFonts w:hAnsi="Times New Roman" w:hint="eastAsia"/>
          <w:sz w:val="22"/>
          <w:szCs w:val="21"/>
        </w:rPr>
        <w:t>和修改</w:t>
      </w:r>
      <w:bookmarkEnd w:id="71"/>
      <w:bookmarkEnd w:id="72"/>
    </w:p>
    <w:p>
      <w:pPr>
        <w:tabs>
          <w:tab w:pos="7665" w:val="left"/>
        </w:tabs>
        <w:spacing w:lineRule="exact" w:line="400"/>
        <w:ind w:firstLineChars="200" w:firstLine="440"/>
        <w:rPr>
          <w:rFonts w:hAnsi="Times New Roman" w:ascii="Times New Roman"/>
          <w:sz w:val="22"/>
          <w:szCs w:val="21"/>
        </w:rPr>
      </w:pPr>
      <w:bookmarkStart w:name="_Toc13906" w:id="73"/>
      <w:bookmarkStart w:name="_Toc217446042" w:id="74"/>
      <w:bookmarkStart w:name="_Toc21900" w:id="75"/>
      <w:bookmarkStart w:name="_Toc3696" w:id="76"/>
      <w:bookmarkStart w:name="_Toc183682351" w:id="77"/>
      <w:bookmarkStart w:name="_Toc89075876" w:id="78"/>
      <w:bookmarkStart w:name="_Toc18406" w:id="79"/>
      <w:bookmarkStart w:name="_Toc183582214" w:id="80"/>
      <w:bookmarkStart w:name="_Toc14522" w:id="81"/>
      <w:bookmarkStart w:name="_Toc24268" w:id="82"/>
      <w:bookmarkStart w:name="_Toc77400780" w:id="83"/>
      <w:r>
        <w:rPr>
          <w:rFonts w:hAnsi="Times New Roman" w:ascii="Times New Roman"/>
          <w:sz w:val="22"/>
          <w:szCs w:val="21"/>
        </w:rPr>
        <w:t xml:space="preserve">7.1 </w:t>
      </w:r>
      <w:r>
        <w:rPr>
          <w:rFonts w:hAnsi="Times New Roman" w:ascii="Times New Roman" w:hint="eastAsia"/>
          <w:sz w:val="22"/>
          <w:szCs w:val="21"/>
        </w:rPr>
        <w:t>招标采购单位可以依法对招标文件进行澄清或者修改。</w:t>
      </w:r>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7.2 </w:t>
      </w:r>
      <w:r>
        <w:rPr>
          <w:rFonts w:hAnsi="Times New Roman" w:ascii="Times New Roman" w:hint="eastAsia"/>
          <w:sz w:val="22"/>
          <w:szCs w:val="21"/>
        </w:rPr>
        <w:t>招标采购单位对已发出的招标文件进行澄清或者修改，应当以书面形式将澄清或者修改的内容通知所有购买了招标文件的供应商，同时在陕西省政府采购网上发布</w:t>
      </w:r>
      <w:r>
        <w:rPr>
          <w:rFonts w:hAnsi="Times New Roman" w:ascii="Times New Roman" w:hint="eastAsia"/>
          <w:b/>
          <w:bCs/>
          <w:sz w:val="22"/>
          <w:szCs w:val="21"/>
        </w:rPr>
        <w:t>更正公告</w:t>
      </w:r>
      <w:r>
        <w:rPr>
          <w:rFonts w:hAnsi="Times New Roman" w:ascii="Times New Roman" w:hint="eastAsia"/>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7.3 </w:t>
      </w:r>
      <w:r>
        <w:rPr>
          <w:rFonts w:hAnsi="Times New Roman" w:ascii="Times New Roman" w:hint="eastAsia"/>
          <w:sz w:val="22"/>
          <w:szCs w:val="21"/>
        </w:rPr>
        <w:t>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7.4 </w:t>
      </w:r>
      <w:r>
        <w:rPr>
          <w:rFonts w:hAnsi="Times New Roman" w:ascii="Times New Roman" w:hint="eastAsia"/>
          <w:sz w:val="22"/>
          <w:szCs w:val="21"/>
        </w:rPr>
        <w:t>投标人认为需要对招标文件进行澄清或者修改的，可以以书面形式向招标采购单位构提出申请，但招标采购单位可以决定是否采纳投标人的申请事项。</w:t>
      </w:r>
    </w:p>
    <w:p>
      <w:pPr>
        <w:pStyle w:val="5"/>
        <w:spacing w:lineRule="exact" w:line="400"/>
        <w:rPr>
          <w:rFonts w:hAnsi="Times New Roman"/>
          <w:sz w:val="22"/>
          <w:szCs w:val="21"/>
        </w:rPr>
      </w:pPr>
      <w:bookmarkStart w:name="_Toc217446041" w:id="84"/>
      <w:bookmarkStart w:name="_Toc208848971" w:id="85"/>
      <w:r>
        <w:rPr>
          <w:rFonts w:hAnsi="Times New Roman"/>
          <w:sz w:val="22"/>
          <w:szCs w:val="21"/>
        </w:rPr>
        <w:t xml:space="preserve">8. </w:t>
      </w:r>
      <w:r>
        <w:rPr>
          <w:rFonts w:hAnsi="Times New Roman" w:hint="eastAsia"/>
          <w:sz w:val="22"/>
          <w:szCs w:val="21"/>
        </w:rPr>
        <w:t>答疑会和现场</w:t>
      </w:r>
      <w:bookmarkEnd w:id="84"/>
      <w:bookmarkEnd w:id="85"/>
      <w:r>
        <w:rPr>
          <w:rFonts w:hAnsi="Times New Roman" w:hint="eastAsia"/>
          <w:sz w:val="22"/>
          <w:szCs w:val="21"/>
        </w:rPr>
        <w:t>踏勘（本项目不适用）</w:t>
      </w:r>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8.1 </w:t>
      </w:r>
      <w:r>
        <w:rPr>
          <w:rFonts w:hAnsi="Times New Roman" w:ascii="Times New Roman" w:hint="eastAsia"/>
          <w:sz w:val="22"/>
          <w:szCs w:val="21"/>
        </w:rPr>
        <w:t>根据采购项目和具体情况，招标采购单位在招标文件提供期限截止后，组织已获取招标文件的潜在投标人现场踏勘或者召开标前答疑会。组织现场踏勘或者召开答疑会的，以书面形式通知所有获取招标文件的潜在投标人，时间另行通知。</w:t>
      </w:r>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8.</w:t>
      </w:r>
      <w:r>
        <w:rPr>
          <w:rFonts w:hAnsi="Times New Roman" w:ascii="Times New Roman" w:hint="eastAsia"/>
          <w:sz w:val="22"/>
          <w:szCs w:val="21"/>
        </w:rPr>
        <w:t>2</w:t>
      </w:r>
      <w:r>
        <w:rPr>
          <w:rFonts w:hAnsi="Times New Roman" w:ascii="Times New Roman"/>
          <w:sz w:val="22"/>
          <w:szCs w:val="21"/>
        </w:rPr>
        <w:t xml:space="preserve"> </w:t>
      </w:r>
      <w:r>
        <w:rPr>
          <w:rFonts w:hAnsi="Times New Roman" w:ascii="Times New Roman" w:hint="eastAsia"/>
          <w:sz w:val="22"/>
          <w:szCs w:val="21"/>
        </w:rPr>
        <w:t>供应商踏勘现场所发生的一切费用由供应商自己承担。</w:t>
      </w:r>
    </w:p>
    <w:p>
      <w:pPr>
        <w:tabs>
          <w:tab w:pos="7665" w:val="left"/>
        </w:tabs>
        <w:spacing w:lineRule="exact" w:line="400"/>
        <w:ind w:firstLineChars="200" w:firstLine="440"/>
        <w:rPr>
          <w:sz w:val="22"/>
          <w:szCs w:val="21"/>
        </w:rPr>
      </w:pPr>
    </w:p>
    <w:p>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四、投标文件</w:t>
      </w:r>
      <w:bookmarkEnd w:id="73"/>
      <w:bookmarkEnd w:id="74"/>
      <w:bookmarkEnd w:id="75"/>
      <w:bookmarkEnd w:id="76"/>
      <w:bookmarkEnd w:id="77"/>
      <w:bookmarkEnd w:id="78"/>
      <w:bookmarkEnd w:id="79"/>
      <w:bookmarkEnd w:id="80"/>
      <w:bookmarkEnd w:id="81"/>
      <w:bookmarkEnd w:id="82"/>
      <w:bookmarkEnd w:id="83"/>
    </w:p>
    <w:p>
      <w:pPr>
        <w:pStyle w:val="5"/>
        <w:spacing w:lineRule="exact" w:line="400"/>
        <w:rPr>
          <w:rFonts w:hAnsi="Times New Roman"/>
          <w:sz w:val="22"/>
          <w:szCs w:val="21"/>
        </w:rPr>
      </w:pPr>
      <w:bookmarkStart w:name="_Toc217446043" w:id="86"/>
      <w:bookmarkStart w:name="_Toc183682352" w:id="87"/>
      <w:bookmarkStart w:name="_Toc183582215" w:id="88"/>
      <w:bookmarkStart w:name="_Toc23329" w:id="89"/>
      <w:bookmarkStart w:name="_Toc217446051" w:id="90"/>
      <w:bookmarkStart w:name="_Toc183682361" w:id="91"/>
      <w:bookmarkStart w:name="_Toc183582224" w:id="92"/>
      <w:r>
        <w:rPr>
          <w:rFonts w:hAnsi="Times New Roman"/>
          <w:sz w:val="22"/>
          <w:szCs w:val="21"/>
        </w:rPr>
        <w:t>9</w:t>
      </w:r>
      <w:r>
        <w:rPr>
          <w:rFonts w:hAnsi="Times New Roman" w:hint="eastAsia"/>
          <w:sz w:val="22"/>
          <w:szCs w:val="21"/>
        </w:rPr>
        <w:t>．投标文件的语言</w:t>
      </w:r>
      <w:bookmarkEnd w:id="86"/>
      <w:bookmarkEnd w:id="87"/>
      <w:bookmarkEnd w:id="88"/>
    </w:p>
    <w:p>
      <w:pPr>
        <w:tabs>
          <w:tab w:pos="1134" w:val="left"/>
        </w:tabs>
        <w:spacing w:lineRule="auto" w:line="360"/>
        <w:ind w:firstLineChars="200" w:firstLine="440"/>
        <w:jc w:val="left"/>
        <w:rPr>
          <w:rFonts w:hAnsi="Times New Roman" w:ascii="Times New Roman"/>
          <w:sz w:val="22"/>
          <w:szCs w:val="21"/>
        </w:rPr>
      </w:pPr>
      <w:bookmarkStart w:name="_Toc183582216" w:id="93"/>
      <w:bookmarkStart w:name="_Toc183682353" w:id="94"/>
      <w:bookmarkStart w:name="_Toc217446044" w:id="95"/>
      <w:r>
        <w:rPr>
          <w:rFonts w:hAnsi="Times New Roman" w:ascii="Times New Roman"/>
          <w:sz w:val="22"/>
          <w:szCs w:val="21"/>
        </w:rPr>
        <w:t xml:space="preserve">9.1 </w:t>
      </w:r>
      <w:r>
        <w:rPr>
          <w:rFonts w:hAnsi="Times New Roman" w:ascii="Times New Roman" w:hint="eastAsia"/>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pos="1134" w:val="left"/>
        </w:tabs>
        <w:spacing w:lineRule="auto" w:line="360"/>
        <w:ind w:firstLineChars="200" w:firstLine="440"/>
        <w:jc w:val="left"/>
        <w:rPr>
          <w:rFonts w:hAnsi="Times New Roman" w:ascii="Times New Roman"/>
          <w:sz w:val="22"/>
          <w:szCs w:val="21"/>
        </w:rPr>
      </w:pPr>
      <w:r>
        <w:rPr>
          <w:rFonts w:hAnsi="Times New Roman" w:ascii="Times New Roman"/>
          <w:sz w:val="22"/>
          <w:szCs w:val="21"/>
        </w:rPr>
        <w:t xml:space="preserve">9.2 </w:t>
      </w:r>
      <w:r>
        <w:rPr>
          <w:rFonts w:hAnsi="Times New Roman" w:ascii="Times New Roman" w:hint="eastAsia"/>
          <w:sz w:val="22"/>
          <w:szCs w:val="21"/>
        </w:rPr>
        <w:t>翻译的中文资料与外文资料如果出现差异和矛盾时，以中文为准。涉嫌虚假响应的按照相关法律法规处理。</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9.3 </w:t>
      </w:r>
      <w:r>
        <w:rPr>
          <w:rFonts w:hAnsi="宋体" w:ascii="Times New Roman" w:hint="eastAsia"/>
          <w:sz w:val="22"/>
          <w:szCs w:val="21"/>
        </w:rPr>
        <w:t>如因未翻译而造成的废标，由投标人承担。</w:t>
      </w:r>
    </w:p>
    <w:p>
      <w:pPr>
        <w:pStyle w:val="5"/>
        <w:spacing w:lineRule="exact" w:line="400"/>
        <w:rPr>
          <w:rFonts w:hAnsi="Times New Roman"/>
          <w:sz w:val="22"/>
          <w:szCs w:val="21"/>
        </w:rPr>
      </w:pPr>
      <w:r>
        <w:rPr>
          <w:rFonts w:hAnsi="Times New Roman"/>
          <w:sz w:val="22"/>
          <w:szCs w:val="21"/>
        </w:rPr>
        <w:t>10</w:t>
      </w:r>
      <w:r>
        <w:rPr>
          <w:rFonts w:hAnsi="Times New Roman" w:hint="eastAsia"/>
          <w:sz w:val="22"/>
          <w:szCs w:val="21"/>
        </w:rPr>
        <w:t>．计量单位</w:t>
      </w:r>
      <w:bookmarkEnd w:id="93"/>
      <w:bookmarkEnd w:id="94"/>
      <w:bookmarkEnd w:id="95"/>
    </w:p>
    <w:p>
      <w:pPr>
        <w:spacing w:lineRule="exact" w:line="400"/>
        <w:ind w:firstLineChars="196" w:firstLine="431"/>
        <w:rPr>
          <w:rFonts w:hAnsi="Times New Roman" w:ascii="Times New Roman"/>
          <w:sz w:val="22"/>
          <w:szCs w:val="21"/>
        </w:rPr>
      </w:pPr>
      <w:r>
        <w:rPr>
          <w:rFonts w:hAnsi="Times New Roman" w:ascii="Times New Roman" w:hint="eastAsia"/>
          <w:sz w:val="22"/>
          <w:szCs w:val="21"/>
        </w:rPr>
        <w:t>除招标文件中另有规定外，本次采购项目所有合同项下的投标均采用国家法定的计量单位。</w:t>
      </w:r>
    </w:p>
    <w:p>
      <w:pPr>
        <w:pStyle w:val="5"/>
        <w:spacing w:lineRule="exact" w:line="400"/>
        <w:rPr>
          <w:rFonts w:hAnsi="Times New Roman"/>
          <w:sz w:val="22"/>
          <w:szCs w:val="21"/>
        </w:rPr>
      </w:pPr>
      <w:bookmarkStart w:name="_Toc217446045" w:id="96"/>
      <w:r>
        <w:rPr>
          <w:rFonts w:hAnsi="Times New Roman"/>
          <w:sz w:val="22"/>
          <w:szCs w:val="21"/>
        </w:rPr>
        <w:t xml:space="preserve">11. </w:t>
      </w:r>
      <w:r>
        <w:rPr>
          <w:rFonts w:hAnsi="Times New Roman" w:hint="eastAsia"/>
          <w:sz w:val="22"/>
          <w:szCs w:val="21"/>
        </w:rPr>
        <w:t>投标货币</w:t>
      </w:r>
      <w:bookmarkEnd w:id="96"/>
    </w:p>
    <w:p>
      <w:pPr>
        <w:spacing w:lineRule="exact" w:line="400"/>
        <w:ind w:firstLineChars="196" w:firstLine="431"/>
        <w:rPr>
          <w:rFonts w:hAnsi="Times New Roman" w:ascii="Times New Roman"/>
          <w:sz w:val="22"/>
          <w:szCs w:val="21"/>
        </w:rPr>
      </w:pPr>
      <w:r>
        <w:rPr>
          <w:rFonts w:hAnsi="Times New Roman" w:ascii="Times New Roman" w:hint="eastAsia"/>
          <w:sz w:val="22"/>
          <w:szCs w:val="21"/>
        </w:rPr>
        <w:t>本次招标项目的投标均以人民币报价。</w:t>
      </w:r>
    </w:p>
    <w:p>
      <w:pPr>
        <w:pStyle w:val="5"/>
        <w:spacing w:lineRule="exact" w:line="400"/>
        <w:rPr>
          <w:rFonts w:hAnsi="Times New Roman"/>
          <w:sz w:val="22"/>
          <w:szCs w:val="21"/>
        </w:rPr>
      </w:pPr>
      <w:bookmarkStart w:name="_Toc217446046" w:id="97"/>
      <w:r>
        <w:rPr>
          <w:rFonts w:hAnsi="Times New Roman"/>
          <w:sz w:val="22"/>
          <w:szCs w:val="21"/>
        </w:rPr>
        <w:t xml:space="preserve">12. </w:t>
      </w:r>
      <w:r>
        <w:rPr>
          <w:rFonts w:hAnsi="Times New Roman" w:hint="eastAsia"/>
          <w:sz w:val="22"/>
          <w:szCs w:val="21"/>
        </w:rPr>
        <w:t>联合体投标</w:t>
      </w:r>
      <w:bookmarkEnd w:id="97"/>
      <w:r>
        <w:rPr>
          <w:rFonts w:hAnsi="Times New Roman" w:hint="eastAsia"/>
          <w:sz w:val="22"/>
          <w:szCs w:val="21"/>
        </w:rPr>
        <w:t>（本项目不适用）</w:t>
      </w:r>
    </w:p>
    <w:p>
      <w:pPr>
        <w:pStyle w:val="5"/>
        <w:spacing w:lineRule="exact" w:line="400"/>
        <w:rPr>
          <w:rFonts w:hAnsi="Times New Roman"/>
          <w:sz w:val="22"/>
          <w:szCs w:val="21"/>
        </w:rPr>
      </w:pPr>
      <w:bookmarkStart w:name="_Toc308164797" w:id="98"/>
      <w:bookmarkStart w:name="_Toc217446047" w:id="99"/>
      <w:r>
        <w:rPr>
          <w:rFonts w:hAnsi="Times New Roman"/>
          <w:sz w:val="22"/>
          <w:szCs w:val="21"/>
        </w:rPr>
        <w:t xml:space="preserve">13. </w:t>
      </w:r>
      <w:r>
        <w:rPr>
          <w:rFonts w:hAnsi="Times New Roman" w:hint="eastAsia"/>
          <w:sz w:val="22"/>
          <w:szCs w:val="21"/>
        </w:rPr>
        <w:t>知识产权</w:t>
      </w:r>
      <w:bookmarkEnd w:id="98"/>
      <w:bookmarkEnd w:id="99"/>
    </w:p>
    <w:p>
      <w:pPr>
        <w:pStyle w:val="8"/>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13.1 </w:t>
      </w:r>
      <w:r>
        <w:rPr>
          <w:rFonts w:hAnsi="Times New Roman" w:ascii="Times New Roman" w:hint="eastAsia"/>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13.2 </w:t>
      </w:r>
      <w:r>
        <w:rPr>
          <w:rFonts w:hAnsi="Times New Roman" w:ascii="Times New Roman" w:hint="eastAsia"/>
          <w:sz w:val="22"/>
          <w:szCs w:val="22"/>
        </w:rPr>
        <w:t>采购人享有本项目实施过程中产生的知识成果及知识产权。</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13.3 </w:t>
      </w:r>
      <w:r>
        <w:rPr>
          <w:rFonts w:hAnsi="Times New Roman" w:ascii="Times New Roman" w:hint="eastAsia"/>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Rule="exact" w:line="400"/>
        <w:ind w:firstLineChars="192" w:firstLine="422"/>
        <w:rPr>
          <w:rFonts w:hAnsi="Times New Roman" w:ascii="Times New Roman"/>
          <w:sz w:val="22"/>
          <w:szCs w:val="21"/>
        </w:rPr>
      </w:pPr>
      <w:r>
        <w:rPr>
          <w:rFonts w:hAnsi="Times New Roman" w:ascii="Times New Roman"/>
          <w:sz w:val="22"/>
          <w:szCs w:val="21"/>
        </w:rPr>
        <w:t xml:space="preserve">13.4 </w:t>
      </w:r>
      <w:r>
        <w:rPr>
          <w:rFonts w:hAnsi="Times New Roman" w:ascii="Times New Roman" w:hint="eastAsia"/>
          <w:sz w:val="22"/>
          <w:szCs w:val="21"/>
        </w:rPr>
        <w:t>如采用投标人所不拥有的知识产权，则在投标报价中必须包括合法获取该知识产权的相关费用。</w:t>
      </w:r>
    </w:p>
    <w:p>
      <w:pPr>
        <w:pStyle w:val="5"/>
        <w:spacing w:lineRule="exact" w:line="400"/>
        <w:rPr>
          <w:rFonts w:hAnsi="Times New Roman"/>
          <w:sz w:val="22"/>
          <w:szCs w:val="21"/>
        </w:rPr>
      </w:pPr>
      <w:bookmarkStart w:name="_Toc183582217" w:id="100"/>
      <w:bookmarkStart w:name="_Toc183682354" w:id="101"/>
      <w:bookmarkStart w:name="_Toc308164798" w:id="102"/>
      <w:bookmarkStart w:name="_Toc217446048" w:id="103"/>
      <w:r>
        <w:rPr>
          <w:rFonts w:hAnsi="Times New Roman"/>
          <w:sz w:val="22"/>
          <w:szCs w:val="21"/>
        </w:rPr>
        <w:t>14</w:t>
      </w:r>
      <w:r>
        <w:rPr>
          <w:rFonts w:hAnsi="Times New Roman" w:hint="eastAsia"/>
          <w:sz w:val="22"/>
          <w:szCs w:val="21"/>
        </w:rPr>
        <w:t>．投标文件的组成</w:t>
      </w:r>
      <w:bookmarkEnd w:id="100"/>
      <w:bookmarkEnd w:id="101"/>
      <w:bookmarkEnd w:id="102"/>
      <w:bookmarkEnd w:id="103"/>
    </w:p>
    <w:p>
      <w:pPr>
        <w:spacing w:lineRule="exact" w:line="400"/>
        <w:ind w:firstLineChars="200" w:firstLine="440"/>
        <w:rPr>
          <w:rFonts w:hAnsi="Times New Roman" w:ascii="Times New Roman"/>
          <w:sz w:val="22"/>
          <w:szCs w:val="21"/>
        </w:rPr>
      </w:pPr>
      <w:r>
        <w:rPr>
          <w:rFonts w:hAnsi="Times New Roman" w:ascii="Times New Roman" w:hint="eastAsia"/>
          <w:sz w:val="22"/>
          <w:szCs w:val="21"/>
        </w:rPr>
        <w:t>投标人应按照招标文件的规定和要求编制投标文件。投标人编写的投标文件应至少包括下列两部分文件：</w:t>
      </w:r>
    </w:p>
    <w:p>
      <w:pPr>
        <w:spacing w:lineRule="exact" w:line="400"/>
        <w:ind w:firstLineChars="200" w:firstLine="440"/>
        <w:rPr>
          <w:rFonts w:hAnsi="Times New Roman" w:ascii="Times New Roman"/>
          <w:b/>
          <w:sz w:val="22"/>
          <w:szCs w:val="21"/>
        </w:rPr>
      </w:pPr>
      <w:r>
        <w:rPr>
          <w:rFonts w:hAnsi="Times New Roman" w:ascii="Times New Roman" w:hint="eastAsia"/>
          <w:b/>
          <w:sz w:val="22"/>
          <w:szCs w:val="21"/>
        </w:rPr>
        <w:t>文件一：资格性投标文件（用于资格审查）</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严格按照第四章要求提供相关资格、资质性及其他类似效力要求的相关证明材料。</w:t>
      </w:r>
    </w:p>
    <w:p>
      <w:pPr>
        <w:spacing w:lineRule="exact" w:line="400"/>
        <w:ind w:firstLineChars="200" w:firstLine="440"/>
        <w:rPr>
          <w:rFonts w:hAnsi="Times New Roman" w:ascii="Times New Roman"/>
          <w:b/>
          <w:sz w:val="22"/>
          <w:szCs w:val="21"/>
        </w:rPr>
      </w:pPr>
      <w:r>
        <w:rPr>
          <w:rFonts w:hAnsi="Times New Roman" w:ascii="Times New Roman" w:hint="eastAsia"/>
          <w:b/>
          <w:sz w:val="22"/>
          <w:szCs w:val="21"/>
        </w:rPr>
        <w:t>文件二：其它响应性投标文件（用于资格审查以外的评标）</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严格按照招标文件要求提供以下五个方面的相关材料：</w:t>
      </w:r>
    </w:p>
    <w:p>
      <w:pPr>
        <w:spacing w:lineRule="exact" w:line="400"/>
        <w:ind w:firstLineChars="200" w:firstLine="440"/>
        <w:rPr>
          <w:rFonts w:hAnsi="Times New Roman" w:ascii="Times New Roman"/>
          <w:sz w:val="22"/>
          <w:szCs w:val="21"/>
        </w:rPr>
      </w:pPr>
      <w:r>
        <w:rPr>
          <w:rFonts w:hAnsi="Times New Roman" w:ascii="Times New Roman" w:hint="eastAsia"/>
          <w:b/>
          <w:sz w:val="22"/>
          <w:szCs w:val="21"/>
        </w:rPr>
        <w:t>（一）报价部分。</w:t>
      </w:r>
      <w:r>
        <w:rPr>
          <w:rFonts w:hAnsi="Times New Roman" w:ascii="Times New Roman" w:hint="eastAsia"/>
          <w:bCs/>
          <w:sz w:val="22"/>
          <w:szCs w:val="21"/>
        </w:rPr>
        <w:t>投标人</w:t>
      </w:r>
      <w:r>
        <w:rPr>
          <w:rFonts w:hAnsi="Times New Roman" w:ascii="Times New Roman" w:hint="eastAsia"/>
          <w:sz w:val="22"/>
          <w:szCs w:val="21"/>
        </w:rPr>
        <w:t>按照招标文件要求填写的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及</w:t>
      </w:r>
      <w:r>
        <w:rPr>
          <w:rFonts w:hAnsi="Times New Roman" w:ascii="Times New Roman"/>
          <w:sz w:val="22"/>
          <w:szCs w:val="21"/>
        </w:rPr>
        <w:t>“</w:t>
      </w:r>
      <w:r>
        <w:rPr>
          <w:rFonts w:hAnsi="Times New Roman" w:ascii="Times New Roman" w:hint="eastAsia"/>
          <w:sz w:val="22"/>
          <w:szCs w:val="21"/>
        </w:rPr>
        <w:t>报价明细表</w:t>
      </w:r>
      <w:r>
        <w:rPr>
          <w:rFonts w:hAnsi="Times New Roman" w:ascii="Times New Roman"/>
          <w:sz w:val="22"/>
          <w:szCs w:val="21"/>
        </w:rPr>
        <w:t>”</w:t>
      </w:r>
      <w:r>
        <w:rPr>
          <w:rFonts w:hAnsi="Times New Roman" w:ascii="Times New Roman" w:hint="eastAsia"/>
          <w:sz w:val="22"/>
          <w:szCs w:val="21"/>
        </w:rPr>
        <w:t>。本次招标报价要求：</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）投标人的报价是投标人响应招标项目要求的全部工作内容的价格体现，包括投标人完成本项目所需的一切费用（包括设备运输、保险、外贸代理服务费、安装调试、培训、税费、招标文件规定的其它费用）。</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）投标人每种货物只允许有一个报价，并且在合同履行过程中是固定不变的，任何有选择或可调整的报价将不予接受，并按无效投标处理。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(3)如投标产品为进口产品，报价时请在开标一览表的备注栏中注明：“进口产品”；</w:t>
      </w:r>
    </w:p>
    <w:p>
      <w:pPr>
        <w:spacing w:lineRule="exact" w:line="400"/>
        <w:ind w:firstLineChars="200" w:firstLine="440"/>
        <w:rPr>
          <w:rFonts w:hAnsi="Times New Roman" w:ascii="Times New Roman"/>
          <w:b/>
          <w:bCs/>
          <w:sz w:val="22"/>
          <w:szCs w:val="21"/>
        </w:rPr>
      </w:pPr>
      <w:r>
        <w:rPr>
          <w:rFonts w:hAnsi="Times New Roman" w:ascii="Times New Roman" w:hint="eastAsia"/>
          <w:b/>
          <w:sz w:val="22"/>
          <w:szCs w:val="21"/>
        </w:rPr>
        <w:t>（二）技术部分。</w:t>
      </w:r>
      <w:r>
        <w:rPr>
          <w:rFonts w:hAnsi="Times New Roman" w:ascii="Times New Roman" w:hint="eastAsia"/>
          <w:sz w:val="22"/>
          <w:szCs w:val="21"/>
        </w:rPr>
        <w:t>投标人按照招标文件要求做出的技术应答，主要是针对招标项目的技术指标、参数和技术要求做出的实质性响应和满足。投标人的技术应答包括下列内容：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）投标产品的品牌、型号；</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）投标产品技术应答表（应当尽可能提供检测报告、产品彩页、官网截图等材料予以佐证）；</w:t>
      </w:r>
    </w:p>
    <w:p>
      <w:pPr>
        <w:spacing w:lineRule="exact" w:line="400"/>
        <w:ind w:firstLineChars="200" w:firstLine="440"/>
        <w:rPr>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w:t>
      </w:r>
      <w:r>
        <w:rPr>
          <w:rFonts w:hint="eastAsia"/>
          <w:sz w:val="22"/>
          <w:szCs w:val="21"/>
        </w:rPr>
        <w:t>项目实施方案；</w:t>
      </w:r>
    </w:p>
    <w:p>
      <w:pPr>
        <w:spacing w:lineRule="exact" w:line="400"/>
        <w:ind w:firstLineChars="200" w:firstLine="440"/>
        <w:rPr>
          <w:rFonts w:hAnsi="Times New Roman" w:ascii="Times New Roman"/>
          <w:sz w:val="22"/>
          <w:szCs w:val="21"/>
        </w:rPr>
      </w:pPr>
      <w:r>
        <w:rPr>
          <w:rFonts w:hint="eastAsia"/>
          <w:sz w:val="22"/>
          <w:szCs w:val="21"/>
        </w:rPr>
        <w:t>（4）</w:t>
      </w:r>
      <w:r>
        <w:rPr>
          <w:rFonts w:hAnsi="Times New Roman" w:ascii="Times New Roman" w:hint="eastAsia"/>
          <w:sz w:val="22"/>
          <w:szCs w:val="21"/>
        </w:rPr>
        <w:t>产品配置清单（注明品名、数量、价格、规格型号和原产地或生产厂家）</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（5）投标人认为需要提供的文件和资料。</w:t>
      </w:r>
    </w:p>
    <w:p>
      <w:pPr>
        <w:spacing w:lineRule="exact" w:line="400"/>
        <w:ind w:firstLineChars="200" w:firstLine="440"/>
        <w:rPr>
          <w:rFonts w:hAnsi="Times New Roman" w:ascii="Times New Roman"/>
          <w:sz w:val="22"/>
          <w:szCs w:val="21"/>
        </w:rPr>
      </w:pPr>
      <w:r>
        <w:rPr>
          <w:rFonts w:hAnsi="Times New Roman" w:ascii="Times New Roman" w:hint="eastAsia"/>
          <w:b/>
          <w:sz w:val="22"/>
          <w:szCs w:val="21"/>
        </w:rPr>
        <w:t>（三）商务部分。</w:t>
      </w:r>
      <w:r>
        <w:rPr>
          <w:rFonts w:hAnsi="Times New Roman" w:ascii="Times New Roman" w:hint="eastAsia"/>
          <w:sz w:val="22"/>
          <w:szCs w:val="21"/>
        </w:rPr>
        <w:t>投标人按照招标文件要求提供的有关文件及优惠承诺。包括以下内容：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）投标函；</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）投标人承诺给予招标采购单位的各种优惠条件（优惠条件事项不能包括采购项目本身所包括涉及的采购事项。投标人不能以</w:t>
      </w:r>
      <w:r>
        <w:rPr>
          <w:rFonts w:hAnsi="Times New Roman" w:ascii="Times New Roman"/>
          <w:sz w:val="22"/>
          <w:szCs w:val="21"/>
        </w:rPr>
        <w:t>“</w:t>
      </w:r>
      <w:r>
        <w:rPr>
          <w:rFonts w:hAnsi="Times New Roman" w:ascii="Times New Roman" w:hint="eastAsia"/>
          <w:sz w:val="22"/>
          <w:szCs w:val="21"/>
        </w:rPr>
        <w:t>赠送、赠予</w:t>
      </w:r>
      <w:r>
        <w:rPr>
          <w:rFonts w:hAnsi="Times New Roman" w:ascii="Times New Roman"/>
          <w:sz w:val="22"/>
          <w:szCs w:val="21"/>
        </w:rPr>
        <w:t>”</w:t>
      </w:r>
      <w:r>
        <w:rPr>
          <w:rFonts w:hAnsi="Times New Roman" w:ascii="Times New Roman" w:hint="eastAsia"/>
          <w:sz w:val="22"/>
          <w:szCs w:val="21"/>
        </w:rPr>
        <w:t>等任何名义提供货物和服务以规避招标文件的约束。否则，投标人提供的投标文件将作为无效投标处理，即使中标也将取消中标资格）；</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）证明投标人业绩和荣誉的有关材料复印件；</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）商务应答表；</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）其他投标人认为需要提供的文件和资料。</w:t>
      </w:r>
    </w:p>
    <w:p>
      <w:pPr>
        <w:spacing w:lineRule="exact" w:line="400"/>
        <w:ind w:firstLineChars="200" w:firstLine="440"/>
        <w:rPr>
          <w:rFonts w:hAnsi="Times New Roman" w:ascii="Times New Roman"/>
          <w:b/>
          <w:bCs/>
          <w:sz w:val="22"/>
          <w:szCs w:val="21"/>
        </w:rPr>
      </w:pPr>
      <w:r>
        <w:rPr>
          <w:rFonts w:hAnsi="Times New Roman" w:ascii="Times New Roman" w:hint="eastAsia"/>
          <w:b/>
          <w:sz w:val="22"/>
          <w:szCs w:val="21"/>
        </w:rPr>
        <w:t>（四）售后服务。</w:t>
      </w:r>
      <w:r>
        <w:rPr>
          <w:rFonts w:hAnsi="Times New Roman" w:ascii="Times New Roman" w:hint="eastAsia"/>
          <w:sz w:val="22"/>
          <w:szCs w:val="21"/>
        </w:rPr>
        <w:t>投标人按照招标文件中售后服务要求作出的积极响应和承诺。包括以下内容：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）产品制造厂家或投标人设立的售后服务机构网点清单、服务电话和维修人员名单；</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）说明投标产品的保修时间、保修期内的保修内容与范围、维修响应时间等。提供投标人或产品制造厂家的服务承诺和保障措施；</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）培训措施：说明培训内容及培训的时间、地点、目标、培训人数、收费标准和办法；</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）其他有利于用户的服务承诺。</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pPr>
        <w:adjustRightInd w:val="false"/>
        <w:snapToGrid w:val="false"/>
        <w:spacing w:lineRule="exact" w:line="400"/>
        <w:ind w:firstLineChars="200" w:firstLine="440"/>
        <w:rPr>
          <w:rFonts w:hAnsi="Times New Roman" w:ascii="Times New Roman"/>
          <w:sz w:val="22"/>
          <w:szCs w:val="21"/>
        </w:rPr>
      </w:pPr>
      <w:r>
        <w:rPr>
          <w:rFonts w:hAnsi="Times New Roman" w:ascii="Times New Roman" w:hint="eastAsia"/>
          <w:b/>
          <w:bCs/>
          <w:sz w:val="22"/>
          <w:szCs w:val="21"/>
        </w:rPr>
        <w:t>（五）其他部分。</w:t>
      </w:r>
      <w:r>
        <w:rPr>
          <w:rFonts w:hAnsi="Times New Roman" w:ascii="Times New Roman" w:hint="eastAsia"/>
          <w:bCs/>
          <w:sz w:val="22"/>
          <w:szCs w:val="21"/>
        </w:rPr>
        <w:t>投标人按照招标文件要求作出的其他应答和承诺。</w:t>
      </w:r>
    </w:p>
    <w:p>
      <w:pPr>
        <w:pStyle w:val="5"/>
        <w:spacing w:lineRule="exact" w:line="400"/>
        <w:rPr>
          <w:rFonts w:hAnsi="Times New Roman"/>
          <w:sz w:val="22"/>
          <w:szCs w:val="21"/>
        </w:rPr>
      </w:pPr>
      <w:bookmarkStart w:name="_Toc308164799" w:id="104"/>
      <w:bookmarkStart w:name="_Toc217446049" w:id="105"/>
      <w:bookmarkStart w:name="_Toc183682355" w:id="106"/>
      <w:bookmarkStart w:name="_Toc183582218" w:id="107"/>
      <w:r>
        <w:rPr>
          <w:rFonts w:hAnsi="Times New Roman"/>
          <w:sz w:val="22"/>
          <w:szCs w:val="21"/>
        </w:rPr>
        <w:t>15</w:t>
      </w:r>
      <w:r>
        <w:rPr>
          <w:rFonts w:hAnsi="Times New Roman" w:hint="eastAsia"/>
          <w:sz w:val="22"/>
          <w:szCs w:val="21"/>
        </w:rPr>
        <w:t>．投标文件格式</w:t>
      </w:r>
      <w:bookmarkEnd w:id="104"/>
      <w:bookmarkEnd w:id="105"/>
      <w:bookmarkEnd w:id="106"/>
      <w:bookmarkEnd w:id="107"/>
    </w:p>
    <w:p>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15.1 </w:t>
      </w:r>
      <w:r>
        <w:rPr>
          <w:rFonts w:hAnsi="Times New Roman" w:ascii="Times New Roman" w:hint="eastAsia"/>
          <w:sz w:val="22"/>
          <w:szCs w:val="21"/>
        </w:rPr>
        <w:t>投标人应执行招标文件第三章的规定要求。第三章格式中</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的内容，投标人可自行决定是否保留在投标文件中，未保留的视为投标人默认接受</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w:t>
      </w:r>
    </w:p>
    <w:p>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15.2 </w:t>
      </w:r>
      <w:r>
        <w:rPr>
          <w:rFonts w:hAnsi="Times New Roman" w:ascii="Times New Roman" w:hint="eastAsia"/>
          <w:sz w:val="22"/>
          <w:szCs w:val="21"/>
        </w:rPr>
        <w:t>对于没有格式要求的投标文件由投标人自行编写。</w:t>
      </w:r>
    </w:p>
    <w:p>
      <w:pPr>
        <w:pStyle w:val="5"/>
        <w:spacing w:lineRule="exact" w:line="400"/>
        <w:rPr>
          <w:rFonts w:hAnsi="Times New Roman"/>
          <w:sz w:val="22"/>
          <w:szCs w:val="21"/>
        </w:rPr>
      </w:pPr>
      <w:bookmarkStart w:name="_Toc183582223" w:id="108"/>
      <w:bookmarkStart w:name="_Toc183682360" w:id="109"/>
      <w:bookmarkStart w:name="_Toc308164800" w:id="110"/>
      <w:bookmarkStart w:name="_Toc217446050" w:id="111"/>
      <w:r>
        <w:rPr>
          <w:rFonts w:hAnsi="Times New Roman"/>
          <w:sz w:val="22"/>
          <w:szCs w:val="21"/>
        </w:rPr>
        <w:t>16</w:t>
      </w:r>
      <w:r>
        <w:rPr>
          <w:rFonts w:hAnsi="Times New Roman" w:hint="eastAsia"/>
          <w:sz w:val="22"/>
          <w:szCs w:val="21"/>
        </w:rPr>
        <w:t>．投标保证金</w:t>
      </w:r>
      <w:bookmarkEnd w:id="108"/>
      <w:bookmarkEnd w:id="109"/>
      <w:bookmarkEnd w:id="110"/>
      <w:bookmarkEnd w:id="111"/>
      <w:r>
        <w:rPr>
          <w:rFonts w:hAnsi="Times New Roman" w:hint="eastAsia"/>
          <w:sz w:val="22"/>
          <w:szCs w:val="21"/>
        </w:rPr>
        <w:t>（本项目不适用）</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16.1 </w:t>
      </w:r>
      <w:r>
        <w:rPr>
          <w:rFonts w:hAnsi="Times New Roman" w:ascii="Times New Roman" w:hint="eastAsia"/>
          <w:sz w:val="22"/>
          <w:szCs w:val="21"/>
        </w:rPr>
        <w:t>投标人投标时，必须以人民币提交招标文件规定数额的投标保证金，并作为其投标的一部分。</w:t>
      </w:r>
    </w:p>
    <w:p>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16.2</w:t>
      </w:r>
      <w:r>
        <w:rPr>
          <w:rFonts w:hAnsi="Times New Roman" w:ascii="Times New Roman" w:hint="eastAsia"/>
          <w:sz w:val="22"/>
          <w:szCs w:val="21"/>
        </w:rPr>
        <w:t>投标保证金交款方式：详见投标人须知前附表。</w:t>
      </w:r>
    </w:p>
    <w:p>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16.3</w:t>
      </w:r>
      <w:r>
        <w:rPr>
          <w:rFonts w:hAnsi="宋体" w:ascii="Times New Roman" w:hint="eastAsia"/>
          <w:sz w:val="22"/>
          <w:szCs w:val="21"/>
        </w:rPr>
        <w:t>未中标人的投标保证金，将在中标通知书发出后五个工作日内全额退还（非现金方式），中标人的投标保证金在中标人与采购人签订采购合同并按规定递交相关资料后</w:t>
      </w:r>
      <w:r>
        <w:rPr>
          <w:rFonts w:hAnsi="Times New Roman" w:ascii="Times New Roman"/>
          <w:sz w:val="22"/>
          <w:szCs w:val="21"/>
        </w:rPr>
        <w:t>5</w:t>
      </w:r>
      <w:r>
        <w:rPr>
          <w:rFonts w:hAnsi="宋体" w:ascii="Times New Roman" w:hint="eastAsia"/>
          <w:sz w:val="22"/>
          <w:szCs w:val="21"/>
        </w:rPr>
        <w:t>个工作日内退还（非现金方式），退还保证金需要的相关资料请参见第二章保证金退还注意事项</w:t>
      </w:r>
      <w:r>
        <w:rPr>
          <w:rFonts w:hAnsi="Times New Roman" w:ascii="Times New Roman" w:hint="eastAsia"/>
          <w:bCs/>
          <w:sz w:val="22"/>
          <w:szCs w:val="21"/>
        </w:rPr>
        <w:t>（注：</w:t>
      </w:r>
      <w:r>
        <w:rPr>
          <w:rFonts w:hAnsi="Times New Roman" w:ascii="Times New Roman"/>
          <w:bCs/>
          <w:sz w:val="22"/>
          <w:szCs w:val="21"/>
        </w:rPr>
        <w:fldChar w:fldCharType="begin"/>
      </w:r>
      <w:r>
        <w:rPr>
          <w:rFonts w:hAnsi="Times New Roman" w:ascii="Times New Roman"/>
          <w:bCs/>
          <w:sz w:val="22"/>
          <w:szCs w:val="21"/>
        </w:rPr>
        <w:instrText xml:space="preserve"> = 1 \* GB3 \* MERGEFORMAT </w:instrText>
      </w:r>
      <w:r>
        <w:rPr>
          <w:rFonts w:hAnsi="Times New Roman" w:ascii="Times New Roman"/>
          <w:bCs/>
          <w:sz w:val="22"/>
          <w:szCs w:val="21"/>
        </w:rPr>
        <w:fldChar w:fldCharType="separate"/>
      </w:r>
      <w:r>
        <w:rPr>
          <w:rFonts w:cs="宋体" w:hAnsi="宋体" w:hint="eastAsia"/>
          <w:bCs/>
          <w:sz w:val="22"/>
          <w:szCs w:val="21"/>
        </w:rPr>
        <w:t>①</w:t>
      </w:r>
      <w:r>
        <w:rPr>
          <w:rFonts w:hAnsi="Times New Roman" w:ascii="Times New Roman"/>
          <w:bCs/>
          <w:sz w:val="22"/>
          <w:szCs w:val="21"/>
        </w:rPr>
        <w:fldChar w:fldCharType="end"/>
      </w:r>
      <w:r>
        <w:rPr>
          <w:rFonts w:hAnsi="Times New Roman" w:ascii="Times New Roman" w:hint="eastAsia"/>
          <w:bCs/>
          <w:sz w:val="22"/>
          <w:szCs w:val="21"/>
        </w:rPr>
        <w:t>因投标人自身原因造成的保证金延迟退还或者投标人和采购代理机构书面协商可以延迟退还的，采购代理机构不承担相应责任；</w:t>
      </w:r>
      <w:r>
        <w:rPr>
          <w:rFonts w:hAnsi="Times New Roman" w:ascii="Times New Roman"/>
          <w:bCs/>
          <w:sz w:val="22"/>
          <w:szCs w:val="21"/>
        </w:rPr>
        <w:fldChar w:fldCharType="begin"/>
      </w:r>
      <w:r>
        <w:rPr>
          <w:rFonts w:hAnsi="Times New Roman" w:ascii="Times New Roman"/>
          <w:bCs/>
          <w:sz w:val="22"/>
          <w:szCs w:val="21"/>
        </w:rPr>
        <w:instrText xml:space="preserve"> = 2 \* GB3 \* MERGEFORMAT </w:instrText>
      </w:r>
      <w:r>
        <w:rPr>
          <w:rFonts w:hAnsi="Times New Roman" w:ascii="Times New Roman"/>
          <w:bCs/>
          <w:sz w:val="22"/>
          <w:szCs w:val="21"/>
        </w:rPr>
        <w:fldChar w:fldCharType="separate"/>
      </w:r>
      <w:r>
        <w:rPr>
          <w:rFonts w:cs="宋体" w:hAnsi="宋体" w:hint="eastAsia"/>
          <w:bCs/>
          <w:sz w:val="22"/>
          <w:szCs w:val="21"/>
        </w:rPr>
        <w:t>②</w:t>
      </w:r>
      <w:r>
        <w:rPr>
          <w:rFonts w:hAnsi="Times New Roman" w:ascii="Times New Roman"/>
          <w:bCs/>
          <w:sz w:val="22"/>
          <w:szCs w:val="21"/>
        </w:rPr>
        <w:fldChar w:fldCharType="end"/>
      </w:r>
      <w:r>
        <w:rPr>
          <w:rFonts w:hAnsi="Times New Roman" w:ascii="Times New Roman" w:hint="eastAsia"/>
          <w:bCs/>
          <w:sz w:val="22"/>
          <w:szCs w:val="21"/>
        </w:rPr>
        <w:t>供应商因涉嫌违法违规，按照规定应当不予退还保证金的，有关部门处理认定违法违规行为期间不计入退还保证金时限之内。）</w:t>
      </w:r>
      <w:r>
        <w:rPr>
          <w:rFonts w:hAnsi="Times New Roman" w:ascii="Times New Roman" w:hint="eastAsia"/>
          <w:sz w:val="22"/>
          <w:szCs w:val="21"/>
        </w:rPr>
        <w:t>；</w:t>
      </w:r>
    </w:p>
    <w:p>
      <w:pPr>
        <w:spacing w:lineRule="exact" w:line="400"/>
        <w:ind w:firstLineChars="200" w:firstLine="440"/>
        <w:rPr>
          <w:rFonts w:hAnsi="Times New Roman" w:ascii="Times New Roman"/>
          <w:sz w:val="22"/>
          <w:szCs w:val="21"/>
        </w:rPr>
      </w:pPr>
      <w:r>
        <w:rPr>
          <w:rFonts w:hAnsi="Times New Roman" w:ascii="Times New Roman"/>
          <w:sz w:val="22"/>
          <w:szCs w:val="21"/>
        </w:rPr>
        <w:t>16.4</w:t>
      </w:r>
      <w:r>
        <w:rPr>
          <w:rFonts w:hAnsi="Times New Roman" w:ascii="Times New Roman" w:hint="eastAsia"/>
          <w:sz w:val="22"/>
          <w:szCs w:val="21"/>
        </w:rPr>
        <w:t>发生下列情形之一的，采购代理机构可以不予退还投标保证金：</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）在招标文件规定的投标截止时间后撤回投标的；</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）在采购人确定中标人以前放弃中标候选资格的；</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）中标后放弃中标、不领取或者不接收中标通知书的；</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）由于中标人的原因未能按照招标文件的规定与采购人签订合同的；</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）由于中标人的原因未能按照招标文件的规定交纳履约保证金的；</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）投标人提供虚假资料的；</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7</w:t>
      </w:r>
      <w:r>
        <w:rPr>
          <w:rFonts w:hAnsi="Times New Roman" w:ascii="Times New Roman" w:hint="eastAsia"/>
          <w:sz w:val="22"/>
          <w:szCs w:val="21"/>
        </w:rPr>
        <w:t>）投标有效期内，投标人在政府采购活动中有违法、违规、违纪行为。</w:t>
      </w:r>
    </w:p>
    <w:p>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）投标有效期内，投标人撤销投标文件的。</w:t>
      </w:r>
    </w:p>
    <w:p>
      <w:pPr>
        <w:pStyle w:val="5"/>
        <w:spacing w:lineRule="exact" w:line="400"/>
        <w:rPr>
          <w:rFonts w:hAnsi="Times New Roman"/>
          <w:sz w:val="22"/>
          <w:szCs w:val="21"/>
        </w:rPr>
      </w:pPr>
      <w:r>
        <w:rPr>
          <w:rFonts w:hAnsi="Times New Roman"/>
          <w:sz w:val="22"/>
          <w:szCs w:val="21"/>
        </w:rPr>
        <w:t>17</w:t>
      </w:r>
      <w:r>
        <w:rPr>
          <w:rFonts w:hAnsi="Times New Roman" w:hint="eastAsia"/>
          <w:sz w:val="22"/>
          <w:szCs w:val="21"/>
        </w:rPr>
        <w:t>．投标有效期</w:t>
      </w:r>
      <w:bookmarkEnd w:id="89"/>
      <w:bookmarkEnd w:id="90"/>
      <w:bookmarkEnd w:id="91"/>
      <w:bookmarkEnd w:id="92"/>
    </w:p>
    <w:p>
      <w:pPr>
        <w:tabs>
          <w:tab w:pos="7665" w:val="left"/>
        </w:tabs>
        <w:spacing w:lineRule="exact" w:line="400"/>
        <w:ind w:firstLineChars="200" w:firstLine="440" w:leftChars="6" w:left="20"/>
        <w:rPr>
          <w:rFonts w:hAnsi="Times New Roman" w:ascii="Times New Roman"/>
          <w:sz w:val="22"/>
          <w:szCs w:val="21"/>
        </w:rPr>
      </w:pPr>
      <w:bookmarkStart w:name="_Toc217446052" w:id="112"/>
      <w:bookmarkStart w:name="_Toc23833" w:id="113"/>
      <w:bookmarkStart w:name="_Toc183682362" w:id="114"/>
      <w:bookmarkStart w:name="_Toc183582225" w:id="115"/>
      <w:r>
        <w:rPr>
          <w:rFonts w:hAnsi="Times New Roman" w:ascii="Times New Roman"/>
          <w:sz w:val="22"/>
          <w:szCs w:val="21"/>
        </w:rPr>
        <w:t xml:space="preserve">17.1 </w:t>
      </w:r>
      <w:r>
        <w:rPr>
          <w:rFonts w:hAnsi="Times New Roman" w:ascii="Times New Roman" w:hint="eastAsia"/>
          <w:sz w:val="22"/>
          <w:szCs w:val="21"/>
        </w:rPr>
        <w:t>本项目投标有效期为投标截止时间届满后</w:t>
      </w:r>
      <w:r>
        <w:rPr>
          <w:rFonts w:hAnsi="Times New Roman" w:ascii="Times New Roman" w:hint="eastAsia"/>
          <w:b/>
          <w:bCs/>
          <w:sz w:val="22"/>
          <w:szCs w:val="21"/>
        </w:rPr>
        <w:t>90</w:t>
      </w:r>
      <w:r>
        <w:rPr>
          <w:rFonts w:hAnsi="Times New Roman" w:ascii="Times New Roman" w:hint="eastAsia"/>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17.2 </w:t>
      </w:r>
      <w:r>
        <w:rPr>
          <w:rFonts w:hAnsi="Times New Roman" w:ascii="Times New Roman" w:hint="eastAsia"/>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17.3 </w:t>
      </w:r>
      <w:r>
        <w:rPr>
          <w:rFonts w:hAnsi="Times New Roman" w:ascii="Times New Roman" w:hint="eastAsia"/>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Rule="exact" w:line="400"/>
        <w:rPr>
          <w:rFonts w:hAnsi="Times New Roman"/>
          <w:sz w:val="22"/>
          <w:szCs w:val="21"/>
        </w:rPr>
      </w:pPr>
      <w:r>
        <w:rPr>
          <w:rFonts w:hAnsi="Times New Roman"/>
          <w:sz w:val="22"/>
          <w:szCs w:val="21"/>
        </w:rPr>
        <w:t>18</w:t>
      </w:r>
      <w:r>
        <w:rPr>
          <w:rFonts w:hAnsi="Times New Roman" w:hint="eastAsia"/>
          <w:sz w:val="22"/>
          <w:szCs w:val="21"/>
        </w:rPr>
        <w:t>．投标文件的印制和签署</w:t>
      </w:r>
      <w:bookmarkEnd w:id="112"/>
      <w:bookmarkEnd w:id="113"/>
      <w:bookmarkEnd w:id="114"/>
      <w:bookmarkEnd w:id="115"/>
    </w:p>
    <w:p>
      <w:pPr>
        <w:tabs>
          <w:tab w:pos="7665" w:val="left"/>
        </w:tabs>
        <w:spacing w:lineRule="exact" w:line="400"/>
        <w:ind w:firstLineChars="150" w:firstLine="330" w:leftChars="6" w:left="20"/>
        <w:rPr>
          <w:rFonts w:hAnsi="Times New Roman" w:ascii="Times New Roman"/>
          <w:sz w:val="22"/>
          <w:szCs w:val="21"/>
        </w:rPr>
      </w:pPr>
      <w:bookmarkStart w:name="_Toc89075877" w:id="116"/>
      <w:bookmarkStart w:name="_Toc183682363" w:id="117"/>
      <w:bookmarkStart w:name="_Toc77400781" w:id="118"/>
      <w:bookmarkStart w:name="_Toc183582226" w:id="119"/>
      <w:bookmarkStart w:name="_Toc20628" w:id="120"/>
      <w:bookmarkStart w:name="_Toc217446053" w:id="121"/>
      <w:r>
        <w:rPr>
          <w:rFonts w:hAnsi="Times New Roman" w:ascii="Times New Roman"/>
          <w:sz w:val="22"/>
          <w:szCs w:val="21"/>
        </w:rPr>
        <w:t xml:space="preserve">18.1 </w:t>
      </w:r>
      <w:r>
        <w:rPr>
          <w:rFonts w:hAnsi="Times New Roman" w:ascii="Times New Roman" w:hint="eastAsia"/>
          <w:sz w:val="22"/>
          <w:szCs w:val="21"/>
        </w:rPr>
        <w:t>投标文件分为</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18.2 </w:t>
      </w:r>
      <w:r>
        <w:rPr>
          <w:rFonts w:hAnsi="Times New Roman" w:ascii="Times New Roman" w:hint="eastAsia"/>
          <w:sz w:val="22"/>
          <w:szCs w:val="21"/>
        </w:rPr>
        <w:t>投标人应按</w:t>
      </w:r>
      <w:r>
        <w:rPr>
          <w:rFonts w:hAnsi="Times New Roman" w:ascii="Times New Roman"/>
          <w:sz w:val="22"/>
          <w:szCs w:val="21"/>
        </w:rPr>
        <w:t>18.1</w:t>
      </w:r>
      <w:r>
        <w:rPr>
          <w:rFonts w:hAnsi="Times New Roman" w:ascii="Times New Roman" w:hint="eastAsia"/>
          <w:sz w:val="22"/>
          <w:szCs w:val="21"/>
        </w:rPr>
        <w:t>准备两部分投标文件，每部分包含正本壹份、副本</w:t>
      </w:r>
      <w:r>
        <w:rPr>
          <w:rFonts w:hAnsi="Times New Roman" w:ascii="Times New Roman" w:hint="eastAsia"/>
          <w:b/>
          <w:bCs/>
          <w:sz w:val="22"/>
          <w:szCs w:val="21"/>
        </w:rPr>
        <w:t>四</w:t>
      </w:r>
      <w:r>
        <w:rPr>
          <w:rFonts w:hAnsi="Times New Roman" w:ascii="Times New Roman" w:hint="eastAsia"/>
          <w:sz w:val="22"/>
          <w:szCs w:val="21"/>
        </w:rPr>
        <w:t>份和相应的电子文档</w:t>
      </w:r>
      <w:r>
        <w:rPr>
          <w:rFonts w:hAnsi="Times New Roman" w:ascii="Times New Roman"/>
          <w:sz w:val="22"/>
          <w:szCs w:val="21"/>
        </w:rPr>
        <w:t>“U</w:t>
      </w:r>
      <w:r>
        <w:rPr>
          <w:rFonts w:hAnsi="Times New Roman" w:ascii="Times New Roman" w:hint="eastAsia"/>
          <w:sz w:val="22"/>
          <w:szCs w:val="21"/>
        </w:rPr>
        <w:t>盘</w:t>
      </w:r>
      <w:r>
        <w:rPr>
          <w:rFonts w:hAnsi="Times New Roman" w:ascii="Times New Roman"/>
          <w:sz w:val="22"/>
          <w:szCs w:val="21"/>
        </w:rPr>
        <w:t>”</w:t>
      </w:r>
      <w:r>
        <w:rPr>
          <w:rFonts w:hAnsi="Times New Roman" w:ascii="Times New Roman" w:hint="eastAsia"/>
          <w:sz w:val="22"/>
          <w:szCs w:val="21"/>
        </w:rPr>
        <w:t>壹份，以及用于开标唱标单独密封提交的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（壹份）。投标文件的正本和副本应在其封面右上角清楚地标明</w:t>
      </w:r>
      <w:r>
        <w:rPr>
          <w:rFonts w:hAnsi="Times New Roman" w:ascii="Times New Roman"/>
          <w:sz w:val="22"/>
          <w:szCs w:val="21"/>
        </w:rPr>
        <w:t>“</w:t>
      </w:r>
      <w:r>
        <w:rPr>
          <w:rFonts w:hAnsi="Times New Roman" w:ascii="Times New Roman" w:hint="eastAsia"/>
          <w:sz w:val="22"/>
          <w:szCs w:val="21"/>
        </w:rPr>
        <w:t>正本</w:t>
      </w:r>
      <w:r>
        <w:rPr>
          <w:rFonts w:hAnsi="Times New Roman" w:ascii="Times New Roman"/>
          <w:sz w:val="22"/>
          <w:szCs w:val="21"/>
        </w:rPr>
        <w:t>”</w:t>
      </w:r>
      <w:r>
        <w:rPr>
          <w:rFonts w:hAnsi="Times New Roman" w:ascii="Times New Roman" w:hint="eastAsia"/>
          <w:sz w:val="22"/>
          <w:szCs w:val="21"/>
        </w:rPr>
        <w:t>或</w:t>
      </w:r>
      <w:r>
        <w:rPr>
          <w:rFonts w:hAnsi="Times New Roman" w:ascii="Times New Roman"/>
          <w:sz w:val="22"/>
          <w:szCs w:val="21"/>
        </w:rPr>
        <w:t>“</w:t>
      </w:r>
      <w:r>
        <w:rPr>
          <w:rFonts w:hAnsi="Times New Roman" w:ascii="Times New Roman" w:hint="eastAsia"/>
          <w:sz w:val="22"/>
          <w:szCs w:val="21"/>
        </w:rPr>
        <w:t>副本</w:t>
      </w:r>
      <w:r>
        <w:rPr>
          <w:rFonts w:hAnsi="Times New Roman" w:ascii="Times New Roman"/>
          <w:sz w:val="22"/>
          <w:szCs w:val="21"/>
        </w:rPr>
        <w:t>”</w:t>
      </w:r>
      <w:r>
        <w:rPr>
          <w:rFonts w:hAnsi="Times New Roman" w:ascii="Times New Roman" w:hint="eastAsia"/>
          <w:sz w:val="22"/>
          <w:szCs w:val="21"/>
        </w:rPr>
        <w:t>字样。若正本和副本有不一致的内容，以正本书面投标文件为准。</w:t>
      </w:r>
    </w:p>
    <w:p>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18.3 </w:t>
      </w:r>
      <w:r>
        <w:rPr>
          <w:rFonts w:hAnsi="宋体" w:ascii="Times New Roman" w:hint="eastAsia"/>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18.4 </w:t>
      </w:r>
      <w:r>
        <w:rPr>
          <w:rFonts w:hAnsi="宋体" w:ascii="Times New Roman" w:hint="eastAsia"/>
          <w:sz w:val="22"/>
          <w:szCs w:val="21"/>
        </w:rPr>
        <w:t>投标文件正本和副本须装订成册并编码（左侧胶装）。</w:t>
      </w:r>
    </w:p>
    <w:p>
      <w:pPr>
        <w:tabs>
          <w:tab w:pos="7665" w:val="left"/>
        </w:tabs>
        <w:spacing w:lineRule="auto" w:line="276"/>
        <w:ind w:firstLineChars="200" w:firstLine="440"/>
        <w:rPr>
          <w:rFonts w:hAnsi="Times New Roman" w:ascii="Times New Roman"/>
          <w:b/>
          <w:bCs/>
          <w:sz w:val="22"/>
          <w:szCs w:val="21"/>
        </w:rPr>
      </w:pPr>
      <w:r>
        <w:rPr>
          <w:rFonts w:hAnsi="Times New Roman" w:ascii="Times New Roman"/>
          <w:b/>
          <w:bCs/>
          <w:sz w:val="22"/>
          <w:szCs w:val="21"/>
        </w:rPr>
        <w:t xml:space="preserve">18.5 </w:t>
      </w:r>
      <w:r>
        <w:rPr>
          <w:rFonts w:hAnsi="宋体" w:ascii="Times New Roman" w:hint="eastAsia"/>
          <w:b/>
          <w:bCs/>
          <w:sz w:val="22"/>
          <w:szCs w:val="21"/>
        </w:rPr>
        <w:t>投标文件统一用</w:t>
      </w:r>
      <w:r>
        <w:rPr>
          <w:rFonts w:hAnsi="Times New Roman" w:ascii="Times New Roman"/>
          <w:b/>
          <w:bCs/>
          <w:sz w:val="22"/>
          <w:szCs w:val="21"/>
        </w:rPr>
        <w:t>A4</w:t>
      </w:r>
      <w:r>
        <w:rPr>
          <w:rFonts w:hAnsi="宋体" w:ascii="Times New Roman" w:hint="eastAsia"/>
          <w:b/>
          <w:bCs/>
          <w:sz w:val="22"/>
          <w:szCs w:val="21"/>
        </w:rPr>
        <w:t>幅面纸印制，优先采用正反面印制，若投标文件超过200张的，建议分册装订。</w:t>
      </w:r>
    </w:p>
    <w:p>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18.6  </w:t>
      </w:r>
      <w:r>
        <w:rPr>
          <w:rFonts w:hAnsi="宋体" w:ascii="Times New Roman" w:hint="eastAsia"/>
          <w:sz w:val="22"/>
          <w:szCs w:val="21"/>
        </w:rPr>
        <w:t>投标文件须连续、逐页编制页码便于评标小组进行评审。</w:t>
      </w:r>
    </w:p>
    <w:p>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18.7</w:t>
      </w:r>
      <w:r>
        <w:rPr>
          <w:rFonts w:hAnsi="宋体" w:ascii="Times New Roman" w:hint="eastAsia"/>
          <w:sz w:val="22"/>
          <w:szCs w:val="21"/>
        </w:rPr>
        <w:t>投标文件应根据招标文件的要求制作，签署、盖章和内容应完整，如有遗漏，投标人将自行承担其投标文件被视为无效投标文件的风险。</w:t>
      </w:r>
    </w:p>
    <w:p>
      <w:pPr>
        <w:pStyle w:val="5"/>
        <w:spacing w:lineRule="exact" w:line="400"/>
        <w:rPr>
          <w:rFonts w:hAnsi="Times New Roman"/>
          <w:sz w:val="22"/>
          <w:szCs w:val="21"/>
        </w:rPr>
      </w:pPr>
      <w:r>
        <w:rPr>
          <w:rFonts w:hAnsi="Times New Roman"/>
          <w:sz w:val="22"/>
          <w:szCs w:val="21"/>
        </w:rPr>
        <w:t xml:space="preserve">19. </w:t>
      </w:r>
      <w:r>
        <w:rPr>
          <w:rFonts w:hAnsi="Times New Roman" w:hint="eastAsia"/>
          <w:sz w:val="22"/>
          <w:szCs w:val="21"/>
        </w:rPr>
        <w:t>投标文件的密封和标</w:t>
      </w:r>
      <w:bookmarkEnd w:id="116"/>
      <w:bookmarkEnd w:id="117"/>
      <w:bookmarkEnd w:id="118"/>
      <w:bookmarkEnd w:id="119"/>
      <w:r>
        <w:rPr>
          <w:rFonts w:hAnsi="Times New Roman" w:hint="eastAsia"/>
          <w:sz w:val="22"/>
          <w:szCs w:val="21"/>
        </w:rPr>
        <w:t>注</w:t>
      </w:r>
      <w:bookmarkEnd w:id="120"/>
      <w:bookmarkEnd w:id="121"/>
    </w:p>
    <w:p>
      <w:pPr>
        <w:tabs>
          <w:tab w:pos="1080"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19.1 </w:t>
      </w:r>
      <w:r>
        <w:rPr>
          <w:rFonts w:hAnsi="Times New Roman" w:ascii="Times New Roman" w:hint="eastAsia"/>
          <w:sz w:val="22"/>
          <w:szCs w:val="21"/>
        </w:rPr>
        <w:t>投标人应在投标文件正本和所有副本的封面上注明</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其他响应性投标文件、正本</w:t>
      </w:r>
      <w:r>
        <w:rPr>
          <w:rFonts w:hAnsi="Times New Roman" w:ascii="Times New Roman"/>
          <w:sz w:val="22"/>
          <w:szCs w:val="21"/>
        </w:rPr>
        <w:t>/</w:t>
      </w:r>
      <w:r>
        <w:rPr>
          <w:rFonts w:hAnsi="Times New Roman" w:ascii="Times New Roman" w:hint="eastAsia"/>
          <w:sz w:val="22"/>
          <w:szCs w:val="21"/>
        </w:rPr>
        <w:t>副本、投标人名称、招标编号、项目名称及分包号（如有分包）</w:t>
      </w:r>
      <w:r>
        <w:rPr>
          <w:rFonts w:hAnsi="Times New Roman" w:ascii="Times New Roman"/>
          <w:sz w:val="22"/>
          <w:szCs w:val="21"/>
        </w:rPr>
        <w:t>”</w:t>
      </w:r>
      <w:r>
        <w:rPr>
          <w:rFonts w:hAnsi="Times New Roman" w:ascii="Times New Roman" w:hint="eastAsia"/>
          <w:sz w:val="22"/>
          <w:szCs w:val="21"/>
        </w:rPr>
        <w:t>。</w:t>
      </w:r>
    </w:p>
    <w:p>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19.2 </w:t>
      </w:r>
      <w:r>
        <w:rPr>
          <w:rFonts w:hAnsi="Times New Roman" w:ascii="Times New Roman" w:hint="eastAsia"/>
          <w:sz w:val="22"/>
          <w:szCs w:val="21"/>
        </w:rPr>
        <w:t>投标文件包括资格性投标文件正本及副本、其他响应性投标文件正本及副本</w:t>
      </w:r>
      <w:r>
        <w:rPr>
          <w:rFonts w:hAnsi="宋体" w:ascii="Times New Roman" w:hint="eastAsia"/>
          <w:sz w:val="22"/>
          <w:szCs w:val="21"/>
        </w:rPr>
        <w:t>、电子文档</w:t>
      </w:r>
      <w:r>
        <w:rPr>
          <w:rFonts w:hAnsi="Times New Roman" w:ascii="Times New Roman" w:hint="eastAsia"/>
          <w:sz w:val="22"/>
          <w:szCs w:val="21"/>
        </w:rPr>
        <w:t>和用于开标唱标单独提交的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。投标文件应当密封，其中，</w:t>
      </w:r>
      <w:r>
        <w:rPr>
          <w:rFonts w:hAnsi="Times New Roman" w:ascii="Times New Roman"/>
          <w:sz w:val="22"/>
          <w:szCs w:val="21"/>
        </w:rPr>
        <w:t>“</w:t>
      </w:r>
      <w:r>
        <w:rPr>
          <w:rFonts w:hAnsi="Times New Roman" w:ascii="Times New Roman" w:hint="eastAsia"/>
          <w:sz w:val="22"/>
          <w:szCs w:val="21"/>
        </w:rPr>
        <w:t>电子文档</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单独密封。</w:t>
      </w:r>
    </w:p>
    <w:p>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19.3 </w:t>
      </w:r>
      <w:r>
        <w:rPr>
          <w:rFonts w:hAnsi="Times New Roman" w:ascii="Times New Roman" w:hint="eastAsia"/>
          <w:sz w:val="22"/>
          <w:szCs w:val="21"/>
        </w:rPr>
        <w:t>投标文件的密封袋上应当注明资格性投标文件</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电子文档、投标人名称、招标编号、项目名称及分包号（如有分包）。</w:t>
      </w:r>
    </w:p>
    <w:p>
      <w:pPr>
        <w:tabs>
          <w:tab w:pos="7665" w:val="left"/>
        </w:tabs>
        <w:spacing w:lineRule="auto" w:line="276"/>
        <w:ind w:firstLineChars="200" w:firstLine="440"/>
        <w:rPr>
          <w:rFonts w:hAnsi="Times New Roman" w:ascii="Times New Roman"/>
          <w:sz w:val="32"/>
          <w:szCs w:val="21"/>
        </w:rPr>
      </w:pPr>
      <w:r>
        <w:rPr>
          <w:rFonts w:hAnsi="Times New Roman" w:ascii="Times New Roman"/>
          <w:sz w:val="22"/>
          <w:szCs w:val="21"/>
        </w:rPr>
        <w:t xml:space="preserve">19.4 </w:t>
      </w:r>
      <w:r>
        <w:rPr>
          <w:rFonts w:hAnsi="宋体" w:ascii="Times New Roman" w:hint="eastAsia"/>
          <w:sz w:val="22"/>
          <w:szCs w:val="21"/>
        </w:rPr>
        <w:t>所有外层密封袋的封口处应粘贴牢固，并加盖密封章（投标人公章）。</w:t>
      </w:r>
    </w:p>
    <w:p>
      <w:pPr>
        <w:pStyle w:val="5"/>
        <w:spacing w:lineRule="exact" w:line="400"/>
        <w:rPr>
          <w:rFonts w:hAnsi="Times New Roman"/>
          <w:sz w:val="22"/>
          <w:szCs w:val="21"/>
        </w:rPr>
      </w:pPr>
      <w:bookmarkStart w:name="_Toc183582227" w:id="122"/>
      <w:bookmarkStart w:name="_Toc183682364" w:id="123"/>
      <w:bookmarkStart w:name="_Toc217446054" w:id="124"/>
      <w:bookmarkStart w:name="_Toc308164804" w:id="125"/>
      <w:bookmarkStart w:name="_Toc21680" w:id="126"/>
      <w:bookmarkStart w:name="_Toc20112" w:id="127"/>
      <w:bookmarkStart w:name="_Toc4869" w:id="128"/>
      <w:bookmarkStart w:name="_Toc23631" w:id="129"/>
      <w:bookmarkStart w:name="_Toc21425" w:id="130"/>
      <w:bookmarkStart w:name="_Toc25807" w:id="131"/>
      <w:bookmarkStart w:name="_Toc12048" w:id="132"/>
      <w:bookmarkStart w:name="_Toc217446082" w:id="133"/>
      <w:r>
        <w:rPr>
          <w:rFonts w:hAnsi="Times New Roman"/>
          <w:sz w:val="22"/>
          <w:szCs w:val="21"/>
        </w:rPr>
        <w:t>20</w:t>
      </w:r>
      <w:r>
        <w:rPr>
          <w:rFonts w:hAnsi="Times New Roman" w:hint="eastAsia"/>
          <w:sz w:val="22"/>
          <w:szCs w:val="21"/>
        </w:rPr>
        <w:t>．投标文件的</w:t>
      </w:r>
      <w:bookmarkEnd w:id="122"/>
      <w:bookmarkEnd w:id="123"/>
      <w:r>
        <w:rPr>
          <w:rFonts w:hAnsi="Times New Roman" w:hint="eastAsia"/>
          <w:sz w:val="22"/>
          <w:szCs w:val="21"/>
        </w:rPr>
        <w:t>递交</w:t>
      </w:r>
      <w:bookmarkEnd w:id="124"/>
      <w:bookmarkEnd w:id="125"/>
    </w:p>
    <w:p>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20.1 </w:t>
      </w:r>
      <w:r>
        <w:rPr>
          <w:rFonts w:hAnsi="Times New Roman" w:ascii="Times New Roman" w:hint="eastAsia"/>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20.2</w:t>
      </w:r>
      <w:r>
        <w:rPr>
          <w:rFonts w:hAnsi="Times New Roman" w:ascii="Times New Roman" w:hint="eastAsia"/>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20.3</w:t>
      </w:r>
      <w:r>
        <w:rPr>
          <w:rFonts w:hAnsi="Times New Roman" w:ascii="Times New Roman" w:hint="eastAsia"/>
          <w:sz w:val="22"/>
          <w:szCs w:val="21"/>
        </w:rPr>
        <w:t>本次招标不接收邮寄的投标文件。</w:t>
      </w:r>
    </w:p>
    <w:p>
      <w:pPr>
        <w:pStyle w:val="5"/>
        <w:spacing w:lineRule="exact" w:line="400"/>
        <w:rPr>
          <w:rFonts w:hAnsi="Times New Roman"/>
          <w:sz w:val="22"/>
        </w:rPr>
      </w:pPr>
      <w:bookmarkStart w:name="_Toc183682365" w:id="134"/>
      <w:bookmarkStart w:name="_Toc183582228" w:id="135"/>
      <w:bookmarkStart w:name="_Toc217446055" w:id="136"/>
      <w:bookmarkStart w:name="_Toc217446056" w:id="137"/>
      <w:bookmarkStart w:name="_Toc183682368" w:id="138"/>
      <w:bookmarkStart w:name="_Toc77400782" w:id="139"/>
      <w:bookmarkStart w:name="_Toc183582231" w:id="140"/>
      <w:bookmarkStart w:name="_Toc89075878" w:id="141"/>
      <w:bookmarkStart w:name="_Toc308164805" w:id="142"/>
      <w:r>
        <w:rPr>
          <w:rFonts w:hAnsi="Times New Roman"/>
          <w:sz w:val="22"/>
          <w:szCs w:val="21"/>
        </w:rPr>
        <w:t>21</w:t>
      </w:r>
      <w:r>
        <w:rPr>
          <w:rFonts w:hAnsi="Times New Roman" w:hint="eastAsia"/>
          <w:sz w:val="22"/>
          <w:szCs w:val="21"/>
        </w:rPr>
        <w:t>．投标文件的修改和撤</w:t>
      </w:r>
      <w:bookmarkEnd w:id="134"/>
      <w:bookmarkEnd w:id="135"/>
      <w:r>
        <w:rPr>
          <w:rFonts w:hAnsi="Times New Roman" w:hint="eastAsia"/>
          <w:sz w:val="22"/>
          <w:szCs w:val="21"/>
        </w:rPr>
        <w:t>回</w:t>
      </w:r>
      <w:bookmarkEnd w:id="136"/>
    </w:p>
    <w:p>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21.1 </w:t>
      </w:r>
      <w:r>
        <w:rPr>
          <w:rFonts w:hAnsi="Times New Roman" w:ascii="Times New Roman" w:hint="eastAsia"/>
          <w:sz w:val="22"/>
          <w:szCs w:val="21"/>
        </w:rPr>
        <w:t>投标人在递交了投标文件后，可以修改或撤回其投标文件，但必须在规定的投标截止时间前，以书面形式通知采购代理机构。</w:t>
      </w:r>
    </w:p>
    <w:p>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21.2 </w:t>
      </w:r>
      <w:r>
        <w:rPr>
          <w:rFonts w:hAnsi="Times New Roman" w:ascii="Times New Roman" w:hint="eastAsia"/>
          <w:sz w:val="22"/>
          <w:szCs w:val="21"/>
        </w:rPr>
        <w:t>投标人的修改书或撤回通知书，应由其法定代表人或委托代理人签署并盖单位印章。修改书应按投标须知第</w:t>
      </w:r>
      <w:r>
        <w:rPr>
          <w:rFonts w:hAnsi="Times New Roman" w:ascii="Times New Roman"/>
          <w:sz w:val="22"/>
          <w:szCs w:val="21"/>
        </w:rPr>
        <w:t>19</w:t>
      </w:r>
      <w:r>
        <w:rPr>
          <w:rFonts w:hAnsi="Times New Roman" w:ascii="Times New Roman" w:hint="eastAsia"/>
          <w:sz w:val="22"/>
          <w:szCs w:val="21"/>
        </w:rPr>
        <w:t>条规定进行密封和标注，并在密封袋上标注</w:t>
      </w:r>
      <w:r>
        <w:rPr>
          <w:rFonts w:hAnsi="Times New Roman" w:ascii="Times New Roman"/>
          <w:sz w:val="22"/>
          <w:szCs w:val="21"/>
        </w:rPr>
        <w:t>“</w:t>
      </w:r>
      <w:r>
        <w:rPr>
          <w:rFonts w:hAnsi="Times New Roman" w:ascii="Times New Roman" w:hint="eastAsia"/>
          <w:sz w:val="22"/>
          <w:szCs w:val="21"/>
        </w:rPr>
        <w:t>修改</w:t>
      </w:r>
      <w:r>
        <w:rPr>
          <w:rFonts w:hAnsi="Times New Roman" w:ascii="Times New Roman"/>
          <w:sz w:val="22"/>
          <w:szCs w:val="21"/>
        </w:rPr>
        <w:t>”</w:t>
      </w:r>
      <w:r>
        <w:rPr>
          <w:rFonts w:hAnsi="Times New Roman" w:ascii="Times New Roman" w:hint="eastAsia"/>
          <w:sz w:val="22"/>
          <w:szCs w:val="21"/>
        </w:rPr>
        <w:t>字样。</w:t>
      </w:r>
    </w:p>
    <w:p>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21.3 </w:t>
      </w:r>
      <w:r>
        <w:rPr>
          <w:rFonts w:hAnsi="Times New Roman" w:ascii="Times New Roman" w:hint="eastAsia"/>
          <w:sz w:val="22"/>
          <w:szCs w:val="21"/>
        </w:rPr>
        <w:t>在投标截止时间之后，投标人不得对其递交的投标文件做任何修改或撤销投标。</w:t>
      </w:r>
    </w:p>
    <w:p>
      <w:pPr>
        <w:pStyle w:val="4"/>
        <w:spacing w:lineRule="exact" w:line="400"/>
        <w:jc w:val="center"/>
        <w:rPr>
          <w:rFonts w:hAnsi="Times New Roman" w:ascii="Times New Roman"/>
          <w:sz w:val="28"/>
          <w:szCs w:val="22"/>
        </w:rPr>
      </w:pPr>
      <w:r>
        <w:rPr>
          <w:rFonts w:ascii="Times New Roman" w:hint="eastAsia"/>
          <w:sz w:val="28"/>
          <w:szCs w:val="22"/>
        </w:rPr>
        <w:t>五、开标和中标</w:t>
      </w:r>
      <w:bookmarkEnd w:id="137"/>
      <w:bookmarkEnd w:id="138"/>
      <w:bookmarkEnd w:id="139"/>
      <w:bookmarkEnd w:id="140"/>
      <w:bookmarkEnd w:id="141"/>
      <w:bookmarkEnd w:id="142"/>
    </w:p>
    <w:p>
      <w:pPr>
        <w:pStyle w:val="5"/>
        <w:spacing w:lineRule="exact" w:line="400"/>
        <w:rPr>
          <w:rFonts w:hAnsi="Times New Roman"/>
          <w:sz w:val="22"/>
          <w:szCs w:val="21"/>
        </w:rPr>
      </w:pPr>
      <w:bookmarkStart w:name="_Toc183582232" w:id="143"/>
      <w:bookmarkStart w:name="_Toc183682369" w:id="144"/>
      <w:bookmarkStart w:name="_Toc308164806" w:id="145"/>
      <w:bookmarkStart w:name="_Toc217446057" w:id="146"/>
      <w:r>
        <w:rPr>
          <w:rFonts w:hAnsi="Times New Roman"/>
          <w:sz w:val="22"/>
          <w:szCs w:val="21"/>
        </w:rPr>
        <w:t>22</w:t>
      </w:r>
      <w:r>
        <w:rPr>
          <w:rFonts w:hAnsi="Times New Roman" w:hint="eastAsia"/>
          <w:sz w:val="22"/>
          <w:szCs w:val="21"/>
        </w:rPr>
        <w:t>．开标</w:t>
      </w:r>
      <w:bookmarkEnd w:id="143"/>
      <w:bookmarkEnd w:id="144"/>
      <w:bookmarkEnd w:id="145"/>
      <w:bookmarkEnd w:id="146"/>
    </w:p>
    <w:p>
      <w:pPr>
        <w:spacing w:lineRule="exact" w:line="400" w:before="120"/>
        <w:ind w:firstLineChars="200" w:firstLine="440"/>
        <w:rPr>
          <w:rFonts w:hAnsi="Times New Roman" w:ascii="Times New Roman"/>
          <w:sz w:val="22"/>
          <w:szCs w:val="21"/>
        </w:rPr>
      </w:pPr>
      <w:r>
        <w:rPr>
          <w:rFonts w:hAnsi="Times New Roman" w:ascii="Times New Roman"/>
          <w:sz w:val="22"/>
          <w:szCs w:val="21"/>
        </w:rPr>
        <w:t xml:space="preserve">22.1 </w:t>
      </w:r>
      <w:r>
        <w:rPr>
          <w:rFonts w:hAnsi="Times New Roman" w:ascii="Times New Roman" w:hint="eastAsia"/>
          <w:sz w:val="22"/>
          <w:szCs w:val="21"/>
        </w:rPr>
        <w:t>开标在招标文件规定的时间和地点公开进行，采购人、投标人应派代表参加并签到以证明其出席。开标由采购代理机构主持，邀请投标人参加。评标委员会成员不参加开标活动。</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22.2 </w:t>
      </w:r>
      <w:r>
        <w:rPr>
          <w:rFonts w:hAnsi="Times New Roman" w:ascii="Times New Roman" w:hint="eastAsia"/>
          <w:sz w:val="22"/>
          <w:szCs w:val="21"/>
        </w:rPr>
        <w:t>开标时，可根据具体情况邀请有关监督管理部门对开标活动进行现场监督。</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22.3 </w:t>
      </w:r>
      <w:r>
        <w:rPr>
          <w:rFonts w:hAnsi="Times New Roman" w:ascii="Times New Roman" w:hint="eastAsia"/>
          <w:sz w:val="22"/>
          <w:szCs w:val="21"/>
        </w:rPr>
        <w:t>开标时，由投标人或者其推选的代表检查其自己递交的投标文件的密封情况，经确认无误后，由招标工作人员将投标人单独递交的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当众拆封，并由唱标人员按照招标文件规定的内容进行宣读。</w:t>
      </w:r>
    </w:p>
    <w:p>
      <w:pPr>
        <w:spacing w:lineRule="exact" w:line="400"/>
        <w:ind w:firstLineChars="200" w:firstLine="440"/>
        <w:rPr>
          <w:rFonts w:hAnsi="Times New Roman" w:ascii="Times New Roman"/>
          <w:sz w:val="22"/>
          <w:szCs w:val="21"/>
        </w:rPr>
      </w:pPr>
      <w:r>
        <w:rPr>
          <w:rFonts w:hAnsi="Times New Roman" w:ascii="Times New Roman"/>
          <w:sz w:val="22"/>
          <w:szCs w:val="21"/>
        </w:rPr>
        <w:t>22.4</w:t>
      </w:r>
      <w:r>
        <w:rPr>
          <w:rFonts w:hAnsi="Times New Roman" w:ascii="Times New Roman" w:hint="eastAsia"/>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hAnsi="Times New Roman" w:ascii="Times New Roman"/>
          <w:sz w:val="22"/>
          <w:szCs w:val="21"/>
        </w:rPr>
        <w:t>.</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22.5 </w:t>
      </w:r>
      <w:r>
        <w:rPr>
          <w:rFonts w:hAnsi="Times New Roman" w:ascii="Times New Roman" w:hint="eastAsia"/>
          <w:sz w:val="22"/>
          <w:szCs w:val="21"/>
        </w:rPr>
        <w:t>投标文件中相关内容与</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不一致的，以</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为准。对不同文字文本投标文件的解释发生异议的，以中文文本为准。</w:t>
      </w:r>
    </w:p>
    <w:p>
      <w:pPr>
        <w:spacing w:lineRule="exact" w:line="400"/>
        <w:ind w:firstLineChars="200" w:firstLine="440"/>
        <w:rPr>
          <w:rFonts w:hAnsi="Times New Roman" w:ascii="Times New Roman"/>
          <w:sz w:val="22"/>
          <w:szCs w:val="21"/>
        </w:rPr>
      </w:pPr>
      <w:r>
        <w:rPr>
          <w:rFonts w:hAnsi="Times New Roman" w:ascii="Times New Roman"/>
          <w:sz w:val="22"/>
          <w:szCs w:val="21"/>
        </w:rPr>
        <w:t>22.6</w:t>
      </w:r>
      <w:r>
        <w:rPr>
          <w:rFonts w:hAnsi="Times New Roman" w:ascii="Times New Roman" w:hint="eastAsia"/>
          <w:sz w:val="22"/>
          <w:szCs w:val="21"/>
        </w:rPr>
        <w:t>所有投标唱标完毕，如投标人代表对宣读的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上的内容有异议的，应在获得开标会主持人同意后当场提出。</w:t>
      </w:r>
    </w:p>
    <w:p>
      <w:pPr>
        <w:spacing w:lineRule="exact" w:line="400"/>
        <w:ind w:firstLineChars="200" w:firstLine="440"/>
        <w:rPr>
          <w:rFonts w:hAnsi="Times New Roman" w:ascii="Times New Roman"/>
          <w:sz w:val="22"/>
          <w:szCs w:val="21"/>
        </w:rPr>
      </w:pPr>
      <w:r>
        <w:rPr>
          <w:rFonts w:hAnsi="Times New Roman" w:ascii="Times New Roman"/>
          <w:sz w:val="22"/>
          <w:szCs w:val="21"/>
        </w:rPr>
        <w:t>22.7</w:t>
      </w:r>
      <w:r>
        <w:rPr>
          <w:rFonts w:hAnsi="Times New Roman" w:ascii="Times New Roman" w:hint="eastAsia"/>
          <w:sz w:val="22"/>
          <w:szCs w:val="21"/>
        </w:rPr>
        <w:t>投标人未参加开标的，视同认可开标结果。</w:t>
      </w:r>
    </w:p>
    <w:p>
      <w:pPr>
        <w:pStyle w:val="5"/>
        <w:spacing w:lineRule="exact" w:line="400"/>
        <w:rPr>
          <w:rFonts w:hAnsi="Times New Roman"/>
          <w:sz w:val="22"/>
          <w:szCs w:val="21"/>
        </w:rPr>
      </w:pPr>
      <w:bookmarkStart w:name="_Toc217446058" w:id="147"/>
      <w:bookmarkStart w:name="_Toc308164807" w:id="148"/>
      <w:r>
        <w:rPr>
          <w:rFonts w:hAnsi="Times New Roman"/>
          <w:sz w:val="22"/>
          <w:szCs w:val="21"/>
        </w:rPr>
        <w:t xml:space="preserve">23. </w:t>
      </w:r>
      <w:r>
        <w:rPr>
          <w:rFonts w:hAnsi="Times New Roman" w:hint="eastAsia"/>
          <w:sz w:val="22"/>
          <w:szCs w:val="21"/>
        </w:rPr>
        <w:t>开标程序</w:t>
      </w:r>
      <w:bookmarkEnd w:id="147"/>
      <w:bookmarkEnd w:id="148"/>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23.1 </w:t>
      </w:r>
      <w:r>
        <w:rPr>
          <w:rFonts w:hAnsi="Times New Roman" w:ascii="Times New Roman" w:hint="eastAsia"/>
          <w:sz w:val="22"/>
          <w:szCs w:val="21"/>
        </w:rPr>
        <w:t>开标会主持人按照招标文件规定的开标时间宣布开标，按照规定要求主持开标会。开标将按以下程序进行：</w:t>
      </w:r>
    </w:p>
    <w:p>
      <w:pPr>
        <w:numPr>
          <w:ilvl w:val="0"/>
          <w:numId w:val="1"/>
        </w:numPr>
        <w:spacing w:lineRule="exact" w:line="400"/>
        <w:ind w:firstLineChars="200" w:firstLine="440"/>
        <w:rPr>
          <w:rFonts w:hAnsi="Times New Roman" w:ascii="Times New Roman"/>
          <w:sz w:val="22"/>
          <w:szCs w:val="21"/>
        </w:rPr>
      </w:pPr>
      <w:r>
        <w:rPr>
          <w:rFonts w:hAnsi="Times New Roman" w:ascii="Times New Roman" w:hint="eastAsia"/>
          <w:sz w:val="22"/>
          <w:szCs w:val="21"/>
        </w:rPr>
        <w:t>宣布开标会开始。当众宣布参加开标会主持人、唱标人、会议记录人以及根据情况邀请的现场监督人等工作人员</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）根据投标人或者其推选的代表对投标文件密封的检查结果，当众宣布投标文件的密封情况。</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pPr>
        <w:pStyle w:val="5"/>
        <w:spacing w:lineRule="exact" w:line="400"/>
        <w:rPr>
          <w:rFonts w:hAnsi="Times New Roman"/>
          <w:sz w:val="22"/>
          <w:szCs w:val="21"/>
        </w:rPr>
      </w:pPr>
      <w:bookmarkStart w:name="_Toc183582238" w:id="149"/>
      <w:bookmarkStart w:name="_Toc183682375" w:id="150"/>
      <w:bookmarkStart w:name="_Toc217446063" w:id="151"/>
      <w:bookmarkStart w:name="_Toc308164809" w:id="152"/>
      <w:r>
        <w:rPr>
          <w:rFonts w:hAnsi="Times New Roman"/>
          <w:sz w:val="22"/>
          <w:szCs w:val="21"/>
        </w:rPr>
        <w:t>24</w:t>
      </w:r>
      <w:r>
        <w:rPr>
          <w:rFonts w:hAnsi="Times New Roman" w:hint="eastAsia"/>
          <w:sz w:val="22"/>
          <w:szCs w:val="21"/>
        </w:rPr>
        <w:t>．开评标过程存档</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开标和评标过程进行全过程电子监控，并将电子监控资料存储介质留存归档。</w:t>
      </w:r>
    </w:p>
    <w:p>
      <w:pPr>
        <w:pStyle w:val="5"/>
        <w:spacing w:lineRule="exact" w:line="400"/>
        <w:rPr>
          <w:rFonts w:hAnsi="Times New Roman"/>
          <w:sz w:val="22"/>
          <w:szCs w:val="21"/>
        </w:rPr>
      </w:pPr>
      <w:r>
        <w:rPr>
          <w:rFonts w:hAnsi="Times New Roman"/>
          <w:sz w:val="22"/>
          <w:szCs w:val="21"/>
        </w:rPr>
        <w:t>25.</w:t>
      </w:r>
      <w:r>
        <w:rPr>
          <w:rFonts w:hAnsi="Times New Roman" w:hint="eastAsia"/>
          <w:sz w:val="22"/>
          <w:szCs w:val="21"/>
        </w:rPr>
        <w:t>中标通知</w:t>
      </w:r>
      <w:bookmarkEnd w:id="149"/>
      <w:bookmarkEnd w:id="150"/>
      <w:r>
        <w:rPr>
          <w:rFonts w:hAnsi="Times New Roman" w:hint="eastAsia"/>
          <w:sz w:val="22"/>
          <w:szCs w:val="21"/>
        </w:rPr>
        <w:t>书</w:t>
      </w:r>
      <w:bookmarkEnd w:id="151"/>
      <w:bookmarkEnd w:id="152"/>
    </w:p>
    <w:p>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25</w:t>
      </w:r>
      <w:r>
        <w:rPr>
          <w:rFonts w:hAnsi="Times New Roman" w:ascii="Times New Roman"/>
          <w:bCs/>
          <w:sz w:val="22"/>
          <w:szCs w:val="21"/>
        </w:rPr>
        <w:t>.</w:t>
      </w:r>
      <w:r>
        <w:rPr>
          <w:rFonts w:hAnsi="Times New Roman" w:ascii="Times New Roman"/>
          <w:sz w:val="22"/>
          <w:szCs w:val="21"/>
        </w:rPr>
        <w:t xml:space="preserve">1 </w:t>
      </w:r>
      <w:r>
        <w:rPr>
          <w:rFonts w:hAnsi="Times New Roman" w:ascii="Times New Roman" w:hint="eastAsia"/>
          <w:sz w:val="22"/>
          <w:szCs w:val="21"/>
        </w:rPr>
        <w:t>中标通知书为签订政府采购合同的依据之一，是合同的有效组成部分。</w:t>
      </w:r>
    </w:p>
    <w:p>
      <w:pPr>
        <w:tabs>
          <w:tab w:pos="7665" w:val="left"/>
        </w:tabs>
        <w:spacing w:lineRule="exact" w:line="400"/>
        <w:ind w:firstLine="480"/>
        <w:rPr>
          <w:rFonts w:hAnsi="Times New Roman" w:ascii="Times New Roman"/>
          <w:sz w:val="22"/>
          <w:szCs w:val="21"/>
        </w:rPr>
      </w:pPr>
      <w:r>
        <w:rPr>
          <w:rFonts w:hAnsi="Times New Roman" w:ascii="Times New Roman"/>
          <w:sz w:val="22"/>
          <w:szCs w:val="21"/>
        </w:rPr>
        <w:t xml:space="preserve">25.2 </w:t>
      </w:r>
      <w:r>
        <w:rPr>
          <w:rFonts w:hAnsi="Times New Roman" w:ascii="Times New Roman" w:hint="eastAsia"/>
          <w:sz w:val="22"/>
          <w:szCs w:val="21"/>
        </w:rPr>
        <w:t>中标通知书对采购人和中标人均具有法律效力。中标通知书发出后，采购人改变中标结果，或者中标人无正当理由放弃中标的，应当承担相应的法律责任。</w:t>
      </w:r>
    </w:p>
    <w:p>
      <w:pPr>
        <w:tabs>
          <w:tab w:pos="7665" w:val="left"/>
        </w:tabs>
        <w:spacing w:lineRule="exact" w:line="400"/>
        <w:ind w:firstLine="480"/>
        <w:rPr>
          <w:rFonts w:hAnsi="Times New Roman" w:ascii="Times New Roman"/>
          <w:sz w:val="22"/>
          <w:szCs w:val="21"/>
        </w:rPr>
      </w:pPr>
      <w:r>
        <w:rPr>
          <w:rFonts w:hAnsi="Times New Roman" w:ascii="Times New Roman"/>
          <w:sz w:val="22"/>
          <w:szCs w:val="21"/>
        </w:rPr>
        <w:t>25</w:t>
      </w: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pos="7665" w:val="left"/>
        </w:tabs>
        <w:spacing w:lineRule="exact" w:line="400"/>
        <w:ind w:firstLine="480"/>
        <w:rPr>
          <w:rFonts w:hAnsi="Times New Roman" w:ascii="Times New Roman"/>
          <w:sz w:val="22"/>
          <w:szCs w:val="21"/>
        </w:rPr>
      </w:pPr>
      <w:r>
        <w:rPr>
          <w:rFonts w:hAnsi="Times New Roman" w:ascii="Times New Roman"/>
          <w:sz w:val="22"/>
          <w:szCs w:val="21"/>
        </w:rPr>
        <w:t>25.4</w:t>
      </w:r>
      <w:r>
        <w:rPr>
          <w:rFonts w:hAnsi="Times New Roman" w:ascii="Times New Roman" w:hint="eastAsia"/>
          <w:sz w:val="22"/>
          <w:szCs w:val="21"/>
        </w:rPr>
        <w:t>中标公告发出后，中标供应商自行领取中标通知书的，可凭有效身份证明证件到采购代理机构办理。</w:t>
      </w:r>
    </w:p>
    <w:p>
      <w:pPr>
        <w:pStyle w:val="4"/>
        <w:spacing w:lineRule="exact" w:line="400"/>
        <w:jc w:val="center"/>
        <w:rPr>
          <w:rFonts w:hAnsi="Times New Roman" w:ascii="Times New Roman"/>
          <w:sz w:val="28"/>
        </w:rPr>
      </w:pPr>
      <w:bookmarkStart w:name="_Toc308164810" w:id="153"/>
      <w:bookmarkStart w:name="_Toc217446064" w:id="154"/>
      <w:bookmarkStart w:name="_Toc183682377" w:id="155"/>
      <w:bookmarkStart w:name="_Toc183582240" w:id="156"/>
      <w:r>
        <w:rPr>
          <w:rFonts w:hAnsi="Times New Roman" w:ascii="Times New Roman" w:hint="eastAsia"/>
          <w:sz w:val="28"/>
        </w:rPr>
        <w:t>六、签订及履行合同和验收</w:t>
      </w:r>
      <w:bookmarkEnd w:id="153"/>
      <w:bookmarkEnd w:id="154"/>
    </w:p>
    <w:p>
      <w:pPr>
        <w:pStyle w:val="5"/>
        <w:spacing w:lineRule="exact" w:line="400"/>
        <w:rPr>
          <w:rFonts w:hAnsi="Times New Roman"/>
          <w:sz w:val="22"/>
          <w:szCs w:val="21"/>
        </w:rPr>
      </w:pPr>
      <w:bookmarkStart w:name="_Toc308164811" w:id="157"/>
      <w:bookmarkStart w:name="_Toc217446065" w:id="158"/>
      <w:r>
        <w:rPr>
          <w:rFonts w:hAnsi="Times New Roman"/>
          <w:sz w:val="22"/>
          <w:szCs w:val="21"/>
        </w:rPr>
        <w:t xml:space="preserve">26. </w:t>
      </w:r>
      <w:r>
        <w:rPr>
          <w:rFonts w:hAnsi="Times New Roman" w:hint="eastAsia"/>
          <w:sz w:val="22"/>
          <w:szCs w:val="21"/>
        </w:rPr>
        <w:t>签订合同</w:t>
      </w:r>
      <w:bookmarkEnd w:id="157"/>
      <w:bookmarkEnd w:id="158"/>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26.1 </w:t>
      </w:r>
      <w:r>
        <w:rPr>
          <w:rFonts w:hAnsi="Times New Roman" w:ascii="Times New Roman" w:hint="eastAsia"/>
          <w:sz w:val="22"/>
          <w:szCs w:val="21"/>
        </w:rPr>
        <w:t>中标人应在中标通知书发出之日起三十日内与采购人签订采购合同。由于中标人的原因逾期未与采购人签订采购合同的，将视为放弃中标，取消其中标资格并将按相关规定进行处理。</w:t>
      </w:r>
    </w:p>
    <w:p>
      <w:pPr>
        <w:spacing w:lineRule="exact" w:line="400"/>
        <w:ind w:firstLineChars="175" w:firstLine="385"/>
        <w:rPr>
          <w:rFonts w:hAnsi="Times New Roman" w:ascii="Times New Roman"/>
          <w:sz w:val="22"/>
          <w:szCs w:val="21"/>
        </w:rPr>
      </w:pPr>
      <w:r>
        <w:rPr>
          <w:rFonts w:hAnsi="Times New Roman" w:ascii="Times New Roman"/>
          <w:sz w:val="22"/>
          <w:szCs w:val="21"/>
        </w:rPr>
        <w:t xml:space="preserve">26.2 </w:t>
      </w:r>
      <w:r>
        <w:rPr>
          <w:rFonts w:hAnsi="Times New Roman" w:ascii="Times New Roman" w:hint="eastAsia"/>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Rule="exact" w:line="400"/>
        <w:ind w:firstLineChars="175" w:firstLine="385"/>
        <w:rPr>
          <w:rFonts w:hAnsi="Times New Roman" w:ascii="Times New Roman"/>
          <w:sz w:val="22"/>
          <w:szCs w:val="21"/>
        </w:rPr>
      </w:pPr>
      <w:r>
        <w:rPr>
          <w:rFonts w:hAnsi="Times New Roman" w:ascii="Times New Roman"/>
          <w:sz w:val="22"/>
          <w:szCs w:val="21"/>
        </w:rPr>
        <w:t xml:space="preserve">26.3 </w:t>
      </w:r>
      <w:r>
        <w:rPr>
          <w:rFonts w:hAnsi="Times New Roman" w:ascii="Times New Roman" w:hint="eastAsia"/>
          <w:sz w:val="22"/>
          <w:szCs w:val="21"/>
        </w:rPr>
        <w:t>中标人拒绝与采购人签订合同的，采购人可以按照评审报告推荐的中标候选人名单排序，确定下一候选人为中标供应商，也可以重新开展政府采购活动。</w:t>
      </w:r>
    </w:p>
    <w:p>
      <w:pPr>
        <w:spacing w:lineRule="exact" w:line="400"/>
        <w:ind w:firstLineChars="175" w:firstLine="385"/>
        <w:rPr>
          <w:rFonts w:hAnsi="Times New Roman" w:ascii="Times New Roman"/>
          <w:sz w:val="22"/>
          <w:szCs w:val="21"/>
        </w:rPr>
      </w:pPr>
      <w:r>
        <w:rPr>
          <w:rFonts w:hAnsi="Times New Roman" w:ascii="Times New Roman"/>
          <w:sz w:val="22"/>
          <w:szCs w:val="21"/>
        </w:rPr>
        <w:t xml:space="preserve">26.4 </w:t>
      </w:r>
      <w:r>
        <w:rPr>
          <w:rFonts w:hAnsi="Times New Roman" w:ascii="Times New Roman" w:hint="eastAsia"/>
          <w:sz w:val="22"/>
          <w:szCs w:val="21"/>
        </w:rPr>
        <w:t>中标人在合同签订之后三个工作日内，将签订的合同（一式壹份）送采购代理机构。中标人应及时到采购代理机构办理。</w:t>
      </w:r>
    </w:p>
    <w:p>
      <w:pPr>
        <w:pStyle w:val="5"/>
        <w:spacing w:lineRule="exact" w:line="400"/>
        <w:rPr>
          <w:rFonts w:hAnsi="Times New Roman"/>
          <w:sz w:val="22"/>
          <w:szCs w:val="21"/>
        </w:rPr>
      </w:pPr>
      <w:r>
        <w:rPr>
          <w:rFonts w:hAnsi="Times New Roman"/>
          <w:sz w:val="22"/>
          <w:szCs w:val="21"/>
        </w:rPr>
        <w:t xml:space="preserve">27. </w:t>
      </w:r>
      <w:r>
        <w:rPr>
          <w:rFonts w:hAnsi="Times New Roman" w:hint="eastAsia"/>
          <w:sz w:val="22"/>
          <w:szCs w:val="21"/>
        </w:rPr>
        <w:t>合同分包（本项目不适用）</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27.1 </w:t>
      </w:r>
      <w:r>
        <w:rPr>
          <w:rFonts w:hAnsi="Times New Roman" w:ascii="Times New Roman" w:hint="eastAsia"/>
          <w:sz w:val="22"/>
          <w:szCs w:val="21"/>
        </w:rPr>
        <w:t>经采购人同意，中标人可以依法采取分包方式履行合同。这种要求应当在合同签订之前征得采购人同意，并且分包供应商履行的分包项目的品牌、规格型号及技术要求等，必须与中标的一致。</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27.2 </w:t>
      </w:r>
      <w:r>
        <w:rPr>
          <w:rFonts w:hAnsi="Times New Roman" w:ascii="Times New Roman" w:hint="eastAsia"/>
          <w:sz w:val="22"/>
          <w:szCs w:val="21"/>
        </w:rPr>
        <w:t>采购合同实行分包履行的，中标人就采购项目和分包项目向采购人负责，分包供应商就分包项目承担责任。</w:t>
      </w:r>
    </w:p>
    <w:p>
      <w:pPr>
        <w:spacing w:lineRule="exact" w:line="400"/>
        <w:ind w:firstLineChars="225" w:firstLine="495"/>
        <w:rPr>
          <w:rFonts w:hAnsi="Times New Roman" w:ascii="Times New Roman"/>
          <w:sz w:val="22"/>
          <w:szCs w:val="21"/>
        </w:rPr>
      </w:pPr>
      <w:r>
        <w:rPr>
          <w:rFonts w:hAnsi="Times New Roman" w:ascii="Times New Roman"/>
          <w:sz w:val="22"/>
          <w:szCs w:val="21"/>
        </w:rPr>
        <w:t xml:space="preserve">27.3 </w:t>
      </w:r>
      <w:r>
        <w:rPr>
          <w:rFonts w:hAnsi="Times New Roman" w:ascii="Times New Roman" w:hint="eastAsia"/>
          <w:sz w:val="22"/>
          <w:szCs w:val="21"/>
        </w:rPr>
        <w:t>中小企业依据</w:t>
      </w:r>
      <w:r>
        <w:rPr>
          <w:rFonts w:hint="eastAsia"/>
          <w:sz w:val="22"/>
        </w:rPr>
        <w:t xml:space="preserve">《政府采购促进中小企业发展管理办法》（财库〔2020〕46号） </w:t>
      </w:r>
      <w:r>
        <w:rPr>
          <w:rFonts w:hAnsi="Times New Roman" w:ascii="Times New Roman" w:hint="eastAsia"/>
          <w:sz w:val="22"/>
          <w:szCs w:val="21"/>
        </w:rPr>
        <w:t>规定的政策获取政府采购合同后，小型、微型企业不得分包或转包给大型、中型企业，中型企业不得分包或转包给大型企业。</w:t>
      </w:r>
    </w:p>
    <w:p>
      <w:pPr>
        <w:pStyle w:val="5"/>
        <w:spacing w:lineRule="exact" w:line="400"/>
        <w:rPr>
          <w:rFonts w:hAnsi="Times New Roman"/>
          <w:sz w:val="22"/>
          <w:szCs w:val="21"/>
        </w:rPr>
      </w:pPr>
      <w:r>
        <w:rPr>
          <w:rFonts w:hAnsi="Times New Roman"/>
          <w:sz w:val="22"/>
          <w:szCs w:val="21"/>
        </w:rPr>
        <w:t>28.</w:t>
      </w:r>
      <w:r>
        <w:rPr>
          <w:rFonts w:hAnsi="Times New Roman" w:hint="eastAsia"/>
          <w:sz w:val="22"/>
          <w:szCs w:val="21"/>
        </w:rPr>
        <w:t>合同转包（本项目不适用）</w:t>
      </w:r>
    </w:p>
    <w:p>
      <w:pPr>
        <w:spacing w:lineRule="exact" w:line="400"/>
        <w:ind w:firstLineChars="225" w:firstLine="495"/>
        <w:rPr>
          <w:rFonts w:hAnsi="Times New Roman" w:ascii="Times New Roman"/>
          <w:sz w:val="22"/>
          <w:szCs w:val="21"/>
        </w:rPr>
      </w:pPr>
      <w:r>
        <w:rPr>
          <w:rFonts w:hAnsi="Times New Roman" w:ascii="Times New Roman" w:hint="eastAsia"/>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Rule="exact" w:line="400"/>
        <w:ind w:firstLineChars="225" w:firstLine="495"/>
        <w:rPr>
          <w:rFonts w:hAnsi="Times New Roman" w:ascii="Times New Roman"/>
          <w:sz w:val="22"/>
          <w:szCs w:val="21"/>
        </w:rPr>
      </w:pPr>
      <w:r>
        <w:rPr>
          <w:rFonts w:hAnsi="Times New Roman" w:ascii="Times New Roman" w:hint="eastAsia"/>
          <w:sz w:val="22"/>
          <w:szCs w:val="21"/>
        </w:rPr>
        <w:t>中标人转包的，视同拒绝履行政府采购合同义务，将依法追究法律责任。</w:t>
      </w:r>
    </w:p>
    <w:p>
      <w:pPr>
        <w:pStyle w:val="5"/>
        <w:spacing w:lineRule="exact" w:line="400"/>
        <w:rPr>
          <w:rFonts w:hAnsi="Times New Roman"/>
          <w:sz w:val="22"/>
          <w:szCs w:val="21"/>
        </w:rPr>
      </w:pPr>
      <w:bookmarkStart w:name="_Toc217446066" w:id="159"/>
      <w:r>
        <w:rPr>
          <w:rFonts w:hAnsi="Times New Roman"/>
          <w:sz w:val="22"/>
          <w:szCs w:val="21"/>
        </w:rPr>
        <w:t>29.</w:t>
      </w:r>
      <w:bookmarkEnd w:id="159"/>
      <w:r>
        <w:rPr>
          <w:rFonts w:hAnsi="Times New Roman" w:hint="eastAsia"/>
          <w:sz w:val="22"/>
          <w:szCs w:val="21"/>
        </w:rPr>
        <w:t>补充合同</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Rule="exact" w:line="400"/>
        <w:rPr>
          <w:rFonts w:hAnsi="Times New Roman"/>
          <w:sz w:val="22"/>
          <w:szCs w:val="21"/>
        </w:rPr>
      </w:pPr>
      <w:bookmarkStart w:name="_Toc217446068" w:id="160"/>
      <w:bookmarkStart w:name="_Toc308164812" w:id="161"/>
      <w:r>
        <w:rPr>
          <w:rFonts w:hAnsi="Times New Roman"/>
          <w:sz w:val="22"/>
          <w:szCs w:val="21"/>
        </w:rPr>
        <w:t xml:space="preserve">30. </w:t>
      </w:r>
      <w:r>
        <w:rPr>
          <w:rFonts w:hAnsi="Times New Roman" w:hint="eastAsia"/>
          <w:sz w:val="22"/>
          <w:szCs w:val="21"/>
        </w:rPr>
        <w:t>履约保证金</w:t>
      </w:r>
      <w:bookmarkEnd w:id="160"/>
      <w:bookmarkEnd w:id="161"/>
      <w:r>
        <w:rPr>
          <w:rFonts w:hAnsi="Times New Roman" w:hint="eastAsia"/>
          <w:sz w:val="22"/>
          <w:szCs w:val="21"/>
        </w:rPr>
        <w:t>（本项目不适用）</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30.1 </w:t>
      </w:r>
      <w:r>
        <w:rPr>
          <w:rFonts w:hAnsi="Times New Roman" w:ascii="Times New Roman" w:hint="eastAsia"/>
          <w:sz w:val="22"/>
          <w:szCs w:val="21"/>
        </w:rPr>
        <w:t>中标人应在合同签订之前交纳招标文件规定数额的履约保证金。</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30.2 </w:t>
      </w:r>
      <w:r>
        <w:rPr>
          <w:rFonts w:hAnsi="Times New Roman" w:ascii="Times New Roman" w:hint="eastAsia"/>
          <w:sz w:val="22"/>
          <w:szCs w:val="21"/>
        </w:rPr>
        <w:t>如果中标人在规定的合同签订时间内，没有按照招标文件的规定交纳履约保证金，且又无正当理由的，将视为放弃中标。</w:t>
      </w:r>
    </w:p>
    <w:p>
      <w:pPr>
        <w:pStyle w:val="5"/>
        <w:spacing w:lineRule="exact" w:line="400"/>
        <w:rPr>
          <w:rFonts w:hAnsi="Times New Roman"/>
          <w:sz w:val="22"/>
        </w:rPr>
      </w:pPr>
      <w:bookmarkStart w:name="_Toc308164818" w:id="162"/>
      <w:bookmarkStart w:name="_Toc217446077" w:id="163"/>
      <w:bookmarkStart w:name="_Toc217446071" w:id="164"/>
      <w:r>
        <w:rPr>
          <w:rFonts w:hAnsi="Times New Roman"/>
          <w:sz w:val="22"/>
          <w:szCs w:val="21"/>
        </w:rPr>
        <w:t>31.</w:t>
      </w:r>
      <w:r>
        <w:rPr>
          <w:rFonts w:hAnsi="Times New Roman" w:hint="eastAsia"/>
          <w:sz w:val="22"/>
          <w:szCs w:val="21"/>
        </w:rPr>
        <w:t>资金支付</w:t>
      </w:r>
      <w:bookmarkEnd w:id="162"/>
      <w:bookmarkEnd w:id="163"/>
    </w:p>
    <w:p>
      <w:pPr>
        <w:spacing w:lineRule="exact" w:line="400"/>
        <w:ind w:firstLineChars="200" w:firstLine="440"/>
        <w:rPr>
          <w:rFonts w:hAnsi="Times New Roman" w:ascii="Times New Roman"/>
          <w:sz w:val="22"/>
          <w:szCs w:val="21"/>
        </w:rPr>
      </w:pPr>
      <w:r>
        <w:rPr>
          <w:rFonts w:hAnsi="Times New Roman" w:ascii="Times New Roman" w:hint="eastAsia"/>
          <w:sz w:val="22"/>
          <w:szCs w:val="21"/>
        </w:rPr>
        <w:t>采购人将按照政府采购合同规定，及时向中标供应商支付采购资金。本项目采购资金付款详见第五章商务要求中付款方式。</w:t>
      </w:r>
    </w:p>
    <w:bookmarkEnd w:id="155"/>
    <w:bookmarkEnd w:id="156"/>
    <w:bookmarkEnd w:id="164"/>
    <w:p>
      <w:pPr>
        <w:pStyle w:val="4"/>
        <w:spacing w:lineRule="exact" w:line="400"/>
        <w:jc w:val="center"/>
        <w:rPr>
          <w:rFonts w:hAnsi="Times New Roman" w:ascii="Times New Roman"/>
          <w:sz w:val="28"/>
        </w:rPr>
      </w:pPr>
      <w:bookmarkStart w:name="_Toc217446074" w:id="165"/>
      <w:bookmarkStart w:name="_Toc308164815" w:id="166"/>
      <w:bookmarkStart w:name="_Toc183682380" w:id="167"/>
      <w:bookmarkStart w:name="_Toc183582243" w:id="168"/>
      <w:r>
        <w:rPr>
          <w:rFonts w:ascii="Times New Roman" w:hint="eastAsia"/>
          <w:sz w:val="28"/>
        </w:rPr>
        <w:t>七、投标纪律要求</w:t>
      </w:r>
      <w:bookmarkEnd w:id="165"/>
      <w:bookmarkEnd w:id="166"/>
    </w:p>
    <w:p>
      <w:pPr>
        <w:pStyle w:val="5"/>
        <w:spacing w:lineRule="exact" w:line="400"/>
        <w:rPr>
          <w:rFonts w:hAnsi="Times New Roman"/>
          <w:sz w:val="22"/>
          <w:szCs w:val="21"/>
        </w:rPr>
      </w:pPr>
      <w:bookmarkStart w:name="_Toc217446075" w:id="169"/>
      <w:bookmarkStart w:name="_Toc308164816" w:id="170"/>
      <w:r>
        <w:rPr>
          <w:rFonts w:hAnsi="Times New Roman"/>
          <w:sz w:val="22"/>
          <w:szCs w:val="21"/>
        </w:rPr>
        <w:t xml:space="preserve">32. </w:t>
      </w:r>
      <w:r>
        <w:rPr>
          <w:rFonts w:hAnsi="Times New Roman" w:hint="eastAsia"/>
          <w:sz w:val="22"/>
          <w:szCs w:val="21"/>
        </w:rPr>
        <w:t>投标人</w:t>
      </w:r>
      <w:bookmarkEnd w:id="169"/>
      <w:bookmarkEnd w:id="170"/>
      <w:r>
        <w:rPr>
          <w:rFonts w:hAnsi="Times New Roman" w:hint="eastAsia"/>
          <w:sz w:val="22"/>
          <w:szCs w:val="21"/>
        </w:rPr>
        <w:t>纪律要求</w:t>
      </w:r>
    </w:p>
    <w:p>
      <w:pPr>
        <w:pStyle w:val="6"/>
        <w:spacing w:lineRule="exact" w:line="400"/>
        <w:ind w:firstLine="440"/>
        <w:rPr>
          <w:rFonts w:hAnsi="Times New Roman" w:ascii="Times New Roman"/>
          <w:sz w:val="22"/>
          <w:szCs w:val="21"/>
        </w:rPr>
      </w:pPr>
      <w:r>
        <w:rPr>
          <w:rFonts w:hAnsi="Times New Roman" w:ascii="Times New Roman" w:hint="eastAsia"/>
          <w:sz w:val="22"/>
          <w:szCs w:val="21"/>
        </w:rPr>
        <w:t>投标人应当遵循公平竞争的原则，不得恶意串通，不得妨碍其他投标人的竞争行为，不得损害采购人或者其他投标人的合法权益。</w:t>
      </w:r>
    </w:p>
    <w:p>
      <w:pPr>
        <w:pStyle w:val="6"/>
        <w:spacing w:lineRule="exact" w:line="400"/>
        <w:ind w:firstLine="440"/>
        <w:rPr>
          <w:rFonts w:hAnsi="Times New Roman" w:ascii="Times New Roman"/>
          <w:sz w:val="22"/>
          <w:szCs w:val="21"/>
        </w:rPr>
      </w:pPr>
      <w:r>
        <w:rPr>
          <w:rFonts w:hAnsi="Times New Roman" w:ascii="Times New Roman" w:hint="eastAsia"/>
          <w:sz w:val="22"/>
          <w:szCs w:val="21"/>
        </w:rPr>
        <w:t>在评标过程中发现投标人有上述情形的，评标委员会应当认定其投标无效，并书面报告本级财政部门。</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32.1 </w:t>
      </w:r>
      <w:r>
        <w:rPr>
          <w:rFonts w:hAnsi="Times New Roman" w:ascii="Times New Roman" w:hint="eastAsia"/>
          <w:sz w:val="22"/>
          <w:szCs w:val="21"/>
        </w:rPr>
        <w:t>投标人参加本项目投标不得有下列情形：</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）提供虚假材料谋取中标；</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）采取不正当手段诋毁、排挤其他投标人；</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）与招标采购单位、其他投标人恶意串通；</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）向招标采购单位、评标委员会成员行贿或者提供其他不正当利益；</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）在招标过程中与招标采购单位进行协商谈判；</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）中标或者成交后无正当理由拒不与采购人签订政府采购合同；</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7</w:t>
      </w:r>
      <w:r>
        <w:rPr>
          <w:rFonts w:hAnsi="Times New Roman" w:ascii="Times New Roman" w:hint="eastAsia"/>
          <w:sz w:val="22"/>
          <w:szCs w:val="21"/>
        </w:rPr>
        <w:t>）未按照采购文件确定的事项签订政府采购合同；</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）将政府采购合同转包或者违规分包；</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9</w:t>
      </w:r>
      <w:r>
        <w:rPr>
          <w:rFonts w:hAnsi="Times New Roman" w:ascii="Times New Roman" w:hint="eastAsia"/>
          <w:sz w:val="22"/>
          <w:szCs w:val="21"/>
        </w:rPr>
        <w:t>）提供假冒伪劣产品；</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）擅自变更、中止或者终止政府采购合同；</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11</w:t>
      </w:r>
      <w:r>
        <w:rPr>
          <w:rFonts w:hAnsi="Times New Roman" w:ascii="Times New Roman" w:hint="eastAsia"/>
          <w:sz w:val="22"/>
          <w:szCs w:val="21"/>
        </w:rPr>
        <w:t>）拒绝有关部门的监督检查或者向监督检查部门提供虚假情况；</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12</w:t>
      </w:r>
      <w:r>
        <w:rPr>
          <w:rFonts w:hAnsi="Times New Roman" w:ascii="Times New Roman" w:hint="eastAsia"/>
          <w:sz w:val="22"/>
          <w:szCs w:val="21"/>
        </w:rPr>
        <w:t>）法律法规规定的其他情形。</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投标人有上述情形的，按照规定追究法律责任，具备（</w:t>
      </w:r>
      <w:r>
        <w:rPr>
          <w:rFonts w:hAnsi="Times New Roman" w:ascii="Times New Roman"/>
          <w:sz w:val="22"/>
          <w:szCs w:val="21"/>
        </w:rPr>
        <w:t>1</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）条情形之一的，同时将取消中标资格或者认定中标无效。</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32.2 </w:t>
      </w:r>
      <w:r>
        <w:rPr>
          <w:rFonts w:hAnsi="Times New Roman" w:ascii="Times New Roman" w:hint="eastAsia"/>
          <w:sz w:val="22"/>
          <w:szCs w:val="21"/>
        </w:rPr>
        <w:t>投标人有下列情形之一的，视为投标人串通投标，其投标无效：</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）不同投标人的投标文件由同一单位或者个人编制；</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）不同投标人委托同一单位或者个人办理投标事宜；</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）不同投标人的投标文件载明的项目管理成员或者联系人员为同一人；</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）不同投标人的投标文件异常一致或者投标报价呈规律性差异；</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）不同投标人的投标文件相互混装；</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）不同投标人的投标保证金从同一单位或者个人的账户转出（若有）。</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32.3 </w:t>
      </w:r>
      <w:r>
        <w:rPr>
          <w:rFonts w:hAnsi="Times New Roman" w:ascii="Times New Roman" w:hint="eastAsia"/>
          <w:sz w:val="22"/>
          <w:szCs w:val="21"/>
        </w:rPr>
        <w:t>投标人存在下列情况之一的，投标无效</w:t>
      </w:r>
      <w:r>
        <w:rPr>
          <w:rFonts w:hAnsi="Times New Roman" w:ascii="Times New Roman"/>
          <w:sz w:val="22"/>
          <w:szCs w:val="21"/>
        </w:rPr>
        <w:t>:</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）未按照招标文件的规定提交投标保证金的（若有）；</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）投标文件未按招标文件要求签署、盖章的；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）不具备招标文件中规定的资格要求的；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）报价超过招标文件中规定的预算金额或者最高限价的；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）投标文件含有采购人不能接受的附加条件的；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）法律、法规和招标文件规定的其他无效情形。</w:t>
      </w:r>
    </w:p>
    <w:p>
      <w:pPr>
        <w:pStyle w:val="4"/>
        <w:spacing w:lineRule="exact" w:line="400"/>
        <w:jc w:val="center"/>
        <w:rPr>
          <w:rFonts w:hAnsi="Times New Roman" w:ascii="Times New Roman"/>
          <w:sz w:val="28"/>
        </w:rPr>
      </w:pPr>
      <w:bookmarkStart w:name="_Toc217446078" w:id="171"/>
      <w:bookmarkStart w:name="_Toc308164819" w:id="172"/>
      <w:r>
        <w:rPr>
          <w:rFonts w:hAnsi="Times New Roman" w:ascii="Times New Roman" w:hint="eastAsia"/>
          <w:sz w:val="28"/>
        </w:rPr>
        <w:t>八、询问、质疑和投诉</w:t>
      </w:r>
      <w:bookmarkEnd w:id="171"/>
      <w:bookmarkEnd w:id="172"/>
      <w:bookmarkStart w:name="_Toc217446079" w:id="173"/>
    </w:p>
    <w:bookmarkEnd w:id="173"/>
    <w:p>
      <w:pPr>
        <w:pStyle w:val="6"/>
        <w:spacing w:lineRule="exact" w:line="400"/>
        <w:ind w:firstLine="442"/>
        <w:rPr>
          <w:rFonts w:hAnsi="Times New Roman" w:ascii="Times New Roman"/>
          <w:sz w:val="22"/>
          <w:szCs w:val="21"/>
        </w:rPr>
      </w:pPr>
      <w:r>
        <w:rPr>
          <w:rFonts w:hAnsi="Times New Roman" w:ascii="Times New Roman"/>
          <w:b/>
          <w:sz w:val="22"/>
          <w:szCs w:val="21"/>
        </w:rPr>
        <w:t>33</w:t>
      </w:r>
      <w:r>
        <w:rPr>
          <w:rFonts w:hAnsi="Times New Roman" w:ascii="Times New Roman" w:hint="eastAsia"/>
          <w:b/>
          <w:sz w:val="22"/>
          <w:szCs w:val="21"/>
        </w:rPr>
        <w:t>．</w:t>
      </w:r>
      <w:r>
        <w:rPr>
          <w:rFonts w:hAnsi="Times New Roman" w:ascii="Times New Roman" w:hint="eastAsia"/>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hAnsi="Times New Roman" w:ascii="Times New Roman"/>
          <w:sz w:val="22"/>
          <w:szCs w:val="21"/>
        </w:rPr>
        <w:t>94</w:t>
      </w:r>
      <w:r>
        <w:rPr>
          <w:rFonts w:hAnsi="Times New Roman" w:ascii="Times New Roman" w:hint="eastAsia"/>
          <w:sz w:val="22"/>
          <w:szCs w:val="21"/>
        </w:rPr>
        <w:t>号</w:t>
      </w:r>
      <w:r>
        <w:rPr>
          <w:rFonts w:hAnsi="Times New Roman" w:ascii="Times New Roman"/>
          <w:sz w:val="22"/>
          <w:szCs w:val="21"/>
        </w:rPr>
        <w:t>--</w:t>
      </w:r>
      <w:r>
        <w:rPr>
          <w:rFonts w:hAnsi="Times New Roman" w:ascii="Times New Roman" w:hint="eastAsia"/>
          <w:sz w:val="22"/>
          <w:szCs w:val="21"/>
        </w:rPr>
        <w:t>政府采购质疑和投诉办法》等的相关规定办理</w:t>
      </w:r>
      <w:r>
        <w:rPr>
          <w:rFonts w:hAnsi="Times New Roman" w:ascii="Times New Roman"/>
          <w:sz w:val="22"/>
          <w:szCs w:val="21"/>
        </w:rPr>
        <w:t>.</w:t>
      </w:r>
    </w:p>
    <w:p>
      <w:pPr>
        <w:pStyle w:val="6"/>
        <w:spacing w:lineRule="exact" w:line="400"/>
        <w:ind w:firstLine="440"/>
        <w:rPr>
          <w:rFonts w:hAnsi="Times New Roman" w:ascii="Times New Roman"/>
          <w:sz w:val="22"/>
          <w:szCs w:val="21"/>
        </w:rPr>
      </w:pPr>
      <w:r>
        <w:rPr>
          <w:rFonts w:hAnsi="Times New Roman" w:ascii="Times New Roman" w:hint="eastAsia"/>
          <w:sz w:val="22"/>
          <w:szCs w:val="21"/>
        </w:rPr>
        <w:t>注：根据《中华人民共和国政府采购法》等规定，供应商质疑不得超出采购文件、采购过程、采购结果的范围，供应商质疑不得超出采购文件、采购过程、采购结果的范围</w:t>
      </w:r>
      <w:r>
        <w:rPr>
          <w:rFonts w:hAnsi="Times New Roman" w:ascii="Times New Roman"/>
          <w:sz w:val="22"/>
          <w:szCs w:val="21"/>
        </w:rPr>
        <w:t xml:space="preserve">, </w:t>
      </w:r>
      <w:r>
        <w:rPr>
          <w:rFonts w:hAnsi="Times New Roman" w:ascii="Times New Roman" w:hint="eastAsia"/>
          <w:sz w:val="22"/>
          <w:szCs w:val="21"/>
        </w:rPr>
        <w:t>供应商针对同一采购程序环节的质疑应在法定质疑期内一次性提出。</w:t>
      </w:r>
    </w:p>
    <w:p>
      <w:pPr>
        <w:pStyle w:val="2"/>
        <w:ind w:firstLineChars="300" w:firstLine="660"/>
        <w:rPr>
          <w:rFonts w:hAnsi="Times New Roman" w:ascii="Times New Roman"/>
          <w:sz w:val="22"/>
          <w:szCs w:val="18"/>
        </w:rPr>
      </w:pPr>
    </w:p>
    <w:p>
      <w:pPr>
        <w:pStyle w:val="6"/>
        <w:spacing w:lineRule="exact" w:line="400"/>
        <w:ind w:firstLine="440"/>
        <w:rPr>
          <w:rFonts w:hAnsi="Times New Roman" w:ascii="Times New Roman"/>
          <w:sz w:val="22"/>
          <w:szCs w:val="21"/>
        </w:rPr>
      </w:pPr>
      <w:r>
        <w:rPr>
          <w:rFonts w:hAnsi="Times New Roman" w:ascii="Times New Roman" w:hint="eastAsia"/>
          <w:sz w:val="22"/>
          <w:szCs w:val="21"/>
        </w:rPr>
        <w:t>接收质疑函的方式：书面形式</w:t>
      </w:r>
    </w:p>
    <w:p>
      <w:pPr>
        <w:pStyle w:val="6"/>
        <w:spacing w:lineRule="exact" w:line="400"/>
        <w:ind w:firstLine="440"/>
        <w:rPr>
          <w:rFonts w:hAnsi="Times New Roman" w:ascii="Times New Roman"/>
          <w:sz w:val="22"/>
          <w:szCs w:val="21"/>
        </w:rPr>
      </w:pPr>
      <w:r>
        <w:rPr>
          <w:rFonts w:hAnsi="Times New Roman" w:ascii="Times New Roman" w:hint="eastAsia"/>
          <w:sz w:val="22"/>
          <w:szCs w:val="21"/>
        </w:rPr>
        <w:t>联系部门：招标部项目负责人：郝先生</w:t>
      </w:r>
    </w:p>
    <w:p>
      <w:pPr>
        <w:pStyle w:val="6"/>
        <w:spacing w:lineRule="exact" w:line="400"/>
        <w:ind w:firstLine="440"/>
        <w:rPr>
          <w:rFonts w:hAnsi="Times New Roman" w:ascii="Times New Roman"/>
          <w:sz w:val="22"/>
          <w:szCs w:val="21"/>
        </w:rPr>
      </w:pPr>
      <w:r>
        <w:rPr>
          <w:rFonts w:hAnsi="Times New Roman" w:ascii="Times New Roman" w:hint="eastAsia"/>
          <w:sz w:val="22"/>
          <w:szCs w:val="21"/>
        </w:rPr>
        <w:t>联系电话：</w:t>
      </w:r>
      <w:r>
        <w:rPr>
          <w:rFonts w:hAnsi="Times New Roman" w:ascii="Times New Roman"/>
          <w:sz w:val="22"/>
          <w:szCs w:val="21"/>
        </w:rPr>
        <w:t>029-88854271</w:t>
      </w:r>
      <w:r>
        <w:rPr>
          <w:rFonts w:hAnsi="Times New Roman" w:ascii="Times New Roman" w:hint="eastAsia"/>
          <w:sz w:val="22"/>
          <w:szCs w:val="21"/>
        </w:rPr>
        <w:t>转</w:t>
      </w:r>
      <w:r>
        <w:rPr>
          <w:rFonts w:hAnsi="Times New Roman" w:ascii="Times New Roman"/>
          <w:sz w:val="22"/>
          <w:szCs w:val="21"/>
        </w:rPr>
        <w:t>8012</w:t>
      </w:r>
    </w:p>
    <w:p>
      <w:pPr>
        <w:pStyle w:val="6"/>
        <w:spacing w:lineRule="exact" w:line="400"/>
        <w:ind w:firstLine="440"/>
        <w:rPr>
          <w:rFonts w:hAnsi="Times New Roman" w:ascii="Times New Roman"/>
          <w:sz w:val="22"/>
          <w:szCs w:val="21"/>
        </w:rPr>
      </w:pPr>
      <w:r>
        <w:rPr>
          <w:rFonts w:hAnsi="Times New Roman" w:ascii="Times New Roman" w:hint="eastAsia"/>
          <w:sz w:val="22"/>
          <w:szCs w:val="21"/>
        </w:rPr>
        <w:t>通讯地址：陕西省西安市高新区唐延路</w:t>
      </w:r>
      <w:r>
        <w:rPr>
          <w:rFonts w:hAnsi="Times New Roman" w:ascii="Times New Roman"/>
          <w:sz w:val="22"/>
          <w:szCs w:val="21"/>
        </w:rPr>
        <w:t>35</w:t>
      </w:r>
      <w:r>
        <w:rPr>
          <w:rFonts w:hAnsi="Times New Roman" w:ascii="Times New Roman" w:hint="eastAsia"/>
          <w:sz w:val="22"/>
          <w:szCs w:val="21"/>
        </w:rPr>
        <w:t>号旺座现代城</w:t>
      </w:r>
      <w:r>
        <w:rPr>
          <w:rFonts w:hAnsi="Times New Roman" w:ascii="Times New Roman"/>
          <w:sz w:val="22"/>
          <w:szCs w:val="21"/>
        </w:rPr>
        <w:t>G</w:t>
      </w:r>
      <w:r>
        <w:rPr>
          <w:rFonts w:hAnsi="Times New Roman" w:ascii="Times New Roman" w:hint="eastAsia"/>
          <w:sz w:val="22"/>
          <w:szCs w:val="21"/>
        </w:rPr>
        <w:t>座</w:t>
      </w:r>
      <w:r>
        <w:rPr>
          <w:rFonts w:hAnsi="Times New Roman" w:ascii="Times New Roman"/>
          <w:sz w:val="22"/>
          <w:szCs w:val="21"/>
        </w:rPr>
        <w:t>2301</w:t>
      </w:r>
      <w:r>
        <w:rPr>
          <w:rFonts w:hAnsi="Times New Roman" w:ascii="Times New Roman" w:hint="eastAsia"/>
          <w:sz w:val="22"/>
          <w:szCs w:val="21"/>
        </w:rPr>
        <w:t>室</w:t>
      </w:r>
    </w:p>
    <w:bookmarkEnd w:id="167"/>
    <w:bookmarkEnd w:id="168"/>
    <w:p>
      <w:pPr>
        <w:pStyle w:val="4"/>
        <w:spacing w:lineRule="exact" w:line="400"/>
        <w:jc w:val="center"/>
        <w:rPr>
          <w:rFonts w:hAnsi="Times New Roman" w:ascii="Times New Roman"/>
          <w:sz w:val="28"/>
        </w:rPr>
      </w:pPr>
      <w:r>
        <w:rPr>
          <w:rFonts w:hAnsi="Times New Roman" w:ascii="Times New Roman" w:hint="eastAsia"/>
          <w:sz w:val="28"/>
        </w:rPr>
        <w:t>九、其他</w:t>
      </w:r>
    </w:p>
    <w:p>
      <w:pPr>
        <w:pStyle w:val="6"/>
        <w:spacing w:lineRule="exact" w:line="400"/>
        <w:ind w:firstLine="442"/>
        <w:rPr>
          <w:rFonts w:hAnsi="Times New Roman" w:ascii="Times New Roman"/>
          <w:sz w:val="22"/>
          <w:szCs w:val="21"/>
        </w:rPr>
      </w:pPr>
      <w:r>
        <w:rPr>
          <w:rFonts w:hAnsi="Times New Roman" w:ascii="Times New Roman"/>
          <w:b/>
          <w:sz w:val="22"/>
          <w:szCs w:val="21"/>
        </w:rPr>
        <w:t>34.</w:t>
      </w:r>
      <w:r>
        <w:rPr>
          <w:rFonts w:hAnsi="Times New Roman" w:ascii="Times New Roman" w:hint="eastAsia"/>
          <w:sz w:val="22"/>
          <w:szCs w:val="21"/>
        </w:rPr>
        <w:t>本招标文件中所引相关法律制度规定，在政府采购中有变化的，按照变化后的相关法律制度规定执行。本章和第六章中</w:t>
      </w:r>
      <w:r>
        <w:rPr>
          <w:rFonts w:hAnsi="Times New Roman" w:ascii="Times New Roman"/>
          <w:sz w:val="22"/>
          <w:szCs w:val="21"/>
        </w:rPr>
        <w:t>“1.</w:t>
      </w:r>
      <w:r>
        <w:rPr>
          <w:rFonts w:hAnsi="Times New Roman" w:ascii="Times New Roman" w:hint="eastAsia"/>
          <w:sz w:val="22"/>
          <w:szCs w:val="21"/>
        </w:rPr>
        <w:t>总则、</w:t>
      </w:r>
      <w:r>
        <w:rPr>
          <w:rFonts w:hAnsi="Times New Roman" w:ascii="Times New Roman"/>
          <w:sz w:val="22"/>
          <w:szCs w:val="21"/>
        </w:rPr>
        <w:t>2.</w:t>
      </w:r>
      <w:r>
        <w:rPr>
          <w:rFonts w:hAnsi="Times New Roman" w:ascii="Times New Roman" w:hint="eastAsia"/>
          <w:sz w:val="22"/>
          <w:szCs w:val="21"/>
        </w:rPr>
        <w:t>评标方法、</w:t>
      </w:r>
      <w:r>
        <w:rPr>
          <w:rFonts w:hAnsi="Times New Roman" w:ascii="Times New Roman"/>
          <w:sz w:val="22"/>
          <w:szCs w:val="21"/>
        </w:rPr>
        <w:t>3.</w:t>
      </w:r>
      <w:r>
        <w:rPr>
          <w:rFonts w:hAnsi="Times New Roman" w:ascii="Times New Roman" w:hint="eastAsia"/>
          <w:sz w:val="22"/>
          <w:szCs w:val="21"/>
        </w:rPr>
        <w:t>评标程序</w:t>
      </w:r>
      <w:r>
        <w:rPr>
          <w:rFonts w:hAnsi="Times New Roman" w:ascii="Times New Roman"/>
          <w:sz w:val="22"/>
          <w:szCs w:val="21"/>
        </w:rPr>
        <w:t>”</w:t>
      </w:r>
      <w:r>
        <w:rPr>
          <w:rFonts w:hAnsi="Times New Roman" w:ascii="Times New Roman" w:hint="eastAsia"/>
          <w:sz w:val="22"/>
          <w:szCs w:val="21"/>
        </w:rPr>
        <w:t>规定的内容条款，在本项目投标截止时间届满后，因相关法律制度规定的变化导致不符合相关法律制度规定的，直接按照变化后的相关法律制度规定执行，本招标文件不再做调整。</w:t>
      </w:r>
    </w:p>
    <w:bookmarkEnd w:id="126"/>
    <w:bookmarkEnd w:id="127"/>
    <w:bookmarkEnd w:id="128"/>
    <w:bookmarkEnd w:id="129"/>
    <w:bookmarkEnd w:id="130"/>
    <w:bookmarkEnd w:id="131"/>
    <w:bookmarkEnd w:id="132"/>
    <w:p>
      <w:pPr>
        <w:jc w:val="left"/>
        <w:rPr>
          <w:rFonts w:hAnsi="Times New Roman" w:ascii="Times New Roman"/>
          <w:b/>
          <w:kern w:val="44"/>
          <w:sz w:val="32"/>
          <w:szCs w:val="32"/>
        </w:rPr>
      </w:pPr>
      <w:bookmarkStart w:name="_Toc28837" w:id="174"/>
      <w:bookmarkStart w:name="_Toc1164" w:id="175"/>
      <w:bookmarkStart w:name="_Toc12725" w:id="176"/>
      <w:bookmarkStart w:name="_Toc14559" w:id="177"/>
      <w:bookmarkStart w:name="_Toc18945" w:id="178"/>
      <w:bookmarkStart w:name="_Toc3360" w:id="179"/>
      <w:r>
        <w:rPr>
          <w:rFonts w:hAnsi="Times New Roman" w:ascii="Times New Roman"/>
          <w:sz w:val="32"/>
          <w:szCs w:val="32"/>
        </w:rPr>
        <w:br w:type="page"/>
      </w:r>
    </w:p>
    <w:p>
      <w:pPr>
        <w:pStyle w:val="3"/>
        <w:jc w:val="center"/>
        <w:rPr>
          <w:rFonts w:hAnsi="Times New Roman" w:ascii="Times New Roman"/>
          <w:sz w:val="32"/>
          <w:szCs w:val="32"/>
        </w:rPr>
      </w:pPr>
      <w:r>
        <w:rPr>
          <w:rFonts w:hAnsi="Times New Roman" w:ascii="Times New Roman" w:hint="eastAsia"/>
          <w:sz w:val="32"/>
          <w:szCs w:val="32"/>
        </w:rPr>
        <w:t>第三章投标文件格式</w:t>
      </w:r>
    </w:p>
    <w:p>
      <w:pPr>
        <w:pStyle w:val="3"/>
        <w:jc w:val="center"/>
        <w:rPr>
          <w:rFonts w:hAnsi="Times New Roman" w:ascii="Times New Roman"/>
          <w:sz w:val="28"/>
          <w:szCs w:val="21"/>
        </w:rPr>
      </w:pPr>
      <w:r>
        <w:rPr>
          <w:rFonts w:hAnsi="宋体" w:ascii="Times New Roman" w:hint="eastAsia"/>
          <w:sz w:val="28"/>
          <w:szCs w:val="21"/>
        </w:rPr>
        <w:t>第一部分</w:t>
      </w:r>
      <w:r>
        <w:rPr>
          <w:rFonts w:hAnsi="Times New Roman" w:ascii="Times New Roman"/>
          <w:sz w:val="28"/>
          <w:szCs w:val="21"/>
        </w:rPr>
        <w:t xml:space="preserve">     “</w:t>
      </w:r>
      <w:r>
        <w:rPr>
          <w:rFonts w:hAnsi="宋体" w:ascii="Times New Roman" w:hint="eastAsia"/>
          <w:sz w:val="28"/>
          <w:szCs w:val="21"/>
        </w:rPr>
        <w:t>资格性投标文件</w:t>
      </w:r>
      <w:r>
        <w:rPr>
          <w:rFonts w:hAnsi="Times New Roman" w:ascii="Times New Roman"/>
          <w:sz w:val="28"/>
          <w:szCs w:val="21"/>
        </w:rPr>
        <w:t>”</w:t>
      </w:r>
      <w:r>
        <w:rPr>
          <w:rFonts w:hAnsi="宋体" w:ascii="Times New Roman" w:hint="eastAsia"/>
          <w:sz w:val="28"/>
          <w:szCs w:val="21"/>
        </w:rPr>
        <w:t>格式</w:t>
      </w:r>
    </w:p>
    <w:p>
      <w:pPr>
        <w:spacing w:lineRule="auto" w:line="360"/>
        <w:jc w:val="center"/>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1-1 </w:t>
      </w:r>
      <w:r>
        <w:rPr>
          <w:rFonts w:hAnsi="宋体" w:ascii="Times New Roman" w:hint="eastAsia"/>
          <w:b/>
          <w:sz w:val="28"/>
          <w:szCs w:val="28"/>
        </w:rPr>
        <w:t>封面：</w:t>
      </w:r>
    </w:p>
    <w:p>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pPr>
        <w:spacing w:lineRule="auto" w:line="360"/>
        <w:rPr>
          <w:rFonts w:hAnsi="Times New Roman" w:ascii="Times New Roman"/>
          <w:b/>
          <w:sz w:val="28"/>
          <w:szCs w:val="28"/>
        </w:rPr>
      </w:pPr>
    </w:p>
    <w:p>
      <w:pPr>
        <w:spacing w:lineRule="auto" w:line="360"/>
        <w:rPr>
          <w:rFonts w:hAnsi="Times New Roman" w:ascii="Times New Roman"/>
          <w:b/>
          <w:sz w:val="28"/>
          <w:szCs w:val="28"/>
        </w:rPr>
      </w:pPr>
    </w:p>
    <w:p>
      <w:pPr>
        <w:spacing w:lineRule="auto" w:line="360"/>
        <w:jc w:val="center"/>
        <w:rPr>
          <w:rFonts w:hAnsi="Times New Roman" w:ascii="Times New Roman"/>
          <w:b/>
          <w:sz w:val="56"/>
          <w:szCs w:val="21"/>
        </w:rPr>
      </w:pPr>
      <w:r>
        <w:rPr>
          <w:rFonts w:hAnsi="宋体" w:ascii="Times New Roman" w:hint="eastAsia"/>
          <w:b/>
          <w:sz w:val="36"/>
          <w:szCs w:val="44"/>
        </w:rPr>
        <w:t>项目</w:t>
      </w:r>
    </w:p>
    <w:p>
      <w:pPr>
        <w:spacing w:lineRule="auto" w:line="360"/>
        <w:rPr>
          <w:rFonts w:hAnsi="Times New Roman" w:ascii="Times New Roman"/>
          <w:b/>
          <w:sz w:val="48"/>
          <w:szCs w:val="48"/>
        </w:rPr>
      </w:pPr>
    </w:p>
    <w:p>
      <w:pPr>
        <w:spacing w:lineRule="auto" w:line="360"/>
        <w:jc w:val="center"/>
        <w:rPr>
          <w:rFonts w:hAnsi="Times New Roman" w:ascii="Times New Roman"/>
          <w:b/>
          <w:sz w:val="32"/>
          <w:szCs w:val="21"/>
        </w:rPr>
      </w:pPr>
      <w:r>
        <w:rPr>
          <w:rFonts w:hAnsi="宋体" w:ascii="Times New Roman" w:hint="eastAsia"/>
          <w:b/>
          <w:sz w:val="48"/>
          <w:szCs w:val="48"/>
        </w:rPr>
        <w:t>资格性投标文件</w:t>
      </w:r>
    </w:p>
    <w:p>
      <w:pPr>
        <w:spacing w:lineRule="auto" w:line="360"/>
        <w:rPr>
          <w:rFonts w:hAnsi="Times New Roman" w:ascii="Times New Roman"/>
          <w:b/>
          <w:sz w:val="32"/>
          <w:szCs w:val="21"/>
        </w:rPr>
      </w:pPr>
    </w:p>
    <w:bookmarkEnd w:id="133"/>
    <w:bookmarkEnd w:id="174"/>
    <w:bookmarkEnd w:id="175"/>
    <w:bookmarkEnd w:id="176"/>
    <w:bookmarkEnd w:id="177"/>
    <w:bookmarkEnd w:id="178"/>
    <w:bookmarkEnd w:id="179"/>
    <w:p>
      <w:pPr>
        <w:spacing w:lineRule="auto" w:line="360"/>
        <w:rPr>
          <w:rFonts w:eastAsiaTheme="minorEastAsia" w:hAnsiTheme="minorEastAsia" w:asciiTheme="minorEastAsia"/>
          <w:b/>
          <w:kern w:val="44"/>
          <w:sz w:val="32"/>
          <w:szCs w:val="24"/>
          <w:u w:val="single"/>
        </w:rPr>
      </w:pPr>
      <w:r>
        <w:rPr>
          <w:rFonts w:eastAsiaTheme="minorEastAsia" w:hAnsiTheme="minorEastAsia" w:asciiTheme="minorEastAsia" w:hint="eastAsia"/>
          <w:b/>
          <w:kern w:val="44"/>
          <w:sz w:val="32"/>
          <w:szCs w:val="24"/>
        </w:rPr>
        <w:t>投 标 人</w:t>
      </w:r>
      <w:r>
        <w:rPr>
          <w:rFonts w:eastAsiaTheme="minorEastAsia" w:hAnsiTheme="minorEastAsia" w:asciiTheme="minorEastAsia"/>
          <w:b/>
          <w:kern w:val="44"/>
          <w:sz w:val="32"/>
          <w:szCs w:val="24"/>
        </w:rPr>
        <w:t>名称：</w:t>
      </w:r>
    </w:p>
    <w:p>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委托代理人身份证号：</w:t>
      </w:r>
    </w:p>
    <w:p>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采购项目</w:t>
      </w:r>
      <w:r>
        <w:rPr>
          <w:rFonts w:eastAsiaTheme="minorEastAsia" w:hAnsiTheme="minorEastAsia" w:asciiTheme="minorEastAsia"/>
          <w:b/>
          <w:kern w:val="44"/>
          <w:sz w:val="32"/>
          <w:szCs w:val="24"/>
        </w:rPr>
        <w:t xml:space="preserve">编号：        </w:t>
      </w:r>
    </w:p>
    <w:p>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包   号</w:t>
      </w:r>
      <w:r>
        <w:rPr>
          <w:rFonts w:eastAsiaTheme="minorEastAsia" w:hAnsiTheme="minorEastAsia" w:asciiTheme="minorEastAsia"/>
          <w:b/>
          <w:kern w:val="44"/>
          <w:sz w:val="32"/>
          <w:szCs w:val="24"/>
        </w:rPr>
        <w:t xml:space="preserve">：                        </w:t>
      </w:r>
    </w:p>
    <w:p>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时   间</w:t>
      </w:r>
      <w:r>
        <w:rPr>
          <w:rFonts w:eastAsiaTheme="minorEastAsia" w:hAnsiTheme="minorEastAsia" w:asciiTheme="minorEastAsia"/>
          <w:b/>
          <w:kern w:val="44"/>
          <w:sz w:val="32"/>
          <w:szCs w:val="24"/>
        </w:rPr>
        <w:t>：  年  月   日</w:t>
      </w:r>
    </w:p>
    <w:p>
      <w:pPr>
        <w:spacing w:lineRule="auto" w:line="360"/>
        <w:jc w:val="left"/>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 xml:space="preserve">1-2 </w:t>
      </w:r>
    </w:p>
    <w:p>
      <w:pPr>
        <w:spacing w:lineRule="auto" w:line="360"/>
        <w:jc w:val="center"/>
        <w:rPr>
          <w:rFonts w:eastAsia="黑体" w:hAnsi="Times New Roman" w:ascii="Times New Roman"/>
          <w:b/>
          <w:sz w:val="28"/>
          <w:szCs w:val="28"/>
        </w:rPr>
      </w:pPr>
      <w:r>
        <w:rPr>
          <w:rFonts w:eastAsia="华文中宋" w:hAnsi="华文中宋" w:ascii="Times New Roman" w:hint="eastAsia"/>
          <w:b/>
          <w:sz w:val="28"/>
          <w:szCs w:val="28"/>
        </w:rPr>
        <w:t>一、</w:t>
      </w:r>
      <w:r>
        <w:rPr>
          <w:rFonts w:eastAsia="黑体" w:hAnsi="Times New Roman" w:ascii="Times New Roman" w:hint="eastAsia"/>
          <w:b/>
          <w:sz w:val="28"/>
          <w:szCs w:val="28"/>
        </w:rPr>
        <w:t>法定代表人授权书</w:t>
      </w:r>
    </w:p>
    <w:p>
      <w:pPr>
        <w:spacing w:lineRule="atLeast" w:line="360"/>
        <w:ind w:firstLineChars="196" w:firstLine="432"/>
        <w:jc w:val="left"/>
        <w:outlineLvl w:val="1"/>
        <w:rPr>
          <w:rFonts w:hAnsi="Times New Roman" w:ascii="Times New Roman"/>
          <w:b/>
          <w:sz w:val="22"/>
          <w:szCs w:val="21"/>
        </w:rPr>
      </w:pPr>
    </w:p>
    <w:p>
      <w:pPr>
        <w:spacing w:lineRule="atLeast" w:line="360"/>
        <w:ind w:firstLineChars="196" w:firstLine="432"/>
        <w:jc w:val="left"/>
        <w:outlineLvl w:val="1"/>
        <w:rPr>
          <w:rFonts w:hAnsi="Times New Roman" w:ascii="Times New Roman"/>
          <w:b/>
          <w:sz w:val="22"/>
          <w:szCs w:val="21"/>
        </w:rPr>
      </w:pPr>
    </w:p>
    <w:p>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本授权声明：</w:t>
      </w:r>
      <w:r>
        <w:rPr>
          <w:rFonts w:hAnsi="Times New Roman" w:ascii="Times New Roman" w:hint="eastAsia"/>
          <w:sz w:val="22"/>
          <w:szCs w:val="21"/>
          <w:u w:val="single"/>
        </w:rPr>
        <w:t xml:space="preserve">（投标人名称）（法定代表人姓名、职务）   </w:t>
      </w:r>
      <w:r>
        <w:rPr>
          <w:rFonts w:hAnsi="Times New Roman" w:ascii="Times New Roman" w:hint="eastAsia"/>
          <w:sz w:val="22"/>
          <w:szCs w:val="21"/>
        </w:rPr>
        <w:t>授权</w:t>
      </w:r>
      <w:r>
        <w:rPr>
          <w:rFonts w:hAnsi="Times New Roman" w:ascii="Times New Roman" w:hint="eastAsia"/>
          <w:sz w:val="22"/>
          <w:szCs w:val="21"/>
          <w:u w:val="single"/>
        </w:rPr>
        <w:t xml:space="preserve">（被授权人姓名、职务）   </w:t>
      </w:r>
      <w:r>
        <w:rPr>
          <w:rFonts w:hAnsi="Times New Roman" w:ascii="Times New Roman" w:hint="eastAsia"/>
          <w:sz w:val="22"/>
          <w:szCs w:val="21"/>
        </w:rPr>
        <w:t>为我方</w:t>
      </w:r>
      <w:r>
        <w:rPr>
          <w:rFonts w:hAnsi="Times New Roman" w:ascii="Times New Roman"/>
          <w:sz w:val="22"/>
          <w:szCs w:val="21"/>
        </w:rPr>
        <w:t xml:space="preserve"> “</w:t>
      </w:r>
      <w:r>
        <w:rPr>
          <w:rFonts w:hAnsi="Times New Roman" w:ascii="Times New Roman" w:hint="eastAsia"/>
          <w:sz w:val="22"/>
          <w:szCs w:val="21"/>
          <w:u w:val="single"/>
        </w:rPr>
        <w:t>（项目名称）</w:t>
      </w:r>
      <w:r>
        <w:rPr>
          <w:rFonts w:hAnsi="Times New Roman" w:ascii="Times New Roman"/>
          <w:sz w:val="22"/>
          <w:szCs w:val="21"/>
        </w:rPr>
        <w:t xml:space="preserve">” </w:t>
      </w:r>
      <w:r>
        <w:rPr>
          <w:rFonts w:hAnsi="Times New Roman" w:ascii="Times New Roman" w:hint="eastAsia"/>
          <w:sz w:val="22"/>
          <w:szCs w:val="21"/>
        </w:rPr>
        <w:t>项目（招标编号：）投标活动的合法代表，以我方名义全权处理该项目有关投标、签订合同以及执行合同等一切事宜。</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特此声明。</w:t>
      </w:r>
    </w:p>
    <w:p>
      <w:pPr>
        <w:spacing w:lineRule="atLeast" w:line="360"/>
        <w:ind w:firstLineChars="196" w:firstLine="431"/>
        <w:jc w:val="left"/>
        <w:outlineLvl w:val="1"/>
        <w:rPr>
          <w:rFonts w:hAnsi="Times New Roman" w:ascii="Times New Roman"/>
          <w:sz w:val="22"/>
          <w:szCs w:val="21"/>
        </w:rPr>
      </w:pP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spacing w:lineRule="atLeast" w:line="360"/>
        <w:ind w:firstLineChars="196" w:firstLine="431"/>
        <w:jc w:val="left"/>
        <w:outlineLvl w:val="1"/>
        <w:rPr>
          <w:rFonts w:hAnsi="Times New Roman" w:ascii="Times New Roman"/>
          <w:sz w:val="32"/>
          <w:szCs w:val="21"/>
        </w:rPr>
      </w:pPr>
      <w:r>
        <w:rPr>
          <w:rFonts w:hAnsi="Times New Roman" w:ascii="Times New Roman" w:hint="eastAsia"/>
          <w:sz w:val="22"/>
          <w:szCs w:val="21"/>
        </w:rPr>
        <w:t>法定代表人（签字或盖章）：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 期：</w:t>
      </w:r>
    </w:p>
    <w:p>
      <w:pPr>
        <w:spacing w:lineRule="atLeast" w:line="360"/>
        <w:jc w:val="left"/>
        <w:outlineLvl w:val="1"/>
        <w:rPr>
          <w:rFonts w:hAnsi="Times New Roman" w:ascii="Times New Roman"/>
          <w:b/>
          <w:sz w:val="22"/>
          <w:szCs w:val="21"/>
        </w:rPr>
      </w:pPr>
      <w:bookmarkStart w:name="_Toc217446084" w:id="180"/>
    </w:p>
    <w:p>
      <w:pPr>
        <w:spacing w:lineRule="atLeast" w:line="360"/>
        <w:jc w:val="left"/>
        <w:outlineLvl w:val="1"/>
        <w:rPr>
          <w:rFonts w:hAnsi="Times New Roman" w:ascii="Times New Roman"/>
          <w:b/>
          <w:sz w:val="22"/>
          <w:szCs w:val="21"/>
        </w:rPr>
      </w:pPr>
    </w:p>
    <w:p>
      <w:pPr>
        <w:spacing w:lineRule="exact" w:line="400"/>
        <w:rPr>
          <w:rFonts w:hAnsi="Times New Roman" w:ascii="Times New Roman"/>
          <w:b/>
          <w:sz w:val="22"/>
        </w:rPr>
      </w:pPr>
      <w:r>
        <w:rPr>
          <w:rFonts w:hAnsi="宋体" w:ascii="Times New Roman" w:hint="eastAsia"/>
          <w:b/>
          <w:sz w:val="22"/>
        </w:rPr>
        <w:t>附：</w:t>
      </w:r>
      <w:r>
        <w:rPr>
          <w:rFonts w:hAnsi="Times New Roman" w:ascii="Times New Roman"/>
          <w:b/>
          <w:sz w:val="22"/>
        </w:rPr>
        <w:t xml:space="preserve">1. </w:t>
      </w:r>
      <w:r>
        <w:rPr>
          <w:rFonts w:hAnsi="宋体" w:ascii="Times New Roman" w:hint="eastAsia"/>
          <w:b/>
          <w:sz w:val="22"/>
        </w:rPr>
        <w:t>法定代表人身份证正反面复印件（加盖公章）</w:t>
      </w:r>
    </w:p>
    <w:p>
      <w:pPr>
        <w:spacing w:lineRule="exact" w:line="400"/>
        <w:rPr>
          <w:rFonts w:hAnsi="Times New Roman" w:ascii="Times New Roman"/>
          <w:b/>
          <w:sz w:val="22"/>
        </w:rPr>
      </w:pPr>
      <w:r>
        <w:rPr>
          <w:rFonts w:hAnsi="Times New Roman" w:ascii="Times New Roman"/>
          <w:b/>
          <w:sz w:val="22"/>
        </w:rPr>
        <w:t xml:space="preserve">2. </w:t>
      </w:r>
      <w:r>
        <w:rPr>
          <w:rFonts w:hAnsi="宋体" w:ascii="Times New Roman" w:hint="eastAsia"/>
          <w:b/>
          <w:sz w:val="22"/>
        </w:rPr>
        <w:t>委托代理人身份证正反面复印件（加盖公章）</w:t>
      </w:r>
    </w:p>
    <w:p>
      <w:pPr>
        <w:spacing w:lineRule="exact" w:line="400"/>
        <w:rPr>
          <w:rFonts w:hAnsi="Times New Roman" w:ascii="Times New Roman"/>
          <w:b/>
          <w:sz w:val="22"/>
        </w:rPr>
      </w:pPr>
    </w:p>
    <w:p>
      <w:pPr>
        <w:spacing w:lineRule="atLeast" w:line="360"/>
        <w:jc w:val="left"/>
        <w:outlineLvl w:val="1"/>
        <w:rPr>
          <w:rFonts w:hAnsi="Times New Roman" w:ascii="Times New Roman"/>
          <w:b/>
          <w:sz w:val="22"/>
          <w:szCs w:val="21"/>
        </w:rPr>
      </w:pPr>
    </w:p>
    <w:bookmarkEnd w:id="180"/>
    <w:p>
      <w:pPr>
        <w:spacing w:lineRule="auto" w:line="360"/>
        <w:ind w:firstLineChars="246" w:firstLine="689"/>
        <w:jc w:val="center"/>
        <w:rPr>
          <w:rFonts w:eastAsia="华文中宋" w:hAnsi="Times New Roman" w:ascii="Times New Roman"/>
          <w:b/>
          <w:sz w:val="28"/>
          <w:szCs w:val="21"/>
        </w:rPr>
      </w:pPr>
    </w:p>
    <w:p>
      <w:pPr>
        <w:spacing w:lineRule="auto" w:line="360"/>
        <w:jc w:val="left"/>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 xml:space="preserve">1-3               </w:t>
      </w:r>
    </w:p>
    <w:p>
      <w:pPr>
        <w:spacing w:lineRule="auto" w:line="360"/>
        <w:jc w:val="left"/>
        <w:rPr>
          <w:rFonts w:hAnsi="Times New Roman" w:ascii="Times New Roman"/>
          <w:b/>
          <w:sz w:val="28"/>
          <w:szCs w:val="28"/>
        </w:rPr>
      </w:pPr>
      <w:r>
        <w:rPr>
          <w:rFonts w:hAnsi="宋体" w:ascii="Times New Roman" w:hint="eastAsia"/>
          <w:b/>
          <w:sz w:val="28"/>
          <w:szCs w:val="28"/>
        </w:rPr>
        <w:t>二、《中华人民共和国政府采购法》第二十二条承诺函</w:t>
      </w:r>
    </w:p>
    <w:p>
      <w:pPr>
        <w:spacing w:lineRule="atLeast" w:line="360"/>
        <w:jc w:val="center"/>
        <w:outlineLvl w:val="1"/>
        <w:rPr>
          <w:rFonts w:hAnsi="Times New Roman" w:ascii="Times New Roman"/>
          <w:b/>
          <w:sz w:val="22"/>
          <w:szCs w:val="21"/>
        </w:rPr>
      </w:pPr>
    </w:p>
    <w:p>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具备《中华人民共和国政府采购法》第二十二条第一款和本项目规定的条件：</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（一）具有独立承担民事责任的能力；</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（二）具有良好的商业信誉和健全的财务会计制度；</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（三）具有履行合同所必需的设备和专业技术能力；</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（四）有依法缴纳税收和社会保障资金的良好记录；</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（五）参加政府采购活动前三年内，在经营活动中没有重大违法记录；</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（六）法律、行政法规规定的其他条件；</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（七）根据采购项目提出的特殊条件。</w:t>
      </w: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 期：</w:t>
      </w:r>
    </w:p>
    <w:p>
      <w:pPr>
        <w:spacing w:lineRule="atLeast" w:line="360"/>
        <w:outlineLvl w:val="1"/>
        <w:rPr>
          <w:rFonts w:hAnsi="Times New Roman" w:ascii="Times New Roman"/>
          <w:b/>
          <w:sz w:val="28"/>
          <w:szCs w:val="28"/>
        </w:rPr>
      </w:pPr>
      <w:r>
        <w:rPr>
          <w:rFonts w:hAnsi="Times New Roman" w:ascii="Times New Roman"/>
          <w:sz w:val="22"/>
          <w:szCs w:val="21"/>
          <w:highlight w:val="yellow"/>
        </w:rPr>
        <w:br w:type="page"/>
      </w:r>
      <w:r>
        <w:rPr>
          <w:rFonts w:hAnsi="宋体" w:ascii="Times New Roman" w:hint="eastAsia"/>
          <w:b/>
          <w:sz w:val="28"/>
          <w:szCs w:val="28"/>
        </w:rPr>
        <w:t>格式</w:t>
      </w:r>
      <w:r>
        <w:rPr>
          <w:rFonts w:hAnsi="Times New Roman" w:ascii="Times New Roman"/>
          <w:b/>
          <w:sz w:val="28"/>
          <w:szCs w:val="28"/>
        </w:rPr>
        <w:t xml:space="preserve">1-4  </w:t>
      </w:r>
    </w:p>
    <w:p>
      <w:pPr>
        <w:numPr>
          <w:ilvl w:val="0"/>
          <w:numId w:val="2"/>
        </w:numPr>
        <w:spacing w:lineRule="atLeast" w:line="360"/>
        <w:ind w:firstLineChars="200" w:firstLine="561"/>
        <w:jc w:val="center"/>
        <w:outlineLvl w:val="1"/>
        <w:rPr>
          <w:rFonts w:hAnsi="Times New Roman" w:ascii="Times New Roman"/>
          <w:b/>
          <w:sz w:val="28"/>
          <w:szCs w:val="28"/>
        </w:rPr>
      </w:pPr>
      <w:r>
        <w:rPr>
          <w:rFonts w:hAnsi="宋体" w:ascii="Times New Roman" w:hint="eastAsia"/>
          <w:b/>
          <w:sz w:val="28"/>
          <w:szCs w:val="28"/>
        </w:rPr>
        <w:t>承诺函</w:t>
      </w:r>
    </w:p>
    <w:p>
      <w:pPr>
        <w:pStyle w:val="2"/>
        <w:rPr>
          <w:rFonts w:hAnsi="Times New Roman" w:ascii="Times New Roman"/>
          <w:sz w:val="22"/>
          <w:szCs w:val="22"/>
          <w:u w:val="single"/>
        </w:rPr>
      </w:pPr>
    </w:p>
    <w:p>
      <w:pPr>
        <w:pStyle w:val="2"/>
        <w:rPr>
          <w:rFonts w:hAnsi="Times New Roman" w:ascii="Times New Roman"/>
          <w:sz w:val="32"/>
          <w:szCs w:val="22"/>
          <w:u w:val="single"/>
        </w:rPr>
      </w:pPr>
      <w:r>
        <w:rPr>
          <w:rFonts w:hAnsi="Times New Roman" w:ascii="Times New Roman" w:hint="eastAsia"/>
          <w:sz w:val="22"/>
          <w:szCs w:val="22"/>
          <w:u w:val="single"/>
        </w:rPr>
        <w:t>（采购代理机构名称）：</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作为本次采购项目的投标人，根据招标文件要求，现郑重承诺如下：</w:t>
      </w:r>
    </w:p>
    <w:p>
      <w:pPr>
        <w:spacing w:lineRule="atLeast" w:line="360"/>
        <w:ind w:firstLineChars="200" w:firstLine="440"/>
        <w:jc w:val="left"/>
        <w:outlineLvl w:val="1"/>
        <w:rPr>
          <w:rFonts w:hAnsi="Times New Roman" w:ascii="Times New Roman"/>
          <w:color w:val="000000"/>
          <w:sz w:val="22"/>
          <w:szCs w:val="21"/>
        </w:rPr>
      </w:pPr>
      <w:r>
        <w:rPr>
          <w:rFonts w:hAnsi="Times New Roman" w:ascii="Times New Roman" w:hint="eastAsia"/>
          <w:sz w:val="22"/>
          <w:szCs w:val="21"/>
        </w:rPr>
        <w:t>本单位未被列入失信被执行人、重大税收违法案件当事人名单、政府采购严重违法失信行为记录名单。</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本单位对上述承诺的内容事项真实性负责。如经查实上述承诺的内容事项存在虚假情形，本单位愿意承担因此产生的后果及法律责任。</w:t>
      </w:r>
    </w:p>
    <w:p>
      <w:pPr>
        <w:spacing w:lineRule="auto" w:line="360"/>
        <w:ind w:firstLineChars="200" w:firstLine="440"/>
        <w:rPr>
          <w:rFonts w:hAnsi="Times New Roman" w:ascii="Times New Roman"/>
          <w:color w:val="000000"/>
          <w:sz w:val="22"/>
          <w:szCs w:val="21"/>
        </w:rPr>
      </w:pPr>
    </w:p>
    <w:p>
      <w:pPr>
        <w:pStyle w:val="2"/>
        <w:rPr>
          <w:rFonts w:hAnsi="Times New Roman" w:ascii="Times New Roman"/>
          <w:sz w:val="32"/>
          <w:szCs w:val="22"/>
        </w:rPr>
      </w:pPr>
    </w:p>
    <w:p>
      <w:pPr>
        <w:spacing w:lineRule="auto" w:line="360"/>
        <w:rPr>
          <w:rFonts w:hAnsi="Times New Roman" w:ascii="Times New Roman"/>
          <w:bCs/>
          <w:color w:val="000000"/>
          <w:sz w:val="22"/>
          <w:szCs w:val="21"/>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 期：</w:t>
      </w:r>
    </w:p>
    <w:p>
      <w:pPr>
        <w:pStyle w:val="2"/>
        <w:rPr>
          <w:rFonts w:hAnsi="Times New Roman" w:ascii="Times New Roman"/>
          <w:sz w:val="32"/>
          <w:szCs w:val="22"/>
        </w:rPr>
      </w:pPr>
    </w:p>
    <w:p>
      <w:pPr>
        <w:spacing w:lineRule="atLeast" w:line="360"/>
        <w:ind w:firstLineChars="196" w:firstLine="431"/>
        <w:jc w:val="left"/>
        <w:outlineLvl w:val="1"/>
        <w:rPr>
          <w:rFonts w:hAnsi="Times New Roman" w:ascii="Times New Roman"/>
          <w:sz w:val="22"/>
          <w:szCs w:val="21"/>
          <w:highlight w:val="yellow"/>
        </w:rPr>
      </w:pPr>
    </w:p>
    <w:p>
      <w:pPr>
        <w:pStyle w:val="2"/>
        <w:rPr>
          <w:rFonts w:hAnsi="Times New Roman" w:ascii="Times New Roman"/>
          <w:sz w:val="22"/>
          <w:szCs w:val="22"/>
          <w:highlight w:val="yellow"/>
        </w:rPr>
      </w:pPr>
    </w:p>
    <w:p>
      <w:pPr>
        <w:rPr>
          <w:rFonts w:hAnsi="Times New Roman" w:ascii="Times New Roman"/>
          <w:sz w:val="22"/>
          <w:szCs w:val="21"/>
        </w:rPr>
      </w:pPr>
    </w:p>
    <w:p>
      <w:pPr>
        <w:pStyle w:val="2"/>
        <w:rPr>
          <w:rFonts w:hAnsi="Times New Roman" w:ascii="Times New Roman"/>
          <w:sz w:val="32"/>
          <w:szCs w:val="22"/>
        </w:rPr>
      </w:pPr>
    </w:p>
    <w:p>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1-5</w:t>
      </w:r>
    </w:p>
    <w:p>
      <w:pPr>
        <w:spacing w:lineRule="auto" w:line="360"/>
        <w:ind w:firstLineChars="246" w:firstLine="689"/>
        <w:jc w:val="center"/>
        <w:rPr>
          <w:rFonts w:eastAsia="黑体" w:hAnsi="Times New Roman" w:ascii="Times New Roman"/>
          <w:b/>
          <w:sz w:val="28"/>
          <w:szCs w:val="28"/>
        </w:rPr>
      </w:pPr>
      <w:r>
        <w:rPr>
          <w:rFonts w:eastAsia="黑体" w:hAnsi="Times New Roman" w:ascii="Times New Roman" w:hint="eastAsia"/>
          <w:b/>
          <w:sz w:val="28"/>
          <w:szCs w:val="28"/>
        </w:rPr>
        <w:t>四、投标人和投标产品其他资格、资质性及其他类似效力要求的相关证明材料</w:t>
      </w:r>
    </w:p>
    <w:p>
      <w:pPr>
        <w:spacing w:lineRule="auto" w:line="360"/>
        <w:rPr>
          <w:rFonts w:hAnsi="Times New Roman" w:ascii="Times New Roman"/>
          <w:bCs/>
          <w:sz w:val="22"/>
          <w:szCs w:val="21"/>
        </w:rPr>
      </w:pPr>
      <w:r>
        <w:rPr>
          <w:rFonts w:hAnsi="宋体" w:ascii="Times New Roman" w:hint="eastAsia"/>
          <w:bCs/>
          <w:sz w:val="22"/>
          <w:szCs w:val="21"/>
        </w:rPr>
        <w:t>注：投标人应按招标文件第四章相关要求提供佐证材料，有格式要求的从其要求，无格式要求的格式自拟。</w:t>
      </w:r>
    </w:p>
    <w:p>
      <w:pPr>
        <w:tabs>
          <w:tab w:pos="900" w:val="left"/>
        </w:tabs>
        <w:spacing w:lineRule="auto" w:line="360"/>
        <w:jc w:val="center"/>
        <w:rPr>
          <w:rFonts w:hAnsi="Times New Roman" w:ascii="Times New Roman"/>
          <w:b/>
          <w:sz w:val="28"/>
          <w:szCs w:val="21"/>
        </w:rPr>
      </w:pPr>
      <w:r>
        <w:rPr>
          <w:rFonts w:hAnsi="Times New Roman" w:ascii="Times New Roman"/>
          <w:b/>
          <w:sz w:val="28"/>
          <w:szCs w:val="21"/>
        </w:rPr>
        <w:br w:type="page"/>
      </w:r>
      <w:r>
        <w:rPr>
          <w:rFonts w:hAnsi="宋体" w:ascii="Times New Roman" w:hint="eastAsia"/>
          <w:b/>
          <w:sz w:val="28"/>
          <w:szCs w:val="21"/>
        </w:rPr>
        <w:t>第二部分</w:t>
      </w:r>
      <w:r>
        <w:rPr>
          <w:rFonts w:hAnsi="Times New Roman" w:ascii="Times New Roman"/>
          <w:b/>
          <w:sz w:val="28"/>
          <w:szCs w:val="21"/>
        </w:rPr>
        <w:t xml:space="preserve">     “</w:t>
      </w:r>
      <w:r>
        <w:rPr>
          <w:rFonts w:hAnsi="宋体" w:ascii="Times New Roman" w:hint="eastAsia"/>
          <w:b/>
          <w:sz w:val="28"/>
          <w:szCs w:val="21"/>
        </w:rPr>
        <w:t>其他响应性投标文件</w:t>
      </w:r>
      <w:r>
        <w:rPr>
          <w:rFonts w:hAnsi="Times New Roman" w:ascii="Times New Roman"/>
          <w:b/>
          <w:sz w:val="28"/>
          <w:szCs w:val="21"/>
        </w:rPr>
        <w:t>”</w:t>
      </w:r>
      <w:r>
        <w:rPr>
          <w:rFonts w:hAnsi="宋体" w:ascii="Times New Roman" w:hint="eastAsia"/>
          <w:b/>
          <w:sz w:val="28"/>
          <w:szCs w:val="21"/>
        </w:rPr>
        <w:t>格式</w:t>
      </w:r>
    </w:p>
    <w:p>
      <w:pPr>
        <w:spacing w:lineRule="auto" w:line="360"/>
        <w:rPr>
          <w:rFonts w:eastAsia="华文中宋" w:hAnsi="Times New Roman" w:ascii="Times New Roman"/>
          <w:b/>
          <w:sz w:val="28"/>
          <w:szCs w:val="28"/>
        </w:rPr>
      </w:pPr>
    </w:p>
    <w:p>
      <w:pPr>
        <w:spacing w:lineRule="auto" w:line="360"/>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2-1             </w:t>
      </w:r>
      <w:r>
        <w:rPr>
          <w:rFonts w:hAnsi="宋体" w:ascii="Times New Roman" w:hint="eastAsia"/>
          <w:b/>
          <w:sz w:val="28"/>
          <w:szCs w:val="28"/>
        </w:rPr>
        <w:t>封面：</w:t>
      </w:r>
    </w:p>
    <w:p>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pPr>
        <w:spacing w:lineRule="auto" w:line="360"/>
        <w:rPr>
          <w:rFonts w:hAnsi="Times New Roman" w:ascii="Times New Roman"/>
          <w:b/>
          <w:sz w:val="28"/>
          <w:szCs w:val="28"/>
        </w:rPr>
      </w:pPr>
    </w:p>
    <w:p>
      <w:pPr>
        <w:spacing w:lineRule="auto" w:line="360"/>
        <w:jc w:val="center"/>
        <w:rPr>
          <w:rFonts w:hAnsi="Times New Roman" w:ascii="Times New Roman"/>
          <w:b/>
          <w:sz w:val="56"/>
          <w:szCs w:val="21"/>
        </w:rPr>
      </w:pPr>
      <w:r>
        <w:rPr>
          <w:rFonts w:hAnsi="宋体" w:ascii="Times New Roman" w:hint="eastAsia"/>
          <w:b/>
          <w:sz w:val="36"/>
          <w:szCs w:val="44"/>
        </w:rPr>
        <w:t>项目</w:t>
      </w:r>
    </w:p>
    <w:p>
      <w:pPr>
        <w:spacing w:lineRule="auto" w:line="360"/>
        <w:rPr>
          <w:rFonts w:hAnsi="Times New Roman" w:ascii="Times New Roman"/>
          <w:b/>
          <w:sz w:val="48"/>
          <w:szCs w:val="48"/>
        </w:rPr>
      </w:pPr>
    </w:p>
    <w:p>
      <w:pPr>
        <w:spacing w:lineRule="auto" w:line="360"/>
        <w:jc w:val="center"/>
        <w:rPr>
          <w:rFonts w:hAnsi="Times New Roman" w:ascii="Times New Roman"/>
          <w:b/>
          <w:sz w:val="32"/>
          <w:szCs w:val="21"/>
        </w:rPr>
      </w:pPr>
      <w:r>
        <w:rPr>
          <w:rFonts w:hAnsi="宋体" w:ascii="Times New Roman" w:hint="eastAsia"/>
          <w:b/>
          <w:sz w:val="48"/>
          <w:szCs w:val="48"/>
        </w:rPr>
        <w:t>其他响应性投标文件</w:t>
      </w:r>
    </w:p>
    <w:p>
      <w:pPr>
        <w:spacing w:lineRule="auto" w:line="360"/>
        <w:rPr>
          <w:rFonts w:hAnsi="Times New Roman" w:ascii="Times New Roman"/>
          <w:b/>
          <w:sz w:val="32"/>
          <w:szCs w:val="21"/>
        </w:rPr>
      </w:pPr>
    </w:p>
    <w:p>
      <w:pPr>
        <w:spacing w:lineRule="auto" w:line="360"/>
        <w:rPr>
          <w:rFonts w:eastAsiaTheme="minorEastAsia" w:hAnsiTheme="minorEastAsia" w:asciiTheme="minorEastAsia"/>
          <w:b/>
          <w:sz w:val="32"/>
        </w:rPr>
      </w:pPr>
    </w:p>
    <w:p>
      <w:pPr>
        <w:spacing w:lineRule="auto" w:line="360"/>
        <w:rPr>
          <w:rFonts w:eastAsiaTheme="minorEastAsia" w:hAnsiTheme="minorEastAsia" w:asciiTheme="minorEastAsia"/>
          <w:b/>
          <w:sz w:val="32"/>
        </w:rPr>
      </w:pPr>
    </w:p>
    <w:p>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投 标 人</w:t>
      </w:r>
      <w:r>
        <w:rPr>
          <w:rFonts w:eastAsiaTheme="minorEastAsia" w:hAnsiTheme="minorEastAsia" w:asciiTheme="minorEastAsia"/>
          <w:b/>
          <w:sz w:val="32"/>
        </w:rPr>
        <w:t>名称：</w:t>
      </w:r>
    </w:p>
    <w:p>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pPr>
        <w:spacing w:lineRule="auto" w:line="360"/>
        <w:rPr>
          <w:rFonts w:eastAsiaTheme="minorEastAsia" w:hAnsiTheme="minorEastAsia" w:asciiTheme="minorEastAsia"/>
          <w:b/>
          <w:sz w:val="32"/>
          <w:u w:val="single"/>
        </w:rPr>
      </w:pPr>
      <w:r>
        <w:rPr>
          <w:rFonts w:eastAsiaTheme="minorEastAsia" w:hAnsiTheme="minorEastAsia" w:asciiTheme="minorEastAsia" w:hint="eastAsia"/>
          <w:b/>
          <w:kern w:val="44"/>
          <w:sz w:val="32"/>
          <w:szCs w:val="24"/>
        </w:rPr>
        <w:t>委托代理人身份证号：</w:t>
      </w:r>
    </w:p>
    <w:p>
      <w:pPr>
        <w:spacing w:lineRule="auto" w:line="360"/>
        <w:rPr>
          <w:rFonts w:eastAsiaTheme="minorEastAsia" w:hAnsiTheme="minorEastAsia" w:asciiTheme="minorEastAsia"/>
          <w:b/>
          <w:sz w:val="32"/>
          <w:u w:val="single"/>
        </w:rPr>
      </w:pPr>
      <w:r>
        <w:rPr>
          <w:rFonts w:eastAsiaTheme="minorEastAsia" w:hAnsiTheme="minorEastAsia" w:asciiTheme="minorEastAsia" w:hint="eastAsia"/>
          <w:b/>
          <w:sz w:val="32"/>
        </w:rPr>
        <w:t>采购项目</w:t>
      </w:r>
      <w:r>
        <w:rPr>
          <w:rFonts w:eastAsiaTheme="minorEastAsia" w:hAnsiTheme="minorEastAsia" w:asciiTheme="minorEastAsia"/>
          <w:b/>
          <w:sz w:val="32"/>
        </w:rPr>
        <w:t>编号：</w:t>
      </w:r>
    </w:p>
    <w:p>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包   号</w:t>
      </w:r>
      <w:r>
        <w:rPr>
          <w:rFonts w:eastAsiaTheme="minorEastAsia" w:hAnsiTheme="minorEastAsia" w:asciiTheme="minorEastAsia"/>
          <w:b/>
          <w:sz w:val="32"/>
        </w:rPr>
        <w:t>：</w:t>
      </w:r>
    </w:p>
    <w:p>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时   间</w:t>
      </w:r>
      <w:r>
        <w:rPr>
          <w:rFonts w:eastAsiaTheme="minorEastAsia" w:hAnsiTheme="minorEastAsia" w:asciiTheme="minorEastAsia"/>
          <w:b/>
          <w:sz w:val="32"/>
        </w:rPr>
        <w:t>：</w:t>
      </w:r>
      <w:r>
        <w:rPr>
          <w:rFonts w:eastAsiaTheme="minorEastAsia" w:hAnsiTheme="minorEastAsia" w:asciiTheme="minorEastAsia" w:hint="eastAsia"/>
          <w:b/>
          <w:sz w:val="32"/>
        </w:rPr>
        <w:t xml:space="preserve"> </w:t>
      </w:r>
      <w:r>
        <w:rPr>
          <w:rFonts w:eastAsiaTheme="minorEastAsia" w:hAnsiTheme="minorEastAsia" w:asciiTheme="minorEastAsia"/>
          <w:b/>
          <w:sz w:val="32"/>
        </w:rPr>
        <w:t>年</w:t>
      </w:r>
      <w:r>
        <w:rPr>
          <w:rFonts w:eastAsiaTheme="minorEastAsia" w:hAnsiTheme="minorEastAsia" w:asciiTheme="minorEastAsia" w:hint="eastAsia"/>
          <w:b/>
          <w:sz w:val="32"/>
        </w:rPr>
        <w:t xml:space="preserve"> </w:t>
      </w:r>
      <w:r>
        <w:rPr>
          <w:rFonts w:eastAsiaTheme="minorEastAsia" w:hAnsiTheme="minorEastAsia" w:asciiTheme="minorEastAsia"/>
          <w:b/>
          <w:sz w:val="32"/>
        </w:rPr>
        <w:t>月</w:t>
      </w:r>
      <w:r>
        <w:rPr>
          <w:rFonts w:eastAsiaTheme="minorEastAsia" w:hAnsiTheme="minorEastAsia" w:asciiTheme="minorEastAsia" w:hint="eastAsia"/>
          <w:b/>
          <w:sz w:val="32"/>
        </w:rPr>
        <w:t xml:space="preserve"> </w:t>
      </w:r>
      <w:r>
        <w:rPr>
          <w:rFonts w:eastAsiaTheme="minorEastAsia" w:hAnsiTheme="minorEastAsia" w:asciiTheme="minorEastAsia"/>
          <w:b/>
          <w:sz w:val="32"/>
        </w:rPr>
        <w:t>日</w:t>
      </w:r>
    </w:p>
    <w:p>
      <w:pPr>
        <w:spacing w:lineRule="exact" w:line="400"/>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2-2</w:t>
      </w:r>
    </w:p>
    <w:p>
      <w:pPr>
        <w:spacing w:lineRule="atLeast" w:line="360"/>
        <w:jc w:val="center"/>
        <w:outlineLvl w:val="1"/>
        <w:rPr>
          <w:rFonts w:eastAsia="黑体" w:hAnsi="Times New Roman" w:ascii="Times New Roman"/>
          <w:b/>
          <w:sz w:val="28"/>
          <w:szCs w:val="28"/>
        </w:rPr>
      </w:pPr>
      <w:bookmarkStart w:name="_Toc20015" w:id="181"/>
      <w:bookmarkStart w:name="_Toc32711" w:id="182"/>
      <w:bookmarkStart w:name="_Toc10210" w:id="183"/>
    </w:p>
    <w:p>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一、投标函</w:t>
      </w:r>
    </w:p>
    <w:p>
      <w:pPr>
        <w:spacing w:lineRule="atLeast" w:line="360"/>
        <w:jc w:val="center"/>
        <w:outlineLvl w:val="1"/>
        <w:rPr>
          <w:rFonts w:hAnsi="Times New Roman" w:ascii="Times New Roman"/>
          <w:b/>
          <w:sz w:val="22"/>
          <w:szCs w:val="21"/>
        </w:rPr>
      </w:pPr>
    </w:p>
    <w:p>
      <w:pPr>
        <w:pStyle w:val="9"/>
        <w:spacing w:lineRule="auto" w:line="240"/>
        <w:ind w:left="680"/>
        <w:rPr>
          <w:rFonts w:hAnsi="Times New Roman" w:ascii="Times New Roman"/>
          <w:bCs/>
          <w:sz w:val="22"/>
          <w:szCs w:val="21"/>
        </w:rPr>
      </w:pPr>
      <w:bookmarkStart w:name="_Toc308164824" w:id="184"/>
      <w:r>
        <w:rPr>
          <w:rFonts w:hAnsi="Times New Roman" w:ascii="Times New Roman"/>
          <w:bCs/>
          <w:sz w:val="22"/>
          <w:szCs w:val="21"/>
        </w:rPr>
        <w:t>__________________</w:t>
      </w:r>
      <w:r>
        <w:rPr>
          <w:rFonts w:hAnsi="Times New Roman" w:ascii="Times New Roman" w:hint="eastAsia"/>
          <w:bCs/>
          <w:sz w:val="22"/>
          <w:szCs w:val="21"/>
        </w:rPr>
        <w:t>（采购代理机构名称）：</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我方全面研究了</w:t>
      </w:r>
      <w:r>
        <w:rPr>
          <w:rFonts w:hAnsi="Times New Roman" w:ascii="Times New Roman"/>
          <w:bCs/>
          <w:sz w:val="22"/>
          <w:szCs w:val="21"/>
        </w:rPr>
        <w:t xml:space="preserve"> “</w:t>
      </w:r>
      <w:r>
        <w:rPr>
          <w:rFonts w:hAnsi="Times New Roman" w:ascii="Times New Roman" w:hint="eastAsia"/>
          <w:bCs/>
          <w:sz w:val="22"/>
          <w:szCs w:val="21"/>
          <w:u w:val="single"/>
        </w:rPr>
        <w:t>（项目名称）</w:t>
      </w:r>
      <w:r>
        <w:rPr>
          <w:rFonts w:hAnsi="Times New Roman" w:ascii="Times New Roman"/>
          <w:bCs/>
          <w:sz w:val="22"/>
          <w:szCs w:val="21"/>
        </w:rPr>
        <w:t>”</w:t>
      </w:r>
      <w:r>
        <w:rPr>
          <w:rFonts w:hAnsi="Times New Roman" w:ascii="Times New Roman" w:hint="eastAsia"/>
          <w:bCs/>
          <w:sz w:val="22"/>
          <w:szCs w:val="21"/>
        </w:rPr>
        <w:t>项目招标文件（招标编号：</w:t>
      </w:r>
      <w:r>
        <w:rPr>
          <w:rFonts w:hAnsi="Times New Roman" w:ascii="Times New Roman" w:hint="eastAsia"/>
          <w:bCs/>
          <w:sz w:val="22"/>
          <w:szCs w:val="21"/>
          <w:u w:val="single"/>
        </w:rPr>
        <w:t xml:space="preserve">         </w:t>
      </w:r>
      <w:r>
        <w:rPr>
          <w:rFonts w:hAnsi="Times New Roman" w:ascii="Times New Roman" w:hint="eastAsia"/>
          <w:bCs/>
          <w:sz w:val="22"/>
          <w:szCs w:val="21"/>
        </w:rPr>
        <w:t>），决定参加贵单位组织的本项目投标。我方授权</w:t>
      </w:r>
      <w:r>
        <w:rPr>
          <w:rFonts w:hAnsi="Times New Roman" w:ascii="Times New Roman" w:hint="eastAsia"/>
          <w:bCs/>
          <w:sz w:val="22"/>
          <w:szCs w:val="21"/>
          <w:u w:val="single"/>
        </w:rPr>
        <w:t xml:space="preserve">（姓名、职务）   </w:t>
      </w:r>
      <w:r>
        <w:rPr>
          <w:rFonts w:hAnsi="Times New Roman" w:ascii="Times New Roman" w:hint="eastAsia"/>
          <w:bCs/>
          <w:sz w:val="22"/>
          <w:szCs w:val="21"/>
        </w:rPr>
        <w:t>代表我方</w:t>
      </w:r>
      <w:r>
        <w:rPr>
          <w:rFonts w:hAnsi="Times New Roman" w:ascii="Times New Roman" w:hint="eastAsia"/>
          <w:bCs/>
          <w:sz w:val="22"/>
          <w:szCs w:val="21"/>
          <w:u w:val="single"/>
        </w:rPr>
        <w:t xml:space="preserve">（投标单位的名称）  </w:t>
      </w:r>
      <w:r>
        <w:rPr>
          <w:rFonts w:hAnsi="Times New Roman" w:ascii="Times New Roman" w:hint="eastAsia"/>
          <w:bCs/>
          <w:sz w:val="22"/>
          <w:szCs w:val="21"/>
        </w:rPr>
        <w:t>全权处理本项目投标的有关事宜。</w:t>
      </w:r>
    </w:p>
    <w:p>
      <w:pPr>
        <w:pStyle w:val="9"/>
        <w:spacing w:lineRule="auto" w:line="240"/>
        <w:ind w:firstLineChars="200" w:firstLine="440" w:left="680"/>
        <w:rPr>
          <w:rFonts w:hAnsi="Times New Roman" w:ascii="Times New Roman"/>
          <w:bCs/>
          <w:sz w:val="22"/>
          <w:szCs w:val="21"/>
        </w:rPr>
      </w:pPr>
      <w:r>
        <w:rPr>
          <w:rFonts w:hAnsi="Times New Roman" w:ascii="Times New Roman"/>
          <w:bCs/>
          <w:sz w:val="22"/>
          <w:szCs w:val="21"/>
        </w:rPr>
        <w:t>1</w:t>
      </w:r>
      <w:r>
        <w:rPr>
          <w:rFonts w:hAnsi="Times New Roman" w:ascii="Times New Roman" w:hint="eastAsia"/>
          <w:bCs/>
          <w:sz w:val="22"/>
          <w:szCs w:val="21"/>
        </w:rPr>
        <w:t>、我方自愿按照招标文件规定的各项要求向采购人提供所需货物</w:t>
      </w:r>
      <w:r>
        <w:rPr>
          <w:rFonts w:hAnsi="Times New Roman" w:ascii="Times New Roman"/>
          <w:bCs/>
          <w:sz w:val="22"/>
          <w:szCs w:val="21"/>
        </w:rPr>
        <w:t>/</w:t>
      </w:r>
      <w:r>
        <w:rPr>
          <w:rFonts w:hAnsi="Times New Roman" w:ascii="Times New Roman" w:hint="eastAsia"/>
          <w:bCs/>
          <w:sz w:val="22"/>
          <w:szCs w:val="21"/>
        </w:rPr>
        <w:t>服务，总投标价为人民币</w:t>
      </w:r>
      <w:r>
        <w:rPr>
          <w:rFonts w:hAnsi="Times New Roman" w:ascii="Times New Roman" w:hint="eastAsia"/>
          <w:bCs/>
          <w:sz w:val="22"/>
          <w:szCs w:val="21"/>
          <w:u w:val="single"/>
        </w:rPr>
        <w:t xml:space="preserve">         </w:t>
      </w:r>
      <w:r>
        <w:rPr>
          <w:rFonts w:hAnsi="Times New Roman" w:ascii="Times New Roman" w:hint="eastAsia"/>
          <w:bCs/>
          <w:sz w:val="22"/>
          <w:szCs w:val="21"/>
        </w:rPr>
        <w:t>万元（大写：</w:t>
      </w:r>
      <w:r>
        <w:rPr>
          <w:rFonts w:hAnsi="Times New Roman" w:ascii="Times New Roman" w:hint="eastAsia"/>
          <w:bCs/>
          <w:sz w:val="22"/>
          <w:szCs w:val="21"/>
          <w:u w:val="single"/>
        </w:rPr>
        <w:t xml:space="preserve">         </w:t>
      </w:r>
      <w:r>
        <w:rPr>
          <w:rFonts w:hAnsi="Times New Roman" w:ascii="Times New Roman" w:hint="eastAsia"/>
          <w:bCs/>
          <w:sz w:val="22"/>
          <w:szCs w:val="21"/>
        </w:rPr>
        <w:t>）。</w:t>
      </w:r>
    </w:p>
    <w:p>
      <w:pPr>
        <w:pStyle w:val="9"/>
        <w:spacing w:lineRule="auto" w:line="240"/>
        <w:ind w:firstLineChars="200" w:firstLine="440" w:left="680"/>
        <w:rPr>
          <w:rFonts w:hAnsi="Times New Roman" w:ascii="Times New Roman"/>
          <w:bCs/>
          <w:sz w:val="22"/>
          <w:szCs w:val="21"/>
        </w:rPr>
      </w:pPr>
      <w:r>
        <w:rPr>
          <w:rFonts w:hAnsi="Times New Roman" w:ascii="Times New Roman"/>
          <w:bCs/>
          <w:sz w:val="22"/>
          <w:szCs w:val="21"/>
        </w:rPr>
        <w:t>2</w:t>
      </w:r>
      <w:r>
        <w:rPr>
          <w:rFonts w:hAnsi="Times New Roman" w:ascii="Times New Roman" w:hint="eastAsia"/>
          <w:bCs/>
          <w:sz w:val="22"/>
          <w:szCs w:val="21"/>
        </w:rPr>
        <w:t>、一旦我方中标，我方将严格履行合同规定的责任和义务，保证按我方承诺时间内完成项目的供货、安装、调试并交付采购人验收、使用。</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3、我方为本项目提交的投标文件正本</w:t>
      </w:r>
      <w:r>
        <w:rPr>
          <w:rFonts w:hAnsi="Times New Roman" w:ascii="Times New Roman"/>
          <w:bCs/>
          <w:sz w:val="22"/>
          <w:szCs w:val="21"/>
        </w:rPr>
        <w:t>1</w:t>
      </w:r>
      <w:r>
        <w:rPr>
          <w:rFonts w:hAnsi="Times New Roman" w:ascii="Times New Roman" w:hint="eastAsia"/>
          <w:bCs/>
          <w:sz w:val="22"/>
          <w:szCs w:val="21"/>
        </w:rPr>
        <w:t>份，副本</w:t>
      </w:r>
      <w:r>
        <w:rPr>
          <w:rFonts w:hAnsi="Times New Roman" w:ascii="Times New Roman"/>
          <w:bCs/>
          <w:sz w:val="22"/>
          <w:szCs w:val="21"/>
        </w:rPr>
        <w:t>4</w:t>
      </w:r>
      <w:r>
        <w:rPr>
          <w:rFonts w:hAnsi="Times New Roman" w:ascii="Times New Roman" w:hint="eastAsia"/>
          <w:bCs/>
          <w:sz w:val="22"/>
          <w:szCs w:val="21"/>
        </w:rPr>
        <w:t>份，电子文档（</w:t>
      </w:r>
      <w:r>
        <w:rPr>
          <w:rFonts w:hAnsi="Times New Roman" w:ascii="Times New Roman"/>
          <w:bCs/>
          <w:sz w:val="22"/>
          <w:szCs w:val="21"/>
        </w:rPr>
        <w:t>U</w:t>
      </w:r>
      <w:r>
        <w:rPr>
          <w:rFonts w:hAnsi="Times New Roman" w:ascii="Times New Roman" w:hint="eastAsia"/>
          <w:bCs/>
          <w:sz w:val="22"/>
          <w:szCs w:val="21"/>
        </w:rPr>
        <w:t>盘）</w:t>
      </w:r>
      <w:r>
        <w:rPr>
          <w:rFonts w:hAnsi="Times New Roman" w:ascii="Times New Roman"/>
          <w:bCs/>
          <w:sz w:val="22"/>
          <w:szCs w:val="21"/>
        </w:rPr>
        <w:t>1</w:t>
      </w:r>
      <w:r>
        <w:rPr>
          <w:rFonts w:hAnsi="Times New Roman" w:ascii="Times New Roman" w:hint="eastAsia"/>
          <w:bCs/>
          <w:sz w:val="22"/>
          <w:szCs w:val="21"/>
        </w:rPr>
        <w:t>份，用于开标唱标的</w:t>
      </w:r>
      <w:r>
        <w:rPr>
          <w:rFonts w:hAnsi="Times New Roman" w:ascii="Times New Roman"/>
          <w:bCs/>
          <w:sz w:val="22"/>
          <w:szCs w:val="21"/>
        </w:rPr>
        <w:t>“</w:t>
      </w:r>
      <w:r>
        <w:rPr>
          <w:rFonts w:hAnsi="Times New Roman" w:ascii="Times New Roman" w:hint="eastAsia"/>
          <w:bCs/>
          <w:sz w:val="22"/>
          <w:szCs w:val="21"/>
        </w:rPr>
        <w:t>开标一览表</w:t>
      </w:r>
      <w:r>
        <w:rPr>
          <w:rFonts w:hAnsi="Times New Roman" w:ascii="Times New Roman"/>
          <w:bCs/>
          <w:sz w:val="22"/>
          <w:szCs w:val="21"/>
        </w:rPr>
        <w:t>”1</w:t>
      </w:r>
      <w:r>
        <w:rPr>
          <w:rFonts w:hAnsi="Times New Roman" w:ascii="Times New Roman" w:hint="eastAsia"/>
          <w:bCs/>
          <w:sz w:val="22"/>
          <w:szCs w:val="21"/>
        </w:rPr>
        <w:t>份。</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4、我方承诺投标有效期为开标后</w:t>
      </w:r>
      <w:r>
        <w:rPr>
          <w:rFonts w:hAnsi="Times New Roman" w:ascii="Times New Roman" w:hint="eastAsia"/>
          <w:bCs/>
          <w:sz w:val="22"/>
          <w:szCs w:val="21"/>
          <w:u w:val="single"/>
        </w:rPr>
        <w:t xml:space="preserve">         </w:t>
      </w:r>
      <w:r>
        <w:rPr>
          <w:rFonts w:hAnsi="Times New Roman" w:ascii="Times New Roman" w:hint="eastAsia"/>
          <w:bCs/>
          <w:sz w:val="22"/>
          <w:szCs w:val="21"/>
        </w:rPr>
        <w:t>天（日历日）。</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5、我方愿意提供贵公司可能另外要求的，与投标有关的文件资料，并保证我方已提供和将要提供的文件资料是真实、准确的。</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6、我方完全理解采购人不一定将合同授予最低报价的投标人的行为。</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投标人名称：（盖公章）</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法定代表人或委托代理人：（签字或盖章）：</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通讯地址：</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邮政编码：</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联系电话：</w:t>
      </w:r>
    </w:p>
    <w:p>
      <w:pPr>
        <w:pStyle w:val="9"/>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传真：</w:t>
      </w:r>
    </w:p>
    <w:p>
      <w:pPr>
        <w:pStyle w:val="9"/>
        <w:spacing w:lineRule="auto" w:line="240"/>
        <w:ind w:firstLineChars="200" w:firstLine="440" w:left="680"/>
        <w:rPr>
          <w:rFonts w:hAnsi="Times New Roman" w:ascii="Times New Roman"/>
          <w:sz w:val="32"/>
          <w:szCs w:val="32"/>
        </w:rPr>
      </w:pPr>
      <w:r>
        <w:rPr>
          <w:rFonts w:hAnsi="Times New Roman" w:ascii="Times New Roman" w:hint="eastAsia"/>
          <w:bCs/>
          <w:sz w:val="22"/>
          <w:szCs w:val="21"/>
        </w:rPr>
        <w:t>日期：</w:t>
      </w:r>
    </w:p>
    <w:p>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2-3</w:t>
      </w:r>
    </w:p>
    <w:p>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二、承诺函</w:t>
      </w:r>
    </w:p>
    <w:p>
      <w:pPr>
        <w:spacing w:lineRule="atLeast" w:line="360"/>
        <w:jc w:val="center"/>
        <w:outlineLvl w:val="1"/>
        <w:rPr>
          <w:rFonts w:hAnsi="Times New Roman" w:ascii="Times New Roman"/>
          <w:b/>
          <w:sz w:val="22"/>
          <w:szCs w:val="21"/>
        </w:rPr>
      </w:pPr>
    </w:p>
    <w:p>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三、参加本次招标采购活动，不存在和其他供应商在同一合同项下的采购项目中，同时委托同一个自然人、同一家庭的人员、同一单位的人员作为代理人的行为。</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四、投标文件中提供的能够给予我单位带来优惠、好处的任何材料资料和技术、服务、商务、响应产品等响应承诺情况都是真实的、有效的、合法的。</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本单位对上述承诺的内容事项真实性负责。如经查实上述承诺的内容事项存在虚假，我单位愿意接受以提供虚假材料谋取中标追究法律责任。</w:t>
      </w:r>
    </w:p>
    <w:p>
      <w:pPr>
        <w:spacing w:lineRule="atLeast" w:line="360"/>
        <w:ind w:firstLineChars="196" w:firstLine="431"/>
        <w:jc w:val="left"/>
        <w:outlineLvl w:val="1"/>
        <w:rPr>
          <w:rFonts w:hAnsi="Times New Roman" w:ascii="Times New Roman"/>
          <w:sz w:val="22"/>
          <w:szCs w:val="21"/>
        </w:rPr>
      </w:pP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2-4</w:t>
      </w:r>
    </w:p>
    <w:bookmarkEnd w:id="184"/>
    <w:p>
      <w:pPr>
        <w:numPr>
          <w:ilvl w:val="0"/>
          <w:numId w:val="3"/>
        </w:numPr>
        <w:spacing w:lineRule="exact" w:line="400"/>
        <w:ind w:firstLineChars="200" w:firstLine="561"/>
        <w:jc w:val="center"/>
        <w:rPr>
          <w:rFonts w:eastAsia="黑体" w:hAnsi="Times New Roman" w:ascii="Times New Roman"/>
          <w:b/>
          <w:sz w:val="28"/>
          <w:szCs w:val="28"/>
        </w:rPr>
      </w:pPr>
      <w:bookmarkStart w:name="_Toc217446085" w:id="185"/>
      <w:r>
        <w:rPr>
          <w:rFonts w:eastAsia="黑体" w:hAnsi="Times New Roman" w:ascii="Times New Roman" w:hint="eastAsia"/>
          <w:b/>
          <w:sz w:val="28"/>
          <w:szCs w:val="28"/>
        </w:rPr>
        <w:t>开标一览表</w:t>
      </w:r>
      <w:bookmarkEnd w:id="185"/>
    </w:p>
    <w:p>
      <w:pPr>
        <w:pStyle w:val="2"/>
        <w:rPr>
          <w:rFonts w:hAnsi="Times New Roman" w:ascii="Times New Roman"/>
          <w:sz w:val="24"/>
          <w:szCs w:val="15"/>
        </w:rPr>
      </w:pPr>
      <w:r>
        <w:rPr>
          <w:rFonts w:hAnsi="Times New Roman" w:ascii="Times New Roman" w:hint="eastAsia"/>
          <w:sz w:val="24"/>
          <w:szCs w:val="15"/>
        </w:rPr>
        <w:t>项目编号</w:t>
      </w:r>
      <w:r>
        <w:rPr>
          <w:rFonts w:hAnsi="Times New Roman" w:ascii="Times New Roman"/>
          <w:sz w:val="24"/>
          <w:szCs w:val="15"/>
        </w:rPr>
        <w:t>/</w:t>
      </w:r>
      <w:r>
        <w:rPr>
          <w:rFonts w:hAnsi="Times New Roman" w:ascii="Times New Roman" w:hint="eastAsia"/>
          <w:sz w:val="24"/>
          <w:szCs w:val="15"/>
        </w:rPr>
        <w:t>包号</w:t>
      </w:r>
    </w:p>
    <w:tbl>
      <w:tblPr>
        <w:tblStyle w:val="15"/>
        <w:tblW w:type="dxa" w:w="9757"/>
        <w:jc w:val="center"/>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Layout w:type="fixed"/>
        <w:tblCellMar>
          <w:top w:type="dxa" w:w="0"/>
          <w:left w:type="dxa" w:w="108"/>
          <w:bottom w:type="dxa" w:w="0"/>
          <w:right w:type="dxa" w:w="108"/>
        </w:tblCellMar>
      </w:tblPr>
      <w:tblGrid>
        <w:gridCol w:w="442"/>
        <w:gridCol w:w="1220"/>
        <w:gridCol w:w="1540"/>
        <w:gridCol w:w="642"/>
        <w:gridCol w:w="932"/>
        <w:gridCol w:w="1377"/>
        <w:gridCol w:w="2209"/>
        <w:gridCol w:w="710"/>
        <w:gridCol w:w="685"/>
      </w:tblGrid>
      <w:tr>
        <w:trPr>
          <w:trHeight w:hRule="atLeast" w:val="735"/>
          <w:jc w:val="center"/>
        </w:trPr>
        <w:tc>
          <w:tcPr>
            <w:tcW w:type="dxa" w:w="442"/>
            <w:tcBorders>
              <w:top w:space="0" w:sz="12" w:color="auto" w:val="single"/>
            </w:tcBorders>
            <w:vAlign w:val="center"/>
          </w:tcPr>
          <w:p>
            <w:pPr>
              <w:spacing w:lineRule="exact" w:line="400"/>
              <w:jc w:val="center"/>
              <w:rPr>
                <w:rFonts w:hAnsi="Times New Roman" w:ascii="Times New Roman"/>
                <w:sz w:val="22"/>
                <w:szCs w:val="21"/>
              </w:rPr>
            </w:pPr>
            <w:r>
              <w:rPr>
                <w:rFonts w:hAnsi="宋体" w:ascii="Times New Roman" w:hint="eastAsia"/>
                <w:sz w:val="22"/>
                <w:szCs w:val="21"/>
              </w:rPr>
              <w:t>序号</w:t>
            </w:r>
          </w:p>
        </w:tc>
        <w:tc>
          <w:tcPr>
            <w:tcW w:type="dxa" w:w="1220"/>
            <w:tcBorders>
              <w:top w:space="0" w:sz="12" w:color="auto" w:val="single"/>
            </w:tcBorders>
            <w:vAlign w:val="center"/>
          </w:tcPr>
          <w:p>
            <w:pPr>
              <w:spacing w:lineRule="exact" w:line="400"/>
              <w:jc w:val="center"/>
              <w:rPr>
                <w:rFonts w:hAnsi="Times New Roman" w:ascii="Times New Roman"/>
                <w:sz w:val="22"/>
                <w:szCs w:val="21"/>
              </w:rPr>
            </w:pPr>
            <w:r>
              <w:rPr>
                <w:rFonts w:hAnsi="宋体" w:ascii="Times New Roman" w:hint="eastAsia"/>
                <w:sz w:val="22"/>
                <w:szCs w:val="21"/>
              </w:rPr>
              <w:t>货物名称</w:t>
            </w:r>
          </w:p>
        </w:tc>
        <w:tc>
          <w:tcPr>
            <w:tcW w:type="dxa" w:w="1540"/>
            <w:tcBorders>
              <w:top w:space="0" w:sz="12" w:color="auto" w:val="single"/>
            </w:tcBorders>
            <w:vAlign w:val="center"/>
          </w:tcPr>
          <w:p>
            <w:pPr>
              <w:spacing w:lineRule="exact" w:line="400"/>
              <w:rPr>
                <w:rFonts w:hAnsi="Times New Roman" w:ascii="Times New Roman"/>
                <w:sz w:val="22"/>
                <w:szCs w:val="21"/>
              </w:rPr>
            </w:pPr>
            <w:r>
              <w:rPr>
                <w:rFonts w:hAnsi="宋体" w:ascii="Times New Roman" w:hint="eastAsia"/>
                <w:sz w:val="22"/>
                <w:szCs w:val="21"/>
              </w:rPr>
              <w:t>制造商家品牌及规格型号</w:t>
            </w:r>
          </w:p>
        </w:tc>
        <w:tc>
          <w:tcPr>
            <w:tcW w:type="dxa" w:w="642"/>
            <w:tcBorders>
              <w:top w:space="0" w:sz="12" w:color="auto" w:val="single"/>
            </w:tcBorders>
            <w:vAlign w:val="center"/>
          </w:tcPr>
          <w:p>
            <w:pPr>
              <w:spacing w:lineRule="exact" w:line="400"/>
              <w:jc w:val="center"/>
              <w:rPr>
                <w:rFonts w:hAnsi="Times New Roman" w:ascii="Times New Roman"/>
                <w:sz w:val="22"/>
                <w:szCs w:val="21"/>
              </w:rPr>
            </w:pPr>
            <w:r>
              <w:rPr>
                <w:rFonts w:hAnsi="宋体" w:ascii="Times New Roman" w:hint="eastAsia"/>
                <w:sz w:val="22"/>
                <w:szCs w:val="21"/>
              </w:rPr>
              <w:t>数量</w:t>
            </w:r>
          </w:p>
        </w:tc>
        <w:tc>
          <w:tcPr>
            <w:tcW w:type="dxa" w:w="932"/>
            <w:tcBorders>
              <w:top w:space="0" w:sz="12" w:color="auto" w:val="single"/>
            </w:tcBorders>
            <w:vAlign w:val="center"/>
          </w:tcPr>
          <w:p>
            <w:pPr>
              <w:spacing w:lineRule="exact" w:line="400"/>
              <w:jc w:val="center"/>
              <w:rPr>
                <w:rFonts w:hAnsi="Times New Roman" w:ascii="Times New Roman"/>
                <w:sz w:val="22"/>
                <w:szCs w:val="21"/>
              </w:rPr>
            </w:pPr>
            <w:r>
              <w:rPr>
                <w:rFonts w:hAnsi="宋体" w:ascii="Times New Roman" w:hint="eastAsia"/>
                <w:sz w:val="22"/>
                <w:szCs w:val="21"/>
              </w:rPr>
              <w:t>投标单价（元）</w:t>
            </w:r>
          </w:p>
        </w:tc>
        <w:tc>
          <w:tcPr>
            <w:tcW w:type="dxa" w:w="1377"/>
            <w:tcBorders>
              <w:top w:space="0" w:sz="12" w:color="auto" w:val="single"/>
            </w:tcBorders>
            <w:vAlign w:val="center"/>
          </w:tcPr>
          <w:p>
            <w:pPr>
              <w:spacing w:lineRule="exact" w:line="400"/>
              <w:jc w:val="center"/>
              <w:rPr>
                <w:rFonts w:hAnsi="宋体" w:ascii="Times New Roman"/>
                <w:sz w:val="22"/>
                <w:szCs w:val="21"/>
              </w:rPr>
            </w:pPr>
            <w:r>
              <w:rPr>
                <w:rFonts w:hAnsi="宋体" w:ascii="Times New Roman" w:hint="eastAsia"/>
                <w:sz w:val="22"/>
                <w:szCs w:val="21"/>
              </w:rPr>
              <w:t>小计</w:t>
            </w:r>
          </w:p>
          <w:p>
            <w:pPr>
              <w:spacing w:lineRule="exact" w:line="400"/>
              <w:jc w:val="center"/>
              <w:rPr>
                <w:rFonts w:hAnsi="宋体" w:ascii="Times New Roman"/>
                <w:sz w:val="22"/>
                <w:szCs w:val="21"/>
              </w:rPr>
            </w:pPr>
            <w:r>
              <w:rPr>
                <w:rFonts w:hAnsi="宋体" w:ascii="Times New Roman" w:hint="eastAsia"/>
                <w:sz w:val="22"/>
                <w:szCs w:val="21"/>
              </w:rPr>
              <w:t>（元）</w:t>
            </w:r>
          </w:p>
        </w:tc>
        <w:tc>
          <w:tcPr>
            <w:tcW w:type="dxa" w:w="2209"/>
            <w:tcBorders>
              <w:top w:space="0" w:sz="12" w:color="auto" w:val="single"/>
            </w:tcBorders>
            <w:vAlign w:val="center"/>
          </w:tcPr>
          <w:p>
            <w:pPr>
              <w:spacing w:lineRule="exact" w:line="400"/>
              <w:jc w:val="center"/>
              <w:rPr>
                <w:rFonts w:hAnsi="Times New Roman" w:ascii="Times New Roman"/>
                <w:sz w:val="22"/>
                <w:szCs w:val="21"/>
              </w:rPr>
            </w:pPr>
            <w:r>
              <w:rPr>
                <w:rFonts w:hAnsi="宋体" w:ascii="Times New Roman" w:hint="eastAsia"/>
                <w:sz w:val="22"/>
                <w:szCs w:val="21"/>
              </w:rPr>
              <w:t>交货时间</w:t>
            </w:r>
          </w:p>
        </w:tc>
        <w:tc>
          <w:tcPr>
            <w:tcW w:type="dxa" w:w="710"/>
            <w:tcBorders>
              <w:top w:space="0" w:sz="12" w:color="auto" w:val="single"/>
            </w:tcBorders>
            <w:vAlign w:val="center"/>
          </w:tcPr>
          <w:p>
            <w:pPr>
              <w:spacing w:lineRule="exact" w:line="400"/>
              <w:jc w:val="center"/>
              <w:rPr>
                <w:rFonts w:hAnsi="Times New Roman" w:ascii="Times New Roman"/>
                <w:sz w:val="22"/>
                <w:szCs w:val="21"/>
              </w:rPr>
            </w:pPr>
            <w:r>
              <w:rPr>
                <w:rFonts w:hAnsi="宋体" w:ascii="Times New Roman" w:hint="eastAsia"/>
                <w:sz w:val="22"/>
                <w:szCs w:val="21"/>
              </w:rPr>
              <w:t>质保期</w:t>
            </w:r>
          </w:p>
        </w:tc>
        <w:tc>
          <w:tcPr>
            <w:tcW w:type="dxa" w:w="685"/>
            <w:tcBorders>
              <w:top w:space="0" w:sz="12" w:color="auto" w:val="single"/>
            </w:tcBorders>
            <w:vAlign w:val="center"/>
          </w:tcPr>
          <w:p>
            <w:pPr>
              <w:spacing w:lineRule="exact" w:line="400"/>
              <w:jc w:val="center"/>
              <w:rPr>
                <w:rFonts w:hAnsi="Times New Roman" w:ascii="Times New Roman"/>
                <w:sz w:val="22"/>
                <w:szCs w:val="21"/>
              </w:rPr>
            </w:pPr>
            <w:r>
              <w:rPr>
                <w:rFonts w:hAnsi="宋体" w:ascii="Times New Roman" w:hint="eastAsia"/>
                <w:sz w:val="22"/>
                <w:szCs w:val="21"/>
              </w:rPr>
              <w:t>备注</w:t>
            </w:r>
          </w:p>
        </w:tc>
      </w:tr>
      <w:tr>
        <w:trPr>
          <w:trHeight w:hRule="atLeast" w:val="735"/>
          <w:jc w:val="center"/>
        </w:trPr>
        <w:tc>
          <w:tcPr>
            <w:tcW w:type="dxa" w:w="442"/>
            <w:vAlign w:val="center"/>
          </w:tcPr>
          <w:p>
            <w:pPr>
              <w:spacing w:lineRule="exact" w:line="400"/>
              <w:ind w:firstLineChars="50" w:firstLine="100"/>
              <w:rPr>
                <w:rFonts w:hAnsi="Times New Roman" w:ascii="Times New Roman"/>
                <w:sz w:val="20"/>
                <w:szCs w:val="20"/>
              </w:rPr>
            </w:pPr>
            <w:r>
              <w:rPr>
                <w:rFonts w:hAnsi="Times New Roman" w:ascii="Times New Roman"/>
                <w:sz w:val="20"/>
                <w:szCs w:val="20"/>
              </w:rPr>
              <w:t xml:space="preserve"> 1</w:t>
            </w:r>
          </w:p>
        </w:tc>
        <w:tc>
          <w:tcPr>
            <w:tcW w:type="dxa" w:w="1220"/>
            <w:vAlign w:val="center"/>
          </w:tcPr>
          <w:p>
            <w:pPr>
              <w:spacing w:lineRule="exact" w:line="400"/>
              <w:ind w:firstLineChars="50" w:firstLine="100"/>
              <w:rPr>
                <w:rFonts w:hAnsi="Times New Roman" w:ascii="Times New Roman"/>
                <w:sz w:val="20"/>
                <w:szCs w:val="20"/>
              </w:rPr>
            </w:pPr>
          </w:p>
        </w:tc>
        <w:tc>
          <w:tcPr>
            <w:tcW w:type="dxa" w:w="1540"/>
            <w:vAlign w:val="center"/>
          </w:tcPr>
          <w:p>
            <w:pPr>
              <w:spacing w:lineRule="exact" w:line="400"/>
              <w:ind w:firstLineChars="50" w:firstLine="100"/>
              <w:rPr>
                <w:rFonts w:hAnsi="Times New Roman" w:ascii="Times New Roman"/>
                <w:sz w:val="20"/>
                <w:szCs w:val="20"/>
              </w:rPr>
            </w:pPr>
          </w:p>
        </w:tc>
        <w:tc>
          <w:tcPr>
            <w:tcW w:type="dxa" w:w="642"/>
            <w:vAlign w:val="center"/>
          </w:tcPr>
          <w:p>
            <w:pPr>
              <w:spacing w:lineRule="exact" w:line="400"/>
              <w:rPr>
                <w:rFonts w:hAnsi="Times New Roman" w:ascii="Times New Roman"/>
                <w:sz w:val="20"/>
                <w:szCs w:val="20"/>
              </w:rPr>
            </w:pPr>
          </w:p>
        </w:tc>
        <w:tc>
          <w:tcPr>
            <w:tcW w:type="dxa" w:w="932"/>
            <w:vAlign w:val="center"/>
          </w:tcPr>
          <w:p>
            <w:pPr>
              <w:spacing w:lineRule="exact" w:line="400"/>
              <w:ind w:firstLineChars="50" w:firstLine="100"/>
              <w:rPr>
                <w:rFonts w:hAnsi="Times New Roman" w:ascii="Times New Roman"/>
                <w:sz w:val="20"/>
                <w:szCs w:val="20"/>
              </w:rPr>
            </w:pPr>
          </w:p>
        </w:tc>
        <w:tc>
          <w:tcPr>
            <w:tcW w:type="dxa" w:w="1377"/>
            <w:vAlign w:val="center"/>
          </w:tcPr>
          <w:p>
            <w:pPr>
              <w:spacing w:lineRule="exact" w:line="400"/>
              <w:ind w:firstLineChars="50" w:firstLine="100"/>
              <w:rPr>
                <w:rFonts w:hAnsi="Times New Roman" w:ascii="Times New Roman"/>
                <w:sz w:val="20"/>
                <w:szCs w:val="20"/>
              </w:rPr>
            </w:pPr>
          </w:p>
        </w:tc>
        <w:tc>
          <w:tcPr>
            <w:tcW w:type="dxa" w:w="2209"/>
            <w:vAlign w:val="center"/>
          </w:tcPr>
          <w:p>
            <w:pPr>
              <w:spacing w:lineRule="atLeast" w:line="360"/>
              <w:jc w:val="left"/>
              <w:outlineLvl w:val="1"/>
              <w:rPr>
                <w:rFonts w:hAnsi="Times New Roman" w:ascii="Times New Roman"/>
                <w:sz w:val="20"/>
                <w:szCs w:val="20"/>
              </w:rPr>
            </w:pPr>
          </w:p>
        </w:tc>
        <w:tc>
          <w:tcPr>
            <w:tcW w:type="dxa" w:w="710"/>
            <w:vAlign w:val="center"/>
          </w:tcPr>
          <w:p>
            <w:pPr>
              <w:spacing w:lineRule="exact" w:line="400"/>
              <w:ind w:firstLineChars="50" w:firstLine="100"/>
              <w:rPr>
                <w:rFonts w:hAnsi="Times New Roman" w:ascii="Times New Roman"/>
                <w:sz w:val="20"/>
                <w:szCs w:val="20"/>
              </w:rPr>
            </w:pPr>
          </w:p>
        </w:tc>
        <w:tc>
          <w:tcPr>
            <w:tcW w:type="dxa" w:w="685"/>
            <w:vAlign w:val="center"/>
          </w:tcPr>
          <w:p>
            <w:pPr>
              <w:spacing w:lineRule="exact" w:line="400"/>
              <w:ind w:firstLineChars="50" w:firstLine="100"/>
              <w:rPr>
                <w:rFonts w:hAnsi="Times New Roman" w:ascii="Times New Roman"/>
                <w:sz w:val="20"/>
                <w:szCs w:val="20"/>
              </w:rPr>
            </w:pPr>
          </w:p>
        </w:tc>
      </w:tr>
      <w:tr>
        <w:tblPrEx>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PrEx>
        <w:trPr>
          <w:trHeight w:hRule="atLeast" w:val="735"/>
          <w:jc w:val="center"/>
        </w:trPr>
        <w:tc>
          <w:tcPr>
            <w:tcW w:type="dxa" w:w="442"/>
            <w:vAlign w:val="center"/>
          </w:tcPr>
          <w:p>
            <w:pPr>
              <w:spacing w:lineRule="exact" w:line="400"/>
              <w:rPr>
                <w:rFonts w:hAnsi="Times New Roman" w:ascii="Times New Roman"/>
                <w:sz w:val="20"/>
                <w:szCs w:val="20"/>
              </w:rPr>
            </w:pPr>
            <w:r>
              <w:rPr>
                <w:rFonts w:hAnsi="Times New Roman" w:ascii="Times New Roman" w:hint="eastAsia"/>
                <w:sz w:val="20"/>
                <w:szCs w:val="20"/>
              </w:rPr>
              <w:t>...</w:t>
            </w:r>
          </w:p>
        </w:tc>
        <w:tc>
          <w:tcPr>
            <w:tcW w:type="dxa" w:w="1220"/>
            <w:vAlign w:val="center"/>
          </w:tcPr>
          <w:p>
            <w:pPr>
              <w:spacing w:lineRule="exact" w:line="400"/>
              <w:ind w:firstLineChars="50" w:firstLine="100"/>
              <w:rPr>
                <w:rFonts w:hAnsi="Times New Roman" w:ascii="Times New Roman"/>
                <w:sz w:val="20"/>
                <w:szCs w:val="20"/>
              </w:rPr>
            </w:pPr>
          </w:p>
        </w:tc>
        <w:tc>
          <w:tcPr>
            <w:tcW w:type="dxa" w:w="1540"/>
            <w:vAlign w:val="center"/>
          </w:tcPr>
          <w:p>
            <w:pPr>
              <w:spacing w:lineRule="exact" w:line="400"/>
              <w:ind w:firstLineChars="50" w:firstLine="100"/>
              <w:rPr>
                <w:rFonts w:hAnsi="Times New Roman" w:ascii="Times New Roman"/>
                <w:sz w:val="20"/>
                <w:szCs w:val="20"/>
              </w:rPr>
            </w:pPr>
          </w:p>
        </w:tc>
        <w:tc>
          <w:tcPr>
            <w:tcW w:type="dxa" w:w="642"/>
            <w:vAlign w:val="center"/>
          </w:tcPr>
          <w:p>
            <w:pPr>
              <w:spacing w:lineRule="exact" w:line="400"/>
              <w:ind w:firstLineChars="50" w:firstLine="100"/>
              <w:rPr>
                <w:rFonts w:hAnsi="Times New Roman" w:ascii="Times New Roman"/>
                <w:sz w:val="20"/>
                <w:szCs w:val="20"/>
              </w:rPr>
            </w:pPr>
          </w:p>
        </w:tc>
        <w:tc>
          <w:tcPr>
            <w:tcW w:type="dxa" w:w="932"/>
            <w:vAlign w:val="center"/>
          </w:tcPr>
          <w:p>
            <w:pPr>
              <w:spacing w:lineRule="exact" w:line="400"/>
              <w:ind w:firstLineChars="50" w:firstLine="100"/>
              <w:rPr>
                <w:rFonts w:hAnsi="Times New Roman" w:ascii="Times New Roman"/>
                <w:sz w:val="20"/>
                <w:szCs w:val="20"/>
              </w:rPr>
            </w:pPr>
          </w:p>
        </w:tc>
        <w:tc>
          <w:tcPr>
            <w:tcW w:type="dxa" w:w="1377"/>
            <w:vAlign w:val="center"/>
          </w:tcPr>
          <w:p>
            <w:pPr>
              <w:spacing w:lineRule="exact" w:line="400"/>
              <w:ind w:firstLineChars="50" w:firstLine="100"/>
              <w:rPr>
                <w:rFonts w:hAnsi="Times New Roman" w:ascii="Times New Roman"/>
                <w:sz w:val="20"/>
                <w:szCs w:val="20"/>
              </w:rPr>
            </w:pPr>
          </w:p>
        </w:tc>
        <w:tc>
          <w:tcPr>
            <w:tcW w:type="dxa" w:w="2209"/>
            <w:vAlign w:val="center"/>
          </w:tcPr>
          <w:p>
            <w:pPr>
              <w:spacing w:lineRule="exact" w:line="400"/>
              <w:ind w:firstLineChars="50" w:firstLine="100"/>
              <w:rPr>
                <w:rFonts w:hAnsi="Times New Roman" w:ascii="Times New Roman"/>
                <w:sz w:val="20"/>
                <w:szCs w:val="20"/>
              </w:rPr>
            </w:pPr>
          </w:p>
        </w:tc>
        <w:tc>
          <w:tcPr>
            <w:tcW w:type="dxa" w:w="710"/>
            <w:vAlign w:val="center"/>
          </w:tcPr>
          <w:p>
            <w:pPr>
              <w:spacing w:lineRule="exact" w:line="400"/>
              <w:ind w:firstLineChars="50" w:firstLine="100"/>
              <w:rPr>
                <w:rFonts w:hAnsi="Times New Roman" w:ascii="Times New Roman"/>
                <w:sz w:val="20"/>
                <w:szCs w:val="20"/>
              </w:rPr>
            </w:pPr>
          </w:p>
        </w:tc>
        <w:tc>
          <w:tcPr>
            <w:tcW w:type="dxa" w:w="685"/>
            <w:vAlign w:val="center"/>
          </w:tcPr>
          <w:p>
            <w:pPr>
              <w:spacing w:lineRule="exact" w:line="400"/>
              <w:ind w:firstLineChars="50" w:firstLine="100"/>
              <w:rPr>
                <w:rFonts w:hAnsi="Times New Roman" w:ascii="Times New Roman"/>
                <w:sz w:val="20"/>
                <w:szCs w:val="20"/>
              </w:rPr>
            </w:pPr>
          </w:p>
        </w:tc>
      </w:tr>
      <w:tr>
        <w:tblPrEx>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PrEx>
        <w:trPr>
          <w:trHeight w:hRule="atLeast" w:val="1196"/>
          <w:jc w:val="center"/>
        </w:trPr>
        <w:tc>
          <w:tcPr>
            <w:tcW w:type="dxa" w:w="9757"/>
            <w:gridSpan w:val="9"/>
            <w:tcBorders>
              <w:bottom w:space="0" w:sz="12" w:color="auto" w:val="single"/>
            </w:tcBorders>
            <w:vAlign w:val="center"/>
          </w:tcPr>
          <w:p>
            <w:pPr>
              <w:spacing w:lineRule="exact" w:line="400"/>
              <w:ind w:firstLineChars="50" w:firstLine="100"/>
              <w:rPr>
                <w:rFonts w:hAnsi="Times New Roman" w:ascii="Times New Roman"/>
                <w:sz w:val="20"/>
                <w:szCs w:val="20"/>
              </w:rPr>
            </w:pPr>
            <w:r>
              <w:rPr>
                <w:rFonts w:hAnsi="宋体" w:ascii="Times New Roman" w:hint="eastAsia"/>
                <w:sz w:val="20"/>
                <w:szCs w:val="20"/>
              </w:rPr>
              <w:t>投标总价（人民币）小写：</w:t>
            </w:r>
          </w:p>
          <w:p>
            <w:pPr>
              <w:spacing w:lineRule="exact" w:line="400"/>
              <w:ind w:firstLineChars="1000" w:firstLine="2000"/>
              <w:rPr>
                <w:rFonts w:hAnsi="Times New Roman" w:ascii="Times New Roman"/>
                <w:sz w:val="32"/>
                <w:szCs w:val="21"/>
              </w:rPr>
            </w:pPr>
            <w:r>
              <w:rPr>
                <w:rFonts w:hAnsi="宋体" w:ascii="Times New Roman" w:hint="eastAsia"/>
                <w:sz w:val="20"/>
                <w:szCs w:val="20"/>
              </w:rPr>
              <w:t>大写：</w:t>
            </w:r>
          </w:p>
        </w:tc>
      </w:tr>
    </w:tbl>
    <w:p>
      <w:pPr>
        <w:spacing w:lineRule="atLeast" w:line="360"/>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注：</w:t>
      </w:r>
      <w:r>
        <w:rPr>
          <w:rFonts w:hAnsi="Times New Roman" w:ascii="Times New Roman"/>
          <w:sz w:val="22"/>
          <w:szCs w:val="21"/>
        </w:rPr>
        <w:t>1</w:t>
      </w:r>
      <w:r>
        <w:rPr>
          <w:rFonts w:hAnsi="Times New Roman" w:ascii="Times New Roman" w:hint="eastAsia"/>
          <w:sz w:val="22"/>
          <w:szCs w:val="21"/>
        </w:rPr>
        <w:t>、</w:t>
      </w:r>
      <w:r>
        <w:rPr>
          <w:rFonts w:hAnsi="宋体"/>
          <w:sz w:val="23"/>
        </w:rPr>
        <w:t>报价应是最终用户验收合格后的总价，包括产品成本、保险、代理、安装调试、培训、税费和</w:t>
      </w:r>
      <w:r>
        <w:rPr>
          <w:rFonts w:hAnsi="宋体" w:hint="eastAsia"/>
          <w:sz w:val="23"/>
        </w:rPr>
        <w:t>采购</w:t>
      </w:r>
      <w:r>
        <w:rPr>
          <w:rFonts w:hAnsi="宋体"/>
          <w:sz w:val="23"/>
        </w:rPr>
        <w:t xml:space="preserve">文件规定的其它费用。   </w:t>
      </w:r>
    </w:p>
    <w:p>
      <w:pPr>
        <w:pStyle w:val="2"/>
        <w:ind w:firstLineChars="350" w:firstLine="770"/>
        <w:rPr>
          <w:rFonts w:hAnsi="Times New Roman" w:ascii="Times New Roman"/>
          <w:sz w:val="22"/>
          <w:szCs w:val="21"/>
        </w:rPr>
      </w:pPr>
      <w:r>
        <w:rPr>
          <w:rFonts w:hAnsi="Times New Roman" w:ascii="Times New Roman" w:hint="eastAsia"/>
          <w:sz w:val="22"/>
          <w:szCs w:val="21"/>
        </w:rPr>
        <w:t>2、投标单价指的是 /台（套/个）的价格；小计=投标单价*数量。</w:t>
      </w:r>
    </w:p>
    <w:p>
      <w:pPr>
        <w:spacing w:lineRule="exact" w:line="400"/>
        <w:ind w:firstLineChars="350" w:firstLine="770"/>
        <w:rPr>
          <w:rFonts w:hAnsi="Times New Roman" w:ascii="Times New Roman"/>
          <w:sz w:val="22"/>
          <w:szCs w:val="21"/>
        </w:rPr>
      </w:pPr>
      <w:r>
        <w:rPr>
          <w:rFonts w:hAnsi="宋体" w:ascii="Times New Roman" w:hint="eastAsia"/>
          <w:sz w:val="22"/>
          <w:szCs w:val="21"/>
        </w:rPr>
        <w:t>3、</w:t>
      </w:r>
      <w:r>
        <w:rPr>
          <w:rFonts w:hAnsi="Times New Roman" w:ascii="Times New Roman"/>
          <w:sz w:val="22"/>
          <w:szCs w:val="21"/>
        </w:rPr>
        <w:t>“</w:t>
      </w:r>
      <w:r>
        <w:rPr>
          <w:rFonts w:hAnsi="宋体" w:ascii="Times New Roman" w:hint="eastAsia"/>
          <w:sz w:val="22"/>
          <w:szCs w:val="21"/>
        </w:rPr>
        <w:t>开标一览表</w:t>
      </w:r>
      <w:r>
        <w:rPr>
          <w:rFonts w:hAnsi="Times New Roman" w:ascii="Times New Roman"/>
          <w:sz w:val="22"/>
          <w:szCs w:val="21"/>
        </w:rPr>
        <w:t>”</w:t>
      </w:r>
      <w:r>
        <w:rPr>
          <w:rFonts w:hAnsi="宋体" w:ascii="Times New Roman" w:hint="eastAsia"/>
          <w:sz w:val="22"/>
          <w:szCs w:val="21"/>
        </w:rPr>
        <w:t>除了单独密封递交外，投标文件（正副本）也应当提供。</w:t>
      </w:r>
    </w:p>
    <w:p>
      <w:pPr>
        <w:spacing w:lineRule="exact" w:line="400"/>
        <w:ind w:firstLineChars="350" w:firstLine="770"/>
        <w:rPr>
          <w:rFonts w:hAnsi="Times New Roman" w:ascii="Times New Roman"/>
          <w:sz w:val="22"/>
          <w:szCs w:val="21"/>
        </w:rPr>
      </w:pPr>
      <w:r>
        <w:rPr>
          <w:rFonts w:hAnsi="宋体" w:ascii="Times New Roman" w:hint="eastAsia"/>
          <w:sz w:val="22"/>
          <w:szCs w:val="21"/>
        </w:rPr>
        <w:t>4、如是进口设备，须在表格中标明</w:t>
      </w:r>
      <w:r>
        <w:rPr>
          <w:rFonts w:hAnsi="Times New Roman" w:ascii="Times New Roman"/>
          <w:sz w:val="22"/>
          <w:szCs w:val="21"/>
        </w:rPr>
        <w:t>“</w:t>
      </w:r>
      <w:r>
        <w:rPr>
          <w:rFonts w:hAnsi="宋体" w:ascii="Times New Roman" w:hint="eastAsia"/>
          <w:sz w:val="22"/>
          <w:szCs w:val="21"/>
        </w:rPr>
        <w:t>进口产品</w:t>
      </w:r>
      <w:r>
        <w:rPr>
          <w:rFonts w:hAnsi="Times New Roman" w:ascii="Times New Roman"/>
          <w:sz w:val="22"/>
          <w:szCs w:val="21"/>
        </w:rPr>
        <w:t>”</w:t>
      </w:r>
      <w:r>
        <w:rPr>
          <w:rFonts w:hAnsi="宋体" w:ascii="Times New Roman" w:hint="eastAsia"/>
          <w:sz w:val="22"/>
          <w:szCs w:val="21"/>
        </w:rPr>
        <w:t>。招标文件未明确</w:t>
      </w:r>
      <w:r>
        <w:rPr>
          <w:rFonts w:hAnsi="Times New Roman" w:ascii="Times New Roman"/>
          <w:sz w:val="22"/>
          <w:szCs w:val="21"/>
        </w:rPr>
        <w:t>“</w:t>
      </w:r>
      <w:r>
        <w:rPr>
          <w:rFonts w:hAnsi="宋体" w:ascii="Times New Roman" w:hint="eastAsia"/>
          <w:sz w:val="22"/>
          <w:szCs w:val="21"/>
        </w:rPr>
        <w:t>允许进口</w:t>
      </w:r>
      <w:r>
        <w:rPr>
          <w:rFonts w:hAnsi="Times New Roman" w:ascii="Times New Roman"/>
          <w:sz w:val="22"/>
          <w:szCs w:val="21"/>
        </w:rPr>
        <w:t>”</w:t>
      </w:r>
      <w:r>
        <w:rPr>
          <w:rFonts w:hAnsi="宋体" w:ascii="Times New Roman" w:hint="eastAsia"/>
          <w:sz w:val="22"/>
          <w:szCs w:val="21"/>
        </w:rPr>
        <w:t>的，供应商以进口产品进行投标时，将视为无效投标。</w:t>
      </w:r>
    </w:p>
    <w:p>
      <w:pPr>
        <w:spacing w:lineRule="atLeast" w:line="360"/>
        <w:ind w:firstLineChars="196" w:firstLine="431"/>
        <w:jc w:val="left"/>
        <w:outlineLvl w:val="1"/>
        <w:rPr>
          <w:rFonts w:hAnsi="Times New Roman" w:ascii="Times New Roman"/>
          <w:sz w:val="22"/>
          <w:szCs w:val="21"/>
        </w:rPr>
      </w:pPr>
    </w:p>
    <w:p>
      <w:pPr>
        <w:pStyle w:val="2"/>
        <w:rPr>
          <w:rFonts w:hAnsi="Times New Roman" w:ascii="Times New Roman"/>
          <w:sz w:val="22"/>
          <w:szCs w:val="22"/>
        </w:rPr>
      </w:pPr>
    </w:p>
    <w:p>
      <w:pPr>
        <w:pStyle w:val="2"/>
        <w:rPr>
          <w:rFonts w:hAnsi="Times New Roman" w:ascii="Times New Roman"/>
          <w:sz w:val="22"/>
          <w:szCs w:val="22"/>
        </w:rPr>
      </w:pPr>
    </w:p>
    <w:p>
      <w:pPr>
        <w:pStyle w:val="2"/>
        <w:rPr>
          <w:rFonts w:hAnsi="Times New Roman" w:ascii="Times New Roman"/>
          <w:sz w:val="22"/>
          <w:szCs w:val="22"/>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b/>
          <w:sz w:val="22"/>
          <w:szCs w:val="21"/>
        </w:rPr>
        <w:sectPr>
          <w:headerReference w:type="default" r:id="rId3"/>
          <w:footerReference w:type="default" r:id="rId4"/>
          <w:pgSz w:h="16840" w:w="11907"/>
          <w:pgMar w:gutter="0" w:footer="992" w:header="851" w:left="1474" w:bottom="1440" w:right="1474" w:top="1440"/>
          <w:cols w:num="1" w:space="425"/>
          <w:docGrid w:charSpace="0" w:linePitch="312"/>
        </w:sectPr>
      </w:pPr>
      <w:r>
        <w:rPr>
          <w:rFonts w:hAnsi="Times New Roman" w:ascii="Times New Roman" w:hint="eastAsia"/>
          <w:sz w:val="22"/>
          <w:szCs w:val="21"/>
        </w:rPr>
        <w:t>日期：</w:t>
      </w:r>
    </w:p>
    <w:p>
      <w:pPr>
        <w:spacing w:lineRule="auto" w:line="360"/>
        <w:rPr>
          <w:rFonts w:hAnsi="Times New Roman" w:ascii="Times New Roman"/>
          <w:b/>
          <w:sz w:val="28"/>
          <w:szCs w:val="28"/>
        </w:rPr>
      </w:pPr>
      <w:bookmarkStart w:name="_Toc217446086" w:id="186"/>
      <w:r>
        <w:rPr>
          <w:rFonts w:hAnsi="宋体" w:ascii="Times New Roman" w:hint="eastAsia"/>
          <w:b/>
          <w:sz w:val="28"/>
          <w:szCs w:val="28"/>
        </w:rPr>
        <w:t>格式</w:t>
      </w:r>
      <w:r>
        <w:rPr>
          <w:rFonts w:hAnsi="Times New Roman" w:ascii="Times New Roman"/>
          <w:b/>
          <w:sz w:val="28"/>
          <w:szCs w:val="28"/>
        </w:rPr>
        <w:t>2-5</w:t>
      </w:r>
    </w:p>
    <w:p>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四、分项报价明细表</w:t>
      </w:r>
    </w:p>
    <w:p>
      <w:pPr>
        <w:spacing w:lineRule="atLeast" w:line="360"/>
        <w:ind w:firstLineChars="196" w:firstLine="431"/>
        <w:jc w:val="left"/>
        <w:outlineLvl w:val="1"/>
        <w:rPr>
          <w:rFonts w:hAnsi="Times New Roman" w:ascii="Times New Roman"/>
          <w:b/>
          <w:sz w:val="22"/>
          <w:szCs w:val="21"/>
        </w:rPr>
      </w:pPr>
      <w:r>
        <w:rPr>
          <w:rFonts w:hAnsi="宋体" w:ascii="Times New Roman" w:hint="eastAsia"/>
          <w:sz w:val="22"/>
        </w:rPr>
        <w:t>招标编号</w:t>
      </w:r>
      <w:r>
        <w:rPr>
          <w:rFonts w:hAnsi="Times New Roman" w:ascii="Times New Roman"/>
          <w:sz w:val="22"/>
        </w:rPr>
        <w:t>/</w:t>
      </w:r>
      <w:r>
        <w:rPr>
          <w:rFonts w:hAnsi="宋体" w:ascii="Times New Roman" w:hint="eastAsia"/>
          <w:sz w:val="22"/>
        </w:rPr>
        <w:t>包号：</w:t>
      </w:r>
    </w:p>
    <w:tbl>
      <w:tblPr>
        <w:tblStyle w:val="15"/>
        <w:tblW w:type="dxa" w:w="8524"/>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355"/>
        <w:gridCol w:w="671"/>
        <w:gridCol w:w="553"/>
        <w:gridCol w:w="433"/>
        <w:gridCol w:w="1141"/>
        <w:gridCol w:w="929"/>
        <w:gridCol w:w="764"/>
        <w:gridCol w:w="650"/>
        <w:gridCol w:w="1135"/>
        <w:gridCol w:w="1013"/>
        <w:gridCol w:w="880"/>
      </w:tblGrid>
      <w:tr>
        <w:trPr>
          <w:cantSplit/>
          <w:trHeight w:hRule="exact" w:val="700"/>
          <w:jc w:val="center"/>
        </w:trPr>
        <w:tc>
          <w:tcPr>
            <w:tcW w:type="dxa" w:w="355"/>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序号</w:t>
            </w:r>
          </w:p>
        </w:tc>
        <w:tc>
          <w:tcPr>
            <w:tcW w:type="dxa" w:w="671"/>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产品</w:t>
            </w:r>
          </w:p>
          <w:p>
            <w:pPr>
              <w:spacing w:lineRule="atLeast" w:line="360"/>
              <w:jc w:val="center"/>
              <w:outlineLvl w:val="1"/>
              <w:rPr>
                <w:rFonts w:hAnsi="Times New Roman" w:ascii="Times New Roman"/>
                <w:sz w:val="20"/>
                <w:szCs w:val="18"/>
              </w:rPr>
            </w:pPr>
            <w:r>
              <w:rPr>
                <w:rFonts w:hAnsi="Times New Roman" w:ascii="Times New Roman" w:hint="eastAsia"/>
                <w:sz w:val="20"/>
                <w:szCs w:val="18"/>
              </w:rPr>
              <w:t>名称</w:t>
            </w:r>
          </w:p>
        </w:tc>
        <w:tc>
          <w:tcPr>
            <w:tcW w:type="dxa" w:w="553"/>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规格型号</w:t>
            </w:r>
          </w:p>
        </w:tc>
        <w:tc>
          <w:tcPr>
            <w:tcW w:type="dxa" w:w="433"/>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品牌</w:t>
            </w:r>
          </w:p>
        </w:tc>
        <w:tc>
          <w:tcPr>
            <w:tcW w:type="dxa" w:w="1141"/>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生产厂家</w:t>
            </w:r>
          </w:p>
        </w:tc>
        <w:tc>
          <w:tcPr>
            <w:tcW w:type="dxa" w:w="929"/>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原产地</w:t>
            </w:r>
          </w:p>
        </w:tc>
        <w:tc>
          <w:tcPr>
            <w:tcW w:type="dxa" w:w="764"/>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单位</w:t>
            </w:r>
          </w:p>
        </w:tc>
        <w:tc>
          <w:tcPr>
            <w:tcW w:type="dxa" w:w="650"/>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数量</w:t>
            </w:r>
          </w:p>
        </w:tc>
        <w:tc>
          <w:tcPr>
            <w:tcW w:type="dxa" w:w="1135"/>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投标单价（元）</w:t>
            </w:r>
          </w:p>
        </w:tc>
        <w:tc>
          <w:tcPr>
            <w:tcW w:type="dxa" w:w="1013"/>
            <w:vAlign w:val="center"/>
          </w:tcPr>
          <w:p>
            <w:pPr>
              <w:spacing w:lineRule="atLeast" w:line="360"/>
              <w:jc w:val="center"/>
              <w:outlineLvl w:val="1"/>
              <w:rPr>
                <w:rFonts w:hAnsi="Times New Roman" w:ascii="Times New Roman"/>
                <w:sz w:val="20"/>
                <w:szCs w:val="18"/>
              </w:rPr>
            </w:pPr>
            <w:r>
              <w:rPr>
                <w:rFonts w:hAnsi="Times New Roman" w:ascii="Times New Roman" w:hint="eastAsia"/>
                <w:sz w:val="20"/>
                <w:szCs w:val="18"/>
              </w:rPr>
              <w:t>小计（元）</w:t>
            </w:r>
          </w:p>
        </w:tc>
        <w:tc>
          <w:tcPr>
            <w:tcW w:type="dxa" w:w="880"/>
            <w:vAlign w:val="center"/>
          </w:tcPr>
          <w:p>
            <w:pPr>
              <w:spacing w:lineRule="atLeast" w:line="360"/>
              <w:outlineLvl w:val="1"/>
              <w:rPr>
                <w:rFonts w:hAnsi="Times New Roman" w:ascii="Times New Roman"/>
                <w:sz w:val="20"/>
                <w:szCs w:val="18"/>
              </w:rPr>
            </w:pPr>
            <w:r>
              <w:rPr>
                <w:rFonts w:hAnsi="Times New Roman" w:ascii="Times New Roman" w:hint="eastAsia"/>
                <w:sz w:val="20"/>
                <w:szCs w:val="18"/>
              </w:rPr>
              <w:t>备注</w:t>
            </w:r>
          </w:p>
        </w:tc>
      </w:tr>
      <w:tr>
        <w:trPr>
          <w:cantSplit/>
          <w:trHeight w:hRule="atLeast" w:val="680"/>
          <w:jc w:val="center"/>
        </w:trPr>
        <w:tc>
          <w:tcPr>
            <w:tcW w:type="dxa" w:w="355"/>
            <w:vAlign w:val="center"/>
          </w:tcPr>
          <w:p>
            <w:pPr>
              <w:spacing w:lineRule="atLeast" w:line="360"/>
              <w:ind w:firstLineChars="196" w:firstLine="431"/>
              <w:jc w:val="left"/>
              <w:outlineLvl w:val="1"/>
              <w:rPr>
                <w:rFonts w:hAnsi="Times New Roman" w:ascii="Times New Roman"/>
                <w:sz w:val="22"/>
                <w:szCs w:val="21"/>
              </w:rPr>
            </w:pPr>
          </w:p>
        </w:tc>
        <w:tc>
          <w:tcPr>
            <w:tcW w:type="dxa" w:w="671"/>
            <w:vAlign w:val="center"/>
          </w:tcPr>
          <w:p>
            <w:pPr>
              <w:spacing w:lineRule="atLeast" w:line="360"/>
              <w:ind w:firstLineChars="196" w:firstLine="431"/>
              <w:jc w:val="left"/>
              <w:outlineLvl w:val="1"/>
              <w:rPr>
                <w:rFonts w:hAnsi="Times New Roman" w:ascii="Times New Roman"/>
                <w:sz w:val="22"/>
                <w:szCs w:val="21"/>
              </w:rPr>
            </w:pPr>
          </w:p>
        </w:tc>
        <w:tc>
          <w:tcPr>
            <w:tcW w:type="dxa" w:w="553"/>
            <w:vAlign w:val="center"/>
          </w:tcPr>
          <w:p>
            <w:pPr>
              <w:spacing w:lineRule="atLeast" w:line="360"/>
              <w:ind w:firstLineChars="196" w:firstLine="431"/>
              <w:jc w:val="left"/>
              <w:outlineLvl w:val="1"/>
              <w:rPr>
                <w:rFonts w:hAnsi="Times New Roman" w:ascii="Times New Roman"/>
                <w:sz w:val="22"/>
                <w:szCs w:val="21"/>
              </w:rPr>
            </w:pPr>
          </w:p>
        </w:tc>
        <w:tc>
          <w:tcPr>
            <w:tcW w:type="dxa" w:w="433"/>
            <w:vAlign w:val="center"/>
          </w:tcPr>
          <w:p>
            <w:pPr>
              <w:spacing w:lineRule="atLeast" w:line="360"/>
              <w:ind w:firstLineChars="196" w:firstLine="431"/>
              <w:jc w:val="left"/>
              <w:outlineLvl w:val="1"/>
              <w:rPr>
                <w:rFonts w:hAnsi="Times New Roman" w:ascii="Times New Roman"/>
                <w:sz w:val="22"/>
                <w:szCs w:val="21"/>
              </w:rPr>
            </w:pPr>
          </w:p>
        </w:tc>
        <w:tc>
          <w:tcPr>
            <w:tcW w:type="dxa" w:w="1141"/>
            <w:vAlign w:val="center"/>
          </w:tcPr>
          <w:p>
            <w:pPr>
              <w:spacing w:lineRule="atLeast" w:line="360"/>
              <w:ind w:firstLineChars="196" w:firstLine="431"/>
              <w:jc w:val="left"/>
              <w:outlineLvl w:val="1"/>
              <w:rPr>
                <w:rFonts w:hAnsi="Times New Roman" w:ascii="Times New Roman"/>
                <w:sz w:val="22"/>
                <w:szCs w:val="21"/>
              </w:rPr>
            </w:pPr>
          </w:p>
        </w:tc>
        <w:tc>
          <w:tcPr>
            <w:tcW w:type="dxa" w:w="929"/>
            <w:vAlign w:val="center"/>
          </w:tcPr>
          <w:p>
            <w:pPr>
              <w:spacing w:lineRule="atLeast" w:line="360"/>
              <w:ind w:firstLineChars="196" w:firstLine="431"/>
              <w:jc w:val="left"/>
              <w:outlineLvl w:val="1"/>
              <w:rPr>
                <w:rFonts w:hAnsi="Times New Roman" w:ascii="Times New Roman"/>
                <w:sz w:val="22"/>
                <w:szCs w:val="21"/>
              </w:rPr>
            </w:pPr>
          </w:p>
        </w:tc>
        <w:tc>
          <w:tcPr>
            <w:tcW w:type="dxa" w:w="764"/>
            <w:vAlign w:val="center"/>
          </w:tcPr>
          <w:p>
            <w:pPr>
              <w:spacing w:lineRule="atLeast" w:line="360"/>
              <w:ind w:firstLineChars="196" w:firstLine="431"/>
              <w:jc w:val="left"/>
              <w:outlineLvl w:val="1"/>
              <w:rPr>
                <w:rFonts w:hAnsi="Times New Roman" w:ascii="Times New Roman"/>
                <w:sz w:val="22"/>
                <w:szCs w:val="21"/>
              </w:rPr>
            </w:pPr>
          </w:p>
        </w:tc>
        <w:tc>
          <w:tcPr>
            <w:tcW w:type="dxa" w:w="650"/>
            <w:vAlign w:val="center"/>
          </w:tcPr>
          <w:p>
            <w:pPr>
              <w:spacing w:lineRule="atLeast" w:line="360"/>
              <w:ind w:firstLineChars="196" w:firstLine="431"/>
              <w:jc w:val="left"/>
              <w:outlineLvl w:val="1"/>
              <w:rPr>
                <w:rFonts w:hAnsi="Times New Roman" w:ascii="Times New Roman"/>
                <w:sz w:val="22"/>
                <w:szCs w:val="21"/>
              </w:rPr>
            </w:pPr>
          </w:p>
        </w:tc>
        <w:tc>
          <w:tcPr>
            <w:tcW w:type="dxa" w:w="1135"/>
            <w:vAlign w:val="center"/>
          </w:tcPr>
          <w:p>
            <w:pPr>
              <w:spacing w:lineRule="atLeast" w:line="360"/>
              <w:ind w:firstLineChars="196" w:firstLine="431"/>
              <w:jc w:val="left"/>
              <w:outlineLvl w:val="1"/>
              <w:rPr>
                <w:rFonts w:hAnsi="Times New Roman" w:ascii="Times New Roman"/>
                <w:sz w:val="22"/>
                <w:szCs w:val="21"/>
              </w:rPr>
            </w:pPr>
          </w:p>
        </w:tc>
        <w:tc>
          <w:tcPr>
            <w:tcW w:type="dxa" w:w="1013"/>
            <w:vAlign w:val="center"/>
          </w:tcPr>
          <w:p>
            <w:pPr>
              <w:spacing w:lineRule="atLeast" w:line="360"/>
              <w:ind w:firstLineChars="196" w:firstLine="431"/>
              <w:jc w:val="left"/>
              <w:outlineLvl w:val="1"/>
              <w:rPr>
                <w:rFonts w:hAnsi="Times New Roman" w:ascii="Times New Roman"/>
                <w:sz w:val="22"/>
                <w:szCs w:val="21"/>
              </w:rPr>
            </w:pPr>
          </w:p>
        </w:tc>
        <w:tc>
          <w:tcPr>
            <w:tcW w:type="dxa" w:w="8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680"/>
          <w:jc w:val="center"/>
        </w:trPr>
        <w:tc>
          <w:tcPr>
            <w:tcW w:type="dxa" w:w="355"/>
            <w:vAlign w:val="center"/>
          </w:tcPr>
          <w:p>
            <w:pPr>
              <w:spacing w:lineRule="atLeast" w:line="360"/>
              <w:ind w:firstLineChars="196" w:firstLine="431"/>
              <w:jc w:val="left"/>
              <w:outlineLvl w:val="1"/>
              <w:rPr>
                <w:rFonts w:hAnsi="Times New Roman" w:ascii="Times New Roman"/>
                <w:sz w:val="22"/>
                <w:szCs w:val="21"/>
              </w:rPr>
            </w:pPr>
          </w:p>
        </w:tc>
        <w:tc>
          <w:tcPr>
            <w:tcW w:type="dxa" w:w="671"/>
            <w:vAlign w:val="center"/>
          </w:tcPr>
          <w:p>
            <w:pPr>
              <w:spacing w:lineRule="atLeast" w:line="360"/>
              <w:ind w:firstLineChars="196" w:firstLine="431"/>
              <w:jc w:val="left"/>
              <w:outlineLvl w:val="1"/>
              <w:rPr>
                <w:rFonts w:hAnsi="Times New Roman" w:ascii="Times New Roman"/>
                <w:sz w:val="22"/>
                <w:szCs w:val="21"/>
              </w:rPr>
            </w:pPr>
          </w:p>
        </w:tc>
        <w:tc>
          <w:tcPr>
            <w:tcW w:type="dxa" w:w="553"/>
            <w:vAlign w:val="center"/>
          </w:tcPr>
          <w:p>
            <w:pPr>
              <w:spacing w:lineRule="atLeast" w:line="360"/>
              <w:ind w:firstLineChars="196" w:firstLine="431"/>
              <w:jc w:val="left"/>
              <w:outlineLvl w:val="1"/>
              <w:rPr>
                <w:rFonts w:hAnsi="Times New Roman" w:ascii="Times New Roman"/>
                <w:sz w:val="22"/>
                <w:szCs w:val="21"/>
              </w:rPr>
            </w:pPr>
          </w:p>
        </w:tc>
        <w:tc>
          <w:tcPr>
            <w:tcW w:type="dxa" w:w="433"/>
            <w:vAlign w:val="center"/>
          </w:tcPr>
          <w:p>
            <w:pPr>
              <w:spacing w:lineRule="atLeast" w:line="360"/>
              <w:ind w:firstLineChars="196" w:firstLine="431"/>
              <w:jc w:val="left"/>
              <w:outlineLvl w:val="1"/>
              <w:rPr>
                <w:rFonts w:hAnsi="Times New Roman" w:ascii="Times New Roman"/>
                <w:sz w:val="22"/>
                <w:szCs w:val="21"/>
              </w:rPr>
            </w:pPr>
          </w:p>
        </w:tc>
        <w:tc>
          <w:tcPr>
            <w:tcW w:type="dxa" w:w="1141"/>
            <w:vAlign w:val="center"/>
          </w:tcPr>
          <w:p>
            <w:pPr>
              <w:spacing w:lineRule="atLeast" w:line="360"/>
              <w:ind w:firstLineChars="196" w:firstLine="431"/>
              <w:jc w:val="left"/>
              <w:outlineLvl w:val="1"/>
              <w:rPr>
                <w:rFonts w:hAnsi="Times New Roman" w:ascii="Times New Roman"/>
                <w:sz w:val="22"/>
                <w:szCs w:val="21"/>
              </w:rPr>
            </w:pPr>
          </w:p>
        </w:tc>
        <w:tc>
          <w:tcPr>
            <w:tcW w:type="dxa" w:w="929"/>
            <w:vAlign w:val="center"/>
          </w:tcPr>
          <w:p>
            <w:pPr>
              <w:spacing w:lineRule="atLeast" w:line="360"/>
              <w:ind w:firstLineChars="196" w:firstLine="431"/>
              <w:jc w:val="left"/>
              <w:outlineLvl w:val="1"/>
              <w:rPr>
                <w:rFonts w:hAnsi="Times New Roman" w:ascii="Times New Roman"/>
                <w:sz w:val="22"/>
                <w:szCs w:val="21"/>
              </w:rPr>
            </w:pPr>
          </w:p>
        </w:tc>
        <w:tc>
          <w:tcPr>
            <w:tcW w:type="dxa" w:w="764"/>
            <w:vAlign w:val="center"/>
          </w:tcPr>
          <w:p>
            <w:pPr>
              <w:spacing w:lineRule="atLeast" w:line="360"/>
              <w:ind w:firstLineChars="196" w:firstLine="431"/>
              <w:jc w:val="left"/>
              <w:outlineLvl w:val="1"/>
              <w:rPr>
                <w:rFonts w:hAnsi="Times New Roman" w:ascii="Times New Roman"/>
                <w:sz w:val="22"/>
                <w:szCs w:val="21"/>
              </w:rPr>
            </w:pPr>
          </w:p>
        </w:tc>
        <w:tc>
          <w:tcPr>
            <w:tcW w:type="dxa" w:w="650"/>
            <w:vAlign w:val="center"/>
          </w:tcPr>
          <w:p>
            <w:pPr>
              <w:spacing w:lineRule="atLeast" w:line="360"/>
              <w:ind w:firstLineChars="196" w:firstLine="431"/>
              <w:jc w:val="left"/>
              <w:outlineLvl w:val="1"/>
              <w:rPr>
                <w:rFonts w:hAnsi="Times New Roman" w:ascii="Times New Roman"/>
                <w:sz w:val="22"/>
                <w:szCs w:val="21"/>
              </w:rPr>
            </w:pPr>
          </w:p>
        </w:tc>
        <w:tc>
          <w:tcPr>
            <w:tcW w:type="dxa" w:w="1135"/>
            <w:vAlign w:val="center"/>
          </w:tcPr>
          <w:p>
            <w:pPr>
              <w:spacing w:lineRule="atLeast" w:line="360"/>
              <w:ind w:firstLineChars="196" w:firstLine="431"/>
              <w:jc w:val="left"/>
              <w:outlineLvl w:val="1"/>
              <w:rPr>
                <w:rFonts w:hAnsi="Times New Roman" w:ascii="Times New Roman"/>
                <w:sz w:val="22"/>
                <w:szCs w:val="21"/>
              </w:rPr>
            </w:pPr>
          </w:p>
        </w:tc>
        <w:tc>
          <w:tcPr>
            <w:tcW w:type="dxa" w:w="1013"/>
            <w:vAlign w:val="center"/>
          </w:tcPr>
          <w:p>
            <w:pPr>
              <w:spacing w:lineRule="atLeast" w:line="360"/>
              <w:ind w:firstLineChars="196" w:firstLine="431"/>
              <w:jc w:val="left"/>
              <w:outlineLvl w:val="1"/>
              <w:rPr>
                <w:rFonts w:hAnsi="Times New Roman" w:ascii="Times New Roman"/>
                <w:sz w:val="22"/>
                <w:szCs w:val="21"/>
              </w:rPr>
            </w:pPr>
          </w:p>
        </w:tc>
        <w:tc>
          <w:tcPr>
            <w:tcW w:type="dxa" w:w="8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680"/>
          <w:jc w:val="center"/>
        </w:trPr>
        <w:tc>
          <w:tcPr>
            <w:tcW w:type="dxa" w:w="355"/>
            <w:vAlign w:val="center"/>
          </w:tcPr>
          <w:p>
            <w:pPr>
              <w:spacing w:lineRule="atLeast" w:line="360"/>
              <w:ind w:firstLineChars="196" w:firstLine="431"/>
              <w:jc w:val="left"/>
              <w:outlineLvl w:val="1"/>
              <w:rPr>
                <w:rFonts w:hAnsi="Times New Roman" w:ascii="Times New Roman"/>
                <w:sz w:val="22"/>
                <w:szCs w:val="21"/>
              </w:rPr>
            </w:pPr>
          </w:p>
        </w:tc>
        <w:tc>
          <w:tcPr>
            <w:tcW w:type="dxa" w:w="671"/>
            <w:vAlign w:val="center"/>
          </w:tcPr>
          <w:p>
            <w:pPr>
              <w:spacing w:lineRule="atLeast" w:line="360"/>
              <w:ind w:firstLineChars="196" w:firstLine="431"/>
              <w:jc w:val="left"/>
              <w:outlineLvl w:val="1"/>
              <w:rPr>
                <w:rFonts w:hAnsi="Times New Roman" w:ascii="Times New Roman"/>
                <w:sz w:val="22"/>
                <w:szCs w:val="21"/>
              </w:rPr>
            </w:pPr>
          </w:p>
        </w:tc>
        <w:tc>
          <w:tcPr>
            <w:tcW w:type="dxa" w:w="553"/>
            <w:vAlign w:val="center"/>
          </w:tcPr>
          <w:p>
            <w:pPr>
              <w:spacing w:lineRule="atLeast" w:line="360"/>
              <w:ind w:firstLineChars="196" w:firstLine="431"/>
              <w:jc w:val="left"/>
              <w:outlineLvl w:val="1"/>
              <w:rPr>
                <w:rFonts w:hAnsi="Times New Roman" w:ascii="Times New Roman"/>
                <w:sz w:val="22"/>
                <w:szCs w:val="21"/>
              </w:rPr>
            </w:pPr>
          </w:p>
        </w:tc>
        <w:tc>
          <w:tcPr>
            <w:tcW w:type="dxa" w:w="433"/>
            <w:vAlign w:val="center"/>
          </w:tcPr>
          <w:p>
            <w:pPr>
              <w:spacing w:lineRule="atLeast" w:line="360"/>
              <w:ind w:firstLineChars="196" w:firstLine="431"/>
              <w:jc w:val="left"/>
              <w:outlineLvl w:val="1"/>
              <w:rPr>
                <w:rFonts w:hAnsi="Times New Roman" w:ascii="Times New Roman"/>
                <w:sz w:val="22"/>
                <w:szCs w:val="21"/>
              </w:rPr>
            </w:pPr>
          </w:p>
        </w:tc>
        <w:tc>
          <w:tcPr>
            <w:tcW w:type="dxa" w:w="1141"/>
            <w:vAlign w:val="center"/>
          </w:tcPr>
          <w:p>
            <w:pPr>
              <w:spacing w:lineRule="atLeast" w:line="360"/>
              <w:ind w:firstLineChars="196" w:firstLine="431"/>
              <w:jc w:val="left"/>
              <w:outlineLvl w:val="1"/>
              <w:rPr>
                <w:rFonts w:hAnsi="Times New Roman" w:ascii="Times New Roman"/>
                <w:sz w:val="22"/>
                <w:szCs w:val="21"/>
              </w:rPr>
            </w:pPr>
          </w:p>
        </w:tc>
        <w:tc>
          <w:tcPr>
            <w:tcW w:type="dxa" w:w="929"/>
            <w:vAlign w:val="center"/>
          </w:tcPr>
          <w:p>
            <w:pPr>
              <w:spacing w:lineRule="atLeast" w:line="360"/>
              <w:ind w:firstLineChars="196" w:firstLine="431"/>
              <w:jc w:val="left"/>
              <w:outlineLvl w:val="1"/>
              <w:rPr>
                <w:rFonts w:hAnsi="Times New Roman" w:ascii="Times New Roman"/>
                <w:sz w:val="22"/>
                <w:szCs w:val="21"/>
              </w:rPr>
            </w:pPr>
          </w:p>
        </w:tc>
        <w:tc>
          <w:tcPr>
            <w:tcW w:type="dxa" w:w="764"/>
            <w:vAlign w:val="center"/>
          </w:tcPr>
          <w:p>
            <w:pPr>
              <w:spacing w:lineRule="atLeast" w:line="360"/>
              <w:ind w:firstLineChars="196" w:firstLine="431"/>
              <w:jc w:val="left"/>
              <w:outlineLvl w:val="1"/>
              <w:rPr>
                <w:rFonts w:hAnsi="Times New Roman" w:ascii="Times New Roman"/>
                <w:sz w:val="22"/>
                <w:szCs w:val="21"/>
              </w:rPr>
            </w:pPr>
          </w:p>
        </w:tc>
        <w:tc>
          <w:tcPr>
            <w:tcW w:type="dxa" w:w="650"/>
            <w:vAlign w:val="center"/>
          </w:tcPr>
          <w:p>
            <w:pPr>
              <w:spacing w:lineRule="atLeast" w:line="360"/>
              <w:ind w:firstLineChars="196" w:firstLine="431"/>
              <w:jc w:val="left"/>
              <w:outlineLvl w:val="1"/>
              <w:rPr>
                <w:rFonts w:hAnsi="Times New Roman" w:ascii="Times New Roman"/>
                <w:sz w:val="22"/>
                <w:szCs w:val="21"/>
              </w:rPr>
            </w:pPr>
          </w:p>
        </w:tc>
        <w:tc>
          <w:tcPr>
            <w:tcW w:type="dxa" w:w="1135"/>
            <w:vAlign w:val="center"/>
          </w:tcPr>
          <w:p>
            <w:pPr>
              <w:spacing w:lineRule="atLeast" w:line="360"/>
              <w:ind w:firstLineChars="196" w:firstLine="431"/>
              <w:jc w:val="left"/>
              <w:outlineLvl w:val="1"/>
              <w:rPr>
                <w:rFonts w:hAnsi="Times New Roman" w:ascii="Times New Roman"/>
                <w:sz w:val="22"/>
                <w:szCs w:val="21"/>
              </w:rPr>
            </w:pPr>
          </w:p>
        </w:tc>
        <w:tc>
          <w:tcPr>
            <w:tcW w:type="dxa" w:w="1013"/>
            <w:vAlign w:val="center"/>
          </w:tcPr>
          <w:p>
            <w:pPr>
              <w:spacing w:lineRule="atLeast" w:line="360"/>
              <w:ind w:firstLineChars="196" w:firstLine="431"/>
              <w:jc w:val="left"/>
              <w:outlineLvl w:val="1"/>
              <w:rPr>
                <w:rFonts w:hAnsi="Times New Roman" w:ascii="Times New Roman"/>
                <w:sz w:val="22"/>
                <w:szCs w:val="21"/>
              </w:rPr>
            </w:pPr>
          </w:p>
        </w:tc>
        <w:tc>
          <w:tcPr>
            <w:tcW w:type="dxa" w:w="8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680"/>
          <w:jc w:val="center"/>
        </w:trPr>
        <w:tc>
          <w:tcPr>
            <w:tcW w:type="dxa" w:w="355"/>
            <w:vAlign w:val="center"/>
          </w:tcPr>
          <w:p>
            <w:pPr>
              <w:spacing w:lineRule="atLeast" w:line="360"/>
              <w:ind w:firstLineChars="196" w:firstLine="431"/>
              <w:jc w:val="left"/>
              <w:outlineLvl w:val="1"/>
              <w:rPr>
                <w:rFonts w:hAnsi="Times New Roman" w:ascii="Times New Roman"/>
                <w:sz w:val="22"/>
                <w:szCs w:val="21"/>
              </w:rPr>
            </w:pPr>
          </w:p>
        </w:tc>
        <w:tc>
          <w:tcPr>
            <w:tcW w:type="dxa" w:w="671"/>
            <w:vAlign w:val="center"/>
          </w:tcPr>
          <w:p>
            <w:pPr>
              <w:spacing w:lineRule="atLeast" w:line="360"/>
              <w:ind w:firstLineChars="196" w:firstLine="431"/>
              <w:jc w:val="left"/>
              <w:outlineLvl w:val="1"/>
              <w:rPr>
                <w:rFonts w:hAnsi="Times New Roman" w:ascii="Times New Roman"/>
                <w:sz w:val="22"/>
                <w:szCs w:val="21"/>
              </w:rPr>
            </w:pPr>
          </w:p>
        </w:tc>
        <w:tc>
          <w:tcPr>
            <w:tcW w:type="dxa" w:w="553"/>
            <w:vAlign w:val="center"/>
          </w:tcPr>
          <w:p>
            <w:pPr>
              <w:spacing w:lineRule="atLeast" w:line="360"/>
              <w:ind w:firstLineChars="196" w:firstLine="431"/>
              <w:jc w:val="left"/>
              <w:outlineLvl w:val="1"/>
              <w:rPr>
                <w:rFonts w:hAnsi="Times New Roman" w:ascii="Times New Roman"/>
                <w:sz w:val="22"/>
                <w:szCs w:val="21"/>
              </w:rPr>
            </w:pPr>
          </w:p>
        </w:tc>
        <w:tc>
          <w:tcPr>
            <w:tcW w:type="dxa" w:w="433"/>
            <w:vAlign w:val="center"/>
          </w:tcPr>
          <w:p>
            <w:pPr>
              <w:spacing w:lineRule="atLeast" w:line="360"/>
              <w:ind w:firstLineChars="196" w:firstLine="431"/>
              <w:jc w:val="left"/>
              <w:outlineLvl w:val="1"/>
              <w:rPr>
                <w:rFonts w:hAnsi="Times New Roman" w:ascii="Times New Roman"/>
                <w:sz w:val="22"/>
                <w:szCs w:val="21"/>
              </w:rPr>
            </w:pPr>
          </w:p>
        </w:tc>
        <w:tc>
          <w:tcPr>
            <w:tcW w:type="dxa" w:w="1141"/>
            <w:vAlign w:val="center"/>
          </w:tcPr>
          <w:p>
            <w:pPr>
              <w:spacing w:lineRule="atLeast" w:line="360"/>
              <w:ind w:firstLineChars="196" w:firstLine="431"/>
              <w:jc w:val="left"/>
              <w:outlineLvl w:val="1"/>
              <w:rPr>
                <w:rFonts w:hAnsi="Times New Roman" w:ascii="Times New Roman"/>
                <w:sz w:val="22"/>
                <w:szCs w:val="21"/>
              </w:rPr>
            </w:pPr>
          </w:p>
        </w:tc>
        <w:tc>
          <w:tcPr>
            <w:tcW w:type="dxa" w:w="929"/>
            <w:vAlign w:val="center"/>
          </w:tcPr>
          <w:p>
            <w:pPr>
              <w:spacing w:lineRule="atLeast" w:line="360"/>
              <w:ind w:firstLineChars="196" w:firstLine="431"/>
              <w:jc w:val="left"/>
              <w:outlineLvl w:val="1"/>
              <w:rPr>
                <w:rFonts w:hAnsi="Times New Roman" w:ascii="Times New Roman"/>
                <w:sz w:val="22"/>
                <w:szCs w:val="21"/>
              </w:rPr>
            </w:pPr>
          </w:p>
        </w:tc>
        <w:tc>
          <w:tcPr>
            <w:tcW w:type="dxa" w:w="764"/>
            <w:vAlign w:val="center"/>
          </w:tcPr>
          <w:p>
            <w:pPr>
              <w:spacing w:lineRule="atLeast" w:line="360"/>
              <w:ind w:firstLineChars="196" w:firstLine="431"/>
              <w:jc w:val="left"/>
              <w:outlineLvl w:val="1"/>
              <w:rPr>
                <w:rFonts w:hAnsi="Times New Roman" w:ascii="Times New Roman"/>
                <w:sz w:val="22"/>
                <w:szCs w:val="21"/>
              </w:rPr>
            </w:pPr>
          </w:p>
        </w:tc>
        <w:tc>
          <w:tcPr>
            <w:tcW w:type="dxa" w:w="650"/>
            <w:vAlign w:val="center"/>
          </w:tcPr>
          <w:p>
            <w:pPr>
              <w:spacing w:lineRule="atLeast" w:line="360"/>
              <w:ind w:firstLineChars="196" w:firstLine="431"/>
              <w:jc w:val="left"/>
              <w:outlineLvl w:val="1"/>
              <w:rPr>
                <w:rFonts w:hAnsi="Times New Roman" w:ascii="Times New Roman"/>
                <w:sz w:val="22"/>
                <w:szCs w:val="21"/>
              </w:rPr>
            </w:pPr>
          </w:p>
        </w:tc>
        <w:tc>
          <w:tcPr>
            <w:tcW w:type="dxa" w:w="1135"/>
            <w:vAlign w:val="center"/>
          </w:tcPr>
          <w:p>
            <w:pPr>
              <w:spacing w:lineRule="atLeast" w:line="360"/>
              <w:ind w:firstLineChars="196" w:firstLine="431"/>
              <w:jc w:val="left"/>
              <w:outlineLvl w:val="1"/>
              <w:rPr>
                <w:rFonts w:hAnsi="Times New Roman" w:ascii="Times New Roman"/>
                <w:sz w:val="22"/>
                <w:szCs w:val="21"/>
              </w:rPr>
            </w:pPr>
          </w:p>
        </w:tc>
        <w:tc>
          <w:tcPr>
            <w:tcW w:type="dxa" w:w="1013"/>
            <w:vAlign w:val="center"/>
          </w:tcPr>
          <w:p>
            <w:pPr>
              <w:spacing w:lineRule="atLeast" w:line="360"/>
              <w:ind w:firstLineChars="196" w:firstLine="431"/>
              <w:jc w:val="left"/>
              <w:outlineLvl w:val="1"/>
              <w:rPr>
                <w:rFonts w:hAnsi="Times New Roman" w:ascii="Times New Roman"/>
                <w:sz w:val="22"/>
                <w:szCs w:val="21"/>
              </w:rPr>
            </w:pPr>
          </w:p>
        </w:tc>
        <w:tc>
          <w:tcPr>
            <w:tcW w:type="dxa" w:w="8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680"/>
          <w:jc w:val="center"/>
        </w:trPr>
        <w:tc>
          <w:tcPr>
            <w:tcW w:type="dxa" w:w="355"/>
            <w:vAlign w:val="center"/>
          </w:tcPr>
          <w:p>
            <w:pPr>
              <w:spacing w:lineRule="atLeast" w:line="360"/>
              <w:ind w:firstLineChars="196" w:firstLine="431"/>
              <w:jc w:val="left"/>
              <w:outlineLvl w:val="1"/>
              <w:rPr>
                <w:rFonts w:hAnsi="Times New Roman" w:ascii="Times New Roman"/>
                <w:sz w:val="22"/>
                <w:szCs w:val="21"/>
              </w:rPr>
            </w:pPr>
          </w:p>
        </w:tc>
        <w:tc>
          <w:tcPr>
            <w:tcW w:type="dxa" w:w="671"/>
            <w:vAlign w:val="center"/>
          </w:tcPr>
          <w:p>
            <w:pPr>
              <w:spacing w:lineRule="atLeast" w:line="360"/>
              <w:ind w:firstLineChars="196" w:firstLine="431"/>
              <w:jc w:val="left"/>
              <w:outlineLvl w:val="1"/>
              <w:rPr>
                <w:rFonts w:hAnsi="Times New Roman" w:ascii="Times New Roman"/>
                <w:sz w:val="22"/>
                <w:szCs w:val="21"/>
              </w:rPr>
            </w:pPr>
          </w:p>
        </w:tc>
        <w:tc>
          <w:tcPr>
            <w:tcW w:type="dxa" w:w="553"/>
            <w:vAlign w:val="center"/>
          </w:tcPr>
          <w:p>
            <w:pPr>
              <w:spacing w:lineRule="atLeast" w:line="360"/>
              <w:ind w:firstLineChars="196" w:firstLine="431"/>
              <w:jc w:val="left"/>
              <w:outlineLvl w:val="1"/>
              <w:rPr>
                <w:rFonts w:hAnsi="Times New Roman" w:ascii="Times New Roman"/>
                <w:sz w:val="22"/>
                <w:szCs w:val="21"/>
              </w:rPr>
            </w:pPr>
          </w:p>
        </w:tc>
        <w:tc>
          <w:tcPr>
            <w:tcW w:type="dxa" w:w="433"/>
            <w:vAlign w:val="center"/>
          </w:tcPr>
          <w:p>
            <w:pPr>
              <w:spacing w:lineRule="atLeast" w:line="360"/>
              <w:ind w:firstLineChars="196" w:firstLine="431"/>
              <w:jc w:val="left"/>
              <w:outlineLvl w:val="1"/>
              <w:rPr>
                <w:rFonts w:hAnsi="Times New Roman" w:ascii="Times New Roman"/>
                <w:sz w:val="22"/>
                <w:szCs w:val="21"/>
              </w:rPr>
            </w:pPr>
          </w:p>
        </w:tc>
        <w:tc>
          <w:tcPr>
            <w:tcW w:type="dxa" w:w="1141"/>
            <w:vAlign w:val="center"/>
          </w:tcPr>
          <w:p>
            <w:pPr>
              <w:spacing w:lineRule="atLeast" w:line="360"/>
              <w:ind w:firstLineChars="196" w:firstLine="431"/>
              <w:jc w:val="left"/>
              <w:outlineLvl w:val="1"/>
              <w:rPr>
                <w:rFonts w:hAnsi="Times New Roman" w:ascii="Times New Roman"/>
                <w:sz w:val="22"/>
                <w:szCs w:val="21"/>
              </w:rPr>
            </w:pPr>
          </w:p>
        </w:tc>
        <w:tc>
          <w:tcPr>
            <w:tcW w:type="dxa" w:w="929"/>
            <w:vAlign w:val="center"/>
          </w:tcPr>
          <w:p>
            <w:pPr>
              <w:spacing w:lineRule="atLeast" w:line="360"/>
              <w:ind w:firstLineChars="196" w:firstLine="431"/>
              <w:jc w:val="left"/>
              <w:outlineLvl w:val="1"/>
              <w:rPr>
                <w:rFonts w:hAnsi="Times New Roman" w:ascii="Times New Roman"/>
                <w:sz w:val="22"/>
                <w:szCs w:val="21"/>
              </w:rPr>
            </w:pPr>
          </w:p>
        </w:tc>
        <w:tc>
          <w:tcPr>
            <w:tcW w:type="dxa" w:w="764"/>
            <w:vAlign w:val="center"/>
          </w:tcPr>
          <w:p>
            <w:pPr>
              <w:spacing w:lineRule="atLeast" w:line="360"/>
              <w:ind w:firstLineChars="196" w:firstLine="431"/>
              <w:jc w:val="left"/>
              <w:outlineLvl w:val="1"/>
              <w:rPr>
                <w:rFonts w:hAnsi="Times New Roman" w:ascii="Times New Roman"/>
                <w:sz w:val="22"/>
                <w:szCs w:val="21"/>
              </w:rPr>
            </w:pPr>
          </w:p>
        </w:tc>
        <w:tc>
          <w:tcPr>
            <w:tcW w:type="dxa" w:w="650"/>
            <w:vAlign w:val="center"/>
          </w:tcPr>
          <w:p>
            <w:pPr>
              <w:spacing w:lineRule="atLeast" w:line="360"/>
              <w:ind w:firstLineChars="196" w:firstLine="431"/>
              <w:jc w:val="left"/>
              <w:outlineLvl w:val="1"/>
              <w:rPr>
                <w:rFonts w:hAnsi="Times New Roman" w:ascii="Times New Roman"/>
                <w:sz w:val="22"/>
                <w:szCs w:val="21"/>
              </w:rPr>
            </w:pPr>
          </w:p>
        </w:tc>
        <w:tc>
          <w:tcPr>
            <w:tcW w:type="dxa" w:w="1135"/>
            <w:vAlign w:val="center"/>
          </w:tcPr>
          <w:p>
            <w:pPr>
              <w:spacing w:lineRule="atLeast" w:line="360"/>
              <w:ind w:firstLineChars="196" w:firstLine="431"/>
              <w:jc w:val="left"/>
              <w:outlineLvl w:val="1"/>
              <w:rPr>
                <w:rFonts w:hAnsi="Times New Roman" w:ascii="Times New Roman"/>
                <w:sz w:val="22"/>
                <w:szCs w:val="21"/>
              </w:rPr>
            </w:pPr>
          </w:p>
        </w:tc>
        <w:tc>
          <w:tcPr>
            <w:tcW w:type="dxa" w:w="1013"/>
            <w:vAlign w:val="center"/>
          </w:tcPr>
          <w:p>
            <w:pPr>
              <w:spacing w:lineRule="atLeast" w:line="360"/>
              <w:ind w:firstLineChars="196" w:firstLine="431"/>
              <w:jc w:val="left"/>
              <w:outlineLvl w:val="1"/>
              <w:rPr>
                <w:rFonts w:hAnsi="Times New Roman" w:ascii="Times New Roman"/>
                <w:sz w:val="22"/>
                <w:szCs w:val="21"/>
              </w:rPr>
            </w:pPr>
          </w:p>
        </w:tc>
        <w:tc>
          <w:tcPr>
            <w:tcW w:type="dxa" w:w="8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680"/>
          <w:jc w:val="center"/>
        </w:trPr>
        <w:tc>
          <w:tcPr>
            <w:tcW w:type="dxa" w:w="355"/>
            <w:vAlign w:val="center"/>
          </w:tcPr>
          <w:p>
            <w:pPr>
              <w:spacing w:lineRule="atLeast" w:line="360"/>
              <w:ind w:firstLineChars="196" w:firstLine="431"/>
              <w:jc w:val="left"/>
              <w:outlineLvl w:val="1"/>
              <w:rPr>
                <w:rFonts w:hAnsi="Times New Roman" w:ascii="Times New Roman"/>
                <w:sz w:val="22"/>
                <w:szCs w:val="21"/>
              </w:rPr>
            </w:pPr>
          </w:p>
        </w:tc>
        <w:tc>
          <w:tcPr>
            <w:tcW w:type="dxa" w:w="671"/>
            <w:vAlign w:val="center"/>
          </w:tcPr>
          <w:p>
            <w:pPr>
              <w:spacing w:lineRule="atLeast" w:line="360"/>
              <w:ind w:firstLineChars="196" w:firstLine="431"/>
              <w:jc w:val="left"/>
              <w:outlineLvl w:val="1"/>
              <w:rPr>
                <w:rFonts w:hAnsi="Times New Roman" w:ascii="Times New Roman"/>
                <w:sz w:val="22"/>
                <w:szCs w:val="21"/>
              </w:rPr>
            </w:pPr>
          </w:p>
        </w:tc>
        <w:tc>
          <w:tcPr>
            <w:tcW w:type="dxa" w:w="553"/>
            <w:vAlign w:val="center"/>
          </w:tcPr>
          <w:p>
            <w:pPr>
              <w:spacing w:lineRule="atLeast" w:line="360"/>
              <w:ind w:firstLineChars="196" w:firstLine="431"/>
              <w:jc w:val="left"/>
              <w:outlineLvl w:val="1"/>
              <w:rPr>
                <w:rFonts w:hAnsi="Times New Roman" w:ascii="Times New Roman"/>
                <w:sz w:val="22"/>
                <w:szCs w:val="21"/>
              </w:rPr>
            </w:pPr>
          </w:p>
        </w:tc>
        <w:tc>
          <w:tcPr>
            <w:tcW w:type="dxa" w:w="433"/>
            <w:vAlign w:val="center"/>
          </w:tcPr>
          <w:p>
            <w:pPr>
              <w:spacing w:lineRule="atLeast" w:line="360"/>
              <w:ind w:firstLineChars="196" w:firstLine="431"/>
              <w:jc w:val="left"/>
              <w:outlineLvl w:val="1"/>
              <w:rPr>
                <w:rFonts w:hAnsi="Times New Roman" w:ascii="Times New Roman"/>
                <w:sz w:val="22"/>
                <w:szCs w:val="21"/>
              </w:rPr>
            </w:pPr>
          </w:p>
        </w:tc>
        <w:tc>
          <w:tcPr>
            <w:tcW w:type="dxa" w:w="1141"/>
            <w:vAlign w:val="center"/>
          </w:tcPr>
          <w:p>
            <w:pPr>
              <w:spacing w:lineRule="atLeast" w:line="360"/>
              <w:ind w:firstLineChars="196" w:firstLine="431"/>
              <w:jc w:val="left"/>
              <w:outlineLvl w:val="1"/>
              <w:rPr>
                <w:rFonts w:hAnsi="Times New Roman" w:ascii="Times New Roman"/>
                <w:sz w:val="22"/>
                <w:szCs w:val="21"/>
              </w:rPr>
            </w:pPr>
          </w:p>
        </w:tc>
        <w:tc>
          <w:tcPr>
            <w:tcW w:type="dxa" w:w="929"/>
            <w:vAlign w:val="center"/>
          </w:tcPr>
          <w:p>
            <w:pPr>
              <w:spacing w:lineRule="atLeast" w:line="360"/>
              <w:ind w:firstLineChars="196" w:firstLine="431"/>
              <w:jc w:val="left"/>
              <w:outlineLvl w:val="1"/>
              <w:rPr>
                <w:rFonts w:hAnsi="Times New Roman" w:ascii="Times New Roman"/>
                <w:sz w:val="22"/>
                <w:szCs w:val="21"/>
              </w:rPr>
            </w:pPr>
          </w:p>
        </w:tc>
        <w:tc>
          <w:tcPr>
            <w:tcW w:type="dxa" w:w="764"/>
            <w:vAlign w:val="center"/>
          </w:tcPr>
          <w:p>
            <w:pPr>
              <w:spacing w:lineRule="atLeast" w:line="360"/>
              <w:ind w:firstLineChars="196" w:firstLine="431"/>
              <w:jc w:val="left"/>
              <w:outlineLvl w:val="1"/>
              <w:rPr>
                <w:rFonts w:hAnsi="Times New Roman" w:ascii="Times New Roman"/>
                <w:sz w:val="22"/>
                <w:szCs w:val="21"/>
              </w:rPr>
            </w:pPr>
          </w:p>
        </w:tc>
        <w:tc>
          <w:tcPr>
            <w:tcW w:type="dxa" w:w="650"/>
            <w:vAlign w:val="center"/>
          </w:tcPr>
          <w:p>
            <w:pPr>
              <w:spacing w:lineRule="atLeast" w:line="360"/>
              <w:ind w:firstLineChars="196" w:firstLine="431"/>
              <w:jc w:val="left"/>
              <w:outlineLvl w:val="1"/>
              <w:rPr>
                <w:rFonts w:hAnsi="Times New Roman" w:ascii="Times New Roman"/>
                <w:sz w:val="22"/>
                <w:szCs w:val="21"/>
              </w:rPr>
            </w:pPr>
          </w:p>
        </w:tc>
        <w:tc>
          <w:tcPr>
            <w:tcW w:type="dxa" w:w="1135"/>
            <w:vAlign w:val="center"/>
          </w:tcPr>
          <w:p>
            <w:pPr>
              <w:spacing w:lineRule="atLeast" w:line="360"/>
              <w:ind w:firstLineChars="196" w:firstLine="431"/>
              <w:jc w:val="left"/>
              <w:outlineLvl w:val="1"/>
              <w:rPr>
                <w:rFonts w:hAnsi="Times New Roman" w:ascii="Times New Roman"/>
                <w:sz w:val="22"/>
                <w:szCs w:val="21"/>
              </w:rPr>
            </w:pPr>
          </w:p>
        </w:tc>
        <w:tc>
          <w:tcPr>
            <w:tcW w:type="dxa" w:w="1013"/>
            <w:vAlign w:val="center"/>
          </w:tcPr>
          <w:p>
            <w:pPr>
              <w:spacing w:lineRule="atLeast" w:line="360"/>
              <w:ind w:firstLineChars="196" w:firstLine="431"/>
              <w:jc w:val="left"/>
              <w:outlineLvl w:val="1"/>
              <w:rPr>
                <w:rFonts w:hAnsi="Times New Roman" w:ascii="Times New Roman"/>
                <w:sz w:val="22"/>
                <w:szCs w:val="21"/>
              </w:rPr>
            </w:pPr>
          </w:p>
        </w:tc>
        <w:tc>
          <w:tcPr>
            <w:tcW w:type="dxa" w:w="8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60"/>
          <w:jc w:val="center"/>
        </w:trPr>
        <w:tc>
          <w:tcPr>
            <w:tcW w:type="dxa" w:w="8524"/>
            <w:gridSpan w:val="11"/>
            <w:vAlign w:val="center"/>
          </w:tcPr>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分项报价合计（元）：大写：</w:t>
            </w:r>
          </w:p>
        </w:tc>
      </w:tr>
    </w:tbl>
    <w:p>
      <w:pPr>
        <w:spacing w:lineRule="atLeast" w:line="360"/>
        <w:jc w:val="left"/>
        <w:outlineLvl w:val="1"/>
        <w:rPr>
          <w:rFonts w:hAnsi="Times New Roman" w:ascii="Times New Roman"/>
          <w:sz w:val="22"/>
          <w:szCs w:val="21"/>
        </w:rPr>
      </w:pPr>
    </w:p>
    <w:p>
      <w:pPr>
        <w:spacing w:lineRule="exact" w:line="400"/>
        <w:ind w:hangingChars="350" w:hanging="770" w:left="77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、投标人必须按</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的格式详细报出投标总价的各个组成部分的报价，否则作无效投标处理。</w:t>
      </w:r>
    </w:p>
    <w:p>
      <w:pPr>
        <w:spacing w:lineRule="exact" w:line="400"/>
        <w:ind w:firstLine="465"/>
        <w:jc w:val="left"/>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各分项报价合计应当与</w:t>
      </w:r>
      <w:r>
        <w:rPr>
          <w:rFonts w:hAnsi="Times New Roman" w:ascii="Times New Roman"/>
          <w:sz w:val="22"/>
          <w:szCs w:val="21"/>
        </w:rPr>
        <w:t>“</w:t>
      </w:r>
      <w:r>
        <w:rPr>
          <w:rFonts w:hAnsi="宋体" w:ascii="Times New Roman" w:hint="eastAsia"/>
          <w:sz w:val="22"/>
          <w:szCs w:val="21"/>
        </w:rPr>
        <w:t>开标一览表</w:t>
      </w:r>
      <w:r>
        <w:rPr>
          <w:rFonts w:hAnsi="Times New Roman" w:ascii="Times New Roman"/>
          <w:sz w:val="22"/>
          <w:szCs w:val="21"/>
        </w:rPr>
        <w:t>”</w:t>
      </w:r>
      <w:r>
        <w:rPr>
          <w:rFonts w:hAnsi="宋体" w:ascii="Times New Roman" w:hint="eastAsia"/>
          <w:sz w:val="22"/>
          <w:szCs w:val="21"/>
        </w:rPr>
        <w:t>报价合计相等。</w:t>
      </w:r>
    </w:p>
    <w:p>
      <w:pPr>
        <w:spacing w:lineRule="exact" w:line="400"/>
        <w:ind w:firstLine="465"/>
        <w:jc w:val="left"/>
        <w:rPr>
          <w:rFonts w:hAnsi="Times New Roman" w:ascii="Times New Roman"/>
          <w:sz w:val="22"/>
          <w:szCs w:val="21"/>
        </w:rPr>
      </w:pPr>
      <w:r>
        <w:rPr>
          <w:rFonts w:hAnsi="宋体" w:ascii="Times New Roman"/>
          <w:sz w:val="22"/>
          <w:szCs w:val="21"/>
        </w:rPr>
        <w:t>3</w:t>
      </w:r>
      <w:r>
        <w:rPr>
          <w:rFonts w:hAnsi="宋体" w:ascii="Times New Roman" w:hint="eastAsia"/>
          <w:sz w:val="22"/>
          <w:szCs w:val="21"/>
        </w:rPr>
        <w:t>、投标人在本表中必须详细注明所投产品的</w:t>
      </w:r>
      <w:r>
        <w:rPr>
          <w:rFonts w:hAnsi="Times New Roman" w:ascii="Times New Roman"/>
          <w:sz w:val="22"/>
          <w:szCs w:val="21"/>
        </w:rPr>
        <w:t>“</w:t>
      </w:r>
      <w:r>
        <w:rPr>
          <w:rFonts w:hAnsi="宋体" w:ascii="Times New Roman" w:hint="eastAsia"/>
          <w:sz w:val="22"/>
          <w:szCs w:val="21"/>
        </w:rPr>
        <w:t>品牌</w:t>
      </w:r>
      <w:r>
        <w:rPr>
          <w:rFonts w:hAnsi="Times New Roman" w:ascii="Times New Roman"/>
          <w:sz w:val="22"/>
          <w:szCs w:val="21"/>
        </w:rPr>
        <w:t>”</w:t>
      </w:r>
      <w:r>
        <w:rPr>
          <w:rFonts w:hAnsi="宋体" w:ascii="Times New Roman" w:hint="eastAsia"/>
          <w:sz w:val="22"/>
          <w:szCs w:val="21"/>
        </w:rPr>
        <w:t>和</w:t>
      </w:r>
      <w:r>
        <w:rPr>
          <w:rFonts w:hAnsi="Times New Roman" w:ascii="Times New Roman"/>
          <w:sz w:val="22"/>
          <w:szCs w:val="21"/>
        </w:rPr>
        <w:t>“</w:t>
      </w:r>
      <w:r>
        <w:rPr>
          <w:rFonts w:hAnsi="宋体" w:ascii="Times New Roman" w:hint="eastAsia"/>
          <w:sz w:val="22"/>
          <w:szCs w:val="21"/>
        </w:rPr>
        <w:t>规格型号</w:t>
      </w:r>
      <w:r>
        <w:rPr>
          <w:rFonts w:hAnsi="Times New Roman" w:ascii="Times New Roman"/>
          <w:sz w:val="22"/>
          <w:szCs w:val="21"/>
        </w:rPr>
        <w:t>”</w:t>
      </w:r>
      <w:r>
        <w:rPr>
          <w:rFonts w:hAnsi="宋体" w:ascii="Times New Roman" w:hint="eastAsia"/>
          <w:sz w:val="22"/>
          <w:szCs w:val="21"/>
        </w:rPr>
        <w:t>，自行承担填写错误被视为无效投标文件的风险。</w:t>
      </w:r>
    </w:p>
    <w:p>
      <w:pPr>
        <w:spacing w:lineRule="exact" w:line="400"/>
        <w:ind w:firstLine="465"/>
        <w:jc w:val="left"/>
        <w:rPr>
          <w:rFonts w:hAnsi="Times New Roman" w:ascii="Times New Roman"/>
          <w:sz w:val="22"/>
          <w:szCs w:val="21"/>
        </w:rPr>
      </w:pPr>
      <w:r>
        <w:rPr>
          <w:rFonts w:hAnsi="宋体" w:ascii="Times New Roman"/>
          <w:sz w:val="22"/>
          <w:szCs w:val="21"/>
        </w:rPr>
        <w:t>4</w:t>
      </w:r>
      <w:r>
        <w:rPr>
          <w:rFonts w:hAnsi="宋体" w:ascii="Times New Roman" w:hint="eastAsia"/>
          <w:sz w:val="22"/>
          <w:szCs w:val="21"/>
        </w:rPr>
        <w:t>、对于所投进口产品，如报关备案名称与招标文件中招标货物名称不一致的，应在备注栏中注明报关备案的具体名称。</w:t>
      </w:r>
    </w:p>
    <w:p>
      <w:pPr>
        <w:pStyle w:val="2"/>
        <w:rPr>
          <w:rFonts w:hAnsi="Times New Roman" w:ascii="Times New Roman"/>
          <w:sz w:val="32"/>
          <w:szCs w:val="22"/>
        </w:rPr>
      </w:pPr>
    </w:p>
    <w:p>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投标人名称：（盖章）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日期：</w:t>
      </w:r>
    </w:p>
    <w:p>
      <w:pPr>
        <w:spacing w:lineRule="atLeast" w:line="360"/>
        <w:outlineLvl w:val="1"/>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t>格式</w:t>
      </w:r>
      <w:r>
        <w:rPr>
          <w:rFonts w:hAnsi="Times New Roman" w:ascii="Times New Roman"/>
          <w:b/>
          <w:sz w:val="28"/>
          <w:szCs w:val="28"/>
        </w:rPr>
        <w:t>2-6</w:t>
      </w:r>
    </w:p>
    <w:p>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五、商务应答表</w:t>
      </w:r>
    </w:p>
    <w:p>
      <w:pPr>
        <w:spacing w:lineRule="atLeast" w:line="360"/>
        <w:ind w:firstLineChars="196" w:firstLine="432"/>
        <w:jc w:val="left"/>
        <w:outlineLvl w:val="1"/>
        <w:rPr>
          <w:rFonts w:hAnsi="Times New Roman" w:ascii="Times New Roman"/>
          <w:b/>
          <w:sz w:val="22"/>
          <w:szCs w:val="21"/>
        </w:rPr>
      </w:pPr>
    </w:p>
    <w:p>
      <w:pPr>
        <w:pStyle w:val="11"/>
        <w:pBdr>
          <w:bottom w:space="0" w:sz="0" w:color="auto" w:val="none"/>
        </w:pBdr>
        <w:tabs>
          <w:tab w:pos="4153" w:val="clear"/>
          <w:tab w:pos="8306" w:val="clear"/>
        </w:tabs>
        <w:snapToGrid/>
        <w:spacing w:lineRule="exact" w:line="400"/>
        <w:jc w:val="both"/>
        <w:rPr>
          <w:rFonts w:hAnsi="Times New Roman" w:ascii="Times New Roman"/>
          <w:sz w:val="22"/>
        </w:rPr>
      </w:pPr>
      <w:r>
        <w:rPr>
          <w:rFonts w:hAnsi="宋体" w:ascii="Times New Roman" w:hint="eastAsia"/>
          <w:sz w:val="22"/>
        </w:rPr>
        <w:t>招标编号</w:t>
      </w:r>
      <w:r>
        <w:rPr>
          <w:rFonts w:hAnsi="Times New Roman" w:ascii="Times New Roman"/>
          <w:sz w:val="22"/>
        </w:rPr>
        <w:t>/</w:t>
      </w:r>
      <w:r>
        <w:rPr>
          <w:rFonts w:hAnsi="宋体" w:ascii="Times New Roman" w:hint="eastAsia"/>
          <w:sz w:val="22"/>
        </w:rPr>
        <w:t>包号：</w:t>
      </w:r>
    </w:p>
    <w:tbl>
      <w:tblPr>
        <w:tblStyle w:val="15"/>
        <w:tblW w:type="dxa" w:w="8820"/>
        <w:tblInd w:type="dxa" w:w="-1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960"/>
        <w:gridCol w:w="1704"/>
        <w:gridCol w:w="1466"/>
        <w:gridCol w:w="3103"/>
        <w:gridCol w:w="1587"/>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598"/>
        </w:trPr>
        <w:tc>
          <w:tcPr>
            <w:tcW w:type="dxa" w:w="960"/>
            <w:vAlign w:val="center"/>
          </w:tcPr>
          <w:p>
            <w:pPr>
              <w:spacing w:lineRule="exact" w:line="400"/>
              <w:jc w:val="center"/>
              <w:rPr>
                <w:rFonts w:hAnsi="Times New Roman" w:ascii="Times New Roman"/>
                <w:sz w:val="20"/>
                <w:szCs w:val="20"/>
              </w:rPr>
            </w:pPr>
            <w:r>
              <w:rPr>
                <w:rFonts w:hAnsi="宋体" w:ascii="Times New Roman" w:hint="eastAsia"/>
                <w:sz w:val="20"/>
                <w:szCs w:val="20"/>
              </w:rPr>
              <w:t>序号</w:t>
            </w:r>
          </w:p>
        </w:tc>
        <w:tc>
          <w:tcPr>
            <w:tcW w:type="dxa" w:w="1704"/>
            <w:vAlign w:val="center"/>
          </w:tcPr>
          <w:p>
            <w:pPr>
              <w:spacing w:lineRule="exact" w:line="400"/>
              <w:jc w:val="center"/>
              <w:rPr>
                <w:rFonts w:hAnsi="Times New Roman" w:ascii="Times New Roman"/>
                <w:sz w:val="20"/>
                <w:szCs w:val="20"/>
              </w:rPr>
            </w:pPr>
            <w:r>
              <w:rPr>
                <w:rFonts w:hAnsi="宋体" w:ascii="Times New Roman" w:hint="eastAsia"/>
                <w:sz w:val="20"/>
                <w:szCs w:val="20"/>
              </w:rPr>
              <w:t>招标文件条目号</w:t>
            </w:r>
          </w:p>
        </w:tc>
        <w:tc>
          <w:tcPr>
            <w:tcW w:type="dxa" w:w="1466"/>
            <w:vAlign w:val="center"/>
          </w:tcPr>
          <w:p>
            <w:pPr>
              <w:spacing w:lineRule="exact" w:line="400"/>
              <w:jc w:val="center"/>
              <w:rPr>
                <w:rFonts w:hAnsi="Times New Roman" w:ascii="Times New Roman"/>
                <w:sz w:val="20"/>
                <w:szCs w:val="20"/>
              </w:rPr>
            </w:pPr>
            <w:r>
              <w:rPr>
                <w:rFonts w:hAnsi="宋体" w:ascii="Times New Roman" w:hint="eastAsia"/>
                <w:sz w:val="20"/>
                <w:szCs w:val="20"/>
              </w:rPr>
              <w:t>招标要求</w:t>
            </w:r>
          </w:p>
        </w:tc>
        <w:tc>
          <w:tcPr>
            <w:tcW w:type="dxa" w:w="3103"/>
            <w:vAlign w:val="center"/>
          </w:tcPr>
          <w:p>
            <w:pPr>
              <w:spacing w:lineRule="exact" w:line="400"/>
              <w:jc w:val="center"/>
              <w:rPr>
                <w:rFonts w:hAnsi="Times New Roman" w:ascii="Times New Roman"/>
                <w:sz w:val="20"/>
                <w:szCs w:val="20"/>
              </w:rPr>
            </w:pPr>
            <w:r>
              <w:rPr>
                <w:rFonts w:hAnsi="宋体" w:ascii="Times New Roman" w:hint="eastAsia"/>
                <w:sz w:val="20"/>
                <w:szCs w:val="20"/>
              </w:rPr>
              <w:t>投标应答</w:t>
            </w:r>
          </w:p>
        </w:tc>
        <w:tc>
          <w:tcPr>
            <w:tcW w:type="dxa" w:w="1587"/>
            <w:vAlign w:val="center"/>
          </w:tcPr>
          <w:p>
            <w:pPr>
              <w:spacing w:lineRule="exact" w:line="400"/>
              <w:jc w:val="center"/>
              <w:rPr>
                <w:rFonts w:hAnsi="Times New Roman" w:ascii="Times New Roman"/>
                <w:sz w:val="20"/>
                <w:szCs w:val="20"/>
              </w:rPr>
            </w:pPr>
            <w:r>
              <w:rPr>
                <w:rFonts w:hAnsi="宋体" w:ascii="Times New Roman" w:hint="eastAsia"/>
                <w:sz w:val="20"/>
                <w:szCs w:val="20"/>
              </w:rPr>
              <w:t>响应</w:t>
            </w:r>
            <w:r>
              <w:rPr>
                <w:rFonts w:hAnsi="Times New Roman" w:ascii="Times New Roman"/>
                <w:sz w:val="20"/>
                <w:szCs w:val="20"/>
              </w:rPr>
              <w:t>/</w:t>
            </w:r>
            <w:r>
              <w:rPr>
                <w:rFonts w:hAnsi="宋体" w:ascii="Times New Roman" w:hint="eastAsia"/>
                <w:sz w:val="20"/>
                <w:szCs w:val="20"/>
              </w:rPr>
              <w:t>偏离</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1058"/>
        </w:trPr>
        <w:tc>
          <w:tcPr>
            <w:tcW w:type="dxa" w:w="960"/>
          </w:tcPr>
          <w:p>
            <w:pPr>
              <w:spacing w:lineRule="exact" w:line="400"/>
              <w:jc w:val="center"/>
              <w:rPr>
                <w:rFonts w:hAnsi="Times New Roman" w:ascii="Times New Roman"/>
                <w:sz w:val="28"/>
                <w:szCs w:val="21"/>
              </w:rPr>
            </w:pPr>
          </w:p>
        </w:tc>
        <w:tc>
          <w:tcPr>
            <w:tcW w:type="dxa" w:w="1704"/>
          </w:tcPr>
          <w:p>
            <w:pPr>
              <w:spacing w:lineRule="exact" w:line="400"/>
              <w:jc w:val="center"/>
              <w:rPr>
                <w:rFonts w:hAnsi="Times New Roman" w:ascii="Times New Roman"/>
                <w:sz w:val="28"/>
                <w:szCs w:val="21"/>
              </w:rPr>
            </w:pPr>
          </w:p>
        </w:tc>
        <w:tc>
          <w:tcPr>
            <w:tcW w:type="dxa" w:w="1466"/>
          </w:tcPr>
          <w:p>
            <w:pPr>
              <w:spacing w:lineRule="exact" w:line="400"/>
              <w:jc w:val="center"/>
              <w:rPr>
                <w:rFonts w:hAnsi="Times New Roman" w:ascii="Times New Roman"/>
                <w:sz w:val="28"/>
                <w:szCs w:val="21"/>
              </w:rPr>
            </w:pPr>
          </w:p>
        </w:tc>
        <w:tc>
          <w:tcPr>
            <w:tcW w:type="dxa" w:w="3103"/>
          </w:tcPr>
          <w:p>
            <w:pPr>
              <w:spacing w:lineRule="exact" w:line="400"/>
              <w:ind w:hangingChars="132" w:hanging="369" w:left="370"/>
              <w:jc w:val="center"/>
              <w:rPr>
                <w:rFonts w:hAnsi="Times New Roman" w:ascii="Times New Roman"/>
                <w:sz w:val="28"/>
                <w:szCs w:val="21"/>
              </w:rPr>
            </w:pPr>
          </w:p>
        </w:tc>
        <w:tc>
          <w:tcPr>
            <w:tcW w:type="dxa" w:w="1587"/>
          </w:tcPr>
          <w:p>
            <w:pPr>
              <w:spacing w:lineRule="exact" w:line="400"/>
              <w:ind w:hangingChars="132" w:hanging="369" w:left="370"/>
              <w:jc w:val="center"/>
              <w:rPr>
                <w:rFonts w:hAnsi="Times New Roman" w:ascii="Times New Roman"/>
                <w:sz w:val="28"/>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1058"/>
        </w:trPr>
        <w:tc>
          <w:tcPr>
            <w:tcW w:type="dxa" w:w="960"/>
          </w:tcPr>
          <w:p>
            <w:pPr>
              <w:spacing w:lineRule="exact" w:line="400"/>
              <w:jc w:val="center"/>
              <w:rPr>
                <w:rFonts w:hAnsi="Times New Roman" w:ascii="Times New Roman"/>
                <w:sz w:val="28"/>
                <w:szCs w:val="21"/>
              </w:rPr>
            </w:pPr>
          </w:p>
        </w:tc>
        <w:tc>
          <w:tcPr>
            <w:tcW w:type="dxa" w:w="1704"/>
          </w:tcPr>
          <w:p>
            <w:pPr>
              <w:spacing w:lineRule="exact" w:line="400"/>
              <w:jc w:val="center"/>
              <w:rPr>
                <w:rFonts w:hAnsi="Times New Roman" w:ascii="Times New Roman"/>
                <w:sz w:val="28"/>
                <w:szCs w:val="21"/>
              </w:rPr>
            </w:pPr>
          </w:p>
        </w:tc>
        <w:tc>
          <w:tcPr>
            <w:tcW w:type="dxa" w:w="1466"/>
          </w:tcPr>
          <w:p>
            <w:pPr>
              <w:spacing w:lineRule="exact" w:line="400"/>
              <w:jc w:val="center"/>
              <w:rPr>
                <w:rFonts w:hAnsi="Times New Roman" w:ascii="Times New Roman"/>
                <w:sz w:val="28"/>
                <w:szCs w:val="21"/>
              </w:rPr>
            </w:pPr>
          </w:p>
        </w:tc>
        <w:tc>
          <w:tcPr>
            <w:tcW w:type="dxa" w:w="3103"/>
          </w:tcPr>
          <w:p>
            <w:pPr>
              <w:spacing w:lineRule="exact" w:line="400"/>
              <w:jc w:val="center"/>
              <w:rPr>
                <w:rFonts w:hAnsi="Times New Roman" w:ascii="Times New Roman"/>
                <w:sz w:val="28"/>
                <w:szCs w:val="21"/>
              </w:rPr>
            </w:pPr>
          </w:p>
        </w:tc>
        <w:tc>
          <w:tcPr>
            <w:tcW w:type="dxa" w:w="1587"/>
          </w:tcPr>
          <w:p>
            <w:pPr>
              <w:spacing w:lineRule="exact" w:line="400"/>
              <w:jc w:val="center"/>
              <w:rPr>
                <w:rFonts w:hAnsi="Times New Roman" w:ascii="Times New Roman"/>
                <w:sz w:val="28"/>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1058"/>
        </w:trPr>
        <w:tc>
          <w:tcPr>
            <w:tcW w:type="dxa" w:w="960"/>
          </w:tcPr>
          <w:p>
            <w:pPr>
              <w:spacing w:lineRule="exact" w:line="400"/>
              <w:jc w:val="center"/>
              <w:rPr>
                <w:rFonts w:hAnsi="Times New Roman" w:ascii="Times New Roman"/>
                <w:sz w:val="28"/>
                <w:szCs w:val="21"/>
              </w:rPr>
            </w:pPr>
          </w:p>
        </w:tc>
        <w:tc>
          <w:tcPr>
            <w:tcW w:type="dxa" w:w="1704"/>
          </w:tcPr>
          <w:p>
            <w:pPr>
              <w:spacing w:lineRule="exact" w:line="400"/>
              <w:jc w:val="center"/>
              <w:rPr>
                <w:rFonts w:hAnsi="Times New Roman" w:ascii="Times New Roman"/>
                <w:sz w:val="28"/>
                <w:szCs w:val="21"/>
              </w:rPr>
            </w:pPr>
          </w:p>
        </w:tc>
        <w:tc>
          <w:tcPr>
            <w:tcW w:type="dxa" w:w="1466"/>
          </w:tcPr>
          <w:p>
            <w:pPr>
              <w:spacing w:lineRule="exact" w:line="400"/>
              <w:jc w:val="center"/>
              <w:rPr>
                <w:rFonts w:hAnsi="Times New Roman" w:ascii="Times New Roman"/>
                <w:sz w:val="28"/>
                <w:szCs w:val="21"/>
              </w:rPr>
            </w:pPr>
          </w:p>
        </w:tc>
        <w:tc>
          <w:tcPr>
            <w:tcW w:type="dxa" w:w="3103"/>
          </w:tcPr>
          <w:p>
            <w:pPr>
              <w:spacing w:lineRule="exact" w:line="400"/>
              <w:jc w:val="center"/>
              <w:rPr>
                <w:rFonts w:hAnsi="Times New Roman" w:ascii="Times New Roman"/>
                <w:sz w:val="28"/>
                <w:szCs w:val="21"/>
              </w:rPr>
            </w:pPr>
          </w:p>
        </w:tc>
        <w:tc>
          <w:tcPr>
            <w:tcW w:type="dxa" w:w="1587"/>
          </w:tcPr>
          <w:p>
            <w:pPr>
              <w:spacing w:lineRule="exact" w:line="400"/>
              <w:jc w:val="center"/>
              <w:rPr>
                <w:rFonts w:hAnsi="Times New Roman" w:ascii="Times New Roman"/>
                <w:sz w:val="28"/>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1067"/>
        </w:trPr>
        <w:tc>
          <w:tcPr>
            <w:tcW w:type="dxa" w:w="960"/>
          </w:tcPr>
          <w:p>
            <w:pPr>
              <w:spacing w:lineRule="exact" w:line="400"/>
              <w:jc w:val="center"/>
              <w:rPr>
                <w:rFonts w:hAnsi="Times New Roman" w:ascii="Times New Roman"/>
                <w:sz w:val="28"/>
                <w:szCs w:val="21"/>
              </w:rPr>
            </w:pPr>
          </w:p>
        </w:tc>
        <w:tc>
          <w:tcPr>
            <w:tcW w:type="dxa" w:w="1704"/>
          </w:tcPr>
          <w:p>
            <w:pPr>
              <w:spacing w:lineRule="exact" w:line="400"/>
              <w:jc w:val="center"/>
              <w:rPr>
                <w:rFonts w:hAnsi="Times New Roman" w:ascii="Times New Roman"/>
                <w:sz w:val="28"/>
                <w:szCs w:val="21"/>
              </w:rPr>
            </w:pPr>
          </w:p>
        </w:tc>
        <w:tc>
          <w:tcPr>
            <w:tcW w:type="dxa" w:w="1466"/>
          </w:tcPr>
          <w:p>
            <w:pPr>
              <w:spacing w:lineRule="exact" w:line="400"/>
              <w:jc w:val="center"/>
              <w:rPr>
                <w:rFonts w:hAnsi="Times New Roman" w:ascii="Times New Roman"/>
                <w:sz w:val="28"/>
                <w:szCs w:val="21"/>
              </w:rPr>
            </w:pPr>
          </w:p>
        </w:tc>
        <w:tc>
          <w:tcPr>
            <w:tcW w:type="dxa" w:w="3103"/>
          </w:tcPr>
          <w:p>
            <w:pPr>
              <w:spacing w:lineRule="exact" w:line="400"/>
              <w:jc w:val="center"/>
              <w:rPr>
                <w:rFonts w:hAnsi="Times New Roman" w:ascii="Times New Roman"/>
                <w:sz w:val="28"/>
                <w:szCs w:val="21"/>
              </w:rPr>
            </w:pPr>
          </w:p>
        </w:tc>
        <w:tc>
          <w:tcPr>
            <w:tcW w:type="dxa" w:w="1587"/>
          </w:tcPr>
          <w:p>
            <w:pPr>
              <w:spacing w:lineRule="exact" w:line="400"/>
              <w:jc w:val="center"/>
              <w:rPr>
                <w:rFonts w:hAnsi="Times New Roman" w:ascii="Times New Roman"/>
                <w:sz w:val="28"/>
                <w:szCs w:val="21"/>
              </w:rPr>
            </w:pPr>
          </w:p>
        </w:tc>
      </w:tr>
    </w:tbl>
    <w:p>
      <w:pPr>
        <w:spacing w:lineRule="exact" w:line="40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投标供应商须对商务条款逐条响应，并保证响应的真实性。</w:t>
      </w:r>
    </w:p>
    <w:p>
      <w:pPr>
        <w:spacing w:lineRule="exact" w:line="400"/>
        <w:ind w:firstLine="480"/>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投标供应商未按要求响应的，漏项的，自行承担被视为无效投标文件的风险。</w:t>
      </w:r>
    </w:p>
    <w:p>
      <w:pPr>
        <w:spacing w:lineRule="exact" w:line="400"/>
        <w:ind w:firstLine="480"/>
        <w:rPr>
          <w:rFonts w:hAnsi="Times New Roman" w:ascii="Times New Roman"/>
          <w:sz w:val="22"/>
          <w:szCs w:val="21"/>
        </w:rPr>
      </w:pPr>
      <w:r>
        <w:rPr>
          <w:rFonts w:hAnsi="Times New Roman" w:ascii="Times New Roman"/>
          <w:sz w:val="22"/>
          <w:szCs w:val="21"/>
        </w:rPr>
        <w:t>3.</w:t>
      </w:r>
      <w:r>
        <w:rPr>
          <w:rFonts w:hAnsi="宋体" w:ascii="Times New Roman" w:hint="eastAsia"/>
          <w:sz w:val="22"/>
          <w:szCs w:val="21"/>
        </w:rPr>
        <w:t>商务条款不允许负偏离。</w:t>
      </w:r>
    </w:p>
    <w:p>
      <w:pPr>
        <w:spacing w:lineRule="exact" w:line="400"/>
        <w:ind w:hangingChars="200" w:hanging="440" w:leftChars="57" w:left="634"/>
        <w:rPr>
          <w:rFonts w:hAnsi="Times New Roman" w:ascii="Times New Roman"/>
          <w:sz w:val="22"/>
          <w:szCs w:val="21"/>
        </w:rPr>
      </w:pPr>
    </w:p>
    <w:p>
      <w:pPr>
        <w:adjustRightInd w:val="false"/>
        <w:spacing w:lineRule="exact" w:line="400"/>
        <w:ind w:firstLineChars="175" w:firstLine="420"/>
        <w:jc w:val="left"/>
        <w:rPr>
          <w:rFonts w:hAnsi="Times New Roman" w:ascii="Times New Roman"/>
          <w:bCs/>
          <w:sz w:val="24"/>
          <w:szCs w:val="24"/>
        </w:rPr>
      </w:pPr>
    </w:p>
    <w:p>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投标人名称：（盖公章）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日期</w:t>
      </w:r>
      <w:r>
        <w:rPr>
          <w:rFonts w:hAnsi="Times New Roman" w:ascii="Times New Roman"/>
          <w:bCs/>
          <w:sz w:val="22"/>
          <w:szCs w:val="21"/>
        </w:rPr>
        <w:t>:</w:t>
      </w:r>
    </w:p>
    <w:p>
      <w:pPr>
        <w:spacing w:lineRule="exact" w:line="400"/>
        <w:rPr>
          <w:rFonts w:hAnsi="Times New Roman" w:ascii="Times New Roman"/>
          <w:bCs/>
          <w:sz w:val="24"/>
          <w:szCs w:val="24"/>
        </w:rPr>
      </w:pPr>
    </w:p>
    <w:p>
      <w:pPr>
        <w:spacing w:lineRule="exact" w:line="400"/>
        <w:rPr>
          <w:rFonts w:hAnsi="Times New Roman" w:ascii="Times New Roman"/>
          <w:bCs/>
          <w:sz w:val="24"/>
          <w:szCs w:val="24"/>
        </w:rPr>
      </w:pPr>
    </w:p>
    <w:p>
      <w:pPr>
        <w:spacing w:lineRule="exact" w:line="400"/>
        <w:rPr>
          <w:rFonts w:hAnsi="Times New Roman" w:ascii="Times New Roman"/>
          <w:bCs/>
          <w:sz w:val="24"/>
          <w:szCs w:val="24"/>
        </w:rPr>
      </w:pPr>
    </w:p>
    <w:p>
      <w:pPr>
        <w:spacing w:lineRule="auto" w:line="360"/>
        <w:rPr>
          <w:rFonts w:hAnsi="Times New Roman" w:ascii="Times New Roman"/>
          <w:sz w:val="22"/>
          <w:szCs w:val="21"/>
        </w:rPr>
      </w:pPr>
    </w:p>
    <w:p>
      <w:pPr>
        <w:spacing w:lineRule="auto" w:line="360"/>
        <w:rPr>
          <w:rFonts w:hAnsi="Times New Roman" w:ascii="Times New Roman"/>
          <w:sz w:val="22"/>
          <w:szCs w:val="21"/>
        </w:rPr>
      </w:pPr>
    </w:p>
    <w:p>
      <w:pPr>
        <w:spacing w:lineRule="auto" w:line="360"/>
        <w:rPr>
          <w:rFonts w:hAnsi="Times New Roman" w:ascii="Times New Roman"/>
          <w:sz w:val="22"/>
          <w:szCs w:val="21"/>
        </w:rPr>
      </w:pPr>
    </w:p>
    <w:p>
      <w:pPr>
        <w:spacing w:lineRule="auto" w:line="360"/>
        <w:rPr>
          <w:rFonts w:hAnsi="Times New Roman" w:ascii="Times New Roman"/>
          <w:sz w:val="22"/>
          <w:szCs w:val="21"/>
        </w:rPr>
      </w:pPr>
    </w:p>
    <w:p>
      <w:pPr>
        <w:spacing w:lineRule="auto" w:line="360"/>
        <w:rPr>
          <w:rFonts w:hAnsi="Times New Roman" w:ascii="Times New Roman"/>
          <w:sz w:val="22"/>
          <w:szCs w:val="21"/>
        </w:rPr>
      </w:pPr>
    </w:p>
    <w:p>
      <w:pPr>
        <w:spacing w:lineRule="auto" w:line="360"/>
        <w:rPr>
          <w:rFonts w:hAnsi="Times New Roman" w:ascii="Times New Roman"/>
          <w:sz w:val="22"/>
          <w:szCs w:val="21"/>
        </w:rPr>
      </w:pPr>
      <w:r>
        <w:rPr>
          <w:rFonts w:hAnsi="宋体" w:ascii="Times New Roman" w:hint="eastAsia"/>
          <w:b/>
          <w:sz w:val="28"/>
          <w:szCs w:val="28"/>
        </w:rPr>
        <w:t>格式</w:t>
      </w:r>
      <w:r>
        <w:rPr>
          <w:rFonts w:hAnsi="Times New Roman" w:ascii="Times New Roman"/>
          <w:b/>
          <w:sz w:val="28"/>
          <w:szCs w:val="28"/>
        </w:rPr>
        <w:t>2-</w:t>
      </w:r>
      <w:r>
        <w:rPr>
          <w:rFonts w:hAnsi="Times New Roman" w:ascii="Times New Roman" w:hint="eastAsia"/>
          <w:b/>
          <w:sz w:val="28"/>
          <w:szCs w:val="28"/>
        </w:rPr>
        <w:t>7</w:t>
      </w:r>
    </w:p>
    <w:p>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lang w:eastAsia="zh-CN"/>
        </w:rPr>
        <w:t>六</w:t>
      </w:r>
      <w:r>
        <w:rPr>
          <w:rFonts w:eastAsia="黑体" w:hAnsi="Times New Roman" w:ascii="Times New Roman" w:hint="eastAsia"/>
          <w:b/>
          <w:sz w:val="28"/>
          <w:szCs w:val="28"/>
        </w:rPr>
        <w:t>、投标产品技术参数表</w:t>
      </w:r>
    </w:p>
    <w:p>
      <w:pPr>
        <w:spacing w:lineRule="atLeast" w:line="360"/>
        <w:ind w:firstLineChars="196" w:firstLine="432"/>
        <w:jc w:val="left"/>
        <w:outlineLvl w:val="1"/>
        <w:rPr>
          <w:rFonts w:hAnsi="Times New Roman" w:ascii="Times New Roman"/>
          <w:b/>
          <w:sz w:val="22"/>
          <w:szCs w:val="21"/>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招标编号</w:t>
      </w:r>
      <w:r>
        <w:rPr>
          <w:rFonts w:hAnsi="Times New Roman" w:ascii="Times New Roman"/>
          <w:sz w:val="22"/>
          <w:szCs w:val="21"/>
        </w:rPr>
        <w:t>/</w:t>
      </w:r>
      <w:r>
        <w:rPr>
          <w:rFonts w:hAnsi="Times New Roman" w:ascii="Times New Roman" w:hint="eastAsia"/>
          <w:sz w:val="22"/>
          <w:szCs w:val="21"/>
        </w:rPr>
        <w:t>包号：</w:t>
      </w:r>
    </w:p>
    <w:tbl>
      <w:tblPr>
        <w:tblStyle w:val="15"/>
        <w:tblW w:type="dxa" w:w="851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1089"/>
        <w:gridCol w:w="1941"/>
        <w:gridCol w:w="1600"/>
        <w:gridCol w:w="2131"/>
        <w:gridCol w:w="1758"/>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jc w:val="center"/>
        </w:trPr>
        <w:tc>
          <w:tcPr>
            <w:tcW w:type="dxa" w:w="1089"/>
            <w:vAlign w:val="center"/>
          </w:tcPr>
          <w:p>
            <w:pPr>
              <w:spacing w:lineRule="atLeast" w:line="360"/>
              <w:jc w:val="center"/>
              <w:outlineLvl w:val="1"/>
              <w:rPr>
                <w:rFonts w:hAnsi="Times New Roman" w:ascii="Times New Roman"/>
                <w:sz w:val="22"/>
                <w:szCs w:val="21"/>
              </w:rPr>
            </w:pPr>
            <w:r>
              <w:rPr>
                <w:rFonts w:hAnsi="Times New Roman" w:ascii="Times New Roman" w:hint="eastAsia"/>
                <w:sz w:val="22"/>
                <w:szCs w:val="21"/>
              </w:rPr>
              <w:t>序号</w:t>
            </w:r>
          </w:p>
        </w:tc>
        <w:tc>
          <w:tcPr>
            <w:tcW w:type="dxa" w:w="1941"/>
            <w:vAlign w:val="center"/>
          </w:tcPr>
          <w:p>
            <w:pPr>
              <w:spacing w:lineRule="atLeast" w:line="360"/>
              <w:jc w:val="center"/>
              <w:outlineLvl w:val="1"/>
              <w:rPr>
                <w:rFonts w:hAnsi="Times New Roman" w:ascii="Times New Roman"/>
                <w:sz w:val="22"/>
                <w:szCs w:val="21"/>
              </w:rPr>
            </w:pPr>
            <w:r>
              <w:rPr>
                <w:rFonts w:hAnsi="Times New Roman" w:ascii="Times New Roman" w:hint="eastAsia"/>
                <w:sz w:val="22"/>
                <w:szCs w:val="21"/>
              </w:rPr>
              <w:t>货物（设备）名称</w:t>
            </w:r>
          </w:p>
        </w:tc>
        <w:tc>
          <w:tcPr>
            <w:tcW w:type="dxa" w:w="1600"/>
            <w:vAlign w:val="center"/>
          </w:tcPr>
          <w:p>
            <w:pPr>
              <w:spacing w:lineRule="atLeast" w:line="360"/>
              <w:jc w:val="center"/>
              <w:outlineLvl w:val="1"/>
              <w:rPr>
                <w:rFonts w:hAnsi="Times New Roman" w:ascii="Times New Roman"/>
                <w:sz w:val="22"/>
                <w:szCs w:val="21"/>
              </w:rPr>
            </w:pPr>
            <w:r>
              <w:rPr>
                <w:rFonts w:hAnsi="Times New Roman" w:ascii="Times New Roman" w:hint="eastAsia"/>
                <w:sz w:val="22"/>
                <w:szCs w:val="21"/>
              </w:rPr>
              <w:t>招标文件要求</w:t>
            </w:r>
          </w:p>
        </w:tc>
        <w:tc>
          <w:tcPr>
            <w:tcW w:type="dxa" w:w="2131"/>
            <w:vAlign w:val="center"/>
          </w:tcPr>
          <w:p>
            <w:pPr>
              <w:spacing w:lineRule="atLeast" w:line="360"/>
              <w:jc w:val="center"/>
              <w:outlineLvl w:val="1"/>
              <w:rPr>
                <w:rFonts w:hAnsi="Times New Roman" w:ascii="Times New Roman"/>
                <w:sz w:val="22"/>
                <w:szCs w:val="21"/>
              </w:rPr>
            </w:pPr>
            <w:r>
              <w:rPr>
                <w:rFonts w:hAnsi="Times New Roman" w:ascii="Times New Roman" w:hint="eastAsia"/>
                <w:sz w:val="22"/>
                <w:szCs w:val="21"/>
              </w:rPr>
              <w:t>投标产品技术参数</w:t>
            </w:r>
          </w:p>
        </w:tc>
        <w:tc>
          <w:tcPr>
            <w:tcW w:type="dxa" w:w="1758"/>
            <w:vAlign w:val="center"/>
          </w:tcPr>
          <w:p>
            <w:pPr>
              <w:spacing w:lineRule="atLeast" w:line="360"/>
              <w:jc w:val="center"/>
              <w:outlineLvl w:val="1"/>
              <w:rPr>
                <w:rFonts w:hAnsi="Times New Roman" w:ascii="Times New Roman"/>
                <w:sz w:val="22"/>
                <w:szCs w:val="21"/>
              </w:rPr>
            </w:pPr>
            <w:r>
              <w:rPr>
                <w:rFonts w:hAnsi="Times New Roman" w:ascii="Times New Roman" w:hint="eastAsia"/>
                <w:sz w:val="22"/>
                <w:szCs w:val="21"/>
              </w:rPr>
              <w:t>响应</w:t>
            </w:r>
            <w:r>
              <w:rPr>
                <w:rFonts w:hAnsi="Times New Roman" w:ascii="Times New Roman"/>
                <w:sz w:val="22"/>
                <w:szCs w:val="21"/>
              </w:rPr>
              <w:t>/</w:t>
            </w:r>
            <w:r>
              <w:rPr>
                <w:rFonts w:hAnsi="Times New Roman" w:ascii="Times New Roman" w:hint="eastAsia"/>
                <w:sz w:val="22"/>
                <w:szCs w:val="21"/>
              </w:rPr>
              <w:t>偏离</w:t>
            </w:r>
          </w:p>
        </w:tc>
      </w:tr>
      <w:tr>
        <w:trPr>
          <w:jc w:val="center"/>
        </w:trPr>
        <w:tc>
          <w:tcPr>
            <w:tcW w:type="dxa" w:w="1089"/>
          </w:tcPr>
          <w:p>
            <w:pPr>
              <w:spacing w:lineRule="atLeast" w:line="360"/>
              <w:ind w:firstLineChars="196" w:firstLine="431"/>
              <w:jc w:val="left"/>
              <w:outlineLvl w:val="1"/>
              <w:rPr>
                <w:rFonts w:hAnsi="Times New Roman" w:ascii="Times New Roman"/>
                <w:sz w:val="22"/>
                <w:szCs w:val="21"/>
              </w:rPr>
            </w:pPr>
          </w:p>
        </w:tc>
        <w:tc>
          <w:tcPr>
            <w:tcW w:type="dxa" w:w="1941"/>
          </w:tcPr>
          <w:p>
            <w:pPr>
              <w:spacing w:lineRule="atLeast" w:line="360"/>
              <w:ind w:firstLineChars="196" w:firstLine="431"/>
              <w:jc w:val="left"/>
              <w:outlineLvl w:val="1"/>
              <w:rPr>
                <w:rFonts w:hAnsi="Times New Roman" w:ascii="Times New Roman"/>
                <w:sz w:val="22"/>
                <w:szCs w:val="21"/>
              </w:rPr>
            </w:pPr>
          </w:p>
        </w:tc>
        <w:tc>
          <w:tcPr>
            <w:tcW w:type="dxa" w:w="1600"/>
          </w:tcPr>
          <w:p>
            <w:pPr>
              <w:spacing w:lineRule="atLeast" w:line="360"/>
              <w:ind w:firstLineChars="196" w:firstLine="431"/>
              <w:jc w:val="left"/>
              <w:outlineLvl w:val="1"/>
              <w:rPr>
                <w:rFonts w:hAnsi="Times New Roman" w:ascii="Times New Roman"/>
                <w:sz w:val="22"/>
                <w:szCs w:val="21"/>
              </w:rPr>
            </w:pPr>
          </w:p>
        </w:tc>
        <w:tc>
          <w:tcPr>
            <w:tcW w:type="dxa" w:w="2131"/>
          </w:tcPr>
          <w:p>
            <w:pPr>
              <w:spacing w:lineRule="atLeast" w:line="360"/>
              <w:ind w:firstLineChars="196" w:firstLine="431"/>
              <w:jc w:val="left"/>
              <w:outlineLvl w:val="1"/>
              <w:rPr>
                <w:rFonts w:hAnsi="Times New Roman" w:ascii="Times New Roman"/>
                <w:sz w:val="22"/>
                <w:szCs w:val="21"/>
              </w:rPr>
            </w:pPr>
          </w:p>
        </w:tc>
        <w:tc>
          <w:tcPr>
            <w:tcW w:type="dxa" w:w="1758"/>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jc w:val="center"/>
        </w:trPr>
        <w:tc>
          <w:tcPr>
            <w:tcW w:type="dxa" w:w="1089"/>
          </w:tcPr>
          <w:p>
            <w:pPr>
              <w:spacing w:lineRule="atLeast" w:line="360"/>
              <w:ind w:firstLineChars="196" w:firstLine="431"/>
              <w:jc w:val="left"/>
              <w:outlineLvl w:val="1"/>
              <w:rPr>
                <w:rFonts w:hAnsi="Times New Roman" w:ascii="Times New Roman"/>
                <w:sz w:val="22"/>
                <w:szCs w:val="21"/>
              </w:rPr>
            </w:pPr>
          </w:p>
        </w:tc>
        <w:tc>
          <w:tcPr>
            <w:tcW w:type="dxa" w:w="1941"/>
          </w:tcPr>
          <w:p>
            <w:pPr>
              <w:spacing w:lineRule="atLeast" w:line="360"/>
              <w:ind w:firstLineChars="196" w:firstLine="431"/>
              <w:jc w:val="left"/>
              <w:outlineLvl w:val="1"/>
              <w:rPr>
                <w:rFonts w:hAnsi="Times New Roman" w:ascii="Times New Roman"/>
                <w:sz w:val="22"/>
                <w:szCs w:val="21"/>
              </w:rPr>
            </w:pPr>
          </w:p>
        </w:tc>
        <w:tc>
          <w:tcPr>
            <w:tcW w:type="dxa" w:w="1600"/>
          </w:tcPr>
          <w:p>
            <w:pPr>
              <w:spacing w:lineRule="atLeast" w:line="360"/>
              <w:ind w:firstLineChars="196" w:firstLine="431"/>
              <w:jc w:val="left"/>
              <w:outlineLvl w:val="1"/>
              <w:rPr>
                <w:rFonts w:hAnsi="Times New Roman" w:ascii="Times New Roman"/>
                <w:sz w:val="22"/>
                <w:szCs w:val="21"/>
              </w:rPr>
            </w:pPr>
          </w:p>
        </w:tc>
        <w:tc>
          <w:tcPr>
            <w:tcW w:type="dxa" w:w="2131"/>
          </w:tcPr>
          <w:p>
            <w:pPr>
              <w:spacing w:lineRule="atLeast" w:line="360"/>
              <w:ind w:firstLineChars="196" w:firstLine="431"/>
              <w:jc w:val="left"/>
              <w:outlineLvl w:val="1"/>
              <w:rPr>
                <w:rFonts w:hAnsi="Times New Roman" w:ascii="Times New Roman"/>
                <w:sz w:val="22"/>
                <w:szCs w:val="21"/>
              </w:rPr>
            </w:pPr>
          </w:p>
        </w:tc>
        <w:tc>
          <w:tcPr>
            <w:tcW w:type="dxa" w:w="1758"/>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jc w:val="center"/>
        </w:trPr>
        <w:tc>
          <w:tcPr>
            <w:tcW w:type="dxa" w:w="1089"/>
          </w:tcPr>
          <w:p>
            <w:pPr>
              <w:spacing w:lineRule="atLeast" w:line="360"/>
              <w:ind w:firstLineChars="196" w:firstLine="431"/>
              <w:jc w:val="left"/>
              <w:outlineLvl w:val="1"/>
              <w:rPr>
                <w:rFonts w:hAnsi="Times New Roman" w:ascii="Times New Roman"/>
                <w:sz w:val="22"/>
                <w:szCs w:val="21"/>
              </w:rPr>
            </w:pPr>
          </w:p>
        </w:tc>
        <w:tc>
          <w:tcPr>
            <w:tcW w:type="dxa" w:w="1941"/>
          </w:tcPr>
          <w:p>
            <w:pPr>
              <w:spacing w:lineRule="atLeast" w:line="360"/>
              <w:ind w:firstLineChars="196" w:firstLine="431"/>
              <w:jc w:val="left"/>
              <w:outlineLvl w:val="1"/>
              <w:rPr>
                <w:rFonts w:hAnsi="Times New Roman" w:ascii="Times New Roman"/>
                <w:sz w:val="22"/>
                <w:szCs w:val="21"/>
              </w:rPr>
            </w:pPr>
          </w:p>
        </w:tc>
        <w:tc>
          <w:tcPr>
            <w:tcW w:type="dxa" w:w="1600"/>
          </w:tcPr>
          <w:p>
            <w:pPr>
              <w:spacing w:lineRule="atLeast" w:line="360"/>
              <w:ind w:firstLineChars="196" w:firstLine="431"/>
              <w:jc w:val="left"/>
              <w:outlineLvl w:val="1"/>
              <w:rPr>
                <w:rFonts w:hAnsi="Times New Roman" w:ascii="Times New Roman"/>
                <w:sz w:val="22"/>
                <w:szCs w:val="21"/>
              </w:rPr>
            </w:pPr>
          </w:p>
        </w:tc>
        <w:tc>
          <w:tcPr>
            <w:tcW w:type="dxa" w:w="2131"/>
          </w:tcPr>
          <w:p>
            <w:pPr>
              <w:spacing w:lineRule="atLeast" w:line="360"/>
              <w:ind w:firstLineChars="196" w:firstLine="431"/>
              <w:jc w:val="left"/>
              <w:outlineLvl w:val="1"/>
              <w:rPr>
                <w:rFonts w:hAnsi="Times New Roman" w:ascii="Times New Roman"/>
                <w:sz w:val="22"/>
                <w:szCs w:val="21"/>
              </w:rPr>
            </w:pPr>
          </w:p>
        </w:tc>
        <w:tc>
          <w:tcPr>
            <w:tcW w:type="dxa" w:w="1758"/>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jc w:val="center"/>
        </w:trPr>
        <w:tc>
          <w:tcPr>
            <w:tcW w:type="dxa" w:w="1089"/>
          </w:tcPr>
          <w:p>
            <w:pPr>
              <w:spacing w:lineRule="atLeast" w:line="360"/>
              <w:ind w:firstLineChars="196" w:firstLine="431"/>
              <w:jc w:val="left"/>
              <w:outlineLvl w:val="1"/>
              <w:rPr>
                <w:rFonts w:hAnsi="Times New Roman" w:ascii="Times New Roman"/>
                <w:sz w:val="22"/>
                <w:szCs w:val="21"/>
              </w:rPr>
            </w:pPr>
          </w:p>
        </w:tc>
        <w:tc>
          <w:tcPr>
            <w:tcW w:type="dxa" w:w="1941"/>
          </w:tcPr>
          <w:p>
            <w:pPr>
              <w:spacing w:lineRule="atLeast" w:line="360"/>
              <w:ind w:firstLineChars="196" w:firstLine="431"/>
              <w:jc w:val="left"/>
              <w:outlineLvl w:val="1"/>
              <w:rPr>
                <w:rFonts w:hAnsi="Times New Roman" w:ascii="Times New Roman"/>
                <w:sz w:val="22"/>
                <w:szCs w:val="21"/>
              </w:rPr>
            </w:pPr>
          </w:p>
        </w:tc>
        <w:tc>
          <w:tcPr>
            <w:tcW w:type="dxa" w:w="1600"/>
          </w:tcPr>
          <w:p>
            <w:pPr>
              <w:spacing w:lineRule="atLeast" w:line="360"/>
              <w:ind w:firstLineChars="196" w:firstLine="431"/>
              <w:jc w:val="left"/>
              <w:outlineLvl w:val="1"/>
              <w:rPr>
                <w:rFonts w:hAnsi="Times New Roman" w:ascii="Times New Roman"/>
                <w:sz w:val="22"/>
                <w:szCs w:val="21"/>
              </w:rPr>
            </w:pPr>
          </w:p>
        </w:tc>
        <w:tc>
          <w:tcPr>
            <w:tcW w:type="dxa" w:w="2131"/>
          </w:tcPr>
          <w:p>
            <w:pPr>
              <w:spacing w:lineRule="atLeast" w:line="360"/>
              <w:ind w:firstLineChars="196" w:firstLine="431"/>
              <w:jc w:val="left"/>
              <w:outlineLvl w:val="1"/>
              <w:rPr>
                <w:rFonts w:hAnsi="Times New Roman" w:ascii="Times New Roman"/>
                <w:sz w:val="22"/>
                <w:szCs w:val="21"/>
              </w:rPr>
            </w:pPr>
          </w:p>
        </w:tc>
        <w:tc>
          <w:tcPr>
            <w:tcW w:type="dxa" w:w="1758"/>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jc w:val="center"/>
        </w:trPr>
        <w:tc>
          <w:tcPr>
            <w:tcW w:type="dxa" w:w="1089"/>
          </w:tcPr>
          <w:p>
            <w:pPr>
              <w:spacing w:lineRule="atLeast" w:line="360"/>
              <w:ind w:firstLineChars="196" w:firstLine="431"/>
              <w:jc w:val="left"/>
              <w:outlineLvl w:val="1"/>
              <w:rPr>
                <w:rFonts w:hAnsi="Times New Roman" w:ascii="Times New Roman"/>
                <w:sz w:val="22"/>
                <w:szCs w:val="21"/>
              </w:rPr>
            </w:pPr>
          </w:p>
        </w:tc>
        <w:tc>
          <w:tcPr>
            <w:tcW w:type="dxa" w:w="1941"/>
          </w:tcPr>
          <w:p>
            <w:pPr>
              <w:spacing w:lineRule="atLeast" w:line="360"/>
              <w:ind w:firstLineChars="196" w:firstLine="431"/>
              <w:jc w:val="left"/>
              <w:outlineLvl w:val="1"/>
              <w:rPr>
                <w:rFonts w:hAnsi="Times New Roman" w:ascii="Times New Roman"/>
                <w:sz w:val="22"/>
                <w:szCs w:val="21"/>
              </w:rPr>
            </w:pPr>
          </w:p>
        </w:tc>
        <w:tc>
          <w:tcPr>
            <w:tcW w:type="dxa" w:w="1600"/>
          </w:tcPr>
          <w:p>
            <w:pPr>
              <w:spacing w:lineRule="atLeast" w:line="360"/>
              <w:ind w:firstLineChars="196" w:firstLine="431"/>
              <w:jc w:val="left"/>
              <w:outlineLvl w:val="1"/>
              <w:rPr>
                <w:rFonts w:hAnsi="Times New Roman" w:ascii="Times New Roman"/>
                <w:sz w:val="22"/>
                <w:szCs w:val="21"/>
              </w:rPr>
            </w:pPr>
          </w:p>
        </w:tc>
        <w:tc>
          <w:tcPr>
            <w:tcW w:type="dxa" w:w="2131"/>
          </w:tcPr>
          <w:p>
            <w:pPr>
              <w:spacing w:lineRule="atLeast" w:line="360"/>
              <w:ind w:firstLineChars="196" w:firstLine="431"/>
              <w:jc w:val="left"/>
              <w:outlineLvl w:val="1"/>
              <w:rPr>
                <w:rFonts w:hAnsi="Times New Roman" w:ascii="Times New Roman"/>
                <w:sz w:val="22"/>
                <w:szCs w:val="21"/>
              </w:rPr>
            </w:pPr>
          </w:p>
        </w:tc>
        <w:tc>
          <w:tcPr>
            <w:tcW w:type="dxa" w:w="1758"/>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jc w:val="center"/>
        </w:trPr>
        <w:tc>
          <w:tcPr>
            <w:tcW w:type="dxa" w:w="1089"/>
          </w:tcPr>
          <w:p>
            <w:pPr>
              <w:spacing w:lineRule="atLeast" w:line="360"/>
              <w:ind w:firstLineChars="196" w:firstLine="431"/>
              <w:jc w:val="left"/>
              <w:outlineLvl w:val="1"/>
              <w:rPr>
                <w:rFonts w:hAnsi="Times New Roman" w:ascii="Times New Roman"/>
                <w:sz w:val="22"/>
                <w:szCs w:val="21"/>
              </w:rPr>
            </w:pPr>
          </w:p>
        </w:tc>
        <w:tc>
          <w:tcPr>
            <w:tcW w:type="dxa" w:w="1941"/>
          </w:tcPr>
          <w:p>
            <w:pPr>
              <w:spacing w:lineRule="atLeast" w:line="360"/>
              <w:ind w:firstLineChars="196" w:firstLine="431"/>
              <w:jc w:val="left"/>
              <w:outlineLvl w:val="1"/>
              <w:rPr>
                <w:rFonts w:hAnsi="Times New Roman" w:ascii="Times New Roman"/>
                <w:sz w:val="22"/>
                <w:szCs w:val="21"/>
              </w:rPr>
            </w:pPr>
          </w:p>
        </w:tc>
        <w:tc>
          <w:tcPr>
            <w:tcW w:type="dxa" w:w="1600"/>
          </w:tcPr>
          <w:p>
            <w:pPr>
              <w:spacing w:lineRule="atLeast" w:line="360"/>
              <w:ind w:firstLineChars="196" w:firstLine="431"/>
              <w:jc w:val="left"/>
              <w:outlineLvl w:val="1"/>
              <w:rPr>
                <w:rFonts w:hAnsi="Times New Roman" w:ascii="Times New Roman"/>
                <w:sz w:val="22"/>
                <w:szCs w:val="21"/>
              </w:rPr>
            </w:pPr>
          </w:p>
        </w:tc>
        <w:tc>
          <w:tcPr>
            <w:tcW w:type="dxa" w:w="2131"/>
          </w:tcPr>
          <w:p>
            <w:pPr>
              <w:spacing w:lineRule="atLeast" w:line="360"/>
              <w:ind w:firstLineChars="196" w:firstLine="431"/>
              <w:jc w:val="left"/>
              <w:outlineLvl w:val="1"/>
              <w:rPr>
                <w:rFonts w:hAnsi="Times New Roman" w:ascii="Times New Roman"/>
                <w:sz w:val="22"/>
                <w:szCs w:val="21"/>
              </w:rPr>
            </w:pPr>
          </w:p>
        </w:tc>
        <w:tc>
          <w:tcPr>
            <w:tcW w:type="dxa" w:w="1758"/>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jc w:val="center"/>
        </w:trPr>
        <w:tc>
          <w:tcPr>
            <w:tcW w:type="dxa" w:w="1089"/>
          </w:tcPr>
          <w:p>
            <w:pPr>
              <w:spacing w:lineRule="atLeast" w:line="360"/>
              <w:ind w:firstLineChars="196" w:firstLine="431"/>
              <w:jc w:val="left"/>
              <w:outlineLvl w:val="1"/>
              <w:rPr>
                <w:rFonts w:hAnsi="Times New Roman" w:ascii="Times New Roman"/>
                <w:sz w:val="22"/>
                <w:szCs w:val="21"/>
              </w:rPr>
            </w:pPr>
          </w:p>
        </w:tc>
        <w:tc>
          <w:tcPr>
            <w:tcW w:type="dxa" w:w="1941"/>
          </w:tcPr>
          <w:p>
            <w:pPr>
              <w:spacing w:lineRule="atLeast" w:line="360"/>
              <w:ind w:firstLineChars="196" w:firstLine="431"/>
              <w:jc w:val="left"/>
              <w:outlineLvl w:val="1"/>
              <w:rPr>
                <w:rFonts w:hAnsi="Times New Roman" w:ascii="Times New Roman"/>
                <w:sz w:val="22"/>
                <w:szCs w:val="21"/>
              </w:rPr>
            </w:pPr>
          </w:p>
        </w:tc>
        <w:tc>
          <w:tcPr>
            <w:tcW w:type="dxa" w:w="1600"/>
          </w:tcPr>
          <w:p>
            <w:pPr>
              <w:spacing w:lineRule="atLeast" w:line="360"/>
              <w:ind w:firstLineChars="196" w:firstLine="431"/>
              <w:jc w:val="left"/>
              <w:outlineLvl w:val="1"/>
              <w:rPr>
                <w:rFonts w:hAnsi="Times New Roman" w:ascii="Times New Roman"/>
                <w:sz w:val="22"/>
                <w:szCs w:val="21"/>
              </w:rPr>
            </w:pPr>
          </w:p>
        </w:tc>
        <w:tc>
          <w:tcPr>
            <w:tcW w:type="dxa" w:w="2131"/>
          </w:tcPr>
          <w:p>
            <w:pPr>
              <w:spacing w:lineRule="atLeast" w:line="360"/>
              <w:ind w:firstLineChars="196" w:firstLine="431"/>
              <w:jc w:val="left"/>
              <w:outlineLvl w:val="1"/>
              <w:rPr>
                <w:rFonts w:hAnsi="Times New Roman" w:ascii="Times New Roman"/>
                <w:sz w:val="22"/>
                <w:szCs w:val="21"/>
              </w:rPr>
            </w:pPr>
          </w:p>
        </w:tc>
        <w:tc>
          <w:tcPr>
            <w:tcW w:type="dxa" w:w="1758"/>
          </w:tcPr>
          <w:p>
            <w:pPr>
              <w:spacing w:lineRule="atLeast" w:line="360"/>
              <w:ind w:firstLineChars="196" w:firstLine="431"/>
              <w:jc w:val="left"/>
              <w:outlineLvl w:val="1"/>
              <w:rPr>
                <w:rFonts w:hAnsi="Times New Roman" w:ascii="Times New Roman"/>
                <w:sz w:val="22"/>
                <w:szCs w:val="21"/>
              </w:rPr>
            </w:pPr>
          </w:p>
        </w:tc>
      </w:tr>
    </w:tbl>
    <w:p>
      <w:pPr>
        <w:spacing w:lineRule="atLeast" w:line="360"/>
        <w:ind w:firstLineChars="196" w:firstLine="431"/>
        <w:jc w:val="left"/>
        <w:outlineLvl w:val="1"/>
        <w:rPr>
          <w:rFonts w:hAnsi="Times New Roman" w:ascii="Times New Roman"/>
          <w:sz w:val="22"/>
          <w:szCs w:val="21"/>
        </w:rPr>
      </w:pPr>
    </w:p>
    <w:p>
      <w:pPr>
        <w:spacing w:lineRule="exact" w:line="400"/>
        <w:ind w:firstLineChars="200" w:firstLine="44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 xml:space="preserve">1. </w:t>
      </w:r>
      <w:r>
        <w:rPr>
          <w:rFonts w:hAnsi="宋体" w:ascii="Times New Roman" w:hint="eastAsia"/>
          <w:sz w:val="22"/>
          <w:szCs w:val="21"/>
        </w:rPr>
        <w:t>供应商必须把招标项目的所有产品的主要技术参数列入此表。</w:t>
      </w:r>
    </w:p>
    <w:p>
      <w:pPr>
        <w:spacing w:lineRule="exact" w:line="400"/>
        <w:ind w:firstLineChars="300" w:firstLine="660"/>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．按照招标项目技术要求的顺序对应填写。</w:t>
      </w:r>
    </w:p>
    <w:p>
      <w:pPr>
        <w:adjustRightInd w:val="false"/>
        <w:spacing w:lineRule="exact" w:line="400"/>
        <w:ind w:firstLineChars="175" w:firstLine="385"/>
        <w:jc w:val="left"/>
        <w:rPr>
          <w:rFonts w:hAnsi="Times New Roman" w:ascii="Times New Roman"/>
          <w:sz w:val="22"/>
          <w:szCs w:val="21"/>
        </w:rPr>
      </w:pPr>
      <w:r>
        <w:rPr>
          <w:rFonts w:hAnsi="Times New Roman" w:ascii="Times New Roman"/>
          <w:sz w:val="22"/>
          <w:szCs w:val="21"/>
        </w:rPr>
        <w:t>3.</w:t>
      </w:r>
      <w:r>
        <w:rPr>
          <w:rFonts w:hAnsi="宋体" w:ascii="Times New Roman" w:hint="eastAsia"/>
          <w:sz w:val="22"/>
          <w:szCs w:val="21"/>
        </w:rPr>
        <w:t>按照响应的技术参数尽可能的提供证明材料复印件予以作证。</w:t>
      </w: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pPr>
        <w:spacing w:lineRule="atLeast" w:line="360"/>
        <w:ind w:firstLineChars="196" w:firstLine="431"/>
        <w:jc w:val="left"/>
        <w:outlineLvl w:val="1"/>
        <w:rPr>
          <w:rFonts w:hAnsi="Times New Roman" w:ascii="Times New Roman"/>
          <w:sz w:val="22"/>
          <w:szCs w:val="21"/>
        </w:rPr>
      </w:pPr>
    </w:p>
    <w:p>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2-</w:t>
      </w:r>
      <w:r>
        <w:rPr>
          <w:rFonts w:hAnsi="Times New Roman" w:ascii="Times New Roman" w:hint="eastAsia"/>
          <w:b/>
          <w:sz w:val="28"/>
          <w:szCs w:val="28"/>
        </w:rPr>
        <w:t>8</w:t>
      </w:r>
    </w:p>
    <w:p>
      <w:pPr>
        <w:spacing w:lineRule="atLeast" w:line="360"/>
        <w:jc w:val="center"/>
        <w:outlineLvl w:val="1"/>
        <w:rPr>
          <w:rFonts w:eastAsia="黑体" w:hAnsi="Times New Roman" w:ascii="Times New Roman"/>
          <w:b/>
          <w:sz w:val="32"/>
          <w:szCs w:val="32"/>
        </w:rPr>
      </w:pPr>
      <w:r>
        <w:rPr>
          <w:rFonts w:eastAsia="黑体" w:hAnsi="Times New Roman" w:ascii="Times New Roman" w:hint="eastAsia"/>
          <w:b/>
          <w:sz w:val="32"/>
          <w:szCs w:val="32"/>
        </w:rPr>
        <w:t>七、类似项目业绩一览表</w:t>
      </w:r>
    </w:p>
    <w:p>
      <w:pPr>
        <w:spacing w:lineRule="atLeast" w:line="360"/>
        <w:ind w:firstLineChars="196" w:firstLine="432"/>
        <w:jc w:val="left"/>
        <w:outlineLvl w:val="1"/>
        <w:rPr>
          <w:rFonts w:hAnsi="Times New Roman" w:ascii="Times New Roman"/>
          <w:b/>
          <w:sz w:val="22"/>
          <w:szCs w:val="21"/>
        </w:rPr>
      </w:pPr>
    </w:p>
    <w:tbl>
      <w:tblPr>
        <w:tblStyle w:val="15"/>
        <w:tblW w:type="dxa" w:w="8523"/>
        <w:jc w:val="center"/>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top w:type="dxa" w:w="0"/>
          <w:left w:type="dxa" w:w="54"/>
          <w:bottom w:type="dxa" w:w="0"/>
          <w:right w:type="dxa" w:w="54"/>
        </w:tblCellMar>
      </w:tblPr>
      <w:tblGrid>
        <w:gridCol w:w="720"/>
        <w:gridCol w:w="1440"/>
        <w:gridCol w:w="1320"/>
        <w:gridCol w:w="1161"/>
        <w:gridCol w:w="1260"/>
        <w:gridCol w:w="9"/>
        <w:gridCol w:w="1621"/>
        <w:gridCol w:w="992"/>
      </w:tblGrid>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tcBorders>
              <w:top w:space="0" w:sz="4"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年份</w:t>
            </w:r>
          </w:p>
        </w:tc>
        <w:tc>
          <w:tcPr>
            <w:tcW w:type="dxa" w:w="1440"/>
            <w:tcBorders>
              <w:top w:space="0" w:sz="4"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用户名称</w:t>
            </w:r>
          </w:p>
        </w:tc>
        <w:tc>
          <w:tcPr>
            <w:tcW w:type="dxa" w:w="1320"/>
            <w:tcBorders>
              <w:top w:space="0" w:sz="4"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项目名称</w:t>
            </w:r>
          </w:p>
        </w:tc>
        <w:tc>
          <w:tcPr>
            <w:tcW w:type="dxa" w:w="1161"/>
            <w:tcBorders>
              <w:top w:space="0" w:sz="4"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完成时间</w:t>
            </w:r>
          </w:p>
        </w:tc>
        <w:tc>
          <w:tcPr>
            <w:tcW w:type="dxa" w:w="1260"/>
            <w:tcBorders>
              <w:top w:space="0" w:sz="4"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合同金额</w:t>
            </w:r>
          </w:p>
        </w:tc>
        <w:tc>
          <w:tcPr>
            <w:tcW w:type="dxa" w:w="1630"/>
            <w:gridSpan w:val="2"/>
            <w:tcBorders>
              <w:top w:space="0" w:sz="4" w:color="auto" w:val="single"/>
              <w:right w:space="0" w:sz="4"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是否通过验收</w:t>
            </w:r>
          </w:p>
        </w:tc>
        <w:tc>
          <w:tcPr>
            <w:tcW w:type="dxa" w:w="992"/>
            <w:tcBorders>
              <w:top w:space="0" w:sz="4" w:color="auto" w:val="single"/>
              <w:left w:space="0" w:sz="4"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备注</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vAlign w:val="center"/>
          </w:tcPr>
          <w:p>
            <w:pPr>
              <w:spacing w:lineRule="atLeast" w:line="360"/>
              <w:ind w:firstLineChars="196" w:firstLine="431"/>
              <w:jc w:val="left"/>
              <w:outlineLvl w:val="1"/>
              <w:rPr>
                <w:rFonts w:hAnsi="Times New Roman" w:ascii="Times New Roman"/>
                <w:sz w:val="22"/>
                <w:szCs w:val="21"/>
              </w:rPr>
            </w:pPr>
          </w:p>
        </w:tc>
        <w:tc>
          <w:tcPr>
            <w:tcW w:type="dxa" w:w="1440"/>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1161"/>
            <w:vAlign w:val="center"/>
          </w:tcPr>
          <w:p>
            <w:pPr>
              <w:spacing w:lineRule="atLeast" w:line="360"/>
              <w:ind w:firstLineChars="196" w:firstLine="431"/>
              <w:jc w:val="left"/>
              <w:outlineLvl w:val="1"/>
              <w:rPr>
                <w:rFonts w:hAnsi="Times New Roman" w:ascii="Times New Roman"/>
                <w:sz w:val="22"/>
                <w:szCs w:val="21"/>
              </w:rPr>
            </w:pPr>
          </w:p>
        </w:tc>
        <w:tc>
          <w:tcPr>
            <w:tcW w:type="dxa" w:w="1260"/>
            <w:vAlign w:val="center"/>
          </w:tcPr>
          <w:p>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vAlign w:val="center"/>
          </w:tcPr>
          <w:p>
            <w:pPr>
              <w:spacing w:lineRule="atLeast" w:line="360"/>
              <w:ind w:firstLineChars="196" w:firstLine="431"/>
              <w:jc w:val="left"/>
              <w:outlineLvl w:val="1"/>
              <w:rPr>
                <w:rFonts w:hAnsi="Times New Roman" w:ascii="Times New Roman"/>
                <w:sz w:val="22"/>
                <w:szCs w:val="21"/>
              </w:rPr>
            </w:pPr>
          </w:p>
        </w:tc>
        <w:tc>
          <w:tcPr>
            <w:tcW w:type="dxa" w:w="1440"/>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1161"/>
            <w:vAlign w:val="center"/>
          </w:tcPr>
          <w:p>
            <w:pPr>
              <w:spacing w:lineRule="atLeast" w:line="360"/>
              <w:ind w:firstLineChars="196" w:firstLine="431"/>
              <w:jc w:val="left"/>
              <w:outlineLvl w:val="1"/>
              <w:rPr>
                <w:rFonts w:hAnsi="Times New Roman" w:ascii="Times New Roman"/>
                <w:sz w:val="22"/>
                <w:szCs w:val="21"/>
              </w:rPr>
            </w:pPr>
          </w:p>
        </w:tc>
        <w:tc>
          <w:tcPr>
            <w:tcW w:type="dxa" w:w="1260"/>
            <w:vAlign w:val="center"/>
          </w:tcPr>
          <w:p>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vAlign w:val="center"/>
          </w:tcPr>
          <w:p>
            <w:pPr>
              <w:spacing w:lineRule="atLeast" w:line="360"/>
              <w:ind w:firstLineChars="196" w:firstLine="431"/>
              <w:jc w:val="left"/>
              <w:outlineLvl w:val="1"/>
              <w:rPr>
                <w:rFonts w:hAnsi="Times New Roman" w:ascii="Times New Roman"/>
                <w:sz w:val="22"/>
                <w:szCs w:val="21"/>
              </w:rPr>
            </w:pPr>
          </w:p>
        </w:tc>
        <w:tc>
          <w:tcPr>
            <w:tcW w:type="dxa" w:w="1440"/>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1161"/>
            <w:vAlign w:val="center"/>
          </w:tcPr>
          <w:p>
            <w:pPr>
              <w:spacing w:lineRule="atLeast" w:line="360"/>
              <w:ind w:firstLineChars="196" w:firstLine="431"/>
              <w:jc w:val="left"/>
              <w:outlineLvl w:val="1"/>
              <w:rPr>
                <w:rFonts w:hAnsi="Times New Roman" w:ascii="Times New Roman"/>
                <w:sz w:val="22"/>
                <w:szCs w:val="21"/>
              </w:rPr>
            </w:pPr>
          </w:p>
        </w:tc>
        <w:tc>
          <w:tcPr>
            <w:tcW w:type="dxa" w:w="1260"/>
            <w:vAlign w:val="center"/>
          </w:tcPr>
          <w:p>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vAlign w:val="center"/>
          </w:tcPr>
          <w:p>
            <w:pPr>
              <w:spacing w:lineRule="atLeast" w:line="360"/>
              <w:ind w:firstLineChars="196" w:firstLine="431"/>
              <w:jc w:val="left"/>
              <w:outlineLvl w:val="1"/>
              <w:rPr>
                <w:rFonts w:hAnsi="Times New Roman" w:ascii="Times New Roman"/>
                <w:sz w:val="22"/>
                <w:szCs w:val="21"/>
              </w:rPr>
            </w:pPr>
          </w:p>
        </w:tc>
        <w:tc>
          <w:tcPr>
            <w:tcW w:type="dxa" w:w="1440"/>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320"/>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161"/>
            <w:vAlign w:val="center"/>
          </w:tcPr>
          <w:p>
            <w:pPr>
              <w:spacing w:lineRule="atLeast" w:line="360"/>
              <w:ind w:firstLineChars="196" w:firstLine="431"/>
              <w:jc w:val="left"/>
              <w:outlineLvl w:val="1"/>
              <w:rPr>
                <w:rFonts w:hAnsi="Times New Roman" w:ascii="Times New Roman"/>
                <w:sz w:val="22"/>
                <w:szCs w:val="21"/>
              </w:rPr>
            </w:pPr>
          </w:p>
        </w:tc>
        <w:tc>
          <w:tcPr>
            <w:tcW w:type="dxa" w:w="1260"/>
            <w:vAlign w:val="center"/>
          </w:tcPr>
          <w:p>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440"/>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320"/>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161"/>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269"/>
            <w:gridSpan w:val="2"/>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vAlign w:val="center"/>
          </w:tcPr>
          <w:p>
            <w:pPr>
              <w:spacing w:lineRule="atLeast" w:line="360"/>
              <w:ind w:firstLineChars="196" w:firstLine="431"/>
              <w:jc w:val="left"/>
              <w:outlineLvl w:val="1"/>
              <w:rPr>
                <w:rFonts w:hAnsi="Times New Roman" w:ascii="Times New Roman"/>
                <w:sz w:val="22"/>
                <w:szCs w:val="21"/>
              </w:rPr>
            </w:pPr>
          </w:p>
        </w:tc>
        <w:tc>
          <w:tcPr>
            <w:tcW w:type="dxa" w:w="1440"/>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1161"/>
            <w:vAlign w:val="center"/>
          </w:tcPr>
          <w:p>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vAlign w:val="center"/>
          </w:tcPr>
          <w:p>
            <w:pPr>
              <w:spacing w:lineRule="atLeast" w:line="360"/>
              <w:ind w:firstLineChars="196" w:firstLine="431"/>
              <w:jc w:val="left"/>
              <w:outlineLvl w:val="1"/>
              <w:rPr>
                <w:rFonts w:hAnsi="Times New Roman" w:ascii="Times New Roman"/>
                <w:sz w:val="22"/>
                <w:szCs w:val="21"/>
              </w:rPr>
            </w:pPr>
          </w:p>
        </w:tc>
        <w:tc>
          <w:tcPr>
            <w:tcW w:type="dxa" w:w="1440"/>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1161"/>
            <w:vAlign w:val="center"/>
          </w:tcPr>
          <w:p>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00"/>
          <w:jc w:val="center"/>
        </w:trPr>
        <w:tc>
          <w:tcPr>
            <w:tcW w:type="dxa" w:w="720"/>
            <w:vAlign w:val="center"/>
          </w:tcPr>
          <w:p>
            <w:pPr>
              <w:spacing w:lineRule="atLeast" w:line="360"/>
              <w:ind w:firstLineChars="196" w:firstLine="431"/>
              <w:jc w:val="left"/>
              <w:outlineLvl w:val="1"/>
              <w:rPr>
                <w:rFonts w:hAnsi="Times New Roman" w:ascii="Times New Roman"/>
                <w:sz w:val="22"/>
                <w:szCs w:val="21"/>
              </w:rPr>
            </w:pPr>
          </w:p>
        </w:tc>
        <w:tc>
          <w:tcPr>
            <w:tcW w:type="dxa" w:w="1440"/>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1161"/>
            <w:vAlign w:val="center"/>
          </w:tcPr>
          <w:p>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510"/>
          <w:jc w:val="center"/>
        </w:trPr>
        <w:tc>
          <w:tcPr>
            <w:tcW w:type="dxa" w:w="720"/>
            <w:tcBorders>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440"/>
            <w:tcBorders>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320"/>
            <w:tcBorders>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161"/>
            <w:tcBorders>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269"/>
            <w:gridSpan w:val="2"/>
            <w:tcBorders>
              <w:bottom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bottom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PrEx>
        <w:trPr>
          <w:cantSplit/>
          <w:trHeight w:hRule="atLeast" w:val="615"/>
          <w:jc w:val="center"/>
        </w:trPr>
        <w:tc>
          <w:tcPr>
            <w:tcW w:type="dxa" w:w="720"/>
            <w:tcBorders>
              <w:top w:space="0" w:sz="4" w:color="auto" w:val="single"/>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440"/>
            <w:tcBorders>
              <w:top w:space="0" w:sz="4" w:color="auto" w:val="single"/>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320"/>
            <w:tcBorders>
              <w:top w:space="0" w:sz="4" w:color="auto" w:val="single"/>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161"/>
            <w:tcBorders>
              <w:top w:space="0" w:sz="4" w:color="auto" w:val="single"/>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269"/>
            <w:gridSpan w:val="2"/>
            <w:tcBorders>
              <w:top w:space="0" w:sz="4" w:color="auto" w:val="single"/>
              <w:bottom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1621"/>
            <w:tcBorders>
              <w:top w:space="0" w:sz="4" w:color="auto" w:val="single"/>
              <w:left w:space="0" w:sz="4" w:color="auto" w:val="single"/>
              <w:bottom w:space="0" w:sz="4" w:color="auto" w:val="single"/>
              <w:right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c>
          <w:tcPr>
            <w:tcW w:type="dxa" w:w="992"/>
            <w:tcBorders>
              <w:top w:space="0" w:sz="4" w:color="auto" w:val="single"/>
              <w:left w:space="0" w:sz="4" w:color="auto" w:val="single"/>
              <w:bottom w:space="0" w:sz="4" w:color="auto" w:val="single"/>
            </w:tcBorders>
            <w:vAlign w:val="center"/>
          </w:tcPr>
          <w:p>
            <w:pPr>
              <w:spacing w:lineRule="atLeast" w:line="360"/>
              <w:ind w:firstLineChars="196" w:firstLine="431"/>
              <w:jc w:val="left"/>
              <w:outlineLvl w:val="1"/>
              <w:rPr>
                <w:rFonts w:hAnsi="Times New Roman" w:ascii="Times New Roman"/>
                <w:sz w:val="22"/>
                <w:szCs w:val="21"/>
              </w:rPr>
            </w:pPr>
          </w:p>
        </w:tc>
      </w:tr>
    </w:tbl>
    <w:p>
      <w:pPr>
        <w:spacing w:lineRule="atLeast" w:line="360"/>
        <w:ind w:firstLineChars="196" w:firstLine="431"/>
        <w:jc w:val="left"/>
        <w:outlineLvl w:val="1"/>
        <w:rPr>
          <w:rFonts w:hAnsi="Times New Roman" w:ascii="Times New Roman"/>
          <w:sz w:val="22"/>
          <w:szCs w:val="21"/>
        </w:rPr>
      </w:pPr>
    </w:p>
    <w:p>
      <w:pPr>
        <w:tabs>
          <w:tab w:pos="555" w:val="left"/>
          <w:tab w:pos="2214" w:val="left"/>
          <w:tab w:pos="3774" w:val="left"/>
          <w:tab w:pos="4854" w:val="left"/>
          <w:tab w:pos="5934" w:val="left"/>
          <w:tab w:pos="7014" w:val="left"/>
          <w:tab w:pos="8214" w:val="left"/>
          <w:tab w:pos="10134" w:val="left"/>
          <w:tab w:pos="11124" w:val="left"/>
        </w:tabs>
        <w:spacing w:lineRule="exact" w:line="400"/>
        <w:ind w:firstLineChars="150" w:firstLine="330" w:leftChars="171" w:left="581"/>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以上业绩须提供有关书面证明材料。</w:t>
      </w: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p>
    <w:p>
      <w:pPr>
        <w:pStyle w:val="2"/>
        <w:rPr>
          <w:rFonts w:hAnsi="Times New Roman" w:ascii="Times New Roman"/>
          <w:sz w:val="32"/>
          <w:szCs w:val="22"/>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w:t>
      </w:r>
    </w:p>
    <w:p>
      <w:pPr>
        <w:spacing w:lineRule="atLeast" w:line="360"/>
        <w:jc w:val="left"/>
        <w:outlineLvl w:val="1"/>
        <w:rPr>
          <w:rFonts w:hAnsi="Times New Roman" w:ascii="Times New Roman"/>
          <w:b/>
          <w:sz w:val="22"/>
          <w:szCs w:val="21"/>
        </w:rPr>
      </w:pPr>
    </w:p>
    <w:p>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t>格式</w:t>
      </w:r>
      <w:r>
        <w:rPr>
          <w:rFonts w:hAnsi="Times New Roman" w:ascii="Times New Roman"/>
          <w:b/>
          <w:sz w:val="28"/>
          <w:szCs w:val="28"/>
        </w:rPr>
        <w:t>2-</w:t>
      </w:r>
      <w:r>
        <w:rPr>
          <w:rFonts w:hAnsi="Times New Roman" w:ascii="Times New Roman" w:hint="eastAsia"/>
          <w:b/>
          <w:sz w:val="28"/>
          <w:szCs w:val="28"/>
        </w:rPr>
        <w:t>9</w:t>
      </w:r>
    </w:p>
    <w:p>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lang w:eastAsia="zh-CN"/>
        </w:rPr>
        <w:t>八</w:t>
      </w:r>
      <w:r>
        <w:rPr>
          <w:rFonts w:eastAsia="黑体" w:hAnsi="Times New Roman" w:ascii="Times New Roman" w:hint="eastAsia"/>
          <w:b/>
          <w:sz w:val="28"/>
          <w:szCs w:val="28"/>
        </w:rPr>
        <w:t>、投标人基本情况表</w:t>
      </w:r>
    </w:p>
    <w:tbl>
      <w:tblPr>
        <w:tblStyle w:val="15"/>
        <w:tblW w:type="dxa" w:w="8215"/>
        <w:tblInd w:type="dxa" w:w="0"/>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Layout w:type="fixed"/>
        <w:tblCellMar>
          <w:top w:type="dxa" w:w="0"/>
          <w:left w:type="dxa" w:w="108"/>
          <w:bottom w:type="dxa" w:w="0"/>
          <w:right w:type="dxa" w:w="108"/>
        </w:tblCellMar>
      </w:tblPr>
      <w:tblGrid>
        <w:gridCol w:w="1522"/>
        <w:gridCol w:w="957"/>
        <w:gridCol w:w="1239"/>
        <w:gridCol w:w="1247"/>
        <w:gridCol w:w="1320"/>
        <w:gridCol w:w="158"/>
        <w:gridCol w:w="692"/>
        <w:gridCol w:w="1080"/>
      </w:tblGrid>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62"/>
        </w:trPr>
        <w:tc>
          <w:tcPr>
            <w:tcW w:type="dxa" w:w="1522"/>
            <w:tcBorders>
              <w:top w:space="0" w:sz="18" w:color="auto" w:val="single"/>
            </w:tcBorders>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投标人名称</w:t>
            </w:r>
          </w:p>
        </w:tc>
        <w:tc>
          <w:tcPr>
            <w:tcW w:type="dxa" w:w="6693"/>
            <w:gridSpan w:val="7"/>
            <w:tcBorders>
              <w:top w:space="0" w:sz="18" w:color="auto" w:val="single"/>
            </w:tcBorders>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6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注册地址</w:t>
            </w:r>
          </w:p>
        </w:tc>
        <w:tc>
          <w:tcPr>
            <w:tcW w:type="dxa" w:w="3443"/>
            <w:gridSpan w:val="3"/>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邮政编码</w:t>
            </w:r>
          </w:p>
        </w:tc>
        <w:tc>
          <w:tcPr>
            <w:tcW w:type="dxa" w:w="1930"/>
            <w:gridSpan w:val="3"/>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42"/>
        </w:trPr>
        <w:tc>
          <w:tcPr>
            <w:tcW w:type="dxa" w:w="1522"/>
            <w:vMerge w:val="restart"/>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联系方式</w:t>
            </w:r>
          </w:p>
        </w:tc>
        <w:tc>
          <w:tcPr>
            <w:tcW w:type="dxa" w:w="957"/>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联系人</w:t>
            </w:r>
          </w:p>
        </w:tc>
        <w:tc>
          <w:tcPr>
            <w:tcW w:type="dxa" w:w="2486"/>
            <w:gridSpan w:val="2"/>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电话</w:t>
            </w:r>
          </w:p>
        </w:tc>
        <w:tc>
          <w:tcPr>
            <w:tcW w:type="dxa" w:w="1930"/>
            <w:gridSpan w:val="3"/>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148"/>
        </w:trPr>
        <w:tc>
          <w:tcPr>
            <w:tcW w:type="dxa" w:w="1522"/>
            <w:vMerge w:val="continue"/>
            <w:vAlign w:val="center"/>
          </w:tcPr>
          <w:p>
            <w:pPr>
              <w:rPr>
                <w:rFonts w:hAnsi="Times New Roman" w:ascii="Times New Roman"/>
                <w:sz w:val="32"/>
                <w:szCs w:val="21"/>
              </w:rPr>
            </w:pPr>
          </w:p>
        </w:tc>
        <w:tc>
          <w:tcPr>
            <w:tcW w:type="dxa" w:w="957"/>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传真</w:t>
            </w:r>
          </w:p>
        </w:tc>
        <w:tc>
          <w:tcPr>
            <w:tcW w:type="dxa" w:w="2486"/>
            <w:gridSpan w:val="2"/>
            <w:vAlign w:val="center"/>
          </w:tcPr>
          <w:p>
            <w:pPr>
              <w:spacing w:lineRule="atLeast" w:line="360"/>
              <w:ind w:firstLineChars="196" w:firstLine="431"/>
              <w:jc w:val="left"/>
              <w:outlineLvl w:val="1"/>
              <w:rPr>
                <w:rFonts w:hAnsi="Times New Roman" w:ascii="Times New Roman"/>
                <w:sz w:val="22"/>
                <w:szCs w:val="21"/>
              </w:rPr>
            </w:pPr>
          </w:p>
        </w:tc>
        <w:tc>
          <w:tcPr>
            <w:tcW w:type="dxa" w:w="1320"/>
            <w:vAlign w:val="center"/>
          </w:tcPr>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网址</w:t>
            </w:r>
          </w:p>
        </w:tc>
        <w:tc>
          <w:tcPr>
            <w:tcW w:type="dxa" w:w="1930"/>
            <w:gridSpan w:val="3"/>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4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组织结构</w:t>
            </w:r>
          </w:p>
        </w:tc>
        <w:tc>
          <w:tcPr>
            <w:tcW w:type="dxa" w:w="6693"/>
            <w:gridSpan w:val="7"/>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trHeight w:hRule="atLeast" w:val="46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法定代表人</w:t>
            </w:r>
          </w:p>
        </w:tc>
        <w:tc>
          <w:tcPr>
            <w:tcW w:type="dxa" w:w="957"/>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pPr>
              <w:spacing w:lineRule="atLeast" w:line="360"/>
              <w:ind w:firstLineChars="196" w:firstLine="431"/>
              <w:jc w:val="left"/>
              <w:outlineLvl w:val="1"/>
              <w:rPr>
                <w:rFonts w:hAnsi="Times New Roman" w:ascii="Times New Roman"/>
                <w:sz w:val="22"/>
                <w:szCs w:val="21"/>
              </w:rPr>
            </w:pPr>
          </w:p>
        </w:tc>
        <w:tc>
          <w:tcPr>
            <w:tcW w:type="dxa" w:w="1247"/>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trHeight w:hRule="atLeast" w:val="44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技术负责人</w:t>
            </w:r>
          </w:p>
        </w:tc>
        <w:tc>
          <w:tcPr>
            <w:tcW w:type="dxa" w:w="957"/>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pPr>
              <w:spacing w:lineRule="atLeast" w:line="360"/>
              <w:ind w:firstLineChars="196" w:firstLine="431"/>
              <w:jc w:val="left"/>
              <w:outlineLvl w:val="1"/>
              <w:rPr>
                <w:rFonts w:hAnsi="Times New Roman" w:ascii="Times New Roman"/>
                <w:sz w:val="22"/>
                <w:szCs w:val="21"/>
              </w:rPr>
            </w:pPr>
          </w:p>
        </w:tc>
        <w:tc>
          <w:tcPr>
            <w:tcW w:type="dxa" w:w="1247"/>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4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成立时间</w:t>
            </w:r>
          </w:p>
        </w:tc>
        <w:tc>
          <w:tcPr>
            <w:tcW w:type="dxa" w:w="2196"/>
            <w:gridSpan w:val="2"/>
            <w:vAlign w:val="center"/>
          </w:tcPr>
          <w:p>
            <w:pPr>
              <w:spacing w:lineRule="atLeast" w:line="360"/>
              <w:ind w:firstLineChars="196" w:firstLine="431"/>
              <w:jc w:val="left"/>
              <w:outlineLvl w:val="1"/>
              <w:rPr>
                <w:rFonts w:hAnsi="Times New Roman" w:ascii="Times New Roman"/>
                <w:sz w:val="22"/>
                <w:szCs w:val="21"/>
              </w:rPr>
            </w:pPr>
          </w:p>
        </w:tc>
        <w:tc>
          <w:tcPr>
            <w:tcW w:type="dxa" w:w="4497"/>
            <w:gridSpan w:val="5"/>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员工总人数：</w:t>
            </w: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6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企业资质等级</w:t>
            </w:r>
          </w:p>
        </w:tc>
        <w:tc>
          <w:tcPr>
            <w:tcW w:type="dxa" w:w="2196"/>
            <w:gridSpan w:val="2"/>
            <w:vAlign w:val="center"/>
          </w:tcPr>
          <w:p>
            <w:pPr>
              <w:spacing w:lineRule="atLeast" w:line="360"/>
              <w:ind w:firstLineChars="196" w:firstLine="431"/>
              <w:jc w:val="left"/>
              <w:outlineLvl w:val="1"/>
              <w:rPr>
                <w:rFonts w:hAnsi="Times New Roman" w:ascii="Times New Roman"/>
                <w:sz w:val="22"/>
                <w:szCs w:val="21"/>
              </w:rPr>
            </w:pPr>
          </w:p>
        </w:tc>
        <w:tc>
          <w:tcPr>
            <w:tcW w:type="dxa" w:w="1247"/>
            <w:vMerge w:val="restart"/>
            <w:vAlign w:val="center"/>
          </w:tcPr>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其中</w:t>
            </w:r>
          </w:p>
        </w:tc>
        <w:tc>
          <w:tcPr>
            <w:tcW w:type="dxa" w:w="1478"/>
            <w:gridSpan w:val="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项目经理</w:t>
            </w:r>
          </w:p>
        </w:tc>
        <w:tc>
          <w:tcPr>
            <w:tcW w:type="dxa" w:w="1772"/>
            <w:gridSpan w:val="2"/>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4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营业执照号</w:t>
            </w:r>
          </w:p>
        </w:tc>
        <w:tc>
          <w:tcPr>
            <w:tcW w:type="dxa" w:w="2196"/>
            <w:gridSpan w:val="2"/>
            <w:vAlign w:val="center"/>
          </w:tcPr>
          <w:p>
            <w:pPr>
              <w:spacing w:lineRule="atLeast" w:line="360"/>
              <w:ind w:firstLineChars="196" w:firstLine="431"/>
              <w:jc w:val="left"/>
              <w:outlineLvl w:val="1"/>
              <w:rPr>
                <w:rFonts w:hAnsi="Times New Roman" w:ascii="Times New Roman"/>
                <w:sz w:val="22"/>
                <w:szCs w:val="21"/>
              </w:rPr>
            </w:pPr>
          </w:p>
        </w:tc>
        <w:tc>
          <w:tcPr>
            <w:tcW w:type="dxa" w:w="1247"/>
            <w:vMerge w:val="continue"/>
            <w:vAlign w:val="center"/>
          </w:tcPr>
          <w:p>
            <w:pPr>
              <w:rPr>
                <w:rFonts w:hAnsi="Times New Roman" w:ascii="Times New Roman"/>
                <w:sz w:val="32"/>
                <w:szCs w:val="21"/>
              </w:rPr>
            </w:pPr>
          </w:p>
        </w:tc>
        <w:tc>
          <w:tcPr>
            <w:tcW w:type="dxa" w:w="1478"/>
            <w:gridSpan w:val="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高级职称人员</w:t>
            </w:r>
          </w:p>
        </w:tc>
        <w:tc>
          <w:tcPr>
            <w:tcW w:type="dxa" w:w="1772"/>
            <w:gridSpan w:val="2"/>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4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注册资金</w:t>
            </w:r>
          </w:p>
        </w:tc>
        <w:tc>
          <w:tcPr>
            <w:tcW w:type="dxa" w:w="2196"/>
            <w:gridSpan w:val="2"/>
            <w:vAlign w:val="center"/>
          </w:tcPr>
          <w:p>
            <w:pPr>
              <w:spacing w:lineRule="atLeast" w:line="360"/>
              <w:ind w:firstLineChars="196" w:firstLine="431"/>
              <w:jc w:val="left"/>
              <w:outlineLvl w:val="1"/>
              <w:rPr>
                <w:rFonts w:hAnsi="Times New Roman" w:ascii="Times New Roman"/>
                <w:sz w:val="22"/>
                <w:szCs w:val="21"/>
              </w:rPr>
            </w:pPr>
          </w:p>
        </w:tc>
        <w:tc>
          <w:tcPr>
            <w:tcW w:type="dxa" w:w="1247"/>
            <w:vMerge w:val="continue"/>
            <w:vAlign w:val="center"/>
          </w:tcPr>
          <w:p>
            <w:pPr>
              <w:rPr>
                <w:rFonts w:hAnsi="Times New Roman" w:ascii="Times New Roman"/>
                <w:sz w:val="32"/>
                <w:szCs w:val="21"/>
              </w:rPr>
            </w:pPr>
          </w:p>
        </w:tc>
        <w:tc>
          <w:tcPr>
            <w:tcW w:type="dxa" w:w="1478"/>
            <w:gridSpan w:val="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中级职称人员</w:t>
            </w:r>
          </w:p>
        </w:tc>
        <w:tc>
          <w:tcPr>
            <w:tcW w:type="dxa" w:w="1772"/>
            <w:gridSpan w:val="2"/>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6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开户银行</w:t>
            </w:r>
          </w:p>
        </w:tc>
        <w:tc>
          <w:tcPr>
            <w:tcW w:type="dxa" w:w="2196"/>
            <w:gridSpan w:val="2"/>
            <w:vAlign w:val="center"/>
          </w:tcPr>
          <w:p>
            <w:pPr>
              <w:spacing w:lineRule="atLeast" w:line="360"/>
              <w:ind w:firstLineChars="196" w:firstLine="431"/>
              <w:jc w:val="left"/>
              <w:outlineLvl w:val="1"/>
              <w:rPr>
                <w:rFonts w:hAnsi="Times New Roman" w:ascii="Times New Roman"/>
                <w:sz w:val="22"/>
                <w:szCs w:val="21"/>
              </w:rPr>
            </w:pPr>
          </w:p>
        </w:tc>
        <w:tc>
          <w:tcPr>
            <w:tcW w:type="dxa" w:w="1247"/>
            <w:vMerge w:val="continue"/>
            <w:vAlign w:val="center"/>
          </w:tcPr>
          <w:p>
            <w:pPr>
              <w:rPr>
                <w:rFonts w:hAnsi="Times New Roman" w:ascii="Times New Roman"/>
                <w:sz w:val="32"/>
                <w:szCs w:val="21"/>
              </w:rPr>
            </w:pPr>
          </w:p>
        </w:tc>
        <w:tc>
          <w:tcPr>
            <w:tcW w:type="dxa" w:w="1478"/>
            <w:gridSpan w:val="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初级职称人员</w:t>
            </w:r>
          </w:p>
        </w:tc>
        <w:tc>
          <w:tcPr>
            <w:tcW w:type="dxa" w:w="1772"/>
            <w:gridSpan w:val="2"/>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442"/>
        </w:trPr>
        <w:tc>
          <w:tcPr>
            <w:tcW w:type="dxa" w:w="1522"/>
            <w:vAlign w:val="center"/>
          </w:tcPr>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账号</w:t>
            </w:r>
          </w:p>
        </w:tc>
        <w:tc>
          <w:tcPr>
            <w:tcW w:type="dxa" w:w="2196"/>
            <w:gridSpan w:val="2"/>
            <w:vAlign w:val="center"/>
          </w:tcPr>
          <w:p>
            <w:pPr>
              <w:spacing w:lineRule="atLeast" w:line="360"/>
              <w:ind w:firstLineChars="196" w:firstLine="431"/>
              <w:jc w:val="left"/>
              <w:outlineLvl w:val="1"/>
              <w:rPr>
                <w:rFonts w:hAnsi="Times New Roman" w:ascii="Times New Roman"/>
                <w:sz w:val="22"/>
                <w:szCs w:val="21"/>
              </w:rPr>
            </w:pPr>
          </w:p>
        </w:tc>
        <w:tc>
          <w:tcPr>
            <w:tcW w:type="dxa" w:w="1247"/>
            <w:vMerge w:val="continue"/>
            <w:vAlign w:val="center"/>
          </w:tcPr>
          <w:p>
            <w:pPr>
              <w:rPr>
                <w:rFonts w:hAnsi="Times New Roman" w:ascii="Times New Roman"/>
                <w:sz w:val="32"/>
                <w:szCs w:val="21"/>
              </w:rPr>
            </w:pPr>
          </w:p>
        </w:tc>
        <w:tc>
          <w:tcPr>
            <w:tcW w:type="dxa" w:w="1478"/>
            <w:gridSpan w:val="2"/>
            <w:vAlign w:val="center"/>
          </w:tcPr>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技工</w:t>
            </w:r>
          </w:p>
        </w:tc>
        <w:tc>
          <w:tcPr>
            <w:tcW w:type="dxa" w:w="1772"/>
            <w:gridSpan w:val="2"/>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2442"/>
        </w:trPr>
        <w:tc>
          <w:tcPr>
            <w:tcW w:type="dxa" w:w="1522"/>
            <w:vAlign w:val="center"/>
          </w:tcPr>
          <w:p>
            <w:pPr>
              <w:spacing w:lineRule="atLeast" w:line="360"/>
              <w:jc w:val="left"/>
              <w:outlineLvl w:val="1"/>
              <w:rPr>
                <w:rFonts w:hAnsi="Times New Roman" w:ascii="Times New Roman"/>
                <w:sz w:val="22"/>
                <w:szCs w:val="21"/>
              </w:rPr>
            </w:pPr>
            <w:r>
              <w:rPr>
                <w:rFonts w:hAnsi="Times New Roman" w:ascii="Times New Roman" w:hint="eastAsia"/>
                <w:sz w:val="22"/>
                <w:szCs w:val="21"/>
              </w:rPr>
              <w:t>经营范围</w:t>
            </w:r>
          </w:p>
        </w:tc>
        <w:tc>
          <w:tcPr>
            <w:tcW w:type="dxa" w:w="6693"/>
            <w:gridSpan w:val="7"/>
            <w:vAlign w:val="center"/>
          </w:tcPr>
          <w:p>
            <w:pPr>
              <w:spacing w:lineRule="atLeast" w:line="360"/>
              <w:ind w:firstLineChars="196" w:firstLine="431"/>
              <w:jc w:val="left"/>
              <w:outlineLvl w:val="1"/>
              <w:rPr>
                <w:rFonts w:hAnsi="Times New Roman" w:ascii="Times New Roman"/>
                <w:sz w:val="22"/>
                <w:szCs w:val="21"/>
              </w:rPr>
            </w:pPr>
          </w:p>
        </w:tc>
      </w:tr>
      <w:tr>
        <w:tblPrEx>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PrEx>
        <w:trPr>
          <w:cantSplit/>
          <w:trHeight w:hRule="atLeast" w:val="1072"/>
        </w:trPr>
        <w:tc>
          <w:tcPr>
            <w:tcW w:type="dxa" w:w="1522"/>
            <w:tcBorders>
              <w:bottom w:space="0" w:sz="18" w:color="auto" w:val="single"/>
            </w:tcBorders>
          </w:tcPr>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备注</w:t>
            </w:r>
          </w:p>
        </w:tc>
        <w:tc>
          <w:tcPr>
            <w:tcW w:type="dxa" w:w="6693"/>
            <w:gridSpan w:val="7"/>
            <w:tcBorders>
              <w:bottom w:space="0" w:sz="18" w:color="auto" w:val="single"/>
            </w:tcBorders>
          </w:tcPr>
          <w:p>
            <w:pPr>
              <w:spacing w:lineRule="atLeast" w:line="360"/>
              <w:ind w:firstLineChars="196" w:firstLine="431"/>
              <w:jc w:val="left"/>
              <w:outlineLvl w:val="1"/>
              <w:rPr>
                <w:rFonts w:hAnsi="Times New Roman" w:ascii="Times New Roman"/>
                <w:sz w:val="22"/>
                <w:szCs w:val="21"/>
              </w:rPr>
            </w:pPr>
          </w:p>
        </w:tc>
      </w:tr>
    </w:tbl>
    <w:p>
      <w:pPr>
        <w:spacing w:lineRule="atLeast" w:line="360"/>
        <w:ind w:firstLineChars="196" w:firstLine="431"/>
        <w:jc w:val="left"/>
        <w:outlineLvl w:val="1"/>
        <w:rPr>
          <w:rFonts w:hAnsi="Times New Roman" w:ascii="Times New Roman" w:hint="eastAsia"/>
          <w:sz w:val="22"/>
          <w:szCs w:val="21"/>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pPr>
        <w:spacing w:lineRule="auto" w:line="360"/>
        <w:rPr>
          <w:rFonts w:hAnsi="Times New Roman" w:ascii="Times New Roman"/>
          <w:b/>
          <w:sz w:val="28"/>
          <w:szCs w:val="28"/>
        </w:rPr>
      </w:pPr>
      <w:r>
        <w:rPr>
          <w:rFonts w:eastAsia="黑体" w:hAnsi="Times New Roman" w:ascii="Times New Roman"/>
          <w:b/>
          <w:sz w:val="32"/>
          <w:szCs w:val="32"/>
        </w:rPr>
        <w:br w:type="page"/>
      </w:r>
      <w:r>
        <w:rPr>
          <w:rFonts w:hAnsi="宋体" w:ascii="Times New Roman" w:hint="eastAsia"/>
          <w:b/>
          <w:sz w:val="28"/>
          <w:szCs w:val="28"/>
        </w:rPr>
        <w:t>格式</w:t>
      </w:r>
      <w:r>
        <w:rPr>
          <w:rFonts w:hAnsi="Times New Roman" w:ascii="Times New Roman"/>
          <w:b/>
          <w:sz w:val="28"/>
          <w:szCs w:val="28"/>
        </w:rPr>
        <w:t>2-1</w:t>
      </w:r>
      <w:r>
        <w:rPr>
          <w:rFonts w:hAnsi="Times New Roman" w:ascii="Times New Roman" w:hint="eastAsia"/>
          <w:b/>
          <w:sz w:val="28"/>
          <w:szCs w:val="28"/>
        </w:rPr>
        <w:t>0</w:t>
      </w:r>
    </w:p>
    <w:p>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九、投标人本项目管理、技术、服务人员情况表</w:t>
      </w:r>
    </w:p>
    <w:p>
      <w:pPr>
        <w:spacing w:lineRule="atLeast" w:line="360"/>
        <w:ind w:firstLineChars="196" w:firstLine="432"/>
        <w:jc w:val="left"/>
        <w:outlineLvl w:val="1"/>
        <w:rPr>
          <w:rFonts w:hAnsi="Times New Roman" w:ascii="Times New Roman"/>
          <w:b/>
          <w:sz w:val="22"/>
          <w:szCs w:val="21"/>
        </w:rPr>
      </w:pPr>
    </w:p>
    <w:p>
      <w:pPr>
        <w:spacing w:lineRule="exact" w:line="400"/>
        <w:rPr>
          <w:rFonts w:hAnsi="Times New Roman" w:ascii="Times New Roman"/>
          <w:bCs/>
          <w:sz w:val="22"/>
          <w:szCs w:val="21"/>
        </w:rPr>
      </w:pPr>
      <w:r>
        <w:rPr>
          <w:rFonts w:hAnsi="宋体" w:ascii="Times New Roman" w:hint="eastAsia"/>
          <w:sz w:val="22"/>
          <w:szCs w:val="21"/>
        </w:rPr>
        <w:t>招标编号</w:t>
      </w:r>
      <w:r>
        <w:rPr>
          <w:rFonts w:hAnsi="宋体" w:ascii="Times New Roman" w:hint="eastAsia"/>
          <w:bCs/>
          <w:sz w:val="22"/>
          <w:szCs w:val="21"/>
        </w:rPr>
        <w:t>：</w:t>
      </w:r>
    </w:p>
    <w:tbl>
      <w:tblPr>
        <w:tblStyle w:val="15"/>
        <w:tblW w:type="dxa" w:w="8325"/>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958"/>
        <w:gridCol w:w="821"/>
        <w:gridCol w:w="821"/>
        <w:gridCol w:w="1521"/>
        <w:gridCol w:w="1276"/>
        <w:gridCol w:w="2928"/>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530"/>
          <w:jc w:val="center"/>
        </w:trPr>
        <w:tc>
          <w:tcPr>
            <w:tcW w:type="dxa" w:w="958"/>
            <w:vAlign w:val="center"/>
          </w:tcPr>
          <w:p>
            <w:pPr>
              <w:spacing w:lineRule="exact" w:line="400"/>
              <w:rPr>
                <w:rFonts w:hAnsi="Times New Roman" w:ascii="Times New Roman"/>
                <w:sz w:val="20"/>
                <w:szCs w:val="20"/>
              </w:rPr>
            </w:pPr>
            <w:r>
              <w:rPr>
                <w:rFonts w:hAnsi="宋体" w:ascii="Times New Roman" w:hint="eastAsia"/>
                <w:sz w:val="20"/>
                <w:szCs w:val="20"/>
              </w:rPr>
              <w:t>类别</w:t>
            </w:r>
          </w:p>
        </w:tc>
        <w:tc>
          <w:tcPr>
            <w:tcW w:type="dxa" w:w="821"/>
            <w:vAlign w:val="center"/>
          </w:tcPr>
          <w:p>
            <w:pPr>
              <w:spacing w:lineRule="exact" w:line="400"/>
              <w:rPr>
                <w:rFonts w:hAnsi="Times New Roman" w:ascii="Times New Roman"/>
                <w:sz w:val="20"/>
                <w:szCs w:val="20"/>
              </w:rPr>
            </w:pPr>
            <w:r>
              <w:rPr>
                <w:rFonts w:hAnsi="宋体" w:ascii="Times New Roman" w:hint="eastAsia"/>
                <w:sz w:val="20"/>
                <w:szCs w:val="20"/>
              </w:rPr>
              <w:t>职务</w:t>
            </w:r>
          </w:p>
        </w:tc>
        <w:tc>
          <w:tcPr>
            <w:tcW w:type="dxa" w:w="821"/>
            <w:vAlign w:val="center"/>
          </w:tcPr>
          <w:p>
            <w:pPr>
              <w:spacing w:lineRule="exact" w:line="400"/>
              <w:rPr>
                <w:rFonts w:hAnsi="Times New Roman" w:ascii="Times New Roman"/>
                <w:sz w:val="20"/>
                <w:szCs w:val="20"/>
              </w:rPr>
            </w:pPr>
            <w:r>
              <w:rPr>
                <w:rFonts w:hAnsi="宋体" w:ascii="Times New Roman" w:hint="eastAsia"/>
                <w:sz w:val="20"/>
                <w:szCs w:val="20"/>
              </w:rPr>
              <w:t>姓名</w:t>
            </w:r>
          </w:p>
        </w:tc>
        <w:tc>
          <w:tcPr>
            <w:tcW w:type="dxa" w:w="1521"/>
            <w:vAlign w:val="center"/>
          </w:tcPr>
          <w:p>
            <w:pPr>
              <w:spacing w:lineRule="exact" w:line="400"/>
              <w:rPr>
                <w:rFonts w:hAnsi="Times New Roman" w:ascii="Times New Roman"/>
                <w:sz w:val="20"/>
                <w:szCs w:val="20"/>
              </w:rPr>
            </w:pPr>
            <w:r>
              <w:rPr>
                <w:rFonts w:hAnsi="宋体" w:ascii="Times New Roman" w:hint="eastAsia"/>
                <w:sz w:val="20"/>
                <w:szCs w:val="20"/>
              </w:rPr>
              <w:t>身份证号码</w:t>
            </w:r>
          </w:p>
        </w:tc>
        <w:tc>
          <w:tcPr>
            <w:tcW w:type="dxa" w:w="1276"/>
            <w:vAlign w:val="center"/>
          </w:tcPr>
          <w:p>
            <w:pPr>
              <w:spacing w:lineRule="exact" w:line="400"/>
              <w:rPr>
                <w:rFonts w:hAnsi="Times New Roman" w:ascii="Times New Roman"/>
                <w:sz w:val="20"/>
                <w:szCs w:val="20"/>
              </w:rPr>
            </w:pPr>
            <w:r>
              <w:rPr>
                <w:rFonts w:hAnsi="宋体" w:ascii="Times New Roman" w:hint="eastAsia"/>
                <w:sz w:val="20"/>
                <w:szCs w:val="20"/>
              </w:rPr>
              <w:t>联系方式</w:t>
            </w:r>
          </w:p>
        </w:tc>
        <w:tc>
          <w:tcPr>
            <w:tcW w:type="dxa" w:w="2928"/>
            <w:vAlign w:val="center"/>
          </w:tcPr>
          <w:p>
            <w:pPr>
              <w:spacing w:lineRule="exact" w:line="400"/>
              <w:ind w:firstLineChars="350" w:firstLine="700"/>
              <w:rPr>
                <w:rFonts w:hAnsi="Times New Roman" w:ascii="Times New Roman"/>
                <w:sz w:val="20"/>
                <w:szCs w:val="20"/>
              </w:rPr>
            </w:pPr>
            <w:r>
              <w:rPr>
                <w:rFonts w:hAnsi="宋体" w:ascii="Times New Roman" w:hint="eastAsia"/>
                <w:sz w:val="20"/>
                <w:szCs w:val="20"/>
              </w:rPr>
              <w:t>技术职称</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862"/>
          <w:jc w:val="center"/>
        </w:trPr>
        <w:tc>
          <w:tcPr>
            <w:tcW w:type="dxa" w:w="958"/>
            <w:vMerge w:val="restart"/>
            <w:vAlign w:val="center"/>
          </w:tcPr>
          <w:p>
            <w:pPr>
              <w:spacing w:lineRule="exact" w:line="400"/>
              <w:jc w:val="center"/>
              <w:rPr>
                <w:rFonts w:hAnsi="Times New Roman" w:ascii="Times New Roman"/>
                <w:sz w:val="20"/>
                <w:szCs w:val="20"/>
              </w:rPr>
            </w:pPr>
            <w:r>
              <w:rPr>
                <w:rFonts w:hAnsi="宋体" w:ascii="Times New Roman" w:hint="eastAsia"/>
                <w:sz w:val="20"/>
                <w:szCs w:val="20"/>
              </w:rPr>
              <w:t>管</w:t>
            </w:r>
          </w:p>
          <w:p>
            <w:pPr>
              <w:spacing w:lineRule="exact" w:line="400"/>
              <w:jc w:val="center"/>
              <w:rPr>
                <w:rFonts w:hAnsi="Times New Roman" w:ascii="Times New Roman"/>
                <w:sz w:val="20"/>
                <w:szCs w:val="20"/>
              </w:rPr>
            </w:pPr>
            <w:r>
              <w:rPr>
                <w:rFonts w:hAnsi="宋体" w:ascii="Times New Roman" w:hint="eastAsia"/>
                <w:sz w:val="20"/>
                <w:szCs w:val="20"/>
              </w:rPr>
              <w:t>理</w:t>
            </w:r>
          </w:p>
          <w:p>
            <w:pPr>
              <w:spacing w:lineRule="exact" w:line="400"/>
              <w:jc w:val="center"/>
              <w:rPr>
                <w:rFonts w:hAnsi="Times New Roman" w:ascii="Times New Roman"/>
                <w:sz w:val="20"/>
                <w:szCs w:val="20"/>
              </w:rPr>
            </w:pPr>
            <w:r>
              <w:rPr>
                <w:rFonts w:hAnsi="宋体" w:ascii="Times New Roman" w:hint="eastAsia"/>
                <w:sz w:val="20"/>
                <w:szCs w:val="20"/>
              </w:rPr>
              <w:t>人</w:t>
            </w:r>
          </w:p>
          <w:p>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pPr>
              <w:spacing w:lineRule="exact" w:line="400"/>
              <w:rPr>
                <w:rFonts w:hAnsi="Times New Roman" w:ascii="Times New Roman"/>
                <w:sz w:val="20"/>
                <w:szCs w:val="20"/>
              </w:rPr>
            </w:pPr>
          </w:p>
        </w:tc>
        <w:tc>
          <w:tcPr>
            <w:tcW w:type="dxa" w:w="1521"/>
            <w:vAlign w:val="center"/>
          </w:tcPr>
          <w:p>
            <w:pPr>
              <w:spacing w:lineRule="exact" w:line="400"/>
              <w:rPr>
                <w:rFonts w:hAnsi="Times New Roman" w:ascii="Times New Roman"/>
                <w:sz w:val="20"/>
                <w:szCs w:val="20"/>
              </w:rPr>
            </w:pPr>
          </w:p>
        </w:tc>
        <w:tc>
          <w:tcPr>
            <w:tcW w:type="dxa" w:w="1276"/>
            <w:vAlign w:val="center"/>
          </w:tcPr>
          <w:p>
            <w:pPr>
              <w:spacing w:lineRule="exact" w:line="400"/>
              <w:rPr>
                <w:rFonts w:hAnsi="Times New Roman" w:ascii="Times New Roman"/>
                <w:sz w:val="20"/>
                <w:szCs w:val="20"/>
              </w:rPr>
            </w:pPr>
          </w:p>
        </w:tc>
        <w:tc>
          <w:tcPr>
            <w:tcW w:type="dxa" w:w="2928"/>
            <w:vAlign w:val="center"/>
          </w:tcPr>
          <w:p>
            <w:pPr>
              <w:spacing w:lineRule="exact" w:line="400"/>
              <w:rPr>
                <w:rFonts w:hAnsi="Times New Roman" w:ascii="Times New Roman"/>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883"/>
          <w:jc w:val="center"/>
        </w:trPr>
        <w:tc>
          <w:tcPr>
            <w:tcW w:type="dxa" w:w="958"/>
            <w:vMerge w:val="continue"/>
            <w:vAlign w:val="center"/>
          </w:tcPr>
          <w:p>
            <w:pPr>
              <w:spacing w:lineRule="exact" w:line="400"/>
              <w:jc w:val="center"/>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1521"/>
            <w:vAlign w:val="center"/>
          </w:tcPr>
          <w:p>
            <w:pPr>
              <w:spacing w:lineRule="exact" w:line="400"/>
              <w:rPr>
                <w:rFonts w:hAnsi="Times New Roman" w:ascii="Times New Roman"/>
                <w:sz w:val="20"/>
                <w:szCs w:val="20"/>
              </w:rPr>
            </w:pPr>
          </w:p>
        </w:tc>
        <w:tc>
          <w:tcPr>
            <w:tcW w:type="dxa" w:w="1276"/>
            <w:vAlign w:val="center"/>
          </w:tcPr>
          <w:p>
            <w:pPr>
              <w:spacing w:lineRule="exact" w:line="400"/>
              <w:rPr>
                <w:rFonts w:hAnsi="Times New Roman" w:ascii="Times New Roman"/>
                <w:sz w:val="20"/>
                <w:szCs w:val="20"/>
              </w:rPr>
            </w:pPr>
          </w:p>
        </w:tc>
        <w:tc>
          <w:tcPr>
            <w:tcW w:type="dxa" w:w="2928"/>
            <w:vAlign w:val="center"/>
          </w:tcPr>
          <w:p>
            <w:pPr>
              <w:spacing w:lineRule="exact" w:line="400"/>
              <w:rPr>
                <w:rFonts w:hAnsi="Times New Roman" w:ascii="Times New Roman"/>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789"/>
          <w:jc w:val="center"/>
        </w:trPr>
        <w:tc>
          <w:tcPr>
            <w:tcW w:type="dxa" w:w="958"/>
            <w:vMerge w:val="continue"/>
            <w:vAlign w:val="center"/>
          </w:tcPr>
          <w:p>
            <w:pPr>
              <w:spacing w:lineRule="exact" w:line="400"/>
              <w:jc w:val="center"/>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1521"/>
            <w:vAlign w:val="center"/>
          </w:tcPr>
          <w:p>
            <w:pPr>
              <w:spacing w:lineRule="exact" w:line="400"/>
              <w:rPr>
                <w:rFonts w:hAnsi="Times New Roman" w:ascii="Times New Roman"/>
                <w:sz w:val="20"/>
                <w:szCs w:val="20"/>
              </w:rPr>
            </w:pPr>
          </w:p>
        </w:tc>
        <w:tc>
          <w:tcPr>
            <w:tcW w:type="dxa" w:w="1276"/>
            <w:vAlign w:val="center"/>
          </w:tcPr>
          <w:p>
            <w:pPr>
              <w:spacing w:lineRule="exact" w:line="400"/>
              <w:rPr>
                <w:rFonts w:hAnsi="Times New Roman" w:ascii="Times New Roman"/>
                <w:sz w:val="20"/>
                <w:szCs w:val="20"/>
              </w:rPr>
            </w:pPr>
          </w:p>
        </w:tc>
        <w:tc>
          <w:tcPr>
            <w:tcW w:type="dxa" w:w="2928"/>
            <w:vAlign w:val="center"/>
          </w:tcPr>
          <w:p>
            <w:pPr>
              <w:spacing w:lineRule="exact" w:line="400"/>
              <w:rPr>
                <w:rFonts w:hAnsi="Times New Roman" w:ascii="Times New Roman"/>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927"/>
          <w:jc w:val="center"/>
        </w:trPr>
        <w:tc>
          <w:tcPr>
            <w:tcW w:type="dxa" w:w="958"/>
            <w:vMerge w:val="restart"/>
            <w:vAlign w:val="center"/>
          </w:tcPr>
          <w:p>
            <w:pPr>
              <w:spacing w:lineRule="exact" w:line="400"/>
              <w:jc w:val="center"/>
              <w:rPr>
                <w:rFonts w:hAnsi="Times New Roman" w:ascii="Times New Roman"/>
                <w:sz w:val="20"/>
                <w:szCs w:val="20"/>
              </w:rPr>
            </w:pPr>
            <w:r>
              <w:rPr>
                <w:rFonts w:hAnsi="宋体" w:ascii="Times New Roman" w:hint="eastAsia"/>
                <w:sz w:val="20"/>
                <w:szCs w:val="20"/>
              </w:rPr>
              <w:t>技</w:t>
            </w:r>
          </w:p>
          <w:p>
            <w:pPr>
              <w:spacing w:lineRule="exact" w:line="400"/>
              <w:jc w:val="center"/>
              <w:rPr>
                <w:rFonts w:hAnsi="Times New Roman" w:ascii="Times New Roman"/>
                <w:sz w:val="20"/>
                <w:szCs w:val="20"/>
              </w:rPr>
            </w:pPr>
            <w:r>
              <w:rPr>
                <w:rFonts w:hAnsi="宋体" w:ascii="Times New Roman" w:hint="eastAsia"/>
                <w:sz w:val="20"/>
                <w:szCs w:val="20"/>
              </w:rPr>
              <w:t>术</w:t>
            </w:r>
          </w:p>
          <w:p>
            <w:pPr>
              <w:spacing w:lineRule="exact" w:line="400"/>
              <w:jc w:val="center"/>
              <w:rPr>
                <w:rFonts w:hAnsi="Times New Roman" w:ascii="Times New Roman"/>
                <w:sz w:val="20"/>
                <w:szCs w:val="20"/>
              </w:rPr>
            </w:pPr>
            <w:r>
              <w:rPr>
                <w:rFonts w:hAnsi="宋体" w:ascii="Times New Roman" w:hint="eastAsia"/>
                <w:sz w:val="20"/>
                <w:szCs w:val="20"/>
              </w:rPr>
              <w:t>人</w:t>
            </w:r>
          </w:p>
          <w:p>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pPr>
              <w:spacing w:lineRule="exact" w:line="400"/>
              <w:rPr>
                <w:rFonts w:hAnsi="Times New Roman" w:ascii="Times New Roman"/>
                <w:sz w:val="20"/>
                <w:szCs w:val="20"/>
              </w:rPr>
            </w:pPr>
          </w:p>
        </w:tc>
        <w:tc>
          <w:tcPr>
            <w:tcW w:type="dxa" w:w="1521"/>
            <w:vAlign w:val="center"/>
          </w:tcPr>
          <w:p>
            <w:pPr>
              <w:spacing w:lineRule="exact" w:line="400"/>
              <w:rPr>
                <w:rFonts w:hAnsi="Times New Roman" w:ascii="Times New Roman"/>
                <w:sz w:val="20"/>
                <w:szCs w:val="20"/>
              </w:rPr>
            </w:pPr>
          </w:p>
        </w:tc>
        <w:tc>
          <w:tcPr>
            <w:tcW w:type="dxa" w:w="1276"/>
            <w:vAlign w:val="center"/>
          </w:tcPr>
          <w:p>
            <w:pPr>
              <w:spacing w:lineRule="exact" w:line="400"/>
              <w:rPr>
                <w:rFonts w:hAnsi="Times New Roman" w:ascii="Times New Roman"/>
                <w:sz w:val="20"/>
                <w:szCs w:val="20"/>
              </w:rPr>
            </w:pPr>
          </w:p>
        </w:tc>
        <w:tc>
          <w:tcPr>
            <w:tcW w:type="dxa" w:w="2928"/>
            <w:vAlign w:val="center"/>
          </w:tcPr>
          <w:p>
            <w:pPr>
              <w:spacing w:lineRule="exact" w:line="400"/>
              <w:rPr>
                <w:rFonts w:hAnsi="Times New Roman" w:ascii="Times New Roman"/>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808"/>
          <w:jc w:val="center"/>
        </w:trPr>
        <w:tc>
          <w:tcPr>
            <w:tcW w:type="dxa" w:w="958"/>
            <w:vMerge w:val="continue"/>
            <w:vAlign w:val="center"/>
          </w:tcPr>
          <w:p>
            <w:pPr>
              <w:spacing w:lineRule="exact" w:line="400"/>
              <w:jc w:val="center"/>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1521"/>
            <w:vAlign w:val="center"/>
          </w:tcPr>
          <w:p>
            <w:pPr>
              <w:spacing w:lineRule="exact" w:line="400"/>
              <w:rPr>
                <w:rFonts w:hAnsi="Times New Roman" w:ascii="Times New Roman"/>
                <w:sz w:val="20"/>
                <w:szCs w:val="20"/>
              </w:rPr>
            </w:pPr>
          </w:p>
        </w:tc>
        <w:tc>
          <w:tcPr>
            <w:tcW w:type="dxa" w:w="1276"/>
            <w:vAlign w:val="center"/>
          </w:tcPr>
          <w:p>
            <w:pPr>
              <w:spacing w:lineRule="exact" w:line="400"/>
              <w:rPr>
                <w:rFonts w:hAnsi="Times New Roman" w:ascii="Times New Roman"/>
                <w:sz w:val="20"/>
                <w:szCs w:val="20"/>
              </w:rPr>
            </w:pPr>
          </w:p>
        </w:tc>
        <w:tc>
          <w:tcPr>
            <w:tcW w:type="dxa" w:w="2928"/>
            <w:vAlign w:val="center"/>
          </w:tcPr>
          <w:p>
            <w:pPr>
              <w:spacing w:lineRule="exact" w:line="400"/>
              <w:rPr>
                <w:rFonts w:hAnsi="Times New Roman" w:ascii="Times New Roman"/>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830"/>
          <w:jc w:val="center"/>
        </w:trPr>
        <w:tc>
          <w:tcPr>
            <w:tcW w:type="dxa" w:w="958"/>
            <w:vMerge w:val="continue"/>
            <w:vAlign w:val="center"/>
          </w:tcPr>
          <w:p>
            <w:pPr>
              <w:spacing w:lineRule="exact" w:line="400"/>
              <w:jc w:val="center"/>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1521"/>
            <w:vAlign w:val="center"/>
          </w:tcPr>
          <w:p>
            <w:pPr>
              <w:spacing w:lineRule="exact" w:line="400"/>
              <w:rPr>
                <w:rFonts w:hAnsi="Times New Roman" w:ascii="Times New Roman"/>
                <w:sz w:val="20"/>
                <w:szCs w:val="20"/>
              </w:rPr>
            </w:pPr>
          </w:p>
        </w:tc>
        <w:tc>
          <w:tcPr>
            <w:tcW w:type="dxa" w:w="1276"/>
            <w:vAlign w:val="center"/>
          </w:tcPr>
          <w:p>
            <w:pPr>
              <w:spacing w:lineRule="exact" w:line="400"/>
              <w:rPr>
                <w:rFonts w:hAnsi="Times New Roman" w:ascii="Times New Roman"/>
                <w:sz w:val="20"/>
                <w:szCs w:val="20"/>
              </w:rPr>
            </w:pPr>
          </w:p>
        </w:tc>
        <w:tc>
          <w:tcPr>
            <w:tcW w:type="dxa" w:w="2928"/>
            <w:vAlign w:val="center"/>
          </w:tcPr>
          <w:p>
            <w:pPr>
              <w:spacing w:lineRule="exact" w:line="400"/>
              <w:rPr>
                <w:rFonts w:hAnsi="Times New Roman" w:ascii="Times New Roman"/>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736"/>
          <w:jc w:val="center"/>
        </w:trPr>
        <w:tc>
          <w:tcPr>
            <w:tcW w:type="dxa" w:w="958"/>
            <w:vMerge w:val="restart"/>
            <w:vAlign w:val="center"/>
          </w:tcPr>
          <w:p>
            <w:pPr>
              <w:spacing w:lineRule="exact" w:line="400"/>
              <w:jc w:val="center"/>
              <w:rPr>
                <w:rFonts w:hAnsi="Times New Roman" w:ascii="Times New Roman"/>
                <w:sz w:val="20"/>
                <w:szCs w:val="20"/>
              </w:rPr>
            </w:pPr>
            <w:r>
              <w:rPr>
                <w:rFonts w:hAnsi="宋体" w:ascii="Times New Roman" w:hint="eastAsia"/>
                <w:sz w:val="20"/>
                <w:szCs w:val="20"/>
              </w:rPr>
              <w:t>售后</w:t>
            </w:r>
          </w:p>
          <w:p>
            <w:pPr>
              <w:spacing w:lineRule="exact" w:line="400"/>
              <w:jc w:val="center"/>
              <w:rPr>
                <w:rFonts w:hAnsi="Times New Roman" w:ascii="Times New Roman"/>
                <w:sz w:val="20"/>
                <w:szCs w:val="20"/>
              </w:rPr>
            </w:pPr>
            <w:r>
              <w:rPr>
                <w:rFonts w:hAnsi="宋体" w:ascii="Times New Roman" w:hint="eastAsia"/>
                <w:sz w:val="20"/>
                <w:szCs w:val="20"/>
              </w:rPr>
              <w:t>服务</w:t>
            </w:r>
          </w:p>
          <w:p>
            <w:pPr>
              <w:spacing w:lineRule="exact" w:line="400"/>
              <w:jc w:val="center"/>
              <w:rPr>
                <w:rFonts w:hAnsi="Times New Roman" w:ascii="Times New Roman"/>
                <w:sz w:val="20"/>
                <w:szCs w:val="20"/>
              </w:rPr>
            </w:pPr>
            <w:r>
              <w:rPr>
                <w:rFonts w:hAnsi="宋体" w:ascii="Times New Roman" w:hint="eastAsia"/>
                <w:sz w:val="20"/>
                <w:szCs w:val="20"/>
              </w:rPr>
              <w:t>人员</w:t>
            </w:r>
          </w:p>
        </w:tc>
        <w:tc>
          <w:tcPr>
            <w:tcW w:type="dxa" w:w="821"/>
            <w:vAlign w:val="center"/>
          </w:tcPr>
          <w:p>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pPr>
              <w:spacing w:lineRule="exact" w:line="400"/>
              <w:rPr>
                <w:rFonts w:hAnsi="Times New Roman" w:ascii="Times New Roman"/>
                <w:sz w:val="20"/>
                <w:szCs w:val="20"/>
              </w:rPr>
            </w:pPr>
          </w:p>
        </w:tc>
        <w:tc>
          <w:tcPr>
            <w:tcW w:type="dxa" w:w="1521"/>
            <w:vAlign w:val="center"/>
          </w:tcPr>
          <w:p>
            <w:pPr>
              <w:spacing w:lineRule="exact" w:line="400"/>
              <w:rPr>
                <w:rFonts w:hAnsi="Times New Roman" w:ascii="Times New Roman"/>
                <w:sz w:val="20"/>
                <w:szCs w:val="20"/>
              </w:rPr>
            </w:pPr>
          </w:p>
        </w:tc>
        <w:tc>
          <w:tcPr>
            <w:tcW w:type="dxa" w:w="1276"/>
            <w:vAlign w:val="center"/>
          </w:tcPr>
          <w:p>
            <w:pPr>
              <w:spacing w:lineRule="exact" w:line="400"/>
              <w:rPr>
                <w:rFonts w:hAnsi="Times New Roman" w:ascii="Times New Roman"/>
                <w:sz w:val="20"/>
                <w:szCs w:val="20"/>
              </w:rPr>
            </w:pPr>
          </w:p>
        </w:tc>
        <w:tc>
          <w:tcPr>
            <w:tcW w:type="dxa" w:w="2928"/>
            <w:vAlign w:val="center"/>
          </w:tcPr>
          <w:p>
            <w:pPr>
              <w:spacing w:lineRule="exact" w:line="400"/>
              <w:rPr>
                <w:rFonts w:hAnsi="Times New Roman" w:ascii="Times New Roman"/>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715"/>
          <w:jc w:val="center"/>
        </w:trPr>
        <w:tc>
          <w:tcPr>
            <w:tcW w:type="dxa" w:w="958"/>
            <w:vMerge w:val="continue"/>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b/>
                <w:bCs/>
                <w:sz w:val="20"/>
                <w:szCs w:val="20"/>
              </w:rPr>
            </w:pPr>
          </w:p>
        </w:tc>
        <w:tc>
          <w:tcPr>
            <w:tcW w:type="dxa" w:w="1521"/>
            <w:vAlign w:val="center"/>
          </w:tcPr>
          <w:p>
            <w:pPr>
              <w:spacing w:lineRule="exact" w:line="400"/>
              <w:rPr>
                <w:rFonts w:hAnsi="Times New Roman" w:ascii="Times New Roman"/>
                <w:b/>
                <w:bCs/>
                <w:sz w:val="20"/>
                <w:szCs w:val="20"/>
              </w:rPr>
            </w:pPr>
          </w:p>
        </w:tc>
        <w:tc>
          <w:tcPr>
            <w:tcW w:type="dxa" w:w="1276"/>
            <w:vAlign w:val="center"/>
          </w:tcPr>
          <w:p>
            <w:pPr>
              <w:spacing w:lineRule="exact" w:line="400"/>
              <w:rPr>
                <w:rFonts w:hAnsi="Times New Roman" w:ascii="Times New Roman"/>
                <w:b/>
                <w:bCs/>
                <w:sz w:val="20"/>
                <w:szCs w:val="20"/>
              </w:rPr>
            </w:pPr>
          </w:p>
        </w:tc>
        <w:tc>
          <w:tcPr>
            <w:tcW w:type="dxa" w:w="2928"/>
            <w:vAlign w:val="center"/>
          </w:tcPr>
          <w:p>
            <w:pPr>
              <w:spacing w:lineRule="exact" w:line="400"/>
              <w:rPr>
                <w:rFonts w:hAnsi="Times New Roman" w:ascii="Times New Roman"/>
                <w:b/>
                <w:bCs/>
                <w:sz w:val="20"/>
                <w:szCs w:val="20"/>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cantSplit/>
          <w:trHeight w:hRule="atLeast" w:val="759"/>
          <w:jc w:val="center"/>
        </w:trPr>
        <w:tc>
          <w:tcPr>
            <w:tcW w:type="dxa" w:w="958"/>
            <w:vMerge w:val="continue"/>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sz w:val="20"/>
                <w:szCs w:val="20"/>
              </w:rPr>
            </w:pPr>
          </w:p>
        </w:tc>
        <w:tc>
          <w:tcPr>
            <w:tcW w:type="dxa" w:w="821"/>
            <w:vAlign w:val="center"/>
          </w:tcPr>
          <w:p>
            <w:pPr>
              <w:spacing w:lineRule="exact" w:line="400"/>
              <w:rPr>
                <w:rFonts w:hAnsi="Times New Roman" w:ascii="Times New Roman"/>
                <w:b/>
                <w:bCs/>
                <w:sz w:val="20"/>
                <w:szCs w:val="20"/>
              </w:rPr>
            </w:pPr>
          </w:p>
        </w:tc>
        <w:tc>
          <w:tcPr>
            <w:tcW w:type="dxa" w:w="1521"/>
            <w:vAlign w:val="center"/>
          </w:tcPr>
          <w:p>
            <w:pPr>
              <w:spacing w:lineRule="exact" w:line="400"/>
              <w:rPr>
                <w:rFonts w:hAnsi="Times New Roman" w:ascii="Times New Roman"/>
                <w:b/>
                <w:bCs/>
                <w:sz w:val="20"/>
                <w:szCs w:val="20"/>
              </w:rPr>
            </w:pPr>
          </w:p>
        </w:tc>
        <w:tc>
          <w:tcPr>
            <w:tcW w:type="dxa" w:w="1276"/>
            <w:vAlign w:val="center"/>
          </w:tcPr>
          <w:p>
            <w:pPr>
              <w:spacing w:lineRule="exact" w:line="400"/>
              <w:rPr>
                <w:rFonts w:hAnsi="Times New Roman" w:ascii="Times New Roman"/>
                <w:b/>
                <w:bCs/>
                <w:sz w:val="20"/>
                <w:szCs w:val="20"/>
              </w:rPr>
            </w:pPr>
          </w:p>
        </w:tc>
        <w:tc>
          <w:tcPr>
            <w:tcW w:type="dxa" w:w="2928"/>
            <w:vAlign w:val="center"/>
          </w:tcPr>
          <w:p>
            <w:pPr>
              <w:spacing w:lineRule="exact" w:line="400"/>
              <w:rPr>
                <w:rFonts w:hAnsi="Times New Roman" w:ascii="Times New Roman"/>
                <w:b/>
                <w:bCs/>
                <w:sz w:val="20"/>
                <w:szCs w:val="20"/>
              </w:rPr>
            </w:pPr>
          </w:p>
        </w:tc>
      </w:tr>
    </w:tbl>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注：</w:t>
      </w:r>
      <w:r>
        <w:rPr>
          <w:rFonts w:hAnsi="Times New Roman" w:ascii="Times New Roman"/>
          <w:sz w:val="22"/>
          <w:szCs w:val="21"/>
        </w:rPr>
        <w:t>1.</w:t>
      </w:r>
      <w:r>
        <w:rPr>
          <w:rFonts w:hAnsi="Times New Roman" w:ascii="Times New Roman" w:hint="eastAsia"/>
          <w:sz w:val="22"/>
          <w:szCs w:val="21"/>
        </w:rPr>
        <w:t>投标人应按招标文件要求提供为本案服务及售后工作人员相关证明材料，便于评标委员会予以综合评定。</w:t>
      </w:r>
    </w:p>
    <w:p>
      <w:pPr>
        <w:spacing w:lineRule="atLeast" w:line="360"/>
        <w:ind w:firstLineChars="196" w:firstLine="431"/>
        <w:jc w:val="left"/>
        <w:outlineLvl w:val="1"/>
        <w:rPr>
          <w:rFonts w:hAnsi="Times New Roman" w:ascii="Times New Roman"/>
          <w:sz w:val="22"/>
          <w:szCs w:val="21"/>
        </w:rPr>
      </w:pPr>
      <w:r>
        <w:rPr>
          <w:rFonts w:hAnsi="Times New Roman" w:ascii="Times New Roman"/>
          <w:sz w:val="22"/>
          <w:szCs w:val="21"/>
        </w:rPr>
        <w:t>2</w:t>
      </w:r>
      <w:r>
        <w:rPr>
          <w:rFonts w:hAnsi="Times New Roman" w:ascii="Times New Roman" w:hint="eastAsia"/>
          <w:sz w:val="22"/>
          <w:szCs w:val="21"/>
        </w:rPr>
        <w:t>．投标供应商自行承担因资料不齐而导致在评分时被扣分的风险。</w:t>
      </w: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pPr>
        <w:spacing w:lineRule="atLeast" w:line="360"/>
        <w:ind w:firstLineChars="196" w:firstLine="432"/>
        <w:jc w:val="left"/>
        <w:outlineLvl w:val="1"/>
        <w:rPr>
          <w:rFonts w:hAnsi="Times New Roman" w:ascii="Times New Roman"/>
          <w:b/>
          <w:sz w:val="22"/>
          <w:szCs w:val="21"/>
        </w:rPr>
      </w:pPr>
    </w:p>
    <w:p>
      <w:pPr>
        <w:spacing w:lineRule="atLeast" w:line="360"/>
        <w:ind w:firstLineChars="196" w:firstLine="432"/>
        <w:jc w:val="left"/>
        <w:outlineLvl w:val="1"/>
        <w:rPr>
          <w:rFonts w:hAnsi="Times New Roman" w:ascii="Times New Roman"/>
          <w:b/>
          <w:sz w:val="22"/>
          <w:szCs w:val="21"/>
        </w:rPr>
      </w:pPr>
    </w:p>
    <w:p>
      <w:pPr>
        <w:spacing w:lineRule="auto" w:line="360"/>
        <w:rPr>
          <w:rFonts w:hAnsi="Times New Roman" w:ascii="Times New Roman"/>
          <w:b/>
          <w:sz w:val="28"/>
          <w:szCs w:val="28"/>
        </w:rPr>
      </w:pPr>
      <w:r>
        <w:rPr>
          <w:rFonts w:hAnsi="Times New Roman" w:ascii="Times New Roman"/>
          <w:b/>
          <w:sz w:val="22"/>
          <w:szCs w:val="21"/>
        </w:rPr>
        <w:br w:type="page"/>
      </w:r>
      <w:r>
        <w:rPr>
          <w:rFonts w:hAnsi="宋体" w:ascii="Times New Roman" w:hint="eastAsia"/>
          <w:b/>
          <w:sz w:val="28"/>
          <w:szCs w:val="28"/>
        </w:rPr>
        <w:t>格式</w:t>
      </w:r>
      <w:r>
        <w:rPr>
          <w:rFonts w:hAnsi="Times New Roman" w:ascii="Times New Roman"/>
          <w:b/>
          <w:sz w:val="28"/>
          <w:szCs w:val="28"/>
        </w:rPr>
        <w:t>2-1</w:t>
      </w:r>
      <w:r>
        <w:rPr>
          <w:rFonts w:hAnsi="Times New Roman" w:ascii="Times New Roman" w:hint="eastAsia"/>
          <w:b/>
          <w:sz w:val="28"/>
          <w:szCs w:val="28"/>
        </w:rPr>
        <w:t>1</w:t>
      </w:r>
    </w:p>
    <w:p>
      <w:pPr>
        <w:spacing w:lineRule="atLeast" w:line="360"/>
        <w:jc w:val="center"/>
        <w:outlineLvl w:val="1"/>
        <w:rPr>
          <w:rFonts w:cs="宋体" w:hAnsi="宋体"/>
          <w:b/>
          <w:sz w:val="32"/>
          <w:szCs w:val="32"/>
        </w:rPr>
      </w:pPr>
      <w:r>
        <w:rPr>
          <w:rFonts w:cs="宋体" w:hAnsi="宋体" w:hint="eastAsia"/>
          <w:b/>
          <w:sz w:val="32"/>
          <w:szCs w:val="32"/>
        </w:rPr>
        <w:t>十、中小企业声明函</w:t>
      </w:r>
    </w:p>
    <w:p>
      <w:pPr>
        <w:spacing w:lineRule="atLeast" w:line="360"/>
        <w:jc w:val="center"/>
        <w:outlineLvl w:val="1"/>
        <w:rPr>
          <w:rFonts w:cs="宋体" w:hAnsi="宋体"/>
          <w:b/>
          <w:sz w:val="32"/>
          <w:szCs w:val="32"/>
        </w:rPr>
      </w:pPr>
    </w:p>
    <w:p>
      <w:pPr>
        <w:spacing w:lineRule="auto" w:line="360"/>
        <w:ind w:firstLineChars="200" w:firstLine="480"/>
        <w:jc w:val="left"/>
        <w:rPr>
          <w:rFonts w:cs="宋体" w:hAnsi="宋体"/>
          <w:sz w:val="24"/>
        </w:rPr>
      </w:pPr>
      <w:r>
        <w:rPr>
          <w:rFonts w:cs="宋体" w:hAnsi="宋体" w:hint="eastAsia"/>
          <w:sz w:val="24"/>
        </w:rPr>
        <w:t xml:space="preserve">本公司郑重声明，根据《政府采购促进中小企业发展管理办法》（财库〔2020〕46 号）的规定，本公司（联合体）参加 </w:t>
      </w:r>
      <w:r>
        <w:rPr>
          <w:rFonts w:cs="宋体" w:hAnsi="宋体" w:hint="eastAsia"/>
          <w:sz w:val="24"/>
          <w:u w:val="single"/>
        </w:rPr>
        <w:t xml:space="preserve">（单位名称） </w:t>
      </w:r>
      <w:r>
        <w:rPr>
          <w:rFonts w:cs="宋体" w:hAnsi="宋体" w:hint="eastAsia"/>
          <w:sz w:val="24"/>
        </w:rPr>
        <w:t xml:space="preserve">的 </w:t>
      </w:r>
      <w:r>
        <w:rPr>
          <w:rFonts w:cs="宋体" w:hAnsi="宋体" w:hint="eastAsia"/>
          <w:sz w:val="24"/>
          <w:u w:val="single"/>
        </w:rPr>
        <w:t xml:space="preserve">（项目名称） </w:t>
      </w:r>
      <w:r>
        <w:rPr>
          <w:rFonts w:cs="宋体" w:hAnsi="宋体" w:hint="eastAsia"/>
          <w:sz w:val="24"/>
        </w:rPr>
        <w:t>采购活动，提供的货物全部由符合政策要求的中小企业制造。相关企业（含联合体中的中小企业、签订分包意向协议的中小企业）的具体情况如下：</w:t>
      </w:r>
    </w:p>
    <w:p>
      <w:pPr>
        <w:spacing w:lineRule="auto" w:line="360"/>
        <w:ind w:firstLineChars="200" w:firstLine="480"/>
        <w:jc w:val="left"/>
        <w:rPr>
          <w:rFonts w:cs="宋体" w:hAnsi="宋体"/>
          <w:sz w:val="24"/>
        </w:rPr>
      </w:pPr>
      <w:bookmarkStart w:name="_Toc419811733" w:id="187"/>
      <w:bookmarkStart w:name="_Toc387658050" w:id="188"/>
      <w:bookmarkStart w:name="_Toc387147344" w:id="189"/>
      <w:bookmarkStart w:name="_Toc413748654" w:id="190"/>
      <w:bookmarkStart w:name="_Toc417911732" w:id="191"/>
      <w:r>
        <w:rPr>
          <w:rFonts w:cs="宋体" w:hAnsi="宋体" w:hint="eastAsia"/>
          <w:sz w:val="24"/>
        </w:rPr>
        <w:t xml:space="preserve">1. </w:t>
      </w:r>
      <w:r>
        <w:rPr>
          <w:rFonts w:cs="宋体" w:hAnsi="宋体" w:hint="eastAsia"/>
          <w:sz w:val="24"/>
          <w:u w:val="single"/>
        </w:rPr>
        <w:t xml:space="preserve">（标的名称） </w:t>
      </w:r>
      <w:r>
        <w:rPr>
          <w:rFonts w:cs="宋体" w:hAnsi="宋体" w:hint="eastAsia"/>
          <w:sz w:val="24"/>
        </w:rPr>
        <w:t>，属于</w:t>
      </w:r>
      <w:r>
        <w:rPr>
          <w:rFonts w:cs="宋体" w:hAnsi="宋体" w:hint="eastAsia"/>
          <w:sz w:val="24"/>
          <w:u w:val="single"/>
        </w:rPr>
        <w:t xml:space="preserve"> （采购文件中明确的所属行业） </w:t>
      </w:r>
      <w:r>
        <w:rPr>
          <w:rFonts w:cs="宋体" w:hAnsi="宋体" w:hint="eastAsia"/>
          <w:sz w:val="24"/>
        </w:rPr>
        <w:t>；制造商为</w:t>
      </w:r>
      <w:r>
        <w:rPr>
          <w:rFonts w:cs="宋体" w:hAnsi="宋体" w:hint="eastAsia"/>
          <w:sz w:val="24"/>
          <w:u w:val="single"/>
        </w:rPr>
        <w:t xml:space="preserve"> （企业名称） </w:t>
      </w:r>
      <w:r>
        <w:rPr>
          <w:rFonts w:cs="宋体" w:hAnsi="宋体" w:hint="eastAsia"/>
          <w:sz w:val="24"/>
        </w:rPr>
        <w:t>，从业人员</w:t>
      </w:r>
      <w:r>
        <w:rPr>
          <w:rFonts w:cs="宋体" w:hAnsi="宋体" w:hint="eastAsia"/>
          <w:sz w:val="24"/>
          <w:u w:val="single"/>
        </w:rPr>
        <w:t xml:space="preserve">    </w:t>
      </w:r>
      <w:r>
        <w:rPr>
          <w:rFonts w:cs="宋体" w:hAnsi="宋体" w:hint="eastAsia"/>
          <w:sz w:val="24"/>
        </w:rPr>
        <w:t>人，营业收入为</w:t>
      </w:r>
      <w:r>
        <w:rPr>
          <w:rFonts w:cs="宋体" w:hAnsi="宋体" w:hint="eastAsia"/>
          <w:sz w:val="24"/>
          <w:u w:val="single"/>
        </w:rPr>
        <w:t xml:space="preserve">    </w:t>
      </w:r>
      <w:r>
        <w:rPr>
          <w:rFonts w:cs="宋体" w:hAnsi="宋体" w:hint="eastAsia"/>
          <w:sz w:val="24"/>
        </w:rPr>
        <w:t>万元，资产总额为</w:t>
      </w:r>
      <w:r>
        <w:rPr>
          <w:rFonts w:cs="宋体" w:hAnsi="宋体" w:hint="eastAsia"/>
          <w:sz w:val="24"/>
          <w:u w:val="single"/>
        </w:rPr>
        <w:t xml:space="preserve">    </w:t>
      </w:r>
      <w:r>
        <w:rPr>
          <w:rFonts w:cs="宋体" w:hAnsi="宋体" w:hint="eastAsia"/>
          <w:sz w:val="24"/>
        </w:rPr>
        <w:t>万元，属于</w:t>
      </w:r>
      <w:r>
        <w:rPr>
          <w:rFonts w:cs="宋体" w:hAnsi="宋体" w:hint="eastAsia"/>
          <w:sz w:val="24"/>
          <w:u w:val="single"/>
        </w:rPr>
        <w:t xml:space="preserve"> （中型企业、小型企业、微型企业） </w:t>
      </w:r>
      <w:r>
        <w:rPr>
          <w:rFonts w:cs="宋体" w:hAnsi="宋体" w:hint="eastAsia"/>
          <w:sz w:val="24"/>
        </w:rPr>
        <w:t>；</w:t>
      </w:r>
    </w:p>
    <w:p>
      <w:pPr>
        <w:spacing w:lineRule="auto" w:line="360"/>
        <w:ind w:firstLineChars="250" w:firstLine="600"/>
        <w:jc w:val="left"/>
        <w:rPr>
          <w:rFonts w:cs="宋体" w:hAnsi="宋体"/>
          <w:sz w:val="24"/>
        </w:rPr>
      </w:pPr>
      <w:r>
        <w:rPr>
          <w:rFonts w:cs="宋体" w:hAnsi="宋体" w:hint="eastAsia"/>
          <w:sz w:val="24"/>
        </w:rPr>
        <w:t>2.</w:t>
      </w:r>
      <w:r>
        <w:rPr>
          <w:rFonts w:cs="宋体" w:hAnsi="宋体" w:hint="eastAsia"/>
          <w:sz w:val="24"/>
          <w:u w:val="single"/>
        </w:rPr>
        <w:t xml:space="preserve"> （标的名称） </w:t>
      </w:r>
      <w:r>
        <w:rPr>
          <w:rFonts w:cs="宋体" w:hAnsi="宋体" w:hint="eastAsia"/>
          <w:sz w:val="24"/>
        </w:rPr>
        <w:t>，属于</w:t>
      </w:r>
      <w:r>
        <w:rPr>
          <w:rFonts w:cs="宋体" w:hAnsi="宋体" w:hint="eastAsia"/>
          <w:sz w:val="24"/>
          <w:u w:val="single"/>
        </w:rPr>
        <w:t xml:space="preserve"> （采购文件中明确的所属行业） </w:t>
      </w:r>
      <w:r>
        <w:rPr>
          <w:rFonts w:cs="宋体" w:hAnsi="宋体" w:hint="eastAsia"/>
          <w:sz w:val="24"/>
        </w:rPr>
        <w:t>；制造商为</w:t>
      </w:r>
      <w:r>
        <w:rPr>
          <w:rFonts w:cs="宋体" w:hAnsi="宋体" w:hint="eastAsia"/>
          <w:sz w:val="24"/>
          <w:u w:val="single"/>
        </w:rPr>
        <w:t xml:space="preserve"> （企业名称） </w:t>
      </w:r>
      <w:r>
        <w:rPr>
          <w:rFonts w:cs="宋体" w:hAnsi="宋体" w:hint="eastAsia"/>
          <w:sz w:val="24"/>
        </w:rPr>
        <w:t>，从业人员</w:t>
      </w:r>
      <w:r>
        <w:rPr>
          <w:rFonts w:cs="宋体" w:hAnsi="宋体" w:hint="eastAsia"/>
          <w:sz w:val="24"/>
          <w:u w:val="single"/>
        </w:rPr>
        <w:t xml:space="preserve">    </w:t>
      </w:r>
      <w:r>
        <w:rPr>
          <w:rFonts w:cs="宋体" w:hAnsi="宋体" w:hint="eastAsia"/>
          <w:sz w:val="24"/>
        </w:rPr>
        <w:t>人，营业收入为</w:t>
      </w:r>
      <w:r>
        <w:rPr>
          <w:rFonts w:cs="宋体" w:hAnsi="宋体" w:hint="eastAsia"/>
          <w:sz w:val="24"/>
          <w:u w:val="single"/>
        </w:rPr>
        <w:t xml:space="preserve">    </w:t>
      </w:r>
      <w:r>
        <w:rPr>
          <w:rFonts w:cs="宋体" w:hAnsi="宋体" w:hint="eastAsia"/>
          <w:sz w:val="24"/>
        </w:rPr>
        <w:t>万元，资产总额为</w:t>
      </w:r>
      <w:r>
        <w:rPr>
          <w:rFonts w:cs="宋体" w:hAnsi="宋体" w:hint="eastAsia"/>
          <w:sz w:val="24"/>
          <w:u w:val="single"/>
        </w:rPr>
        <w:t xml:space="preserve">    </w:t>
      </w:r>
      <w:r>
        <w:rPr>
          <w:rFonts w:cs="宋体" w:hAnsi="宋体" w:hint="eastAsia"/>
          <w:sz w:val="24"/>
        </w:rPr>
        <w:t>万元，属于</w:t>
      </w:r>
      <w:r>
        <w:rPr>
          <w:rFonts w:cs="宋体" w:hAnsi="宋体" w:hint="eastAsia"/>
          <w:sz w:val="24"/>
          <w:u w:val="single"/>
        </w:rPr>
        <w:t xml:space="preserve"> （中型企业、小型企业、微型企业） </w:t>
      </w:r>
      <w:r>
        <w:rPr>
          <w:rFonts w:cs="宋体" w:hAnsi="宋体" w:hint="eastAsia"/>
          <w:sz w:val="24"/>
        </w:rPr>
        <w:t>；</w:t>
      </w:r>
    </w:p>
    <w:p>
      <w:pPr>
        <w:spacing w:lineRule="auto" w:line="360"/>
        <w:ind w:firstLineChars="250" w:firstLine="600"/>
        <w:jc w:val="left"/>
        <w:rPr>
          <w:rFonts w:cs="宋体" w:hAnsi="宋体"/>
          <w:sz w:val="24"/>
        </w:rPr>
      </w:pPr>
      <w:r>
        <w:rPr>
          <w:rFonts w:cs="宋体" w:hAnsi="宋体" w:hint="eastAsia"/>
          <w:sz w:val="24"/>
        </w:rPr>
        <w:t>……</w:t>
      </w:r>
    </w:p>
    <w:p>
      <w:pPr>
        <w:spacing w:lineRule="auto" w:line="360"/>
        <w:ind w:firstLineChars="250" w:firstLine="600"/>
        <w:jc w:val="left"/>
        <w:rPr>
          <w:rFonts w:cs="宋体" w:hAnsi="宋体"/>
          <w:sz w:val="24"/>
        </w:rPr>
      </w:pPr>
      <w:r>
        <w:rPr>
          <w:rFonts w:cs="宋体" w:hAnsi="宋体" w:hint="eastAsia"/>
          <w:sz w:val="24"/>
        </w:rPr>
        <w:t>以上企业，不属于大企业的分支机构，不存在控股股东为大企业的情形，也不存在与大企业的负责人为同一人的情形。</w:t>
      </w:r>
    </w:p>
    <w:p>
      <w:pPr>
        <w:spacing w:lineRule="auto" w:line="360"/>
        <w:ind w:firstLineChars="250" w:firstLine="600"/>
        <w:jc w:val="left"/>
        <w:rPr>
          <w:rFonts w:cs="宋体" w:hAnsi="宋体"/>
          <w:sz w:val="24"/>
        </w:rPr>
      </w:pPr>
      <w:r>
        <w:rPr>
          <w:rFonts w:cs="宋体" w:hAnsi="宋体" w:hint="eastAsia"/>
          <w:sz w:val="24"/>
        </w:rPr>
        <w:t>本企业对上述声明内容的真实性负责。如有虚假，将依法承担相应责任。</w:t>
      </w:r>
    </w:p>
    <w:p>
      <w:pPr>
        <w:spacing w:lineRule="auto" w:line="360"/>
        <w:jc w:val="center"/>
        <w:rPr>
          <w:rFonts w:cs="宋体" w:hAnsi="宋体"/>
          <w:sz w:val="24"/>
        </w:rPr>
      </w:pPr>
      <w:r>
        <w:rPr>
          <w:rFonts w:cs="宋体" w:hAnsi="宋体" w:hint="eastAsia"/>
          <w:sz w:val="24"/>
        </w:rPr>
        <w:t xml:space="preserve">                                 企业名称（盖章）：</w:t>
      </w:r>
    </w:p>
    <w:p>
      <w:pPr>
        <w:spacing w:lineRule="auto" w:line="360"/>
        <w:jc w:val="center"/>
        <w:rPr>
          <w:rFonts w:cs="宋体" w:hAnsi="宋体"/>
          <w:sz w:val="24"/>
        </w:rPr>
      </w:pPr>
      <w:r>
        <w:rPr>
          <w:rFonts w:cs="宋体" w:hAnsi="宋体" w:hint="eastAsia"/>
          <w:sz w:val="24"/>
        </w:rPr>
        <w:t xml:space="preserve">                        日 期：</w:t>
      </w:r>
    </w:p>
    <w:p>
      <w:pPr>
        <w:spacing w:lineRule="auto" w:line="360"/>
        <w:jc w:val="left"/>
        <w:rPr>
          <w:rFonts w:cs="宋体" w:hAnsi="宋体"/>
          <w:sz w:val="24"/>
        </w:rPr>
      </w:pPr>
      <w:r>
        <w:rPr>
          <w:rFonts w:cs="宋体" w:hAnsi="宋体" w:hint="eastAsia"/>
          <w:sz w:val="24"/>
        </w:rPr>
        <w:t>注：</w:t>
      </w:r>
    </w:p>
    <w:p>
      <w:pPr>
        <w:spacing w:lineRule="auto" w:line="360"/>
        <w:rPr>
          <w:rFonts w:cs="宋体" w:hAnsi="宋体"/>
          <w:sz w:val="24"/>
        </w:rPr>
      </w:pPr>
      <w:r>
        <w:rPr>
          <w:rFonts w:cs="宋体" w:hAnsi="宋体" w:hint="eastAsia"/>
          <w:sz w:val="24"/>
        </w:rPr>
        <w:t>1、</w:t>
      </w:r>
      <w:bookmarkEnd w:id="187"/>
      <w:bookmarkEnd w:id="188"/>
      <w:bookmarkEnd w:id="189"/>
      <w:bookmarkEnd w:id="190"/>
      <w:bookmarkEnd w:id="191"/>
      <w:r>
        <w:rPr>
          <w:rFonts w:cs="宋体" w:hAnsi="宋体" w:hint="eastAsia"/>
          <w:sz w:val="24"/>
        </w:rPr>
        <w:t>从业人员、营业收入、资产总额填报上一年度数据，无上一年度数据的新成立企业可不填报。</w:t>
      </w:r>
    </w:p>
    <w:p>
      <w:pPr>
        <w:spacing w:lineRule="auto" w:line="360"/>
        <w:rPr>
          <w:rFonts w:cs="宋体" w:eastAsia="仿宋" w:hAnsi="仿宋" w:ascii="仿宋"/>
          <w:sz w:val="24"/>
        </w:rPr>
      </w:pPr>
      <w:r>
        <w:rPr>
          <w:rFonts w:cs="宋体" w:eastAsia="仿宋" w:hAnsi="仿宋" w:ascii="仿宋" w:hint="eastAsia"/>
          <w:sz w:val="24"/>
        </w:rPr>
        <w:br w:type="page"/>
      </w:r>
    </w:p>
    <w:p>
      <w:pPr>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2-1</w:t>
      </w:r>
      <w:r>
        <w:rPr>
          <w:rFonts w:hAnsi="Times New Roman" w:ascii="Times New Roman" w:hint="eastAsia"/>
          <w:b/>
          <w:sz w:val="28"/>
          <w:szCs w:val="28"/>
        </w:rPr>
        <w:t>2</w:t>
      </w:r>
    </w:p>
    <w:p>
      <w:pPr>
        <w:jc w:val="center"/>
        <w:rPr>
          <w:rFonts w:cs="宋体" w:hAnsi="宋体"/>
          <w:b/>
          <w:sz w:val="32"/>
          <w:szCs w:val="32"/>
        </w:rPr>
      </w:pPr>
      <w:r>
        <w:rPr>
          <w:rFonts w:cs="宋体" w:hAnsi="宋体" w:hint="eastAsia"/>
          <w:b/>
          <w:sz w:val="32"/>
          <w:szCs w:val="32"/>
        </w:rPr>
        <w:t>十一、 残疾人福利性单位声明函</w:t>
      </w:r>
    </w:p>
    <w:p>
      <w:pPr>
        <w:spacing w:lineRule="exact" w:line="588"/>
        <w:rPr>
          <w:rFonts w:cs="宋体" w:hAnsi="宋体"/>
          <w:b/>
          <w:spacing w:val="6"/>
          <w:sz w:val="24"/>
        </w:rPr>
      </w:pPr>
    </w:p>
    <w:p>
      <w:pPr>
        <w:spacing w:lineRule="exact" w:line="588"/>
        <w:ind w:firstLineChars="200" w:firstLine="504"/>
        <w:rPr>
          <w:rFonts w:cs="宋体" w:hAnsi="宋体"/>
          <w:spacing w:val="6"/>
          <w:sz w:val="24"/>
        </w:rPr>
      </w:pPr>
      <w:r>
        <w:rPr>
          <w:rFonts w:cs="宋体" w:hAnsi="宋体" w:hint="eastAsia"/>
          <w:spacing w:val="6"/>
          <w:sz w:val="24"/>
        </w:rPr>
        <w:t>本单位郑重声明，根据《财政部 民政部 中国残疾人联合会关于促进残疾人就业政府采购政策的通知》（财库</w:t>
      </w:r>
      <w:r>
        <w:rPr>
          <w:rFonts w:cs="宋体" w:hAnsi="宋体" w:hint="eastAsia"/>
          <w:sz w:val="24"/>
        </w:rPr>
        <w:t>〔2017〕 141</w:t>
      </w:r>
      <w:r>
        <w:rPr>
          <w:rFonts w:cs="宋体" w:hAnsi="宋体" w:hint="eastAsia"/>
          <w:spacing w:val="6"/>
          <w:sz w:val="24"/>
        </w:rPr>
        <w:t>号）的规定，本单位为符合条件的残疾人福利性单位，且本单位参加</w:t>
      </w:r>
      <w:r>
        <w:rPr>
          <w:rFonts w:cs="宋体" w:hAnsi="宋体" w:hint="eastAsia"/>
          <w:sz w:val="24"/>
          <w:u w:val="single"/>
        </w:rPr>
        <w:t>XXXX</w:t>
      </w:r>
      <w:r>
        <w:rPr>
          <w:rFonts w:cs="宋体" w:hAnsi="宋体" w:hint="eastAsia"/>
          <w:spacing w:val="6"/>
          <w:sz w:val="24"/>
        </w:rPr>
        <w:t>单位的</w:t>
      </w:r>
      <w:r>
        <w:rPr>
          <w:rFonts w:cs="宋体" w:hAnsi="宋体" w:hint="eastAsia"/>
          <w:sz w:val="24"/>
          <w:u w:val="single"/>
        </w:rPr>
        <w:t>XXXX</w:t>
      </w:r>
      <w:r>
        <w:rPr>
          <w:rFonts w:cs="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pPr>
        <w:spacing w:lineRule="exact" w:line="588"/>
        <w:ind w:firstLineChars="200" w:firstLine="504"/>
        <w:rPr>
          <w:rFonts w:cs="宋体" w:hAnsi="宋体"/>
          <w:spacing w:val="6"/>
          <w:sz w:val="24"/>
        </w:rPr>
      </w:pPr>
      <w:r>
        <w:rPr>
          <w:rFonts w:cs="宋体" w:hAnsi="宋体" w:hint="eastAsia"/>
          <w:spacing w:val="6"/>
          <w:sz w:val="24"/>
        </w:rPr>
        <w:t>本单位对上述声明的真实性负责。如有虚假，将依法承担相应责任。</w:t>
      </w:r>
    </w:p>
    <w:p>
      <w:pPr>
        <w:spacing w:lineRule="exact" w:line="588"/>
        <w:rPr>
          <w:rFonts w:cs="宋体" w:hAnsi="宋体"/>
          <w:spacing w:val="6"/>
          <w:sz w:val="24"/>
        </w:rPr>
      </w:pPr>
    </w:p>
    <w:p>
      <w:pPr>
        <w:tabs>
          <w:tab w:pos="4860" w:val="left"/>
        </w:tabs>
        <w:spacing w:lineRule="exact" w:line="588"/>
        <w:ind w:right="1560"/>
        <w:rPr>
          <w:rFonts w:cs="宋体" w:hAnsi="宋体"/>
          <w:spacing w:val="6"/>
          <w:sz w:val="24"/>
        </w:rPr>
      </w:pPr>
      <w:r>
        <w:rPr>
          <w:rFonts w:cs="宋体" w:hAnsi="宋体" w:hint="eastAsia"/>
          <w:spacing w:val="6"/>
          <w:sz w:val="24"/>
        </w:rPr>
        <w:t>单位名称（盖章）：</w:t>
      </w:r>
    </w:p>
    <w:p>
      <w:pPr>
        <w:rPr>
          <w:rFonts w:cs="宋体" w:hAnsi="宋体"/>
          <w:spacing w:val="6"/>
          <w:sz w:val="24"/>
        </w:rPr>
      </w:pPr>
      <w:r>
        <w:rPr>
          <w:rFonts w:cs="宋体" w:hAnsi="宋体" w:hint="eastAsia"/>
          <w:spacing w:val="6"/>
          <w:sz w:val="24"/>
        </w:rPr>
        <w:t>日  期：</w:t>
      </w:r>
    </w:p>
    <w:p>
      <w:pPr>
        <w:spacing w:lineRule="auto" w:line="360"/>
        <w:rPr>
          <w:rFonts w:cs="宋体" w:hAnsi="宋体"/>
          <w:sz w:val="24"/>
        </w:rPr>
      </w:pPr>
    </w:p>
    <w:p>
      <w:pPr>
        <w:spacing w:lineRule="auto" w:line="360"/>
        <w:rPr>
          <w:rFonts w:cs="宋体" w:hAnsi="宋体"/>
          <w:sz w:val="24"/>
        </w:rPr>
      </w:pPr>
      <w:r>
        <w:rPr>
          <w:rFonts w:cs="宋体" w:hAnsi="宋体" w:hint="eastAsia"/>
          <w:sz w:val="24"/>
        </w:rPr>
        <w:t>注：</w:t>
      </w:r>
    </w:p>
    <w:p>
      <w:pPr>
        <w:numPr>
          <w:ilvl w:val="0"/>
          <w:numId w:val="4"/>
        </w:numPr>
        <w:spacing w:lineRule="auto" w:line="360"/>
        <w:rPr>
          <w:rFonts w:cs="宋体" w:hAnsi="宋体"/>
          <w:sz w:val="24"/>
        </w:rPr>
      </w:pPr>
      <w:r>
        <w:rPr>
          <w:rFonts w:cs="宋体" w:hAnsi="宋体" w:hint="eastAsia"/>
          <w:sz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Rule="auto" w:line="360"/>
        <w:rPr>
          <w:rFonts w:cs="宋体" w:hAnsi="宋体"/>
          <w:sz w:val="24"/>
        </w:rPr>
      </w:pPr>
      <w:r>
        <w:rPr>
          <w:rFonts w:cs="宋体" w:hAnsi="宋体" w:hint="eastAsia"/>
          <w:sz w:val="24"/>
        </w:rPr>
        <w:t>投标人为非残疾人福利性单位的，可不提供此声明。</w:t>
      </w:r>
    </w:p>
    <w:p>
      <w:pPr>
        <w:jc w:val="left"/>
        <w:rPr>
          <w:rFonts w:cs="宋体" w:hAnsi="宋体"/>
          <w:sz w:val="24"/>
        </w:rPr>
      </w:pPr>
      <w:r>
        <w:rPr>
          <w:rFonts w:cs="宋体" w:hAnsi="宋体" w:hint="eastAsia"/>
          <w:sz w:val="24"/>
        </w:rPr>
        <w:br w:type="page"/>
      </w:r>
    </w:p>
    <w:p>
      <w:pPr>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2-1</w:t>
      </w:r>
      <w:r>
        <w:rPr>
          <w:rFonts w:hAnsi="Times New Roman" w:ascii="Times New Roman" w:hint="eastAsia"/>
          <w:b/>
          <w:sz w:val="28"/>
          <w:szCs w:val="28"/>
        </w:rPr>
        <w:t>3</w:t>
      </w:r>
    </w:p>
    <w:p>
      <w:pPr>
        <w:jc w:val="center"/>
        <w:rPr>
          <w:rFonts w:cs="宋体" w:hAnsi="宋体"/>
          <w:b/>
          <w:sz w:val="32"/>
          <w:szCs w:val="32"/>
        </w:rPr>
      </w:pPr>
      <w:r>
        <w:rPr>
          <w:rFonts w:cs="宋体" w:hAnsi="宋体" w:hint="eastAsia"/>
          <w:b/>
          <w:sz w:val="32"/>
          <w:szCs w:val="32"/>
        </w:rPr>
        <w:t>十二、监狱企业</w:t>
      </w:r>
    </w:p>
    <w:p>
      <w:pPr>
        <w:spacing w:lineRule="exact" w:line="588"/>
        <w:rPr>
          <w:rFonts w:cs="宋体" w:hAnsi="宋体"/>
          <w:b/>
          <w:spacing w:val="6"/>
          <w:sz w:val="24"/>
        </w:rPr>
      </w:pPr>
    </w:p>
    <w:p>
      <w:pPr>
        <w:spacing w:lineRule="auto" w:line="360"/>
        <w:ind w:firstLineChars="200" w:firstLine="480"/>
        <w:jc w:val="left"/>
        <w:rPr>
          <w:rFonts w:cs="宋体" w:hAnsi="宋体"/>
          <w:sz w:val="24"/>
        </w:rPr>
      </w:pPr>
      <w:r>
        <w:rPr>
          <w:rFonts w:cs="宋体" w:hAnsi="宋体" w:hint="eastAsia"/>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Rule="auto" w:line="360"/>
        <w:jc w:val="left"/>
        <w:rPr>
          <w:rFonts w:cs="宋体" w:hAnsi="宋体"/>
          <w:sz w:val="24"/>
        </w:rPr>
      </w:pPr>
      <w:r>
        <w:rPr>
          <w:rFonts w:cs="宋体" w:hAnsi="宋体" w:hint="eastAsia"/>
          <w:sz w:val="24"/>
        </w:rPr>
        <w:t>注：</w:t>
      </w:r>
    </w:p>
    <w:p>
      <w:pPr>
        <w:spacing w:lineRule="auto" w:line="360"/>
        <w:rPr>
          <w:rFonts w:cs="宋体" w:hAnsi="宋体"/>
          <w:sz w:val="24"/>
        </w:rPr>
      </w:pPr>
      <w:r>
        <w:rPr>
          <w:rFonts w:cs="宋体" w:hAnsi="宋体" w:hint="eastAsia"/>
          <w:sz w:val="24"/>
        </w:rPr>
        <w:t>1、投标人符合《政府采购支持监狱企业发展有关问题的通知》（财库〔2014〕68号）规定的划分标准为监狱企业适用。</w:t>
      </w:r>
    </w:p>
    <w:p>
      <w:pPr>
        <w:spacing w:lineRule="auto" w:line="360"/>
        <w:rPr>
          <w:rFonts w:cs="宋体" w:hAnsi="宋体"/>
          <w:sz w:val="24"/>
        </w:rPr>
        <w:sectPr>
          <w:footerReference w:type="default" r:id="rId5"/>
          <w:pgSz w:h="16838" w:w="11906"/>
          <w:pgMar w:gutter="0" w:footer="992" w:header="851" w:left="1800" w:bottom="1440" w:right="1800" w:top="1440"/>
          <w:cols w:num="1" w:space="720"/>
          <w:docGrid w:charSpace="0" w:linePitch="312" w:type="lines"/>
        </w:sectPr>
      </w:pPr>
      <w:r>
        <w:rPr>
          <w:rFonts w:cs="宋体" w:hAnsi="宋体" w:hint="eastAsia"/>
          <w:sz w:val="24"/>
        </w:rPr>
        <w:t>2、在政府采购活动中，监狱企业视同小型、微型企业，享受预留份额、评审中价格扣除等政府采购促进中小企业发展的政府采购政策。</w:t>
      </w:r>
    </w:p>
    <w:p>
      <w:pPr>
        <w:spacing w:lineRule="auto" w:line="360"/>
        <w:jc w:val="left"/>
        <w:rPr>
          <w:rFonts w:cs="宋体" w:hAnsi="宋体"/>
          <w:sz w:val="24"/>
        </w:rPr>
      </w:pPr>
    </w:p>
    <w:bookmarkEnd w:id="186"/>
    <w:p>
      <w:pPr>
        <w:numPr>
          <w:ilvl w:val="0"/>
          <w:numId w:val="5"/>
        </w:numPr>
        <w:jc w:val="center"/>
        <w:outlineLvl w:val="0"/>
        <w:rPr>
          <w:rFonts w:hAnsi="Times New Roman" w:ascii="Times New Roman"/>
          <w:b/>
          <w:sz w:val="40"/>
          <w:szCs w:val="21"/>
        </w:rPr>
      </w:pPr>
      <w:r>
        <w:rPr>
          <w:rFonts w:hAnsi="Times New Roman" w:ascii="Times New Roman" w:hint="eastAsia"/>
          <w:b/>
          <w:sz w:val="40"/>
          <w:szCs w:val="21"/>
        </w:rPr>
        <w:t>投标人和投标产品的资格、资</w:t>
      </w:r>
      <w:bookmarkEnd w:id="181"/>
      <w:bookmarkStart w:name="_Toc20574" w:id="192"/>
      <w:r>
        <w:rPr>
          <w:rFonts w:hAnsi="Times New Roman" w:ascii="Times New Roman" w:hint="eastAsia"/>
          <w:b/>
          <w:sz w:val="40"/>
          <w:szCs w:val="21"/>
        </w:rPr>
        <w:t>质性及其他类似效力要求</w:t>
      </w:r>
      <w:bookmarkEnd w:id="182"/>
      <w:bookmarkEnd w:id="183"/>
      <w:bookmarkEnd w:id="192"/>
      <w:bookmarkStart w:name="_Toc28648" w:id="193"/>
      <w:bookmarkStart w:name="_Toc18837" w:id="194"/>
    </w:p>
    <w:p>
      <w:pPr>
        <w:outlineLvl w:val="0"/>
        <w:rPr>
          <w:rFonts w:hAnsi="Times New Roman" w:ascii="Times New Roman"/>
          <w:sz w:val="32"/>
          <w:szCs w:val="21"/>
        </w:rPr>
      </w:pPr>
      <w:r>
        <w:rPr>
          <w:rFonts w:hAnsi="Times New Roman" w:ascii="Times New Roman" w:hint="eastAsia"/>
          <w:sz w:val="24"/>
          <w:szCs w:val="24"/>
        </w:rPr>
        <w:t>资格要求：</w:t>
      </w:r>
      <w:bookmarkEnd w:id="193"/>
      <w:bookmarkEnd w:id="194"/>
    </w:p>
    <w:tbl>
      <w:tblPr>
        <w:tblStyle w:val="15"/>
        <w:tblpPr w:tblpY="636" w:tblpX="1094" w:horzAnchor="page" w:vertAnchor="text" w:rightFromText="180" w:leftFromText="180"/>
        <w:tblOverlap w:val="never"/>
        <w:tblW w:type="dxa" w:w="9460"/>
        <w:tblInd w:type="dxa" w:w="0"/>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CellMar>
          <w:top w:type="dxa" w:w="0"/>
          <w:left w:type="dxa" w:w="108"/>
          <w:bottom w:type="dxa" w:w="0"/>
          <w:right w:type="dxa" w:w="108"/>
        </w:tblCellMar>
      </w:tblPr>
      <w:tblGrid>
        <w:gridCol w:w="811"/>
        <w:gridCol w:w="5177"/>
        <w:gridCol w:w="3472"/>
      </w:tblGrid>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714"/>
        </w:trPr>
        <w:tc>
          <w:tcPr>
            <w:tcW w:type="dxa" w:w="811"/>
            <w:tcBorders>
              <w:top w:space="0" w:sz="18" w:color="auto" w:val="single"/>
            </w:tcBorders>
            <w:vAlign w:val="center"/>
          </w:tcPr>
          <w:p>
            <w:pPr>
              <w:snapToGrid w:val="false"/>
              <w:spacing w:lineRule="atLeast" w:line="260"/>
              <w:jc w:val="center"/>
              <w:rPr>
                <w:rFonts w:hAnsi="Times New Roman" w:ascii="Times New Roman"/>
                <w:b/>
                <w:sz w:val="22"/>
              </w:rPr>
            </w:pPr>
            <w:r>
              <w:rPr>
                <w:rFonts w:hAnsi="Times New Roman" w:ascii="Times New Roman" w:hint="eastAsia"/>
                <w:b/>
                <w:sz w:val="22"/>
              </w:rPr>
              <w:t>序号</w:t>
            </w:r>
          </w:p>
        </w:tc>
        <w:tc>
          <w:tcPr>
            <w:tcW w:type="dxa" w:w="5177"/>
            <w:tcBorders>
              <w:top w:space="0" w:sz="18" w:color="auto" w:val="single"/>
            </w:tcBorders>
            <w:vAlign w:val="center"/>
          </w:tcPr>
          <w:p>
            <w:pPr>
              <w:snapToGrid w:val="false"/>
              <w:spacing w:lineRule="atLeast" w:line="260"/>
              <w:jc w:val="center"/>
              <w:rPr>
                <w:rFonts w:hAnsi="Times New Roman" w:ascii="Times New Roman"/>
                <w:b/>
                <w:sz w:val="22"/>
              </w:rPr>
            </w:pPr>
            <w:r>
              <w:rPr>
                <w:rFonts w:hAnsi="Times New Roman" w:ascii="Times New Roman" w:hint="eastAsia"/>
                <w:b/>
                <w:sz w:val="22"/>
              </w:rPr>
              <w:t>项目</w:t>
            </w:r>
          </w:p>
        </w:tc>
        <w:tc>
          <w:tcPr>
            <w:tcW w:type="dxa" w:w="3472"/>
            <w:tcBorders>
              <w:top w:space="0" w:sz="18" w:color="auto" w:val="single"/>
            </w:tcBorders>
            <w:vAlign w:val="center"/>
          </w:tcPr>
          <w:p>
            <w:pPr>
              <w:snapToGrid w:val="false"/>
              <w:spacing w:lineRule="atLeast" w:line="260"/>
              <w:jc w:val="center"/>
              <w:rPr>
                <w:rFonts w:hAnsi="Times New Roman" w:ascii="Times New Roman"/>
                <w:b/>
                <w:sz w:val="22"/>
              </w:rPr>
            </w:pPr>
            <w:r>
              <w:rPr>
                <w:rFonts w:hAnsi="Times New Roman" w:ascii="Times New Roman" w:hint="eastAsia"/>
                <w:b/>
                <w:sz w:val="22"/>
              </w:rPr>
              <w:t>合格条件</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1137"/>
        </w:trPr>
        <w:tc>
          <w:tcPr>
            <w:tcW w:type="dxa" w:w="811"/>
            <w:vAlign w:val="center"/>
          </w:tcPr>
          <w:p>
            <w:pPr>
              <w:snapToGrid w:val="false"/>
              <w:spacing w:lineRule="auto" w:line="276"/>
              <w:jc w:val="center"/>
              <w:rPr>
                <w:rFonts w:hAnsi="Times New Roman" w:ascii="Times New Roman"/>
                <w:sz w:val="22"/>
              </w:rPr>
            </w:pPr>
            <w:r>
              <w:rPr>
                <w:rFonts w:hAnsi="Times New Roman" w:ascii="Times New Roman"/>
                <w:sz w:val="22"/>
              </w:rPr>
              <w:t>1</w:t>
            </w:r>
          </w:p>
        </w:tc>
        <w:tc>
          <w:tcPr>
            <w:tcW w:type="dxa" w:w="5177"/>
            <w:vAlign w:val="center"/>
          </w:tcPr>
          <w:p>
            <w:pPr>
              <w:rPr>
                <w:rFonts w:hAnsi="Times New Roman" w:ascii="Times New Roman"/>
                <w:sz w:val="22"/>
              </w:rPr>
            </w:pPr>
            <w:r>
              <w:rPr>
                <w:rFonts w:hAnsi="宋体" w:ascii="Times New Roman" w:hint="eastAsia"/>
                <w:sz w:val="22"/>
                <w:szCs w:val="21"/>
              </w:rPr>
              <w:t>具备《中华人民共和国政府采购法》第二十二条规定的条件</w:t>
            </w:r>
            <w:r>
              <w:rPr>
                <w:rFonts w:hAnsi="宋体" w:ascii="Times New Roman" w:hint="eastAsia"/>
                <w:sz w:val="22"/>
              </w:rPr>
              <w:t>。</w:t>
            </w:r>
          </w:p>
          <w:p>
            <w:pPr>
              <w:ind w:firstLine="480"/>
              <w:rPr>
                <w:rFonts w:hAnsi="Times New Roman" w:ascii="Times New Roman"/>
                <w:sz w:val="22"/>
              </w:rPr>
            </w:pPr>
          </w:p>
        </w:tc>
        <w:tc>
          <w:tcPr>
            <w:tcW w:type="dxa" w:w="3472"/>
            <w:vAlign w:val="center"/>
          </w:tcPr>
          <w:p>
            <w:pPr>
              <w:rPr>
                <w:rFonts w:hAnsi="宋体" w:ascii="Times New Roman"/>
                <w:sz w:val="22"/>
                <w:szCs w:val="21"/>
              </w:rPr>
            </w:pPr>
            <w:r>
              <w:rPr>
                <w:rFonts w:hAnsi="宋体" w:ascii="Times New Roman" w:hint="eastAsia"/>
                <w:sz w:val="22"/>
                <w:szCs w:val="21"/>
              </w:rPr>
              <w:t>1、按采购文件规定格式提供原件（放入资格性响应文件正本中）；</w:t>
            </w:r>
          </w:p>
          <w:p>
            <w:pPr>
              <w:rPr>
                <w:rFonts w:hAnsi="宋体" w:ascii="Times New Roman"/>
                <w:sz w:val="22"/>
                <w:szCs w:val="21"/>
              </w:rPr>
            </w:pPr>
            <w:r>
              <w:rPr>
                <w:rFonts w:hAnsi="宋体" w:ascii="Times New Roman" w:hint="eastAsia"/>
                <w:sz w:val="22"/>
                <w:szCs w:val="21"/>
              </w:rPr>
              <w:t>2、具备健全的财务会计制度的证明材料；｛注：①可提供2020或2021年度经审计的财务报告复印件，②也可提供截至投标文件递交截止日六个月内银行出具的资信证明（复印件），③</w:t>
            </w:r>
            <w:r>
              <w:rPr>
                <w:rFonts w:hAnsi="宋体" w:ascii="Times New Roman" w:hint="eastAsia"/>
                <w:sz w:val="22"/>
              </w:rPr>
              <w:t>也可提供财政部门认可的政府采购专业担保机构出具的投标担保函，</w:t>
            </w:r>
            <w:r>
              <w:rPr>
                <w:rFonts w:hAnsi="宋体" w:ascii="Times New Roman" w:hint="eastAsia"/>
                <w:sz w:val="22"/>
                <w:szCs w:val="21"/>
              </w:rPr>
              <w:t>④供应商注册时间截至投标文件递交截止日不足一年的，也可提供在工商备案主管部门备案的公司章程复印件。｝</w:t>
            </w:r>
          </w:p>
          <w:p>
            <w:pPr>
              <w:rPr>
                <w:rFonts w:hAnsi="宋体" w:ascii="Times New Roman"/>
                <w:sz w:val="22"/>
                <w:szCs w:val="21"/>
              </w:rPr>
            </w:pPr>
            <w:r>
              <w:rPr>
                <w:rFonts w:hAnsi="宋体" w:ascii="Times New Roman" w:hint="eastAsia"/>
                <w:sz w:val="22"/>
                <w:szCs w:val="21"/>
              </w:rPr>
              <w:t>3、社会保障资金缴纳证明：提供2022年01月01日至今已缴存的任一月份的社会保障资金缴存单据或社保机构开具的社会保险参保缴费情况证明，依法不需要缴纳社会保障资金的供应商应提供相关文件证明；</w:t>
            </w:r>
          </w:p>
          <w:p>
            <w:pPr>
              <w:rPr>
                <w:rFonts w:hAnsi="宋体" w:ascii="Times New Roman"/>
                <w:sz w:val="22"/>
                <w:szCs w:val="21"/>
              </w:rPr>
            </w:pPr>
            <w:r>
              <w:rPr>
                <w:rFonts w:hAnsi="宋体" w:ascii="Times New Roman" w:hint="eastAsia"/>
                <w:sz w:val="22"/>
                <w:szCs w:val="21"/>
              </w:rPr>
              <w:t xml:space="preserve">4、税收缴纳证明：提供2022年01月01日至今已缴纳的至少一个月的纳税证明或完税证明，依法免税的单位应提供相关证明材料； </w:t>
            </w:r>
          </w:p>
          <w:p>
            <w:pPr>
              <w:pStyle w:val="2"/>
              <w:ind w:firstLineChars="100" w:firstLine="220"/>
            </w:pPr>
            <w:r>
              <w:rPr>
                <w:rFonts w:hAnsi="宋体" w:ascii="Times New Roman" w:hint="eastAsia"/>
                <w:sz w:val="22"/>
                <w:szCs w:val="21"/>
              </w:rPr>
              <w:t>注：以上2--4项提供相关材料复印件加盖公章（放入资格性响应文件正本中）；</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1060"/>
        </w:trPr>
        <w:tc>
          <w:tcPr>
            <w:tcW w:type="dxa" w:w="811"/>
            <w:vAlign w:val="center"/>
          </w:tcPr>
          <w:p>
            <w:pPr>
              <w:snapToGrid w:val="false"/>
              <w:spacing w:lineRule="auto" w:line="276"/>
              <w:jc w:val="center"/>
              <w:rPr>
                <w:rFonts w:hAnsi="Times New Roman" w:ascii="Times New Roman"/>
                <w:sz w:val="22"/>
              </w:rPr>
            </w:pPr>
            <w:r>
              <w:rPr>
                <w:rFonts w:hAnsi="Times New Roman" w:ascii="Times New Roman"/>
                <w:sz w:val="22"/>
              </w:rPr>
              <w:t>2</w:t>
            </w:r>
          </w:p>
        </w:tc>
        <w:tc>
          <w:tcPr>
            <w:tcW w:type="dxa" w:w="5177"/>
            <w:vAlign w:val="center"/>
          </w:tcPr>
          <w:p>
            <w:pPr>
              <w:snapToGrid w:val="false"/>
              <w:spacing w:lineRule="auto" w:line="276"/>
              <w:jc w:val="left"/>
              <w:rPr>
                <w:rFonts w:hAnsi="Times New Roman" w:ascii="Times New Roman"/>
                <w:bCs/>
                <w:sz w:val="22"/>
              </w:rPr>
            </w:pPr>
            <w:r>
              <w:rPr>
                <w:rFonts w:hAnsi="Times New Roman" w:ascii="Times New Roman"/>
                <w:sz w:val="22"/>
              </w:rPr>
              <w:t>具有独立承担民事责任能力的法人</w:t>
            </w:r>
            <w:r>
              <w:rPr>
                <w:rFonts w:hAnsi="Times New Roman" w:ascii="Times New Roman" w:hint="eastAsia"/>
                <w:sz w:val="22"/>
              </w:rPr>
              <w:t>、</w:t>
            </w:r>
            <w:r>
              <w:rPr>
                <w:rFonts w:hAnsi="Times New Roman" w:ascii="Times New Roman"/>
                <w:sz w:val="22"/>
              </w:rPr>
              <w:t>其他组织</w:t>
            </w:r>
            <w:r>
              <w:rPr>
                <w:rFonts w:hAnsi="Times New Roman" w:ascii="Times New Roman" w:hint="eastAsia"/>
                <w:sz w:val="22"/>
              </w:rPr>
              <w:t>或自然人</w:t>
            </w:r>
            <w:r>
              <w:rPr>
                <w:rFonts w:hAnsi="Times New Roman" w:ascii="Times New Roman"/>
                <w:sz w:val="22"/>
              </w:rPr>
              <w:t>，提供统一社会信用代码的营业执照</w:t>
            </w:r>
            <w:r>
              <w:rPr>
                <w:rFonts w:hAnsi="Times New Roman" w:ascii="Times New Roman" w:hint="eastAsia"/>
                <w:sz w:val="22"/>
              </w:rPr>
              <w:t>（事业单位具有有效的事业单位法人证书，自然人提供身份证明）</w:t>
            </w:r>
            <w:r>
              <w:rPr>
                <w:rFonts w:hAnsi="Times New Roman" w:ascii="Times New Roman" w:hint="eastAsia"/>
                <w:sz w:val="22"/>
                <w:szCs w:val="21"/>
              </w:rPr>
              <w:t>；</w:t>
            </w:r>
          </w:p>
        </w:tc>
        <w:tc>
          <w:tcPr>
            <w:tcW w:type="dxa" w:w="3472"/>
            <w:vAlign w:val="center"/>
          </w:tcPr>
          <w:p>
            <w:pPr>
              <w:snapToGrid w:val="false"/>
              <w:spacing w:lineRule="auto" w:line="276"/>
              <w:jc w:val="left"/>
              <w:rPr>
                <w:rFonts w:hAnsi="Times New Roman" w:ascii="Times New Roman"/>
                <w:sz w:val="22"/>
              </w:rPr>
            </w:pPr>
            <w:r>
              <w:rPr>
                <w:rFonts w:hAnsi="宋体" w:ascii="Times New Roman" w:hint="eastAsia"/>
                <w:sz w:val="22"/>
              </w:rPr>
              <w:t>证件副本复印件加盖公章（放入资格投标文件正本中）</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3002"/>
        </w:trPr>
        <w:tc>
          <w:tcPr>
            <w:tcW w:type="dxa" w:w="811"/>
            <w:vAlign w:val="center"/>
          </w:tcPr>
          <w:p>
            <w:pPr>
              <w:snapToGrid w:val="false"/>
              <w:spacing w:lineRule="auto" w:line="276"/>
              <w:jc w:val="center"/>
              <w:rPr>
                <w:rFonts w:hAnsi="Times New Roman" w:ascii="Times New Roman"/>
                <w:sz w:val="22"/>
              </w:rPr>
            </w:pPr>
            <w:r>
              <w:rPr>
                <w:rFonts w:hAnsi="Times New Roman" w:ascii="Times New Roman"/>
                <w:sz w:val="22"/>
              </w:rPr>
              <w:t>3</w:t>
            </w:r>
          </w:p>
        </w:tc>
        <w:tc>
          <w:tcPr>
            <w:tcW w:type="dxa" w:w="5177"/>
            <w:vAlign w:val="center"/>
          </w:tcPr>
          <w:p>
            <w:pPr>
              <w:snapToGrid w:val="false"/>
              <w:spacing w:lineRule="auto" w:line="276"/>
              <w:jc w:val="left"/>
              <w:rPr>
                <w:rFonts w:hAnsi="Times New Roman" w:ascii="Times New Roman"/>
                <w:bCs/>
                <w:sz w:val="22"/>
              </w:rPr>
            </w:pPr>
            <w:r>
              <w:rPr>
                <w:rFonts w:hAnsi="Times New Roman" w:ascii="Times New Roman" w:hint="eastAsia"/>
                <w:sz w:val="22"/>
                <w:szCs w:val="21"/>
                <w:lang w:eastAsia="zh-CN" w:val="en-US"/>
              </w:rPr>
              <w:t>投</w:t>
            </w:r>
            <w:r>
              <w:rPr>
                <w:rFonts w:hAnsi="Times New Roman" w:ascii="Times New Roman" w:hint="eastAsia"/>
                <w:sz w:val="22"/>
                <w:szCs w:val="21"/>
              </w:rPr>
              <w:t>标人未被列入失信被执行人、重大税收违法案件当事人名单、政府采购严重违法失信行为记录；</w:t>
            </w:r>
          </w:p>
        </w:tc>
        <w:tc>
          <w:tcPr>
            <w:tcW w:type="dxa" w:w="3472"/>
            <w:vAlign w:val="center"/>
          </w:tcPr>
          <w:p>
            <w:pPr>
              <w:snapToGrid w:val="false"/>
              <w:spacing w:lineRule="auto" w:line="276"/>
              <w:ind w:firstLineChars="200" w:firstLine="440"/>
              <w:jc w:val="left"/>
              <w:rPr>
                <w:rFonts w:hAnsi="宋体"/>
                <w:sz w:val="22"/>
              </w:rPr>
            </w:pPr>
            <w:r>
              <w:rPr>
                <w:rFonts w:hAnsi="宋体" w:hint="eastAsia"/>
                <w:sz w:val="22"/>
              </w:rPr>
              <w:t>供应商须根据资格性文件规定的承诺函格式（</w:t>
            </w:r>
            <w:r>
              <w:rPr>
                <w:rFonts w:hAnsi="宋体"/>
                <w:sz w:val="22"/>
              </w:rPr>
              <w:t>1-4</w:t>
            </w:r>
            <w:r>
              <w:rPr>
                <w:rFonts w:hAnsi="宋体" w:hint="eastAsia"/>
                <w:sz w:val="22"/>
              </w:rPr>
              <w:t>）提供“未被列入失信被执行人、重大税收违法案件当事人名单、政府采购严重违法失信行为记录名单的承诺函”原件（放入资格投标文件正本中）</w:t>
            </w:r>
          </w:p>
          <w:p>
            <w:pPr>
              <w:snapToGrid w:val="false"/>
              <w:spacing w:lineRule="auto" w:line="276"/>
              <w:jc w:val="left"/>
              <w:rPr>
                <w:rFonts w:hAnsi="Times New Roman" w:ascii="Times New Roman"/>
                <w:sz w:val="22"/>
              </w:rPr>
            </w:pPr>
            <w:r>
              <w:rPr>
                <w:rFonts w:hAnsi="宋体" w:hint="eastAsia"/>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1411"/>
        </w:trPr>
        <w:tc>
          <w:tcPr>
            <w:tcW w:type="dxa" w:w="811"/>
            <w:vAlign w:val="center"/>
          </w:tcPr>
          <w:p>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sz w:val="22"/>
              </w:rPr>
              <w:t>4</w:t>
            </w:r>
          </w:p>
        </w:tc>
        <w:tc>
          <w:tcPr>
            <w:tcW w:type="dxa" w:w="5177"/>
            <w:vAlign w:val="center"/>
          </w:tcPr>
          <w:p>
            <w:pPr>
              <w:snapToGrid w:val="false"/>
              <w:spacing w:lineRule="auto" w:line="276"/>
              <w:rPr>
                <w:rFonts w:hAnsi="Times New Roman" w:ascii="Times New Roman"/>
                <w:sz w:val="22"/>
              </w:rPr>
            </w:pPr>
            <w:r>
              <w:rPr>
                <w:rFonts w:hAnsi="宋体" w:ascii="Times New Roman" w:hint="eastAsia"/>
                <w:sz w:val="22"/>
              </w:rPr>
              <w:t>法定代表人授权书</w:t>
            </w:r>
          </w:p>
        </w:tc>
        <w:tc>
          <w:tcPr>
            <w:tcW w:type="dxa" w:w="3472"/>
            <w:vAlign w:val="center"/>
          </w:tcPr>
          <w:p>
            <w:pPr>
              <w:snapToGrid w:val="false"/>
              <w:spacing w:lineRule="auto" w:line="276"/>
              <w:jc w:val="left"/>
              <w:rPr>
                <w:rFonts w:hAnsi="Times New Roman" w:ascii="Times New Roman"/>
                <w:sz w:val="22"/>
              </w:rPr>
            </w:pPr>
            <w:r>
              <w:rPr>
                <w:rFonts w:hAnsi="宋体" w:ascii="Times New Roman" w:hint="eastAsia"/>
                <w:sz w:val="22"/>
              </w:rPr>
              <w:t>供应商须根据资格性文件规定的格式（</w:t>
            </w:r>
            <w:r>
              <w:rPr>
                <w:rFonts w:hAnsi="Times New Roman" w:ascii="Times New Roman"/>
                <w:sz w:val="22"/>
              </w:rPr>
              <w:t>1-2</w:t>
            </w:r>
            <w:r>
              <w:rPr>
                <w:rFonts w:hAnsi="宋体" w:ascii="Times New Roman" w:hint="eastAsia"/>
                <w:sz w:val="22"/>
              </w:rPr>
              <w:t>）提供原件并放入资格投标文件正本中，法定代表人直接参加的只须提供身份证复印件加盖公章</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710"/>
        </w:trPr>
        <w:tc>
          <w:tcPr>
            <w:tcW w:type="dxa" w:w="811"/>
            <w:vAlign w:val="center"/>
          </w:tcPr>
          <w:p>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sz w:val="22"/>
              </w:rPr>
              <w:t>5</w:t>
            </w:r>
          </w:p>
        </w:tc>
        <w:tc>
          <w:tcPr>
            <w:tcW w:type="dxa" w:w="5177"/>
            <w:vAlign w:val="center"/>
          </w:tcPr>
          <w:p>
            <w:pPr>
              <w:snapToGrid w:val="false"/>
              <w:spacing w:lineRule="auto" w:line="276"/>
              <w:rPr>
                <w:rFonts w:hAnsi="Times New Roman" w:ascii="Times New Roman"/>
                <w:sz w:val="22"/>
              </w:rPr>
            </w:pPr>
            <w:r>
              <w:rPr>
                <w:rFonts w:hAnsi="宋体" w:ascii="Times New Roman" w:hint="eastAsia"/>
                <w:sz w:val="22"/>
              </w:rPr>
              <w:t>法定代表人和被授权人身份证件</w:t>
            </w:r>
          </w:p>
        </w:tc>
        <w:tc>
          <w:tcPr>
            <w:tcW w:type="dxa" w:w="3472"/>
            <w:vAlign w:val="center"/>
          </w:tcPr>
          <w:p>
            <w:pPr>
              <w:snapToGrid w:val="false"/>
              <w:spacing w:lineRule="auto" w:line="276"/>
              <w:jc w:val="left"/>
              <w:rPr>
                <w:rFonts w:hAnsi="Times New Roman" w:ascii="Times New Roman"/>
                <w:sz w:val="22"/>
              </w:rPr>
            </w:pPr>
            <w:r>
              <w:rPr>
                <w:rFonts w:hAnsi="宋体" w:ascii="Times New Roman" w:hint="eastAsia"/>
                <w:sz w:val="22"/>
              </w:rPr>
              <w:t>复印件加盖公章（放入资格投标文件正本中）</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710"/>
        </w:trPr>
        <w:tc>
          <w:tcPr>
            <w:tcW w:type="dxa" w:w="811"/>
            <w:vAlign w:val="center"/>
          </w:tcPr>
          <w:p>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6</w:t>
            </w:r>
          </w:p>
        </w:tc>
        <w:tc>
          <w:tcPr>
            <w:tcW w:type="dxa" w:w="5177"/>
            <w:vAlign w:val="center"/>
          </w:tcPr>
          <w:p>
            <w:pPr>
              <w:snapToGrid w:val="false"/>
              <w:spacing w:lineRule="auto" w:line="276"/>
              <w:rPr>
                <w:rFonts w:hAnsi="宋体" w:ascii="Times New Roman"/>
                <w:sz w:val="22"/>
              </w:rPr>
            </w:pPr>
            <w:r>
              <w:rPr>
                <w:rFonts w:cs="宋体" w:hAnsi="宋体" w:hint="eastAsia"/>
                <w:sz w:val="22"/>
              </w:rPr>
              <w:t>投标人所投产品为进口产品的，须提供进口产品制造厂家对投标产品的授权，或具有授权权限的代理商对投标产品的授权（且需提供该代理商具有有效授权权限的相关证明文件，证明文件需能显示产品制造厂家对投标产品授权链条的完整性）</w:t>
            </w:r>
          </w:p>
        </w:tc>
        <w:tc>
          <w:tcPr>
            <w:tcW w:type="dxa" w:w="3472"/>
            <w:vAlign w:val="center"/>
          </w:tcPr>
          <w:p>
            <w:pPr>
              <w:snapToGrid w:val="false"/>
              <w:spacing w:lineRule="auto" w:line="276"/>
              <w:jc w:val="left"/>
              <w:rPr>
                <w:rFonts w:hAnsi="宋体" w:ascii="Times New Roman"/>
                <w:sz w:val="22"/>
              </w:rPr>
            </w:pPr>
            <w:r>
              <w:rPr>
                <w:rFonts w:hAnsi="宋体" w:ascii="Times New Roman" w:hint="eastAsia"/>
                <w:sz w:val="22"/>
              </w:rPr>
              <w:t>有效的证书复印件加盖公章（放入资格投标文件正本中）</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710"/>
        </w:trPr>
        <w:tc>
          <w:tcPr>
            <w:tcW w:type="dxa" w:w="811"/>
            <w:vAlign w:val="center"/>
          </w:tcPr>
          <w:p>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7</w:t>
            </w:r>
          </w:p>
        </w:tc>
        <w:tc>
          <w:tcPr>
            <w:tcW w:type="dxa" w:w="5177"/>
            <w:vAlign w:val="center"/>
          </w:tcPr>
          <w:p>
            <w:pPr>
              <w:pStyle w:val="27"/>
              <w:spacing w:lineRule="exact" w:line="360"/>
              <w:ind w:firstLineChars="0" w:firstLine="0"/>
              <w:rPr>
                <w:rFonts w:hAnsi="Times New Roman" w:ascii="Times New Roman"/>
                <w:sz w:val="22"/>
                <w:szCs w:val="22"/>
                <w:lang w:eastAsia="ko-KR"/>
              </w:rPr>
            </w:pPr>
            <w:r>
              <w:rPr>
                <w:rFonts w:hAnsi="Times New Roman" w:ascii="Times New Roman" w:hint="eastAsia"/>
                <w:sz w:val="22"/>
                <w:szCs w:val="22"/>
                <w:lang w:eastAsia="ko-KR"/>
              </w:rPr>
              <w:t>所投产品应符合国家强制性标准，所投产品为医疗器械的须符合《医疗器械注册管理办法》要求并提供中华人民共和国医疗器械注册证；（按国家食品药品监督管理总局最新相关规定执行）；</w:t>
            </w:r>
          </w:p>
          <w:p>
            <w:pPr>
              <w:snapToGrid w:val="false"/>
              <w:spacing w:lineRule="auto" w:line="276"/>
              <w:rPr>
                <w:rFonts w:hAnsi="Times New Roman" w:ascii="Times New Roman"/>
                <w:sz w:val="22"/>
              </w:rPr>
            </w:pPr>
          </w:p>
        </w:tc>
        <w:tc>
          <w:tcPr>
            <w:tcW w:type="dxa" w:w="3472"/>
            <w:vAlign w:val="center"/>
          </w:tcPr>
          <w:p>
            <w:pPr>
              <w:snapToGrid w:val="false"/>
              <w:spacing w:lineRule="auto" w:line="276"/>
              <w:jc w:val="left"/>
              <w:rPr>
                <w:rFonts w:hAnsi="Times New Roman" w:ascii="Times New Roman"/>
                <w:sz w:val="22"/>
              </w:rPr>
            </w:pPr>
            <w:r>
              <w:rPr>
                <w:rFonts w:hAnsi="宋体" w:ascii="Times New Roman" w:hint="eastAsia"/>
                <w:sz w:val="22"/>
              </w:rPr>
              <w:t>有效的证书复印件加盖公章（放入资格投标文件正本中）</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trHeight w:hRule="atLeast" w:val="710"/>
        </w:trPr>
        <w:tc>
          <w:tcPr>
            <w:tcW w:type="dxa" w:w="811"/>
            <w:vAlign w:val="center"/>
          </w:tcPr>
          <w:p>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8</w:t>
            </w:r>
          </w:p>
        </w:tc>
        <w:tc>
          <w:tcPr>
            <w:tcW w:type="dxa" w:w="5177"/>
            <w:vAlign w:val="center"/>
          </w:tcPr>
          <w:p>
            <w:pPr>
              <w:pStyle w:val="27"/>
              <w:spacing w:lineRule="exact" w:line="360"/>
              <w:ind w:firstLineChars="0" w:firstLine="0"/>
              <w:rPr>
                <w:rFonts w:hAnsi="Times New Roman" w:ascii="Times New Roman"/>
                <w:sz w:val="22"/>
              </w:rPr>
            </w:pPr>
            <w:r>
              <w:rPr>
                <w:rFonts w:hAnsi="Times New Roman" w:ascii="Times New Roman" w:hint="eastAsia"/>
                <w:sz w:val="22"/>
                <w:szCs w:val="22"/>
                <w:lang w:eastAsia="ko-KR"/>
              </w:rPr>
              <w:t>供应商须符合《医疗器械监督管理条例》要求，供应商为代理商的应提供《医疗器械经营许可证》或《医疗器械经营备案凭证》；供应商为制造厂商的应提供《医疗器械生产许可证》或《医疗器械生产备案凭证》；</w:t>
            </w:r>
          </w:p>
        </w:tc>
        <w:tc>
          <w:tcPr>
            <w:tcW w:type="dxa" w:w="3472"/>
            <w:vAlign w:val="center"/>
          </w:tcPr>
          <w:p>
            <w:pPr>
              <w:snapToGrid w:val="false"/>
              <w:spacing w:lineRule="auto" w:line="276"/>
              <w:jc w:val="left"/>
              <w:rPr>
                <w:rFonts w:hAnsi="宋体" w:ascii="Times New Roman"/>
                <w:sz w:val="22"/>
              </w:rPr>
            </w:pPr>
            <w:r>
              <w:rPr>
                <w:rFonts w:hAnsi="宋体" w:ascii="Times New Roman" w:hint="eastAsia"/>
                <w:sz w:val="22"/>
              </w:rPr>
              <w:t>有效的证书复印件加盖公章（放入资格投标文件正本中）</w:t>
            </w:r>
          </w:p>
        </w:tc>
      </w:tr>
      <w:tr>
        <w:tblPrEx>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PrEx>
        <w:trPr>
          <w:cantSplit/>
          <w:trHeight w:hRule="atLeast" w:val="3428"/>
        </w:trPr>
        <w:tc>
          <w:tcPr>
            <w:tcW w:type="dxa" w:w="9460"/>
            <w:gridSpan w:val="3"/>
            <w:tcBorders>
              <w:bottom w:space="0" w:sz="18" w:color="auto" w:val="single"/>
            </w:tcBorders>
            <w:vAlign w:val="center"/>
          </w:tcPr>
          <w:p>
            <w:pPr>
              <w:spacing w:lineRule="auto" w:line="276"/>
              <w:rPr>
                <w:rFonts w:eastAsiaTheme="minorEastAsia" w:hAnsiTheme="minorEastAsia" w:asciiTheme="minorEastAsia"/>
                <w:b/>
                <w:sz w:val="24"/>
                <w:szCs w:val="24"/>
              </w:rPr>
            </w:pPr>
            <w:r>
              <w:rPr>
                <w:rFonts w:eastAsiaTheme="minorEastAsia" w:hAnsiTheme="minorEastAsia" w:asciiTheme="minorEastAsia" w:hint="eastAsia"/>
                <w:b/>
                <w:sz w:val="24"/>
                <w:szCs w:val="24"/>
              </w:rPr>
              <w:t>注：1</w:t>
            </w:r>
            <w:r>
              <w:rPr>
                <w:rFonts w:eastAsiaTheme="minorEastAsia" w:hAnsiTheme="minorEastAsia" w:asciiTheme="minorEastAsia" w:hint="eastAsia"/>
                <w:b/>
                <w:sz w:val="24"/>
              </w:rPr>
              <w:t>、</w:t>
            </w:r>
            <w:r>
              <w:rPr>
                <w:rFonts w:eastAsiaTheme="minorEastAsia" w:hAnsiTheme="minorEastAsia" w:asciiTheme="minorEastAsia" w:hint="eastAsia"/>
                <w:b/>
                <w:sz w:val="24"/>
                <w:szCs w:val="24"/>
              </w:rPr>
              <w:t>请投标供应商认真核对投标文件中是否按上述要求提供资格证明材料，未按上述要求提供的，自行承担无法通过资格审核的风险</w:t>
            </w:r>
            <w:r>
              <w:rPr>
                <w:rFonts w:eastAsiaTheme="minorEastAsia" w:hAnsiTheme="minorEastAsia" w:asciiTheme="minorEastAsia" w:hint="eastAsia"/>
                <w:b/>
                <w:sz w:val="24"/>
              </w:rPr>
              <w:t>。</w:t>
            </w:r>
          </w:p>
          <w:p>
            <w:pPr>
              <w:spacing w:lineRule="auto" w:line="276"/>
              <w:ind w:firstLineChars="200" w:firstLine="480"/>
              <w:rPr>
                <w:rFonts w:eastAsiaTheme="minorEastAsia" w:hAnsiTheme="minorEastAsia" w:asciiTheme="minorEastAsia"/>
                <w:b/>
                <w:sz w:val="24"/>
              </w:rPr>
            </w:pPr>
            <w:r>
              <w:rPr>
                <w:rFonts w:eastAsiaTheme="minorEastAsia" w:hAnsiTheme="minorEastAsia" w:asciiTheme="minorEastAsia" w:hint="eastAsia"/>
                <w:b/>
                <w:sz w:val="24"/>
              </w:rPr>
              <w:t>2、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2"/>
              <w:ind w:firstLineChars="200" w:firstLine="480"/>
              <w:rPr>
                <w:rFonts w:eastAsiaTheme="minorEastAsia" w:hAnsiTheme="minorEastAsia" w:asciiTheme="minorEastAsia"/>
                <w:b/>
                <w:sz w:val="24"/>
              </w:rPr>
            </w:pPr>
            <w:r>
              <w:rPr>
                <w:rFonts w:eastAsiaTheme="minorEastAsia" w:hAnsiTheme="minorEastAsia" w:asciiTheme="minorEastAsia" w:hint="eastAsia"/>
                <w:b/>
                <w:sz w:val="24"/>
              </w:rPr>
              <w:t>3</w:t>
            </w:r>
            <w:r>
              <w:rPr>
                <w:rFonts w:eastAsiaTheme="minorEastAsia" w:hAnsiTheme="minorEastAsia" w:asciiTheme="minorEastAsia" w:hint="eastAsia"/>
                <w:b/>
                <w:sz w:val="24"/>
                <w:lang w:eastAsia="zh-CN"/>
              </w:rPr>
              <w:t>、</w:t>
            </w:r>
            <w:r>
              <w:rPr>
                <w:rFonts w:hAnsi="宋体" w:hint="eastAsia"/>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Rule="auto" w:line="360"/>
              <w:ind w:firstLineChars="200" w:firstLine="480"/>
              <w:rPr>
                <w:rFonts w:eastAsiaTheme="minorEastAsia" w:hAnsiTheme="minorEastAsia" w:asciiTheme="minorEastAsia"/>
                <w:b/>
                <w:sz w:val="24"/>
                <w:szCs w:val="24"/>
              </w:rPr>
            </w:pPr>
            <w:r>
              <w:rPr>
                <w:rFonts w:eastAsiaTheme="minorEastAsia" w:hAnsiTheme="minorEastAsia" w:asciiTheme="minorEastAsia" w:hint="eastAsia"/>
                <w:b/>
                <w:bCs/>
                <w:sz w:val="24"/>
              </w:rPr>
              <w:t>4、以上要求的资料复印件均须加盖投标单位的公章（鲜章）。</w:t>
            </w:r>
          </w:p>
          <w:p>
            <w:pPr>
              <w:snapToGrid w:val="false"/>
              <w:spacing w:lineRule="auto" w:line="276"/>
              <w:ind w:firstLineChars="200" w:firstLine="480"/>
              <w:rPr>
                <w:rFonts w:hAnsi="Times New Roman" w:ascii="Times New Roman"/>
                <w:b/>
                <w:sz w:val="22"/>
              </w:rPr>
            </w:pPr>
            <w:r>
              <w:rPr>
                <w:rFonts w:eastAsiaTheme="minorEastAsia" w:hAnsiTheme="minorEastAsia" w:asciiTheme="minorEastAsia" w:hint="eastAsia"/>
                <w:b/>
                <w:bCs/>
                <w:sz w:val="24"/>
                <w:szCs w:val="24"/>
              </w:rPr>
              <w:t>5、本项目不接受联合体投标。</w:t>
            </w:r>
          </w:p>
        </w:tc>
      </w:tr>
    </w:tbl>
    <w:p>
      <w:pPr>
        <w:pStyle w:val="3"/>
        <w:jc w:val="center"/>
        <w:rPr>
          <w:rFonts w:hAnsi="Times New Roman" w:ascii="Times New Roman"/>
          <w:sz w:val="40"/>
          <w:szCs w:val="21"/>
        </w:rPr>
      </w:pPr>
      <w:bookmarkStart w:name="_Toc22296" w:id="195"/>
      <w:bookmarkStart w:name="_Toc536" w:id="196"/>
      <w:bookmarkStart w:name="_Toc32593" w:id="197"/>
      <w:bookmarkStart w:name="_Toc3745" w:id="198"/>
      <w:r>
        <w:rPr>
          <w:rFonts w:hAnsi="Times New Roman" w:ascii="Times New Roman"/>
          <w:sz w:val="40"/>
          <w:szCs w:val="21"/>
        </w:rPr>
        <w:br w:type="page"/>
      </w:r>
      <w:r>
        <w:rPr>
          <w:rFonts w:hAnsi="Times New Roman" w:ascii="Times New Roman" w:hint="eastAsia"/>
          <w:sz w:val="40"/>
          <w:szCs w:val="21"/>
        </w:rPr>
        <w:t>第五章</w:t>
      </w:r>
      <w:bookmarkStart w:name="_Toc217446093" w:id="199"/>
      <w:r>
        <w:rPr>
          <w:rFonts w:hAnsi="Times New Roman" w:ascii="Times New Roman" w:hint="eastAsia"/>
          <w:sz w:val="40"/>
          <w:szCs w:val="21"/>
        </w:rPr>
        <w:t>招标项目要求</w:t>
      </w:r>
      <w:bookmarkEnd w:id="195"/>
      <w:bookmarkEnd w:id="196"/>
      <w:bookmarkEnd w:id="197"/>
      <w:bookmarkEnd w:id="198"/>
      <w:bookmarkEnd w:id="199"/>
      <w:bookmarkStart w:name="_Toc217446094" w:id="200"/>
    </w:p>
    <w:p>
      <w:pPr>
        <w:pStyle w:val="2"/>
        <w:numPr>
          <w:ilvl w:val="0"/>
          <w:numId w:val="6"/>
        </w:numPr>
        <w:spacing w:lineRule="exact" w:line="440"/>
        <w:rPr>
          <w:rFonts w:hAnsi="Times New Roman" w:ascii="Times New Roman"/>
          <w:b/>
          <w:sz w:val="22"/>
          <w:szCs w:val="22"/>
        </w:rPr>
      </w:pPr>
      <w:r>
        <w:rPr>
          <w:rFonts w:hAnsi="宋体" w:ascii="Times New Roman" w:hint="eastAsia"/>
          <w:b/>
          <w:sz w:val="22"/>
          <w:szCs w:val="22"/>
        </w:rPr>
        <w:t>项目概述：</w:t>
      </w:r>
      <w:bookmarkEnd w:id="200"/>
    </w:p>
    <w:p>
      <w:pPr>
        <w:pStyle w:val="27"/>
        <w:spacing w:lineRule="exact" w:line="360"/>
        <w:ind w:firstLineChars="0" w:firstLine="0"/>
        <w:rPr>
          <w:rFonts w:hint="eastAsia"/>
          <w:sz w:val="22"/>
          <w:szCs w:val="22"/>
        </w:rPr>
      </w:pPr>
      <w:r>
        <w:rPr>
          <w:rFonts w:hint="eastAsia"/>
          <w:sz w:val="22"/>
          <w:szCs w:val="22"/>
        </w:rPr>
        <w:t>本项目共1个包，采购医疗设备一批（具体详见招标文件）；</w:t>
      </w:r>
    </w:p>
    <w:tbl>
      <w:tblPr>
        <w:tblStyle w:val="16"/>
        <w:tblW w:type="pct" w:w="4996"/>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autofit"/>
        <w:tblCellMar>
          <w:top w:type="dxa" w:w="0"/>
          <w:left w:type="dxa" w:w="108"/>
          <w:bottom w:type="dxa" w:w="0"/>
          <w:right w:type="dxa" w:w="108"/>
        </w:tblCellMar>
      </w:tblPr>
      <w:tblGrid>
        <w:gridCol w:w="696"/>
        <w:gridCol w:w="2022"/>
        <w:gridCol w:w="876"/>
        <w:gridCol w:w="1210"/>
        <w:gridCol w:w="3711"/>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500"/>
        </w:trPr>
        <w:tc>
          <w:tcPr>
            <w:tcW w:type="pct" w:w="418"/>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序号</w:t>
            </w:r>
          </w:p>
        </w:tc>
        <w:tc>
          <w:tcPr>
            <w:tcW w:type="pct" w:w="1196"/>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货物名称</w:t>
            </w:r>
          </w:p>
        </w:tc>
        <w:tc>
          <w:tcPr>
            <w:tcW w:type="pct" w:w="477"/>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数量（台）</w:t>
            </w:r>
          </w:p>
        </w:tc>
        <w:tc>
          <w:tcPr>
            <w:tcW w:type="pct" w:w="719"/>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hAnsi="Times New Roman" w:ascii="Times New Roman" w:hint="eastAsia"/>
                <w:sz w:val="22"/>
                <w:szCs w:val="22"/>
                <w:lang w:eastAsia="zh-CN" w:val="en-US"/>
              </w:rPr>
              <w:t>预算（万元）</w:t>
            </w:r>
          </w:p>
        </w:tc>
        <w:tc>
          <w:tcPr>
            <w:tcW w:type="pct" w:w="2186"/>
          </w:tcPr>
          <w:p>
            <w:pPr>
              <w:pStyle w:val="27"/>
              <w:spacing w:lineRule="exact" w:line="360"/>
              <w:ind w:firstLineChars="0" w:firstLine="0"/>
              <w:jc w:val="center"/>
              <w:rPr>
                <w:rFonts w:cs="Times New Roman" w:eastAsia="宋体" w:hAnsi="Times New Roman" w:ascii="Times New Roman" w:hint="eastAsia"/>
                <w:sz w:val="22"/>
                <w:szCs w:val="22"/>
                <w:lang w:eastAsia="zh-CN"/>
              </w:rPr>
            </w:pPr>
            <w:r>
              <w:rPr>
                <w:rFonts w:cs="Times New Roman" w:eastAsia="宋体" w:hAnsi="Times New Roman" w:ascii="Times New Roman" w:hint="eastAsia"/>
                <w:sz w:val="22"/>
                <w:szCs w:val="22"/>
                <w:lang w:eastAsia="zh-CN" w:val="en-US"/>
              </w:rPr>
              <w:t>备注</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405"/>
        </w:trPr>
        <w:tc>
          <w:tcPr>
            <w:tcW w:type="pct" w:w="418"/>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119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全自动凝血分析仪</w:t>
            </w:r>
          </w:p>
        </w:tc>
        <w:tc>
          <w:tcPr>
            <w:tcW w:type="pct" w:w="477"/>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719"/>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60</w:t>
            </w:r>
          </w:p>
        </w:tc>
        <w:tc>
          <w:tcPr>
            <w:tcW w:type="pct" w:w="218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已做进口论证，允许采购进口产品</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160"/>
        </w:trPr>
        <w:tc>
          <w:tcPr>
            <w:tcW w:type="pct" w:w="418"/>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2</w:t>
            </w:r>
          </w:p>
        </w:tc>
        <w:tc>
          <w:tcPr>
            <w:tcW w:type="pct" w:w="119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全自动特定蛋白分析仪</w:t>
            </w:r>
          </w:p>
        </w:tc>
        <w:tc>
          <w:tcPr>
            <w:tcW w:type="pct" w:w="477"/>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719"/>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65</w:t>
            </w:r>
          </w:p>
        </w:tc>
        <w:tc>
          <w:tcPr>
            <w:tcW w:type="pct" w:w="218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已做进口论证，允许采购进口产品</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18"/>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3</w:t>
            </w:r>
          </w:p>
        </w:tc>
        <w:tc>
          <w:tcPr>
            <w:tcW w:type="pct" w:w="119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全自动粪便处理系统</w:t>
            </w:r>
          </w:p>
        </w:tc>
        <w:tc>
          <w:tcPr>
            <w:tcW w:type="pct" w:w="477"/>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rPr>
            </w:pPr>
            <w:r>
              <w:rPr>
                <w:rFonts w:cs="Times New Roman" w:eastAsia="宋体" w:hAnsi="Times New Roman" w:ascii="Times New Roman" w:hint="eastAsia"/>
                <w:sz w:val="22"/>
                <w:szCs w:val="22"/>
                <w:lang w:eastAsia="zh-CN" w:val="en-US"/>
              </w:rPr>
              <w:t>1</w:t>
            </w:r>
          </w:p>
        </w:tc>
        <w:tc>
          <w:tcPr>
            <w:tcW w:type="pct" w:w="719"/>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12</w:t>
            </w:r>
          </w:p>
        </w:tc>
        <w:tc>
          <w:tcPr>
            <w:tcW w:type="pct" w:w="2186"/>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18"/>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4</w:t>
            </w:r>
          </w:p>
        </w:tc>
        <w:tc>
          <w:tcPr>
            <w:tcW w:type="pct" w:w="119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全自动尿液分析仪一体机</w:t>
            </w:r>
          </w:p>
        </w:tc>
        <w:tc>
          <w:tcPr>
            <w:tcW w:type="pct" w:w="477"/>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rPr>
              <w:t>1</w:t>
            </w:r>
          </w:p>
        </w:tc>
        <w:tc>
          <w:tcPr>
            <w:tcW w:type="pct" w:w="719"/>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10</w:t>
            </w:r>
          </w:p>
        </w:tc>
        <w:tc>
          <w:tcPr>
            <w:tcW w:type="pct" w:w="2186"/>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18"/>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5</w:t>
            </w:r>
          </w:p>
        </w:tc>
        <w:tc>
          <w:tcPr>
            <w:tcW w:type="pct" w:w="119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新冠病毒核酸快速检测系统</w:t>
            </w:r>
          </w:p>
        </w:tc>
        <w:tc>
          <w:tcPr>
            <w:tcW w:type="pct" w:w="477"/>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2</w:t>
            </w:r>
          </w:p>
        </w:tc>
        <w:tc>
          <w:tcPr>
            <w:tcW w:type="pct" w:w="719"/>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40</w:t>
            </w:r>
          </w:p>
        </w:tc>
        <w:tc>
          <w:tcPr>
            <w:tcW w:type="pct" w:w="2186"/>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354"/>
        </w:trPr>
        <w:tc>
          <w:tcPr>
            <w:tcW w:type="pct" w:w="418"/>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6</w:t>
            </w:r>
          </w:p>
        </w:tc>
        <w:tc>
          <w:tcPr>
            <w:tcW w:type="pct" w:w="1196"/>
            <w:vAlign w:val="center"/>
          </w:tcPr>
          <w:p>
            <w:pPr>
              <w:pStyle w:val="27"/>
              <w:spacing w:lineRule="exact" w:line="360"/>
              <w:ind w:firstLineChars="0" w:firstLine="0"/>
              <w:jc w:val="center"/>
              <w:rPr>
                <w:rFonts w:cs="Times New Roman" w:eastAsia="宋体" w:hAnsi="Times New Roman" w:ascii="Times New Roman" w:hint="eastAsia"/>
                <w:sz w:val="22"/>
                <w:szCs w:val="22"/>
              </w:rPr>
            </w:pPr>
            <w:r>
              <w:rPr>
                <w:rFonts w:cs="Times New Roman" w:eastAsia="宋体" w:hAnsi="Times New Roman" w:ascii="Times New Roman" w:hint="eastAsia"/>
                <w:sz w:val="22"/>
                <w:szCs w:val="22"/>
                <w:lang w:eastAsia="zh-CN"/>
              </w:rPr>
              <w:t>全自动血液免疫分析仪</w:t>
            </w:r>
          </w:p>
        </w:tc>
        <w:tc>
          <w:tcPr>
            <w:tcW w:type="pct" w:w="477"/>
            <w:vAlign w:val="center"/>
          </w:tcPr>
          <w:p>
            <w:pPr>
              <w:pStyle w:val="27"/>
              <w:spacing w:lineRule="exact" w:line="360"/>
              <w:ind w:firstLineChars="0" w:firstLine="0"/>
              <w:jc w:val="center"/>
              <w:rPr>
                <w:rFonts w:cs="Times New Roman" w:eastAsia="宋体" w:hAnsi="Times New Roman" w:ascii="Times New Roman" w:hint="eastAsia"/>
                <w:sz w:val="22"/>
                <w:szCs w:val="22"/>
                <w:lang w:eastAsia="zh-CN" w:val="en-US"/>
              </w:rPr>
            </w:pPr>
            <w:r>
              <w:rPr>
                <w:rFonts w:cs="Times New Roman" w:eastAsia="宋体" w:hAnsi="Times New Roman" w:ascii="Times New Roman" w:hint="eastAsia"/>
                <w:sz w:val="22"/>
                <w:szCs w:val="22"/>
                <w:lang w:eastAsia="zh-CN" w:val="en-US"/>
              </w:rPr>
              <w:t>1</w:t>
            </w:r>
          </w:p>
        </w:tc>
        <w:tc>
          <w:tcPr>
            <w:tcW w:type="pct" w:w="719"/>
            <w:vAlign w:val="center"/>
          </w:tcPr>
          <w:p>
            <w:pPr>
              <w:pStyle w:val="27"/>
              <w:spacing w:lineRule="exact" w:line="360"/>
              <w:ind w:firstLineChars="0" w:firstLine="0"/>
              <w:jc w:val="center"/>
              <w:rPr>
                <w:rFonts w:cs="Times New Roman" w:eastAsia="宋体" w:hAnsi="Times New Roman" w:ascii="Times New Roman" w:hint="default"/>
                <w:sz w:val="22"/>
                <w:szCs w:val="22"/>
                <w:lang w:eastAsia="zh-CN" w:val="en-US"/>
              </w:rPr>
            </w:pPr>
            <w:r>
              <w:rPr>
                <w:rFonts w:cs="Times New Roman" w:hAnsi="Times New Roman" w:ascii="Times New Roman" w:hint="eastAsia"/>
                <w:sz w:val="22"/>
                <w:szCs w:val="22"/>
                <w:lang w:eastAsia="zh-CN" w:val="en-US"/>
              </w:rPr>
              <w:t>9.8</w:t>
            </w:r>
          </w:p>
        </w:tc>
        <w:tc>
          <w:tcPr>
            <w:tcW w:type="pct" w:w="2186"/>
            <w:vAlign w:val="center"/>
          </w:tcPr>
          <w:p>
            <w:pPr>
              <w:pStyle w:val="27"/>
              <w:spacing w:lineRule="exact" w:line="360"/>
              <w:ind w:firstLineChars="0" w:firstLine="0"/>
              <w:jc w:val="center"/>
              <w:rPr>
                <w:rFonts w:cs="Times New Roman" w:eastAsia="宋体" w:hAnsi="Times New Roman" w:ascii="Times New Roman" w:hint="eastAsia"/>
                <w:sz w:val="22"/>
                <w:szCs w:val="22"/>
              </w:rPr>
            </w:pPr>
          </w:p>
        </w:tc>
      </w:tr>
    </w:tbl>
    <w:p>
      <w:pPr>
        <w:pStyle w:val="27"/>
        <w:spacing w:lineRule="exact" w:line="360"/>
        <w:ind w:firstLineChars="0" w:firstLine="0"/>
        <w:rPr>
          <w:rFonts w:hint="eastAsia"/>
          <w:sz w:val="22"/>
          <w:szCs w:val="22"/>
        </w:rPr>
      </w:pPr>
    </w:p>
    <w:p>
      <w:pPr>
        <w:pStyle w:val="27"/>
        <w:spacing w:lineRule="exact" w:line="360"/>
        <w:ind w:firstLineChars="0" w:firstLine="0" w:leftChars="0" w:left="0"/>
        <w:jc w:val="left"/>
        <w:rPr>
          <w:rFonts w:eastAsia="宋体" w:hint="eastAsia"/>
          <w:sz w:val="22"/>
          <w:szCs w:val="22"/>
          <w:lang w:eastAsia="zh-CN"/>
        </w:rPr>
      </w:pPr>
      <w:r>
        <w:rPr>
          <w:rFonts w:hint="eastAsia"/>
          <w:sz w:val="22"/>
          <w:szCs w:val="22"/>
        </w:rPr>
        <w:t>项目用途：自用</w:t>
      </w:r>
      <w:r>
        <w:rPr>
          <w:rFonts w:hint="eastAsia"/>
          <w:sz w:val="22"/>
          <w:szCs w:val="22"/>
          <w:lang w:eastAsia="zh-CN"/>
        </w:rPr>
        <w:t>；</w:t>
      </w:r>
      <w:r>
        <w:rPr>
          <w:rFonts w:hint="eastAsia"/>
          <w:sz w:val="22"/>
          <w:szCs w:val="22"/>
        </w:rPr>
        <w:t>资金性质：</w:t>
      </w:r>
      <w:r>
        <w:rPr>
          <w:rFonts w:hint="eastAsia"/>
          <w:sz w:val="22"/>
          <w:szCs w:val="22"/>
          <w:lang w:eastAsia="zh-CN" w:val="en-US"/>
        </w:rPr>
        <w:t>财政</w:t>
      </w:r>
      <w:r>
        <w:rPr>
          <w:rFonts w:hint="eastAsia"/>
          <w:sz w:val="22"/>
          <w:szCs w:val="22"/>
        </w:rPr>
        <w:t>资金</w:t>
      </w:r>
      <w:r>
        <w:rPr>
          <w:rFonts w:hint="eastAsia"/>
          <w:sz w:val="22"/>
          <w:szCs w:val="22"/>
          <w:lang w:eastAsia="zh-CN"/>
        </w:rPr>
        <w:t>；</w:t>
      </w:r>
    </w:p>
    <w:p>
      <w:pPr>
        <w:pStyle w:val="6"/>
        <w:spacing w:lineRule="exact" w:line="400"/>
        <w:ind w:firstLineChars="100" w:firstLine="220"/>
        <w:rPr>
          <w:rFonts w:hAnsi="Times New Roman" w:ascii="Times New Roman" w:hint="eastAsia"/>
          <w:sz w:val="22"/>
          <w:szCs w:val="22"/>
        </w:rPr>
      </w:pPr>
      <w:r>
        <w:rPr>
          <w:rFonts w:hAnsi="Times New Roman" w:ascii="Times New Roman" w:hint="eastAsia"/>
          <w:sz w:val="22"/>
          <w:szCs w:val="22"/>
        </w:rPr>
        <w:t>采购预算：</w:t>
      </w:r>
      <w:r>
        <w:rPr>
          <w:rFonts w:hAnsi="Times New Roman" w:ascii="Times New Roman" w:hint="eastAsia"/>
          <w:sz w:val="22"/>
          <w:szCs w:val="22"/>
          <w:lang w:eastAsia="zh-CN" w:val="en-US"/>
        </w:rPr>
        <w:t>196.8</w:t>
      </w:r>
      <w:r>
        <w:rPr>
          <w:rFonts w:hAnsi="Times New Roman" w:ascii="Times New Roman" w:hint="eastAsia"/>
          <w:sz w:val="22"/>
          <w:szCs w:val="22"/>
        </w:rPr>
        <w:t>万元；最高限价：</w:t>
      </w:r>
      <w:r>
        <w:rPr>
          <w:rFonts w:hAnsi="Times New Roman" w:ascii="Times New Roman" w:hint="eastAsia"/>
          <w:sz w:val="22"/>
          <w:szCs w:val="22"/>
          <w:lang w:eastAsia="zh-CN" w:val="en-US"/>
        </w:rPr>
        <w:t>195</w:t>
      </w:r>
      <w:r>
        <w:rPr>
          <w:rFonts w:hAnsi="Times New Roman" w:ascii="Times New Roman" w:hint="eastAsia"/>
          <w:sz w:val="22"/>
          <w:szCs w:val="22"/>
        </w:rPr>
        <w:t>万元</w:t>
      </w:r>
    </w:p>
    <w:p>
      <w:pPr>
        <w:pStyle w:val="6"/>
        <w:spacing w:lineRule="exact" w:line="400"/>
        <w:ind w:firstLineChars="100" w:firstLine="220"/>
        <w:rPr>
          <w:sz w:val="22"/>
        </w:rPr>
      </w:pPr>
      <w:r>
        <w:rPr>
          <w:rFonts w:hint="eastAsia"/>
          <w:sz w:val="22"/>
        </w:rPr>
        <w:t>标的名称及所属行业：</w:t>
      </w:r>
    </w:p>
    <w:tbl>
      <w:tblPr>
        <w:tblStyle w:val="15"/>
        <w:tblW w:type="pct" w:w="4977"/>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autofit"/>
        <w:tblCellMar>
          <w:top w:type="dxa" w:w="0"/>
          <w:left w:type="dxa" w:w="0"/>
          <w:bottom w:type="dxa" w:w="0"/>
          <w:right w:type="dxa" w:w="0"/>
        </w:tblCellMar>
      </w:tblPr>
      <w:tblGrid>
        <w:gridCol w:w="1335"/>
        <w:gridCol w:w="3216"/>
        <w:gridCol w:w="3747"/>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8"/>
        </w:trPr>
        <w:tc>
          <w:tcPr>
            <w:tcW w:type="dxa" w:w="1335"/>
            <w:shd w:fill="auto" w:color="auto" w:val="clear"/>
            <w:tcMar>
              <w:top w:type="dxa" w:w="15"/>
              <w:left w:type="dxa" w:w="15"/>
              <w:right w:type="dxa" w:w="15"/>
            </w:tcMar>
            <w:vAlign w:val="center"/>
          </w:tcPr>
          <w:p>
            <w:pPr>
              <w:adjustRightInd w:val="false"/>
              <w:spacing w:lineRule="atLeast" w:line="360"/>
              <w:jc w:val="center"/>
              <w:textAlignment w:val="center"/>
              <w:rPr>
                <w:rFonts w:cs="宋体" w:hAnsi="宋体"/>
                <w:b/>
                <w:color w:val="000000"/>
                <w:szCs w:val="21"/>
              </w:rPr>
            </w:pPr>
            <w:r>
              <w:rPr>
                <w:rFonts w:cs="宋体" w:hAnsi="宋体" w:hint="eastAsia"/>
                <w:b/>
                <w:color w:val="000000"/>
                <w:sz w:val="22"/>
              </w:rPr>
              <w:t>品目号</w:t>
            </w:r>
          </w:p>
        </w:tc>
        <w:tc>
          <w:tcPr>
            <w:tcW w:type="dxa" w:w="3216"/>
            <w:shd w:fill="auto" w:color="auto" w:val="clear"/>
            <w:tcMar>
              <w:top w:type="dxa" w:w="15"/>
              <w:left w:type="dxa" w:w="15"/>
              <w:right w:type="dxa" w:w="15"/>
            </w:tcMar>
            <w:vAlign w:val="center"/>
          </w:tcPr>
          <w:p>
            <w:pPr>
              <w:adjustRightInd w:val="false"/>
              <w:spacing w:lineRule="atLeast" w:line="360"/>
              <w:jc w:val="center"/>
              <w:textAlignment w:val="center"/>
              <w:rPr>
                <w:rFonts w:cs="宋体" w:hAnsi="宋体"/>
                <w:b/>
                <w:color w:val="000000"/>
                <w:szCs w:val="21"/>
              </w:rPr>
            </w:pPr>
            <w:r>
              <w:rPr>
                <w:rFonts w:cs="宋体" w:hAnsi="宋体" w:hint="eastAsia"/>
                <w:b/>
                <w:color w:val="000000"/>
                <w:sz w:val="22"/>
              </w:rPr>
              <w:t>标的名称</w:t>
            </w:r>
          </w:p>
        </w:tc>
        <w:tc>
          <w:tcPr>
            <w:tcW w:type="dxa" w:w="3747"/>
            <w:shd w:fill="auto" w:color="auto" w:val="clear"/>
            <w:tcMar>
              <w:top w:type="dxa" w:w="15"/>
              <w:left w:type="dxa" w:w="15"/>
              <w:right w:type="dxa" w:w="15"/>
            </w:tcMar>
            <w:vAlign w:val="center"/>
          </w:tcPr>
          <w:p>
            <w:pPr>
              <w:adjustRightInd w:val="false"/>
              <w:spacing w:lineRule="atLeast" w:line="360"/>
              <w:jc w:val="center"/>
              <w:textAlignment w:val="center"/>
              <w:rPr>
                <w:rFonts w:cs="宋体" w:hAnsi="宋体"/>
                <w:b/>
                <w:color w:val="000000"/>
                <w:szCs w:val="21"/>
              </w:rPr>
            </w:pPr>
            <w:r>
              <w:rPr>
                <w:rFonts w:cs="宋体" w:hAnsi="宋体" w:hint="eastAsia"/>
                <w:b/>
                <w:color w:val="000000"/>
                <w:sz w:val="22"/>
              </w:rPr>
              <w:t>所属行业</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429"/>
        </w:trPr>
        <w:tc>
          <w:tcPr>
            <w:tcW w:type="dxa" w:w="1335"/>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hint="eastAsia"/>
                <w:sz w:val="22"/>
                <w:szCs w:val="22"/>
              </w:rPr>
              <w:t>01</w:t>
            </w:r>
          </w:p>
        </w:tc>
        <w:tc>
          <w:tcPr>
            <w:tcW w:type="dxa" w:w="3216"/>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cs="Times New Roman" w:eastAsia="宋体" w:hAnsi="Times New Roman" w:ascii="Times New Roman" w:hint="eastAsia"/>
                <w:sz w:val="22"/>
                <w:szCs w:val="22"/>
                <w:lang w:eastAsia="zh-CN"/>
              </w:rPr>
              <w:t>全自动凝血分析仪</w:t>
            </w:r>
          </w:p>
        </w:tc>
        <w:tc>
          <w:tcPr>
            <w:tcW w:type="dxa" w:w="3747"/>
            <w:shd w:fill="auto" w:color="auto" w:val="clear"/>
            <w:tcMar>
              <w:top w:type="dxa" w:w="15"/>
              <w:left w:type="dxa" w:w="15"/>
              <w:right w:type="dxa" w:w="15"/>
            </w:tcMar>
            <w:vAlign w:val="center"/>
          </w:tcPr>
          <w:p>
            <w:pPr>
              <w:pStyle w:val="27"/>
              <w:spacing w:lineRule="exact" w:line="360"/>
              <w:ind w:firstLineChars="150" w:firstLine="330"/>
              <w:jc w:val="center"/>
              <w:rPr>
                <w:sz w:val="22"/>
                <w:szCs w:val="22"/>
              </w:rPr>
            </w:pPr>
            <w:r>
              <w:rPr>
                <w:rFonts w:hint="eastAsia"/>
                <w:sz w:val="22"/>
                <w:szCs w:val="22"/>
              </w:rPr>
              <w:t>工业（制造业）</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8"/>
        </w:trPr>
        <w:tc>
          <w:tcPr>
            <w:tcW w:type="dxa" w:w="1335"/>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hint="eastAsia"/>
                <w:sz w:val="22"/>
                <w:szCs w:val="22"/>
              </w:rPr>
              <w:t>02</w:t>
            </w:r>
          </w:p>
        </w:tc>
        <w:tc>
          <w:tcPr>
            <w:tcW w:type="dxa" w:w="3216"/>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cs="Times New Roman" w:eastAsia="宋体" w:hAnsi="Times New Roman" w:ascii="Times New Roman" w:hint="eastAsia"/>
                <w:sz w:val="22"/>
                <w:szCs w:val="22"/>
                <w:lang w:eastAsia="zh-CN"/>
              </w:rPr>
              <w:t>全自动特定蛋白分析仪</w:t>
            </w:r>
          </w:p>
        </w:tc>
        <w:tc>
          <w:tcPr>
            <w:tcW w:type="dxa" w:w="3747"/>
            <w:shd w:fill="auto" w:color="auto" w:val="clear"/>
            <w:tcMar>
              <w:top w:type="dxa" w:w="15"/>
              <w:left w:type="dxa" w:w="15"/>
              <w:right w:type="dxa" w:w="15"/>
            </w:tcMar>
            <w:vAlign w:val="center"/>
          </w:tcPr>
          <w:p>
            <w:pPr>
              <w:pStyle w:val="27"/>
              <w:spacing w:lineRule="exact" w:line="360"/>
              <w:ind w:firstLineChars="150" w:firstLine="330"/>
              <w:jc w:val="center"/>
              <w:rPr>
                <w:sz w:val="22"/>
                <w:szCs w:val="22"/>
              </w:rPr>
            </w:pPr>
            <w:r>
              <w:rPr>
                <w:rFonts w:hint="eastAsia"/>
                <w:sz w:val="22"/>
                <w:szCs w:val="22"/>
              </w:rPr>
              <w:t>工业（制造业）</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8"/>
        </w:trPr>
        <w:tc>
          <w:tcPr>
            <w:tcW w:type="dxa" w:w="1335"/>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hint="eastAsia"/>
                <w:sz w:val="22"/>
                <w:szCs w:val="22"/>
              </w:rPr>
              <w:t>03</w:t>
            </w:r>
          </w:p>
        </w:tc>
        <w:tc>
          <w:tcPr>
            <w:tcW w:type="dxa" w:w="3216"/>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cs="Times New Roman" w:eastAsia="宋体" w:hAnsi="Times New Roman" w:ascii="Times New Roman" w:hint="eastAsia"/>
                <w:sz w:val="22"/>
                <w:szCs w:val="22"/>
                <w:lang w:eastAsia="zh-CN"/>
              </w:rPr>
              <w:t>全自动粪便处理系统</w:t>
            </w:r>
          </w:p>
        </w:tc>
        <w:tc>
          <w:tcPr>
            <w:tcW w:type="dxa" w:w="3747"/>
            <w:shd w:fill="auto" w:color="auto" w:val="clear"/>
            <w:tcMar>
              <w:top w:type="dxa" w:w="15"/>
              <w:left w:type="dxa" w:w="15"/>
              <w:right w:type="dxa" w:w="15"/>
            </w:tcMar>
            <w:vAlign w:val="center"/>
          </w:tcPr>
          <w:p>
            <w:pPr>
              <w:pStyle w:val="27"/>
              <w:spacing w:lineRule="exact" w:line="360"/>
              <w:ind w:firstLineChars="150" w:firstLine="330"/>
              <w:jc w:val="center"/>
              <w:rPr>
                <w:sz w:val="22"/>
                <w:szCs w:val="22"/>
              </w:rPr>
            </w:pPr>
            <w:r>
              <w:rPr>
                <w:rFonts w:hint="eastAsia"/>
                <w:sz w:val="22"/>
                <w:szCs w:val="22"/>
              </w:rPr>
              <w:t>工业（制造业）</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8"/>
        </w:trPr>
        <w:tc>
          <w:tcPr>
            <w:tcW w:type="dxa" w:w="1335"/>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hint="eastAsia"/>
                <w:sz w:val="22"/>
                <w:szCs w:val="22"/>
              </w:rPr>
              <w:t>04</w:t>
            </w:r>
          </w:p>
        </w:tc>
        <w:tc>
          <w:tcPr>
            <w:tcW w:type="dxa" w:w="3216"/>
            <w:shd w:fill="auto" w:color="auto" w:val="clear"/>
            <w:tcMar>
              <w:top w:type="dxa" w:w="15"/>
              <w:left w:type="dxa" w:w="15"/>
              <w:right w:type="dxa" w:w="15"/>
            </w:tcMar>
            <w:vAlign w:val="center"/>
          </w:tcPr>
          <w:p>
            <w:pPr>
              <w:pStyle w:val="27"/>
              <w:spacing w:lineRule="exact" w:line="360"/>
              <w:ind w:firstLineChars="0" w:firstLine="0"/>
              <w:jc w:val="center"/>
              <w:rPr>
                <w:sz w:val="22"/>
                <w:szCs w:val="22"/>
              </w:rPr>
            </w:pPr>
            <w:r>
              <w:rPr>
                <w:rFonts w:cs="Times New Roman" w:eastAsia="宋体" w:hAnsi="Times New Roman" w:ascii="Times New Roman" w:hint="eastAsia"/>
                <w:sz w:val="22"/>
                <w:szCs w:val="22"/>
                <w:lang w:eastAsia="zh-CN"/>
              </w:rPr>
              <w:t>全自动尿液分析仪一体机</w:t>
            </w:r>
          </w:p>
        </w:tc>
        <w:tc>
          <w:tcPr>
            <w:tcW w:type="dxa" w:w="3747"/>
            <w:shd w:fill="auto" w:color="auto" w:val="clear"/>
            <w:tcMar>
              <w:top w:type="dxa" w:w="15"/>
              <w:left w:type="dxa" w:w="15"/>
              <w:right w:type="dxa" w:w="15"/>
            </w:tcMar>
            <w:vAlign w:val="center"/>
          </w:tcPr>
          <w:p>
            <w:pPr>
              <w:pStyle w:val="27"/>
              <w:spacing w:lineRule="exact" w:line="360"/>
              <w:ind w:firstLineChars="150" w:firstLine="330"/>
              <w:jc w:val="center"/>
              <w:rPr>
                <w:sz w:val="22"/>
                <w:szCs w:val="22"/>
              </w:rPr>
            </w:pPr>
            <w:r>
              <w:rPr>
                <w:rFonts w:hint="eastAsia"/>
                <w:sz w:val="22"/>
                <w:szCs w:val="22"/>
              </w:rPr>
              <w:t>工业（制造业）</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8"/>
        </w:trPr>
        <w:tc>
          <w:tcPr>
            <w:tcW w:type="dxa" w:w="1335"/>
            <w:shd w:fill="auto" w:color="auto" w:val="clear"/>
            <w:tcMar>
              <w:top w:type="dxa" w:w="15"/>
              <w:left w:type="dxa" w:w="15"/>
              <w:right w:type="dxa" w:w="15"/>
            </w:tcMar>
            <w:vAlign w:val="center"/>
          </w:tcPr>
          <w:p>
            <w:pPr>
              <w:pStyle w:val="27"/>
              <w:spacing w:lineRule="exact" w:line="360"/>
              <w:ind w:firstLineChars="0" w:firstLine="0"/>
              <w:jc w:val="center"/>
              <w:rPr>
                <w:rFonts w:eastAsia="宋体" w:hint="default"/>
                <w:sz w:val="22"/>
                <w:szCs w:val="22"/>
                <w:lang w:eastAsia="zh-CN" w:val="en-US"/>
              </w:rPr>
            </w:pPr>
            <w:r>
              <w:rPr>
                <w:rFonts w:hint="eastAsia"/>
                <w:sz w:val="22"/>
                <w:szCs w:val="22"/>
                <w:lang w:eastAsia="zh-CN" w:val="en-US"/>
              </w:rPr>
              <w:t>05</w:t>
            </w:r>
          </w:p>
        </w:tc>
        <w:tc>
          <w:tcPr>
            <w:tcW w:type="dxa" w:w="3216"/>
            <w:shd w:fill="auto" w:color="auto" w:val="clear"/>
            <w:tcMar>
              <w:top w:type="dxa" w:w="15"/>
              <w:left w:type="dxa" w:w="15"/>
              <w:right w:type="dxa" w:w="15"/>
            </w:tcMar>
            <w:vAlign w:val="center"/>
          </w:tcPr>
          <w:p>
            <w:pPr>
              <w:pStyle w:val="27"/>
              <w:spacing w:lineRule="exact" w:line="360"/>
              <w:ind w:firstLineChars="0" w:firstLine="0"/>
              <w:jc w:val="center"/>
              <w:rPr>
                <w:rFonts w:hAnsi="Times New Roman" w:ascii="Times New Roman" w:hint="eastAsia"/>
                <w:sz w:val="22"/>
                <w:szCs w:val="22"/>
              </w:rPr>
            </w:pPr>
            <w:r>
              <w:rPr>
                <w:rFonts w:cs="Times New Roman" w:eastAsia="宋体" w:hAnsi="Times New Roman" w:ascii="Times New Roman" w:hint="eastAsia"/>
                <w:sz w:val="22"/>
                <w:szCs w:val="22"/>
                <w:lang w:eastAsia="zh-CN"/>
              </w:rPr>
              <w:t>新冠病毒核酸快速检测系统</w:t>
            </w:r>
          </w:p>
        </w:tc>
        <w:tc>
          <w:tcPr>
            <w:tcW w:type="dxa" w:w="3747"/>
            <w:shd w:fill="auto" w:color="auto" w:val="clear"/>
            <w:tcMar>
              <w:top w:type="dxa" w:w="15"/>
              <w:left w:type="dxa" w:w="15"/>
              <w:right w:type="dxa" w:w="15"/>
            </w:tcMar>
            <w:vAlign w:val="center"/>
          </w:tcPr>
          <w:p>
            <w:pPr>
              <w:spacing w:lineRule="exact" w:line="360"/>
              <w:ind w:firstLineChars="150" w:firstLine="330"/>
              <w:jc w:val="center"/>
              <w:rPr>
                <w:rFonts w:hint="eastAsia"/>
                <w:sz w:val="22"/>
                <w:szCs w:val="22"/>
              </w:rPr>
            </w:pPr>
            <w:r>
              <w:rPr>
                <w:rFonts w:hint="eastAsia"/>
                <w:sz w:val="22"/>
                <w:szCs w:val="22"/>
              </w:rPr>
              <w:t>工业（制造业）</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8"/>
        </w:trPr>
        <w:tc>
          <w:tcPr>
            <w:tcW w:type="dxa" w:w="1335"/>
            <w:shd w:fill="auto" w:color="auto" w:val="clear"/>
            <w:tcMar>
              <w:top w:type="dxa" w:w="15"/>
              <w:left w:type="dxa" w:w="15"/>
              <w:right w:type="dxa" w:w="15"/>
            </w:tcMar>
            <w:vAlign w:val="center"/>
          </w:tcPr>
          <w:p>
            <w:pPr>
              <w:pStyle w:val="27"/>
              <w:spacing w:lineRule="exact" w:line="360"/>
              <w:ind w:firstLineChars="0" w:firstLine="0"/>
              <w:jc w:val="center"/>
              <w:rPr>
                <w:rFonts w:eastAsia="宋体" w:hint="default"/>
                <w:sz w:val="22"/>
                <w:szCs w:val="22"/>
                <w:lang w:eastAsia="zh-CN" w:val="en-US"/>
              </w:rPr>
            </w:pPr>
            <w:r>
              <w:rPr>
                <w:rFonts w:hint="eastAsia"/>
                <w:sz w:val="22"/>
                <w:szCs w:val="22"/>
                <w:lang w:eastAsia="zh-CN" w:val="en-US"/>
              </w:rPr>
              <w:t>06</w:t>
            </w:r>
          </w:p>
        </w:tc>
        <w:tc>
          <w:tcPr>
            <w:tcW w:type="dxa" w:w="3216"/>
            <w:shd w:fill="auto" w:color="auto" w:val="clear"/>
            <w:tcMar>
              <w:top w:type="dxa" w:w="15"/>
              <w:left w:type="dxa" w:w="15"/>
              <w:right w:type="dxa" w:w="15"/>
            </w:tcMar>
            <w:vAlign w:val="center"/>
          </w:tcPr>
          <w:p>
            <w:pPr>
              <w:pStyle w:val="27"/>
              <w:spacing w:lineRule="exact" w:line="360"/>
              <w:ind w:firstLineChars="0" w:firstLine="0"/>
              <w:jc w:val="center"/>
              <w:rPr>
                <w:rFonts w:hAnsi="Times New Roman" w:ascii="Times New Roman" w:hint="eastAsia"/>
                <w:sz w:val="22"/>
                <w:szCs w:val="22"/>
              </w:rPr>
            </w:pPr>
            <w:r>
              <w:rPr>
                <w:rFonts w:cs="Times New Roman" w:eastAsia="宋体" w:hAnsi="Times New Roman" w:ascii="Times New Roman" w:hint="eastAsia"/>
                <w:sz w:val="22"/>
                <w:szCs w:val="22"/>
                <w:lang w:eastAsia="zh-CN"/>
              </w:rPr>
              <w:t>全自动血液免疫分析仪</w:t>
            </w:r>
          </w:p>
        </w:tc>
        <w:tc>
          <w:tcPr>
            <w:tcW w:type="dxa" w:w="3747"/>
            <w:shd w:fill="auto" w:color="auto" w:val="clear"/>
            <w:tcMar>
              <w:top w:type="dxa" w:w="15"/>
              <w:left w:type="dxa" w:w="15"/>
              <w:right w:type="dxa" w:w="15"/>
            </w:tcMar>
            <w:vAlign w:val="center"/>
          </w:tcPr>
          <w:p>
            <w:pPr>
              <w:spacing w:lineRule="exact" w:line="360"/>
              <w:ind w:firstLineChars="150" w:firstLine="330"/>
              <w:jc w:val="center"/>
              <w:rPr>
                <w:rFonts w:hint="eastAsia"/>
                <w:sz w:val="22"/>
                <w:szCs w:val="22"/>
              </w:rPr>
            </w:pPr>
            <w:r>
              <w:rPr>
                <w:rFonts w:hint="eastAsia"/>
                <w:sz w:val="22"/>
                <w:szCs w:val="22"/>
              </w:rPr>
              <w:t>工业（制造业）</w:t>
            </w:r>
          </w:p>
        </w:tc>
      </w:tr>
    </w:tbl>
    <w:p>
      <w:pPr>
        <w:pStyle w:val="2"/>
        <w:spacing w:lineRule="exact" w:line="440"/>
        <w:rPr>
          <w:rFonts w:hAnsi="宋体" w:ascii="Times New Roman"/>
          <w:b/>
          <w:sz w:val="22"/>
          <w:szCs w:val="22"/>
        </w:rPr>
      </w:pPr>
    </w:p>
    <w:p>
      <w:pPr>
        <w:pStyle w:val="2"/>
        <w:spacing w:lineRule="exact" w:line="440"/>
        <w:rPr>
          <w:rFonts w:hAnsi="Times New Roman" w:ascii="Times New Roman"/>
          <w:b/>
          <w:sz w:val="22"/>
          <w:szCs w:val="22"/>
        </w:rPr>
      </w:pPr>
      <w:r>
        <w:rPr>
          <w:rFonts w:hAnsi="宋体" w:ascii="Times New Roman" w:hint="eastAsia"/>
          <w:b/>
          <w:sz w:val="22"/>
          <w:szCs w:val="22"/>
        </w:rPr>
        <w:t>（二）商务要求</w:t>
      </w:r>
    </w:p>
    <w:p>
      <w:pPr>
        <w:spacing w:lineRule="auto" w:line="360"/>
        <w:rPr>
          <w:rFonts w:hAnsi="宋体"/>
          <w:b/>
          <w:bCs/>
          <w:sz w:val="24"/>
        </w:rPr>
      </w:pPr>
      <w:r>
        <w:rPr>
          <w:rFonts w:hAnsi="宋体" w:hint="eastAsia"/>
          <w:b/>
          <w:bCs/>
          <w:sz w:val="24"/>
        </w:rPr>
        <w:t>1.交货时间及地点：</w:t>
      </w:r>
    </w:p>
    <w:p>
      <w:pPr>
        <w:spacing w:lineRule="auto" w:line="360"/>
        <w:rPr>
          <w:rFonts w:hAnsi="宋体"/>
          <w:sz w:val="24"/>
        </w:rPr>
      </w:pPr>
      <w:r>
        <w:rPr>
          <w:rFonts w:hAnsi="宋体" w:hint="eastAsia"/>
          <w:sz w:val="24"/>
        </w:rPr>
        <w:t>1.1 交货时间：合同签订</w:t>
      </w:r>
      <w:r>
        <w:rPr>
          <w:rFonts w:hAnsi="宋体" w:hint="eastAsia"/>
          <w:sz w:val="24"/>
          <w:lang w:eastAsia="zh-CN" w:val="en-US"/>
        </w:rPr>
        <w:t xml:space="preserve">之日起60 </w:t>
      </w:r>
      <w:r>
        <w:rPr>
          <w:rFonts w:hAnsi="宋体" w:hint="eastAsia"/>
          <w:sz w:val="24"/>
        </w:rPr>
        <w:t>个日历日内安装调试完成并交付验收；</w:t>
      </w:r>
    </w:p>
    <w:p>
      <w:pPr>
        <w:spacing w:lineRule="auto" w:line="360"/>
        <w:rPr>
          <w:rFonts w:hAnsi="宋体"/>
          <w:sz w:val="24"/>
        </w:rPr>
      </w:pPr>
      <w:r>
        <w:rPr>
          <w:rFonts w:hAnsi="宋体" w:hint="eastAsia"/>
          <w:sz w:val="24"/>
        </w:rPr>
        <w:t>1.2 交货地点: 采购方指定地点.</w:t>
      </w:r>
    </w:p>
    <w:p>
      <w:pPr>
        <w:adjustRightInd w:val="false"/>
        <w:snapToGrid w:val="false"/>
        <w:spacing w:lineRule="exact" w:line="440"/>
        <w:rPr>
          <w:b/>
          <w:color w:val="000000"/>
          <w:sz w:val="24"/>
        </w:rPr>
      </w:pPr>
      <w:r>
        <w:rPr>
          <w:rFonts w:hint="eastAsia"/>
          <w:b/>
          <w:color w:val="000000"/>
          <w:sz w:val="24"/>
        </w:rPr>
        <w:t>2．付款方法和条件</w:t>
      </w:r>
    </w:p>
    <w:p>
      <w:pPr>
        <w:spacing w:lineRule="auto" w:line="360"/>
        <w:rPr>
          <w:color w:val="000000"/>
          <w:sz w:val="24"/>
        </w:rPr>
      </w:pPr>
      <w:r>
        <w:rPr>
          <w:rFonts w:hint="eastAsia"/>
          <w:color w:val="000000"/>
          <w:sz w:val="24"/>
        </w:rPr>
        <w:t>2</w:t>
      </w:r>
      <w:r>
        <w:rPr>
          <w:color w:val="000000"/>
          <w:sz w:val="24"/>
        </w:rPr>
        <w:t>.1 付款：</w:t>
      </w:r>
    </w:p>
    <w:p>
      <w:pPr>
        <w:pStyle w:val="2"/>
        <w:numPr>
          <w:ilvl w:val="0"/>
          <w:numId w:val="0"/>
        </w:numPr>
        <w:rPr>
          <w:rFonts w:hint="eastAsia"/>
          <w:lang w:eastAsia="zh-CN"/>
        </w:rPr>
      </w:pPr>
      <w:r>
        <w:rPr>
          <w:rFonts w:cs="Times New Roman" w:eastAsia="宋体" w:hAnsi="宋体" w:ascii="宋体" w:hint="eastAsia"/>
          <w:sz w:val="24"/>
          <w:szCs w:val="22"/>
          <w:lang w:bidi="ar-SA" w:eastAsia="zh-CN" w:val="en-US"/>
        </w:rPr>
        <w:t>设备安装试运行满15天无质量问题并验收合格后，支付合同金额的95%；从验收合格之日起一年期满，无质量</w:t>
      </w:r>
      <w:r>
        <w:rPr>
          <w:rFonts w:cs="Times New Roman" w:eastAsia="宋体" w:hAnsi="Calibri" w:ascii="宋体" w:hint="eastAsia"/>
          <w:color w:val="000000"/>
          <w:sz w:val="24"/>
          <w:szCs w:val="22"/>
          <w:lang w:bidi="ar-SA" w:eastAsia="zh-CN" w:val="en-US"/>
        </w:rPr>
        <w:t>问题，支付余款。</w:t>
      </w:r>
    </w:p>
    <w:p>
      <w:pPr>
        <w:spacing w:lineRule="auto" w:line="360"/>
        <w:rPr>
          <w:color w:val="000000"/>
          <w:sz w:val="24"/>
        </w:rPr>
      </w:pPr>
      <w:r>
        <w:rPr>
          <w:rFonts w:hint="eastAsia"/>
          <w:color w:val="000000"/>
          <w:sz w:val="24"/>
        </w:rPr>
        <w:t>2.2结算方式：银行转账</w:t>
      </w:r>
    </w:p>
    <w:p>
      <w:pPr>
        <w:spacing w:lineRule="auto" w:line="360"/>
        <w:rPr>
          <w:color w:val="000000"/>
          <w:sz w:val="24"/>
        </w:rPr>
      </w:pPr>
      <w:r>
        <w:rPr>
          <w:rFonts w:hint="eastAsia"/>
          <w:color w:val="000000"/>
          <w:sz w:val="24"/>
        </w:rPr>
        <w:t>2.3款项支付单位为：西安市第一医院</w:t>
      </w:r>
    </w:p>
    <w:p>
      <w:pPr>
        <w:spacing w:lineRule="auto" w:line="360"/>
        <w:rPr>
          <w:color w:val="000000"/>
          <w:sz w:val="24"/>
        </w:rPr>
      </w:pPr>
      <w:r>
        <w:rPr>
          <w:rFonts w:hint="eastAsia"/>
          <w:color w:val="000000"/>
          <w:sz w:val="24"/>
        </w:rPr>
        <w:t>发票开具的“购货单位（人）”名称为：西安市第一医院</w:t>
      </w:r>
    </w:p>
    <w:p>
      <w:pPr>
        <w:spacing w:lineRule="auto" w:line="360"/>
        <w:rPr>
          <w:color w:val="000000"/>
          <w:sz w:val="24"/>
        </w:rPr>
      </w:pPr>
      <w:r>
        <w:rPr>
          <w:rFonts w:hint="eastAsia"/>
          <w:color w:val="000000"/>
          <w:sz w:val="24"/>
        </w:rPr>
        <w:t>3.质保期：</w:t>
      </w:r>
    </w:p>
    <w:p>
      <w:pPr>
        <w:spacing w:lineRule="auto" w:line="360"/>
        <w:rPr>
          <w:color w:val="000000"/>
          <w:sz w:val="24"/>
        </w:rPr>
      </w:pPr>
      <w:r>
        <w:rPr>
          <w:rFonts w:hint="eastAsia"/>
          <w:color w:val="000000"/>
          <w:sz w:val="24"/>
        </w:rPr>
        <w:t>3.1整机设备质保期≥ 3 年，包括所有配件，软件终身免费升级。</w:t>
      </w:r>
    </w:p>
    <w:p>
      <w:pPr>
        <w:spacing w:lineRule="auto" w:line="360"/>
        <w:rPr>
          <w:color w:val="000000"/>
          <w:sz w:val="24"/>
        </w:rPr>
      </w:pPr>
      <w:r>
        <w:rPr>
          <w:rFonts w:hint="eastAsia"/>
          <w:color w:val="000000"/>
          <w:sz w:val="24"/>
        </w:rPr>
        <w:t>3.2质保期内成交人应负责设备维修及抢修，并提供每季度保养服务一次；</w:t>
      </w:r>
    </w:p>
    <w:p>
      <w:pPr>
        <w:spacing w:lineRule="auto" w:line="360"/>
        <w:rPr>
          <w:color w:val="000000"/>
          <w:sz w:val="24"/>
        </w:rPr>
      </w:pPr>
      <w:r>
        <w:rPr>
          <w:rFonts w:hint="eastAsia"/>
          <w:color w:val="000000"/>
          <w:sz w:val="24"/>
        </w:rPr>
        <w:t>3.3成交人保证年开机率大于≥95％（365天/年计算），若≤95％则相应延长质保期（每多耽误一天则质保相应延长三天）。</w:t>
      </w:r>
    </w:p>
    <w:p>
      <w:pPr>
        <w:spacing w:lineRule="auto" w:line="360"/>
        <w:rPr>
          <w:color w:val="000000"/>
          <w:sz w:val="24"/>
        </w:rPr>
      </w:pPr>
      <w:r>
        <w:rPr>
          <w:rFonts w:hint="eastAsia"/>
          <w:color w:val="000000"/>
          <w:sz w:val="24"/>
        </w:rPr>
        <w:t>4.技术资料的移交要求：</w:t>
      </w:r>
    </w:p>
    <w:p>
      <w:pPr>
        <w:spacing w:lineRule="auto" w:line="360"/>
        <w:rPr>
          <w:color w:val="000000"/>
          <w:sz w:val="24"/>
        </w:rPr>
      </w:pPr>
      <w:r>
        <w:rPr>
          <w:rFonts w:hint="eastAsia"/>
          <w:color w:val="000000"/>
          <w:sz w:val="24"/>
        </w:rPr>
        <w:t>4.1根据国家食品药品监督管理总局《医疗器械使用质量监督管理办法》要求，在设备安装调试完毕后，供货商向采购人须提供设备的维护手册、维修手册、软件备份、故障代码表、备件清单、零部件、维修密码等维护维修必需的材料和信息。资料提交完整无误后，采购人进行项目验收。</w:t>
      </w:r>
    </w:p>
    <w:p>
      <w:pPr>
        <w:spacing w:lineRule="auto" w:line="360"/>
        <w:rPr>
          <w:color w:val="000000"/>
          <w:sz w:val="24"/>
        </w:rPr>
      </w:pPr>
      <w:r>
        <w:rPr>
          <w:rFonts w:hint="eastAsia"/>
          <w:color w:val="000000"/>
          <w:sz w:val="24"/>
        </w:rPr>
        <w:t>4.2提供主机及配套设备使用说明书；</w:t>
      </w:r>
    </w:p>
    <w:p>
      <w:pPr>
        <w:spacing w:lineRule="auto" w:line="360"/>
        <w:rPr>
          <w:color w:val="000000"/>
          <w:sz w:val="24"/>
        </w:rPr>
      </w:pPr>
      <w:r>
        <w:rPr>
          <w:rFonts w:hint="eastAsia"/>
          <w:color w:val="000000"/>
          <w:sz w:val="24"/>
        </w:rPr>
        <w:t>4.3其它相关技术资料。</w:t>
      </w:r>
    </w:p>
    <w:p>
      <w:pPr>
        <w:spacing w:lineRule="auto" w:line="360"/>
        <w:rPr>
          <w:color w:val="000000"/>
          <w:sz w:val="24"/>
        </w:rPr>
      </w:pPr>
      <w:r>
        <w:rPr>
          <w:rFonts w:hint="eastAsia"/>
          <w:color w:val="000000"/>
          <w:sz w:val="24"/>
        </w:rPr>
        <w:t>5.安装调试及验收：</w:t>
      </w:r>
    </w:p>
    <w:p>
      <w:pPr>
        <w:spacing w:lineRule="auto" w:line="360"/>
        <w:rPr>
          <w:color w:val="000000"/>
          <w:sz w:val="24"/>
        </w:rPr>
      </w:pPr>
      <w:r>
        <w:rPr>
          <w:rFonts w:hint="eastAsia"/>
          <w:color w:val="000000"/>
          <w:sz w:val="24"/>
        </w:rPr>
        <w:t>5.1成交人负责设备安装、调试。</w:t>
      </w:r>
    </w:p>
    <w:p>
      <w:pPr>
        <w:spacing w:lineRule="auto" w:line="360"/>
        <w:rPr>
          <w:color w:val="000000"/>
          <w:sz w:val="24"/>
        </w:rPr>
      </w:pPr>
      <w:r>
        <w:rPr>
          <w:rFonts w:hint="eastAsia"/>
          <w:color w:val="000000"/>
          <w:sz w:val="24"/>
        </w:rPr>
        <w:t>5.2货物到达</w:t>
      </w:r>
      <w:r>
        <w:rPr>
          <w:rFonts w:hint="eastAsia"/>
          <w:color w:val="000000"/>
          <w:sz w:val="24"/>
          <w:lang w:eastAsia="zh-CN"/>
        </w:rPr>
        <w:t>安装</w:t>
      </w:r>
      <w:r>
        <w:rPr>
          <w:rFonts w:hint="eastAsia"/>
          <w:color w:val="000000"/>
          <w:sz w:val="24"/>
        </w:rPr>
        <w:t>现场后，成交人接到采购人通知后7日内到达现场组织安装、调试，达到正常运行要求，保证</w:t>
      </w:r>
      <w:r>
        <w:rPr>
          <w:rFonts w:hint="eastAsia"/>
          <w:color w:val="000000"/>
          <w:sz w:val="24"/>
          <w:lang w:eastAsia="zh-CN" w:val="en-US"/>
        </w:rPr>
        <w:t>采购人</w:t>
      </w:r>
      <w:r>
        <w:rPr>
          <w:rFonts w:hint="eastAsia"/>
          <w:color w:val="000000"/>
          <w:sz w:val="24"/>
        </w:rPr>
        <w:t>正常使用，所需的费用包括在报价总价格中。</w:t>
      </w:r>
    </w:p>
    <w:p>
      <w:pPr>
        <w:spacing w:lineRule="auto" w:line="360"/>
        <w:rPr>
          <w:color w:val="000000"/>
          <w:sz w:val="24"/>
        </w:rPr>
      </w:pPr>
      <w:r>
        <w:rPr>
          <w:rFonts w:hint="eastAsia"/>
          <w:color w:val="000000"/>
          <w:sz w:val="24"/>
        </w:rPr>
        <w:t>5.3成交人应就设备的安装、调试、操作、维修、保养等对采购人维修技术人员进行培训。设备安装调试完毕后，成交人应对采购人操作人员进行现场培训，直至买方的技术人员（培训至少5名以上专业人员）能独立操作，同时能完成一般常见故障的维修工作。</w:t>
      </w:r>
    </w:p>
    <w:p>
      <w:pPr>
        <w:spacing w:lineRule="auto" w:line="360"/>
        <w:rPr>
          <w:color w:val="000000"/>
          <w:sz w:val="24"/>
        </w:rPr>
      </w:pPr>
      <w:r>
        <w:rPr>
          <w:rFonts w:hint="eastAsia"/>
          <w:color w:val="000000"/>
          <w:sz w:val="24"/>
        </w:rPr>
        <w:t>5.4 验收标准以采购文件技术参数及要求和相关行业标准为准。</w:t>
      </w:r>
    </w:p>
    <w:p>
      <w:pPr>
        <w:spacing w:lineRule="auto" w:line="360"/>
        <w:rPr>
          <w:color w:val="000000"/>
          <w:sz w:val="24"/>
        </w:rPr>
      </w:pPr>
      <w:r>
        <w:rPr>
          <w:rFonts w:hint="eastAsia"/>
          <w:color w:val="000000"/>
          <w:sz w:val="24"/>
        </w:rPr>
        <w:t>5.5 系统升级(包括软件、硬件)后，应提供相应的培训；涉及软件的对设备进行软件升级及故障分析。定期回访使用方，了解系统的使用情况，及时为用户解决技术问题。</w:t>
      </w:r>
    </w:p>
    <w:p>
      <w:pPr>
        <w:spacing w:lineRule="auto" w:line="360"/>
        <w:rPr>
          <w:color w:val="000000"/>
          <w:sz w:val="24"/>
        </w:rPr>
      </w:pPr>
      <w:r>
        <w:rPr>
          <w:rFonts w:hint="eastAsia"/>
          <w:color w:val="000000"/>
          <w:sz w:val="24"/>
        </w:rPr>
        <w:t>6.售后服务：</w:t>
      </w:r>
    </w:p>
    <w:p>
      <w:pPr>
        <w:spacing w:lineRule="auto" w:line="360"/>
        <w:rPr>
          <w:color w:val="000000"/>
          <w:sz w:val="24"/>
        </w:rPr>
      </w:pPr>
      <w:r>
        <w:rPr>
          <w:rFonts w:hint="eastAsia"/>
          <w:color w:val="000000"/>
          <w:sz w:val="24"/>
        </w:rPr>
        <w:t>6.1提供有关资料及售后服务承诺。</w:t>
      </w:r>
    </w:p>
    <w:p>
      <w:pPr>
        <w:spacing w:lineRule="auto" w:line="360"/>
        <w:rPr>
          <w:color w:val="000000"/>
          <w:sz w:val="24"/>
        </w:rPr>
      </w:pPr>
      <w:r>
        <w:rPr>
          <w:rFonts w:hint="eastAsia"/>
          <w:color w:val="000000"/>
          <w:sz w:val="24"/>
        </w:rPr>
        <w:t>6.2备件送达期限：在设备的使用寿命期内，成交人应保证国内不超过7天。</w:t>
      </w:r>
    </w:p>
    <w:p>
      <w:pPr>
        <w:spacing w:lineRule="auto" w:line="360"/>
        <w:rPr>
          <w:color w:val="000000"/>
          <w:sz w:val="24"/>
        </w:rPr>
      </w:pPr>
      <w:r>
        <w:rPr>
          <w:rFonts w:hint="eastAsia"/>
          <w:color w:val="000000"/>
          <w:sz w:val="24"/>
        </w:rPr>
        <w:t>6.3 中标人在国内应有24小时电话维修系统，并列出工程师名单、联系电话、通讯地址等。</w:t>
      </w:r>
    </w:p>
    <w:p>
      <w:pPr>
        <w:spacing w:lineRule="auto" w:line="360"/>
        <w:rPr>
          <w:rFonts w:hint="eastAsia"/>
          <w:color w:val="000000"/>
          <w:sz w:val="24"/>
        </w:rPr>
      </w:pPr>
      <w:r>
        <w:rPr>
          <w:rFonts w:hint="eastAsia"/>
          <w:color w:val="000000"/>
          <w:sz w:val="24"/>
        </w:rPr>
        <w:t>6.4 质保期后，</w:t>
      </w:r>
      <w:r>
        <w:rPr>
          <w:rFonts w:hint="eastAsia"/>
          <w:color w:val="000000"/>
          <w:sz w:val="24"/>
          <w:highlight w:val="none"/>
        </w:rPr>
        <w:t>保证设备主要备件八年供货期，</w:t>
      </w:r>
      <w:r>
        <w:rPr>
          <w:rFonts w:hint="eastAsia"/>
          <w:color w:val="000000"/>
          <w:sz w:val="24"/>
          <w:highlight w:val="none"/>
          <w:lang w:eastAsia="zh-CN" w:val="en-US"/>
        </w:rPr>
        <w:t>投标人</w:t>
      </w:r>
      <w:r>
        <w:rPr>
          <w:rFonts w:hint="eastAsia"/>
          <w:color w:val="000000"/>
          <w:sz w:val="24"/>
        </w:rPr>
        <w:t>应向</w:t>
      </w:r>
      <w:r>
        <w:rPr>
          <w:rFonts w:hint="eastAsia"/>
          <w:color w:val="000000"/>
          <w:sz w:val="24"/>
          <w:lang w:eastAsia="zh-CN" w:val="en-US"/>
        </w:rPr>
        <w:t>采购人</w:t>
      </w:r>
      <w:r>
        <w:rPr>
          <w:rFonts w:hint="eastAsia"/>
          <w:color w:val="000000"/>
          <w:sz w:val="24"/>
        </w:rPr>
        <w:t>提供及时的、优质的、价格优惠的技术服务和备品备件供应。售后维修响应时间：2小时响应、4小时答复、24小时到场无法排除故障提供备用机。</w:t>
      </w:r>
    </w:p>
    <w:p>
      <w:pPr>
        <w:pStyle w:val="2"/>
        <w:rPr>
          <w:rFonts w:hint="eastAsia"/>
          <w:color w:val="000000"/>
          <w:sz w:val="24"/>
          <w:lang w:eastAsia="zh-CN" w:val="en-US"/>
        </w:rPr>
      </w:pPr>
      <w:r>
        <w:rPr>
          <w:rFonts w:hint="eastAsia"/>
          <w:color w:val="000000"/>
          <w:sz w:val="24"/>
          <w:lang w:eastAsia="zh-CN" w:val="en-US"/>
        </w:rPr>
        <w:t>7.其它要求</w:t>
      </w:r>
    </w:p>
    <w:p>
      <w:pPr>
        <w:numPr>
          <w:ilvl w:val="0"/>
          <w:numId w:val="0"/>
        </w:numPr>
        <w:spacing w:lineRule="auto" w:line="360"/>
        <w:rPr>
          <w:rFonts w:cs="宋体" w:eastAsia="宋体" w:hAnsi="宋体" w:ascii="宋体" w:hint="default"/>
          <w:color w:val="auto"/>
          <w:kern w:val="0"/>
          <w:sz w:val="24"/>
          <w:szCs w:val="24"/>
          <w:lang w:bidi="ar-SA" w:eastAsia="zh-CN" w:val="en-US"/>
        </w:rPr>
      </w:pPr>
      <w:r>
        <w:rPr>
          <w:rFonts w:cs="宋体" w:hAnsi="宋体" w:hint="eastAsia"/>
          <w:color w:val="auto"/>
          <w:kern w:val="0"/>
          <w:sz w:val="24"/>
          <w:szCs w:val="24"/>
          <w:lang w:bidi="ar-SA" w:eastAsia="zh-CN" w:val="en-US"/>
        </w:rPr>
        <w:t>7.</w:t>
      </w:r>
      <w:r>
        <w:rPr>
          <w:rFonts w:cs="宋体" w:hAnsi="宋体" w:hint="eastAsia"/>
          <w:color w:val="auto"/>
          <w:kern w:val="0"/>
          <w:sz w:val="24"/>
          <w:szCs w:val="24"/>
          <w:highlight w:val="none"/>
          <w:lang w:bidi="ar-SA" w:eastAsia="zh-CN" w:val="en-US"/>
        </w:rPr>
        <w:t xml:space="preserve">1  </w:t>
      </w:r>
      <w:r>
        <w:rPr>
          <w:rFonts w:cs="宋体" w:eastAsia="宋体" w:hAnsi="宋体" w:ascii="宋体" w:hint="eastAsia"/>
          <w:color w:val="auto"/>
          <w:kern w:val="0"/>
          <w:sz w:val="24"/>
          <w:szCs w:val="24"/>
          <w:highlight w:val="none"/>
          <w:lang w:bidi="ar-SA" w:eastAsia="zh-CN" w:val="en-US"/>
        </w:rPr>
        <w:t>LIS连接：可与现有LIS系统对接，并有双向通讯功能。</w:t>
      </w:r>
      <w:r>
        <w:rPr>
          <w:rFonts w:cs="宋体" w:eastAsia="宋体" w:hAnsi="宋体" w:ascii="宋体" w:hint="eastAsia"/>
          <w:color w:val="auto"/>
          <w:kern w:val="0"/>
          <w:sz w:val="24"/>
          <w:szCs w:val="24"/>
          <w:lang w:bidi="ar-SA" w:eastAsia="zh-CN" w:val="en-US"/>
        </w:rPr>
        <w:t>提供所需技术支持，承担LIS系统端口接入及使用所有费用</w:t>
      </w:r>
      <w:r>
        <w:rPr>
          <w:rFonts w:cs="宋体" w:hAnsi="宋体" w:hint="eastAsia"/>
          <w:color w:val="auto"/>
          <w:kern w:val="0"/>
          <w:sz w:val="24"/>
          <w:szCs w:val="24"/>
          <w:lang w:bidi="ar-SA" w:eastAsia="zh-CN" w:val="en-US"/>
        </w:rPr>
        <w:t>，均含在投标报价中。</w:t>
      </w:r>
    </w:p>
    <w:p>
      <w:pPr>
        <w:adjustRightInd w:val="false"/>
        <w:snapToGrid w:val="false"/>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7.2</w:t>
      </w:r>
      <w:r>
        <w:rPr>
          <w:rFonts w:cs="宋体" w:eastAsia="宋体" w:hAnsi="宋体" w:ascii="宋体" w:hint="eastAsia"/>
          <w:color w:val="auto"/>
          <w:kern w:val="0"/>
          <w:sz w:val="24"/>
          <w:szCs w:val="24"/>
          <w:lang w:bidi="ar-SA" w:eastAsia="zh-CN" w:val="en-US"/>
        </w:rPr>
        <w:t xml:space="preserve"> 提供应用技术支持及校准（包括每年2次定时校准和移机后的校准）</w:t>
      </w:r>
    </w:p>
    <w:p>
      <w:pPr>
        <w:pStyle w:val="32"/>
        <w:numPr>
          <w:ilvl w:val="0"/>
          <w:numId w:val="0"/>
        </w:numPr>
        <w:spacing w:lineRule="auto" w:line="360"/>
        <w:rPr>
          <w:rFonts w:hint="default"/>
          <w:lang w:eastAsia="zh-CN" w:val="en-US"/>
        </w:rPr>
      </w:pPr>
      <w:r>
        <w:rPr>
          <w:rFonts w:cs="宋体" w:eastAsia="宋体" w:hAnsi="宋体" w:ascii="宋体" w:hint="eastAsia"/>
          <w:color w:val="auto"/>
          <w:kern w:val="0"/>
          <w:sz w:val="24"/>
          <w:szCs w:val="24"/>
          <w:lang w:bidi="ar-SA" w:eastAsia="zh-CN" w:val="en-US"/>
        </w:rPr>
        <w:t>7.3提供装机后性能验证所需试剂。</w:t>
      </w:r>
      <w:r>
        <w:rPr>
          <w:rFonts w:cs="宋体" w:hAnsi="宋体" w:ascii="宋体" w:hint="eastAsia"/>
          <w:color w:val="auto"/>
          <w:kern w:val="0"/>
          <w:sz w:val="24"/>
          <w:szCs w:val="24"/>
          <w:lang w:bidi="ar-SA" w:eastAsia="zh-CN" w:val="en-US"/>
        </w:rPr>
        <w:t>每台设备提供≥500人份的性能验证及试用装试剂。</w:t>
      </w:r>
    </w:p>
    <w:p>
      <w:pPr>
        <w:pStyle w:val="2"/>
        <w:spacing w:lineRule="exact" w:line="440"/>
        <w:rPr>
          <w:rFonts w:eastAsiaTheme="minorEastAsia" w:hAnsiTheme="minorEastAsia" w:asciiTheme="minorEastAsia"/>
        </w:rPr>
      </w:pPr>
      <w:r>
        <w:rPr>
          <w:rFonts w:hAnsi="宋体" w:hint="eastAsia"/>
          <w:b/>
          <w:sz w:val="24"/>
        </w:rPr>
        <w:t>注：商务要求不允许负偏离，负偏离将被视为无效投标文件。</w:t>
      </w:r>
    </w:p>
    <w:p>
      <w:pPr>
        <w:pStyle w:val="2"/>
        <w:spacing w:lineRule="exact" w:line="440"/>
        <w:rPr>
          <w:rFonts w:hAnsi="Times New Roman" w:ascii="Times New Roman"/>
          <w:b/>
          <w:sz w:val="24"/>
          <w:szCs w:val="20"/>
        </w:rPr>
      </w:pPr>
      <w:r>
        <w:rPr>
          <w:rFonts w:hAnsi="宋体" w:hint="eastAsia"/>
          <w:b/>
          <w:sz w:val="24"/>
        </w:rPr>
        <w:br w:type="page"/>
      </w:r>
    </w:p>
    <w:p>
      <w:pPr>
        <w:pStyle w:val="2"/>
        <w:numPr>
          <w:ilvl w:val="0"/>
          <w:numId w:val="7"/>
        </w:numPr>
        <w:spacing w:lineRule="exact" w:line="440"/>
        <w:rPr>
          <w:rFonts w:hAnsi="Times New Roman" w:ascii="Times New Roman"/>
          <w:b/>
          <w:sz w:val="22"/>
          <w:szCs w:val="22"/>
        </w:rPr>
      </w:pPr>
      <w:bookmarkStart w:name="_Toc4916" w:id="201"/>
      <w:bookmarkStart w:name="_Toc16231" w:id="202"/>
      <w:bookmarkStart w:name="_Toc24140" w:id="203"/>
      <w:bookmarkStart w:name="_Toc6605" w:id="204"/>
      <w:bookmarkStart w:name="OLE_LINK15" w:id="205"/>
      <w:r>
        <w:rPr>
          <w:rFonts w:hAnsi="宋体" w:ascii="Times New Roman" w:hint="eastAsia"/>
          <w:b/>
          <w:sz w:val="22"/>
          <w:szCs w:val="22"/>
        </w:rPr>
        <w:t>技术要求</w:t>
      </w:r>
      <w:bookmarkStart w:name="_Toc12657" w:id="206"/>
      <w:bookmarkStart w:name="_Toc30645" w:id="207"/>
      <w:bookmarkStart w:name="_Toc24257" w:id="208"/>
      <w:r>
        <w:rPr>
          <w:rFonts w:hAnsi="宋体" w:ascii="Times New Roman" w:hint="eastAsia"/>
          <w:b/>
          <w:sz w:val="22"/>
          <w:szCs w:val="22"/>
        </w:rPr>
        <w:t>：</w:t>
      </w:r>
    </w:p>
    <w:p>
      <w:pPr>
        <w:pStyle w:val="2"/>
        <w:rPr>
          <w:rFonts w:hAnsi="宋体" w:ascii="Times New Roman"/>
          <w:b/>
          <w:sz w:val="22"/>
          <w:szCs w:val="21"/>
        </w:rPr>
      </w:pPr>
    </w:p>
    <w:p>
      <w:pPr>
        <w:spacing w:lineRule="auto" w:line="360"/>
        <w:rPr>
          <w:rFonts w:cs="宋体" w:eastAsia="宋体" w:hAnsi="宋体" w:ascii="宋体" w:hint="eastAsia"/>
          <w:b/>
          <w:bCs/>
          <w:color w:val="auto"/>
          <w:kern w:val="0"/>
          <w:sz w:val="24"/>
          <w:szCs w:val="24"/>
          <w:lang w:bidi="ar-SA" w:eastAsia="zh-CN" w:val="en-US"/>
        </w:rPr>
      </w:pPr>
      <w:r>
        <w:rPr>
          <w:rFonts w:cs="宋体" w:eastAsia="宋体" w:hAnsi="宋体" w:ascii="宋体" w:hint="eastAsia"/>
          <w:b/>
          <w:bCs/>
          <w:color w:val="auto"/>
          <w:kern w:val="0"/>
          <w:sz w:val="24"/>
          <w:szCs w:val="24"/>
          <w:lang w:bidi="ar-SA" w:eastAsia="zh-CN" w:val="en-US"/>
        </w:rPr>
        <w:t>01：全自动凝血分析仪</w:t>
      </w:r>
    </w:p>
    <w:p>
      <w:pPr>
        <w:pStyle w:val="52"/>
        <w:keepNext w:val="false"/>
        <w:keepLines w:val="false"/>
        <w:pageBreakBefore w:val="false"/>
        <w:widowControl w:val="false"/>
        <w:kinsoku/>
        <w:wordWrap/>
        <w:overflowPunct/>
        <w:topLinePunct w:val="false"/>
        <w:autoSpaceDE/>
        <w:autoSpaceDN/>
        <w:bidi w:val="false"/>
        <w:adjustRightInd/>
        <w:snapToGrid/>
        <w:textAlignment w:val="auto"/>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1.提供“进”字号注册证。</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*2.检测方法：四种方法学的血栓/止血分析系统，包括凝固法、发色底物法、免疫比浊法和凝集法检测。</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3.检测参数：开展PT/APTT/TT/Fbg, 因子，AT，D-二聚体，FDP、vWF、血小板聚集功能检测等项目。</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*4.检测速度：PT/APTT同时检测速度≥400测试/小时；D-二聚体检测速度≥200测试/小时。</w:t>
      </w:r>
    </w:p>
    <w:p>
      <w:pPr>
        <w:numPr>
          <w:ilvl w:val="0"/>
          <w:numId w:val="8"/>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检测通道≥20个：凝固法、发色底物法和免疫比浊法三种方法学均有20个检测通道。</w:t>
      </w:r>
    </w:p>
    <w:p>
      <w:pPr>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6.检测波长：≥5个，并且可自动调整检测波长。</w:t>
      </w:r>
    </w:p>
    <w:p>
      <w:pPr>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7.检测项目：可实现血小板聚集功能分析，有凝固曲线分析功能。</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8.进样方式：采用全自动进样架方式进样，标配闭盖穿刺进样功能 。</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*9.样品位≥100个，连续循环进样，随时追加样本。</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10.急诊位：专用急诊位≥5个。</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*11.试剂位：≥45个，试剂上机稳定性好，冷藏位温度10℃。</w:t>
      </w:r>
    </w:p>
    <w:p>
      <w:pPr>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12.反应杯：独立反应杯，无需磁珠。</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13.检测程序设定：所有检测程序可自由设定修改，可随意选择试剂、随意开展项目。</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14.纤维蛋白原测定方法：具有PT演算纤维蛋白原与Clauss法实测纤维蛋白原两种方法。</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15.溶血（H）、黄疸（I）、脂血（L）样本监测功能：能自动监测并提示样本是否为溶血、黄疸或脂血标本。</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*16.混匀方式：搅拌采用漩涡状混匀方式，无交叉污染。</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17.自动分析功能：自动稀释、自动连锁筛选、自动再检功能、自动多点定标功能。</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18.配有不间断电源，保证待机时间≥30分钟。</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19</w:t>
      </w:r>
      <w:r>
        <w:rPr>
          <w:rFonts w:cs="宋体" w:eastAsia="宋体" w:hAnsi="宋体" w:ascii="宋体" w:hint="eastAsia"/>
          <w:color w:val="auto"/>
          <w:kern w:val="0"/>
          <w:sz w:val="24"/>
          <w:szCs w:val="24"/>
          <w:lang w:bidi="ar-SA" w:eastAsia="zh-CN" w:val="en-US"/>
        </w:rPr>
        <w:t>.备用穿刺针2根。</w:t>
      </w:r>
    </w:p>
    <w:p>
      <w:pPr>
        <w:spacing w:lineRule="auto" w:line="360"/>
        <w:rPr>
          <w:rFonts w:cs="宋体" w:eastAsia="宋体" w:hAnsi="宋体" w:ascii="宋体" w:hint="eastAsia"/>
          <w:b/>
          <w:bCs/>
          <w:color w:val="auto"/>
          <w:kern w:val="0"/>
          <w:sz w:val="24"/>
          <w:szCs w:val="24"/>
          <w:lang w:bidi="ar-SA" w:eastAsia="zh-CN" w:val="en-US"/>
        </w:rPr>
      </w:pPr>
      <w:r>
        <w:rPr>
          <w:rFonts w:cs="宋体" w:eastAsia="宋体" w:hAnsi="宋体" w:ascii="宋体" w:hint="eastAsia"/>
          <w:b/>
          <w:bCs/>
          <w:color w:val="auto"/>
          <w:kern w:val="0"/>
          <w:sz w:val="24"/>
          <w:szCs w:val="24"/>
          <w:lang w:bidi="ar-SA" w:eastAsia="zh-CN" w:val="en-US"/>
        </w:rPr>
        <w:t>02：全自动特定蛋白分析仪</w:t>
      </w:r>
    </w:p>
    <w:p>
      <w:pPr>
        <w:pStyle w:val="52"/>
        <w:keepNext w:val="false"/>
        <w:keepLines w:val="false"/>
        <w:pageBreakBefore w:val="false"/>
        <w:widowControl w:val="false"/>
        <w:kinsoku/>
        <w:wordWrap/>
        <w:overflowPunct/>
        <w:topLinePunct w:val="false"/>
        <w:autoSpaceDE/>
        <w:autoSpaceDN/>
        <w:bidi w:val="false"/>
        <w:adjustRightInd/>
        <w:snapToGrid/>
        <w:textAlignment w:val="auto"/>
        <w:rPr>
          <w:rFonts w:cs="宋体" w:eastAsia="宋体" w:hAnsi="宋体" w:ascii="宋体" w:hint="eastAsia"/>
          <w:b/>
          <w:bCs/>
          <w:sz w:val="24"/>
          <w:szCs w:val="24"/>
        </w:rPr>
      </w:pPr>
      <w:r>
        <w:rPr>
          <w:rFonts w:cs="宋体" w:eastAsia="宋体" w:hAnsi="宋体" w:ascii="宋体" w:hint="eastAsia"/>
          <w:color w:val="auto"/>
          <w:kern w:val="0"/>
          <w:sz w:val="24"/>
          <w:szCs w:val="24"/>
          <w:lang w:bidi="ar-SA" w:eastAsia="zh-CN" w:val="en-US"/>
        </w:rPr>
        <w:t>1.提供“进”字号注册证。</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2.检测方法为散射比浊法。</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3.可检测标本：血清、血浆、尿液、脑脊液。</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4.具有原始管上样功能，样本、试剂、质控品和标准品均可通过条形码识别。</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*5.测试速度≥220测试/小时。</w:t>
      </w:r>
      <w:r>
        <w:rPr>
          <w:rFonts w:cs="宋体" w:hAnsi="宋体" w:hint="eastAsia"/>
          <w:color w:val="auto"/>
          <w:kern w:val="0"/>
          <w:sz w:val="24"/>
          <w:szCs w:val="24"/>
          <w:lang w:bidi="ar-SA" w:eastAsia="zh-CN" w:val="en-US"/>
        </w:rPr>
        <w:t>具备</w:t>
      </w:r>
      <w:r>
        <w:rPr>
          <w:rFonts w:cs="宋体" w:eastAsia="宋体" w:hAnsi="宋体" w:ascii="宋体" w:hint="eastAsia"/>
          <w:color w:val="auto"/>
          <w:kern w:val="0"/>
          <w:sz w:val="24"/>
          <w:szCs w:val="24"/>
          <w:lang w:bidi="ar-SA" w:eastAsia="zh-CN" w:val="en-US"/>
        </w:rPr>
        <w:t>稀释杯≥200</w:t>
      </w:r>
      <w:r>
        <w:rPr>
          <w:rFonts w:cs="宋体" w:hAnsi="宋体" w:hint="eastAsia"/>
          <w:color w:val="auto"/>
          <w:kern w:val="0"/>
          <w:sz w:val="24"/>
          <w:szCs w:val="24"/>
          <w:lang w:bidi="ar-SA" w:eastAsia="zh-CN" w:val="en-US"/>
        </w:rPr>
        <w:t>个</w:t>
      </w:r>
      <w:r>
        <w:rPr>
          <w:rFonts w:cs="宋体" w:eastAsia="宋体" w:hAnsi="宋体" w:ascii="宋体" w:hint="eastAsia"/>
          <w:color w:val="auto"/>
          <w:kern w:val="0"/>
          <w:sz w:val="24"/>
          <w:szCs w:val="24"/>
          <w:lang w:bidi="ar-SA" w:eastAsia="zh-CN" w:val="en-US"/>
        </w:rPr>
        <w:t>，反应杯≥60</w:t>
      </w:r>
      <w:r>
        <w:rPr>
          <w:rFonts w:cs="宋体" w:hAnsi="宋体" w:hint="eastAsia"/>
          <w:color w:val="auto"/>
          <w:kern w:val="0"/>
          <w:sz w:val="24"/>
          <w:szCs w:val="24"/>
          <w:lang w:bidi="ar-SA" w:eastAsia="zh-CN" w:val="en-US"/>
        </w:rPr>
        <w:t>个</w:t>
      </w:r>
      <w:r>
        <w:rPr>
          <w:rFonts w:cs="宋体" w:eastAsia="宋体" w:hAnsi="宋体" w:ascii="宋体" w:hint="eastAsia"/>
          <w:color w:val="auto"/>
          <w:kern w:val="0"/>
          <w:sz w:val="24"/>
          <w:szCs w:val="24"/>
          <w:lang w:bidi="ar-SA" w:eastAsia="zh-CN" w:val="en-US"/>
        </w:rPr>
        <w:t>。</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*6.样本稀释范围，从1:1-1:60,000以上。</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7.光源为红外线高性能发光二级管。</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8.检测波长为840±10nm；</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*9.可检测项目包含：风湿系列、体液免疫系列、IgG亚型、游离轻链、尿肾功等，且具有新项目的持续开发能力。</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*10.具有抗原过量自动检测稀释系统，排除假阴性结果。使用预反应原理。</w:t>
      </w:r>
    </w:p>
    <w:p>
      <w:pPr>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1</w:t>
      </w:r>
      <w:r>
        <w:rPr>
          <w:rFonts w:cs="宋体" w:eastAsia="宋体" w:hAnsi="宋体" w:ascii="宋体" w:hint="eastAsia"/>
          <w:color w:val="auto"/>
          <w:kern w:val="0"/>
          <w:sz w:val="24"/>
          <w:szCs w:val="24"/>
          <w:lang w:bidi="ar-SA" w:eastAsia="zh-CN" w:val="en-US"/>
        </w:rPr>
        <w:t>.具有国际公认的定标、质控系统。</w:t>
      </w:r>
    </w:p>
    <w:p>
      <w:pPr>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2</w:t>
      </w:r>
      <w:r>
        <w:rPr>
          <w:rFonts w:cs="宋体" w:eastAsia="宋体" w:hAnsi="宋体" w:ascii="宋体" w:hint="eastAsia"/>
          <w:color w:val="auto"/>
          <w:kern w:val="0"/>
          <w:sz w:val="24"/>
          <w:szCs w:val="24"/>
          <w:lang w:bidi="ar-SA" w:eastAsia="zh-CN" w:val="en-US"/>
        </w:rPr>
        <w:t>.同一试剂批号有效期≥6个月。</w:t>
      </w:r>
    </w:p>
    <w:p>
      <w:pPr>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3</w:t>
      </w:r>
      <w:r>
        <w:rPr>
          <w:rFonts w:cs="宋体" w:eastAsia="宋体" w:hAnsi="宋体" w:ascii="宋体" w:hint="eastAsia"/>
          <w:color w:val="auto"/>
          <w:kern w:val="0"/>
          <w:sz w:val="24"/>
          <w:szCs w:val="24"/>
          <w:lang w:bidi="ar-SA" w:eastAsia="zh-CN" w:val="en-US"/>
        </w:rPr>
        <w:t>.所配计算机不低于以下配置：</w:t>
      </w:r>
    </w:p>
    <w:p>
      <w:pPr>
        <w:spacing w:lineRule="auto" w:line="360"/>
        <w:rPr>
          <w:rFonts w:cs="宋体" w:eastAsia="宋体" w:hAnsi="宋体" w:ascii="宋体" w:hint="default"/>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CPU: Intel i7 @ 2.9 GHz、RAM:16GB、Storage: 512 GB、内存≥4GB、硬盘≥1T等。</w:t>
      </w:r>
    </w:p>
    <w:p>
      <w:pPr>
        <w:spacing w:lineRule="auto" w:line="360"/>
        <w:rPr>
          <w:rFonts w:hint="eastAsia"/>
          <w:lang w:eastAsia="zh-CN"/>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4</w:t>
      </w:r>
      <w:r>
        <w:rPr>
          <w:rFonts w:cs="宋体" w:eastAsia="宋体" w:hAnsi="宋体" w:ascii="宋体" w:hint="eastAsia"/>
          <w:color w:val="auto"/>
          <w:kern w:val="0"/>
          <w:sz w:val="24"/>
          <w:szCs w:val="24"/>
          <w:lang w:bidi="ar-SA" w:eastAsia="zh-CN" w:val="en-US"/>
        </w:rPr>
        <w:t>.</w:t>
      </w:r>
      <w:r>
        <w:rPr>
          <w:rFonts w:cs="宋体" w:hAnsi="宋体" w:hint="eastAsia"/>
          <w:color w:val="auto"/>
          <w:kern w:val="0"/>
          <w:sz w:val="24"/>
          <w:szCs w:val="24"/>
          <w:lang w:bidi="ar-SA" w:eastAsia="zh-CN" w:val="en-US"/>
        </w:rPr>
        <w:t>配备激光</w:t>
      </w:r>
      <w:r>
        <w:rPr>
          <w:rFonts w:cs="宋体" w:eastAsia="宋体" w:hAnsi="宋体" w:ascii="宋体" w:hint="eastAsia"/>
          <w:color w:val="auto"/>
          <w:kern w:val="0"/>
          <w:sz w:val="24"/>
          <w:szCs w:val="24"/>
          <w:lang w:bidi="ar-SA" w:eastAsia="zh-CN" w:val="en-US"/>
        </w:rPr>
        <w:t>打印机</w:t>
      </w:r>
      <w:r>
        <w:rPr>
          <w:rFonts w:cs="宋体" w:hAnsi="宋体" w:hint="eastAsia"/>
          <w:color w:val="auto"/>
          <w:kern w:val="0"/>
          <w:sz w:val="24"/>
          <w:szCs w:val="24"/>
          <w:lang w:bidi="ar-SA" w:eastAsia="zh-CN" w:val="en-US"/>
        </w:rPr>
        <w:t>一台；</w:t>
      </w:r>
      <w:r>
        <w:rPr>
          <w:rFonts w:cs="宋体" w:eastAsia="宋体" w:hAnsi="宋体" w:ascii="宋体" w:hint="eastAsia"/>
          <w:color w:val="auto"/>
          <w:kern w:val="0"/>
          <w:sz w:val="24"/>
          <w:szCs w:val="24"/>
          <w:lang w:bidi="ar-SA" w:eastAsia="zh-CN" w:val="en-US"/>
        </w:rPr>
        <w:t>显示器一台</w:t>
      </w:r>
      <w:r>
        <w:rPr>
          <w:rFonts w:cs="宋体" w:hAnsi="宋体" w:hint="eastAsia"/>
          <w:color w:val="auto"/>
          <w:kern w:val="0"/>
          <w:sz w:val="24"/>
          <w:szCs w:val="24"/>
          <w:lang w:bidi="ar-SA" w:eastAsia="zh-CN" w:val="en-US"/>
        </w:rPr>
        <w:t>，尺寸</w:t>
      </w:r>
      <w:r>
        <w:rPr>
          <w:rFonts w:cs="宋体" w:eastAsia="宋体" w:hAnsi="宋体" w:ascii="宋体" w:hint="eastAsia"/>
          <w:color w:val="auto"/>
          <w:kern w:val="0"/>
          <w:sz w:val="24"/>
          <w:szCs w:val="24"/>
          <w:lang w:bidi="ar-SA" w:eastAsia="zh-CN" w:val="en-US"/>
        </w:rPr>
        <w:t>≥</w:t>
      </w:r>
      <w:r>
        <w:rPr>
          <w:rFonts w:cs="宋体" w:hAnsi="宋体" w:hint="eastAsia"/>
          <w:color w:val="auto"/>
          <w:kern w:val="0"/>
          <w:sz w:val="24"/>
          <w:szCs w:val="24"/>
          <w:lang w:bidi="ar-SA" w:eastAsia="zh-CN" w:val="en-US"/>
        </w:rPr>
        <w:t>30寸</w:t>
      </w:r>
      <w:r>
        <w:rPr>
          <w:rFonts w:cs="宋体" w:eastAsia="宋体" w:hAnsi="宋体" w:ascii="宋体" w:hint="eastAsia"/>
          <w:color w:val="auto"/>
          <w:kern w:val="0"/>
          <w:sz w:val="24"/>
          <w:szCs w:val="24"/>
          <w:lang w:bidi="ar-SA" w:eastAsia="zh-CN" w:val="en-US"/>
        </w:rPr>
        <w:t>。</w:t>
      </w:r>
    </w:p>
    <w:p>
      <w:pPr>
        <w:spacing w:lineRule="auto" w:line="360"/>
        <w:rPr>
          <w:rFonts w:cs="宋体" w:eastAsia="宋体" w:hAnsi="宋体" w:ascii="宋体" w:hint="eastAsia"/>
          <w:b/>
          <w:bCs/>
          <w:color w:val="auto"/>
          <w:kern w:val="0"/>
          <w:sz w:val="24"/>
          <w:szCs w:val="24"/>
          <w:lang w:bidi="ar-SA" w:eastAsia="zh-CN" w:val="en-US"/>
        </w:rPr>
      </w:pPr>
      <w:r>
        <w:rPr>
          <w:rFonts w:cs="宋体" w:eastAsia="宋体" w:hAnsi="宋体" w:ascii="宋体" w:hint="eastAsia"/>
          <w:b/>
          <w:bCs/>
          <w:color w:val="auto"/>
          <w:kern w:val="0"/>
          <w:sz w:val="24"/>
          <w:szCs w:val="24"/>
          <w:lang w:bidi="ar-SA" w:eastAsia="zh-CN" w:val="en-US"/>
        </w:rPr>
        <w:t>03：全自动粪便处理系统</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1.生物安全：样本采集后运送、检测、回收全过程封闭。具有内外定位装置。</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2.检测速度≥ 80个标本/小时。</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*3.混匀方式：气动混匀。</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*4.检测项目：粪便隐血、转铁蛋白、幽门螺杆菌、腺病毒、轮状病毒等，粪便隐血、钙卫蛋白等为原厂生产配套试剂。</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5.样本稀释方式：自动穿刺注入稀释液，稀释液根据样本浊度智能稀释，以优化满足所有标本的检测要求，尤其是满足虫卵标本的集卵要求。</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6.采集管滤网：使用不锈钢滤网，保证有形成</w:t>
      </w:r>
      <w:r>
        <w:rPr>
          <w:rFonts w:cs="宋体" w:hAnsi="宋体" w:ascii="宋体" w:hint="eastAsia"/>
          <w:color w:val="auto"/>
          <w:kern w:val="0"/>
          <w:sz w:val="24"/>
          <w:szCs w:val="24"/>
          <w:lang w:bidi="ar-SA" w:eastAsia="zh-CN" w:val="en-US"/>
        </w:rPr>
        <w:t>份</w:t>
      </w:r>
      <w:r>
        <w:rPr>
          <w:rFonts w:cs="宋体" w:eastAsia="宋体" w:hAnsi="宋体" w:ascii="宋体" w:hint="eastAsia"/>
          <w:color w:val="auto"/>
          <w:kern w:val="0"/>
          <w:sz w:val="24"/>
          <w:szCs w:val="24"/>
          <w:lang w:bidi="ar-SA" w:eastAsia="zh-CN" w:val="en-US"/>
        </w:rPr>
        <w:t>通过。</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7.试剂卡自动送卡，卡仓数量≥6个，单项目可装载≥300张，卡量监测报警，不停机加卡。</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8.吸样方式：可进行两端穿刺加注或吸样，吸样针倒置上穿定量吸样。</w:t>
      </w:r>
    </w:p>
    <w:p>
      <w:pPr>
        <w:pStyle w:val="32"/>
        <w:numPr>
          <w:ilvl w:val="0"/>
          <w:numId w:val="0"/>
        </w:num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9.有形成分检测：配置自动图形识别软件，能对红细胞、白细胞、真菌孢子、脂肪球、夏科雷登结晶、寄生虫虫卵等进行自动分类识别。</w:t>
      </w:r>
    </w:p>
    <w:p>
      <w:pPr>
        <w:numPr>
          <w:ilvl w:val="0"/>
          <w:numId w:val="0"/>
        </w:numPr>
        <w:rPr>
          <w:rFonts w:cs="宋体" w:eastAsia="宋体" w:hAnsi="宋体" w:ascii="宋体" w:hint="eastAsia"/>
          <w:b/>
          <w:bCs/>
          <w:sz w:val="20"/>
          <w:szCs w:val="20"/>
        </w:rPr>
      </w:pPr>
      <w:r>
        <w:rPr>
          <w:rFonts w:hint="eastAsia"/>
          <w:b/>
          <w:bCs/>
          <w:sz w:val="24"/>
          <w:szCs w:val="18"/>
          <w:lang w:eastAsia="zh-CN" w:val="en-US"/>
        </w:rPr>
        <w:t>04</w:t>
      </w:r>
      <w:r>
        <w:rPr>
          <w:rFonts w:hint="eastAsia"/>
          <w:b/>
          <w:bCs/>
          <w:sz w:val="24"/>
          <w:szCs w:val="18"/>
          <w:lang w:eastAsia="zh-CN"/>
        </w:rPr>
        <w:t>：全自动尿液分析仪一体机</w:t>
      </w:r>
    </w:p>
    <w:p>
      <w:pPr>
        <w:widowControl/>
        <w:numPr>
          <w:ilvl w:val="0"/>
          <w:numId w:val="0"/>
        </w:numPr>
        <w:adjustRightInd w:val="false"/>
        <w:snapToGrid w:val="false"/>
        <w:spacing w:after="200"/>
        <w:jc w:val="left"/>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1.产品功能：尿液干化学和有形成分分析一体机。</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*2.尿有形成分分析采用平面流式细胞技术及数字成像自动识别技术。</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*3.检测项目：干化学测试项目≥11项，有形成分自动识别测试项目≥25项（并可提供电导率、渗透压、ACR、PCR）。</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4.红细胞位相功能：≥3个报告参数。</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 xml:space="preserve">*5.检测速度：干化学测试模式：≥300个/小时；有形成分测试模式≥120个/小时。 </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6.样本需求量：各试验总量≤2.0mL，液面感应技术，当测试样本量不足时有报警提示。</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7.样本放置位≥50个样本。</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8.试纸仓容量≥400条试纸。</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9.急诊测试：可进行单个样本的急诊测试。</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10.可显示并存储在加入样本反应后的尿试纸条图像，及有形成份的真实图像，用于结果审核与查阅等方面。</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11.有形成分拍图量：≥2000帧/样本。</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12.原图查询功能：可显示并存储有形成份的真实全景图片。</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13.存储与查询：≥10万个结果，可实时查询，断电后存储数据不丢失。</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14.报告打印：可连接外置打印机打印测试结果和图片，可纵向、横向打印A4多种样式，并可根据需求定制报告模板。</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15.数据接口：具有与实验室信息系统进行通信的数据接口，可与实验室信息系统进行通信互联。</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16.分析系统可自动识别试管位号与试管架号。</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17.电脑工作站主机配置：配置不低于：处理器英特尔酷睿i5，主频3.00GHz，内存≥4GB，硬盘≥1T 机械硬盘，独立显卡。</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*18.原厂配套尿液质控：≥4种,原厂配套尿有形成分质控：≥4种。</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19.配有不间断电源，保证断电后待机≥30分钟。</w:t>
      </w:r>
    </w:p>
    <w:p>
      <w:pPr>
        <w:numPr>
          <w:ilvl w:val="0"/>
          <w:numId w:val="0"/>
        </w:numPr>
        <w:tabs>
          <w:tab w:pos="420" w:val="left"/>
        </w:tabs>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20.提供备用穿刺针1根。</w:t>
      </w:r>
    </w:p>
    <w:p>
      <w:pPr>
        <w:numPr>
          <w:ilvl w:val="0"/>
          <w:numId w:val="0"/>
        </w:numPr>
        <w:rPr>
          <w:rFonts w:hint="eastAsia"/>
          <w:b/>
          <w:bCs/>
          <w:sz w:val="24"/>
          <w:szCs w:val="18"/>
          <w:lang w:eastAsia="zh-CN"/>
        </w:rPr>
      </w:pPr>
      <w:r>
        <w:rPr>
          <w:rFonts w:hint="eastAsia"/>
          <w:b/>
          <w:bCs/>
          <w:sz w:val="24"/>
          <w:szCs w:val="18"/>
          <w:lang w:eastAsia="zh-CN" w:val="en-US"/>
        </w:rPr>
        <w:t>05</w:t>
      </w:r>
      <w:r>
        <w:rPr>
          <w:rFonts w:hint="eastAsia"/>
          <w:b/>
          <w:bCs/>
          <w:sz w:val="24"/>
          <w:szCs w:val="18"/>
          <w:lang w:eastAsia="zh-CN"/>
        </w:rPr>
        <w:t>：新冠病毒核酸快速检测系统</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1</w:t>
      </w:r>
      <w:r>
        <w:rPr>
          <w:rFonts w:cs="宋体" w:eastAsia="宋体" w:hAnsi="宋体" w:ascii="宋体" w:hint="eastAsia"/>
          <w:color w:val="auto"/>
          <w:kern w:val="0"/>
          <w:sz w:val="24"/>
          <w:szCs w:val="24"/>
          <w:lang w:bidi="ar-SA" w:eastAsia="zh-CN" w:val="en-US"/>
        </w:rPr>
        <w:t>.产品组成：主机、电源适配器、随机软件、平板笔记本电脑、小型离心机。</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2</w:t>
      </w:r>
      <w:r>
        <w:rPr>
          <w:rFonts w:cs="宋体" w:eastAsia="宋体" w:hAnsi="宋体" w:ascii="宋体" w:hint="eastAsia"/>
          <w:color w:val="auto"/>
          <w:kern w:val="0"/>
          <w:sz w:val="24"/>
          <w:szCs w:val="24"/>
          <w:lang w:bidi="ar-SA" w:eastAsia="zh-CN" w:val="en-US"/>
        </w:rPr>
        <w:t>.设备主机基于实时荧光定量PCR检测技术方法。</w:t>
      </w:r>
    </w:p>
    <w:p>
      <w:pPr>
        <w:pStyle w:val="32"/>
        <w:tabs>
          <w:tab w:pos="420" w:val="left"/>
        </w:tabs>
        <w:spacing w:lineRule="auto" w:line="360"/>
        <w:ind w:firstLineChars="0" w:firstLine="0" w:leftChars="0" w:left="0"/>
        <w:rPr>
          <w:rFonts w:cs="宋体" w:eastAsia="宋体" w:hAnsi="宋体" w:ascii="宋体" w:hint="eastAsia"/>
          <w:color w:val="auto"/>
          <w:kern w:val="0"/>
          <w:sz w:val="24"/>
          <w:szCs w:val="24"/>
          <w:lang w:bidi="ar-SA" w:eastAsia="zh-CN" w:val="en-US"/>
        </w:rPr>
      </w:pPr>
      <w:r>
        <w:rPr>
          <w:rFonts w:cs="宋体" w:hAnsi="宋体" w:ascii="宋体" w:hint="eastAsia"/>
          <w:color w:val="auto"/>
          <w:kern w:val="0"/>
          <w:sz w:val="24"/>
          <w:szCs w:val="24"/>
          <w:lang w:bidi="ar-SA" w:eastAsia="zh-CN" w:val="en-US"/>
        </w:rPr>
        <w:t>3</w:t>
      </w:r>
      <w:r>
        <w:rPr>
          <w:rFonts w:cs="宋体" w:eastAsia="宋体" w:hAnsi="宋体" w:ascii="宋体" w:hint="eastAsia"/>
          <w:color w:val="auto"/>
          <w:kern w:val="0"/>
          <w:sz w:val="24"/>
          <w:szCs w:val="24"/>
          <w:lang w:bidi="ar-SA" w:eastAsia="zh-CN" w:val="en-US"/>
        </w:rPr>
        <w:t>.光源： LED，使用寿命≥5年。</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4</w:t>
      </w:r>
      <w:r>
        <w:rPr>
          <w:rFonts w:cs="宋体" w:eastAsia="宋体" w:hAnsi="宋体" w:ascii="宋体" w:hint="eastAsia"/>
          <w:color w:val="auto"/>
          <w:kern w:val="0"/>
          <w:sz w:val="24"/>
          <w:szCs w:val="24"/>
          <w:lang w:bidi="ar-SA" w:eastAsia="zh-CN" w:val="en-US"/>
        </w:rPr>
        <w:t>.检测头：高灵敏度光电二极管。</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5</w:t>
      </w:r>
      <w:r>
        <w:rPr>
          <w:rFonts w:cs="宋体" w:eastAsia="宋体" w:hAnsi="宋体" w:ascii="宋体" w:hint="eastAsia"/>
          <w:color w:val="auto"/>
          <w:kern w:val="0"/>
          <w:sz w:val="24"/>
          <w:szCs w:val="24"/>
          <w:lang w:bidi="ar-SA" w:eastAsia="zh-CN" w:val="en-US"/>
        </w:rPr>
        <w:t>.加热制冷模块：陶瓷加热、空气浴冷。</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6</w:t>
      </w:r>
      <w:r>
        <w:rPr>
          <w:rFonts w:cs="宋体" w:eastAsia="宋体" w:hAnsi="宋体" w:ascii="宋体" w:hint="eastAsia"/>
          <w:color w:val="auto"/>
          <w:kern w:val="0"/>
          <w:sz w:val="24"/>
          <w:szCs w:val="24"/>
          <w:lang w:bidi="ar-SA" w:eastAsia="zh-CN" w:val="en-US"/>
        </w:rPr>
        <w:t>.升温速度：≥7.0℃/s；降温速度：≥1.5℃/s。</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7</w:t>
      </w:r>
      <w:r>
        <w:rPr>
          <w:rFonts w:cs="宋体" w:eastAsia="宋体" w:hAnsi="宋体" w:ascii="宋体" w:hint="eastAsia"/>
          <w:color w:val="auto"/>
          <w:kern w:val="0"/>
          <w:sz w:val="24"/>
          <w:szCs w:val="24"/>
          <w:lang w:bidi="ar-SA" w:eastAsia="zh-CN" w:val="en-US"/>
        </w:rPr>
        <w:t>.温度精准性：±0.5℃。</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8</w:t>
      </w:r>
      <w:r>
        <w:rPr>
          <w:rFonts w:cs="宋体" w:eastAsia="宋体" w:hAnsi="宋体" w:ascii="宋体" w:hint="eastAsia"/>
          <w:color w:val="auto"/>
          <w:kern w:val="0"/>
          <w:sz w:val="24"/>
          <w:szCs w:val="24"/>
          <w:lang w:bidi="ar-SA" w:eastAsia="zh-CN" w:val="en-US"/>
        </w:rPr>
        <w:t>.样本容量： 4×50μL反应管</w:t>
      </w:r>
    </w:p>
    <w:p>
      <w:pPr>
        <w:spacing w:lineRule="auto" w:line="360"/>
        <w:rPr>
          <w:rFonts w:cs="宋体" w:eastAsia="宋体" w:hAnsi="宋体" w:ascii="宋体" w:hint="eastAsia"/>
          <w:color w:val="auto"/>
          <w:kern w:val="0"/>
          <w:sz w:val="24"/>
          <w:szCs w:val="24"/>
          <w:lang w:bidi="ar-SA" w:eastAsia="zh-CN" w:val="en-US"/>
        </w:rPr>
      </w:pPr>
      <w:r>
        <w:rPr>
          <w:rFonts w:cs="宋体" w:hAnsi="宋体" w:hint="eastAsia"/>
          <w:color w:val="auto"/>
          <w:kern w:val="0"/>
          <w:sz w:val="24"/>
          <w:szCs w:val="24"/>
          <w:lang w:bidi="ar-SA" w:eastAsia="zh-CN" w:val="en-US"/>
        </w:rPr>
        <w:t>9</w:t>
      </w:r>
      <w:r>
        <w:rPr>
          <w:rFonts w:cs="宋体" w:eastAsia="宋体" w:hAnsi="宋体" w:ascii="宋体" w:hint="eastAsia"/>
          <w:color w:val="auto"/>
          <w:kern w:val="0"/>
          <w:sz w:val="24"/>
          <w:szCs w:val="24"/>
          <w:lang w:bidi="ar-SA" w:eastAsia="zh-CN" w:val="en-US"/>
        </w:rPr>
        <w:t>.检测位≥4个，每个检测位独立升降温控制模块，可单独设定PCR实验，各模块无干扰，实现样本随到随检。</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0</w:t>
      </w:r>
      <w:r>
        <w:rPr>
          <w:rFonts w:cs="宋体" w:eastAsia="宋体" w:hAnsi="宋体" w:ascii="宋体" w:hint="eastAsia"/>
          <w:color w:val="auto"/>
          <w:kern w:val="0"/>
          <w:sz w:val="24"/>
          <w:szCs w:val="24"/>
          <w:lang w:bidi="ar-SA" w:eastAsia="zh-CN" w:val="en-US"/>
        </w:rPr>
        <w:t>.操作方式：半封闭模式。</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1</w:t>
      </w:r>
      <w:r>
        <w:rPr>
          <w:rFonts w:cs="宋体" w:eastAsia="宋体" w:hAnsi="宋体" w:ascii="宋体" w:hint="eastAsia"/>
          <w:color w:val="auto"/>
          <w:kern w:val="0"/>
          <w:sz w:val="24"/>
          <w:szCs w:val="24"/>
          <w:lang w:bidi="ar-SA" w:eastAsia="zh-CN" w:val="en-US"/>
        </w:rPr>
        <w:t>.检测通道：4个，包括FAM/SYBR Green（470nm）/ HEX/VIC（525nm）/ ROX/TEXAS RED（580nm）/ CY5（635nm）</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2</w:t>
      </w:r>
      <w:r>
        <w:rPr>
          <w:rFonts w:cs="宋体" w:eastAsia="宋体" w:hAnsi="宋体" w:ascii="宋体" w:hint="eastAsia"/>
          <w:color w:val="auto"/>
          <w:kern w:val="0"/>
          <w:sz w:val="24"/>
          <w:szCs w:val="24"/>
          <w:lang w:bidi="ar-SA" w:eastAsia="zh-CN" w:val="en-US"/>
        </w:rPr>
        <w:t>.样本处理：无需核酸提取纯化，可原始样本上样检测；一次开盖,在同一仪器内部全自动完成核酸裂解、释放、扩增、结果输出。</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3</w:t>
      </w:r>
      <w:r>
        <w:rPr>
          <w:rFonts w:cs="宋体" w:eastAsia="宋体" w:hAnsi="宋体" w:ascii="宋体" w:hint="eastAsia"/>
          <w:color w:val="auto"/>
          <w:kern w:val="0"/>
          <w:sz w:val="24"/>
          <w:szCs w:val="24"/>
          <w:lang w:bidi="ar-SA" w:eastAsia="zh-CN" w:val="en-US"/>
        </w:rPr>
        <w:t>.适用样本：呼吸道拭子、痰液等。</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w:t>
      </w:r>
      <w:r>
        <w:rPr>
          <w:rFonts w:cs="宋体" w:hAnsi="宋体" w:hint="eastAsia"/>
          <w:color w:val="auto"/>
          <w:kern w:val="0"/>
          <w:sz w:val="24"/>
          <w:szCs w:val="24"/>
          <w:lang w:bidi="ar-SA" w:eastAsia="zh-CN" w:val="en-US"/>
        </w:rPr>
        <w:t>4</w:t>
      </w:r>
      <w:r>
        <w:rPr>
          <w:rFonts w:cs="宋体" w:eastAsia="宋体" w:hAnsi="宋体" w:ascii="宋体" w:hint="eastAsia"/>
          <w:color w:val="auto"/>
          <w:kern w:val="0"/>
          <w:sz w:val="24"/>
          <w:szCs w:val="24"/>
          <w:lang w:bidi="ar-SA" w:eastAsia="zh-CN" w:val="en-US"/>
        </w:rPr>
        <w:t>.仪器及配套试剂具备三类医疗器械注册证。</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w:t>
      </w:r>
      <w:r>
        <w:rPr>
          <w:rFonts w:cs="宋体" w:hAnsi="宋体" w:hint="eastAsia"/>
          <w:color w:val="auto"/>
          <w:kern w:val="0"/>
          <w:sz w:val="24"/>
          <w:szCs w:val="24"/>
          <w:lang w:bidi="ar-SA" w:eastAsia="zh-CN" w:val="en-US"/>
        </w:rPr>
        <w:t>15</w:t>
      </w:r>
      <w:r>
        <w:rPr>
          <w:rFonts w:cs="宋体" w:eastAsia="宋体" w:hAnsi="宋体" w:ascii="宋体" w:hint="eastAsia"/>
          <w:color w:val="auto"/>
          <w:kern w:val="0"/>
          <w:sz w:val="24"/>
          <w:szCs w:val="24"/>
          <w:lang w:bidi="ar-SA" w:eastAsia="zh-CN" w:val="en-US"/>
        </w:rPr>
        <w:t>.完整检测时间：≤50分钟。</w:t>
      </w:r>
    </w:p>
    <w:p>
      <w:pPr>
        <w:numPr>
          <w:ilvl w:val="0"/>
          <w:numId w:val="0"/>
        </w:numPr>
        <w:rPr>
          <w:rFonts w:hint="eastAsia"/>
          <w:b/>
          <w:bCs/>
          <w:sz w:val="24"/>
          <w:szCs w:val="18"/>
          <w:lang w:eastAsia="zh-CN"/>
        </w:rPr>
      </w:pPr>
      <w:r>
        <w:rPr>
          <w:rFonts w:hint="eastAsia"/>
          <w:b/>
          <w:bCs/>
          <w:sz w:val="24"/>
          <w:szCs w:val="18"/>
          <w:lang w:eastAsia="zh-CN" w:val="en-US"/>
        </w:rPr>
        <w:t>06</w:t>
      </w:r>
      <w:r>
        <w:rPr>
          <w:rFonts w:hint="eastAsia"/>
          <w:b/>
          <w:bCs/>
          <w:sz w:val="24"/>
          <w:szCs w:val="18"/>
          <w:lang w:eastAsia="zh-CN"/>
        </w:rPr>
        <w:t>：全自动血液免疫分析仪</w:t>
      </w:r>
    </w:p>
    <w:p>
      <w:pPr>
        <w:pStyle w:val="2"/>
        <w:spacing w:lineRule="auto" w:line="357" w:before="0"/>
        <w:ind w:firstLineChars="0" w:firstLine="0" w:right="231" w:leftChars="0" w:left="0"/>
        <w:jc w:val="both"/>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检测原理：库尔特原理检测白细胞/嗜碱性粒细胞、红细胞和血小板的数目以及体积分布；采用比色法测量血红蛋白浓度；采用半导体激光流式细胞技术获得白细胞的五分类统计计数；采用免疫散射比浊法测定C反应蛋白含量和血清淀粉样蛋白A含量。</w:t>
      </w:r>
    </w:p>
    <w:p>
      <w:pPr>
        <w:pStyle w:val="2"/>
        <w:spacing w:lineRule="auto" w:line="357" w:before="36"/>
        <w:ind w:firstLineChars="0" w:firstLine="0" w:right="101" w:leftChars="0" w:left="0"/>
        <w:jc w:val="both"/>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 检测项目：至少包含血细胞计数及五分类、CRP、Hs-CRP、SAA等。</w:t>
      </w:r>
    </w:p>
    <w:p>
      <w:pPr>
        <w:pStyle w:val="2"/>
        <w:spacing w:before="36"/>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3.散点图：至少包括1个可视可旋转立体三维散点图和3个二维散点图。</w:t>
      </w:r>
    </w:p>
    <w:p>
      <w:pPr>
        <w:pStyle w:val="2"/>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4.直方图：≥3个直方图，至少包括WBC直方图、RBC直方图、PLT直方图。</w:t>
      </w:r>
    </w:p>
    <w:p>
      <w:pPr>
        <w:pStyle w:val="2"/>
        <w:spacing w:lineRule="auto" w:line="357"/>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*5.分析模式：≥8 种分析模式，至少包括CBC、CBC+DIFF、CRP、SAA、CRP+SAA、CBC+DIFF+CRP、 CBC+DIFF+SAA、CBC+DIFF+CRP+SAA。</w:t>
      </w:r>
    </w:p>
    <w:p>
      <w:pPr>
        <w:pStyle w:val="2"/>
        <w:spacing w:before="36"/>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6.测试速度：血常规≥90样本/小时；</w:t>
      </w:r>
    </w:p>
    <w:p>
      <w:pPr>
        <w:pStyle w:val="2"/>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7.血样模式：静脉全血、末梢全血、预稀释血。</w:t>
      </w:r>
    </w:p>
    <w:p>
      <w:pPr>
        <w:pStyle w:val="2"/>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*8.进样模式：手动开放进样、自动封闭进样、末梢血自动进样。</w:t>
      </w:r>
    </w:p>
    <w:p>
      <w:pPr>
        <w:pStyle w:val="2"/>
        <w:spacing w:lineRule="auto" w:line="357"/>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9.自动进样：配备轨道式自动进样架，一次可同时装载≥60个样本，并可不间断追加样本。</w:t>
      </w:r>
    </w:p>
    <w:p>
      <w:pPr>
        <w:pStyle w:val="2"/>
        <w:spacing w:lineRule="auto" w:line="360" w:before="36"/>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*10.样本量：全血血常规检测≤20μL；血常规+单特定蛋白联合检测≤30μL；血常规+两种特定蛋白联合检测≤35μL。</w:t>
      </w:r>
    </w:p>
    <w:p>
      <w:pPr>
        <w:pStyle w:val="2"/>
        <w:spacing w:lineRule="auto" w:line="360" w:before="36"/>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11.冷藏功能：具有试剂冷藏系统，支持特定蛋白试剂冷藏存放。</w:t>
      </w:r>
    </w:p>
    <w:p>
      <w:pPr>
        <w:pStyle w:val="2"/>
        <w:spacing w:lineRule="auto" w:line="360"/>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12.校准模式：具备校准物校准、新鲜血校准以及人工校准模式。</w:t>
      </w:r>
    </w:p>
    <w:p>
      <w:pPr>
        <w:adjustRightInd w:val="false"/>
        <w:snapToGrid w:val="false"/>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13. 质控模式：具有 L-J、X-B 两种质控模式，能够自动绘制质控图。</w:t>
      </w:r>
    </w:p>
    <w:p>
      <w:pPr>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14.数据存储管理：自动对标本结果、仪器状态、日志等进行记录、并支持对信息进行回顾查询，≥30万条样本记录（包含散点图、直方图、患者信息）</w:t>
      </w:r>
    </w:p>
    <w:p>
      <w:pPr>
        <w:pStyle w:val="2"/>
        <w:spacing w:lineRule="auto" w:line="360"/>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15.联网功能：支持双向LIS，具有与实验室信息系统进行通信的功能。</w:t>
      </w:r>
    </w:p>
    <w:p>
      <w:pPr>
        <w:pStyle w:val="2"/>
        <w:spacing w:lineRule="auto" w:line="360"/>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16.排堵及清洗功能：仪器拥有自动检测堵孔，自动排堵的功能，同时支持自动采样针清洗、开关机自动清洗。</w:t>
      </w:r>
    </w:p>
    <w:p>
      <w:pPr>
        <w:pStyle w:val="2"/>
        <w:spacing w:lineRule="auto" w:line="360" w:before="36"/>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17.维护功能：具备一键故障消除功能。</w:t>
      </w:r>
    </w:p>
    <w:p>
      <w:pPr>
        <w:pStyle w:val="2"/>
        <w:spacing w:lineRule="auto" w:line="360"/>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18.试剂：</w:t>
      </w:r>
      <w:r>
        <w:rPr>
          <w:rFonts w:cs="宋体" w:hAnsi="宋体" w:hint="eastAsia"/>
          <w:color w:val="auto"/>
          <w:kern w:val="0"/>
          <w:sz w:val="24"/>
          <w:szCs w:val="24"/>
          <w:lang w:bidi="ar-SA" w:eastAsia="zh-CN" w:val="en-US"/>
        </w:rPr>
        <w:t>须能</w:t>
      </w:r>
      <w:r>
        <w:rPr>
          <w:rFonts w:cs="宋体" w:eastAsia="宋体" w:hAnsi="宋体" w:ascii="宋体" w:hint="eastAsia"/>
          <w:color w:val="auto"/>
          <w:kern w:val="0"/>
          <w:sz w:val="24"/>
          <w:szCs w:val="24"/>
          <w:lang w:bidi="ar-SA" w:eastAsia="zh-CN" w:val="en-US"/>
        </w:rPr>
        <w:t>提供原厂配套试剂。</w:t>
      </w:r>
    </w:p>
    <w:p>
      <w:pPr>
        <w:pStyle w:val="2"/>
        <w:spacing w:lineRule="auto" w:line="360"/>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19.质控：</w:t>
      </w:r>
      <w:r>
        <w:rPr>
          <w:rFonts w:cs="宋体" w:hAnsi="宋体" w:hint="eastAsia"/>
          <w:color w:val="auto"/>
          <w:kern w:val="0"/>
          <w:sz w:val="24"/>
          <w:szCs w:val="24"/>
          <w:lang w:bidi="ar-SA" w:eastAsia="zh-CN" w:val="en-US"/>
        </w:rPr>
        <w:t>能</w:t>
      </w:r>
      <w:r>
        <w:rPr>
          <w:rFonts w:cs="宋体" w:eastAsia="宋体" w:hAnsi="宋体" w:ascii="宋体" w:hint="eastAsia"/>
          <w:color w:val="auto"/>
          <w:kern w:val="0"/>
          <w:sz w:val="24"/>
          <w:szCs w:val="24"/>
          <w:lang w:bidi="ar-SA" w:eastAsia="zh-CN" w:val="en-US"/>
        </w:rPr>
        <w:t>提供配套高、中、低质控。</w:t>
      </w:r>
    </w:p>
    <w:p>
      <w:pPr>
        <w:pStyle w:val="2"/>
        <w:spacing w:lineRule="auto" w:line="360"/>
        <w:ind w:firstLineChars="0" w:firstLine="0" w:leftChars="0" w:left="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20.配备UPS电源，保证待机时间≥30分钟。</w:t>
      </w:r>
    </w:p>
    <w:p>
      <w:pPr>
        <w:adjustRightInd w:val="false"/>
        <w:snapToGrid w:val="false"/>
        <w:spacing w:lineRule="auto" w:line="360"/>
        <w:rPr>
          <w:rFonts w:cs="宋体" w:eastAsia="宋体" w:hAnsi="宋体" w:ascii="宋体" w:hint="eastAsia"/>
          <w:color w:val="auto"/>
          <w:kern w:val="0"/>
          <w:sz w:val="24"/>
          <w:szCs w:val="24"/>
          <w:lang w:bidi="ar-SA" w:eastAsia="zh-CN" w:val="en-US"/>
        </w:rPr>
      </w:pPr>
      <w:r>
        <w:rPr>
          <w:rFonts w:cs="宋体" w:eastAsia="宋体" w:hAnsi="宋体" w:ascii="宋体" w:hint="eastAsia"/>
          <w:color w:val="auto"/>
          <w:kern w:val="0"/>
          <w:sz w:val="24"/>
          <w:szCs w:val="24"/>
          <w:lang w:bidi="ar-SA" w:eastAsia="zh-CN" w:val="en-US"/>
        </w:rPr>
        <w:t>2</w:t>
      </w:r>
      <w:r>
        <w:rPr>
          <w:rFonts w:cs="宋体" w:hAnsi="宋体" w:hint="eastAsia"/>
          <w:color w:val="auto"/>
          <w:kern w:val="0"/>
          <w:sz w:val="24"/>
          <w:szCs w:val="24"/>
          <w:lang w:bidi="ar-SA" w:eastAsia="zh-CN" w:val="en-US"/>
        </w:rPr>
        <w:t>1</w:t>
      </w:r>
      <w:r>
        <w:rPr>
          <w:rFonts w:cs="宋体" w:eastAsia="宋体" w:hAnsi="宋体" w:ascii="宋体" w:hint="eastAsia"/>
          <w:color w:val="auto"/>
          <w:kern w:val="0"/>
          <w:sz w:val="24"/>
          <w:szCs w:val="24"/>
          <w:lang w:bidi="ar-SA" w:eastAsia="zh-CN" w:val="en-US"/>
        </w:rPr>
        <w:t>.提供穿刺针：2根。（一用一备）</w:t>
      </w:r>
    </w:p>
    <w:p>
      <w:pPr>
        <w:spacing w:lineRule="auto" w:line="360"/>
        <w:rPr>
          <w:rFonts w:cs="宋体" w:eastAsia="宋体" w:hAnsi="宋体" w:ascii="宋体" w:hint="default"/>
          <w:sz w:val="24"/>
          <w:szCs w:val="24"/>
          <w:lang w:val="en-US"/>
        </w:rPr>
      </w:pPr>
      <w:r>
        <w:rPr>
          <w:rFonts w:cs="宋体" w:eastAsia="宋体" w:hAnsi="宋体" w:ascii="宋体" w:hint="eastAsia"/>
          <w:b/>
          <w:bCs/>
          <w:color w:val="auto"/>
          <w:kern w:val="0"/>
          <w:sz w:val="24"/>
          <w:szCs w:val="24"/>
          <w:lang w:bidi="ar-SA" w:eastAsia="zh-CN" w:val="en-US"/>
        </w:rPr>
        <w:t>注：*指标为重点技术指标，须提供证明材料予以佐证。</w:t>
      </w:r>
    </w:p>
    <w:p>
      <w:pPr>
        <w:pStyle w:val="2"/>
        <w:rPr>
          <w:rFonts w:cs="宋体" w:eastAsia="宋体" w:hAnsi="宋体" w:ascii="宋体" w:hint="eastAsia"/>
          <w:color w:val="auto"/>
          <w:kern w:val="0"/>
          <w:sz w:val="24"/>
          <w:szCs w:val="24"/>
          <w:lang w:bidi="ar-SA" w:eastAsia="zh-CN" w:val="en-US"/>
        </w:rPr>
      </w:pPr>
    </w:p>
    <w:p>
      <w:pPr>
        <w:pStyle w:val="2"/>
        <w:rPr>
          <w:rFonts w:cs="宋体" w:eastAsia="宋体" w:hAnsi="宋体" w:ascii="宋体" w:hint="eastAsia"/>
          <w:color w:val="auto"/>
          <w:kern w:val="0"/>
          <w:sz w:val="24"/>
          <w:szCs w:val="24"/>
          <w:lang w:bidi="ar-SA" w:eastAsia="zh-CN" w:val="en-US"/>
        </w:rPr>
      </w:pPr>
    </w:p>
    <w:p>
      <w:pPr>
        <w:spacing w:lineRule="auto" w:line="360"/>
        <w:rPr>
          <w:rFonts w:cs="宋体" w:eastAsia="宋体" w:hAnsi="宋体" w:ascii="宋体" w:hint="eastAsia"/>
          <w:sz w:val="24"/>
          <w:szCs w:val="24"/>
        </w:rPr>
      </w:pPr>
    </w:p>
    <w:p>
      <w:pPr>
        <w:pStyle w:val="2"/>
        <w:rPr>
          <w:rFonts w:hint="eastAsia"/>
          <w:lang w:eastAsia="zh-CN"/>
        </w:rPr>
      </w:pPr>
    </w:p>
    <w:p>
      <w:pPr>
        <w:pStyle w:val="2"/>
        <w:rPr>
          <w:rFonts w:cs="宋体" w:hAnsi="宋体"/>
          <w:color w:val="000000"/>
          <w:sz w:val="24"/>
        </w:rPr>
      </w:pPr>
    </w:p>
    <w:p>
      <w:pPr>
        <w:pStyle w:val="2"/>
        <w:rPr>
          <w:rFonts w:cs="宋体" w:hAnsi="宋体"/>
          <w:color w:val="000000"/>
          <w:sz w:val="24"/>
        </w:rPr>
      </w:pPr>
    </w:p>
    <w:p>
      <w:pPr>
        <w:pStyle w:val="2"/>
        <w:rPr>
          <w:rFonts w:cs="宋体" w:hAnsi="宋体"/>
          <w:color w:val="000000"/>
          <w:sz w:val="24"/>
        </w:rPr>
      </w:pPr>
    </w:p>
    <w:p>
      <w:pPr>
        <w:pStyle w:val="2"/>
        <w:rPr>
          <w:rFonts w:cs="宋体" w:hAnsi="宋体"/>
          <w:color w:val="000000"/>
          <w:sz w:val="24"/>
        </w:rPr>
      </w:pPr>
    </w:p>
    <w:p>
      <w:pPr>
        <w:pStyle w:val="2"/>
        <w:rPr>
          <w:rFonts w:cs="宋体" w:hAnsi="宋体"/>
          <w:color w:val="000000"/>
          <w:sz w:val="24"/>
        </w:rPr>
      </w:pPr>
    </w:p>
    <w:p>
      <w:pPr>
        <w:pStyle w:val="2"/>
        <w:rPr>
          <w:rFonts w:cs="宋体" w:hAnsi="宋体"/>
          <w:color w:val="000000"/>
          <w:sz w:val="24"/>
        </w:rPr>
      </w:pPr>
    </w:p>
    <w:p>
      <w:pPr>
        <w:rPr>
          <w:sz w:val="40"/>
          <w:szCs w:val="21"/>
        </w:rPr>
      </w:pPr>
      <w:r>
        <w:rPr>
          <w:rFonts w:hint="eastAsia"/>
          <w:sz w:val="40"/>
          <w:szCs w:val="21"/>
        </w:rPr>
        <w:br w:type="page"/>
      </w:r>
    </w:p>
    <w:p>
      <w:pPr>
        <w:pStyle w:val="2"/>
        <w:jc w:val="center"/>
        <w:rPr>
          <w:rStyle w:val="30"/>
        </w:rPr>
      </w:pPr>
      <w:r>
        <w:rPr>
          <w:rStyle w:val="30"/>
          <w:rFonts w:hint="eastAsia"/>
        </w:rPr>
        <w:t>第六章 评标办法</w:t>
      </w:r>
      <w:bookmarkEnd w:id="201"/>
      <w:bookmarkEnd w:id="202"/>
      <w:bookmarkEnd w:id="203"/>
      <w:bookmarkEnd w:id="204"/>
      <w:bookmarkEnd w:id="206"/>
      <w:bookmarkEnd w:id="207"/>
      <w:bookmarkEnd w:id="208"/>
      <w:bookmarkStart w:name="_Toc208849007" w:id="209"/>
      <w:bookmarkStart w:name="_Toc183582280" w:id="210"/>
      <w:bookmarkStart w:name="_Toc183682415" w:id="211"/>
      <w:bookmarkStart w:name="_Toc217446097" w:id="212"/>
    </w:p>
    <w:bookmarkEnd w:id="205"/>
    <w:bookmarkEnd w:id="209"/>
    <w:bookmarkEnd w:id="210"/>
    <w:bookmarkEnd w:id="211"/>
    <w:bookmarkEnd w:id="212"/>
    <w:p>
      <w:pPr>
        <w:pStyle w:val="4"/>
        <w:rPr>
          <w:rFonts w:hAnsi="Times New Roman" w:ascii="Times New Roman"/>
          <w:sz w:val="22"/>
          <w:szCs w:val="22"/>
        </w:rPr>
      </w:pPr>
      <w:bookmarkStart w:name="_Toc10747" w:id="213"/>
      <w:bookmarkStart w:name="_Toc9695" w:id="214"/>
      <w:bookmarkStart w:name="_Toc27016" w:id="215"/>
      <w:r>
        <w:rPr>
          <w:rFonts w:hAnsi="Times New Roman" w:ascii="Times New Roman"/>
          <w:sz w:val="22"/>
          <w:szCs w:val="22"/>
        </w:rPr>
        <w:t xml:space="preserve">1. </w:t>
      </w:r>
      <w:r>
        <w:rPr>
          <w:rFonts w:ascii="Times New Roman" w:hint="eastAsia"/>
          <w:sz w:val="22"/>
          <w:szCs w:val="22"/>
        </w:rPr>
        <w:t>总则</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根据《中华人民共和国政府采购法》、《中华人民共和国政府采购法实施条例》、《政府采购货物和服务招标投标管理办法》等法律制度，结合采购项目特点制定本评标办法。</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1.2 </w:t>
      </w:r>
      <w:r>
        <w:rPr>
          <w:rFonts w:hAnsi="Times New Roman" w:ascii="Times New Roman" w:hint="eastAsia"/>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合格投标人不足三家的，不得评标。</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评标工作由采购代理机构负责组织，具体评标事务由采购代理机构依法组建的评标委员会负责。评标委员会由采购人代表和评审专家组成，成员人数为</w:t>
      </w:r>
      <w:r>
        <w:rPr>
          <w:rFonts w:hAnsi="Times New Roman" w:ascii="Times New Roman"/>
          <w:sz w:val="22"/>
          <w:szCs w:val="21"/>
        </w:rPr>
        <w:t>5</w:t>
      </w:r>
      <w:r>
        <w:rPr>
          <w:rFonts w:hAnsi="Times New Roman" w:ascii="Times New Roman" w:hint="eastAsia"/>
          <w:sz w:val="22"/>
          <w:szCs w:val="21"/>
        </w:rPr>
        <w:t>人及以上单数，其中评审专家不少于成员总数的三分之二。</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1.3 </w:t>
      </w:r>
      <w:r>
        <w:rPr>
          <w:rFonts w:hAnsi="Times New Roman" w:ascii="Times New Roman" w:hint="eastAsia"/>
          <w:sz w:val="22"/>
          <w:szCs w:val="21"/>
        </w:rPr>
        <w:t>评标工作应遵循公平、公正、科学及择优的原则，并以相同的评标程序和标准对待所有的投标人。</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1.4 </w:t>
      </w:r>
      <w:r>
        <w:rPr>
          <w:rFonts w:hAnsi="Times New Roman" w:ascii="Times New Roman" w:hint="eastAsia"/>
          <w:sz w:val="22"/>
          <w:szCs w:val="21"/>
        </w:rPr>
        <w:t>评标委员会按照招标文件规定的评标方法和标准进行评标，并独立履行下列职责：</w:t>
      </w:r>
    </w:p>
    <w:p>
      <w:pPr>
        <w:spacing w:lineRule="exact" w:line="400"/>
        <w:ind w:firstLineChars="200" w:firstLine="440"/>
        <w:rPr>
          <w:rFonts w:hAnsi="Times New Roman" w:ascii="Times New Roman"/>
          <w:sz w:val="22"/>
          <w:szCs w:val="21"/>
        </w:rPr>
      </w:pPr>
      <w:bookmarkStart w:name="_Toc217446098" w:id="216"/>
      <w:r>
        <w:rPr>
          <w:rFonts w:hAnsi="Times New Roman" w:ascii="Times New Roman" w:hint="eastAsia"/>
          <w:sz w:val="22"/>
          <w:szCs w:val="21"/>
        </w:rPr>
        <w:t>（一）熟悉和理解招标文件；</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（二）审查供应商（已通过资格审查）的投标文件是否满足招标文件要求，并作出评价；</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（三）根据需要要求招标采购单位对招标文件作出解释；根据需要要求供应商对投标文件有关事项作出澄清、说明或者更正；</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（四）推荐中标候选供应商，或者受采购人委托确定中标供应商；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（五）起草评标报告并进行签署；</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（六）向招标采购单位、财政部门或者其他监督部门报告非法干预评标工作的行为；</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（七）法律、法规和规章规定的其他职责。</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1.5 </w:t>
      </w:r>
      <w:r>
        <w:rPr>
          <w:rFonts w:hAnsi="Times New Roman" w:ascii="Times New Roman" w:hint="eastAsia"/>
          <w:sz w:val="22"/>
          <w:szCs w:val="21"/>
        </w:rPr>
        <w:t>评标过程独立、保密。投标人非法干预评标过程的行为将导致其投标文件作为无效处理。</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1.6 </w:t>
      </w:r>
      <w:r>
        <w:rPr>
          <w:rFonts w:hAnsi="Times New Roman" w:ascii="Times New Roman" w:hint="eastAsia"/>
          <w:sz w:val="22"/>
          <w:szCs w:val="21"/>
        </w:rPr>
        <w:t>评标委员会评价投标文件的响应性，对于投标人而言，除评标委员会要求其澄清、说明或者更正而提供的资料外，仅依据投标文件本身的内容，不寻求其他外部证据。</w:t>
      </w:r>
    </w:p>
    <w:p>
      <w:pPr>
        <w:pStyle w:val="4"/>
        <w:rPr>
          <w:rFonts w:hAnsi="Times New Roman" w:ascii="Times New Roman"/>
          <w:sz w:val="22"/>
          <w:szCs w:val="22"/>
        </w:rPr>
      </w:pPr>
      <w:r>
        <w:rPr>
          <w:rFonts w:hAnsi="Times New Roman" w:ascii="Times New Roman"/>
          <w:sz w:val="22"/>
          <w:szCs w:val="22"/>
        </w:rPr>
        <w:t>2</w:t>
      </w:r>
      <w:r>
        <w:rPr>
          <w:rFonts w:ascii="Times New Roman"/>
          <w:sz w:val="22"/>
          <w:szCs w:val="22"/>
        </w:rPr>
        <w:t>.</w:t>
      </w:r>
      <w:r>
        <w:rPr>
          <w:rFonts w:ascii="Times New Roman" w:hint="eastAsia"/>
          <w:sz w:val="22"/>
          <w:szCs w:val="22"/>
        </w:rPr>
        <w:t>评标</w:t>
      </w:r>
      <w:bookmarkEnd w:id="216"/>
      <w:r>
        <w:rPr>
          <w:rFonts w:ascii="Times New Roman" w:hint="eastAsia"/>
          <w:sz w:val="22"/>
          <w:szCs w:val="22"/>
        </w:rPr>
        <w:t>方法</w:t>
      </w:r>
    </w:p>
    <w:p>
      <w:pPr>
        <w:spacing w:lineRule="auto" w:line="360"/>
        <w:ind w:firstLineChars="200" w:firstLine="440"/>
        <w:rPr>
          <w:rFonts w:hAnsi="Times New Roman" w:ascii="Times New Roman"/>
          <w:sz w:val="22"/>
          <w:szCs w:val="21"/>
        </w:rPr>
      </w:pPr>
      <w:bookmarkStart w:name="_Toc217446103" w:id="217"/>
      <w:bookmarkStart w:name="_Toc217446099" w:id="218"/>
      <w:r>
        <w:rPr>
          <w:rFonts w:hAnsi="Times New Roman" w:ascii="Times New Roman"/>
          <w:sz w:val="22"/>
          <w:szCs w:val="21"/>
        </w:rPr>
        <w:t>2.1</w:t>
      </w:r>
      <w:r>
        <w:rPr>
          <w:rFonts w:hAnsi="宋体" w:ascii="Times New Roman" w:hint="eastAsia"/>
          <w:sz w:val="22"/>
          <w:szCs w:val="21"/>
        </w:rPr>
        <w:t>本项目评标方法为：</w:t>
      </w:r>
      <w:r>
        <w:rPr>
          <w:rFonts w:hAnsi="宋体" w:ascii="Times New Roman" w:hint="eastAsia"/>
          <w:b/>
          <w:bCs/>
          <w:sz w:val="22"/>
          <w:szCs w:val="21"/>
        </w:rPr>
        <w:t>综合评分法</w:t>
      </w:r>
      <w:r>
        <w:rPr>
          <w:rFonts w:hAnsi="宋体" w:ascii="Times New Roman" w:hint="eastAsia"/>
          <w:sz w:val="22"/>
          <w:szCs w:val="21"/>
        </w:rPr>
        <w:t>。</w:t>
      </w:r>
    </w:p>
    <w:p>
      <w:pPr>
        <w:pStyle w:val="4"/>
        <w:rPr>
          <w:rFonts w:hAnsi="Times New Roman" w:ascii="Times New Roman"/>
          <w:sz w:val="22"/>
          <w:szCs w:val="22"/>
        </w:rPr>
      </w:pPr>
      <w:r>
        <w:rPr>
          <w:rFonts w:hAnsi="Times New Roman" w:ascii="Times New Roman"/>
          <w:sz w:val="22"/>
          <w:szCs w:val="22"/>
        </w:rPr>
        <w:t>3</w:t>
      </w:r>
      <w:r>
        <w:rPr>
          <w:rFonts w:ascii="Times New Roman"/>
          <w:sz w:val="22"/>
          <w:szCs w:val="22"/>
        </w:rPr>
        <w:t xml:space="preserve">. </w:t>
      </w:r>
      <w:r>
        <w:rPr>
          <w:rFonts w:ascii="Times New Roman" w:hint="eastAsia"/>
          <w:sz w:val="22"/>
          <w:szCs w:val="22"/>
        </w:rPr>
        <w:t>评标程序</w:t>
      </w:r>
    </w:p>
    <w:p>
      <w:pPr>
        <w:spacing w:lineRule="exact" w:line="400"/>
        <w:ind w:firstLineChars="200" w:firstLine="440"/>
        <w:rPr>
          <w:rFonts w:hAnsi="Times New Roman" w:ascii="Times New Roman"/>
          <w:sz w:val="22"/>
          <w:szCs w:val="21"/>
        </w:rPr>
      </w:pPr>
      <w:r>
        <w:rPr>
          <w:rFonts w:hAnsi="Times New Roman" w:ascii="Times New Roman"/>
          <w:sz w:val="22"/>
          <w:szCs w:val="21"/>
        </w:rPr>
        <w:t>3.1</w:t>
      </w:r>
      <w:r>
        <w:rPr>
          <w:rFonts w:hAnsi="Times New Roman" w:ascii="Times New Roman" w:hint="eastAsia"/>
          <w:sz w:val="22"/>
          <w:szCs w:val="21"/>
        </w:rPr>
        <w:t>熟悉和理解招标文件和停止评标。</w:t>
      </w:r>
    </w:p>
    <w:p>
      <w:pPr>
        <w:spacing w:lineRule="exact" w:line="400"/>
        <w:ind w:firstLineChars="200" w:firstLine="440"/>
        <w:rPr>
          <w:rFonts w:hAnsi="Times New Roman" w:ascii="Times New Roman"/>
          <w:sz w:val="22"/>
          <w:szCs w:val="21"/>
        </w:rPr>
      </w:pPr>
      <w:r>
        <w:rPr>
          <w:rFonts w:hAnsi="Times New Roman" w:ascii="Times New Roman"/>
          <w:sz w:val="22"/>
          <w:szCs w:val="21"/>
        </w:rPr>
        <w:t>3.1.1</w:t>
      </w:r>
      <w:r>
        <w:rPr>
          <w:rFonts w:hAnsi="Times New Roman" w:ascii="Times New Roman" w:hint="eastAsia"/>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Rule="exact" w:line="400"/>
        <w:ind w:firstLineChars="200" w:firstLine="440"/>
        <w:rPr>
          <w:rFonts w:hAnsi="Times New Roman" w:ascii="Times New Roman"/>
          <w:sz w:val="22"/>
          <w:szCs w:val="21"/>
        </w:rPr>
      </w:pPr>
      <w:r>
        <w:rPr>
          <w:rFonts w:hAnsi="Times New Roman" w:ascii="Times New Roman"/>
          <w:sz w:val="22"/>
          <w:szCs w:val="21"/>
        </w:rPr>
        <w:t>3.1.2</w:t>
      </w:r>
      <w:r>
        <w:rPr>
          <w:rFonts w:hAnsi="Times New Roman" w:ascii="Times New Roman" w:hint="eastAsia"/>
          <w:sz w:val="22"/>
          <w:szCs w:val="21"/>
        </w:rPr>
        <w:t>评标委员会熟悉和理解招标文件以及评标过程中，发现本招标文件有下列情形之一的，评标委员会应当停止评标：</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）招标文件的规定存在歧义、重大缺陷的；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w:t>
      </w:r>
      <w:bookmarkStart w:name="_GoBack" w:id="230"/>
      <w:bookmarkEnd w:id="230"/>
      <w:r>
        <w:rPr>
          <w:rFonts w:hAnsi="Times New Roman" w:ascii="Times New Roman" w:hint="eastAsia"/>
          <w:sz w:val="22"/>
          <w:szCs w:val="21"/>
        </w:rPr>
        <w:t>招标文件有违反国家其他有关强制性规定的情形。</w:t>
      </w:r>
    </w:p>
    <w:p>
      <w:pPr>
        <w:spacing w:lineRule="exact" w:line="400"/>
        <w:ind w:firstLineChars="200" w:firstLine="440"/>
        <w:rPr>
          <w:rFonts w:hAnsi="Times New Roman" w:ascii="Times New Roman"/>
          <w:sz w:val="22"/>
          <w:szCs w:val="21"/>
        </w:rPr>
      </w:pPr>
      <w:r>
        <w:rPr>
          <w:rFonts w:hAnsi="Times New Roman" w:ascii="Times New Roman"/>
          <w:sz w:val="22"/>
          <w:szCs w:val="21"/>
        </w:rPr>
        <w:t>3.1.3</w:t>
      </w:r>
      <w:r>
        <w:rPr>
          <w:rFonts w:hAnsi="Times New Roman" w:ascii="Times New Roman" w:hint="eastAsia"/>
          <w:sz w:val="22"/>
          <w:szCs w:val="21"/>
        </w:rPr>
        <w:t>出现本条</w:t>
      </w:r>
      <w:r>
        <w:rPr>
          <w:rFonts w:hAnsi="Times New Roman" w:ascii="Times New Roman"/>
          <w:sz w:val="22"/>
          <w:szCs w:val="21"/>
        </w:rPr>
        <w:t>3.1.2</w:t>
      </w:r>
      <w:r>
        <w:rPr>
          <w:rFonts w:hAnsi="Times New Roman" w:ascii="Times New Roman" w:hint="eastAsia"/>
          <w:sz w:val="22"/>
          <w:szCs w:val="21"/>
        </w:rPr>
        <w:t>规定应当停止评标情形的，评标委员会成员应当向招标采购单位书面说明情况。除本条规定和评标委员会无法依法组建的情形外，评标委员会成员不得以任何方式和理由停止评标。</w:t>
      </w:r>
    </w:p>
    <w:p>
      <w:pPr>
        <w:spacing w:lineRule="exact" w:line="400"/>
        <w:ind w:firstLineChars="200" w:firstLine="440"/>
        <w:rPr>
          <w:rFonts w:hAnsi="Times New Roman" w:ascii="Times New Roman"/>
          <w:sz w:val="22"/>
          <w:szCs w:val="21"/>
        </w:rPr>
      </w:pPr>
      <w:r>
        <w:rPr>
          <w:rFonts w:hAnsi="Times New Roman" w:ascii="Times New Roman"/>
          <w:sz w:val="22"/>
          <w:szCs w:val="21"/>
        </w:rPr>
        <w:t>3.2</w:t>
      </w:r>
      <w:r>
        <w:rPr>
          <w:rFonts w:hAnsi="Times New Roman" w:ascii="Times New Roman" w:hint="eastAsia"/>
          <w:sz w:val="22"/>
          <w:szCs w:val="21"/>
        </w:rPr>
        <w:t>符合性检查。</w:t>
      </w:r>
    </w:p>
    <w:p>
      <w:pPr>
        <w:spacing w:lineRule="exact" w:line="400"/>
        <w:ind w:firstLineChars="200" w:firstLine="440"/>
        <w:rPr>
          <w:rFonts w:hAnsi="Times New Roman" w:ascii="Times New Roman"/>
          <w:sz w:val="22"/>
          <w:szCs w:val="21"/>
        </w:rPr>
      </w:pPr>
      <w:r>
        <w:rPr>
          <w:rFonts w:hAnsi="Times New Roman" w:ascii="Times New Roman"/>
          <w:sz w:val="22"/>
          <w:szCs w:val="21"/>
        </w:rPr>
        <w:t>3.2.1</w:t>
      </w:r>
      <w:r>
        <w:rPr>
          <w:rFonts w:hAnsi="Times New Roman" w:ascii="Times New Roman" w:hint="eastAsia"/>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Rule="exact" w:line="400"/>
        <w:ind w:firstLineChars="200" w:firstLine="440"/>
        <w:rPr>
          <w:rFonts w:hAnsi="Times New Roman" w:ascii="Times New Roman"/>
          <w:sz w:val="22"/>
          <w:szCs w:val="21"/>
        </w:rPr>
      </w:pPr>
      <w:r>
        <w:rPr>
          <w:rFonts w:hAnsi="Times New Roman" w:ascii="Times New Roman"/>
          <w:sz w:val="22"/>
          <w:szCs w:val="21"/>
        </w:rPr>
        <w:t>3.2.2</w:t>
      </w:r>
      <w:r>
        <w:rPr>
          <w:rFonts w:hAnsi="Times New Roman" w:ascii="Times New Roman" w:hint="eastAsia"/>
          <w:sz w:val="22"/>
          <w:szCs w:val="21"/>
        </w:rPr>
        <w:t>投标文件（包括单独递交的开标一览表）有下列情形的，本项目不作为实质性要求进行规定，即不作为符合性审查事项，不得作为无效投标处理：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（一）除招标文件明确要求加盖单位</w:t>
      </w:r>
      <w:r>
        <w:rPr>
          <w:rFonts w:hAnsi="Times New Roman" w:ascii="Times New Roman"/>
          <w:sz w:val="22"/>
          <w:szCs w:val="21"/>
        </w:rPr>
        <w:t>(</w:t>
      </w:r>
      <w:r>
        <w:rPr>
          <w:rFonts w:hAnsi="Times New Roman" w:ascii="Times New Roman" w:hint="eastAsia"/>
          <w:sz w:val="22"/>
          <w:szCs w:val="21"/>
        </w:rPr>
        <w:t>法人</w:t>
      </w:r>
      <w:r>
        <w:rPr>
          <w:rFonts w:hAnsi="Times New Roman" w:ascii="Times New Roman"/>
          <w:sz w:val="22"/>
          <w:szCs w:val="21"/>
        </w:rPr>
        <w:t>)</w:t>
      </w:r>
      <w:r>
        <w:rPr>
          <w:rFonts w:hAnsi="Times New Roman" w:ascii="Times New Roman" w:hint="eastAsia"/>
          <w:sz w:val="22"/>
          <w:szCs w:val="21"/>
        </w:rPr>
        <w:t>公章的以外，其他地方以相关专用章加盖的；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（二）以骑缝章的形式代替投标文件内容逐页盖章的（但是骑缝章模糊不清，印章名称无法辨认的除外）；</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（三）其他不影响采购项目实质性要求的情形。</w:t>
      </w:r>
    </w:p>
    <w:p>
      <w:pPr>
        <w:spacing w:lineRule="exact" w:line="400"/>
        <w:ind w:firstLineChars="200" w:firstLine="440"/>
        <w:rPr>
          <w:rFonts w:hAnsi="Times New Roman" w:ascii="Times New Roman"/>
          <w:sz w:val="22"/>
          <w:szCs w:val="21"/>
        </w:rPr>
      </w:pPr>
      <w:r>
        <w:rPr>
          <w:rFonts w:hAnsi="Times New Roman" w:ascii="Times New Roman"/>
          <w:sz w:val="22"/>
          <w:szCs w:val="21"/>
        </w:rPr>
        <w:t>3.2.3</w:t>
      </w:r>
      <w:r>
        <w:rPr>
          <w:rFonts w:hAnsi="Times New Roman" w:ascii="Times New Roman" w:hint="eastAsia"/>
          <w:sz w:val="22"/>
          <w:szCs w:val="21"/>
        </w:rPr>
        <w:t>除政府采购法律制度规定的情形外，本项目投标人或者其投标文件有下列情形之一的，作为无效投标处理：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（一）投标文件正副本数量不足的；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（二）投标文件组成明显不符合招标文件的规定要求，影响评标委员会评判的；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（三）投标文件的格式、语言、计量单位、报价货币、知识产权、投标有效期等不符合招标文件的规定，影响评标委员会评判的；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（四）投标报价不符合招标文件规定的采购预算或限价或其他报价规定的；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（五）商务、技术、服务应答内容没有完全响应招标文件的实质性要求的；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（六）未载明或者载明的招标项目履约时间、方式、数量及其他政府采购合同实质性内容与招标文件要求不一致，且招标采购单位无法接受的。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（七）没有完全响应招标文件的其他实质性要求或属于招标文件中投标无效情形的。</w:t>
      </w:r>
    </w:p>
    <w:p>
      <w:pPr>
        <w:spacing w:lineRule="exact" w:line="400"/>
        <w:ind w:firstLineChars="200" w:firstLine="440"/>
        <w:rPr>
          <w:rFonts w:hAnsi="Times New Roman" w:ascii="Times New Roman"/>
          <w:sz w:val="22"/>
          <w:szCs w:val="21"/>
        </w:rPr>
      </w:pPr>
      <w:r>
        <w:rPr>
          <w:rFonts w:hAnsi="Times New Roman" w:ascii="Times New Roman"/>
          <w:sz w:val="22"/>
          <w:szCs w:val="21"/>
        </w:rPr>
        <w:t>3.3</w:t>
      </w:r>
      <w:r>
        <w:rPr>
          <w:rFonts w:hAnsi="Times New Roman" w:ascii="Times New Roman" w:hint="eastAsia"/>
          <w:sz w:val="22"/>
          <w:szCs w:val="21"/>
        </w:rPr>
        <w:t>比较与评价。按招标文件中规定的评标方法和标准，对未作无效投标处理的投标文件进行技术、服务、商务等方面评估，综合比较与评价。</w:t>
      </w:r>
    </w:p>
    <w:p>
      <w:pPr>
        <w:spacing w:lineRule="exact" w:line="400"/>
        <w:ind w:firstLineChars="200" w:firstLine="440"/>
        <w:rPr>
          <w:rFonts w:hAnsi="Times New Roman" w:ascii="Times New Roman"/>
          <w:sz w:val="22"/>
          <w:szCs w:val="21"/>
        </w:rPr>
      </w:pPr>
      <w:r>
        <w:rPr>
          <w:rFonts w:hAnsi="Times New Roman" w:ascii="Times New Roman"/>
          <w:sz w:val="22"/>
          <w:szCs w:val="21"/>
        </w:rPr>
        <w:t>3.4</w:t>
      </w:r>
      <w:r>
        <w:rPr>
          <w:rFonts w:hAnsi="Times New Roman" w:ascii="Times New Roman" w:hint="eastAsia"/>
          <w:sz w:val="22"/>
          <w:szCs w:val="21"/>
        </w:rPr>
        <w:t>复核。评分汇总结束后，评标委员会应当进行复核，特别要对拟推荐为中标候选供应商的、报价最低的、投标文件被认定为无效的进行重点复核。</w:t>
      </w:r>
    </w:p>
    <w:p>
      <w:pPr>
        <w:spacing w:lineRule="exact" w:line="400"/>
        <w:ind w:firstLineChars="200" w:firstLine="440"/>
        <w:rPr>
          <w:rFonts w:hAnsi="Times New Roman" w:ascii="Times New Roman"/>
          <w:sz w:val="22"/>
          <w:szCs w:val="21"/>
        </w:rPr>
      </w:pPr>
      <w:r>
        <w:rPr>
          <w:rFonts w:hAnsi="Times New Roman" w:ascii="Times New Roman"/>
          <w:sz w:val="22"/>
          <w:szCs w:val="21"/>
        </w:rPr>
        <w:t>3.5</w:t>
      </w:r>
      <w:r>
        <w:rPr>
          <w:rFonts w:hAnsi="Times New Roman" w:ascii="Times New Roman" w:hint="eastAsia"/>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评标委员会可推荐的中标候选供应商数量不能满足招标文件规定的数量的，只有在获得采购人书面同意后，可以根据实际情况推荐中标候选供应商。未获得采购人的书面同意</w:t>
      </w:r>
      <w:r>
        <w:rPr>
          <w:rFonts w:hAnsi="Times New Roman" w:ascii="Times New Roman"/>
          <w:sz w:val="22"/>
          <w:szCs w:val="21"/>
        </w:rPr>
        <w:t>,</w:t>
      </w:r>
      <w:r>
        <w:rPr>
          <w:rFonts w:hAnsi="Times New Roman" w:ascii="Times New Roman" w:hint="eastAsia"/>
          <w:sz w:val="22"/>
          <w:szCs w:val="21"/>
        </w:rPr>
        <w:t>评标委员会不得在招标文件规定之外推荐中标候选供应商，否则，采购人可以不予认可。</w:t>
      </w:r>
    </w:p>
    <w:p>
      <w:pPr>
        <w:spacing w:lineRule="exact" w:line="400"/>
        <w:ind w:firstLineChars="200" w:firstLine="440"/>
        <w:rPr>
          <w:rFonts w:hAnsi="Times New Roman" w:ascii="Times New Roman"/>
          <w:sz w:val="22"/>
          <w:szCs w:val="21"/>
        </w:rPr>
      </w:pPr>
      <w:r>
        <w:rPr>
          <w:rFonts w:hAnsi="Times New Roman" w:ascii="Times New Roman"/>
          <w:sz w:val="22"/>
          <w:szCs w:val="21"/>
        </w:rPr>
        <w:t>3.6</w:t>
      </w:r>
      <w:r>
        <w:rPr>
          <w:rFonts w:hAnsi="Times New Roman" w:ascii="Times New Roman" w:hint="eastAsia"/>
          <w:sz w:val="22"/>
          <w:szCs w:val="21"/>
        </w:rPr>
        <w:t>出具评标报告。评标委员会推荐中标候选供应商后，应当向招标采购单位出具评标报告。评标报告应当包括下列内容：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（一）招标公告刊登的媒体名称、开标日期和地点；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（二）获取招标文件的投标人名单和评标委员会成员名单；</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（三）评标方法和标准；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（四）开标记录和评标情况及说明，包括无效投标人名单及原因；</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（五）评标结果和中标候选供应商排序表；</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（六）评标委员会授标建议；</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（七）报价最高的投标人为中标候选人的，评标委员会应当对其报价的合理性予以特别说明。</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Rule="exact" w:line="400"/>
        <w:ind w:firstLineChars="200" w:firstLine="440"/>
        <w:rPr>
          <w:rFonts w:hAnsi="Times New Roman" w:ascii="Times New Roman"/>
          <w:sz w:val="22"/>
          <w:szCs w:val="21"/>
        </w:rPr>
      </w:pPr>
      <w:r>
        <w:rPr>
          <w:rFonts w:hAnsi="Times New Roman" w:ascii="Times New Roman"/>
          <w:sz w:val="22"/>
          <w:szCs w:val="21"/>
        </w:rPr>
        <w:t>3.7</w:t>
      </w:r>
      <w:r>
        <w:rPr>
          <w:rFonts w:hAnsi="Times New Roman" w:ascii="Times New Roman" w:hint="eastAsia"/>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Rule="exact" w:line="400"/>
        <w:ind w:firstLineChars="200" w:firstLine="440"/>
        <w:rPr>
          <w:rFonts w:hAnsi="Times New Roman" w:ascii="Times New Roman"/>
          <w:sz w:val="22"/>
          <w:szCs w:val="21"/>
        </w:rPr>
      </w:pPr>
      <w:r>
        <w:rPr>
          <w:rFonts w:hAnsi="Times New Roman" w:ascii="Times New Roman"/>
          <w:sz w:val="22"/>
          <w:szCs w:val="21"/>
        </w:rPr>
        <w:t>3.8</w:t>
      </w:r>
      <w:r>
        <w:rPr>
          <w:rFonts w:hAnsi="Times New Roman" w:ascii="Times New Roman" w:hint="eastAsia"/>
          <w:sz w:val="22"/>
          <w:szCs w:val="21"/>
        </w:rPr>
        <w:t>供应商应当书面澄清、说明或者更正。</w:t>
      </w:r>
    </w:p>
    <w:p>
      <w:pPr>
        <w:spacing w:lineRule="exact" w:line="400"/>
        <w:ind w:firstLineChars="200" w:firstLine="440"/>
        <w:rPr>
          <w:rFonts w:hAnsi="Times New Roman" w:ascii="Times New Roman"/>
          <w:sz w:val="22"/>
          <w:szCs w:val="21"/>
        </w:rPr>
      </w:pPr>
      <w:r>
        <w:rPr>
          <w:rFonts w:hAnsi="Times New Roman" w:ascii="Times New Roman"/>
          <w:sz w:val="22"/>
          <w:szCs w:val="21"/>
        </w:rPr>
        <w:t>3.8.1</w:t>
      </w:r>
      <w:r>
        <w:rPr>
          <w:rFonts w:hAnsi="Times New Roman" w:ascii="Times New Roman" w:hint="eastAsia"/>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Rule="exact" w:line="400"/>
        <w:ind w:firstLineChars="200" w:firstLine="440"/>
        <w:rPr>
          <w:rFonts w:hAnsi="Times New Roman" w:ascii="Times New Roman"/>
          <w:sz w:val="22"/>
          <w:szCs w:val="21"/>
        </w:rPr>
      </w:pPr>
      <w:r>
        <w:rPr>
          <w:rFonts w:hAnsi="Times New Roman" w:ascii="Times New Roman"/>
          <w:sz w:val="22"/>
          <w:szCs w:val="21"/>
        </w:rPr>
        <w:t>3.8.2</w:t>
      </w:r>
      <w:r>
        <w:rPr>
          <w:rFonts w:hAnsi="Times New Roman" w:ascii="Times New Roman" w:hint="eastAsia"/>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Rule="exact" w:line="400"/>
        <w:ind w:firstLineChars="200" w:firstLine="440"/>
        <w:rPr>
          <w:rFonts w:hAnsi="Times New Roman" w:ascii="Times New Roman"/>
          <w:sz w:val="22"/>
          <w:szCs w:val="21"/>
        </w:rPr>
      </w:pPr>
      <w:r>
        <w:rPr>
          <w:rFonts w:hAnsi="Times New Roman" w:ascii="Times New Roman"/>
          <w:sz w:val="22"/>
          <w:szCs w:val="21"/>
        </w:rPr>
        <w:t>3.8.3</w:t>
      </w:r>
      <w:r>
        <w:rPr>
          <w:rFonts w:hAnsi="Times New Roman" w:ascii="Times New Roman" w:hint="eastAsia"/>
          <w:sz w:val="22"/>
          <w:szCs w:val="21"/>
        </w:rPr>
        <w:t>评标委员会要求供应商澄清、说明或者更正，不得超出招标文件的范围，不得以此让供应商实质改变投标文件的内容，不得影响供应商公平竞争。本项目下列内容不得澄清：</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（一）按财政部规定应当在评标时不予承认的投标文件内容事项；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（二）投标文件中已经明确的内容事项；</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3.8.4 </w:t>
      </w:r>
      <w:r>
        <w:rPr>
          <w:rFonts w:hAnsi="Times New Roman" w:ascii="Times New Roman" w:hint="eastAsia"/>
          <w:sz w:val="22"/>
          <w:szCs w:val="21"/>
        </w:rPr>
        <w:t>本项目采购过程中，投标文件报价出现前后不一致的，按照下列规定修正：</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（一）投标文件中开标一览表（报价表）内容与投标文件中相应内容不一致的，以开标一览表（报价表）为准；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（二）大写金额和小写金额不一致的，以大写金额为准；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（三）单价金额小数点或者百分比有明显错位的，以开标一览表的总价为准，并修改单价；</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（四）总价金额与按单价汇总金额不一致的，以单价金额计算结果为准。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同时出现两种以上不一致的，按照前款规定的顺序修正。修正后的报价按照本章</w:t>
      </w:r>
      <w:r>
        <w:rPr>
          <w:rFonts w:hAnsi="Times New Roman" w:ascii="Times New Roman"/>
          <w:sz w:val="22"/>
          <w:szCs w:val="21"/>
        </w:rPr>
        <w:t>3.8.1-3.8.3</w:t>
      </w:r>
      <w:r>
        <w:rPr>
          <w:rFonts w:hAnsi="Times New Roman" w:ascii="Times New Roman" w:hint="eastAsia"/>
          <w:sz w:val="22"/>
          <w:szCs w:val="21"/>
        </w:rPr>
        <w:t>的规定经投标人确认后产生约束力，投标人不确认的，其投标无效。</w:t>
      </w:r>
    </w:p>
    <w:p>
      <w:pPr>
        <w:spacing w:lineRule="exact" w:line="400"/>
        <w:ind w:firstLineChars="200" w:firstLine="440"/>
        <w:rPr>
          <w:rFonts w:hAnsi="Times New Roman" w:ascii="Times New Roman"/>
          <w:b/>
          <w:sz w:val="22"/>
          <w:szCs w:val="21"/>
        </w:rPr>
      </w:pPr>
      <w:r>
        <w:rPr>
          <w:rFonts w:hAnsi="Times New Roman" w:ascii="Times New Roman" w:hint="eastAsia"/>
          <w:b/>
          <w:sz w:val="22"/>
          <w:szCs w:val="21"/>
        </w:rPr>
        <w:t>注：评标委员会当积极履行澄清、说明或者更正的职责，不得滥用权力。供应商的投标文件应当要求澄清、说明或者更正的，不得未经澄清、说明或者更正而直接作无效投标处理。</w:t>
      </w:r>
    </w:p>
    <w:p>
      <w:pPr>
        <w:spacing w:lineRule="exact" w:line="400"/>
        <w:ind w:firstLineChars="200" w:firstLine="440"/>
        <w:rPr>
          <w:rFonts w:hAnsi="Times New Roman" w:ascii="Times New Roman"/>
          <w:sz w:val="22"/>
          <w:szCs w:val="21"/>
        </w:rPr>
      </w:pPr>
      <w:r>
        <w:rPr>
          <w:rFonts w:hAnsi="Times New Roman" w:ascii="Times New Roman"/>
          <w:sz w:val="22"/>
          <w:szCs w:val="21"/>
        </w:rPr>
        <w:t>3.9</w:t>
      </w:r>
      <w:bookmarkStart w:name="PO_默认文件内容_111" w:id="219"/>
      <w:r>
        <w:rPr>
          <w:rFonts w:hAnsi="Times New Roman" w:ascii="Times New Roman" w:hint="eastAsia"/>
          <w:sz w:val="22"/>
          <w:szCs w:val="21"/>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19"/>
      <w:r>
        <w:rPr>
          <w:rFonts w:hAnsi="Times New Roman" w:ascii="Times New Roman" w:hint="eastAsia"/>
          <w:sz w:val="22"/>
          <w:szCs w:val="21"/>
        </w:rPr>
        <w:t>。</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spacing w:lineRule="exact" w:line="400"/>
        <w:ind w:firstLineChars="200" w:firstLine="440"/>
        <w:rPr>
          <w:rFonts w:hAnsi="Times New Roman" w:ascii="Times New Roman"/>
          <w:sz w:val="22"/>
          <w:szCs w:val="21"/>
        </w:rPr>
      </w:pPr>
      <w:r>
        <w:rPr>
          <w:rFonts w:hAnsi="Times New Roman" w:ascii="Times New Roman"/>
          <w:sz w:val="22"/>
          <w:szCs w:val="21"/>
        </w:rPr>
        <w:t>3.10</w:t>
      </w:r>
      <w:r>
        <w:rPr>
          <w:rFonts w:hAnsi="Times New Roman" w:ascii="Times New Roman" w:hint="eastAsia"/>
          <w:sz w:val="22"/>
          <w:szCs w:val="21"/>
        </w:rPr>
        <w:t>招标采购单位现场复核评标结果。</w:t>
      </w:r>
    </w:p>
    <w:p>
      <w:pPr>
        <w:spacing w:lineRule="exact" w:line="400"/>
        <w:ind w:firstLineChars="200" w:firstLine="440"/>
        <w:rPr>
          <w:rFonts w:hAnsi="Times New Roman" w:ascii="Times New Roman"/>
          <w:sz w:val="22"/>
          <w:szCs w:val="21"/>
        </w:rPr>
      </w:pPr>
      <w:r>
        <w:rPr>
          <w:rFonts w:hAnsi="Times New Roman" w:ascii="Times New Roman"/>
          <w:sz w:val="22"/>
          <w:szCs w:val="21"/>
        </w:rPr>
        <w:t>3.10.1</w:t>
      </w:r>
      <w:r>
        <w:rPr>
          <w:rFonts w:hAnsi="Times New Roman" w:ascii="Times New Roman" w:hint="eastAsia"/>
          <w:sz w:val="22"/>
          <w:szCs w:val="21"/>
        </w:rPr>
        <w:t>评标结果汇总完成后，评标委员会拟出具评标报告前，招标采购单位应当组织</w:t>
      </w:r>
      <w:r>
        <w:rPr>
          <w:rFonts w:hAnsi="Times New Roman" w:ascii="Times New Roman"/>
          <w:sz w:val="22"/>
          <w:szCs w:val="21"/>
        </w:rPr>
        <w:t>2</w:t>
      </w:r>
      <w:r>
        <w:rPr>
          <w:rFonts w:hAnsi="Times New Roman" w:ascii="Times New Roman" w:hint="eastAsia"/>
          <w:sz w:val="22"/>
          <w:szCs w:val="21"/>
        </w:rPr>
        <w:t>名以上的本单位工作人员，在采购现场监督人员的监督之下，依据有关的法律制度和采购文件对评标结果进行复核，出具复核报告。除下列情形外，任何人不得修改评标结果：</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（一）分值汇总计算错误的；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（二）分项评分超出评分标准范围的；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（三）客观评分不一致的；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（四）经评标委员会认定评分畸高畸低的。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28"/>
        <w:ind w:firstLineChars="200" w:firstLine="440"/>
        <w:jc w:val="both"/>
        <w:rPr>
          <w:rFonts w:cs="Times New Roman" w:hAnsi="Times New Roman" w:ascii="Times New Roman"/>
          <w:sz w:val="22"/>
          <w:szCs w:val="22"/>
        </w:rPr>
      </w:pPr>
      <w:r>
        <w:rPr>
          <w:rFonts w:cs="Times New Roman" w:hAnsi="Times New Roman" w:ascii="Times New Roman"/>
          <w:sz w:val="22"/>
          <w:szCs w:val="22"/>
        </w:rPr>
        <w:t>3.10.2</w:t>
      </w:r>
      <w:r>
        <w:rPr>
          <w:rFonts w:cs="Times New Roman" w:ascii="Times New Roman" w:hint="eastAsia"/>
          <w:sz w:val="22"/>
          <w:szCs w:val="22"/>
        </w:rPr>
        <w:t>有下列情形之一的，不得修改评标结果或者重新评审：</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（一）招标采购单位现场复核时，复核工作人员数量不足的；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（二）招标采购单位现场复核时，没有采购监督人员现场监督的；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（三）招标采购单位现场复核内容超出规定范围的；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（四）招标采购单位未提供书面建议的。</w:t>
      </w:r>
    </w:p>
    <w:p>
      <w:pPr>
        <w:pStyle w:val="4"/>
        <w:rPr>
          <w:rFonts w:hAnsi="Times New Roman" w:ascii="Times New Roman"/>
          <w:sz w:val="22"/>
          <w:szCs w:val="22"/>
        </w:rPr>
      </w:pPr>
      <w:r>
        <w:rPr>
          <w:rFonts w:hAnsi="Times New Roman" w:ascii="Times New Roman"/>
          <w:sz w:val="22"/>
          <w:szCs w:val="22"/>
        </w:rPr>
        <w:t xml:space="preserve">4. </w:t>
      </w:r>
      <w:r>
        <w:rPr>
          <w:rFonts w:ascii="Times New Roman" w:hint="eastAsia"/>
          <w:sz w:val="22"/>
          <w:szCs w:val="22"/>
        </w:rPr>
        <w:t>评标细则及标准</w:t>
      </w:r>
      <w:bookmarkEnd w:id="217"/>
    </w:p>
    <w:p>
      <w:pPr>
        <w:pStyle w:val="28"/>
        <w:ind w:firstLineChars="200" w:firstLine="440"/>
        <w:jc w:val="both"/>
        <w:rPr>
          <w:rFonts w:cs="Times New Roman" w:hAnsi="Times New Roman" w:ascii="Times New Roman"/>
          <w:sz w:val="22"/>
          <w:szCs w:val="22"/>
        </w:rPr>
      </w:pPr>
      <w:bookmarkStart w:name="_Toc217446059" w:id="220"/>
      <w:r>
        <w:rPr>
          <w:rFonts w:cs="Times New Roman" w:hAnsi="Times New Roman" w:ascii="Times New Roman"/>
          <w:sz w:val="22"/>
          <w:szCs w:val="22"/>
        </w:rPr>
        <w:t xml:space="preserve">4.1 </w:t>
      </w:r>
      <w:r>
        <w:rPr>
          <w:rFonts w:cs="Times New Roman" w:ascii="Times New Roman" w:hint="eastAsia"/>
          <w:sz w:val="22"/>
          <w:szCs w:val="22"/>
        </w:rPr>
        <w:t>评委会只对通过初审的投标文件，根据招标文件的要求采用相同的评标程序、评分办法及标准进行评价和比较。</w:t>
      </w:r>
    </w:p>
    <w:p>
      <w:pPr>
        <w:pStyle w:val="28"/>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4.2 </w:t>
      </w:r>
      <w:r>
        <w:rPr>
          <w:rFonts w:cs="Times New Roman" w:ascii="Times New Roman" w:hint="eastAsia"/>
          <w:sz w:val="22"/>
          <w:szCs w:val="22"/>
        </w:rPr>
        <w:t>本次综合评分的因素是：价格、技术、质量保证、项目实施方案、综合实力业绩、售后服务方案、对招标文件的响应程度及投标文件规范性等。。</w:t>
      </w:r>
    </w:p>
    <w:p>
      <w:pPr>
        <w:pStyle w:val="28"/>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4.3 </w:t>
      </w:r>
      <w:r>
        <w:rPr>
          <w:rFonts w:cs="Times New Roman" w:ascii="Times New Roman" w:hint="eastAsia"/>
          <w:sz w:val="22"/>
          <w:szCs w:val="22"/>
        </w:rPr>
        <w:t>除价格因素外，评委会成员应依据投标文件规定的评分标准和方法独立对其他因素进行比较打分。</w:t>
      </w:r>
    </w:p>
    <w:p>
      <w:pPr>
        <w:pStyle w:val="28"/>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4.4 </w:t>
      </w:r>
      <w:r>
        <w:rPr>
          <w:rFonts w:cs="Times New Roman" w:ascii="Times New Roman" w:hint="eastAsia"/>
          <w:sz w:val="22"/>
          <w:szCs w:val="22"/>
        </w:rPr>
        <w:t>在评标过程中，投标文件有下列情况之一，评标委员会成员应当按照招标文件规定的非实质性偏离进行扣分：</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1</w:t>
      </w:r>
      <w:r>
        <w:rPr>
          <w:rFonts w:cs="Times New Roman" w:ascii="Times New Roman" w:hint="eastAsia"/>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2</w:t>
      </w:r>
      <w:r>
        <w:rPr>
          <w:rFonts w:cs="Times New Roman" w:ascii="Times New Roman" w:hint="eastAsia"/>
          <w:sz w:val="22"/>
          <w:szCs w:val="22"/>
        </w:rPr>
        <w:t>）投标文件未按招标文件要求进行装订或未编制目录、页码；</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3</w:t>
      </w:r>
      <w:r>
        <w:rPr>
          <w:rFonts w:cs="Times New Roman" w:ascii="Times New Roman" w:hint="eastAsia"/>
          <w:sz w:val="22"/>
          <w:szCs w:val="22"/>
        </w:rPr>
        <w:t>）认定的与招标文件第五章规定的技术、商务和其他规定要求不符的非实质性偏离。</w:t>
      </w:r>
    </w:p>
    <w:p>
      <w:pPr>
        <w:pStyle w:val="28"/>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4</w:t>
      </w:r>
      <w:r>
        <w:rPr>
          <w:rFonts w:cs="Times New Roman" w:ascii="Times New Roman" w:hint="eastAsia"/>
          <w:sz w:val="22"/>
          <w:szCs w:val="22"/>
        </w:rPr>
        <w:t>）认定的其他非实质性偏离。</w:t>
      </w:r>
    </w:p>
    <w:p>
      <w:pPr>
        <w:pStyle w:val="8"/>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w:t>
      </w:r>
      <w:r>
        <w:rPr>
          <w:rFonts w:hAnsi="Times New Roman" w:ascii="Times New Roman" w:hint="eastAsia"/>
          <w:sz w:val="22"/>
          <w:szCs w:val="22"/>
        </w:rPr>
        <w:t>综合评分明细表</w:t>
      </w:r>
    </w:p>
    <w:p>
      <w:pPr>
        <w:pStyle w:val="8"/>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4.5.1</w:t>
      </w:r>
      <w:r>
        <w:rPr>
          <w:rFonts w:hAnsi="Times New Roman" w:ascii="Times New Roman" w:hint="eastAsia"/>
          <w:sz w:val="22"/>
          <w:szCs w:val="22"/>
        </w:rPr>
        <w:t>综合评分明细表的制定以科学合理、降低评委会自由裁量权为原则。</w:t>
      </w:r>
    </w:p>
    <w:p>
      <w:pPr>
        <w:ind w:firstLineChars="200" w:firstLine="440"/>
        <w:jc w:val="left"/>
        <w:rPr>
          <w:rFonts w:hAnsi="Times New Roman" w:ascii="Times New Roman"/>
          <w:sz w:val="22"/>
          <w:szCs w:val="21"/>
        </w:rPr>
      </w:pPr>
      <w:r>
        <w:rPr>
          <w:rFonts w:hAnsi="Times New Roman" w:ascii="Times New Roman"/>
          <w:sz w:val="22"/>
          <w:szCs w:val="21"/>
        </w:rPr>
        <w:t xml:space="preserve">4.5.2 </w:t>
      </w:r>
      <w:r>
        <w:rPr>
          <w:rFonts w:hAnsi="Times New Roman" w:ascii="Times New Roman" w:hint="eastAsia"/>
          <w:sz w:val="22"/>
          <w:szCs w:val="21"/>
        </w:rPr>
        <w:t>综合评分明细表按须知表中的相关要求进行价格调整，再参与价格分评审。</w:t>
      </w:r>
    </w:p>
    <w:p>
      <w:pPr>
        <w:pStyle w:val="8"/>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4.5.3</w:t>
      </w:r>
      <w:r>
        <w:rPr>
          <w:rFonts w:hAnsi="Times New Roman" w:ascii="Times New Roman" w:hint="eastAsia"/>
          <w:sz w:val="22"/>
          <w:szCs w:val="22"/>
        </w:rPr>
        <w:t>综合评分明细表</w:t>
      </w:r>
      <w:bookmarkEnd w:id="220"/>
      <w:bookmarkStart w:name="_Toc217446060" w:id="221"/>
    </w:p>
    <w:tbl>
      <w:tblPr>
        <w:tblStyle w:val="15"/>
        <w:tblpPr w:tblpY="460" w:tblpX="1798" w:horzAnchor="page" w:vertAnchor="text" w:rightFromText="180" w:leftFromText="180"/>
        <w:tblOverlap w:val="never"/>
        <w:tblW w:type="dxa" w:w="8897"/>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447"/>
        <w:gridCol w:w="1419"/>
        <w:gridCol w:w="587"/>
        <w:gridCol w:w="3867"/>
        <w:gridCol w:w="2577"/>
      </w:tblGrid>
      <w:tr>
        <w:tc>
          <w:tcPr>
            <w:tcW w:type="dxa" w:w="447"/>
            <w:vAlign w:val="center"/>
          </w:tcPr>
          <w:p>
            <w:pPr>
              <w:jc w:val="center"/>
              <w:rPr>
                <w:rFonts w:hAnsi="宋体"/>
                <w:b/>
                <w:color w:themeColor="text1" w:val="000000"/>
                <w:sz w:val="21"/>
                <w:szCs w:val="21"/>
                <w14:textFill>
                  <w14:solidFill>
                    <w14:schemeClr w14:val="tx1"/>
                  </w14:solidFill>
                </w14:textFill>
              </w:rPr>
            </w:pPr>
            <w:r>
              <w:rPr>
                <w:rFonts w:hAnsi="宋体" w:hint="eastAsia"/>
                <w:b/>
                <w:color w:themeColor="text1" w:val="000000"/>
                <w:sz w:val="21"/>
                <w:szCs w:val="21"/>
                <w14:textFill>
                  <w14:solidFill>
                    <w14:schemeClr w14:val="tx1"/>
                  </w14:solidFill>
                </w14:textFill>
              </w:rPr>
              <w:t>序号</w:t>
            </w:r>
          </w:p>
        </w:tc>
        <w:tc>
          <w:tcPr>
            <w:tcW w:type="dxa" w:w="1419"/>
          </w:tcPr>
          <w:p>
            <w:pPr>
              <w:jc w:val="center"/>
              <w:rPr>
                <w:rFonts w:hAnsi="宋体"/>
                <w:b/>
                <w:color w:themeColor="text1" w:val="000000"/>
                <w:sz w:val="21"/>
                <w:szCs w:val="21"/>
                <w14:textFill>
                  <w14:solidFill>
                    <w14:schemeClr w14:val="tx1"/>
                  </w14:solidFill>
                </w14:textFill>
              </w:rPr>
            </w:pPr>
            <w:r>
              <w:rPr>
                <w:rFonts w:hAnsi="宋体"/>
                <w:b/>
                <w:color w:themeColor="text1" w:val="000000"/>
                <w:sz w:val="21"/>
                <w:szCs w:val="21"/>
                <w14:textFill>
                  <w14:solidFill>
                    <w14:schemeClr w14:val="tx1"/>
                  </w14:solidFill>
                </w14:textFill>
              </w:rPr>
              <w:t>评分因素及权重</w:t>
            </w:r>
          </w:p>
        </w:tc>
        <w:tc>
          <w:tcPr>
            <w:tcW w:type="dxa" w:w="587"/>
          </w:tcPr>
          <w:p>
            <w:pPr>
              <w:jc w:val="center"/>
              <w:rPr>
                <w:rFonts w:hAnsi="宋体"/>
                <w:b/>
                <w:color w:themeColor="text1" w:val="000000"/>
                <w:sz w:val="21"/>
                <w:szCs w:val="21"/>
                <w14:textFill>
                  <w14:solidFill>
                    <w14:schemeClr w14:val="tx1"/>
                  </w14:solidFill>
                </w14:textFill>
              </w:rPr>
            </w:pPr>
            <w:r>
              <w:rPr>
                <w:rFonts w:hAnsi="宋体" w:hint="eastAsia"/>
                <w:b/>
                <w:color w:themeColor="text1" w:val="000000"/>
                <w:sz w:val="21"/>
                <w:szCs w:val="21"/>
                <w14:textFill>
                  <w14:solidFill>
                    <w14:schemeClr w14:val="tx1"/>
                  </w14:solidFill>
                </w14:textFill>
              </w:rPr>
              <w:t>分值</w:t>
            </w:r>
          </w:p>
        </w:tc>
        <w:tc>
          <w:tcPr>
            <w:tcW w:type="dxa" w:w="3867"/>
          </w:tcPr>
          <w:p>
            <w:pPr>
              <w:rPr>
                <w:rFonts w:hAnsi="宋体"/>
                <w:b/>
                <w:color w:themeColor="text1" w:val="000000"/>
                <w:sz w:val="21"/>
                <w:szCs w:val="21"/>
                <w14:textFill>
                  <w14:solidFill>
                    <w14:schemeClr w14:val="tx1"/>
                  </w14:solidFill>
                </w14:textFill>
              </w:rPr>
            </w:pPr>
          </w:p>
          <w:p>
            <w:pPr>
              <w:jc w:val="center"/>
              <w:rPr>
                <w:rFonts w:hAnsi="宋体"/>
                <w:b/>
                <w:color w:themeColor="text1" w:val="000000"/>
                <w:sz w:val="21"/>
                <w:szCs w:val="21"/>
                <w14:textFill>
                  <w14:solidFill>
                    <w14:schemeClr w14:val="tx1"/>
                  </w14:solidFill>
                </w14:textFill>
              </w:rPr>
            </w:pPr>
            <w:r>
              <w:rPr>
                <w:rFonts w:hAnsi="宋体" w:hint="eastAsia"/>
                <w:b/>
                <w:color w:themeColor="text1" w:val="000000"/>
                <w:sz w:val="21"/>
                <w:szCs w:val="21"/>
                <w14:textFill>
                  <w14:solidFill>
                    <w14:schemeClr w14:val="tx1"/>
                  </w14:solidFill>
                </w14:textFill>
              </w:rPr>
              <w:t>评分标准</w:t>
            </w:r>
          </w:p>
        </w:tc>
        <w:tc>
          <w:tcPr>
            <w:tcW w:type="dxa" w:w="2577"/>
            <w:vAlign w:val="center"/>
          </w:tcPr>
          <w:p>
            <w:pPr>
              <w:jc w:val="center"/>
              <w:rPr>
                <w:rFonts w:hAnsi="宋体"/>
                <w:b/>
                <w:color w:themeColor="text1" w:val="000000"/>
                <w:sz w:val="21"/>
                <w:szCs w:val="21"/>
                <w14:textFill>
                  <w14:solidFill>
                    <w14:schemeClr w14:val="tx1"/>
                  </w14:solidFill>
                </w14:textFill>
              </w:rPr>
            </w:pPr>
            <w:r>
              <w:rPr>
                <w:rFonts w:hAnsi="宋体" w:hint="eastAsia"/>
                <w:b/>
                <w:color w:themeColor="text1" w:val="000000"/>
                <w:sz w:val="21"/>
                <w:szCs w:val="21"/>
                <w14:textFill>
                  <w14:solidFill>
                    <w14:schemeClr w14:val="tx1"/>
                  </w14:solidFill>
                </w14:textFill>
              </w:rPr>
              <w:t>说明</w:t>
            </w:r>
          </w:p>
        </w:tc>
      </w:tr>
      <w:tr>
        <w:tc>
          <w:tcPr>
            <w:tcW w:type="dxa" w:w="44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1</w:t>
            </w:r>
          </w:p>
        </w:tc>
        <w:tc>
          <w:tcPr>
            <w:tcW w:type="dxa" w:w="1419"/>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价格30%</w:t>
            </w:r>
          </w:p>
        </w:tc>
        <w:tc>
          <w:tcPr>
            <w:tcW w:type="dxa" w:w="58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30</w:t>
            </w:r>
          </w:p>
        </w:tc>
        <w:tc>
          <w:tcPr>
            <w:tcW w:type="dxa" w:w="3867"/>
          </w:tcPr>
          <w:p>
            <w:pPr>
              <w:rPr>
                <w:rFonts w:cs="宋体" w:hAnsi="宋体"/>
                <w:color w:themeColor="text1" w:val="000000"/>
                <w:sz w:val="21"/>
                <w:szCs w:val="21"/>
                <w14:textFill>
                  <w14:solidFill>
                    <w14:schemeClr w14:val="tx1"/>
                  </w14:solidFill>
                </w14:textFill>
              </w:rPr>
            </w:pPr>
          </w:p>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以本次最低有效投标报价为基准价，投标报价得分=(基准价／投标报价)×权值×100</w:t>
            </w:r>
          </w:p>
        </w:tc>
        <w:tc>
          <w:tcPr>
            <w:tcW w:type="dxa" w:w="2577"/>
          </w:tcPr>
          <w:p>
            <w:pPr>
              <w:ind w:firstLineChars="100" w:firstLine="210"/>
              <w:rPr>
                <w:rFonts w:cs="宋体" w:hAnsi="宋体"/>
                <w:color w:themeColor="text1" w:val="000000"/>
                <w:sz w:val="21"/>
                <w:szCs w:val="21"/>
                <w14:textFill>
                  <w14:solidFill>
                    <w14:schemeClr w14:val="tx1"/>
                  </w14:solidFill>
                </w14:textFill>
              </w:rPr>
            </w:pPr>
            <w:r>
              <w:rPr>
                <w:rFonts w:hint="eastAsia"/>
                <w:sz w:val="21"/>
                <w:szCs w:val="11"/>
              </w:rPr>
              <w:t>对于非专门面向中小企业的项目，对小型和微型企业、监狱企业、福利企业等产品的价格给予10%的扣除，用扣除后的价格参与评审。</w:t>
            </w:r>
          </w:p>
        </w:tc>
      </w:tr>
      <w:tr>
        <w:trPr>
          <w:trHeight w:hRule="atLeast" w:val="3419"/>
        </w:trPr>
        <w:tc>
          <w:tcPr>
            <w:tcW w:type="dxa" w:w="44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2</w:t>
            </w:r>
          </w:p>
        </w:tc>
        <w:tc>
          <w:tcPr>
            <w:tcW w:type="dxa" w:w="1419"/>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技术指标</w:t>
            </w:r>
          </w:p>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和配置40%</w:t>
            </w:r>
          </w:p>
        </w:tc>
        <w:tc>
          <w:tcPr>
            <w:tcW w:type="dxa" w:w="58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40</w:t>
            </w:r>
          </w:p>
        </w:tc>
        <w:tc>
          <w:tcPr>
            <w:tcW w:type="dxa" w:w="3867"/>
            <w:vAlign w:val="center"/>
          </w:tcPr>
          <w:p>
            <w:pPr>
              <w:rPr>
                <w:rFonts w:cs="宋体" w:hAnsi="宋体"/>
                <w:color w:themeColor="text1" w:val="000000"/>
                <w:sz w:val="21"/>
                <w:szCs w:val="21"/>
                <w:highlight w:val="yellow"/>
                <w14:textFill>
                  <w14:solidFill>
                    <w14:schemeClr w14:val="tx1"/>
                  </w14:solidFill>
                </w14:textFill>
              </w:rPr>
            </w:pPr>
            <w:r>
              <w:rPr>
                <w:rFonts w:cs="宋体" w:hAnsi="宋体" w:hint="eastAsia"/>
                <w:color w:themeColor="text1" w:val="000000"/>
                <w:sz w:val="21"/>
                <w:szCs w:val="21"/>
                <w14:textFill>
                  <w14:solidFill>
                    <w14:schemeClr w14:val="tx1"/>
                  </w14:solidFill>
                </w14:textFill>
              </w:rPr>
              <w:t>1、基本分（38分）：投标产品的技术指标和</w:t>
            </w:r>
            <w:r>
              <w:rPr>
                <w:rFonts w:cs="宋体" w:hAnsi="宋体" w:hint="eastAsia"/>
                <w:color w:themeColor="text1" w:val="000000"/>
                <w:sz w:val="21"/>
                <w:szCs w:val="21"/>
                <w:lang w:eastAsia="zh-CN" w:val="en-US"/>
                <w14:textFill>
                  <w14:solidFill>
                    <w14:schemeClr w14:val="tx1"/>
                  </w14:solidFill>
                </w14:textFill>
              </w:rPr>
              <w:t>功</w:t>
            </w:r>
            <w:r>
              <w:rPr>
                <w:rFonts w:cs="宋体" w:hAnsi="宋体" w:hint="eastAsia"/>
                <w:color w:themeColor="text1" w:val="000000"/>
                <w:sz w:val="21"/>
                <w:szCs w:val="21"/>
                <w14:textFill>
                  <w14:solidFill>
                    <w14:schemeClr w14:val="tx1"/>
                  </w14:solidFill>
                </w14:textFill>
              </w:rPr>
              <w:t>能完全满足招标文件要求计38分，“*”号技术指标每有一条负偏离扣</w:t>
            </w:r>
            <w:r>
              <w:rPr>
                <w:rFonts w:cs="宋体" w:hAnsi="宋体" w:hint="eastAsia"/>
                <w:color w:themeColor="text1" w:val="000000"/>
                <w:sz w:val="21"/>
                <w:szCs w:val="21"/>
                <w:lang w:eastAsia="zh-CN" w:val="en-US"/>
                <w14:textFill>
                  <w14:solidFill>
                    <w14:schemeClr w14:val="tx1"/>
                  </w14:solidFill>
                </w14:textFill>
              </w:rPr>
              <w:t>3</w:t>
            </w:r>
            <w:r>
              <w:rPr>
                <w:rFonts w:cs="宋体" w:hAnsi="宋体" w:hint="eastAsia"/>
                <w:color w:themeColor="text1" w:val="000000"/>
                <w:sz w:val="21"/>
                <w:szCs w:val="21"/>
                <w14:textFill>
                  <w14:solidFill>
                    <w14:schemeClr w14:val="tx1"/>
                  </w14:solidFill>
                </w14:textFill>
              </w:rPr>
              <w:t>分，非“*”号技术指标每有一条负偏离扣1分，扣完为止。</w:t>
            </w:r>
          </w:p>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2、加分（2分）：在各自所得基本分的基础上，主要投标产品技术指标、参数或功能优于</w:t>
            </w:r>
            <w:r>
              <w:rPr>
                <w:rFonts w:cs="宋体" w:hAnsi="宋体" w:hint="eastAsia"/>
                <w:color w:themeColor="text1" w:val="000000"/>
                <w:sz w:val="21"/>
                <w:szCs w:val="21"/>
                <w:lang w:eastAsia="zh-CN" w:val="en-US"/>
                <w14:textFill>
                  <w14:solidFill>
                    <w14:schemeClr w14:val="tx1"/>
                  </w14:solidFill>
                </w14:textFill>
              </w:rPr>
              <w:t>招标文</w:t>
            </w:r>
            <w:r>
              <w:rPr>
                <w:rFonts w:cs="宋体" w:hAnsi="宋体" w:hint="eastAsia"/>
                <w:color w:themeColor="text1" w:val="000000"/>
                <w:sz w:val="21"/>
                <w:szCs w:val="21"/>
                <w14:textFill>
                  <w14:solidFill>
                    <w14:schemeClr w14:val="tx1"/>
                  </w14:solidFill>
                </w14:textFill>
              </w:rPr>
              <w:t>件规定的相应技术指标、参数或功能，并且有实质性能提升的，</w:t>
            </w:r>
            <w:r>
              <w:rPr>
                <w:rFonts w:cs="宋体" w:hAnsi="宋体" w:hint="eastAsia"/>
                <w:color w:themeColor="text1" w:val="000000"/>
                <w:sz w:val="21"/>
                <w:szCs w:val="21"/>
                <w:lang w:eastAsia="zh-CN" w:val="en-US"/>
                <w14:textFill>
                  <w14:solidFill>
                    <w14:schemeClr w14:val="tx1"/>
                  </w14:solidFill>
                </w14:textFill>
              </w:rPr>
              <w:t>经</w:t>
            </w:r>
            <w:r>
              <w:rPr>
                <w:rFonts w:cs="宋体" w:hAnsi="宋体" w:hint="eastAsia"/>
                <w:color w:themeColor="text1" w:val="000000"/>
                <w:sz w:val="21"/>
                <w:szCs w:val="21"/>
                <w14:textFill>
                  <w14:solidFill>
                    <w14:schemeClr w14:val="tx1"/>
                  </w14:solidFill>
                </w14:textFill>
              </w:rPr>
              <w:t>评审委员会一致认可的可进行相应加分，每项加1分加分最多加2分。</w:t>
            </w:r>
          </w:p>
        </w:tc>
        <w:tc>
          <w:tcPr>
            <w:tcW w:type="dxa" w:w="257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供应商应提供充足的佐证材料（佐证材料包括但不限于：经厂家确认的产品彩页、检测报告、官网截图等证明材料）予以佐证。</w:t>
            </w:r>
          </w:p>
        </w:tc>
      </w:tr>
      <w:tr>
        <w:tc>
          <w:tcPr>
            <w:tcW w:type="dxa" w:w="44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3</w:t>
            </w:r>
          </w:p>
        </w:tc>
        <w:tc>
          <w:tcPr>
            <w:tcW w:type="dxa" w:w="1419"/>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项目实施方案10%</w:t>
            </w:r>
          </w:p>
        </w:tc>
        <w:tc>
          <w:tcPr>
            <w:tcW w:type="dxa" w:w="58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10</w:t>
            </w:r>
          </w:p>
        </w:tc>
        <w:tc>
          <w:tcPr>
            <w:tcW w:type="dxa" w:w="386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1、投标人应提供详细的针对本项目具体的组织实施、技术实施能力、安装调试以及详细的人员投入等项目实施方案，评审委员会针对整个方案的完整性，全面性进行综合评定，优的得5分，一般的得4-2分，差的得1分，未提供不得分。</w:t>
            </w:r>
          </w:p>
          <w:p>
            <w:pPr>
              <w:rPr>
                <w:rFonts w:cs="宋体" w:hAnsi="宋体"/>
                <w:color w:themeColor="text1" w:val="000000"/>
                <w:sz w:val="21"/>
                <w:szCs w:val="21"/>
                <w:lang w:eastAsia="zh-TW"/>
                <w14:textFill>
                  <w14:solidFill>
                    <w14:schemeClr w14:val="tx1"/>
                  </w14:solidFill>
                </w14:textFill>
              </w:rPr>
            </w:pPr>
            <w:r>
              <w:rPr>
                <w:rFonts w:cs="宋体" w:hAnsi="宋体" w:hint="eastAsia"/>
                <w:color w:themeColor="text1" w:val="000000"/>
                <w:sz w:val="21"/>
                <w:szCs w:val="21"/>
                <w14:textFill>
                  <w14:solidFill>
                    <w14:schemeClr w14:val="tx1"/>
                  </w14:solidFill>
                </w14:textFill>
              </w:rPr>
              <w:t>2、</w:t>
            </w:r>
            <w:r>
              <w:rPr>
                <w:rFonts w:cs="宋体" w:hAnsi="宋体" w:hint="eastAsia"/>
                <w:color w:themeColor="text1" w:val="000000"/>
                <w:sz w:val="21"/>
                <w:szCs w:val="21"/>
                <w:lang w:eastAsia="zh-TW"/>
                <w14:textFill>
                  <w14:solidFill>
                    <w14:schemeClr w14:val="tx1"/>
                  </w14:solidFill>
                </w14:textFill>
              </w:rPr>
              <w:t>评审委员会根据供应商提供详细的安全保障，应急处理、进度安排、质量保障等措施进行综合评定，优的得</w:t>
            </w:r>
            <w:r>
              <w:rPr>
                <w:rFonts w:cs="宋体" w:hAnsi="宋体" w:hint="eastAsia"/>
                <w:color w:themeColor="text1" w:val="000000"/>
                <w:sz w:val="21"/>
                <w:szCs w:val="21"/>
                <w14:textFill>
                  <w14:solidFill>
                    <w14:schemeClr w14:val="tx1"/>
                  </w14:solidFill>
                </w14:textFill>
              </w:rPr>
              <w:t>5</w:t>
            </w:r>
            <w:r>
              <w:rPr>
                <w:rFonts w:cs="宋体" w:hAnsi="宋体" w:hint="eastAsia"/>
                <w:color w:themeColor="text1" w:val="000000"/>
                <w:sz w:val="21"/>
                <w:szCs w:val="21"/>
                <w:lang w:eastAsia="zh-TW"/>
                <w14:textFill>
                  <w14:solidFill>
                    <w14:schemeClr w14:val="tx1"/>
                  </w14:solidFill>
                </w14:textFill>
              </w:rPr>
              <w:t>分，一般的得</w:t>
            </w:r>
            <w:r>
              <w:rPr>
                <w:rFonts w:cs="宋体" w:hAnsi="宋体" w:hint="eastAsia"/>
                <w:color w:themeColor="text1" w:val="000000"/>
                <w:sz w:val="21"/>
                <w:szCs w:val="21"/>
                <w14:textFill>
                  <w14:solidFill>
                    <w14:schemeClr w14:val="tx1"/>
                  </w14:solidFill>
                </w14:textFill>
              </w:rPr>
              <w:t>4-</w:t>
            </w:r>
            <w:r>
              <w:rPr>
                <w:rFonts w:cs="宋体" w:hAnsi="宋体" w:hint="eastAsia"/>
                <w:color w:themeColor="text1" w:val="000000"/>
                <w:sz w:val="21"/>
                <w:szCs w:val="21"/>
                <w:lang w:eastAsia="zh-TW"/>
                <w14:textFill>
                  <w14:solidFill>
                    <w14:schemeClr w14:val="tx1"/>
                  </w14:solidFill>
                </w14:textFill>
              </w:rPr>
              <w:t>2分，差的得1分，未提供不得分。</w:t>
            </w:r>
          </w:p>
        </w:tc>
        <w:tc>
          <w:tcPr>
            <w:tcW w:type="dxa" w:w="2577"/>
            <w:vAlign w:val="center"/>
          </w:tcPr>
          <w:p>
            <w:pPr>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供应商需提供详细的实施方案。</w:t>
            </w:r>
          </w:p>
        </w:tc>
      </w:tr>
      <w:tr>
        <w:trPr>
          <w:trHeight w:hRule="atLeast" w:val="745"/>
        </w:trPr>
        <w:tc>
          <w:tcPr>
            <w:tcW w:type="dxa" w:w="447"/>
            <w:vAlign w:val="center"/>
          </w:tcPr>
          <w:p>
            <w:pPr>
              <w:jc w:val="center"/>
              <w:rPr>
                <w:rFonts w:hAnsi="宋体"/>
                <w:color w:themeColor="text1" w:val="000000"/>
                <w:sz w:val="21"/>
                <w:szCs w:val="21"/>
                <w14:textFill>
                  <w14:solidFill>
                    <w14:schemeClr w14:val="tx1"/>
                  </w14:solidFill>
                </w14:textFill>
              </w:rPr>
            </w:pPr>
            <w:r>
              <w:rPr>
                <w:rFonts w:hAnsi="宋体" w:hint="eastAsia"/>
                <w:color w:themeColor="text1" w:val="000000"/>
                <w:sz w:val="21"/>
                <w:szCs w:val="21"/>
                <w14:textFill>
                  <w14:solidFill>
                    <w14:schemeClr w14:val="tx1"/>
                  </w14:solidFill>
                </w14:textFill>
              </w:rPr>
              <w:t>4</w:t>
            </w:r>
          </w:p>
        </w:tc>
        <w:tc>
          <w:tcPr>
            <w:tcW w:type="dxa" w:w="1419"/>
            <w:vAlign w:val="center"/>
          </w:tcPr>
          <w:p>
            <w:pPr>
              <w:jc w:val="center"/>
              <w:rPr>
                <w:rFonts w:hAnsi="宋体"/>
                <w:color w:themeColor="text1" w:val="000000"/>
                <w:sz w:val="21"/>
                <w:szCs w:val="21"/>
                <w14:textFill>
                  <w14:solidFill>
                    <w14:schemeClr w14:val="tx1"/>
                  </w14:solidFill>
                </w14:textFill>
              </w:rPr>
            </w:pPr>
            <w:r>
              <w:rPr>
                <w:rFonts w:hAnsi="宋体" w:hint="eastAsia"/>
                <w:color w:themeColor="text1" w:val="000000"/>
                <w:sz w:val="21"/>
                <w:szCs w:val="21"/>
                <w14:textFill>
                  <w14:solidFill>
                    <w14:schemeClr w14:val="tx1"/>
                  </w14:solidFill>
                </w14:textFill>
              </w:rPr>
              <w:t>业绩</w:t>
            </w:r>
            <w:r>
              <w:rPr>
                <w:rFonts w:hAnsi="宋体" w:hint="eastAsia"/>
                <w:color w:themeColor="text1" w:val="000000"/>
                <w:sz w:val="21"/>
                <w:szCs w:val="21"/>
                <w:lang w:eastAsia="zh-CN" w:val="en-US"/>
                <w14:textFill>
                  <w14:solidFill>
                    <w14:schemeClr w14:val="tx1"/>
                  </w14:solidFill>
                </w14:textFill>
              </w:rPr>
              <w:t>6</w:t>
            </w:r>
            <w:r>
              <w:rPr>
                <w:rFonts w:hAnsi="宋体" w:hint="eastAsia"/>
                <w:color w:themeColor="text1" w:val="000000"/>
                <w:sz w:val="21"/>
                <w:szCs w:val="21"/>
                <w14:textFill>
                  <w14:solidFill>
                    <w14:schemeClr w14:val="tx1"/>
                  </w14:solidFill>
                </w14:textFill>
              </w:rPr>
              <w:t>%</w:t>
            </w:r>
          </w:p>
        </w:tc>
        <w:tc>
          <w:tcPr>
            <w:tcW w:type="dxa" w:w="587"/>
            <w:vAlign w:val="center"/>
          </w:tcPr>
          <w:p>
            <w:pPr>
              <w:spacing w:lineRule="exact" w:line="400"/>
              <w:rPr>
                <w:rFonts w:cs="宋体" w:eastAsia="宋体" w:hAnsi="宋体" w:hint="eastAsia"/>
                <w:color w:themeColor="text1" w:val="000000"/>
                <w:sz w:val="21"/>
                <w:szCs w:val="21"/>
                <w:lang w:eastAsia="zh-CN" w:val="en-US"/>
                <w14:textFill>
                  <w14:solidFill>
                    <w14:schemeClr w14:val="tx1"/>
                  </w14:solidFill>
                </w14:textFill>
              </w:rPr>
            </w:pPr>
            <w:r>
              <w:rPr>
                <w:rFonts w:cs="宋体" w:hAnsi="宋体" w:hint="eastAsia"/>
                <w:color w:themeColor="text1" w:val="000000"/>
                <w:sz w:val="21"/>
                <w:szCs w:val="21"/>
                <w:lang w:eastAsia="zh-CN" w:val="en-US"/>
                <w14:textFill>
                  <w14:solidFill>
                    <w14:schemeClr w14:val="tx1"/>
                  </w14:solidFill>
                </w14:textFill>
              </w:rPr>
              <w:t>6</w:t>
            </w:r>
          </w:p>
        </w:tc>
        <w:tc>
          <w:tcPr>
            <w:tcW w:type="dxa" w:w="3867"/>
            <w:vAlign w:val="center"/>
          </w:tcPr>
          <w:p>
            <w:pPr>
              <w:spacing w:lineRule="exact" w:line="400"/>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提供2019年11月01日至今同类业绩，每提供1份合同（包含全自动凝血分析仪、全自动特定蛋白分析仪、全自动粪便处理系统、全自动尿液分析仪一体机、新冠病毒核酸快速检测系统、全自动血液免疫分析仪中任意三种或三种以上的）得1分，或所提供多份合同累计包含本次采购产品3种及以上产品的，得1分，所有</w:t>
            </w:r>
            <w:r>
              <w:rPr>
                <w:rFonts w:cs="宋体" w:hAnsi="宋体" w:hint="eastAsia"/>
                <w:color w:themeColor="text1" w:val="000000"/>
                <w:sz w:val="21"/>
                <w:szCs w:val="21"/>
                <w:lang w:eastAsia="zh-CN" w:val="en-US"/>
                <w14:textFill>
                  <w14:solidFill>
                    <w14:schemeClr w14:val="tx1"/>
                  </w14:solidFill>
                </w14:textFill>
              </w:rPr>
              <w:t>合同</w:t>
            </w:r>
            <w:r>
              <w:rPr>
                <w:rFonts w:cs="宋体" w:hAnsi="宋体" w:hint="eastAsia"/>
                <w:color w:themeColor="text1" w:val="000000"/>
                <w:sz w:val="21"/>
                <w:szCs w:val="21"/>
                <w14:textFill>
                  <w14:solidFill>
                    <w14:schemeClr w14:val="tx1"/>
                  </w14:solidFill>
                </w14:textFill>
              </w:rPr>
              <w:t>业绩不重复计算，最高得6分。</w:t>
            </w:r>
          </w:p>
        </w:tc>
        <w:tc>
          <w:tcPr>
            <w:tcW w:type="dxa" w:w="2577"/>
          </w:tcPr>
          <w:p>
            <w:pPr>
              <w:spacing w:lineRule="exact" w:line="400"/>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需提供合同复印件。</w:t>
            </w:r>
          </w:p>
        </w:tc>
      </w:tr>
      <w:tr>
        <w:tc>
          <w:tcPr>
            <w:tcW w:type="dxa" w:w="447"/>
            <w:vAlign w:val="center"/>
          </w:tcPr>
          <w:p>
            <w:pPr>
              <w:jc w:val="center"/>
              <w:rPr>
                <w:rFonts w:hAnsi="宋体"/>
                <w:color w:themeColor="text1" w:val="000000"/>
                <w:sz w:val="21"/>
                <w:szCs w:val="21"/>
                <w14:textFill>
                  <w14:solidFill>
                    <w14:schemeClr w14:val="tx1"/>
                  </w14:solidFill>
                </w14:textFill>
              </w:rPr>
            </w:pPr>
            <w:r>
              <w:rPr>
                <w:rFonts w:hAnsi="宋体" w:hint="eastAsia"/>
                <w:color w:themeColor="text1" w:val="000000"/>
                <w:sz w:val="21"/>
                <w:szCs w:val="21"/>
                <w14:textFill>
                  <w14:solidFill>
                    <w14:schemeClr w14:val="tx1"/>
                  </w14:solidFill>
                </w14:textFill>
              </w:rPr>
              <w:t>5</w:t>
            </w:r>
          </w:p>
        </w:tc>
        <w:tc>
          <w:tcPr>
            <w:tcW w:type="dxa" w:w="1419"/>
            <w:vAlign w:val="center"/>
          </w:tcPr>
          <w:p>
            <w:pPr>
              <w:jc w:val="center"/>
              <w:rPr>
                <w:rFonts w:hAnsi="宋体"/>
                <w:color w:themeColor="text1" w:val="000000"/>
                <w:sz w:val="21"/>
                <w:szCs w:val="21"/>
                <w14:textFill>
                  <w14:solidFill>
                    <w14:schemeClr w14:val="tx1"/>
                  </w14:solidFill>
                </w14:textFill>
              </w:rPr>
            </w:pPr>
            <w:r>
              <w:rPr>
                <w:rFonts w:hAnsi="宋体" w:hint="eastAsia"/>
                <w:color w:themeColor="text1" w:val="000000"/>
                <w:sz w:val="21"/>
                <w:szCs w:val="21"/>
                <w14:textFill>
                  <w14:solidFill>
                    <w14:schemeClr w14:val="tx1"/>
                  </w14:solidFill>
                </w14:textFill>
              </w:rPr>
              <w:t>培训及售后服务14%</w:t>
            </w:r>
          </w:p>
        </w:tc>
        <w:tc>
          <w:tcPr>
            <w:tcW w:type="dxa" w:w="587"/>
            <w:vAlign w:val="center"/>
          </w:tcPr>
          <w:p>
            <w:pPr>
              <w:spacing w:lineRule="exact" w:line="400"/>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14</w:t>
            </w:r>
          </w:p>
        </w:tc>
        <w:tc>
          <w:tcPr>
            <w:tcW w:type="dxa" w:w="3867"/>
          </w:tcPr>
          <w:p>
            <w:pPr>
              <w:numPr>
                <w:ilvl w:val="0"/>
                <w:numId w:val="9"/>
              </w:numPr>
              <w:spacing w:lineRule="exact" w:line="400"/>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提供完整、可行的培训方案，明确具体培训方式、时间、地点、人员以及培训内容情况优得7-5分，一般得4-2分，差得1分，</w:t>
            </w:r>
            <w:r>
              <w:rPr>
                <w:rFonts w:cs="宋体" w:hAnsi="宋体" w:hint="eastAsia"/>
                <w:color w:themeColor="text1" w:val="000000"/>
                <w:sz w:val="21"/>
                <w:szCs w:val="21"/>
                <w:lang w:eastAsia="zh-TW"/>
                <w14:textFill>
                  <w14:solidFill>
                    <w14:schemeClr w14:val="tx1"/>
                  </w14:solidFill>
                </w14:textFill>
              </w:rPr>
              <w:t>未提供不得分</w:t>
            </w:r>
            <w:r>
              <w:rPr>
                <w:rFonts w:cs="宋体" w:hAnsi="宋体" w:hint="eastAsia"/>
                <w:color w:themeColor="text1" w:val="000000"/>
                <w:sz w:val="21"/>
                <w:szCs w:val="21"/>
                <w14:textFill>
                  <w14:solidFill>
                    <w14:schemeClr w14:val="tx1"/>
                  </w14:solidFill>
                </w14:textFill>
              </w:rPr>
              <w:t>.</w:t>
            </w:r>
          </w:p>
          <w:p>
            <w:pPr>
              <w:spacing w:lineRule="exact" w:line="400"/>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2.提供详细完整的售后服务方案。包含但不限于：日常维护，应急响应速度及措施，备品备件计划，质保范围等，进行综合评定，优得7-5分，一般得4-2分，差得1分，未提供不得分。</w:t>
            </w:r>
          </w:p>
        </w:tc>
        <w:tc>
          <w:tcPr>
            <w:tcW w:type="dxa" w:w="2577"/>
            <w:vAlign w:val="center"/>
          </w:tcPr>
          <w:p>
            <w:pPr>
              <w:spacing w:lineRule="exact" w:line="400"/>
              <w:rPr>
                <w:rFonts w:cs="宋体" w:hAnsi="宋体"/>
                <w:color w:themeColor="text1" w:val="000000"/>
                <w:sz w:val="21"/>
                <w:szCs w:val="21"/>
                <w14:textFill>
                  <w14:solidFill>
                    <w14:schemeClr w14:val="tx1"/>
                  </w14:solidFill>
                </w14:textFill>
              </w:rPr>
            </w:pPr>
            <w:r>
              <w:rPr>
                <w:rFonts w:cs="宋体" w:hAnsi="宋体" w:hint="eastAsia"/>
                <w:color w:themeColor="text1" w:val="000000"/>
                <w:sz w:val="21"/>
                <w:szCs w:val="21"/>
                <w14:textFill>
                  <w14:solidFill>
                    <w14:schemeClr w14:val="tx1"/>
                  </w14:solidFill>
                </w14:textFill>
              </w:rPr>
              <w:t>提供详细的培训及售后服务方案和其他售后服务能力证明材料。</w:t>
            </w:r>
          </w:p>
        </w:tc>
      </w:tr>
    </w:tbl>
    <w:p>
      <w:pPr>
        <w:pStyle w:val="4"/>
        <w:spacing w:lineRule="exact" w:line="400"/>
        <w:rPr>
          <w:rFonts w:hAnsi="Times New Roman" w:ascii="Times New Roman"/>
          <w:sz w:val="22"/>
          <w:szCs w:val="22"/>
        </w:rPr>
      </w:pPr>
    </w:p>
    <w:p>
      <w:pPr>
        <w:pStyle w:val="4"/>
        <w:spacing w:lineRule="exact" w:line="400"/>
        <w:ind w:firstLineChars="196" w:firstLine="432"/>
        <w:rPr>
          <w:rFonts w:hAnsi="Times New Roman" w:ascii="Times New Roman"/>
          <w:sz w:val="22"/>
          <w:szCs w:val="22"/>
        </w:rPr>
      </w:pPr>
      <w:r>
        <w:rPr>
          <w:rFonts w:hAnsi="Times New Roman" w:ascii="Times New Roman"/>
          <w:sz w:val="22"/>
          <w:szCs w:val="22"/>
        </w:rPr>
        <w:t xml:space="preserve">5. </w:t>
      </w:r>
      <w:r>
        <w:rPr>
          <w:rFonts w:hAnsi="Times New Roman" w:ascii="Times New Roman" w:hint="eastAsia"/>
          <w:sz w:val="22"/>
          <w:szCs w:val="22"/>
        </w:rPr>
        <w:t>废标</w:t>
      </w:r>
    </w:p>
    <w:p>
      <w:pPr>
        <w:spacing w:lineRule="exact" w:line="400"/>
        <w:ind w:firstLineChars="200" w:firstLine="440"/>
        <w:rPr>
          <w:rFonts w:hAnsi="Times New Roman" w:ascii="Times New Roman"/>
          <w:sz w:val="22"/>
          <w:szCs w:val="21"/>
        </w:rPr>
      </w:pPr>
      <w:r>
        <w:rPr>
          <w:rFonts w:hAnsi="Times New Roman" w:ascii="Times New Roman"/>
          <w:sz w:val="22"/>
          <w:szCs w:val="21"/>
        </w:rPr>
        <w:t>5.1</w:t>
      </w:r>
      <w:r>
        <w:rPr>
          <w:rFonts w:hAnsi="Times New Roman" w:ascii="Times New Roman" w:hint="eastAsia"/>
          <w:sz w:val="22"/>
          <w:szCs w:val="21"/>
        </w:rPr>
        <w:t>本次政府采购活动中，出现下列情形之一的，予以废标：</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）符合专业条件的供应商或者对招标文件作实质响应的供应商不足三家的；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）出现影响采购公正的违法、违规行为的；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）投标人的报价均超过了采购预算，采购人不能支付的；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）因重大变故，采购任务取消的。</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废标后，采购代理机构应在陕西省政府采购网上公告，并公告废标的情形。投标人需要知晓导致废标情形的具体原因和理由的，可以通过书面形式询问招标采购单位。</w:t>
      </w:r>
    </w:p>
    <w:p>
      <w:pPr>
        <w:spacing w:lineRule="exact" w:line="400"/>
        <w:ind w:firstLineChars="200" w:firstLine="440"/>
        <w:rPr>
          <w:rFonts w:hAnsi="Times New Roman" w:ascii="Times New Roman"/>
          <w:sz w:val="22"/>
          <w:szCs w:val="21"/>
        </w:rPr>
      </w:pPr>
      <w:r>
        <w:rPr>
          <w:rFonts w:hAnsi="Times New Roman" w:ascii="Times New Roman"/>
          <w:sz w:val="22"/>
          <w:szCs w:val="21"/>
        </w:rPr>
        <w:t>5.2</w:t>
      </w:r>
      <w:r>
        <w:rPr>
          <w:rFonts w:hAnsi="Times New Roman" w:ascii="Times New Roman" w:hint="eastAsia"/>
          <w:sz w:val="22"/>
          <w:szCs w:val="21"/>
        </w:rPr>
        <w:t>对于评标过程中废标的采购项目，评标委员会应当对招标文件是否存在倾向性和歧视性、是否存在不合理条款进行论证，并出具书面论证意见。</w:t>
      </w:r>
    </w:p>
    <w:p>
      <w:pPr>
        <w:spacing w:lineRule="exact" w:line="400"/>
        <w:ind w:firstLineChars="200" w:firstLine="440"/>
        <w:rPr>
          <w:rFonts w:hAnsi="Times New Roman" w:ascii="Times New Roman"/>
          <w:sz w:val="22"/>
          <w:szCs w:val="21"/>
        </w:rPr>
      </w:pPr>
    </w:p>
    <w:p>
      <w:pPr>
        <w:pStyle w:val="4"/>
        <w:spacing w:lineRule="exact" w:line="400"/>
        <w:ind w:firstLineChars="196" w:firstLine="432"/>
        <w:rPr>
          <w:rFonts w:hAnsi="Times New Roman" w:ascii="Times New Roman"/>
          <w:sz w:val="22"/>
          <w:szCs w:val="22"/>
        </w:rPr>
      </w:pPr>
      <w:r>
        <w:rPr>
          <w:rFonts w:hAnsi="Times New Roman" w:ascii="Times New Roman"/>
          <w:sz w:val="22"/>
          <w:szCs w:val="22"/>
        </w:rPr>
        <w:t xml:space="preserve">6. </w:t>
      </w:r>
      <w:r>
        <w:rPr>
          <w:rFonts w:hAnsi="Times New Roman" w:ascii="Times New Roman" w:hint="eastAsia"/>
          <w:sz w:val="22"/>
          <w:szCs w:val="22"/>
        </w:rPr>
        <w:t>定标</w:t>
      </w:r>
      <w:bookmarkEnd w:id="221"/>
      <w:bookmarkStart w:name="_Toc217446061" w:id="222"/>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定标原则</w:t>
      </w:r>
      <w:bookmarkEnd w:id="222"/>
      <w:r>
        <w:rPr>
          <w:rFonts w:hAnsi="Times New Roman" w:ascii="Times New Roman" w:hint="eastAsia"/>
          <w:sz w:val="22"/>
          <w:szCs w:val="21"/>
        </w:rPr>
        <w:t>：本项目根据评标委员会推荐的中标候选供应商名单，按顺序确定中标供应商。</w:t>
      </w:r>
    </w:p>
    <w:p>
      <w:pPr>
        <w:spacing w:lineRule="exact" w:line="400"/>
        <w:ind w:firstLineChars="200" w:firstLine="440"/>
        <w:rPr>
          <w:rFonts w:hAnsi="Times New Roman" w:ascii="Times New Roman"/>
          <w:sz w:val="22"/>
          <w:szCs w:val="21"/>
        </w:rPr>
      </w:pPr>
      <w:bookmarkStart w:name="_Toc217446062" w:id="223"/>
      <w:r>
        <w:rPr>
          <w:rFonts w:hAnsi="Times New Roman" w:ascii="Times New Roman"/>
          <w:sz w:val="22"/>
          <w:szCs w:val="21"/>
        </w:rPr>
        <w:t xml:space="preserve">6.2. </w:t>
      </w:r>
      <w:r>
        <w:rPr>
          <w:rFonts w:hAnsi="Times New Roman" w:ascii="Times New Roman" w:hint="eastAsia"/>
          <w:sz w:val="22"/>
          <w:szCs w:val="21"/>
        </w:rPr>
        <w:t>定标程序</w:t>
      </w:r>
      <w:bookmarkEnd w:id="223"/>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6.2.1 </w:t>
      </w:r>
      <w:r>
        <w:rPr>
          <w:rFonts w:hAnsi="Times New Roman" w:ascii="Times New Roman" w:hint="eastAsia"/>
          <w:sz w:val="22"/>
          <w:szCs w:val="21"/>
        </w:rPr>
        <w:t>评标委员会将评标情况写出书面报告，推荐中标候选供应商。</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6.2.2 </w:t>
      </w:r>
      <w:r>
        <w:rPr>
          <w:rFonts w:hAnsi="Times New Roman" w:ascii="Times New Roman" w:hint="eastAsia"/>
          <w:sz w:val="22"/>
          <w:szCs w:val="21"/>
        </w:rPr>
        <w:t>采购代理机构在评标结束后1个工作日内将评标报告送采购人。</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6.2.3 </w:t>
      </w:r>
      <w:r>
        <w:rPr>
          <w:rFonts w:hAnsi="Times New Roman" w:ascii="Times New Roman" w:hint="eastAsia"/>
          <w:sz w:val="22"/>
          <w:szCs w:val="21"/>
        </w:rPr>
        <w:t>采购人在收到评标报告后4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Rule="exact" w:line="400"/>
        <w:ind w:firstLineChars="200" w:firstLine="440"/>
        <w:rPr>
          <w:rFonts w:hAnsi="Times New Roman" w:ascii="Times New Roman"/>
          <w:b/>
          <w:sz w:val="22"/>
          <w:szCs w:val="21"/>
        </w:rPr>
      </w:pPr>
      <w:r>
        <w:rPr>
          <w:rFonts w:hAnsi="Times New Roman" w:ascii="Times New Roman" w:hint="eastAsia"/>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6.2.4 </w:t>
      </w:r>
      <w:r>
        <w:rPr>
          <w:rFonts w:hAnsi="Times New Roman" w:ascii="Times New Roman" w:hint="eastAsia"/>
          <w:sz w:val="22"/>
          <w:szCs w:val="21"/>
        </w:rPr>
        <w:t>根据采购人确定的中标供应商，采购代理机构在陕西省政府采购网上发布中标公告，并自采购人确定中标之日起1个工作日内向中标供应商发出中标通知书。</w:t>
      </w:r>
    </w:p>
    <w:p>
      <w:pPr>
        <w:spacing w:lineRule="exact" w:line="400"/>
        <w:ind w:firstLineChars="200" w:firstLine="440"/>
        <w:rPr>
          <w:rFonts w:hAnsi="Times New Roman" w:ascii="Times New Roman"/>
          <w:sz w:val="22"/>
          <w:szCs w:val="21"/>
        </w:rPr>
      </w:pPr>
      <w:r>
        <w:rPr>
          <w:rFonts w:hAnsi="Times New Roman" w:ascii="Times New Roman"/>
          <w:sz w:val="22"/>
          <w:szCs w:val="21"/>
        </w:rPr>
        <w:t xml:space="preserve">6.2.5 </w:t>
      </w:r>
      <w:r>
        <w:rPr>
          <w:rFonts w:hAnsi="Times New Roman" w:ascii="Times New Roman" w:hint="eastAsia"/>
          <w:sz w:val="22"/>
          <w:szCs w:val="21"/>
        </w:rPr>
        <w:t>招标采购单位不退回投标人投标文件和其他投标资料。</w:t>
      </w:r>
    </w:p>
    <w:bookmarkEnd w:id="218"/>
    <w:p>
      <w:pPr>
        <w:pStyle w:val="4"/>
        <w:spacing w:lineRule="exact" w:line="400"/>
        <w:ind w:firstLineChars="200" w:firstLine="440"/>
        <w:rPr>
          <w:rFonts w:hAnsi="Times New Roman" w:ascii="Times New Roman"/>
          <w:sz w:val="22"/>
          <w:szCs w:val="22"/>
        </w:rPr>
      </w:pPr>
      <w:bookmarkStart w:name="_Toc217446105" w:id="224"/>
      <w:bookmarkStart w:name="_Toc183682432" w:id="225"/>
      <w:bookmarkStart w:name="_Toc208849022" w:id="226"/>
      <w:bookmarkStart w:name="_Toc183582297" w:id="227"/>
      <w:r>
        <w:rPr>
          <w:rFonts w:hAnsi="Times New Roman" w:ascii="Times New Roman"/>
          <w:sz w:val="22"/>
          <w:szCs w:val="22"/>
        </w:rPr>
        <w:t xml:space="preserve">7. </w:t>
      </w:r>
      <w:bookmarkEnd w:id="224"/>
      <w:bookmarkEnd w:id="225"/>
      <w:bookmarkEnd w:id="226"/>
      <w:bookmarkEnd w:id="227"/>
      <w:r>
        <w:rPr>
          <w:rFonts w:hAnsi="Times New Roman" w:ascii="Times New Roman" w:hint="eastAsia"/>
          <w:sz w:val="22"/>
          <w:szCs w:val="22"/>
        </w:rPr>
        <w:t>评标专家在政府采购活动中承担以下义务：</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（一）遵守评审工作纪律；</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（二）按照客观、公正、审慎的原则，根据采购文件规定的评审程序、评审方法和评审标准进行独立评审；</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（三）不得泄露评审文件、评审情况和在评审过程中获悉的商业秘密；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（四）及时向监督部门报告评审过程中采购组织单位向评审专家做倾向性、误导性的解释或者说明，供应商行贿、提供虚假材料或者串通、受到的非法干预情况等违法违规行为；</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（五）发现采购文件内容违反国家有关强制性规定或者存在歧义、重大缺陷导致评审工作无法进行时，停止评审并向采购组织单位书面说明情况；</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（六）配合答复处理供应商的询问、质疑和投诉等事项；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（七）法律、法规和规章规定的其他义务。</w:t>
      </w:r>
    </w:p>
    <w:p>
      <w:pPr>
        <w:pStyle w:val="4"/>
        <w:spacing w:lineRule="exact" w:line="400"/>
        <w:ind w:firstLineChars="200" w:firstLine="440"/>
        <w:rPr>
          <w:rFonts w:hAnsi="Times New Roman" w:ascii="Times New Roman"/>
          <w:sz w:val="22"/>
          <w:szCs w:val="22"/>
        </w:rPr>
      </w:pPr>
      <w:r>
        <w:rPr>
          <w:rFonts w:hAnsi="Times New Roman" w:ascii="Times New Roman"/>
          <w:sz w:val="22"/>
          <w:szCs w:val="22"/>
        </w:rPr>
        <w:t>8.</w:t>
      </w:r>
      <w:r>
        <w:rPr>
          <w:rFonts w:hAnsi="Times New Roman" w:ascii="Times New Roman" w:hint="eastAsia"/>
          <w:sz w:val="22"/>
          <w:szCs w:val="22"/>
        </w:rPr>
        <w:t>评标专家在政府采购活动中应当遵守以下工作纪律：</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（一）遵行《政府采购法》第十二条和《政府采购法实施条例》第九条及财政部关于回避的规定。</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（二）评标前，应当将通讯工具或者相关电子设备交由招标采购单位统一保管。</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（三）评标过程中，不得与外界联系，因发生不可预见情况，确实需要与外界联系的，应当在监督人员监督之下办理。</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（五）在评标过程中和评标结束后，不得记录、复制或带走任何评标资料，除因规定的义务外，不得向外界透露评标内容。</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（六）服从评标现场招标采购单位的现场秩序管理，接受评标现场监督人员的合法监督。</w:t>
      </w:r>
    </w:p>
    <w:p>
      <w:pPr>
        <w:spacing w:lineRule="exact" w:line="400"/>
        <w:ind w:firstLineChars="200" w:firstLine="440"/>
        <w:rPr>
          <w:rFonts w:hAnsi="Times New Roman" w:ascii="Times New Roman"/>
          <w:sz w:val="22"/>
          <w:szCs w:val="21"/>
        </w:rPr>
      </w:pPr>
      <w:r>
        <w:rPr>
          <w:rFonts w:hAnsi="Times New Roman" w:ascii="Times New Roman" w:hint="eastAsia"/>
          <w:sz w:val="22"/>
          <w:szCs w:val="21"/>
        </w:rPr>
        <w:t>（七）遵守有关廉洁自律规定，不得私下接触供应商，不得收受供应商及有关业务单位和个人的财物或好处，不得接受采购组织单位的请托。</w:t>
      </w:r>
    </w:p>
    <w:p>
      <w:pPr>
        <w:pStyle w:val="3"/>
        <w:jc w:val="center"/>
        <w:rPr>
          <w:rFonts w:hAnsi="Times New Roman" w:ascii="Times New Roman"/>
          <w:sz w:val="40"/>
          <w:szCs w:val="20"/>
        </w:rPr>
      </w:pPr>
      <w:r>
        <w:rPr>
          <w:rFonts w:hAnsi="Times New Roman" w:ascii="Times New Roman"/>
          <w:sz w:val="40"/>
          <w:szCs w:val="21"/>
        </w:rPr>
        <w:br w:type="page"/>
      </w:r>
      <w:bookmarkEnd w:id="213"/>
      <w:bookmarkEnd w:id="214"/>
      <w:bookmarkEnd w:id="215"/>
    </w:p>
    <w:p>
      <w:pPr>
        <w:pStyle w:val="3"/>
        <w:jc w:val="center"/>
        <w:rPr>
          <w:rFonts w:hAnsi="Times New Roman" w:ascii="Times New Roman"/>
          <w:sz w:val="40"/>
          <w:szCs w:val="20"/>
        </w:rPr>
      </w:pPr>
      <w:r>
        <w:rPr>
          <w:rFonts w:hAnsi="Times New Roman" w:ascii="Times New Roman" w:hint="eastAsia"/>
          <w:sz w:val="40"/>
          <w:szCs w:val="21"/>
        </w:rPr>
        <w:t>第七章合同条款（仅供参考）</w:t>
      </w:r>
    </w:p>
    <w:p>
      <w:pPr>
        <w:pStyle w:val="31"/>
        <w:ind w:firstLine="480"/>
        <w:rPr>
          <w:rFonts w:hAnsi="宋体"/>
        </w:rPr>
      </w:pPr>
    </w:p>
    <w:p>
      <w:pPr>
        <w:pStyle w:val="31"/>
        <w:ind w:firstLine="480"/>
        <w:rPr>
          <w:rFonts w:hAnsi="宋体"/>
        </w:rPr>
      </w:pPr>
      <w:r>
        <w:rPr>
          <w:rFonts w:hAnsi="宋体" w:hint="eastAsia"/>
        </w:rPr>
        <w:t>签订地点：</w:t>
      </w:r>
      <w:r>
        <w:rPr>
          <w:rFonts w:hAnsi="宋体"/>
        </w:rPr>
        <w:t xml:space="preserve"> </w:t>
      </w:r>
      <w:r>
        <w:rPr>
          <w:rFonts w:hint="eastAsia"/>
          <w:szCs w:val="21"/>
        </w:rPr>
        <w:t>XXXX。</w:t>
      </w:r>
      <w:r>
        <w:rPr>
          <w:rFonts w:hAnsi="宋体"/>
        </w:rPr>
        <w:t xml:space="preserve">                     </w:t>
      </w:r>
      <w:r>
        <w:rPr>
          <w:rFonts w:hAnsi="宋体" w:hint="eastAsia"/>
        </w:rPr>
        <w:t xml:space="preserve">  </w:t>
      </w:r>
      <w:r>
        <w:rPr>
          <w:rFonts w:hAnsi="宋体"/>
        </w:rPr>
        <w:t xml:space="preserve">       </w:t>
      </w:r>
      <w:r>
        <w:rPr>
          <w:rFonts w:hAnsi="宋体" w:hint="eastAsia"/>
        </w:rPr>
        <w:t xml:space="preserve">          </w:t>
      </w:r>
    </w:p>
    <w:p>
      <w:pPr>
        <w:pStyle w:val="31"/>
        <w:ind w:firstLine="480"/>
        <w:rPr>
          <w:rFonts w:hAnsi="宋体"/>
        </w:rPr>
      </w:pPr>
      <w:r>
        <w:rPr>
          <w:rFonts w:hAnsi="宋体" w:hint="eastAsia"/>
        </w:rPr>
        <w:t>签订时间：</w:t>
      </w:r>
      <w:r>
        <w:rPr>
          <w:rFonts w:hAnsi="宋体"/>
        </w:rPr>
        <w:t xml:space="preserve"> </w:t>
      </w:r>
      <w:r>
        <w:rPr>
          <w:rFonts w:hint="eastAsia"/>
          <w:szCs w:val="21"/>
        </w:rPr>
        <w:t>XXXX年XX月XX日。</w:t>
      </w:r>
      <w:r>
        <w:rPr>
          <w:rFonts w:hAnsi="宋体"/>
        </w:rPr>
        <w:t xml:space="preserve">                          </w:t>
      </w:r>
      <w:r>
        <w:rPr>
          <w:rFonts w:hAnsi="宋体" w:hint="eastAsia"/>
        </w:rPr>
        <w:t xml:space="preserve">  </w:t>
      </w:r>
      <w:r>
        <w:rPr>
          <w:rFonts w:hAnsi="宋体"/>
        </w:rPr>
        <w:t xml:space="preserve">    </w:t>
      </w:r>
      <w:r>
        <w:rPr>
          <w:rFonts w:hAnsi="宋体" w:hint="eastAsia"/>
        </w:rPr>
        <w:t xml:space="preserve">        </w:t>
      </w:r>
    </w:p>
    <w:p>
      <w:pPr>
        <w:pStyle w:val="31"/>
        <w:ind w:firstLine="480"/>
        <w:rPr>
          <w:rFonts w:hAnsi="宋体"/>
        </w:rPr>
      </w:pPr>
      <w:r>
        <w:rPr>
          <w:rFonts w:hAnsi="宋体" w:hint="eastAsia"/>
        </w:rPr>
        <w:t>采购人（甲方）：</w:t>
      </w:r>
      <w:r>
        <w:rPr>
          <w:rFonts w:hAnsi="宋体" w:hint="eastAsia"/>
          <w:u w:val="single"/>
        </w:rPr>
        <w:t xml:space="preserve">                     </w:t>
      </w:r>
      <w:r>
        <w:rPr>
          <w:rFonts w:hAnsi="宋体"/>
        </w:rPr>
        <w:t xml:space="preserve">                           </w:t>
      </w:r>
      <w:r>
        <w:rPr>
          <w:rFonts w:hAnsi="宋体" w:hint="eastAsia"/>
        </w:rPr>
        <w:t xml:space="preserve">  </w:t>
      </w:r>
      <w:r>
        <w:rPr>
          <w:rFonts w:hAnsi="宋体"/>
        </w:rPr>
        <w:t xml:space="preserve">     </w:t>
      </w:r>
      <w:r>
        <w:rPr>
          <w:rFonts w:hAnsi="宋体" w:hint="eastAsia"/>
        </w:rPr>
        <w:t xml:space="preserve">        </w:t>
      </w:r>
    </w:p>
    <w:p>
      <w:pPr>
        <w:pStyle w:val="31"/>
        <w:ind w:firstLine="480"/>
        <w:rPr>
          <w:rFonts w:hAnsi="宋体"/>
        </w:rPr>
      </w:pPr>
      <w:r>
        <w:rPr>
          <w:rFonts w:hAnsi="宋体" w:hint="eastAsia"/>
        </w:rPr>
        <w:t>供应商（乙方）：</w:t>
      </w:r>
      <w:r>
        <w:rPr>
          <w:rFonts w:hAnsi="宋体" w:hint="eastAsia"/>
          <w:u w:val="single"/>
        </w:rPr>
        <w:t xml:space="preserve">                     </w:t>
      </w:r>
      <w:r>
        <w:rPr>
          <w:rFonts w:hAnsi="宋体"/>
        </w:rPr>
        <w:t xml:space="preserve"> </w:t>
      </w:r>
    </w:p>
    <w:p>
      <w:pPr>
        <w:pStyle w:val="31"/>
        <w:ind w:firstLine="480"/>
        <w:rPr>
          <w:rFonts w:hAnsi="宋体"/>
        </w:rPr>
      </w:pPr>
      <w:r>
        <w:rPr>
          <w:rFonts w:hAnsi="宋体"/>
        </w:rPr>
        <w:t xml:space="preserve">  </w:t>
      </w:r>
      <w:r>
        <w:rPr>
          <w:rFonts w:hAnsi="宋体" w:hint="eastAsia"/>
        </w:rPr>
        <w:t xml:space="preserve">                                    </w:t>
      </w:r>
      <w:r>
        <w:rPr>
          <w:rFonts w:hAnsi="宋体"/>
        </w:rPr>
        <w:t xml:space="preserve">  </w:t>
      </w:r>
    </w:p>
    <w:p>
      <w:pPr>
        <w:spacing w:lineRule="exact" w:line="400"/>
        <w:rPr>
          <w:rFonts w:hAnsi="宋体"/>
          <w:sz w:val="24"/>
        </w:rPr>
      </w:pPr>
    </w:p>
    <w:p>
      <w:pPr>
        <w:pStyle w:val="31"/>
        <w:ind w:firstLine="480"/>
        <w:rPr>
          <w:rFonts w:hAnsi="宋体"/>
        </w:rPr>
      </w:pPr>
      <w:r>
        <w:rPr>
          <w:rFonts w:hAnsi="宋体" w:hint="eastAsia"/>
        </w:rPr>
        <w:t>根据《中华人民共和国合同法》及</w:t>
      </w:r>
      <w:r>
        <w:rPr>
          <w:rFonts w:hint="eastAsia"/>
          <w:szCs w:val="21"/>
        </w:rPr>
        <w:t>四川国际招标有限责任公司</w:t>
      </w:r>
      <w:r>
        <w:rPr>
          <w:rFonts w:hAnsi="宋体" w:hint="eastAsia"/>
          <w:u w:val="single"/>
        </w:rPr>
        <w:t xml:space="preserve">         </w:t>
      </w:r>
      <w:r>
        <w:rPr>
          <w:rFonts w:hAnsi="宋体" w:hint="eastAsia"/>
        </w:rPr>
        <w:t>采购项目（项目编号：</w:t>
      </w:r>
      <w:r>
        <w:rPr>
          <w:rFonts w:hint="eastAsia"/>
          <w:szCs w:val="21"/>
        </w:rPr>
        <w:t>XX</w:t>
      </w:r>
      <w:r>
        <w:rPr>
          <w:rFonts w:hAnsi="宋体"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insoku w:val="false"/>
        <w:spacing w:lineRule="exact" w:line="400"/>
        <w:ind w:firstLineChars="250" w:firstLine="600"/>
        <w:rPr>
          <w:rFonts w:hAnsi="宋体"/>
          <w:sz w:val="24"/>
        </w:rPr>
      </w:pPr>
      <w:r>
        <w:rPr>
          <w:rFonts w:hAnsi="宋体" w:hint="eastAsia"/>
          <w:sz w:val="24"/>
        </w:rPr>
        <w:t>一、</w:t>
      </w:r>
      <w:r>
        <w:rPr>
          <w:rFonts w:hAnsi="宋体"/>
          <w:b/>
          <w:sz w:val="24"/>
        </w:rPr>
        <w:t>合同内容</w:t>
      </w:r>
    </w:p>
    <w:tbl>
      <w:tblPr>
        <w:tblStyle w:val="15"/>
        <w:tblW w:type="dxa" w:w="809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786"/>
        <w:gridCol w:w="1620"/>
        <w:gridCol w:w="1260"/>
        <w:gridCol w:w="900"/>
        <w:gridCol w:w="900"/>
        <w:gridCol w:w="900"/>
        <w:gridCol w:w="894"/>
        <w:gridCol w:w="839"/>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exact" w:val="656"/>
          <w:jc w:val="center"/>
        </w:trPr>
        <w:tc>
          <w:tcPr>
            <w:tcW w:type="dxa" w:w="786"/>
            <w:vAlign w:val="center"/>
          </w:tcPr>
          <w:p>
            <w:pPr>
              <w:spacing w:lineRule="exact" w:line="400"/>
              <w:jc w:val="center"/>
              <w:rPr>
                <w:rFonts w:hAnsi="宋体"/>
                <w:b/>
                <w:sz w:val="24"/>
              </w:rPr>
            </w:pPr>
            <w:r>
              <w:rPr>
                <w:rFonts w:hAnsi="宋体" w:hint="eastAsia"/>
                <w:b/>
                <w:sz w:val="24"/>
              </w:rPr>
              <w:t>编号</w:t>
            </w:r>
          </w:p>
        </w:tc>
        <w:tc>
          <w:tcPr>
            <w:tcW w:type="dxa" w:w="1620"/>
            <w:vAlign w:val="center"/>
          </w:tcPr>
          <w:p>
            <w:pPr>
              <w:spacing w:lineRule="exact" w:line="400"/>
              <w:jc w:val="center"/>
              <w:rPr>
                <w:rFonts w:hAnsi="宋体"/>
                <w:b/>
                <w:sz w:val="24"/>
              </w:rPr>
            </w:pPr>
            <w:r>
              <w:rPr>
                <w:rFonts w:hAnsi="宋体" w:hint="eastAsia"/>
                <w:b/>
                <w:sz w:val="24"/>
              </w:rPr>
              <w:t>设备名称</w:t>
            </w:r>
          </w:p>
        </w:tc>
        <w:tc>
          <w:tcPr>
            <w:tcW w:type="dxa" w:w="1260"/>
            <w:vAlign w:val="center"/>
          </w:tcPr>
          <w:p>
            <w:pPr>
              <w:spacing w:lineRule="exact" w:line="400"/>
              <w:jc w:val="center"/>
              <w:rPr>
                <w:rFonts w:hAnsi="宋体"/>
                <w:b/>
                <w:sz w:val="24"/>
              </w:rPr>
            </w:pPr>
            <w:r>
              <w:rPr>
                <w:rFonts w:hAnsi="宋体" w:hint="eastAsia"/>
                <w:b/>
                <w:sz w:val="24"/>
              </w:rPr>
              <w:t>型号</w:t>
            </w:r>
          </w:p>
        </w:tc>
        <w:tc>
          <w:tcPr>
            <w:tcW w:type="dxa" w:w="900"/>
            <w:vAlign w:val="center"/>
          </w:tcPr>
          <w:p>
            <w:pPr>
              <w:spacing w:lineRule="exact" w:line="400"/>
              <w:jc w:val="center"/>
              <w:rPr>
                <w:rFonts w:hAnsi="宋体"/>
                <w:b/>
                <w:sz w:val="24"/>
              </w:rPr>
            </w:pPr>
            <w:r>
              <w:rPr>
                <w:rFonts w:hAnsi="宋体" w:hint="eastAsia"/>
                <w:b/>
                <w:sz w:val="24"/>
              </w:rPr>
              <w:t>产地</w:t>
            </w:r>
          </w:p>
        </w:tc>
        <w:tc>
          <w:tcPr>
            <w:tcW w:type="dxa" w:w="900"/>
            <w:vAlign w:val="center"/>
          </w:tcPr>
          <w:p>
            <w:pPr>
              <w:spacing w:lineRule="exact" w:line="400"/>
              <w:jc w:val="center"/>
              <w:rPr>
                <w:rFonts w:hAnsi="宋体"/>
                <w:b/>
                <w:sz w:val="24"/>
              </w:rPr>
            </w:pPr>
            <w:r>
              <w:rPr>
                <w:rFonts w:hAnsi="宋体" w:hint="eastAsia"/>
                <w:b/>
                <w:sz w:val="24"/>
              </w:rPr>
              <w:t>数量</w:t>
            </w:r>
          </w:p>
        </w:tc>
        <w:tc>
          <w:tcPr>
            <w:tcW w:type="dxa" w:w="900"/>
            <w:vAlign w:val="center"/>
          </w:tcPr>
          <w:p>
            <w:pPr>
              <w:spacing w:lineRule="exact" w:line="400"/>
              <w:jc w:val="center"/>
              <w:rPr>
                <w:rFonts w:hAnsi="宋体"/>
                <w:b/>
                <w:sz w:val="24"/>
              </w:rPr>
            </w:pPr>
            <w:r>
              <w:rPr>
                <w:rFonts w:hAnsi="宋体" w:hint="eastAsia"/>
                <w:b/>
                <w:sz w:val="24"/>
              </w:rPr>
              <w:t>单价</w:t>
            </w:r>
          </w:p>
        </w:tc>
        <w:tc>
          <w:tcPr>
            <w:tcW w:type="dxa" w:w="894"/>
            <w:vAlign w:val="center"/>
          </w:tcPr>
          <w:p>
            <w:pPr>
              <w:spacing w:lineRule="exact" w:line="400"/>
              <w:jc w:val="center"/>
              <w:rPr>
                <w:rFonts w:hAnsi="宋体"/>
                <w:b/>
                <w:sz w:val="24"/>
              </w:rPr>
            </w:pPr>
            <w:r>
              <w:rPr>
                <w:rFonts w:hAnsi="宋体" w:hint="eastAsia"/>
                <w:b/>
                <w:sz w:val="24"/>
              </w:rPr>
              <w:t>总价</w:t>
            </w:r>
          </w:p>
        </w:tc>
        <w:tc>
          <w:tcPr>
            <w:tcW w:type="dxa" w:w="839"/>
            <w:vAlign w:val="center"/>
          </w:tcPr>
          <w:p>
            <w:pPr>
              <w:spacing w:lineRule="exact" w:line="400"/>
              <w:jc w:val="center"/>
              <w:rPr>
                <w:rFonts w:hAnsi="宋体"/>
                <w:b/>
                <w:sz w:val="24"/>
              </w:rPr>
            </w:pPr>
            <w:r>
              <w:rPr>
                <w:rFonts w:hAnsi="宋体" w:hint="eastAsia"/>
                <w:b/>
                <w:sz w:val="24"/>
              </w:rPr>
              <w:t>备注</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exact" w:val="460"/>
          <w:jc w:val="center"/>
        </w:trPr>
        <w:tc>
          <w:tcPr>
            <w:tcW w:type="dxa" w:w="786"/>
            <w:vAlign w:val="center"/>
          </w:tcPr>
          <w:p>
            <w:pPr>
              <w:adjustRightInd w:val="false"/>
              <w:snapToGrid w:val="false"/>
              <w:jc w:val="center"/>
              <w:rPr>
                <w:rFonts w:cs="宋体" w:hAnsi="宋体"/>
                <w:szCs w:val="21"/>
              </w:rPr>
            </w:pPr>
            <w:r>
              <w:rPr>
                <w:rFonts w:cs="宋体" w:hAnsi="宋体" w:hint="eastAsia"/>
                <w:szCs w:val="21"/>
              </w:rPr>
              <w:t>1</w:t>
            </w:r>
          </w:p>
        </w:tc>
        <w:tc>
          <w:tcPr>
            <w:tcW w:type="dxa" w:w="1620"/>
            <w:vAlign w:val="center"/>
          </w:tcPr>
          <w:p>
            <w:pPr>
              <w:adjustRightInd w:val="false"/>
              <w:snapToGrid w:val="false"/>
              <w:jc w:val="center"/>
              <w:rPr>
                <w:rFonts w:cs="宋体" w:hAnsi="宋体"/>
                <w:szCs w:val="21"/>
              </w:rPr>
            </w:pPr>
          </w:p>
        </w:tc>
        <w:tc>
          <w:tcPr>
            <w:tcW w:type="dxa" w:w="1260"/>
            <w:vAlign w:val="center"/>
          </w:tcPr>
          <w:p>
            <w:pPr>
              <w:spacing w:lineRule="exact" w:line="400"/>
              <w:jc w:val="center"/>
              <w:rPr>
                <w:rFonts w:hAnsi="宋体"/>
                <w:szCs w:val="21"/>
              </w:rPr>
            </w:pPr>
          </w:p>
        </w:tc>
        <w:tc>
          <w:tcPr>
            <w:tcW w:type="dxa" w:w="900"/>
            <w:vAlign w:val="center"/>
          </w:tcPr>
          <w:p>
            <w:pPr>
              <w:spacing w:lineRule="exact" w:line="400"/>
              <w:jc w:val="center"/>
              <w:rPr>
                <w:rFonts w:hAnsi="宋体"/>
                <w:szCs w:val="21"/>
              </w:rPr>
            </w:pPr>
          </w:p>
        </w:tc>
        <w:tc>
          <w:tcPr>
            <w:tcW w:type="dxa" w:w="900"/>
            <w:vAlign w:val="center"/>
          </w:tcPr>
          <w:p>
            <w:pPr>
              <w:adjustRightInd w:val="false"/>
              <w:snapToGrid w:val="false"/>
              <w:jc w:val="center"/>
              <w:rPr>
                <w:rFonts w:cs="宋体" w:hAnsi="宋体"/>
                <w:szCs w:val="21"/>
              </w:rPr>
            </w:pPr>
          </w:p>
        </w:tc>
        <w:tc>
          <w:tcPr>
            <w:tcW w:type="dxa" w:w="900"/>
            <w:vAlign w:val="center"/>
          </w:tcPr>
          <w:p>
            <w:pPr>
              <w:autoSpaceDN w:val="false"/>
              <w:jc w:val="center"/>
              <w:textAlignment w:val="center"/>
              <w:rPr>
                <w:rFonts w:cs="宋体" w:hAnsi="宋体"/>
                <w:szCs w:val="21"/>
              </w:rPr>
            </w:pPr>
          </w:p>
        </w:tc>
        <w:tc>
          <w:tcPr>
            <w:tcW w:type="dxa" w:w="894"/>
            <w:vAlign w:val="center"/>
          </w:tcPr>
          <w:p>
            <w:pPr>
              <w:autoSpaceDN w:val="false"/>
              <w:jc w:val="center"/>
              <w:textAlignment w:val="center"/>
              <w:rPr>
                <w:rFonts w:cs="宋体" w:hAnsi="宋体"/>
                <w:szCs w:val="21"/>
              </w:rPr>
            </w:pPr>
          </w:p>
        </w:tc>
        <w:tc>
          <w:tcPr>
            <w:tcW w:type="dxa" w:w="839"/>
            <w:vAlign w:val="center"/>
          </w:tcPr>
          <w:p>
            <w:pPr>
              <w:autoSpaceDN w:val="false"/>
              <w:jc w:val="center"/>
              <w:textAlignment w:val="center"/>
              <w:rPr>
                <w:rFonts w:cs="宋体" w:hAnsi="宋体"/>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exact" w:val="460"/>
          <w:jc w:val="center"/>
        </w:trPr>
        <w:tc>
          <w:tcPr>
            <w:tcW w:type="dxa" w:w="786"/>
            <w:vAlign w:val="center"/>
          </w:tcPr>
          <w:p>
            <w:pPr>
              <w:adjustRightInd w:val="false"/>
              <w:snapToGrid w:val="false"/>
              <w:jc w:val="center"/>
              <w:rPr>
                <w:rFonts w:cs="宋体" w:hAnsi="宋体"/>
                <w:szCs w:val="21"/>
              </w:rPr>
            </w:pPr>
          </w:p>
        </w:tc>
        <w:tc>
          <w:tcPr>
            <w:tcW w:type="dxa" w:w="1620"/>
            <w:vAlign w:val="center"/>
          </w:tcPr>
          <w:p>
            <w:pPr>
              <w:adjustRightInd w:val="false"/>
              <w:snapToGrid w:val="false"/>
              <w:jc w:val="center"/>
              <w:rPr>
                <w:rFonts w:cs="宋体" w:hAnsi="宋体"/>
                <w:szCs w:val="21"/>
              </w:rPr>
            </w:pPr>
          </w:p>
        </w:tc>
        <w:tc>
          <w:tcPr>
            <w:tcW w:type="dxa" w:w="1260"/>
            <w:vAlign w:val="center"/>
          </w:tcPr>
          <w:p>
            <w:pPr>
              <w:spacing w:lineRule="exact" w:line="400"/>
              <w:jc w:val="center"/>
              <w:rPr>
                <w:rFonts w:hAnsi="宋体"/>
                <w:szCs w:val="21"/>
              </w:rPr>
            </w:pPr>
          </w:p>
        </w:tc>
        <w:tc>
          <w:tcPr>
            <w:tcW w:type="dxa" w:w="900"/>
            <w:vAlign w:val="center"/>
          </w:tcPr>
          <w:p>
            <w:pPr>
              <w:spacing w:lineRule="exact" w:line="400"/>
              <w:jc w:val="center"/>
              <w:rPr>
                <w:rFonts w:hAnsi="宋体"/>
                <w:szCs w:val="21"/>
              </w:rPr>
            </w:pPr>
          </w:p>
        </w:tc>
        <w:tc>
          <w:tcPr>
            <w:tcW w:type="dxa" w:w="900"/>
            <w:vAlign w:val="center"/>
          </w:tcPr>
          <w:p>
            <w:pPr>
              <w:adjustRightInd w:val="false"/>
              <w:snapToGrid w:val="false"/>
              <w:jc w:val="center"/>
              <w:rPr>
                <w:rFonts w:cs="宋体" w:hAnsi="宋体"/>
                <w:szCs w:val="21"/>
              </w:rPr>
            </w:pPr>
          </w:p>
        </w:tc>
        <w:tc>
          <w:tcPr>
            <w:tcW w:type="dxa" w:w="900"/>
            <w:vAlign w:val="center"/>
          </w:tcPr>
          <w:p>
            <w:pPr>
              <w:autoSpaceDN w:val="false"/>
              <w:jc w:val="center"/>
              <w:textAlignment w:val="center"/>
              <w:rPr>
                <w:rFonts w:cs="宋体" w:hAnsi="宋体"/>
                <w:szCs w:val="21"/>
              </w:rPr>
            </w:pPr>
          </w:p>
        </w:tc>
        <w:tc>
          <w:tcPr>
            <w:tcW w:type="dxa" w:w="894"/>
            <w:vAlign w:val="center"/>
          </w:tcPr>
          <w:p>
            <w:pPr>
              <w:autoSpaceDN w:val="false"/>
              <w:jc w:val="center"/>
              <w:textAlignment w:val="center"/>
              <w:rPr>
                <w:rFonts w:cs="宋体" w:hAnsi="宋体"/>
                <w:szCs w:val="21"/>
              </w:rPr>
            </w:pPr>
          </w:p>
        </w:tc>
        <w:tc>
          <w:tcPr>
            <w:tcW w:type="dxa" w:w="839"/>
            <w:vAlign w:val="center"/>
          </w:tcPr>
          <w:p>
            <w:pPr>
              <w:autoSpaceDN w:val="false"/>
              <w:jc w:val="center"/>
              <w:textAlignment w:val="center"/>
              <w:rPr>
                <w:rFonts w:cs="宋体" w:hAnsi="宋体"/>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exact" w:val="460"/>
          <w:jc w:val="center"/>
        </w:trPr>
        <w:tc>
          <w:tcPr>
            <w:tcW w:type="dxa" w:w="786"/>
            <w:vAlign w:val="center"/>
          </w:tcPr>
          <w:p>
            <w:pPr>
              <w:adjustRightInd w:val="false"/>
              <w:snapToGrid w:val="false"/>
              <w:jc w:val="center"/>
              <w:rPr>
                <w:rFonts w:cs="宋体" w:hAnsi="宋体"/>
                <w:szCs w:val="21"/>
              </w:rPr>
            </w:pPr>
          </w:p>
        </w:tc>
        <w:tc>
          <w:tcPr>
            <w:tcW w:type="dxa" w:w="1620"/>
            <w:vAlign w:val="center"/>
          </w:tcPr>
          <w:p>
            <w:pPr>
              <w:adjustRightInd w:val="false"/>
              <w:snapToGrid w:val="false"/>
              <w:jc w:val="center"/>
              <w:rPr>
                <w:rFonts w:cs="宋体" w:hAnsi="宋体"/>
                <w:szCs w:val="21"/>
              </w:rPr>
            </w:pPr>
          </w:p>
        </w:tc>
        <w:tc>
          <w:tcPr>
            <w:tcW w:type="dxa" w:w="1260"/>
            <w:vAlign w:val="center"/>
          </w:tcPr>
          <w:p>
            <w:pPr>
              <w:jc w:val="center"/>
              <w:rPr>
                <w:rFonts w:cs="宋体" w:hAnsi="宋体"/>
                <w:szCs w:val="21"/>
              </w:rPr>
            </w:pPr>
          </w:p>
        </w:tc>
        <w:tc>
          <w:tcPr>
            <w:tcW w:type="dxa" w:w="900"/>
            <w:vAlign w:val="center"/>
          </w:tcPr>
          <w:p>
            <w:pPr>
              <w:spacing w:lineRule="exact" w:line="400"/>
              <w:jc w:val="center"/>
              <w:rPr>
                <w:rFonts w:hAnsi="宋体"/>
                <w:szCs w:val="21"/>
              </w:rPr>
            </w:pPr>
          </w:p>
        </w:tc>
        <w:tc>
          <w:tcPr>
            <w:tcW w:type="dxa" w:w="900"/>
            <w:vAlign w:val="center"/>
          </w:tcPr>
          <w:p>
            <w:pPr>
              <w:adjustRightInd w:val="false"/>
              <w:snapToGrid w:val="false"/>
              <w:jc w:val="center"/>
              <w:rPr>
                <w:rFonts w:cs="宋体" w:hAnsi="宋体"/>
                <w:szCs w:val="21"/>
              </w:rPr>
            </w:pPr>
          </w:p>
        </w:tc>
        <w:tc>
          <w:tcPr>
            <w:tcW w:type="dxa" w:w="900"/>
            <w:vAlign w:val="center"/>
          </w:tcPr>
          <w:p>
            <w:pPr>
              <w:autoSpaceDN w:val="false"/>
              <w:jc w:val="center"/>
              <w:textAlignment w:val="center"/>
              <w:rPr>
                <w:rFonts w:cs="宋体" w:hAnsi="宋体"/>
                <w:szCs w:val="21"/>
              </w:rPr>
            </w:pPr>
          </w:p>
        </w:tc>
        <w:tc>
          <w:tcPr>
            <w:tcW w:type="dxa" w:w="894"/>
            <w:vAlign w:val="center"/>
          </w:tcPr>
          <w:p>
            <w:pPr>
              <w:autoSpaceDN w:val="false"/>
              <w:jc w:val="center"/>
              <w:textAlignment w:val="center"/>
              <w:rPr>
                <w:rFonts w:cs="宋体" w:hAnsi="宋体"/>
                <w:szCs w:val="21"/>
              </w:rPr>
            </w:pPr>
          </w:p>
        </w:tc>
        <w:tc>
          <w:tcPr>
            <w:tcW w:type="dxa" w:w="839"/>
            <w:vAlign w:val="center"/>
          </w:tcPr>
          <w:p>
            <w:pPr>
              <w:autoSpaceDN w:val="false"/>
              <w:jc w:val="center"/>
              <w:textAlignment w:val="center"/>
              <w:rPr>
                <w:rFonts w:cs="宋体" w:hAnsi="宋体"/>
                <w:szCs w:val="21"/>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exact" w:val="460"/>
          <w:jc w:val="center"/>
        </w:trPr>
        <w:tc>
          <w:tcPr>
            <w:tcW w:type="dxa" w:w="2406"/>
            <w:gridSpan w:val="2"/>
            <w:vAlign w:val="center"/>
          </w:tcPr>
          <w:p>
            <w:pPr>
              <w:adjustRightInd w:val="false"/>
              <w:snapToGrid w:val="false"/>
              <w:jc w:val="center"/>
              <w:rPr>
                <w:rFonts w:cs="宋体" w:hAnsi="宋体"/>
                <w:b/>
                <w:sz w:val="24"/>
              </w:rPr>
            </w:pPr>
            <w:r>
              <w:rPr>
                <w:rFonts w:cs="宋体" w:hAnsi="宋体" w:hint="eastAsia"/>
                <w:b/>
                <w:sz w:val="24"/>
              </w:rPr>
              <w:t>总计（人民币/元）</w:t>
            </w:r>
          </w:p>
        </w:tc>
        <w:tc>
          <w:tcPr>
            <w:tcW w:type="dxa" w:w="5693"/>
            <w:gridSpan w:val="6"/>
            <w:vAlign w:val="center"/>
          </w:tcPr>
          <w:p>
            <w:pPr>
              <w:adjustRightInd w:val="false"/>
              <w:snapToGrid w:val="false"/>
              <w:rPr>
                <w:rFonts w:cs="宋体" w:hAnsi="宋体"/>
                <w:b/>
                <w:sz w:val="24"/>
              </w:rPr>
            </w:pPr>
            <w:r>
              <w:rPr>
                <w:rFonts w:cs="宋体" w:hAnsi="宋体" w:hint="eastAsia"/>
                <w:b/>
                <w:sz w:val="24"/>
              </w:rPr>
              <w:t>￥：       （大写）</w:t>
            </w:r>
          </w:p>
        </w:tc>
      </w:tr>
    </w:tbl>
    <w:p>
      <w:pPr>
        <w:kinsoku w:val="false"/>
        <w:spacing w:lineRule="exact" w:line="400"/>
        <w:ind w:firstLineChars="250" w:firstLine="600"/>
        <w:rPr>
          <w:rFonts w:hAnsi="宋体"/>
          <w:sz w:val="24"/>
        </w:rPr>
      </w:pPr>
      <w:r>
        <w:rPr>
          <w:rFonts w:hAnsi="宋体"/>
          <w:sz w:val="24"/>
        </w:rPr>
        <w:t>乙方负责按</w:t>
      </w:r>
      <w:r>
        <w:rPr>
          <w:rFonts w:hAnsi="宋体" w:hint="eastAsia"/>
          <w:sz w:val="24"/>
        </w:rPr>
        <w:t>以上</w:t>
      </w:r>
      <w:r>
        <w:rPr>
          <w:rFonts w:hAnsi="宋体"/>
          <w:sz w:val="24"/>
        </w:rPr>
        <w:t>确定</w:t>
      </w:r>
      <w:r>
        <w:rPr>
          <w:rFonts w:hAnsi="宋体" w:hint="eastAsia"/>
          <w:sz w:val="24"/>
        </w:rPr>
        <w:t>的设备规格、型号及配套内容进行供货，及</w:t>
      </w:r>
      <w:r>
        <w:rPr>
          <w:rFonts w:hAnsi="宋体"/>
          <w:sz w:val="24"/>
        </w:rPr>
        <w:t>时运到甲方指定交货地点</w:t>
      </w:r>
      <w:r>
        <w:rPr>
          <w:rFonts w:hAnsi="宋体" w:hint="eastAsia"/>
          <w:sz w:val="24"/>
        </w:rPr>
        <w:t>安装调试</w:t>
      </w:r>
      <w:r>
        <w:rPr>
          <w:rFonts w:hAnsi="宋体"/>
          <w:sz w:val="24"/>
        </w:rPr>
        <w:t>，</w:t>
      </w:r>
      <w:r>
        <w:rPr>
          <w:rFonts w:hAnsi="宋体" w:hint="eastAsia"/>
          <w:sz w:val="24"/>
        </w:rPr>
        <w:t>确保所有设备达到最佳运行状态，</w:t>
      </w:r>
      <w:r>
        <w:rPr>
          <w:rFonts w:hAnsi="宋体"/>
          <w:sz w:val="24"/>
        </w:rPr>
        <w:t>负责对甲方操作</w:t>
      </w:r>
      <w:r>
        <w:rPr>
          <w:rFonts w:hAnsi="宋体" w:hint="eastAsia"/>
          <w:sz w:val="24"/>
        </w:rPr>
        <w:t>、</w:t>
      </w:r>
      <w:r>
        <w:rPr>
          <w:rFonts w:hAnsi="宋体"/>
          <w:sz w:val="24"/>
        </w:rPr>
        <w:t>维护人员</w:t>
      </w:r>
      <w:r>
        <w:rPr>
          <w:rFonts w:hAnsi="宋体" w:hint="eastAsia"/>
          <w:sz w:val="24"/>
        </w:rPr>
        <w:t>进行培训</w:t>
      </w:r>
      <w:r>
        <w:rPr>
          <w:rFonts w:hAnsi="宋体"/>
          <w:sz w:val="24"/>
        </w:rPr>
        <w:t>，指导操作</w:t>
      </w:r>
      <w:r>
        <w:rPr>
          <w:rFonts w:hAnsi="宋体" w:hint="eastAsia"/>
          <w:sz w:val="24"/>
        </w:rPr>
        <w:t>、</w:t>
      </w:r>
      <w:r>
        <w:rPr>
          <w:rFonts w:hAnsi="宋体"/>
          <w:sz w:val="24"/>
        </w:rPr>
        <w:t>使用和维修保养，做好售后服务工作。</w:t>
      </w:r>
    </w:p>
    <w:p>
      <w:pPr>
        <w:spacing w:lineRule="exact" w:line="400"/>
        <w:ind w:firstLineChars="200" w:firstLine="480"/>
        <w:rPr>
          <w:rFonts w:hAnsi="宋体"/>
          <w:b/>
          <w:sz w:val="24"/>
        </w:rPr>
      </w:pPr>
      <w:r>
        <w:rPr>
          <w:rFonts w:hAnsi="宋体" w:hint="eastAsia"/>
          <w:b/>
          <w:sz w:val="24"/>
        </w:rPr>
        <w:t>二、合同价格</w:t>
      </w:r>
    </w:p>
    <w:p>
      <w:pPr>
        <w:kinsoku w:val="false"/>
        <w:spacing w:lineRule="exact" w:line="400"/>
        <w:ind w:firstLineChars="200" w:firstLine="480"/>
        <w:rPr>
          <w:rFonts w:hAnsi="宋体"/>
          <w:sz w:val="24"/>
        </w:rPr>
      </w:pPr>
      <w:r>
        <w:rPr>
          <w:rFonts w:hAnsi="宋体" w:hint="eastAsia"/>
          <w:sz w:val="24"/>
        </w:rPr>
        <w:t>合同总价：人民币大写</w:t>
      </w:r>
      <w:r>
        <w:rPr>
          <w:rFonts w:hAnsi="宋体" w:hint="eastAsia"/>
          <w:sz w:val="24"/>
          <w:u w:val="single"/>
        </w:rPr>
        <w:t>：</w:t>
      </w:r>
      <w:r>
        <w:rPr>
          <w:rFonts w:hAnsi="宋体" w:hint="eastAsia"/>
          <w:b/>
          <w:sz w:val="24"/>
          <w:u w:val="single"/>
        </w:rPr>
        <w:t xml:space="preserve">          </w:t>
      </w:r>
      <w:r>
        <w:rPr>
          <w:rFonts w:hAnsi="宋体" w:hint="eastAsia"/>
          <w:b/>
          <w:sz w:val="24"/>
        </w:rPr>
        <w:t>元</w:t>
      </w:r>
      <w:r>
        <w:rPr>
          <w:rFonts w:hAnsi="宋体"/>
          <w:b/>
          <w:sz w:val="24"/>
        </w:rPr>
        <w:t>整</w:t>
      </w:r>
      <w:r>
        <w:rPr>
          <w:rFonts w:hAnsi="宋体" w:hint="eastAsia"/>
          <w:b/>
          <w:sz w:val="24"/>
        </w:rPr>
        <w:t>；</w:t>
      </w:r>
      <w:r>
        <w:rPr>
          <w:rFonts w:hAnsi="宋体" w:hint="eastAsia"/>
          <w:sz w:val="24"/>
        </w:rPr>
        <w:t xml:space="preserve">￥ </w:t>
      </w:r>
      <w:r>
        <w:rPr>
          <w:rFonts w:hAnsi="宋体" w:hint="eastAsia"/>
          <w:b/>
          <w:sz w:val="24"/>
          <w:u w:val="single"/>
        </w:rPr>
        <w:t xml:space="preserve">       </w:t>
      </w:r>
      <w:r>
        <w:rPr>
          <w:rFonts w:hAnsi="宋体" w:hint="eastAsia"/>
          <w:sz w:val="24"/>
        </w:rPr>
        <w:t>元。</w:t>
      </w:r>
    </w:p>
    <w:p>
      <w:pPr>
        <w:kinsoku w:val="false"/>
        <w:spacing w:lineRule="exact" w:line="400"/>
        <w:ind w:firstLineChars="200" w:firstLine="480"/>
        <w:rPr>
          <w:rFonts w:hAnsi="宋体"/>
          <w:sz w:val="24"/>
        </w:rPr>
      </w:pPr>
      <w:r>
        <w:rPr>
          <w:rFonts w:hAnsi="宋体" w:hint="eastAsia"/>
          <w:sz w:val="24"/>
        </w:rPr>
        <w:t>合同总价包括：设备的供应费及所发生的运输费、杂费（含保险）、商检费、搬运费、安装调试费、培训费，税费等，包括从产品供应地点到交货地点所包含的运一切费用。合同总价不可变更，不受市场价变化的影响，不受实际数量变化的影响。</w:t>
      </w:r>
    </w:p>
    <w:p>
      <w:pPr>
        <w:spacing w:lineRule="exact" w:line="400"/>
        <w:ind w:firstLineChars="200" w:firstLine="480"/>
        <w:rPr>
          <w:rFonts w:hAnsi="宋体"/>
          <w:b/>
          <w:sz w:val="24"/>
        </w:rPr>
      </w:pPr>
      <w:r>
        <w:rPr>
          <w:rFonts w:hAnsi="宋体" w:hint="eastAsia"/>
          <w:b/>
          <w:sz w:val="24"/>
        </w:rPr>
        <w:t>三、款项支付</w:t>
      </w:r>
    </w:p>
    <w:p>
      <w:pPr>
        <w:tabs>
          <w:tab w:pos="480" w:val="left"/>
        </w:tabs>
        <w:ind w:firstLineChars="200" w:firstLine="480"/>
        <w:rPr>
          <w:rFonts w:hAnsi="宋体"/>
          <w:sz w:val="24"/>
        </w:rPr>
      </w:pPr>
      <w:r>
        <w:rPr>
          <w:rFonts w:hAnsi="宋体" w:hint="eastAsia"/>
          <w:sz w:val="24"/>
        </w:rPr>
        <w:t>1、支付时间：</w:t>
      </w:r>
    </w:p>
    <w:p>
      <w:pPr>
        <w:tabs>
          <w:tab w:pos="480" w:val="left"/>
        </w:tabs>
        <w:ind w:firstLineChars="200" w:firstLine="480"/>
        <w:rPr>
          <w:rFonts w:hAnsi="宋体"/>
          <w:sz w:val="24"/>
        </w:rPr>
      </w:pPr>
      <w:r>
        <w:rPr>
          <w:rFonts w:hAnsi="宋体" w:hint="eastAsia"/>
          <w:sz w:val="24"/>
        </w:rPr>
        <w:t>2、支付方式：银行转帐。</w:t>
      </w:r>
    </w:p>
    <w:p>
      <w:pPr>
        <w:tabs>
          <w:tab w:pos="480" w:val="left"/>
        </w:tabs>
        <w:ind w:firstLineChars="200" w:firstLine="480"/>
        <w:rPr>
          <w:rFonts w:hAnsi="宋体"/>
          <w:sz w:val="24"/>
        </w:rPr>
      </w:pPr>
      <w:r>
        <w:rPr>
          <w:rFonts w:hAnsi="宋体" w:hint="eastAsia"/>
          <w:sz w:val="24"/>
        </w:rPr>
        <w:t>3、结算方式：</w:t>
      </w:r>
    </w:p>
    <w:p>
      <w:pPr>
        <w:spacing w:lineRule="exact" w:line="400"/>
        <w:ind w:firstLineChars="200" w:firstLine="480"/>
        <w:rPr>
          <w:rFonts w:hAnsi="宋体"/>
          <w:b/>
          <w:sz w:val="24"/>
        </w:rPr>
      </w:pPr>
      <w:r>
        <w:rPr>
          <w:rFonts w:hAnsi="宋体" w:hint="eastAsia"/>
          <w:b/>
          <w:sz w:val="24"/>
        </w:rPr>
        <w:t>四、交货条件</w:t>
      </w:r>
    </w:p>
    <w:p>
      <w:pPr>
        <w:kinsoku w:val="false"/>
        <w:spacing w:lineRule="exact" w:line="400"/>
        <w:ind w:firstLineChars="250" w:firstLine="600"/>
        <w:rPr>
          <w:rFonts w:hAnsi="宋体"/>
          <w:sz w:val="24"/>
        </w:rPr>
      </w:pPr>
      <w:r>
        <w:rPr>
          <w:rFonts w:hAnsi="宋体" w:hint="eastAsia"/>
          <w:sz w:val="24"/>
        </w:rPr>
        <w:t>1、交货地点：</w:t>
      </w:r>
    </w:p>
    <w:p>
      <w:pPr>
        <w:kinsoku w:val="false"/>
        <w:spacing w:lineRule="exact" w:line="400"/>
        <w:ind w:firstLineChars="250" w:firstLine="600"/>
        <w:rPr>
          <w:rFonts w:hAnsi="宋体"/>
          <w:sz w:val="24"/>
        </w:rPr>
      </w:pPr>
      <w:r>
        <w:rPr>
          <w:rFonts w:hAnsi="宋体" w:hint="eastAsia"/>
          <w:sz w:val="24"/>
        </w:rPr>
        <w:t>2、交货日期：</w:t>
      </w:r>
    </w:p>
    <w:p>
      <w:pPr>
        <w:spacing w:lineRule="exact" w:line="400"/>
        <w:ind w:firstLineChars="200" w:firstLine="480"/>
        <w:rPr>
          <w:rFonts w:hAnsi="宋体"/>
          <w:b/>
          <w:sz w:val="24"/>
        </w:rPr>
      </w:pPr>
      <w:r>
        <w:rPr>
          <w:rFonts w:hAnsi="宋体" w:hint="eastAsia"/>
          <w:b/>
          <w:sz w:val="24"/>
        </w:rPr>
        <w:t>五、运输方式：</w:t>
      </w:r>
      <w:r>
        <w:rPr>
          <w:rFonts w:hAnsi="宋体" w:hint="eastAsia"/>
          <w:sz w:val="24"/>
        </w:rPr>
        <w:t>根据产品特性，由乙方在保证产品质量的前提下，自行选择运输及包装方式，发生的一切费用全部由乙方承担。</w:t>
      </w:r>
    </w:p>
    <w:p>
      <w:pPr>
        <w:adjustRightInd w:val="false"/>
        <w:snapToGrid w:val="false"/>
        <w:spacing w:lineRule="exact" w:line="400"/>
        <w:ind w:firstLineChars="200" w:firstLine="480"/>
        <w:rPr>
          <w:rFonts w:hAnsi="宋体"/>
          <w:b/>
          <w:sz w:val="24"/>
        </w:rPr>
      </w:pPr>
      <w:r>
        <w:rPr>
          <w:rFonts w:hAnsi="宋体" w:hint="eastAsia"/>
          <w:b/>
          <w:sz w:val="24"/>
        </w:rPr>
        <w:t>六、质量保证</w:t>
      </w:r>
    </w:p>
    <w:p>
      <w:pPr>
        <w:adjustRightInd w:val="false"/>
        <w:snapToGrid w:val="false"/>
        <w:spacing w:lineRule="exact" w:line="400"/>
        <w:ind w:firstLineChars="200" w:firstLine="480"/>
        <w:rPr>
          <w:rFonts w:hAnsi="宋体"/>
          <w:sz w:val="24"/>
        </w:rPr>
      </w:pPr>
      <w:r>
        <w:rPr>
          <w:rFonts w:hAnsi="宋体" w:hint="eastAsia"/>
          <w:sz w:val="24"/>
        </w:rPr>
        <w:t>1、乙方保证所提供的设备质量可靠，进货渠道正常，配置合理，技术性能完全满足招标文件要求；</w:t>
      </w:r>
    </w:p>
    <w:p>
      <w:pPr>
        <w:adjustRightInd w:val="false"/>
        <w:snapToGrid w:val="false"/>
        <w:spacing w:lineRule="exact" w:line="400"/>
        <w:ind w:firstLineChars="200" w:firstLine="480"/>
        <w:rPr>
          <w:rFonts w:hAnsi="宋体"/>
          <w:sz w:val="24"/>
        </w:rPr>
      </w:pPr>
      <w:r>
        <w:rPr>
          <w:rFonts w:hAnsi="宋体" w:hint="eastAsia"/>
          <w:sz w:val="24"/>
        </w:rPr>
        <w:t>2、若设备所用原材料或加工工艺造成的质量和内外观缺陷问题，由乙方负责解决并承担费用。（卖方保证货物是全新的、未曾使用过的、以优质工艺及材料制造，并保证所供设备的完整性，本合同设备为成套供货，合同总价中已包括满足设备完整运行的附件，备件，配套件等，产品质量应符合国标标准和本合同附件的要求, 卖方应随机提供产品检验报告。）</w:t>
      </w:r>
    </w:p>
    <w:p>
      <w:pPr>
        <w:adjustRightInd w:val="false"/>
        <w:snapToGrid w:val="false"/>
        <w:spacing w:lineRule="exact" w:line="400"/>
        <w:ind w:firstLineChars="250" w:firstLine="600"/>
        <w:rPr>
          <w:rFonts w:hAnsi="宋体"/>
          <w:sz w:val="24"/>
        </w:rPr>
      </w:pPr>
      <w:r>
        <w:rPr>
          <w:rFonts w:hAnsi="宋体" w:hint="eastAsia"/>
          <w:sz w:val="24"/>
        </w:rPr>
        <w:t>3、设备的质保期为设备验收合格后XX年，质保期内若发生产品质量问题，卖方应立即免费解决；否则，甲方有权从质保金中支付相关费用；超过一年质保期的，按照厂家承诺进行。</w:t>
      </w:r>
    </w:p>
    <w:p>
      <w:pPr>
        <w:adjustRightInd w:val="false"/>
        <w:snapToGrid w:val="false"/>
        <w:spacing w:lineRule="exact" w:line="400"/>
        <w:ind w:firstLineChars="149" w:firstLine="358"/>
        <w:rPr>
          <w:rFonts w:hAnsi="宋体"/>
          <w:b/>
          <w:sz w:val="24"/>
        </w:rPr>
      </w:pPr>
      <w:r>
        <w:rPr>
          <w:rFonts w:hAnsi="宋体" w:hint="eastAsia"/>
          <w:b/>
          <w:sz w:val="24"/>
        </w:rPr>
        <w:t>七、安装、调试及技术服务</w:t>
      </w:r>
    </w:p>
    <w:p>
      <w:pPr>
        <w:spacing w:lineRule="exact" w:line="400"/>
        <w:ind w:firstLineChars="207" w:firstLine="496"/>
        <w:rPr>
          <w:rFonts w:hAnsi="宋体"/>
          <w:sz w:val="24"/>
        </w:rPr>
      </w:pPr>
      <w:r>
        <w:rPr>
          <w:rFonts w:hAnsi="宋体" w:hint="eastAsia"/>
          <w:sz w:val="24"/>
        </w:rPr>
        <w:t>1、技术资料包括：</w:t>
      </w:r>
    </w:p>
    <w:p>
      <w:pPr>
        <w:spacing w:lineRule="exact" w:line="400"/>
        <w:ind w:firstLineChars="200" w:firstLine="480"/>
        <w:rPr>
          <w:rFonts w:hAnsi="宋体"/>
          <w:sz w:val="24"/>
        </w:rPr>
      </w:pPr>
      <w:r>
        <w:rPr>
          <w:rFonts w:hAnsi="宋体" w:hint="eastAsia"/>
          <w:sz w:val="24"/>
        </w:rPr>
        <w:t>2、在质保期内（保修起始日为货到验收合格之日起），乙方在接到用户对所购设备进行维修的要求后，XX小时内到用户现场进行维修服务，全部费用由乙方支付，若需将产品送回生产厂，由乙方支付维修设备所需的往返费用。</w:t>
      </w:r>
    </w:p>
    <w:p>
      <w:pPr>
        <w:spacing w:lineRule="exact" w:line="400"/>
        <w:ind w:firstLineChars="150" w:firstLine="360"/>
        <w:rPr>
          <w:rFonts w:hAnsi="宋体"/>
          <w:sz w:val="24"/>
        </w:rPr>
      </w:pPr>
      <w:r>
        <w:rPr>
          <w:rFonts w:hAnsi="宋体" w:hint="eastAsia"/>
          <w:sz w:val="24"/>
        </w:rPr>
        <w:t>3、乙方保证设备完全按招标要求提供，若达不到要求，乙方须及时跟甲方沟通协商更换设备，并按照再次验收合格时间相应延长该产品保修期。</w:t>
      </w:r>
    </w:p>
    <w:p>
      <w:pPr>
        <w:spacing w:lineRule="exact" w:line="400"/>
        <w:ind w:firstLineChars="200" w:firstLine="480"/>
        <w:rPr>
          <w:rFonts w:hAnsi="宋体"/>
          <w:sz w:val="24"/>
        </w:rPr>
      </w:pPr>
      <w:r>
        <w:rPr>
          <w:rFonts w:hAnsi="宋体" w:hint="eastAsia"/>
          <w:sz w:val="24"/>
        </w:rPr>
        <w:t>4、技术培训</w:t>
      </w:r>
    </w:p>
    <w:p>
      <w:pPr>
        <w:spacing w:lineRule="exact" w:line="400"/>
        <w:ind w:firstLineChars="250" w:firstLine="600"/>
        <w:rPr>
          <w:rFonts w:hAnsi="宋体"/>
          <w:sz w:val="24"/>
        </w:rPr>
      </w:pPr>
      <w:r>
        <w:rPr>
          <w:rFonts w:hAnsi="宋体" w:hint="eastAsia"/>
          <w:sz w:val="24"/>
        </w:rPr>
        <w:t>1）内容：</w:t>
      </w:r>
    </w:p>
    <w:p>
      <w:pPr>
        <w:spacing w:lineRule="exact" w:line="400"/>
        <w:ind w:firstLineChars="200" w:firstLine="480"/>
        <w:rPr>
          <w:rFonts w:hAnsi="宋体"/>
          <w:sz w:val="24"/>
        </w:rPr>
      </w:pPr>
      <w:r>
        <w:rPr>
          <w:rFonts w:hAnsi="宋体" w:hint="eastAsia"/>
          <w:sz w:val="24"/>
        </w:rPr>
        <w:t xml:space="preserve"> 2）培训准备：</w:t>
      </w:r>
    </w:p>
    <w:p>
      <w:pPr>
        <w:spacing w:lineRule="exact" w:line="400"/>
        <w:ind w:firstLineChars="250" w:firstLine="600"/>
        <w:rPr>
          <w:rFonts w:hAnsi="宋体"/>
          <w:sz w:val="24"/>
        </w:rPr>
      </w:pPr>
      <w:r>
        <w:rPr>
          <w:rFonts w:hAnsi="宋体" w:hint="eastAsia"/>
          <w:sz w:val="24"/>
        </w:rPr>
        <w:t>3）地点：</w:t>
      </w:r>
    </w:p>
    <w:p>
      <w:pPr>
        <w:spacing w:lineRule="exact" w:line="400"/>
        <w:ind w:firstLineChars="250" w:firstLine="600"/>
        <w:rPr>
          <w:rFonts w:hAnsi="宋体"/>
          <w:sz w:val="24"/>
        </w:rPr>
      </w:pPr>
      <w:r>
        <w:rPr>
          <w:rFonts w:hAnsi="宋体" w:hint="eastAsia"/>
          <w:sz w:val="24"/>
        </w:rPr>
        <w:t>4）时间：</w:t>
      </w:r>
    </w:p>
    <w:p>
      <w:pPr>
        <w:adjustRightInd w:val="false"/>
        <w:snapToGrid w:val="false"/>
        <w:spacing w:lineRule="exact" w:line="400"/>
        <w:ind w:firstLineChars="200" w:firstLine="480"/>
        <w:rPr>
          <w:rFonts w:hAnsi="宋体"/>
          <w:sz w:val="24"/>
        </w:rPr>
      </w:pPr>
      <w:r>
        <w:rPr>
          <w:rFonts w:hAnsi="宋体" w:hint="eastAsia"/>
          <w:sz w:val="24"/>
        </w:rPr>
        <w:t>5、服务承诺：按投标文件中的服务承诺执行。</w:t>
      </w:r>
    </w:p>
    <w:p>
      <w:pPr>
        <w:adjustRightInd w:val="false"/>
        <w:snapToGrid w:val="false"/>
        <w:spacing w:lineRule="exact" w:line="400"/>
        <w:ind w:firstLineChars="200" w:firstLine="480"/>
        <w:rPr>
          <w:rFonts w:hAnsi="宋体"/>
          <w:sz w:val="24"/>
        </w:rPr>
      </w:pPr>
      <w:r>
        <w:rPr>
          <w:rFonts w:hAnsi="宋体" w:hint="eastAsia"/>
          <w:sz w:val="24"/>
        </w:rPr>
        <w:t>6、安装调试过程中出现的安全责任问题由乙方全权负责。</w:t>
      </w:r>
    </w:p>
    <w:p>
      <w:pPr>
        <w:tabs>
          <w:tab w:pos="5355" w:val="left"/>
        </w:tabs>
        <w:spacing w:lineRule="exact" w:line="400"/>
        <w:ind w:firstLineChars="210" w:firstLine="505"/>
        <w:rPr>
          <w:rFonts w:hAnsi="宋体"/>
          <w:b/>
          <w:sz w:val="24"/>
        </w:rPr>
      </w:pPr>
      <w:r>
        <w:rPr>
          <w:rFonts w:hAnsi="宋体" w:hint="eastAsia"/>
          <w:b/>
          <w:sz w:val="24"/>
        </w:rPr>
        <w:t>八</w:t>
      </w:r>
      <w:r>
        <w:rPr>
          <w:rFonts w:hAnsi="宋体"/>
          <w:b/>
          <w:sz w:val="24"/>
        </w:rPr>
        <w:t>、违约责任</w:t>
      </w:r>
      <w:r>
        <w:rPr>
          <w:rFonts w:hAnsi="宋体" w:hint="eastAsia"/>
          <w:b/>
          <w:sz w:val="24"/>
        </w:rPr>
        <w:t>：</w:t>
      </w:r>
    </w:p>
    <w:p>
      <w:pPr>
        <w:adjustRightInd w:val="false"/>
        <w:snapToGrid w:val="false"/>
        <w:spacing w:lineRule="exact" w:line="400"/>
        <w:ind w:firstLineChars="200" w:firstLine="480"/>
        <w:rPr>
          <w:rFonts w:hAnsi="宋体"/>
          <w:sz w:val="24"/>
        </w:rPr>
      </w:pPr>
      <w:r>
        <w:rPr>
          <w:rFonts w:hAnsi="宋体" w:hint="eastAsia"/>
          <w:sz w:val="24"/>
        </w:rPr>
        <w:t>1、按《中华人民共和国合同法》中的相关条款执行。</w:t>
      </w:r>
    </w:p>
    <w:p>
      <w:pPr>
        <w:adjustRightInd w:val="false"/>
        <w:snapToGrid w:val="false"/>
        <w:spacing w:lineRule="exact" w:line="400"/>
        <w:ind w:firstLineChars="200" w:firstLine="480"/>
        <w:rPr>
          <w:rFonts w:hAnsi="宋体"/>
          <w:sz w:val="24"/>
        </w:rPr>
      </w:pPr>
      <w:r>
        <w:rPr>
          <w:rFonts w:hAnsi="宋体" w:hint="eastAsia"/>
          <w:sz w:val="24"/>
        </w:rPr>
        <w:t>2、未按合同要求提供产品或设备质量不能满足技术要求，甲方有权终止合同，并保留追究乙方违约责任的权利。</w:t>
      </w:r>
    </w:p>
    <w:p>
      <w:pPr>
        <w:adjustRightInd w:val="false"/>
        <w:snapToGrid w:val="false"/>
        <w:spacing w:lineRule="exact" w:line="400"/>
        <w:ind w:firstLineChars="200" w:firstLine="480"/>
        <w:rPr>
          <w:rFonts w:hAnsi="宋体"/>
          <w:sz w:val="24"/>
        </w:rPr>
      </w:pPr>
      <w:r>
        <w:rPr>
          <w:rFonts w:hAnsi="宋体" w:hint="eastAsia"/>
          <w:sz w:val="24"/>
        </w:rPr>
        <w:t>3、时间迟延的，违约方按照每天1%向对方承担违约责任。产品质量问题违约的，除了按照迟延时间计算违约金外，另可以采取退货、换货等方式，由供方承担一切费用。</w:t>
      </w:r>
    </w:p>
    <w:p>
      <w:pPr>
        <w:spacing w:lineRule="exact" w:line="400"/>
        <w:ind w:firstLine="532"/>
        <w:rPr>
          <w:rFonts w:hAnsi="宋体"/>
          <w:b/>
          <w:sz w:val="24"/>
        </w:rPr>
      </w:pPr>
      <w:r>
        <w:rPr>
          <w:rFonts w:hAnsi="宋体" w:hint="eastAsia"/>
          <w:b/>
          <w:sz w:val="24"/>
        </w:rPr>
        <w:t>九、设备验收</w:t>
      </w:r>
    </w:p>
    <w:p>
      <w:pPr>
        <w:spacing w:lineRule="exact" w:line="400"/>
        <w:ind w:firstLineChars="200" w:firstLine="480"/>
        <w:rPr>
          <w:rFonts w:hAnsi="宋体"/>
          <w:sz w:val="24"/>
        </w:rPr>
      </w:pPr>
      <w:r>
        <w:rPr>
          <w:rFonts w:hAnsi="宋体" w:hint="eastAsia"/>
          <w:sz w:val="24"/>
        </w:rPr>
        <w:t>1、设备到货后，乙方负责安装调试，达到正常运行条件后书面通知甲方验收。</w:t>
      </w:r>
    </w:p>
    <w:p>
      <w:pPr>
        <w:spacing w:lineRule="exact" w:line="400"/>
        <w:ind w:firstLineChars="200" w:firstLine="480"/>
        <w:rPr>
          <w:rFonts w:hAnsi="宋体"/>
          <w:sz w:val="24"/>
        </w:rPr>
      </w:pPr>
      <w:r>
        <w:rPr>
          <w:rFonts w:hAnsi="宋体" w:hint="eastAsia"/>
          <w:sz w:val="24"/>
        </w:rPr>
        <w:t>2、安装完成后应提供详细的安装报告，并详细记录各种指示的实测数据。</w:t>
      </w:r>
    </w:p>
    <w:p>
      <w:pPr>
        <w:spacing w:lineRule="exact" w:line="400"/>
        <w:ind w:firstLineChars="200" w:firstLine="480"/>
        <w:rPr>
          <w:rFonts w:hAnsi="宋体"/>
          <w:sz w:val="24"/>
        </w:rPr>
      </w:pPr>
      <w:r>
        <w:rPr>
          <w:rFonts w:hAnsi="宋体" w:hint="eastAsia"/>
          <w:sz w:val="24"/>
        </w:rPr>
        <w:t>3、提供完整的操作手册和安装、调试、维修手册；提供制造厂家的检验测试报告或设备出厂检测报告。</w:t>
      </w:r>
    </w:p>
    <w:p>
      <w:pPr>
        <w:spacing w:lineRule="exact" w:line="400"/>
        <w:ind w:firstLineChars="200" w:firstLine="480"/>
        <w:rPr>
          <w:rFonts w:hAnsi="宋体"/>
          <w:sz w:val="24"/>
        </w:rPr>
      </w:pPr>
      <w:r>
        <w:rPr>
          <w:rFonts w:hAnsi="宋体" w:hint="eastAsia"/>
          <w:sz w:val="24"/>
        </w:rPr>
        <w:t>4、甲方根据合同要求对设备进行验收、确认设备的产地、规格、型号和数量。验收依据为</w:t>
      </w:r>
      <w:bookmarkStart w:name="_Toc337393760" w:id="228"/>
      <w:r>
        <w:rPr>
          <w:rFonts w:hAnsi="宋体" w:hint="eastAsia"/>
          <w:sz w:val="24"/>
        </w:rPr>
        <w:t>本合同文本、招投标文件和国内相应的标准、规范</w:t>
      </w:r>
      <w:bookmarkEnd w:id="228"/>
      <w:bookmarkStart w:name="_Toc337393761" w:id="229"/>
      <w:r>
        <w:rPr>
          <w:rFonts w:hAnsi="宋体" w:hint="eastAsia"/>
          <w:sz w:val="24"/>
        </w:rPr>
        <w:t>。</w:t>
      </w:r>
      <w:bookmarkEnd w:id="229"/>
    </w:p>
    <w:p>
      <w:pPr>
        <w:spacing w:lineRule="exact" w:line="400"/>
        <w:ind w:firstLineChars="200" w:firstLine="480"/>
        <w:rPr>
          <w:rFonts w:hAnsi="宋体"/>
          <w:sz w:val="24"/>
        </w:rPr>
      </w:pPr>
      <w:r>
        <w:rPr>
          <w:rFonts w:hAnsi="宋体" w:hint="eastAsia"/>
          <w:sz w:val="24"/>
        </w:rPr>
        <w:t>5、验收合格后，填写设备验收单，并向甲方提交设备所包含的所有资料，以便使用单位日后管理和维护。</w:t>
      </w:r>
    </w:p>
    <w:p>
      <w:pPr>
        <w:tabs>
          <w:tab w:pos="5355" w:val="left"/>
        </w:tabs>
        <w:spacing w:lineRule="exact" w:line="400"/>
        <w:ind w:firstLineChars="200" w:firstLine="480"/>
        <w:rPr>
          <w:rFonts w:hAnsi="宋体"/>
          <w:b/>
          <w:sz w:val="24"/>
        </w:rPr>
      </w:pPr>
      <w:r>
        <w:rPr>
          <w:rFonts w:hAnsi="宋体" w:hint="eastAsia"/>
          <w:b/>
          <w:sz w:val="24"/>
        </w:rPr>
        <w:t>十、合同争议的解决：</w:t>
      </w:r>
    </w:p>
    <w:p>
      <w:pPr>
        <w:tabs>
          <w:tab w:pos="5355" w:val="left"/>
        </w:tabs>
        <w:spacing w:lineRule="exact" w:line="400"/>
        <w:ind w:firstLineChars="200" w:firstLine="480"/>
        <w:rPr>
          <w:rFonts w:hAnsi="宋体"/>
          <w:b/>
          <w:sz w:val="24"/>
        </w:rPr>
      </w:pPr>
    </w:p>
    <w:p>
      <w:pPr>
        <w:tabs>
          <w:tab w:pos="5355" w:val="left"/>
        </w:tabs>
        <w:spacing w:lineRule="exact" w:line="400"/>
        <w:ind w:firstLineChars="200" w:firstLine="480"/>
        <w:rPr>
          <w:rFonts w:hAnsi="宋体"/>
          <w:b/>
          <w:sz w:val="24"/>
        </w:rPr>
      </w:pPr>
      <w:r>
        <w:rPr>
          <w:rFonts w:hAnsi="宋体" w:hint="eastAsia"/>
          <w:sz w:val="24"/>
        </w:rPr>
        <w:t>合同一经签订，不得随意变更、中止或终止。对确需变更、调整或者中止、终止合同的，应按规定履行相应的手续。</w:t>
      </w:r>
    </w:p>
    <w:p>
      <w:pPr>
        <w:tabs>
          <w:tab w:pos="5355" w:val="left"/>
        </w:tabs>
        <w:spacing w:lineRule="exact" w:line="400"/>
        <w:ind w:firstLineChars="200" w:firstLine="480"/>
        <w:rPr>
          <w:rFonts w:hAnsi="宋体"/>
          <w:sz w:val="24"/>
        </w:rPr>
      </w:pPr>
      <w:r>
        <w:rPr>
          <w:rFonts w:hAnsi="宋体" w:hint="eastAsia"/>
          <w:sz w:val="24"/>
        </w:rPr>
        <w:t>合同执行中发生争议的，甲、乙双方应协商解决，协商达不成一致时，可向合同履行地人民法院提请诉讼。</w:t>
      </w:r>
    </w:p>
    <w:p>
      <w:pPr>
        <w:tabs>
          <w:tab w:pos="5355" w:val="left"/>
        </w:tabs>
        <w:spacing w:lineRule="exact" w:line="400"/>
        <w:ind w:firstLineChars="200" w:firstLine="480"/>
        <w:rPr>
          <w:rFonts w:hAnsi="宋体"/>
          <w:sz w:val="24"/>
        </w:rPr>
      </w:pPr>
    </w:p>
    <w:p>
      <w:pPr>
        <w:numPr>
          <w:ilvl w:val="0"/>
          <w:numId w:val="10"/>
        </w:numPr>
        <w:tabs>
          <w:tab w:pos="5355" w:val="left"/>
        </w:tabs>
        <w:spacing w:lineRule="exact" w:line="400"/>
        <w:ind w:firstLineChars="200" w:firstLine="480"/>
        <w:rPr>
          <w:rFonts w:hAnsi="宋体"/>
          <w:b/>
          <w:sz w:val="24"/>
        </w:rPr>
      </w:pPr>
      <w:r>
        <w:rPr>
          <w:rFonts w:hAnsi="宋体" w:hint="eastAsia"/>
          <w:b/>
          <w:sz w:val="24"/>
        </w:rPr>
        <w:t>其它事项</w:t>
      </w:r>
    </w:p>
    <w:p>
      <w:pPr>
        <w:numPr>
          <w:ilvl w:val="0"/>
          <w:numId w:val="11"/>
        </w:numPr>
        <w:adjustRightInd w:val="false"/>
        <w:snapToGrid w:val="false"/>
        <w:spacing w:lineRule="exact" w:line="400"/>
        <w:ind w:firstLineChars="250" w:firstLine="600"/>
        <w:rPr>
          <w:rFonts w:hAnsi="宋体"/>
          <w:sz w:val="24"/>
        </w:rPr>
      </w:pPr>
      <w:r>
        <w:rPr>
          <w:rFonts w:hAnsi="宋体" w:hint="eastAsia"/>
          <w:sz w:val="24"/>
        </w:rPr>
        <w:t>甲、乙双方做为合同执行的主体，有义务及时完全履行合同。</w:t>
      </w:r>
    </w:p>
    <w:p>
      <w:pPr>
        <w:adjustRightInd w:val="false"/>
        <w:snapToGrid w:val="false"/>
        <w:spacing w:lineRule="exact" w:line="400"/>
        <w:ind w:firstLineChars="300" w:firstLine="720"/>
        <w:rPr>
          <w:rFonts w:hAnsi="宋体"/>
          <w:sz w:val="24"/>
        </w:rPr>
      </w:pPr>
      <w:r>
        <w:rPr>
          <w:rFonts w:hAnsi="宋体" w:hint="eastAsia"/>
          <w:sz w:val="24"/>
        </w:rPr>
        <w:t>2、合同未尽事宜，由甲、乙双方协商，协商方案作为本合同不可分割的组成部分，与本合同具有同等法律效力。</w:t>
      </w:r>
    </w:p>
    <w:p>
      <w:pPr>
        <w:adjustRightInd w:val="false"/>
        <w:snapToGrid w:val="false"/>
        <w:spacing w:lineRule="exact" w:line="400"/>
        <w:ind w:firstLineChars="250" w:firstLine="600"/>
        <w:rPr>
          <w:rFonts w:hAnsi="宋体"/>
          <w:sz w:val="24"/>
        </w:rPr>
      </w:pPr>
      <w:r>
        <w:rPr>
          <w:rFonts w:hAnsi="宋体" w:hint="eastAsia"/>
          <w:sz w:val="24"/>
        </w:rPr>
        <w:t>3、招标文件和乙方的投标文件以及合同附件均为合同不可分割的部分。</w:t>
      </w:r>
    </w:p>
    <w:p>
      <w:pPr>
        <w:adjustRightInd w:val="false"/>
        <w:snapToGrid w:val="false"/>
        <w:spacing w:lineRule="exact" w:line="400"/>
        <w:ind w:firstLineChars="250" w:firstLine="600"/>
        <w:rPr>
          <w:rFonts w:hAnsi="宋体"/>
          <w:sz w:val="24"/>
        </w:rPr>
      </w:pPr>
      <w:r>
        <w:rPr>
          <w:rFonts w:hAnsi="宋体" w:hint="eastAsia"/>
          <w:sz w:val="24"/>
        </w:rPr>
        <w:t>4、合同一式陆份，甲方、乙方各贰份，招标代理机构壹份。甲方、乙方及确认方签字盖章后生效，合同执行完毕自动失效。（合同的服务承诺长期有效）。</w:t>
      </w:r>
    </w:p>
    <w:p>
      <w:pPr>
        <w:tabs>
          <w:tab w:pos="5355" w:val="left"/>
        </w:tabs>
        <w:spacing w:lineRule="exact" w:line="400"/>
        <w:rPr>
          <w:rFonts w:hAnsi="宋体"/>
          <w:sz w:val="24"/>
        </w:rPr>
      </w:pPr>
    </w:p>
    <w:p>
      <w:pPr>
        <w:adjustRightInd w:val="false"/>
        <w:snapToGrid w:val="false"/>
        <w:spacing w:lineRule="exact" w:line="400"/>
        <w:ind w:firstLineChars="250" w:firstLine="600"/>
        <w:rPr>
          <w:rFonts w:hAnsi="宋体"/>
          <w:sz w:val="24"/>
        </w:rPr>
      </w:pPr>
    </w:p>
    <w:p>
      <w:pPr>
        <w:adjustRightInd w:val="false"/>
        <w:snapToGrid w:val="false"/>
        <w:spacing w:lineRule="exact" w:line="400"/>
        <w:ind w:firstLineChars="250" w:firstLine="600"/>
        <w:rPr>
          <w:rFonts w:hAnsi="宋体"/>
          <w:sz w:val="24"/>
        </w:rPr>
      </w:pPr>
      <w:r>
        <w:rPr>
          <w:rFonts w:hAnsi="宋体" w:hint="eastAsia"/>
          <w:sz w:val="24"/>
        </w:rPr>
        <w:t>甲  方：（公章）                          乙  方：（公章）</w:t>
      </w:r>
    </w:p>
    <w:p>
      <w:pPr>
        <w:adjustRightInd w:val="false"/>
        <w:snapToGrid w:val="false"/>
        <w:spacing w:lineRule="exact" w:line="400"/>
        <w:ind w:firstLineChars="250" w:firstLine="600"/>
        <w:rPr>
          <w:rFonts w:hAnsi="宋体"/>
          <w:sz w:val="24"/>
        </w:rPr>
      </w:pPr>
      <w:r>
        <w:rPr>
          <w:rFonts w:hAnsi="宋体" w:hint="eastAsia"/>
          <w:sz w:val="24"/>
        </w:rPr>
        <w:t xml:space="preserve">地  址：                                  地    址： </w:t>
      </w:r>
    </w:p>
    <w:p>
      <w:pPr>
        <w:adjustRightInd w:val="false"/>
        <w:snapToGrid w:val="false"/>
        <w:spacing w:lineRule="exact" w:line="400"/>
        <w:ind w:firstLineChars="250" w:firstLine="600"/>
        <w:rPr>
          <w:rFonts w:hAnsi="宋体"/>
          <w:sz w:val="24"/>
        </w:rPr>
      </w:pPr>
      <w:r>
        <w:rPr>
          <w:rFonts w:hAnsi="宋体" w:hint="eastAsia"/>
          <w:sz w:val="24"/>
        </w:rPr>
        <w:t>法定代表人：（签字）                      法定代表人：（签字）</w:t>
      </w:r>
    </w:p>
    <w:p>
      <w:pPr>
        <w:adjustRightInd w:val="false"/>
        <w:snapToGrid w:val="false"/>
        <w:spacing w:lineRule="exact" w:line="400"/>
        <w:ind w:firstLineChars="250" w:firstLine="600"/>
        <w:rPr>
          <w:rFonts w:hAnsi="宋体"/>
          <w:sz w:val="24"/>
        </w:rPr>
      </w:pPr>
      <w:r>
        <w:rPr>
          <w:rFonts w:hAnsi="宋体" w:hint="eastAsia"/>
          <w:sz w:val="24"/>
        </w:rPr>
        <w:t>代理人：（签字）                          代理人：（签字）</w:t>
      </w:r>
    </w:p>
    <w:p>
      <w:pPr>
        <w:adjustRightInd w:val="false"/>
        <w:snapToGrid w:val="false"/>
        <w:spacing w:lineRule="exact" w:line="400"/>
        <w:ind w:firstLineChars="250" w:firstLine="600"/>
        <w:rPr>
          <w:rFonts w:hAnsi="宋体"/>
          <w:sz w:val="24"/>
        </w:rPr>
      </w:pPr>
      <w:r>
        <w:rPr>
          <w:rFonts w:hAnsi="宋体" w:hint="eastAsia"/>
          <w:sz w:val="24"/>
        </w:rPr>
        <w:t>联系电话：                                开户银行：</w:t>
      </w:r>
    </w:p>
    <w:p>
      <w:pPr>
        <w:adjustRightInd w:val="false"/>
        <w:snapToGrid w:val="false"/>
        <w:spacing w:lineRule="exact" w:line="400"/>
        <w:ind w:firstLineChars="2350" w:firstLine="5640"/>
        <w:rPr>
          <w:rFonts w:hAnsi="宋体"/>
          <w:sz w:val="24"/>
        </w:rPr>
      </w:pPr>
      <w:r>
        <w:rPr>
          <w:rFonts w:hAnsi="宋体" w:hint="eastAsia"/>
          <w:sz w:val="24"/>
        </w:rPr>
        <w:t xml:space="preserve">帐   号： </w:t>
      </w:r>
    </w:p>
    <w:p>
      <w:pPr>
        <w:adjustRightInd w:val="false"/>
        <w:snapToGrid w:val="false"/>
        <w:spacing w:lineRule="exact" w:line="400"/>
        <w:ind w:firstLineChars="2350" w:firstLine="5640"/>
        <w:rPr>
          <w:rFonts w:hAnsi="宋体"/>
          <w:sz w:val="24"/>
        </w:rPr>
      </w:pPr>
      <w:r>
        <w:rPr>
          <w:rFonts w:hAnsi="宋体" w:hint="eastAsia"/>
          <w:sz w:val="24"/>
        </w:rPr>
        <w:t>联系电话：</w:t>
      </w:r>
    </w:p>
    <w:p>
      <w:pPr>
        <w:adjustRightInd w:val="false"/>
        <w:snapToGrid w:val="false"/>
        <w:spacing w:lineRule="exact" w:line="400"/>
        <w:rPr>
          <w:rFonts w:hAnsi="宋体"/>
          <w:sz w:val="24"/>
        </w:rPr>
      </w:pPr>
      <w:r>
        <w:rPr>
          <w:rFonts w:hAnsi="宋体" w:hint="eastAsia"/>
          <w:sz w:val="24"/>
        </w:rPr>
        <w:t>签订日期：   年  月  日                   签订日期：   年  月  日</w:t>
      </w:r>
    </w:p>
    <w:p>
      <w:pPr>
        <w:adjustRightInd w:val="false"/>
        <w:snapToGrid w:val="false"/>
        <w:spacing w:lineRule="exact" w:line="400"/>
        <w:rPr>
          <w:rFonts w:hAnsi="宋体"/>
          <w:sz w:val="24"/>
        </w:rPr>
      </w:pPr>
    </w:p>
    <w:p>
      <w:pPr>
        <w:adjustRightInd w:val="false"/>
        <w:snapToGrid w:val="false"/>
        <w:spacing w:lineRule="exact" w:line="400"/>
        <w:ind w:firstLineChars="250" w:firstLine="600"/>
        <w:rPr>
          <w:rFonts w:hAnsi="宋体"/>
          <w:sz w:val="24"/>
        </w:rPr>
      </w:pPr>
      <w:r>
        <w:rPr>
          <w:rFonts w:hAnsi="宋体" w:hint="eastAsia"/>
          <w:sz w:val="24"/>
        </w:rPr>
        <w:t xml:space="preserve">            </w:t>
      </w:r>
    </w:p>
    <w:p>
      <w:pPr>
        <w:pStyle w:val="6"/>
        <w:spacing w:lineRule="exact" w:line="400"/>
        <w:ind w:firstLineChars="0" w:firstLine="0"/>
        <w:rPr>
          <w:rFonts w:hAnsi="宋体"/>
          <w:b/>
          <w:bCs/>
          <w:sz w:val="24"/>
        </w:rPr>
      </w:pPr>
    </w:p>
    <w:p/>
    <w:p/>
    <w:sectPr>
      <w:headerReference w:type="first" r:id="rId8"/>
      <w:footerReference w:type="first" r:id="rId11"/>
      <w:headerReference w:type="default" r:id="rId6"/>
      <w:footerReference w:type="default" r:id="rId9"/>
      <w:headerReference w:type="even" r:id="rId7"/>
      <w:footerReference w:type="even" r:id="rId10"/>
      <w:pgSz w:h="16838" w:w="11906"/>
      <w:pgMar w:gutter="0" w:footer="992" w:header="851" w:left="1800" w:bottom="1440" w:right="1800"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Consolas">
    <w:altName w:val="苹方-简"/>
    <w:panose1 w:val="020B0609020204030204"/>
    <w:charset w:val="00"/>
    <w:family w:val="modern"/>
    <w:pitch w:val="default"/>
    <w:sig w:usb0="00000000" w:usb1="00000000" w:usb2="00000001" w:usb3="00000000" w:csb0="600001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00" w:usb3="00000000" w:csb0="0004009F" w:csb1="DFD7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10"/>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ulvw/RAAAA&#10;AwEAAA8AAAAAAAAAAQAgAAAAOAAAAGRycy9kb3ducmV2LnhtbFBLAQIUABQAAAAIAIdO4kAOIT14&#10;DgIAABAEAAAOAAAAAAAAAAEAIAAAADYBAABkcnMvZTJvRG9jLnhtbFBLBQYAAAAABgAGAFkBAAC2&#10;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36</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BBA02"/>
    <w:multiLevelType w:val="singleLevel"/>
    <w:tmpl w:val="D50BBA02"/>
    <w:lvl w:ilvl="0" w:tentative="0">
      <w:start w:val="1"/>
      <w:numFmt w:val="decimal"/>
      <w:lvlText w:val="%1."/>
      <w:lvlJc w:val="left"/>
      <w:pPr>
        <w:tabs>
          <w:tab w:val="left" w:pos="312"/>
        </w:tabs>
      </w:pPr>
    </w:lvl>
  </w:abstractNum>
  <w:abstractNum w:abstractNumId="1">
    <w:nsid w:val="348E978E"/>
    <w:multiLevelType w:val="singleLevel"/>
    <w:tmpl w:val="348E978E"/>
    <w:lvl w:ilvl="0" w:tentative="0">
      <w:start w:val="5"/>
      <w:numFmt w:val="decimal"/>
      <w:lvlText w:val="%1."/>
      <w:lvlJc w:val="left"/>
      <w:pPr>
        <w:tabs>
          <w:tab w:val="left" w:pos="312"/>
        </w:tabs>
      </w:pPr>
    </w:lvl>
  </w:abstractNum>
  <w:abstractNum w:abstractNumId="2">
    <w:nsid w:val="53F0996D"/>
    <w:multiLevelType w:val="singleLevel"/>
    <w:tmpl w:val="53F0996D"/>
    <w:lvl w:ilvl="0" w:tentative="0">
      <w:start w:val="1"/>
      <w:numFmt w:val="chineseCounting"/>
      <w:suff w:val="nothing"/>
      <w:lvlText w:val="（%1）"/>
      <w:lvlJc w:val="left"/>
      <w:rPr>
        <w:rFonts w:cs="Times New Roman"/>
      </w:rPr>
    </w:lvl>
  </w:abstractNum>
  <w:abstractNum w:abstractNumId="3">
    <w:nsid w:val="5642A275"/>
    <w:multiLevelType w:val="singleLevel"/>
    <w:tmpl w:val="5642A275"/>
    <w:lvl w:ilvl="0" w:tentative="0">
      <w:start w:val="11"/>
      <w:numFmt w:val="chineseCounting"/>
      <w:suff w:val="nothing"/>
      <w:lvlText w:val="%1、"/>
      <w:lvlJc w:val="left"/>
    </w:lvl>
  </w:abstractNum>
  <w:abstractNum w:abstractNumId="4">
    <w:nsid w:val="58AD4B2D"/>
    <w:multiLevelType w:val="singleLevel"/>
    <w:tmpl w:val="58AD4B2D"/>
    <w:lvl w:ilvl="0" w:tentative="0">
      <w:start w:val="3"/>
      <w:numFmt w:val="chineseCounting"/>
      <w:suff w:val="nothing"/>
      <w:lvlText w:val="（%1）"/>
      <w:lvlJc w:val="left"/>
      <w:rPr>
        <w:rFonts w:cs="Times New Roman"/>
      </w:rPr>
    </w:lvl>
  </w:abstractNum>
  <w:abstractNum w:abstractNumId="5">
    <w:nsid w:val="593B76D0"/>
    <w:multiLevelType w:val="singleLevel"/>
    <w:tmpl w:val="593B76D0"/>
    <w:lvl w:ilvl="0" w:tentative="0">
      <w:start w:val="4"/>
      <w:numFmt w:val="chineseCounting"/>
      <w:suff w:val="space"/>
      <w:lvlText w:val="第%1章"/>
      <w:lvlJc w:val="left"/>
      <w:rPr>
        <w:rFonts w:cs="Times New Roman"/>
      </w:rPr>
    </w:lvl>
  </w:abstractNum>
  <w:abstractNum w:abstractNumId="6">
    <w:nsid w:val="59C07086"/>
    <w:multiLevelType w:val="singleLevel"/>
    <w:tmpl w:val="59C07086"/>
    <w:lvl w:ilvl="0" w:tentative="0">
      <w:start w:val="1"/>
      <w:numFmt w:val="decimal"/>
      <w:suff w:val="nothing"/>
      <w:lvlText w:val="%1、"/>
      <w:lvlJc w:val="left"/>
      <w:rPr>
        <w:rFonts w:cs="Times New Roman"/>
      </w:rPr>
    </w:lvl>
  </w:abstractNum>
  <w:abstractNum w:abstractNumId="7">
    <w:nsid w:val="59DAE5C0"/>
    <w:multiLevelType w:val="singleLevel"/>
    <w:tmpl w:val="59DAE5C0"/>
    <w:lvl w:ilvl="0" w:tentative="0">
      <w:start w:val="3"/>
      <w:numFmt w:val="chineseCounting"/>
      <w:suff w:val="nothing"/>
      <w:lvlText w:val="%1、"/>
      <w:lvlJc w:val="left"/>
      <w:rPr>
        <w:rFonts w:cs="Times New Roman"/>
      </w:rPr>
    </w:lvl>
  </w:abstractNum>
  <w:abstractNum w:abstractNumId="8">
    <w:nsid w:val="59DB328A"/>
    <w:multiLevelType w:val="singleLevel"/>
    <w:tmpl w:val="59DB328A"/>
    <w:lvl w:ilvl="0" w:tentative="0">
      <w:start w:val="1"/>
      <w:numFmt w:val="decimal"/>
      <w:suff w:val="nothing"/>
      <w:lvlText w:val="（%1）"/>
      <w:lvlJc w:val="left"/>
      <w:rPr>
        <w:rFonts w:cs="Times New Roman"/>
      </w:rPr>
    </w:lvl>
  </w:abstractNum>
  <w:abstractNum w:abstractNumId="9">
    <w:nsid w:val="59DB3CF2"/>
    <w:multiLevelType w:val="singleLevel"/>
    <w:tmpl w:val="59DB3CF2"/>
    <w:lvl w:ilvl="0" w:tentative="0">
      <w:start w:val="1"/>
      <w:numFmt w:val="decimal"/>
      <w:suff w:val="nothing"/>
      <w:lvlText w:val="%1、"/>
      <w:lvlJc w:val="left"/>
    </w:lvl>
  </w:abstractNum>
  <w:abstractNum w:abstractNumId="10">
    <w:nsid w:val="5A5C7400"/>
    <w:multiLevelType w:val="singleLevel"/>
    <w:tmpl w:val="5A5C7400"/>
    <w:lvl w:ilvl="0" w:tentative="0">
      <w:start w:val="3"/>
      <w:numFmt w:val="chineseCounting"/>
      <w:suff w:val="nothing"/>
      <w:lvlText w:val="%1、"/>
      <w:lvlJc w:val="left"/>
      <w:rPr>
        <w:rFonts w:cs="Times New Roman"/>
      </w:rPr>
    </w:lvl>
  </w:abstractNum>
  <w:num w:numId="1">
    <w:abstractNumId w:val="8"/>
  </w:num>
  <w:num w:numId="2">
    <w:abstractNumId w:val="10"/>
  </w:num>
  <w:num w:numId="3">
    <w:abstractNumId w:val="7"/>
  </w:num>
  <w:num w:numId="4">
    <w:abstractNumId w:val="6"/>
  </w:num>
  <w:num w:numId="5">
    <w:abstractNumId w:val="5"/>
  </w:num>
  <w:num w:numId="6">
    <w:abstractNumId w:val="2"/>
  </w:num>
  <w:num w:numId="7">
    <w:abstractNumId w:val="4"/>
  </w:num>
  <w:num w:numId="8">
    <w:abstractNumId w:val="1"/>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GY0OTI1ZWUxZDZmMjBmNmQ1MWFhMjAwN2FhMDEifQ=="/>
  </w:docVars>
  <w:rsids>
    <w:rsidRoot w:val="007C2014"/>
    <w:rsid w:val="000E578F"/>
    <w:rsid w:val="00143940"/>
    <w:rsid w:val="00181BCE"/>
    <w:rsid w:val="002C3E0C"/>
    <w:rsid w:val="003B4F8C"/>
    <w:rsid w:val="00443074"/>
    <w:rsid w:val="004C5E13"/>
    <w:rsid w:val="005C30A8"/>
    <w:rsid w:val="00720EA4"/>
    <w:rsid w:val="007416A8"/>
    <w:rsid w:val="00746126"/>
    <w:rsid w:val="007C2014"/>
    <w:rsid w:val="009E606B"/>
    <w:rsid w:val="00A757A8"/>
    <w:rsid w:val="00C06224"/>
    <w:rsid w:val="00CF5E66"/>
    <w:rsid w:val="00D8682E"/>
    <w:rsid w:val="00F05EC7"/>
    <w:rsid w:val="016539E9"/>
    <w:rsid w:val="016722A5"/>
    <w:rsid w:val="028642E4"/>
    <w:rsid w:val="032273A3"/>
    <w:rsid w:val="03811ED6"/>
    <w:rsid w:val="03C76349"/>
    <w:rsid w:val="03E960E3"/>
    <w:rsid w:val="044C3EBA"/>
    <w:rsid w:val="052D54A2"/>
    <w:rsid w:val="069C40D7"/>
    <w:rsid w:val="081859DF"/>
    <w:rsid w:val="083C5AC0"/>
    <w:rsid w:val="08695F01"/>
    <w:rsid w:val="08964C2E"/>
    <w:rsid w:val="08B87639"/>
    <w:rsid w:val="08D06ED7"/>
    <w:rsid w:val="09022FE3"/>
    <w:rsid w:val="09586E4D"/>
    <w:rsid w:val="09EF451D"/>
    <w:rsid w:val="0A1D552E"/>
    <w:rsid w:val="0A3E0197"/>
    <w:rsid w:val="0A4D15E2"/>
    <w:rsid w:val="0B7E7046"/>
    <w:rsid w:val="0D0421BE"/>
    <w:rsid w:val="0D75742F"/>
    <w:rsid w:val="0EDB6C23"/>
    <w:rsid w:val="0F312BF4"/>
    <w:rsid w:val="0F4D595E"/>
    <w:rsid w:val="0F577568"/>
    <w:rsid w:val="0F667E89"/>
    <w:rsid w:val="10540DC0"/>
    <w:rsid w:val="110411F6"/>
    <w:rsid w:val="111C3DFC"/>
    <w:rsid w:val="11333707"/>
    <w:rsid w:val="11FB45D4"/>
    <w:rsid w:val="12937075"/>
    <w:rsid w:val="12F62DC0"/>
    <w:rsid w:val="13734DB4"/>
    <w:rsid w:val="137A57A0"/>
    <w:rsid w:val="139E0748"/>
    <w:rsid w:val="14417865"/>
    <w:rsid w:val="153C10E8"/>
    <w:rsid w:val="16352B09"/>
    <w:rsid w:val="17092996"/>
    <w:rsid w:val="17352D67"/>
    <w:rsid w:val="177A207F"/>
    <w:rsid w:val="17A12622"/>
    <w:rsid w:val="17D66ED0"/>
    <w:rsid w:val="186C18BF"/>
    <w:rsid w:val="196F27FC"/>
    <w:rsid w:val="19C122EB"/>
    <w:rsid w:val="1A297D00"/>
    <w:rsid w:val="1B801EE6"/>
    <w:rsid w:val="1BD9327F"/>
    <w:rsid w:val="1CAD5D89"/>
    <w:rsid w:val="1CD8460C"/>
    <w:rsid w:val="1D4B1F5B"/>
    <w:rsid w:val="1D9F3B77"/>
    <w:rsid w:val="1DCB7750"/>
    <w:rsid w:val="1DFB7900"/>
    <w:rsid w:val="1F525822"/>
    <w:rsid w:val="1F6A65D4"/>
    <w:rsid w:val="202C233A"/>
    <w:rsid w:val="20AF2648"/>
    <w:rsid w:val="2141057D"/>
    <w:rsid w:val="21535E73"/>
    <w:rsid w:val="2171537F"/>
    <w:rsid w:val="21DD6EFA"/>
    <w:rsid w:val="2245673A"/>
    <w:rsid w:val="227B5090"/>
    <w:rsid w:val="22D42980"/>
    <w:rsid w:val="23244DE0"/>
    <w:rsid w:val="23271CAE"/>
    <w:rsid w:val="23EC064B"/>
    <w:rsid w:val="24E24D24"/>
    <w:rsid w:val="25455644"/>
    <w:rsid w:val="261E10AD"/>
    <w:rsid w:val="277A64D7"/>
    <w:rsid w:val="27AA4738"/>
    <w:rsid w:val="27FA344E"/>
    <w:rsid w:val="280B64D3"/>
    <w:rsid w:val="280E26F0"/>
    <w:rsid w:val="281F61AF"/>
    <w:rsid w:val="289A6877"/>
    <w:rsid w:val="29803C21"/>
    <w:rsid w:val="29987C29"/>
    <w:rsid w:val="29A749BD"/>
    <w:rsid w:val="29EE6148"/>
    <w:rsid w:val="29F12BF9"/>
    <w:rsid w:val="2BCF734C"/>
    <w:rsid w:val="2C1A0507"/>
    <w:rsid w:val="2CED630F"/>
    <w:rsid w:val="2D1819E3"/>
    <w:rsid w:val="2D3E192F"/>
    <w:rsid w:val="2DC81323"/>
    <w:rsid w:val="2DCF681C"/>
    <w:rsid w:val="2E4427DA"/>
    <w:rsid w:val="2E5616D9"/>
    <w:rsid w:val="2ECE6548"/>
    <w:rsid w:val="2F140057"/>
    <w:rsid w:val="2FAC0BFB"/>
    <w:rsid w:val="2FD000D7"/>
    <w:rsid w:val="30CC4823"/>
    <w:rsid w:val="30EB24DA"/>
    <w:rsid w:val="31257BBD"/>
    <w:rsid w:val="31291F90"/>
    <w:rsid w:val="31666F0B"/>
    <w:rsid w:val="31B252A1"/>
    <w:rsid w:val="31F7300A"/>
    <w:rsid w:val="33182487"/>
    <w:rsid w:val="33E356D6"/>
    <w:rsid w:val="33E505BB"/>
    <w:rsid w:val="33EB454B"/>
    <w:rsid w:val="34406FBE"/>
    <w:rsid w:val="3457567D"/>
    <w:rsid w:val="34FD52E5"/>
    <w:rsid w:val="351E040B"/>
    <w:rsid w:val="3532049B"/>
    <w:rsid w:val="353A6BD8"/>
    <w:rsid w:val="35610937"/>
    <w:rsid w:val="356361CC"/>
    <w:rsid w:val="3569521C"/>
    <w:rsid w:val="36CA3A99"/>
    <w:rsid w:val="36DC6FE3"/>
    <w:rsid w:val="372E5C06"/>
    <w:rsid w:val="377D3E69"/>
    <w:rsid w:val="37C450BC"/>
    <w:rsid w:val="380214B4"/>
    <w:rsid w:val="381C5159"/>
    <w:rsid w:val="387A3FA4"/>
    <w:rsid w:val="38F4004F"/>
    <w:rsid w:val="393409E3"/>
    <w:rsid w:val="39534219"/>
    <w:rsid w:val="39546D48"/>
    <w:rsid w:val="399A648F"/>
    <w:rsid w:val="39C74967"/>
    <w:rsid w:val="3A91782F"/>
    <w:rsid w:val="3AB4301A"/>
    <w:rsid w:val="3AF43052"/>
    <w:rsid w:val="3C285A33"/>
    <w:rsid w:val="3CF02ECA"/>
    <w:rsid w:val="3D61452D"/>
    <w:rsid w:val="3E4A7DDC"/>
    <w:rsid w:val="3F092008"/>
    <w:rsid w:val="3F0B7EB4"/>
    <w:rsid w:val="3F3827C4"/>
    <w:rsid w:val="3FAF6221"/>
    <w:rsid w:val="3FCD1260"/>
    <w:rsid w:val="3FE634AD"/>
    <w:rsid w:val="40CA5267"/>
    <w:rsid w:val="414769CE"/>
    <w:rsid w:val="4166337D"/>
    <w:rsid w:val="41A77B53"/>
    <w:rsid w:val="426C3C56"/>
    <w:rsid w:val="427B3CD9"/>
    <w:rsid w:val="437B126F"/>
    <w:rsid w:val="43F83958"/>
    <w:rsid w:val="44A916CC"/>
    <w:rsid w:val="45193FDD"/>
    <w:rsid w:val="462D6675"/>
    <w:rsid w:val="46A20157"/>
    <w:rsid w:val="46C147BF"/>
    <w:rsid w:val="46CC766A"/>
    <w:rsid w:val="47561583"/>
    <w:rsid w:val="48336E5E"/>
    <w:rsid w:val="48C34286"/>
    <w:rsid w:val="49336691"/>
    <w:rsid w:val="4965328F"/>
    <w:rsid w:val="4A5B088C"/>
    <w:rsid w:val="4AE3012A"/>
    <w:rsid w:val="4AF34F14"/>
    <w:rsid w:val="4B0A41E8"/>
    <w:rsid w:val="4B696690"/>
    <w:rsid w:val="4BA21C15"/>
    <w:rsid w:val="4D652764"/>
    <w:rsid w:val="4DB62117"/>
    <w:rsid w:val="4E216895"/>
    <w:rsid w:val="4E300991"/>
    <w:rsid w:val="4E771774"/>
    <w:rsid w:val="4E78082F"/>
    <w:rsid w:val="4EB3523D"/>
    <w:rsid w:val="4F0E4A13"/>
    <w:rsid w:val="4F561F16"/>
    <w:rsid w:val="4F7D1902"/>
    <w:rsid w:val="4FBD38F4"/>
    <w:rsid w:val="4FD974F3"/>
    <w:rsid w:val="507B54E4"/>
    <w:rsid w:val="51E469DA"/>
    <w:rsid w:val="528E7E62"/>
    <w:rsid w:val="52FC4FE2"/>
    <w:rsid w:val="534663AF"/>
    <w:rsid w:val="53E4532A"/>
    <w:rsid w:val="54813591"/>
    <w:rsid w:val="54B665D2"/>
    <w:rsid w:val="54CC47F5"/>
    <w:rsid w:val="55264749"/>
    <w:rsid w:val="55C41068"/>
    <w:rsid w:val="56095F34"/>
    <w:rsid w:val="56483FF0"/>
    <w:rsid w:val="56781B70"/>
    <w:rsid w:val="56880E3B"/>
    <w:rsid w:val="56B75C05"/>
    <w:rsid w:val="57722B57"/>
    <w:rsid w:val="57E4035D"/>
    <w:rsid w:val="59651DB3"/>
    <w:rsid w:val="59B163BE"/>
    <w:rsid w:val="5A1F3706"/>
    <w:rsid w:val="5A291AC2"/>
    <w:rsid w:val="5AB61B86"/>
    <w:rsid w:val="5B5436B9"/>
    <w:rsid w:val="5C2A5E3C"/>
    <w:rsid w:val="5C31797D"/>
    <w:rsid w:val="5C505584"/>
    <w:rsid w:val="5C5735E9"/>
    <w:rsid w:val="5C6F4108"/>
    <w:rsid w:val="5CDB3A5A"/>
    <w:rsid w:val="5D19551F"/>
    <w:rsid w:val="5D4D5E44"/>
    <w:rsid w:val="5FF12F60"/>
    <w:rsid w:val="61BD0D14"/>
    <w:rsid w:val="625F6E91"/>
    <w:rsid w:val="626022BB"/>
    <w:rsid w:val="62DC6AC5"/>
    <w:rsid w:val="631068FD"/>
    <w:rsid w:val="63433E1E"/>
    <w:rsid w:val="63CA3FAD"/>
    <w:rsid w:val="64130046"/>
    <w:rsid w:val="641742F9"/>
    <w:rsid w:val="646C3633"/>
    <w:rsid w:val="64D25CB1"/>
    <w:rsid w:val="65634D61"/>
    <w:rsid w:val="65C80DCC"/>
    <w:rsid w:val="65F75DA9"/>
    <w:rsid w:val="662C4149"/>
    <w:rsid w:val="663A6FB8"/>
    <w:rsid w:val="66866779"/>
    <w:rsid w:val="67CC76D6"/>
    <w:rsid w:val="68B05CDD"/>
    <w:rsid w:val="68B1766C"/>
    <w:rsid w:val="69425E01"/>
    <w:rsid w:val="6A826F79"/>
    <w:rsid w:val="6AAA721B"/>
    <w:rsid w:val="6B3A1A5F"/>
    <w:rsid w:val="6C1C15C8"/>
    <w:rsid w:val="6C8A3A84"/>
    <w:rsid w:val="6CF0313A"/>
    <w:rsid w:val="6D77332B"/>
    <w:rsid w:val="6D9128B2"/>
    <w:rsid w:val="6DA65C17"/>
    <w:rsid w:val="6EBE3FF6"/>
    <w:rsid w:val="6F650AE6"/>
    <w:rsid w:val="6F765463"/>
    <w:rsid w:val="6FB95E7D"/>
    <w:rsid w:val="6FD64520"/>
    <w:rsid w:val="6FF571AB"/>
    <w:rsid w:val="7028242F"/>
    <w:rsid w:val="70A36274"/>
    <w:rsid w:val="71BD596B"/>
    <w:rsid w:val="71C72A25"/>
    <w:rsid w:val="73414030"/>
    <w:rsid w:val="7352509D"/>
    <w:rsid w:val="738F6566"/>
    <w:rsid w:val="74016016"/>
    <w:rsid w:val="74FB3520"/>
    <w:rsid w:val="750E6C6B"/>
    <w:rsid w:val="752155BD"/>
    <w:rsid w:val="75332EEB"/>
    <w:rsid w:val="75904769"/>
    <w:rsid w:val="75C65BF2"/>
    <w:rsid w:val="75E629A0"/>
    <w:rsid w:val="76067AE0"/>
    <w:rsid w:val="76805946"/>
    <w:rsid w:val="7723034B"/>
    <w:rsid w:val="776F7E85"/>
    <w:rsid w:val="779E42D6"/>
    <w:rsid w:val="77BE6EB0"/>
    <w:rsid w:val="78F05F11"/>
    <w:rsid w:val="79EA1A55"/>
    <w:rsid w:val="7A3241A6"/>
    <w:rsid w:val="7A4F1E66"/>
    <w:rsid w:val="7A631702"/>
    <w:rsid w:val="7A781B88"/>
    <w:rsid w:val="7B096228"/>
    <w:rsid w:val="7B9F686F"/>
    <w:rsid w:val="7BE5704D"/>
    <w:rsid w:val="7D284476"/>
    <w:rsid w:val="7D3B160B"/>
    <w:rsid w:val="7FFC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30"/>
    <w:qFormat/>
    <w:uiPriority w:val="99"/>
    <w:pPr>
      <w:keepNext/>
      <w:keepLines/>
      <w:spacing w:line="576" w:lineRule="auto"/>
      <w:outlineLvl w:val="0"/>
    </w:pPr>
    <w:rPr>
      <w:b/>
      <w:kern w:val="44"/>
      <w:sz w:val="44"/>
    </w:rPr>
  </w:style>
  <w:style w:type="paragraph" w:styleId="4">
    <w:name w:val="heading 2"/>
    <w:basedOn w:val="1"/>
    <w:next w:val="1"/>
    <w:qFormat/>
    <w:uiPriority w:val="99"/>
    <w:pPr>
      <w:keepNext/>
      <w:keepLines/>
      <w:spacing w:line="416" w:lineRule="auto"/>
      <w:outlineLvl w:val="1"/>
    </w:pPr>
    <w:rPr>
      <w:rFonts w:ascii="Cambria" w:hAnsi="Cambria"/>
      <w:b/>
      <w:sz w:val="32"/>
      <w:szCs w:val="24"/>
    </w:rPr>
  </w:style>
  <w:style w:type="paragraph" w:styleId="5">
    <w:name w:val="heading 3"/>
    <w:basedOn w:val="1"/>
    <w:next w:val="1"/>
    <w:qFormat/>
    <w:uiPriority w:val="99"/>
    <w:pPr>
      <w:keepNext/>
      <w:keepLines/>
      <w:spacing w:line="413" w:lineRule="auto"/>
      <w:outlineLvl w:val="2"/>
    </w:pPr>
    <w:rPr>
      <w:rFonts w:ascii="Times New Roman"/>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Cs w:val="24"/>
    </w:rPr>
  </w:style>
  <w:style w:type="paragraph" w:styleId="6">
    <w:name w:val="Normal Indent"/>
    <w:basedOn w:val="1"/>
    <w:qFormat/>
    <w:uiPriority w:val="99"/>
    <w:pPr>
      <w:ind w:firstLine="200" w:firstLineChars="200"/>
    </w:pPr>
  </w:style>
  <w:style w:type="paragraph" w:styleId="7">
    <w:name w:val="annotation text"/>
    <w:basedOn w:val="1"/>
    <w:qFormat/>
    <w:uiPriority w:val="99"/>
    <w:pPr>
      <w:jc w:val="left"/>
    </w:pPr>
    <w:rPr>
      <w:rFonts w:ascii="Times New Roman"/>
      <w:kern w:val="2"/>
      <w:sz w:val="21"/>
    </w:rPr>
  </w:style>
  <w:style w:type="paragraph" w:styleId="8">
    <w:name w:val="Body Text Indent"/>
    <w:basedOn w:val="1"/>
    <w:qFormat/>
    <w:uiPriority w:val="99"/>
    <w:pPr>
      <w:widowControl w:val="0"/>
      <w:ind w:left="420" w:leftChars="200"/>
    </w:pPr>
    <w:rPr>
      <w:szCs w:val="24"/>
    </w:rPr>
  </w:style>
  <w:style w:type="paragraph" w:styleId="9">
    <w:name w:val="Body Text Indent 2"/>
    <w:basedOn w:val="1"/>
    <w:qFormat/>
    <w:uiPriority w:val="99"/>
    <w:pPr>
      <w:spacing w:line="480" w:lineRule="auto"/>
      <w:ind w:left="20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Normal (Web)"/>
    <w:basedOn w:val="1"/>
    <w:unhideWhenUsed/>
    <w:qFormat/>
    <w:uiPriority w:val="0"/>
    <w:pPr>
      <w:spacing w:before="100" w:beforeAutospacing="1" w:after="100" w:afterAutospacing="1"/>
      <w:jc w:val="left"/>
    </w:pPr>
    <w:rPr>
      <w:rFonts w:hAnsi="宋体" w:cs="宋体"/>
      <w:sz w:val="24"/>
    </w:rPr>
  </w:style>
  <w:style w:type="paragraph" w:styleId="14">
    <w:name w:val="Body Text First Indent"/>
    <w:basedOn w:val="2"/>
    <w:unhideWhenUsed/>
    <w:qFormat/>
    <w:uiPriority w:val="0"/>
    <w:pPr>
      <w:ind w:firstLine="420" w:firstLineChars="100"/>
    </w:pPr>
    <w:rPr>
      <w:sz w:val="18"/>
      <w:szCs w:val="18"/>
    </w:r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color w:val="337AB7"/>
      <w:sz w:val="21"/>
      <w:szCs w:val="21"/>
      <w:u w:val="none"/>
      <w:bdr w:val="single" w:color="E4E4E4" w:sz="6" w:space="0"/>
      <w:shd w:val="clear" w:color="auto" w:fill="FFFFFF"/>
    </w:rPr>
  </w:style>
  <w:style w:type="character" w:styleId="21">
    <w:name w:val="HTML Definition"/>
    <w:basedOn w:val="17"/>
    <w:qFormat/>
    <w:uiPriority w:val="0"/>
    <w:rPr>
      <w:i/>
      <w:iCs/>
    </w:rPr>
  </w:style>
  <w:style w:type="character" w:styleId="22">
    <w:name w:val="Hyperlink"/>
    <w:basedOn w:val="17"/>
    <w:qFormat/>
    <w:uiPriority w:val="0"/>
    <w:rPr>
      <w:color w:val="337AB7"/>
      <w:u w:val="none"/>
    </w:rPr>
  </w:style>
  <w:style w:type="character" w:styleId="23">
    <w:name w:val="HTML Code"/>
    <w:basedOn w:val="17"/>
    <w:qFormat/>
    <w:uiPriority w:val="0"/>
    <w:rPr>
      <w:rFonts w:hint="default" w:ascii="Consolas" w:hAnsi="Consolas" w:eastAsia="Consolas" w:cs="Consolas"/>
      <w:color w:val="CA4440"/>
      <w:sz w:val="21"/>
      <w:szCs w:val="21"/>
      <w:shd w:val="clear" w:color="auto" w:fill="F9F2F4"/>
    </w:rPr>
  </w:style>
  <w:style w:type="character" w:styleId="24">
    <w:name w:val="annotation reference"/>
    <w:basedOn w:val="17"/>
    <w:qFormat/>
    <w:uiPriority w:val="99"/>
    <w:rPr>
      <w:rFonts w:cs="Times New Roman"/>
      <w:sz w:val="21"/>
      <w:szCs w:val="21"/>
    </w:rPr>
  </w:style>
  <w:style w:type="character" w:styleId="25">
    <w:name w:val="HTML Keyboard"/>
    <w:basedOn w:val="17"/>
    <w:qFormat/>
    <w:uiPriority w:val="0"/>
    <w:rPr>
      <w:rFonts w:ascii="Consolas" w:hAnsi="Consolas" w:eastAsia="Consolas" w:cs="Consolas"/>
      <w:color w:val="FFFFFF"/>
      <w:sz w:val="21"/>
      <w:szCs w:val="21"/>
      <w:shd w:val="clear" w:color="auto" w:fill="333333"/>
    </w:rPr>
  </w:style>
  <w:style w:type="character" w:styleId="26">
    <w:name w:val="HTML Sample"/>
    <w:basedOn w:val="17"/>
    <w:qFormat/>
    <w:uiPriority w:val="0"/>
    <w:rPr>
      <w:rFonts w:hint="default" w:ascii="Consolas" w:hAnsi="Consolas" w:eastAsia="Consolas" w:cs="Consolas"/>
      <w:sz w:val="21"/>
      <w:szCs w:val="21"/>
    </w:rPr>
  </w:style>
  <w:style w:type="paragraph" w:customStyle="1" w:styleId="27">
    <w:name w:val="正文首行缩进两字符"/>
    <w:basedOn w:val="1"/>
    <w:qFormat/>
    <w:uiPriority w:val="99"/>
    <w:pPr>
      <w:widowControl w:val="0"/>
      <w:spacing w:line="360" w:lineRule="auto"/>
      <w:ind w:firstLine="200" w:firstLineChars="200"/>
    </w:pPr>
    <w:rPr>
      <w:szCs w:val="24"/>
    </w:rPr>
  </w:style>
  <w:style w:type="paragraph" w:customStyle="1" w:styleId="2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30">
    <w:name w:val="标题 1 Char"/>
    <w:basedOn w:val="17"/>
    <w:link w:val="3"/>
    <w:qFormat/>
    <w:locked/>
    <w:uiPriority w:val="99"/>
    <w:rPr>
      <w:b/>
      <w:kern w:val="44"/>
      <w:sz w:val="44"/>
    </w:rPr>
  </w:style>
  <w:style w:type="paragraph" w:customStyle="1" w:styleId="31">
    <w:name w:val="样式 首行缩进:  2 字符"/>
    <w:basedOn w:val="1"/>
    <w:qFormat/>
    <w:uiPriority w:val="99"/>
    <w:pPr>
      <w:spacing w:line="400" w:lineRule="exact"/>
      <w:ind w:firstLine="200" w:firstLineChars="200"/>
    </w:pPr>
    <w:rPr>
      <w:rFonts w:cs="宋体"/>
      <w:sz w:val="24"/>
    </w:rPr>
  </w:style>
  <w:style w:type="paragraph" w:styleId="32">
    <w:name w:val="List Paragraph"/>
    <w:basedOn w:val="1"/>
    <w:qFormat/>
    <w:uiPriority w:val="34"/>
    <w:pPr>
      <w:ind w:firstLine="420" w:firstLineChars="200"/>
    </w:pPr>
    <w:rPr>
      <w:rFonts w:ascii="Calibri"/>
    </w:rPr>
  </w:style>
  <w:style w:type="character" w:customStyle="1" w:styleId="33">
    <w:name w:val="cancel"/>
    <w:basedOn w:val="17"/>
    <w:qFormat/>
    <w:uiPriority w:val="0"/>
  </w:style>
  <w:style w:type="character" w:customStyle="1" w:styleId="34">
    <w:name w:val="label"/>
    <w:basedOn w:val="17"/>
    <w:qFormat/>
    <w:uiPriority w:val="0"/>
  </w:style>
  <w:style w:type="character" w:customStyle="1" w:styleId="35">
    <w:name w:val="msg-box"/>
    <w:basedOn w:val="17"/>
    <w:qFormat/>
    <w:uiPriority w:val="0"/>
    <w:rPr>
      <w:color w:val="EF392B"/>
      <w:sz w:val="18"/>
      <w:szCs w:val="18"/>
    </w:rPr>
  </w:style>
  <w:style w:type="character" w:customStyle="1" w:styleId="36">
    <w:name w:val="btn-green"/>
    <w:basedOn w:val="17"/>
    <w:qFormat/>
    <w:uiPriority w:val="0"/>
    <w:rPr>
      <w:color w:val="FFFFFF"/>
      <w:shd w:val="clear" w:color="auto" w:fill="3C8DBC"/>
    </w:rPr>
  </w:style>
  <w:style w:type="character" w:customStyle="1" w:styleId="37">
    <w:name w:val="text2"/>
    <w:basedOn w:val="17"/>
    <w:qFormat/>
    <w:uiPriority w:val="0"/>
  </w:style>
  <w:style w:type="character" w:customStyle="1" w:styleId="38">
    <w:name w:val="first-child"/>
    <w:basedOn w:val="17"/>
    <w:qFormat/>
    <w:uiPriority w:val="0"/>
  </w:style>
  <w:style w:type="character" w:customStyle="1" w:styleId="39">
    <w:name w:val="button4"/>
    <w:basedOn w:val="17"/>
    <w:qFormat/>
    <w:uiPriority w:val="0"/>
  </w:style>
  <w:style w:type="character" w:customStyle="1" w:styleId="40">
    <w:name w:val="tmpztreemove_arrow"/>
    <w:basedOn w:val="17"/>
    <w:qFormat/>
    <w:uiPriority w:val="0"/>
  </w:style>
  <w:style w:type="character" w:customStyle="1" w:styleId="41">
    <w:name w:val="percentage"/>
    <w:basedOn w:val="17"/>
    <w:qFormat/>
    <w:uiPriority w:val="0"/>
    <w:rPr>
      <w:shd w:val="clear" w:color="auto" w:fill="1483D8"/>
    </w:rPr>
  </w:style>
  <w:style w:type="character" w:customStyle="1" w:styleId="42">
    <w:name w:val="rotateright"/>
    <w:basedOn w:val="17"/>
    <w:qFormat/>
    <w:uiPriority w:val="0"/>
  </w:style>
  <w:style w:type="character" w:customStyle="1" w:styleId="43">
    <w:name w:val="rotateleft"/>
    <w:basedOn w:val="17"/>
    <w:qFormat/>
    <w:uiPriority w:val="0"/>
  </w:style>
  <w:style w:type="character" w:customStyle="1" w:styleId="44">
    <w:name w:val="hover12"/>
    <w:basedOn w:val="17"/>
    <w:qFormat/>
    <w:uiPriority w:val="0"/>
    <w:rPr>
      <w:shd w:val="clear" w:color="auto" w:fill="E82B45"/>
    </w:rPr>
  </w:style>
  <w:style w:type="character" w:customStyle="1" w:styleId="45">
    <w:name w:val="layui-this"/>
    <w:basedOn w:val="17"/>
    <w:qFormat/>
    <w:uiPriority w:val="0"/>
    <w:rPr>
      <w:bdr w:val="single" w:color="EEEEEE" w:sz="6" w:space="0"/>
      <w:shd w:val="clear" w:color="auto" w:fill="FFFFFF"/>
    </w:rPr>
  </w:style>
  <w:style w:type="character" w:customStyle="1" w:styleId="46">
    <w:name w:val="label10"/>
    <w:basedOn w:val="17"/>
    <w:qFormat/>
    <w:uiPriority w:val="0"/>
  </w:style>
  <w:style w:type="character" w:customStyle="1" w:styleId="47">
    <w:name w:val="button3"/>
    <w:basedOn w:val="17"/>
    <w:qFormat/>
    <w:uiPriority w:val="0"/>
  </w:style>
  <w:style w:type="character" w:customStyle="1" w:styleId="48">
    <w:name w:val="hover11"/>
    <w:basedOn w:val="17"/>
    <w:qFormat/>
    <w:uiPriority w:val="0"/>
    <w:rPr>
      <w:shd w:val="clear" w:color="auto" w:fill="E82B45"/>
    </w:rPr>
  </w:style>
  <w:style w:type="character" w:customStyle="1" w:styleId="49">
    <w:name w:val="text"/>
    <w:basedOn w:val="17"/>
    <w:qFormat/>
    <w:uiPriority w:val="0"/>
  </w:style>
  <w:style w:type="character" w:customStyle="1" w:styleId="50">
    <w:name w:val="button"/>
    <w:basedOn w:val="17"/>
    <w:qFormat/>
    <w:uiPriority w:val="0"/>
  </w:style>
  <w:style w:type="character" w:customStyle="1" w:styleId="51">
    <w:name w:val="label9"/>
    <w:basedOn w:val="17"/>
    <w:qFormat/>
    <w:uiPriority w:val="0"/>
  </w:style>
  <w:style w:type="paragraph" w:customStyle="1" w:styleId="52">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0"/>
      <w:lang w:val="en-US" w:eastAsia="zh-CN" w:bidi="ar-SA"/>
    </w:rPr>
  </w:style>
</w:styles>
</file>

<file path=word/_rels/document.xml.rels><?xml version="1.0" encoding="UTF-8"?><Relationships xmlns="http://schemas.openxmlformats.org/package/2006/relationships"><Relationship Id="rId9" Type="http://schemas.openxmlformats.org/officeDocument/2006/relationships/footer" Target="footer3.xml"></Relationship><Relationship Id="rId8" Type="http://schemas.openxmlformats.org/officeDocument/2006/relationships/header" Target="header4.xml"></Relationship><Relationship Id="rId7" Type="http://schemas.openxmlformats.org/officeDocument/2006/relationships/header" Target="header3.xml"></Relationship><Relationship Id="rId6" Type="http://schemas.openxmlformats.org/officeDocument/2006/relationships/header" Target="header2.xml"></Relationship><Relationship Id="rId5" Type="http://schemas.openxmlformats.org/officeDocument/2006/relationships/footer" Target="footer2.xml"></Relationship><Relationship Id="rId4" Type="http://schemas.openxmlformats.org/officeDocument/2006/relationships/footer" Target="footer1.xml"></Relationship><Relationship Id="rId3" Type="http://schemas.openxmlformats.org/officeDocument/2006/relationships/header" Target="header1.xml"></Relationship><Relationship Id="rId2" Type="http://schemas.openxmlformats.org/officeDocument/2006/relationships/settings" Target="settings.xml"></Relationship><Relationship Id="rId15" Type="http://schemas.openxmlformats.org/officeDocument/2006/relationships/fontTable" Target="fontTable.xml"></Relationship><Relationship Id="rId14" Type="http://schemas.openxmlformats.org/officeDocument/2006/relationships/numbering" Target="numbering.xml"></Relationship><Relationship Id="rId13" Type="http://schemas.openxmlformats.org/officeDocument/2006/relationships/customXml" Target="../customXml/item1.xml"></Relationship><Relationship Id="rId12" Type="http://schemas.openxmlformats.org/officeDocument/2006/relationships/theme" Target="theme/theme1.xml"></Relationship><Relationship Id="rId11" Type="http://schemas.openxmlformats.org/officeDocument/2006/relationships/footer" Target="footer5.xml"></Relationship><Relationship Id="rId10" Type="http://schemas.openxmlformats.org/officeDocument/2006/relationships/footer" Target="footer4.xml"></Relationship><Relationship Id="rId1" Type="http://schemas.openxmlformats.org/officeDocument/2006/relationships/styles" Target="styles.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item1.xml><?xml version="1.0" encoding="utf-8"?>
<s:customData xmlns:s="http://www.wps.cn/officeDocument/2013/wpsCustomData" xmln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33099</Words>
  <Characters>34831</Characters>
  <Lines>269</Lines>
  <Paragraphs>75</Paragraphs>
  <TotalTime>20</TotalTime>
  <ScaleCrop>false</ScaleCrop>
  <LinksUpToDate>false</LinksUpToDate>
  <CharactersWithSpaces>35814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2021-06-03T09:38:00Z</dcterms:created>
  <dc:creator>Administrator</dc:creator>
  <cp:lastModifiedBy>Psong</cp:lastModifiedBy>
  <dcterms:modified xsi:type="dcterms:W3CDTF">2022-11-23T15:06:03Z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6011D1B5CB74405EA9B18D4D513D39FC</vt:lpwstr>
  </property>
</Properties>
</file>