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液相色谱柱及液质色谱柱采购</w:t>
      </w:r>
      <w:r>
        <w:rPr>
          <w:rFonts w:hint="eastAsia"/>
          <w:b/>
          <w:bCs/>
          <w:sz w:val="32"/>
          <w:szCs w:val="32"/>
          <w:lang w:eastAsia="zh-CN"/>
        </w:rPr>
        <w:t>需求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492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液相色谱柱（国产）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7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液相色谱柱</w:t>
            </w:r>
          </w:p>
        </w:tc>
        <w:tc>
          <w:tcPr>
            <w:tcW w:w="2492" w:type="dxa"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液相色谱柱</w:t>
            </w:r>
          </w:p>
        </w:tc>
        <w:tc>
          <w:tcPr>
            <w:tcW w:w="5767" w:type="dxa"/>
            <w:vAlign w:val="center"/>
          </w:tcPr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1、规格：C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，5μm ，250x4.6mm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2、PH：2.0-6.0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3、填料适用于100%水溶液流动相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4、于复杂基质中对较单一组分化合物的分析定量。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5、在流动相A甲醇：B磷酸氢二铵=5:95，柱流速1.0mL/min，柱温30℃，波长214nm色谱条件下，基质样品中丙酸盐分离度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1.5，不对称度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≤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1.0 ，峰宽（50%）小于0.2min。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液相色谱柱</w:t>
            </w:r>
          </w:p>
        </w:tc>
        <w:tc>
          <w:tcPr>
            <w:tcW w:w="5767" w:type="dxa"/>
            <w:vAlign w:val="center"/>
          </w:tcPr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1、规格：C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，5μm ，250x4.6mm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2、PH：1.5-10.0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3、载碳量：12%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4、能与100%水流动相条件兼容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5、在流动相A甲醇：B乙酸铵=5:95，柱流速1.0mL/min，柱温35℃，波长230nm色谱条件下，基质样品中苯甲酸、山梨酸、糖精钠分离度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1.5。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6、在流动相A甲醇：B乙酸铵，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0~14min A :5%，14~26min A: 18%-75%，26~28min A:75%-98,28~30min A :98%-5%，30~35min A:5%，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柱流速1.0mL/min，柱温35℃，波长254nm，508nm色谱条件下，基质样品中柠檬黄，新红，苋菜红，胭脂红、日落黄、亮蓝、赤藓红分离度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492" w:type="dxa"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液相色谱柱</w:t>
            </w:r>
          </w:p>
        </w:tc>
        <w:tc>
          <w:tcPr>
            <w:tcW w:w="5767" w:type="dxa"/>
            <w:vAlign w:val="center"/>
          </w:tcPr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1、规格：C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，5μm，250x4.6mm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2、PH：1.5-10.0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3、载碳量：14%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4、在甲醇：乙酸铵=12:88，柱流速1.0mL/min，柱温30℃，波长293nm色谱条件下，脱氢乙酸不对称度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≤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1.2，峰宽（50%）≤0.15min。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氨基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液相色谱柱</w:t>
            </w:r>
          </w:p>
          <w:p>
            <w:pPr>
              <w:spacing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highlight w:val="none"/>
              </w:rPr>
              <w:t>（核心产品）</w:t>
            </w:r>
          </w:p>
        </w:tc>
        <w:tc>
          <w:tcPr>
            <w:tcW w:w="5767" w:type="dxa"/>
            <w:vAlign w:val="center"/>
          </w:tcPr>
          <w:p>
            <w:pPr>
              <w:spacing w:beforeLines="50"/>
              <w:jc w:val="lef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1、规格：4.6×250mm，5μm</w:t>
            </w:r>
          </w:p>
          <w:p>
            <w:pPr>
              <w:spacing w:beforeLines="5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2、pH：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</w:p>
          <w:p>
            <w:pPr>
              <w:spacing w:beforeLines="50"/>
              <w:jc w:val="lef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3、填料能适应80%水溶液流动相</w:t>
            </w:r>
          </w:p>
          <w:p>
            <w:pPr>
              <w:spacing w:beforeLines="50" w:afterLines="50"/>
              <w:jc w:val="lef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★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4、适用于GB 5009.8-2016，能使基质样品中的蔗糖，麦芽糖，葡萄糖，果糖，乳糖等糖的分离度≥1.5。</w:t>
            </w:r>
          </w:p>
        </w:tc>
      </w:tr>
      <w:bookmarkEnd w:id="0"/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OWVkN2M4ZTI1N2JjNmQ4YmNjNWNjZDFkZmVkODkifQ=="/>
  </w:docVars>
  <w:rsids>
    <w:rsidRoot w:val="2AEF4A7A"/>
    <w:rsid w:val="00847DE1"/>
    <w:rsid w:val="018C519F"/>
    <w:rsid w:val="19EC2827"/>
    <w:rsid w:val="2AEF4A7A"/>
    <w:rsid w:val="3F740A45"/>
    <w:rsid w:val="53D8739D"/>
    <w:rsid w:val="6B4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jc w:val="left"/>
      <w:outlineLvl w:val="3"/>
    </w:pPr>
    <w:rPr>
      <w:rFonts w:hint="eastAsia" w:ascii="Arial" w:hAnsi="Arial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771</Characters>
  <Lines>0</Lines>
  <Paragraphs>0</Paragraphs>
  <TotalTime>2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2022-11-07T04:27:00Z</dcterms:created>
  <dc:creator>邱阳阳</dc:creator>
  <cp:lastModifiedBy>邱阳阳</cp:lastModifiedBy>
  <dcterms:modified xsi:type="dcterms:W3CDTF">2022-11-07T04:30:43Z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3639F023C75F4EDC9073618590731A6A</vt:lpwstr>
  </property>
</Properties>
</file>