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880" w:leftChars="2800"/>
        <w:jc w:val="right"/>
        <w:rPr>
          <w:rStyle w:val="30"/>
          <w:rFonts w:ascii="宋体" w:hAnsi="宋体"/>
          <w:b/>
          <w:color w:val="auto"/>
          <w:sz w:val="44"/>
          <w:szCs w:val="44"/>
          <w:highlight w:val="none"/>
        </w:rPr>
      </w:pPr>
      <w:bookmarkStart w:id="100" w:name="_GoBack"/>
      <w:r>
        <w:rPr>
          <w:rStyle w:val="30"/>
          <w:rFonts w:ascii="宋体" w:hAnsi="宋体"/>
          <w:color w:val="auto"/>
          <w:sz w:val="21"/>
          <w:highlight w:val="none"/>
        </w:rPr>
        <w:drawing>
          <wp:inline distT="0" distB="0" distL="114300" distR="114300">
            <wp:extent cx="935990" cy="935990"/>
            <wp:effectExtent l="0" t="0" r="889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935990" cy="935990"/>
                    </a:xfrm>
                    <a:prstGeom prst="rect">
                      <a:avLst/>
                    </a:prstGeom>
                    <a:noFill/>
                    <a:ln>
                      <a:noFill/>
                    </a:ln>
                  </pic:spPr>
                </pic:pic>
              </a:graphicData>
            </a:graphic>
          </wp:inline>
        </w:drawing>
      </w:r>
    </w:p>
    <w:p>
      <w:pPr>
        <w:jc w:val="center"/>
        <w:rPr>
          <w:rStyle w:val="30"/>
          <w:rFonts w:ascii="宋体" w:hAnsi="宋体"/>
          <w:b/>
          <w:color w:val="auto"/>
          <w:sz w:val="44"/>
          <w:szCs w:val="44"/>
          <w:highlight w:val="none"/>
        </w:rPr>
      </w:pPr>
    </w:p>
    <w:p>
      <w:pPr>
        <w:jc w:val="center"/>
        <w:rPr>
          <w:rStyle w:val="30"/>
          <w:rFonts w:ascii="宋体" w:hAnsi="宋体"/>
          <w:b/>
          <w:color w:val="auto"/>
          <w:sz w:val="44"/>
          <w:szCs w:val="44"/>
          <w:highlight w:val="none"/>
        </w:rPr>
      </w:pPr>
      <w:r>
        <w:rPr>
          <w:rStyle w:val="30"/>
          <w:rFonts w:ascii="宋体" w:hAnsi="宋体"/>
          <w:b/>
          <w:color w:val="auto"/>
          <w:sz w:val="44"/>
          <w:szCs w:val="44"/>
          <w:highlight w:val="none"/>
        </w:rPr>
        <w:t>政府采购服务项目</w:t>
      </w:r>
    </w:p>
    <w:p>
      <w:pPr>
        <w:widowControl w:val="0"/>
        <w:spacing w:line="360" w:lineRule="auto"/>
        <w:jc w:val="center"/>
        <w:textAlignment w:val="auto"/>
        <w:rPr>
          <w:rFonts w:cs="Times New Roman" w:asciiTheme="minorEastAsia" w:hAnsiTheme="minorEastAsia" w:eastAsiaTheme="minorEastAsia"/>
          <w:color w:val="auto"/>
          <w:sz w:val="32"/>
          <w:szCs w:val="32"/>
          <w:highlight w:val="none"/>
        </w:rPr>
      </w:pPr>
    </w:p>
    <w:p>
      <w:pPr>
        <w:widowControl w:val="0"/>
        <w:spacing w:line="360" w:lineRule="auto"/>
        <w:jc w:val="center"/>
        <w:textAlignment w:val="auto"/>
        <w:rPr>
          <w:rFonts w:cs="Times New Roman" w:asciiTheme="minorEastAsia" w:hAnsiTheme="minorEastAsia" w:eastAsiaTheme="minorEastAsia"/>
          <w:color w:val="auto"/>
          <w:sz w:val="32"/>
          <w:szCs w:val="32"/>
          <w:highlight w:val="none"/>
        </w:rPr>
      </w:pPr>
    </w:p>
    <w:p>
      <w:pPr>
        <w:widowControl w:val="0"/>
        <w:spacing w:line="360" w:lineRule="auto"/>
        <w:textAlignment w:val="auto"/>
        <w:rPr>
          <w:rFonts w:cs="Times New Roman" w:asciiTheme="minorEastAsia" w:hAnsiTheme="minorEastAsia" w:eastAsiaTheme="minorEastAsia"/>
          <w:color w:val="auto"/>
          <w:sz w:val="32"/>
          <w:szCs w:val="32"/>
          <w:highlight w:val="none"/>
        </w:rPr>
      </w:pPr>
    </w:p>
    <w:p>
      <w:pPr>
        <w:jc w:val="center"/>
        <w:rPr>
          <w:rStyle w:val="30"/>
          <w:rFonts w:ascii="宋体" w:hAnsi="宋体"/>
          <w:b/>
          <w:color w:val="auto"/>
          <w:sz w:val="84"/>
          <w:szCs w:val="84"/>
          <w:highlight w:val="none"/>
        </w:rPr>
      </w:pPr>
      <w:r>
        <w:rPr>
          <w:rStyle w:val="30"/>
          <w:rFonts w:ascii="宋体" w:hAnsi="宋体"/>
          <w:b/>
          <w:color w:val="auto"/>
          <w:sz w:val="84"/>
          <w:szCs w:val="84"/>
          <w:highlight w:val="none"/>
        </w:rPr>
        <w:t>竞争性磋商文件</w:t>
      </w:r>
    </w:p>
    <w:p>
      <w:pPr>
        <w:widowControl w:val="0"/>
        <w:spacing w:line="360" w:lineRule="auto"/>
        <w:jc w:val="center"/>
        <w:textAlignment w:val="auto"/>
        <w:rPr>
          <w:rFonts w:cs="Times New Roman" w:asciiTheme="minorEastAsia" w:hAnsiTheme="minorEastAsia" w:eastAsiaTheme="minorEastAsia"/>
          <w:color w:val="auto"/>
          <w:sz w:val="32"/>
          <w:szCs w:val="32"/>
          <w:highlight w:val="none"/>
        </w:rPr>
      </w:pPr>
    </w:p>
    <w:p>
      <w:pPr>
        <w:widowControl w:val="0"/>
        <w:spacing w:line="360" w:lineRule="auto"/>
        <w:jc w:val="center"/>
        <w:textAlignment w:val="auto"/>
        <w:rPr>
          <w:rFonts w:cs="Times New Roman" w:asciiTheme="minorEastAsia" w:hAnsiTheme="minorEastAsia" w:eastAsiaTheme="minorEastAsia"/>
          <w:color w:val="auto"/>
          <w:sz w:val="32"/>
          <w:szCs w:val="32"/>
          <w:highlight w:val="none"/>
        </w:rPr>
      </w:pPr>
    </w:p>
    <w:tbl>
      <w:tblPr>
        <w:tblStyle w:val="19"/>
        <w:tblW w:w="0" w:type="auto"/>
        <w:jc w:val="center"/>
        <w:tblLayout w:type="fixed"/>
        <w:tblCellMar>
          <w:top w:w="0" w:type="dxa"/>
          <w:left w:w="108" w:type="dxa"/>
          <w:bottom w:w="0" w:type="dxa"/>
          <w:right w:w="108" w:type="dxa"/>
        </w:tblCellMar>
      </w:tblPr>
      <w:tblGrid>
        <w:gridCol w:w="1856"/>
        <w:gridCol w:w="5580"/>
      </w:tblGrid>
      <w:tr>
        <w:tblPrEx>
          <w:tblCellMar>
            <w:top w:w="0" w:type="dxa"/>
            <w:left w:w="108" w:type="dxa"/>
            <w:bottom w:w="0" w:type="dxa"/>
            <w:right w:w="108" w:type="dxa"/>
          </w:tblCellMar>
        </w:tblPrEx>
        <w:trPr>
          <w:trHeight w:val="703" w:hRule="atLeast"/>
          <w:jc w:val="center"/>
        </w:trPr>
        <w:tc>
          <w:tcPr>
            <w:tcW w:w="1856" w:type="dxa"/>
            <w:tcBorders>
              <w:top w:val="nil"/>
              <w:left w:val="nil"/>
              <w:bottom w:val="nil"/>
              <w:right w:val="nil"/>
            </w:tcBorders>
            <w:vAlign w:val="center"/>
          </w:tcPr>
          <w:p>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项目名称：</w:t>
            </w:r>
          </w:p>
        </w:tc>
        <w:tc>
          <w:tcPr>
            <w:tcW w:w="5580" w:type="dxa"/>
            <w:tcBorders>
              <w:top w:val="nil"/>
              <w:left w:val="nil"/>
              <w:bottom w:val="nil"/>
              <w:right w:val="nil"/>
            </w:tcBorders>
            <w:vAlign w:val="center"/>
          </w:tcPr>
          <w:p>
            <w:pPr>
              <w:jc w:val="left"/>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西安市公安局交通警察支队</w:t>
            </w:r>
            <w:r>
              <w:rPr>
                <w:rFonts w:hint="eastAsia" w:ascii="宋体" w:hAnsi="宋体" w:cs="宋体"/>
                <w:b/>
                <w:color w:val="auto"/>
                <w:kern w:val="0"/>
                <w:sz w:val="32"/>
                <w:szCs w:val="32"/>
                <w:highlight w:val="none"/>
                <w:lang w:eastAsia="zh-CN"/>
              </w:rPr>
              <w:t>科技处绿色出行评价服务项目（2022-2023）</w:t>
            </w:r>
          </w:p>
        </w:tc>
      </w:tr>
      <w:tr>
        <w:tblPrEx>
          <w:tblCellMar>
            <w:top w:w="0" w:type="dxa"/>
            <w:left w:w="108" w:type="dxa"/>
            <w:bottom w:w="0" w:type="dxa"/>
            <w:right w:w="108" w:type="dxa"/>
          </w:tblCellMar>
        </w:tblPrEx>
        <w:trPr>
          <w:trHeight w:val="703" w:hRule="atLeast"/>
          <w:jc w:val="center"/>
        </w:trPr>
        <w:tc>
          <w:tcPr>
            <w:tcW w:w="1856" w:type="dxa"/>
            <w:tcBorders>
              <w:top w:val="nil"/>
              <w:left w:val="nil"/>
              <w:bottom w:val="nil"/>
              <w:right w:val="nil"/>
            </w:tcBorders>
            <w:vAlign w:val="center"/>
          </w:tcPr>
          <w:p>
            <w:pPr>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项目编号：</w:t>
            </w:r>
          </w:p>
        </w:tc>
        <w:tc>
          <w:tcPr>
            <w:tcW w:w="5580" w:type="dxa"/>
            <w:tcBorders>
              <w:top w:val="nil"/>
              <w:left w:val="nil"/>
              <w:bottom w:val="nil"/>
              <w:right w:val="nil"/>
            </w:tcBorders>
            <w:vAlign w:val="center"/>
          </w:tcPr>
          <w:p>
            <w:pPr>
              <w:jc w:val="left"/>
              <w:rPr>
                <w:rFonts w:hint="default" w:ascii="宋体" w:hAnsi="宋体" w:eastAsia="宋体" w:cs="宋体"/>
                <w:color w:val="auto"/>
                <w:kern w:val="0"/>
                <w:sz w:val="32"/>
                <w:szCs w:val="32"/>
                <w:highlight w:val="none"/>
                <w:lang w:val="en-US" w:eastAsia="zh-CN"/>
              </w:rPr>
            </w:pPr>
            <w:r>
              <w:rPr>
                <w:rFonts w:hint="eastAsia" w:ascii="宋体" w:hAnsi="宋体" w:cs="宋体"/>
                <w:b/>
                <w:bCs/>
                <w:color w:val="auto"/>
                <w:kern w:val="0"/>
                <w:sz w:val="32"/>
                <w:szCs w:val="32"/>
                <w:highlight w:val="none"/>
              </w:rPr>
              <w:t>0</w:t>
            </w:r>
            <w:r>
              <w:rPr>
                <w:rFonts w:hint="eastAsia" w:ascii="宋体" w:hAnsi="宋体" w:cs="宋体"/>
                <w:b/>
                <w:color w:val="auto"/>
                <w:kern w:val="0"/>
                <w:sz w:val="32"/>
                <w:szCs w:val="32"/>
                <w:highlight w:val="none"/>
              </w:rPr>
              <w:t>617-2</w:t>
            </w:r>
            <w:r>
              <w:rPr>
                <w:rFonts w:hint="eastAsia" w:ascii="宋体" w:hAnsi="宋体" w:cs="宋体"/>
                <w:b/>
                <w:color w:val="auto"/>
                <w:kern w:val="0"/>
                <w:sz w:val="32"/>
                <w:szCs w:val="32"/>
                <w:highlight w:val="none"/>
                <w:lang w:val="en-US" w:eastAsia="zh-CN"/>
              </w:rPr>
              <w:t>2</w:t>
            </w:r>
            <w:r>
              <w:rPr>
                <w:rFonts w:hint="eastAsia" w:ascii="宋体" w:hAnsi="宋体" w:cs="宋体"/>
                <w:b/>
                <w:color w:val="auto"/>
                <w:kern w:val="0"/>
                <w:sz w:val="32"/>
                <w:szCs w:val="32"/>
                <w:highlight w:val="none"/>
              </w:rPr>
              <w:t>23FZ</w:t>
            </w:r>
            <w:r>
              <w:rPr>
                <w:rFonts w:hint="eastAsia" w:ascii="宋体" w:hAnsi="宋体" w:cs="宋体"/>
                <w:b/>
                <w:color w:val="auto"/>
                <w:kern w:val="0"/>
                <w:sz w:val="32"/>
                <w:szCs w:val="32"/>
                <w:highlight w:val="none"/>
                <w:lang w:val="en-US" w:eastAsia="zh-CN"/>
              </w:rPr>
              <w:t>2286</w:t>
            </w:r>
          </w:p>
        </w:tc>
      </w:tr>
      <w:tr>
        <w:tblPrEx>
          <w:tblCellMar>
            <w:top w:w="0" w:type="dxa"/>
            <w:left w:w="108" w:type="dxa"/>
            <w:bottom w:w="0" w:type="dxa"/>
            <w:right w:w="108" w:type="dxa"/>
          </w:tblCellMar>
        </w:tblPrEx>
        <w:trPr>
          <w:trHeight w:val="703" w:hRule="atLeast"/>
          <w:jc w:val="center"/>
        </w:trPr>
        <w:tc>
          <w:tcPr>
            <w:tcW w:w="1856" w:type="dxa"/>
            <w:tcBorders>
              <w:top w:val="nil"/>
              <w:left w:val="nil"/>
              <w:bottom w:val="nil"/>
              <w:right w:val="nil"/>
            </w:tcBorders>
            <w:vAlign w:val="center"/>
          </w:tcPr>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政采编号：</w:t>
            </w:r>
          </w:p>
        </w:tc>
        <w:tc>
          <w:tcPr>
            <w:tcW w:w="5580" w:type="dxa"/>
            <w:tcBorders>
              <w:top w:val="nil"/>
              <w:left w:val="nil"/>
              <w:bottom w:val="nil"/>
              <w:right w:val="nil"/>
            </w:tcBorders>
            <w:vAlign w:val="center"/>
          </w:tcPr>
          <w:p>
            <w:pPr>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rPr>
              <w:t>政采-西安市-2022-</w:t>
            </w:r>
            <w:r>
              <w:rPr>
                <w:rFonts w:hint="eastAsia" w:ascii="宋体" w:hAnsi="宋体" w:cs="宋体"/>
                <w:b/>
                <w:color w:val="auto"/>
                <w:kern w:val="0"/>
                <w:sz w:val="32"/>
                <w:szCs w:val="32"/>
                <w:highlight w:val="none"/>
                <w:lang w:val="en-US" w:eastAsia="zh-CN"/>
              </w:rPr>
              <w:t>06155</w:t>
            </w:r>
          </w:p>
        </w:tc>
      </w:tr>
      <w:tr>
        <w:tblPrEx>
          <w:tblCellMar>
            <w:top w:w="0" w:type="dxa"/>
            <w:left w:w="108" w:type="dxa"/>
            <w:bottom w:w="0" w:type="dxa"/>
            <w:right w:w="108" w:type="dxa"/>
          </w:tblCellMar>
        </w:tblPrEx>
        <w:trPr>
          <w:trHeight w:val="703" w:hRule="atLeast"/>
          <w:jc w:val="center"/>
        </w:trPr>
        <w:tc>
          <w:tcPr>
            <w:tcW w:w="1856" w:type="dxa"/>
            <w:tcBorders>
              <w:top w:val="nil"/>
              <w:left w:val="nil"/>
              <w:bottom w:val="nil"/>
              <w:right w:val="nil"/>
            </w:tcBorders>
            <w:vAlign w:val="center"/>
          </w:tcPr>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采购内容：</w:t>
            </w:r>
          </w:p>
        </w:tc>
        <w:tc>
          <w:tcPr>
            <w:tcW w:w="5580" w:type="dxa"/>
            <w:tcBorders>
              <w:top w:val="nil"/>
              <w:left w:val="nil"/>
              <w:bottom w:val="nil"/>
              <w:right w:val="nil"/>
            </w:tcBorders>
            <w:vAlign w:val="center"/>
          </w:tcPr>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绿色出行评价服务（2022-2023）</w:t>
            </w:r>
          </w:p>
        </w:tc>
      </w:tr>
    </w:tbl>
    <w:p>
      <w:pPr>
        <w:widowControl w:val="0"/>
        <w:spacing w:line="360" w:lineRule="auto"/>
        <w:textAlignment w:val="auto"/>
        <w:rPr>
          <w:rFonts w:cs="Times New Roman" w:asciiTheme="minorEastAsia" w:hAnsiTheme="minorEastAsia" w:eastAsiaTheme="minorEastAsia"/>
          <w:color w:val="auto"/>
          <w:sz w:val="32"/>
          <w:szCs w:val="32"/>
          <w:highlight w:val="none"/>
        </w:rPr>
      </w:pPr>
    </w:p>
    <w:p>
      <w:pPr>
        <w:pStyle w:val="2"/>
        <w:rPr>
          <w:color w:val="auto"/>
          <w:highlight w:val="none"/>
        </w:rPr>
      </w:pPr>
    </w:p>
    <w:p>
      <w:pPr>
        <w:jc w:val="center"/>
        <w:rPr>
          <w:rStyle w:val="30"/>
          <w:rFonts w:ascii="宋体" w:hAnsi="宋体" w:cs="宋体"/>
          <w:b/>
          <w:bCs/>
          <w:color w:val="auto"/>
          <w:sz w:val="30"/>
          <w:szCs w:val="30"/>
          <w:highlight w:val="none"/>
        </w:rPr>
      </w:pPr>
      <w:r>
        <w:rPr>
          <w:rStyle w:val="30"/>
          <w:rFonts w:ascii="宋体" w:hAnsi="宋体" w:cs="宋体"/>
          <w:b/>
          <w:bCs/>
          <w:color w:val="auto"/>
          <w:sz w:val="30"/>
          <w:szCs w:val="30"/>
          <w:highlight w:val="none"/>
        </w:rPr>
        <w:t>西北（陕西）国际招标有限公司</w:t>
      </w:r>
    </w:p>
    <w:p>
      <w:pPr>
        <w:jc w:val="center"/>
        <w:rPr>
          <w:rStyle w:val="30"/>
          <w:rFonts w:ascii="宋体" w:hAnsi="宋体" w:cs="宋体"/>
          <w:b/>
          <w:bCs/>
          <w:color w:val="auto"/>
          <w:sz w:val="30"/>
          <w:szCs w:val="30"/>
          <w:highlight w:val="none"/>
        </w:rPr>
        <w:sectPr>
          <w:headerReference r:id="rId4" w:type="first"/>
          <w:headerReference r:id="rId3" w:type="default"/>
          <w:footerReference r:id="rId5" w:type="default"/>
          <w:footerReference r:id="rId6" w:type="even"/>
          <w:pgSz w:w="11906" w:h="16838"/>
          <w:pgMar w:top="1418" w:right="1418" w:bottom="1418" w:left="1588" w:header="851" w:footer="992" w:gutter="0"/>
          <w:pgBorders>
            <w:top w:val="none" w:sz="0" w:space="0"/>
            <w:left w:val="none" w:sz="0" w:space="0"/>
            <w:bottom w:val="none" w:sz="0" w:space="0"/>
            <w:right w:val="none" w:sz="0" w:space="0"/>
          </w:pgBorders>
          <w:cols w:space="720" w:num="1"/>
          <w:titlePg/>
          <w:docGrid w:type="lines" w:linePitch="312" w:charSpace="0"/>
        </w:sectPr>
      </w:pPr>
      <w:r>
        <w:rPr>
          <w:rStyle w:val="30"/>
          <w:rFonts w:ascii="宋体" w:hAnsi="宋体" w:cs="宋体"/>
          <w:b/>
          <w:bCs/>
          <w:color w:val="auto"/>
          <w:sz w:val="30"/>
          <w:szCs w:val="30"/>
          <w:highlight w:val="none"/>
        </w:rPr>
        <w:t>二〇二二年</w:t>
      </w:r>
      <w:r>
        <w:rPr>
          <w:rStyle w:val="30"/>
          <w:rFonts w:hint="eastAsia" w:ascii="宋体" w:hAnsi="宋体" w:cs="宋体"/>
          <w:b/>
          <w:bCs/>
          <w:color w:val="auto"/>
          <w:sz w:val="30"/>
          <w:szCs w:val="30"/>
          <w:highlight w:val="none"/>
        </w:rPr>
        <w:t>九</w:t>
      </w:r>
      <w:r>
        <w:rPr>
          <w:rStyle w:val="30"/>
          <w:rFonts w:ascii="宋体" w:hAnsi="宋体" w:cs="宋体"/>
          <w:b/>
          <w:bCs/>
          <w:color w:val="auto"/>
          <w:sz w:val="30"/>
          <w:szCs w:val="30"/>
          <w:highlight w:val="none"/>
        </w:rPr>
        <w:t>月</w:t>
      </w:r>
    </w:p>
    <w:p>
      <w:pPr>
        <w:widowControl w:val="0"/>
        <w:spacing w:line="480" w:lineRule="auto"/>
        <w:jc w:val="center"/>
        <w:textAlignment w:val="auto"/>
        <w:rPr>
          <w:rFonts w:cs="Times New Roman" w:asciiTheme="minorEastAsia" w:hAnsiTheme="minorEastAsia" w:eastAsiaTheme="minorEastAsia"/>
          <w:b/>
          <w:bCs/>
          <w:color w:val="auto"/>
          <w:sz w:val="30"/>
          <w:szCs w:val="30"/>
          <w:highlight w:val="none"/>
        </w:rPr>
      </w:pPr>
    </w:p>
    <w:p>
      <w:pPr>
        <w:widowControl w:val="0"/>
        <w:spacing w:line="480" w:lineRule="auto"/>
        <w:jc w:val="center"/>
        <w:textAlignment w:val="auto"/>
        <w:rPr>
          <w:rFonts w:cs="Times New Roman" w:asciiTheme="minorEastAsia" w:hAnsiTheme="minorEastAsia" w:eastAsiaTheme="minorEastAsia"/>
          <w:b/>
          <w:bCs/>
          <w:color w:val="auto"/>
          <w:sz w:val="44"/>
          <w:szCs w:val="44"/>
          <w:highlight w:val="none"/>
        </w:rPr>
      </w:pPr>
      <w:r>
        <w:rPr>
          <w:rFonts w:cs="Times New Roman" w:asciiTheme="minorEastAsia" w:hAnsiTheme="minorEastAsia" w:eastAsiaTheme="minorEastAsia"/>
          <w:b/>
          <w:bCs/>
          <w:color w:val="auto"/>
          <w:sz w:val="44"/>
          <w:szCs w:val="44"/>
          <w:highlight w:val="none"/>
        </w:rPr>
        <w:t>目  录</w:t>
      </w:r>
    </w:p>
    <w:p>
      <w:pPr>
        <w:pStyle w:val="6"/>
        <w:rPr>
          <w:color w:val="auto"/>
          <w:highlight w:val="none"/>
        </w:rPr>
      </w:pPr>
    </w:p>
    <w:p>
      <w:pPr>
        <w:pStyle w:val="16"/>
        <w:tabs>
          <w:tab w:val="right" w:leader="dot" w:pos="8900"/>
        </w:tabs>
        <w:spacing w:line="360" w:lineRule="auto"/>
        <w:rPr>
          <w:rFonts w:hint="eastAsia" w:ascii="宋体" w:hAnsi="宋体" w:eastAsia="宋体" w:cs="宋体"/>
          <w:b/>
          <w:bCs/>
          <w:color w:val="auto"/>
          <w:sz w:val="24"/>
          <w:szCs w:val="24"/>
          <w:highlight w:val="none"/>
          <w:lang w:val="en-US" w:eastAsia="zh-CN"/>
        </w:rPr>
      </w:pPr>
      <w:r>
        <w:rPr>
          <w:rStyle w:val="30"/>
          <w:rFonts w:hint="eastAsia" w:ascii="宋体" w:hAnsi="宋体" w:eastAsia="宋体" w:cs="宋体"/>
          <w:color w:val="auto"/>
          <w:highlight w:val="none"/>
        </w:rPr>
        <w:fldChar w:fldCharType="begin"/>
      </w:r>
      <w:r>
        <w:rPr>
          <w:rStyle w:val="30"/>
          <w:rFonts w:hint="eastAsia" w:ascii="宋体" w:hAnsi="宋体" w:eastAsia="宋体" w:cs="宋体"/>
          <w:b/>
          <w:bCs/>
          <w:color w:val="auto"/>
          <w:highlight w:val="none"/>
        </w:rPr>
        <w:instrText xml:space="preserve">TOC \o "1-2" \h \u </w:instrText>
      </w:r>
      <w:r>
        <w:rPr>
          <w:rStyle w:val="30"/>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"_Toc32306" </w:instrText>
      </w:r>
      <w:r>
        <w:rPr>
          <w:rFonts w:hint="eastAsia" w:ascii="宋体" w:hAnsi="宋体" w:eastAsia="宋体" w:cs="宋体"/>
          <w:color w:val="auto"/>
          <w:highlight w:val="none"/>
        </w:rPr>
        <w:fldChar w:fldCharType="separate"/>
      </w:r>
      <w:r>
        <w:rPr>
          <w:rFonts w:hint="eastAsia" w:ascii="宋体" w:hAnsi="宋体" w:eastAsia="宋体" w:cs="宋体"/>
          <w:b/>
          <w:bCs/>
          <w:color w:val="auto"/>
          <w:kern w:val="0"/>
          <w:sz w:val="24"/>
          <w:szCs w:val="24"/>
          <w:highlight w:val="none"/>
        </w:rPr>
        <w:t>第一章 磋商邀请书</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1</w:t>
      </w:r>
    </w:p>
    <w:p>
      <w:pPr>
        <w:pStyle w:val="16"/>
        <w:tabs>
          <w:tab w:val="right" w:leader="dot" w:pos="890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"_Toc7182" </w:instrText>
      </w:r>
      <w:r>
        <w:rPr>
          <w:rFonts w:hint="eastAsia" w:ascii="宋体" w:hAnsi="宋体" w:eastAsia="宋体" w:cs="宋体"/>
          <w:color w:val="auto"/>
          <w:highlight w:val="none"/>
        </w:rPr>
        <w:fldChar w:fldCharType="separate"/>
      </w:r>
      <w:r>
        <w:rPr>
          <w:rFonts w:hint="eastAsia" w:ascii="宋体" w:hAnsi="宋体" w:eastAsia="宋体" w:cs="宋体"/>
          <w:b/>
          <w:bCs/>
          <w:color w:val="auto"/>
          <w:kern w:val="0"/>
          <w:sz w:val="24"/>
          <w:szCs w:val="24"/>
          <w:highlight w:val="none"/>
        </w:rPr>
        <w:t>第二章 磋商须知及前附表</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_Toc7182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7"/>
        <w:tabs>
          <w:tab w:val="right" w:leader="dot" w:pos="890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"_Toc10845"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磋商须知前附表</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_Toc10845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7"/>
        <w:tabs>
          <w:tab w:val="right" w:leader="dot" w:pos="890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"_Toc1706"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一、总则</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_Toc1706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7"/>
        <w:tabs>
          <w:tab w:val="right" w:leader="dot" w:pos="890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"_Toc11313"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二、磋商文件</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_Toc11313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17</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7"/>
        <w:tabs>
          <w:tab w:val="right" w:leader="dot" w:pos="890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"_Toc24566"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三、磋商响应文件的编制</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_Toc24566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18</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7"/>
        <w:tabs>
          <w:tab w:val="right" w:leader="dot" w:pos="890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"_Toc27012"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四、磋商响应文件的递交</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_Toc27012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20</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7"/>
        <w:tabs>
          <w:tab w:val="right" w:leader="dot" w:pos="890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"_Toc26741"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五、磋商与评审</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_Toc26741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21</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7"/>
        <w:tabs>
          <w:tab w:val="right" w:leader="dot" w:pos="890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"_Toc14917"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六、确定成交人、成交通知与签约</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_Toc14917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6"/>
        <w:tabs>
          <w:tab w:val="right" w:leader="dot" w:pos="890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"_Toc13468"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第三章 合同条款及要求</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_Toc13468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6"/>
        <w:tabs>
          <w:tab w:val="right" w:leader="dot" w:pos="890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"_Toc9012"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第四章 磋商内容及服务要求</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_Toc9012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6"/>
        <w:tabs>
          <w:tab w:val="right" w:leader="dot" w:pos="890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"_Toc30662"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第五章 评审方法</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_Toc30662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6"/>
        <w:tabs>
          <w:tab w:val="right" w:leader="dot" w:pos="890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"_Toc17147"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第六章 磋商响应文件格式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_Toc17147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7"/>
        <w:tabs>
          <w:tab w:val="right" w:leader="dot" w:pos="8890"/>
        </w:tabs>
        <w:spacing w:line="360" w:lineRule="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fldChar w:fldCharType="end"/>
      </w:r>
    </w:p>
    <w:p>
      <w:pPr>
        <w:pStyle w:val="74"/>
        <w:tabs>
          <w:tab w:val="right" w:leader="dot" w:pos="8600"/>
        </w:tabs>
        <w:spacing w:line="400" w:lineRule="exact"/>
        <w:ind w:left="420"/>
        <w:rPr>
          <w:rFonts w:ascii="宋体" w:hAnsi="宋体"/>
          <w:color w:val="auto"/>
          <w:highlight w:val="none"/>
        </w:rPr>
      </w:pPr>
    </w:p>
    <w:p>
      <w:pPr>
        <w:pStyle w:val="74"/>
        <w:tabs>
          <w:tab w:val="right" w:leader="dot" w:pos="8600"/>
        </w:tabs>
        <w:spacing w:line="400" w:lineRule="exact"/>
        <w:ind w:left="420"/>
        <w:rPr>
          <w:rFonts w:ascii="宋体" w:hAnsi="宋体"/>
          <w:color w:val="auto"/>
          <w:highlight w:val="none"/>
        </w:rPr>
        <w:sectPr>
          <w:footerReference r:id="rId7" w:type="default"/>
          <w:footerReference r:id="rId8" w:type="even"/>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7" w:charSpace="0"/>
        </w:sectPr>
      </w:pPr>
    </w:p>
    <w:p>
      <w:pPr>
        <w:pStyle w:val="4"/>
        <w:textAlignment w:val="auto"/>
        <w:rPr>
          <w:rFonts w:ascii="宋体" w:hAnsi="宋体" w:cs="宋体"/>
          <w:bCs/>
          <w:color w:val="auto"/>
          <w:kern w:val="0"/>
          <w:sz w:val="32"/>
          <w:szCs w:val="32"/>
          <w:highlight w:val="none"/>
        </w:rPr>
      </w:pPr>
      <w:bookmarkStart w:id="0" w:name="_Toc727"/>
      <w:bookmarkStart w:id="1" w:name="_Toc3545"/>
      <w:bookmarkStart w:id="2" w:name="_Toc32306"/>
      <w:r>
        <w:rPr>
          <w:rFonts w:hint="eastAsia" w:ascii="宋体" w:hAnsi="宋体" w:cs="宋体"/>
          <w:bCs/>
          <w:color w:val="auto"/>
          <w:kern w:val="0"/>
          <w:sz w:val="32"/>
          <w:szCs w:val="32"/>
          <w:highlight w:val="none"/>
        </w:rPr>
        <w:t>第一章 磋商邀请书</w:t>
      </w:r>
      <w:bookmarkEnd w:id="0"/>
      <w:bookmarkEnd w:id="1"/>
      <w:bookmarkEnd w:id="2"/>
    </w:p>
    <w:tbl>
      <w:tblPr>
        <w:tblStyle w:val="19"/>
        <w:tblW w:w="0" w:type="auto"/>
        <w:tblInd w:w="9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29" w:type="dxa"/>
          </w:tcPr>
          <w:p>
            <w:pPr>
              <w:pStyle w:val="7"/>
              <w:spacing w:line="360" w:lineRule="auto"/>
              <w:rPr>
                <w:rFonts w:ascii="宋体" w:hAnsi="宋体" w:eastAsia="宋体" w:cs="宋体"/>
                <w:b w:val="0"/>
                <w:color w:val="auto"/>
                <w:kern w:val="0"/>
                <w:sz w:val="21"/>
                <w:szCs w:val="21"/>
                <w:highlight w:val="none"/>
              </w:rPr>
            </w:pPr>
            <w:r>
              <w:rPr>
                <w:rStyle w:val="22"/>
                <w:rFonts w:hint="eastAsia" w:ascii="宋体" w:hAnsi="宋体" w:eastAsia="宋体" w:cs="宋体"/>
                <w:b/>
                <w:color w:val="auto"/>
                <w:szCs w:val="21"/>
                <w:highlight w:val="none"/>
              </w:rPr>
              <w:t>项目概况</w:t>
            </w:r>
          </w:p>
          <w:p>
            <w:pPr>
              <w:pStyle w:val="18"/>
              <w:spacing w:before="0" w:beforeAutospacing="0" w:after="0" w:afterAutospacing="0" w:line="360" w:lineRule="auto"/>
              <w:ind w:firstLine="420" w:firstLineChars="200"/>
              <w:jc w:val="both"/>
              <w:textAlignment w:val="auto"/>
              <w:rPr>
                <w:rFonts w:cs="宋体"/>
                <w:color w:val="auto"/>
                <w:sz w:val="21"/>
                <w:szCs w:val="21"/>
                <w:highlight w:val="none"/>
              </w:rPr>
            </w:pPr>
            <w:r>
              <w:rPr>
                <w:rFonts w:hint="eastAsia" w:cs="宋体"/>
                <w:color w:val="auto"/>
                <w:sz w:val="21"/>
                <w:szCs w:val="21"/>
                <w:highlight w:val="none"/>
                <w:lang w:eastAsia="zh-CN"/>
              </w:rPr>
              <w:t>科技处绿色出行评价服务项目（2022-2023）</w:t>
            </w:r>
            <w:r>
              <w:rPr>
                <w:rFonts w:hint="eastAsia" w:cs="宋体"/>
                <w:color w:val="auto"/>
                <w:sz w:val="21"/>
                <w:szCs w:val="21"/>
                <w:highlight w:val="none"/>
              </w:rPr>
              <w:t>的潜在供应商应在西安市南二环西段58号成长大厦10层标书发售处获取采购文件，并于2022年</w:t>
            </w:r>
            <w:r>
              <w:rPr>
                <w:rFonts w:hint="eastAsia" w:cs="宋体"/>
                <w:color w:val="auto"/>
                <w:sz w:val="21"/>
                <w:szCs w:val="21"/>
                <w:highlight w:val="none"/>
                <w:lang w:val="en-US" w:eastAsia="zh-CN"/>
              </w:rPr>
              <w:t>10</w:t>
            </w:r>
            <w:r>
              <w:rPr>
                <w:rFonts w:hint="eastAsia" w:cs="宋体"/>
                <w:color w:val="auto"/>
                <w:sz w:val="21"/>
                <w:szCs w:val="21"/>
                <w:highlight w:val="none"/>
              </w:rPr>
              <w:t>月</w:t>
            </w:r>
            <w:r>
              <w:rPr>
                <w:rFonts w:hint="eastAsia" w:cs="宋体"/>
                <w:color w:val="auto"/>
                <w:sz w:val="21"/>
                <w:szCs w:val="21"/>
                <w:highlight w:val="none"/>
                <w:lang w:val="en-US" w:eastAsia="zh-CN"/>
              </w:rPr>
              <w:t>18</w:t>
            </w:r>
            <w:r>
              <w:rPr>
                <w:rFonts w:hint="eastAsia" w:cs="宋体"/>
                <w:color w:val="auto"/>
                <w:sz w:val="21"/>
                <w:szCs w:val="21"/>
                <w:highlight w:val="none"/>
              </w:rPr>
              <w:t>日</w:t>
            </w:r>
            <w:r>
              <w:rPr>
                <w:rFonts w:hint="eastAsia" w:cs="宋体"/>
                <w:color w:val="auto"/>
                <w:sz w:val="21"/>
                <w:szCs w:val="21"/>
                <w:highlight w:val="none"/>
                <w:lang w:val="en-US" w:eastAsia="zh-CN"/>
              </w:rPr>
              <w:t>14</w:t>
            </w:r>
            <w:r>
              <w:rPr>
                <w:rFonts w:hint="eastAsia" w:cs="宋体"/>
                <w:color w:val="auto"/>
                <w:sz w:val="21"/>
                <w:szCs w:val="21"/>
                <w:highlight w:val="none"/>
              </w:rPr>
              <w:t>时30分（北京时间）前提交响应文件。</w:t>
            </w:r>
          </w:p>
        </w:tc>
      </w:tr>
    </w:tbl>
    <w:p>
      <w:pPr>
        <w:pStyle w:val="6"/>
        <w:spacing w:before="0" w:after="0" w:line="360" w:lineRule="auto"/>
        <w:rPr>
          <w:rFonts w:ascii="宋体" w:hAnsi="宋体" w:cs="宋体"/>
          <w:b w:val="0"/>
          <w:color w:val="auto"/>
          <w:sz w:val="21"/>
          <w:szCs w:val="21"/>
          <w:highlight w:val="none"/>
        </w:rPr>
      </w:pPr>
      <w:bookmarkStart w:id="3" w:name="_Hlk85093752"/>
      <w:r>
        <w:rPr>
          <w:rStyle w:val="22"/>
          <w:rFonts w:hint="eastAsia" w:ascii="宋体" w:hAnsi="宋体" w:cs="宋体"/>
          <w:b/>
          <w:bCs/>
          <w:color w:val="auto"/>
          <w:szCs w:val="21"/>
          <w:highlight w:val="none"/>
        </w:rPr>
        <w:t>一、项目基本情况</w:t>
      </w:r>
    </w:p>
    <w:p>
      <w:pPr>
        <w:pStyle w:val="18"/>
        <w:spacing w:before="0" w:beforeAutospacing="0" w:after="0" w:afterAutospacing="0" w:line="360" w:lineRule="auto"/>
        <w:ind w:firstLine="420" w:firstLineChars="200"/>
        <w:jc w:val="both"/>
        <w:textAlignment w:val="auto"/>
        <w:rPr>
          <w:rFonts w:hint="default" w:eastAsia="宋体" w:cs="宋体"/>
          <w:color w:val="auto"/>
          <w:sz w:val="21"/>
          <w:szCs w:val="21"/>
          <w:highlight w:val="none"/>
          <w:lang w:val="en-US" w:eastAsia="zh-CN"/>
        </w:rPr>
      </w:pPr>
      <w:r>
        <w:rPr>
          <w:rFonts w:hint="eastAsia" w:cs="宋体"/>
          <w:color w:val="auto"/>
          <w:sz w:val="21"/>
          <w:szCs w:val="21"/>
          <w:highlight w:val="none"/>
        </w:rPr>
        <w:t>项目编号：0617-2223FZ</w:t>
      </w:r>
      <w:r>
        <w:rPr>
          <w:rFonts w:hint="eastAsia" w:cs="宋体"/>
          <w:color w:val="auto"/>
          <w:sz w:val="21"/>
          <w:szCs w:val="21"/>
          <w:highlight w:val="none"/>
          <w:lang w:val="en-US" w:eastAsia="zh-CN"/>
        </w:rPr>
        <w:t>2286</w:t>
      </w:r>
    </w:p>
    <w:p>
      <w:pPr>
        <w:pStyle w:val="18"/>
        <w:spacing w:before="0" w:beforeAutospacing="0" w:after="0" w:afterAutospacing="0" w:line="360" w:lineRule="auto"/>
        <w:ind w:firstLine="420" w:firstLineChars="200"/>
        <w:jc w:val="both"/>
        <w:textAlignment w:val="auto"/>
        <w:rPr>
          <w:rFonts w:hint="eastAsia" w:eastAsia="宋体" w:cs="宋体"/>
          <w:color w:val="auto"/>
          <w:sz w:val="21"/>
          <w:szCs w:val="21"/>
          <w:highlight w:val="none"/>
          <w:lang w:eastAsia="zh-CN"/>
        </w:rPr>
      </w:pPr>
      <w:r>
        <w:rPr>
          <w:rFonts w:hint="eastAsia" w:cs="宋体"/>
          <w:color w:val="auto"/>
          <w:sz w:val="21"/>
          <w:szCs w:val="21"/>
          <w:highlight w:val="none"/>
        </w:rPr>
        <w:t>项目名称：</w:t>
      </w:r>
      <w:r>
        <w:rPr>
          <w:rFonts w:hint="eastAsia" w:cs="宋体"/>
          <w:color w:val="auto"/>
          <w:sz w:val="21"/>
          <w:szCs w:val="21"/>
          <w:highlight w:val="none"/>
          <w:lang w:eastAsia="zh-CN"/>
        </w:rPr>
        <w:t>科技处绿色出行评价服务项目（2022-2023）</w:t>
      </w:r>
    </w:p>
    <w:p>
      <w:pPr>
        <w:pStyle w:val="18"/>
        <w:spacing w:before="0" w:beforeAutospacing="0" w:after="0" w:afterAutospacing="0" w:line="360" w:lineRule="auto"/>
        <w:ind w:firstLine="420" w:firstLineChars="200"/>
        <w:jc w:val="both"/>
        <w:textAlignment w:val="auto"/>
        <w:rPr>
          <w:rFonts w:hint="eastAsia" w:cs="宋体"/>
          <w:color w:val="auto"/>
          <w:sz w:val="21"/>
          <w:szCs w:val="21"/>
          <w:highlight w:val="none"/>
        </w:rPr>
      </w:pPr>
      <w:r>
        <w:rPr>
          <w:rFonts w:hint="eastAsia" w:cs="宋体"/>
          <w:color w:val="auto"/>
          <w:sz w:val="21"/>
          <w:szCs w:val="21"/>
          <w:highlight w:val="none"/>
        </w:rPr>
        <w:t>采购方式：竞争性磋商</w:t>
      </w:r>
    </w:p>
    <w:p>
      <w:pPr>
        <w:pStyle w:val="18"/>
        <w:spacing w:before="0" w:beforeAutospacing="0" w:after="0" w:afterAutospacing="0" w:line="360" w:lineRule="auto"/>
        <w:ind w:firstLine="420" w:firstLineChars="200"/>
        <w:jc w:val="both"/>
        <w:textAlignment w:val="auto"/>
        <w:rPr>
          <w:rFonts w:hint="eastAsia" w:cs="宋体"/>
          <w:color w:val="auto"/>
          <w:sz w:val="21"/>
          <w:szCs w:val="21"/>
          <w:highlight w:val="none"/>
        </w:rPr>
      </w:pPr>
      <w:r>
        <w:rPr>
          <w:rFonts w:hint="eastAsia" w:cs="宋体"/>
          <w:color w:val="auto"/>
          <w:sz w:val="21"/>
          <w:szCs w:val="21"/>
          <w:highlight w:val="none"/>
        </w:rPr>
        <w:t>预算金额：900000.00元</w:t>
      </w:r>
    </w:p>
    <w:p>
      <w:pPr>
        <w:pStyle w:val="18"/>
        <w:spacing w:before="0" w:beforeAutospacing="0" w:after="0" w:afterAutospacing="0" w:line="360" w:lineRule="auto"/>
        <w:ind w:firstLine="420" w:firstLineChars="200"/>
        <w:jc w:val="both"/>
        <w:textAlignment w:val="auto"/>
        <w:rPr>
          <w:rFonts w:cs="宋体"/>
          <w:color w:val="auto"/>
          <w:sz w:val="21"/>
          <w:szCs w:val="21"/>
          <w:highlight w:val="none"/>
        </w:rPr>
      </w:pPr>
      <w:r>
        <w:rPr>
          <w:rFonts w:hint="eastAsia" w:cs="宋体"/>
          <w:color w:val="auto"/>
          <w:sz w:val="21"/>
          <w:szCs w:val="21"/>
          <w:highlight w:val="none"/>
        </w:rPr>
        <w:t>采购需求：</w:t>
      </w:r>
    </w:p>
    <w:p>
      <w:pPr>
        <w:pStyle w:val="18"/>
        <w:spacing w:before="0" w:beforeAutospacing="0" w:after="0" w:afterAutospacing="0" w:line="360" w:lineRule="auto"/>
        <w:ind w:firstLine="420" w:firstLineChars="200"/>
        <w:jc w:val="both"/>
        <w:textAlignment w:val="auto"/>
        <w:rPr>
          <w:rFonts w:cs="宋体"/>
          <w:color w:val="auto"/>
          <w:sz w:val="21"/>
          <w:szCs w:val="21"/>
          <w:highlight w:val="none"/>
        </w:rPr>
      </w:pPr>
      <w:r>
        <w:rPr>
          <w:rFonts w:hint="eastAsia" w:cs="宋体"/>
          <w:color w:val="auto"/>
          <w:sz w:val="21"/>
          <w:szCs w:val="21"/>
          <w:highlight w:val="none"/>
        </w:rPr>
        <w:t>合同包1(</w:t>
      </w:r>
      <w:r>
        <w:rPr>
          <w:rFonts w:hint="eastAsia" w:cs="宋体"/>
          <w:color w:val="auto"/>
          <w:sz w:val="21"/>
          <w:szCs w:val="21"/>
          <w:highlight w:val="none"/>
          <w:lang w:eastAsia="zh-CN"/>
        </w:rPr>
        <w:t>科技处绿色出行评价服务项目（2022-2023）</w:t>
      </w:r>
      <w:r>
        <w:rPr>
          <w:rFonts w:hint="eastAsia" w:cs="宋体"/>
          <w:color w:val="auto"/>
          <w:sz w:val="21"/>
          <w:szCs w:val="21"/>
          <w:highlight w:val="none"/>
        </w:rPr>
        <w:t>):</w:t>
      </w:r>
    </w:p>
    <w:p>
      <w:pPr>
        <w:pStyle w:val="18"/>
        <w:spacing w:before="0" w:beforeAutospacing="0" w:after="0" w:afterAutospacing="0" w:line="360" w:lineRule="auto"/>
        <w:ind w:firstLine="420" w:firstLineChars="200"/>
        <w:jc w:val="both"/>
        <w:textAlignment w:val="auto"/>
        <w:rPr>
          <w:rFonts w:hint="eastAsia" w:cs="宋体"/>
          <w:color w:val="auto"/>
          <w:sz w:val="21"/>
          <w:szCs w:val="21"/>
          <w:highlight w:val="none"/>
        </w:rPr>
      </w:pPr>
      <w:r>
        <w:rPr>
          <w:rFonts w:hint="eastAsia" w:cs="宋体"/>
          <w:color w:val="auto"/>
          <w:sz w:val="21"/>
          <w:szCs w:val="21"/>
          <w:highlight w:val="none"/>
        </w:rPr>
        <w:t>合同包预算金额：900000.00元</w:t>
      </w:r>
    </w:p>
    <w:p>
      <w:pPr>
        <w:pStyle w:val="18"/>
        <w:spacing w:before="0" w:beforeAutospacing="0" w:after="0" w:afterAutospacing="0" w:line="360" w:lineRule="auto"/>
        <w:ind w:firstLine="420" w:firstLineChars="200"/>
        <w:jc w:val="both"/>
        <w:textAlignment w:val="auto"/>
        <w:rPr>
          <w:rFonts w:hint="eastAsia" w:cs="宋体"/>
          <w:color w:val="auto"/>
          <w:sz w:val="21"/>
          <w:szCs w:val="21"/>
          <w:highlight w:val="none"/>
        </w:rPr>
      </w:pPr>
      <w:r>
        <w:rPr>
          <w:rFonts w:hint="eastAsia" w:cs="宋体"/>
          <w:color w:val="auto"/>
          <w:sz w:val="21"/>
          <w:szCs w:val="21"/>
          <w:highlight w:val="none"/>
        </w:rPr>
        <w:t>合同包最高限价：900000.00元</w:t>
      </w:r>
    </w:p>
    <w:tbl>
      <w:tblPr>
        <w:tblStyle w:val="19"/>
        <w:tblW w:w="8415"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931"/>
        <w:gridCol w:w="966"/>
        <w:gridCol w:w="1284"/>
        <w:gridCol w:w="1131"/>
        <w:gridCol w:w="1562"/>
        <w:gridCol w:w="1206"/>
        <w:gridCol w:w="1335"/>
      </w:tblGrid>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80" w:hRule="atLeast"/>
          <w:tblHeader/>
          <w:jc w:val="center"/>
        </w:trPr>
        <w:tc>
          <w:tcPr>
            <w:tcW w:w="931" w:type="dxa"/>
            <w:tcMar>
              <w:top w:w="75" w:type="dxa"/>
              <w:left w:w="120" w:type="dxa"/>
              <w:bottom w:w="75" w:type="dxa"/>
              <w:right w:w="120" w:type="dxa"/>
            </w:tcMar>
            <w:vAlign w:val="center"/>
          </w:tcPr>
          <w:p>
            <w:pPr>
              <w:wordWrap w:val="0"/>
              <w:spacing w:line="3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品目号</w:t>
            </w:r>
          </w:p>
        </w:tc>
        <w:tc>
          <w:tcPr>
            <w:tcW w:w="966" w:type="dxa"/>
            <w:tcMar>
              <w:top w:w="75" w:type="dxa"/>
              <w:left w:w="120" w:type="dxa"/>
              <w:bottom w:w="75" w:type="dxa"/>
              <w:right w:w="120" w:type="dxa"/>
            </w:tcMar>
            <w:vAlign w:val="center"/>
          </w:tcPr>
          <w:p>
            <w:pPr>
              <w:wordWrap w:val="0"/>
              <w:spacing w:line="3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品目</w:t>
            </w:r>
          </w:p>
          <w:p>
            <w:pPr>
              <w:wordWrap w:val="0"/>
              <w:spacing w:line="3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1284" w:type="dxa"/>
            <w:tcMar>
              <w:top w:w="75" w:type="dxa"/>
              <w:left w:w="120" w:type="dxa"/>
              <w:bottom w:w="75" w:type="dxa"/>
              <w:right w:w="120" w:type="dxa"/>
            </w:tcMar>
            <w:vAlign w:val="center"/>
          </w:tcPr>
          <w:p>
            <w:pPr>
              <w:wordWrap w:val="0"/>
              <w:spacing w:line="3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采购标的</w:t>
            </w:r>
          </w:p>
        </w:tc>
        <w:tc>
          <w:tcPr>
            <w:tcW w:w="1131" w:type="dxa"/>
            <w:tcMar>
              <w:top w:w="75" w:type="dxa"/>
              <w:left w:w="120" w:type="dxa"/>
              <w:bottom w:w="75" w:type="dxa"/>
              <w:right w:w="120" w:type="dxa"/>
            </w:tcMar>
            <w:vAlign w:val="center"/>
          </w:tcPr>
          <w:p>
            <w:pPr>
              <w:wordWrap w:val="0"/>
              <w:spacing w:line="3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p>
            <w:pPr>
              <w:wordWrap w:val="0"/>
              <w:spacing w:line="3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1562" w:type="dxa"/>
            <w:tcMar>
              <w:top w:w="75" w:type="dxa"/>
              <w:left w:w="120" w:type="dxa"/>
              <w:bottom w:w="75" w:type="dxa"/>
              <w:right w:w="120" w:type="dxa"/>
            </w:tcMar>
            <w:vAlign w:val="center"/>
          </w:tcPr>
          <w:p>
            <w:pPr>
              <w:wordWrap w:val="0"/>
              <w:spacing w:line="3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技术规格、</w:t>
            </w:r>
          </w:p>
          <w:p>
            <w:pPr>
              <w:wordWrap w:val="0"/>
              <w:spacing w:line="3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参数及要求</w:t>
            </w:r>
          </w:p>
        </w:tc>
        <w:tc>
          <w:tcPr>
            <w:tcW w:w="1206" w:type="dxa"/>
            <w:tcMar>
              <w:top w:w="75" w:type="dxa"/>
              <w:left w:w="120" w:type="dxa"/>
              <w:bottom w:w="75" w:type="dxa"/>
              <w:right w:w="120" w:type="dxa"/>
            </w:tcMar>
            <w:vAlign w:val="center"/>
          </w:tcPr>
          <w:p>
            <w:pPr>
              <w:wordWrap w:val="0"/>
              <w:spacing w:line="3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品目预算(元)</w:t>
            </w:r>
          </w:p>
        </w:tc>
        <w:tc>
          <w:tcPr>
            <w:tcW w:w="1335" w:type="dxa"/>
            <w:tcMar>
              <w:top w:w="75" w:type="dxa"/>
              <w:left w:w="120" w:type="dxa"/>
              <w:bottom w:w="75" w:type="dxa"/>
              <w:right w:w="120" w:type="dxa"/>
            </w:tcMar>
            <w:vAlign w:val="center"/>
          </w:tcPr>
          <w:p>
            <w:pPr>
              <w:wordWrap w:val="0"/>
              <w:spacing w:line="3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最高限价</w:t>
            </w:r>
          </w:p>
          <w:p>
            <w:pPr>
              <w:wordWrap w:val="0"/>
              <w:spacing w:line="3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(元)</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1451" w:hRule="atLeast"/>
          <w:jc w:val="center"/>
        </w:trPr>
        <w:tc>
          <w:tcPr>
            <w:tcW w:w="931" w:type="dxa"/>
            <w:tcMar>
              <w:top w:w="75" w:type="dxa"/>
              <w:left w:w="120" w:type="dxa"/>
              <w:bottom w:w="75" w:type="dxa"/>
              <w:right w:w="120" w:type="dxa"/>
            </w:tcMar>
            <w:vAlign w:val="center"/>
          </w:tcPr>
          <w:p>
            <w:pPr>
              <w:wordWrap w:val="0"/>
              <w:spacing w:line="36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966" w:type="dxa"/>
            <w:tcMar>
              <w:top w:w="75" w:type="dxa"/>
              <w:left w:w="120" w:type="dxa"/>
              <w:bottom w:w="75" w:type="dxa"/>
              <w:right w:w="120" w:type="dxa"/>
            </w:tcMar>
            <w:vAlign w:val="center"/>
          </w:tcPr>
          <w:p>
            <w:pPr>
              <w:wordWrap w:val="0"/>
              <w:spacing w:line="36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社会与管理咨询服务</w:t>
            </w:r>
          </w:p>
        </w:tc>
        <w:tc>
          <w:tcPr>
            <w:tcW w:w="1284" w:type="dxa"/>
            <w:tcMar>
              <w:top w:w="75" w:type="dxa"/>
              <w:left w:w="120" w:type="dxa"/>
              <w:bottom w:w="75" w:type="dxa"/>
              <w:right w:w="120" w:type="dxa"/>
            </w:tcMar>
            <w:vAlign w:val="center"/>
          </w:tcPr>
          <w:p>
            <w:pPr>
              <w:wordWrap w:val="0"/>
              <w:spacing w:line="360" w:lineRule="atLeas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科技处绿色出行评价服务</w:t>
            </w:r>
          </w:p>
        </w:tc>
        <w:tc>
          <w:tcPr>
            <w:tcW w:w="1131" w:type="dxa"/>
            <w:tcMar>
              <w:top w:w="75" w:type="dxa"/>
              <w:left w:w="120" w:type="dxa"/>
              <w:bottom w:w="75" w:type="dxa"/>
              <w:right w:w="120" w:type="dxa"/>
            </w:tcMar>
            <w:vAlign w:val="center"/>
          </w:tcPr>
          <w:p>
            <w:pPr>
              <w:wordWrap w:val="0"/>
              <w:spacing w:line="3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批</w:t>
            </w:r>
            <w:r>
              <w:rPr>
                <w:rFonts w:hint="eastAsia" w:ascii="宋体" w:hAnsi="宋体" w:cs="宋体"/>
                <w:color w:val="auto"/>
                <w:kern w:val="0"/>
                <w:szCs w:val="21"/>
                <w:highlight w:val="none"/>
              </w:rPr>
              <w:t>)</w:t>
            </w:r>
          </w:p>
        </w:tc>
        <w:tc>
          <w:tcPr>
            <w:tcW w:w="1562" w:type="dxa"/>
            <w:tcMar>
              <w:top w:w="75" w:type="dxa"/>
              <w:left w:w="120" w:type="dxa"/>
              <w:bottom w:w="75" w:type="dxa"/>
              <w:right w:w="120" w:type="dxa"/>
            </w:tcMar>
            <w:vAlign w:val="center"/>
          </w:tcPr>
          <w:p>
            <w:pPr>
              <w:wordWrap w:val="0"/>
              <w:spacing w:line="3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详见采购文件</w:t>
            </w:r>
          </w:p>
        </w:tc>
        <w:tc>
          <w:tcPr>
            <w:tcW w:w="1206" w:type="dxa"/>
            <w:tcMar>
              <w:top w:w="75" w:type="dxa"/>
              <w:left w:w="120" w:type="dxa"/>
              <w:bottom w:w="75" w:type="dxa"/>
              <w:right w:w="120" w:type="dxa"/>
            </w:tcMar>
            <w:vAlign w:val="center"/>
          </w:tcPr>
          <w:p>
            <w:pPr>
              <w:spacing w:line="3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900000.00</w:t>
            </w:r>
          </w:p>
        </w:tc>
        <w:tc>
          <w:tcPr>
            <w:tcW w:w="1335" w:type="dxa"/>
            <w:tcMar>
              <w:top w:w="75" w:type="dxa"/>
              <w:left w:w="120" w:type="dxa"/>
              <w:bottom w:w="75" w:type="dxa"/>
              <w:right w:w="120" w:type="dxa"/>
            </w:tcMar>
            <w:vAlign w:val="center"/>
          </w:tcPr>
          <w:p>
            <w:pPr>
              <w:spacing w:line="3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900000.00</w:t>
            </w:r>
          </w:p>
        </w:tc>
      </w:tr>
    </w:tbl>
    <w:p>
      <w:pPr>
        <w:pStyle w:val="18"/>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本合同包不接受联合体</w:t>
      </w:r>
      <w:r>
        <w:rPr>
          <w:rFonts w:hint="eastAsia"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w:t>
      </w:r>
    </w:p>
    <w:p>
      <w:pPr>
        <w:pStyle w:val="18"/>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合同履行期限：</w:t>
      </w:r>
      <w:r>
        <w:rPr>
          <w:rFonts w:hint="eastAsia" w:ascii="宋体" w:hAnsi="宋体" w:eastAsia="宋体" w:cs="宋体"/>
          <w:color w:val="auto"/>
          <w:sz w:val="21"/>
          <w:szCs w:val="21"/>
          <w:highlight w:val="none"/>
        </w:rPr>
        <w:t>自合同签订之日起，10个月内完成合同规定的内容</w:t>
      </w:r>
      <w:r>
        <w:rPr>
          <w:rFonts w:hint="eastAsia" w:ascii="宋体" w:hAnsi="宋体" w:eastAsia="宋体" w:cs="宋体"/>
          <w:color w:val="auto"/>
          <w:sz w:val="21"/>
          <w:szCs w:val="21"/>
          <w:highlight w:val="none"/>
          <w:lang w:eastAsia="zh-CN"/>
        </w:rPr>
        <w:t>。</w:t>
      </w:r>
    </w:p>
    <w:p>
      <w:pPr>
        <w:pStyle w:val="6"/>
        <w:spacing w:before="0" w:after="0" w:line="360" w:lineRule="auto"/>
        <w:rPr>
          <w:rFonts w:ascii="宋体" w:hAnsi="宋体" w:cs="宋体"/>
          <w:b w:val="0"/>
          <w:color w:val="auto"/>
          <w:sz w:val="21"/>
          <w:szCs w:val="21"/>
          <w:highlight w:val="none"/>
        </w:rPr>
      </w:pPr>
      <w:r>
        <w:rPr>
          <w:rStyle w:val="22"/>
          <w:rFonts w:hint="eastAsia" w:ascii="宋体" w:hAnsi="宋体" w:cs="宋体"/>
          <w:b/>
          <w:bCs/>
          <w:color w:val="auto"/>
          <w:szCs w:val="21"/>
          <w:highlight w:val="none"/>
        </w:rPr>
        <w:t>二、申请人的资格要求：</w:t>
      </w:r>
    </w:p>
    <w:p>
      <w:pPr>
        <w:pStyle w:val="18"/>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1.满足《中华人民共和国政府采购法》第二十二条规定</w:t>
      </w:r>
    </w:p>
    <w:p>
      <w:pPr>
        <w:pStyle w:val="18"/>
        <w:spacing w:before="0" w:beforeAutospacing="0" w:after="0" w:afterAutospacing="0" w:line="360" w:lineRule="auto"/>
        <w:ind w:firstLine="420" w:firstLineChars="200"/>
        <w:jc w:val="both"/>
        <w:rPr>
          <w:rFonts w:hint="eastAsia" w:cs="宋体"/>
          <w:color w:val="auto"/>
          <w:sz w:val="21"/>
          <w:szCs w:val="21"/>
          <w:highlight w:val="none"/>
          <w:lang w:val="en-US" w:eastAsia="zh-CN"/>
        </w:rPr>
      </w:pPr>
      <w:r>
        <w:rPr>
          <w:rFonts w:hint="eastAsia" w:cs="宋体"/>
          <w:color w:val="auto"/>
          <w:sz w:val="21"/>
          <w:szCs w:val="21"/>
          <w:highlight w:val="none"/>
        </w:rPr>
        <w:t>2.落实政府采购政策需满足的资格要求：</w:t>
      </w:r>
      <w:r>
        <w:rPr>
          <w:rFonts w:hint="eastAsia" w:cs="宋体"/>
          <w:color w:val="auto"/>
          <w:sz w:val="21"/>
          <w:szCs w:val="21"/>
          <w:highlight w:val="none"/>
          <w:lang w:val="en-US" w:eastAsia="zh-CN"/>
        </w:rPr>
        <w:t>无</w:t>
      </w:r>
    </w:p>
    <w:p>
      <w:pPr>
        <w:pStyle w:val="18"/>
        <w:spacing w:before="0" w:beforeAutospacing="0" w:after="0" w:afterAutospacing="0" w:line="360" w:lineRule="auto"/>
        <w:ind w:firstLine="420" w:firstLineChars="200"/>
        <w:jc w:val="both"/>
        <w:rPr>
          <w:rFonts w:hint="eastAsia" w:eastAsia="宋体" w:cs="宋体"/>
          <w:color w:val="auto"/>
          <w:sz w:val="21"/>
          <w:szCs w:val="21"/>
          <w:highlight w:val="none"/>
          <w:lang w:eastAsia="zh-CN"/>
        </w:rPr>
      </w:pPr>
      <w:r>
        <w:rPr>
          <w:rFonts w:hint="eastAsia" w:cs="宋体"/>
          <w:color w:val="auto"/>
          <w:sz w:val="21"/>
          <w:szCs w:val="21"/>
          <w:highlight w:val="none"/>
        </w:rPr>
        <w:t>3.本项目的特定资格要求：供应商须具有城乡规划编制甲级资质</w:t>
      </w:r>
      <w:r>
        <w:rPr>
          <w:rFonts w:hint="eastAsia" w:cs="宋体"/>
          <w:color w:val="auto"/>
          <w:sz w:val="21"/>
          <w:szCs w:val="21"/>
          <w:highlight w:val="none"/>
          <w:lang w:eastAsia="zh-CN"/>
        </w:rPr>
        <w:t>。</w:t>
      </w:r>
    </w:p>
    <w:p>
      <w:pPr>
        <w:pStyle w:val="18"/>
        <w:spacing w:before="0" w:beforeAutospacing="0" w:after="0" w:afterAutospacing="0" w:line="360" w:lineRule="auto"/>
        <w:jc w:val="both"/>
        <w:rPr>
          <w:rStyle w:val="22"/>
          <w:rFonts w:cs="宋体"/>
          <w:bCs/>
          <w:color w:val="auto"/>
          <w:szCs w:val="21"/>
          <w:highlight w:val="none"/>
        </w:rPr>
      </w:pPr>
      <w:r>
        <w:rPr>
          <w:rStyle w:val="22"/>
          <w:rFonts w:hint="eastAsia" w:cs="宋体"/>
          <w:bCs/>
          <w:color w:val="auto"/>
          <w:szCs w:val="21"/>
          <w:highlight w:val="none"/>
        </w:rPr>
        <w:t>三、获取采购文件</w:t>
      </w:r>
    </w:p>
    <w:p>
      <w:pPr>
        <w:pStyle w:val="18"/>
        <w:spacing w:before="0" w:beforeAutospacing="0" w:after="0" w:afterAutospacing="0" w:line="360" w:lineRule="auto"/>
        <w:ind w:firstLine="420" w:firstLineChars="200"/>
        <w:jc w:val="both"/>
        <w:rPr>
          <w:rFonts w:cs="宋体"/>
          <w:color w:val="auto"/>
          <w:kern w:val="2"/>
          <w:sz w:val="21"/>
          <w:szCs w:val="21"/>
          <w:highlight w:val="none"/>
        </w:rPr>
      </w:pPr>
      <w:r>
        <w:rPr>
          <w:rFonts w:hint="eastAsia" w:cs="宋体"/>
          <w:color w:val="auto"/>
          <w:kern w:val="2"/>
          <w:sz w:val="21"/>
          <w:szCs w:val="21"/>
          <w:highlight w:val="none"/>
        </w:rPr>
        <w:t>时间：2022年</w:t>
      </w:r>
      <w:r>
        <w:rPr>
          <w:rFonts w:hint="eastAsia" w:cs="宋体"/>
          <w:color w:val="auto"/>
          <w:kern w:val="2"/>
          <w:sz w:val="21"/>
          <w:szCs w:val="21"/>
          <w:highlight w:val="none"/>
          <w:lang w:val="en-US" w:eastAsia="zh-CN"/>
        </w:rPr>
        <w:t>9</w:t>
      </w:r>
      <w:r>
        <w:rPr>
          <w:rFonts w:hint="eastAsia" w:cs="宋体"/>
          <w:color w:val="auto"/>
          <w:kern w:val="2"/>
          <w:sz w:val="21"/>
          <w:szCs w:val="21"/>
          <w:highlight w:val="none"/>
        </w:rPr>
        <w:t>月</w:t>
      </w:r>
      <w:r>
        <w:rPr>
          <w:rFonts w:hint="eastAsia" w:cs="宋体"/>
          <w:color w:val="auto"/>
          <w:kern w:val="2"/>
          <w:sz w:val="21"/>
          <w:szCs w:val="21"/>
          <w:highlight w:val="none"/>
          <w:lang w:val="en-US" w:eastAsia="zh-CN"/>
        </w:rPr>
        <w:t>30</w:t>
      </w:r>
      <w:r>
        <w:rPr>
          <w:rFonts w:hint="eastAsia" w:cs="宋体"/>
          <w:color w:val="auto"/>
          <w:kern w:val="2"/>
          <w:sz w:val="21"/>
          <w:szCs w:val="21"/>
          <w:highlight w:val="none"/>
        </w:rPr>
        <w:t>日至2022年</w:t>
      </w:r>
      <w:r>
        <w:rPr>
          <w:rFonts w:hint="eastAsia" w:cs="宋体"/>
          <w:color w:val="auto"/>
          <w:kern w:val="2"/>
          <w:sz w:val="21"/>
          <w:szCs w:val="21"/>
          <w:highlight w:val="none"/>
          <w:lang w:val="en-US" w:eastAsia="zh-CN"/>
        </w:rPr>
        <w:t>10</w:t>
      </w:r>
      <w:r>
        <w:rPr>
          <w:rFonts w:hint="eastAsia" w:cs="宋体"/>
          <w:color w:val="auto"/>
          <w:kern w:val="2"/>
          <w:sz w:val="21"/>
          <w:szCs w:val="21"/>
          <w:highlight w:val="none"/>
        </w:rPr>
        <w:t>月</w:t>
      </w:r>
      <w:r>
        <w:rPr>
          <w:rFonts w:hint="eastAsia" w:cs="宋体"/>
          <w:color w:val="auto"/>
          <w:kern w:val="2"/>
          <w:sz w:val="21"/>
          <w:szCs w:val="21"/>
          <w:highlight w:val="none"/>
          <w:lang w:val="en-US" w:eastAsia="zh-CN"/>
        </w:rPr>
        <w:t>12</w:t>
      </w:r>
      <w:r>
        <w:rPr>
          <w:rFonts w:hint="eastAsia" w:cs="宋体"/>
          <w:color w:val="auto"/>
          <w:kern w:val="2"/>
          <w:sz w:val="21"/>
          <w:szCs w:val="21"/>
          <w:highlight w:val="none"/>
        </w:rPr>
        <w:t>日，每天上午08:30:00至12:00:00，下午1</w:t>
      </w:r>
      <w:r>
        <w:rPr>
          <w:rFonts w:hint="eastAsia" w:cs="宋体"/>
          <w:color w:val="auto"/>
          <w:kern w:val="2"/>
          <w:sz w:val="21"/>
          <w:szCs w:val="21"/>
          <w:highlight w:val="none"/>
          <w:lang w:val="en-US" w:eastAsia="zh-CN"/>
        </w:rPr>
        <w:t>3</w:t>
      </w:r>
      <w:r>
        <w:rPr>
          <w:rFonts w:hint="eastAsia" w:cs="宋体"/>
          <w:color w:val="auto"/>
          <w:kern w:val="2"/>
          <w:sz w:val="21"/>
          <w:szCs w:val="21"/>
          <w:highlight w:val="none"/>
        </w:rPr>
        <w:t>:30:00至</w:t>
      </w:r>
      <w:r>
        <w:rPr>
          <w:rFonts w:hint="eastAsia" w:cs="宋体"/>
          <w:color w:val="auto"/>
          <w:kern w:val="2"/>
          <w:sz w:val="21"/>
          <w:szCs w:val="21"/>
          <w:highlight w:val="none"/>
          <w:lang w:val="en-US" w:eastAsia="zh-CN"/>
        </w:rPr>
        <w:t>17</w:t>
      </w:r>
      <w:r>
        <w:rPr>
          <w:rFonts w:hint="eastAsia" w:cs="宋体"/>
          <w:color w:val="auto"/>
          <w:kern w:val="2"/>
          <w:sz w:val="21"/>
          <w:szCs w:val="21"/>
          <w:highlight w:val="none"/>
        </w:rPr>
        <w:t>:00:00（北京时间,法定节假日除外）</w:t>
      </w:r>
    </w:p>
    <w:p>
      <w:pPr>
        <w:pStyle w:val="18"/>
        <w:spacing w:before="0" w:beforeAutospacing="0" w:after="0" w:afterAutospacing="0" w:line="360" w:lineRule="auto"/>
        <w:ind w:firstLine="420" w:firstLineChars="200"/>
        <w:jc w:val="both"/>
        <w:rPr>
          <w:rFonts w:cs="宋体"/>
          <w:color w:val="auto"/>
          <w:kern w:val="2"/>
          <w:sz w:val="21"/>
          <w:szCs w:val="21"/>
          <w:highlight w:val="none"/>
        </w:rPr>
      </w:pPr>
      <w:r>
        <w:rPr>
          <w:rFonts w:hint="eastAsia" w:cs="宋体"/>
          <w:color w:val="auto"/>
          <w:kern w:val="2"/>
          <w:sz w:val="21"/>
          <w:szCs w:val="21"/>
          <w:highlight w:val="none"/>
        </w:rPr>
        <w:t>地点：西安市南二环西段58号成长大厦10层标书发售处</w:t>
      </w:r>
    </w:p>
    <w:p>
      <w:pPr>
        <w:pStyle w:val="18"/>
        <w:spacing w:before="0" w:beforeAutospacing="0" w:after="0" w:afterAutospacing="0" w:line="360" w:lineRule="auto"/>
        <w:ind w:firstLine="420" w:firstLineChars="200"/>
        <w:jc w:val="both"/>
        <w:rPr>
          <w:rFonts w:cs="宋体"/>
          <w:color w:val="auto"/>
          <w:kern w:val="2"/>
          <w:sz w:val="21"/>
          <w:szCs w:val="21"/>
          <w:highlight w:val="none"/>
        </w:rPr>
      </w:pPr>
      <w:r>
        <w:rPr>
          <w:rFonts w:hint="eastAsia" w:cs="宋体"/>
          <w:color w:val="auto"/>
          <w:kern w:val="2"/>
          <w:sz w:val="21"/>
          <w:szCs w:val="21"/>
          <w:highlight w:val="none"/>
        </w:rPr>
        <w:t>方式：现场获取</w:t>
      </w:r>
    </w:p>
    <w:p>
      <w:pPr>
        <w:pStyle w:val="18"/>
        <w:spacing w:before="0" w:beforeAutospacing="0" w:after="0" w:afterAutospacing="0" w:line="360" w:lineRule="auto"/>
        <w:ind w:firstLine="420" w:firstLineChars="200"/>
        <w:jc w:val="both"/>
        <w:rPr>
          <w:rFonts w:cs="宋体"/>
          <w:color w:val="auto"/>
          <w:kern w:val="2"/>
          <w:sz w:val="21"/>
          <w:szCs w:val="21"/>
          <w:highlight w:val="none"/>
        </w:rPr>
      </w:pPr>
      <w:r>
        <w:rPr>
          <w:rFonts w:hint="eastAsia" w:cs="宋体"/>
          <w:color w:val="auto"/>
          <w:kern w:val="2"/>
          <w:sz w:val="21"/>
          <w:szCs w:val="21"/>
          <w:highlight w:val="none"/>
        </w:rPr>
        <w:t>售价：免费获取</w:t>
      </w:r>
    </w:p>
    <w:p>
      <w:pPr>
        <w:pStyle w:val="6"/>
        <w:spacing w:before="0" w:after="0" w:line="360" w:lineRule="auto"/>
        <w:rPr>
          <w:rFonts w:ascii="宋体" w:hAnsi="宋体" w:cs="宋体"/>
          <w:b w:val="0"/>
          <w:color w:val="auto"/>
          <w:sz w:val="21"/>
          <w:szCs w:val="21"/>
          <w:highlight w:val="none"/>
        </w:rPr>
      </w:pPr>
      <w:r>
        <w:rPr>
          <w:rStyle w:val="22"/>
          <w:rFonts w:hint="eastAsia" w:ascii="宋体" w:hAnsi="宋体" w:cs="宋体"/>
          <w:b/>
          <w:bCs/>
          <w:color w:val="auto"/>
          <w:szCs w:val="21"/>
          <w:highlight w:val="none"/>
        </w:rPr>
        <w:t>四、响应文件提交</w:t>
      </w:r>
    </w:p>
    <w:p>
      <w:pPr>
        <w:pStyle w:val="18"/>
        <w:spacing w:before="0" w:beforeAutospacing="0" w:after="0" w:afterAutospacing="0" w:line="360" w:lineRule="auto"/>
        <w:ind w:firstLine="420" w:firstLineChars="200"/>
        <w:jc w:val="both"/>
        <w:textAlignment w:val="auto"/>
        <w:rPr>
          <w:rFonts w:cs="宋体"/>
          <w:color w:val="auto"/>
          <w:sz w:val="21"/>
          <w:szCs w:val="21"/>
          <w:highlight w:val="none"/>
        </w:rPr>
      </w:pPr>
      <w:r>
        <w:rPr>
          <w:rFonts w:hint="eastAsia" w:cs="宋体"/>
          <w:color w:val="auto"/>
          <w:sz w:val="21"/>
          <w:szCs w:val="21"/>
          <w:highlight w:val="none"/>
        </w:rPr>
        <w:t>截止时间：2022年</w:t>
      </w:r>
      <w:r>
        <w:rPr>
          <w:rFonts w:hint="eastAsia" w:cs="宋体"/>
          <w:color w:val="auto"/>
          <w:sz w:val="21"/>
          <w:szCs w:val="21"/>
          <w:highlight w:val="none"/>
          <w:lang w:val="en-US" w:eastAsia="zh-CN"/>
        </w:rPr>
        <w:t>10</w:t>
      </w:r>
      <w:r>
        <w:rPr>
          <w:rFonts w:hint="eastAsia" w:cs="宋体"/>
          <w:color w:val="auto"/>
          <w:sz w:val="21"/>
          <w:szCs w:val="21"/>
          <w:highlight w:val="none"/>
        </w:rPr>
        <w:t>月</w:t>
      </w:r>
      <w:r>
        <w:rPr>
          <w:rFonts w:hint="eastAsia" w:cs="宋体"/>
          <w:color w:val="auto"/>
          <w:sz w:val="21"/>
          <w:szCs w:val="21"/>
          <w:highlight w:val="none"/>
          <w:lang w:val="en-US" w:eastAsia="zh-CN"/>
        </w:rPr>
        <w:t>18</w:t>
      </w:r>
      <w:r>
        <w:rPr>
          <w:rFonts w:hint="eastAsia" w:cs="宋体"/>
          <w:color w:val="auto"/>
          <w:sz w:val="21"/>
          <w:szCs w:val="21"/>
          <w:highlight w:val="none"/>
        </w:rPr>
        <w:t>日</w:t>
      </w:r>
      <w:r>
        <w:rPr>
          <w:rFonts w:hint="eastAsia" w:cs="宋体"/>
          <w:color w:val="auto"/>
          <w:sz w:val="21"/>
          <w:szCs w:val="21"/>
          <w:highlight w:val="none"/>
          <w:lang w:val="en-US" w:eastAsia="zh-CN"/>
        </w:rPr>
        <w:t>14</w:t>
      </w:r>
      <w:r>
        <w:rPr>
          <w:rFonts w:hint="eastAsia" w:cs="宋体"/>
          <w:color w:val="auto"/>
          <w:sz w:val="21"/>
          <w:szCs w:val="21"/>
          <w:highlight w:val="none"/>
        </w:rPr>
        <w:t>时30分00秒（北京时间）</w:t>
      </w:r>
    </w:p>
    <w:p>
      <w:pPr>
        <w:pStyle w:val="18"/>
        <w:spacing w:before="0" w:beforeAutospacing="0" w:after="0" w:afterAutospacing="0" w:line="360" w:lineRule="auto"/>
        <w:ind w:firstLine="420" w:firstLineChars="200"/>
        <w:jc w:val="both"/>
        <w:textAlignment w:val="auto"/>
        <w:rPr>
          <w:rFonts w:cs="宋体"/>
          <w:color w:val="auto"/>
          <w:sz w:val="21"/>
          <w:szCs w:val="21"/>
          <w:highlight w:val="none"/>
        </w:rPr>
      </w:pPr>
      <w:r>
        <w:rPr>
          <w:rFonts w:hint="eastAsia" w:cs="宋体"/>
          <w:color w:val="auto"/>
          <w:sz w:val="21"/>
          <w:szCs w:val="21"/>
          <w:highlight w:val="none"/>
        </w:rPr>
        <w:t>地点：西安市南二环西段58号成长大厦10层会议室</w:t>
      </w:r>
    </w:p>
    <w:p>
      <w:pPr>
        <w:pStyle w:val="6"/>
        <w:numPr>
          <w:ilvl w:val="0"/>
          <w:numId w:val="1"/>
        </w:numPr>
        <w:spacing w:before="0" w:after="0" w:line="360" w:lineRule="auto"/>
        <w:rPr>
          <w:rStyle w:val="22"/>
          <w:rFonts w:ascii="宋体" w:hAnsi="宋体" w:cs="宋体"/>
          <w:b/>
          <w:bCs/>
          <w:color w:val="auto"/>
          <w:szCs w:val="21"/>
          <w:highlight w:val="none"/>
        </w:rPr>
      </w:pPr>
      <w:r>
        <w:rPr>
          <w:rStyle w:val="22"/>
          <w:rFonts w:hint="eastAsia" w:ascii="宋体" w:hAnsi="宋体" w:cs="宋体"/>
          <w:b/>
          <w:bCs/>
          <w:color w:val="auto"/>
          <w:szCs w:val="21"/>
          <w:highlight w:val="none"/>
        </w:rPr>
        <w:t>开启</w:t>
      </w:r>
    </w:p>
    <w:p>
      <w:pPr>
        <w:pStyle w:val="18"/>
        <w:spacing w:before="0" w:beforeAutospacing="0" w:after="0" w:afterAutospacing="0" w:line="360" w:lineRule="auto"/>
        <w:ind w:firstLine="420" w:firstLineChars="200"/>
        <w:jc w:val="both"/>
        <w:textAlignment w:val="auto"/>
        <w:rPr>
          <w:rFonts w:cs="宋体"/>
          <w:color w:val="auto"/>
          <w:sz w:val="21"/>
          <w:szCs w:val="21"/>
          <w:highlight w:val="none"/>
        </w:rPr>
      </w:pPr>
      <w:r>
        <w:rPr>
          <w:rFonts w:hint="eastAsia" w:cs="宋体"/>
          <w:color w:val="auto"/>
          <w:sz w:val="21"/>
          <w:szCs w:val="21"/>
          <w:highlight w:val="none"/>
        </w:rPr>
        <w:t>时间：2022年</w:t>
      </w:r>
      <w:r>
        <w:rPr>
          <w:rFonts w:hint="eastAsia" w:cs="宋体"/>
          <w:color w:val="auto"/>
          <w:sz w:val="21"/>
          <w:szCs w:val="21"/>
          <w:highlight w:val="none"/>
          <w:lang w:val="en-US" w:eastAsia="zh-CN"/>
        </w:rPr>
        <w:t>10</w:t>
      </w:r>
      <w:r>
        <w:rPr>
          <w:rFonts w:hint="eastAsia" w:cs="宋体"/>
          <w:color w:val="auto"/>
          <w:sz w:val="21"/>
          <w:szCs w:val="21"/>
          <w:highlight w:val="none"/>
        </w:rPr>
        <w:t>月</w:t>
      </w:r>
      <w:r>
        <w:rPr>
          <w:rFonts w:hint="eastAsia" w:cs="宋体"/>
          <w:color w:val="auto"/>
          <w:sz w:val="21"/>
          <w:szCs w:val="21"/>
          <w:highlight w:val="none"/>
          <w:lang w:val="en-US" w:eastAsia="zh-CN"/>
        </w:rPr>
        <w:t>18</w:t>
      </w:r>
      <w:r>
        <w:rPr>
          <w:rFonts w:hint="eastAsia" w:cs="宋体"/>
          <w:color w:val="auto"/>
          <w:sz w:val="21"/>
          <w:szCs w:val="21"/>
          <w:highlight w:val="none"/>
        </w:rPr>
        <w:t>日</w:t>
      </w:r>
      <w:r>
        <w:rPr>
          <w:rFonts w:hint="eastAsia" w:cs="宋体"/>
          <w:color w:val="auto"/>
          <w:sz w:val="21"/>
          <w:szCs w:val="21"/>
          <w:highlight w:val="none"/>
          <w:lang w:val="en-US" w:eastAsia="zh-CN"/>
        </w:rPr>
        <w:t>14</w:t>
      </w:r>
      <w:r>
        <w:rPr>
          <w:rFonts w:hint="eastAsia" w:cs="宋体"/>
          <w:color w:val="auto"/>
          <w:sz w:val="21"/>
          <w:szCs w:val="21"/>
          <w:highlight w:val="none"/>
        </w:rPr>
        <w:t>时30分00秒（北京时间）</w:t>
      </w:r>
    </w:p>
    <w:p>
      <w:pPr>
        <w:pStyle w:val="18"/>
        <w:spacing w:before="0" w:beforeAutospacing="0" w:after="0" w:afterAutospacing="0" w:line="360" w:lineRule="auto"/>
        <w:ind w:firstLine="420" w:firstLineChars="200"/>
        <w:jc w:val="both"/>
        <w:textAlignment w:val="auto"/>
        <w:rPr>
          <w:rFonts w:cs="宋体"/>
          <w:color w:val="auto"/>
          <w:sz w:val="21"/>
          <w:szCs w:val="21"/>
          <w:highlight w:val="none"/>
        </w:rPr>
      </w:pPr>
      <w:r>
        <w:rPr>
          <w:rFonts w:hint="eastAsia" w:cs="宋体"/>
          <w:color w:val="auto"/>
          <w:sz w:val="21"/>
          <w:szCs w:val="21"/>
          <w:highlight w:val="none"/>
        </w:rPr>
        <w:t>地点：西安市南二环西段58号成长大厦10层会议室</w:t>
      </w:r>
    </w:p>
    <w:p>
      <w:pPr>
        <w:pStyle w:val="6"/>
        <w:spacing w:before="0" w:after="0" w:line="360" w:lineRule="auto"/>
        <w:rPr>
          <w:rFonts w:ascii="宋体" w:hAnsi="宋体" w:cs="宋体"/>
          <w:b w:val="0"/>
          <w:color w:val="auto"/>
          <w:sz w:val="21"/>
          <w:szCs w:val="21"/>
          <w:highlight w:val="none"/>
        </w:rPr>
      </w:pPr>
      <w:r>
        <w:rPr>
          <w:rStyle w:val="22"/>
          <w:rFonts w:hint="eastAsia" w:ascii="宋体" w:hAnsi="宋体" w:cs="宋体"/>
          <w:b/>
          <w:bCs/>
          <w:color w:val="auto"/>
          <w:szCs w:val="21"/>
          <w:highlight w:val="none"/>
        </w:rPr>
        <w:t>六、公告期限</w:t>
      </w:r>
    </w:p>
    <w:p>
      <w:pPr>
        <w:pStyle w:val="18"/>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自本公告发布之日起3个工作日。</w:t>
      </w:r>
    </w:p>
    <w:p>
      <w:pPr>
        <w:pStyle w:val="6"/>
        <w:spacing w:before="0" w:after="0" w:line="360" w:lineRule="auto"/>
        <w:rPr>
          <w:rFonts w:ascii="宋体" w:hAnsi="宋体" w:cs="宋体"/>
          <w:b w:val="0"/>
          <w:color w:val="auto"/>
          <w:sz w:val="21"/>
          <w:szCs w:val="21"/>
          <w:highlight w:val="none"/>
        </w:rPr>
      </w:pPr>
      <w:r>
        <w:rPr>
          <w:rStyle w:val="22"/>
          <w:rFonts w:hint="eastAsia" w:ascii="宋体" w:hAnsi="宋体" w:cs="宋体"/>
          <w:b/>
          <w:bCs/>
          <w:color w:val="auto"/>
          <w:szCs w:val="21"/>
          <w:highlight w:val="none"/>
        </w:rPr>
        <w:t>七、其他补充事宜</w:t>
      </w:r>
    </w:p>
    <w:p>
      <w:pPr>
        <w:pStyle w:val="18"/>
        <w:spacing w:before="0" w:beforeAutospacing="0" w:after="0" w:afterAutospacing="0" w:line="360" w:lineRule="auto"/>
        <w:ind w:firstLine="422" w:firstLineChars="200"/>
        <w:jc w:val="both"/>
        <w:rPr>
          <w:rFonts w:cs="宋体"/>
          <w:b/>
          <w:color w:val="auto"/>
          <w:kern w:val="2"/>
          <w:sz w:val="21"/>
          <w:szCs w:val="21"/>
          <w:highlight w:val="none"/>
          <w:lang w:bidi="ar"/>
        </w:rPr>
      </w:pPr>
      <w:r>
        <w:rPr>
          <w:rFonts w:hint="eastAsia" w:cs="宋体"/>
          <w:b/>
          <w:color w:val="auto"/>
          <w:kern w:val="2"/>
          <w:sz w:val="21"/>
          <w:szCs w:val="21"/>
          <w:highlight w:val="none"/>
          <w:lang w:bidi="ar"/>
        </w:rPr>
        <w:t>1.本项目采购标的对应的中小企业划分标准所属行业为租赁和商业服务。</w:t>
      </w:r>
    </w:p>
    <w:p>
      <w:pPr>
        <w:pStyle w:val="18"/>
        <w:spacing w:before="0" w:beforeAutospacing="0" w:after="0" w:afterAutospacing="0" w:line="360" w:lineRule="auto"/>
        <w:ind w:firstLine="422" w:firstLineChars="200"/>
        <w:jc w:val="both"/>
        <w:rPr>
          <w:rFonts w:cs="宋体"/>
          <w:b/>
          <w:color w:val="auto"/>
          <w:kern w:val="2"/>
          <w:sz w:val="21"/>
          <w:szCs w:val="21"/>
          <w:highlight w:val="none"/>
          <w:lang w:bidi="ar"/>
        </w:rPr>
      </w:pPr>
      <w:r>
        <w:rPr>
          <w:rFonts w:hint="eastAsia" w:cs="宋体"/>
          <w:b/>
          <w:color w:val="auto"/>
          <w:kern w:val="2"/>
          <w:sz w:val="21"/>
          <w:szCs w:val="21"/>
          <w:highlight w:val="none"/>
          <w:lang w:bidi="ar"/>
        </w:rPr>
        <w:t>2.本项目采购文件在西安市南二环西段58号成长大厦10层标书发售处获取（需持单位介绍信及授权代表身份证原件及复印件登记后获取文件）</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3.采购项目需要落实的政府采购政策：</w:t>
      </w:r>
    </w:p>
    <w:p>
      <w:pPr>
        <w:pStyle w:val="18"/>
        <w:spacing w:before="0" w:beforeAutospacing="0" w:after="0" w:afterAutospacing="0" w:line="360" w:lineRule="auto"/>
        <w:ind w:firstLine="420" w:firstLineChars="200"/>
        <w:jc w:val="both"/>
        <w:rPr>
          <w:rFonts w:cs="宋体"/>
          <w:bCs/>
          <w:color w:val="auto"/>
          <w:kern w:val="2"/>
          <w:sz w:val="21"/>
          <w:szCs w:val="21"/>
          <w:highlight w:val="none"/>
          <w:lang w:bidi="ar"/>
        </w:rPr>
      </w:pPr>
      <w:r>
        <w:rPr>
          <w:rFonts w:hint="eastAsia" w:cs="宋体"/>
          <w:bCs/>
          <w:color w:val="auto"/>
          <w:kern w:val="2"/>
          <w:sz w:val="21"/>
          <w:szCs w:val="21"/>
          <w:highlight w:val="none"/>
          <w:lang w:bidi="ar"/>
        </w:rPr>
        <w:t>（1）《财政部 国家发展改革委关于印发〈节能产品政府采购实施意见〉的通知》（财库〔2004〕185号）；</w:t>
      </w:r>
    </w:p>
    <w:p>
      <w:pPr>
        <w:pStyle w:val="18"/>
        <w:spacing w:before="0" w:beforeAutospacing="0" w:after="0" w:afterAutospacing="0" w:line="360" w:lineRule="auto"/>
        <w:ind w:firstLine="420" w:firstLineChars="200"/>
        <w:jc w:val="both"/>
        <w:rPr>
          <w:rFonts w:cs="宋体"/>
          <w:bCs/>
          <w:color w:val="auto"/>
          <w:kern w:val="2"/>
          <w:sz w:val="21"/>
          <w:szCs w:val="21"/>
          <w:highlight w:val="none"/>
          <w:lang w:bidi="ar"/>
        </w:rPr>
      </w:pPr>
      <w:r>
        <w:rPr>
          <w:rFonts w:hint="eastAsia" w:cs="宋体"/>
          <w:bCs/>
          <w:color w:val="auto"/>
          <w:kern w:val="2"/>
          <w:sz w:val="21"/>
          <w:szCs w:val="21"/>
          <w:highlight w:val="none"/>
          <w:lang w:bidi="ar"/>
        </w:rPr>
        <w:t>（2）《国务院办公厅关于建立政府强制采购节能产品制度的通知》（国办发〔2007〕51号）；</w:t>
      </w:r>
    </w:p>
    <w:p>
      <w:pPr>
        <w:pStyle w:val="18"/>
        <w:spacing w:before="0" w:beforeAutospacing="0" w:after="0" w:afterAutospacing="0" w:line="360" w:lineRule="auto"/>
        <w:ind w:firstLine="420" w:firstLineChars="200"/>
        <w:jc w:val="both"/>
        <w:rPr>
          <w:rFonts w:cs="宋体"/>
          <w:bCs/>
          <w:color w:val="auto"/>
          <w:kern w:val="2"/>
          <w:sz w:val="21"/>
          <w:szCs w:val="21"/>
          <w:highlight w:val="none"/>
          <w:lang w:bidi="ar"/>
        </w:rPr>
      </w:pPr>
      <w:r>
        <w:rPr>
          <w:rFonts w:hint="eastAsia" w:cs="宋体"/>
          <w:bCs/>
          <w:color w:val="auto"/>
          <w:kern w:val="2"/>
          <w:sz w:val="21"/>
          <w:szCs w:val="21"/>
          <w:highlight w:val="none"/>
          <w:lang w:bidi="ar"/>
        </w:rPr>
        <w:t>（3）《财政部环保总局关于环境标志产品政府采购实施的意见》（财库〔2006〕90号）；</w:t>
      </w:r>
    </w:p>
    <w:p>
      <w:pPr>
        <w:pStyle w:val="18"/>
        <w:spacing w:before="0" w:beforeAutospacing="0" w:after="0" w:afterAutospacing="0" w:line="360" w:lineRule="auto"/>
        <w:ind w:firstLine="420" w:firstLineChars="200"/>
        <w:jc w:val="both"/>
        <w:rPr>
          <w:rFonts w:cs="宋体"/>
          <w:bCs/>
          <w:color w:val="auto"/>
          <w:kern w:val="2"/>
          <w:sz w:val="21"/>
          <w:szCs w:val="21"/>
          <w:highlight w:val="none"/>
          <w:lang w:bidi="ar"/>
        </w:rPr>
      </w:pPr>
      <w:r>
        <w:rPr>
          <w:rFonts w:hint="eastAsia" w:cs="宋体"/>
          <w:bCs/>
          <w:color w:val="auto"/>
          <w:kern w:val="2"/>
          <w:sz w:val="21"/>
          <w:szCs w:val="21"/>
          <w:highlight w:val="none"/>
          <w:lang w:bidi="ar"/>
        </w:rPr>
        <w:t>（4）《财政部 司法部关于政府采购支持监狱企业发展有关问题的通知》（财库〔2014〕68号）；</w:t>
      </w:r>
    </w:p>
    <w:p>
      <w:pPr>
        <w:pStyle w:val="18"/>
        <w:spacing w:before="0" w:beforeAutospacing="0" w:after="0" w:afterAutospacing="0" w:line="360" w:lineRule="auto"/>
        <w:ind w:firstLine="420" w:firstLineChars="200"/>
        <w:jc w:val="both"/>
        <w:rPr>
          <w:rFonts w:cs="宋体"/>
          <w:bCs/>
          <w:color w:val="auto"/>
          <w:kern w:val="2"/>
          <w:sz w:val="21"/>
          <w:szCs w:val="21"/>
          <w:highlight w:val="none"/>
          <w:lang w:bidi="ar"/>
        </w:rPr>
      </w:pPr>
      <w:r>
        <w:rPr>
          <w:rFonts w:hint="eastAsia" w:cs="宋体"/>
          <w:bCs/>
          <w:color w:val="auto"/>
          <w:kern w:val="2"/>
          <w:sz w:val="21"/>
          <w:szCs w:val="21"/>
          <w:highlight w:val="none"/>
          <w:lang w:bidi="ar"/>
        </w:rPr>
        <w:t>（5）《财政部、民政部、中国残疾人联合会关于促进残疾人就业政府采购政策的通知》（财库〔2017〕141号）；</w:t>
      </w:r>
    </w:p>
    <w:p>
      <w:pPr>
        <w:pStyle w:val="18"/>
        <w:spacing w:before="0" w:beforeAutospacing="0" w:after="0" w:afterAutospacing="0" w:line="360" w:lineRule="auto"/>
        <w:ind w:firstLine="420" w:firstLineChars="200"/>
        <w:jc w:val="both"/>
        <w:rPr>
          <w:rFonts w:cs="宋体"/>
          <w:bCs/>
          <w:color w:val="auto"/>
          <w:kern w:val="2"/>
          <w:sz w:val="21"/>
          <w:szCs w:val="21"/>
          <w:highlight w:val="none"/>
          <w:lang w:bidi="ar"/>
        </w:rPr>
      </w:pPr>
      <w:r>
        <w:rPr>
          <w:rFonts w:hint="eastAsia" w:cs="宋体"/>
          <w:bCs/>
          <w:color w:val="auto"/>
          <w:kern w:val="2"/>
          <w:sz w:val="21"/>
          <w:szCs w:val="21"/>
          <w:highlight w:val="none"/>
          <w:lang w:bidi="ar"/>
        </w:rPr>
        <w:t>（6）《财政部 发展改革委 生态环境部 市场监管总局关于调整优化节能产品、环境标志产品政府采购执行机制的通知》（财库〔2019〕9号）；</w:t>
      </w:r>
    </w:p>
    <w:p>
      <w:pPr>
        <w:pStyle w:val="18"/>
        <w:spacing w:before="0" w:beforeAutospacing="0" w:after="0" w:afterAutospacing="0" w:line="360" w:lineRule="auto"/>
        <w:ind w:firstLine="420" w:firstLineChars="200"/>
        <w:jc w:val="both"/>
        <w:rPr>
          <w:rFonts w:cs="宋体"/>
          <w:bCs/>
          <w:color w:val="auto"/>
          <w:kern w:val="2"/>
          <w:sz w:val="21"/>
          <w:szCs w:val="21"/>
          <w:highlight w:val="none"/>
          <w:lang w:bidi="ar"/>
        </w:rPr>
      </w:pPr>
      <w:r>
        <w:rPr>
          <w:rFonts w:hint="eastAsia" w:cs="宋体"/>
          <w:bCs/>
          <w:color w:val="auto"/>
          <w:kern w:val="2"/>
          <w:sz w:val="21"/>
          <w:szCs w:val="21"/>
          <w:highlight w:val="none"/>
          <w:lang w:bidi="ar"/>
        </w:rPr>
        <w:t>（7）《关于运用政府采购政策支持乡村产业振兴的通知》（财库〔2021〕19号）；</w:t>
      </w:r>
    </w:p>
    <w:p>
      <w:pPr>
        <w:pStyle w:val="18"/>
        <w:spacing w:before="0" w:beforeAutospacing="0" w:after="0" w:afterAutospacing="0" w:line="360" w:lineRule="auto"/>
        <w:ind w:firstLine="420" w:firstLineChars="200"/>
        <w:jc w:val="both"/>
        <w:rPr>
          <w:rFonts w:cs="宋体"/>
          <w:bCs/>
          <w:color w:val="auto"/>
          <w:kern w:val="2"/>
          <w:sz w:val="21"/>
          <w:szCs w:val="21"/>
          <w:highlight w:val="none"/>
          <w:lang w:bidi="ar"/>
        </w:rPr>
      </w:pPr>
      <w:r>
        <w:rPr>
          <w:rFonts w:hint="eastAsia" w:cs="宋体"/>
          <w:bCs/>
          <w:color w:val="auto"/>
          <w:kern w:val="2"/>
          <w:sz w:val="21"/>
          <w:szCs w:val="21"/>
          <w:highlight w:val="none"/>
          <w:lang w:bidi="ar"/>
        </w:rPr>
        <w:t>（8）《政府采购促进中小企业发展管理办法》（财库〔2020〕46号）；</w:t>
      </w:r>
    </w:p>
    <w:p>
      <w:pPr>
        <w:pStyle w:val="18"/>
        <w:spacing w:before="0" w:beforeAutospacing="0" w:after="0" w:afterAutospacing="0" w:line="360" w:lineRule="auto"/>
        <w:ind w:firstLine="420" w:firstLineChars="200"/>
        <w:jc w:val="both"/>
        <w:rPr>
          <w:rFonts w:cs="宋体"/>
          <w:bCs/>
          <w:color w:val="auto"/>
          <w:kern w:val="2"/>
          <w:sz w:val="21"/>
          <w:szCs w:val="21"/>
          <w:highlight w:val="none"/>
          <w:lang w:bidi="ar"/>
        </w:rPr>
      </w:pPr>
      <w:r>
        <w:rPr>
          <w:rFonts w:hint="eastAsia" w:cs="宋体"/>
          <w:bCs/>
          <w:color w:val="auto"/>
          <w:kern w:val="2"/>
          <w:sz w:val="21"/>
          <w:szCs w:val="21"/>
          <w:highlight w:val="none"/>
          <w:lang w:bidi="ar"/>
        </w:rPr>
        <w:t>（9）《陕西省中小企业政府采购信用融资办法》（陕财办采〔2018〕23号）；</w:t>
      </w:r>
    </w:p>
    <w:p>
      <w:pPr>
        <w:pStyle w:val="18"/>
        <w:spacing w:before="0" w:beforeAutospacing="0" w:after="0" w:afterAutospacing="0" w:line="360" w:lineRule="auto"/>
        <w:ind w:firstLine="420" w:firstLineChars="200"/>
        <w:jc w:val="both"/>
        <w:rPr>
          <w:rFonts w:cs="宋体"/>
          <w:bCs/>
          <w:color w:val="auto"/>
          <w:kern w:val="2"/>
          <w:sz w:val="21"/>
          <w:szCs w:val="21"/>
          <w:highlight w:val="none"/>
          <w:lang w:bidi="ar"/>
        </w:rPr>
      </w:pPr>
      <w:r>
        <w:rPr>
          <w:rFonts w:hint="eastAsia" w:cs="宋体"/>
          <w:bCs/>
          <w:color w:val="auto"/>
          <w:kern w:val="2"/>
          <w:sz w:val="21"/>
          <w:szCs w:val="21"/>
          <w:highlight w:val="none"/>
          <w:lang w:bidi="ar"/>
        </w:rPr>
        <w:t>（10）陕西省财政厅《关于进一步加强政府绿色采购有关问题的通知》陕财办采〔2021〕29号。</w:t>
      </w:r>
    </w:p>
    <w:p>
      <w:pPr>
        <w:pStyle w:val="18"/>
        <w:spacing w:before="0" w:beforeAutospacing="0" w:after="0" w:afterAutospacing="0" w:line="360" w:lineRule="auto"/>
        <w:ind w:firstLine="420" w:firstLineChars="200"/>
        <w:jc w:val="both"/>
        <w:rPr>
          <w:rFonts w:cs="宋体"/>
          <w:bCs/>
          <w:color w:val="auto"/>
          <w:kern w:val="2"/>
          <w:sz w:val="21"/>
          <w:szCs w:val="21"/>
          <w:highlight w:val="none"/>
          <w:lang w:bidi="ar"/>
        </w:rPr>
      </w:pPr>
      <w:r>
        <w:rPr>
          <w:rFonts w:hint="eastAsia" w:cs="宋体"/>
          <w:bCs/>
          <w:color w:val="auto"/>
          <w:kern w:val="2"/>
          <w:sz w:val="21"/>
          <w:szCs w:val="21"/>
          <w:highlight w:val="none"/>
          <w:lang w:bidi="ar"/>
        </w:rPr>
        <w:t>（11）《关于进一步加大政府采购支持中小企业力度的通知》（财库〔2022〕19号。</w:t>
      </w:r>
    </w:p>
    <w:p>
      <w:pPr>
        <w:pStyle w:val="6"/>
        <w:spacing w:before="0" w:after="0" w:line="360" w:lineRule="auto"/>
        <w:rPr>
          <w:rFonts w:ascii="宋体" w:hAnsi="宋体" w:cs="宋体"/>
          <w:b w:val="0"/>
          <w:color w:val="auto"/>
          <w:sz w:val="21"/>
          <w:szCs w:val="21"/>
          <w:highlight w:val="none"/>
        </w:rPr>
      </w:pPr>
      <w:r>
        <w:rPr>
          <w:rStyle w:val="22"/>
          <w:rFonts w:hint="eastAsia" w:ascii="宋体" w:hAnsi="宋体" w:cs="宋体"/>
          <w:b/>
          <w:bCs/>
          <w:color w:val="auto"/>
          <w:szCs w:val="21"/>
          <w:highlight w:val="none"/>
        </w:rPr>
        <w:t>八、如对本次采购提出询问，请按以下方式联系。</w:t>
      </w:r>
    </w:p>
    <w:bookmarkEnd w:id="3"/>
    <w:p>
      <w:pPr>
        <w:spacing w:line="360" w:lineRule="auto"/>
        <w:ind w:firstLine="420" w:firstLineChars="200"/>
        <w:jc w:val="left"/>
        <w:outlineLvl w:val="1"/>
        <w:rPr>
          <w:rFonts w:ascii="宋体" w:hAnsi="宋体" w:cs="宋体"/>
          <w:color w:val="auto"/>
          <w:szCs w:val="21"/>
          <w:highlight w:val="none"/>
        </w:rPr>
      </w:pPr>
      <w:bookmarkStart w:id="4" w:name="_Toc15378"/>
      <w:r>
        <w:rPr>
          <w:rFonts w:hint="eastAsia" w:ascii="宋体" w:hAnsi="宋体" w:cs="宋体"/>
          <w:color w:val="auto"/>
          <w:szCs w:val="21"/>
          <w:highlight w:val="none"/>
        </w:rPr>
        <w:t>1.采购人信息：</w:t>
      </w:r>
    </w:p>
    <w:p>
      <w:pPr>
        <w:spacing w:line="360" w:lineRule="auto"/>
        <w:ind w:firstLine="420" w:firstLineChars="200"/>
        <w:jc w:val="left"/>
        <w:outlineLvl w:val="1"/>
        <w:rPr>
          <w:rFonts w:ascii="宋体" w:hAnsi="宋体" w:cs="宋体"/>
          <w:color w:val="auto"/>
          <w:szCs w:val="21"/>
          <w:highlight w:val="none"/>
        </w:rPr>
      </w:pPr>
      <w:r>
        <w:rPr>
          <w:rFonts w:hint="eastAsia" w:ascii="宋体" w:hAnsi="宋体" w:cs="宋体"/>
          <w:color w:val="auto"/>
          <w:szCs w:val="21"/>
          <w:highlight w:val="none"/>
        </w:rPr>
        <w:t>名称：西安市公安局交通警察支队</w:t>
      </w:r>
      <w:bookmarkEnd w:id="4"/>
    </w:p>
    <w:p>
      <w:pPr>
        <w:spacing w:line="360" w:lineRule="auto"/>
        <w:ind w:firstLine="420" w:firstLineChars="200"/>
        <w:jc w:val="left"/>
        <w:outlineLvl w:val="1"/>
        <w:rPr>
          <w:rFonts w:ascii="宋体" w:hAnsi="宋体" w:cs="宋体"/>
          <w:color w:val="auto"/>
          <w:szCs w:val="21"/>
          <w:highlight w:val="none"/>
        </w:rPr>
      </w:pPr>
      <w:bookmarkStart w:id="5" w:name="_Toc19143"/>
      <w:r>
        <w:rPr>
          <w:rFonts w:hint="eastAsia" w:ascii="宋体" w:hAnsi="宋体" w:cs="宋体"/>
          <w:color w:val="auto"/>
          <w:szCs w:val="21"/>
          <w:highlight w:val="none"/>
        </w:rPr>
        <w:t>地址：太白南路222号</w:t>
      </w:r>
      <w:bookmarkEnd w:id="5"/>
    </w:p>
    <w:p>
      <w:pPr>
        <w:spacing w:line="360" w:lineRule="auto"/>
        <w:ind w:firstLine="420" w:firstLineChars="200"/>
        <w:jc w:val="left"/>
        <w:outlineLvl w:val="1"/>
        <w:rPr>
          <w:rFonts w:ascii="宋体" w:hAnsi="宋体" w:cs="宋体"/>
          <w:color w:val="auto"/>
          <w:kern w:val="0"/>
          <w:szCs w:val="21"/>
          <w:highlight w:val="none"/>
        </w:rPr>
      </w:pPr>
      <w:bookmarkStart w:id="6" w:name="_Toc4779"/>
      <w:r>
        <w:rPr>
          <w:rFonts w:hint="eastAsia" w:ascii="宋体" w:hAnsi="宋体" w:cs="宋体"/>
          <w:bCs/>
          <w:color w:val="auto"/>
          <w:kern w:val="0"/>
          <w:szCs w:val="21"/>
          <w:highlight w:val="none"/>
        </w:rPr>
        <w:t>联系方式：029-86755037</w:t>
      </w:r>
      <w:bookmarkEnd w:id="6"/>
    </w:p>
    <w:p>
      <w:pPr>
        <w:spacing w:line="360" w:lineRule="auto"/>
        <w:ind w:firstLine="420" w:firstLineChars="200"/>
        <w:jc w:val="left"/>
        <w:outlineLvl w:val="1"/>
        <w:rPr>
          <w:rFonts w:ascii="宋体" w:hAnsi="宋体" w:cs="宋体"/>
          <w:color w:val="auto"/>
          <w:szCs w:val="21"/>
          <w:highlight w:val="none"/>
        </w:rPr>
      </w:pPr>
      <w:bookmarkStart w:id="7" w:name="_Toc31494"/>
      <w:r>
        <w:rPr>
          <w:rFonts w:hint="eastAsia" w:ascii="宋体" w:hAnsi="宋体" w:cs="宋体"/>
          <w:color w:val="auto"/>
          <w:szCs w:val="21"/>
          <w:highlight w:val="none"/>
        </w:rPr>
        <w:t>2.采购代理机构信息</w:t>
      </w:r>
    </w:p>
    <w:p>
      <w:pPr>
        <w:spacing w:line="360" w:lineRule="auto"/>
        <w:ind w:firstLine="420" w:firstLineChars="200"/>
        <w:jc w:val="left"/>
        <w:outlineLvl w:val="1"/>
        <w:rPr>
          <w:rFonts w:ascii="宋体" w:hAnsi="宋体" w:cs="宋体"/>
          <w:bCs/>
          <w:color w:val="auto"/>
          <w:kern w:val="0"/>
          <w:szCs w:val="21"/>
          <w:highlight w:val="none"/>
        </w:rPr>
      </w:pPr>
      <w:bookmarkStart w:id="8" w:name="_Toc3789"/>
      <w:r>
        <w:rPr>
          <w:rFonts w:hint="eastAsia" w:ascii="宋体" w:hAnsi="宋体" w:cs="宋体"/>
          <w:bCs/>
          <w:color w:val="auto"/>
          <w:kern w:val="0"/>
          <w:szCs w:val="21"/>
          <w:highlight w:val="none"/>
        </w:rPr>
        <w:t>名称：西北（陕西）国际招标有限公司</w:t>
      </w:r>
      <w:bookmarkEnd w:id="8"/>
    </w:p>
    <w:p>
      <w:pPr>
        <w:spacing w:line="360" w:lineRule="auto"/>
        <w:ind w:firstLine="420" w:firstLineChars="200"/>
        <w:jc w:val="left"/>
        <w:outlineLvl w:val="1"/>
        <w:rPr>
          <w:rFonts w:ascii="宋体" w:hAnsi="宋体" w:cs="宋体"/>
          <w:bCs/>
          <w:color w:val="auto"/>
          <w:kern w:val="0"/>
          <w:szCs w:val="21"/>
          <w:highlight w:val="none"/>
        </w:rPr>
      </w:pPr>
      <w:bookmarkStart w:id="9" w:name="_Toc2260"/>
      <w:r>
        <w:rPr>
          <w:rFonts w:hint="eastAsia" w:ascii="宋体" w:hAnsi="宋体" w:cs="宋体"/>
          <w:bCs/>
          <w:color w:val="auto"/>
          <w:kern w:val="0"/>
          <w:szCs w:val="21"/>
          <w:highlight w:val="none"/>
        </w:rPr>
        <w:t>地址：西安市南二环西段58号成长大厦10-14层</w:t>
      </w:r>
      <w:bookmarkEnd w:id="9"/>
    </w:p>
    <w:bookmarkEnd w:id="7"/>
    <w:p>
      <w:pPr>
        <w:spacing w:line="360" w:lineRule="auto"/>
        <w:ind w:firstLine="420" w:firstLineChars="200"/>
        <w:jc w:val="left"/>
        <w:outlineLvl w:val="1"/>
        <w:rPr>
          <w:rFonts w:ascii="宋体" w:hAnsi="宋体" w:cs="宋体"/>
          <w:bCs/>
          <w:color w:val="auto"/>
          <w:kern w:val="0"/>
          <w:szCs w:val="21"/>
          <w:highlight w:val="none"/>
        </w:rPr>
      </w:pPr>
      <w:bookmarkStart w:id="10" w:name="_Toc29272"/>
      <w:r>
        <w:rPr>
          <w:rFonts w:hint="eastAsia" w:ascii="宋体" w:hAnsi="宋体" w:cs="宋体"/>
          <w:bCs/>
          <w:color w:val="auto"/>
          <w:kern w:val="0"/>
          <w:szCs w:val="21"/>
          <w:highlight w:val="none"/>
        </w:rPr>
        <w:t>联系方式：029-85592882</w:t>
      </w:r>
      <w:bookmarkEnd w:id="10"/>
    </w:p>
    <w:p>
      <w:pPr>
        <w:spacing w:line="360" w:lineRule="auto"/>
        <w:ind w:firstLine="420" w:firstLineChars="200"/>
        <w:jc w:val="left"/>
        <w:outlineLvl w:val="1"/>
        <w:rPr>
          <w:rFonts w:ascii="宋体" w:hAnsi="宋体" w:cs="宋体"/>
          <w:bCs/>
          <w:color w:val="auto"/>
          <w:kern w:val="0"/>
          <w:szCs w:val="21"/>
          <w:highlight w:val="none"/>
        </w:rPr>
      </w:pPr>
      <w:r>
        <w:rPr>
          <w:rFonts w:hint="eastAsia" w:ascii="宋体" w:hAnsi="宋体" w:cs="宋体"/>
          <w:bCs/>
          <w:color w:val="auto"/>
          <w:kern w:val="0"/>
          <w:szCs w:val="21"/>
          <w:highlight w:val="none"/>
        </w:rPr>
        <w:t>开户名称：西北（陕西）国际招标有限公司</w:t>
      </w:r>
    </w:p>
    <w:p>
      <w:pPr>
        <w:spacing w:line="360" w:lineRule="auto"/>
        <w:ind w:firstLine="420" w:firstLineChars="200"/>
        <w:jc w:val="left"/>
        <w:outlineLvl w:val="1"/>
        <w:rPr>
          <w:rFonts w:ascii="宋体" w:hAnsi="宋体" w:cs="宋体"/>
          <w:bCs/>
          <w:color w:val="auto"/>
          <w:kern w:val="0"/>
          <w:szCs w:val="21"/>
          <w:highlight w:val="none"/>
        </w:rPr>
      </w:pPr>
      <w:r>
        <w:rPr>
          <w:rFonts w:hint="eastAsia" w:ascii="宋体" w:hAnsi="宋体" w:cs="宋体"/>
          <w:bCs/>
          <w:color w:val="auto"/>
          <w:kern w:val="0"/>
          <w:szCs w:val="21"/>
          <w:highlight w:val="none"/>
        </w:rPr>
        <w:t>开户银行： 交通银行西安长安大学支行</w:t>
      </w:r>
    </w:p>
    <w:p>
      <w:pPr>
        <w:spacing w:line="360" w:lineRule="auto"/>
        <w:ind w:firstLine="420" w:firstLineChars="200"/>
        <w:jc w:val="left"/>
        <w:outlineLvl w:val="1"/>
        <w:rPr>
          <w:rFonts w:ascii="宋体" w:hAnsi="宋体" w:cs="宋体"/>
          <w:bCs/>
          <w:color w:val="auto"/>
          <w:kern w:val="0"/>
          <w:szCs w:val="21"/>
          <w:highlight w:val="none"/>
        </w:rPr>
      </w:pPr>
      <w:r>
        <w:rPr>
          <w:rFonts w:hint="eastAsia" w:ascii="宋体" w:hAnsi="宋体" w:cs="宋体"/>
          <w:bCs/>
          <w:color w:val="auto"/>
          <w:kern w:val="0"/>
          <w:szCs w:val="21"/>
          <w:highlight w:val="none"/>
        </w:rPr>
        <w:t>账    号：611301151018010003843</w:t>
      </w:r>
    </w:p>
    <w:p>
      <w:pPr>
        <w:spacing w:line="360" w:lineRule="auto"/>
        <w:ind w:firstLine="420" w:firstLineChars="200"/>
        <w:jc w:val="left"/>
        <w:outlineLvl w:val="1"/>
        <w:rPr>
          <w:rFonts w:ascii="宋体" w:hAnsi="宋体" w:cs="宋体"/>
          <w:color w:val="auto"/>
          <w:szCs w:val="21"/>
          <w:highlight w:val="none"/>
        </w:rPr>
      </w:pPr>
      <w:r>
        <w:rPr>
          <w:rFonts w:hint="eastAsia" w:ascii="宋体" w:hAnsi="宋体" w:cs="宋体"/>
          <w:color w:val="auto"/>
          <w:szCs w:val="21"/>
          <w:highlight w:val="none"/>
        </w:rPr>
        <w:t>3.项目联系方式</w:t>
      </w:r>
    </w:p>
    <w:p>
      <w:pPr>
        <w:spacing w:line="360" w:lineRule="auto"/>
        <w:ind w:firstLine="420" w:firstLineChars="200"/>
        <w:jc w:val="left"/>
        <w:outlineLvl w:val="1"/>
        <w:rPr>
          <w:rFonts w:ascii="宋体" w:hAnsi="宋体" w:cs="宋体"/>
          <w:color w:val="auto"/>
          <w:szCs w:val="21"/>
          <w:highlight w:val="none"/>
        </w:rPr>
      </w:pPr>
      <w:r>
        <w:rPr>
          <w:rFonts w:hint="eastAsia" w:ascii="宋体" w:hAnsi="宋体" w:cs="宋体"/>
          <w:color w:val="auto"/>
          <w:szCs w:val="21"/>
          <w:highlight w:val="none"/>
        </w:rPr>
        <w:t>项目联系人：韩敏、张婉迪、田凯</w:t>
      </w:r>
    </w:p>
    <w:p>
      <w:pPr>
        <w:spacing w:line="360" w:lineRule="auto"/>
        <w:ind w:firstLine="420" w:firstLineChars="200"/>
        <w:jc w:val="left"/>
        <w:outlineLvl w:val="1"/>
        <w:rPr>
          <w:rFonts w:ascii="宋体" w:hAnsi="宋体" w:cs="宋体"/>
          <w:color w:val="auto"/>
          <w:szCs w:val="21"/>
          <w:highlight w:val="none"/>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cs="宋体"/>
          <w:color w:val="auto"/>
          <w:szCs w:val="21"/>
          <w:highlight w:val="none"/>
        </w:rPr>
        <w:t>电话：029-85592882</w:t>
      </w:r>
    </w:p>
    <w:p>
      <w:pPr>
        <w:pStyle w:val="4"/>
        <w:textAlignment w:val="auto"/>
        <w:rPr>
          <w:rFonts w:ascii="宋体" w:hAnsi="宋体" w:cs="宋体"/>
          <w:bCs/>
          <w:color w:val="auto"/>
          <w:kern w:val="0"/>
          <w:sz w:val="32"/>
          <w:szCs w:val="32"/>
          <w:highlight w:val="none"/>
        </w:rPr>
      </w:pPr>
      <w:bookmarkStart w:id="11" w:name="_Toc7182"/>
      <w:r>
        <w:rPr>
          <w:rFonts w:ascii="宋体" w:hAnsi="宋体" w:cs="宋体"/>
          <w:bCs/>
          <w:color w:val="auto"/>
          <w:kern w:val="0"/>
          <w:sz w:val="32"/>
          <w:szCs w:val="32"/>
          <w:highlight w:val="none"/>
        </w:rPr>
        <w:t>第二章 磋商须知及前附表</w:t>
      </w:r>
      <w:bookmarkEnd w:id="11"/>
    </w:p>
    <w:p>
      <w:pPr>
        <w:pStyle w:val="27"/>
        <w:outlineLvl w:val="1"/>
        <w:rPr>
          <w:rStyle w:val="30"/>
          <w:rFonts w:ascii="宋体" w:hAnsi="宋体"/>
          <w:bCs w:val="0"/>
          <w:color w:val="auto"/>
          <w:sz w:val="30"/>
          <w:szCs w:val="30"/>
          <w:highlight w:val="none"/>
        </w:rPr>
      </w:pPr>
      <w:bookmarkStart w:id="12" w:name="_Toc10845"/>
      <w:r>
        <w:rPr>
          <w:rStyle w:val="30"/>
          <w:rFonts w:ascii="宋体" w:hAnsi="宋体"/>
          <w:bCs w:val="0"/>
          <w:color w:val="auto"/>
          <w:sz w:val="30"/>
          <w:szCs w:val="30"/>
          <w:highlight w:val="none"/>
        </w:rPr>
        <w:t>磋商须知前附表</w:t>
      </w:r>
      <w:bookmarkEnd w:id="12"/>
    </w:p>
    <w:p>
      <w:pPr>
        <w:spacing w:line="360" w:lineRule="auto"/>
        <w:ind w:firstLine="220" w:firstLineChars="100"/>
        <w:rPr>
          <w:rStyle w:val="30"/>
          <w:rFonts w:ascii="宋体" w:hAnsi="宋体"/>
          <w:color w:val="auto"/>
          <w:sz w:val="22"/>
          <w:highlight w:val="none"/>
        </w:rPr>
      </w:pPr>
      <w:r>
        <w:rPr>
          <w:rStyle w:val="30"/>
          <w:rFonts w:ascii="宋体" w:hAnsi="宋体"/>
          <w:color w:val="auto"/>
          <w:sz w:val="22"/>
          <w:highlight w:val="none"/>
        </w:rPr>
        <w:t>（本表是对磋商须知的提示、补充和修改，如有矛盾，应以本表为准。）</w:t>
      </w:r>
    </w:p>
    <w:tbl>
      <w:tblPr>
        <w:tblStyle w:val="19"/>
        <w:tblW w:w="8872" w:type="dxa"/>
        <w:tblInd w:w="13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Layout w:type="fixed"/>
        <w:tblCellMar>
          <w:top w:w="0" w:type="dxa"/>
          <w:left w:w="113" w:type="dxa"/>
          <w:bottom w:w="0" w:type="dxa"/>
          <w:right w:w="113" w:type="dxa"/>
        </w:tblCellMar>
      </w:tblPr>
      <w:tblGrid>
        <w:gridCol w:w="988"/>
        <w:gridCol w:w="2200"/>
        <w:gridCol w:w="568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567" w:hRule="atLeast"/>
          <w:tblHeader/>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b/>
                <w:color w:val="auto"/>
                <w:sz w:val="21"/>
                <w:szCs w:val="21"/>
                <w:highlight w:val="none"/>
              </w:rPr>
            </w:pPr>
            <w:r>
              <w:rPr>
                <w:rStyle w:val="30"/>
                <w:rFonts w:hint="eastAsia" w:cs="宋体" w:asciiTheme="minorEastAsia" w:hAnsiTheme="minorEastAsia" w:eastAsiaTheme="minorEastAsia"/>
                <w:b/>
                <w:color w:val="auto"/>
                <w:sz w:val="21"/>
                <w:szCs w:val="21"/>
                <w:highlight w:val="none"/>
              </w:rPr>
              <w:t>条款号</w:t>
            </w:r>
          </w:p>
        </w:tc>
        <w:tc>
          <w:tcPr>
            <w:tcW w:w="2200" w:type="dxa"/>
            <w:tcBorders>
              <w:tl2br w:val="nil"/>
              <w:tr2bl w:val="nil"/>
            </w:tcBorders>
            <w:vAlign w:val="center"/>
          </w:tcPr>
          <w:p>
            <w:pPr>
              <w:spacing w:line="320" w:lineRule="exact"/>
              <w:jc w:val="center"/>
              <w:rPr>
                <w:rStyle w:val="30"/>
                <w:rFonts w:cs="宋体" w:asciiTheme="minorEastAsia" w:hAnsiTheme="minorEastAsia" w:eastAsiaTheme="minorEastAsia"/>
                <w:b/>
                <w:color w:val="auto"/>
                <w:sz w:val="21"/>
                <w:szCs w:val="21"/>
                <w:highlight w:val="none"/>
              </w:rPr>
            </w:pPr>
            <w:r>
              <w:rPr>
                <w:rStyle w:val="30"/>
                <w:rFonts w:hint="eastAsia" w:cs="宋体" w:asciiTheme="minorEastAsia" w:hAnsiTheme="minorEastAsia" w:eastAsiaTheme="minorEastAsia"/>
                <w:b/>
                <w:color w:val="auto"/>
                <w:sz w:val="21"/>
                <w:szCs w:val="21"/>
                <w:highlight w:val="none"/>
              </w:rPr>
              <w:t>条款内容提示</w:t>
            </w:r>
          </w:p>
        </w:tc>
        <w:tc>
          <w:tcPr>
            <w:tcW w:w="5684" w:type="dxa"/>
            <w:tcBorders>
              <w:tl2br w:val="nil"/>
              <w:tr2bl w:val="nil"/>
            </w:tcBorders>
            <w:vAlign w:val="center"/>
          </w:tcPr>
          <w:p>
            <w:pPr>
              <w:spacing w:line="320" w:lineRule="exact"/>
              <w:jc w:val="center"/>
              <w:rPr>
                <w:rStyle w:val="30"/>
                <w:rFonts w:cs="宋体" w:asciiTheme="minorEastAsia" w:hAnsiTheme="minorEastAsia" w:eastAsiaTheme="minorEastAsia"/>
                <w:b/>
                <w:color w:val="auto"/>
                <w:sz w:val="21"/>
                <w:szCs w:val="21"/>
                <w:highlight w:val="none"/>
              </w:rPr>
            </w:pPr>
            <w:r>
              <w:rPr>
                <w:rStyle w:val="30"/>
                <w:rFonts w:hint="eastAsia" w:cs="宋体" w:asciiTheme="minorEastAsia" w:hAnsiTheme="minorEastAsia" w:eastAsiaTheme="minorEastAsia"/>
                <w:b/>
                <w:color w:val="auto"/>
                <w:sz w:val="21"/>
                <w:szCs w:val="21"/>
                <w:highlight w:val="none"/>
              </w:rPr>
              <w:t>编 列 内 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361"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1.1</w:t>
            </w:r>
          </w:p>
        </w:tc>
        <w:tc>
          <w:tcPr>
            <w:tcW w:w="2200" w:type="dxa"/>
            <w:tcBorders>
              <w:tl2br w:val="nil"/>
              <w:tr2bl w:val="nil"/>
            </w:tcBorders>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采购人</w:t>
            </w:r>
          </w:p>
        </w:tc>
        <w:tc>
          <w:tcPr>
            <w:tcW w:w="5684" w:type="dxa"/>
            <w:tcBorders>
              <w:tl2br w:val="nil"/>
              <w:tr2bl w:val="nil"/>
            </w:tcBorders>
            <w:vAlign w:val="center"/>
          </w:tcPr>
          <w:p>
            <w:pPr>
              <w:spacing w:line="36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名称：西安市公安局交通警察支队</w:t>
            </w:r>
          </w:p>
          <w:p>
            <w:pPr>
              <w:spacing w:line="360" w:lineRule="auto"/>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地址：太白南路222号</w:t>
            </w:r>
          </w:p>
          <w:p>
            <w:pPr>
              <w:spacing w:line="360" w:lineRule="auto"/>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val="en-US" w:eastAsia="zh-CN"/>
              </w:rPr>
              <w:t>王</w:t>
            </w:r>
            <w:r>
              <w:rPr>
                <w:rFonts w:hint="eastAsia" w:ascii="宋体" w:hAnsi="宋体" w:cs="宋体"/>
                <w:color w:val="auto"/>
                <w:kern w:val="0"/>
                <w:szCs w:val="21"/>
                <w:highlight w:val="none"/>
              </w:rPr>
              <w:t>警官</w:t>
            </w:r>
          </w:p>
          <w:p>
            <w:pPr>
              <w:spacing w:line="360" w:lineRule="auto"/>
              <w:jc w:val="left"/>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联系方式：029-</w:t>
            </w:r>
            <w:r>
              <w:rPr>
                <w:rFonts w:hint="eastAsia" w:ascii="宋体" w:hAnsi="宋体" w:cs="宋体"/>
                <w:color w:val="auto"/>
                <w:kern w:val="0"/>
                <w:szCs w:val="21"/>
                <w:highlight w:val="none"/>
                <w:lang w:val="en-US" w:eastAsia="zh-CN"/>
              </w:rPr>
              <w:t>86755037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701"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1.2</w:t>
            </w:r>
          </w:p>
        </w:tc>
        <w:tc>
          <w:tcPr>
            <w:tcW w:w="2200" w:type="dxa"/>
            <w:tcBorders>
              <w:tl2br w:val="nil"/>
              <w:tr2bl w:val="nil"/>
            </w:tcBorders>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采购代理机构</w:t>
            </w:r>
          </w:p>
        </w:tc>
        <w:tc>
          <w:tcPr>
            <w:tcW w:w="5684" w:type="dxa"/>
            <w:tcBorders>
              <w:tl2br w:val="nil"/>
              <w:tr2bl w:val="nil"/>
            </w:tcBorders>
            <w:vAlign w:val="center"/>
          </w:tcPr>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名称：西北（陕西）国际招标有限公司</w:t>
            </w:r>
          </w:p>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kern w:val="0"/>
                <w:szCs w:val="21"/>
                <w:highlight w:val="none"/>
              </w:rPr>
              <w:t>西安市南二环西段58号成长大厦10-14层</w:t>
            </w:r>
          </w:p>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邮编：710000</w:t>
            </w:r>
          </w:p>
          <w:p>
            <w:pPr>
              <w:spacing w:line="360" w:lineRule="auto"/>
              <w:jc w:val="left"/>
              <w:outlineLvl w:val="1"/>
              <w:rPr>
                <w:rFonts w:ascii="宋体" w:hAnsi="宋体" w:cs="宋体"/>
                <w:color w:val="auto"/>
                <w:szCs w:val="21"/>
                <w:highlight w:val="none"/>
              </w:rPr>
            </w:pPr>
            <w:r>
              <w:rPr>
                <w:rFonts w:hint="eastAsia" w:ascii="宋体" w:hAnsi="宋体" w:cs="宋体"/>
                <w:color w:val="auto"/>
                <w:szCs w:val="21"/>
                <w:highlight w:val="none"/>
              </w:rPr>
              <w:t>联系人：韩敏、张婉迪、田凯</w:t>
            </w:r>
          </w:p>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电话：029-85592882</w:t>
            </w:r>
          </w:p>
          <w:p>
            <w:pPr>
              <w:widowControl w:val="0"/>
              <w:spacing w:line="360" w:lineRule="auto"/>
              <w:textAlignment w:val="auto"/>
              <w:rPr>
                <w:rFonts w:ascii="宋体" w:hAnsi="宋体" w:cs="宋体"/>
                <w:color w:val="auto"/>
                <w:kern w:val="0"/>
                <w:szCs w:val="21"/>
                <w:highlight w:val="none"/>
              </w:rPr>
            </w:pPr>
            <w:r>
              <w:rPr>
                <w:rFonts w:hint="eastAsia" w:ascii="宋体" w:hAnsi="宋体" w:cs="宋体"/>
                <w:color w:val="auto"/>
                <w:szCs w:val="21"/>
                <w:highlight w:val="none"/>
              </w:rPr>
              <w:t>邮箱：xbgjhm3@163.com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021" w:hRule="atLeast"/>
        </w:trPr>
        <w:tc>
          <w:tcPr>
            <w:tcW w:w="988" w:type="dxa"/>
            <w:vMerge w:val="restart"/>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2.1</w:t>
            </w:r>
          </w:p>
        </w:tc>
        <w:tc>
          <w:tcPr>
            <w:tcW w:w="2200" w:type="dxa"/>
            <w:tcBorders>
              <w:tl2br w:val="nil"/>
              <w:tr2bl w:val="nil"/>
            </w:tcBorders>
            <w:vAlign w:val="center"/>
          </w:tcPr>
          <w:p>
            <w:pPr>
              <w:widowControl w:val="0"/>
              <w:spacing w:line="36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中华人民共和国法律、行政法规规定的其他条件；</w:t>
            </w:r>
          </w:p>
        </w:tc>
        <w:tc>
          <w:tcPr>
            <w:tcW w:w="5684" w:type="dxa"/>
            <w:tcBorders>
              <w:tl2br w:val="nil"/>
              <w:tr2bl w:val="nil"/>
            </w:tcBorders>
            <w:vAlign w:val="center"/>
          </w:tcPr>
          <w:p>
            <w:pPr>
              <w:widowControl w:val="0"/>
              <w:spacing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567" w:hRule="atLeast"/>
        </w:trPr>
        <w:tc>
          <w:tcPr>
            <w:tcW w:w="988" w:type="dxa"/>
            <w:vMerge w:val="continue"/>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p>
        </w:tc>
        <w:tc>
          <w:tcPr>
            <w:tcW w:w="2200" w:type="dxa"/>
            <w:tcBorders>
              <w:tl2br w:val="nil"/>
              <w:tr2bl w:val="nil"/>
            </w:tcBorders>
            <w:vAlign w:val="center"/>
          </w:tcPr>
          <w:p>
            <w:pPr>
              <w:widowControl w:val="0"/>
              <w:spacing w:line="36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本项目特定条件</w:t>
            </w:r>
          </w:p>
        </w:tc>
        <w:tc>
          <w:tcPr>
            <w:tcW w:w="5684" w:type="dxa"/>
            <w:tcBorders>
              <w:tl2br w:val="nil"/>
              <w:tr2bl w:val="nil"/>
            </w:tcBorders>
            <w:vAlign w:val="center"/>
          </w:tcPr>
          <w:p>
            <w:pPr>
              <w:widowControl w:val="0"/>
              <w:spacing w:line="360" w:lineRule="auto"/>
              <w:textAlignment w:val="auto"/>
              <w:rPr>
                <w:rFonts w:ascii="宋体" w:hAnsi="宋体" w:cs="宋体"/>
                <w:color w:val="auto"/>
                <w:kern w:val="0"/>
                <w:szCs w:val="21"/>
                <w:highlight w:val="none"/>
              </w:rPr>
            </w:pPr>
            <w:r>
              <w:rPr>
                <w:rFonts w:hint="eastAsia" w:ascii="宋体" w:hAnsi="宋体" w:cs="宋体"/>
                <w:color w:val="auto"/>
                <w:szCs w:val="21"/>
                <w:highlight w:val="none"/>
              </w:rPr>
              <w:t>供应商须具有城乡规划编制甲级资质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701"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3</w:t>
            </w:r>
          </w:p>
        </w:tc>
        <w:tc>
          <w:tcPr>
            <w:tcW w:w="2200" w:type="dxa"/>
            <w:tcBorders>
              <w:tl2br w:val="nil"/>
              <w:tr2bl w:val="nil"/>
            </w:tcBorders>
            <w:vAlign w:val="center"/>
          </w:tcPr>
          <w:p>
            <w:pPr>
              <w:widowControl w:val="0"/>
              <w:spacing w:line="36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供应商信用信息</w:t>
            </w:r>
          </w:p>
          <w:p>
            <w:pPr>
              <w:widowControl w:val="0"/>
              <w:spacing w:line="36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查询</w:t>
            </w:r>
          </w:p>
        </w:tc>
        <w:tc>
          <w:tcPr>
            <w:tcW w:w="5684" w:type="dxa"/>
            <w:tcBorders>
              <w:tl2br w:val="nil"/>
              <w:tr2bl w:val="nil"/>
            </w:tcBorders>
            <w:vAlign w:val="center"/>
          </w:tcPr>
          <w:p>
            <w:pPr>
              <w:widowControl w:val="0"/>
              <w:spacing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信用中国”网站（www.creditchina.gov.cn）和“中国政府采购网”（www.ccgp.gov.cn）对供应商信用信息进行查询，如果供应商被查实在磋商截止时间前已列入失信被执行人（页面跳转至“中国执行信息公开网”http://zxgk.court.gov.cn/shixin/）、重大税收违法失信主体、政府采购严重违法失信行为记录名单，其磋商响应为无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3289"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7.2</w:t>
            </w:r>
          </w:p>
        </w:tc>
        <w:tc>
          <w:tcPr>
            <w:tcW w:w="2200" w:type="dxa"/>
            <w:tcBorders>
              <w:tl2br w:val="nil"/>
              <w:tr2bl w:val="nil"/>
            </w:tcBorders>
            <w:vAlign w:val="center"/>
          </w:tcPr>
          <w:p>
            <w:pPr>
              <w:widowControl w:val="0"/>
              <w:spacing w:line="36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供应商提出询问和质疑的时间</w:t>
            </w:r>
          </w:p>
        </w:tc>
        <w:tc>
          <w:tcPr>
            <w:tcW w:w="5684" w:type="dxa"/>
            <w:tcBorders>
              <w:tl2br w:val="nil"/>
              <w:tr2bl w:val="nil"/>
            </w:tcBorders>
            <w:vAlign w:val="center"/>
          </w:tcPr>
          <w:p>
            <w:pPr>
              <w:widowControl w:val="0"/>
              <w:spacing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已经购买磋商文件的供应商对磋商文件有质疑的，可以在本项目磋商文件公告期限届满之日起七个工作日内，对同一采购程序环节以书面形式向采购代理机构一次性提出，在此之后提出的询问和质疑均为无效，采购代理机构不予受理。</w:t>
            </w:r>
          </w:p>
          <w:p>
            <w:pPr>
              <w:widowControl w:val="0"/>
              <w:spacing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2）接收质疑函的方式：书面形式格式：见“中国政府采购网（www.ccgp.gov.cn）下载专区”</w:t>
            </w:r>
          </w:p>
          <w:p>
            <w:pPr>
              <w:widowControl w:val="0"/>
              <w:spacing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3）联系部门：西北（陕西）国际招标有限公司综合监督处；</w:t>
            </w:r>
          </w:p>
          <w:p>
            <w:pPr>
              <w:widowControl w:val="0"/>
              <w:spacing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4）联系电话：029-85362812</w:t>
            </w:r>
          </w:p>
          <w:p>
            <w:pPr>
              <w:widowControl w:val="0"/>
              <w:spacing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5）通讯地址：西安市南二环西段58号成长大厦12楼1203室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021"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7.3</w:t>
            </w:r>
          </w:p>
        </w:tc>
        <w:tc>
          <w:tcPr>
            <w:tcW w:w="2200" w:type="dxa"/>
            <w:tcBorders>
              <w:tl2br w:val="nil"/>
              <w:tr2bl w:val="nil"/>
            </w:tcBorders>
            <w:vAlign w:val="center"/>
          </w:tcPr>
          <w:p>
            <w:pPr>
              <w:widowControl w:val="0"/>
              <w:spacing w:line="36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采购代理机构答疑的时间</w:t>
            </w:r>
          </w:p>
        </w:tc>
        <w:tc>
          <w:tcPr>
            <w:tcW w:w="5684" w:type="dxa"/>
            <w:tcBorders>
              <w:tl2br w:val="nil"/>
              <w:tr2bl w:val="nil"/>
            </w:tcBorders>
            <w:vAlign w:val="center"/>
          </w:tcPr>
          <w:p>
            <w:pPr>
              <w:widowControl w:val="0"/>
              <w:spacing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对于在规定时间内收到的供应商依法提出的询问或者质疑，采购代理机构将按程序及时作出答复，若对磋商文件做出实质性变动，则按照相关规定延长磋商响应截止时间。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803"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7.4</w:t>
            </w:r>
          </w:p>
        </w:tc>
        <w:tc>
          <w:tcPr>
            <w:tcW w:w="2200" w:type="dxa"/>
            <w:tcBorders>
              <w:tl2br w:val="nil"/>
              <w:tr2bl w:val="nil"/>
            </w:tcBorders>
            <w:vAlign w:val="center"/>
          </w:tcPr>
          <w:p>
            <w:pPr>
              <w:widowControl w:val="0"/>
              <w:spacing w:line="36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质疑内容要求</w:t>
            </w:r>
          </w:p>
        </w:tc>
        <w:tc>
          <w:tcPr>
            <w:tcW w:w="5684" w:type="dxa"/>
            <w:tcBorders>
              <w:tl2br w:val="nil"/>
              <w:tr2bl w:val="nil"/>
            </w:tcBorders>
            <w:vAlign w:val="center"/>
          </w:tcPr>
          <w:p>
            <w:pPr>
              <w:widowControl w:val="0"/>
              <w:spacing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供应商提出质疑应当提交质疑函和必要的证明材料原件，代理机构不接受传真、电子邮件、复印件等形式的质疑材料。</w:t>
            </w:r>
          </w:p>
          <w:p>
            <w:pPr>
              <w:widowControl w:val="0"/>
              <w:spacing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质疑函应当包括下列内容：</w:t>
            </w:r>
          </w:p>
          <w:p>
            <w:pPr>
              <w:widowControl w:val="0"/>
              <w:spacing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（一）供应商的姓名或者名称、地址、邮编、联系人及联系电话；</w:t>
            </w:r>
          </w:p>
          <w:p>
            <w:pPr>
              <w:widowControl w:val="0"/>
              <w:spacing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（二）质疑项目的名称、编号；</w:t>
            </w:r>
          </w:p>
          <w:p>
            <w:pPr>
              <w:widowControl w:val="0"/>
              <w:spacing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（三）具体、明确的质疑事项和与质疑事项相关的请求；</w:t>
            </w:r>
          </w:p>
          <w:p>
            <w:pPr>
              <w:widowControl w:val="0"/>
              <w:spacing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（四）事实依据；</w:t>
            </w:r>
          </w:p>
          <w:p>
            <w:pPr>
              <w:widowControl w:val="0"/>
              <w:spacing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（五）必要的法律依据；</w:t>
            </w:r>
          </w:p>
          <w:p>
            <w:pPr>
              <w:widowControl w:val="0"/>
              <w:spacing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（六）提出质疑的日期。</w:t>
            </w:r>
          </w:p>
          <w:p>
            <w:pPr>
              <w:widowControl w:val="0"/>
              <w:spacing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供应商为自然人的，应当由本人签字；供应商为法人或者其他组织的，应当由法定代表人、主要负责人，或者其授权代表（附法人代表授权书）签字或者盖章（鲜章），并加盖公章（鲜章）。</w:t>
            </w:r>
          </w:p>
          <w:p>
            <w:pPr>
              <w:widowControl w:val="0"/>
              <w:spacing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质疑函格式应符合“政府采购供应商质疑函范本”要求，详见“中国政府采购网（www.ccgp.gov.cn）”下载专区。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455"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12.1</w:t>
            </w:r>
          </w:p>
        </w:tc>
        <w:tc>
          <w:tcPr>
            <w:tcW w:w="2200" w:type="dxa"/>
            <w:tcBorders>
              <w:tl2br w:val="nil"/>
              <w:tr2bl w:val="nil"/>
            </w:tcBorders>
            <w:vAlign w:val="center"/>
          </w:tcPr>
          <w:p>
            <w:pPr>
              <w:widowControl w:val="0"/>
              <w:spacing w:line="36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报价要求</w:t>
            </w:r>
          </w:p>
        </w:tc>
        <w:tc>
          <w:tcPr>
            <w:tcW w:w="5684" w:type="dxa"/>
            <w:tcBorders>
              <w:tl2br w:val="nil"/>
              <w:tr2bl w:val="nil"/>
            </w:tcBorders>
            <w:vAlign w:val="center"/>
          </w:tcPr>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报价要求：总价及分项报价</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1）报价应包含完成西安市交通绿色出行评价的全部费用。</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2）供应商必须对所响应项目进行完整报价，采购人不接受（将拒绝）只对部分内容进行报价的响应。</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3）明显不合理或者低于成本且无法合理解释的报价将被否决。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985"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13.1</w:t>
            </w:r>
          </w:p>
        </w:tc>
        <w:tc>
          <w:tcPr>
            <w:tcW w:w="2200" w:type="dxa"/>
            <w:tcBorders>
              <w:tl2br w:val="nil"/>
              <w:tr2bl w:val="nil"/>
            </w:tcBorders>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资格证明文件</w:t>
            </w:r>
          </w:p>
        </w:tc>
        <w:tc>
          <w:tcPr>
            <w:tcW w:w="5684" w:type="dxa"/>
            <w:tcBorders>
              <w:tl2br w:val="nil"/>
              <w:tr2bl w:val="nil"/>
            </w:tcBorders>
            <w:vAlign w:val="center"/>
          </w:tcPr>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1）具有独立承担民事责任的能力</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提供注册登记凭证（营业执照、其他组织经营的合法凭证，自然人的提供身份证明文件）。</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2021年度</w:t>
            </w:r>
            <w:r>
              <w:rPr>
                <w:rFonts w:hint="eastAsia" w:ascii="宋体" w:hAnsi="宋体" w:eastAsia="宋体" w:cs="宋体"/>
                <w:color w:val="auto"/>
                <w:sz w:val="21"/>
                <w:szCs w:val="21"/>
                <w:highlight w:val="none"/>
              </w:rPr>
              <w:t>经审计的财务报告（包括四表一注，即资产负债表、利润表、现金流量表、所有者权益变动表及其附注），且无反对意见；事业法人提供部门决算报告；/或在磋商截止日期前六个月内其基本开户银行出具的资信证明（附《基本存款账户信息》或《银行开户许可证》复印件）；/或财政部门认可的政府采购专业担保机构出具的投标担保函；以上三种形式的资料提供任何一种即可。</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3）具有履行合同所必需的设备和专业技术能力</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提供声明文件原件。</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4）具有依法缴纳税收的良好记录</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提供缴费所属日期为磋商截止时间前12个月内任一月份（磋商截止时间当月不计入）的增值税（或企业所得税）缴费凭据或税务机关出具的完税证明/在法规范围内不需提供的应出具书面说明和证明文件。</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5）具有依法缴纳社会保障资金的良好记录</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提供缴费所属日期为磋商截止时间前12个月内任一月份（磋商截止时间当月不计入）的缴费凭据或社保机关出具的缴费证明/在法规范围内不需提供的应出具书面说明和证明文件。</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6）参加政府采购活动前3年内在经营活动中没有重大违法记录的书面声明（原件）。</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7）法人代表授权书（原件）。</w:t>
            </w:r>
          </w:p>
          <w:p>
            <w:pPr>
              <w:widowControl w:val="0"/>
              <w:spacing w:line="360" w:lineRule="auto"/>
              <w:textAlignment w:val="auto"/>
              <w:rPr>
                <w:rFonts w:hint="eastAsia" w:eastAsia="宋体" w:cs="宋体"/>
                <w:color w:val="auto"/>
                <w:sz w:val="21"/>
                <w:szCs w:val="21"/>
                <w:highlight w:val="none"/>
                <w:lang w:val="en-US" w:eastAsia="zh-CN"/>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具有城乡规划编制甲级资质</w:t>
            </w:r>
            <w:r>
              <w:rPr>
                <w:rFonts w:hint="eastAsia" w:ascii="宋体" w:hAnsi="宋体" w:cs="宋体"/>
                <w:color w:val="auto"/>
                <w:kern w:val="0"/>
                <w:szCs w:val="21"/>
                <w:highlight w:val="none"/>
                <w:lang w:eastAsia="zh-CN"/>
              </w:rPr>
              <w:t>。</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①以上资格证明文件供应商必须完全提供，一项不合格即按照无效响应处理，注明原件的须胶装在响应文件正本中；②除注明原件外，均为复印件；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567"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13.2</w:t>
            </w:r>
          </w:p>
        </w:tc>
        <w:tc>
          <w:tcPr>
            <w:tcW w:w="2200" w:type="dxa"/>
            <w:tcBorders>
              <w:tl2br w:val="nil"/>
              <w:tr2bl w:val="nil"/>
            </w:tcBorders>
            <w:vAlign w:val="center"/>
          </w:tcPr>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其他证明文件</w:t>
            </w:r>
          </w:p>
        </w:tc>
        <w:tc>
          <w:tcPr>
            <w:tcW w:w="5684" w:type="dxa"/>
            <w:tcBorders>
              <w:tl2br w:val="nil"/>
              <w:tr2bl w:val="nil"/>
            </w:tcBorders>
            <w:vAlign w:val="center"/>
          </w:tcPr>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提供2019年1月1日至今有过城市交通数据梳理、交通数据分析、交通政策研究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交通相关规划报告</w:t>
            </w:r>
            <w:r>
              <w:rPr>
                <w:rFonts w:hint="eastAsia" w:ascii="宋体" w:hAnsi="宋体" w:cs="宋体"/>
                <w:color w:val="auto"/>
                <w:kern w:val="0"/>
                <w:szCs w:val="21"/>
                <w:highlight w:val="none"/>
              </w:rPr>
              <w:t>等类似项目业绩</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以合同为准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021"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13.3</w:t>
            </w:r>
          </w:p>
        </w:tc>
        <w:tc>
          <w:tcPr>
            <w:tcW w:w="2200" w:type="dxa"/>
            <w:tcBorders>
              <w:tl2br w:val="nil"/>
              <w:tr2bl w:val="nil"/>
            </w:tcBorders>
            <w:vAlign w:val="center"/>
          </w:tcPr>
          <w:p>
            <w:pPr>
              <w:widowControl w:val="0"/>
              <w:spacing w:line="36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要求单独密封并与磋商响应文件一并提交的证明文件原件</w:t>
            </w:r>
          </w:p>
        </w:tc>
        <w:tc>
          <w:tcPr>
            <w:tcW w:w="5684" w:type="dxa"/>
            <w:tcBorders>
              <w:tl2br w:val="nil"/>
              <w:tr2bl w:val="nil"/>
            </w:tcBorders>
            <w:vAlign w:val="center"/>
          </w:tcPr>
          <w:p>
            <w:pPr>
              <w:widowControl w:val="0"/>
              <w:spacing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737"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14.2</w:t>
            </w:r>
          </w:p>
        </w:tc>
        <w:tc>
          <w:tcPr>
            <w:tcW w:w="2200" w:type="dxa"/>
            <w:tcBorders>
              <w:tl2br w:val="nil"/>
              <w:tr2bl w:val="nil"/>
            </w:tcBorders>
            <w:vAlign w:val="center"/>
          </w:tcPr>
          <w:p>
            <w:pPr>
              <w:widowControl w:val="0"/>
              <w:spacing w:line="36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本次采购特别要求的服务合格性证明文件</w:t>
            </w:r>
          </w:p>
        </w:tc>
        <w:tc>
          <w:tcPr>
            <w:tcW w:w="5684" w:type="dxa"/>
            <w:tcBorders>
              <w:tl2br w:val="nil"/>
              <w:tr2bl w:val="nil"/>
            </w:tcBorders>
            <w:vAlign w:val="center"/>
          </w:tcPr>
          <w:p>
            <w:pPr>
              <w:widowControl w:val="0"/>
              <w:spacing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567"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w:t>
            </w:r>
          </w:p>
        </w:tc>
        <w:tc>
          <w:tcPr>
            <w:tcW w:w="2200" w:type="dxa"/>
            <w:tcBorders>
              <w:tl2br w:val="nil"/>
              <w:tr2bl w:val="nil"/>
            </w:tcBorders>
            <w:vAlign w:val="center"/>
          </w:tcPr>
          <w:p>
            <w:pPr>
              <w:widowControl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政府采购政策功能</w:t>
            </w:r>
          </w:p>
        </w:tc>
        <w:tc>
          <w:tcPr>
            <w:tcW w:w="5684" w:type="dxa"/>
            <w:tcBorders>
              <w:tl2br w:val="nil"/>
              <w:tr2bl w:val="nil"/>
            </w:tcBorders>
            <w:vAlign w:val="center"/>
          </w:tcPr>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1）根据《陕西省财政厅关于印发&lt;陕西省中小企业政府采购信用融资办法&gt;的通知》（陕财办采〔2018〕23 号，详见本章附件1）相关规定，有融资需求的供应商可根据自身情况，在陕西省政府采购信用融资平台http://www.ccgp-shaanxi.gov.cn/zcdservice/zcd/shanxi/）自主选择金融机构及其融资产品，凭政府采购中标（成交）通知书或政府采购合同提出融资申请。政府采购监管部门业务咨询电话：029-68936409、68936341、69936154。</w:t>
            </w:r>
          </w:p>
          <w:p>
            <w:pPr>
              <w:widowControl w:val="0"/>
              <w:spacing w:line="360" w:lineRule="auto"/>
              <w:textAlignment w:val="auto"/>
              <w:rPr>
                <w:color w:val="auto"/>
                <w:highlight w:val="none"/>
              </w:rPr>
            </w:pPr>
            <w:r>
              <w:rPr>
                <w:rFonts w:hint="eastAsia" w:ascii="宋体" w:hAnsi="宋体" w:cs="宋体"/>
                <w:color w:val="auto"/>
                <w:szCs w:val="21"/>
                <w:highlight w:val="none"/>
              </w:rPr>
              <w:t>2）</w:t>
            </w:r>
            <w:r>
              <w:rPr>
                <w:rFonts w:ascii="宋体" w:hAnsi="宋体" w:cs="宋体"/>
                <w:color w:val="auto"/>
                <w:szCs w:val="21"/>
                <w:highlight w:val="none"/>
              </w:rPr>
              <w:t>对于供应商符合政府采购政策关于小微企业、残疾人福利性单位及监狱企业等规定的，在评标时给予相应的价格折扣，具体办法详见第</w:t>
            </w:r>
            <w:r>
              <w:rPr>
                <w:rFonts w:hint="eastAsia" w:ascii="宋体" w:hAnsi="宋体" w:cs="宋体"/>
                <w:color w:val="auto"/>
                <w:szCs w:val="21"/>
                <w:highlight w:val="none"/>
              </w:rPr>
              <w:t>五</w:t>
            </w:r>
            <w:r>
              <w:rPr>
                <w:rFonts w:ascii="宋体" w:hAnsi="宋体" w:cs="宋体"/>
                <w:color w:val="auto"/>
                <w:szCs w:val="21"/>
                <w:highlight w:val="none"/>
              </w:rPr>
              <w:t>章“评</w:t>
            </w:r>
            <w:r>
              <w:rPr>
                <w:rFonts w:hint="eastAsia" w:ascii="宋体" w:hAnsi="宋体" w:cs="宋体"/>
                <w:color w:val="auto"/>
                <w:szCs w:val="21"/>
                <w:highlight w:val="none"/>
              </w:rPr>
              <w:t>审方</w:t>
            </w:r>
            <w:r>
              <w:rPr>
                <w:rFonts w:ascii="宋体" w:hAnsi="宋体" w:cs="宋体"/>
                <w:color w:val="auto"/>
                <w:szCs w:val="21"/>
                <w:highlight w:val="none"/>
              </w:rPr>
              <w:t>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567"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15</w:t>
            </w:r>
          </w:p>
        </w:tc>
        <w:tc>
          <w:tcPr>
            <w:tcW w:w="2200" w:type="dxa"/>
            <w:tcBorders>
              <w:tl2br w:val="nil"/>
              <w:tr2bl w:val="nil"/>
            </w:tcBorders>
            <w:vAlign w:val="center"/>
          </w:tcPr>
          <w:p>
            <w:pPr>
              <w:widowControl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是否要求磋商保证金</w:t>
            </w:r>
          </w:p>
        </w:tc>
        <w:tc>
          <w:tcPr>
            <w:tcW w:w="5684" w:type="dxa"/>
            <w:tcBorders>
              <w:tl2br w:val="nil"/>
              <w:tr2bl w:val="nil"/>
            </w:tcBorders>
            <w:vAlign w:val="center"/>
          </w:tcPr>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不要求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567"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16.1</w:t>
            </w:r>
          </w:p>
        </w:tc>
        <w:tc>
          <w:tcPr>
            <w:tcW w:w="2200" w:type="dxa"/>
            <w:tcBorders>
              <w:tl2br w:val="nil"/>
              <w:tr2bl w:val="nil"/>
            </w:tcBorders>
            <w:vAlign w:val="center"/>
          </w:tcPr>
          <w:p>
            <w:pPr>
              <w:widowControl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磋商报价有效期</w:t>
            </w:r>
          </w:p>
        </w:tc>
        <w:tc>
          <w:tcPr>
            <w:tcW w:w="5684" w:type="dxa"/>
            <w:tcBorders>
              <w:tl2br w:val="nil"/>
              <w:tr2bl w:val="nil"/>
            </w:tcBorders>
            <w:vAlign w:val="center"/>
          </w:tcPr>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磋商后90天。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567"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17.1</w:t>
            </w:r>
          </w:p>
        </w:tc>
        <w:tc>
          <w:tcPr>
            <w:tcW w:w="2200" w:type="dxa"/>
            <w:tcBorders>
              <w:tl2br w:val="nil"/>
              <w:tr2bl w:val="nil"/>
            </w:tcBorders>
            <w:vAlign w:val="center"/>
          </w:tcPr>
          <w:p>
            <w:pPr>
              <w:widowControl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磋商响应文件份数</w:t>
            </w:r>
          </w:p>
        </w:tc>
        <w:tc>
          <w:tcPr>
            <w:tcW w:w="5684" w:type="dxa"/>
            <w:tcBorders>
              <w:tl2br w:val="nil"/>
              <w:tr2bl w:val="nil"/>
            </w:tcBorders>
            <w:vAlign w:val="center"/>
          </w:tcPr>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正本一份，副本二份，电子版一份。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701"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17.2</w:t>
            </w:r>
          </w:p>
        </w:tc>
        <w:tc>
          <w:tcPr>
            <w:tcW w:w="2200" w:type="dxa"/>
            <w:tcBorders>
              <w:tl2br w:val="nil"/>
              <w:tr2bl w:val="nil"/>
            </w:tcBorders>
            <w:vAlign w:val="center"/>
          </w:tcPr>
          <w:p>
            <w:pPr>
              <w:widowControl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电子版文件要求</w:t>
            </w:r>
          </w:p>
        </w:tc>
        <w:tc>
          <w:tcPr>
            <w:tcW w:w="5684" w:type="dxa"/>
            <w:tcBorders>
              <w:tl2br w:val="nil"/>
              <w:tr2bl w:val="nil"/>
            </w:tcBorders>
            <w:vAlign w:val="center"/>
          </w:tcPr>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有，要求如下：</w:t>
            </w:r>
          </w:p>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1）供应商须另行提供与纸质响应文件正本一致的PDF格式U盘，且盖章、签字处必须扫描并清晰可辨；</w:t>
            </w:r>
          </w:p>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2）供应商须保证响应文件的纸质文件与电子文档保持一致；</w:t>
            </w:r>
          </w:p>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3）电子文档表面需标明采购项目编号、供应商名称等信息。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021"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17.3</w:t>
            </w:r>
          </w:p>
        </w:tc>
        <w:tc>
          <w:tcPr>
            <w:tcW w:w="2200" w:type="dxa"/>
            <w:tcBorders>
              <w:tl2br w:val="nil"/>
              <w:tr2bl w:val="nil"/>
            </w:tcBorders>
            <w:vAlign w:val="center"/>
          </w:tcPr>
          <w:p>
            <w:pPr>
              <w:widowControl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法人代表授权书签字盖章要求</w:t>
            </w:r>
          </w:p>
        </w:tc>
        <w:tc>
          <w:tcPr>
            <w:tcW w:w="5684" w:type="dxa"/>
            <w:tcBorders>
              <w:tl2br w:val="nil"/>
              <w:tr2bl w:val="nil"/>
            </w:tcBorders>
            <w:vAlign w:val="center"/>
          </w:tcPr>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所有要求法定代表人（单位负责人）签名处，均须由签名者本人用不褪色的蓝（黑）色墨水（汁）书写全名，也可以盖刻有法定代表人（单位负责人）姓名的图章代替。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737"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17.6</w:t>
            </w:r>
          </w:p>
        </w:tc>
        <w:tc>
          <w:tcPr>
            <w:tcW w:w="2200" w:type="dxa"/>
            <w:tcBorders>
              <w:tl2br w:val="nil"/>
              <w:tr2bl w:val="nil"/>
            </w:tcBorders>
            <w:vAlign w:val="center"/>
          </w:tcPr>
          <w:p>
            <w:pPr>
              <w:widowControl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印章</w:t>
            </w:r>
          </w:p>
        </w:tc>
        <w:tc>
          <w:tcPr>
            <w:tcW w:w="5684" w:type="dxa"/>
            <w:tcBorders>
              <w:tl2br w:val="nil"/>
              <w:tr2bl w:val="nil"/>
            </w:tcBorders>
            <w:vAlign w:val="center"/>
          </w:tcPr>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磋商文件规定盖公章处，可加盖经公章授权的单位其他印章（附公章授权书原件，格式自拟）。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038"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18.1</w:t>
            </w:r>
          </w:p>
        </w:tc>
        <w:tc>
          <w:tcPr>
            <w:tcW w:w="2200" w:type="dxa"/>
            <w:tcBorders>
              <w:tl2br w:val="nil"/>
              <w:tr2bl w:val="nil"/>
            </w:tcBorders>
            <w:vAlign w:val="center"/>
          </w:tcPr>
          <w:p>
            <w:pPr>
              <w:widowControl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磋商响应文件装订及包装密封要求</w:t>
            </w:r>
          </w:p>
        </w:tc>
        <w:tc>
          <w:tcPr>
            <w:tcW w:w="5684" w:type="dxa"/>
            <w:tcBorders>
              <w:tl2br w:val="nil"/>
              <w:tr2bl w:val="nil"/>
            </w:tcBorders>
            <w:vAlign w:val="center"/>
          </w:tcPr>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1）磋商响应文件正、副本应分别装订成册，装订应牢固、不易拆散和换页，不得采用活页装订。</w:t>
            </w:r>
          </w:p>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2）密封包装方式：</w:t>
            </w:r>
          </w:p>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①资格部分磋商响应文件正、副本一包密封。</w:t>
            </w:r>
          </w:p>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②技术和商务部分磋商响应文件正、副本一包密封。</w:t>
            </w:r>
          </w:p>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③电子版单独密封递交。</w:t>
            </w:r>
          </w:p>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3）外层包装请按以下要求标记：</w:t>
            </w:r>
          </w:p>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①供应商的全称；</w:t>
            </w:r>
          </w:p>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②磋商项目名称、项目编号、“资格部分”或“技术和商务部分”或“电子版”；</w:t>
            </w:r>
          </w:p>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③正本或副本及“请勿在＿＿＿＿＿(磋商时间)之前启封”。</w:t>
            </w:r>
          </w:p>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4）为支持国家环保政策，建议磋商报价人双面装订响应文件。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361"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19.1</w:t>
            </w:r>
          </w:p>
        </w:tc>
        <w:tc>
          <w:tcPr>
            <w:tcW w:w="2200" w:type="dxa"/>
            <w:tcBorders>
              <w:tl2br w:val="nil"/>
              <w:tr2bl w:val="nil"/>
            </w:tcBorders>
            <w:vAlign w:val="center"/>
          </w:tcPr>
          <w:p>
            <w:pPr>
              <w:widowControl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磋商响应文件递交的截止时间和磋商地点</w:t>
            </w:r>
          </w:p>
        </w:tc>
        <w:tc>
          <w:tcPr>
            <w:tcW w:w="5684" w:type="dxa"/>
            <w:tcBorders>
              <w:tl2br w:val="nil"/>
              <w:tr2bl w:val="nil"/>
            </w:tcBorders>
            <w:vAlign w:val="center"/>
          </w:tcPr>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响应文件递交地址：西安市南二环西段58号成长大厦10层会议室；</w:t>
            </w:r>
          </w:p>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响应文件递交截止时间：2022年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时30分；</w:t>
            </w:r>
          </w:p>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响应文件接收人：西北（陕西）国际招标有限公司。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737"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22.1</w:t>
            </w:r>
          </w:p>
        </w:tc>
        <w:tc>
          <w:tcPr>
            <w:tcW w:w="2200" w:type="dxa"/>
            <w:tcBorders>
              <w:tl2br w:val="nil"/>
              <w:tr2bl w:val="nil"/>
            </w:tcBorders>
            <w:vAlign w:val="center"/>
          </w:tcPr>
          <w:p>
            <w:pPr>
              <w:widowControl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磋商时间和地点</w:t>
            </w:r>
          </w:p>
        </w:tc>
        <w:tc>
          <w:tcPr>
            <w:tcW w:w="5684" w:type="dxa"/>
            <w:tcBorders>
              <w:tl2br w:val="nil"/>
              <w:tr2bl w:val="nil"/>
            </w:tcBorders>
            <w:vAlign w:val="center"/>
          </w:tcPr>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磋商开始时间：同响应文件递交截止时间；</w:t>
            </w:r>
          </w:p>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磋商地点：西安市南二环西段58号成长大厦10层会议室。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909"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22.2</w:t>
            </w:r>
          </w:p>
        </w:tc>
        <w:tc>
          <w:tcPr>
            <w:tcW w:w="2200" w:type="dxa"/>
            <w:tcBorders>
              <w:tl2br w:val="nil"/>
              <w:tr2bl w:val="nil"/>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磋商报价次数、磋商程序和最终报价的产生原则</w:t>
            </w:r>
          </w:p>
        </w:tc>
        <w:tc>
          <w:tcPr>
            <w:tcW w:w="5684"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本次磋商采用二次报价。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磋商程序为：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1）对所有提交的响应文件进行评审；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2）磋商小组所有成员集中与单一供应商分别进行磋商；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3）供应商按照要求自行保密提交二次报价；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4）磋商小组评审、推荐成交候选人。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在磋商过程中，磋商小组可以根据磋商文件和磋商情况实质性变动采购需求中的技术、服务要求以及合同草案条款，二次报价为最终报价。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567"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24.1</w:t>
            </w:r>
          </w:p>
        </w:tc>
        <w:tc>
          <w:tcPr>
            <w:tcW w:w="2200" w:type="dxa"/>
            <w:tcBorders>
              <w:tl2br w:val="nil"/>
              <w:tr2bl w:val="nil"/>
            </w:tcBorders>
            <w:vAlign w:val="center"/>
          </w:tcPr>
          <w:p>
            <w:pPr>
              <w:widowControl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成交候选人数量</w:t>
            </w:r>
          </w:p>
        </w:tc>
        <w:tc>
          <w:tcPr>
            <w:tcW w:w="5684" w:type="dxa"/>
            <w:tcBorders>
              <w:tl2br w:val="nil"/>
              <w:tr2bl w:val="nil"/>
            </w:tcBorders>
            <w:vAlign w:val="center"/>
          </w:tcPr>
          <w:p>
            <w:pPr>
              <w:widowControl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737" w:hRule="atLeast"/>
        </w:trPr>
        <w:tc>
          <w:tcPr>
            <w:tcW w:w="988" w:type="dxa"/>
            <w:tcBorders>
              <w:tl2br w:val="nil"/>
              <w:tr2bl w:val="nil"/>
            </w:tcBorders>
            <w:vAlign w:val="center"/>
          </w:tcPr>
          <w:p>
            <w:pPr>
              <w:spacing w:line="320" w:lineRule="exact"/>
              <w:jc w:val="center"/>
              <w:rPr>
                <w:rStyle w:val="30"/>
                <w:rFonts w:cs="宋体" w:asciiTheme="minorEastAsia" w:hAnsiTheme="minorEastAsia" w:eastAsiaTheme="minorEastAsia"/>
                <w:color w:val="auto"/>
                <w:sz w:val="21"/>
                <w:szCs w:val="21"/>
                <w:highlight w:val="none"/>
              </w:rPr>
            </w:pPr>
            <w:r>
              <w:rPr>
                <w:rStyle w:val="30"/>
                <w:rFonts w:hint="eastAsia" w:cs="宋体" w:asciiTheme="minorEastAsia" w:hAnsiTheme="minorEastAsia" w:eastAsiaTheme="minorEastAsia"/>
                <w:color w:val="auto"/>
                <w:sz w:val="21"/>
                <w:szCs w:val="21"/>
                <w:highlight w:val="none"/>
              </w:rPr>
              <w:t>29</w:t>
            </w:r>
            <w:r>
              <w:rPr>
                <w:rStyle w:val="30"/>
                <w:rFonts w:cs="宋体" w:asciiTheme="minorEastAsia" w:hAnsiTheme="minorEastAsia" w:eastAsiaTheme="minorEastAsia"/>
                <w:color w:val="auto"/>
                <w:sz w:val="21"/>
                <w:szCs w:val="21"/>
                <w:highlight w:val="none"/>
              </w:rPr>
              <w:t>.2</w:t>
            </w:r>
          </w:p>
        </w:tc>
        <w:tc>
          <w:tcPr>
            <w:tcW w:w="2200" w:type="dxa"/>
            <w:tcBorders>
              <w:tl2br w:val="nil"/>
              <w:tr2bl w:val="nil"/>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5684"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确定成交人后3日内，由成交人向采购代理机构一次付清采购代理服务费</w:t>
            </w:r>
            <w:r>
              <w:rPr>
                <w:rFonts w:hint="eastAsia" w:ascii="宋体" w:hAnsi="宋体" w:cs="宋体"/>
                <w:color w:val="auto"/>
                <w:szCs w:val="21"/>
                <w:highlight w:val="none"/>
                <w:lang w:bidi="ar"/>
              </w:rPr>
              <w:t>。采购代理服务费的金额参照《国家计委关于印发&lt;招标代理服务收费管理暂行办法&gt;的通知》（计价格【2002】1980号）执行。</w:t>
            </w:r>
          </w:p>
        </w:tc>
      </w:tr>
    </w:tbl>
    <w:p>
      <w:pPr>
        <w:pStyle w:val="4"/>
        <w:keepNext w:val="0"/>
        <w:shd w:val="clear" w:color="auto" w:fill="FFFFFF"/>
        <w:spacing w:before="150" w:after="450" w:line="600" w:lineRule="atLeast"/>
        <w:rPr>
          <w:rFonts w:ascii="宋体" w:hAnsi="宋体" w:cs="宋体"/>
          <w:bCs/>
          <w:color w:val="auto"/>
          <w:sz w:val="24"/>
          <w:szCs w:val="24"/>
          <w:highlight w:val="none"/>
        </w:rPr>
      </w:pPr>
      <w:r>
        <w:rPr>
          <w:rStyle w:val="30"/>
          <w:rFonts w:ascii="宋体" w:hAnsi="宋体" w:cs="宋体"/>
          <w:bCs/>
          <w:color w:val="auto"/>
          <w:kern w:val="0"/>
          <w:highlight w:val="none"/>
        </w:rPr>
        <w:br w:type="page"/>
      </w:r>
      <w:r>
        <w:rPr>
          <w:rFonts w:ascii="宋体" w:hAnsi="宋体" w:cs="宋体"/>
          <w:bCs/>
          <w:color w:val="auto"/>
          <w:sz w:val="28"/>
          <w:szCs w:val="28"/>
          <w:highlight w:val="none"/>
        </w:rPr>
        <w:t>2022年陕西省政府采购支持中小企业信用融资合作银行</w:t>
      </w:r>
    </w:p>
    <w:p>
      <w:pPr>
        <w:widowControl w:val="0"/>
        <w:spacing w:line="360" w:lineRule="auto"/>
        <w:ind w:firstLine="420" w:firstLineChars="200"/>
        <w:jc w:val="left"/>
        <w:textAlignment w:val="auto"/>
        <w:rPr>
          <w:rFonts w:cs="Times New Roman"/>
          <w:bCs/>
          <w:color w:val="auto"/>
          <w:szCs w:val="21"/>
          <w:highlight w:val="none"/>
        </w:rPr>
      </w:pPr>
      <w:r>
        <w:rPr>
          <w:rFonts w:hint="eastAsia" w:cs="Times New Roman"/>
          <w:bCs/>
          <w:color w:val="auto"/>
          <w:szCs w:val="21"/>
          <w:highlight w:val="none"/>
        </w:rPr>
        <w:t>根据中办、国办《关于促进中小企业健康发展的指导意见》、财政部、工信部《政府采购促进中小企业发展暂行办法》（财库〔2011〕181号）、陕西省政府《应对新冠肺炎疫情支持中小微企业稳定健康发展若干措施》（陕政办发〔2020〕4号）、陕西省财政厅《陕西省中小企业政府采购信用融资办法》（陕财办采〔2018〕23号）等有关规定，现对2022年陕西省政府采购支持中小企业信用融资合作银行予以公告。</w:t>
      </w:r>
    </w:p>
    <w:p>
      <w:pPr>
        <w:jc w:val="center"/>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drawing>
          <wp:inline distT="0" distB="0" distL="114300" distR="114300">
            <wp:extent cx="5273040" cy="1106805"/>
            <wp:effectExtent l="0" t="0" r="3810" b="17145"/>
            <wp:docPr id="6" name="图片 2" descr="d39134dbeb07688947fe48009f3a9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d39134dbeb07688947fe48009f3a9da"/>
                    <pic:cNvPicPr>
                      <a:picLocks noChangeAspect="1"/>
                    </pic:cNvPicPr>
                  </pic:nvPicPr>
                  <pic:blipFill>
                    <a:blip r:embed="rId17"/>
                    <a:stretch>
                      <a:fillRect/>
                    </a:stretch>
                  </pic:blipFill>
                  <pic:spPr>
                    <a:xfrm>
                      <a:off x="0" y="0"/>
                      <a:ext cx="5273040" cy="1106805"/>
                    </a:xfrm>
                    <a:prstGeom prst="rect">
                      <a:avLst/>
                    </a:prstGeom>
                    <a:noFill/>
                    <a:ln>
                      <a:noFill/>
                    </a:ln>
                  </pic:spPr>
                </pic:pic>
              </a:graphicData>
            </a:graphic>
          </wp:inline>
        </w:drawing>
      </w:r>
    </w:p>
    <w:p>
      <w:pPr>
        <w:spacing w:line="360" w:lineRule="auto"/>
        <w:jc w:val="left"/>
        <w:rPr>
          <w:bCs/>
          <w:color w:val="auto"/>
          <w:szCs w:val="21"/>
          <w:highlight w:val="none"/>
        </w:rPr>
      </w:pPr>
    </w:p>
    <w:p>
      <w:pPr>
        <w:spacing w:line="360" w:lineRule="auto"/>
        <w:jc w:val="left"/>
        <w:rPr>
          <w:rFonts w:ascii="宋体" w:hAnsi="宋体" w:cs="宋体"/>
          <w:b/>
          <w:color w:val="auto"/>
          <w:szCs w:val="21"/>
          <w:highlight w:val="none"/>
        </w:rPr>
      </w:pPr>
      <w:r>
        <w:rPr>
          <w:rFonts w:hint="eastAsia"/>
          <w:b/>
          <w:color w:val="auto"/>
          <w:szCs w:val="21"/>
          <w:highlight w:val="none"/>
        </w:rPr>
        <w:t>注：此名单以陕西省政府采购网发布的最新名单为准，具体可登陆陕西省政府采购网(www.ccgp-shaanxi.gov.cn/）重要通知专栏查询。</w:t>
      </w:r>
    </w:p>
    <w:p>
      <w:pPr>
        <w:widowControl w:val="0"/>
        <w:spacing w:line="360" w:lineRule="auto"/>
        <w:jc w:val="left"/>
        <w:textAlignment w:val="auto"/>
        <w:rPr>
          <w:b/>
          <w:color w:val="auto"/>
          <w:sz w:val="24"/>
          <w:szCs w:val="24"/>
          <w:highlight w:val="none"/>
        </w:rPr>
      </w:pPr>
    </w:p>
    <w:p>
      <w:pPr>
        <w:rPr>
          <w:rFonts w:ascii="宋体" w:hAnsi="宋体" w:cs="宋体"/>
          <w:b/>
          <w:bCs/>
          <w:color w:val="auto"/>
          <w:sz w:val="28"/>
          <w:szCs w:val="28"/>
          <w:highlight w:val="none"/>
          <w:shd w:val="clear" w:color="auto" w:fill="FFFFFF"/>
        </w:rPr>
      </w:pPr>
      <w:r>
        <w:rPr>
          <w:rFonts w:hint="eastAsia"/>
          <w:b/>
          <w:color w:val="auto"/>
          <w:sz w:val="24"/>
          <w:szCs w:val="24"/>
          <w:highlight w:val="none"/>
        </w:rPr>
        <w:br w:type="page"/>
      </w:r>
    </w:p>
    <w:p>
      <w:pPr>
        <w:jc w:val="center"/>
        <w:rPr>
          <w:rFonts w:ascii="宋体" w:hAnsi="宋体" w:cs="宋体"/>
          <w:b/>
          <w:bCs/>
          <w:color w:val="auto"/>
          <w:sz w:val="28"/>
          <w:szCs w:val="28"/>
          <w:highlight w:val="none"/>
          <w:shd w:val="clear" w:color="auto" w:fill="FFFFFF"/>
        </w:rPr>
      </w:pPr>
      <w:r>
        <w:rPr>
          <w:rFonts w:ascii="宋体" w:hAnsi="宋体" w:cs="宋体"/>
          <w:b/>
          <w:bCs/>
          <w:color w:val="auto"/>
          <w:sz w:val="28"/>
          <w:szCs w:val="28"/>
          <w:highlight w:val="none"/>
          <w:shd w:val="clear" w:color="auto" w:fill="FFFFFF"/>
        </w:rPr>
        <w:t>2022年陕西省政府采购支持中小企业信用融资合作银行</w:t>
      </w:r>
    </w:p>
    <w:p>
      <w:pPr>
        <w:widowControl w:val="0"/>
        <w:spacing w:line="360" w:lineRule="auto"/>
        <w:ind w:firstLine="420" w:firstLineChars="200"/>
        <w:jc w:val="left"/>
        <w:textAlignment w:val="auto"/>
        <w:rPr>
          <w:rFonts w:ascii="宋体" w:hAnsi="宋体" w:cs="宋体"/>
          <w:b/>
          <w:color w:val="auto"/>
          <w:szCs w:val="21"/>
          <w:highlight w:val="none"/>
        </w:rPr>
      </w:pPr>
      <w:r>
        <w:rPr>
          <w:rFonts w:hint="eastAsia" w:ascii="宋体" w:hAnsi="宋体" w:cs="宋体"/>
          <w:color w:val="auto"/>
          <w:szCs w:val="21"/>
          <w:highlight w:val="none"/>
          <w:shd w:val="clear" w:color="auto" w:fill="FFFFFF"/>
        </w:rPr>
        <w:t>根据中办、国办《关于促进中小企业健康发展的指导意见》、</w:t>
      </w:r>
      <w:r>
        <w:rPr>
          <w:rFonts w:hint="eastAsia" w:ascii="宋体" w:hAnsi="宋体" w:cs="Times New Roman"/>
          <w:color w:val="auto"/>
          <w:szCs w:val="21"/>
          <w:highlight w:val="none"/>
        </w:rPr>
        <w:t>财政部、工信部《政府采购促进中小企业发展管理办法》（财库〔2020〕46号）、财政部《关于进一步加大政府采购支持中小企业力度的通知》（财库〔2022〕19号）</w:t>
      </w:r>
      <w:r>
        <w:rPr>
          <w:rFonts w:hint="eastAsia" w:ascii="宋体" w:hAnsi="宋体" w:cs="宋体"/>
          <w:color w:val="auto"/>
          <w:szCs w:val="21"/>
          <w:highlight w:val="none"/>
          <w:shd w:val="clear" w:color="auto" w:fill="FFFFFF"/>
        </w:rPr>
        <w:t>、陕西省政府《应对新冠肺炎疫情支持中小微企业稳定健康发展若干措施》（陕政办发〔2020〕4号）、陕西省财政厅《陕西省中小企业政府采购信用融资办法》（陕财办采〔2018〕23号）等有关规定，2021年至2022年陕西省政府采购支持中小企业信用融资合作银行名单如下（合作有效时间：2022年5月6日至2022年12月31）：</w:t>
      </w:r>
    </w:p>
    <w:p>
      <w:pPr>
        <w:jc w:val="center"/>
        <w:rPr>
          <w:rFonts w:ascii="宋体" w:hAnsi="宋体" w:cs="宋体"/>
          <w:b/>
          <w:color w:val="auto"/>
          <w:sz w:val="36"/>
          <w:highlight w:val="none"/>
        </w:rPr>
      </w:pPr>
      <w:r>
        <w:rPr>
          <w:rFonts w:hint="eastAsia" w:ascii="微软雅黑" w:hAnsi="微软雅黑" w:eastAsia="微软雅黑" w:cs="微软雅黑"/>
          <w:color w:val="auto"/>
          <w:szCs w:val="21"/>
          <w:highlight w:val="none"/>
          <w:shd w:val="clear" w:color="auto" w:fill="FFFFFF"/>
        </w:rPr>
        <w:fldChar w:fldCharType="begin"/>
      </w:r>
      <w:r>
        <w:rPr>
          <w:rFonts w:ascii="微软雅黑" w:hAnsi="微软雅黑" w:eastAsia="微软雅黑" w:cs="微软雅黑"/>
          <w:color w:val="auto"/>
          <w:szCs w:val="21"/>
          <w:highlight w:val="none"/>
          <w:shd w:val="clear" w:color="auto" w:fill="FFFFFF"/>
        </w:rPr>
        <w:instrText xml:space="preserve">INCLUDEPICTURE \d "http://www.ccgp-shaanxi.gov.cn/cms-sx/upload/a7a15d60-de5b-42f2-b35a-7e3efc34e54f/20220506/19101651822165715.png" \* MERGEFORMATINET </w:instrText>
      </w:r>
      <w:r>
        <w:rPr>
          <w:rFonts w:hint="eastAsia" w:ascii="微软雅黑" w:hAnsi="微软雅黑" w:eastAsia="微软雅黑" w:cs="微软雅黑"/>
          <w:color w:val="auto"/>
          <w:szCs w:val="21"/>
          <w:highlight w:val="none"/>
          <w:shd w:val="clear" w:color="auto" w:fill="FFFFFF"/>
        </w:rPr>
        <w:fldChar w:fldCharType="separate"/>
      </w:r>
      <w:r>
        <w:rPr>
          <w:rFonts w:ascii="微软雅黑" w:hAnsi="微软雅黑" w:eastAsia="微软雅黑" w:cs="微软雅黑"/>
          <w:color w:val="auto"/>
          <w:szCs w:val="21"/>
          <w:highlight w:val="none"/>
          <w:shd w:val="clear" w:color="auto" w:fill="FFFFFF"/>
        </w:rPr>
        <w:drawing>
          <wp:inline distT="0" distB="0" distL="114300" distR="114300">
            <wp:extent cx="5697855" cy="1383030"/>
            <wp:effectExtent l="0" t="0" r="4445" b="127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18"/>
                    <a:stretch>
                      <a:fillRect/>
                    </a:stretch>
                  </pic:blipFill>
                  <pic:spPr>
                    <a:xfrm>
                      <a:off x="0" y="0"/>
                      <a:ext cx="5697855" cy="1383030"/>
                    </a:xfrm>
                    <a:prstGeom prst="rect">
                      <a:avLst/>
                    </a:prstGeom>
                    <a:noFill/>
                    <a:ln>
                      <a:noFill/>
                    </a:ln>
                  </pic:spPr>
                </pic:pic>
              </a:graphicData>
            </a:graphic>
          </wp:inline>
        </w:drawing>
      </w:r>
      <w:r>
        <w:rPr>
          <w:rFonts w:hint="eastAsia" w:ascii="微软雅黑" w:hAnsi="微软雅黑" w:eastAsia="微软雅黑" w:cs="微软雅黑"/>
          <w:color w:val="auto"/>
          <w:szCs w:val="21"/>
          <w:highlight w:val="none"/>
          <w:shd w:val="clear" w:color="auto" w:fill="FFFFFF"/>
        </w:rPr>
        <w:fldChar w:fldCharType="end"/>
      </w:r>
    </w:p>
    <w:p>
      <w:pPr>
        <w:spacing w:line="360" w:lineRule="auto"/>
        <w:rPr>
          <w:b/>
          <w:color w:val="auto"/>
          <w:szCs w:val="21"/>
          <w:highlight w:val="none"/>
        </w:rPr>
      </w:pPr>
      <w:r>
        <w:rPr>
          <w:rFonts w:hint="eastAsia"/>
          <w:b/>
          <w:color w:val="auto"/>
          <w:szCs w:val="21"/>
          <w:highlight w:val="none"/>
        </w:rPr>
        <w:t>注：此名单以陕西省政府采购网发布的最新名单为准，具体可登陆陕西省政府采购网(www.ccgp-shaanxi.gov.cn/）重要通知专栏查询。</w:t>
      </w:r>
    </w:p>
    <w:p>
      <w:pPr>
        <w:rPr>
          <w:color w:val="auto"/>
          <w:sz w:val="21"/>
          <w:szCs w:val="21"/>
          <w:highlight w:val="none"/>
        </w:rPr>
      </w:pPr>
      <w:r>
        <w:rPr>
          <w:rFonts w:hint="eastAsia"/>
          <w:b/>
          <w:color w:val="auto"/>
          <w:szCs w:val="21"/>
          <w:highlight w:val="none"/>
        </w:rPr>
        <w:br w:type="page"/>
      </w:r>
      <w:r>
        <w:rPr>
          <w:rFonts w:hint="eastAsia"/>
          <w:color w:val="auto"/>
          <w:sz w:val="21"/>
          <w:szCs w:val="21"/>
          <w:highlight w:val="none"/>
        </w:rPr>
        <w:t>附件1：</w:t>
      </w:r>
    </w:p>
    <w:p>
      <w:pPr>
        <w:pStyle w:val="4"/>
        <w:keepNext w:val="0"/>
        <w:spacing w:line="750" w:lineRule="atLeast"/>
        <w:ind w:firstLine="241" w:firstLineChars="100"/>
        <w:rPr>
          <w:color w:val="auto"/>
          <w:sz w:val="39"/>
          <w:szCs w:val="39"/>
          <w:highlight w:val="none"/>
        </w:rPr>
      </w:pPr>
      <w:r>
        <w:rPr>
          <w:bCs/>
          <w:color w:val="auto"/>
          <w:sz w:val="24"/>
          <w:szCs w:val="24"/>
          <w:highlight w:val="none"/>
        </w:rPr>
        <w:t>陕西省财政厅关于印发《陕西省中小企业政府采购信用融资办法》</w:t>
      </w:r>
    </w:p>
    <w:p>
      <w:pPr>
        <w:pStyle w:val="18"/>
        <w:spacing w:before="0" w:beforeAutospacing="0" w:after="0" w:afterAutospacing="0"/>
        <w:jc w:val="center"/>
        <w:rPr>
          <w:color w:val="auto"/>
          <w:highlight w:val="none"/>
        </w:rPr>
      </w:pPr>
    </w:p>
    <w:p>
      <w:pPr>
        <w:pStyle w:val="18"/>
        <w:spacing w:before="0" w:beforeAutospacing="0" w:after="0" w:afterAutospacing="0"/>
        <w:jc w:val="center"/>
        <w:rPr>
          <w:color w:val="auto"/>
          <w:highlight w:val="none"/>
        </w:rPr>
      </w:pPr>
      <w:r>
        <w:rPr>
          <w:rFonts w:hint="eastAsia" w:cs="宋体"/>
          <w:color w:val="auto"/>
          <w:sz w:val="21"/>
          <w:szCs w:val="21"/>
          <w:highlight w:val="none"/>
        </w:rPr>
        <w:t>陕财办采〔2018〕23号</w:t>
      </w:r>
    </w:p>
    <w:p>
      <w:pPr>
        <w:pStyle w:val="18"/>
        <w:spacing w:before="0" w:beforeAutospacing="0" w:after="0" w:afterAutospacing="0"/>
        <w:jc w:val="center"/>
        <w:rPr>
          <w:color w:val="auto"/>
          <w:highlight w:val="none"/>
        </w:rPr>
      </w:pPr>
    </w:p>
    <w:p>
      <w:pPr>
        <w:pStyle w:val="18"/>
        <w:spacing w:before="0" w:beforeAutospacing="0" w:after="0" w:afterAutospacing="0"/>
        <w:jc w:val="center"/>
        <w:rPr>
          <w:color w:val="auto"/>
          <w:highlight w:val="none"/>
        </w:rPr>
      </w:pPr>
    </w:p>
    <w:p>
      <w:pPr>
        <w:spacing w:line="360" w:lineRule="auto"/>
        <w:jc w:val="left"/>
        <w:textAlignment w:val="auto"/>
        <w:rPr>
          <w:color w:val="auto"/>
          <w:highlight w:val="none"/>
        </w:rPr>
      </w:pPr>
      <w:r>
        <w:rPr>
          <w:rFonts w:hint="eastAsia" w:ascii="宋体" w:hAnsi="宋体" w:cs="宋体"/>
          <w:color w:val="auto"/>
          <w:kern w:val="0"/>
          <w:szCs w:val="21"/>
          <w:highlight w:val="none"/>
          <w:lang w:bidi="ar"/>
        </w:rPr>
        <w:t>各设区市、西咸新区、韩城市财政局，省级各部门、单位，各有关金融机构、有关企业：</w:t>
      </w:r>
    </w:p>
    <w:p>
      <w:pPr>
        <w:pStyle w:val="18"/>
        <w:spacing w:before="0" w:beforeAutospacing="0" w:after="0" w:afterAutospacing="0" w:line="360" w:lineRule="auto"/>
        <w:ind w:firstLine="420" w:firstLineChars="200"/>
        <w:textAlignment w:val="auto"/>
        <w:rPr>
          <w:color w:val="auto"/>
          <w:highlight w:val="none"/>
        </w:rPr>
      </w:pPr>
      <w:r>
        <w:rPr>
          <w:rFonts w:hint="eastAsia" w:cs="宋体"/>
          <w:color w:val="auto"/>
          <w:sz w:val="21"/>
          <w:szCs w:val="21"/>
          <w:highlight w:val="none"/>
        </w:rPr>
        <w:t>自2012年起，我省启动了政府采购信用担保融资试点工作，取得了一定成效。为进一步贯彻落实国务院和我省关于支持中小企业发展的政策措施，发挥政府采购政策导向作用，充分利用信息化技术，通过搭建信息对称、相互对接的平台，有效缓解中小企业融资难、融资贵问题。结合我省政府采购信息化建设实际，我们制定了《陕西省中小企业政府采购信用融资办法》，现印发给你们，请遵照执行。</w:t>
      </w:r>
    </w:p>
    <w:p>
      <w:pPr>
        <w:pStyle w:val="18"/>
        <w:spacing w:before="0" w:beforeAutospacing="0" w:after="0" w:afterAutospacing="0" w:line="360" w:lineRule="auto"/>
        <w:jc w:val="right"/>
        <w:textAlignment w:val="auto"/>
        <w:rPr>
          <w:color w:val="auto"/>
          <w:highlight w:val="none"/>
        </w:rPr>
      </w:pPr>
      <w:r>
        <w:rPr>
          <w:rFonts w:hint="eastAsia" w:cs="宋体"/>
          <w:color w:val="auto"/>
          <w:sz w:val="21"/>
          <w:szCs w:val="21"/>
          <w:highlight w:val="none"/>
        </w:rPr>
        <w:t>陕西省财政厅</w:t>
      </w:r>
    </w:p>
    <w:p>
      <w:pPr>
        <w:pStyle w:val="18"/>
        <w:spacing w:before="0" w:beforeAutospacing="0" w:after="0" w:afterAutospacing="0" w:line="360" w:lineRule="auto"/>
        <w:jc w:val="right"/>
        <w:textAlignment w:val="auto"/>
        <w:rPr>
          <w:color w:val="auto"/>
          <w:highlight w:val="none"/>
        </w:rPr>
      </w:pPr>
      <w:r>
        <w:rPr>
          <w:rFonts w:hint="eastAsia" w:cs="宋体"/>
          <w:color w:val="auto"/>
          <w:sz w:val="21"/>
          <w:szCs w:val="21"/>
          <w:highlight w:val="none"/>
        </w:rPr>
        <w:t>2018年10月8日</w:t>
      </w:r>
    </w:p>
    <w:p>
      <w:pPr>
        <w:spacing w:line="360" w:lineRule="auto"/>
        <w:jc w:val="center"/>
        <w:textAlignment w:val="auto"/>
        <w:rPr>
          <w:rFonts w:ascii="宋体" w:hAnsi="宋体" w:cs="宋体"/>
          <w:color w:val="auto"/>
          <w:kern w:val="0"/>
          <w:szCs w:val="21"/>
          <w:highlight w:val="none"/>
          <w:lang w:bidi="ar"/>
        </w:rPr>
      </w:pPr>
    </w:p>
    <w:p>
      <w:pPr>
        <w:spacing w:before="332" w:beforeLines="100" w:after="332" w:afterLines="100" w:line="360" w:lineRule="auto"/>
        <w:jc w:val="center"/>
        <w:textAlignment w:val="auto"/>
        <w:rPr>
          <w:rFonts w:ascii="宋体" w:hAnsi="宋体" w:cs="宋体"/>
          <w:color w:val="auto"/>
          <w:szCs w:val="21"/>
          <w:highlight w:val="none"/>
        </w:rPr>
      </w:pPr>
      <w:r>
        <w:rPr>
          <w:rFonts w:hint="eastAsia" w:ascii="宋体" w:hAnsi="宋体" w:cs="宋体"/>
          <w:color w:val="auto"/>
          <w:kern w:val="0"/>
          <w:szCs w:val="21"/>
          <w:highlight w:val="none"/>
          <w:lang w:bidi="ar"/>
        </w:rPr>
        <w:t>陕西省中小企业政府采购信用融资办法</w:t>
      </w:r>
    </w:p>
    <w:p>
      <w:pPr>
        <w:spacing w:line="360" w:lineRule="auto"/>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pPr>
        <w:spacing w:line="360" w:lineRule="auto"/>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第二条  本办法所称“中小企业”包括中型、小型及微型企业，其划型标准按照《关于印发中小企业划型标准规定的通知》（工信部联企业〔2011〕300号）规定执行。</w:t>
      </w:r>
    </w:p>
    <w:p>
      <w:pPr>
        <w:spacing w:line="360" w:lineRule="auto"/>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pPr>
        <w:spacing w:line="360" w:lineRule="auto"/>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第四条  开展政府采购信用融资的银行，应当为在陕西省境内注册或设立分支机构，并经财政部门审核且在我省政府采购信息系统搭建服务链接窗口的金融机构。</w:t>
      </w:r>
    </w:p>
    <w:p>
      <w:pPr>
        <w:spacing w:line="360" w:lineRule="auto"/>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第五条  政府采购信用融资应当坚持“财政引导，市场运行，银企自愿，互惠共赢”的原则。</w:t>
      </w:r>
    </w:p>
    <w:p>
      <w:pPr>
        <w:spacing w:line="360" w:lineRule="auto"/>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第六条 省财政厅以全省统一的电子化政府采购系统为平台，对接银行信息化系统，推进政府采购中标成交信息、合同信息、融资信息、支付信息和信用信息等信息资源共享。</w:t>
      </w:r>
    </w:p>
    <w:p>
      <w:pPr>
        <w:spacing w:line="360" w:lineRule="auto"/>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第七条 各级财政部门应当以政府采购诚信考核和信息化建设为基础，积极为中小企业信用融资搭建平台，提供银企对接的机会和相关的服务支持，但不得为相关贷款项目提供任何形式的担保。</w:t>
      </w:r>
    </w:p>
    <w:p>
      <w:pPr>
        <w:spacing w:line="360" w:lineRule="auto"/>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pPr>
        <w:spacing w:line="360" w:lineRule="auto"/>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spacing w:line="360" w:lineRule="auto"/>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第十条 银行为参与政府采购融资的中小企业提供的产品，应以信用贷款为主，贷款利率应当优于一般中小企业的贷款利率水平，并将产品信息（包括贷款发放条件、利率优惠、贷款金额）等在陕西政府采购网予以展示。</w:t>
      </w:r>
    </w:p>
    <w:p>
      <w:pPr>
        <w:spacing w:line="360" w:lineRule="auto"/>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spacing w:line="360" w:lineRule="auto"/>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第十二条 银行应按规定对申请信用融资的供应商的政府采购合同信息进行审查，必要时可通过陕西政府采购网对该政府采购合同进行审核，以确保政府采购合同的真实性和有效性。</w:t>
      </w:r>
    </w:p>
    <w:p>
      <w:pPr>
        <w:spacing w:line="360" w:lineRule="auto"/>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spacing w:line="360" w:lineRule="auto"/>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pPr>
        <w:spacing w:line="360" w:lineRule="auto"/>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第十五条 省本级政府采购资金支付时，各采购单位必须将采购资金支付到备案合同中指定的融资银行及收款账号，以保障贷款资金的安全回收。</w:t>
      </w:r>
    </w:p>
    <w:p>
      <w:pPr>
        <w:spacing w:line="360" w:lineRule="auto"/>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第十六条 各市县操作程序由各地结合本地实际自行拟定，但应当体现“便捷高效、监管有效、风险可控”的原则。</w:t>
      </w:r>
    </w:p>
    <w:p>
      <w:pPr>
        <w:spacing w:line="360" w:lineRule="auto"/>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pPr>
        <w:spacing w:line="360" w:lineRule="auto"/>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第十八条 本办法由陕西省财政厅负责解释。</w:t>
      </w:r>
    </w:p>
    <w:p>
      <w:pPr>
        <w:spacing w:line="360" w:lineRule="auto"/>
        <w:jc w:val="left"/>
        <w:textAlignment w:val="auto"/>
        <w:rPr>
          <w:color w:val="auto"/>
          <w:highlight w:val="none"/>
        </w:rPr>
      </w:pPr>
      <w:r>
        <w:rPr>
          <w:rFonts w:hint="eastAsia" w:ascii="宋体" w:hAnsi="宋体" w:cs="宋体"/>
          <w:color w:val="auto"/>
          <w:kern w:val="0"/>
          <w:szCs w:val="21"/>
          <w:highlight w:val="none"/>
          <w:lang w:bidi="ar"/>
        </w:rPr>
        <w:t>　　第十九条 本办法自2018年11月1日起施行。</w:t>
      </w:r>
    </w:p>
    <w:p>
      <w:pPr>
        <w:spacing w:line="360" w:lineRule="auto"/>
        <w:rPr>
          <w:rStyle w:val="30"/>
          <w:rFonts w:ascii="宋体" w:hAnsi="宋体" w:cs="宋体"/>
          <w:b/>
          <w:bCs/>
          <w:color w:val="auto"/>
          <w:kern w:val="0"/>
          <w:highlight w:val="none"/>
        </w:rPr>
      </w:pPr>
      <w:r>
        <w:rPr>
          <w:rStyle w:val="30"/>
          <w:rFonts w:ascii="宋体" w:hAnsi="宋体" w:cs="宋体"/>
          <w:b/>
          <w:bCs/>
          <w:color w:val="auto"/>
          <w:kern w:val="0"/>
          <w:highlight w:val="none"/>
        </w:rPr>
        <w:br w:type="page"/>
      </w:r>
    </w:p>
    <w:p>
      <w:pPr>
        <w:pStyle w:val="14"/>
        <w:rPr>
          <w:color w:val="auto"/>
          <w:highlight w:val="none"/>
        </w:rPr>
      </w:pPr>
    </w:p>
    <w:p>
      <w:pPr>
        <w:pStyle w:val="27"/>
        <w:outlineLvl w:val="1"/>
        <w:rPr>
          <w:rStyle w:val="30"/>
          <w:rFonts w:ascii="宋体" w:hAnsi="宋体"/>
          <w:bCs w:val="0"/>
          <w:color w:val="auto"/>
          <w:sz w:val="30"/>
          <w:szCs w:val="30"/>
          <w:highlight w:val="none"/>
        </w:rPr>
      </w:pPr>
      <w:bookmarkStart w:id="13" w:name="_Toc82791964"/>
      <w:bookmarkStart w:id="14" w:name="_Toc24924"/>
      <w:r>
        <w:rPr>
          <w:rStyle w:val="30"/>
          <w:rFonts w:ascii="宋体" w:hAnsi="宋体"/>
          <w:bCs w:val="0"/>
          <w:color w:val="auto"/>
          <w:sz w:val="30"/>
          <w:szCs w:val="30"/>
          <w:highlight w:val="none"/>
        </w:rPr>
        <w:t>磋商须知</w:t>
      </w:r>
      <w:bookmarkEnd w:id="13"/>
      <w:bookmarkEnd w:id="14"/>
    </w:p>
    <w:p>
      <w:pPr>
        <w:pStyle w:val="27"/>
        <w:spacing w:before="166" w:beforeLines="50"/>
        <w:outlineLvl w:val="1"/>
        <w:rPr>
          <w:rStyle w:val="30"/>
          <w:color w:val="auto"/>
          <w:highlight w:val="none"/>
        </w:rPr>
      </w:pPr>
      <w:bookmarkStart w:id="15" w:name="_Toc1706"/>
      <w:r>
        <w:rPr>
          <w:rStyle w:val="30"/>
          <w:color w:val="auto"/>
          <w:highlight w:val="none"/>
        </w:rPr>
        <w:t>一</w:t>
      </w:r>
      <w:r>
        <w:rPr>
          <w:rStyle w:val="30"/>
          <w:rFonts w:hint="eastAsia"/>
          <w:color w:val="auto"/>
          <w:highlight w:val="none"/>
        </w:rPr>
        <w:t>、</w:t>
      </w:r>
      <w:r>
        <w:rPr>
          <w:rStyle w:val="30"/>
          <w:color w:val="auto"/>
          <w:highlight w:val="none"/>
        </w:rPr>
        <w:t>总则</w:t>
      </w:r>
      <w:bookmarkEnd w:id="15"/>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1.采购人、采购代理机构和资金来源</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1.1采购人名称、地址见前附表。</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1.2实施本次磋商的采购代理机构为西北（陕西）国际招标有限公司。</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1.3本次磋商采购所签订合同将使用财政性资金支付，资金已落实到位。</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2.合格的供应商</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2.1合格供应商的条件：</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1）具有独立承担民事责任的能力；</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2）具有良好的商业信誉和健全的财务会计制度；</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3）具有履行合同所必需的设备和专业技术能力；</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4）有依法缴纳税收和社会保障资金的良好纪录；</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5）参加政府采购活动前三年内，在经营活动中没有重大违法纪录；</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6）中华人民共和国法律、行政法规规定的其他条件（见供应商须知前附表）；</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7）根据本次采购项目的特殊要求，规定的供应商特定条件（见供应商须知前附表）。</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2.2单位负责人为同一人或者存在直接控股、管理关系的不同供应商，不得参加本项目同一合同项下的磋商。如果供应商在磋商中隐瞒了上述关系，其磋商响应文件按照无效处理。</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2.3为本采购项目提供整体设计、规范编制或者项目管理、监理、检测等服务的供应商，不得再参加本采购项目的磋商报价。如果供应商在磋商中隐瞒了上述事实，其磋商响应文件按照无效处理。</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2.4两个以上的供应商可以组成一个联合体，以一个供应商的身份共同参加磋商报价。以联合体形式参加磋商报价的，联合体各方均应当具备政府采购法第二十二条第一款规定的条件。采购人根据采购项目的特殊要求规定供应商特定条件的，联合体各方中至少应当有一方符合采购人规定的特定条件。</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2.4.1联合体各方之间应当签订共同磋商报价协议，明确约定联合体各方承担的工作、合同份额和相应的责任，并将共同磋商报价协议附在磋商响应文件中一并提交。</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2.4.2联合体中有同类资质的供应商按照联合体分工承担相同工作的，按照资质等级较低的供应商确定资质等级。</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2.4.3以联合体形式参加磋商报价的，联合体各方不得再单独参加或者与其他供应商另外组成联合体参加同一合同项下的磋商报价，否则，其相关磋商响应文件均为无效。</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2.5参加本次磋商的供应商不得直接或间接地与采购单位（包括西北（陕西）国际招标有限公司、采购人及用户）有任何关联，亦不得是采购单位的附属机构。如果供应商在磋商中隐瞒了上述关系，其磋商响应文件按照无效处理。</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2.6供应商必须在西北（陕西）国际招标有限公司</w:t>
      </w:r>
      <w:r>
        <w:rPr>
          <w:rStyle w:val="30"/>
          <w:rFonts w:hint="eastAsia" w:ascii="宋体" w:hAnsi="宋体" w:cs="宋体"/>
          <w:bCs/>
          <w:color w:val="auto"/>
          <w:sz w:val="21"/>
          <w:szCs w:val="21"/>
          <w:highlight w:val="none"/>
        </w:rPr>
        <w:t>获取</w:t>
      </w:r>
      <w:r>
        <w:rPr>
          <w:rStyle w:val="30"/>
          <w:rFonts w:ascii="宋体" w:hAnsi="宋体" w:cs="宋体"/>
          <w:bCs/>
          <w:color w:val="auto"/>
          <w:sz w:val="21"/>
          <w:szCs w:val="21"/>
          <w:highlight w:val="none"/>
        </w:rPr>
        <w:t>磋商文件，方可参加磋商。</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2.7磋商费用自理。不论磋商的结果如何，供应商均应自行承担所有与参加磋商有关的费用。</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3.供应商信用记录查询及使用</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“信用中国”网站（www.creditchina.gov.cn）和“中国政府采购网”（www.ccgp.gov.cn）为供应商信用信息查询渠道，如果供应商被查实在响应文件递交截止时间前已列入失信被执行人、</w:t>
      </w:r>
      <w:r>
        <w:rPr>
          <w:rFonts w:hint="eastAsia" w:ascii="宋体" w:hAnsi="宋体" w:cs="宋体"/>
          <w:color w:val="auto"/>
          <w:kern w:val="0"/>
          <w:szCs w:val="21"/>
          <w:highlight w:val="none"/>
        </w:rPr>
        <w:t>重大税收违法失信主体、</w:t>
      </w:r>
      <w:r>
        <w:rPr>
          <w:rStyle w:val="30"/>
          <w:rFonts w:ascii="宋体" w:hAnsi="宋体" w:cs="宋体"/>
          <w:bCs/>
          <w:color w:val="auto"/>
          <w:sz w:val="21"/>
          <w:szCs w:val="21"/>
          <w:highlight w:val="none"/>
        </w:rPr>
        <w:t>政府采购严重违法失信行为记录名单，其响应文件为无效。采购代理机构将打印查询记录作为证据留存。</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4.磋商响应文件内容的真实性</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4.1供应商应保证其磋商响应文件中所提供的所有有关磋商的资料、信息是真实的，并且来源于合法的渠道。因磋商响应文件中所提供的有关磋商和报价的资料、信息不真实，或者其来源不合法而导致的所有法律责任，由供应商自行承担。</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5.磋商过程的监督和管理</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5.1同级人民政府</w:t>
      </w:r>
      <w:r>
        <w:rPr>
          <w:rStyle w:val="30"/>
          <w:rFonts w:ascii="宋体" w:hAnsi="宋体" w:cs="宋体"/>
          <w:bCs/>
          <w:color w:val="auto"/>
          <w:sz w:val="21"/>
          <w:szCs w:val="21"/>
          <w:highlight w:val="none"/>
        </w:rPr>
        <w:t>财政部</w:t>
      </w:r>
      <w:r>
        <w:rPr>
          <w:rStyle w:val="30"/>
          <w:rFonts w:ascii="宋体" w:hAnsi="宋体"/>
          <w:color w:val="auto"/>
          <w:sz w:val="21"/>
          <w:szCs w:val="21"/>
          <w:highlight w:val="none"/>
        </w:rPr>
        <w:t>门及有关部门依法履行对磋商过程的监督管理职责。</w:t>
      </w:r>
    </w:p>
    <w:p>
      <w:pPr>
        <w:pStyle w:val="27"/>
        <w:keepNext w:val="0"/>
        <w:keepLines w:val="0"/>
        <w:widowControl w:val="0"/>
        <w:spacing w:before="166" w:beforeLines="50"/>
        <w:outlineLvl w:val="1"/>
        <w:rPr>
          <w:rStyle w:val="30"/>
          <w:color w:val="auto"/>
          <w:highlight w:val="none"/>
        </w:rPr>
      </w:pPr>
      <w:bookmarkStart w:id="16" w:name="_Toc11313"/>
      <w:r>
        <w:rPr>
          <w:rStyle w:val="30"/>
          <w:color w:val="auto"/>
          <w:highlight w:val="none"/>
        </w:rPr>
        <w:t>二</w:t>
      </w:r>
      <w:r>
        <w:rPr>
          <w:rStyle w:val="30"/>
          <w:rFonts w:hint="eastAsia"/>
          <w:color w:val="auto"/>
          <w:highlight w:val="none"/>
        </w:rPr>
        <w:t>、</w:t>
      </w:r>
      <w:r>
        <w:rPr>
          <w:rStyle w:val="30"/>
          <w:color w:val="auto"/>
          <w:highlight w:val="none"/>
        </w:rPr>
        <w:t>磋商文件</w:t>
      </w:r>
      <w:bookmarkEnd w:id="16"/>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6.磋商文件构成</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6.1 磋商文件规定了要求提供的服务。磋商程序和合同条件在磋商文件中均有说明。磋商文件共</w:t>
      </w:r>
      <w:r>
        <w:rPr>
          <w:rStyle w:val="30"/>
          <w:rFonts w:hint="eastAsia" w:ascii="宋体" w:hAnsi="宋体" w:cs="宋体"/>
          <w:bCs/>
          <w:color w:val="auto"/>
          <w:sz w:val="21"/>
          <w:szCs w:val="21"/>
          <w:highlight w:val="none"/>
        </w:rPr>
        <w:t>六</w:t>
      </w:r>
      <w:r>
        <w:rPr>
          <w:rStyle w:val="30"/>
          <w:rFonts w:ascii="宋体" w:hAnsi="宋体" w:cs="宋体"/>
          <w:bCs/>
          <w:color w:val="auto"/>
          <w:sz w:val="21"/>
          <w:szCs w:val="21"/>
          <w:highlight w:val="none"/>
        </w:rPr>
        <w:t>章，内容如下：</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第一章 磋商邀请书</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第二章 磋商须知及前附表</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第三章 合同条款</w:t>
      </w:r>
      <w:r>
        <w:rPr>
          <w:rStyle w:val="30"/>
          <w:rFonts w:hint="eastAsia" w:ascii="宋体" w:hAnsi="宋体" w:cs="宋体"/>
          <w:bCs/>
          <w:color w:val="auto"/>
          <w:sz w:val="21"/>
          <w:szCs w:val="21"/>
          <w:highlight w:val="none"/>
        </w:rPr>
        <w:t>及要求</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 xml:space="preserve">第四章 </w:t>
      </w:r>
      <w:r>
        <w:rPr>
          <w:rStyle w:val="30"/>
          <w:rFonts w:hint="eastAsia" w:ascii="宋体" w:hAnsi="宋体" w:cs="宋体"/>
          <w:bCs/>
          <w:color w:val="auto"/>
          <w:sz w:val="21"/>
          <w:szCs w:val="21"/>
          <w:highlight w:val="none"/>
        </w:rPr>
        <w:t>磋商内容及服务要求</w:t>
      </w:r>
      <w:r>
        <w:rPr>
          <w:rStyle w:val="30"/>
          <w:rFonts w:ascii="宋体" w:hAnsi="宋体" w:cs="宋体"/>
          <w:bCs/>
          <w:color w:val="auto"/>
          <w:sz w:val="21"/>
          <w:szCs w:val="21"/>
          <w:highlight w:val="none"/>
        </w:rPr>
        <w:t xml:space="preserve"> </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 xml:space="preserve">第五章 </w:t>
      </w:r>
      <w:r>
        <w:rPr>
          <w:rStyle w:val="30"/>
          <w:rFonts w:hint="eastAsia" w:ascii="宋体" w:hAnsi="宋体" w:cs="宋体"/>
          <w:bCs/>
          <w:color w:val="auto"/>
          <w:sz w:val="21"/>
          <w:szCs w:val="21"/>
          <w:highlight w:val="none"/>
        </w:rPr>
        <w:t>评审方法</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第六章 磋商响应文件格式</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6.2供应商应认真阅读磋商文件中所有的事项、格式、条款和规范等要求。如果供应商没有按照磋商文件要求提交全部资料，或者磋商响应文件没有对磋商文件在各方面都做出实质性响应，由此带来的不利于供应商的评审结果，其风险由供应商承担。</w:t>
      </w:r>
    </w:p>
    <w:p>
      <w:pPr>
        <w:widowControl w:val="0"/>
        <w:spacing w:line="360" w:lineRule="auto"/>
        <w:ind w:firstLine="420" w:firstLineChars="200"/>
        <w:rPr>
          <w:rStyle w:val="30"/>
          <w:rFonts w:ascii="宋体" w:hAnsi="宋体" w:cs="宋体"/>
          <w:bCs/>
          <w:color w:val="auto"/>
          <w:sz w:val="21"/>
          <w:szCs w:val="21"/>
          <w:highlight w:val="none"/>
        </w:rPr>
      </w:pPr>
      <w:r>
        <w:rPr>
          <w:rStyle w:val="30"/>
          <w:rFonts w:ascii="宋体" w:hAnsi="宋体" w:cs="宋体"/>
          <w:bCs/>
          <w:color w:val="auto"/>
          <w:sz w:val="21"/>
          <w:szCs w:val="21"/>
          <w:highlight w:val="none"/>
        </w:rPr>
        <w:t>6.3本磋商文件的解释权归西北（陕西）国际招标有限公司。</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7.磋商文件的澄清修改和质疑答复</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7.1磋商采购单位如果对已发出的磋商文件进行</w:t>
      </w:r>
      <w:r>
        <w:rPr>
          <w:rStyle w:val="30"/>
          <w:rFonts w:hint="eastAsia" w:ascii="宋体" w:hAnsi="宋体"/>
          <w:color w:val="auto"/>
          <w:sz w:val="21"/>
          <w:szCs w:val="21"/>
          <w:highlight w:val="none"/>
        </w:rPr>
        <w:t>必要的澄清或者</w:t>
      </w:r>
      <w:r>
        <w:rPr>
          <w:rStyle w:val="30"/>
          <w:rFonts w:ascii="宋体" w:hAnsi="宋体"/>
          <w:color w:val="auto"/>
          <w:sz w:val="21"/>
          <w:szCs w:val="21"/>
          <w:highlight w:val="none"/>
        </w:rPr>
        <w:t>修改，将在磋商文件要求提交</w:t>
      </w:r>
      <w:r>
        <w:rPr>
          <w:rStyle w:val="30"/>
          <w:rFonts w:hint="eastAsia" w:ascii="宋体" w:hAnsi="宋体"/>
          <w:color w:val="auto"/>
          <w:sz w:val="21"/>
          <w:szCs w:val="21"/>
          <w:highlight w:val="none"/>
        </w:rPr>
        <w:t>首次</w:t>
      </w:r>
      <w:r>
        <w:rPr>
          <w:rStyle w:val="30"/>
          <w:rFonts w:ascii="宋体" w:hAnsi="宋体"/>
          <w:color w:val="auto"/>
          <w:sz w:val="21"/>
          <w:szCs w:val="21"/>
          <w:highlight w:val="none"/>
        </w:rPr>
        <w:t>磋商响应文件截止时间</w:t>
      </w:r>
      <w:r>
        <w:rPr>
          <w:rStyle w:val="30"/>
          <w:rFonts w:hint="eastAsia" w:ascii="宋体" w:hAnsi="宋体"/>
          <w:color w:val="auto"/>
          <w:sz w:val="21"/>
          <w:szCs w:val="21"/>
          <w:highlight w:val="none"/>
        </w:rPr>
        <w:t>5</w:t>
      </w:r>
      <w:r>
        <w:rPr>
          <w:rStyle w:val="30"/>
          <w:rFonts w:ascii="宋体" w:hAnsi="宋体"/>
          <w:color w:val="auto"/>
          <w:sz w:val="21"/>
          <w:szCs w:val="21"/>
          <w:highlight w:val="none"/>
        </w:rPr>
        <w:t>日前，以书面形式通知所有</w:t>
      </w:r>
      <w:r>
        <w:rPr>
          <w:rStyle w:val="30"/>
          <w:rFonts w:hint="eastAsia" w:ascii="宋体" w:hAnsi="宋体"/>
          <w:color w:val="auto"/>
          <w:sz w:val="21"/>
          <w:szCs w:val="21"/>
          <w:highlight w:val="none"/>
        </w:rPr>
        <w:t>依</w:t>
      </w:r>
      <w:r>
        <w:rPr>
          <w:rStyle w:val="30"/>
          <w:rFonts w:ascii="宋体" w:hAnsi="宋体"/>
          <w:color w:val="auto"/>
          <w:sz w:val="21"/>
          <w:szCs w:val="21"/>
          <w:highlight w:val="none"/>
        </w:rPr>
        <w:t>法获取磋商文件的</w:t>
      </w:r>
      <w:r>
        <w:rPr>
          <w:rStyle w:val="30"/>
          <w:rFonts w:hint="eastAsia" w:ascii="宋体" w:hAnsi="宋体"/>
          <w:color w:val="auto"/>
          <w:sz w:val="21"/>
          <w:szCs w:val="21"/>
          <w:highlight w:val="none"/>
        </w:rPr>
        <w:t>供应商，不足5</w:t>
      </w:r>
      <w:r>
        <w:rPr>
          <w:rStyle w:val="30"/>
          <w:rFonts w:ascii="宋体" w:hAnsi="宋体"/>
          <w:color w:val="auto"/>
          <w:sz w:val="21"/>
          <w:szCs w:val="21"/>
          <w:highlight w:val="none"/>
        </w:rPr>
        <w:t>日</w:t>
      </w:r>
      <w:r>
        <w:rPr>
          <w:rStyle w:val="30"/>
          <w:rFonts w:hint="eastAsia" w:ascii="宋体" w:hAnsi="宋体"/>
          <w:color w:val="auto"/>
          <w:sz w:val="21"/>
          <w:szCs w:val="21"/>
          <w:highlight w:val="none"/>
        </w:rPr>
        <w:t>的，将顺延提交首次</w:t>
      </w:r>
      <w:r>
        <w:rPr>
          <w:rStyle w:val="30"/>
          <w:rFonts w:ascii="宋体" w:hAnsi="宋体"/>
          <w:color w:val="auto"/>
          <w:sz w:val="21"/>
          <w:szCs w:val="21"/>
          <w:highlight w:val="none"/>
        </w:rPr>
        <w:t>磋商响应文件截止时间</w:t>
      </w:r>
      <w:r>
        <w:rPr>
          <w:rStyle w:val="30"/>
          <w:rFonts w:hint="eastAsia" w:ascii="宋体" w:hAnsi="宋体"/>
          <w:color w:val="auto"/>
          <w:sz w:val="21"/>
          <w:szCs w:val="21"/>
          <w:highlight w:val="none"/>
        </w:rPr>
        <w:t>。该</w:t>
      </w:r>
      <w:r>
        <w:rPr>
          <w:rStyle w:val="30"/>
          <w:rFonts w:ascii="宋体" w:hAnsi="宋体"/>
          <w:color w:val="auto"/>
          <w:sz w:val="21"/>
          <w:szCs w:val="21"/>
          <w:highlight w:val="none"/>
        </w:rPr>
        <w:t>澄清或者修改的内容</w:t>
      </w:r>
      <w:r>
        <w:rPr>
          <w:rStyle w:val="30"/>
          <w:rFonts w:hint="eastAsia" w:ascii="宋体" w:hAnsi="宋体"/>
          <w:color w:val="auto"/>
          <w:sz w:val="21"/>
          <w:szCs w:val="21"/>
          <w:highlight w:val="none"/>
        </w:rPr>
        <w:t>作</w:t>
      </w:r>
      <w:r>
        <w:rPr>
          <w:rStyle w:val="30"/>
          <w:rFonts w:ascii="宋体" w:hAnsi="宋体"/>
          <w:color w:val="auto"/>
          <w:sz w:val="21"/>
          <w:szCs w:val="21"/>
          <w:highlight w:val="none"/>
        </w:rPr>
        <w:t>为磋商文件的组成部分。</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7.2 已经</w:t>
      </w:r>
      <w:r>
        <w:rPr>
          <w:rStyle w:val="30"/>
          <w:rFonts w:hint="eastAsia" w:ascii="宋体" w:hAnsi="宋体"/>
          <w:color w:val="auto"/>
          <w:sz w:val="21"/>
          <w:szCs w:val="21"/>
          <w:highlight w:val="none"/>
        </w:rPr>
        <w:t>依</w:t>
      </w:r>
      <w:r>
        <w:rPr>
          <w:rStyle w:val="30"/>
          <w:rFonts w:ascii="宋体" w:hAnsi="宋体"/>
          <w:color w:val="auto"/>
          <w:sz w:val="21"/>
          <w:szCs w:val="21"/>
          <w:highlight w:val="none"/>
        </w:rPr>
        <w:t>法</w:t>
      </w:r>
      <w:r>
        <w:rPr>
          <w:rStyle w:val="30"/>
          <w:rFonts w:hint="eastAsia" w:ascii="宋体" w:hAnsi="宋体"/>
          <w:color w:val="auto"/>
          <w:sz w:val="21"/>
          <w:szCs w:val="21"/>
          <w:highlight w:val="none"/>
        </w:rPr>
        <w:t>获取</w:t>
      </w:r>
      <w:r>
        <w:rPr>
          <w:rStyle w:val="30"/>
          <w:rFonts w:ascii="宋体" w:hAnsi="宋体" w:cs="宋体"/>
          <w:bCs/>
          <w:color w:val="auto"/>
          <w:sz w:val="21"/>
          <w:szCs w:val="21"/>
          <w:highlight w:val="none"/>
        </w:rPr>
        <w:t>磋商</w:t>
      </w:r>
      <w:r>
        <w:rPr>
          <w:rStyle w:val="30"/>
          <w:rFonts w:ascii="宋体" w:hAnsi="宋体"/>
          <w:color w:val="auto"/>
          <w:sz w:val="21"/>
          <w:szCs w:val="21"/>
          <w:highlight w:val="none"/>
        </w:rPr>
        <w:t>文件的供应商对磋商文件有询问或者质疑的，应当在以书面形式向采购代理机构提出，在此之后提出的询问和质疑为无效询问和质疑，采购代理机构不予受理。</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7.3对于在规定时间内收到的供应商依法提出的询问或者质疑，采购代理机构将按程序及时作出答复，若对磋商文件做出实质性变动，则按照相关规定延长磋商响应截止时间。</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7.4供应商提出</w:t>
      </w:r>
      <w:r>
        <w:rPr>
          <w:rStyle w:val="30"/>
          <w:rFonts w:ascii="宋体" w:hAnsi="宋体" w:cs="宋体"/>
          <w:bCs/>
          <w:color w:val="auto"/>
          <w:sz w:val="21"/>
          <w:szCs w:val="21"/>
          <w:highlight w:val="none"/>
        </w:rPr>
        <w:t>质疑</w:t>
      </w:r>
      <w:r>
        <w:rPr>
          <w:rStyle w:val="30"/>
          <w:rFonts w:ascii="宋体" w:hAnsi="宋体"/>
          <w:color w:val="auto"/>
          <w:sz w:val="21"/>
          <w:szCs w:val="21"/>
          <w:highlight w:val="none"/>
        </w:rPr>
        <w:t>应当有明确的请求和必要的证明材料。</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8.磋商响应截止时间和磋商时间的延长</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8.1在磋商响应截止时间前，采购代理机构可以视采购具体情况延长磋商截止时间和磋商时间，并以书面形式通知</w:t>
      </w:r>
      <w:r>
        <w:rPr>
          <w:rStyle w:val="30"/>
          <w:rFonts w:ascii="宋体" w:hAnsi="宋体" w:cs="宋体"/>
          <w:bCs/>
          <w:color w:val="auto"/>
          <w:sz w:val="21"/>
          <w:szCs w:val="21"/>
          <w:highlight w:val="none"/>
        </w:rPr>
        <w:t>所有</w:t>
      </w:r>
      <w:r>
        <w:rPr>
          <w:rStyle w:val="30"/>
          <w:rFonts w:ascii="宋体" w:hAnsi="宋体"/>
          <w:color w:val="auto"/>
          <w:sz w:val="21"/>
          <w:szCs w:val="21"/>
          <w:highlight w:val="none"/>
        </w:rPr>
        <w:t>购买磋商文件的供应商。</w:t>
      </w:r>
    </w:p>
    <w:p>
      <w:pPr>
        <w:pStyle w:val="27"/>
        <w:keepNext w:val="0"/>
        <w:keepLines w:val="0"/>
        <w:widowControl w:val="0"/>
        <w:spacing w:before="166" w:beforeLines="50"/>
        <w:outlineLvl w:val="1"/>
        <w:rPr>
          <w:rStyle w:val="30"/>
          <w:color w:val="auto"/>
          <w:highlight w:val="none"/>
        </w:rPr>
      </w:pPr>
      <w:bookmarkStart w:id="17" w:name="_Toc24566"/>
      <w:r>
        <w:rPr>
          <w:rStyle w:val="30"/>
          <w:color w:val="auto"/>
          <w:highlight w:val="none"/>
        </w:rPr>
        <w:t>三</w:t>
      </w:r>
      <w:r>
        <w:rPr>
          <w:rStyle w:val="30"/>
          <w:rFonts w:hint="eastAsia"/>
          <w:color w:val="auto"/>
          <w:highlight w:val="none"/>
        </w:rPr>
        <w:t>、</w:t>
      </w:r>
      <w:r>
        <w:rPr>
          <w:rStyle w:val="30"/>
          <w:color w:val="auto"/>
          <w:highlight w:val="none"/>
        </w:rPr>
        <w:t>磋商响应文件的编制</w:t>
      </w:r>
      <w:bookmarkEnd w:id="17"/>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9.磋商报价语言和磋商报价货币</w:t>
      </w:r>
    </w:p>
    <w:p>
      <w:pPr>
        <w:widowControl w:val="0"/>
        <w:spacing w:line="360" w:lineRule="auto"/>
        <w:ind w:firstLine="420" w:firstLineChars="200"/>
        <w:rPr>
          <w:rStyle w:val="30"/>
          <w:rFonts w:ascii="宋体" w:hAnsi="宋体"/>
          <w:b/>
          <w:color w:val="auto"/>
          <w:sz w:val="21"/>
          <w:szCs w:val="21"/>
          <w:highlight w:val="none"/>
        </w:rPr>
      </w:pPr>
      <w:r>
        <w:rPr>
          <w:rStyle w:val="30"/>
          <w:rFonts w:ascii="宋体" w:hAnsi="宋体"/>
          <w:color w:val="auto"/>
          <w:sz w:val="21"/>
          <w:szCs w:val="21"/>
          <w:highlight w:val="none"/>
        </w:rPr>
        <w:t>9.1供应商提交的磋商响应文件以及供应商与采购代理机构就有关磋商报价的所有来往函电均应使用中文。对不同文字文本磋商响应文件的解释发生异议的，以中文文本为准。</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9.2磋商报价应以人民币报价。任何包含非人民币报价的磋商响应文件均按无效处理。</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10.磋商响应文件的构成</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10.1 供应商提交的</w:t>
      </w:r>
      <w:r>
        <w:rPr>
          <w:rStyle w:val="30"/>
          <w:rFonts w:ascii="宋体" w:hAnsi="宋体" w:cs="宋体"/>
          <w:bCs/>
          <w:color w:val="auto"/>
          <w:sz w:val="21"/>
          <w:szCs w:val="21"/>
          <w:highlight w:val="none"/>
        </w:rPr>
        <w:t>磋商</w:t>
      </w:r>
      <w:r>
        <w:rPr>
          <w:rStyle w:val="30"/>
          <w:rFonts w:ascii="宋体" w:hAnsi="宋体"/>
          <w:color w:val="auto"/>
          <w:sz w:val="21"/>
          <w:szCs w:val="21"/>
          <w:highlight w:val="none"/>
        </w:rPr>
        <w:t>响应文件应包括下列部分的内容：</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10.1.1按照磋商须知的要求和磋商响应文件规定格式填写的磋商响应书，磋商报价表，按要求格式出具的法人代表授权书。</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10.1.2</w:t>
      </w:r>
      <w:r>
        <w:rPr>
          <w:rFonts w:ascii="宋体" w:hAnsi="宋体"/>
          <w:color w:val="auto"/>
          <w:szCs w:val="21"/>
          <w:highlight w:val="none"/>
        </w:rPr>
        <w:t>按照磋商文件的要求编制的响应</w:t>
      </w:r>
      <w:r>
        <w:rPr>
          <w:rFonts w:hint="eastAsia" w:ascii="宋体" w:hAnsi="宋体"/>
          <w:color w:val="auto"/>
          <w:szCs w:val="21"/>
          <w:highlight w:val="none"/>
        </w:rPr>
        <w:t>文件</w:t>
      </w:r>
      <w:r>
        <w:rPr>
          <w:rFonts w:ascii="宋体" w:hAnsi="宋体"/>
          <w:color w:val="auto"/>
          <w:szCs w:val="21"/>
          <w:highlight w:val="none"/>
        </w:rPr>
        <w:t>，内容应包括</w:t>
      </w:r>
      <w:r>
        <w:rPr>
          <w:rFonts w:hint="eastAsia" w:ascii="宋体" w:hAnsi="宋体"/>
          <w:color w:val="auto"/>
          <w:szCs w:val="21"/>
          <w:highlight w:val="none"/>
        </w:rPr>
        <w:t>评审办法中的评审项及响应人根据采购内容认为有必要编制的内容等。</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10.1.3按照磋商文件的要求提交的资格证明文件和其他证明文件。</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11.磋商响应文件格式</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11.1 供应商应按照磋商文件中“磋商响应文件格式”所提供的格式和要求制作磋商响应文件，明确表达</w:t>
      </w:r>
      <w:r>
        <w:rPr>
          <w:rStyle w:val="30"/>
          <w:rFonts w:ascii="宋体" w:hAnsi="宋体" w:cs="宋体"/>
          <w:bCs/>
          <w:color w:val="auto"/>
          <w:sz w:val="21"/>
          <w:szCs w:val="21"/>
          <w:highlight w:val="none"/>
        </w:rPr>
        <w:t>磋商</w:t>
      </w:r>
      <w:r>
        <w:rPr>
          <w:rStyle w:val="30"/>
          <w:rFonts w:ascii="宋体" w:hAnsi="宋体"/>
          <w:color w:val="auto"/>
          <w:sz w:val="21"/>
          <w:szCs w:val="21"/>
          <w:highlight w:val="none"/>
        </w:rPr>
        <w:t>响应意愿，详细说明磋商响应方案和报价。</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11.2 供应商应完整地提供磋商文件要求的所有数据和资料。</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12.磋商报价</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12.1供应商应按照“磋商须知前附表”中规定的要求报价，按照磋商报价表的内容标明磋商报价的所有单项</w:t>
      </w:r>
      <w:r>
        <w:rPr>
          <w:rStyle w:val="30"/>
          <w:rFonts w:ascii="宋体" w:hAnsi="宋体" w:cs="宋体"/>
          <w:bCs/>
          <w:color w:val="auto"/>
          <w:sz w:val="21"/>
          <w:szCs w:val="21"/>
          <w:highlight w:val="none"/>
        </w:rPr>
        <w:t>价格</w:t>
      </w:r>
      <w:r>
        <w:rPr>
          <w:rStyle w:val="30"/>
          <w:rFonts w:ascii="宋体" w:hAnsi="宋体"/>
          <w:color w:val="auto"/>
          <w:sz w:val="21"/>
          <w:szCs w:val="21"/>
          <w:highlight w:val="none"/>
        </w:rPr>
        <w:t>和总价。</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12.2最后磋商报价是供应商响应文件的有效组成部分。</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13.证明供应商合格和资格的文件</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13.1供应商应按照磋商文件“磋商须知前附表”的要求，在磋商响应文件中提交证明其资格合格的文件。如果资格证明文件不齐全或不合格的，其磋商响应文件按照无效处理。</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13.2供应商还应按照磋商文件“磋商须知前附表”的要求，提交其他的证明其能力、信誉、业绩等的</w:t>
      </w:r>
      <w:r>
        <w:rPr>
          <w:rStyle w:val="30"/>
          <w:rFonts w:ascii="宋体" w:hAnsi="宋体" w:cs="宋体"/>
          <w:bCs/>
          <w:color w:val="auto"/>
          <w:sz w:val="21"/>
          <w:szCs w:val="21"/>
          <w:highlight w:val="none"/>
        </w:rPr>
        <w:t>证明</w:t>
      </w:r>
      <w:r>
        <w:rPr>
          <w:rStyle w:val="30"/>
          <w:rFonts w:ascii="宋体" w:hAnsi="宋体"/>
          <w:color w:val="auto"/>
          <w:sz w:val="21"/>
          <w:szCs w:val="21"/>
          <w:highlight w:val="none"/>
        </w:rPr>
        <w:t>文件。</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13.3如果“磋商须知前附表”有要求，供应商还应按照要求提交证明文件的原件。如果未能提供原件或者提供原件不全的，其磋商响应文件按照无效处理。</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14.证明服务的合格性和符合磋商文件规定的文件</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14.1供应商应在磋商响应文件中提交所提供服务满足磋商文件要求并符合国家法律法规、行业管理部门要求的其他强制性标准的证明文件。缺少证明文件或证明文件不合格的响应文件，与磋商文件要求有</w:t>
      </w:r>
      <w:r>
        <w:rPr>
          <w:rStyle w:val="30"/>
          <w:rFonts w:ascii="宋体" w:hAnsi="宋体" w:cs="宋体"/>
          <w:bCs/>
          <w:color w:val="auto"/>
          <w:sz w:val="21"/>
          <w:szCs w:val="21"/>
          <w:highlight w:val="none"/>
        </w:rPr>
        <w:t>重大</w:t>
      </w:r>
      <w:r>
        <w:rPr>
          <w:rStyle w:val="30"/>
          <w:rFonts w:ascii="宋体" w:hAnsi="宋体"/>
          <w:color w:val="auto"/>
          <w:sz w:val="21"/>
          <w:szCs w:val="21"/>
          <w:highlight w:val="none"/>
        </w:rPr>
        <w:t>偏离的响应文件，不符合国家法律法规、行业管理部门要求的其他强制性标准的响应文件将按照无效处理。</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14.2上述</w:t>
      </w:r>
      <w:r>
        <w:rPr>
          <w:rStyle w:val="30"/>
          <w:rFonts w:ascii="宋体" w:hAnsi="宋体" w:cs="宋体"/>
          <w:bCs/>
          <w:color w:val="auto"/>
          <w:sz w:val="21"/>
          <w:szCs w:val="21"/>
          <w:highlight w:val="none"/>
        </w:rPr>
        <w:t>证明</w:t>
      </w:r>
      <w:r>
        <w:rPr>
          <w:rStyle w:val="30"/>
          <w:rFonts w:ascii="宋体" w:hAnsi="宋体"/>
          <w:color w:val="auto"/>
          <w:sz w:val="21"/>
          <w:szCs w:val="21"/>
          <w:highlight w:val="none"/>
        </w:rPr>
        <w:t>文件可以是文字资料、图纸、图片和数据，它包括：本次采购</w:t>
      </w:r>
      <w:r>
        <w:rPr>
          <w:rStyle w:val="30"/>
          <w:rFonts w:ascii="宋体" w:hAnsi="宋体" w:cs="宋体"/>
          <w:bCs/>
          <w:color w:val="auto"/>
          <w:sz w:val="21"/>
          <w:szCs w:val="21"/>
          <w:highlight w:val="none"/>
        </w:rPr>
        <w:t>特别</w:t>
      </w:r>
      <w:r>
        <w:rPr>
          <w:rStyle w:val="30"/>
          <w:rFonts w:ascii="宋体" w:hAnsi="宋体"/>
          <w:color w:val="auto"/>
          <w:sz w:val="21"/>
          <w:szCs w:val="21"/>
          <w:highlight w:val="none"/>
        </w:rPr>
        <w:t>要求的服务合格性证明文件（见“磋商须知前附表”）</w:t>
      </w:r>
      <w:r>
        <w:rPr>
          <w:rStyle w:val="30"/>
          <w:rFonts w:hint="eastAsia" w:ascii="宋体" w:hAnsi="宋体"/>
          <w:color w:val="auto"/>
          <w:sz w:val="21"/>
          <w:szCs w:val="21"/>
          <w:highlight w:val="none"/>
        </w:rPr>
        <w:t>。</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15.磋商保证金</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无。</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16.磋商报价有效期</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16.1磋商报价应在 “磋商须知前附表”中规定的磋商报价有效期内保持有效。磋商报价不满足规定有效期的，其磋商响应文件将按照无效处理。</w:t>
      </w:r>
    </w:p>
    <w:p>
      <w:pPr>
        <w:widowControl w:val="0"/>
        <w:spacing w:line="360" w:lineRule="auto"/>
        <w:ind w:firstLine="420" w:firstLineChars="200"/>
        <w:rPr>
          <w:color w:val="auto"/>
          <w:highlight w:val="none"/>
        </w:rPr>
      </w:pPr>
      <w:r>
        <w:rPr>
          <w:rFonts w:hint="eastAsia"/>
          <w:color w:val="auto"/>
          <w:highlight w:val="none"/>
        </w:rPr>
        <w:t>16.2在特殊情况下，在原磋商报价有效期期满之前，采购代理机构可向磋商报价人提出延长磋商报价有效期的要求。这种要求与答复均应以书面的形式。磋商报价人可以拒绝采购代理机构的这种要求。同意延长的磋商报价人既不能要求也不允许修改其响应文件。</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17.磋商响应文件的式样和签署</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17.1供应商应按照磋商须知的要求, 准备一份磋商响应文件正本和“磋商须知前附表”中规定数量的副本，副本可以是正本的复印件。每套磋商响应文件须清楚地标明“正本”或“副本”。如果发生正本与副本不一致的情况，以正本为准。</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17.2如果磋商文件有要求，还应按照“磋商须知前附表”的要求准备相应格式和载体的电子版文件。</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17.3磋商响应文件正本需打印或用不褪色的蓝（黑）色墨水（汁）书写,并由供应商法人代表或经法人代表正式授权的代表签字。授权代表须将按磋商文件规定的格式出具的“法人代表授权书”附在磋商响应文件中。</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17.4任何行间插字、涂改和增删，必须由磋商响应文件的签字人在旁边签字才有效。</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17.5因字迹潦草、表述不清或不按磋商文件格式编制的磋商响应文件，所引起的对供应商不利的后果，由供应商自行负责。</w:t>
      </w:r>
    </w:p>
    <w:p>
      <w:pPr>
        <w:widowControl w:val="0"/>
        <w:spacing w:line="360" w:lineRule="auto"/>
        <w:ind w:firstLine="420" w:firstLineChars="200"/>
        <w:rPr>
          <w:rStyle w:val="30"/>
          <w:rFonts w:ascii="宋体" w:hAnsi="宋体"/>
          <w:color w:val="auto"/>
          <w:sz w:val="21"/>
          <w:szCs w:val="21"/>
          <w:highlight w:val="none"/>
        </w:rPr>
      </w:pPr>
      <w:r>
        <w:rPr>
          <w:rStyle w:val="30"/>
          <w:rFonts w:hint="eastAsia" w:ascii="宋体" w:hAnsi="宋体"/>
          <w:color w:val="auto"/>
          <w:sz w:val="21"/>
          <w:szCs w:val="21"/>
          <w:highlight w:val="none"/>
        </w:rPr>
        <w:t>17.6 印章</w:t>
      </w:r>
      <w:r>
        <w:rPr>
          <w:rStyle w:val="30"/>
          <w:rFonts w:ascii="宋体" w:hAnsi="宋体"/>
          <w:color w:val="auto"/>
          <w:sz w:val="21"/>
          <w:szCs w:val="21"/>
          <w:highlight w:val="none"/>
        </w:rPr>
        <w:t>的其他规定</w:t>
      </w:r>
      <w:r>
        <w:rPr>
          <w:rStyle w:val="30"/>
          <w:rFonts w:hint="eastAsia" w:ascii="宋体" w:hAnsi="宋体"/>
          <w:color w:val="auto"/>
          <w:sz w:val="21"/>
          <w:szCs w:val="21"/>
          <w:highlight w:val="none"/>
        </w:rPr>
        <w:t>见</w:t>
      </w:r>
      <w:r>
        <w:rPr>
          <w:rStyle w:val="30"/>
          <w:rFonts w:ascii="宋体" w:hAnsi="宋体"/>
          <w:color w:val="auto"/>
          <w:sz w:val="21"/>
          <w:szCs w:val="21"/>
          <w:highlight w:val="none"/>
        </w:rPr>
        <w:t>“磋商须知前附表”</w:t>
      </w:r>
      <w:r>
        <w:rPr>
          <w:rStyle w:val="30"/>
          <w:rFonts w:hint="eastAsia" w:ascii="宋体" w:hAnsi="宋体"/>
          <w:color w:val="auto"/>
          <w:sz w:val="21"/>
          <w:szCs w:val="21"/>
          <w:highlight w:val="none"/>
        </w:rPr>
        <w:t>。</w:t>
      </w:r>
    </w:p>
    <w:p>
      <w:pPr>
        <w:pStyle w:val="27"/>
        <w:keepNext w:val="0"/>
        <w:keepLines w:val="0"/>
        <w:widowControl w:val="0"/>
        <w:spacing w:before="166" w:beforeLines="50"/>
        <w:outlineLvl w:val="1"/>
        <w:rPr>
          <w:rStyle w:val="30"/>
          <w:color w:val="auto"/>
          <w:highlight w:val="none"/>
        </w:rPr>
      </w:pPr>
      <w:bookmarkStart w:id="18" w:name="_Toc27012"/>
      <w:r>
        <w:rPr>
          <w:rStyle w:val="30"/>
          <w:color w:val="auto"/>
          <w:highlight w:val="none"/>
        </w:rPr>
        <w:t>四</w:t>
      </w:r>
      <w:r>
        <w:rPr>
          <w:rStyle w:val="30"/>
          <w:rFonts w:hint="eastAsia"/>
          <w:color w:val="auto"/>
          <w:highlight w:val="none"/>
        </w:rPr>
        <w:t>、</w:t>
      </w:r>
      <w:r>
        <w:rPr>
          <w:rStyle w:val="30"/>
          <w:color w:val="auto"/>
          <w:highlight w:val="none"/>
        </w:rPr>
        <w:t>磋商响应文件的递交</w:t>
      </w:r>
      <w:bookmarkEnd w:id="18"/>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18.磋商响应文件的装订、密封和标记</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18.1磋商响应文件的正本与副本应分别装订成册，并编制目录，具体装订和包装密封要求见本须知“磋商须知前附表”规定。</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18.2外层包装请按以下要求标记：</w:t>
      </w:r>
    </w:p>
    <w:p>
      <w:pPr>
        <w:widowControl w:val="0"/>
        <w:spacing w:line="360" w:lineRule="auto"/>
        <w:ind w:firstLine="422" w:firstLineChars="200"/>
        <w:rPr>
          <w:rStyle w:val="30"/>
          <w:rFonts w:ascii="宋体" w:hAnsi="宋体"/>
          <w:b/>
          <w:color w:val="auto"/>
          <w:sz w:val="21"/>
          <w:szCs w:val="21"/>
          <w:highlight w:val="none"/>
        </w:rPr>
      </w:pPr>
      <w:r>
        <w:rPr>
          <w:rStyle w:val="30"/>
          <w:rFonts w:hint="eastAsia" w:ascii="宋体" w:hAnsi="宋体"/>
          <w:b/>
          <w:color w:val="auto"/>
          <w:sz w:val="21"/>
          <w:szCs w:val="21"/>
          <w:highlight w:val="none"/>
        </w:rPr>
        <w:t>1）</w:t>
      </w:r>
      <w:r>
        <w:rPr>
          <w:rStyle w:val="30"/>
          <w:rFonts w:ascii="宋体" w:hAnsi="宋体"/>
          <w:b/>
          <w:color w:val="auto"/>
          <w:sz w:val="21"/>
          <w:szCs w:val="21"/>
          <w:highlight w:val="none"/>
        </w:rPr>
        <w:t>供应商的全称</w:t>
      </w:r>
      <w:r>
        <w:rPr>
          <w:rStyle w:val="30"/>
          <w:rFonts w:hint="eastAsia" w:ascii="宋体" w:hAnsi="宋体"/>
          <w:b/>
          <w:color w:val="auto"/>
          <w:sz w:val="21"/>
          <w:szCs w:val="21"/>
          <w:highlight w:val="none"/>
        </w:rPr>
        <w:t>；</w:t>
      </w:r>
    </w:p>
    <w:p>
      <w:pPr>
        <w:widowControl w:val="0"/>
        <w:spacing w:line="360" w:lineRule="auto"/>
        <w:ind w:firstLine="422" w:firstLineChars="200"/>
        <w:rPr>
          <w:rStyle w:val="30"/>
          <w:rFonts w:ascii="宋体" w:hAnsi="宋体"/>
          <w:b/>
          <w:color w:val="auto"/>
          <w:sz w:val="21"/>
          <w:szCs w:val="21"/>
          <w:highlight w:val="none"/>
        </w:rPr>
      </w:pPr>
      <w:r>
        <w:rPr>
          <w:rStyle w:val="30"/>
          <w:rFonts w:ascii="宋体" w:hAnsi="宋体"/>
          <w:b/>
          <w:color w:val="auto"/>
          <w:sz w:val="21"/>
          <w:szCs w:val="21"/>
          <w:highlight w:val="none"/>
        </w:rPr>
        <w:t>2）磋商项目名称、项目编号、</w:t>
      </w:r>
      <w:r>
        <w:rPr>
          <w:rFonts w:ascii="宋体" w:hAnsi="宋体"/>
          <w:b/>
          <w:color w:val="auto"/>
          <w:szCs w:val="21"/>
          <w:highlight w:val="none"/>
        </w:rPr>
        <w:t>“资格部分”或“技术和商务部分”</w:t>
      </w:r>
      <w:r>
        <w:rPr>
          <w:rFonts w:hint="eastAsia" w:ascii="宋体" w:hAnsi="宋体"/>
          <w:b/>
          <w:color w:val="auto"/>
          <w:szCs w:val="21"/>
          <w:highlight w:val="none"/>
        </w:rPr>
        <w:t>或</w:t>
      </w:r>
      <w:r>
        <w:rPr>
          <w:rFonts w:ascii="宋体" w:hAnsi="宋体"/>
          <w:b/>
          <w:color w:val="auto"/>
          <w:szCs w:val="21"/>
          <w:highlight w:val="none"/>
        </w:rPr>
        <w:t>“</w:t>
      </w:r>
      <w:r>
        <w:rPr>
          <w:rFonts w:hint="eastAsia" w:ascii="宋体" w:hAnsi="宋体"/>
          <w:b/>
          <w:color w:val="auto"/>
          <w:szCs w:val="21"/>
          <w:highlight w:val="none"/>
        </w:rPr>
        <w:t>电子版</w:t>
      </w:r>
      <w:r>
        <w:rPr>
          <w:rFonts w:ascii="宋体" w:hAnsi="宋体"/>
          <w:b/>
          <w:color w:val="auto"/>
          <w:szCs w:val="21"/>
          <w:highlight w:val="none"/>
        </w:rPr>
        <w:t>”</w:t>
      </w:r>
      <w:r>
        <w:rPr>
          <w:rFonts w:hint="eastAsia" w:ascii="宋体" w:hAnsi="宋体"/>
          <w:b/>
          <w:color w:val="auto"/>
          <w:szCs w:val="21"/>
          <w:highlight w:val="none"/>
        </w:rPr>
        <w:t>；</w:t>
      </w:r>
    </w:p>
    <w:p>
      <w:pPr>
        <w:widowControl w:val="0"/>
        <w:spacing w:line="360" w:lineRule="auto"/>
        <w:ind w:firstLine="422" w:firstLineChars="200"/>
        <w:rPr>
          <w:rStyle w:val="30"/>
          <w:rFonts w:ascii="宋体" w:hAnsi="宋体"/>
          <w:b/>
          <w:color w:val="auto"/>
          <w:sz w:val="21"/>
          <w:szCs w:val="21"/>
          <w:highlight w:val="none"/>
        </w:rPr>
      </w:pPr>
      <w:r>
        <w:rPr>
          <w:rStyle w:val="30"/>
          <w:rFonts w:ascii="宋体" w:hAnsi="宋体"/>
          <w:b/>
          <w:color w:val="auto"/>
          <w:sz w:val="21"/>
          <w:szCs w:val="21"/>
          <w:highlight w:val="none"/>
        </w:rPr>
        <w:t>3）</w:t>
      </w:r>
      <w:r>
        <w:rPr>
          <w:rFonts w:ascii="宋体" w:hAnsi="宋体"/>
          <w:b/>
          <w:color w:val="auto"/>
          <w:szCs w:val="21"/>
          <w:highlight w:val="none"/>
        </w:rPr>
        <w:t>正本或副本及“请勿在＿＿＿＿＿(</w:t>
      </w:r>
      <w:r>
        <w:rPr>
          <w:rFonts w:hint="eastAsia" w:ascii="宋体" w:hAnsi="宋体"/>
          <w:b/>
          <w:color w:val="auto"/>
          <w:szCs w:val="21"/>
          <w:highlight w:val="none"/>
        </w:rPr>
        <w:t>磋商</w:t>
      </w:r>
      <w:r>
        <w:rPr>
          <w:rFonts w:ascii="宋体" w:hAnsi="宋体"/>
          <w:b/>
          <w:color w:val="auto"/>
          <w:szCs w:val="21"/>
          <w:highlight w:val="none"/>
        </w:rPr>
        <w:t>时间)之前启封”</w:t>
      </w:r>
      <w:r>
        <w:rPr>
          <w:rStyle w:val="30"/>
          <w:rFonts w:ascii="宋体" w:hAnsi="宋体"/>
          <w:b/>
          <w:color w:val="auto"/>
          <w:sz w:val="21"/>
          <w:szCs w:val="21"/>
          <w:highlight w:val="none"/>
        </w:rPr>
        <w:t>。</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18.3如果在“磋商须知前附表”中要求提供证明文件的原件，则证明文件的原件必须按照磋商须知前附表的规定进行封装和递交。</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18.4如果供应商未对磋商响应文件按上述要求进行完好密封，所引起的对供应商不利的后果，由供应商自行承担。</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19．磋商响应文件递交方式和磋商截止时间</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19.1供应商必须派出代表，在“磋商须知前附表”规定的磋商响应文件递交截止时间前，将全部磋商响应文件和磋商报价资料递交至磋商地点并签字确认。磋商地点见“磋商须知前附表”指明的地址或采购代理机构另行通知的地址。</w:t>
      </w:r>
    </w:p>
    <w:p>
      <w:pPr>
        <w:widowControl w:val="0"/>
        <w:spacing w:line="360" w:lineRule="auto"/>
        <w:ind w:firstLine="420" w:firstLineChars="200"/>
        <w:rPr>
          <w:rStyle w:val="30"/>
          <w:rFonts w:ascii="宋体" w:hAnsi="宋体"/>
          <w:color w:val="auto"/>
          <w:sz w:val="21"/>
          <w:szCs w:val="21"/>
          <w:highlight w:val="none"/>
        </w:rPr>
      </w:pPr>
      <w:r>
        <w:rPr>
          <w:rFonts w:ascii="宋体" w:hAnsi="宋体"/>
          <w:color w:val="auto"/>
          <w:szCs w:val="21"/>
          <w:highlight w:val="none"/>
        </w:rPr>
        <w:t>19.2以邮寄方式</w:t>
      </w:r>
      <w:r>
        <w:rPr>
          <w:rFonts w:hint="eastAsia" w:ascii="宋体" w:hAnsi="宋体"/>
          <w:color w:val="auto"/>
          <w:szCs w:val="21"/>
          <w:highlight w:val="none"/>
        </w:rPr>
        <w:t>递交磋商响应文件的，其磋商响应文件将按照无效处理（疫情期间除外，但供应商应承担因此可能造成的损失及风险）。</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19.3采购代理机构拒绝接收在规定的磋商响应文件递交截止时间后递交的磋商响应文件和磋商报价资料。</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20．磋商报价的修改与撤回</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20.1供应商在递交磋商响应文件后，可以修改或撤回其磋商响应文件，也可以提出价格变动声明，但供应商必须在规定的磋商响应文件递交截止时间之前将修改或撤回或变动价格的书面通知文件递交到采购代理机构。</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20.2供应商的修改或撤回或变动价格的通知应按本须知第17条和18条的规定编制、密封、标记和递交。</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20.3在磋商响应文件递交截止时间之后，供应商不得对其磋商报价做任何修改或撤回。</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20.4在磋商结束之后，对于供应商正常经营活动必须的资质和证明文件原件（包括但不限于：营业执照、经营许可证、资质等级证书、成交通知书、经济合同等），经审查后予以退还。其他磋商响应文件和资料一律不予退还。</w:t>
      </w:r>
    </w:p>
    <w:p>
      <w:pPr>
        <w:pStyle w:val="27"/>
        <w:keepNext w:val="0"/>
        <w:keepLines w:val="0"/>
        <w:widowControl w:val="0"/>
        <w:spacing w:before="166" w:beforeLines="50"/>
        <w:outlineLvl w:val="1"/>
        <w:rPr>
          <w:rStyle w:val="30"/>
          <w:color w:val="auto"/>
          <w:highlight w:val="none"/>
        </w:rPr>
      </w:pPr>
      <w:bookmarkStart w:id="19" w:name="_Toc26741"/>
      <w:r>
        <w:rPr>
          <w:rStyle w:val="30"/>
          <w:color w:val="auto"/>
          <w:highlight w:val="none"/>
        </w:rPr>
        <w:t>五</w:t>
      </w:r>
      <w:r>
        <w:rPr>
          <w:rStyle w:val="30"/>
          <w:rFonts w:hint="eastAsia"/>
          <w:color w:val="auto"/>
          <w:highlight w:val="none"/>
        </w:rPr>
        <w:t>、</w:t>
      </w:r>
      <w:r>
        <w:rPr>
          <w:rStyle w:val="30"/>
          <w:color w:val="auto"/>
          <w:highlight w:val="none"/>
        </w:rPr>
        <w:t>磋商与评审</w:t>
      </w:r>
      <w:bookmarkEnd w:id="19"/>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21．磋商小组和磋商评审原则</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21.1按照《中华人民共和国政府采购法》、中华人民共和国2015年第658号国务院令--《中华人民共和国政府采购法实施条例》和中华人民共和国财政部财库[2014]214号《政府采购竞争性磋商采购方式管理暂行办法》的规定，采购机构将依法组建竞争性磋商小组，依法进行磋商和评审工作。</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21.2磋商文件和供应商的响应文件是评审的依据。</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22．磋商及评审程序</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22.1采购代理机构在规定的时间和地点组织磋商。</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22.2本次磋商的报价次数、磋商程序和最终报价的产生原则见“磋商须知前附表”的规定。</w:t>
      </w:r>
    </w:p>
    <w:p>
      <w:pPr>
        <w:widowControl w:val="0"/>
        <w:spacing w:line="360" w:lineRule="auto"/>
        <w:ind w:firstLine="420" w:firstLineChars="200"/>
        <w:rPr>
          <w:rFonts w:ascii="宋体" w:hAnsi="宋体" w:cs="宋体"/>
          <w:color w:val="auto"/>
          <w:kern w:val="0"/>
          <w:szCs w:val="21"/>
          <w:highlight w:val="none"/>
        </w:rPr>
      </w:pPr>
      <w:r>
        <w:rPr>
          <w:rStyle w:val="30"/>
          <w:rFonts w:ascii="宋体" w:hAnsi="宋体"/>
          <w:color w:val="auto"/>
          <w:sz w:val="21"/>
          <w:szCs w:val="21"/>
          <w:highlight w:val="none"/>
        </w:rPr>
        <w:t>22.3</w:t>
      </w:r>
      <w:r>
        <w:rPr>
          <w:rFonts w:hint="eastAsia" w:ascii="宋体" w:hAnsi="宋体" w:cs="宋体"/>
          <w:color w:val="auto"/>
          <w:szCs w:val="21"/>
          <w:highlight w:val="none"/>
        </w:rPr>
        <w:t>磋商开始后，采购人或采购代理机构</w:t>
      </w:r>
      <w:r>
        <w:rPr>
          <w:rFonts w:hint="eastAsia" w:ascii="宋体" w:hAnsi="宋体" w:cs="宋体"/>
          <w:color w:val="auto"/>
          <w:kern w:val="0"/>
          <w:szCs w:val="21"/>
          <w:highlight w:val="none"/>
        </w:rPr>
        <w:t>对响应文件进行资格审查。</w:t>
      </w:r>
    </w:p>
    <w:p>
      <w:pPr>
        <w:widowControl w:val="0"/>
        <w:spacing w:line="360" w:lineRule="auto"/>
        <w:ind w:firstLine="420" w:firstLineChars="200"/>
        <w:rPr>
          <w:rStyle w:val="30"/>
          <w:rFonts w:ascii="宋体" w:hAnsi="宋体"/>
          <w:color w:val="auto"/>
          <w:sz w:val="21"/>
          <w:szCs w:val="21"/>
          <w:highlight w:val="none"/>
        </w:rPr>
      </w:pPr>
      <w:r>
        <w:rPr>
          <w:rFonts w:hint="eastAsia" w:ascii="宋体" w:hAnsi="宋体" w:cs="宋体"/>
          <w:color w:val="auto"/>
          <w:kern w:val="0"/>
          <w:szCs w:val="21"/>
          <w:highlight w:val="none"/>
        </w:rPr>
        <w:t>22.4磋商小组对响应文件进行符合性审查，并根据磋商文件规定的程序、评定成交的标准等事项与实质性响应磋商文件要求的供应商进行磋商。未实质性响应磋商文件的响应文件按无效处理，磋商小组将告知有关供应商。</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22.5磋商小组所有成员集中与单一供应商分别进行磋商，并给予所有参加磋商的供应商平等的磋商机会。</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22.6在磋商过程中，磋商小组可以根据磋商文件和磋商情况实质性变动采购需求中的技术、服务要求以及合同草案条款。所有变动内容均是磋商文件的有效组成部分，磋商小组将以书面形式同时通知所有参加磋商的供应商。</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22.7参加磋商的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22.8磋商结束后，磋商小组要求所有继续参加磋商的供应商在规定时间内提交最后报价，最后报价是供应商响应文件的有效组成部分。</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22.9已提交响应文件的供应商，在提交最后报价之前，可以根据磋商情况退出磋商。</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23．评审过程的保密</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23.1竞争性磋商小组成员和与评审活动有关的工作人员不得泄露有关磋商响应文件的评审和比较、成交候选人的推荐以及与评审有关的其他情况。</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23.2在评审过程中，如果供应商试图在磋商响应文件的评审和比较、成交候选人的推荐以及与评审有关的其他方面，向磋商小组、采购人和采购代理机构施加任何影响，其磋商响应文件将按照无效处理。</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24．评审方法</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24.1按照中华人民共和国财政部财库[2014]214号《政府采购竞争性磋商采购方式管理暂行办法》的规定，磋商小组根据综合评分情况，按照评审得分由高到低顺序推荐3名成交候选供应商。</w:t>
      </w:r>
    </w:p>
    <w:p>
      <w:pPr>
        <w:widowControl w:val="0"/>
        <w:spacing w:line="360" w:lineRule="auto"/>
        <w:ind w:firstLine="420" w:firstLineChars="200"/>
        <w:rPr>
          <w:color w:val="auto"/>
          <w:highlight w:val="none"/>
        </w:rPr>
      </w:pPr>
      <w:r>
        <w:rPr>
          <w:rFonts w:hint="eastAsia"/>
          <w:color w:val="auto"/>
          <w:highlight w:val="none"/>
        </w:rPr>
        <w:t>1）最低评审价法，是指响应标文件满足磋商文件全部实质性要求，且磋商报价最低的供应商为成交候选人的</w:t>
      </w:r>
      <w:r>
        <w:rPr>
          <w:rStyle w:val="30"/>
          <w:rFonts w:hint="eastAsia" w:ascii="宋体" w:hAnsi="宋体"/>
          <w:color w:val="auto"/>
          <w:sz w:val="21"/>
          <w:szCs w:val="21"/>
          <w:highlight w:val="none"/>
        </w:rPr>
        <w:t>评审</w:t>
      </w:r>
      <w:r>
        <w:rPr>
          <w:rFonts w:hint="eastAsia"/>
          <w:color w:val="auto"/>
          <w:highlight w:val="none"/>
        </w:rPr>
        <w:t>方法。</w:t>
      </w:r>
    </w:p>
    <w:p>
      <w:pPr>
        <w:widowControl w:val="0"/>
        <w:spacing w:line="360" w:lineRule="auto"/>
        <w:ind w:firstLine="420" w:firstLineChars="200"/>
        <w:rPr>
          <w:color w:val="auto"/>
          <w:highlight w:val="none"/>
        </w:rPr>
      </w:pPr>
      <w:r>
        <w:rPr>
          <w:rFonts w:hint="eastAsia"/>
          <w:color w:val="auto"/>
          <w:highlight w:val="none"/>
        </w:rPr>
        <w:t>2）综合评分法，是指响应文件满足磋商文件全部实质性要求，且按照评审因素的量化指标评审得分最高的供应商为成交候选人的评标</w:t>
      </w:r>
      <w:r>
        <w:rPr>
          <w:rStyle w:val="30"/>
          <w:rFonts w:hint="eastAsia" w:ascii="宋体" w:hAnsi="宋体"/>
          <w:color w:val="auto"/>
          <w:sz w:val="21"/>
          <w:szCs w:val="21"/>
          <w:highlight w:val="none"/>
        </w:rPr>
        <w:t>方法</w:t>
      </w:r>
      <w:r>
        <w:rPr>
          <w:rFonts w:hint="eastAsia"/>
          <w:color w:val="auto"/>
          <w:highlight w:val="none"/>
        </w:rPr>
        <w:t>。</w:t>
      </w:r>
    </w:p>
    <w:p>
      <w:pPr>
        <w:pStyle w:val="27"/>
        <w:keepNext w:val="0"/>
        <w:keepLines w:val="0"/>
        <w:widowControl w:val="0"/>
        <w:spacing w:before="166" w:beforeLines="50"/>
        <w:outlineLvl w:val="1"/>
        <w:rPr>
          <w:rStyle w:val="30"/>
          <w:color w:val="auto"/>
          <w:highlight w:val="none"/>
        </w:rPr>
      </w:pPr>
      <w:bookmarkStart w:id="20" w:name="_Toc14917"/>
      <w:r>
        <w:rPr>
          <w:rStyle w:val="30"/>
          <w:color w:val="auto"/>
          <w:highlight w:val="none"/>
        </w:rPr>
        <w:t>六</w:t>
      </w:r>
      <w:r>
        <w:rPr>
          <w:rStyle w:val="30"/>
          <w:rFonts w:hint="eastAsia"/>
          <w:color w:val="auto"/>
          <w:highlight w:val="none"/>
        </w:rPr>
        <w:t>、</w:t>
      </w:r>
      <w:r>
        <w:rPr>
          <w:rStyle w:val="30"/>
          <w:color w:val="auto"/>
          <w:highlight w:val="none"/>
        </w:rPr>
        <w:t>确定成交人、成交通知与签约</w:t>
      </w:r>
      <w:bookmarkEnd w:id="20"/>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25．确定成交人</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25.1磋商小组根据评审方法的规定对供应商进行评审排序，推荐成交候选人，形成评审报告。评审报告由磋商小组成员签字确认。</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25.2</w:t>
      </w:r>
      <w:r>
        <w:rPr>
          <w:rFonts w:hint="eastAsia" w:ascii="宋体" w:hAnsi="宋体"/>
          <w:color w:val="auto"/>
          <w:szCs w:val="21"/>
          <w:highlight w:val="none"/>
        </w:rPr>
        <w:t>采购人从评审报告提出的成交候选人中，根据质量和服务均能满足磋商文件实质性响应要求的原则确定成交供应商。</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25.3采购人也可以书面授权磋商小组直接确定成交供应商。</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25.4成交供应商确定之后，成交结果将在财政部门指定的政府采购信息发布媒体上公告。如果</w:t>
      </w:r>
      <w:r>
        <w:rPr>
          <w:rStyle w:val="30"/>
          <w:rFonts w:hint="eastAsia" w:ascii="宋体" w:hAnsi="宋体"/>
          <w:color w:val="auto"/>
          <w:sz w:val="21"/>
          <w:szCs w:val="21"/>
          <w:highlight w:val="none"/>
        </w:rPr>
        <w:t>成交供应商</w:t>
      </w:r>
      <w:r>
        <w:rPr>
          <w:rStyle w:val="30"/>
          <w:rFonts w:ascii="宋体" w:hAnsi="宋体"/>
          <w:color w:val="auto"/>
          <w:sz w:val="21"/>
          <w:szCs w:val="21"/>
          <w:highlight w:val="none"/>
        </w:rPr>
        <w:t>为小微企业</w:t>
      </w:r>
      <w:r>
        <w:rPr>
          <w:rStyle w:val="30"/>
          <w:rFonts w:hint="eastAsia" w:ascii="宋体" w:hAnsi="宋体"/>
          <w:color w:val="auto"/>
          <w:sz w:val="21"/>
          <w:szCs w:val="21"/>
          <w:highlight w:val="none"/>
        </w:rPr>
        <w:t>或残疾人福利性单位</w:t>
      </w:r>
      <w:r>
        <w:rPr>
          <w:rStyle w:val="30"/>
          <w:rFonts w:ascii="宋体" w:hAnsi="宋体"/>
          <w:color w:val="auto"/>
          <w:sz w:val="21"/>
          <w:szCs w:val="21"/>
          <w:highlight w:val="none"/>
        </w:rPr>
        <w:t>的，将同时公告其《中小企业声明函》</w:t>
      </w:r>
      <w:r>
        <w:rPr>
          <w:rStyle w:val="30"/>
          <w:rFonts w:hint="eastAsia" w:ascii="宋体" w:hAnsi="宋体"/>
          <w:color w:val="auto"/>
          <w:sz w:val="21"/>
          <w:szCs w:val="21"/>
          <w:highlight w:val="none"/>
        </w:rPr>
        <w:t>或《残疾人福利性单位声明函》</w:t>
      </w:r>
      <w:r>
        <w:rPr>
          <w:rStyle w:val="30"/>
          <w:rFonts w:ascii="宋体" w:hAnsi="宋体"/>
          <w:color w:val="auto"/>
          <w:sz w:val="21"/>
          <w:szCs w:val="21"/>
          <w:highlight w:val="none"/>
        </w:rPr>
        <w:t>。</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25.5供应商对成交公告有异议的，按照《中华人民共和国政府采购法》第五十二条之有关规定执行。提出质疑的供应商应当有明确的请求和必要的证明材料，应保证提出的质疑内容及相应证明材料的真实性及来源的合法性，并承担相应的法律责任。</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25.6成交供应商拒绝与采购人签订合同的，采购人可以按照评审报告推荐的成交人名单排序，确定下一候选人为成交供应商，也可以重新开展政府采购活动。</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26．成交通知</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 xml:space="preserve">26.1成交供应商确定之后，西北（陕西）国际招标有限公司将发出《成交通知书》。 </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26.2成交通知书对采购人和成交供应商具有同等法律效力。成交通知书发出之后，采购人改变成交结果，或者成交供应商放弃成交，应当承担相应的法律责任。</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27．成交合同的签订</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27.1采购人应当自成交通知书发出之日起三十日内，按照磋商文件和成交供应商的响应文件（包括磋商评审中形成的最后报价等补充文件），与成交供应商签订书面合同。</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27.2采购人自政府采购合同签订之日起2个工作日内，将政府采购合同在省级以上人民政府财政部门指定的媒体上公告，但政府采购合同中涉及国家秘密、商业秘密的内容除外。</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28．成交合同的履约验收</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28.1采购人按照政府采购合同规定的技术、服务、安全标准组织对供应商履约情况进行验收，并出具验收书。验收书应当包括每一项技术、服务、安全标准的履约情况。</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29．采购代理服务费</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29.1成交单位应在收到成交通知书3日内，向西北（陕西）国际招标有限公司一次性支付采购代理服务费。</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29.2采购代理服务费的金额见前附表。</w:t>
      </w:r>
    </w:p>
    <w:p>
      <w:pPr>
        <w:widowControl w:val="0"/>
        <w:spacing w:line="360" w:lineRule="auto"/>
        <w:rPr>
          <w:rStyle w:val="30"/>
          <w:rFonts w:ascii="宋体" w:hAnsi="宋体"/>
          <w:b/>
          <w:color w:val="auto"/>
          <w:sz w:val="21"/>
          <w:szCs w:val="21"/>
          <w:highlight w:val="none"/>
        </w:rPr>
      </w:pPr>
      <w:r>
        <w:rPr>
          <w:rStyle w:val="30"/>
          <w:rFonts w:ascii="宋体" w:hAnsi="宋体"/>
          <w:b/>
          <w:color w:val="auto"/>
          <w:sz w:val="21"/>
          <w:szCs w:val="21"/>
          <w:highlight w:val="none"/>
        </w:rPr>
        <w:t>30．其他</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30.1磋商开始后，出现下列情形之一的，采购代理机构将终止竞争性磋商采购活动，发布项目终止公告并说明原因，重新开展采购活动：</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（一）因情况变化，不再符合规定的竞争性磋商采购方式适用情形的；</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（二）出现影响采购公正的违法、违规行为的；</w:t>
      </w:r>
    </w:p>
    <w:p>
      <w:pPr>
        <w:widowControl w:val="0"/>
        <w:spacing w:line="360" w:lineRule="auto"/>
        <w:ind w:firstLine="420" w:firstLineChars="200"/>
        <w:rPr>
          <w:rStyle w:val="30"/>
          <w:rFonts w:ascii="宋体" w:hAnsi="宋体"/>
          <w:color w:val="auto"/>
          <w:sz w:val="21"/>
          <w:szCs w:val="21"/>
          <w:highlight w:val="none"/>
        </w:rPr>
      </w:pPr>
      <w:r>
        <w:rPr>
          <w:rStyle w:val="30"/>
          <w:rFonts w:hint="eastAsia" w:ascii="宋体" w:hAnsi="宋体"/>
          <w:color w:val="auto"/>
          <w:sz w:val="21"/>
          <w:szCs w:val="21"/>
          <w:highlight w:val="none"/>
        </w:rPr>
        <w:t>（三）</w:t>
      </w:r>
      <w:r>
        <w:rPr>
          <w:rStyle w:val="30"/>
          <w:rFonts w:hint="eastAsia"/>
          <w:color w:val="auto"/>
          <w:sz w:val="21"/>
          <w:szCs w:val="21"/>
          <w:highlight w:val="none"/>
        </w:rPr>
        <w:t>在采购过程中符合竞争要求的供应商不足</w:t>
      </w:r>
      <w:r>
        <w:rPr>
          <w:rStyle w:val="30"/>
          <w:color w:val="auto"/>
          <w:sz w:val="21"/>
          <w:szCs w:val="21"/>
          <w:highlight w:val="none"/>
        </w:rPr>
        <w:t>3</w:t>
      </w:r>
      <w:r>
        <w:rPr>
          <w:rStyle w:val="30"/>
          <w:rFonts w:hint="eastAsia"/>
          <w:color w:val="auto"/>
          <w:sz w:val="21"/>
          <w:szCs w:val="21"/>
          <w:highlight w:val="none"/>
        </w:rPr>
        <w:t>家的；</w:t>
      </w:r>
    </w:p>
    <w:p>
      <w:pPr>
        <w:widowControl w:val="0"/>
        <w:spacing w:line="360" w:lineRule="auto"/>
        <w:ind w:firstLine="420" w:firstLineChars="200"/>
        <w:rPr>
          <w:rStyle w:val="30"/>
          <w:rFonts w:ascii="宋体" w:hAnsi="宋体"/>
          <w:color w:val="auto"/>
          <w:sz w:val="21"/>
          <w:szCs w:val="21"/>
          <w:highlight w:val="none"/>
        </w:rPr>
      </w:pPr>
      <w:r>
        <w:rPr>
          <w:rStyle w:val="30"/>
          <w:rFonts w:hint="eastAsia" w:ascii="宋体" w:hAnsi="宋体"/>
          <w:color w:val="auto"/>
          <w:sz w:val="21"/>
          <w:szCs w:val="21"/>
          <w:highlight w:val="none"/>
        </w:rPr>
        <w:t>（四）</w:t>
      </w:r>
      <w:r>
        <w:rPr>
          <w:rStyle w:val="30"/>
          <w:rFonts w:hint="eastAsia"/>
          <w:color w:val="auto"/>
          <w:sz w:val="21"/>
          <w:szCs w:val="21"/>
          <w:highlight w:val="none"/>
        </w:rPr>
        <w:t>报价未超过采购预算的供应商不足</w:t>
      </w:r>
      <w:r>
        <w:rPr>
          <w:rStyle w:val="30"/>
          <w:color w:val="auto"/>
          <w:sz w:val="21"/>
          <w:szCs w:val="21"/>
          <w:highlight w:val="none"/>
        </w:rPr>
        <w:t>3</w:t>
      </w:r>
      <w:r>
        <w:rPr>
          <w:rStyle w:val="30"/>
          <w:rFonts w:hint="eastAsia"/>
          <w:color w:val="auto"/>
          <w:sz w:val="21"/>
          <w:szCs w:val="21"/>
          <w:highlight w:val="none"/>
        </w:rPr>
        <w:t>家的；</w:t>
      </w:r>
    </w:p>
    <w:p>
      <w:pPr>
        <w:widowControl w:val="0"/>
        <w:spacing w:line="360" w:lineRule="auto"/>
        <w:ind w:firstLine="420" w:firstLineChars="200"/>
        <w:rPr>
          <w:rStyle w:val="30"/>
          <w:rFonts w:ascii="宋体" w:hAnsi="宋体"/>
          <w:color w:val="auto"/>
          <w:sz w:val="21"/>
          <w:szCs w:val="21"/>
          <w:highlight w:val="none"/>
        </w:rPr>
      </w:pPr>
      <w:r>
        <w:rPr>
          <w:rStyle w:val="30"/>
          <w:rFonts w:hint="eastAsia" w:ascii="宋体" w:hAnsi="宋体"/>
          <w:color w:val="auto"/>
          <w:sz w:val="21"/>
          <w:szCs w:val="21"/>
          <w:highlight w:val="none"/>
        </w:rPr>
        <w:t>（五）</w:t>
      </w:r>
      <w:r>
        <w:rPr>
          <w:rStyle w:val="30"/>
          <w:rFonts w:hint="eastAsia"/>
          <w:color w:val="auto"/>
          <w:sz w:val="21"/>
          <w:szCs w:val="21"/>
          <w:highlight w:val="none"/>
        </w:rPr>
        <w:t>法律规定的其他情形除外。</w:t>
      </w:r>
    </w:p>
    <w:p>
      <w:pPr>
        <w:widowControl w:val="0"/>
        <w:spacing w:line="360" w:lineRule="auto"/>
        <w:ind w:left="1109" w:leftChars="228" w:hanging="630"/>
        <w:rPr>
          <w:rStyle w:val="30"/>
          <w:rFonts w:ascii="宋体" w:hAnsi="宋体"/>
          <w:color w:val="auto"/>
          <w:sz w:val="21"/>
          <w:szCs w:val="21"/>
          <w:highlight w:val="none"/>
        </w:rPr>
      </w:pPr>
      <w:r>
        <w:rPr>
          <w:rStyle w:val="30"/>
          <w:rFonts w:ascii="宋体" w:hAnsi="宋体"/>
          <w:color w:val="auto"/>
          <w:sz w:val="21"/>
          <w:szCs w:val="21"/>
          <w:highlight w:val="none"/>
        </w:rPr>
        <w:t>30.2提交最后报价的供应商为2家时，可以继续进行磋商的情形：</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（一）市场竞争不充分的科研项目，以及需要扶持的科技成果转化项目；</w:t>
      </w:r>
    </w:p>
    <w:p>
      <w:pPr>
        <w:widowControl w:val="0"/>
        <w:spacing w:line="360" w:lineRule="auto"/>
        <w:ind w:firstLine="420" w:firstLineChars="200"/>
        <w:rPr>
          <w:rStyle w:val="30"/>
          <w:rFonts w:ascii="宋体" w:hAnsi="宋体"/>
          <w:color w:val="auto"/>
          <w:sz w:val="21"/>
          <w:szCs w:val="21"/>
          <w:highlight w:val="none"/>
        </w:rPr>
      </w:pPr>
      <w:r>
        <w:rPr>
          <w:rStyle w:val="30"/>
          <w:rFonts w:ascii="宋体" w:hAnsi="宋体"/>
          <w:color w:val="auto"/>
          <w:sz w:val="21"/>
          <w:szCs w:val="21"/>
          <w:highlight w:val="none"/>
        </w:rPr>
        <w:t>（二）</w:t>
      </w:r>
      <w:r>
        <w:rPr>
          <w:rFonts w:ascii="宋体" w:hAnsi="宋体"/>
          <w:color w:val="auto"/>
          <w:szCs w:val="21"/>
          <w:highlight w:val="none"/>
        </w:rPr>
        <w:t>根据财库（2015）124号文件，在采购过程中符合要求的供应商（社会资本）只有2家的</w:t>
      </w:r>
      <w:r>
        <w:rPr>
          <w:rFonts w:hint="eastAsia" w:ascii="宋体" w:hAnsi="宋体"/>
          <w:color w:val="auto"/>
          <w:szCs w:val="21"/>
          <w:highlight w:val="none"/>
        </w:rPr>
        <w:t>。</w:t>
      </w:r>
    </w:p>
    <w:p>
      <w:pPr>
        <w:widowControl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30.3落实优先采购节能、环保产品的政策</w:t>
      </w:r>
    </w:p>
    <w:p>
      <w:pPr>
        <w:widowControl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采购产品“节能产品政府采购品目清单”的、进入“环境标志产品政府采购品目清单”的，提供证明文件，在评审方法中给予加分优惠（详见评审方法）。采购产品符合财库〔2019〕9号文件精神，进入节能产品、环境标志产品政府采购清单（有效期内）的。供应商属于（财库〔2020〕46号）文件规定的小微企业的，提供中小企业声明函，在评审方法中享受报价优惠折扣（详见评审方法）。供应商属于（财库〔2014〕68号）文件规定的监狱企业的，提供由省级以上监狱管理局、戒毒管理局（含新疆生产建设兵团）出具的属于监狱企业的证明文件，视同小微企业，在评审方法中享受报价优惠折扣（详见评审方法）。供应商属于（财库〔2017〕141号）文件规定的残疾人福利性单位的，提供《残疾人福利性单位声明函》，视同小微企业，在评审方法中享受报价优惠折扣（详见评审方法）。供应商提供的与事实不符的，依照《政府采购法》第七十七条第一款的规定追究法律责任。</w:t>
      </w:r>
    </w:p>
    <w:p>
      <w:pPr>
        <w:widowControl w:val="0"/>
        <w:spacing w:line="360" w:lineRule="auto"/>
        <w:ind w:firstLine="420" w:firstLineChars="200"/>
        <w:rPr>
          <w:rStyle w:val="30"/>
          <w:rFonts w:ascii="宋体" w:hAnsi="宋体"/>
          <w:color w:val="auto"/>
          <w:sz w:val="21"/>
          <w:szCs w:val="21"/>
          <w:highlight w:val="none"/>
        </w:rPr>
      </w:pPr>
      <w:r>
        <w:rPr>
          <w:rFonts w:hint="eastAsia" w:ascii="宋体" w:hAnsi="宋体"/>
          <w:color w:val="auto"/>
          <w:szCs w:val="21"/>
          <w:highlight w:val="none"/>
        </w:rPr>
        <w:t>30.4其他需要说明内容：详见磋商须知前附表。</w:t>
      </w:r>
    </w:p>
    <w:p>
      <w:pPr>
        <w:pStyle w:val="16"/>
        <w:rPr>
          <w:color w:val="auto"/>
          <w:highlight w:val="none"/>
        </w:rPr>
      </w:pPr>
    </w:p>
    <w:p>
      <w:pPr>
        <w:pStyle w:val="26"/>
        <w:spacing w:before="158" w:after="158"/>
        <w:rPr>
          <w:rStyle w:val="30"/>
          <w:rFonts w:ascii="宋体" w:hAnsi="宋体"/>
          <w:color w:val="auto"/>
          <w:kern w:val="0"/>
          <w:sz w:val="32"/>
          <w:szCs w:val="32"/>
          <w:highlight w:val="none"/>
        </w:rPr>
      </w:pPr>
      <w:r>
        <w:rPr>
          <w:rStyle w:val="30"/>
          <w:rFonts w:ascii="宋体" w:hAnsi="宋体"/>
          <w:color w:val="auto"/>
          <w:kern w:val="0"/>
          <w:sz w:val="32"/>
          <w:szCs w:val="32"/>
          <w:highlight w:val="none"/>
        </w:rPr>
        <w:br w:type="page"/>
      </w:r>
    </w:p>
    <w:p>
      <w:pPr>
        <w:pStyle w:val="4"/>
        <w:textAlignment w:val="auto"/>
        <w:rPr>
          <w:rFonts w:cs="宋体"/>
          <w:bCs/>
          <w:color w:val="auto"/>
          <w:highlight w:val="none"/>
        </w:rPr>
      </w:pPr>
      <w:bookmarkStart w:id="21" w:name="_Toc13468"/>
      <w:r>
        <w:rPr>
          <w:rFonts w:cs="宋体"/>
          <w:bCs/>
          <w:color w:val="auto"/>
          <w:highlight w:val="none"/>
        </w:rPr>
        <w:t>第三章 合同条款及要求</w:t>
      </w:r>
      <w:bookmarkEnd w:id="21"/>
    </w:p>
    <w:p>
      <w:pPr>
        <w:snapToGrid w:val="0"/>
        <w:spacing w:line="360" w:lineRule="auto"/>
        <w:ind w:left="5373" w:leftChars="2272" w:hanging="602" w:hangingChars="200"/>
        <w:contextualSpacing/>
        <w:rPr>
          <w:rFonts w:ascii="宋体" w:hAnsi="宋体" w:cs="宋体"/>
          <w:color w:val="auto"/>
          <w:sz w:val="30"/>
          <w:szCs w:val="30"/>
          <w:highlight w:val="none"/>
          <w:u w:val="single"/>
        </w:rPr>
      </w:pPr>
      <w:r>
        <w:rPr>
          <w:rFonts w:hint="eastAsia" w:ascii="宋体" w:hAnsi="宋体" w:cs="宋体"/>
          <w:b/>
          <w:bCs/>
          <w:color w:val="auto"/>
          <w:sz w:val="30"/>
          <w:szCs w:val="30"/>
          <w:highlight w:val="none"/>
        </w:rPr>
        <w:br w:type="textWrapping"/>
      </w:r>
      <w:r>
        <w:rPr>
          <w:rFonts w:hint="eastAsia" w:ascii="宋体" w:hAnsi="宋体" w:cs="宋体"/>
          <w:b/>
          <w:bCs/>
          <w:color w:val="auto"/>
          <w:sz w:val="30"/>
          <w:szCs w:val="30"/>
          <w:highlight w:val="none"/>
        </w:rPr>
        <w:t>项目编号：</w:t>
      </w:r>
      <w:r>
        <w:rPr>
          <w:rFonts w:hint="eastAsia" w:ascii="宋体" w:hAnsi="宋体" w:cs="宋体"/>
          <w:b/>
          <w:bCs/>
          <w:color w:val="auto"/>
          <w:sz w:val="30"/>
          <w:szCs w:val="30"/>
          <w:highlight w:val="none"/>
          <w:u w:val="single"/>
        </w:rPr>
        <w:t xml:space="preserve">          </w:t>
      </w:r>
    </w:p>
    <w:p>
      <w:pPr>
        <w:tabs>
          <w:tab w:val="left" w:pos="5670"/>
        </w:tabs>
        <w:autoSpaceDE w:val="0"/>
        <w:autoSpaceDN w:val="0"/>
        <w:adjustRightInd w:val="0"/>
        <w:spacing w:line="360" w:lineRule="auto"/>
        <w:jc w:val="right"/>
        <w:rPr>
          <w:rFonts w:ascii="宋体" w:hAnsi="宋体" w:cs="宋体"/>
          <w:b/>
          <w:color w:val="auto"/>
          <w:sz w:val="32"/>
          <w:szCs w:val="32"/>
          <w:highlight w:val="none"/>
        </w:rPr>
      </w:pPr>
    </w:p>
    <w:p>
      <w:pPr>
        <w:pStyle w:val="16"/>
        <w:jc w:val="right"/>
        <w:rPr>
          <w:rFonts w:ascii="宋体" w:hAnsi="宋体" w:cs="宋体"/>
          <w:color w:val="auto"/>
          <w:highlight w:val="none"/>
        </w:rPr>
      </w:pPr>
    </w:p>
    <w:p>
      <w:pPr>
        <w:tabs>
          <w:tab w:val="left" w:pos="5670"/>
        </w:tabs>
        <w:autoSpaceDE w:val="0"/>
        <w:autoSpaceDN w:val="0"/>
        <w:adjustRightInd w:val="0"/>
        <w:spacing w:line="360" w:lineRule="auto"/>
        <w:jc w:val="right"/>
        <w:rPr>
          <w:rFonts w:ascii="宋体" w:hAnsi="宋体" w:cs="宋体"/>
          <w:b/>
          <w:bCs/>
          <w:color w:val="auto"/>
          <w:sz w:val="32"/>
          <w:szCs w:val="32"/>
          <w:highlight w:val="none"/>
        </w:rPr>
      </w:pPr>
    </w:p>
    <w:p>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西安市公安局交通警察支队</w:t>
      </w:r>
    </w:p>
    <w:p>
      <w:pPr>
        <w:spacing w:line="360" w:lineRule="auto"/>
        <w:jc w:val="center"/>
        <w:rPr>
          <w:rFonts w:hint="eastAsia" w:ascii="宋体" w:hAnsi="宋体" w:eastAsia="宋体" w:cs="宋体"/>
          <w:b/>
          <w:bCs/>
          <w:color w:val="auto"/>
          <w:sz w:val="36"/>
          <w:szCs w:val="36"/>
          <w:highlight w:val="none"/>
          <w:lang w:eastAsia="zh-CN"/>
        </w:rPr>
      </w:pPr>
      <w:r>
        <w:rPr>
          <w:rFonts w:hint="eastAsia" w:ascii="宋体" w:hAnsi="宋体" w:cs="宋体"/>
          <w:b/>
          <w:color w:val="auto"/>
          <w:kern w:val="0"/>
          <w:sz w:val="32"/>
          <w:szCs w:val="32"/>
          <w:highlight w:val="none"/>
          <w:lang w:eastAsia="zh-CN"/>
        </w:rPr>
        <w:t>科技处绿色出行评价服务项目（2022-2023）</w:t>
      </w:r>
    </w:p>
    <w:p>
      <w:pPr>
        <w:pStyle w:val="14"/>
        <w:spacing w:line="360" w:lineRule="auto"/>
        <w:jc w:val="right"/>
        <w:rPr>
          <w:rFonts w:ascii="宋体" w:hAnsi="宋体" w:cs="宋体"/>
          <w:b/>
          <w:bCs/>
          <w:color w:val="auto"/>
          <w:sz w:val="36"/>
          <w:szCs w:val="36"/>
          <w:highlight w:val="none"/>
        </w:rPr>
      </w:pPr>
    </w:p>
    <w:p>
      <w:pPr>
        <w:rPr>
          <w:color w:val="auto"/>
          <w:highlight w:val="none"/>
        </w:rPr>
      </w:pPr>
    </w:p>
    <w:p>
      <w:pPr>
        <w:tabs>
          <w:tab w:val="left" w:pos="5670"/>
        </w:tabs>
        <w:autoSpaceDE w:val="0"/>
        <w:autoSpaceDN w:val="0"/>
        <w:adjustRightInd w:val="0"/>
        <w:spacing w:line="360" w:lineRule="auto"/>
        <w:jc w:val="center"/>
        <w:rPr>
          <w:rFonts w:ascii="宋体" w:hAnsi="宋体" w:cs="宋体"/>
          <w:color w:val="auto"/>
          <w:sz w:val="36"/>
          <w:szCs w:val="36"/>
          <w:highlight w:val="none"/>
        </w:rPr>
      </w:pPr>
      <w:r>
        <w:rPr>
          <w:rFonts w:hint="eastAsia" w:ascii="宋体" w:hAnsi="宋体" w:cs="宋体"/>
          <w:b/>
          <w:bCs/>
          <w:color w:val="auto"/>
          <w:sz w:val="36"/>
          <w:szCs w:val="36"/>
          <w:highlight w:val="none"/>
        </w:rPr>
        <w:t xml:space="preserve">合  同  </w:t>
      </w:r>
      <w:r>
        <w:rPr>
          <w:rFonts w:hint="eastAsia" w:ascii="宋体" w:hAnsi="宋体" w:cs="宋体"/>
          <w:b/>
          <w:bCs/>
          <w:color w:val="auto"/>
          <w:sz w:val="36"/>
          <w:szCs w:val="36"/>
          <w:highlight w:val="none"/>
          <w:lang w:val="zh-CN"/>
        </w:rPr>
        <w:t>文</w:t>
      </w:r>
      <w:r>
        <w:rPr>
          <w:rFonts w:hint="eastAsia" w:ascii="宋体" w:hAnsi="宋体" w:cs="宋体"/>
          <w:b/>
          <w:bCs/>
          <w:color w:val="auto"/>
          <w:sz w:val="36"/>
          <w:szCs w:val="36"/>
          <w:highlight w:val="none"/>
        </w:rPr>
        <w:t xml:space="preserve">  </w:t>
      </w:r>
      <w:r>
        <w:rPr>
          <w:rFonts w:hint="eastAsia" w:ascii="宋体" w:hAnsi="宋体" w:cs="宋体"/>
          <w:b/>
          <w:bCs/>
          <w:color w:val="auto"/>
          <w:sz w:val="36"/>
          <w:szCs w:val="36"/>
          <w:highlight w:val="none"/>
          <w:lang w:val="zh-CN"/>
        </w:rPr>
        <w:t>本</w:t>
      </w:r>
    </w:p>
    <w:p>
      <w:pPr>
        <w:pStyle w:val="14"/>
        <w:spacing w:line="360" w:lineRule="auto"/>
        <w:jc w:val="right"/>
        <w:rPr>
          <w:rFonts w:ascii="宋体" w:hAnsi="宋体" w:cs="宋体"/>
          <w:b/>
          <w:bCs/>
          <w:color w:val="auto"/>
          <w:sz w:val="44"/>
          <w:szCs w:val="44"/>
          <w:highlight w:val="none"/>
        </w:rPr>
      </w:pPr>
    </w:p>
    <w:p>
      <w:pPr>
        <w:pStyle w:val="16"/>
        <w:jc w:val="right"/>
        <w:rPr>
          <w:rFonts w:ascii="宋体" w:hAnsi="宋体" w:cs="宋体"/>
          <w:color w:val="auto"/>
          <w:highlight w:val="none"/>
        </w:rPr>
      </w:pPr>
    </w:p>
    <w:p>
      <w:pPr>
        <w:rPr>
          <w:rFonts w:ascii="宋体" w:hAnsi="宋体" w:cs="宋体"/>
          <w:color w:val="auto"/>
          <w:highlight w:val="none"/>
        </w:rPr>
      </w:pPr>
    </w:p>
    <w:p>
      <w:pPr>
        <w:pStyle w:val="16"/>
        <w:rPr>
          <w:rFonts w:ascii="宋体" w:hAnsi="宋体" w:cs="宋体"/>
          <w:color w:val="auto"/>
          <w:highlight w:val="none"/>
        </w:rPr>
      </w:pPr>
    </w:p>
    <w:p>
      <w:pPr>
        <w:rPr>
          <w:rFonts w:ascii="宋体" w:hAnsi="宋体" w:cs="宋体"/>
          <w:color w:val="auto"/>
          <w:highlight w:val="none"/>
        </w:rPr>
      </w:pPr>
    </w:p>
    <w:p>
      <w:pPr>
        <w:tabs>
          <w:tab w:val="left" w:pos="5670"/>
        </w:tabs>
        <w:autoSpaceDE w:val="0"/>
        <w:autoSpaceDN w:val="0"/>
        <w:adjustRightInd w:val="0"/>
        <w:spacing w:line="360" w:lineRule="auto"/>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 xml:space="preserve">            甲  方：</w:t>
      </w:r>
      <w:r>
        <w:rPr>
          <w:rFonts w:hint="eastAsia" w:ascii="宋体" w:hAnsi="宋体" w:cs="宋体"/>
          <w:b/>
          <w:bCs/>
          <w:color w:val="auto"/>
          <w:sz w:val="32"/>
          <w:szCs w:val="32"/>
          <w:highlight w:val="none"/>
          <w:u w:val="single"/>
          <w:lang w:val="zh-CN"/>
        </w:rPr>
        <w:t>西安市公安局交通警察支队</w:t>
      </w:r>
    </w:p>
    <w:p>
      <w:pPr>
        <w:tabs>
          <w:tab w:val="left" w:pos="5670"/>
        </w:tabs>
        <w:autoSpaceDE w:val="0"/>
        <w:autoSpaceDN w:val="0"/>
        <w:adjustRightInd w:val="0"/>
        <w:spacing w:before="332" w:beforeLines="100"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 xml:space="preserve">            乙  方：</w:t>
      </w:r>
      <w:r>
        <w:rPr>
          <w:rFonts w:hint="eastAsia" w:ascii="宋体" w:hAnsi="宋体" w:cs="宋体"/>
          <w:b/>
          <w:bCs/>
          <w:color w:val="auto"/>
          <w:sz w:val="32"/>
          <w:szCs w:val="32"/>
          <w:highlight w:val="none"/>
          <w:u w:val="single"/>
        </w:rPr>
        <w:t xml:space="preserve">                        </w:t>
      </w:r>
    </w:p>
    <w:p>
      <w:pPr>
        <w:tabs>
          <w:tab w:val="left" w:pos="5670"/>
        </w:tabs>
        <w:autoSpaceDE w:val="0"/>
        <w:autoSpaceDN w:val="0"/>
        <w:adjustRightInd w:val="0"/>
        <w:spacing w:line="360" w:lineRule="auto"/>
        <w:ind w:firstLine="2168" w:firstLineChars="600"/>
        <w:rPr>
          <w:rFonts w:ascii="宋体" w:hAnsi="宋体" w:cs="宋体"/>
          <w:b/>
          <w:bCs/>
          <w:color w:val="auto"/>
          <w:sz w:val="36"/>
          <w:szCs w:val="36"/>
          <w:highlight w:val="none"/>
          <w:lang w:val="zh-CN"/>
        </w:rPr>
      </w:pPr>
    </w:p>
    <w:p>
      <w:pPr>
        <w:widowControl w:val="0"/>
        <w:tabs>
          <w:tab w:val="left" w:pos="5460"/>
        </w:tabs>
        <w:autoSpaceDE w:val="0"/>
        <w:autoSpaceDN w:val="0"/>
        <w:spacing w:line="360" w:lineRule="auto"/>
        <w:jc w:val="center"/>
        <w:textAlignment w:val="auto"/>
        <w:rPr>
          <w:rFonts w:ascii="宋体" w:hAnsi="宋体" w:cs="宋体"/>
          <w:b/>
          <w:bCs/>
          <w:color w:val="auto"/>
          <w:sz w:val="32"/>
          <w:szCs w:val="32"/>
          <w:highlight w:val="none"/>
          <w:lang w:val="zh-CN"/>
        </w:rPr>
      </w:pPr>
    </w:p>
    <w:p>
      <w:pPr>
        <w:widowControl w:val="0"/>
        <w:tabs>
          <w:tab w:val="left" w:pos="5460"/>
        </w:tabs>
        <w:autoSpaceDE w:val="0"/>
        <w:autoSpaceDN w:val="0"/>
        <w:spacing w:line="360" w:lineRule="auto"/>
        <w:jc w:val="center"/>
        <w:textAlignment w:val="auto"/>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二零</w:t>
      </w:r>
      <w:r>
        <w:rPr>
          <w:rFonts w:hint="eastAsia" w:ascii="宋体" w:hAnsi="宋体" w:cs="宋体"/>
          <w:b/>
          <w:bCs/>
          <w:color w:val="auto"/>
          <w:sz w:val="32"/>
          <w:szCs w:val="32"/>
          <w:highlight w:val="none"/>
        </w:rPr>
        <w:t>二二</w:t>
      </w:r>
      <w:r>
        <w:rPr>
          <w:rFonts w:hint="eastAsia" w:ascii="宋体" w:hAnsi="宋体" w:cs="宋体"/>
          <w:b/>
          <w:bCs/>
          <w:color w:val="auto"/>
          <w:sz w:val="32"/>
          <w:szCs w:val="32"/>
          <w:highlight w:val="none"/>
          <w:lang w:val="zh-CN"/>
        </w:rPr>
        <w:t>年</w:t>
      </w:r>
      <w:r>
        <w:rPr>
          <w:rFonts w:hint="eastAsia" w:ascii="宋体" w:hAnsi="宋体" w:cs="宋体"/>
          <w:b/>
          <w:bCs/>
          <w:color w:val="auto"/>
          <w:sz w:val="32"/>
          <w:szCs w:val="32"/>
          <w:highlight w:val="none"/>
        </w:rPr>
        <w:t xml:space="preserve">    </w:t>
      </w:r>
      <w:r>
        <w:rPr>
          <w:rFonts w:hint="eastAsia" w:ascii="宋体" w:hAnsi="宋体" w:cs="宋体"/>
          <w:b/>
          <w:bCs/>
          <w:color w:val="auto"/>
          <w:sz w:val="32"/>
          <w:szCs w:val="32"/>
          <w:highlight w:val="none"/>
          <w:lang w:val="zh-CN"/>
        </w:rPr>
        <w:t>月</w:t>
      </w:r>
    </w:p>
    <w:p>
      <w:pPr>
        <w:widowControl w:val="0"/>
        <w:spacing w:line="360" w:lineRule="auto"/>
        <w:contextualSpacing/>
        <w:jc w:val="center"/>
        <w:textAlignment w:val="auto"/>
        <w:rPr>
          <w:rFonts w:ascii="宋体" w:hAnsi="宋体" w:cs="宋体"/>
          <w:b/>
          <w:bCs/>
          <w:color w:val="auto"/>
          <w:sz w:val="32"/>
          <w:szCs w:val="32"/>
          <w:highlight w:val="none"/>
        </w:rPr>
      </w:pPr>
      <w:r>
        <w:rPr>
          <w:rFonts w:hint="eastAsia" w:ascii="宋体" w:hAnsi="宋体" w:cs="宋体"/>
          <w:b/>
          <w:bCs/>
          <w:color w:val="auto"/>
          <w:sz w:val="32"/>
          <w:szCs w:val="32"/>
          <w:highlight w:val="none"/>
        </w:rPr>
        <w:t>中国  西安</w:t>
      </w:r>
    </w:p>
    <w:p>
      <w:pPr>
        <w:rPr>
          <w:rFonts w:ascii="宋体" w:hAnsi="宋体" w:cs="宋体"/>
          <w:color w:val="auto"/>
          <w:highlight w:val="none"/>
        </w:rPr>
        <w:sectPr>
          <w:footerReference r:id="rId10" w:type="default"/>
          <w:footerReference r:id="rId11"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32" w:charSpace="0"/>
        </w:sectPr>
      </w:pPr>
    </w:p>
    <w:p>
      <w:pPr>
        <w:autoSpaceDE w:val="0"/>
        <w:autoSpaceDN w:val="0"/>
        <w:adjustRightInd w:val="0"/>
        <w:spacing w:line="360" w:lineRule="auto"/>
        <w:ind w:firstLine="420" w:firstLineChars="200"/>
        <w:rPr>
          <w:rFonts w:ascii="宋体" w:hAnsi="宋体" w:cs="宋体"/>
          <w:bCs/>
          <w:color w:val="auto"/>
          <w:szCs w:val="21"/>
          <w:highlight w:val="none"/>
        </w:rPr>
      </w:pPr>
      <w:bookmarkStart w:id="22" w:name="1"/>
    </w:p>
    <w:p>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甲方：</w:t>
      </w:r>
      <w:r>
        <w:rPr>
          <w:rFonts w:hint="eastAsia" w:ascii="宋体" w:hAnsi="宋体" w:cs="宋体"/>
          <w:bCs/>
          <w:color w:val="auto"/>
          <w:szCs w:val="21"/>
          <w:highlight w:val="none"/>
          <w:u w:val="single"/>
        </w:rPr>
        <w:t xml:space="preserve"> 西安市公安局交通警察支队</w:t>
      </w:r>
    </w:p>
    <w:p>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乙方：</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rPr>
        <w:br w:type="textWrapping"/>
      </w:r>
    </w:p>
    <w:p>
      <w:pPr>
        <w:spacing w:line="360" w:lineRule="auto"/>
        <w:ind w:firstLine="420" w:firstLineChars="200"/>
        <w:jc w:val="left"/>
        <w:textAlignment w:val="auto"/>
        <w:outlineLvl w:val="1"/>
        <w:rPr>
          <w:rFonts w:ascii="宋体" w:hAnsi="宋体" w:cs="宋体"/>
          <w:bCs/>
          <w:color w:val="auto"/>
          <w:szCs w:val="21"/>
          <w:highlight w:val="none"/>
          <w:lang w:val="zh-CN"/>
        </w:rPr>
      </w:pPr>
      <w:r>
        <w:rPr>
          <w:rFonts w:hint="eastAsia" w:ascii="宋体" w:hAnsi="宋体" w:cs="宋体"/>
          <w:bCs/>
          <w:color w:val="auto"/>
          <w:szCs w:val="21"/>
          <w:highlight w:val="none"/>
          <w:u w:val="single"/>
          <w:lang w:val="zh-CN"/>
        </w:rPr>
        <w:t>西安市公安局交通警察支队科技处绿色出行评价服务项目（2022-2023）</w:t>
      </w:r>
      <w:r>
        <w:rPr>
          <w:rFonts w:hint="eastAsia" w:ascii="宋体" w:hAnsi="宋体" w:cs="宋体"/>
          <w:bCs/>
          <w:color w:val="auto"/>
          <w:szCs w:val="21"/>
          <w:highlight w:val="none"/>
          <w:lang w:val="zh-CN"/>
        </w:rPr>
        <w:t>由西北（陕西）国际招标有限公司按照政府采购程序依法组织竞争性磋商，西安市公安局交通警察支队(以下简称“甲方”)确定</w:t>
      </w:r>
      <w:r>
        <w:rPr>
          <w:rFonts w:hint="eastAsia" w:ascii="宋体" w:hAnsi="宋体" w:cs="宋体"/>
          <w:bCs/>
          <w:color w:val="auto"/>
          <w:szCs w:val="21"/>
          <w:highlight w:val="none"/>
          <w:u w:val="single"/>
          <w:lang w:val="zh-CN"/>
        </w:rPr>
        <w:t xml:space="preserve">            </w:t>
      </w:r>
      <w:r>
        <w:rPr>
          <w:rFonts w:hint="eastAsia" w:ascii="宋体" w:hAnsi="宋体" w:cs="宋体"/>
          <w:bCs/>
          <w:color w:val="auto"/>
          <w:szCs w:val="21"/>
          <w:highlight w:val="none"/>
          <w:lang w:val="zh-CN"/>
        </w:rPr>
        <w:t>（以下简称“乙方”）为本项目的成交供应商。</w:t>
      </w:r>
    </w:p>
    <w:p>
      <w:pPr>
        <w:autoSpaceDE w:val="0"/>
        <w:autoSpaceDN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依据《中华人民共和国民法典》、《中华人民共和国政府采购法》和《中华人民共和国政府采购法实施条例》等法律法规，甲、乙双方在平等基础上协商一致，达成如下合同条款：</w:t>
      </w:r>
    </w:p>
    <w:p>
      <w:pPr>
        <w:autoSpaceDE w:val="0"/>
        <w:autoSpaceDN w:val="0"/>
        <w:spacing w:line="360" w:lineRule="auto"/>
        <w:ind w:firstLine="422" w:firstLineChars="200"/>
        <w:rPr>
          <w:rFonts w:hint="eastAsia" w:ascii="宋体" w:hAnsi="宋体" w:cs="宋体"/>
          <w:b/>
          <w:bCs w:val="0"/>
          <w:color w:val="auto"/>
          <w:szCs w:val="21"/>
          <w:highlight w:val="none"/>
        </w:rPr>
      </w:pPr>
      <w:r>
        <w:rPr>
          <w:rFonts w:hint="eastAsia" w:ascii="宋体" w:hAnsi="宋体" w:cs="宋体"/>
          <w:b/>
          <w:bCs w:val="0"/>
          <w:color w:val="auto"/>
          <w:szCs w:val="21"/>
          <w:highlight w:val="none"/>
        </w:rPr>
        <w:t>一、服务内容</w:t>
      </w:r>
    </w:p>
    <w:p>
      <w:pPr>
        <w:autoSpaceDE w:val="0"/>
        <w:autoSpaceDN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评估第一期西安市交通绿色出行评价项目，形成稳定的西安市绿色出行评价指标体系，发布2022年度西安市绿色出行指数报告，开展绿色出行创新性研究，对西安市绿色出行提出发展建议。具体服务内容包括：</w:t>
      </w:r>
    </w:p>
    <w:p>
      <w:pPr>
        <w:autoSpaceDE w:val="0"/>
        <w:autoSpaceDN w:val="0"/>
        <w:spacing w:line="360" w:lineRule="auto"/>
        <w:ind w:firstLine="420" w:firstLineChars="2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1.西安市绿色出行指标体系（含权重）深化研究与优化修订</w:t>
      </w:r>
      <w:r>
        <w:rPr>
          <w:rFonts w:hint="eastAsia" w:ascii="宋体" w:hAnsi="宋体" w:cs="宋体"/>
          <w:bCs/>
          <w:color w:val="auto"/>
          <w:szCs w:val="21"/>
          <w:highlight w:val="none"/>
          <w:lang w:eastAsia="zh-CN"/>
        </w:rPr>
        <w:t>；</w:t>
      </w:r>
    </w:p>
    <w:p>
      <w:pPr>
        <w:autoSpaceDE w:val="0"/>
        <w:autoSpaceDN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西安市2022年度绿色出行指数年度报告</w:t>
      </w:r>
      <w:r>
        <w:rPr>
          <w:rFonts w:hint="eastAsia" w:ascii="宋体" w:hAnsi="宋体" w:cs="宋体"/>
          <w:bCs/>
          <w:color w:val="auto"/>
          <w:szCs w:val="21"/>
          <w:highlight w:val="none"/>
          <w:lang w:eastAsia="zh-CN"/>
        </w:rPr>
        <w:t>；</w:t>
      </w:r>
    </w:p>
    <w:p>
      <w:pPr>
        <w:autoSpaceDE w:val="0"/>
        <w:autoSpaceDN w:val="0"/>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西安市绿色出行创新性研究和深度分析</w:t>
      </w:r>
      <w:r>
        <w:rPr>
          <w:rFonts w:hint="eastAsia" w:ascii="宋体" w:hAnsi="宋体" w:cs="宋体"/>
          <w:bCs/>
          <w:color w:val="auto"/>
          <w:szCs w:val="21"/>
          <w:highlight w:val="none"/>
          <w:lang w:eastAsia="zh-CN"/>
        </w:rPr>
        <w:t>；</w:t>
      </w:r>
    </w:p>
    <w:p>
      <w:pPr>
        <w:autoSpaceDE w:val="0"/>
        <w:autoSpaceDN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西安市绿色出行政策建议</w:t>
      </w:r>
      <w:r>
        <w:rPr>
          <w:rFonts w:hint="eastAsia" w:ascii="宋体" w:hAnsi="宋体" w:cs="宋体"/>
          <w:bCs/>
          <w:color w:val="auto"/>
          <w:szCs w:val="21"/>
          <w:highlight w:val="none"/>
          <w:lang w:val="en-US" w:eastAsia="zh-CN"/>
        </w:rPr>
        <w:t>和展望</w:t>
      </w:r>
      <w:r>
        <w:rPr>
          <w:rFonts w:hint="eastAsia" w:ascii="宋体" w:hAnsi="宋体" w:cs="宋体"/>
          <w:bCs/>
          <w:color w:val="auto"/>
          <w:szCs w:val="21"/>
          <w:highlight w:val="none"/>
        </w:rPr>
        <w:t>。</w:t>
      </w:r>
    </w:p>
    <w:p>
      <w:pPr>
        <w:keepNext w:val="0"/>
        <w:keepLines w:val="0"/>
        <w:pageBreakBefore w:val="0"/>
        <w:widowControl/>
        <w:kinsoku/>
        <w:wordWrap/>
        <w:overflowPunct/>
        <w:topLinePunct w:val="0"/>
        <w:autoSpaceDE w:val="0"/>
        <w:autoSpaceDN w:val="0"/>
        <w:bidi w:val="0"/>
        <w:adjustRightInd/>
        <w:snapToGrid/>
        <w:spacing w:line="360" w:lineRule="auto"/>
        <w:ind w:firstLine="422" w:firstLineChars="200"/>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、合同费用及付款方式</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合同价款为（大写）：</w:t>
      </w:r>
      <w:r>
        <w:rPr>
          <w:rFonts w:hint="eastAsia" w:ascii="宋体" w:hAnsi="宋体" w:cs="宋体"/>
          <w:bCs/>
          <w:color w:val="auto"/>
          <w:szCs w:val="21"/>
          <w:highlight w:val="none"/>
          <w:u w:val="single"/>
        </w:rPr>
        <w:t xml:space="preserve">           （小写：￥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元，为含税价）</w:t>
      </w:r>
      <w:r>
        <w:rPr>
          <w:rFonts w:hint="eastAsia" w:ascii="宋体" w:hAnsi="宋体" w:cs="宋体"/>
          <w:bCs/>
          <w:color w:val="auto"/>
          <w:szCs w:val="21"/>
          <w:highlight w:val="none"/>
        </w:rPr>
        <w:t>。</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注：合同价款为含税价，供应商提供产品所发生的一切税（包括增值税）费等都已包含于合同价款中。合同单价一次包死，不受市场价变化影响。</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付款计划：</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（1）签订合同后20个工作日内，甲方向乙方支付合同总额的30%；项目初审合格后30个工作日内，甲方向乙方支付合同总额的50%；项目成果提交并经甲方验收通过后30个工作日内，甲方向乙方支付合同总额的20%。</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（2）支付方式：银行转账。</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（3）结算方式：</w:t>
      </w:r>
      <w:r>
        <w:rPr>
          <w:rFonts w:hint="eastAsia" w:ascii="宋体" w:hAnsi="宋体" w:cs="宋体"/>
          <w:bCs/>
          <w:color w:val="auto"/>
          <w:spacing w:val="-6"/>
          <w:szCs w:val="21"/>
          <w:highlight w:val="none"/>
        </w:rPr>
        <w:t>由甲方负责分次结算，在甲方每次付款前，乙方必须开具发票给甲方。</w:t>
      </w:r>
    </w:p>
    <w:bookmarkEnd w:id="22"/>
    <w:p>
      <w:pPr>
        <w:autoSpaceDE w:val="0"/>
        <w:autoSpaceDN w:val="0"/>
        <w:spacing w:line="360" w:lineRule="auto"/>
        <w:ind w:firstLine="422" w:firstLineChars="200"/>
        <w:rPr>
          <w:rFonts w:hint="default" w:ascii="宋体" w:hAnsi="宋体" w:eastAsia="宋体" w:cs="宋体"/>
          <w:b/>
          <w:color w:val="auto"/>
          <w:szCs w:val="21"/>
          <w:highlight w:val="none"/>
          <w:lang w:val="en-US" w:eastAsia="zh-CN"/>
        </w:rPr>
      </w:pPr>
      <w:bookmarkStart w:id="23" w:name="_Toc2560"/>
      <w:bookmarkStart w:id="24" w:name="_Toc57823363"/>
      <w:r>
        <w:rPr>
          <w:rFonts w:hint="eastAsia" w:ascii="宋体" w:hAnsi="宋体" w:cs="宋体"/>
          <w:b/>
          <w:color w:val="auto"/>
          <w:szCs w:val="21"/>
          <w:highlight w:val="none"/>
          <w:lang w:val="en-US" w:eastAsia="zh-CN"/>
        </w:rPr>
        <w:t>三</w:t>
      </w:r>
      <w:r>
        <w:rPr>
          <w:rFonts w:hint="eastAsia" w:ascii="宋体" w:hAnsi="宋体" w:cs="宋体"/>
          <w:b/>
          <w:color w:val="auto"/>
          <w:szCs w:val="21"/>
          <w:highlight w:val="none"/>
        </w:rPr>
        <w:t>、服务期限</w:t>
      </w:r>
      <w:r>
        <w:rPr>
          <w:rFonts w:hint="eastAsia" w:ascii="宋体" w:hAnsi="宋体" w:cs="宋体"/>
          <w:b/>
          <w:color w:val="auto"/>
          <w:szCs w:val="21"/>
          <w:highlight w:val="none"/>
          <w:lang w:val="en-US" w:eastAsia="zh-CN"/>
        </w:rPr>
        <w:t>及进度要求</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服务期限：自合同签订之日起，10个月内完成合同规定的内容。</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lang w:val="en-US" w:eastAsia="zh-CN"/>
        </w:rPr>
        <w:t>2.进度要求：</w:t>
      </w:r>
      <w:r>
        <w:rPr>
          <w:rFonts w:hint="eastAsia" w:ascii="宋体" w:hAnsi="宋体" w:cs="宋体"/>
          <w:bCs/>
          <w:color w:val="auto"/>
          <w:szCs w:val="21"/>
          <w:highlight w:val="none"/>
        </w:rPr>
        <w:t>项目合同签订后的3个月内完成评价指标体系优化及构建，明确指标计算方法及评价标准。项目合同签订后的8个月内，完成全部成果的交付及发布。项目合同签订后的10个月内，完成宣传活动的策划与开展。</w:t>
      </w:r>
    </w:p>
    <w:p>
      <w:pPr>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质量要求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项目方案应思路清晰，具备可操作性，能够很好推动项目实施。整体方案应充分体现编制单位在专业技术研究和协助采购人完成相关工作等方面的能力。项目编制内容应对西安市绿色出行的阐述合理、要点齐全、思考深刻，符合相关法律、法规及政策的要求，遵循相关技术规范和标准。</w:t>
      </w:r>
    </w:p>
    <w:p>
      <w:pPr>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lang w:val="en-US" w:eastAsia="zh-CN"/>
        </w:rPr>
        <w:t>五、</w:t>
      </w:r>
      <w:r>
        <w:rPr>
          <w:rFonts w:hint="eastAsia" w:ascii="宋体" w:hAnsi="宋体" w:cs="宋体"/>
          <w:b/>
          <w:bCs/>
          <w:color w:val="auto"/>
          <w:szCs w:val="21"/>
          <w:highlight w:val="none"/>
        </w:rPr>
        <w:t>管理要求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项目服务单位应充分调研了解项目行业特点，制定可行的项目服务方案及工作计划，按照项目工作计划定期与采购人交换意见，保证项目质量，按要求完成项目服务的全部工作。</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应建立完备的工作机制。编制单位需成立项目工作组，明确分工，全面负责项目的具体执行和协调组织工作。可通过事前准备、过程控制、成果校核、后期跟踪等方式保证项目顺利实施。</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确保项目按照完成。制定详实的项目工作计划，可采用项目周报、项目例会、阶段性评审等方式控制项目进度，推动项目按计划进度执行。</w:t>
      </w:r>
    </w:p>
    <w:p>
      <w:pPr>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lang w:val="en-US" w:eastAsia="zh-CN"/>
        </w:rPr>
        <w:t>六、</w:t>
      </w:r>
      <w:r>
        <w:rPr>
          <w:rFonts w:hint="eastAsia" w:ascii="宋体" w:hAnsi="宋体" w:cs="宋体"/>
          <w:b/>
          <w:bCs/>
          <w:color w:val="auto"/>
          <w:szCs w:val="21"/>
          <w:highlight w:val="none"/>
        </w:rPr>
        <w:t>成果要求</w:t>
      </w:r>
    </w:p>
    <w:p>
      <w:pPr>
        <w:autoSpaceDE w:val="0"/>
        <w:autoSpaceDN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最终成果包括但不限于PPT成果汇报演示文件、2022年度西安市绿色出行指数报告、西安市绿色出行创新性研究和深度分析报告</w:t>
      </w:r>
      <w:r>
        <w:rPr>
          <w:rFonts w:hint="eastAsia" w:ascii="宋体" w:hAnsi="宋体" w:cs="宋体"/>
          <w:color w:val="auto"/>
          <w:szCs w:val="21"/>
          <w:highlight w:val="none"/>
          <w:lang w:eastAsia="zh-CN"/>
        </w:rPr>
        <w:t>；</w:t>
      </w:r>
      <w:r>
        <w:rPr>
          <w:rFonts w:hint="eastAsia" w:ascii="宋体" w:hAnsi="宋体" w:cs="宋体"/>
          <w:color w:val="auto"/>
          <w:szCs w:val="21"/>
          <w:highlight w:val="none"/>
        </w:rPr>
        <w:t>输出资政报告或成果要报1篇，获得</w:t>
      </w:r>
      <w:r>
        <w:rPr>
          <w:rFonts w:hint="eastAsia" w:ascii="宋体" w:hAnsi="宋体" w:cs="宋体"/>
          <w:color w:val="auto"/>
          <w:szCs w:val="21"/>
          <w:highlight w:val="none"/>
          <w:lang w:val="en-US" w:eastAsia="zh-CN"/>
        </w:rPr>
        <w:t>市级以上</w:t>
      </w:r>
      <w:r>
        <w:rPr>
          <w:rFonts w:hint="eastAsia" w:ascii="宋体" w:hAnsi="宋体" w:cs="宋体"/>
          <w:color w:val="auto"/>
          <w:szCs w:val="21"/>
          <w:highlight w:val="none"/>
        </w:rPr>
        <w:t>公安、政法等机关主要领导肯定性批示，或党委、政府、人大、政协等采纳证明</w:t>
      </w:r>
      <w:r>
        <w:rPr>
          <w:rFonts w:hint="eastAsia" w:ascii="宋体" w:hAnsi="宋体" w:cs="宋体"/>
          <w:color w:val="auto"/>
          <w:szCs w:val="21"/>
          <w:highlight w:val="none"/>
          <w:lang w:eastAsia="zh-CN"/>
        </w:rPr>
        <w:t>；</w:t>
      </w:r>
      <w:r>
        <w:rPr>
          <w:rFonts w:hint="eastAsia" w:ascii="宋体" w:hAnsi="宋体" w:cs="宋体"/>
          <w:color w:val="auto"/>
          <w:szCs w:val="21"/>
          <w:highlight w:val="none"/>
        </w:rPr>
        <w:t>发表相关研究论文1篇（不设限），要求发表在公开、专业期刊（不要求级别）。</w:t>
      </w:r>
    </w:p>
    <w:p>
      <w:pPr>
        <w:autoSpaceDE w:val="0"/>
        <w:autoSpaceDN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纸质成果：纸质文件5套。</w:t>
      </w:r>
    </w:p>
    <w:p>
      <w:pPr>
        <w:autoSpaceDE w:val="0"/>
        <w:autoSpaceDN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电子成果：电子文件</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套，包括PDF格式报告文件、PPT成果汇报演示文件。</w:t>
      </w:r>
    </w:p>
    <w:p>
      <w:pPr>
        <w:autoSpaceDE w:val="0"/>
        <w:autoSpaceDN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、双方责任、权利</w:t>
      </w:r>
    </w:p>
    <w:p>
      <w:pPr>
        <w:autoSpaceDE w:val="0"/>
        <w:autoSpaceDN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甲方按时提供乙方所需资料，并对其完整性、正确性及时限负责。如果超过时间为5天，乙方项目周期的各个阶段随之顺延；超过10天以上的，乙方有权重新确定项目时间。</w:t>
      </w:r>
    </w:p>
    <w:p>
      <w:pPr>
        <w:autoSpaceDE w:val="0"/>
        <w:autoSpaceDN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甲方变更委托项目内容、规模、条件或因提交资料的错误，或所提交的资料做重大修改，以至造成乙方返工时双方除需另行协商补充协议、重新明确有关条款外，还需根据所耗工作量增付费用。</w:t>
      </w:r>
    </w:p>
    <w:p>
      <w:pPr>
        <w:autoSpaceDE w:val="0"/>
        <w:autoSpaceDN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甲方协助乙方人员在现场期间调研等事宜。</w:t>
      </w:r>
    </w:p>
    <w:p>
      <w:pPr>
        <w:autoSpaceDE w:val="0"/>
        <w:autoSpaceDN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甲方应按合同规定时间和金额向乙方支付设计费。每逾期一天，应承担应付而未付金额千分之二的逾期违约金。</w:t>
      </w:r>
    </w:p>
    <w:p>
      <w:pPr>
        <w:autoSpaceDE w:val="0"/>
        <w:autoSpaceDN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若乙方由于自身原因要求终止或解除合同，应双倍返还合同结算价款。给甲方造成损失的，还应补偿损失，包括但不限于由此产生的诉讼等相关费用，并支付违约金。</w:t>
      </w:r>
    </w:p>
    <w:p>
      <w:pPr>
        <w:autoSpaceDE w:val="0"/>
        <w:autoSpaceDN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若乙方未能按照合同时间完成项目内容，每逾期一天，应承担已付金额千分之二的逾期违约金。</w:t>
      </w:r>
    </w:p>
    <w:p>
      <w:pPr>
        <w:autoSpaceDE w:val="0"/>
        <w:autoSpaceDN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乙方方案与甲方要求有矛盾时，乙方需根据国家及地方有关规范进行修改。</w:t>
      </w:r>
    </w:p>
    <w:p>
      <w:pPr>
        <w:autoSpaceDE w:val="0"/>
        <w:autoSpaceDN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甲方对乙方所提交的成果文件拥有使用权和处置权，其知识产权归甲方所有，甲方有权选用、修改相关成果。乙方不得将甲方的研究成果转让第三方。</w:t>
      </w:r>
    </w:p>
    <w:p>
      <w:pPr>
        <w:autoSpaceDE w:val="0"/>
        <w:autoSpaceDN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在本项目验收合格前，乙方应按照甲方提出的要求进行修改，直至验收合格。</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八</w:t>
      </w:r>
      <w:r>
        <w:rPr>
          <w:rFonts w:hint="eastAsia" w:ascii="宋体" w:hAnsi="宋体" w:cs="宋体"/>
          <w:b/>
          <w:color w:val="auto"/>
          <w:szCs w:val="21"/>
          <w:highlight w:val="none"/>
        </w:rPr>
        <w:t>、保密</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rPr>
        <w:t>1.对工作中了解到的甲方的技术、机密等进行严格保密，不得向他人泄漏，按照甲方要求签订保密协议并遵照执行。本合同的解除或终止不免除乙方应承担的保密义务。</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rPr>
        <w:t>2.项目部员工须严守项目机密，妥善保存项目资料、数据等信息。</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rPr>
        <w:t>3.乙方项目管理人员须做好项目重要文件的备份及存档工作。</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rPr>
        <w:t>4.乙方项目员工及管理人员均不可向外泄露项目发展计划、策略、客户资料及其他重要的方案，一经发现，除接受罚款、辞退等内部处理外，情节严重的，甲方将追究其法律责任。</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九</w:t>
      </w:r>
      <w:r>
        <w:rPr>
          <w:rFonts w:hint="eastAsia" w:ascii="宋体" w:hAnsi="宋体" w:cs="宋体"/>
          <w:b/>
          <w:color w:val="auto"/>
          <w:szCs w:val="21"/>
          <w:highlight w:val="none"/>
        </w:rPr>
        <w:t>、违约责任</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ascii="宋体" w:hAnsi="宋体" w:cs="宋体"/>
          <w:bCs/>
          <w:color w:val="auto"/>
          <w:szCs w:val="21"/>
          <w:highlight w:val="none"/>
        </w:rPr>
      </w:pPr>
      <w:bookmarkStart w:id="25" w:name="_Toc20319"/>
      <w:bookmarkStart w:id="26" w:name="_Toc57823361"/>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按照《中华人民共和国政府采购法》、《中华人民共和国民法典》中的相关条款执行。</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甲方有权对中标单位就投标事项进行核查。若经核查情况不实，将向有关部门申报</w:t>
      </w:r>
      <w:r>
        <w:rPr>
          <w:rFonts w:hint="eastAsia" w:ascii="宋体" w:hAnsi="宋体" w:cs="宋体"/>
          <w:bCs/>
          <w:color w:val="auto"/>
          <w:szCs w:val="21"/>
          <w:highlight w:val="none"/>
          <w:lang w:val="en-US" w:eastAsia="zh-CN"/>
        </w:rPr>
        <w:t>处理</w:t>
      </w:r>
      <w:r>
        <w:rPr>
          <w:rFonts w:hint="eastAsia" w:ascii="宋体" w:hAnsi="宋体" w:cs="宋体"/>
          <w:bCs/>
          <w:color w:val="auto"/>
          <w:szCs w:val="21"/>
          <w:highlight w:val="none"/>
        </w:rPr>
        <w:t>。</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乙方在合同有效期内违反约定，甲方有权解除合同，乙方应承担相应法律责任，造成甲方损失的应承担赔偿责任。</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十</w:t>
      </w:r>
      <w:r>
        <w:rPr>
          <w:rFonts w:hint="eastAsia" w:ascii="宋体" w:hAnsi="宋体" w:cs="宋体"/>
          <w:b/>
          <w:color w:val="auto"/>
          <w:szCs w:val="21"/>
          <w:highlight w:val="none"/>
        </w:rPr>
        <w:t>、争议解决方式</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rPr>
        <w:t>因执行本合同所发生的或与本合同有关的一切争议,双方应通过友好协商解决，协商不成的可依法向甲方所在地人民法院起诉。</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2" w:firstLineChars="200"/>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rPr>
        <w:t>、</w:t>
      </w:r>
      <w:bookmarkEnd w:id="25"/>
      <w:bookmarkEnd w:id="26"/>
      <w:r>
        <w:rPr>
          <w:rFonts w:hint="eastAsia" w:ascii="宋体" w:hAnsi="宋体" w:cs="宋体"/>
          <w:b/>
          <w:color w:val="auto"/>
          <w:szCs w:val="21"/>
          <w:highlight w:val="none"/>
        </w:rPr>
        <w:t>合同的解除</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rPr>
        <w:t>1.有下述情形之一，当事人可发出书面通知全部或部分地解除合同，合同自通知到达对方时全部或部分地解除：</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rPr>
        <w:t>（1）乙方延迟完成项目超过</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50</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天；</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rPr>
        <w:t>（2）乙方提供的服务内容不符合磋商文件规定或不合格的或本项目不能通过验收的；</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rPr>
        <w:t>（3）合同一方当事人未能履行合同项下任何其它义务（细微义务除外），或在未事先征得另一方当事人同意的情况下，从事任何可能在实质上不利影响其履行合同能力的活动，经另一方当事人书面通知后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20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日内未能对其行为作出补救；</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rPr>
        <w:t>（4）合同一方当事人出现破产、清算、资不抵债、成为失信被执行人等可能丧失履约能力的情形，且未能提供令对方满意的履约保证金。</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rPr>
        <w:t>2.在乙方违约的情况下，甲方报告政府采购管理部门后，有权终止合同，并依法向乙方进行索赔实际损失(包括但不限于维权所支出的律师费、诉讼费、交通费等)。</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2" w:firstLineChars="200"/>
        <w:rPr>
          <w:rFonts w:ascii="宋体" w:hAnsi="宋体" w:cs="宋体"/>
          <w:b/>
          <w:color w:val="auto"/>
          <w:szCs w:val="21"/>
          <w:highlight w:val="none"/>
        </w:rPr>
      </w:pPr>
      <w:bookmarkStart w:id="27" w:name="_Toc57823362"/>
      <w:bookmarkStart w:id="28" w:name="_Toc4339"/>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、不可抗力</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rPr>
        <w:t>1.如果任何一方当事人受到不能预见、不能避免且不能克服的不可抗力事件的影响，例如战争、严重的火灾、台风、地震、洪水等情形，而无法履行合同项下的任何义务，则受影响的一方当事人应立即将此类事件的发生通知另一方当事人，并应在不可抗力事件发生后 28 日内将有关当局或机构出具的证明文件提交给另一方当事人。</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rPr>
        <w:t>2.受不可抗力事件影响的一方当事人对于不可抗力事件导致的任何合同义务的延迟履行或不能履行不承担违约责任。但该方当事人应尽快将不可抗力事件结束或消除的情况通知另一方当事人。</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rPr>
        <w:t>3.双方当事人应在不可抗力事件结束或其影响消除后立即继续履行其合同义务，合同期限也应相应顺延。如果不可抗力事件的影响持续超过</w:t>
      </w:r>
      <w:r>
        <w:rPr>
          <w:rFonts w:hint="eastAsia" w:ascii="宋体" w:hAnsi="宋体" w:cs="宋体"/>
          <w:bCs/>
          <w:color w:val="auto"/>
          <w:szCs w:val="21"/>
          <w:highlight w:val="none"/>
          <w:u w:val="single"/>
        </w:rPr>
        <w:t xml:space="preserve">  90  </w:t>
      </w:r>
      <w:r>
        <w:rPr>
          <w:rFonts w:hint="eastAsia" w:ascii="宋体" w:hAnsi="宋体" w:cs="宋体"/>
          <w:bCs/>
          <w:color w:val="auto"/>
          <w:szCs w:val="21"/>
          <w:highlight w:val="none"/>
        </w:rPr>
        <w:t>日，则任何一方当事人均有权以书面通知解除合同。</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2" w:firstLineChars="200"/>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三</w:t>
      </w:r>
      <w:r>
        <w:rPr>
          <w:rFonts w:hint="eastAsia" w:ascii="宋体" w:hAnsi="宋体" w:cs="宋体"/>
          <w:b/>
          <w:color w:val="auto"/>
          <w:szCs w:val="21"/>
          <w:highlight w:val="none"/>
        </w:rPr>
        <w:t>、适用法律</w:t>
      </w:r>
      <w:bookmarkEnd w:id="27"/>
      <w:bookmarkEnd w:id="28"/>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本合同应按照中华人民共和国的现行法律进行解释。</w:t>
      </w:r>
    </w:p>
    <w:p>
      <w:pPr>
        <w:autoSpaceDE w:val="0"/>
        <w:autoSpaceDN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十四</w:t>
      </w:r>
      <w:r>
        <w:rPr>
          <w:rFonts w:hint="eastAsia" w:ascii="宋体" w:hAnsi="宋体" w:cs="宋体"/>
          <w:b/>
          <w:color w:val="auto"/>
          <w:szCs w:val="21"/>
          <w:highlight w:val="none"/>
        </w:rPr>
        <w:t>、合同生效及其它</w:t>
      </w:r>
      <w:bookmarkEnd w:id="23"/>
      <w:bookmarkEnd w:id="24"/>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1.本合同未尽事宜，双方可签订补充协议，补充协议与本合同具有同等效力。</w:t>
      </w:r>
    </w:p>
    <w:p>
      <w:pPr>
        <w:autoSpaceDE w:val="0"/>
        <w:autoSpaceDN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2.本合同在甲、乙双方签字、盖章之后生效。</w:t>
      </w:r>
    </w:p>
    <w:p>
      <w:pPr>
        <w:autoSpaceDE w:val="0"/>
        <w:autoSpaceDN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3.本合同正本一式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份，副本一式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份，均以中文书写。</w:t>
      </w:r>
    </w:p>
    <w:p>
      <w:pPr>
        <w:autoSpaceDE w:val="0"/>
        <w:autoSpaceDN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甲方执正本一份、副本</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份；乙方执正本一份，副本</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份；见证方执副本一份；政府采购管理部门备案副本一份。</w:t>
      </w:r>
    </w:p>
    <w:p>
      <w:pPr>
        <w:pStyle w:val="9"/>
        <w:widowControl w:val="0"/>
        <w:spacing w:after="0" w:line="360" w:lineRule="auto"/>
        <w:jc w:val="left"/>
        <w:textAlignment w:val="auto"/>
        <w:rPr>
          <w:rFonts w:hint="eastAsia"/>
          <w:b/>
          <w:bCs/>
          <w:color w:val="auto"/>
          <w:sz w:val="21"/>
          <w:szCs w:val="21"/>
          <w:highlight w:val="none"/>
        </w:rPr>
      </w:pPr>
    </w:p>
    <w:p>
      <w:pPr>
        <w:pStyle w:val="9"/>
        <w:widowControl w:val="0"/>
        <w:spacing w:after="0" w:line="360" w:lineRule="auto"/>
        <w:jc w:val="left"/>
        <w:textAlignment w:val="auto"/>
        <w:rPr>
          <w:rFonts w:hint="eastAsia"/>
          <w:b/>
          <w:bCs/>
          <w:color w:val="auto"/>
          <w:sz w:val="21"/>
          <w:szCs w:val="21"/>
          <w:highlight w:val="none"/>
        </w:rPr>
      </w:pPr>
    </w:p>
    <w:p>
      <w:pPr>
        <w:pStyle w:val="9"/>
        <w:widowControl w:val="0"/>
        <w:spacing w:after="0" w:line="360" w:lineRule="auto"/>
        <w:jc w:val="left"/>
        <w:textAlignment w:val="auto"/>
        <w:rPr>
          <w:rFonts w:hint="eastAsia"/>
          <w:b/>
          <w:bCs/>
          <w:color w:val="auto"/>
          <w:sz w:val="21"/>
          <w:szCs w:val="21"/>
          <w:highlight w:val="none"/>
        </w:rPr>
      </w:pPr>
    </w:p>
    <w:p>
      <w:pPr>
        <w:pStyle w:val="9"/>
        <w:widowControl w:val="0"/>
        <w:spacing w:after="0" w:line="360" w:lineRule="auto"/>
        <w:jc w:val="left"/>
        <w:textAlignment w:val="auto"/>
        <w:rPr>
          <w:rFonts w:hint="eastAsia"/>
          <w:b/>
          <w:bCs/>
          <w:color w:val="auto"/>
          <w:sz w:val="21"/>
          <w:szCs w:val="21"/>
          <w:highlight w:val="none"/>
        </w:rPr>
      </w:pPr>
    </w:p>
    <w:p>
      <w:pPr>
        <w:pStyle w:val="9"/>
        <w:widowControl w:val="0"/>
        <w:spacing w:after="0" w:line="360" w:lineRule="auto"/>
        <w:jc w:val="left"/>
        <w:textAlignment w:val="auto"/>
        <w:rPr>
          <w:rFonts w:hint="eastAsia"/>
          <w:b/>
          <w:bCs/>
          <w:color w:val="auto"/>
          <w:sz w:val="21"/>
          <w:szCs w:val="21"/>
          <w:highlight w:val="none"/>
        </w:rPr>
      </w:pPr>
    </w:p>
    <w:p>
      <w:pPr>
        <w:pStyle w:val="9"/>
        <w:widowControl w:val="0"/>
        <w:spacing w:after="0" w:line="360" w:lineRule="auto"/>
        <w:jc w:val="left"/>
        <w:textAlignment w:val="auto"/>
        <w:rPr>
          <w:b/>
          <w:bCs/>
          <w:color w:val="auto"/>
          <w:sz w:val="21"/>
          <w:szCs w:val="21"/>
          <w:highlight w:val="none"/>
        </w:rPr>
      </w:pPr>
      <w:r>
        <w:rPr>
          <w:rFonts w:hint="eastAsia"/>
          <w:b/>
          <w:bCs/>
          <w:color w:val="auto"/>
          <w:sz w:val="21"/>
          <w:szCs w:val="21"/>
          <w:highlight w:val="none"/>
        </w:rPr>
        <w:t>签字页：</w:t>
      </w:r>
    </w:p>
    <w:tbl>
      <w:tblPr>
        <w:tblStyle w:val="19"/>
        <w:tblW w:w="8298" w:type="dxa"/>
        <w:tblInd w:w="119"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843"/>
        <w:gridCol w:w="2750"/>
        <w:gridCol w:w="270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43" w:type="dxa"/>
            <w:noWrap/>
            <w:vAlign w:val="center"/>
          </w:tcPr>
          <w:p>
            <w:pPr>
              <w:autoSpaceDE w:val="0"/>
              <w:autoSpaceDN w:val="0"/>
              <w:adjustRightIn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甲  方</w:t>
            </w:r>
          </w:p>
        </w:tc>
        <w:tc>
          <w:tcPr>
            <w:tcW w:w="2750" w:type="dxa"/>
            <w:noWrap/>
            <w:vAlign w:val="center"/>
          </w:tcPr>
          <w:p>
            <w:pPr>
              <w:autoSpaceDE w:val="0"/>
              <w:autoSpaceDN w:val="0"/>
              <w:adjustRightIn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乙  方</w:t>
            </w:r>
          </w:p>
        </w:tc>
        <w:tc>
          <w:tcPr>
            <w:tcW w:w="2705" w:type="dxa"/>
            <w:noWrap/>
            <w:vAlign w:val="center"/>
          </w:tcPr>
          <w:p>
            <w:pPr>
              <w:autoSpaceDE w:val="0"/>
              <w:autoSpaceDN w:val="0"/>
              <w:adjustRightIn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见 证 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20" w:hRule="atLeast"/>
        </w:trPr>
        <w:tc>
          <w:tcPr>
            <w:tcW w:w="2843" w:type="dxa"/>
            <w:noWrap/>
            <w:vAlign w:val="center"/>
          </w:tcPr>
          <w:p>
            <w:pPr>
              <w:autoSpaceDE w:val="0"/>
              <w:autoSpaceDN w:val="0"/>
              <w:adjustRightIn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西安市公安局交通警察支队</w:t>
            </w:r>
          </w:p>
          <w:p>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（公章）</w:t>
            </w:r>
          </w:p>
        </w:tc>
        <w:tc>
          <w:tcPr>
            <w:tcW w:w="2750" w:type="dxa"/>
            <w:noWrap/>
            <w:vAlign w:val="center"/>
          </w:tcPr>
          <w:p>
            <w:pPr>
              <w:autoSpaceDE w:val="0"/>
              <w:autoSpaceDN w:val="0"/>
              <w:adjustRightInd w:val="0"/>
              <w:spacing w:line="360" w:lineRule="auto"/>
              <w:rPr>
                <w:rFonts w:ascii="宋体" w:hAnsi="宋体" w:cs="宋体"/>
                <w:bCs/>
                <w:color w:val="auto"/>
                <w:szCs w:val="21"/>
                <w:highlight w:val="none"/>
              </w:rPr>
            </w:pPr>
          </w:p>
          <w:p>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（公章）</w:t>
            </w:r>
          </w:p>
        </w:tc>
        <w:tc>
          <w:tcPr>
            <w:tcW w:w="2705" w:type="dxa"/>
            <w:noWrap/>
            <w:vAlign w:val="center"/>
          </w:tcPr>
          <w:p>
            <w:pPr>
              <w:autoSpaceDE w:val="0"/>
              <w:autoSpaceDN w:val="0"/>
              <w:adjustRightInd w:val="0"/>
              <w:spacing w:line="360" w:lineRule="auto"/>
              <w:rPr>
                <w:rFonts w:ascii="宋体" w:hAnsi="宋体" w:cs="宋体"/>
                <w:bCs/>
                <w:color w:val="auto"/>
                <w:szCs w:val="21"/>
                <w:highlight w:val="none"/>
              </w:rPr>
            </w:pPr>
            <w:r>
              <w:rPr>
                <w:rFonts w:hint="eastAsia" w:ascii="宋体" w:hAnsi="宋体" w:cs="宋体"/>
                <w:color w:val="auto"/>
                <w:szCs w:val="21"/>
                <w:highlight w:val="none"/>
              </w:rPr>
              <w:t>西北（陕西）国际招标有限公司</w:t>
            </w:r>
          </w:p>
          <w:p>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（公章）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2843" w:type="dxa"/>
            <w:noWrap/>
            <w:vAlign w:val="center"/>
          </w:tcPr>
          <w:p>
            <w:pPr>
              <w:autoSpaceDE w:val="0"/>
              <w:autoSpaceDN w:val="0"/>
              <w:adjustRightIn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地址：陕西省西安市雁塔区太白南路222号</w:t>
            </w:r>
          </w:p>
        </w:tc>
        <w:tc>
          <w:tcPr>
            <w:tcW w:w="2750" w:type="dxa"/>
            <w:noWrap/>
          </w:tcPr>
          <w:p>
            <w:pPr>
              <w:autoSpaceDE w:val="0"/>
              <w:autoSpaceDN w:val="0"/>
              <w:adjustRightIn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地址：</w:t>
            </w:r>
          </w:p>
        </w:tc>
        <w:tc>
          <w:tcPr>
            <w:tcW w:w="2705" w:type="dxa"/>
            <w:noWrap/>
            <w:vAlign w:val="center"/>
          </w:tcPr>
          <w:p>
            <w:pPr>
              <w:autoSpaceDE w:val="0"/>
              <w:autoSpaceDN w:val="0"/>
              <w:adjustRightIn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地址：</w:t>
            </w:r>
            <w:r>
              <w:rPr>
                <w:rFonts w:hint="eastAsia" w:ascii="宋体" w:hAnsi="宋体" w:cs="宋体"/>
                <w:bCs/>
                <w:color w:val="auto"/>
                <w:kern w:val="0"/>
                <w:szCs w:val="21"/>
                <w:highlight w:val="none"/>
              </w:rPr>
              <w:t>西安市南二环西段58号成长大厦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43" w:type="dxa"/>
            <w:noWrap/>
            <w:vAlign w:val="center"/>
          </w:tcPr>
          <w:p>
            <w:pPr>
              <w:autoSpaceDE w:val="0"/>
              <w:autoSpaceDN w:val="0"/>
              <w:adjustRightIn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邮编：710000</w:t>
            </w:r>
          </w:p>
        </w:tc>
        <w:tc>
          <w:tcPr>
            <w:tcW w:w="2750" w:type="dxa"/>
            <w:noWrap/>
            <w:vAlign w:val="center"/>
          </w:tcPr>
          <w:p>
            <w:pPr>
              <w:autoSpaceDE w:val="0"/>
              <w:autoSpaceDN w:val="0"/>
              <w:adjustRightIn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邮编：</w:t>
            </w:r>
          </w:p>
        </w:tc>
        <w:tc>
          <w:tcPr>
            <w:tcW w:w="2705" w:type="dxa"/>
            <w:noWrap/>
            <w:vAlign w:val="center"/>
          </w:tcPr>
          <w:p>
            <w:pPr>
              <w:autoSpaceDE w:val="0"/>
              <w:autoSpaceDN w:val="0"/>
              <w:adjustRightIn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邮编：710000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2843" w:type="dxa"/>
            <w:noWrap/>
            <w:vAlign w:val="center"/>
          </w:tcPr>
          <w:p>
            <w:pPr>
              <w:autoSpaceDE w:val="0"/>
              <w:autoSpaceDN w:val="0"/>
              <w:adjustRightIn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法定代表人：</w:t>
            </w:r>
          </w:p>
        </w:tc>
        <w:tc>
          <w:tcPr>
            <w:tcW w:w="2750" w:type="dxa"/>
            <w:noWrap/>
            <w:vAlign w:val="center"/>
          </w:tcPr>
          <w:p>
            <w:pPr>
              <w:autoSpaceDE w:val="0"/>
              <w:autoSpaceDN w:val="0"/>
              <w:adjustRightIn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法定代表人：</w:t>
            </w:r>
          </w:p>
        </w:tc>
        <w:tc>
          <w:tcPr>
            <w:tcW w:w="2705" w:type="dxa"/>
            <w:vMerge w:val="restart"/>
            <w:noWrap/>
            <w:vAlign w:val="center"/>
          </w:tcPr>
          <w:p>
            <w:pPr>
              <w:autoSpaceDE w:val="0"/>
              <w:autoSpaceDN w:val="0"/>
              <w:adjustRightIn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负责人：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2843" w:type="dxa"/>
            <w:noWrap/>
            <w:vAlign w:val="center"/>
          </w:tcPr>
          <w:p>
            <w:pPr>
              <w:autoSpaceDE w:val="0"/>
              <w:autoSpaceDN w:val="0"/>
              <w:adjustRightIn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负责人：</w:t>
            </w:r>
          </w:p>
        </w:tc>
        <w:tc>
          <w:tcPr>
            <w:tcW w:w="2750" w:type="dxa"/>
            <w:noWrap/>
            <w:vAlign w:val="center"/>
          </w:tcPr>
          <w:p>
            <w:pPr>
              <w:autoSpaceDE w:val="0"/>
              <w:autoSpaceDN w:val="0"/>
              <w:adjustRightIn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负责人：</w:t>
            </w:r>
          </w:p>
        </w:tc>
        <w:tc>
          <w:tcPr>
            <w:tcW w:w="2705" w:type="dxa"/>
            <w:vMerge w:val="continue"/>
            <w:noWrap/>
            <w:vAlign w:val="center"/>
          </w:tcPr>
          <w:p>
            <w:pPr>
              <w:autoSpaceDE w:val="0"/>
              <w:autoSpaceDN w:val="0"/>
              <w:adjustRightInd w:val="0"/>
              <w:spacing w:line="360" w:lineRule="auto"/>
              <w:rPr>
                <w:rFonts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43" w:type="dxa"/>
            <w:noWrap/>
            <w:vAlign w:val="center"/>
          </w:tcPr>
          <w:p>
            <w:pPr>
              <w:autoSpaceDE w:val="0"/>
              <w:autoSpaceDN w:val="0"/>
              <w:adjustRightIn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电话：</w:t>
            </w:r>
          </w:p>
        </w:tc>
        <w:tc>
          <w:tcPr>
            <w:tcW w:w="2750" w:type="dxa"/>
            <w:noWrap/>
            <w:vAlign w:val="center"/>
          </w:tcPr>
          <w:p>
            <w:pPr>
              <w:autoSpaceDE w:val="0"/>
              <w:autoSpaceDN w:val="0"/>
              <w:adjustRightIn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电话：</w:t>
            </w:r>
          </w:p>
        </w:tc>
        <w:tc>
          <w:tcPr>
            <w:tcW w:w="2705" w:type="dxa"/>
            <w:noWrap/>
            <w:vAlign w:val="center"/>
          </w:tcPr>
          <w:p>
            <w:pPr>
              <w:autoSpaceDE w:val="0"/>
              <w:autoSpaceDN w:val="0"/>
              <w:adjustRightIn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电话：029-85592866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43" w:type="dxa"/>
            <w:noWrap/>
            <w:vAlign w:val="center"/>
          </w:tcPr>
          <w:p>
            <w:pPr>
              <w:autoSpaceDE w:val="0"/>
              <w:autoSpaceDN w:val="0"/>
              <w:adjustRightInd w:val="0"/>
              <w:spacing w:line="360" w:lineRule="auto"/>
              <w:rPr>
                <w:rFonts w:ascii="宋体" w:hAnsi="宋体" w:cs="宋体"/>
                <w:bCs/>
                <w:color w:val="auto"/>
                <w:szCs w:val="21"/>
                <w:highlight w:val="none"/>
              </w:rPr>
            </w:pPr>
          </w:p>
        </w:tc>
        <w:tc>
          <w:tcPr>
            <w:tcW w:w="2750" w:type="dxa"/>
            <w:noWrap/>
            <w:vAlign w:val="center"/>
          </w:tcPr>
          <w:p>
            <w:pPr>
              <w:autoSpaceDE w:val="0"/>
              <w:autoSpaceDN w:val="0"/>
              <w:adjustRightIn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开户银行：</w:t>
            </w:r>
          </w:p>
        </w:tc>
        <w:tc>
          <w:tcPr>
            <w:tcW w:w="2705" w:type="dxa"/>
            <w:noWrap/>
            <w:vAlign w:val="center"/>
          </w:tcPr>
          <w:p>
            <w:pPr>
              <w:autoSpaceDE w:val="0"/>
              <w:autoSpaceDN w:val="0"/>
              <w:adjustRightInd w:val="0"/>
              <w:spacing w:line="360" w:lineRule="auto"/>
              <w:rPr>
                <w:rFonts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43" w:type="dxa"/>
            <w:noWrap/>
            <w:vAlign w:val="center"/>
          </w:tcPr>
          <w:p>
            <w:pPr>
              <w:autoSpaceDE w:val="0"/>
              <w:autoSpaceDN w:val="0"/>
              <w:adjustRightInd w:val="0"/>
              <w:spacing w:line="360" w:lineRule="auto"/>
              <w:rPr>
                <w:rFonts w:ascii="宋体" w:hAnsi="宋体" w:cs="宋体"/>
                <w:bCs/>
                <w:color w:val="auto"/>
                <w:szCs w:val="21"/>
                <w:highlight w:val="none"/>
              </w:rPr>
            </w:pPr>
          </w:p>
        </w:tc>
        <w:tc>
          <w:tcPr>
            <w:tcW w:w="2750" w:type="dxa"/>
            <w:noWrap/>
            <w:vAlign w:val="center"/>
          </w:tcPr>
          <w:p>
            <w:pPr>
              <w:autoSpaceDE w:val="0"/>
              <w:autoSpaceDN w:val="0"/>
              <w:adjustRightIn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账号：</w:t>
            </w:r>
          </w:p>
        </w:tc>
        <w:tc>
          <w:tcPr>
            <w:tcW w:w="2705" w:type="dxa"/>
            <w:noWrap/>
            <w:vAlign w:val="center"/>
          </w:tcPr>
          <w:p>
            <w:pPr>
              <w:autoSpaceDE w:val="0"/>
              <w:autoSpaceDN w:val="0"/>
              <w:adjustRightInd w:val="0"/>
              <w:spacing w:line="360" w:lineRule="auto"/>
              <w:rPr>
                <w:rFonts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43" w:type="dxa"/>
            <w:noWrap/>
            <w:vAlign w:val="center"/>
          </w:tcPr>
          <w:p>
            <w:pPr>
              <w:autoSpaceDE w:val="0"/>
              <w:autoSpaceDN w:val="0"/>
              <w:adjustRightIn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日期：   年   月   日</w:t>
            </w:r>
          </w:p>
        </w:tc>
        <w:tc>
          <w:tcPr>
            <w:tcW w:w="2750" w:type="dxa"/>
            <w:noWrap/>
            <w:vAlign w:val="center"/>
          </w:tcPr>
          <w:p>
            <w:pPr>
              <w:autoSpaceDE w:val="0"/>
              <w:autoSpaceDN w:val="0"/>
              <w:adjustRightIn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日期：   年   月   日</w:t>
            </w:r>
          </w:p>
        </w:tc>
        <w:tc>
          <w:tcPr>
            <w:tcW w:w="2705" w:type="dxa"/>
            <w:noWrap/>
            <w:vAlign w:val="center"/>
          </w:tcPr>
          <w:p>
            <w:pPr>
              <w:autoSpaceDE w:val="0"/>
              <w:autoSpaceDN w:val="0"/>
              <w:adjustRightIn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日期：   年   月   日</w:t>
            </w:r>
          </w:p>
        </w:tc>
      </w:tr>
    </w:tbl>
    <w:p>
      <w:pPr>
        <w:jc w:val="left"/>
        <w:textAlignment w:val="auto"/>
        <w:rPr>
          <w:rFonts w:cs="宋体"/>
          <w:b/>
          <w:bCs/>
          <w:color w:val="auto"/>
          <w:sz w:val="36"/>
          <w:highlight w:val="none"/>
        </w:rPr>
      </w:pPr>
      <w:r>
        <w:rPr>
          <w:rFonts w:cs="宋体"/>
          <w:bCs/>
          <w:color w:val="auto"/>
          <w:highlight w:val="none"/>
        </w:rPr>
        <w:br w:type="page"/>
      </w:r>
    </w:p>
    <w:p>
      <w:pPr>
        <w:pStyle w:val="4"/>
        <w:textAlignment w:val="auto"/>
        <w:rPr>
          <w:color w:val="auto"/>
          <w:kern w:val="0"/>
          <w:sz w:val="32"/>
          <w:szCs w:val="32"/>
          <w:highlight w:val="none"/>
        </w:rPr>
      </w:pPr>
      <w:bookmarkStart w:id="29" w:name="_Toc9012"/>
      <w:r>
        <w:rPr>
          <w:rFonts w:cs="宋体"/>
          <w:bCs/>
          <w:color w:val="auto"/>
          <w:highlight w:val="none"/>
        </w:rPr>
        <w:t>第四章 磋商内容及服务</w:t>
      </w:r>
      <w:r>
        <w:rPr>
          <w:rFonts w:hint="eastAsia" w:cs="宋体"/>
          <w:bCs/>
          <w:color w:val="auto"/>
          <w:highlight w:val="none"/>
        </w:rPr>
        <w:t>要求</w:t>
      </w:r>
      <w:bookmarkEnd w:id="29"/>
      <w:r>
        <w:rPr>
          <w:rFonts w:hint="eastAsia" w:cs="宋体"/>
          <w:bCs/>
          <w:color w:val="auto"/>
          <w:highlight w:val="none"/>
        </w:rPr>
        <w:br w:type="textWrapping"/>
      </w:r>
    </w:p>
    <w:p>
      <w:pPr>
        <w:autoSpaceDE w:val="0"/>
        <w:autoSpaceDN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一、项目概况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九大以来，生态文明理念深入人心，人们对出行环境与品质的要求不断提高，2020年习总书记更是庄严承诺我国将努力争取2060年实现碳中和。以小汽车为主的个体机动化交通发展模式由于资源消耗高、尾气污染大、交通拥堵严重等原因已难以为继，迫切需要向可持续的绿色交通发展模式转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目前多部委联合倡议的《绿色出行行动计划》正在全国展开。在此背景下，西安交警发挥既有优势，开展了西安市绿色出行指数第一期的建设工作，奠定了对西安绿色出行发展定量化评估的基础。为了充分利用一期项目成果，持续促进西安市绿色交通发展，2022年，西安交警将继续积极响应并落实中央碳中和发展目标的关键行动举措，完成绿色出行指数报告的年度更新，推动绿色出行评估及监测水平的进一步提高。</w:t>
      </w:r>
    </w:p>
    <w:p>
      <w:pPr>
        <w:spacing w:line="360" w:lineRule="auto"/>
        <w:jc w:val="left"/>
        <w:outlineLvl w:val="1"/>
        <w:rPr>
          <w:rFonts w:ascii="宋体" w:hAnsi="宋体" w:cs="宋体"/>
          <w:b/>
          <w:bCs/>
          <w:color w:val="auto"/>
          <w:szCs w:val="21"/>
          <w:highlight w:val="none"/>
        </w:rPr>
      </w:pPr>
      <w:r>
        <w:rPr>
          <w:rFonts w:hint="eastAsia" w:ascii="宋体" w:hAnsi="宋体" w:cs="宋体"/>
          <w:b/>
          <w:bCs/>
          <w:color w:val="auto"/>
          <w:szCs w:val="21"/>
          <w:highlight w:val="none"/>
        </w:rPr>
        <w:t>二、服务内容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项目第一期的基础上，根据第一期的评估结果和反馈意见，进一步优化指标体系，完善指标算法，形成稳定的西安市绿色出行评价指标体系，完成并发布2022年度西安市绿色出行指数报告，开展绿色出行创新性研究，对西安市绿色出行提出发展建议。具体服务内容如下：</w:t>
      </w:r>
    </w:p>
    <w:p>
      <w:pPr>
        <w:spacing w:line="360" w:lineRule="auto"/>
        <w:ind w:firstLine="200"/>
        <w:jc w:val="left"/>
        <w:rPr>
          <w:rFonts w:ascii="宋体" w:hAnsi="宋体" w:cs="宋体"/>
          <w:color w:val="auto"/>
          <w:szCs w:val="21"/>
          <w:highlight w:val="none"/>
        </w:rPr>
      </w:pPr>
      <w:r>
        <w:rPr>
          <w:rFonts w:hint="eastAsia" w:ascii="宋体" w:hAnsi="宋体" w:cs="宋体"/>
          <w:color w:val="auto"/>
          <w:szCs w:val="21"/>
          <w:highlight w:val="none"/>
        </w:rPr>
        <w:t>（一）西安市绿色出行指标体系深化研究与优化，</w:t>
      </w:r>
      <w:r>
        <w:rPr>
          <w:rFonts w:hint="eastAsia"/>
          <w:color w:val="auto"/>
          <w:szCs w:val="21"/>
          <w:highlight w:val="none"/>
        </w:rPr>
        <w:t>根据</w:t>
      </w:r>
      <w:r>
        <w:rPr>
          <w:color w:val="auto"/>
          <w:szCs w:val="21"/>
          <w:highlight w:val="none"/>
        </w:rPr>
        <w:t>2021</w:t>
      </w:r>
      <w:r>
        <w:rPr>
          <w:rFonts w:hint="eastAsia"/>
          <w:color w:val="auto"/>
          <w:szCs w:val="21"/>
          <w:highlight w:val="none"/>
        </w:rPr>
        <w:t>年度西安绿色出行指数报告的反馈意见，对第一期形成的评价指标体系进行分析与评估，形成稳定的评价指标体系</w:t>
      </w:r>
      <w:r>
        <w:rPr>
          <w:rFonts w:hint="eastAsia"/>
          <w:color w:val="auto"/>
          <w:szCs w:val="21"/>
          <w:highlight w:val="none"/>
          <w:lang w:eastAsia="zh-CN"/>
        </w:rPr>
        <w:t>，</w:t>
      </w:r>
      <w:r>
        <w:rPr>
          <w:rFonts w:hint="eastAsia" w:ascii="宋体" w:hAnsi="宋体" w:cs="宋体"/>
          <w:color w:val="auto"/>
          <w:szCs w:val="21"/>
          <w:highlight w:val="none"/>
        </w:rPr>
        <w:t>包括：</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1.最新绿色出行相关政策解读；</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2.最新绿色出行国内外先进经验；</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3.西安市绿色出行指标体系调整优化情况说明；</w:t>
      </w:r>
    </w:p>
    <w:p>
      <w:pPr>
        <w:spacing w:line="360" w:lineRule="auto"/>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4.评价指标（含权重）计算的详细说明</w:t>
      </w:r>
      <w:r>
        <w:rPr>
          <w:rFonts w:hint="eastAsia" w:ascii="宋体" w:hAnsi="宋体" w:cs="宋体"/>
          <w:color w:val="auto"/>
          <w:szCs w:val="21"/>
          <w:highlight w:val="none"/>
          <w:lang w:eastAsia="zh-CN"/>
        </w:rPr>
        <w:t>；</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对2021年的评价指标进行</w:t>
      </w:r>
      <w:r>
        <w:rPr>
          <w:rFonts w:hint="eastAsia" w:ascii="宋体" w:hAnsi="宋体" w:cs="宋体"/>
          <w:color w:val="auto"/>
          <w:szCs w:val="21"/>
          <w:highlight w:val="none"/>
          <w:lang w:val="en-US" w:eastAsia="zh-CN"/>
        </w:rPr>
        <w:t>意见收集</w:t>
      </w:r>
    </w:p>
    <w:p>
      <w:pPr>
        <w:spacing w:line="360" w:lineRule="auto"/>
        <w:ind w:firstLine="200"/>
        <w:jc w:val="left"/>
        <w:rPr>
          <w:rFonts w:ascii="宋体" w:hAnsi="宋体" w:cs="宋体"/>
          <w:color w:val="auto"/>
          <w:szCs w:val="21"/>
          <w:highlight w:val="none"/>
        </w:rPr>
      </w:pPr>
      <w:r>
        <w:rPr>
          <w:rFonts w:hint="eastAsia" w:ascii="宋体" w:hAnsi="宋体" w:cs="宋体"/>
          <w:color w:val="auto"/>
          <w:szCs w:val="21"/>
          <w:highlight w:val="none"/>
        </w:rPr>
        <w:t>（二）2022年度西安市绿色出行指数年度报告，报批并向社会发布，包括：</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1.2022年度西安市绿色出行指数；</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2.2022年度西安市绿色出行指数指标体系构成及简要说明；</w:t>
      </w:r>
    </w:p>
    <w:p>
      <w:pPr>
        <w:spacing w:line="360" w:lineRule="auto"/>
        <w:ind w:left="420" w:leftChars="200"/>
        <w:jc w:val="left"/>
        <w:rPr>
          <w:rFonts w:ascii="宋体" w:hAnsi="宋体" w:cs="宋体"/>
          <w:color w:val="auto"/>
          <w:szCs w:val="21"/>
          <w:highlight w:val="none"/>
        </w:rPr>
      </w:pPr>
      <w:r>
        <w:rPr>
          <w:rFonts w:hint="eastAsia" w:ascii="宋体" w:hAnsi="宋体" w:cs="宋体"/>
          <w:color w:val="auto"/>
          <w:szCs w:val="21"/>
          <w:highlight w:val="none"/>
        </w:rPr>
        <w:t>3.各指标值及简要说明；</w:t>
      </w:r>
    </w:p>
    <w:p>
      <w:pPr>
        <w:spacing w:line="360" w:lineRule="auto"/>
        <w:ind w:left="420" w:leftChars="200"/>
        <w:jc w:val="left"/>
        <w:rPr>
          <w:rFonts w:ascii="宋体" w:hAnsi="宋体" w:cs="宋体"/>
          <w:color w:val="auto"/>
          <w:szCs w:val="21"/>
          <w:highlight w:val="none"/>
        </w:rPr>
      </w:pPr>
      <w:r>
        <w:rPr>
          <w:rFonts w:hint="eastAsia" w:ascii="宋体" w:hAnsi="宋体" w:cs="宋体"/>
          <w:color w:val="auto"/>
          <w:szCs w:val="21"/>
          <w:highlight w:val="none"/>
        </w:rPr>
        <w:t>4.各指标年度变化，主要差距及原因分析；</w:t>
      </w:r>
    </w:p>
    <w:p>
      <w:pPr>
        <w:spacing w:line="360" w:lineRule="auto"/>
        <w:ind w:left="420" w:leftChars="200"/>
        <w:jc w:val="left"/>
        <w:rPr>
          <w:rFonts w:ascii="宋体" w:hAnsi="宋体" w:cs="宋体"/>
          <w:color w:val="auto"/>
          <w:szCs w:val="21"/>
          <w:highlight w:val="none"/>
        </w:rPr>
      </w:pPr>
      <w:r>
        <w:rPr>
          <w:rFonts w:hint="eastAsia" w:ascii="宋体" w:hAnsi="宋体" w:cs="宋体"/>
          <w:color w:val="auto"/>
          <w:szCs w:val="21"/>
          <w:highlight w:val="none"/>
        </w:rPr>
        <w:t>5.指标改善方向与措施建议。</w:t>
      </w:r>
    </w:p>
    <w:p>
      <w:pPr>
        <w:spacing w:line="360" w:lineRule="auto"/>
        <w:ind w:firstLine="200"/>
        <w:jc w:val="left"/>
        <w:rPr>
          <w:rFonts w:ascii="宋体" w:hAnsi="宋体" w:cs="宋体"/>
          <w:color w:val="auto"/>
          <w:szCs w:val="21"/>
          <w:highlight w:val="none"/>
        </w:rPr>
      </w:pPr>
      <w:r>
        <w:rPr>
          <w:rFonts w:hint="eastAsia" w:ascii="宋体" w:hAnsi="宋体" w:cs="宋体"/>
          <w:color w:val="auto"/>
          <w:szCs w:val="21"/>
          <w:highlight w:val="none"/>
        </w:rPr>
        <w:t>（三）西安市绿色出行创新性研究和深度分析报告，包括：</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.对绿色出行一期指数标准体系和2021年度西安市绿色出行指数发布后社会各界的反馈信息进行收集和分析，形成分析报告和提升建议；</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3.西安市非机动车路权保障</w:t>
      </w:r>
      <w:r>
        <w:rPr>
          <w:rFonts w:hint="eastAsia" w:ascii="宋体" w:hAnsi="宋体" w:cs="宋体"/>
          <w:color w:val="auto"/>
          <w:szCs w:val="21"/>
          <w:highlight w:val="none"/>
          <w:lang w:val="en-US" w:eastAsia="zh-CN"/>
        </w:rPr>
        <w:t>和车道规划</w:t>
      </w:r>
      <w:r>
        <w:rPr>
          <w:rFonts w:hint="eastAsia" w:ascii="宋体" w:hAnsi="宋体" w:cs="宋体"/>
          <w:color w:val="auto"/>
          <w:szCs w:val="21"/>
          <w:highlight w:val="none"/>
        </w:rPr>
        <w:t>研究；</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4.后疫情时代西安市公共交通（包括常规公交和城市轨道交通）</w:t>
      </w:r>
      <w:r>
        <w:rPr>
          <w:rFonts w:hint="eastAsia" w:ascii="宋体" w:hAnsi="宋体" w:cs="宋体"/>
          <w:color w:val="auto"/>
          <w:szCs w:val="21"/>
          <w:highlight w:val="none"/>
          <w:lang w:val="en-US" w:eastAsia="zh-CN"/>
        </w:rPr>
        <w:t>发展规划</w:t>
      </w:r>
      <w:r>
        <w:rPr>
          <w:rFonts w:hint="eastAsia" w:ascii="宋体" w:hAnsi="宋体" w:cs="宋体"/>
          <w:color w:val="auto"/>
          <w:szCs w:val="21"/>
          <w:highlight w:val="none"/>
        </w:rPr>
        <w:t>相关分析和研究；</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5.机动车总量控制和新能源车辆</w:t>
      </w:r>
      <w:r>
        <w:rPr>
          <w:rFonts w:hint="eastAsia" w:ascii="宋体" w:hAnsi="宋体" w:cs="宋体"/>
          <w:color w:val="auto"/>
          <w:szCs w:val="21"/>
          <w:highlight w:val="none"/>
          <w:lang w:val="en-US" w:eastAsia="zh-CN"/>
        </w:rPr>
        <w:t>城市</w:t>
      </w:r>
      <w:r>
        <w:rPr>
          <w:rFonts w:hint="eastAsia" w:ascii="宋体" w:hAnsi="宋体" w:cs="宋体"/>
          <w:color w:val="auto"/>
          <w:szCs w:val="21"/>
          <w:highlight w:val="none"/>
        </w:rPr>
        <w:t>碳排放方向和减少拥堵</w:t>
      </w:r>
      <w:r>
        <w:rPr>
          <w:rFonts w:hint="eastAsia" w:ascii="宋体" w:hAnsi="宋体" w:cs="宋体"/>
          <w:color w:val="auto"/>
          <w:szCs w:val="21"/>
          <w:highlight w:val="none"/>
          <w:lang w:val="en-US" w:eastAsia="zh-CN"/>
        </w:rPr>
        <w:t>发展规划</w:t>
      </w:r>
      <w:r>
        <w:rPr>
          <w:rFonts w:hint="eastAsia" w:ascii="宋体" w:hAnsi="宋体" w:cs="宋体"/>
          <w:color w:val="auto"/>
          <w:szCs w:val="21"/>
          <w:highlight w:val="none"/>
        </w:rPr>
        <w:t>相关分析研究。</w:t>
      </w:r>
    </w:p>
    <w:p>
      <w:pPr>
        <w:spacing w:line="360" w:lineRule="auto"/>
        <w:ind w:firstLine="200"/>
        <w:jc w:val="left"/>
        <w:rPr>
          <w:rFonts w:ascii="宋体" w:hAnsi="宋体" w:cs="宋体"/>
          <w:color w:val="auto"/>
          <w:szCs w:val="21"/>
          <w:highlight w:val="none"/>
        </w:rPr>
      </w:pPr>
      <w:r>
        <w:rPr>
          <w:rFonts w:hint="eastAsia" w:ascii="宋体" w:hAnsi="宋体" w:cs="宋体"/>
          <w:color w:val="auto"/>
          <w:szCs w:val="21"/>
          <w:highlight w:val="none"/>
        </w:rPr>
        <w:t>（四）西安市绿色出行政策建议，包括：</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1.政策和管理办法；</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2.展望和建议。</w:t>
      </w:r>
    </w:p>
    <w:tbl>
      <w:tblPr>
        <w:tblStyle w:val="19"/>
        <w:tblW w:w="883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658"/>
        <w:gridCol w:w="1731"/>
        <w:gridCol w:w="2550"/>
        <w:gridCol w:w="389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834" w:type="dxa"/>
            <w:gridSpan w:val="4"/>
            <w:tcBorders>
              <w:tl2br w:val="nil"/>
              <w:tr2bl w:val="nil"/>
            </w:tcBorders>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评价指标体系深化研究及评估报告</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8"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731"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建设内容</w:t>
            </w:r>
          </w:p>
        </w:tc>
        <w:tc>
          <w:tcPr>
            <w:tcW w:w="2550"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3895"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服务功能点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8" w:type="dxa"/>
            <w:vMerge w:val="restart"/>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31" w:type="dxa"/>
            <w:vMerge w:val="restart"/>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二期</w:t>
            </w:r>
            <w:r>
              <w:rPr>
                <w:rFonts w:hint="eastAsia" w:ascii="宋体" w:hAnsi="宋体" w:eastAsia="宋体" w:cs="宋体"/>
                <w:color w:val="auto"/>
                <w:sz w:val="21"/>
                <w:szCs w:val="21"/>
                <w:highlight w:val="none"/>
              </w:rPr>
              <w:t>评价指标体系</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权重优化</w:t>
            </w:r>
            <w:r>
              <w:rPr>
                <w:rFonts w:hint="eastAsia" w:ascii="宋体" w:hAnsi="宋体" w:eastAsia="宋体" w:cs="宋体"/>
                <w:color w:val="auto"/>
                <w:sz w:val="21"/>
                <w:szCs w:val="21"/>
                <w:highlight w:val="none"/>
                <w:lang w:val="en-US" w:eastAsia="zh-CN"/>
              </w:rPr>
              <w:t>升级</w:t>
            </w:r>
          </w:p>
        </w:tc>
        <w:tc>
          <w:tcPr>
            <w:tcW w:w="2550" w:type="dxa"/>
            <w:tcBorders>
              <w:tl2br w:val="nil"/>
              <w:tr2bl w:val="nil"/>
            </w:tcBorders>
            <w:shd w:val="clear" w:color="auto" w:fill="auto"/>
            <w:tcMar>
              <w:top w:w="15" w:type="dxa"/>
              <w:left w:w="15" w:type="dxa"/>
              <w:right w:w="15" w:type="dxa"/>
            </w:tcMar>
            <w:vAlign w:val="center"/>
          </w:tcPr>
          <w:p>
            <w:pPr>
              <w:pStyle w:val="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对2021年的评价</w:t>
            </w:r>
          </w:p>
          <w:p>
            <w:pPr>
              <w:pStyle w:val="8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指标进行</w:t>
            </w:r>
            <w:r>
              <w:rPr>
                <w:rFonts w:hint="eastAsia" w:ascii="宋体" w:hAnsi="宋体" w:eastAsia="宋体" w:cs="宋体"/>
                <w:color w:val="auto"/>
                <w:sz w:val="21"/>
                <w:szCs w:val="21"/>
                <w:highlight w:val="none"/>
                <w:lang w:val="en-US" w:eastAsia="zh-CN"/>
              </w:rPr>
              <w:t>意见收集</w:t>
            </w:r>
          </w:p>
        </w:tc>
        <w:tc>
          <w:tcPr>
            <w:tcW w:w="3895" w:type="dxa"/>
            <w:tcBorders>
              <w:tl2br w:val="nil"/>
              <w:tr2bl w:val="nil"/>
            </w:tcBorders>
            <w:shd w:val="clear" w:color="auto" w:fill="auto"/>
            <w:tcMar>
              <w:top w:w="15" w:type="dxa"/>
              <w:left w:w="15" w:type="dxa"/>
              <w:right w:w="15" w:type="dxa"/>
            </w:tcMar>
            <w:vAlign w:val="center"/>
          </w:tcPr>
          <w:p>
            <w:pPr>
              <w:pStyle w:val="8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根据2021年度西安绿色出行指数报告的反馈意见，对第一期形成的评价指标体系进行分析与评估，形成稳定的评价指标体系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8" w:type="dxa"/>
            <w:vMerge w:val="continue"/>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p>
        </w:tc>
        <w:tc>
          <w:tcPr>
            <w:tcW w:w="1731" w:type="dxa"/>
            <w:vMerge w:val="continue"/>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p>
        </w:tc>
        <w:tc>
          <w:tcPr>
            <w:tcW w:w="2550" w:type="dxa"/>
            <w:tcBorders>
              <w:tl2br w:val="nil"/>
              <w:tr2bl w:val="nil"/>
            </w:tcBorders>
            <w:shd w:val="clear" w:color="auto" w:fill="auto"/>
            <w:tcMar>
              <w:top w:w="15" w:type="dxa"/>
              <w:left w:w="15" w:type="dxa"/>
              <w:right w:w="15" w:type="dxa"/>
            </w:tcMar>
            <w:vAlign w:val="center"/>
          </w:tcPr>
          <w:p>
            <w:pPr>
              <w:pStyle w:val="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确定各新</w:t>
            </w:r>
          </w:p>
          <w:p>
            <w:pPr>
              <w:pStyle w:val="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指标的计算方法</w:t>
            </w:r>
          </w:p>
        </w:tc>
        <w:tc>
          <w:tcPr>
            <w:tcW w:w="3895" w:type="dxa"/>
            <w:tcBorders>
              <w:tl2br w:val="nil"/>
              <w:tr2bl w:val="nil"/>
            </w:tcBorders>
            <w:shd w:val="clear" w:color="auto" w:fill="auto"/>
            <w:tcMar>
              <w:top w:w="15" w:type="dxa"/>
              <w:left w:w="15" w:type="dxa"/>
              <w:right w:w="15" w:type="dxa"/>
            </w:tcMar>
            <w:vAlign w:val="center"/>
          </w:tcPr>
          <w:p>
            <w:pPr>
              <w:pStyle w:val="8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逐一确定每个指标的符号、定义、分类、计算方法、归一化方法、数据获取方式、指导意义等。将指标集计算所需的数据标准化，明确数据格式、字段要求、数据来源等。</w:t>
            </w:r>
          </w:p>
          <w:p>
            <w:pPr>
              <w:pStyle w:val="8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对于复杂指标，需要高级算法工程师根据西安特点构建计算模型。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8" w:type="dxa"/>
            <w:vMerge w:val="continue"/>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p>
        </w:tc>
        <w:tc>
          <w:tcPr>
            <w:tcW w:w="1731" w:type="dxa"/>
            <w:vMerge w:val="continue"/>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p>
        </w:tc>
        <w:tc>
          <w:tcPr>
            <w:tcW w:w="2550" w:type="dxa"/>
            <w:tcBorders>
              <w:tl2br w:val="nil"/>
              <w:tr2bl w:val="nil"/>
            </w:tcBorders>
            <w:shd w:val="clear" w:color="auto" w:fill="auto"/>
            <w:tcMar>
              <w:top w:w="15" w:type="dxa"/>
              <w:left w:w="15" w:type="dxa"/>
              <w:right w:w="15" w:type="dxa"/>
            </w:tcMar>
            <w:vAlign w:val="center"/>
          </w:tcPr>
          <w:p>
            <w:pPr>
              <w:pStyle w:val="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优化各个指标</w:t>
            </w:r>
          </w:p>
          <w:p>
            <w:pPr>
              <w:pStyle w:val="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的评价标准</w:t>
            </w:r>
          </w:p>
        </w:tc>
        <w:tc>
          <w:tcPr>
            <w:tcW w:w="3895" w:type="dxa"/>
            <w:tcBorders>
              <w:tl2br w:val="nil"/>
              <w:tr2bl w:val="nil"/>
            </w:tcBorders>
            <w:shd w:val="clear" w:color="auto" w:fill="auto"/>
            <w:tcMar>
              <w:top w:w="15" w:type="dxa"/>
              <w:left w:w="15" w:type="dxa"/>
              <w:right w:w="15" w:type="dxa"/>
            </w:tcMar>
            <w:vAlign w:val="center"/>
          </w:tcPr>
          <w:p>
            <w:pPr>
              <w:pStyle w:val="8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指标评价标准的确定。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59" w:hRule="atLeast"/>
          <w:jc w:val="center"/>
        </w:trPr>
        <w:tc>
          <w:tcPr>
            <w:tcW w:w="658" w:type="dxa"/>
            <w:vMerge w:val="restart"/>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31" w:type="dxa"/>
            <w:vMerge w:val="restart"/>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数据采集及</w:t>
            </w:r>
          </w:p>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指标计算服务</w:t>
            </w:r>
          </w:p>
        </w:tc>
        <w:tc>
          <w:tcPr>
            <w:tcW w:w="2550" w:type="dxa"/>
            <w:tcBorders>
              <w:tl2br w:val="nil"/>
              <w:tr2bl w:val="nil"/>
            </w:tcBorders>
            <w:shd w:val="clear" w:color="auto" w:fill="auto"/>
            <w:tcMar>
              <w:top w:w="15" w:type="dxa"/>
              <w:left w:w="15" w:type="dxa"/>
              <w:right w:w="15" w:type="dxa"/>
            </w:tcMar>
            <w:vAlign w:val="center"/>
          </w:tcPr>
          <w:p>
            <w:pPr>
              <w:pStyle w:val="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全部指标2022年数据的采集，含设计问卷、组织人工及专家开展调查</w:t>
            </w:r>
          </w:p>
        </w:tc>
        <w:tc>
          <w:tcPr>
            <w:tcW w:w="3895" w:type="dxa"/>
            <w:tcBorders>
              <w:tl2br w:val="nil"/>
              <w:tr2bl w:val="nil"/>
            </w:tcBorders>
            <w:shd w:val="clear" w:color="auto" w:fill="auto"/>
            <w:tcMar>
              <w:top w:w="15" w:type="dxa"/>
              <w:left w:w="15" w:type="dxa"/>
              <w:right w:w="15" w:type="dxa"/>
            </w:tcMar>
            <w:vAlign w:val="center"/>
          </w:tcPr>
          <w:p>
            <w:pPr>
              <w:pStyle w:val="8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全部指标2022年度数据的采集，完成数据收集后，需要校核，验证。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8" w:type="dxa"/>
            <w:vMerge w:val="continue"/>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p>
        </w:tc>
        <w:tc>
          <w:tcPr>
            <w:tcW w:w="1731" w:type="dxa"/>
            <w:vMerge w:val="continue"/>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p>
        </w:tc>
        <w:tc>
          <w:tcPr>
            <w:tcW w:w="2550" w:type="dxa"/>
            <w:tcBorders>
              <w:tl2br w:val="nil"/>
              <w:tr2bl w:val="nil"/>
            </w:tcBorders>
            <w:shd w:val="clear" w:color="auto" w:fill="auto"/>
            <w:tcMar>
              <w:top w:w="15" w:type="dxa"/>
              <w:left w:w="15" w:type="dxa"/>
              <w:right w:w="15" w:type="dxa"/>
            </w:tcMar>
            <w:vAlign w:val="center"/>
          </w:tcPr>
          <w:p>
            <w:pPr>
              <w:pStyle w:val="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优化多指标的</w:t>
            </w:r>
          </w:p>
          <w:p>
            <w:pPr>
              <w:pStyle w:val="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融合评价模型</w:t>
            </w:r>
          </w:p>
        </w:tc>
        <w:tc>
          <w:tcPr>
            <w:tcW w:w="3895" w:type="dxa"/>
            <w:tcBorders>
              <w:tl2br w:val="nil"/>
              <w:tr2bl w:val="nil"/>
            </w:tcBorders>
            <w:shd w:val="clear" w:color="auto" w:fill="auto"/>
            <w:tcMar>
              <w:top w:w="15" w:type="dxa"/>
              <w:left w:w="15" w:type="dxa"/>
              <w:right w:w="15" w:type="dxa"/>
            </w:tcMar>
            <w:vAlign w:val="center"/>
          </w:tcPr>
          <w:p>
            <w:pPr>
              <w:pStyle w:val="8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据指标、数据的特征，最终确定时间、空间多维度融合计算方案。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95" w:hRule="atLeast"/>
          <w:jc w:val="center"/>
        </w:trPr>
        <w:tc>
          <w:tcPr>
            <w:tcW w:w="658"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31"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生成</w:t>
            </w:r>
            <w:r>
              <w:rPr>
                <w:rFonts w:hint="eastAsia" w:ascii="宋体" w:hAnsi="宋体" w:eastAsia="宋体" w:cs="宋体"/>
                <w:color w:val="auto"/>
                <w:sz w:val="21"/>
                <w:szCs w:val="21"/>
                <w:highlight w:val="none"/>
                <w:lang w:val="en-US" w:eastAsia="zh-CN"/>
              </w:rPr>
              <w:t>各类</w:t>
            </w:r>
          </w:p>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评估报告服务</w:t>
            </w:r>
          </w:p>
        </w:tc>
        <w:tc>
          <w:tcPr>
            <w:tcW w:w="2550" w:type="dxa"/>
            <w:tcBorders>
              <w:tl2br w:val="nil"/>
              <w:tr2bl w:val="nil"/>
            </w:tcBorders>
            <w:shd w:val="clear" w:color="auto" w:fill="auto"/>
            <w:tcMar>
              <w:top w:w="15" w:type="dxa"/>
              <w:left w:w="15" w:type="dxa"/>
              <w:right w:w="15" w:type="dxa"/>
            </w:tcMar>
            <w:vAlign w:val="center"/>
          </w:tcPr>
          <w:p>
            <w:pPr>
              <w:pStyle w:val="86"/>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完成2022年度绿色出行水平评估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2022年度绿色出行</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非机动车路权保障研究；后疫情时代公共交通（地面交通和轨道交通）相关分析和研究；机动车总量控制和新能源车辆碳排放方向和减少拥堵相关分析研究。</w:t>
            </w:r>
          </w:p>
        </w:tc>
        <w:tc>
          <w:tcPr>
            <w:tcW w:w="3895" w:type="dxa"/>
            <w:tcBorders>
              <w:tl2br w:val="nil"/>
              <w:tr2bl w:val="nil"/>
            </w:tcBorders>
            <w:shd w:val="clear" w:color="auto" w:fill="auto"/>
            <w:tcMar>
              <w:top w:w="15" w:type="dxa"/>
              <w:left w:w="15" w:type="dxa"/>
              <w:right w:w="15" w:type="dxa"/>
            </w:tcMar>
            <w:vAlign w:val="center"/>
          </w:tcPr>
          <w:p>
            <w:pPr>
              <w:pStyle w:val="8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对西安市绿色出行的设施供给、出行服务、方式选择和政策管理等各方面进行系统全面的分析，分区域摸清底数和差距，指引发展方向，为城市交通政策制定和实时管理提供技术支持。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658"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31"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支撑服务</w:t>
            </w:r>
          </w:p>
        </w:tc>
        <w:tc>
          <w:tcPr>
            <w:tcW w:w="2550" w:type="dxa"/>
            <w:tcBorders>
              <w:tl2br w:val="nil"/>
              <w:tr2bl w:val="nil"/>
            </w:tcBorders>
            <w:shd w:val="clear" w:color="auto" w:fill="auto"/>
            <w:tcMar>
              <w:top w:w="15" w:type="dxa"/>
              <w:left w:w="15" w:type="dxa"/>
              <w:right w:w="15" w:type="dxa"/>
            </w:tcMar>
            <w:vAlign w:val="center"/>
          </w:tcPr>
          <w:p>
            <w:pPr>
              <w:pStyle w:val="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项目后续支撑服务</w:t>
            </w:r>
          </w:p>
        </w:tc>
        <w:tc>
          <w:tcPr>
            <w:tcW w:w="3895" w:type="dxa"/>
            <w:tcBorders>
              <w:tl2br w:val="nil"/>
              <w:tr2bl w:val="nil"/>
            </w:tcBorders>
            <w:shd w:val="clear" w:color="auto" w:fill="auto"/>
            <w:tcMar>
              <w:top w:w="15" w:type="dxa"/>
              <w:left w:w="15" w:type="dxa"/>
              <w:right w:w="15" w:type="dxa"/>
            </w:tcMar>
            <w:vAlign w:val="center"/>
          </w:tcPr>
          <w:p>
            <w:pPr>
              <w:pStyle w:val="8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自项目验收通过之日起提供一年技术服务，包括：项目后续成功转化和输出、修改、编辑支撑服务等。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658"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31"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专</w:t>
            </w:r>
            <w:r>
              <w:rPr>
                <w:rFonts w:hint="eastAsia" w:ascii="宋体" w:hAnsi="宋体" w:eastAsia="宋体" w:cs="宋体"/>
                <w:color w:val="auto"/>
                <w:sz w:val="21"/>
                <w:szCs w:val="21"/>
                <w:highlight w:val="none"/>
                <w:lang w:val="en-US" w:eastAsia="zh-CN"/>
              </w:rPr>
              <w:t>业团队</w:t>
            </w:r>
          </w:p>
        </w:tc>
        <w:tc>
          <w:tcPr>
            <w:tcW w:w="2550" w:type="dxa"/>
            <w:tcBorders>
              <w:tl2br w:val="nil"/>
              <w:tr2bl w:val="nil"/>
            </w:tcBorders>
            <w:shd w:val="clear" w:color="auto" w:fill="auto"/>
            <w:tcMar>
              <w:top w:w="15" w:type="dxa"/>
              <w:left w:w="15" w:type="dxa"/>
              <w:right w:w="15" w:type="dxa"/>
            </w:tcMar>
            <w:vAlign w:val="center"/>
          </w:tcPr>
          <w:p>
            <w:pPr>
              <w:pStyle w:val="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项目指数细节评定、权重</w:t>
            </w:r>
          </w:p>
          <w:p>
            <w:pPr>
              <w:pStyle w:val="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设计、算法推演、建模等</w:t>
            </w:r>
          </w:p>
        </w:tc>
        <w:tc>
          <w:tcPr>
            <w:tcW w:w="3895" w:type="dxa"/>
            <w:tcBorders>
              <w:tl2br w:val="nil"/>
              <w:tr2bl w:val="nil"/>
            </w:tcBorders>
            <w:shd w:val="clear" w:color="auto" w:fill="auto"/>
            <w:tcMar>
              <w:top w:w="15" w:type="dxa"/>
              <w:left w:w="15" w:type="dxa"/>
              <w:right w:w="15" w:type="dxa"/>
            </w:tcMar>
            <w:vAlign w:val="center"/>
          </w:tcPr>
          <w:p>
            <w:pPr>
              <w:pStyle w:val="8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项目所需各类专家聘请、特殊专业团队引进、特殊算法推演和模型建立。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834" w:type="dxa"/>
            <w:gridSpan w:val="4"/>
            <w:tcBorders>
              <w:tl2br w:val="nil"/>
              <w:tr2bl w:val="nil"/>
            </w:tcBorders>
            <w:shd w:val="clear" w:color="auto" w:fill="auto"/>
            <w:tcMar>
              <w:top w:w="15" w:type="dxa"/>
              <w:left w:w="15" w:type="dxa"/>
              <w:right w:w="15" w:type="dxa"/>
            </w:tcMar>
            <w:vAlign w:val="center"/>
          </w:tcPr>
          <w:p>
            <w:pPr>
              <w:pStyle w:val="8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媒体宣传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8"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31"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媒体宣传</w:t>
            </w:r>
          </w:p>
        </w:tc>
        <w:tc>
          <w:tcPr>
            <w:tcW w:w="2550"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媒体对外宣传发布</w:t>
            </w:r>
          </w:p>
        </w:tc>
        <w:tc>
          <w:tcPr>
            <w:tcW w:w="3895" w:type="dxa"/>
            <w:tcBorders>
              <w:tl2br w:val="nil"/>
              <w:tr2bl w:val="nil"/>
            </w:tcBorders>
            <w:shd w:val="clear" w:color="auto" w:fill="auto"/>
            <w:tcMar>
              <w:top w:w="15" w:type="dxa"/>
              <w:left w:w="15" w:type="dxa"/>
              <w:right w:w="15" w:type="dxa"/>
            </w:tcMar>
            <w:vAlign w:val="center"/>
          </w:tcPr>
          <w:p>
            <w:pPr>
              <w:pStyle w:val="8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综合新闻门户媒体、央媒、交通类媒体，成果输出、投稿及其他必要支出。</w:t>
            </w:r>
          </w:p>
        </w:tc>
      </w:tr>
    </w:tbl>
    <w:p>
      <w:pPr>
        <w:spacing w:line="360" w:lineRule="auto"/>
        <w:jc w:val="left"/>
        <w:outlineLvl w:val="1"/>
        <w:rPr>
          <w:rFonts w:hint="eastAsia" w:ascii="宋体" w:hAnsi="宋体" w:cs="宋体"/>
          <w:b/>
          <w:bCs/>
          <w:color w:val="auto"/>
          <w:szCs w:val="21"/>
          <w:highlight w:val="none"/>
        </w:rPr>
      </w:pPr>
    </w:p>
    <w:p>
      <w:pPr>
        <w:spacing w:line="360" w:lineRule="auto"/>
        <w:jc w:val="left"/>
        <w:outlineLvl w:val="1"/>
        <w:rPr>
          <w:rFonts w:ascii="宋体" w:hAnsi="宋体" w:cs="宋体"/>
          <w:b/>
          <w:bCs/>
          <w:color w:val="auto"/>
          <w:szCs w:val="21"/>
          <w:highlight w:val="none"/>
        </w:rPr>
      </w:pPr>
      <w:r>
        <w:rPr>
          <w:rFonts w:hint="eastAsia" w:ascii="宋体" w:hAnsi="宋体" w:cs="宋体"/>
          <w:b/>
          <w:bCs/>
          <w:color w:val="auto"/>
          <w:szCs w:val="21"/>
          <w:highlight w:val="none"/>
        </w:rPr>
        <w:t>三、服务要求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（一）人员配备</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项目团队管理框架层次分明，人员配备数量及职责分工合理，团队成员专业搭配齐全，编制技术先进，能够满足项目服务要求。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）质量要求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项目方案应思路清晰，具备可操作性，能够很好推动项目实施。整体方案应充分体现编制单位在专业技术研究和协助采购人完成相关工作等方面的能力。项目编制内容应对西安市绿色出行的阐述合理、要点齐全、思考深刻，符合相关法律、法规及政策的要求，遵循相关技术规范和标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（三）管理要求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项目服务单位应充分调研了解项目行业特点，制定可行的项目服务方案及工作计划，按照项目工作计划定期与采购人交换意见，保证项目质量，按要求完成项目服务的全部工作。</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应建立完备的工作机制。编制单位需成立项目工作组，明确分工，全面负责项目的具体执行和协调组织工作。可通过事前准备、过程控制、成果校核、后期跟踪等方式保证项目顺利实施。</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确保项目按照完成。制定详实的项目工作计划，可采用项目周报、项目例会、阶段性评审等方式控制项目进度，推动项目按计划进度执行。</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（四）成果要求</w:t>
      </w:r>
    </w:p>
    <w:p>
      <w:pPr>
        <w:spacing w:line="360" w:lineRule="auto"/>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最终成果包括但不限于PPT成果汇报演示文件、2022年度西安市绿色出行指数报告、西安市绿色出行创新性研究和深度分析报告</w:t>
      </w:r>
      <w:r>
        <w:rPr>
          <w:rFonts w:hint="eastAsia" w:ascii="宋体" w:hAnsi="宋体" w:cs="宋体"/>
          <w:color w:val="auto"/>
          <w:szCs w:val="21"/>
          <w:highlight w:val="none"/>
          <w:lang w:eastAsia="zh-CN"/>
        </w:rPr>
        <w:t>；</w:t>
      </w:r>
      <w:r>
        <w:rPr>
          <w:rFonts w:hint="eastAsia" w:ascii="宋体" w:hAnsi="宋体" w:cs="宋体"/>
          <w:color w:val="auto"/>
          <w:szCs w:val="21"/>
          <w:highlight w:val="none"/>
        </w:rPr>
        <w:t>输出资政报告或成果要报1篇，获得</w:t>
      </w:r>
      <w:r>
        <w:rPr>
          <w:rFonts w:hint="eastAsia" w:ascii="宋体" w:hAnsi="宋体" w:cs="宋体"/>
          <w:color w:val="auto"/>
          <w:szCs w:val="21"/>
          <w:highlight w:val="none"/>
          <w:lang w:val="en-US" w:eastAsia="zh-CN"/>
        </w:rPr>
        <w:t>市级以上</w:t>
      </w:r>
      <w:r>
        <w:rPr>
          <w:rFonts w:hint="eastAsia" w:ascii="宋体" w:hAnsi="宋体" w:cs="宋体"/>
          <w:color w:val="auto"/>
          <w:szCs w:val="21"/>
          <w:highlight w:val="none"/>
        </w:rPr>
        <w:t>公安、政法等机关主要领导肯定性批示，或党委、政府、人大、政协等采纳证明</w:t>
      </w:r>
      <w:r>
        <w:rPr>
          <w:rFonts w:hint="eastAsia" w:ascii="宋体" w:hAnsi="宋体" w:cs="宋体"/>
          <w:color w:val="auto"/>
          <w:szCs w:val="21"/>
          <w:highlight w:val="none"/>
          <w:lang w:eastAsia="zh-CN"/>
        </w:rPr>
        <w:t>；</w:t>
      </w:r>
      <w:r>
        <w:rPr>
          <w:rFonts w:hint="eastAsia" w:ascii="宋体" w:hAnsi="宋体" w:cs="宋体"/>
          <w:color w:val="auto"/>
          <w:szCs w:val="21"/>
          <w:highlight w:val="none"/>
        </w:rPr>
        <w:t>发表相关研究论文1篇（不设限），要求发表在公开、专业期刊（不要求级别）。</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（五）成果形式</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1.纸质成果：纸质文件5套。</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2.电子成果：电子文件</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套，包括PDF格式报告文件、PPT成果汇报演示文件。</w:t>
      </w:r>
    </w:p>
    <w:p>
      <w:pPr>
        <w:spacing w:line="360" w:lineRule="auto"/>
        <w:jc w:val="left"/>
        <w:outlineLvl w:val="1"/>
        <w:rPr>
          <w:rFonts w:ascii="宋体" w:hAnsi="宋体" w:cs="宋体"/>
          <w:b/>
          <w:bCs/>
          <w:color w:val="auto"/>
          <w:szCs w:val="21"/>
          <w:highlight w:val="none"/>
        </w:rPr>
      </w:pPr>
      <w:r>
        <w:rPr>
          <w:rFonts w:hint="eastAsia" w:ascii="宋体" w:hAnsi="宋体" w:cs="宋体"/>
          <w:b/>
          <w:bCs/>
          <w:color w:val="auto"/>
          <w:szCs w:val="21"/>
          <w:highlight w:val="none"/>
        </w:rPr>
        <w:t>四、商务要求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（一）服务期限</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1.自合同签订之日起，10个月内完成合同规定的内容。</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2.项目合同签订后的3个月内完成评价指标体系优化及构建，明确指标计算方法及评价标准。项目合同签订后的</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个月内，完成全部成果的交付及发布。项目合同签订后的1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个月内，完成宣传活动的策划与开展。</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（二）合同价款</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合同价款为含税价，供应商提供产品所发生的一切税（包括增值税）费等都已包含于合同价款中。合同单价一次包死，不受市场价变化影响。</w:t>
      </w:r>
    </w:p>
    <w:p>
      <w:pPr>
        <w:spacing w:line="360" w:lineRule="auto"/>
        <w:jc w:val="left"/>
        <w:outlineLvl w:val="1"/>
        <w:rPr>
          <w:rFonts w:ascii="宋体" w:hAnsi="宋体" w:cs="宋体"/>
          <w:b/>
          <w:bCs/>
          <w:color w:val="auto"/>
          <w:szCs w:val="21"/>
          <w:highlight w:val="none"/>
        </w:rPr>
      </w:pPr>
      <w:r>
        <w:rPr>
          <w:rFonts w:hint="eastAsia" w:ascii="宋体" w:hAnsi="宋体" w:cs="宋体"/>
          <w:b/>
          <w:bCs/>
          <w:color w:val="auto"/>
          <w:szCs w:val="21"/>
          <w:highlight w:val="none"/>
        </w:rPr>
        <w:t>五、违约责任</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一</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按照《中华人民共和国政府采购法》、《中华人民共和国民法典》中的相关条款执行。</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采购人</w:t>
      </w:r>
      <w:r>
        <w:rPr>
          <w:rFonts w:hint="eastAsia" w:ascii="宋体" w:hAnsi="宋体" w:cs="宋体"/>
          <w:bCs/>
          <w:color w:val="auto"/>
          <w:szCs w:val="21"/>
          <w:highlight w:val="none"/>
        </w:rPr>
        <w:t>有权对</w:t>
      </w:r>
      <w:r>
        <w:rPr>
          <w:rFonts w:hint="eastAsia" w:ascii="宋体" w:hAnsi="宋体" w:cs="宋体"/>
          <w:bCs/>
          <w:color w:val="auto"/>
          <w:szCs w:val="21"/>
          <w:highlight w:val="none"/>
          <w:lang w:val="en-US" w:eastAsia="zh-CN"/>
        </w:rPr>
        <w:t>成交供应商</w:t>
      </w:r>
      <w:r>
        <w:rPr>
          <w:rFonts w:hint="eastAsia" w:ascii="宋体" w:hAnsi="宋体" w:cs="宋体"/>
          <w:bCs/>
          <w:color w:val="auto"/>
          <w:szCs w:val="21"/>
          <w:highlight w:val="none"/>
        </w:rPr>
        <w:t>就投标事项进行核查。若经核查情况不实，将向有关部门申报</w:t>
      </w:r>
      <w:r>
        <w:rPr>
          <w:rFonts w:hint="eastAsia" w:ascii="宋体" w:hAnsi="宋体" w:cs="宋体"/>
          <w:bCs/>
          <w:color w:val="auto"/>
          <w:szCs w:val="21"/>
          <w:highlight w:val="none"/>
          <w:lang w:val="en-US" w:eastAsia="zh-CN"/>
        </w:rPr>
        <w:t>处理</w:t>
      </w:r>
      <w:r>
        <w:rPr>
          <w:rFonts w:hint="eastAsia" w:ascii="宋体" w:hAnsi="宋体" w:cs="宋体"/>
          <w:bCs/>
          <w:color w:val="auto"/>
          <w:szCs w:val="21"/>
          <w:highlight w:val="none"/>
        </w:rPr>
        <w:t>。</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三</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成交供应商</w:t>
      </w:r>
      <w:r>
        <w:rPr>
          <w:rFonts w:hint="eastAsia" w:ascii="宋体" w:hAnsi="宋体" w:cs="宋体"/>
          <w:bCs/>
          <w:color w:val="auto"/>
          <w:szCs w:val="21"/>
          <w:highlight w:val="none"/>
        </w:rPr>
        <w:t>在合同有效期内违反约定，</w:t>
      </w:r>
      <w:r>
        <w:rPr>
          <w:rFonts w:hint="eastAsia" w:ascii="宋体" w:hAnsi="宋体" w:cs="宋体"/>
          <w:bCs/>
          <w:color w:val="auto"/>
          <w:szCs w:val="21"/>
          <w:highlight w:val="none"/>
          <w:lang w:val="en-US" w:eastAsia="zh-CN"/>
        </w:rPr>
        <w:t>采购人</w:t>
      </w:r>
      <w:r>
        <w:rPr>
          <w:rFonts w:hint="eastAsia" w:ascii="宋体" w:hAnsi="宋体" w:cs="宋体"/>
          <w:bCs/>
          <w:color w:val="auto"/>
          <w:szCs w:val="21"/>
          <w:highlight w:val="none"/>
        </w:rPr>
        <w:t>有权解除合同，</w:t>
      </w:r>
      <w:r>
        <w:rPr>
          <w:rFonts w:hint="eastAsia" w:ascii="宋体" w:hAnsi="宋体" w:cs="宋体"/>
          <w:bCs/>
          <w:color w:val="auto"/>
          <w:szCs w:val="21"/>
          <w:highlight w:val="none"/>
          <w:lang w:val="en-US" w:eastAsia="zh-CN"/>
        </w:rPr>
        <w:t>成交供应商</w:t>
      </w:r>
      <w:r>
        <w:rPr>
          <w:rFonts w:hint="eastAsia" w:ascii="宋体" w:hAnsi="宋体" w:cs="宋体"/>
          <w:bCs/>
          <w:color w:val="auto"/>
          <w:szCs w:val="21"/>
          <w:highlight w:val="none"/>
        </w:rPr>
        <w:t>应承担相应法律责任，造成</w:t>
      </w:r>
      <w:r>
        <w:rPr>
          <w:rFonts w:hint="eastAsia" w:ascii="宋体" w:hAnsi="宋体" w:cs="宋体"/>
          <w:bCs/>
          <w:color w:val="auto"/>
          <w:szCs w:val="21"/>
          <w:highlight w:val="none"/>
          <w:lang w:val="en-US" w:eastAsia="zh-CN"/>
        </w:rPr>
        <w:t>采购人</w:t>
      </w:r>
      <w:r>
        <w:rPr>
          <w:rFonts w:hint="eastAsia" w:ascii="宋体" w:hAnsi="宋体" w:cs="宋体"/>
          <w:bCs/>
          <w:color w:val="auto"/>
          <w:szCs w:val="21"/>
          <w:highlight w:val="none"/>
        </w:rPr>
        <w:t>损失的应承担赔偿责任。</w:t>
      </w:r>
    </w:p>
    <w:p>
      <w:pPr>
        <w:widowControl w:val="0"/>
        <w:spacing w:line="360" w:lineRule="auto"/>
        <w:ind w:firstLine="420" w:firstLineChars="200"/>
        <w:rPr>
          <w:rFonts w:hint="eastAsia" w:ascii="宋体" w:hAnsi="宋体" w:cs="宋体"/>
          <w:color w:val="auto"/>
          <w:szCs w:val="21"/>
          <w:highlight w:val="none"/>
        </w:rPr>
      </w:pPr>
    </w:p>
    <w:p>
      <w:pPr>
        <w:widowControl w:val="0"/>
        <w:spacing w:line="360" w:lineRule="auto"/>
        <w:ind w:firstLine="420" w:firstLineChars="200"/>
        <w:rPr>
          <w:rFonts w:hint="eastAsia" w:ascii="宋体" w:hAnsi="宋体" w:cs="宋体"/>
          <w:color w:val="auto"/>
          <w:szCs w:val="21"/>
          <w:highlight w:val="none"/>
        </w:rPr>
      </w:pPr>
    </w:p>
    <w:p>
      <w:pPr>
        <w:widowControl w:val="0"/>
        <w:spacing w:line="360" w:lineRule="auto"/>
        <w:ind w:firstLine="420" w:firstLineChars="200"/>
        <w:rPr>
          <w:rFonts w:ascii="宋体" w:hAnsi="宋体"/>
          <w:iCs/>
          <w:color w:val="auto"/>
          <w:szCs w:val="21"/>
          <w:highlight w:val="none"/>
        </w:rPr>
      </w:pPr>
      <w:r>
        <w:rPr>
          <w:rFonts w:hint="eastAsia" w:ascii="宋体" w:hAnsi="宋体"/>
          <w:iCs/>
          <w:color w:val="auto"/>
          <w:szCs w:val="21"/>
          <w:highlight w:val="none"/>
        </w:rPr>
        <w:br w:type="page"/>
      </w:r>
    </w:p>
    <w:p>
      <w:pPr>
        <w:pStyle w:val="4"/>
        <w:textAlignment w:val="auto"/>
        <w:rPr>
          <w:rFonts w:cs="宋体"/>
          <w:bCs/>
          <w:color w:val="auto"/>
          <w:kern w:val="0"/>
          <w:sz w:val="32"/>
          <w:szCs w:val="32"/>
          <w:highlight w:val="none"/>
        </w:rPr>
      </w:pPr>
      <w:bookmarkStart w:id="30" w:name="_Toc30662"/>
      <w:r>
        <w:rPr>
          <w:rFonts w:cs="宋体"/>
          <w:bCs/>
          <w:color w:val="auto"/>
          <w:highlight w:val="none"/>
        </w:rPr>
        <w:t>第五章 评审方法</w:t>
      </w:r>
      <w:bookmarkEnd w:id="30"/>
    </w:p>
    <w:p>
      <w:pPr>
        <w:pStyle w:val="27"/>
        <w:keepNext w:val="0"/>
        <w:keepLines w:val="0"/>
        <w:widowControl w:val="0"/>
        <w:jc w:val="both"/>
        <w:outlineLvl w:val="1"/>
        <w:rPr>
          <w:rStyle w:val="30"/>
          <w:color w:val="auto"/>
          <w:sz w:val="21"/>
          <w:szCs w:val="21"/>
          <w:highlight w:val="none"/>
        </w:rPr>
      </w:pPr>
      <w:bookmarkStart w:id="31" w:name="_Toc11634"/>
      <w:bookmarkStart w:id="32" w:name="_Toc82791979"/>
      <w:r>
        <w:rPr>
          <w:rStyle w:val="30"/>
          <w:color w:val="auto"/>
          <w:sz w:val="21"/>
          <w:szCs w:val="21"/>
          <w:highlight w:val="none"/>
        </w:rPr>
        <w:t>一</w:t>
      </w:r>
      <w:r>
        <w:rPr>
          <w:rStyle w:val="30"/>
          <w:rFonts w:hint="eastAsia"/>
          <w:color w:val="auto"/>
          <w:sz w:val="21"/>
          <w:szCs w:val="21"/>
          <w:highlight w:val="none"/>
        </w:rPr>
        <w:t>、</w:t>
      </w:r>
      <w:r>
        <w:rPr>
          <w:rStyle w:val="30"/>
          <w:color w:val="auto"/>
          <w:sz w:val="21"/>
          <w:szCs w:val="21"/>
          <w:highlight w:val="none"/>
        </w:rPr>
        <w:t>评审方法</w:t>
      </w:r>
      <w:bookmarkEnd w:id="31"/>
      <w:bookmarkEnd w:id="32"/>
    </w:p>
    <w:p>
      <w:pPr>
        <w:widowControl w:val="0"/>
        <w:spacing w:line="360" w:lineRule="auto"/>
        <w:ind w:firstLine="420" w:firstLineChars="200"/>
        <w:jc w:val="left"/>
        <w:rPr>
          <w:rStyle w:val="30"/>
          <w:rFonts w:ascii="宋体" w:hAnsi="宋体"/>
          <w:color w:val="auto"/>
          <w:sz w:val="21"/>
          <w:szCs w:val="21"/>
          <w:highlight w:val="none"/>
        </w:rPr>
      </w:pPr>
      <w:r>
        <w:rPr>
          <w:rStyle w:val="30"/>
          <w:rFonts w:ascii="宋体" w:hAnsi="宋体"/>
          <w:color w:val="auto"/>
          <w:sz w:val="21"/>
          <w:szCs w:val="21"/>
          <w:highlight w:val="none"/>
        </w:rPr>
        <w:t>按照《中华人民共和国政府采购法》、中华人民共和国2015年第658号国务院令--《中华人民共和国政府采购法实施条例》和中华人民共和国财政部</w:t>
      </w:r>
      <w:r>
        <w:rPr>
          <w:rStyle w:val="30"/>
          <w:rFonts w:ascii="宋体" w:hAnsi="宋体"/>
          <w:color w:val="auto"/>
          <w:kern w:val="0"/>
          <w:sz w:val="21"/>
          <w:szCs w:val="21"/>
          <w:highlight w:val="none"/>
        </w:rPr>
        <w:t>财库〔2014〕214号文件《政府采购竞争性磋商采购方式管理暂行办法》的规定</w:t>
      </w:r>
      <w:r>
        <w:rPr>
          <w:rStyle w:val="30"/>
          <w:rFonts w:ascii="宋体" w:hAnsi="宋体"/>
          <w:color w:val="auto"/>
          <w:sz w:val="21"/>
          <w:szCs w:val="21"/>
          <w:highlight w:val="none"/>
        </w:rPr>
        <w:t>，竞争性磋商小组采用综合评分法对提交最后报价的供应商的响应文件和最后报价进行综合评分，按照评审得分由高到低顺序推荐3名成交候选供应商。</w:t>
      </w:r>
    </w:p>
    <w:p>
      <w:pPr>
        <w:pStyle w:val="27"/>
        <w:keepNext w:val="0"/>
        <w:keepLines w:val="0"/>
        <w:widowControl w:val="0"/>
        <w:jc w:val="both"/>
        <w:outlineLvl w:val="1"/>
        <w:rPr>
          <w:rStyle w:val="30"/>
          <w:rFonts w:ascii="宋体" w:hAnsi="宋体"/>
          <w:bCs w:val="0"/>
          <w:color w:val="auto"/>
          <w:spacing w:val="4"/>
          <w:sz w:val="21"/>
          <w:szCs w:val="21"/>
          <w:highlight w:val="none"/>
        </w:rPr>
      </w:pPr>
      <w:bookmarkStart w:id="33" w:name="_Toc29947"/>
      <w:bookmarkStart w:id="34" w:name="_Toc82791980"/>
      <w:r>
        <w:rPr>
          <w:rStyle w:val="30"/>
          <w:rFonts w:ascii="宋体" w:hAnsi="宋体"/>
          <w:bCs w:val="0"/>
          <w:color w:val="auto"/>
          <w:spacing w:val="4"/>
          <w:sz w:val="21"/>
          <w:szCs w:val="21"/>
          <w:highlight w:val="none"/>
        </w:rPr>
        <w:t>二</w:t>
      </w:r>
      <w:r>
        <w:rPr>
          <w:rStyle w:val="30"/>
          <w:rFonts w:hint="eastAsia" w:ascii="宋体" w:hAnsi="宋体"/>
          <w:bCs w:val="0"/>
          <w:color w:val="auto"/>
          <w:spacing w:val="4"/>
          <w:sz w:val="21"/>
          <w:szCs w:val="21"/>
          <w:highlight w:val="none"/>
        </w:rPr>
        <w:t>、</w:t>
      </w:r>
      <w:r>
        <w:rPr>
          <w:rStyle w:val="30"/>
          <w:rFonts w:ascii="宋体" w:hAnsi="宋体"/>
          <w:bCs w:val="0"/>
          <w:color w:val="auto"/>
          <w:spacing w:val="4"/>
          <w:sz w:val="21"/>
          <w:szCs w:val="21"/>
          <w:highlight w:val="none"/>
        </w:rPr>
        <w:t>评审程序</w:t>
      </w:r>
      <w:bookmarkEnd w:id="33"/>
      <w:bookmarkEnd w:id="34"/>
    </w:p>
    <w:p>
      <w:pPr>
        <w:widowControl w:val="0"/>
        <w:spacing w:line="360" w:lineRule="auto"/>
        <w:rPr>
          <w:rStyle w:val="30"/>
          <w:rFonts w:ascii="宋体" w:hAnsi="宋体"/>
          <w:color w:val="auto"/>
          <w:spacing w:val="4"/>
          <w:sz w:val="21"/>
          <w:szCs w:val="21"/>
          <w:highlight w:val="none"/>
        </w:rPr>
      </w:pPr>
      <w:r>
        <w:rPr>
          <w:rStyle w:val="30"/>
          <w:rFonts w:ascii="宋体" w:hAnsi="宋体"/>
          <w:color w:val="auto"/>
          <w:spacing w:val="4"/>
          <w:sz w:val="21"/>
          <w:szCs w:val="21"/>
          <w:highlight w:val="none"/>
        </w:rPr>
        <w:t>1</w:t>
      </w:r>
      <w:r>
        <w:rPr>
          <w:rStyle w:val="30"/>
          <w:rFonts w:hint="eastAsia" w:ascii="宋体" w:hAnsi="宋体"/>
          <w:color w:val="auto"/>
          <w:spacing w:val="4"/>
          <w:sz w:val="21"/>
          <w:szCs w:val="21"/>
          <w:highlight w:val="none"/>
        </w:rPr>
        <w:t>.</w:t>
      </w:r>
      <w:r>
        <w:rPr>
          <w:rStyle w:val="30"/>
          <w:rFonts w:ascii="宋体" w:hAnsi="宋体"/>
          <w:color w:val="auto"/>
          <w:spacing w:val="4"/>
          <w:sz w:val="21"/>
          <w:szCs w:val="21"/>
          <w:highlight w:val="none"/>
        </w:rPr>
        <w:t>响应文件审查</w:t>
      </w:r>
    </w:p>
    <w:p>
      <w:pPr>
        <w:widowControl w:val="0"/>
        <w:spacing w:line="360" w:lineRule="auto"/>
        <w:ind w:firstLine="436" w:firstLineChars="200"/>
        <w:rPr>
          <w:rStyle w:val="30"/>
          <w:rFonts w:ascii="宋体" w:hAnsi="宋体"/>
          <w:color w:val="auto"/>
          <w:spacing w:val="4"/>
          <w:sz w:val="21"/>
          <w:szCs w:val="21"/>
          <w:highlight w:val="none"/>
        </w:rPr>
      </w:pPr>
      <w:r>
        <w:rPr>
          <w:rStyle w:val="30"/>
          <w:rFonts w:ascii="宋体" w:hAnsi="宋体"/>
          <w:color w:val="auto"/>
          <w:spacing w:val="4"/>
          <w:sz w:val="21"/>
          <w:szCs w:val="21"/>
          <w:highlight w:val="none"/>
        </w:rPr>
        <w:t>审查分为资格性检查和符合性检查。分别按照以下内容对磋商响应文件进行检查，一项不合格即按照无效响应处理。</w:t>
      </w:r>
    </w:p>
    <w:p>
      <w:pPr>
        <w:widowControl w:val="0"/>
        <w:spacing w:line="360" w:lineRule="auto"/>
        <w:ind w:firstLine="436" w:firstLineChars="200"/>
        <w:rPr>
          <w:rStyle w:val="30"/>
          <w:rFonts w:ascii="宋体" w:hAnsi="宋体"/>
          <w:color w:val="auto"/>
          <w:kern w:val="0"/>
          <w:sz w:val="21"/>
          <w:szCs w:val="21"/>
          <w:highlight w:val="none"/>
        </w:rPr>
      </w:pPr>
      <w:r>
        <w:rPr>
          <w:rStyle w:val="30"/>
          <w:rFonts w:ascii="宋体" w:hAnsi="宋体"/>
          <w:color w:val="auto"/>
          <w:spacing w:val="4"/>
          <w:sz w:val="21"/>
          <w:szCs w:val="21"/>
          <w:highlight w:val="none"/>
        </w:rPr>
        <w:t>响应文件审查合格的为实质性响应磋商文件要求的供应商。</w:t>
      </w:r>
    </w:p>
    <w:p>
      <w:pPr>
        <w:widowControl w:val="0"/>
        <w:spacing w:line="360" w:lineRule="auto"/>
        <w:rPr>
          <w:rStyle w:val="30"/>
          <w:rFonts w:ascii="宋体" w:hAnsi="宋体"/>
          <w:color w:val="auto"/>
          <w:spacing w:val="4"/>
          <w:sz w:val="21"/>
          <w:szCs w:val="21"/>
          <w:highlight w:val="none"/>
        </w:rPr>
      </w:pPr>
      <w:r>
        <w:rPr>
          <w:rStyle w:val="30"/>
          <w:rFonts w:ascii="宋体" w:hAnsi="宋体"/>
          <w:color w:val="auto"/>
          <w:spacing w:val="4"/>
          <w:sz w:val="21"/>
          <w:szCs w:val="21"/>
          <w:highlight w:val="none"/>
        </w:rPr>
        <w:t>1.1资格性检查：</w:t>
      </w:r>
    </w:p>
    <w:p>
      <w:pPr>
        <w:widowControl w:val="0"/>
        <w:spacing w:line="360" w:lineRule="auto"/>
        <w:ind w:firstLine="436" w:firstLineChars="200"/>
        <w:rPr>
          <w:rStyle w:val="30"/>
          <w:rFonts w:ascii="宋体" w:hAnsi="宋体"/>
          <w:color w:val="auto"/>
          <w:spacing w:val="4"/>
          <w:sz w:val="21"/>
          <w:szCs w:val="21"/>
          <w:highlight w:val="none"/>
        </w:rPr>
      </w:pPr>
      <w:r>
        <w:rPr>
          <w:rStyle w:val="30"/>
          <w:rFonts w:ascii="宋体" w:hAnsi="宋体"/>
          <w:color w:val="auto"/>
          <w:spacing w:val="4"/>
          <w:sz w:val="21"/>
          <w:szCs w:val="21"/>
          <w:highlight w:val="none"/>
        </w:rPr>
        <w:t>1.1.1提供的资格证明文件是否符合国家法律法规和磋商文件的要求，并且齐全、真实、有效。</w:t>
      </w:r>
    </w:p>
    <w:p>
      <w:pPr>
        <w:widowControl w:val="0"/>
        <w:spacing w:line="360" w:lineRule="auto"/>
        <w:ind w:firstLine="436" w:firstLineChars="200"/>
        <w:rPr>
          <w:rStyle w:val="30"/>
          <w:rFonts w:ascii="宋体" w:hAnsi="宋体"/>
          <w:color w:val="auto"/>
          <w:sz w:val="21"/>
          <w:szCs w:val="21"/>
          <w:highlight w:val="none"/>
        </w:rPr>
      </w:pPr>
      <w:r>
        <w:rPr>
          <w:rStyle w:val="30"/>
          <w:rFonts w:ascii="宋体" w:hAnsi="宋体"/>
          <w:color w:val="auto"/>
          <w:spacing w:val="4"/>
          <w:sz w:val="21"/>
          <w:szCs w:val="21"/>
          <w:highlight w:val="none"/>
        </w:rPr>
        <w:t>1.1.2在“信用中国”</w:t>
      </w:r>
      <w:r>
        <w:rPr>
          <w:rStyle w:val="30"/>
          <w:rFonts w:ascii="宋体" w:hAnsi="宋体"/>
          <w:color w:val="auto"/>
          <w:kern w:val="0"/>
          <w:sz w:val="21"/>
          <w:szCs w:val="21"/>
          <w:highlight w:val="none"/>
        </w:rPr>
        <w:t>网站（www.creditchina.gov.cn）和“中国政府采购网”（www.ccgp.gov.cn）对供应商信用信息进行查询，如果供应商被查实在磋商截止时间前已列入失信被执行人、</w:t>
      </w:r>
      <w:r>
        <w:rPr>
          <w:rFonts w:hint="eastAsia" w:ascii="宋体" w:hAnsi="宋体" w:cs="宋体"/>
          <w:color w:val="auto"/>
          <w:kern w:val="0"/>
          <w:szCs w:val="21"/>
          <w:highlight w:val="none"/>
        </w:rPr>
        <w:t>重大税收违法失信主体</w:t>
      </w:r>
      <w:r>
        <w:rPr>
          <w:rStyle w:val="30"/>
          <w:rFonts w:ascii="宋体" w:hAnsi="宋体"/>
          <w:color w:val="auto"/>
          <w:kern w:val="0"/>
          <w:sz w:val="21"/>
          <w:szCs w:val="21"/>
          <w:highlight w:val="none"/>
        </w:rPr>
        <w:t>、政府采购严重违法失信行为记录名单，其磋商响应为无效。</w:t>
      </w:r>
    </w:p>
    <w:p>
      <w:pPr>
        <w:widowControl w:val="0"/>
        <w:spacing w:line="360" w:lineRule="auto"/>
        <w:rPr>
          <w:rStyle w:val="30"/>
          <w:rFonts w:ascii="宋体" w:hAnsi="宋体"/>
          <w:color w:val="auto"/>
          <w:sz w:val="21"/>
          <w:szCs w:val="21"/>
          <w:highlight w:val="none"/>
        </w:rPr>
      </w:pPr>
      <w:r>
        <w:rPr>
          <w:rStyle w:val="30"/>
          <w:rFonts w:ascii="宋体" w:hAnsi="宋体"/>
          <w:color w:val="auto"/>
          <w:sz w:val="21"/>
          <w:szCs w:val="21"/>
          <w:highlight w:val="none"/>
        </w:rPr>
        <w:t>1.2符合性检查：</w:t>
      </w:r>
    </w:p>
    <w:p>
      <w:pPr>
        <w:widowControl w:val="0"/>
        <w:spacing w:line="360" w:lineRule="auto"/>
        <w:ind w:firstLine="420" w:firstLineChars="200"/>
        <w:rPr>
          <w:rStyle w:val="30"/>
          <w:rFonts w:ascii="宋体" w:hAnsi="宋体"/>
          <w:color w:val="auto"/>
          <w:spacing w:val="4"/>
          <w:sz w:val="21"/>
          <w:szCs w:val="21"/>
          <w:highlight w:val="none"/>
        </w:rPr>
      </w:pPr>
      <w:r>
        <w:rPr>
          <w:rStyle w:val="30"/>
          <w:rFonts w:ascii="宋体" w:hAnsi="宋体"/>
          <w:color w:val="auto"/>
          <w:sz w:val="21"/>
          <w:szCs w:val="21"/>
          <w:highlight w:val="none"/>
        </w:rPr>
        <w:t>1.2.1</w:t>
      </w:r>
      <w:r>
        <w:rPr>
          <w:rStyle w:val="30"/>
          <w:rFonts w:ascii="宋体" w:hAnsi="宋体"/>
          <w:color w:val="auto"/>
          <w:spacing w:val="4"/>
          <w:sz w:val="21"/>
          <w:szCs w:val="21"/>
          <w:highlight w:val="none"/>
        </w:rPr>
        <w:t>磋商响应文件的完整性审查。</w:t>
      </w:r>
    </w:p>
    <w:p>
      <w:pPr>
        <w:widowControl w:val="0"/>
        <w:spacing w:line="360" w:lineRule="auto"/>
        <w:ind w:firstLine="436" w:firstLineChars="200"/>
        <w:rPr>
          <w:rStyle w:val="30"/>
          <w:rFonts w:ascii="宋体" w:hAnsi="宋体"/>
          <w:color w:val="auto"/>
          <w:spacing w:val="4"/>
          <w:sz w:val="21"/>
          <w:szCs w:val="21"/>
          <w:highlight w:val="none"/>
        </w:rPr>
      </w:pPr>
      <w:r>
        <w:rPr>
          <w:rFonts w:hint="eastAsia" w:ascii="宋体" w:hAnsi="宋体" w:cs="宋体"/>
          <w:color w:val="auto"/>
          <w:spacing w:val="4"/>
          <w:szCs w:val="21"/>
          <w:highlight w:val="none"/>
        </w:rPr>
        <w:t>1.2.1.1</w:t>
      </w:r>
      <w:r>
        <w:rPr>
          <w:rStyle w:val="30"/>
          <w:rFonts w:ascii="宋体" w:hAnsi="宋体"/>
          <w:color w:val="auto"/>
          <w:spacing w:val="4"/>
          <w:sz w:val="21"/>
          <w:szCs w:val="21"/>
          <w:highlight w:val="none"/>
        </w:rPr>
        <w:t>响应文件是否按照磋商文件要求的格式编写。</w:t>
      </w:r>
    </w:p>
    <w:p>
      <w:pPr>
        <w:widowControl w:val="0"/>
        <w:spacing w:line="360" w:lineRule="auto"/>
        <w:ind w:firstLine="436" w:firstLineChars="200"/>
        <w:rPr>
          <w:rStyle w:val="30"/>
          <w:rFonts w:ascii="宋体" w:hAnsi="宋体"/>
          <w:color w:val="auto"/>
          <w:spacing w:val="4"/>
          <w:sz w:val="21"/>
          <w:szCs w:val="21"/>
          <w:highlight w:val="none"/>
        </w:rPr>
      </w:pPr>
      <w:r>
        <w:rPr>
          <w:rFonts w:hint="eastAsia" w:ascii="宋体" w:hAnsi="宋体" w:cs="宋体"/>
          <w:color w:val="auto"/>
          <w:spacing w:val="4"/>
          <w:szCs w:val="21"/>
          <w:highlight w:val="none"/>
        </w:rPr>
        <w:t>1.2.1.2磋商报价内容是否有重大缺漏项。</w:t>
      </w:r>
    </w:p>
    <w:p>
      <w:pPr>
        <w:widowControl w:val="0"/>
        <w:spacing w:line="360" w:lineRule="auto"/>
        <w:ind w:firstLine="436" w:firstLineChars="200"/>
        <w:rPr>
          <w:rStyle w:val="30"/>
          <w:rFonts w:ascii="宋体" w:hAnsi="宋体"/>
          <w:color w:val="auto"/>
          <w:spacing w:val="4"/>
          <w:sz w:val="21"/>
          <w:szCs w:val="21"/>
          <w:highlight w:val="none"/>
        </w:rPr>
      </w:pPr>
      <w:r>
        <w:rPr>
          <w:rStyle w:val="30"/>
          <w:rFonts w:ascii="宋体" w:hAnsi="宋体"/>
          <w:color w:val="auto"/>
          <w:spacing w:val="4"/>
          <w:sz w:val="21"/>
          <w:szCs w:val="21"/>
          <w:highlight w:val="none"/>
        </w:rPr>
        <w:t>1.2.2磋商响应文件的有效性审查。</w:t>
      </w:r>
    </w:p>
    <w:p>
      <w:pPr>
        <w:widowControl w:val="0"/>
        <w:spacing w:line="360" w:lineRule="auto"/>
        <w:ind w:firstLine="436" w:firstLineChars="200"/>
        <w:rPr>
          <w:rStyle w:val="30"/>
          <w:rFonts w:ascii="宋体" w:hAnsi="宋体"/>
          <w:color w:val="auto"/>
          <w:spacing w:val="4"/>
          <w:sz w:val="21"/>
          <w:szCs w:val="21"/>
          <w:highlight w:val="none"/>
        </w:rPr>
      </w:pPr>
      <w:r>
        <w:rPr>
          <w:rStyle w:val="30"/>
          <w:rFonts w:ascii="宋体" w:hAnsi="宋体"/>
          <w:color w:val="auto"/>
          <w:spacing w:val="4"/>
          <w:sz w:val="21"/>
          <w:szCs w:val="21"/>
          <w:highlight w:val="none"/>
        </w:rPr>
        <w:t>1.2.2.1响应文件的签署、加盖印章是否合格、有效；提供的各种证明文件、数据、资料是否真实、有效。</w:t>
      </w:r>
    </w:p>
    <w:p>
      <w:pPr>
        <w:widowControl w:val="0"/>
        <w:spacing w:line="360" w:lineRule="auto"/>
        <w:ind w:firstLine="436" w:firstLineChars="200"/>
        <w:rPr>
          <w:rStyle w:val="30"/>
          <w:rFonts w:ascii="宋体" w:hAnsi="宋体"/>
          <w:color w:val="auto"/>
          <w:spacing w:val="4"/>
          <w:sz w:val="21"/>
          <w:szCs w:val="21"/>
          <w:highlight w:val="none"/>
        </w:rPr>
      </w:pPr>
      <w:r>
        <w:rPr>
          <w:rStyle w:val="30"/>
          <w:rFonts w:ascii="宋体" w:hAnsi="宋体"/>
          <w:color w:val="auto"/>
          <w:spacing w:val="4"/>
          <w:sz w:val="21"/>
          <w:szCs w:val="21"/>
          <w:highlight w:val="none"/>
        </w:rPr>
        <w:t>1.2.3磋商响应文件的响应性审查。</w:t>
      </w:r>
    </w:p>
    <w:p>
      <w:pPr>
        <w:widowControl w:val="0"/>
        <w:spacing w:line="360" w:lineRule="auto"/>
        <w:ind w:firstLine="436" w:firstLineChars="200"/>
        <w:rPr>
          <w:rStyle w:val="30"/>
          <w:rFonts w:ascii="宋体" w:hAnsi="宋体"/>
          <w:color w:val="auto"/>
          <w:spacing w:val="4"/>
          <w:sz w:val="21"/>
          <w:szCs w:val="21"/>
          <w:highlight w:val="none"/>
        </w:rPr>
      </w:pPr>
      <w:r>
        <w:rPr>
          <w:rStyle w:val="30"/>
          <w:rFonts w:ascii="宋体" w:hAnsi="宋体"/>
          <w:color w:val="auto"/>
          <w:spacing w:val="4"/>
          <w:sz w:val="21"/>
          <w:szCs w:val="21"/>
          <w:highlight w:val="none"/>
        </w:rPr>
        <w:t>1.2.3.1磋商报价是否未超过采购预算</w:t>
      </w:r>
      <w:r>
        <w:rPr>
          <w:rStyle w:val="30"/>
          <w:rFonts w:hint="eastAsia" w:ascii="宋体" w:hAnsi="宋体"/>
          <w:color w:val="auto"/>
          <w:spacing w:val="4"/>
          <w:sz w:val="21"/>
          <w:szCs w:val="21"/>
          <w:highlight w:val="none"/>
          <w:lang w:val="en-US" w:eastAsia="zh-CN"/>
        </w:rPr>
        <w:t>或最高限价</w:t>
      </w:r>
      <w:r>
        <w:rPr>
          <w:rStyle w:val="30"/>
          <w:rFonts w:ascii="宋体" w:hAnsi="宋体"/>
          <w:color w:val="auto"/>
          <w:spacing w:val="4"/>
          <w:sz w:val="21"/>
          <w:szCs w:val="21"/>
          <w:highlight w:val="none"/>
        </w:rPr>
        <w:t>；</w:t>
      </w:r>
    </w:p>
    <w:p>
      <w:pPr>
        <w:widowControl w:val="0"/>
        <w:spacing w:line="360" w:lineRule="auto"/>
        <w:ind w:firstLine="436" w:firstLineChars="200"/>
        <w:rPr>
          <w:color w:val="auto"/>
          <w:highlight w:val="none"/>
        </w:rPr>
      </w:pPr>
      <w:r>
        <w:rPr>
          <w:rFonts w:hint="eastAsia" w:ascii="宋体" w:hAnsi="宋体" w:cs="宋体"/>
          <w:color w:val="auto"/>
          <w:spacing w:val="4"/>
          <w:szCs w:val="21"/>
          <w:highlight w:val="none"/>
        </w:rPr>
        <w:t>1.2.3.2磋商报价有效期是否符合磋商文件的要求；</w:t>
      </w:r>
    </w:p>
    <w:p>
      <w:pPr>
        <w:widowControl w:val="0"/>
        <w:spacing w:line="360" w:lineRule="auto"/>
        <w:ind w:firstLine="436" w:firstLineChars="200"/>
        <w:rPr>
          <w:rStyle w:val="30"/>
          <w:rFonts w:ascii="宋体" w:hAnsi="宋体"/>
          <w:color w:val="auto"/>
          <w:spacing w:val="4"/>
          <w:sz w:val="21"/>
          <w:szCs w:val="21"/>
          <w:highlight w:val="none"/>
        </w:rPr>
      </w:pPr>
      <w:r>
        <w:rPr>
          <w:rStyle w:val="30"/>
          <w:rFonts w:ascii="宋体" w:hAnsi="宋体"/>
          <w:color w:val="auto"/>
          <w:spacing w:val="4"/>
          <w:sz w:val="21"/>
          <w:szCs w:val="21"/>
          <w:highlight w:val="none"/>
        </w:rPr>
        <w:t>1.2.3.3响应文件是否响应了磋商文件要求的全部条款、条件和规格要求，没有重大偏离；</w:t>
      </w:r>
    </w:p>
    <w:p>
      <w:pPr>
        <w:widowControl w:val="0"/>
        <w:spacing w:line="360" w:lineRule="auto"/>
        <w:ind w:firstLine="436" w:firstLineChars="200"/>
        <w:rPr>
          <w:rStyle w:val="30"/>
          <w:rFonts w:ascii="宋体" w:hAnsi="宋体"/>
          <w:color w:val="auto"/>
          <w:spacing w:val="4"/>
          <w:sz w:val="21"/>
          <w:szCs w:val="21"/>
          <w:highlight w:val="none"/>
        </w:rPr>
      </w:pPr>
      <w:r>
        <w:rPr>
          <w:rStyle w:val="30"/>
          <w:rFonts w:ascii="宋体" w:hAnsi="宋体"/>
          <w:color w:val="auto"/>
          <w:spacing w:val="4"/>
          <w:sz w:val="21"/>
          <w:szCs w:val="21"/>
          <w:highlight w:val="none"/>
        </w:rPr>
        <w:t>1.2.3.4服务期及付款方式是否满足磋商文件要求，对合同中规定的双方的权利和义务是否做出了实质性响应。</w:t>
      </w:r>
    </w:p>
    <w:p>
      <w:pPr>
        <w:widowControl w:val="0"/>
        <w:spacing w:line="360" w:lineRule="auto"/>
        <w:rPr>
          <w:rStyle w:val="30"/>
          <w:rFonts w:ascii="宋体" w:hAnsi="宋体"/>
          <w:color w:val="auto"/>
          <w:spacing w:val="4"/>
          <w:sz w:val="21"/>
          <w:szCs w:val="21"/>
          <w:highlight w:val="none"/>
        </w:rPr>
      </w:pPr>
      <w:r>
        <w:rPr>
          <w:rStyle w:val="30"/>
          <w:rFonts w:ascii="宋体" w:hAnsi="宋体"/>
          <w:color w:val="auto"/>
          <w:spacing w:val="4"/>
          <w:sz w:val="21"/>
          <w:szCs w:val="21"/>
          <w:highlight w:val="none"/>
        </w:rPr>
        <w:t>2</w:t>
      </w:r>
      <w:r>
        <w:rPr>
          <w:rStyle w:val="30"/>
          <w:rFonts w:hint="eastAsia" w:ascii="宋体" w:hAnsi="宋体"/>
          <w:color w:val="auto"/>
          <w:spacing w:val="4"/>
          <w:sz w:val="21"/>
          <w:szCs w:val="21"/>
          <w:highlight w:val="none"/>
        </w:rPr>
        <w:t>.</w:t>
      </w:r>
      <w:r>
        <w:rPr>
          <w:rStyle w:val="30"/>
          <w:rFonts w:ascii="宋体" w:hAnsi="宋体"/>
          <w:color w:val="auto"/>
          <w:spacing w:val="4"/>
          <w:sz w:val="21"/>
          <w:szCs w:val="21"/>
          <w:highlight w:val="none"/>
        </w:rPr>
        <w:t>澄清有关问题</w:t>
      </w:r>
    </w:p>
    <w:p>
      <w:pPr>
        <w:widowControl w:val="0"/>
        <w:spacing w:line="360" w:lineRule="auto"/>
        <w:ind w:firstLine="420" w:firstLineChars="200"/>
        <w:rPr>
          <w:rStyle w:val="30"/>
          <w:rFonts w:ascii="宋体" w:hAnsi="宋体"/>
          <w:color w:val="auto"/>
          <w:kern w:val="0"/>
          <w:sz w:val="21"/>
          <w:szCs w:val="21"/>
          <w:highlight w:val="none"/>
        </w:rPr>
      </w:pPr>
      <w:r>
        <w:rPr>
          <w:rStyle w:val="30"/>
          <w:rFonts w:ascii="宋体" w:hAnsi="宋体"/>
          <w:color w:val="auto"/>
          <w:kern w:val="0"/>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spacing w:line="360" w:lineRule="auto"/>
        <w:ind w:firstLine="420" w:firstLineChars="200"/>
        <w:rPr>
          <w:rStyle w:val="30"/>
          <w:rFonts w:ascii="宋体" w:hAnsi="宋体"/>
          <w:color w:val="auto"/>
          <w:kern w:val="0"/>
          <w:sz w:val="21"/>
          <w:szCs w:val="21"/>
          <w:highlight w:val="none"/>
        </w:rPr>
      </w:pPr>
      <w:r>
        <w:rPr>
          <w:rStyle w:val="30"/>
          <w:rFonts w:ascii="宋体" w:hAnsi="宋体"/>
          <w:color w:val="auto"/>
          <w:kern w:val="0"/>
          <w:sz w:val="21"/>
          <w:szCs w:val="21"/>
          <w:highlight w:val="none"/>
        </w:rPr>
        <w:t>磋商小组要求供应商澄清、说明或者更正响应文件的，应当以书面形式提出。供应商的澄清、说明或者更正应当由法定代表人或其授权代表签字或者加盖公章。由授权代表签字的，应当提供法定代表人授权书。</w:t>
      </w:r>
    </w:p>
    <w:p>
      <w:pPr>
        <w:widowControl w:val="0"/>
        <w:spacing w:line="360" w:lineRule="auto"/>
        <w:rPr>
          <w:rStyle w:val="30"/>
          <w:rFonts w:ascii="宋体" w:hAnsi="宋体"/>
          <w:color w:val="auto"/>
          <w:kern w:val="0"/>
          <w:sz w:val="21"/>
          <w:szCs w:val="21"/>
          <w:highlight w:val="none"/>
        </w:rPr>
      </w:pPr>
      <w:r>
        <w:rPr>
          <w:rStyle w:val="30"/>
          <w:rFonts w:ascii="宋体" w:hAnsi="宋体"/>
          <w:color w:val="auto"/>
          <w:kern w:val="0"/>
          <w:sz w:val="21"/>
          <w:szCs w:val="21"/>
          <w:highlight w:val="none"/>
        </w:rPr>
        <w:t>3</w:t>
      </w:r>
      <w:r>
        <w:rPr>
          <w:rStyle w:val="30"/>
          <w:rFonts w:hint="eastAsia" w:ascii="宋体" w:hAnsi="宋体"/>
          <w:color w:val="auto"/>
          <w:kern w:val="0"/>
          <w:sz w:val="21"/>
          <w:szCs w:val="21"/>
          <w:highlight w:val="none"/>
        </w:rPr>
        <w:t>.</w:t>
      </w:r>
      <w:r>
        <w:rPr>
          <w:rStyle w:val="30"/>
          <w:rFonts w:ascii="宋体" w:hAnsi="宋体"/>
          <w:color w:val="auto"/>
          <w:kern w:val="0"/>
          <w:sz w:val="21"/>
          <w:szCs w:val="21"/>
          <w:highlight w:val="none"/>
        </w:rPr>
        <w:t>磋商小组逐一与实质性响应磋商文件要求的供应商进行磋商。</w:t>
      </w:r>
    </w:p>
    <w:p>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4、评审价格的确定：</w:t>
      </w:r>
    </w:p>
    <w:p>
      <w:pPr>
        <w:widowControl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经初审并磋商之后，对于所有满足磋商文件全部实质性要求并按照规定提交了最终报价的响应文件，按照以下规则进行评审</w:t>
      </w:r>
      <w:r>
        <w:rPr>
          <w:rStyle w:val="30"/>
          <w:rFonts w:hint="eastAsia"/>
          <w:color w:val="auto"/>
          <w:sz w:val="21"/>
          <w:szCs w:val="21"/>
          <w:highlight w:val="none"/>
        </w:rPr>
        <w:t>价格</w:t>
      </w:r>
      <w:r>
        <w:rPr>
          <w:rFonts w:hint="eastAsia" w:ascii="宋体" w:hAnsi="宋体" w:cs="宋体"/>
          <w:color w:val="auto"/>
          <w:szCs w:val="21"/>
          <w:highlight w:val="none"/>
        </w:rPr>
        <w:t>的</w:t>
      </w:r>
      <w:r>
        <w:rPr>
          <w:rStyle w:val="30"/>
          <w:rFonts w:hint="eastAsia"/>
          <w:color w:val="auto"/>
          <w:sz w:val="21"/>
          <w:szCs w:val="21"/>
          <w:highlight w:val="none"/>
        </w:rPr>
        <w:t>确定</w:t>
      </w:r>
      <w:r>
        <w:rPr>
          <w:rFonts w:hint="eastAsia" w:ascii="宋体" w:hAnsi="宋体" w:cs="宋体"/>
          <w:color w:val="auto"/>
          <w:szCs w:val="21"/>
          <w:highlight w:val="none"/>
        </w:rPr>
        <w:t>。</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4.1经初审并磋商之后，对于所有满足磋商文件全部实质性要求并按照规定提交了最终报价的响应文件，按照以下规则进行评审价格的确定。</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4.2对于符合政策性优惠的，其评标价按照以下规则进行计算调整。</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4.2.1符合（财库〔2020〕46号）文件规定的小微企业单位的评标价计算规则：</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4.2.1.1对符合规定的小型和微型企业（非联合体磋商）报价给予10%的扣除，用扣除后的价格参加评审。</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其评审价=最终报价*（1-10%）</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4.2.1.2对于联合协议或者分包意向协议约定小微企业的合同份额占到合同总金额30%以上的（须在联合协议或分包意向协议中明确监狱企业的合同份额，否则评审时不予给予价格扣除），对联合体或者大中型企业的报价给予4%的扣除，用扣除后的价格参加评审。</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其评审价=最终报价*（1-4%）</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4.2.1.3确认为小微企业（含小型、微型企业，下同）磋商的，应当同时符合以下条件：</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4.2.1.3.1符合国务院有关部门根据企业从业人员、营业收入、资产总额等指标制定的中小企业划型标准（工信部联企业〔2011〕300号）；</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4.2.1.3.2在服务采购项目中，服务由中小企业承接，即提供服务的人员为中小企业依照《中华人民共和国劳动合同法》订立劳动合同的从业人员。 </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4.2.1.3.3磋商时须提供按照（财库〔2020〕46号）文件附件格式填写的《中小企业声明函（服务）》。</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4.2.2符合（财库〔2017〕141号）文件规定的残疾人福利性单位的评标价计算规则：</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4.2.2.1在政府采购活动中，残疾人福利性单位视同小型、微型企业，享受预留份额、评审中价格扣除等促进中小企业发展的政府采购政策。向残疾人福利性单位采购的金额，计入面向中小企业采购的统计数据。报价给予10%的扣除，用扣除后的价格参加评审。</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其评审价=最终报价*（1-10%）</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4.2.2.2对于联合协议或者分包意向协议约定残疾人福利性单位的合同份额占到合同总金额30%以上的（须在联合协议或分包意向协议中明确监狱企业的合同份额，否则评审时不予给予价格扣除），对联合体或者大中型企业的报价给予4%的扣除，用扣除后的价格参加评审。</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其评审价=最终报价*（1-4%）</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4.2.2.3确认为残疾人福利性单位磋商的，应当同时符合以下条件：</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4.2.2.3.1符合（财库〔2017〕141号）文件相关规定。</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4.2.2.3.2磋商时提供本单位的服务，或者提供其他残疾人福利性单位承担的服务。</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4.2.2.3.3供应商须提供按照（财库〔2017〕141号）文件附件格式填写的《残疾人福利性单位声明函》。</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4.2.3符合（财库〔2014〕68号）文件规定的监狱企业的评审价计算规则：</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4.2.3.1在政府采购活动中，监狱企业视同小型、微型企业，享受预留份额、评审中价格扣除等政府采购促进中小企业发展的政府采购政策。向监狱企业采购的金额，计入面向中小企业采购的统计数据。报价给予10%的扣除，用扣除后的价格参加评审。</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其评审价=最终报价*（1-10%）</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4.2.3.2对于联合协议或者分包意向协议约定监狱企业的合同份额占到合同总金额30%以上的（须在联合协议或分包意向协议中明确监狱企业的合同份额，否则评审时不予给予价格扣除），对联合体或者大中型企业的报价给予4%的扣除，用扣除后的价格参加评审。</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其评审价=最终报价*（1-4%）</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4.2.3.3确认为监狱企业磋商的，应当同时符合以下条件：</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4.2.3.3.1符合（财库〔2014〕68号）文件相关规定。</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4.2.3.3.2磋商时提供本单位的服务，或者提供其他监狱企业承担的服务。</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4.2.3.3.3供应商须提供由省级以上监狱管理局、戒毒管理局（含新疆生产建设兵团）出具的属于监狱企业的证明文件。</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4.2.4符合节能产品文件规定的加分规则：</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4.2.4.1磋商服务涉及提供的所有磋商产品进入“节能产品政府采购品目清单”（相关证书的颁发机构应来自《参与实施政府采购节能产品认证机构名录》）的予以加分，具体评审标准及分值见《评审因素量化赋分表》；（不是所有磋商产品的不享受此项优惠）。</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4.2.5符合环境标志产品文件规定的加分规则：</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4.2.5.1磋商服务涉及提供的所有磋商产品进入“环境标志产品政府采购品目清单”（相关证书的颁发机构应来自《参与实施政府采购环境标志产品认证机构名录》）的予以加分，具体评审标准及分值见《评审因素量化赋分表》；（不是所有磋商产品的不享受此项优惠）。    </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4.3评审价的计算：</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4.3.1供应商为非联合体的情况：</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小型企业，其评审价=最终报价*（1-8%）；</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微型企业，其评审价=最终报价*（1-8%）；</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监狱企业，其评审价=最终报价*（1-8%）；</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残疾人福利性单位，其评审价=最终报价*（1-8%）。</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4.3.2供应商为联合体且联合协议中约定小型、微型企业的协议合同金额占到联合体协议合同总金额30％以上的，按照以下规则进行评审价计算：</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与小型企业联合的，其评审价=最终报价*（1-2%）；</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与微型企业联合的，其评审价=最终报价*（1-2%）；</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与监狱企业联合的，其评审价=最终报价*（1-2%）；</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与残疾人福利性单位联合的，其评审价=最终报价*（1-2%）。</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4.4对于不享受以上政策性优惠价格调整的，其评审价=供应商提交的最终报价。</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5、比较与评价：</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经初审并磋商之后，对于所有满足磋商文件全部实质性要求并按照规定提交了最终报价的响应文件，由竞争性磋商小组各成员按照下列《评审因素及量化指标分解表》规定的内容独立进行综合比较，评价打分。</w:t>
      </w:r>
    </w:p>
    <w:p>
      <w:pPr>
        <w:widowControl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6、推荐成交候选供应商名单</w:t>
      </w:r>
    </w:p>
    <w:p>
      <w:pPr>
        <w:widowControl w:val="0"/>
        <w:spacing w:line="360" w:lineRule="auto"/>
        <w:ind w:firstLine="420" w:firstLineChars="200"/>
        <w:jc w:val="left"/>
        <w:rPr>
          <w:rStyle w:val="30"/>
          <w:rFonts w:hAnsi="宋体"/>
          <w:b/>
          <w:color w:val="auto"/>
          <w:sz w:val="32"/>
          <w:szCs w:val="32"/>
          <w:highlight w:val="none"/>
        </w:rPr>
      </w:pPr>
      <w:r>
        <w:rPr>
          <w:rFonts w:hint="eastAsia" w:ascii="宋体" w:hAnsi="宋体" w:cs="宋体"/>
          <w:color w:val="auto"/>
          <w:szCs w:val="21"/>
          <w:highlight w:val="none"/>
        </w:rPr>
        <w:t>汇总磋商小组成员对每个供应商的综合得分，每个包按照评审得分由高到低顺序推荐3名成交候选供应商。</w:t>
      </w:r>
      <w:r>
        <w:rPr>
          <w:rStyle w:val="30"/>
          <w:rFonts w:hAnsi="宋体"/>
          <w:b/>
          <w:color w:val="auto"/>
          <w:sz w:val="32"/>
          <w:szCs w:val="32"/>
          <w:highlight w:val="none"/>
        </w:rPr>
        <w:br w:type="page"/>
      </w:r>
    </w:p>
    <w:p>
      <w:pPr>
        <w:spacing w:line="360" w:lineRule="auto"/>
        <w:jc w:val="center"/>
        <w:outlineLvl w:val="1"/>
        <w:rPr>
          <w:rStyle w:val="30"/>
          <w:rFonts w:hAnsi="宋体"/>
          <w:b/>
          <w:color w:val="auto"/>
          <w:sz w:val="36"/>
          <w:szCs w:val="36"/>
          <w:highlight w:val="none"/>
        </w:rPr>
      </w:pPr>
      <w:r>
        <w:rPr>
          <w:rStyle w:val="30"/>
          <w:rFonts w:hAnsi="宋体"/>
          <w:b/>
          <w:color w:val="auto"/>
          <w:sz w:val="36"/>
          <w:szCs w:val="36"/>
          <w:highlight w:val="none"/>
        </w:rPr>
        <w:t>评审因素及量化指标分解表</w:t>
      </w:r>
    </w:p>
    <w:tbl>
      <w:tblPr>
        <w:tblStyle w:val="19"/>
        <w:tblW w:w="0" w:type="auto"/>
        <w:tblInd w:w="13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1"/>
        <w:gridCol w:w="721"/>
        <w:gridCol w:w="2104"/>
        <w:gridCol w:w="47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691"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类别</w:t>
            </w:r>
          </w:p>
        </w:tc>
        <w:tc>
          <w:tcPr>
            <w:tcW w:w="721"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104"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评审要素及分值</w:t>
            </w:r>
          </w:p>
        </w:tc>
        <w:tc>
          <w:tcPr>
            <w:tcW w:w="4765"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赋分标准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1"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70分</w:t>
            </w:r>
          </w:p>
        </w:tc>
        <w:tc>
          <w:tcPr>
            <w:tcW w:w="721"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104" w:type="dxa"/>
            <w:vMerge w:val="restart"/>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技术方案</w:t>
            </w:r>
          </w:p>
          <w:p>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分）</w:t>
            </w:r>
          </w:p>
        </w:tc>
        <w:tc>
          <w:tcPr>
            <w:tcW w:w="4765" w:type="dxa"/>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对本项目的编制背景，项目编制必要性和编制意义分析进行剖析。</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①分析、解读准确，[</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②分析、解读基本准确，[</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-2)分；</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③分析粗浅，存在较多缺漏、差错，[2-0]分。</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注：未进行分析不得分。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1" w:type="dxa"/>
            <w:vMerge w:val="continue"/>
            <w:vAlign w:val="center"/>
          </w:tcPr>
          <w:p>
            <w:pPr>
              <w:spacing w:line="360" w:lineRule="auto"/>
              <w:jc w:val="center"/>
              <w:rPr>
                <w:rFonts w:ascii="宋体" w:hAnsi="宋体" w:cs="宋体"/>
                <w:color w:val="auto"/>
                <w:szCs w:val="21"/>
                <w:highlight w:val="none"/>
              </w:rPr>
            </w:pPr>
          </w:p>
        </w:tc>
        <w:tc>
          <w:tcPr>
            <w:tcW w:w="721" w:type="dxa"/>
            <w:vMerge w:val="continue"/>
            <w:vAlign w:val="center"/>
          </w:tcPr>
          <w:p>
            <w:pPr>
              <w:spacing w:line="360" w:lineRule="auto"/>
              <w:jc w:val="center"/>
              <w:rPr>
                <w:rFonts w:ascii="宋体" w:hAnsi="宋体" w:cs="宋体"/>
                <w:color w:val="auto"/>
                <w:szCs w:val="21"/>
                <w:highlight w:val="none"/>
              </w:rPr>
            </w:pPr>
          </w:p>
        </w:tc>
        <w:tc>
          <w:tcPr>
            <w:tcW w:w="2104" w:type="dxa"/>
            <w:vMerge w:val="continue"/>
            <w:vAlign w:val="center"/>
          </w:tcPr>
          <w:p>
            <w:pPr>
              <w:spacing w:line="360" w:lineRule="auto"/>
              <w:jc w:val="center"/>
              <w:rPr>
                <w:rFonts w:ascii="宋体" w:hAnsi="宋体" w:cs="宋体"/>
                <w:color w:val="auto"/>
                <w:kern w:val="0"/>
                <w:szCs w:val="21"/>
                <w:highlight w:val="none"/>
              </w:rPr>
            </w:pPr>
          </w:p>
        </w:tc>
        <w:tc>
          <w:tcPr>
            <w:tcW w:w="4765" w:type="dxa"/>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技术路线设计是否合理，工作方法是否科学，是否满足本项目服务要求：</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①技术方案可行性及可操作性强，人员配备充足，分工明确，[8-6)分；</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②技术方案可行及有可操作性，有人员配备和分工，但上述内容有欠缺，[6-3)分；</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③技术方案可行性及可操作性一般，人员配备、分工存在较大偏差或不足，[3-1)分；</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④技术方案可行性及可操作性差，人员配备不充足，分工不明确或内容有缺漏，[1-0]分；</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注：未提供不得分。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1" w:type="dxa"/>
            <w:vMerge w:val="continue"/>
            <w:vAlign w:val="center"/>
          </w:tcPr>
          <w:p>
            <w:pPr>
              <w:spacing w:line="360" w:lineRule="auto"/>
              <w:jc w:val="center"/>
              <w:rPr>
                <w:rFonts w:ascii="宋体" w:hAnsi="宋体" w:cs="宋体"/>
                <w:color w:val="auto"/>
                <w:szCs w:val="21"/>
                <w:highlight w:val="none"/>
              </w:rPr>
            </w:pPr>
          </w:p>
        </w:tc>
        <w:tc>
          <w:tcPr>
            <w:tcW w:w="721" w:type="dxa"/>
            <w:vMerge w:val="continue"/>
            <w:vAlign w:val="center"/>
          </w:tcPr>
          <w:p>
            <w:pPr>
              <w:spacing w:line="360" w:lineRule="auto"/>
              <w:jc w:val="center"/>
              <w:rPr>
                <w:rFonts w:ascii="宋体" w:hAnsi="宋体" w:cs="宋体"/>
                <w:color w:val="auto"/>
                <w:szCs w:val="21"/>
                <w:highlight w:val="none"/>
              </w:rPr>
            </w:pPr>
          </w:p>
        </w:tc>
        <w:tc>
          <w:tcPr>
            <w:tcW w:w="2104" w:type="dxa"/>
            <w:vMerge w:val="continue"/>
            <w:vAlign w:val="center"/>
          </w:tcPr>
          <w:p>
            <w:pPr>
              <w:spacing w:line="360" w:lineRule="auto"/>
              <w:jc w:val="center"/>
              <w:rPr>
                <w:rFonts w:ascii="宋体" w:hAnsi="宋体" w:cs="宋体"/>
                <w:color w:val="auto"/>
                <w:kern w:val="0"/>
                <w:szCs w:val="21"/>
                <w:highlight w:val="none"/>
              </w:rPr>
            </w:pPr>
          </w:p>
        </w:tc>
        <w:tc>
          <w:tcPr>
            <w:tcW w:w="4765" w:type="dxa"/>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对西安绿色出行的发展现状进行分析：</w:t>
            </w:r>
          </w:p>
          <w:p>
            <w:pPr>
              <w:numPr>
                <w:ilvl w:val="0"/>
                <w:numId w:val="2"/>
              </w:num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分析全面，数据资料准确，[</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p>
          <w:p>
            <w:pPr>
              <w:numPr>
                <w:ilvl w:val="0"/>
                <w:numId w:val="2"/>
              </w:num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分析较全面，数据资料较准确，[</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-1)分；</w:t>
            </w:r>
          </w:p>
          <w:p>
            <w:pPr>
              <w:numPr>
                <w:ilvl w:val="0"/>
                <w:numId w:val="2"/>
              </w:num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分析不全面，数据资料有所缺失，[1-0]分。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691" w:type="dxa"/>
            <w:vMerge w:val="continue"/>
            <w:vAlign w:val="center"/>
          </w:tcPr>
          <w:p>
            <w:pPr>
              <w:spacing w:line="360" w:lineRule="auto"/>
              <w:jc w:val="center"/>
              <w:rPr>
                <w:rFonts w:ascii="宋体" w:hAnsi="宋体" w:cs="宋体"/>
                <w:color w:val="auto"/>
                <w:szCs w:val="21"/>
                <w:highlight w:val="none"/>
              </w:rPr>
            </w:pPr>
          </w:p>
        </w:tc>
        <w:tc>
          <w:tcPr>
            <w:tcW w:w="721" w:type="dxa"/>
            <w:vMerge w:val="continue"/>
            <w:vAlign w:val="center"/>
          </w:tcPr>
          <w:p>
            <w:pPr>
              <w:spacing w:line="360" w:lineRule="auto"/>
              <w:jc w:val="center"/>
              <w:rPr>
                <w:rFonts w:ascii="宋体" w:hAnsi="宋体" w:cs="宋体"/>
                <w:color w:val="auto"/>
                <w:szCs w:val="21"/>
                <w:highlight w:val="none"/>
              </w:rPr>
            </w:pPr>
          </w:p>
        </w:tc>
        <w:tc>
          <w:tcPr>
            <w:tcW w:w="2104" w:type="dxa"/>
            <w:vMerge w:val="continue"/>
            <w:vAlign w:val="center"/>
          </w:tcPr>
          <w:p>
            <w:pPr>
              <w:spacing w:line="360" w:lineRule="auto"/>
              <w:jc w:val="center"/>
              <w:rPr>
                <w:rFonts w:ascii="宋体" w:hAnsi="宋体" w:cs="宋体"/>
                <w:color w:val="auto"/>
                <w:kern w:val="0"/>
                <w:szCs w:val="21"/>
                <w:highlight w:val="none"/>
              </w:rPr>
            </w:pPr>
          </w:p>
        </w:tc>
        <w:tc>
          <w:tcPr>
            <w:tcW w:w="4765" w:type="dxa"/>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构建西安绿色出行评价指标体系：</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1）体系构建完善，能够覆盖绿色出行各个维度，符合西安特色且可实施性强，[</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2）体系构建较完善，可实施性一般，[</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-1)分；</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3）体系构建不完善，可实施性差，[1-0]分。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91" w:type="dxa"/>
            <w:vMerge w:val="continue"/>
            <w:vAlign w:val="center"/>
          </w:tcPr>
          <w:p>
            <w:pPr>
              <w:spacing w:line="360" w:lineRule="auto"/>
              <w:jc w:val="center"/>
              <w:rPr>
                <w:rFonts w:ascii="宋体" w:hAnsi="宋体" w:cs="宋体"/>
                <w:color w:val="auto"/>
                <w:szCs w:val="21"/>
                <w:highlight w:val="none"/>
              </w:rPr>
            </w:pPr>
          </w:p>
        </w:tc>
        <w:tc>
          <w:tcPr>
            <w:tcW w:w="721" w:type="dxa"/>
            <w:vMerge w:val="continue"/>
            <w:vAlign w:val="center"/>
          </w:tcPr>
          <w:p>
            <w:pPr>
              <w:spacing w:line="360" w:lineRule="auto"/>
              <w:jc w:val="center"/>
              <w:rPr>
                <w:rFonts w:ascii="宋体" w:hAnsi="宋体" w:cs="宋体"/>
                <w:color w:val="auto"/>
                <w:szCs w:val="21"/>
                <w:highlight w:val="none"/>
              </w:rPr>
            </w:pPr>
          </w:p>
        </w:tc>
        <w:tc>
          <w:tcPr>
            <w:tcW w:w="2104" w:type="dxa"/>
            <w:vMerge w:val="continue"/>
            <w:vAlign w:val="center"/>
          </w:tcPr>
          <w:p>
            <w:pPr>
              <w:spacing w:line="360" w:lineRule="auto"/>
              <w:jc w:val="center"/>
              <w:rPr>
                <w:rFonts w:ascii="宋体" w:hAnsi="宋体" w:cs="宋体"/>
                <w:color w:val="auto"/>
                <w:kern w:val="0"/>
                <w:szCs w:val="21"/>
                <w:highlight w:val="none"/>
              </w:rPr>
            </w:pPr>
          </w:p>
        </w:tc>
        <w:tc>
          <w:tcPr>
            <w:tcW w:w="4765" w:type="dxa"/>
          </w:tcPr>
          <w:p>
            <w:pPr>
              <w:pStyle w:val="83"/>
              <w:spacing w:line="360" w:lineRule="auto"/>
              <w:jc w:val="left"/>
              <w:rPr>
                <w:rFonts w:cs="宋体"/>
                <w:color w:val="auto"/>
                <w:kern w:val="0"/>
                <w:sz w:val="21"/>
                <w:szCs w:val="21"/>
                <w:highlight w:val="none"/>
              </w:rPr>
            </w:pPr>
            <w:r>
              <w:rPr>
                <w:rFonts w:hint="eastAsia" w:cs="宋体"/>
                <w:color w:val="auto"/>
                <w:kern w:val="0"/>
                <w:sz w:val="21"/>
                <w:szCs w:val="21"/>
                <w:highlight w:val="none"/>
              </w:rPr>
              <w:t>根据要求对本项目指标进行说明解读：</w:t>
            </w:r>
          </w:p>
          <w:p>
            <w:pPr>
              <w:pStyle w:val="83"/>
              <w:spacing w:line="360" w:lineRule="auto"/>
              <w:jc w:val="left"/>
              <w:rPr>
                <w:rFonts w:cs="宋体"/>
                <w:color w:val="auto"/>
                <w:kern w:val="0"/>
                <w:sz w:val="21"/>
                <w:szCs w:val="21"/>
                <w:highlight w:val="none"/>
              </w:rPr>
            </w:pPr>
            <w:r>
              <w:rPr>
                <w:rFonts w:hint="eastAsia" w:cs="宋体"/>
                <w:color w:val="auto"/>
                <w:kern w:val="0"/>
                <w:sz w:val="21"/>
                <w:szCs w:val="21"/>
                <w:highlight w:val="none"/>
              </w:rPr>
              <w:t>1）解读严谨科学，可实施性强，[</w:t>
            </w:r>
            <w:r>
              <w:rPr>
                <w:rFonts w:hint="eastAsia" w:cs="宋体"/>
                <w:color w:val="auto"/>
                <w:kern w:val="0"/>
                <w:sz w:val="21"/>
                <w:szCs w:val="21"/>
                <w:highlight w:val="none"/>
                <w:lang w:val="en-US" w:eastAsia="zh-CN"/>
              </w:rPr>
              <w:t>6</w:t>
            </w:r>
            <w:r>
              <w:rPr>
                <w:rFonts w:hint="eastAsia" w:cs="宋体"/>
                <w:color w:val="auto"/>
                <w:kern w:val="0"/>
                <w:sz w:val="21"/>
                <w:szCs w:val="21"/>
                <w:highlight w:val="none"/>
              </w:rPr>
              <w:t>-3)分；</w:t>
            </w:r>
          </w:p>
          <w:p>
            <w:pPr>
              <w:pStyle w:val="83"/>
              <w:spacing w:line="360" w:lineRule="auto"/>
              <w:jc w:val="left"/>
              <w:rPr>
                <w:rFonts w:cs="宋体"/>
                <w:color w:val="auto"/>
                <w:kern w:val="0"/>
                <w:sz w:val="21"/>
                <w:szCs w:val="21"/>
                <w:highlight w:val="none"/>
              </w:rPr>
            </w:pPr>
            <w:r>
              <w:rPr>
                <w:rFonts w:hint="eastAsia" w:cs="宋体"/>
                <w:color w:val="auto"/>
                <w:kern w:val="0"/>
                <w:sz w:val="21"/>
                <w:szCs w:val="21"/>
                <w:highlight w:val="none"/>
              </w:rPr>
              <w:t>2）解读基本正确，较严谨科学，可实施性一般，[3-1)分；</w:t>
            </w:r>
          </w:p>
          <w:p>
            <w:pPr>
              <w:pStyle w:val="83"/>
              <w:spacing w:line="360" w:lineRule="auto"/>
              <w:jc w:val="left"/>
              <w:rPr>
                <w:rFonts w:cs="宋体"/>
                <w:color w:val="auto"/>
                <w:kern w:val="0"/>
                <w:sz w:val="21"/>
                <w:szCs w:val="21"/>
                <w:highlight w:val="none"/>
              </w:rPr>
            </w:pPr>
            <w:r>
              <w:rPr>
                <w:rFonts w:hint="eastAsia" w:cs="宋体"/>
                <w:color w:val="auto"/>
                <w:kern w:val="0"/>
                <w:sz w:val="21"/>
                <w:szCs w:val="21"/>
                <w:highlight w:val="none"/>
              </w:rPr>
              <w:t>3）解读粗浅，存在较多缺漏、差错，[1-0]分。注：未进行分析解读不得分。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91" w:type="dxa"/>
            <w:vMerge w:val="continue"/>
            <w:vAlign w:val="center"/>
          </w:tcPr>
          <w:p>
            <w:pPr>
              <w:spacing w:line="360" w:lineRule="auto"/>
              <w:jc w:val="center"/>
              <w:rPr>
                <w:rFonts w:ascii="宋体" w:hAnsi="宋体" w:cs="宋体"/>
                <w:color w:val="auto"/>
                <w:szCs w:val="21"/>
                <w:highlight w:val="none"/>
              </w:rPr>
            </w:pPr>
          </w:p>
        </w:tc>
        <w:tc>
          <w:tcPr>
            <w:tcW w:w="721" w:type="dxa"/>
            <w:vMerge w:val="continue"/>
            <w:vAlign w:val="center"/>
          </w:tcPr>
          <w:p>
            <w:pPr>
              <w:spacing w:line="360" w:lineRule="auto"/>
              <w:jc w:val="center"/>
              <w:rPr>
                <w:rFonts w:ascii="宋体" w:hAnsi="宋体" w:cs="宋体"/>
                <w:color w:val="auto"/>
                <w:szCs w:val="21"/>
                <w:highlight w:val="none"/>
              </w:rPr>
            </w:pPr>
          </w:p>
        </w:tc>
        <w:tc>
          <w:tcPr>
            <w:tcW w:w="2104" w:type="dxa"/>
            <w:vMerge w:val="continue"/>
            <w:vAlign w:val="center"/>
          </w:tcPr>
          <w:p>
            <w:pPr>
              <w:spacing w:line="360" w:lineRule="auto"/>
              <w:jc w:val="center"/>
              <w:rPr>
                <w:rFonts w:ascii="宋体" w:hAnsi="宋体" w:cs="宋体"/>
                <w:color w:val="auto"/>
                <w:kern w:val="0"/>
                <w:szCs w:val="21"/>
                <w:highlight w:val="none"/>
              </w:rPr>
            </w:pPr>
          </w:p>
        </w:tc>
        <w:tc>
          <w:tcPr>
            <w:tcW w:w="4765" w:type="dxa"/>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对绿色出行综合评价方法进行阐述：</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1）指标权重获取合理，评价方法严谨科学，优于其他评价方法，能够适应西安交通</w:t>
            </w:r>
            <w:r>
              <w:rPr>
                <w:rFonts w:hint="eastAsia" w:ascii="宋体" w:hAnsi="宋体" w:cs="宋体"/>
                <w:color w:val="auto"/>
                <w:kern w:val="0"/>
                <w:szCs w:val="21"/>
                <w:highlight w:val="none"/>
                <w:lang w:val="en-US" w:eastAsia="zh-CN"/>
              </w:rPr>
              <w:t>出行</w:t>
            </w:r>
            <w:r>
              <w:rPr>
                <w:rFonts w:hint="eastAsia" w:ascii="宋体" w:hAnsi="宋体" w:cs="宋体"/>
                <w:color w:val="auto"/>
                <w:kern w:val="0"/>
                <w:szCs w:val="21"/>
                <w:highlight w:val="none"/>
              </w:rPr>
              <w:t>特征</w:t>
            </w:r>
            <w:r>
              <w:rPr>
                <w:rFonts w:hint="eastAsia" w:ascii="宋体" w:hAnsi="宋体" w:cs="宋体"/>
                <w:color w:val="auto"/>
                <w:kern w:val="0"/>
                <w:szCs w:val="21"/>
                <w:highlight w:val="none"/>
                <w:lang w:val="en-US" w:eastAsia="zh-CN"/>
              </w:rPr>
              <w:t>和管理需求</w:t>
            </w:r>
            <w:r>
              <w:rPr>
                <w:rFonts w:hint="eastAsia" w:ascii="宋体" w:hAnsi="宋体" w:cs="宋体"/>
                <w:color w:val="auto"/>
                <w:kern w:val="0"/>
                <w:szCs w:val="21"/>
                <w:highlight w:val="none"/>
              </w:rPr>
              <w:t>，可实施性强，[</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-3)分；</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2）评价方法较严谨科学，未能优于常规评价方法的，基本适应西安交通</w:t>
            </w:r>
            <w:r>
              <w:rPr>
                <w:rFonts w:hint="eastAsia" w:ascii="宋体" w:hAnsi="宋体" w:cs="宋体"/>
                <w:color w:val="auto"/>
                <w:kern w:val="0"/>
                <w:szCs w:val="21"/>
                <w:highlight w:val="none"/>
                <w:lang w:val="en-US" w:eastAsia="zh-CN"/>
              </w:rPr>
              <w:t>出行</w:t>
            </w:r>
            <w:r>
              <w:rPr>
                <w:rFonts w:hint="eastAsia" w:ascii="宋体" w:hAnsi="宋体" w:cs="宋体"/>
                <w:color w:val="auto"/>
                <w:kern w:val="0"/>
                <w:szCs w:val="21"/>
                <w:highlight w:val="none"/>
              </w:rPr>
              <w:t>特征</w:t>
            </w:r>
            <w:r>
              <w:rPr>
                <w:rFonts w:hint="eastAsia" w:ascii="宋体" w:hAnsi="宋体" w:cs="宋体"/>
                <w:color w:val="auto"/>
                <w:kern w:val="0"/>
                <w:szCs w:val="21"/>
                <w:highlight w:val="none"/>
                <w:lang w:val="en-US" w:eastAsia="zh-CN"/>
              </w:rPr>
              <w:t>和管理需求</w:t>
            </w:r>
            <w:r>
              <w:rPr>
                <w:rFonts w:hint="eastAsia" w:ascii="宋体" w:hAnsi="宋体" w:cs="宋体"/>
                <w:color w:val="auto"/>
                <w:kern w:val="0"/>
                <w:szCs w:val="21"/>
                <w:highlight w:val="none"/>
              </w:rPr>
              <w:t>，可实施性一般，[3-1)分；</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3）评价方法一般，未能根据西安交通数据特征优化，可实施性差，[1-0]分。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1" w:type="dxa"/>
            <w:vMerge w:val="continue"/>
            <w:vAlign w:val="center"/>
          </w:tcPr>
          <w:p>
            <w:pPr>
              <w:spacing w:line="360" w:lineRule="auto"/>
              <w:jc w:val="center"/>
              <w:rPr>
                <w:rFonts w:ascii="宋体" w:hAnsi="宋体" w:cs="宋体"/>
                <w:color w:val="auto"/>
                <w:szCs w:val="21"/>
                <w:highlight w:val="none"/>
              </w:rPr>
            </w:pPr>
          </w:p>
        </w:tc>
        <w:tc>
          <w:tcPr>
            <w:tcW w:w="721" w:type="dxa"/>
            <w:vMerge w:val="continue"/>
            <w:vAlign w:val="center"/>
          </w:tcPr>
          <w:p>
            <w:pPr>
              <w:spacing w:line="360" w:lineRule="auto"/>
              <w:jc w:val="center"/>
              <w:rPr>
                <w:rFonts w:ascii="宋体" w:hAnsi="宋体" w:cs="宋体"/>
                <w:color w:val="auto"/>
                <w:szCs w:val="21"/>
                <w:highlight w:val="none"/>
              </w:rPr>
            </w:pPr>
          </w:p>
        </w:tc>
        <w:tc>
          <w:tcPr>
            <w:tcW w:w="2104" w:type="dxa"/>
            <w:vMerge w:val="continue"/>
            <w:vAlign w:val="center"/>
          </w:tcPr>
          <w:p>
            <w:pPr>
              <w:spacing w:line="360" w:lineRule="auto"/>
              <w:jc w:val="center"/>
              <w:rPr>
                <w:rFonts w:ascii="宋体" w:hAnsi="宋体" w:cs="宋体"/>
                <w:color w:val="auto"/>
                <w:kern w:val="0"/>
                <w:szCs w:val="21"/>
                <w:highlight w:val="none"/>
              </w:rPr>
            </w:pPr>
          </w:p>
        </w:tc>
        <w:tc>
          <w:tcPr>
            <w:tcW w:w="4765" w:type="dxa"/>
          </w:tcPr>
          <w:p>
            <w:pPr>
              <w:pStyle w:val="83"/>
              <w:spacing w:line="360" w:lineRule="auto"/>
              <w:jc w:val="left"/>
              <w:rPr>
                <w:rFonts w:cs="宋体"/>
                <w:color w:val="auto"/>
                <w:kern w:val="0"/>
                <w:sz w:val="21"/>
                <w:szCs w:val="21"/>
                <w:highlight w:val="none"/>
              </w:rPr>
            </w:pPr>
            <w:r>
              <w:rPr>
                <w:rFonts w:hint="eastAsia" w:cs="宋体"/>
                <w:color w:val="auto"/>
                <w:kern w:val="0"/>
                <w:sz w:val="21"/>
                <w:szCs w:val="21"/>
                <w:highlight w:val="none"/>
              </w:rPr>
              <w:t>对项目中涉及的各类数据来源、采集方法、分析方法进行说明：</w:t>
            </w:r>
          </w:p>
          <w:p>
            <w:pPr>
              <w:pStyle w:val="83"/>
              <w:spacing w:line="360" w:lineRule="auto"/>
              <w:jc w:val="left"/>
              <w:rPr>
                <w:rFonts w:cs="宋体"/>
                <w:color w:val="auto"/>
                <w:kern w:val="0"/>
                <w:sz w:val="21"/>
                <w:szCs w:val="21"/>
                <w:highlight w:val="none"/>
              </w:rPr>
            </w:pPr>
            <w:r>
              <w:rPr>
                <w:rFonts w:hint="eastAsia" w:cs="宋体"/>
                <w:color w:val="auto"/>
                <w:kern w:val="0"/>
                <w:sz w:val="21"/>
                <w:szCs w:val="21"/>
                <w:highlight w:val="none"/>
              </w:rPr>
              <w:t>1）数据全面、方法合理，</w:t>
            </w:r>
            <w:r>
              <w:rPr>
                <w:rFonts w:hint="eastAsia" w:cs="宋体"/>
                <w:color w:val="auto"/>
                <w:kern w:val="0"/>
                <w:sz w:val="21"/>
                <w:szCs w:val="21"/>
                <w:highlight w:val="none"/>
                <w:lang w:val="en-US" w:eastAsia="zh-CN"/>
              </w:rPr>
              <w:t>6</w:t>
            </w:r>
            <w:r>
              <w:rPr>
                <w:rFonts w:hint="eastAsia" w:cs="宋体"/>
                <w:color w:val="auto"/>
                <w:kern w:val="0"/>
                <w:sz w:val="21"/>
                <w:szCs w:val="21"/>
                <w:highlight w:val="none"/>
              </w:rPr>
              <w:t>分；</w:t>
            </w:r>
          </w:p>
          <w:p>
            <w:pPr>
              <w:pStyle w:val="83"/>
              <w:spacing w:line="360" w:lineRule="auto"/>
              <w:jc w:val="left"/>
              <w:rPr>
                <w:rFonts w:cs="宋体"/>
                <w:color w:val="auto"/>
                <w:kern w:val="0"/>
                <w:sz w:val="21"/>
                <w:szCs w:val="21"/>
                <w:highlight w:val="none"/>
              </w:rPr>
            </w:pPr>
            <w:r>
              <w:rPr>
                <w:rFonts w:hint="eastAsia" w:cs="宋体"/>
                <w:color w:val="auto"/>
                <w:kern w:val="0"/>
                <w:sz w:val="21"/>
                <w:szCs w:val="21"/>
                <w:highlight w:val="none"/>
              </w:rPr>
              <w:t>2）数据部分全面，</w:t>
            </w:r>
            <w:r>
              <w:rPr>
                <w:rFonts w:hint="eastAsia" w:cs="宋体"/>
                <w:color w:val="auto"/>
                <w:kern w:val="0"/>
                <w:sz w:val="21"/>
                <w:szCs w:val="21"/>
                <w:highlight w:val="none"/>
                <w:lang w:val="en-US" w:eastAsia="zh-CN"/>
              </w:rPr>
              <w:t>3</w:t>
            </w:r>
            <w:r>
              <w:rPr>
                <w:rFonts w:hint="eastAsia" w:cs="宋体"/>
                <w:color w:val="auto"/>
                <w:kern w:val="0"/>
                <w:sz w:val="21"/>
                <w:szCs w:val="21"/>
                <w:highlight w:val="none"/>
              </w:rPr>
              <w:t>分；</w:t>
            </w:r>
          </w:p>
          <w:p>
            <w:pPr>
              <w:pStyle w:val="83"/>
              <w:spacing w:line="360" w:lineRule="auto"/>
              <w:jc w:val="left"/>
              <w:rPr>
                <w:rFonts w:cs="宋体"/>
                <w:color w:val="auto"/>
                <w:kern w:val="0"/>
                <w:sz w:val="21"/>
                <w:szCs w:val="21"/>
                <w:highlight w:val="none"/>
              </w:rPr>
            </w:pPr>
            <w:r>
              <w:rPr>
                <w:rFonts w:hint="eastAsia" w:cs="宋体"/>
                <w:color w:val="auto"/>
                <w:kern w:val="0"/>
                <w:sz w:val="21"/>
                <w:szCs w:val="21"/>
                <w:highlight w:val="none"/>
              </w:rPr>
              <w:t>3）未提供，得0分。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1" w:type="dxa"/>
            <w:vMerge w:val="continue"/>
            <w:vAlign w:val="center"/>
          </w:tcPr>
          <w:p>
            <w:pPr>
              <w:spacing w:line="360" w:lineRule="auto"/>
              <w:jc w:val="center"/>
              <w:rPr>
                <w:rFonts w:ascii="宋体" w:hAnsi="宋体" w:cs="宋体"/>
                <w:color w:val="auto"/>
                <w:szCs w:val="21"/>
                <w:highlight w:val="none"/>
              </w:rPr>
            </w:pPr>
          </w:p>
        </w:tc>
        <w:tc>
          <w:tcPr>
            <w:tcW w:w="721" w:type="dxa"/>
            <w:vMerge w:val="continue"/>
            <w:vAlign w:val="center"/>
          </w:tcPr>
          <w:p>
            <w:pPr>
              <w:spacing w:line="360" w:lineRule="auto"/>
              <w:jc w:val="center"/>
              <w:rPr>
                <w:rFonts w:ascii="宋体" w:hAnsi="宋体" w:cs="宋体"/>
                <w:color w:val="auto"/>
                <w:szCs w:val="21"/>
                <w:highlight w:val="none"/>
              </w:rPr>
            </w:pPr>
          </w:p>
        </w:tc>
        <w:tc>
          <w:tcPr>
            <w:tcW w:w="2104" w:type="dxa"/>
            <w:vMerge w:val="continue"/>
            <w:vAlign w:val="center"/>
          </w:tcPr>
          <w:p>
            <w:pPr>
              <w:spacing w:line="360" w:lineRule="auto"/>
              <w:jc w:val="center"/>
              <w:rPr>
                <w:rFonts w:ascii="宋体" w:hAnsi="宋体" w:cs="宋体"/>
                <w:color w:val="auto"/>
                <w:kern w:val="0"/>
                <w:szCs w:val="21"/>
                <w:highlight w:val="none"/>
              </w:rPr>
            </w:pPr>
          </w:p>
        </w:tc>
        <w:tc>
          <w:tcPr>
            <w:tcW w:w="4765" w:type="dxa"/>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根据供应商提供的售后服务承诺（包括后续配合采购人各项工作、服务保障情况、响应方式等情况）进行评价：</w:t>
            </w:r>
          </w:p>
          <w:p>
            <w:pPr>
              <w:pStyle w:val="82"/>
              <w:numPr>
                <w:ilvl w:val="0"/>
                <w:numId w:val="3"/>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承</w:t>
            </w:r>
            <w:r>
              <w:rPr>
                <w:rFonts w:hint="eastAsia" w:ascii="宋体" w:hAnsi="宋体" w:cs="宋体"/>
                <w:color w:val="auto"/>
                <w:kern w:val="0"/>
                <w:szCs w:val="21"/>
                <w:highlight w:val="none"/>
              </w:rPr>
              <w:t>诺售后服务1年或以上，得2分；</w:t>
            </w:r>
          </w:p>
          <w:p>
            <w:pPr>
              <w:pStyle w:val="82"/>
              <w:numPr>
                <w:ilvl w:val="0"/>
                <w:numId w:val="3"/>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承诺24小时内线上响应，得1分；</w:t>
            </w:r>
          </w:p>
          <w:p>
            <w:pPr>
              <w:pStyle w:val="82"/>
              <w:numPr>
                <w:ilvl w:val="0"/>
                <w:numId w:val="3"/>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承诺48小时内到达现场，得1分；</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注：需按本评分项进行相应承诺并加盖供应商公章，否则不得分。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1" w:type="dxa"/>
            <w:vMerge w:val="continue"/>
            <w:vAlign w:val="center"/>
          </w:tcPr>
          <w:p>
            <w:pPr>
              <w:spacing w:line="360" w:lineRule="auto"/>
              <w:jc w:val="center"/>
              <w:rPr>
                <w:rFonts w:ascii="宋体" w:hAnsi="宋体" w:cs="宋体"/>
                <w:color w:val="auto"/>
                <w:szCs w:val="21"/>
                <w:highlight w:val="none"/>
              </w:rPr>
            </w:pPr>
          </w:p>
        </w:tc>
        <w:tc>
          <w:tcPr>
            <w:tcW w:w="721" w:type="dxa"/>
            <w:vMerge w:val="continue"/>
            <w:vAlign w:val="center"/>
          </w:tcPr>
          <w:p>
            <w:pPr>
              <w:spacing w:line="360" w:lineRule="auto"/>
              <w:jc w:val="center"/>
              <w:rPr>
                <w:rFonts w:ascii="宋体" w:hAnsi="宋体" w:cs="宋体"/>
                <w:color w:val="auto"/>
                <w:szCs w:val="21"/>
                <w:highlight w:val="none"/>
              </w:rPr>
            </w:pPr>
          </w:p>
        </w:tc>
        <w:tc>
          <w:tcPr>
            <w:tcW w:w="2104" w:type="dxa"/>
            <w:vMerge w:val="continue"/>
            <w:vAlign w:val="center"/>
          </w:tcPr>
          <w:p>
            <w:pPr>
              <w:spacing w:line="360" w:lineRule="auto"/>
              <w:jc w:val="center"/>
              <w:rPr>
                <w:rFonts w:ascii="宋体" w:hAnsi="宋体" w:cs="宋体"/>
                <w:color w:val="auto"/>
                <w:kern w:val="0"/>
                <w:szCs w:val="21"/>
                <w:highlight w:val="none"/>
              </w:rPr>
            </w:pPr>
          </w:p>
        </w:tc>
        <w:tc>
          <w:tcPr>
            <w:tcW w:w="4765" w:type="dxa"/>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根据提供的最终成果编制思路进行评价：</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1）思路清晰，内容涵盖多个维度，对政府工作具备指导意义，[</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-3)分；</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2）思路较清晰，指导意义一般，[3-1)分；</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3）思路不准确，不合理，脱离实际，[1-0]分；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1" w:type="dxa"/>
            <w:vMerge w:val="continue"/>
            <w:vAlign w:val="center"/>
          </w:tcPr>
          <w:p>
            <w:pPr>
              <w:spacing w:line="360" w:lineRule="auto"/>
              <w:jc w:val="center"/>
              <w:rPr>
                <w:rFonts w:ascii="宋体" w:hAnsi="宋体" w:cs="宋体"/>
                <w:color w:val="auto"/>
                <w:szCs w:val="21"/>
                <w:highlight w:val="none"/>
              </w:rPr>
            </w:pPr>
          </w:p>
        </w:tc>
        <w:tc>
          <w:tcPr>
            <w:tcW w:w="721" w:type="dxa"/>
            <w:vMerge w:val="continue"/>
            <w:vAlign w:val="center"/>
          </w:tcPr>
          <w:p>
            <w:pPr>
              <w:spacing w:line="360" w:lineRule="auto"/>
              <w:jc w:val="center"/>
              <w:rPr>
                <w:rFonts w:ascii="宋体" w:hAnsi="宋体" w:cs="宋体"/>
                <w:color w:val="auto"/>
                <w:szCs w:val="21"/>
                <w:highlight w:val="none"/>
              </w:rPr>
            </w:pPr>
          </w:p>
        </w:tc>
        <w:tc>
          <w:tcPr>
            <w:tcW w:w="2104" w:type="dxa"/>
            <w:vMerge w:val="continue"/>
            <w:vAlign w:val="center"/>
          </w:tcPr>
          <w:p>
            <w:pPr>
              <w:spacing w:line="360" w:lineRule="auto"/>
              <w:jc w:val="center"/>
              <w:rPr>
                <w:rFonts w:ascii="宋体" w:hAnsi="宋体" w:cs="宋体"/>
                <w:color w:val="auto"/>
                <w:kern w:val="0"/>
                <w:szCs w:val="21"/>
                <w:highlight w:val="none"/>
              </w:rPr>
            </w:pPr>
          </w:p>
        </w:tc>
        <w:tc>
          <w:tcPr>
            <w:tcW w:w="4765" w:type="dxa"/>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供应商对项目交付进度、售后服务方案要求进行详细响应说明。</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1）项目交付进度，0-2分；</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2）售后服务方案，0-2分。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1" w:type="dxa"/>
            <w:vMerge w:val="continue"/>
            <w:vAlign w:val="center"/>
          </w:tcPr>
          <w:p>
            <w:pPr>
              <w:spacing w:line="360" w:lineRule="auto"/>
              <w:jc w:val="center"/>
              <w:rPr>
                <w:rFonts w:ascii="宋体" w:hAnsi="宋体" w:cs="宋体"/>
                <w:color w:val="auto"/>
                <w:szCs w:val="21"/>
                <w:highlight w:val="none"/>
              </w:rPr>
            </w:pPr>
          </w:p>
        </w:tc>
        <w:tc>
          <w:tcPr>
            <w:tcW w:w="72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104"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服务团队</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4765" w:type="dxa"/>
            <w:vAlign w:val="center"/>
          </w:tcPr>
          <w:p>
            <w:pPr>
              <w:numPr>
                <w:ilvl w:val="0"/>
                <w:numId w:val="4"/>
              </w:num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项目负责人：具备五年及以上交通行业项目管理经验，具备高级工程师，得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分（提供学历证书、职称及相关经验证明资料）；</w:t>
            </w:r>
          </w:p>
          <w:p>
            <w:pPr>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2）团队主要人员：具有高级工程师，每人得2分，最高不超过4分（提供学历证书、职称）；</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3）团队人员专业配备完整：具有交通运输工程、交通运输规划与管理、城市（乡）规划、地理信息、大数据采集与管理、计算机科学与技术相关专业三个或三个以上的团队，得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1"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w:t>
            </w:r>
            <w:r>
              <w:rPr>
                <w:rFonts w:ascii="宋体" w:hAnsi="宋体" w:cs="宋体"/>
                <w:color w:val="auto"/>
                <w:szCs w:val="21"/>
                <w:highlight w:val="none"/>
              </w:rPr>
              <w:t>3</w:t>
            </w:r>
            <w:r>
              <w:rPr>
                <w:rFonts w:hint="eastAsia" w:ascii="宋体" w:hAnsi="宋体" w:cs="宋体"/>
                <w:color w:val="auto"/>
                <w:szCs w:val="21"/>
                <w:highlight w:val="none"/>
              </w:rPr>
              <w:t>0分</w:t>
            </w:r>
          </w:p>
        </w:tc>
        <w:tc>
          <w:tcPr>
            <w:tcW w:w="72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104"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价格</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4765" w:type="dxa"/>
            <w:vAlign w:val="center"/>
          </w:tcPr>
          <w:p>
            <w:pPr>
              <w:spacing w:line="360" w:lineRule="auto"/>
              <w:ind w:left="315" w:hanging="315" w:hangingChars="150"/>
              <w:rPr>
                <w:rFonts w:ascii="宋体" w:hAnsi="宋体" w:cs="宋体"/>
                <w:color w:val="auto"/>
                <w:szCs w:val="21"/>
                <w:highlight w:val="none"/>
              </w:rPr>
            </w:pPr>
            <w:r>
              <w:rPr>
                <w:rFonts w:hint="eastAsia" w:ascii="宋体" w:hAnsi="宋体" w:cs="宋体"/>
                <w:color w:val="auto"/>
                <w:szCs w:val="21"/>
                <w:highlight w:val="none"/>
              </w:rPr>
              <w:t>1）最低评审价为评审基准价，得10分；</w:t>
            </w:r>
          </w:p>
          <w:p>
            <w:pPr>
              <w:spacing w:line="360" w:lineRule="auto"/>
              <w:ind w:left="315" w:hanging="315" w:hangingChars="150"/>
              <w:rPr>
                <w:rFonts w:ascii="宋体" w:hAnsi="宋体" w:cs="宋体"/>
                <w:color w:val="auto"/>
                <w:szCs w:val="21"/>
                <w:highlight w:val="none"/>
              </w:rPr>
            </w:pPr>
            <w:r>
              <w:rPr>
                <w:rFonts w:hint="eastAsia" w:ascii="宋体" w:hAnsi="宋体" w:cs="宋体"/>
                <w:color w:val="auto"/>
                <w:szCs w:val="21"/>
                <w:highlight w:val="none"/>
              </w:rPr>
              <w:t>2）按（评审基准价/评审价×10）的公式计算价格得分。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1" w:type="dxa"/>
            <w:vMerge w:val="continue"/>
            <w:vAlign w:val="center"/>
          </w:tcPr>
          <w:p>
            <w:pPr>
              <w:spacing w:line="360" w:lineRule="auto"/>
              <w:jc w:val="center"/>
              <w:rPr>
                <w:rFonts w:ascii="宋体" w:hAnsi="宋体" w:cs="宋体"/>
                <w:color w:val="auto"/>
                <w:szCs w:val="21"/>
                <w:highlight w:val="none"/>
              </w:rPr>
            </w:pPr>
          </w:p>
        </w:tc>
        <w:tc>
          <w:tcPr>
            <w:tcW w:w="72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104"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企业实力</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c>
          <w:tcPr>
            <w:tcW w:w="4765" w:type="dxa"/>
            <w:vAlign w:val="center"/>
          </w:tcPr>
          <w:p>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1）提供交通信息相关的</w:t>
            </w:r>
            <w:r>
              <w:rPr>
                <w:rFonts w:hint="eastAsia" w:ascii="宋体" w:hAnsi="宋体" w:eastAsia="宋体" w:cs="宋体"/>
                <w:color w:val="auto"/>
                <w:highlight w:val="none"/>
                <w:lang w:val="en-US" w:eastAsia="zh-CN"/>
              </w:rPr>
              <w:t>研究和报告</w:t>
            </w:r>
            <w:r>
              <w:rPr>
                <w:rFonts w:hint="eastAsia" w:ascii="宋体" w:hAnsi="宋体" w:eastAsia="宋体" w:cs="宋体"/>
                <w:color w:val="auto"/>
                <w:highlight w:val="none"/>
              </w:rPr>
              <w:t>著作权证书，</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pPr>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提供城市相关交通研究报告或年度交通相关报告，[4-0）分；</w:t>
            </w:r>
          </w:p>
          <w:p>
            <w:pPr>
              <w:spacing w:line="360" w:lineRule="auto"/>
              <w:jc w:val="left"/>
              <w:rPr>
                <w:rFonts w:hint="default" w:eastAsia="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提供交通研究或交通规划类项目获奖证书</w:t>
            </w:r>
            <w:r>
              <w:rPr>
                <w:rFonts w:hint="eastAsia" w:ascii="宋体" w:hAnsi="宋体" w:eastAsia="宋体" w:cs="宋体"/>
                <w:color w:val="auto"/>
                <w:highlight w:val="none"/>
                <w:lang w:val="en-US" w:eastAsia="zh-CN"/>
              </w:rPr>
              <w:t>或奖项，[4-0）分</w:t>
            </w:r>
            <w:r>
              <w:rPr>
                <w:rFonts w:hint="eastAsia" w:ascii="宋体" w:hAnsi="宋体" w:eastAsia="宋体" w:cs="宋体"/>
                <w:color w:val="auto"/>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691" w:type="dxa"/>
            <w:vMerge w:val="continue"/>
            <w:vAlign w:val="center"/>
          </w:tcPr>
          <w:p>
            <w:pPr>
              <w:spacing w:line="360" w:lineRule="auto"/>
              <w:jc w:val="center"/>
              <w:rPr>
                <w:rFonts w:ascii="宋体" w:hAnsi="宋体" w:cs="宋体"/>
                <w:color w:val="auto"/>
                <w:szCs w:val="21"/>
                <w:highlight w:val="none"/>
              </w:rPr>
            </w:pPr>
          </w:p>
        </w:tc>
        <w:tc>
          <w:tcPr>
            <w:tcW w:w="72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104"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业绩</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4765" w:type="dxa"/>
          </w:tcPr>
          <w:p>
            <w:pPr>
              <w:widowControl w:val="0"/>
              <w:spacing w:line="360" w:lineRule="auto"/>
              <w:textAlignment w:val="auto"/>
              <w:rPr>
                <w:rFonts w:ascii="宋体" w:hAnsi="宋体" w:cs="宋体"/>
                <w:color w:val="auto"/>
                <w:szCs w:val="21"/>
                <w:highlight w:val="none"/>
              </w:rPr>
            </w:pPr>
            <w:r>
              <w:rPr>
                <w:rFonts w:hint="eastAsia" w:ascii="宋体" w:hAnsi="宋体" w:cs="宋体"/>
                <w:color w:val="auto"/>
                <w:kern w:val="0"/>
                <w:szCs w:val="21"/>
                <w:highlight w:val="none"/>
              </w:rPr>
              <w:t>提供2019年1月1日至今有过城市交通数据梳理、交通数据分析、交通政策研究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交通相关规划报告</w:t>
            </w:r>
            <w:r>
              <w:rPr>
                <w:rFonts w:hint="eastAsia" w:ascii="宋体" w:hAnsi="宋体" w:cs="宋体"/>
                <w:color w:val="auto"/>
                <w:kern w:val="0"/>
                <w:szCs w:val="21"/>
                <w:highlight w:val="none"/>
              </w:rPr>
              <w:t>等类似项目业绩</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每提供一份得2分，最高得</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以合同为准</w:t>
            </w:r>
            <w:r>
              <w:rPr>
                <w:rFonts w:hint="eastAsia" w:ascii="宋体" w:hAnsi="宋体" w:cs="宋体"/>
                <w:color w:val="auto"/>
                <w:kern w:val="0"/>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281" w:type="dxa"/>
            <w:gridSpan w:val="4"/>
            <w:vAlign w:val="center"/>
          </w:tcPr>
          <w:p>
            <w:pPr>
              <w:spacing w:line="360" w:lineRule="auto"/>
              <w:ind w:left="315" w:hanging="315" w:hangingChars="150"/>
              <w:rPr>
                <w:rFonts w:ascii="宋体" w:hAnsi="宋体" w:cs="宋体"/>
                <w:color w:val="auto"/>
                <w:szCs w:val="21"/>
                <w:highlight w:val="none"/>
                <w:lang w:val="zh-CN"/>
              </w:rPr>
            </w:pPr>
            <w:r>
              <w:rPr>
                <w:rFonts w:hint="eastAsia" w:ascii="宋体" w:hAnsi="宋体" w:cs="宋体"/>
                <w:color w:val="auto"/>
                <w:szCs w:val="21"/>
                <w:highlight w:val="none"/>
                <w:lang w:val="zh-CN"/>
              </w:rPr>
              <w:t>1）各</w:t>
            </w:r>
            <w:r>
              <w:rPr>
                <w:rFonts w:hint="eastAsia" w:ascii="宋体" w:hAnsi="宋体" w:cs="宋体"/>
                <w:color w:val="auto"/>
                <w:szCs w:val="21"/>
                <w:highlight w:val="none"/>
              </w:rPr>
              <w:t>磋商小组</w:t>
            </w:r>
            <w:r>
              <w:rPr>
                <w:rFonts w:hint="eastAsia" w:ascii="宋体" w:hAnsi="宋体" w:cs="宋体"/>
                <w:color w:val="auto"/>
                <w:szCs w:val="21"/>
                <w:highlight w:val="none"/>
                <w:lang w:val="zh-CN"/>
              </w:rPr>
              <w:t>成员独立打分。</w:t>
            </w:r>
          </w:p>
          <w:p>
            <w:pPr>
              <w:spacing w:line="360" w:lineRule="auto"/>
              <w:ind w:left="315" w:hanging="315" w:hangingChars="150"/>
              <w:rPr>
                <w:rFonts w:ascii="宋体" w:hAnsi="宋体" w:cs="宋体"/>
                <w:color w:val="auto"/>
                <w:szCs w:val="21"/>
                <w:highlight w:val="none"/>
                <w:lang w:val="zh-CN"/>
              </w:rPr>
            </w:pPr>
            <w:r>
              <w:rPr>
                <w:rFonts w:hint="eastAsia" w:ascii="宋体" w:hAnsi="宋体" w:cs="宋体"/>
                <w:color w:val="auto"/>
                <w:szCs w:val="21"/>
                <w:highlight w:val="none"/>
                <w:lang w:val="zh-CN"/>
              </w:rPr>
              <w:t>2）</w:t>
            </w:r>
            <w:r>
              <w:rPr>
                <w:rFonts w:hint="eastAsia" w:ascii="宋体" w:hAnsi="宋体" w:cs="宋体"/>
                <w:color w:val="auto"/>
                <w:szCs w:val="21"/>
                <w:highlight w:val="none"/>
              </w:rPr>
              <w:t>磋商小组</w:t>
            </w:r>
            <w:r>
              <w:rPr>
                <w:rFonts w:hint="eastAsia" w:ascii="宋体" w:hAnsi="宋体" w:cs="宋体"/>
                <w:color w:val="auto"/>
                <w:szCs w:val="21"/>
                <w:highlight w:val="none"/>
                <w:lang w:val="zh-CN"/>
              </w:rPr>
              <w:t>成员打分超过得分界限或未按本表规定赋分时，该</w:t>
            </w:r>
            <w:r>
              <w:rPr>
                <w:rFonts w:hint="eastAsia" w:ascii="宋体" w:hAnsi="宋体" w:cs="宋体"/>
                <w:color w:val="auto"/>
                <w:szCs w:val="21"/>
                <w:highlight w:val="none"/>
              </w:rPr>
              <w:t>磋商小组</w:t>
            </w:r>
            <w:r>
              <w:rPr>
                <w:rFonts w:hint="eastAsia" w:ascii="宋体" w:hAnsi="宋体" w:cs="宋体"/>
                <w:color w:val="auto"/>
                <w:szCs w:val="21"/>
                <w:highlight w:val="none"/>
                <w:lang w:val="zh-CN"/>
              </w:rPr>
              <w:t>成员的打分无效，不计入汇总分。</w:t>
            </w:r>
          </w:p>
          <w:p>
            <w:pPr>
              <w:spacing w:line="360" w:lineRule="auto"/>
              <w:ind w:left="315" w:hanging="315" w:hangingChars="150"/>
              <w:rPr>
                <w:rFonts w:ascii="宋体" w:hAnsi="宋体" w:cs="宋体"/>
                <w:color w:val="auto"/>
                <w:szCs w:val="21"/>
                <w:highlight w:val="none"/>
                <w:lang w:val="zh-CN"/>
              </w:rPr>
            </w:pPr>
            <w:r>
              <w:rPr>
                <w:rFonts w:hint="eastAsia" w:ascii="宋体" w:hAnsi="宋体" w:cs="宋体"/>
                <w:color w:val="auto"/>
                <w:szCs w:val="21"/>
                <w:highlight w:val="none"/>
                <w:lang w:val="zh-CN"/>
              </w:rPr>
              <w:t>3）若出现综合得分相同的，按报价由低到高顺序排列名次；得分且报价相同的，按技术指标得分顺序排列名次。</w:t>
            </w:r>
          </w:p>
          <w:p>
            <w:pPr>
              <w:spacing w:line="360" w:lineRule="auto"/>
              <w:ind w:left="315" w:hanging="315" w:hangingChars="150"/>
              <w:rPr>
                <w:rFonts w:ascii="宋体" w:hAnsi="宋体" w:cs="宋体"/>
                <w:color w:val="auto"/>
                <w:szCs w:val="21"/>
                <w:highlight w:val="none"/>
                <w:lang w:val="zh-CN"/>
              </w:rPr>
            </w:pPr>
            <w:r>
              <w:rPr>
                <w:rFonts w:hint="eastAsia" w:ascii="宋体" w:hAnsi="宋体" w:cs="宋体"/>
                <w:color w:val="auto"/>
                <w:szCs w:val="21"/>
                <w:highlight w:val="none"/>
                <w:lang w:val="zh-CN"/>
              </w:rPr>
              <w:t>4）各种计算采用插入法，最终结果数字保留二位小数，第三位“四舍五入”。</w:t>
            </w:r>
          </w:p>
          <w:p>
            <w:pPr>
              <w:spacing w:line="360" w:lineRule="auto"/>
              <w:ind w:left="315" w:hanging="315" w:hangingChars="150"/>
              <w:rPr>
                <w:rFonts w:ascii="宋体" w:hAnsi="宋体" w:cs="宋体"/>
                <w:color w:val="auto"/>
                <w:szCs w:val="21"/>
                <w:highlight w:val="none"/>
                <w:lang w:val="zh-CN"/>
              </w:rPr>
            </w:pPr>
            <w:r>
              <w:rPr>
                <w:rFonts w:hint="eastAsia" w:ascii="宋体" w:hAnsi="宋体" w:cs="宋体"/>
                <w:color w:val="auto"/>
                <w:szCs w:val="21"/>
                <w:highlight w:val="none"/>
                <w:lang w:val="zh-CN"/>
              </w:rPr>
              <w:t>5）</w:t>
            </w:r>
            <w:r>
              <w:rPr>
                <w:rFonts w:hint="eastAsia" w:ascii="宋体" w:hAnsi="宋体" w:cs="宋体"/>
                <w:color w:val="auto"/>
                <w:szCs w:val="21"/>
                <w:highlight w:val="none"/>
              </w:rPr>
              <w:t>磋商小组</w:t>
            </w:r>
            <w:r>
              <w:rPr>
                <w:rFonts w:hint="eastAsia" w:ascii="宋体" w:hAnsi="宋体" w:cs="宋体"/>
                <w:color w:val="auto"/>
                <w:szCs w:val="21"/>
                <w:highlight w:val="none"/>
                <w:lang w:val="zh-CN"/>
              </w:rPr>
              <w:t>认为报价明显不合理或者低于成本，可以要求供应商在规定时间内提供书面文件予以解释，并提交证明材料。</w:t>
            </w:r>
          </w:p>
          <w:p>
            <w:pPr>
              <w:spacing w:line="360" w:lineRule="auto"/>
              <w:ind w:left="315" w:hanging="315" w:hangingChars="150"/>
              <w:rPr>
                <w:rFonts w:ascii="宋体" w:hAnsi="宋体" w:cs="宋体"/>
                <w:color w:val="auto"/>
                <w:szCs w:val="21"/>
                <w:highlight w:val="none"/>
                <w:lang w:val="zh-CN"/>
              </w:rPr>
            </w:pPr>
            <w:r>
              <w:rPr>
                <w:rFonts w:hint="eastAsia" w:ascii="宋体" w:hAnsi="宋体" w:cs="宋体"/>
                <w:color w:val="auto"/>
                <w:szCs w:val="21"/>
                <w:highlight w:val="none"/>
                <w:lang w:val="zh-CN"/>
              </w:rPr>
              <w:t>6）上述赋分标准如有缺漏项的不得分，未附相关证书或证明材料的相应项不得分。</w:t>
            </w:r>
          </w:p>
        </w:tc>
      </w:tr>
    </w:tbl>
    <w:p>
      <w:pPr>
        <w:pStyle w:val="26"/>
        <w:spacing w:after="160"/>
        <w:rPr>
          <w:rStyle w:val="30"/>
          <w:color w:val="auto"/>
          <w:sz w:val="36"/>
          <w:highlight w:val="none"/>
        </w:rPr>
      </w:pPr>
      <w:r>
        <w:rPr>
          <w:rStyle w:val="30"/>
          <w:color w:val="auto"/>
          <w:sz w:val="36"/>
          <w:highlight w:val="none"/>
        </w:rPr>
        <w:br w:type="page"/>
      </w:r>
    </w:p>
    <w:p>
      <w:pPr>
        <w:pStyle w:val="26"/>
        <w:spacing w:after="160"/>
        <w:rPr>
          <w:rStyle w:val="30"/>
          <w:color w:val="auto"/>
          <w:sz w:val="36"/>
          <w:highlight w:val="none"/>
        </w:rPr>
      </w:pPr>
    </w:p>
    <w:p>
      <w:pPr>
        <w:pStyle w:val="4"/>
        <w:textAlignment w:val="auto"/>
        <w:rPr>
          <w:rFonts w:cs="宋体"/>
          <w:bCs/>
          <w:color w:val="auto"/>
          <w:highlight w:val="none"/>
        </w:rPr>
      </w:pPr>
      <w:bookmarkStart w:id="35" w:name="_Toc17147"/>
      <w:r>
        <w:rPr>
          <w:rFonts w:cs="宋体"/>
          <w:bCs/>
          <w:color w:val="auto"/>
          <w:highlight w:val="none"/>
        </w:rPr>
        <w:t>第六章 磋商响应文件格式</w:t>
      </w:r>
      <w:bookmarkEnd w:id="35"/>
    </w:p>
    <w:p>
      <w:pPr>
        <w:jc w:val="center"/>
        <w:rPr>
          <w:rStyle w:val="30"/>
          <w:rFonts w:ascii="宋体" w:hAnsi="宋体"/>
          <w:b/>
          <w:color w:val="auto"/>
          <w:sz w:val="44"/>
          <w:szCs w:val="44"/>
          <w:highlight w:val="none"/>
        </w:rPr>
      </w:pPr>
      <w:r>
        <w:rPr>
          <w:rStyle w:val="30"/>
          <w:rFonts w:ascii="宋体" w:hAnsi="宋体"/>
          <w:b/>
          <w:color w:val="auto"/>
          <w:sz w:val="44"/>
          <w:szCs w:val="44"/>
          <w:highlight w:val="none"/>
        </w:rPr>
        <w:br w:type="page"/>
      </w:r>
    </w:p>
    <w:p>
      <w:pPr>
        <w:widowControl w:val="0"/>
        <w:spacing w:line="360" w:lineRule="auto"/>
        <w:jc w:val="center"/>
        <w:textAlignment w:val="auto"/>
        <w:rPr>
          <w:rFonts w:cs="Times New Roman"/>
          <w:color w:val="auto"/>
          <w:sz w:val="32"/>
          <w:szCs w:val="32"/>
          <w:highlight w:val="none"/>
        </w:rPr>
      </w:pPr>
      <w:bookmarkStart w:id="36" w:name="_Toc17665"/>
    </w:p>
    <w:p>
      <w:pPr>
        <w:widowControl w:val="0"/>
        <w:spacing w:line="360" w:lineRule="auto"/>
        <w:jc w:val="center"/>
        <w:textAlignment w:val="auto"/>
        <w:rPr>
          <w:rFonts w:cs="Times New Roman"/>
          <w:color w:val="auto"/>
          <w:sz w:val="32"/>
          <w:szCs w:val="32"/>
          <w:highlight w:val="none"/>
        </w:rPr>
      </w:pPr>
    </w:p>
    <w:p>
      <w:pPr>
        <w:widowControl w:val="0"/>
        <w:spacing w:line="360" w:lineRule="auto"/>
        <w:jc w:val="center"/>
        <w:textAlignment w:val="auto"/>
        <w:rPr>
          <w:color w:val="auto"/>
          <w:highlight w:val="none"/>
        </w:rPr>
      </w:pPr>
    </w:p>
    <w:p>
      <w:pPr>
        <w:widowControl w:val="0"/>
        <w:spacing w:line="360" w:lineRule="auto"/>
        <w:jc w:val="center"/>
        <w:textAlignment w:val="auto"/>
        <w:rPr>
          <w:rFonts w:cs="Times New Roman"/>
          <w:color w:val="auto"/>
          <w:sz w:val="32"/>
          <w:szCs w:val="32"/>
          <w:highlight w:val="none"/>
        </w:rPr>
      </w:pPr>
    </w:p>
    <w:bookmarkEnd w:id="36"/>
    <w:p>
      <w:pPr>
        <w:spacing w:line="360" w:lineRule="auto"/>
        <w:ind w:left="1"/>
        <w:jc w:val="center"/>
        <w:outlineLvl w:val="0"/>
        <w:rPr>
          <w:rFonts w:ascii="宋体" w:hAnsi="宋体" w:cs="宋体"/>
          <w:b/>
          <w:color w:val="auto"/>
          <w:sz w:val="36"/>
          <w:szCs w:val="36"/>
          <w:highlight w:val="none"/>
        </w:rPr>
      </w:pPr>
      <w:r>
        <w:rPr>
          <w:rFonts w:hint="eastAsia" w:ascii="宋体" w:hAnsi="宋体" w:cs="宋体"/>
          <w:b/>
          <w:color w:val="auto"/>
          <w:sz w:val="44"/>
          <w:szCs w:val="44"/>
          <w:highlight w:val="none"/>
        </w:rPr>
        <w:t>政府采购服务项目</w:t>
      </w:r>
    </w:p>
    <w:p>
      <w:pPr>
        <w:jc w:val="center"/>
        <w:rPr>
          <w:rFonts w:ascii="宋体" w:hAnsi="宋体" w:cs="宋体"/>
          <w:b/>
          <w:color w:val="auto"/>
          <w:sz w:val="44"/>
          <w:szCs w:val="44"/>
          <w:highlight w:val="none"/>
        </w:rPr>
      </w:pPr>
    </w:p>
    <w:p>
      <w:pPr>
        <w:jc w:val="center"/>
        <w:rPr>
          <w:rFonts w:ascii="宋体" w:hAnsi="宋体" w:cs="宋体"/>
          <w:b/>
          <w:color w:val="auto"/>
          <w:sz w:val="36"/>
          <w:szCs w:val="36"/>
          <w:highlight w:val="none"/>
        </w:rPr>
      </w:pPr>
    </w:p>
    <w:p>
      <w:pPr>
        <w:jc w:val="center"/>
        <w:rPr>
          <w:rFonts w:ascii="宋体" w:hAnsi="宋体" w:cs="宋体"/>
          <w:b/>
          <w:color w:val="auto"/>
          <w:sz w:val="84"/>
          <w:szCs w:val="84"/>
          <w:highlight w:val="none"/>
        </w:rPr>
      </w:pPr>
      <w:r>
        <w:rPr>
          <w:rFonts w:hint="eastAsia" w:ascii="宋体" w:hAnsi="宋体" w:cs="宋体"/>
          <w:b/>
          <w:color w:val="auto"/>
          <w:sz w:val="84"/>
          <w:szCs w:val="84"/>
          <w:highlight w:val="none"/>
        </w:rPr>
        <w:t>磋商响应文件</w:t>
      </w:r>
    </w:p>
    <w:p>
      <w:pPr>
        <w:jc w:val="center"/>
        <w:rPr>
          <w:rFonts w:ascii="宋体" w:hAnsi="宋体" w:cs="宋体"/>
          <w:b/>
          <w:color w:val="auto"/>
          <w:sz w:val="36"/>
          <w:szCs w:val="36"/>
          <w:highlight w:val="none"/>
        </w:rPr>
      </w:pPr>
    </w:p>
    <w:p>
      <w:pPr>
        <w:pStyle w:val="5"/>
        <w:jc w:val="center"/>
        <w:rPr>
          <w:rFonts w:ascii="宋体" w:hAnsi="宋体" w:eastAsia="宋体" w:cs="宋体"/>
          <w:bCs w:val="0"/>
          <w:color w:val="auto"/>
          <w:sz w:val="36"/>
          <w:szCs w:val="36"/>
          <w:highlight w:val="none"/>
        </w:rPr>
      </w:pPr>
      <w:r>
        <w:rPr>
          <w:rFonts w:hint="eastAsia" w:ascii="宋体" w:hAnsi="宋体" w:eastAsia="宋体" w:cs="宋体"/>
          <w:bCs w:val="0"/>
          <w:color w:val="auto"/>
          <w:sz w:val="36"/>
          <w:szCs w:val="36"/>
          <w:highlight w:val="none"/>
        </w:rPr>
        <w:t>（资格部分）</w:t>
      </w:r>
    </w:p>
    <w:p>
      <w:pPr>
        <w:rPr>
          <w:rFonts w:ascii="宋体" w:hAnsi="宋体" w:cs="宋体"/>
          <w:b/>
          <w:color w:val="auto"/>
          <w:sz w:val="36"/>
          <w:szCs w:val="36"/>
          <w:highlight w:val="none"/>
        </w:rPr>
      </w:pPr>
    </w:p>
    <w:p>
      <w:pPr>
        <w:jc w:val="center"/>
        <w:rPr>
          <w:rFonts w:ascii="宋体" w:hAnsi="宋体" w:cs="宋体"/>
          <w:color w:val="auto"/>
          <w:sz w:val="72"/>
          <w:szCs w:val="72"/>
          <w:highlight w:val="none"/>
        </w:rPr>
      </w:pPr>
    </w:p>
    <w:p>
      <w:pPr>
        <w:tabs>
          <w:tab w:val="left" w:pos="2628"/>
        </w:tabs>
        <w:spacing w:line="360" w:lineRule="auto"/>
        <w:ind w:left="2498" w:leftChars="401" w:hanging="1656" w:hangingChars="550"/>
        <w:jc w:val="left"/>
        <w:rPr>
          <w:rFonts w:ascii="宋体" w:hAnsi="宋体" w:cs="宋体"/>
          <w:b/>
          <w:color w:val="auto"/>
          <w:sz w:val="30"/>
          <w:szCs w:val="30"/>
          <w:highlight w:val="none"/>
        </w:rPr>
      </w:pPr>
      <w:r>
        <w:rPr>
          <w:rFonts w:hint="eastAsia" w:ascii="宋体" w:hAnsi="宋体" w:cs="宋体"/>
          <w:b/>
          <w:color w:val="auto"/>
          <w:sz w:val="30"/>
          <w:szCs w:val="30"/>
          <w:highlight w:val="none"/>
        </w:rPr>
        <w:t>项目名称：</w:t>
      </w:r>
    </w:p>
    <w:p>
      <w:pPr>
        <w:tabs>
          <w:tab w:val="left" w:pos="2628"/>
        </w:tabs>
        <w:spacing w:line="360" w:lineRule="auto"/>
        <w:ind w:left="843"/>
        <w:jc w:val="left"/>
        <w:rPr>
          <w:rFonts w:ascii="宋体" w:hAnsi="宋体" w:cs="宋体"/>
          <w:b/>
          <w:color w:val="auto"/>
          <w:sz w:val="30"/>
          <w:szCs w:val="30"/>
          <w:highlight w:val="none"/>
        </w:rPr>
      </w:pPr>
      <w:r>
        <w:rPr>
          <w:rFonts w:hint="eastAsia" w:ascii="宋体" w:hAnsi="宋体" w:cs="宋体"/>
          <w:b/>
          <w:color w:val="auto"/>
          <w:sz w:val="30"/>
          <w:szCs w:val="30"/>
          <w:highlight w:val="none"/>
        </w:rPr>
        <w:t>项目编号：</w:t>
      </w:r>
    </w:p>
    <w:p>
      <w:pPr>
        <w:spacing w:line="360" w:lineRule="auto"/>
        <w:ind w:left="1080"/>
        <w:rPr>
          <w:rFonts w:ascii="宋体" w:hAnsi="宋体" w:cs="宋体"/>
          <w:color w:val="auto"/>
          <w:sz w:val="44"/>
          <w:szCs w:val="44"/>
          <w:highlight w:val="none"/>
        </w:rPr>
      </w:pPr>
    </w:p>
    <w:p>
      <w:pPr>
        <w:pStyle w:val="16"/>
        <w:rPr>
          <w:color w:val="auto"/>
          <w:highlight w:val="none"/>
        </w:rPr>
      </w:pPr>
    </w:p>
    <w:p>
      <w:pPr>
        <w:jc w:val="center"/>
        <w:rPr>
          <w:rFonts w:ascii="宋体" w:hAnsi="宋体" w:cs="宋体"/>
          <w:color w:val="auto"/>
          <w:sz w:val="44"/>
          <w:szCs w:val="44"/>
          <w:highlight w:val="none"/>
        </w:rPr>
      </w:pPr>
    </w:p>
    <w:p>
      <w:pPr>
        <w:widowControl w:val="0"/>
        <w:spacing w:before="156" w:beforeLines="50" w:after="156" w:afterLines="50" w:line="360" w:lineRule="auto"/>
        <w:ind w:firstLine="1506" w:firstLineChars="500"/>
        <w:textAlignment w:val="auto"/>
        <w:rPr>
          <w:rFonts w:ascii="宋体" w:hAnsi="宋体" w:cs="宋体"/>
          <w:b/>
          <w:color w:val="auto"/>
          <w:sz w:val="30"/>
          <w:szCs w:val="30"/>
          <w:highlight w:val="none"/>
        </w:rPr>
      </w:pPr>
      <w:r>
        <w:rPr>
          <w:rFonts w:hint="eastAsia" w:ascii="宋体" w:hAnsi="宋体" w:cs="宋体"/>
          <w:b/>
          <w:color w:val="auto"/>
          <w:sz w:val="30"/>
          <w:szCs w:val="30"/>
          <w:highlight w:val="none"/>
        </w:rPr>
        <w:t>供应商：</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rPr>
        <w:t>（公章）</w:t>
      </w:r>
    </w:p>
    <w:p>
      <w:pPr>
        <w:widowControl w:val="0"/>
        <w:spacing w:before="156" w:beforeLines="50" w:after="156" w:afterLines="50" w:line="360" w:lineRule="auto"/>
        <w:ind w:firstLine="1506" w:firstLineChars="500"/>
        <w:textAlignment w:val="auto"/>
        <w:rPr>
          <w:rFonts w:ascii="宋体" w:hAnsi="宋体" w:cs="宋体"/>
          <w:b/>
          <w:color w:val="auto"/>
          <w:sz w:val="30"/>
          <w:szCs w:val="30"/>
          <w:highlight w:val="none"/>
        </w:rPr>
      </w:pPr>
      <w:r>
        <w:rPr>
          <w:rFonts w:hint="eastAsia" w:ascii="宋体" w:hAnsi="宋体" w:cs="宋体"/>
          <w:b/>
          <w:color w:val="auto"/>
          <w:sz w:val="30"/>
          <w:szCs w:val="30"/>
          <w:highlight w:val="none"/>
        </w:rPr>
        <w:t>日  期：</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rPr>
        <w:t>月</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rPr>
        <w:t>日</w:t>
      </w:r>
    </w:p>
    <w:p>
      <w:pPr>
        <w:rPr>
          <w:rStyle w:val="30"/>
          <w:rFonts w:ascii="宋体" w:hAnsi="宋体" w:cs="宋体"/>
          <w:b/>
          <w:bCs/>
          <w:color w:val="auto"/>
          <w:spacing w:val="4"/>
          <w:sz w:val="36"/>
          <w:szCs w:val="36"/>
          <w:highlight w:val="none"/>
        </w:rPr>
      </w:pPr>
    </w:p>
    <w:p>
      <w:pPr>
        <w:widowControl w:val="0"/>
        <w:spacing w:before="156" w:beforeLines="50" w:after="156" w:afterLines="50" w:line="360" w:lineRule="auto"/>
        <w:jc w:val="center"/>
        <w:textAlignment w:val="auto"/>
        <w:rPr>
          <w:rFonts w:cs="Times New Roman"/>
          <w:b/>
          <w:color w:val="auto"/>
          <w:sz w:val="32"/>
          <w:szCs w:val="32"/>
          <w:highlight w:val="none"/>
        </w:rPr>
      </w:pPr>
      <w:bookmarkStart w:id="37" w:name="_Toc16910"/>
      <w:r>
        <w:rPr>
          <w:rFonts w:cs="Times New Roman"/>
          <w:b/>
          <w:color w:val="auto"/>
          <w:sz w:val="32"/>
          <w:szCs w:val="32"/>
          <w:highlight w:val="none"/>
        </w:rPr>
        <w:t>目 录</w:t>
      </w:r>
      <w:bookmarkEnd w:id="37"/>
    </w:p>
    <w:p>
      <w:pPr>
        <w:spacing w:line="500" w:lineRule="exact"/>
        <w:jc w:val="center"/>
        <w:rPr>
          <w:rStyle w:val="30"/>
          <w:rFonts w:ascii="宋体" w:hAnsi="宋体" w:cs="宋体"/>
          <w:b/>
          <w:bCs/>
          <w:color w:val="auto"/>
          <w:spacing w:val="4"/>
          <w:sz w:val="30"/>
          <w:szCs w:val="30"/>
          <w:highlight w:val="none"/>
        </w:rPr>
      </w:pPr>
    </w:p>
    <w:p>
      <w:pPr>
        <w:spacing w:line="480" w:lineRule="auto"/>
        <w:ind w:firstLine="1090" w:firstLineChars="500"/>
        <w:rPr>
          <w:rFonts w:ascii="宋体" w:hAnsi="宋体" w:cs="宋体"/>
          <w:color w:val="auto"/>
          <w:spacing w:val="4"/>
          <w:szCs w:val="21"/>
          <w:highlight w:val="none"/>
        </w:rPr>
      </w:pPr>
      <w:r>
        <w:rPr>
          <w:rFonts w:hint="eastAsia" w:ascii="宋体" w:hAnsi="宋体" w:cs="宋体"/>
          <w:color w:val="auto"/>
          <w:spacing w:val="4"/>
          <w:szCs w:val="21"/>
          <w:highlight w:val="none"/>
        </w:rPr>
        <w:t>（一）法人代表（单位负责人）授权书</w:t>
      </w:r>
    </w:p>
    <w:p>
      <w:pPr>
        <w:spacing w:line="480" w:lineRule="auto"/>
        <w:ind w:firstLine="1090" w:firstLineChars="500"/>
        <w:rPr>
          <w:rFonts w:ascii="宋体" w:hAnsi="宋体" w:cs="宋体"/>
          <w:color w:val="auto"/>
          <w:spacing w:val="4"/>
          <w:szCs w:val="21"/>
          <w:highlight w:val="none"/>
        </w:rPr>
      </w:pPr>
      <w:r>
        <w:rPr>
          <w:rFonts w:hint="eastAsia" w:ascii="宋体" w:hAnsi="宋体" w:cs="宋体"/>
          <w:color w:val="auto"/>
          <w:spacing w:val="4"/>
          <w:szCs w:val="21"/>
          <w:highlight w:val="none"/>
        </w:rPr>
        <w:t>（二）陕西省政府采购供应商拒绝政府采购领域商业贿赂承诺书</w:t>
      </w:r>
    </w:p>
    <w:p>
      <w:pPr>
        <w:spacing w:line="480" w:lineRule="auto"/>
        <w:ind w:firstLine="1090" w:firstLineChars="500"/>
        <w:rPr>
          <w:rFonts w:ascii="宋体" w:hAnsi="宋体" w:cs="宋体"/>
          <w:color w:val="auto"/>
          <w:spacing w:val="4"/>
          <w:szCs w:val="21"/>
          <w:highlight w:val="none"/>
        </w:rPr>
      </w:pPr>
      <w:r>
        <w:rPr>
          <w:rFonts w:hint="eastAsia" w:ascii="宋体" w:hAnsi="宋体" w:cs="宋体"/>
          <w:color w:val="auto"/>
          <w:spacing w:val="4"/>
          <w:szCs w:val="21"/>
          <w:highlight w:val="none"/>
        </w:rPr>
        <w:t xml:space="preserve">（三）证明文件 </w:t>
      </w:r>
    </w:p>
    <w:p>
      <w:pPr>
        <w:rPr>
          <w:color w:val="auto"/>
          <w:highlight w:val="none"/>
        </w:rPr>
      </w:pPr>
    </w:p>
    <w:p>
      <w:pPr>
        <w:spacing w:line="480" w:lineRule="auto"/>
        <w:ind w:firstLine="1240" w:firstLineChars="500"/>
        <w:rPr>
          <w:rStyle w:val="30"/>
          <w:rFonts w:ascii="宋体" w:hAnsi="宋体"/>
          <w:color w:val="auto"/>
          <w:spacing w:val="4"/>
          <w:highlight w:val="none"/>
        </w:rPr>
      </w:pPr>
    </w:p>
    <w:p>
      <w:pPr>
        <w:spacing w:line="440" w:lineRule="exact"/>
        <w:jc w:val="center"/>
        <w:rPr>
          <w:rStyle w:val="30"/>
          <w:rFonts w:ascii="宋体" w:hAnsi="宋体"/>
          <w:color w:val="auto"/>
          <w:sz w:val="28"/>
          <w:highlight w:val="none"/>
        </w:rPr>
      </w:pPr>
      <w:r>
        <w:rPr>
          <w:rStyle w:val="30"/>
          <w:rFonts w:ascii="宋体" w:hAnsi="宋体"/>
          <w:color w:val="auto"/>
          <w:sz w:val="28"/>
          <w:highlight w:val="none"/>
        </w:rPr>
        <w:br w:type="page"/>
      </w:r>
    </w:p>
    <w:p>
      <w:pPr>
        <w:widowControl w:val="0"/>
        <w:spacing w:before="312" w:beforeLines="100" w:after="312" w:afterLines="100" w:line="360" w:lineRule="auto"/>
        <w:jc w:val="center"/>
        <w:textAlignment w:val="auto"/>
        <w:outlineLvl w:val="1"/>
        <w:rPr>
          <w:rFonts w:ascii="宋体" w:hAnsi="宋体" w:cs="宋体"/>
          <w:b/>
          <w:color w:val="auto"/>
          <w:spacing w:val="4"/>
          <w:sz w:val="36"/>
          <w:szCs w:val="36"/>
          <w:highlight w:val="none"/>
        </w:rPr>
      </w:pPr>
      <w:bookmarkStart w:id="38" w:name="_Toc25713"/>
      <w:bookmarkStart w:id="39" w:name="_Toc12301"/>
      <w:bookmarkStart w:id="40" w:name="_Toc42518134"/>
      <w:bookmarkStart w:id="41" w:name="_Toc42794595"/>
      <w:bookmarkStart w:id="42" w:name="_Toc7754"/>
      <w:r>
        <w:rPr>
          <w:rFonts w:hint="eastAsia" w:ascii="宋体" w:hAnsi="宋体" w:cs="宋体"/>
          <w:b/>
          <w:color w:val="auto"/>
          <w:spacing w:val="4"/>
          <w:sz w:val="32"/>
          <w:szCs w:val="32"/>
          <w:highlight w:val="none"/>
        </w:rPr>
        <w:t>一、法人代表（单位负责人）授权书</w:t>
      </w:r>
      <w:bookmarkEnd w:id="38"/>
      <w:bookmarkEnd w:id="39"/>
      <w:bookmarkEnd w:id="40"/>
      <w:bookmarkEnd w:id="41"/>
      <w:bookmarkEnd w:id="42"/>
    </w:p>
    <w:p>
      <w:pPr>
        <w:spacing w:line="440" w:lineRule="exact"/>
        <w:ind w:left="-359" w:leftChars="-171" w:firstLine="498" w:firstLineChars="200"/>
        <w:jc w:val="center"/>
        <w:rPr>
          <w:rStyle w:val="30"/>
          <w:rFonts w:ascii="宋体" w:hAnsi="宋体" w:cs="宋体"/>
          <w:b/>
          <w:bCs/>
          <w:color w:val="auto"/>
          <w:spacing w:val="4"/>
          <w:szCs w:val="32"/>
          <w:highlight w:val="none"/>
        </w:rPr>
      </w:pPr>
    </w:p>
    <w:p>
      <w:pPr>
        <w:spacing w:line="360" w:lineRule="auto"/>
        <w:jc w:val="left"/>
        <w:rPr>
          <w:rFonts w:ascii="宋体" w:hAnsi="宋体" w:cs="宋体"/>
          <w:color w:val="auto"/>
          <w:spacing w:val="4"/>
          <w:szCs w:val="21"/>
          <w:highlight w:val="none"/>
        </w:rPr>
      </w:pPr>
      <w:r>
        <w:rPr>
          <w:rFonts w:hint="eastAsia" w:ascii="宋体" w:hAnsi="宋体" w:cs="宋体"/>
          <w:color w:val="auto"/>
          <w:spacing w:val="4"/>
          <w:szCs w:val="21"/>
          <w:highlight w:val="none"/>
        </w:rPr>
        <w:t>致：西北（陕西）国际招标有限公司</w:t>
      </w:r>
      <w:r>
        <w:rPr>
          <w:rFonts w:hint="eastAsia" w:ascii="宋体" w:hAnsi="宋体" w:cs="宋体"/>
          <w:color w:val="auto"/>
          <w:spacing w:val="4"/>
          <w:szCs w:val="21"/>
          <w:highlight w:val="none"/>
        </w:rPr>
        <w:br w:type="textWrapping"/>
      </w:r>
    </w:p>
    <w:p>
      <w:pPr>
        <w:widowControl w:val="0"/>
        <w:spacing w:line="360" w:lineRule="auto"/>
        <w:ind w:firstLine="436" w:firstLineChars="200"/>
        <w:jc w:val="left"/>
        <w:textAlignment w:val="auto"/>
        <w:rPr>
          <w:rFonts w:ascii="宋体" w:hAnsi="宋体" w:cs="宋体"/>
          <w:color w:val="auto"/>
          <w:spacing w:val="4"/>
          <w:szCs w:val="21"/>
          <w:highlight w:val="none"/>
        </w:rPr>
      </w:pPr>
      <w:r>
        <w:rPr>
          <w:rFonts w:hint="eastAsia" w:ascii="宋体" w:hAnsi="宋体" w:cs="宋体"/>
          <w:color w:val="auto"/>
          <w:spacing w:val="4"/>
          <w:szCs w:val="21"/>
          <w:highlight w:val="none"/>
          <w:u w:val="single"/>
        </w:rPr>
        <w:t xml:space="preserve">(供应商名称) </w:t>
      </w:r>
      <w:r>
        <w:rPr>
          <w:rFonts w:hint="eastAsia" w:ascii="宋体" w:hAnsi="宋体" w:cs="宋体"/>
          <w:color w:val="auto"/>
          <w:spacing w:val="4"/>
          <w:szCs w:val="21"/>
          <w:highlight w:val="none"/>
        </w:rPr>
        <w:t>按中华人民共和国法律于</w:t>
      </w:r>
      <w:r>
        <w:rPr>
          <w:rFonts w:hint="eastAsia" w:ascii="宋体" w:hAnsi="宋体" w:cs="宋体"/>
          <w:color w:val="auto"/>
          <w:spacing w:val="4"/>
          <w:szCs w:val="21"/>
          <w:highlight w:val="none"/>
          <w:u w:val="single"/>
        </w:rPr>
        <w:t>（     年   月   日）</w:t>
      </w:r>
      <w:r>
        <w:rPr>
          <w:rFonts w:hint="eastAsia" w:ascii="宋体" w:hAnsi="宋体" w:cs="宋体"/>
          <w:color w:val="auto"/>
          <w:spacing w:val="4"/>
          <w:szCs w:val="21"/>
          <w:highlight w:val="none"/>
        </w:rPr>
        <w:t xml:space="preserve">成立。      </w:t>
      </w:r>
      <w:r>
        <w:rPr>
          <w:rFonts w:hint="eastAsia" w:ascii="宋体" w:hAnsi="宋体" w:cs="宋体"/>
          <w:color w:val="auto"/>
          <w:spacing w:val="4"/>
          <w:szCs w:val="21"/>
          <w:highlight w:val="none"/>
          <w:u w:val="single"/>
        </w:rPr>
        <w:t xml:space="preserve">     (法定代表人姓名)</w:t>
      </w:r>
      <w:r>
        <w:rPr>
          <w:rFonts w:hint="eastAsia" w:ascii="宋体" w:hAnsi="宋体" w:cs="宋体"/>
          <w:color w:val="auto"/>
          <w:spacing w:val="4"/>
          <w:szCs w:val="21"/>
          <w:highlight w:val="none"/>
        </w:rPr>
        <w:t>特授权</w:t>
      </w:r>
      <w:r>
        <w:rPr>
          <w:rFonts w:hint="eastAsia" w:ascii="宋体" w:hAnsi="宋体" w:cs="宋体"/>
          <w:color w:val="auto"/>
          <w:spacing w:val="4"/>
          <w:szCs w:val="21"/>
          <w:highlight w:val="none"/>
          <w:u w:val="single"/>
        </w:rPr>
        <w:t>（被授权人姓名）</w:t>
      </w:r>
      <w:r>
        <w:rPr>
          <w:rFonts w:hint="eastAsia" w:ascii="宋体" w:hAnsi="宋体" w:cs="宋体"/>
          <w:color w:val="auto"/>
          <w:spacing w:val="4"/>
          <w:szCs w:val="21"/>
          <w:highlight w:val="none"/>
        </w:rPr>
        <w:t xml:space="preserve">代表我公司全权办理针对本次政府采购 </w:t>
      </w:r>
      <w:r>
        <w:rPr>
          <w:rFonts w:hint="eastAsia" w:ascii="宋体" w:hAnsi="宋体" w:cs="宋体"/>
          <w:color w:val="auto"/>
          <w:spacing w:val="4"/>
          <w:szCs w:val="21"/>
          <w:highlight w:val="none"/>
          <w:u w:val="single"/>
        </w:rPr>
        <w:t>（磋商项目名称和项目编号）</w:t>
      </w:r>
      <w:r>
        <w:rPr>
          <w:rFonts w:hint="eastAsia" w:ascii="宋体" w:hAnsi="宋体" w:cs="宋体"/>
          <w:color w:val="auto"/>
          <w:spacing w:val="4"/>
          <w:szCs w:val="21"/>
          <w:highlight w:val="none"/>
        </w:rPr>
        <w:t>项目的磋商、签约等具体工作，并签署全部有关的文件、协议及合同。</w:t>
      </w:r>
    </w:p>
    <w:p>
      <w:pPr>
        <w:widowControl w:val="0"/>
        <w:spacing w:line="360" w:lineRule="auto"/>
        <w:ind w:firstLine="436" w:firstLineChars="200"/>
        <w:jc w:val="left"/>
        <w:textAlignment w:val="auto"/>
        <w:rPr>
          <w:rFonts w:ascii="宋体" w:hAnsi="宋体" w:cs="宋体"/>
          <w:color w:val="auto"/>
          <w:spacing w:val="4"/>
          <w:szCs w:val="21"/>
          <w:highlight w:val="none"/>
        </w:rPr>
      </w:pPr>
      <w:r>
        <w:rPr>
          <w:rFonts w:hint="eastAsia" w:ascii="宋体" w:hAnsi="宋体" w:cs="宋体"/>
          <w:color w:val="auto"/>
          <w:spacing w:val="4"/>
          <w:szCs w:val="21"/>
          <w:highlight w:val="none"/>
        </w:rPr>
        <w:t>我公司对被授权人的签名负全部责任。</w:t>
      </w:r>
    </w:p>
    <w:p>
      <w:pPr>
        <w:widowControl w:val="0"/>
        <w:spacing w:line="360" w:lineRule="auto"/>
        <w:ind w:firstLine="436" w:firstLineChars="200"/>
        <w:jc w:val="left"/>
        <w:textAlignment w:val="auto"/>
        <w:rPr>
          <w:rFonts w:ascii="宋体" w:hAnsi="宋体" w:cs="宋体"/>
          <w:color w:val="auto"/>
          <w:spacing w:val="4"/>
          <w:szCs w:val="21"/>
          <w:highlight w:val="none"/>
        </w:rPr>
      </w:pPr>
      <w:r>
        <w:rPr>
          <w:rFonts w:hint="eastAsia" w:ascii="宋体" w:hAnsi="宋体" w:cs="宋体"/>
          <w:color w:val="auto"/>
          <w:spacing w:val="4"/>
          <w:szCs w:val="21"/>
          <w:highlight w:val="none"/>
        </w:rPr>
        <w:t>本授权书在磋商报价有效期内对我方具有约束力。</w:t>
      </w:r>
    </w:p>
    <w:p>
      <w:pPr>
        <w:spacing w:line="440" w:lineRule="exact"/>
        <w:ind w:firstLine="436" w:firstLineChars="200"/>
        <w:jc w:val="left"/>
        <w:rPr>
          <w:rFonts w:ascii="宋体" w:hAnsi="宋体" w:cs="宋体"/>
          <w:color w:val="auto"/>
          <w:spacing w:val="4"/>
          <w:szCs w:val="21"/>
          <w:highlight w:val="none"/>
        </w:rPr>
      </w:pPr>
    </w:p>
    <w:tbl>
      <w:tblPr>
        <w:tblStyle w:val="19"/>
        <w:tblW w:w="0" w:type="auto"/>
        <w:jc w:val="center"/>
        <w:tblLayout w:type="fixed"/>
        <w:tblCellMar>
          <w:top w:w="0" w:type="dxa"/>
          <w:left w:w="108" w:type="dxa"/>
          <w:bottom w:w="0" w:type="dxa"/>
          <w:right w:w="108" w:type="dxa"/>
        </w:tblCellMar>
      </w:tblPr>
      <w:tblGrid>
        <w:gridCol w:w="4045"/>
        <w:gridCol w:w="3844"/>
      </w:tblGrid>
      <w:tr>
        <w:tblPrEx>
          <w:tblCellMar>
            <w:top w:w="0" w:type="dxa"/>
            <w:left w:w="108" w:type="dxa"/>
            <w:bottom w:w="0" w:type="dxa"/>
            <w:right w:w="108" w:type="dxa"/>
          </w:tblCellMar>
        </w:tblPrEx>
        <w:trPr>
          <w:trHeight w:val="600" w:hRule="atLeast"/>
          <w:jc w:val="center"/>
        </w:trPr>
        <w:tc>
          <w:tcPr>
            <w:tcW w:w="4045" w:type="dxa"/>
          </w:tcPr>
          <w:p>
            <w:pPr>
              <w:spacing w:line="440" w:lineRule="exact"/>
              <w:jc w:val="left"/>
              <w:rPr>
                <w:rFonts w:ascii="宋体" w:hAnsi="宋体" w:cs="宋体"/>
                <w:color w:val="auto"/>
                <w:spacing w:val="4"/>
                <w:szCs w:val="21"/>
                <w:highlight w:val="none"/>
              </w:rPr>
            </w:pPr>
            <w:r>
              <w:rPr>
                <w:rFonts w:hint="eastAsia" w:ascii="宋体" w:hAnsi="宋体" w:cs="宋体"/>
                <w:color w:val="auto"/>
                <w:spacing w:val="4"/>
                <w:szCs w:val="21"/>
                <w:highlight w:val="none"/>
              </w:rPr>
              <w:t>被授权人（签字或盖章）：</w:t>
            </w:r>
          </w:p>
        </w:tc>
        <w:tc>
          <w:tcPr>
            <w:tcW w:w="3844" w:type="dxa"/>
          </w:tcPr>
          <w:p>
            <w:pPr>
              <w:spacing w:line="440" w:lineRule="exact"/>
              <w:jc w:val="left"/>
              <w:rPr>
                <w:rFonts w:ascii="宋体" w:hAnsi="宋体" w:cs="宋体"/>
                <w:color w:val="auto"/>
                <w:spacing w:val="4"/>
                <w:szCs w:val="21"/>
                <w:highlight w:val="none"/>
              </w:rPr>
            </w:pPr>
            <w:r>
              <w:rPr>
                <w:rFonts w:hint="eastAsia" w:ascii="宋体" w:hAnsi="宋体" w:cs="宋体"/>
                <w:color w:val="auto"/>
                <w:spacing w:val="4"/>
                <w:szCs w:val="21"/>
                <w:highlight w:val="none"/>
              </w:rPr>
              <w:t>法定代表人（签字或盖章）：</w:t>
            </w:r>
          </w:p>
        </w:tc>
      </w:tr>
      <w:tr>
        <w:tblPrEx>
          <w:tblCellMar>
            <w:top w:w="0" w:type="dxa"/>
            <w:left w:w="108" w:type="dxa"/>
            <w:bottom w:w="0" w:type="dxa"/>
            <w:right w:w="108" w:type="dxa"/>
          </w:tblCellMar>
        </w:tblPrEx>
        <w:trPr>
          <w:trHeight w:val="600" w:hRule="atLeast"/>
          <w:jc w:val="center"/>
        </w:trPr>
        <w:tc>
          <w:tcPr>
            <w:tcW w:w="4045" w:type="dxa"/>
          </w:tcPr>
          <w:p>
            <w:pPr>
              <w:spacing w:line="440" w:lineRule="exact"/>
              <w:jc w:val="left"/>
              <w:rPr>
                <w:rFonts w:ascii="宋体" w:hAnsi="宋体" w:cs="宋体"/>
                <w:color w:val="auto"/>
                <w:spacing w:val="4"/>
                <w:szCs w:val="21"/>
                <w:highlight w:val="none"/>
              </w:rPr>
            </w:pPr>
            <w:r>
              <w:rPr>
                <w:rFonts w:hint="eastAsia" w:ascii="宋体" w:hAnsi="宋体" w:cs="宋体"/>
                <w:color w:val="auto"/>
                <w:spacing w:val="4"/>
                <w:szCs w:val="21"/>
                <w:highlight w:val="none"/>
              </w:rPr>
              <w:t>职务：</w:t>
            </w:r>
          </w:p>
        </w:tc>
        <w:tc>
          <w:tcPr>
            <w:tcW w:w="3844" w:type="dxa"/>
          </w:tcPr>
          <w:p>
            <w:pPr>
              <w:spacing w:line="440" w:lineRule="exact"/>
              <w:jc w:val="left"/>
              <w:rPr>
                <w:rFonts w:ascii="宋体" w:hAnsi="宋体" w:cs="宋体"/>
                <w:color w:val="auto"/>
                <w:spacing w:val="4"/>
                <w:szCs w:val="21"/>
                <w:highlight w:val="none"/>
              </w:rPr>
            </w:pPr>
            <w:r>
              <w:rPr>
                <w:rFonts w:hint="eastAsia" w:ascii="宋体" w:hAnsi="宋体" w:cs="宋体"/>
                <w:color w:val="auto"/>
                <w:spacing w:val="4"/>
                <w:szCs w:val="21"/>
                <w:highlight w:val="none"/>
              </w:rPr>
              <w:t>职务：</w:t>
            </w:r>
          </w:p>
        </w:tc>
      </w:tr>
      <w:tr>
        <w:tblPrEx>
          <w:tblCellMar>
            <w:top w:w="0" w:type="dxa"/>
            <w:left w:w="108" w:type="dxa"/>
            <w:bottom w:w="0" w:type="dxa"/>
            <w:right w:w="108" w:type="dxa"/>
          </w:tblCellMar>
        </w:tblPrEx>
        <w:trPr>
          <w:trHeight w:val="600" w:hRule="atLeast"/>
          <w:jc w:val="center"/>
        </w:trPr>
        <w:tc>
          <w:tcPr>
            <w:tcW w:w="4045" w:type="dxa"/>
          </w:tcPr>
          <w:p>
            <w:pPr>
              <w:spacing w:line="440" w:lineRule="exact"/>
              <w:jc w:val="left"/>
              <w:rPr>
                <w:rFonts w:ascii="宋体" w:hAnsi="宋体" w:cs="宋体"/>
                <w:color w:val="auto"/>
                <w:spacing w:val="4"/>
                <w:szCs w:val="21"/>
                <w:highlight w:val="none"/>
              </w:rPr>
            </w:pPr>
            <w:r>
              <w:rPr>
                <w:rFonts w:hint="eastAsia" w:ascii="宋体" w:hAnsi="宋体" w:cs="宋体"/>
                <w:color w:val="auto"/>
                <w:spacing w:val="4"/>
                <w:szCs w:val="21"/>
                <w:highlight w:val="none"/>
              </w:rPr>
              <w:t>所在部门：</w:t>
            </w:r>
          </w:p>
        </w:tc>
        <w:tc>
          <w:tcPr>
            <w:tcW w:w="3844" w:type="dxa"/>
          </w:tcPr>
          <w:p>
            <w:pPr>
              <w:spacing w:line="440" w:lineRule="exact"/>
              <w:jc w:val="left"/>
              <w:rPr>
                <w:rFonts w:ascii="宋体" w:hAnsi="宋体" w:cs="宋体"/>
                <w:color w:val="auto"/>
                <w:spacing w:val="4"/>
                <w:szCs w:val="21"/>
                <w:highlight w:val="none"/>
              </w:rPr>
            </w:pPr>
          </w:p>
        </w:tc>
      </w:tr>
    </w:tbl>
    <w:p>
      <w:pPr>
        <w:spacing w:line="440" w:lineRule="exact"/>
        <w:ind w:firstLine="436" w:firstLineChars="200"/>
        <w:jc w:val="left"/>
        <w:rPr>
          <w:rFonts w:ascii="宋体" w:hAnsi="宋体" w:cs="宋体"/>
          <w:color w:val="auto"/>
          <w:spacing w:val="4"/>
          <w:szCs w:val="21"/>
          <w:highlight w:val="none"/>
        </w:rPr>
      </w:pPr>
    </w:p>
    <w:p>
      <w:pPr>
        <w:spacing w:line="360" w:lineRule="auto"/>
        <w:ind w:firstLine="436" w:firstLineChars="200"/>
        <w:rPr>
          <w:rFonts w:ascii="宋体" w:hAnsi="宋体"/>
          <w:color w:val="auto"/>
          <w:spacing w:val="4"/>
          <w:szCs w:val="21"/>
          <w:highlight w:val="none"/>
        </w:rPr>
      </w:pPr>
      <w:r>
        <w:rPr>
          <w:rFonts w:hint="eastAsia" w:ascii="宋体" w:hAnsi="宋体"/>
          <w:color w:val="auto"/>
          <w:spacing w:val="4"/>
          <w:szCs w:val="21"/>
          <w:highlight w:val="none"/>
        </w:rPr>
        <w:t>附件：法定代表人、被授权人身份证复印件（必须印正反两面的完整信息）</w:t>
      </w:r>
    </w:p>
    <w:p>
      <w:pPr>
        <w:spacing w:line="440" w:lineRule="exact"/>
        <w:ind w:firstLine="510"/>
        <w:rPr>
          <w:rFonts w:ascii="宋体" w:hAnsi="宋体" w:cs="宋体"/>
          <w:color w:val="auto"/>
          <w:spacing w:val="4"/>
          <w:szCs w:val="21"/>
          <w:highlight w:val="none"/>
        </w:rPr>
      </w:pPr>
    </w:p>
    <w:p>
      <w:pPr>
        <w:spacing w:line="440" w:lineRule="exact"/>
        <w:ind w:firstLine="510"/>
        <w:rPr>
          <w:rFonts w:ascii="宋体" w:hAnsi="宋体" w:cs="宋体"/>
          <w:color w:val="auto"/>
          <w:spacing w:val="4"/>
          <w:szCs w:val="21"/>
          <w:highlight w:val="none"/>
        </w:rPr>
      </w:pPr>
    </w:p>
    <w:p>
      <w:pPr>
        <w:spacing w:line="440" w:lineRule="exact"/>
        <w:ind w:firstLine="510"/>
        <w:rPr>
          <w:rFonts w:ascii="宋体" w:hAnsi="宋体" w:cs="宋体"/>
          <w:color w:val="auto"/>
          <w:spacing w:val="4"/>
          <w:szCs w:val="21"/>
          <w:highlight w:val="none"/>
        </w:rPr>
      </w:pPr>
    </w:p>
    <w:p>
      <w:pPr>
        <w:spacing w:line="440" w:lineRule="exact"/>
        <w:ind w:firstLine="510"/>
        <w:rPr>
          <w:rFonts w:ascii="宋体" w:hAnsi="宋体" w:cs="宋体"/>
          <w:color w:val="auto"/>
          <w:spacing w:val="4"/>
          <w:szCs w:val="21"/>
          <w:highlight w:val="none"/>
        </w:rPr>
      </w:pPr>
    </w:p>
    <w:p>
      <w:pPr>
        <w:spacing w:line="440" w:lineRule="exact"/>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供应商名称：</w:t>
      </w:r>
    </w:p>
    <w:p>
      <w:pPr>
        <w:pStyle w:val="16"/>
        <w:rPr>
          <w:color w:val="auto"/>
          <w:highlight w:val="none"/>
        </w:rPr>
      </w:pPr>
    </w:p>
    <w:p>
      <w:pPr>
        <w:spacing w:line="440" w:lineRule="exact"/>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公章：</w:t>
      </w:r>
    </w:p>
    <w:p>
      <w:pPr>
        <w:spacing w:line="360" w:lineRule="auto"/>
        <w:ind w:firstLine="436" w:firstLineChars="200"/>
        <w:jc w:val="left"/>
        <w:rPr>
          <w:rStyle w:val="30"/>
          <w:rFonts w:ascii="宋体" w:hAnsi="宋体"/>
          <w:color w:val="auto"/>
          <w:spacing w:val="4"/>
          <w:sz w:val="21"/>
          <w:szCs w:val="21"/>
          <w:highlight w:val="none"/>
        </w:rPr>
      </w:pPr>
    </w:p>
    <w:p>
      <w:pPr>
        <w:spacing w:line="360" w:lineRule="auto"/>
        <w:ind w:firstLine="436" w:firstLineChars="200"/>
        <w:jc w:val="left"/>
        <w:rPr>
          <w:rStyle w:val="30"/>
          <w:rFonts w:ascii="宋体" w:hAnsi="宋体"/>
          <w:color w:val="auto"/>
          <w:spacing w:val="4"/>
          <w:sz w:val="21"/>
          <w:szCs w:val="21"/>
          <w:highlight w:val="none"/>
        </w:rPr>
      </w:pPr>
    </w:p>
    <w:p>
      <w:pPr>
        <w:spacing w:line="440" w:lineRule="exact"/>
        <w:ind w:firstLine="5250"/>
        <w:rPr>
          <w:rStyle w:val="30"/>
          <w:rFonts w:ascii="宋体" w:hAnsi="宋体"/>
          <w:color w:val="auto"/>
          <w:spacing w:val="4"/>
          <w:sz w:val="21"/>
          <w:szCs w:val="21"/>
          <w:highlight w:val="none"/>
        </w:rPr>
      </w:pPr>
    </w:p>
    <w:p>
      <w:pPr>
        <w:spacing w:line="440" w:lineRule="exact"/>
        <w:rPr>
          <w:rStyle w:val="30"/>
          <w:rFonts w:ascii="宋体" w:hAnsi="宋体"/>
          <w:color w:val="auto"/>
          <w:spacing w:val="4"/>
          <w:sz w:val="21"/>
          <w:szCs w:val="21"/>
          <w:highlight w:val="none"/>
          <w:u w:val="single"/>
        </w:rPr>
      </w:pPr>
    </w:p>
    <w:p>
      <w:pPr>
        <w:jc w:val="center"/>
        <w:rPr>
          <w:rStyle w:val="30"/>
          <w:rFonts w:ascii="宋体" w:hAnsi="宋体"/>
          <w:b/>
          <w:color w:val="auto"/>
          <w:sz w:val="21"/>
          <w:szCs w:val="21"/>
          <w:highlight w:val="none"/>
        </w:rPr>
      </w:pPr>
      <w:r>
        <w:rPr>
          <w:rStyle w:val="30"/>
          <w:rFonts w:ascii="宋体" w:hAnsi="宋体"/>
          <w:b/>
          <w:color w:val="auto"/>
          <w:sz w:val="21"/>
          <w:szCs w:val="21"/>
          <w:highlight w:val="none"/>
        </w:rPr>
        <w:br w:type="page"/>
      </w:r>
    </w:p>
    <w:p>
      <w:pPr>
        <w:jc w:val="center"/>
        <w:outlineLvl w:val="1"/>
        <w:rPr>
          <w:rFonts w:ascii="宋体" w:hAnsi="宋体" w:cs="宋体"/>
          <w:b/>
          <w:color w:val="auto"/>
          <w:sz w:val="32"/>
          <w:szCs w:val="32"/>
          <w:highlight w:val="none"/>
        </w:rPr>
      </w:pPr>
      <w:bookmarkStart w:id="43" w:name="_Toc42794596"/>
      <w:bookmarkStart w:id="44" w:name="_Toc17680"/>
      <w:bookmarkStart w:id="45" w:name="_Toc11290"/>
      <w:bookmarkStart w:id="46" w:name="_Toc42518135"/>
      <w:bookmarkStart w:id="47" w:name="_Toc28980"/>
      <w:r>
        <w:rPr>
          <w:rFonts w:hint="eastAsia" w:ascii="宋体" w:hAnsi="宋体" w:cs="宋体"/>
          <w:b/>
          <w:color w:val="auto"/>
          <w:sz w:val="32"/>
          <w:szCs w:val="32"/>
          <w:highlight w:val="none"/>
        </w:rPr>
        <w:t>二、陕西省政府采购供应商</w:t>
      </w:r>
      <w:bookmarkEnd w:id="43"/>
      <w:bookmarkEnd w:id="44"/>
      <w:bookmarkEnd w:id="45"/>
      <w:bookmarkEnd w:id="46"/>
      <w:bookmarkEnd w:id="47"/>
    </w:p>
    <w:p>
      <w:pPr>
        <w:jc w:val="center"/>
        <w:outlineLvl w:val="1"/>
        <w:rPr>
          <w:rFonts w:ascii="宋体" w:hAnsi="宋体" w:cs="宋体"/>
          <w:color w:val="auto"/>
          <w:sz w:val="32"/>
          <w:szCs w:val="32"/>
          <w:highlight w:val="none"/>
        </w:rPr>
      </w:pPr>
      <w:bookmarkStart w:id="48" w:name="_Toc13991"/>
      <w:bookmarkStart w:id="49" w:name="_Toc2558"/>
      <w:r>
        <w:rPr>
          <w:rFonts w:hint="eastAsia" w:ascii="宋体" w:hAnsi="宋体" w:cs="宋体"/>
          <w:b/>
          <w:color w:val="auto"/>
          <w:sz w:val="32"/>
          <w:szCs w:val="32"/>
          <w:highlight w:val="none"/>
        </w:rPr>
        <w:t>拒绝政府采购领域商业贿赂承诺书</w:t>
      </w:r>
      <w:bookmarkEnd w:id="48"/>
      <w:bookmarkEnd w:id="49"/>
    </w:p>
    <w:p>
      <w:pPr>
        <w:spacing w:line="408" w:lineRule="auto"/>
        <w:ind w:left="239" w:leftChars="114" w:firstLine="470" w:firstLineChars="196"/>
        <w:jc w:val="left"/>
        <w:rPr>
          <w:rFonts w:ascii="宋体" w:hAnsi="宋体" w:cs="宋体"/>
          <w:color w:val="auto"/>
          <w:kern w:val="0"/>
          <w:sz w:val="24"/>
          <w:highlight w:val="none"/>
        </w:rPr>
      </w:pPr>
    </w:p>
    <w:p>
      <w:pPr>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为响应党中央、国务院关于治理政府采购领域商业贿赂行为的号召，我公司在此庄严承诺：</w:t>
      </w:r>
    </w:p>
    <w:p>
      <w:pPr>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1.在参与政府采购活动中遵纪守法、诚信经营、公平竞标。</w:t>
      </w:r>
    </w:p>
    <w:p>
      <w:pPr>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2.不向政府采购人、采购代理机构和政府采购评审专家进行任何形式的商业贿赂以谋取交易机会。</w:t>
      </w:r>
    </w:p>
    <w:p>
      <w:pPr>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3.不向政府采购代理机构和采购人提供虚假资质文件或采用虚假响应方式参与政府采购市场竞争并谋取成交、成交。</w:t>
      </w:r>
    </w:p>
    <w:p>
      <w:pPr>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4.不采取“围标、陪标”等商业欺诈手段获得政府采购定单。</w:t>
      </w:r>
    </w:p>
    <w:p>
      <w:pPr>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5.不采取不正当手段诋毁、排挤其他供应商。</w:t>
      </w:r>
    </w:p>
    <w:p>
      <w:pPr>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6.不在提供商品和服务时“偷梁换柱、以次充好”损害采购人的合法权益。</w:t>
      </w:r>
    </w:p>
    <w:p>
      <w:pPr>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7.不与采购人、采购代理机构政府采购评审专家或其它供应商恶意串通，进行质疑和投诉，维护政府采购市场秩序。</w:t>
      </w:r>
    </w:p>
    <w:p>
      <w:pPr>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8.尊重和接受政府采购监督管理部门的监督和政府采购代理机构磋商采购要求，承担因违约行为给采购人造成的损失。</w:t>
      </w:r>
    </w:p>
    <w:p>
      <w:pPr>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9.不发生其他有悖于政府采购公开、公平、公正和诚信原则的行为。</w:t>
      </w:r>
      <w:r>
        <w:rPr>
          <w:rFonts w:hint="eastAsia" w:ascii="宋体" w:hAnsi="宋体" w:cs="宋体"/>
          <w:color w:val="auto"/>
          <w:kern w:val="0"/>
          <w:szCs w:val="21"/>
          <w:highlight w:val="none"/>
        </w:rPr>
        <w:br w:type="textWrapping"/>
      </w:r>
    </w:p>
    <w:p>
      <w:pPr>
        <w:widowControl w:val="0"/>
        <w:spacing w:before="156" w:beforeLines="50" w:after="156" w:afterLines="50"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供应商名称：</w:t>
      </w:r>
    </w:p>
    <w:p>
      <w:pPr>
        <w:widowControl w:val="0"/>
        <w:spacing w:before="156" w:beforeLines="50" w:after="156" w:afterLines="50"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公章：</w:t>
      </w:r>
    </w:p>
    <w:p>
      <w:pPr>
        <w:widowControl w:val="0"/>
        <w:spacing w:before="156" w:beforeLines="50" w:after="156" w:afterLines="50" w:line="360" w:lineRule="auto"/>
        <w:textAlignment w:val="auto"/>
        <w:rPr>
          <w:rFonts w:ascii="宋体" w:hAnsi="宋体" w:cs="宋体"/>
          <w:color w:val="auto"/>
          <w:kern w:val="0"/>
          <w:szCs w:val="21"/>
          <w:highlight w:val="none"/>
        </w:rPr>
      </w:pPr>
      <w:r>
        <w:rPr>
          <w:rFonts w:hint="eastAsia" w:ascii="宋体" w:hAnsi="宋体" w:cs="宋体"/>
          <w:color w:val="auto"/>
          <w:spacing w:val="4"/>
          <w:szCs w:val="21"/>
          <w:highlight w:val="none"/>
        </w:rPr>
        <w:t>法定代表人或</w:t>
      </w:r>
      <w:r>
        <w:rPr>
          <w:rFonts w:hint="eastAsia" w:ascii="宋体" w:hAnsi="宋体" w:cs="宋体"/>
          <w:color w:val="auto"/>
          <w:kern w:val="0"/>
          <w:szCs w:val="21"/>
          <w:highlight w:val="none"/>
        </w:rPr>
        <w:t>授权代表</w:t>
      </w:r>
      <w:r>
        <w:rPr>
          <w:rFonts w:hint="eastAsia" w:ascii="宋体" w:hAnsi="宋体" w:cs="宋体"/>
          <w:color w:val="auto"/>
          <w:spacing w:val="4"/>
          <w:szCs w:val="21"/>
          <w:highlight w:val="none"/>
        </w:rPr>
        <w:t>（签字或盖章）</w:t>
      </w:r>
      <w:r>
        <w:rPr>
          <w:rFonts w:hint="eastAsia" w:ascii="宋体" w:hAnsi="宋体" w:cs="宋体"/>
          <w:color w:val="auto"/>
          <w:kern w:val="0"/>
          <w:szCs w:val="21"/>
          <w:highlight w:val="none"/>
        </w:rPr>
        <w:t>：</w:t>
      </w:r>
    </w:p>
    <w:p>
      <w:pPr>
        <w:spacing w:line="360" w:lineRule="auto"/>
        <w:ind w:left="1"/>
        <w:jc w:val="center"/>
        <w:outlineLvl w:val="0"/>
        <w:rPr>
          <w:rFonts w:ascii="宋体" w:hAnsi="宋体" w:cs="宋体"/>
          <w:b/>
          <w:color w:val="auto"/>
          <w:sz w:val="36"/>
          <w:szCs w:val="36"/>
          <w:highlight w:val="none"/>
        </w:rPr>
      </w:pPr>
      <w:r>
        <w:rPr>
          <w:rFonts w:hint="eastAsia" w:ascii="宋体" w:hAnsi="宋体" w:cs="宋体"/>
          <w:color w:val="auto"/>
          <w:kern w:val="0"/>
          <w:szCs w:val="21"/>
          <w:highlight w:val="none"/>
        </w:rPr>
        <w:br w:type="page"/>
      </w:r>
      <w:bookmarkStart w:id="50" w:name="_Toc6188"/>
      <w:bookmarkStart w:id="51" w:name="_Toc7554"/>
      <w:bookmarkStart w:id="52" w:name="_Toc42518136"/>
      <w:bookmarkStart w:id="53" w:name="_Toc42794597"/>
      <w:bookmarkStart w:id="54" w:name="_Toc3496"/>
      <w:r>
        <w:rPr>
          <w:rFonts w:hint="eastAsia" w:ascii="宋体" w:hAnsi="宋体" w:cs="宋体"/>
          <w:b/>
          <w:color w:val="auto"/>
          <w:sz w:val="32"/>
          <w:szCs w:val="32"/>
          <w:highlight w:val="none"/>
        </w:rPr>
        <w:t>三、证明文件</w:t>
      </w:r>
      <w:bookmarkEnd w:id="50"/>
      <w:bookmarkEnd w:id="51"/>
      <w:bookmarkEnd w:id="52"/>
      <w:bookmarkEnd w:id="53"/>
      <w:bookmarkEnd w:id="54"/>
    </w:p>
    <w:p>
      <w:pPr>
        <w:spacing w:before="240" w:line="360" w:lineRule="auto"/>
        <w:ind w:left="1"/>
        <w:rPr>
          <w:rFonts w:ascii="宋体" w:hAnsi="宋体" w:cs="宋体"/>
          <w:b/>
          <w:bCs/>
          <w:color w:val="auto"/>
          <w:szCs w:val="21"/>
          <w:highlight w:val="none"/>
        </w:rPr>
      </w:pPr>
      <w:r>
        <w:rPr>
          <w:rFonts w:hint="eastAsia" w:ascii="宋体" w:hAnsi="宋体" w:cs="宋体"/>
          <w:b/>
          <w:bCs/>
          <w:color w:val="auto"/>
          <w:szCs w:val="21"/>
          <w:highlight w:val="none"/>
        </w:rPr>
        <w:t>资格证明文件</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1）具有独立承担民事责任的能力</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提供注册登记凭证（营业执照、其他组织经营的合法凭证，自然人的提供身份证明文件）。</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2021年度</w:t>
      </w:r>
      <w:r>
        <w:rPr>
          <w:rFonts w:hint="eastAsia" w:ascii="宋体" w:hAnsi="宋体" w:eastAsia="宋体" w:cs="宋体"/>
          <w:color w:val="auto"/>
          <w:sz w:val="21"/>
          <w:szCs w:val="21"/>
          <w:highlight w:val="none"/>
        </w:rPr>
        <w:t>经审计的财务报告（包括四表一注，即资产负债表、利润表、现金流量表、所有者权益变动表及其附注），且无反对意见；事业法人提供部门决算报告；/或在磋商截止日期前六个月内其基本开户银行出具的资信证明（附《基本存款账户信息》或《银行开户许可证》复印件）；/或财政部门认可的政府采购专业担保机构出具的投标担保函；以上三种形式的资料提供任何一种即可。</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3）具有履行合同所必需的设备和专业技术能力</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提供声明文件原件。</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4）具有依法缴纳税收的良好记录</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提供缴费所属日期为磋商截止时间前12个月内任一月份（磋商截止时间当月不计入）的增值税（或企业所得税）缴费凭据或税务机关出具的完税证明/在法规范围内不需提供的应出具书面说明和证明文件。</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5）具有依法缴纳社会保障资金的良好记录</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提供缴费所属日期为磋商截止时间前12个月内任一月份（磋商截止时间当月不计入）的缴费凭据或社保机关出具的缴费证明/在法规范围内不需提供的应出具书面说明和证明文件。</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6）参加政府采购活动前3年内在经营活动中没有重大违法记录的书面声明（原件）。</w:t>
      </w:r>
    </w:p>
    <w:p>
      <w:pPr>
        <w:widowControl w:val="0"/>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7）法人代表授权书（原件）。</w:t>
      </w:r>
    </w:p>
    <w:p>
      <w:pPr>
        <w:widowControl w:val="0"/>
        <w:spacing w:line="360" w:lineRule="auto"/>
        <w:textAlignment w:val="auto"/>
        <w:rPr>
          <w:rFonts w:hint="eastAsia" w:eastAsia="宋体" w:cs="宋体"/>
          <w:color w:val="auto"/>
          <w:sz w:val="21"/>
          <w:szCs w:val="21"/>
          <w:highlight w:val="none"/>
          <w:lang w:val="en-US" w:eastAsia="zh-CN"/>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具有城乡规划编制甲级资质</w:t>
      </w:r>
      <w:r>
        <w:rPr>
          <w:rFonts w:hint="eastAsia" w:ascii="宋体" w:hAnsi="宋体" w:cs="宋体"/>
          <w:color w:val="auto"/>
          <w:kern w:val="0"/>
          <w:szCs w:val="21"/>
          <w:highlight w:val="none"/>
          <w:lang w:eastAsia="zh-CN"/>
        </w:rPr>
        <w:t>。</w:t>
      </w:r>
    </w:p>
    <w:p>
      <w:pPr>
        <w:spacing w:before="240" w:line="360" w:lineRule="auto"/>
        <w:rPr>
          <w:rFonts w:ascii="宋体" w:hAnsi="宋体" w:cs="宋体"/>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①以上要求供应商提供的资格证明文件除注明原件外均为复印件并须加盖供应商公章。</w:t>
      </w:r>
    </w:p>
    <w:p>
      <w:pPr>
        <w:widowControl w:val="0"/>
        <w:spacing w:line="360" w:lineRule="auto"/>
        <w:textAlignment w:val="auto"/>
        <w:rPr>
          <w:rFonts w:ascii="宋体" w:hAnsi="宋体" w:cs="宋体"/>
          <w:color w:val="auto"/>
          <w:spacing w:val="4"/>
          <w:szCs w:val="21"/>
          <w:highlight w:val="none"/>
        </w:rPr>
      </w:pPr>
      <w:r>
        <w:rPr>
          <w:rFonts w:hint="eastAsia" w:ascii="宋体" w:hAnsi="宋体" w:cs="宋体"/>
          <w:color w:val="auto"/>
          <w:szCs w:val="21"/>
          <w:highlight w:val="none"/>
        </w:rPr>
        <w:t>供应商应按照磋商文件的要求自行准备以上证明文件并编目、封装。②除要求在磋商报价时一并提交的原件外，所有要求在磋商响应文件中提供复印件的文件，在评审过程中，竞争性磋商小组可随时要求查验原件，供应商不得拒绝，否则其磋商响应文件将按照无效响应处理。</w:t>
      </w:r>
    </w:p>
    <w:p>
      <w:pPr>
        <w:spacing w:line="360" w:lineRule="auto"/>
        <w:ind w:left="1"/>
        <w:rPr>
          <w:rFonts w:ascii="宋体" w:hAnsi="宋体" w:cs="宋体"/>
          <w:b/>
          <w:bCs/>
          <w:color w:val="auto"/>
          <w:szCs w:val="21"/>
          <w:highlight w:val="none"/>
        </w:rPr>
      </w:pPr>
    </w:p>
    <w:p>
      <w:pPr>
        <w:spacing w:line="360" w:lineRule="auto"/>
        <w:ind w:left="1"/>
        <w:rPr>
          <w:rStyle w:val="30"/>
          <w:rFonts w:ascii="宋体" w:hAnsi="宋体" w:cs="宋体"/>
          <w:color w:val="auto"/>
          <w:spacing w:val="4"/>
          <w:sz w:val="21"/>
          <w:szCs w:val="21"/>
          <w:highlight w:val="none"/>
        </w:rPr>
      </w:pPr>
      <w:r>
        <w:rPr>
          <w:rFonts w:hint="eastAsia" w:ascii="宋体" w:hAnsi="宋体" w:cs="宋体"/>
          <w:b/>
          <w:bCs/>
          <w:color w:val="auto"/>
          <w:szCs w:val="21"/>
          <w:highlight w:val="none"/>
        </w:rPr>
        <w:t>说明：后附部分内容参考格式，其他内容供应商自行编制。</w:t>
      </w:r>
    </w:p>
    <w:p>
      <w:pPr>
        <w:pStyle w:val="14"/>
        <w:rPr>
          <w:color w:val="auto"/>
          <w:highlight w:val="none"/>
        </w:rPr>
      </w:pPr>
    </w:p>
    <w:p>
      <w:pPr>
        <w:spacing w:line="360" w:lineRule="auto"/>
        <w:rPr>
          <w:rFonts w:ascii="宋体" w:hAnsi="宋体" w:cs="宋体"/>
          <w:b/>
          <w:color w:val="auto"/>
          <w:sz w:val="24"/>
          <w:szCs w:val="24"/>
          <w:highlight w:val="none"/>
        </w:rPr>
      </w:pPr>
    </w:p>
    <w:p>
      <w:pPr>
        <w:spacing w:line="360" w:lineRule="auto"/>
        <w:rPr>
          <w:rFonts w:ascii="宋体" w:hAnsi="宋体" w:cs="宋体"/>
          <w:b/>
          <w:color w:val="auto"/>
          <w:sz w:val="24"/>
          <w:szCs w:val="24"/>
          <w:highlight w:val="none"/>
        </w:rPr>
      </w:pPr>
    </w:p>
    <w:p>
      <w:pPr>
        <w:spacing w:line="360" w:lineRule="auto"/>
        <w:rPr>
          <w:rFonts w:ascii="宋体" w:hAnsi="宋体" w:cs="宋体"/>
          <w:b/>
          <w:color w:val="auto"/>
          <w:sz w:val="36"/>
          <w:szCs w:val="36"/>
          <w:highlight w:val="none"/>
        </w:rPr>
      </w:pPr>
      <w:r>
        <w:rPr>
          <w:rFonts w:hint="eastAsia" w:ascii="宋体" w:hAnsi="宋体" w:cs="宋体"/>
          <w:b/>
          <w:color w:val="auto"/>
          <w:sz w:val="24"/>
          <w:szCs w:val="24"/>
          <w:highlight w:val="none"/>
        </w:rPr>
        <w:t>附件1：</w:t>
      </w:r>
    </w:p>
    <w:p>
      <w:pPr>
        <w:spacing w:line="360" w:lineRule="auto"/>
        <w:ind w:left="1"/>
        <w:rPr>
          <w:rFonts w:ascii="宋体" w:hAnsi="宋体" w:cs="宋体"/>
          <w:b/>
          <w:color w:val="auto"/>
          <w:sz w:val="36"/>
          <w:szCs w:val="36"/>
          <w:highlight w:val="none"/>
        </w:rPr>
      </w:pPr>
    </w:p>
    <w:p>
      <w:pPr>
        <w:pStyle w:val="6"/>
        <w:keepNext w:val="0"/>
        <w:keepLines w:val="0"/>
        <w:spacing w:before="0" w:after="0"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供应商无重大违法记录的书面声明格式</w:t>
      </w:r>
    </w:p>
    <w:p>
      <w:pPr>
        <w:spacing w:line="360" w:lineRule="auto"/>
        <w:rPr>
          <w:rFonts w:ascii="宋体" w:hAnsi="宋体" w:cs="宋体"/>
          <w:b/>
          <w:color w:val="auto"/>
          <w:spacing w:val="4"/>
          <w:sz w:val="30"/>
          <w:szCs w:val="30"/>
          <w:highlight w:val="none"/>
          <w:u w:val="single"/>
        </w:rPr>
      </w:pPr>
    </w:p>
    <w:p>
      <w:pPr>
        <w:spacing w:line="480" w:lineRule="auto"/>
        <w:jc w:val="left"/>
        <w:rPr>
          <w:rFonts w:ascii="宋体"/>
          <w:color w:val="auto"/>
          <w:spacing w:val="4"/>
          <w:szCs w:val="21"/>
          <w:highlight w:val="none"/>
          <w:u w:val="single"/>
        </w:rPr>
      </w:pPr>
      <w:r>
        <w:rPr>
          <w:rFonts w:hint="eastAsia" w:ascii="宋体" w:hAnsi="宋体"/>
          <w:color w:val="auto"/>
          <w:spacing w:val="4"/>
          <w:szCs w:val="21"/>
          <w:highlight w:val="none"/>
          <w:u w:val="single"/>
        </w:rPr>
        <w:t>致：（采购机构名称）、（采购代理机构名称）</w:t>
      </w:r>
    </w:p>
    <w:p>
      <w:pPr>
        <w:spacing w:line="480" w:lineRule="auto"/>
        <w:ind w:firstLine="436" w:firstLineChars="200"/>
        <w:jc w:val="left"/>
        <w:rPr>
          <w:rFonts w:ascii="宋体"/>
          <w:color w:val="auto"/>
          <w:spacing w:val="4"/>
          <w:szCs w:val="21"/>
          <w:highlight w:val="none"/>
          <w:u w:val="single"/>
        </w:rPr>
      </w:pPr>
      <w:r>
        <w:rPr>
          <w:rFonts w:hint="eastAsia" w:ascii="宋体"/>
          <w:color w:val="auto"/>
          <w:spacing w:val="4"/>
          <w:szCs w:val="21"/>
          <w:highlight w:val="none"/>
          <w:u w:val="single"/>
        </w:rPr>
        <w:t>（供应商名称）</w:t>
      </w:r>
      <w:r>
        <w:rPr>
          <w:rFonts w:hint="eastAsia" w:ascii="宋体" w:hAnsi="宋体"/>
          <w:color w:val="auto"/>
          <w:spacing w:val="4"/>
          <w:szCs w:val="21"/>
          <w:highlight w:val="none"/>
        </w:rPr>
        <w:t>为在中华人民共和国境内合法注册并经营的机构。在此郑重声明，我公司在参与本次政府采购活动前</w:t>
      </w:r>
      <w:r>
        <w:rPr>
          <w:rFonts w:ascii="宋体" w:hAnsi="宋体"/>
          <w:color w:val="auto"/>
          <w:spacing w:val="4"/>
          <w:szCs w:val="21"/>
          <w:highlight w:val="none"/>
        </w:rPr>
        <w:t>3</w:t>
      </w:r>
      <w:r>
        <w:rPr>
          <w:rFonts w:hint="eastAsia" w:ascii="宋体" w:hAnsi="宋体"/>
          <w:color w:val="auto"/>
          <w:spacing w:val="4"/>
          <w:szCs w:val="21"/>
          <w:highlight w:val="none"/>
        </w:rPr>
        <w:t>年内在经营活动中没有重大违法记录。</w:t>
      </w:r>
    </w:p>
    <w:p>
      <w:pPr>
        <w:spacing w:before="312" w:beforeLines="100" w:after="156" w:afterLines="50" w:line="360" w:lineRule="auto"/>
        <w:ind w:firstLine="170"/>
        <w:rPr>
          <w:rFonts w:ascii="宋体" w:hAnsi="宋体" w:cs="宋体"/>
          <w:color w:val="auto"/>
          <w:spacing w:val="4"/>
          <w:szCs w:val="21"/>
          <w:highlight w:val="none"/>
        </w:rPr>
      </w:pPr>
    </w:p>
    <w:p>
      <w:pPr>
        <w:spacing w:before="312" w:beforeLines="100" w:after="156" w:afterLines="50" w:line="360" w:lineRule="auto"/>
        <w:ind w:firstLine="170"/>
        <w:rPr>
          <w:rFonts w:ascii="宋体" w:hAnsi="宋体" w:cs="宋体"/>
          <w:color w:val="auto"/>
          <w:spacing w:val="4"/>
          <w:szCs w:val="21"/>
          <w:highlight w:val="none"/>
        </w:rPr>
      </w:pPr>
    </w:p>
    <w:p>
      <w:pPr>
        <w:spacing w:before="312" w:beforeLines="100" w:after="156" w:afterLines="50" w:line="360" w:lineRule="auto"/>
        <w:ind w:firstLine="170"/>
        <w:rPr>
          <w:rFonts w:ascii="宋体" w:hAnsi="宋体" w:cs="宋体"/>
          <w:color w:val="auto"/>
          <w:spacing w:val="4"/>
          <w:szCs w:val="21"/>
          <w:highlight w:val="none"/>
        </w:rPr>
      </w:pPr>
    </w:p>
    <w:p>
      <w:pPr>
        <w:spacing w:before="312" w:beforeLines="100" w:after="156" w:afterLines="50" w:line="360" w:lineRule="auto"/>
        <w:ind w:firstLine="170"/>
        <w:rPr>
          <w:rFonts w:ascii="宋体" w:hAnsi="宋体" w:cs="宋体"/>
          <w:color w:val="auto"/>
          <w:spacing w:val="4"/>
          <w:szCs w:val="21"/>
          <w:highlight w:val="none"/>
        </w:rPr>
      </w:pPr>
    </w:p>
    <w:p>
      <w:pPr>
        <w:widowControl w:val="0"/>
        <w:spacing w:before="156" w:beforeLines="50" w:after="156" w:afterLines="50" w:line="360" w:lineRule="auto"/>
        <w:ind w:firstLine="2398" w:firstLineChars="1100"/>
        <w:jc w:val="left"/>
        <w:textAlignment w:val="auto"/>
        <w:rPr>
          <w:rFonts w:ascii="宋体" w:hAnsi="宋体" w:cs="宋体"/>
          <w:color w:val="auto"/>
          <w:spacing w:val="14"/>
          <w:kern w:val="0"/>
          <w:szCs w:val="21"/>
          <w:highlight w:val="none"/>
        </w:rPr>
      </w:pPr>
      <w:r>
        <w:rPr>
          <w:rFonts w:hint="eastAsia" w:ascii="宋体" w:hAnsi="宋体" w:cs="宋体"/>
          <w:color w:val="auto"/>
          <w:spacing w:val="4"/>
          <w:szCs w:val="21"/>
          <w:highlight w:val="none"/>
        </w:rPr>
        <w:t>供应商名称（盖章）：</w:t>
      </w:r>
      <w:r>
        <w:rPr>
          <w:rFonts w:hint="eastAsia" w:ascii="宋体" w:hAnsi="宋体" w:cs="宋体"/>
          <w:color w:val="auto"/>
          <w:spacing w:val="4"/>
          <w:szCs w:val="21"/>
          <w:highlight w:val="none"/>
          <w:u w:val="single"/>
        </w:rPr>
        <w:t xml:space="preserve">              </w:t>
      </w:r>
      <w:r>
        <w:rPr>
          <w:rFonts w:hint="eastAsia" w:ascii="宋体" w:hAnsi="宋体" w:cs="宋体"/>
          <w:color w:val="auto"/>
          <w:spacing w:val="14"/>
          <w:kern w:val="0"/>
          <w:szCs w:val="21"/>
          <w:highlight w:val="none"/>
          <w:u w:val="single"/>
        </w:rPr>
        <w:t>（单位全称）</w:t>
      </w:r>
    </w:p>
    <w:p>
      <w:pPr>
        <w:widowControl w:val="0"/>
        <w:spacing w:before="156" w:beforeLines="50" w:after="156" w:afterLines="50" w:line="360" w:lineRule="auto"/>
        <w:ind w:firstLine="2398" w:firstLineChars="1100"/>
        <w:jc w:val="left"/>
        <w:textAlignment w:val="auto"/>
        <w:rPr>
          <w:rFonts w:ascii="宋体" w:hAnsi="宋体" w:cs="宋体"/>
          <w:color w:val="auto"/>
          <w:spacing w:val="4"/>
          <w:szCs w:val="21"/>
          <w:highlight w:val="none"/>
        </w:rPr>
      </w:pPr>
      <w:r>
        <w:rPr>
          <w:rFonts w:hint="eastAsia" w:ascii="宋体" w:hAnsi="宋体" w:cs="宋体"/>
          <w:color w:val="auto"/>
          <w:spacing w:val="4"/>
          <w:szCs w:val="21"/>
          <w:highlight w:val="none"/>
        </w:rPr>
        <w:t>法定代表人（签字或盖章）：</w:t>
      </w:r>
      <w:r>
        <w:rPr>
          <w:rFonts w:hint="eastAsia" w:ascii="宋体" w:hAnsi="宋体" w:cs="宋体"/>
          <w:color w:val="auto"/>
          <w:spacing w:val="4"/>
          <w:szCs w:val="21"/>
          <w:highlight w:val="none"/>
          <w:u w:val="single"/>
        </w:rPr>
        <w:t xml:space="preserve">                     </w:t>
      </w:r>
    </w:p>
    <w:p>
      <w:pPr>
        <w:widowControl w:val="0"/>
        <w:spacing w:before="156" w:beforeLines="50" w:after="156" w:afterLines="50" w:line="360" w:lineRule="auto"/>
        <w:jc w:val="center"/>
        <w:textAlignment w:val="auto"/>
        <w:rPr>
          <w:rFonts w:ascii="宋体" w:hAnsi="宋体" w:cs="宋体"/>
          <w:color w:val="auto"/>
          <w:spacing w:val="4"/>
          <w:sz w:val="24"/>
          <w:szCs w:val="24"/>
          <w:highlight w:val="none"/>
        </w:rPr>
      </w:pPr>
      <w:r>
        <w:rPr>
          <w:rFonts w:hint="eastAsia" w:ascii="宋体" w:hAnsi="宋体" w:cs="宋体"/>
          <w:color w:val="auto"/>
          <w:spacing w:val="4"/>
          <w:szCs w:val="21"/>
          <w:highlight w:val="none"/>
        </w:rPr>
        <w:t xml:space="preserve">                                    日期：     年    月    日</w:t>
      </w:r>
    </w:p>
    <w:p>
      <w:pPr>
        <w:spacing w:line="360" w:lineRule="auto"/>
        <w:ind w:left="1"/>
        <w:rPr>
          <w:rFonts w:ascii="宋体" w:hAnsi="宋体"/>
          <w:b/>
          <w:color w:val="auto"/>
          <w:sz w:val="30"/>
          <w:szCs w:val="30"/>
          <w:highlight w:val="none"/>
        </w:rPr>
      </w:pPr>
      <w:r>
        <w:rPr>
          <w:rFonts w:ascii="宋体" w:hAnsi="宋体" w:cs="宋体"/>
          <w:color w:val="auto"/>
          <w:spacing w:val="4"/>
          <w:sz w:val="24"/>
          <w:szCs w:val="24"/>
          <w:highlight w:val="none"/>
        </w:rPr>
        <w:br w:type="page"/>
      </w:r>
      <w:r>
        <w:rPr>
          <w:rFonts w:hint="eastAsia" w:ascii="宋体" w:hAnsi="宋体" w:cs="宋体"/>
          <w:b/>
          <w:color w:val="auto"/>
          <w:sz w:val="24"/>
          <w:szCs w:val="24"/>
          <w:highlight w:val="none"/>
        </w:rPr>
        <w:t>附件2：</w:t>
      </w:r>
    </w:p>
    <w:p>
      <w:pPr>
        <w:spacing w:line="360" w:lineRule="auto"/>
        <w:ind w:left="1"/>
        <w:jc w:val="center"/>
        <w:rPr>
          <w:rFonts w:ascii="宋体" w:hAnsi="宋体"/>
          <w:b/>
          <w:color w:val="auto"/>
          <w:sz w:val="36"/>
          <w:szCs w:val="36"/>
          <w:highlight w:val="none"/>
        </w:rPr>
      </w:pPr>
    </w:p>
    <w:p>
      <w:pPr>
        <w:pStyle w:val="6"/>
        <w:keepNext w:val="0"/>
        <w:keepLines w:val="0"/>
        <w:spacing w:before="0" w:after="0"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诚信声明</w:t>
      </w:r>
    </w:p>
    <w:p>
      <w:pPr>
        <w:pStyle w:val="6"/>
        <w:keepNext w:val="0"/>
        <w:keepLines w:val="0"/>
        <w:spacing w:before="0" w:after="0" w:line="360" w:lineRule="auto"/>
        <w:jc w:val="center"/>
        <w:rPr>
          <w:rFonts w:ascii="宋体" w:hAnsi="宋体" w:cs="宋体"/>
          <w:color w:val="auto"/>
          <w:sz w:val="30"/>
          <w:szCs w:val="30"/>
          <w:highlight w:val="none"/>
        </w:rPr>
      </w:pPr>
    </w:p>
    <w:p>
      <w:pPr>
        <w:spacing w:line="360" w:lineRule="auto"/>
        <w:jc w:val="left"/>
        <w:rPr>
          <w:rFonts w:ascii="宋体" w:hAnsi="宋体"/>
          <w:color w:val="auto"/>
          <w:spacing w:val="4"/>
          <w:szCs w:val="21"/>
          <w:highlight w:val="none"/>
          <w:u w:val="single"/>
        </w:rPr>
      </w:pPr>
      <w:r>
        <w:rPr>
          <w:rFonts w:hint="eastAsia" w:ascii="宋体" w:hAnsi="宋体"/>
          <w:color w:val="auto"/>
          <w:spacing w:val="4"/>
          <w:szCs w:val="21"/>
          <w:highlight w:val="none"/>
        </w:rPr>
        <w:t>致：</w:t>
      </w:r>
      <w:r>
        <w:rPr>
          <w:rFonts w:hint="eastAsia" w:ascii="宋体" w:hAnsi="宋体"/>
          <w:color w:val="auto"/>
          <w:spacing w:val="4"/>
          <w:szCs w:val="21"/>
          <w:highlight w:val="none"/>
          <w:u w:val="single"/>
        </w:rPr>
        <w:t>（采购人名称）、（采购代理机构名称）</w:t>
      </w:r>
    </w:p>
    <w:p>
      <w:pPr>
        <w:spacing w:line="360" w:lineRule="auto"/>
        <w:jc w:val="left"/>
        <w:rPr>
          <w:rFonts w:ascii="宋体" w:hAnsi="宋体"/>
          <w:color w:val="auto"/>
          <w:spacing w:val="4"/>
          <w:szCs w:val="21"/>
          <w:highlight w:val="none"/>
        </w:rPr>
      </w:pPr>
      <w:r>
        <w:rPr>
          <w:rFonts w:hint="eastAsia" w:ascii="宋体" w:hAnsi="宋体"/>
          <w:color w:val="auto"/>
          <w:spacing w:val="4"/>
          <w:szCs w:val="21"/>
          <w:highlight w:val="none"/>
        </w:rPr>
        <w:t>项目名称：</w:t>
      </w:r>
      <w:r>
        <w:rPr>
          <w:rFonts w:hint="eastAsia" w:ascii="宋体" w:hAnsi="宋体"/>
          <w:color w:val="auto"/>
          <w:spacing w:val="4"/>
          <w:szCs w:val="21"/>
          <w:highlight w:val="none"/>
          <w:u w:val="single"/>
        </w:rPr>
        <w:t xml:space="preserve">                         </w:t>
      </w:r>
    </w:p>
    <w:p>
      <w:pPr>
        <w:spacing w:line="360" w:lineRule="auto"/>
        <w:jc w:val="left"/>
        <w:rPr>
          <w:rFonts w:ascii="宋体" w:hAnsi="宋体"/>
          <w:color w:val="auto"/>
          <w:spacing w:val="4"/>
          <w:szCs w:val="21"/>
          <w:highlight w:val="none"/>
          <w:u w:val="single"/>
        </w:rPr>
      </w:pPr>
      <w:r>
        <w:rPr>
          <w:rFonts w:hint="eastAsia" w:ascii="宋体" w:hAnsi="宋体"/>
          <w:color w:val="auto"/>
          <w:spacing w:val="4"/>
          <w:szCs w:val="21"/>
          <w:highlight w:val="none"/>
        </w:rPr>
        <w:t>项目编号：</w:t>
      </w:r>
      <w:r>
        <w:rPr>
          <w:rFonts w:hint="eastAsia" w:ascii="宋体" w:hAnsi="宋体"/>
          <w:color w:val="auto"/>
          <w:spacing w:val="4"/>
          <w:szCs w:val="21"/>
          <w:highlight w:val="none"/>
          <w:u w:val="single"/>
        </w:rPr>
        <w:t xml:space="preserve">                         </w:t>
      </w:r>
    </w:p>
    <w:p>
      <w:pPr>
        <w:spacing w:line="360" w:lineRule="auto"/>
        <w:jc w:val="left"/>
        <w:rPr>
          <w:rFonts w:ascii="宋体" w:hAnsi="宋体"/>
          <w:color w:val="auto"/>
          <w:spacing w:val="4"/>
          <w:szCs w:val="21"/>
          <w:highlight w:val="none"/>
          <w:u w:val="single"/>
        </w:rPr>
      </w:pPr>
    </w:p>
    <w:p>
      <w:pPr>
        <w:widowControl w:val="0"/>
        <w:spacing w:line="360" w:lineRule="auto"/>
        <w:ind w:firstLine="436" w:firstLineChars="200"/>
        <w:jc w:val="left"/>
        <w:textAlignment w:val="auto"/>
        <w:rPr>
          <w:rFonts w:ascii="宋体" w:hAnsi="宋体"/>
          <w:color w:val="auto"/>
          <w:spacing w:val="4"/>
          <w:szCs w:val="21"/>
          <w:highlight w:val="none"/>
        </w:rPr>
      </w:pPr>
      <w:r>
        <w:rPr>
          <w:rFonts w:hint="eastAsia" w:ascii="宋体" w:hAnsi="宋体"/>
          <w:color w:val="auto"/>
          <w:spacing w:val="4"/>
          <w:szCs w:val="21"/>
          <w:highlight w:val="none"/>
          <w:u w:val="single"/>
        </w:rPr>
        <w:t xml:space="preserve">     （供应商名称）     </w:t>
      </w:r>
      <w:r>
        <w:rPr>
          <w:rFonts w:hint="eastAsia" w:ascii="宋体" w:hAnsi="宋体"/>
          <w:color w:val="auto"/>
          <w:spacing w:val="4"/>
          <w:szCs w:val="21"/>
          <w:highlight w:val="none"/>
        </w:rPr>
        <w:t>郑重声明，我公司具有良好的商业信誉和健全的财务会计制度，具有履行合同所必需的设备和专业技术能力，有依法缴纳税收和社会保障资金的良好记录，在合同签订前后随时愿意提供相关证明材料，符合《政府采购法》规定的供应商资格条件。我方对以上声明负全部法律责任。并按磋商文件要求提供相关证明材料。</w:t>
      </w:r>
    </w:p>
    <w:p>
      <w:pPr>
        <w:spacing w:line="360" w:lineRule="auto"/>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特此声明。</w:t>
      </w:r>
    </w:p>
    <w:p>
      <w:pPr>
        <w:spacing w:line="360" w:lineRule="auto"/>
        <w:jc w:val="left"/>
        <w:rPr>
          <w:rFonts w:ascii="宋体" w:hAnsi="宋体"/>
          <w:color w:val="auto"/>
          <w:spacing w:val="4"/>
          <w:szCs w:val="21"/>
          <w:highlight w:val="none"/>
          <w:u w:val="single"/>
        </w:rPr>
      </w:pPr>
    </w:p>
    <w:p>
      <w:pPr>
        <w:spacing w:line="360" w:lineRule="auto"/>
        <w:jc w:val="left"/>
        <w:rPr>
          <w:rFonts w:ascii="宋体" w:hAnsi="宋体"/>
          <w:color w:val="auto"/>
          <w:spacing w:val="4"/>
          <w:szCs w:val="21"/>
          <w:highlight w:val="none"/>
          <w:u w:val="single"/>
        </w:rPr>
      </w:pPr>
    </w:p>
    <w:p>
      <w:pPr>
        <w:widowControl w:val="0"/>
        <w:spacing w:before="156" w:beforeLines="50" w:after="156" w:afterLines="50" w:line="360" w:lineRule="auto"/>
        <w:ind w:firstLine="2243" w:firstLineChars="1029"/>
        <w:jc w:val="left"/>
        <w:textAlignment w:val="auto"/>
        <w:rPr>
          <w:rFonts w:ascii="宋体" w:hAnsi="宋体" w:cs="宋体"/>
          <w:color w:val="auto"/>
          <w:spacing w:val="14"/>
          <w:kern w:val="0"/>
          <w:szCs w:val="21"/>
          <w:highlight w:val="none"/>
        </w:rPr>
      </w:pPr>
      <w:r>
        <w:rPr>
          <w:rFonts w:hint="eastAsia" w:ascii="宋体" w:hAnsi="宋体" w:cs="宋体"/>
          <w:color w:val="auto"/>
          <w:spacing w:val="4"/>
          <w:szCs w:val="21"/>
          <w:highlight w:val="none"/>
        </w:rPr>
        <w:t>供应商名称（盖章）：</w:t>
      </w:r>
      <w:r>
        <w:rPr>
          <w:rFonts w:hint="eastAsia" w:ascii="宋体" w:hAnsi="宋体" w:cs="宋体"/>
          <w:color w:val="auto"/>
          <w:spacing w:val="4"/>
          <w:szCs w:val="21"/>
          <w:highlight w:val="none"/>
          <w:u w:val="single"/>
        </w:rPr>
        <w:t xml:space="preserve">                </w:t>
      </w:r>
      <w:r>
        <w:rPr>
          <w:rFonts w:hint="eastAsia" w:ascii="宋体" w:hAnsi="宋体" w:cs="宋体"/>
          <w:color w:val="auto"/>
          <w:spacing w:val="14"/>
          <w:kern w:val="0"/>
          <w:szCs w:val="21"/>
          <w:highlight w:val="none"/>
          <w:u w:val="single"/>
        </w:rPr>
        <w:t>（单位全称）</w:t>
      </w:r>
    </w:p>
    <w:p>
      <w:pPr>
        <w:widowControl w:val="0"/>
        <w:spacing w:before="156" w:beforeLines="50" w:after="156" w:afterLines="50" w:line="360" w:lineRule="auto"/>
        <w:ind w:firstLine="2243" w:firstLineChars="1029"/>
        <w:jc w:val="left"/>
        <w:textAlignment w:val="auto"/>
        <w:rPr>
          <w:rFonts w:ascii="宋体" w:hAnsi="宋体" w:cs="宋体"/>
          <w:color w:val="auto"/>
          <w:spacing w:val="4"/>
          <w:szCs w:val="21"/>
          <w:highlight w:val="none"/>
        </w:rPr>
      </w:pPr>
      <w:r>
        <w:rPr>
          <w:rFonts w:hint="eastAsia" w:ascii="宋体" w:hAnsi="宋体" w:cs="宋体"/>
          <w:color w:val="auto"/>
          <w:spacing w:val="4"/>
          <w:szCs w:val="21"/>
          <w:highlight w:val="none"/>
        </w:rPr>
        <w:t>法定代表人（签字或盖章）：</w:t>
      </w:r>
      <w:r>
        <w:rPr>
          <w:rFonts w:hint="eastAsia" w:ascii="宋体" w:hAnsi="宋体" w:cs="宋体"/>
          <w:color w:val="auto"/>
          <w:spacing w:val="4"/>
          <w:szCs w:val="21"/>
          <w:highlight w:val="none"/>
          <w:u w:val="single"/>
        </w:rPr>
        <w:t xml:space="preserve">                       </w:t>
      </w:r>
    </w:p>
    <w:p>
      <w:pPr>
        <w:widowControl w:val="0"/>
        <w:spacing w:before="156" w:beforeLines="50" w:after="156" w:afterLines="50" w:line="360" w:lineRule="auto"/>
        <w:jc w:val="center"/>
        <w:textAlignment w:val="auto"/>
        <w:rPr>
          <w:rFonts w:ascii="宋体" w:hAnsi="宋体" w:cs="宋体"/>
          <w:color w:val="auto"/>
          <w:spacing w:val="4"/>
          <w:sz w:val="24"/>
          <w:szCs w:val="24"/>
          <w:highlight w:val="none"/>
        </w:rPr>
      </w:pPr>
      <w:r>
        <w:rPr>
          <w:rFonts w:hint="eastAsia" w:ascii="宋体" w:hAnsi="宋体" w:cs="宋体"/>
          <w:color w:val="auto"/>
          <w:spacing w:val="4"/>
          <w:szCs w:val="21"/>
          <w:highlight w:val="none"/>
        </w:rPr>
        <w:t xml:space="preserve">                                 日期：     年    月    日</w:t>
      </w:r>
    </w:p>
    <w:p>
      <w:pPr>
        <w:spacing w:line="360" w:lineRule="auto"/>
        <w:jc w:val="left"/>
        <w:rPr>
          <w:rStyle w:val="30"/>
          <w:rFonts w:ascii="宋体" w:hAnsi="宋体"/>
          <w:b/>
          <w:color w:val="auto"/>
          <w:highlight w:val="none"/>
        </w:rPr>
      </w:pPr>
      <w:r>
        <w:rPr>
          <w:rStyle w:val="30"/>
          <w:rFonts w:ascii="宋体" w:hAnsi="宋体"/>
          <w:b/>
          <w:color w:val="auto"/>
          <w:highlight w:val="none"/>
        </w:rPr>
        <w:br w:type="page"/>
      </w:r>
    </w:p>
    <w:p>
      <w:pPr>
        <w:spacing w:line="360" w:lineRule="auto"/>
        <w:jc w:val="left"/>
        <w:rPr>
          <w:rFonts w:ascii="宋体" w:hAnsi="宋体" w:cs="宋体"/>
          <w:b/>
          <w:color w:val="auto"/>
          <w:sz w:val="24"/>
          <w:szCs w:val="24"/>
          <w:highlight w:val="none"/>
        </w:rPr>
      </w:pPr>
      <w:r>
        <w:rPr>
          <w:rFonts w:hint="eastAsia" w:ascii="宋体" w:hAnsi="宋体" w:cs="宋体"/>
          <w:b/>
          <w:color w:val="auto"/>
          <w:sz w:val="24"/>
          <w:szCs w:val="24"/>
          <w:highlight w:val="none"/>
        </w:rPr>
        <w:t>附件3：</w:t>
      </w:r>
    </w:p>
    <w:p>
      <w:pPr>
        <w:spacing w:line="360" w:lineRule="auto"/>
        <w:ind w:left="1"/>
        <w:jc w:val="center"/>
        <w:rPr>
          <w:rFonts w:ascii="宋体" w:hAnsi="宋体"/>
          <w:b/>
          <w:color w:val="auto"/>
          <w:sz w:val="36"/>
          <w:szCs w:val="36"/>
          <w:highlight w:val="none"/>
        </w:rPr>
      </w:pPr>
    </w:p>
    <w:p>
      <w:pPr>
        <w:pStyle w:val="6"/>
        <w:keepNext w:val="0"/>
        <w:keepLines w:val="0"/>
        <w:spacing w:before="0" w:after="0"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中小企业声明函（服务）</w:t>
      </w:r>
    </w:p>
    <w:p>
      <w:pPr>
        <w:rPr>
          <w:color w:val="auto"/>
          <w:highlight w:val="none"/>
        </w:rPr>
      </w:pPr>
    </w:p>
    <w:p>
      <w:pPr>
        <w:spacing w:line="360" w:lineRule="auto"/>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本公司（联合体）郑重声明，根据《政府采购促进中小企业发展管理办法》（财库﹝2020﹞46号）的规定，本公司（联合体）参加</w:t>
      </w:r>
      <w:r>
        <w:rPr>
          <w:rFonts w:hint="eastAsia" w:ascii="宋体" w:hAnsi="宋体"/>
          <w:i/>
          <w:color w:val="auto"/>
          <w:spacing w:val="4"/>
          <w:szCs w:val="21"/>
          <w:highlight w:val="none"/>
          <w:u w:val="single"/>
        </w:rPr>
        <w:t>（单位名称）</w:t>
      </w:r>
      <w:r>
        <w:rPr>
          <w:rFonts w:hint="eastAsia" w:ascii="宋体" w:hAnsi="宋体"/>
          <w:color w:val="auto"/>
          <w:spacing w:val="4"/>
          <w:szCs w:val="21"/>
          <w:highlight w:val="none"/>
        </w:rPr>
        <w:t>的</w:t>
      </w:r>
      <w:r>
        <w:rPr>
          <w:rFonts w:hint="eastAsia" w:ascii="宋体" w:hAnsi="宋体"/>
          <w:i/>
          <w:color w:val="auto"/>
          <w:spacing w:val="4"/>
          <w:szCs w:val="21"/>
          <w:highlight w:val="none"/>
          <w:u w:val="single"/>
        </w:rPr>
        <w:t>（项目名称）</w:t>
      </w:r>
      <w:r>
        <w:rPr>
          <w:rFonts w:hint="eastAsia" w:ascii="宋体" w:hAnsi="宋体"/>
          <w:color w:val="auto"/>
          <w:spacing w:val="4"/>
          <w:szCs w:val="21"/>
          <w:highlight w:val="none"/>
        </w:rPr>
        <w:t xml:space="preserve">采购活动，服务全部由符合政策要求的中小企业承接）。相关企业（含联合体中的中小企业、签订分包意向协议的中小企业）的具体情况如下： </w:t>
      </w:r>
    </w:p>
    <w:p>
      <w:pPr>
        <w:spacing w:line="360" w:lineRule="auto"/>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1.</w:t>
      </w:r>
      <w:r>
        <w:rPr>
          <w:rFonts w:hint="eastAsia" w:ascii="宋体" w:hAnsi="宋体"/>
          <w:i/>
          <w:color w:val="auto"/>
          <w:spacing w:val="4"/>
          <w:szCs w:val="21"/>
          <w:highlight w:val="none"/>
          <w:u w:val="single"/>
        </w:rPr>
        <w:t>（标的名称）</w:t>
      </w:r>
      <w:r>
        <w:rPr>
          <w:rFonts w:hint="eastAsia" w:ascii="宋体" w:hAnsi="宋体"/>
          <w:color w:val="auto"/>
          <w:spacing w:val="4"/>
          <w:szCs w:val="21"/>
          <w:highlight w:val="none"/>
        </w:rPr>
        <w:t>，属于</w:t>
      </w:r>
      <w:r>
        <w:rPr>
          <w:rFonts w:hint="eastAsia" w:ascii="宋体" w:hAnsi="宋体"/>
          <w:i/>
          <w:color w:val="auto"/>
          <w:spacing w:val="4"/>
          <w:szCs w:val="21"/>
          <w:highlight w:val="none"/>
          <w:u w:val="single"/>
        </w:rPr>
        <w:t>（采购文件中明确的所属行业）</w:t>
      </w:r>
      <w:r>
        <w:rPr>
          <w:rFonts w:hint="eastAsia" w:ascii="宋体" w:hAnsi="宋体"/>
          <w:color w:val="auto"/>
          <w:spacing w:val="4"/>
          <w:szCs w:val="21"/>
          <w:highlight w:val="none"/>
        </w:rPr>
        <w:t>；承建（承接）企业为</w:t>
      </w:r>
      <w:r>
        <w:rPr>
          <w:rFonts w:hint="eastAsia" w:ascii="宋体" w:hAnsi="宋体"/>
          <w:i/>
          <w:color w:val="auto"/>
          <w:spacing w:val="4"/>
          <w:szCs w:val="21"/>
          <w:highlight w:val="none"/>
          <w:u w:val="single"/>
        </w:rPr>
        <w:t>（企业名称）</w:t>
      </w:r>
      <w:r>
        <w:rPr>
          <w:rFonts w:hint="eastAsia" w:ascii="宋体" w:hAnsi="宋体"/>
          <w:color w:val="auto"/>
          <w:spacing w:val="4"/>
          <w:szCs w:val="21"/>
          <w:highlight w:val="none"/>
        </w:rPr>
        <w:t>，从业人员</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人，营业收入为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万元，资产总额为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万元，属于</w:t>
      </w:r>
      <w:r>
        <w:rPr>
          <w:rFonts w:hint="eastAsia" w:ascii="宋体" w:hAnsi="宋体"/>
          <w:i/>
          <w:color w:val="auto"/>
          <w:spacing w:val="4"/>
          <w:szCs w:val="21"/>
          <w:highlight w:val="none"/>
          <w:u w:val="single"/>
        </w:rPr>
        <w:t>（中型企业、小型企业、微型企业）</w:t>
      </w:r>
      <w:r>
        <w:rPr>
          <w:rFonts w:hint="eastAsia" w:ascii="宋体" w:hAnsi="宋体"/>
          <w:color w:val="auto"/>
          <w:spacing w:val="4"/>
          <w:szCs w:val="21"/>
          <w:highlight w:val="none"/>
        </w:rPr>
        <w:t xml:space="preserve">； </w:t>
      </w:r>
    </w:p>
    <w:p>
      <w:pPr>
        <w:spacing w:line="360" w:lineRule="auto"/>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2.</w:t>
      </w:r>
      <w:r>
        <w:rPr>
          <w:rFonts w:hint="eastAsia" w:ascii="宋体" w:hAnsi="宋体"/>
          <w:i/>
          <w:color w:val="auto"/>
          <w:spacing w:val="4"/>
          <w:szCs w:val="21"/>
          <w:highlight w:val="none"/>
          <w:u w:val="single"/>
        </w:rPr>
        <w:t>（标的名称）</w:t>
      </w:r>
      <w:r>
        <w:rPr>
          <w:rFonts w:hint="eastAsia" w:ascii="宋体" w:hAnsi="宋体"/>
          <w:color w:val="auto"/>
          <w:spacing w:val="4"/>
          <w:szCs w:val="21"/>
          <w:highlight w:val="none"/>
        </w:rPr>
        <w:t>，属于（采购文件中明确的所属行业）；承建（承接）企业为</w:t>
      </w:r>
      <w:r>
        <w:rPr>
          <w:rFonts w:hint="eastAsia" w:ascii="宋体" w:hAnsi="宋体"/>
          <w:i/>
          <w:color w:val="auto"/>
          <w:spacing w:val="4"/>
          <w:szCs w:val="21"/>
          <w:highlight w:val="none"/>
          <w:u w:val="single"/>
        </w:rPr>
        <w:t>（企业名称）</w:t>
      </w:r>
      <w:r>
        <w:rPr>
          <w:rFonts w:hint="eastAsia" w:ascii="宋体" w:hAnsi="宋体"/>
          <w:color w:val="auto"/>
          <w:spacing w:val="4"/>
          <w:szCs w:val="21"/>
          <w:highlight w:val="none"/>
        </w:rPr>
        <w:t>，从业人员</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人，营业收入为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万元，资产总额为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万元，属于</w:t>
      </w:r>
      <w:r>
        <w:rPr>
          <w:rFonts w:hint="eastAsia" w:ascii="宋体" w:hAnsi="宋体"/>
          <w:i/>
          <w:color w:val="auto"/>
          <w:spacing w:val="4"/>
          <w:szCs w:val="21"/>
          <w:highlight w:val="none"/>
          <w:u w:val="single"/>
        </w:rPr>
        <w:t>（中型企业、小型企业、微型企业）</w:t>
      </w:r>
      <w:r>
        <w:rPr>
          <w:rFonts w:hint="eastAsia" w:ascii="宋体" w:hAnsi="宋体"/>
          <w:color w:val="auto"/>
          <w:spacing w:val="4"/>
          <w:szCs w:val="21"/>
          <w:highlight w:val="none"/>
        </w:rPr>
        <w:t xml:space="preserve">； </w:t>
      </w:r>
    </w:p>
    <w:p>
      <w:pPr>
        <w:widowControl w:val="0"/>
        <w:spacing w:line="360" w:lineRule="auto"/>
        <w:ind w:firstLine="436" w:firstLineChars="200"/>
        <w:jc w:val="left"/>
        <w:textAlignment w:val="auto"/>
        <w:rPr>
          <w:rFonts w:ascii="宋体" w:hAnsi="宋体" w:cs="宋体"/>
          <w:color w:val="auto"/>
          <w:spacing w:val="4"/>
          <w:szCs w:val="21"/>
          <w:highlight w:val="none"/>
        </w:rPr>
      </w:pPr>
      <w:r>
        <w:rPr>
          <w:rFonts w:hint="eastAsia" w:ascii="宋体" w:hAnsi="宋体" w:cs="宋体"/>
          <w:color w:val="auto"/>
          <w:spacing w:val="4"/>
          <w:szCs w:val="21"/>
          <w:highlight w:val="none"/>
        </w:rPr>
        <w:t>……</w:t>
      </w:r>
    </w:p>
    <w:p>
      <w:pPr>
        <w:widowControl w:val="0"/>
        <w:spacing w:line="360" w:lineRule="auto"/>
        <w:ind w:firstLine="436" w:firstLineChars="200"/>
        <w:jc w:val="left"/>
        <w:textAlignment w:val="auto"/>
        <w:rPr>
          <w:rFonts w:ascii="宋体" w:hAnsi="宋体" w:cs="宋体"/>
          <w:color w:val="auto"/>
          <w:spacing w:val="4"/>
          <w:szCs w:val="21"/>
          <w:highlight w:val="none"/>
        </w:rPr>
      </w:pPr>
      <w:r>
        <w:rPr>
          <w:rFonts w:hint="eastAsia" w:ascii="宋体" w:hAnsi="宋体" w:cs="宋体"/>
          <w:color w:val="auto"/>
          <w:spacing w:val="4"/>
          <w:szCs w:val="21"/>
          <w:highlight w:val="none"/>
        </w:rPr>
        <w:t>以上企业，不属于大企业的分支机构，不存在控股股东为大企业的情形，也不存在与大企业的负责人为同一人的情形。</w:t>
      </w:r>
    </w:p>
    <w:p>
      <w:pPr>
        <w:widowControl w:val="0"/>
        <w:spacing w:line="360" w:lineRule="auto"/>
        <w:ind w:firstLine="436" w:firstLineChars="200"/>
        <w:jc w:val="left"/>
        <w:textAlignment w:val="auto"/>
        <w:rPr>
          <w:rFonts w:ascii="宋体" w:hAnsi="宋体" w:cs="宋体"/>
          <w:color w:val="auto"/>
          <w:spacing w:val="4"/>
          <w:szCs w:val="21"/>
          <w:highlight w:val="none"/>
        </w:rPr>
      </w:pPr>
      <w:r>
        <w:rPr>
          <w:rFonts w:hint="eastAsia" w:ascii="宋体" w:hAnsi="宋体" w:cs="宋体"/>
          <w:color w:val="auto"/>
          <w:spacing w:val="4"/>
          <w:szCs w:val="21"/>
          <w:highlight w:val="none"/>
        </w:rPr>
        <w:t>本企业对上述声明内容的真实性负责。如有虚假，将依法承担相应责任。</w:t>
      </w:r>
    </w:p>
    <w:p>
      <w:pPr>
        <w:spacing w:line="360" w:lineRule="auto"/>
        <w:rPr>
          <w:rFonts w:ascii="宋体" w:hAnsi="宋体"/>
          <w:color w:val="auto"/>
          <w:spacing w:val="4"/>
          <w:szCs w:val="21"/>
          <w:highlight w:val="none"/>
        </w:rPr>
      </w:pPr>
    </w:p>
    <w:p>
      <w:pPr>
        <w:widowControl w:val="0"/>
        <w:spacing w:before="156" w:beforeLines="50" w:after="156" w:afterLines="50" w:line="360" w:lineRule="auto"/>
        <w:ind w:firstLine="2243" w:firstLineChars="1029"/>
        <w:jc w:val="left"/>
        <w:textAlignment w:val="auto"/>
        <w:rPr>
          <w:rFonts w:ascii="宋体" w:hAnsi="宋体" w:cs="宋体"/>
          <w:color w:val="auto"/>
          <w:spacing w:val="4"/>
          <w:szCs w:val="21"/>
          <w:highlight w:val="none"/>
        </w:rPr>
      </w:pPr>
    </w:p>
    <w:p>
      <w:pPr>
        <w:widowControl w:val="0"/>
        <w:spacing w:before="156" w:beforeLines="50" w:after="156" w:afterLines="50" w:line="360" w:lineRule="auto"/>
        <w:ind w:firstLine="3110" w:firstLineChars="1427"/>
        <w:jc w:val="left"/>
        <w:textAlignment w:val="auto"/>
        <w:rPr>
          <w:rFonts w:ascii="宋体" w:hAnsi="宋体" w:cs="宋体"/>
          <w:color w:val="auto"/>
          <w:spacing w:val="14"/>
          <w:kern w:val="0"/>
          <w:szCs w:val="21"/>
          <w:highlight w:val="none"/>
        </w:rPr>
      </w:pPr>
      <w:r>
        <w:rPr>
          <w:rFonts w:hint="eastAsia" w:ascii="宋体" w:hAnsi="宋体" w:cs="宋体"/>
          <w:color w:val="auto"/>
          <w:spacing w:val="4"/>
          <w:szCs w:val="21"/>
          <w:highlight w:val="none"/>
        </w:rPr>
        <w:t>供应商名称（盖章）：</w:t>
      </w:r>
      <w:r>
        <w:rPr>
          <w:rFonts w:hint="eastAsia" w:ascii="宋体" w:hAnsi="宋体" w:cs="宋体"/>
          <w:color w:val="auto"/>
          <w:spacing w:val="4"/>
          <w:szCs w:val="21"/>
          <w:highlight w:val="none"/>
          <w:u w:val="single"/>
        </w:rPr>
        <w:t xml:space="preserve">               </w:t>
      </w:r>
      <w:r>
        <w:rPr>
          <w:rFonts w:hint="eastAsia" w:ascii="宋体" w:hAnsi="宋体" w:cs="宋体"/>
          <w:color w:val="auto"/>
          <w:spacing w:val="14"/>
          <w:kern w:val="0"/>
          <w:szCs w:val="21"/>
          <w:highlight w:val="none"/>
          <w:u w:val="single"/>
        </w:rPr>
        <w:t>（单位全称）</w:t>
      </w:r>
    </w:p>
    <w:p>
      <w:pPr>
        <w:widowControl w:val="0"/>
        <w:spacing w:before="156" w:beforeLines="50" w:after="156" w:afterLines="50" w:line="360" w:lineRule="auto"/>
        <w:textAlignment w:val="auto"/>
        <w:rPr>
          <w:rFonts w:ascii="宋体" w:hAnsi="宋体" w:cs="宋体"/>
          <w:color w:val="auto"/>
          <w:spacing w:val="4"/>
          <w:szCs w:val="21"/>
          <w:highlight w:val="none"/>
        </w:rPr>
      </w:pPr>
      <w:r>
        <w:rPr>
          <w:rFonts w:hint="eastAsia" w:ascii="宋体" w:hAnsi="宋体" w:cs="宋体"/>
          <w:color w:val="auto"/>
          <w:spacing w:val="4"/>
          <w:szCs w:val="21"/>
          <w:highlight w:val="none"/>
        </w:rPr>
        <w:t xml:space="preserve">                                              日   期：    年    月    日</w:t>
      </w:r>
    </w:p>
    <w:p>
      <w:pPr>
        <w:spacing w:line="360" w:lineRule="auto"/>
        <w:rPr>
          <w:rFonts w:ascii="宋体" w:hAnsi="宋体" w:cs="宋体"/>
          <w:b/>
          <w:bCs/>
          <w:color w:val="auto"/>
          <w:szCs w:val="21"/>
          <w:highlight w:val="none"/>
        </w:rPr>
      </w:pPr>
    </w:p>
    <w:p>
      <w:pPr>
        <w:spacing w:line="360" w:lineRule="auto"/>
        <w:jc w:val="left"/>
        <w:rPr>
          <w:rFonts w:ascii="宋体" w:hAnsi="宋体" w:cs="宋体"/>
          <w:b/>
          <w:bCs/>
          <w:color w:val="auto"/>
          <w:szCs w:val="21"/>
          <w:highlight w:val="none"/>
        </w:rPr>
      </w:pPr>
    </w:p>
    <w:p>
      <w:pPr>
        <w:widowControl w:val="0"/>
        <w:spacing w:line="360" w:lineRule="auto"/>
        <w:textAlignment w:val="auto"/>
        <w:rPr>
          <w:rFonts w:ascii="宋体" w:hAnsi="宋体" w:cs="宋体"/>
          <w:color w:val="auto"/>
          <w:spacing w:val="4"/>
          <w:sz w:val="18"/>
          <w:szCs w:val="18"/>
          <w:highlight w:val="none"/>
        </w:rPr>
      </w:pPr>
    </w:p>
    <w:p>
      <w:pPr>
        <w:widowControl w:val="0"/>
        <w:spacing w:line="360" w:lineRule="auto"/>
        <w:textAlignment w:val="auto"/>
        <w:rPr>
          <w:rFonts w:ascii="宋体" w:hAnsi="宋体" w:cs="宋体"/>
          <w:color w:val="auto"/>
          <w:spacing w:val="4"/>
          <w:szCs w:val="21"/>
          <w:highlight w:val="none"/>
        </w:rPr>
      </w:pPr>
      <w:r>
        <w:rPr>
          <w:rFonts w:hint="eastAsia" w:ascii="宋体" w:hAnsi="宋体" w:cs="宋体"/>
          <w:color w:val="auto"/>
          <w:spacing w:val="4"/>
          <w:sz w:val="18"/>
          <w:szCs w:val="18"/>
          <w:highlight w:val="none"/>
        </w:rPr>
        <w:t>从业人员、营业收入、资产总额填报上一年度数据，无上一年度数据的新成立企业可不填报。</w:t>
      </w:r>
    </w:p>
    <w:p>
      <w:pPr>
        <w:spacing w:line="588" w:lineRule="exact"/>
        <w:rPr>
          <w:rStyle w:val="30"/>
          <w:rFonts w:ascii="宋体" w:hAnsi="宋体"/>
          <w:b/>
          <w:color w:val="auto"/>
          <w:sz w:val="30"/>
          <w:szCs w:val="30"/>
          <w:highlight w:val="none"/>
        </w:rPr>
      </w:pPr>
      <w:r>
        <w:rPr>
          <w:rStyle w:val="30"/>
          <w:rFonts w:ascii="宋体" w:hAnsi="宋体"/>
          <w:b/>
          <w:color w:val="auto"/>
          <w:sz w:val="30"/>
          <w:szCs w:val="30"/>
          <w:highlight w:val="none"/>
        </w:rPr>
        <w:br w:type="page"/>
      </w:r>
    </w:p>
    <w:p>
      <w:pPr>
        <w:spacing w:line="588" w:lineRule="exact"/>
        <w:rPr>
          <w:rFonts w:ascii="宋体" w:hAnsi="宋体"/>
          <w:b/>
          <w:color w:val="auto"/>
          <w:sz w:val="30"/>
          <w:szCs w:val="30"/>
          <w:highlight w:val="none"/>
        </w:rPr>
      </w:pPr>
      <w:bookmarkStart w:id="55" w:name="OLE_LINK13"/>
      <w:bookmarkStart w:id="56" w:name="OLE_LINK14"/>
      <w:r>
        <w:rPr>
          <w:rFonts w:hint="eastAsia" w:ascii="宋体" w:hAnsi="宋体" w:cs="宋体"/>
          <w:b/>
          <w:color w:val="auto"/>
          <w:sz w:val="24"/>
          <w:szCs w:val="24"/>
          <w:highlight w:val="none"/>
        </w:rPr>
        <w:t>附件4：</w:t>
      </w:r>
    </w:p>
    <w:p>
      <w:pPr>
        <w:pStyle w:val="6"/>
        <w:keepNext w:val="0"/>
        <w:keepLines w:val="0"/>
        <w:spacing w:before="0" w:after="0"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残疾人福利性单位声明函</w:t>
      </w:r>
    </w:p>
    <w:bookmarkEnd w:id="55"/>
    <w:bookmarkEnd w:id="56"/>
    <w:p>
      <w:pPr>
        <w:spacing w:line="588" w:lineRule="exact"/>
        <w:rPr>
          <w:rFonts w:ascii="仿宋_GB2312" w:eastAsia="仿宋_GB2312"/>
          <w:b/>
          <w:color w:val="auto"/>
          <w:spacing w:val="6"/>
          <w:sz w:val="30"/>
          <w:szCs w:val="30"/>
          <w:highlight w:val="none"/>
        </w:rPr>
      </w:pPr>
    </w:p>
    <w:p>
      <w:pPr>
        <w:spacing w:line="360" w:lineRule="auto"/>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单位的</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项目采购活动提供服务。</w:t>
      </w:r>
    </w:p>
    <w:p>
      <w:pPr>
        <w:spacing w:line="360" w:lineRule="auto"/>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本单位对上述声明的真实性负责。如有虚假，将依法承担相应责任。</w:t>
      </w:r>
    </w:p>
    <w:p>
      <w:pPr>
        <w:spacing w:line="360" w:lineRule="auto"/>
        <w:ind w:firstLine="4340" w:firstLineChars="1750"/>
        <w:jc w:val="left"/>
        <w:rPr>
          <w:rFonts w:ascii="宋体" w:hAnsi="宋体"/>
          <w:color w:val="auto"/>
          <w:spacing w:val="4"/>
          <w:sz w:val="24"/>
          <w:szCs w:val="24"/>
          <w:highlight w:val="none"/>
        </w:rPr>
      </w:pPr>
    </w:p>
    <w:p>
      <w:pPr>
        <w:spacing w:line="360" w:lineRule="auto"/>
        <w:ind w:firstLine="436" w:firstLineChars="200"/>
        <w:rPr>
          <w:rFonts w:ascii="宋体" w:hAnsi="宋体"/>
          <w:color w:val="auto"/>
          <w:spacing w:val="4"/>
          <w:szCs w:val="21"/>
          <w:highlight w:val="none"/>
        </w:rPr>
      </w:pPr>
    </w:p>
    <w:p>
      <w:pPr>
        <w:spacing w:line="360" w:lineRule="auto"/>
        <w:ind w:left="1"/>
        <w:rPr>
          <w:rFonts w:ascii="宋体" w:hAnsi="宋体" w:cs="宋体"/>
          <w:color w:val="auto"/>
          <w:szCs w:val="21"/>
          <w:highlight w:val="none"/>
        </w:rPr>
      </w:pPr>
    </w:p>
    <w:p>
      <w:pPr>
        <w:widowControl w:val="0"/>
        <w:spacing w:before="156" w:beforeLines="50" w:after="156" w:afterLines="50" w:line="360" w:lineRule="auto"/>
        <w:ind w:firstLine="3110" w:firstLineChars="1427"/>
        <w:jc w:val="left"/>
        <w:textAlignment w:val="auto"/>
        <w:rPr>
          <w:rFonts w:ascii="宋体" w:hAnsi="宋体" w:cs="宋体"/>
          <w:color w:val="auto"/>
          <w:spacing w:val="14"/>
          <w:kern w:val="0"/>
          <w:szCs w:val="21"/>
          <w:highlight w:val="none"/>
        </w:rPr>
      </w:pPr>
      <w:r>
        <w:rPr>
          <w:rFonts w:hint="eastAsia" w:ascii="宋体" w:hAnsi="宋体" w:cs="宋体"/>
          <w:color w:val="auto"/>
          <w:spacing w:val="4"/>
          <w:szCs w:val="21"/>
          <w:highlight w:val="none"/>
        </w:rPr>
        <w:t>供应商名称（盖章）：</w:t>
      </w:r>
      <w:r>
        <w:rPr>
          <w:rFonts w:hint="eastAsia" w:ascii="宋体" w:hAnsi="宋体" w:cs="宋体"/>
          <w:color w:val="auto"/>
          <w:spacing w:val="4"/>
          <w:szCs w:val="21"/>
          <w:highlight w:val="none"/>
          <w:u w:val="single"/>
        </w:rPr>
        <w:t xml:space="preserve">               </w:t>
      </w:r>
      <w:r>
        <w:rPr>
          <w:rFonts w:hint="eastAsia" w:ascii="宋体" w:hAnsi="宋体" w:cs="宋体"/>
          <w:color w:val="auto"/>
          <w:spacing w:val="14"/>
          <w:kern w:val="0"/>
          <w:szCs w:val="21"/>
          <w:highlight w:val="none"/>
          <w:u w:val="single"/>
        </w:rPr>
        <w:t>（单位全称）</w:t>
      </w:r>
    </w:p>
    <w:p>
      <w:pPr>
        <w:widowControl w:val="0"/>
        <w:spacing w:before="156" w:beforeLines="50" w:after="156" w:afterLines="50" w:line="360" w:lineRule="auto"/>
        <w:jc w:val="center"/>
        <w:textAlignment w:val="auto"/>
        <w:rPr>
          <w:rFonts w:ascii="宋体" w:hAnsi="宋体" w:cs="宋体"/>
          <w:color w:val="auto"/>
          <w:spacing w:val="4"/>
          <w:szCs w:val="21"/>
          <w:highlight w:val="none"/>
        </w:rPr>
      </w:pPr>
      <w:r>
        <w:rPr>
          <w:rFonts w:hint="eastAsia" w:ascii="宋体" w:hAnsi="宋体" w:cs="宋体"/>
          <w:color w:val="auto"/>
          <w:spacing w:val="4"/>
          <w:szCs w:val="21"/>
          <w:highlight w:val="none"/>
        </w:rPr>
        <w:t xml:space="preserve">                                            日  期：     年     月     日</w:t>
      </w:r>
    </w:p>
    <w:p>
      <w:pPr>
        <w:rPr>
          <w:rStyle w:val="30"/>
          <w:color w:val="auto"/>
          <w:sz w:val="21"/>
          <w:szCs w:val="21"/>
          <w:highlight w:val="none"/>
        </w:rPr>
      </w:pPr>
    </w:p>
    <w:p>
      <w:pPr>
        <w:spacing w:line="360" w:lineRule="auto"/>
        <w:jc w:val="left"/>
        <w:rPr>
          <w:rStyle w:val="30"/>
          <w:rFonts w:ascii="宋体" w:hAnsi="宋体"/>
          <w:color w:val="auto"/>
          <w:sz w:val="21"/>
          <w:szCs w:val="21"/>
          <w:highlight w:val="none"/>
        </w:rPr>
      </w:pPr>
    </w:p>
    <w:p>
      <w:pPr>
        <w:spacing w:line="360" w:lineRule="auto"/>
        <w:jc w:val="left"/>
        <w:rPr>
          <w:rStyle w:val="30"/>
          <w:rFonts w:ascii="仿宋_GB2312" w:eastAsia="仿宋_GB2312"/>
          <w:color w:val="auto"/>
          <w:sz w:val="21"/>
          <w:szCs w:val="21"/>
          <w:highlight w:val="none"/>
        </w:rPr>
      </w:pPr>
    </w:p>
    <w:p>
      <w:pPr>
        <w:rPr>
          <w:rStyle w:val="30"/>
          <w:rFonts w:ascii="仿宋_GB2312" w:eastAsia="仿宋_GB2312"/>
          <w:color w:val="auto"/>
          <w:sz w:val="21"/>
          <w:szCs w:val="21"/>
          <w:highlight w:val="none"/>
        </w:rPr>
      </w:pPr>
    </w:p>
    <w:p>
      <w:pPr>
        <w:pStyle w:val="9"/>
        <w:rPr>
          <w:rStyle w:val="30"/>
          <w:rFonts w:ascii="仿宋_GB2312" w:eastAsia="仿宋_GB2312"/>
          <w:color w:val="auto"/>
          <w:sz w:val="21"/>
          <w:szCs w:val="21"/>
          <w:highlight w:val="none"/>
        </w:rPr>
      </w:pPr>
    </w:p>
    <w:p>
      <w:pPr>
        <w:rPr>
          <w:rStyle w:val="30"/>
          <w:rFonts w:ascii="仿宋_GB2312" w:eastAsia="仿宋_GB2312"/>
          <w:color w:val="auto"/>
          <w:sz w:val="21"/>
          <w:szCs w:val="21"/>
          <w:highlight w:val="none"/>
        </w:rPr>
      </w:pPr>
    </w:p>
    <w:p>
      <w:pPr>
        <w:pStyle w:val="9"/>
        <w:rPr>
          <w:rStyle w:val="30"/>
          <w:rFonts w:ascii="仿宋_GB2312" w:eastAsia="仿宋_GB2312"/>
          <w:color w:val="auto"/>
          <w:sz w:val="21"/>
          <w:szCs w:val="21"/>
          <w:highlight w:val="none"/>
        </w:rPr>
      </w:pPr>
    </w:p>
    <w:p>
      <w:pPr>
        <w:rPr>
          <w:rStyle w:val="30"/>
          <w:rFonts w:ascii="仿宋_GB2312" w:eastAsia="仿宋_GB2312"/>
          <w:color w:val="auto"/>
          <w:sz w:val="21"/>
          <w:szCs w:val="21"/>
          <w:highlight w:val="none"/>
        </w:rPr>
      </w:pPr>
    </w:p>
    <w:p>
      <w:pPr>
        <w:rPr>
          <w:rStyle w:val="30"/>
          <w:rFonts w:ascii="宋体" w:hAnsi="宋体"/>
          <w:color w:val="auto"/>
          <w:highlight w:val="none"/>
        </w:rPr>
      </w:pPr>
      <w:r>
        <w:rPr>
          <w:rStyle w:val="30"/>
          <w:rFonts w:ascii="宋体" w:hAnsi="宋体"/>
          <w:color w:val="auto"/>
          <w:highlight w:val="none"/>
        </w:rPr>
        <w:br w:type="page"/>
      </w:r>
    </w:p>
    <w:p>
      <w:pPr>
        <w:widowControl w:val="0"/>
        <w:spacing w:line="360" w:lineRule="auto"/>
        <w:jc w:val="center"/>
        <w:textAlignment w:val="auto"/>
        <w:rPr>
          <w:rFonts w:cs="Times New Roman"/>
          <w:color w:val="auto"/>
          <w:sz w:val="32"/>
          <w:szCs w:val="32"/>
          <w:highlight w:val="none"/>
        </w:rPr>
      </w:pPr>
    </w:p>
    <w:p>
      <w:pPr>
        <w:widowControl w:val="0"/>
        <w:spacing w:line="360" w:lineRule="auto"/>
        <w:jc w:val="center"/>
        <w:textAlignment w:val="auto"/>
        <w:rPr>
          <w:rFonts w:cs="Times New Roman"/>
          <w:color w:val="auto"/>
          <w:sz w:val="32"/>
          <w:szCs w:val="32"/>
          <w:highlight w:val="none"/>
        </w:rPr>
      </w:pPr>
    </w:p>
    <w:p>
      <w:pPr>
        <w:widowControl w:val="0"/>
        <w:spacing w:line="360" w:lineRule="auto"/>
        <w:jc w:val="center"/>
        <w:textAlignment w:val="auto"/>
        <w:rPr>
          <w:color w:val="auto"/>
          <w:highlight w:val="none"/>
        </w:rPr>
      </w:pPr>
    </w:p>
    <w:p>
      <w:pPr>
        <w:widowControl w:val="0"/>
        <w:spacing w:line="360" w:lineRule="auto"/>
        <w:jc w:val="center"/>
        <w:textAlignment w:val="auto"/>
        <w:rPr>
          <w:rFonts w:cs="Times New Roman"/>
          <w:color w:val="auto"/>
          <w:sz w:val="32"/>
          <w:szCs w:val="32"/>
          <w:highlight w:val="none"/>
        </w:rPr>
      </w:pPr>
    </w:p>
    <w:p>
      <w:pPr>
        <w:spacing w:line="360" w:lineRule="auto"/>
        <w:ind w:left="1"/>
        <w:jc w:val="center"/>
        <w:outlineLvl w:val="0"/>
        <w:rPr>
          <w:rFonts w:ascii="宋体" w:hAnsi="宋体" w:cs="宋体"/>
          <w:b/>
          <w:color w:val="auto"/>
          <w:sz w:val="36"/>
          <w:szCs w:val="36"/>
          <w:highlight w:val="none"/>
        </w:rPr>
      </w:pPr>
      <w:bookmarkStart w:id="57" w:name="_Toc2148"/>
      <w:bookmarkStart w:id="58" w:name="_Toc8542"/>
      <w:r>
        <w:rPr>
          <w:rFonts w:hint="eastAsia" w:ascii="宋体" w:hAnsi="宋体" w:cs="宋体"/>
          <w:b/>
          <w:color w:val="auto"/>
          <w:sz w:val="44"/>
          <w:szCs w:val="44"/>
          <w:highlight w:val="none"/>
        </w:rPr>
        <w:t>政府采购服务项目</w:t>
      </w:r>
      <w:bookmarkEnd w:id="57"/>
      <w:bookmarkEnd w:id="58"/>
    </w:p>
    <w:p>
      <w:pPr>
        <w:jc w:val="center"/>
        <w:rPr>
          <w:rFonts w:ascii="宋体" w:hAnsi="宋体" w:cs="宋体"/>
          <w:b/>
          <w:color w:val="auto"/>
          <w:sz w:val="44"/>
          <w:szCs w:val="44"/>
          <w:highlight w:val="none"/>
        </w:rPr>
      </w:pPr>
    </w:p>
    <w:p>
      <w:pPr>
        <w:jc w:val="center"/>
        <w:rPr>
          <w:rFonts w:ascii="宋体" w:hAnsi="宋体" w:cs="宋体"/>
          <w:b/>
          <w:color w:val="auto"/>
          <w:sz w:val="36"/>
          <w:szCs w:val="36"/>
          <w:highlight w:val="none"/>
        </w:rPr>
      </w:pPr>
    </w:p>
    <w:p>
      <w:pPr>
        <w:jc w:val="center"/>
        <w:rPr>
          <w:rFonts w:ascii="宋体" w:hAnsi="宋体" w:cs="宋体"/>
          <w:b/>
          <w:color w:val="auto"/>
          <w:sz w:val="84"/>
          <w:szCs w:val="84"/>
          <w:highlight w:val="none"/>
        </w:rPr>
      </w:pPr>
      <w:r>
        <w:rPr>
          <w:rFonts w:hint="eastAsia" w:ascii="宋体" w:hAnsi="宋体" w:cs="宋体"/>
          <w:b/>
          <w:color w:val="auto"/>
          <w:sz w:val="84"/>
          <w:szCs w:val="84"/>
          <w:highlight w:val="none"/>
        </w:rPr>
        <w:t>磋商响应文件</w:t>
      </w:r>
    </w:p>
    <w:p>
      <w:pPr>
        <w:jc w:val="center"/>
        <w:rPr>
          <w:rFonts w:ascii="宋体" w:hAnsi="宋体" w:cs="宋体"/>
          <w:b/>
          <w:color w:val="auto"/>
          <w:sz w:val="36"/>
          <w:szCs w:val="36"/>
          <w:highlight w:val="none"/>
        </w:rPr>
      </w:pPr>
    </w:p>
    <w:p>
      <w:pPr>
        <w:pStyle w:val="5"/>
        <w:jc w:val="center"/>
        <w:rPr>
          <w:rFonts w:ascii="宋体" w:hAnsi="宋体" w:eastAsia="宋体" w:cs="宋体"/>
          <w:bCs w:val="0"/>
          <w:color w:val="auto"/>
          <w:sz w:val="36"/>
          <w:szCs w:val="36"/>
          <w:highlight w:val="none"/>
        </w:rPr>
      </w:pPr>
      <w:bookmarkStart w:id="59" w:name="_Toc17074"/>
      <w:bookmarkStart w:id="60" w:name="_Toc3941"/>
      <w:bookmarkStart w:id="61" w:name="_Toc7190"/>
      <w:r>
        <w:rPr>
          <w:rFonts w:hint="eastAsia" w:ascii="宋体" w:hAnsi="宋体" w:eastAsia="宋体" w:cs="宋体"/>
          <w:bCs w:val="0"/>
          <w:color w:val="auto"/>
          <w:sz w:val="36"/>
          <w:szCs w:val="36"/>
          <w:highlight w:val="none"/>
        </w:rPr>
        <w:t>（技术和商务部分）</w:t>
      </w:r>
      <w:bookmarkEnd w:id="59"/>
      <w:bookmarkEnd w:id="60"/>
      <w:bookmarkEnd w:id="61"/>
    </w:p>
    <w:p>
      <w:pPr>
        <w:rPr>
          <w:rFonts w:ascii="宋体" w:hAnsi="宋体" w:cs="宋体"/>
          <w:b/>
          <w:color w:val="auto"/>
          <w:sz w:val="36"/>
          <w:szCs w:val="36"/>
          <w:highlight w:val="none"/>
        </w:rPr>
      </w:pPr>
    </w:p>
    <w:p>
      <w:pPr>
        <w:jc w:val="center"/>
        <w:rPr>
          <w:rFonts w:ascii="宋体" w:hAnsi="宋体" w:cs="宋体"/>
          <w:color w:val="auto"/>
          <w:sz w:val="72"/>
          <w:szCs w:val="72"/>
          <w:highlight w:val="none"/>
        </w:rPr>
      </w:pPr>
    </w:p>
    <w:p>
      <w:pPr>
        <w:tabs>
          <w:tab w:val="left" w:pos="2628"/>
        </w:tabs>
        <w:spacing w:line="360" w:lineRule="auto"/>
        <w:ind w:left="2498" w:leftChars="401" w:hanging="1656" w:hangingChars="550"/>
        <w:jc w:val="left"/>
        <w:rPr>
          <w:rFonts w:ascii="宋体" w:hAnsi="宋体" w:cs="宋体"/>
          <w:b/>
          <w:color w:val="auto"/>
          <w:sz w:val="30"/>
          <w:szCs w:val="30"/>
          <w:highlight w:val="none"/>
        </w:rPr>
      </w:pPr>
      <w:r>
        <w:rPr>
          <w:rFonts w:hint="eastAsia" w:ascii="宋体" w:hAnsi="宋体" w:cs="宋体"/>
          <w:b/>
          <w:color w:val="auto"/>
          <w:sz w:val="30"/>
          <w:szCs w:val="30"/>
          <w:highlight w:val="none"/>
        </w:rPr>
        <w:t>项目名称：</w:t>
      </w:r>
    </w:p>
    <w:p>
      <w:pPr>
        <w:tabs>
          <w:tab w:val="left" w:pos="2628"/>
        </w:tabs>
        <w:spacing w:line="360" w:lineRule="auto"/>
        <w:ind w:left="843"/>
        <w:jc w:val="left"/>
        <w:rPr>
          <w:rFonts w:ascii="宋体" w:hAnsi="宋体" w:cs="宋体"/>
          <w:b/>
          <w:color w:val="auto"/>
          <w:sz w:val="30"/>
          <w:szCs w:val="30"/>
          <w:highlight w:val="none"/>
        </w:rPr>
      </w:pPr>
      <w:r>
        <w:rPr>
          <w:rFonts w:hint="eastAsia" w:ascii="宋体" w:hAnsi="宋体" w:cs="宋体"/>
          <w:b/>
          <w:color w:val="auto"/>
          <w:sz w:val="30"/>
          <w:szCs w:val="30"/>
          <w:highlight w:val="none"/>
        </w:rPr>
        <w:t>项目编号：</w:t>
      </w:r>
    </w:p>
    <w:p>
      <w:pPr>
        <w:spacing w:line="360" w:lineRule="auto"/>
        <w:ind w:left="1080"/>
        <w:rPr>
          <w:rFonts w:ascii="宋体" w:hAnsi="宋体" w:cs="宋体"/>
          <w:color w:val="auto"/>
          <w:sz w:val="44"/>
          <w:szCs w:val="44"/>
          <w:highlight w:val="none"/>
        </w:rPr>
      </w:pPr>
    </w:p>
    <w:p>
      <w:pPr>
        <w:pStyle w:val="16"/>
        <w:rPr>
          <w:color w:val="auto"/>
          <w:highlight w:val="none"/>
        </w:rPr>
      </w:pPr>
    </w:p>
    <w:p>
      <w:pPr>
        <w:jc w:val="center"/>
        <w:rPr>
          <w:rFonts w:ascii="宋体" w:hAnsi="宋体" w:cs="宋体"/>
          <w:color w:val="auto"/>
          <w:sz w:val="44"/>
          <w:szCs w:val="44"/>
          <w:highlight w:val="none"/>
        </w:rPr>
      </w:pPr>
    </w:p>
    <w:p>
      <w:pPr>
        <w:widowControl w:val="0"/>
        <w:spacing w:before="156" w:beforeLines="50" w:after="156" w:afterLines="50" w:line="360" w:lineRule="auto"/>
        <w:ind w:firstLine="1506" w:firstLineChars="500"/>
        <w:textAlignment w:val="auto"/>
        <w:rPr>
          <w:rFonts w:ascii="宋体" w:hAnsi="宋体" w:cs="宋体"/>
          <w:b/>
          <w:color w:val="auto"/>
          <w:sz w:val="30"/>
          <w:szCs w:val="30"/>
          <w:highlight w:val="none"/>
        </w:rPr>
      </w:pPr>
      <w:r>
        <w:rPr>
          <w:rFonts w:hint="eastAsia" w:ascii="宋体" w:hAnsi="宋体" w:cs="宋体"/>
          <w:b/>
          <w:color w:val="auto"/>
          <w:sz w:val="30"/>
          <w:szCs w:val="30"/>
          <w:highlight w:val="none"/>
        </w:rPr>
        <w:t>供应商：</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rPr>
        <w:t>（公章）</w:t>
      </w:r>
    </w:p>
    <w:p>
      <w:pPr>
        <w:widowControl w:val="0"/>
        <w:spacing w:before="156" w:beforeLines="50" w:after="156" w:afterLines="50" w:line="360" w:lineRule="auto"/>
        <w:ind w:firstLine="1506" w:firstLineChars="500"/>
        <w:textAlignment w:val="auto"/>
        <w:rPr>
          <w:rFonts w:ascii="宋体" w:hAnsi="宋体" w:cs="宋体"/>
          <w:b/>
          <w:color w:val="auto"/>
          <w:sz w:val="30"/>
          <w:szCs w:val="30"/>
          <w:highlight w:val="none"/>
        </w:rPr>
      </w:pPr>
      <w:r>
        <w:rPr>
          <w:rFonts w:hint="eastAsia" w:ascii="宋体" w:hAnsi="宋体" w:cs="宋体"/>
          <w:b/>
          <w:color w:val="auto"/>
          <w:sz w:val="30"/>
          <w:szCs w:val="30"/>
          <w:highlight w:val="none"/>
        </w:rPr>
        <w:t>日  期：</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rPr>
        <w:t>月</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rPr>
        <w:t>日</w:t>
      </w:r>
    </w:p>
    <w:p>
      <w:pPr>
        <w:ind w:firstLine="1506" w:firstLineChars="500"/>
        <w:rPr>
          <w:rStyle w:val="30"/>
          <w:rFonts w:ascii="宋体" w:hAnsi="宋体"/>
          <w:b/>
          <w:color w:val="auto"/>
          <w:sz w:val="30"/>
          <w:szCs w:val="30"/>
          <w:highlight w:val="none"/>
        </w:rPr>
      </w:pPr>
    </w:p>
    <w:p>
      <w:pPr>
        <w:spacing w:line="500" w:lineRule="exact"/>
        <w:jc w:val="center"/>
        <w:rPr>
          <w:rStyle w:val="30"/>
          <w:rFonts w:ascii="宋体" w:hAnsi="宋体"/>
          <w:b/>
          <w:color w:val="auto"/>
          <w:sz w:val="36"/>
          <w:szCs w:val="36"/>
          <w:highlight w:val="none"/>
        </w:rPr>
      </w:pPr>
      <w:r>
        <w:rPr>
          <w:rStyle w:val="30"/>
          <w:rFonts w:ascii="宋体" w:hAnsi="宋体"/>
          <w:b/>
          <w:color w:val="auto"/>
          <w:sz w:val="36"/>
          <w:szCs w:val="36"/>
          <w:highlight w:val="none"/>
        </w:rPr>
        <w:br w:type="page"/>
      </w:r>
    </w:p>
    <w:p>
      <w:pPr>
        <w:widowControl w:val="0"/>
        <w:spacing w:before="156" w:beforeLines="50" w:after="156" w:afterLines="50" w:line="360" w:lineRule="auto"/>
        <w:jc w:val="center"/>
        <w:textAlignment w:val="auto"/>
        <w:rPr>
          <w:rStyle w:val="30"/>
          <w:rFonts w:ascii="宋体" w:hAnsi="宋体"/>
          <w:b/>
          <w:color w:val="auto"/>
          <w:sz w:val="36"/>
          <w:szCs w:val="36"/>
          <w:highlight w:val="none"/>
        </w:rPr>
      </w:pPr>
    </w:p>
    <w:p>
      <w:pPr>
        <w:widowControl w:val="0"/>
        <w:spacing w:before="156" w:beforeLines="50" w:after="156" w:afterLines="50" w:line="360" w:lineRule="auto"/>
        <w:jc w:val="center"/>
        <w:textAlignment w:val="auto"/>
        <w:rPr>
          <w:rFonts w:cs="Times New Roman"/>
          <w:b/>
          <w:color w:val="auto"/>
          <w:sz w:val="32"/>
          <w:szCs w:val="32"/>
          <w:highlight w:val="none"/>
        </w:rPr>
      </w:pPr>
      <w:r>
        <w:rPr>
          <w:rFonts w:cs="Times New Roman"/>
          <w:b/>
          <w:color w:val="auto"/>
          <w:sz w:val="32"/>
          <w:szCs w:val="32"/>
          <w:highlight w:val="none"/>
        </w:rPr>
        <w:t>目 录</w:t>
      </w:r>
    </w:p>
    <w:p>
      <w:pPr>
        <w:pStyle w:val="2"/>
        <w:rPr>
          <w:color w:val="auto"/>
          <w:highlight w:val="none"/>
        </w:rPr>
      </w:pPr>
    </w:p>
    <w:p>
      <w:pPr>
        <w:spacing w:line="480" w:lineRule="auto"/>
        <w:ind w:firstLine="1090" w:firstLineChars="500"/>
        <w:rPr>
          <w:rFonts w:ascii="宋体" w:hAnsi="宋体" w:cs="宋体"/>
          <w:color w:val="auto"/>
          <w:spacing w:val="4"/>
          <w:szCs w:val="21"/>
          <w:highlight w:val="none"/>
        </w:rPr>
      </w:pPr>
      <w:r>
        <w:rPr>
          <w:rFonts w:hint="eastAsia" w:ascii="宋体" w:hAnsi="宋体" w:cs="宋体"/>
          <w:color w:val="auto"/>
          <w:spacing w:val="4"/>
          <w:szCs w:val="21"/>
          <w:highlight w:val="none"/>
        </w:rPr>
        <w:t>（一）磋商响应书</w:t>
      </w:r>
    </w:p>
    <w:p>
      <w:pPr>
        <w:spacing w:line="480" w:lineRule="auto"/>
        <w:ind w:firstLine="1090" w:firstLineChars="500"/>
        <w:rPr>
          <w:rFonts w:ascii="宋体" w:hAnsi="宋体" w:cs="宋体"/>
          <w:color w:val="auto"/>
          <w:spacing w:val="4"/>
          <w:szCs w:val="21"/>
          <w:highlight w:val="none"/>
        </w:rPr>
      </w:pPr>
      <w:r>
        <w:rPr>
          <w:rFonts w:hint="eastAsia" w:ascii="宋体" w:hAnsi="宋体" w:cs="宋体"/>
          <w:color w:val="auto"/>
          <w:spacing w:val="4"/>
          <w:szCs w:val="21"/>
          <w:highlight w:val="none"/>
        </w:rPr>
        <w:t>（二）磋商报价表</w:t>
      </w:r>
    </w:p>
    <w:p>
      <w:pPr>
        <w:spacing w:line="480" w:lineRule="auto"/>
        <w:ind w:firstLine="1090" w:firstLineChars="500"/>
        <w:rPr>
          <w:rFonts w:ascii="宋体" w:hAnsi="宋体" w:cs="宋体"/>
          <w:color w:val="auto"/>
          <w:spacing w:val="4"/>
          <w:szCs w:val="21"/>
          <w:highlight w:val="none"/>
        </w:rPr>
      </w:pPr>
      <w:r>
        <w:rPr>
          <w:rFonts w:hint="eastAsia" w:ascii="宋体" w:hAnsi="宋体" w:cs="宋体"/>
          <w:color w:val="auto"/>
          <w:spacing w:val="4"/>
          <w:szCs w:val="21"/>
          <w:highlight w:val="none"/>
        </w:rPr>
        <w:t>（三）磋商报价方案说明书</w:t>
      </w:r>
    </w:p>
    <w:p>
      <w:pPr>
        <w:spacing w:line="480" w:lineRule="auto"/>
        <w:ind w:firstLine="1090" w:firstLineChars="500"/>
        <w:rPr>
          <w:rStyle w:val="30"/>
          <w:rFonts w:ascii="宋体" w:hAnsi="宋体"/>
          <w:color w:val="auto"/>
          <w:spacing w:val="4"/>
          <w:sz w:val="21"/>
          <w:szCs w:val="21"/>
          <w:highlight w:val="none"/>
        </w:rPr>
      </w:pPr>
    </w:p>
    <w:p>
      <w:pPr>
        <w:spacing w:line="480" w:lineRule="auto"/>
        <w:jc w:val="center"/>
        <w:rPr>
          <w:rStyle w:val="30"/>
          <w:rFonts w:ascii="宋体" w:hAnsi="宋体"/>
          <w:color w:val="auto"/>
          <w:sz w:val="21"/>
          <w:highlight w:val="none"/>
        </w:rPr>
      </w:pPr>
      <w:r>
        <w:rPr>
          <w:rStyle w:val="30"/>
          <w:rFonts w:ascii="宋体" w:hAnsi="宋体"/>
          <w:color w:val="auto"/>
          <w:sz w:val="21"/>
          <w:highlight w:val="none"/>
        </w:rPr>
        <w:br w:type="page"/>
      </w:r>
    </w:p>
    <w:p>
      <w:pPr>
        <w:spacing w:before="156" w:beforeLines="50" w:after="156" w:afterLines="50" w:line="360" w:lineRule="auto"/>
        <w:jc w:val="center"/>
        <w:outlineLvl w:val="2"/>
        <w:rPr>
          <w:rFonts w:ascii="宋体" w:hAnsi="宋体"/>
          <w:b/>
          <w:color w:val="auto"/>
          <w:spacing w:val="4"/>
          <w:sz w:val="28"/>
          <w:szCs w:val="28"/>
          <w:highlight w:val="none"/>
        </w:rPr>
      </w:pPr>
      <w:r>
        <w:rPr>
          <w:rFonts w:ascii="宋体" w:hAnsi="宋体"/>
          <w:b/>
          <w:color w:val="auto"/>
          <w:spacing w:val="4"/>
          <w:sz w:val="28"/>
          <w:szCs w:val="28"/>
          <w:highlight w:val="none"/>
        </w:rPr>
        <w:t>一、磋商响应书</w:t>
      </w:r>
      <w:r>
        <w:rPr>
          <w:rFonts w:ascii="宋体" w:hAnsi="宋体"/>
          <w:b/>
          <w:color w:val="auto"/>
          <w:spacing w:val="4"/>
          <w:sz w:val="28"/>
          <w:szCs w:val="28"/>
          <w:highlight w:val="none"/>
        </w:rPr>
        <w:br w:type="textWrapping"/>
      </w:r>
    </w:p>
    <w:p>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致：西北（陕西）国际招标有限公司</w:t>
      </w:r>
    </w:p>
    <w:p>
      <w:pPr>
        <w:spacing w:line="360" w:lineRule="auto"/>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根据贵方为</w:t>
      </w:r>
      <w:r>
        <w:rPr>
          <w:rFonts w:hint="eastAsia" w:ascii="宋体" w:hAnsi="宋体" w:cs="宋体"/>
          <w:color w:val="auto"/>
          <w:spacing w:val="4"/>
          <w:szCs w:val="21"/>
          <w:highlight w:val="none"/>
          <w:u w:val="single"/>
        </w:rPr>
        <w:t>（项目名称）</w:t>
      </w:r>
      <w:r>
        <w:rPr>
          <w:rFonts w:hint="eastAsia" w:ascii="宋体" w:hAnsi="宋体" w:cs="宋体"/>
          <w:color w:val="auto"/>
          <w:spacing w:val="4"/>
          <w:szCs w:val="21"/>
          <w:highlight w:val="none"/>
        </w:rPr>
        <w:t>项目服务采购的竞争性磋商邀请</w:t>
      </w:r>
      <w:r>
        <w:rPr>
          <w:rFonts w:hint="eastAsia" w:ascii="宋体" w:hAnsi="宋体" w:cs="宋体"/>
          <w:color w:val="auto"/>
          <w:spacing w:val="4"/>
          <w:szCs w:val="21"/>
          <w:highlight w:val="none"/>
          <w:u w:val="single"/>
        </w:rPr>
        <w:t>（项目编号）</w:t>
      </w:r>
      <w:r>
        <w:rPr>
          <w:rFonts w:hint="eastAsia" w:ascii="宋体" w:hAnsi="宋体" w:cs="宋体"/>
          <w:color w:val="auto"/>
          <w:spacing w:val="4"/>
          <w:szCs w:val="21"/>
          <w:highlight w:val="none"/>
        </w:rPr>
        <w:t>，签字代表</w:t>
      </w:r>
      <w:r>
        <w:rPr>
          <w:rFonts w:hint="eastAsia" w:ascii="宋体" w:hAnsi="宋体" w:cs="宋体"/>
          <w:color w:val="auto"/>
          <w:spacing w:val="4"/>
          <w:szCs w:val="21"/>
          <w:highlight w:val="none"/>
          <w:u w:val="single"/>
        </w:rPr>
        <w:t>（姓名、职务）</w:t>
      </w:r>
      <w:r>
        <w:rPr>
          <w:rFonts w:hint="eastAsia" w:ascii="宋体" w:hAnsi="宋体" w:cs="宋体"/>
          <w:color w:val="auto"/>
          <w:spacing w:val="4"/>
          <w:szCs w:val="21"/>
          <w:highlight w:val="none"/>
        </w:rPr>
        <w:t>经正式授权并代表供应商</w:t>
      </w:r>
      <w:r>
        <w:rPr>
          <w:rFonts w:hint="eastAsia" w:ascii="宋体" w:hAnsi="宋体" w:cs="宋体"/>
          <w:color w:val="auto"/>
          <w:spacing w:val="4"/>
          <w:szCs w:val="21"/>
          <w:highlight w:val="none"/>
          <w:u w:val="single"/>
        </w:rPr>
        <w:t>（供应商名称、地址）</w:t>
      </w:r>
      <w:r>
        <w:rPr>
          <w:rFonts w:hint="eastAsia" w:ascii="宋体" w:hAnsi="宋体" w:cs="宋体"/>
          <w:color w:val="auto"/>
          <w:spacing w:val="4"/>
          <w:szCs w:val="21"/>
          <w:highlight w:val="none"/>
        </w:rPr>
        <w:t xml:space="preserve"> 提交下述响应文件正本一份、副本二份及电子版一份。</w:t>
      </w:r>
    </w:p>
    <w:p>
      <w:pPr>
        <w:spacing w:line="360" w:lineRule="auto"/>
        <w:ind w:left="546" w:leftChars="251" w:hanging="19" w:hangingChars="9"/>
        <w:rPr>
          <w:rFonts w:ascii="宋体" w:hAnsi="宋体" w:cs="宋体"/>
          <w:color w:val="auto"/>
          <w:spacing w:val="4"/>
          <w:szCs w:val="21"/>
          <w:highlight w:val="none"/>
        </w:rPr>
      </w:pPr>
      <w:r>
        <w:rPr>
          <w:rFonts w:hint="eastAsia" w:ascii="宋体" w:hAnsi="宋体" w:cs="宋体"/>
          <w:color w:val="auto"/>
          <w:spacing w:val="4"/>
          <w:szCs w:val="21"/>
          <w:highlight w:val="none"/>
        </w:rPr>
        <w:t>我方承诺如下：</w:t>
      </w:r>
    </w:p>
    <w:p>
      <w:pPr>
        <w:numPr>
          <w:ilvl w:val="0"/>
          <w:numId w:val="5"/>
        </w:numPr>
        <w:tabs>
          <w:tab w:val="left" w:pos="2160"/>
        </w:tabs>
        <w:spacing w:line="360" w:lineRule="auto"/>
        <w:ind w:left="0" w:firstLine="0"/>
        <w:outlineLvl w:val="0"/>
        <w:rPr>
          <w:rFonts w:ascii="宋体" w:hAnsi="宋体" w:cs="宋体"/>
          <w:color w:val="auto"/>
          <w:spacing w:val="4"/>
          <w:szCs w:val="21"/>
          <w:highlight w:val="none"/>
        </w:rPr>
      </w:pPr>
      <w:bookmarkStart w:id="62" w:name="_Toc10429"/>
      <w:bookmarkStart w:id="63" w:name="_Toc42794598"/>
      <w:bookmarkStart w:id="64" w:name="_Toc42518137"/>
      <w:bookmarkStart w:id="65" w:name="_Toc13642"/>
      <w:bookmarkStart w:id="66" w:name="_Toc8917"/>
      <w:bookmarkStart w:id="67" w:name="_Toc42794599"/>
      <w:bookmarkStart w:id="68" w:name="_Toc42518138"/>
      <w:r>
        <w:rPr>
          <w:rFonts w:hint="eastAsia" w:ascii="宋体" w:hAnsi="宋体"/>
          <w:color w:val="auto"/>
          <w:spacing w:val="4"/>
          <w:szCs w:val="21"/>
          <w:highlight w:val="none"/>
        </w:rPr>
        <w:t>磋商报价（第一次）</w:t>
      </w:r>
      <w:r>
        <w:rPr>
          <w:rFonts w:hint="eastAsia" w:ascii="宋体" w:hAnsi="宋体" w:cs="Times New Roman"/>
          <w:color w:val="auto"/>
          <w:spacing w:val="4"/>
          <w:szCs w:val="21"/>
          <w:highlight w:val="none"/>
        </w:rPr>
        <w:t>为详见磋商报价一览表</w:t>
      </w:r>
      <w:r>
        <w:rPr>
          <w:rFonts w:hint="eastAsia" w:ascii="宋体" w:hAnsi="宋体"/>
          <w:color w:val="auto"/>
          <w:spacing w:val="4"/>
          <w:szCs w:val="21"/>
          <w:highlight w:val="none"/>
        </w:rPr>
        <w:t>。</w:t>
      </w:r>
      <w:bookmarkEnd w:id="62"/>
      <w:bookmarkEnd w:id="63"/>
      <w:bookmarkEnd w:id="64"/>
      <w:bookmarkEnd w:id="65"/>
      <w:bookmarkEnd w:id="66"/>
    </w:p>
    <w:p>
      <w:pPr>
        <w:numPr>
          <w:ilvl w:val="0"/>
          <w:numId w:val="5"/>
        </w:numPr>
        <w:tabs>
          <w:tab w:val="left" w:pos="2160"/>
        </w:tabs>
        <w:spacing w:line="360" w:lineRule="auto"/>
        <w:ind w:left="0" w:firstLine="0"/>
        <w:outlineLvl w:val="0"/>
        <w:rPr>
          <w:rFonts w:ascii="宋体" w:hAnsi="宋体" w:cs="宋体"/>
          <w:color w:val="auto"/>
          <w:spacing w:val="4"/>
          <w:szCs w:val="21"/>
          <w:highlight w:val="none"/>
        </w:rPr>
      </w:pPr>
      <w:bookmarkStart w:id="69" w:name="_Toc8736"/>
      <w:bookmarkStart w:id="70" w:name="_Toc5125"/>
      <w:bookmarkStart w:id="71" w:name="_Toc4664"/>
      <w:r>
        <w:rPr>
          <w:rFonts w:hint="eastAsia" w:ascii="宋体" w:hAnsi="宋体" w:cs="宋体"/>
          <w:color w:val="auto"/>
          <w:spacing w:val="4"/>
          <w:szCs w:val="21"/>
          <w:highlight w:val="none"/>
        </w:rPr>
        <w:t>如果成交，我们根据磋商文件的规定，履行合同的责任和义务。</w:t>
      </w:r>
      <w:bookmarkEnd w:id="67"/>
      <w:bookmarkEnd w:id="68"/>
      <w:bookmarkEnd w:id="69"/>
      <w:bookmarkEnd w:id="70"/>
      <w:bookmarkEnd w:id="71"/>
    </w:p>
    <w:p>
      <w:pPr>
        <w:numPr>
          <w:ilvl w:val="0"/>
          <w:numId w:val="5"/>
        </w:numPr>
        <w:tabs>
          <w:tab w:val="left" w:pos="2160"/>
        </w:tabs>
        <w:spacing w:line="360" w:lineRule="auto"/>
        <w:ind w:left="0" w:firstLine="0"/>
        <w:rPr>
          <w:rFonts w:ascii="宋体" w:hAnsi="宋体" w:cs="宋体"/>
          <w:color w:val="auto"/>
          <w:spacing w:val="4"/>
          <w:szCs w:val="21"/>
          <w:highlight w:val="none"/>
        </w:rPr>
      </w:pPr>
      <w:r>
        <w:rPr>
          <w:rFonts w:hint="eastAsia" w:ascii="宋体" w:hAnsi="宋体" w:cs="宋体"/>
          <w:color w:val="auto"/>
          <w:spacing w:val="4"/>
          <w:szCs w:val="21"/>
          <w:highlight w:val="none"/>
        </w:rPr>
        <w:t>我们已详细阅读和审核全部磋商文件（含修改部分，如有的话），及有关附件，我们知道必须放弃提出含糊不清或误解的问题的权利。</w:t>
      </w:r>
    </w:p>
    <w:p>
      <w:pPr>
        <w:numPr>
          <w:ilvl w:val="0"/>
          <w:numId w:val="5"/>
        </w:numPr>
        <w:tabs>
          <w:tab w:val="left" w:pos="2160"/>
        </w:tabs>
        <w:spacing w:line="360" w:lineRule="auto"/>
        <w:ind w:left="0" w:firstLine="0"/>
        <w:rPr>
          <w:rFonts w:ascii="宋体" w:hAnsi="宋体" w:cs="宋体"/>
          <w:color w:val="auto"/>
          <w:spacing w:val="4"/>
          <w:szCs w:val="21"/>
          <w:highlight w:val="none"/>
        </w:rPr>
      </w:pPr>
      <w:r>
        <w:rPr>
          <w:rFonts w:hint="eastAsia" w:ascii="宋体" w:hAnsi="宋体" w:cs="宋体"/>
          <w:color w:val="auto"/>
          <w:spacing w:val="4"/>
          <w:szCs w:val="21"/>
          <w:highlight w:val="none"/>
        </w:rPr>
        <w:t>我们同意在磋商报价有效期内（自磋商之日起</w:t>
      </w:r>
      <w:r>
        <w:rPr>
          <w:rFonts w:hint="eastAsia" w:ascii="宋体" w:hAnsi="宋体" w:cs="宋体"/>
          <w:color w:val="auto"/>
          <w:spacing w:val="4"/>
          <w:szCs w:val="21"/>
          <w:highlight w:val="none"/>
          <w:u w:val="single"/>
        </w:rPr>
        <w:t>90</w:t>
      </w:r>
      <w:r>
        <w:rPr>
          <w:rFonts w:hint="eastAsia" w:ascii="宋体" w:hAnsi="宋体" w:cs="宋体"/>
          <w:color w:val="auto"/>
          <w:spacing w:val="4"/>
          <w:szCs w:val="21"/>
          <w:highlight w:val="none"/>
        </w:rPr>
        <w:t>天内），本磋商响应书对我方具有约束力。</w:t>
      </w:r>
    </w:p>
    <w:p>
      <w:pPr>
        <w:numPr>
          <w:ilvl w:val="0"/>
          <w:numId w:val="5"/>
        </w:numPr>
        <w:tabs>
          <w:tab w:val="left" w:pos="2160"/>
        </w:tabs>
        <w:spacing w:line="360" w:lineRule="auto"/>
        <w:ind w:left="0" w:firstLine="0"/>
        <w:rPr>
          <w:rFonts w:ascii="宋体" w:hAnsi="宋体" w:cs="宋体"/>
          <w:color w:val="auto"/>
          <w:spacing w:val="4"/>
          <w:szCs w:val="21"/>
          <w:highlight w:val="none"/>
        </w:rPr>
      </w:pPr>
      <w:r>
        <w:rPr>
          <w:rFonts w:hint="eastAsia" w:ascii="宋体" w:hAnsi="宋体" w:cs="宋体"/>
          <w:color w:val="auto"/>
          <w:spacing w:val="4"/>
          <w:szCs w:val="21"/>
          <w:highlight w:val="none"/>
        </w:rPr>
        <w:t xml:space="preserve">同意提供贵方可能另外要求的与本磋商报价有关的任何证据和资料。 </w:t>
      </w:r>
    </w:p>
    <w:p>
      <w:pPr>
        <w:numPr>
          <w:ilvl w:val="0"/>
          <w:numId w:val="5"/>
        </w:numPr>
        <w:tabs>
          <w:tab w:val="left" w:pos="2160"/>
        </w:tabs>
        <w:spacing w:line="360" w:lineRule="auto"/>
        <w:ind w:left="0" w:firstLine="0"/>
        <w:rPr>
          <w:rFonts w:ascii="宋体" w:hAnsi="宋体" w:cs="宋体"/>
          <w:color w:val="auto"/>
          <w:spacing w:val="4"/>
          <w:szCs w:val="21"/>
          <w:highlight w:val="none"/>
        </w:rPr>
      </w:pPr>
      <w:r>
        <w:rPr>
          <w:rFonts w:hint="eastAsia" w:ascii="宋体" w:hAnsi="宋体" w:cs="宋体"/>
          <w:color w:val="auto"/>
          <w:spacing w:val="4"/>
          <w:szCs w:val="21"/>
          <w:highlight w:val="none"/>
        </w:rPr>
        <w:t>我们同意，如果成交，向西北（陕西）国际招标有限公司交纳采购代理服务费。</w:t>
      </w:r>
    </w:p>
    <w:p>
      <w:pPr>
        <w:numPr>
          <w:ilvl w:val="0"/>
          <w:numId w:val="5"/>
        </w:numPr>
        <w:tabs>
          <w:tab w:val="left" w:pos="2160"/>
        </w:tabs>
        <w:spacing w:line="360" w:lineRule="auto"/>
        <w:ind w:left="0" w:firstLine="0"/>
        <w:rPr>
          <w:rFonts w:ascii="宋体" w:hAnsi="宋体" w:cs="宋体"/>
          <w:color w:val="auto"/>
          <w:spacing w:val="4"/>
          <w:szCs w:val="21"/>
          <w:highlight w:val="none"/>
        </w:rPr>
      </w:pPr>
      <w:r>
        <w:rPr>
          <w:rFonts w:hint="eastAsia" w:ascii="宋体" w:hAnsi="宋体" w:cs="宋体"/>
          <w:color w:val="auto"/>
          <w:spacing w:val="4"/>
          <w:szCs w:val="21"/>
          <w:highlight w:val="none"/>
        </w:rPr>
        <w:t>与本磋商响应有关的一切正式信函请寄：</w:t>
      </w:r>
    </w:p>
    <w:p>
      <w:pPr>
        <w:spacing w:line="360" w:lineRule="auto"/>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地址：                          邮政编码：</w:t>
      </w:r>
    </w:p>
    <w:p>
      <w:pPr>
        <w:spacing w:line="360" w:lineRule="auto"/>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电话/传真：                     电子邮件：</w:t>
      </w:r>
    </w:p>
    <w:p>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 xml:space="preserve">           </w:t>
      </w:r>
    </w:p>
    <w:p>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 xml:space="preserve">           </w:t>
      </w:r>
    </w:p>
    <w:p>
      <w:pPr>
        <w:widowControl w:val="0"/>
        <w:spacing w:before="156" w:beforeLines="50" w:after="156" w:afterLines="50" w:line="360" w:lineRule="auto"/>
        <w:jc w:val="left"/>
        <w:textAlignment w:val="auto"/>
        <w:rPr>
          <w:rFonts w:ascii="宋体" w:hAnsi="宋体" w:cs="宋体"/>
          <w:color w:val="auto"/>
          <w:szCs w:val="21"/>
          <w:highlight w:val="none"/>
          <w:u w:val="single"/>
        </w:rPr>
      </w:pPr>
      <w:r>
        <w:rPr>
          <w:rFonts w:hint="eastAsia" w:ascii="宋体" w:hAnsi="宋体" w:cs="宋体"/>
          <w:color w:val="auto"/>
          <w:spacing w:val="4"/>
          <w:szCs w:val="21"/>
          <w:highlight w:val="none"/>
        </w:rPr>
        <w:t>法定代表人或</w:t>
      </w:r>
      <w:r>
        <w:rPr>
          <w:rFonts w:hint="eastAsia" w:ascii="宋体" w:hAnsi="宋体" w:cs="宋体"/>
          <w:color w:val="auto"/>
          <w:kern w:val="0"/>
          <w:szCs w:val="21"/>
          <w:highlight w:val="none"/>
        </w:rPr>
        <w:t>授权代表人</w:t>
      </w:r>
      <w:r>
        <w:rPr>
          <w:rFonts w:hint="eastAsia" w:ascii="宋体" w:hAnsi="宋体" w:cs="宋体"/>
          <w:color w:val="auto"/>
          <w:spacing w:val="4"/>
          <w:szCs w:val="21"/>
          <w:highlight w:val="none"/>
        </w:rPr>
        <w:t>（签字或盖章）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widowControl w:val="0"/>
        <w:spacing w:before="156" w:beforeLines="50" w:after="156" w:afterLines="50" w:line="36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（公章）</w:t>
      </w:r>
    </w:p>
    <w:p>
      <w:pPr>
        <w:widowControl w:val="0"/>
        <w:spacing w:before="156" w:beforeLines="50" w:after="156" w:afterLines="50" w:line="360"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pPr>
        <w:rPr>
          <w:rFonts w:ascii="宋体" w:hAnsi="宋体"/>
          <w:b/>
          <w:color w:val="auto"/>
          <w:szCs w:val="21"/>
          <w:highlight w:val="none"/>
        </w:rPr>
      </w:pPr>
      <w:r>
        <w:rPr>
          <w:rFonts w:ascii="宋体" w:hAnsi="宋体"/>
          <w:b/>
          <w:color w:val="auto"/>
          <w:szCs w:val="21"/>
          <w:highlight w:val="none"/>
        </w:rPr>
        <w:br w:type="page"/>
      </w:r>
    </w:p>
    <w:p>
      <w:pPr>
        <w:spacing w:before="156" w:beforeLines="50" w:line="360" w:lineRule="auto"/>
        <w:jc w:val="center"/>
        <w:outlineLvl w:val="1"/>
        <w:rPr>
          <w:rFonts w:ascii="宋体" w:hAnsi="宋体"/>
          <w:b/>
          <w:color w:val="auto"/>
          <w:sz w:val="28"/>
          <w:highlight w:val="none"/>
        </w:rPr>
      </w:pPr>
      <w:bookmarkStart w:id="72" w:name="_Toc82791995"/>
      <w:bookmarkStart w:id="73" w:name="_Toc4060"/>
      <w:r>
        <w:rPr>
          <w:rFonts w:ascii="宋体" w:hAnsi="宋体"/>
          <w:b/>
          <w:color w:val="auto"/>
          <w:sz w:val="28"/>
          <w:highlight w:val="none"/>
        </w:rPr>
        <w:t>二、磋商报价</w:t>
      </w:r>
      <w:bookmarkEnd w:id="72"/>
      <w:bookmarkEnd w:id="73"/>
      <w:r>
        <w:rPr>
          <w:rFonts w:hint="eastAsia" w:ascii="宋体" w:hAnsi="宋体"/>
          <w:b/>
          <w:color w:val="auto"/>
          <w:sz w:val="28"/>
          <w:highlight w:val="none"/>
        </w:rPr>
        <w:t>表</w:t>
      </w:r>
    </w:p>
    <w:p>
      <w:pPr>
        <w:widowControl w:val="0"/>
        <w:spacing w:before="312" w:beforeLines="100" w:after="312" w:afterLines="100"/>
        <w:jc w:val="center"/>
        <w:textAlignment w:val="auto"/>
        <w:rPr>
          <w:rFonts w:ascii="宋体" w:hAnsi="宋体" w:cs="宋体"/>
          <w:color w:val="auto"/>
          <w:sz w:val="28"/>
          <w:szCs w:val="28"/>
          <w:highlight w:val="none"/>
        </w:rPr>
      </w:pPr>
      <w:r>
        <w:rPr>
          <w:rFonts w:hint="eastAsia" w:ascii="宋体" w:hAnsi="宋体" w:cs="宋体"/>
          <w:b/>
          <w:color w:val="auto"/>
          <w:sz w:val="28"/>
          <w:szCs w:val="28"/>
          <w:highlight w:val="none"/>
        </w:rPr>
        <w:t>磋商报价一览表（第一次）</w:t>
      </w:r>
    </w:p>
    <w:p>
      <w:pPr>
        <w:keepNext w:val="0"/>
        <w:keepLines w:val="0"/>
        <w:pageBreakBefore w:val="0"/>
        <w:widowControl/>
        <w:kinsoku/>
        <w:wordWrap/>
        <w:overflowPunct/>
        <w:topLinePunct w:val="0"/>
        <w:autoSpaceDE/>
        <w:autoSpaceDN/>
        <w:bidi w:val="0"/>
        <w:adjustRightInd/>
        <w:snapToGrid/>
        <w:spacing w:after="157" w:afterLines="50" w:line="240" w:lineRule="auto"/>
        <w:textAlignment w:val="baseline"/>
        <w:rPr>
          <w:rFonts w:ascii="宋体" w:hAnsi="宋体" w:cs="宋体"/>
          <w:b/>
          <w:bCs/>
          <w:color w:val="auto"/>
          <w:szCs w:val="21"/>
          <w:highlight w:val="none"/>
          <w:u w:val="single"/>
        </w:rPr>
      </w:pPr>
      <w:r>
        <w:rPr>
          <w:rFonts w:hint="eastAsia" w:ascii="宋体" w:hAnsi="宋体" w:cs="宋体"/>
          <w:b/>
          <w:bCs/>
          <w:color w:val="auto"/>
          <w:szCs w:val="21"/>
          <w:highlight w:val="none"/>
        </w:rPr>
        <w:t>供应商名称：</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 xml:space="preserve">                             项目编号：</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 xml:space="preserve"> </w:t>
      </w:r>
    </w:p>
    <w:tbl>
      <w:tblPr>
        <w:tblStyle w:val="19"/>
        <w:tblW w:w="88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3027"/>
        <w:gridCol w:w="2145"/>
        <w:gridCol w:w="2107"/>
        <w:gridCol w:w="16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6" w:hRule="atLeast"/>
          <w:jc w:val="center"/>
        </w:trPr>
        <w:tc>
          <w:tcPr>
            <w:tcW w:w="3027" w:type="dxa"/>
            <w:vAlign w:val="center"/>
          </w:tcPr>
          <w:p>
            <w:pPr>
              <w:spacing w:after="12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2145" w:type="dxa"/>
            <w:vAlign w:val="center"/>
          </w:tcPr>
          <w:p>
            <w:pPr>
              <w:spacing w:after="120"/>
              <w:jc w:val="center"/>
              <w:rPr>
                <w:rFonts w:ascii="宋体" w:hAnsi="宋体" w:cs="宋体"/>
                <w:color w:val="auto"/>
                <w:szCs w:val="21"/>
                <w:highlight w:val="none"/>
              </w:rPr>
            </w:pPr>
            <w:r>
              <w:rPr>
                <w:rFonts w:hint="eastAsia" w:ascii="宋体" w:hAnsi="宋体" w:cs="宋体"/>
                <w:color w:val="auto"/>
                <w:szCs w:val="21"/>
                <w:highlight w:val="none"/>
              </w:rPr>
              <w:t>磋商报价（元）</w:t>
            </w:r>
          </w:p>
        </w:tc>
        <w:tc>
          <w:tcPr>
            <w:tcW w:w="2107" w:type="dxa"/>
            <w:vAlign w:val="center"/>
          </w:tcPr>
          <w:p>
            <w:pPr>
              <w:spacing w:after="120"/>
              <w:jc w:val="center"/>
              <w:rPr>
                <w:rFonts w:ascii="宋体" w:hAnsi="宋体" w:cs="宋体"/>
                <w:bCs/>
                <w:color w:val="auto"/>
                <w:szCs w:val="21"/>
                <w:highlight w:val="none"/>
              </w:rPr>
            </w:pPr>
            <w:r>
              <w:rPr>
                <w:rFonts w:hint="eastAsia" w:ascii="宋体" w:hAnsi="宋体" w:cs="宋体"/>
                <w:color w:val="auto"/>
                <w:szCs w:val="21"/>
                <w:highlight w:val="none"/>
              </w:rPr>
              <w:t>服务期限</w:t>
            </w:r>
          </w:p>
        </w:tc>
        <w:tc>
          <w:tcPr>
            <w:tcW w:w="1600" w:type="dxa"/>
            <w:vAlign w:val="center"/>
          </w:tcPr>
          <w:p>
            <w:pPr>
              <w:spacing w:after="120"/>
              <w:jc w:val="center"/>
              <w:rPr>
                <w:rFonts w:ascii="宋体" w:hAnsi="宋体" w:cs="宋体"/>
                <w:bCs/>
                <w:color w:val="auto"/>
                <w:szCs w:val="21"/>
                <w:highlight w:val="none"/>
              </w:rPr>
            </w:pPr>
            <w:r>
              <w:rPr>
                <w:rFonts w:hint="eastAsia" w:ascii="宋体" w:hAnsi="宋体" w:cs="宋体"/>
                <w:bCs/>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27" w:hRule="atLeast"/>
          <w:jc w:val="center"/>
        </w:trPr>
        <w:tc>
          <w:tcPr>
            <w:tcW w:w="3027" w:type="dxa"/>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西安市公安局交通警察支队</w:t>
            </w:r>
          </w:p>
          <w:p>
            <w:pPr>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eastAsia="zh-CN"/>
              </w:rPr>
              <w:t>科技处绿色出行评价服务项目（2022-2023）</w:t>
            </w:r>
          </w:p>
        </w:tc>
        <w:tc>
          <w:tcPr>
            <w:tcW w:w="2145" w:type="dxa"/>
            <w:vAlign w:val="center"/>
          </w:tcPr>
          <w:p>
            <w:pPr>
              <w:jc w:val="center"/>
              <w:rPr>
                <w:rFonts w:ascii="宋体" w:hAnsi="宋体" w:cs="宋体"/>
                <w:color w:val="auto"/>
                <w:szCs w:val="21"/>
                <w:highlight w:val="none"/>
              </w:rPr>
            </w:pPr>
          </w:p>
        </w:tc>
        <w:tc>
          <w:tcPr>
            <w:tcW w:w="2107" w:type="dxa"/>
            <w:vAlign w:val="center"/>
          </w:tcPr>
          <w:p>
            <w:pPr>
              <w:jc w:val="center"/>
              <w:rPr>
                <w:rFonts w:ascii="宋体" w:hAnsi="宋体" w:cs="宋体"/>
                <w:color w:val="auto"/>
                <w:szCs w:val="21"/>
                <w:highlight w:val="none"/>
              </w:rPr>
            </w:pPr>
          </w:p>
        </w:tc>
        <w:tc>
          <w:tcPr>
            <w:tcW w:w="1600" w:type="dxa"/>
            <w:vAlign w:val="center"/>
          </w:tcPr>
          <w:p>
            <w:pPr>
              <w:jc w:val="center"/>
              <w:rPr>
                <w:rFonts w:ascii="宋体" w:hAnsi="宋体" w:cs="宋体"/>
                <w:color w:val="auto"/>
                <w:szCs w:val="21"/>
                <w:highlight w:val="none"/>
              </w:rPr>
            </w:pPr>
          </w:p>
        </w:tc>
      </w:tr>
    </w:tbl>
    <w:p>
      <w:pPr>
        <w:spacing w:line="360" w:lineRule="auto"/>
        <w:ind w:left="316" w:hanging="316" w:hangingChars="150"/>
        <w:rPr>
          <w:rFonts w:hint="eastAsia" w:ascii="宋体" w:hAnsi="宋体" w:cs="宋体"/>
          <w:b/>
          <w:color w:val="auto"/>
          <w:szCs w:val="21"/>
          <w:highlight w:val="none"/>
        </w:rPr>
      </w:pPr>
      <w:r>
        <w:rPr>
          <w:rFonts w:hint="eastAsia" w:ascii="宋体" w:hAnsi="宋体" w:cs="宋体"/>
          <w:b/>
          <w:color w:val="auto"/>
          <w:szCs w:val="21"/>
          <w:highlight w:val="none"/>
        </w:rPr>
        <w:t>注：报价应包含完成西安市公安局交通警察支队</w:t>
      </w:r>
      <w:r>
        <w:rPr>
          <w:rFonts w:hint="eastAsia" w:ascii="宋体" w:hAnsi="宋体" w:cs="宋体"/>
          <w:b/>
          <w:color w:val="auto"/>
          <w:szCs w:val="21"/>
          <w:highlight w:val="none"/>
          <w:lang w:eastAsia="zh-CN"/>
        </w:rPr>
        <w:t>科技处绿色出行评价服务项目（2022-2023）</w:t>
      </w:r>
      <w:r>
        <w:rPr>
          <w:rFonts w:hint="eastAsia" w:ascii="宋体" w:hAnsi="宋体" w:cs="宋体"/>
          <w:b/>
          <w:color w:val="auto"/>
          <w:szCs w:val="21"/>
          <w:highlight w:val="none"/>
        </w:rPr>
        <w:t>的全部费用。</w:t>
      </w:r>
    </w:p>
    <w:p>
      <w:pPr>
        <w:spacing w:before="156" w:beforeLines="50" w:line="360" w:lineRule="auto"/>
        <w:ind w:firstLine="436" w:firstLineChars="200"/>
        <w:outlineLvl w:val="1"/>
        <w:rPr>
          <w:rFonts w:ascii="宋体" w:hAnsi="宋体"/>
          <w:color w:val="auto"/>
          <w:spacing w:val="4"/>
          <w:szCs w:val="21"/>
          <w:highlight w:val="none"/>
        </w:rPr>
      </w:pPr>
    </w:p>
    <w:p>
      <w:pPr>
        <w:widowControl w:val="0"/>
        <w:spacing w:before="156" w:beforeLines="50" w:after="156" w:afterLines="50" w:line="360" w:lineRule="auto"/>
        <w:jc w:val="left"/>
        <w:textAlignment w:val="auto"/>
        <w:rPr>
          <w:rFonts w:ascii="宋体" w:hAnsi="宋体" w:cs="宋体"/>
          <w:color w:val="auto"/>
          <w:spacing w:val="4"/>
          <w:szCs w:val="21"/>
          <w:highlight w:val="none"/>
        </w:rPr>
      </w:pPr>
    </w:p>
    <w:p>
      <w:pPr>
        <w:widowControl w:val="0"/>
        <w:spacing w:before="156" w:beforeLines="50" w:after="156" w:afterLines="50" w:line="360" w:lineRule="auto"/>
        <w:ind w:firstLine="218" w:firstLineChars="100"/>
        <w:jc w:val="left"/>
        <w:textAlignment w:val="auto"/>
        <w:rPr>
          <w:rFonts w:ascii="宋体" w:hAnsi="宋体" w:cs="宋体"/>
          <w:color w:val="auto"/>
          <w:szCs w:val="21"/>
          <w:highlight w:val="none"/>
        </w:rPr>
      </w:pPr>
      <w:r>
        <w:rPr>
          <w:rFonts w:hint="eastAsia" w:ascii="宋体" w:hAnsi="宋体" w:cs="宋体"/>
          <w:color w:val="auto"/>
          <w:spacing w:val="4"/>
          <w:szCs w:val="21"/>
          <w:highlight w:val="none"/>
        </w:rPr>
        <w:t>法定代表人或</w:t>
      </w:r>
      <w:r>
        <w:rPr>
          <w:rFonts w:hint="eastAsia" w:ascii="宋体" w:hAnsi="宋体" w:cs="宋体"/>
          <w:color w:val="auto"/>
          <w:kern w:val="0"/>
          <w:szCs w:val="21"/>
          <w:highlight w:val="none"/>
        </w:rPr>
        <w:t>授权代表</w:t>
      </w:r>
      <w:r>
        <w:rPr>
          <w:rFonts w:hint="eastAsia" w:ascii="宋体" w:hAnsi="宋体" w:cs="宋体"/>
          <w:color w:val="auto"/>
          <w:spacing w:val="4"/>
          <w:szCs w:val="21"/>
          <w:highlight w:val="none"/>
        </w:rPr>
        <w:t>（签字或盖章）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widowControl w:val="0"/>
        <w:spacing w:before="156" w:beforeLines="50" w:after="156" w:afterLines="50" w:line="360" w:lineRule="auto"/>
        <w:ind w:firstLine="210" w:firstLineChars="100"/>
        <w:jc w:val="left"/>
        <w:textAlignment w:val="auto"/>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（公章）</w:t>
      </w:r>
    </w:p>
    <w:p>
      <w:pPr>
        <w:rPr>
          <w:rFonts w:ascii="宋体" w:hAnsi="宋体" w:cs="宋体"/>
          <w:color w:val="auto"/>
          <w:szCs w:val="21"/>
          <w:highlight w:val="none"/>
        </w:rPr>
      </w:pPr>
      <w:r>
        <w:rPr>
          <w:rFonts w:hint="eastAsia" w:ascii="宋体" w:hAnsi="宋体" w:cs="宋体"/>
          <w:color w:val="auto"/>
          <w:szCs w:val="21"/>
          <w:highlight w:val="none"/>
        </w:rPr>
        <w:br w:type="page"/>
      </w:r>
    </w:p>
    <w:p>
      <w:pPr>
        <w:widowControl w:val="0"/>
        <w:spacing w:before="312" w:beforeLines="100" w:after="312" w:afterLines="100"/>
        <w:jc w:val="center"/>
        <w:textAlignment w:val="auto"/>
        <w:rPr>
          <w:rFonts w:ascii="宋体" w:hAnsi="宋体" w:cs="宋体"/>
          <w:b/>
          <w:color w:val="auto"/>
          <w:sz w:val="32"/>
          <w:szCs w:val="32"/>
          <w:highlight w:val="none"/>
        </w:rPr>
      </w:pPr>
      <w:r>
        <w:rPr>
          <w:rFonts w:hint="eastAsia" w:ascii="宋体" w:hAnsi="宋体" w:cs="宋体"/>
          <w:b/>
          <w:color w:val="auto"/>
          <w:sz w:val="30"/>
          <w:szCs w:val="30"/>
          <w:highlight w:val="none"/>
        </w:rPr>
        <w:t>磋商报价分项报价表（第一次）</w:t>
      </w:r>
    </w:p>
    <w:tbl>
      <w:tblPr>
        <w:tblStyle w:val="19"/>
        <w:tblW w:w="883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658"/>
        <w:gridCol w:w="1936"/>
        <w:gridCol w:w="4323"/>
        <w:gridCol w:w="191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8"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36"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建设内容</w:t>
            </w:r>
          </w:p>
        </w:tc>
        <w:tc>
          <w:tcPr>
            <w:tcW w:w="4323"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服务内容</w:t>
            </w:r>
          </w:p>
        </w:tc>
        <w:tc>
          <w:tcPr>
            <w:tcW w:w="1917"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报价（元）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8" w:type="dxa"/>
            <w:vMerge w:val="restart"/>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36" w:type="dxa"/>
            <w:vMerge w:val="restart"/>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二期</w:t>
            </w:r>
            <w:r>
              <w:rPr>
                <w:rFonts w:hint="eastAsia" w:ascii="宋体" w:hAnsi="宋体" w:eastAsia="宋体" w:cs="宋体"/>
                <w:color w:val="auto"/>
                <w:sz w:val="21"/>
                <w:szCs w:val="21"/>
                <w:highlight w:val="none"/>
              </w:rPr>
              <w:t>评价指标体系</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权重优化</w:t>
            </w:r>
            <w:r>
              <w:rPr>
                <w:rFonts w:hint="eastAsia" w:ascii="宋体" w:hAnsi="宋体" w:eastAsia="宋体" w:cs="宋体"/>
                <w:color w:val="auto"/>
                <w:sz w:val="21"/>
                <w:szCs w:val="21"/>
                <w:highlight w:val="none"/>
                <w:lang w:val="en-US" w:eastAsia="zh-CN"/>
              </w:rPr>
              <w:t>升级</w:t>
            </w:r>
          </w:p>
        </w:tc>
        <w:tc>
          <w:tcPr>
            <w:tcW w:w="4323" w:type="dxa"/>
            <w:tcBorders>
              <w:tl2br w:val="nil"/>
              <w:tr2bl w:val="nil"/>
            </w:tcBorders>
            <w:shd w:val="clear" w:color="auto" w:fill="auto"/>
            <w:tcMar>
              <w:top w:w="15" w:type="dxa"/>
              <w:left w:w="15" w:type="dxa"/>
              <w:right w:w="15" w:type="dxa"/>
            </w:tcMar>
            <w:vAlign w:val="center"/>
          </w:tcPr>
          <w:p>
            <w:pPr>
              <w:pStyle w:val="8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对2021年的评价指标进行</w:t>
            </w:r>
            <w:r>
              <w:rPr>
                <w:rFonts w:hint="eastAsia" w:ascii="宋体" w:hAnsi="宋体" w:eastAsia="宋体" w:cs="宋体"/>
                <w:color w:val="auto"/>
                <w:sz w:val="21"/>
                <w:szCs w:val="21"/>
                <w:highlight w:val="none"/>
                <w:lang w:val="en-US" w:eastAsia="zh-CN"/>
              </w:rPr>
              <w:t>意见收集</w:t>
            </w:r>
          </w:p>
        </w:tc>
        <w:tc>
          <w:tcPr>
            <w:tcW w:w="1917" w:type="dxa"/>
            <w:tcBorders>
              <w:tl2br w:val="nil"/>
              <w:tr2bl w:val="nil"/>
            </w:tcBorders>
            <w:shd w:val="clear" w:color="auto" w:fill="auto"/>
            <w:tcMar>
              <w:top w:w="15" w:type="dxa"/>
              <w:left w:w="15" w:type="dxa"/>
              <w:right w:w="15" w:type="dxa"/>
            </w:tcMar>
            <w:vAlign w:val="center"/>
          </w:tcPr>
          <w:p>
            <w:pPr>
              <w:pStyle w:val="8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8" w:type="dxa"/>
            <w:vMerge w:val="continue"/>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p>
        </w:tc>
        <w:tc>
          <w:tcPr>
            <w:tcW w:w="1936" w:type="dxa"/>
            <w:vMerge w:val="continue"/>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p>
        </w:tc>
        <w:tc>
          <w:tcPr>
            <w:tcW w:w="4323" w:type="dxa"/>
            <w:tcBorders>
              <w:tl2br w:val="nil"/>
              <w:tr2bl w:val="nil"/>
            </w:tcBorders>
            <w:shd w:val="clear" w:color="auto" w:fill="auto"/>
            <w:tcMar>
              <w:top w:w="15" w:type="dxa"/>
              <w:left w:w="15" w:type="dxa"/>
              <w:right w:w="15" w:type="dxa"/>
            </w:tcMar>
            <w:vAlign w:val="center"/>
          </w:tcPr>
          <w:p>
            <w:pPr>
              <w:pStyle w:val="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确定各新指标的计算方法</w:t>
            </w:r>
          </w:p>
        </w:tc>
        <w:tc>
          <w:tcPr>
            <w:tcW w:w="1917" w:type="dxa"/>
            <w:tcBorders>
              <w:tl2br w:val="nil"/>
              <w:tr2bl w:val="nil"/>
            </w:tcBorders>
            <w:shd w:val="clear" w:color="auto" w:fill="auto"/>
            <w:tcMar>
              <w:top w:w="15" w:type="dxa"/>
              <w:left w:w="15" w:type="dxa"/>
              <w:right w:w="15" w:type="dxa"/>
            </w:tcMar>
            <w:vAlign w:val="center"/>
          </w:tcPr>
          <w:p>
            <w:pPr>
              <w:pStyle w:val="8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8" w:type="dxa"/>
            <w:vMerge w:val="continue"/>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p>
        </w:tc>
        <w:tc>
          <w:tcPr>
            <w:tcW w:w="1936" w:type="dxa"/>
            <w:vMerge w:val="continue"/>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p>
        </w:tc>
        <w:tc>
          <w:tcPr>
            <w:tcW w:w="4323" w:type="dxa"/>
            <w:tcBorders>
              <w:tl2br w:val="nil"/>
              <w:tr2bl w:val="nil"/>
            </w:tcBorders>
            <w:shd w:val="clear" w:color="auto" w:fill="auto"/>
            <w:tcMar>
              <w:top w:w="15" w:type="dxa"/>
              <w:left w:w="15" w:type="dxa"/>
              <w:right w:w="15" w:type="dxa"/>
            </w:tcMar>
            <w:vAlign w:val="center"/>
          </w:tcPr>
          <w:p>
            <w:pPr>
              <w:pStyle w:val="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优化各个指标的评价标准</w:t>
            </w:r>
          </w:p>
        </w:tc>
        <w:tc>
          <w:tcPr>
            <w:tcW w:w="1917" w:type="dxa"/>
            <w:tcBorders>
              <w:tl2br w:val="nil"/>
              <w:tr2bl w:val="nil"/>
            </w:tcBorders>
            <w:shd w:val="clear" w:color="auto" w:fill="auto"/>
            <w:tcMar>
              <w:top w:w="15" w:type="dxa"/>
              <w:left w:w="15" w:type="dxa"/>
              <w:right w:w="15" w:type="dxa"/>
            </w:tcMar>
            <w:vAlign w:val="center"/>
          </w:tcPr>
          <w:p>
            <w:pPr>
              <w:pStyle w:val="8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8" w:type="dxa"/>
            <w:vMerge w:val="restart"/>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36" w:type="dxa"/>
            <w:vMerge w:val="restart"/>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数据采集及</w:t>
            </w:r>
          </w:p>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指标计算服务</w:t>
            </w:r>
          </w:p>
        </w:tc>
        <w:tc>
          <w:tcPr>
            <w:tcW w:w="4323" w:type="dxa"/>
            <w:tcBorders>
              <w:tl2br w:val="nil"/>
              <w:tr2bl w:val="nil"/>
            </w:tcBorders>
            <w:shd w:val="clear" w:color="auto" w:fill="auto"/>
            <w:tcMar>
              <w:top w:w="15" w:type="dxa"/>
              <w:left w:w="15" w:type="dxa"/>
              <w:right w:w="15" w:type="dxa"/>
            </w:tcMar>
            <w:vAlign w:val="center"/>
          </w:tcPr>
          <w:p>
            <w:pPr>
              <w:pStyle w:val="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全部指标2022年数据的采集，含设计问卷、组织人工及专家开展调查</w:t>
            </w:r>
          </w:p>
        </w:tc>
        <w:tc>
          <w:tcPr>
            <w:tcW w:w="1917" w:type="dxa"/>
            <w:tcBorders>
              <w:tl2br w:val="nil"/>
              <w:tr2bl w:val="nil"/>
            </w:tcBorders>
            <w:shd w:val="clear" w:color="auto" w:fill="auto"/>
            <w:tcMar>
              <w:top w:w="15" w:type="dxa"/>
              <w:left w:w="15" w:type="dxa"/>
              <w:right w:w="15" w:type="dxa"/>
            </w:tcMar>
            <w:vAlign w:val="center"/>
          </w:tcPr>
          <w:p>
            <w:pPr>
              <w:pStyle w:val="8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8" w:type="dxa"/>
            <w:vMerge w:val="continue"/>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p>
        </w:tc>
        <w:tc>
          <w:tcPr>
            <w:tcW w:w="1936" w:type="dxa"/>
            <w:vMerge w:val="continue"/>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p>
        </w:tc>
        <w:tc>
          <w:tcPr>
            <w:tcW w:w="4323" w:type="dxa"/>
            <w:tcBorders>
              <w:tl2br w:val="nil"/>
              <w:tr2bl w:val="nil"/>
            </w:tcBorders>
            <w:shd w:val="clear" w:color="auto" w:fill="auto"/>
            <w:tcMar>
              <w:top w:w="15" w:type="dxa"/>
              <w:left w:w="15" w:type="dxa"/>
              <w:right w:w="15" w:type="dxa"/>
            </w:tcMar>
            <w:vAlign w:val="center"/>
          </w:tcPr>
          <w:p>
            <w:pPr>
              <w:pStyle w:val="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优化多指标的融合评价模型</w:t>
            </w:r>
          </w:p>
        </w:tc>
        <w:tc>
          <w:tcPr>
            <w:tcW w:w="1917" w:type="dxa"/>
            <w:tcBorders>
              <w:tl2br w:val="nil"/>
              <w:tr2bl w:val="nil"/>
            </w:tcBorders>
            <w:shd w:val="clear" w:color="auto" w:fill="auto"/>
            <w:tcMar>
              <w:top w:w="15" w:type="dxa"/>
              <w:left w:w="15" w:type="dxa"/>
              <w:right w:w="15" w:type="dxa"/>
            </w:tcMar>
            <w:vAlign w:val="center"/>
          </w:tcPr>
          <w:p>
            <w:pPr>
              <w:pStyle w:val="8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715" w:hRule="atLeast"/>
          <w:jc w:val="center"/>
        </w:trPr>
        <w:tc>
          <w:tcPr>
            <w:tcW w:w="658"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36"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生成</w:t>
            </w:r>
            <w:r>
              <w:rPr>
                <w:rFonts w:hint="eastAsia" w:ascii="宋体" w:hAnsi="宋体" w:eastAsia="宋体" w:cs="宋体"/>
                <w:color w:val="auto"/>
                <w:sz w:val="21"/>
                <w:szCs w:val="21"/>
                <w:highlight w:val="none"/>
                <w:lang w:val="en-US" w:eastAsia="zh-CN"/>
              </w:rPr>
              <w:t>各类</w:t>
            </w:r>
          </w:p>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评估报告服务</w:t>
            </w:r>
          </w:p>
        </w:tc>
        <w:tc>
          <w:tcPr>
            <w:tcW w:w="4323" w:type="dxa"/>
            <w:tcBorders>
              <w:tl2br w:val="nil"/>
              <w:tr2bl w:val="nil"/>
            </w:tcBorders>
            <w:shd w:val="clear" w:color="auto" w:fill="auto"/>
            <w:tcMar>
              <w:top w:w="15" w:type="dxa"/>
              <w:left w:w="15" w:type="dxa"/>
              <w:right w:w="15" w:type="dxa"/>
            </w:tcMar>
            <w:vAlign w:val="center"/>
          </w:tcPr>
          <w:p>
            <w:pPr>
              <w:pStyle w:val="86"/>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完成2022年度绿色出行水平评估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2022年度绿色出行</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非机动车路权保障研究；后疫情时代公共交通（地面交通和轨道交通）相关分析和研究；机动车总量控制和新能源车辆碳排放方向和减少拥堵相关分析研究。</w:t>
            </w:r>
          </w:p>
        </w:tc>
        <w:tc>
          <w:tcPr>
            <w:tcW w:w="1917" w:type="dxa"/>
            <w:tcBorders>
              <w:tl2br w:val="nil"/>
              <w:tr2bl w:val="nil"/>
            </w:tcBorders>
            <w:shd w:val="clear" w:color="auto" w:fill="auto"/>
            <w:tcMar>
              <w:top w:w="15" w:type="dxa"/>
              <w:left w:w="15" w:type="dxa"/>
              <w:right w:w="15" w:type="dxa"/>
            </w:tcMar>
            <w:vAlign w:val="center"/>
          </w:tcPr>
          <w:p>
            <w:pPr>
              <w:pStyle w:val="8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8"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36"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支撑服务</w:t>
            </w:r>
          </w:p>
        </w:tc>
        <w:tc>
          <w:tcPr>
            <w:tcW w:w="4323" w:type="dxa"/>
            <w:tcBorders>
              <w:tl2br w:val="nil"/>
              <w:tr2bl w:val="nil"/>
            </w:tcBorders>
            <w:shd w:val="clear" w:color="auto" w:fill="auto"/>
            <w:tcMar>
              <w:top w:w="15" w:type="dxa"/>
              <w:left w:w="15" w:type="dxa"/>
              <w:right w:w="15" w:type="dxa"/>
            </w:tcMar>
            <w:vAlign w:val="center"/>
          </w:tcPr>
          <w:p>
            <w:pPr>
              <w:pStyle w:val="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项目后续支撑服务</w:t>
            </w:r>
          </w:p>
        </w:tc>
        <w:tc>
          <w:tcPr>
            <w:tcW w:w="1917" w:type="dxa"/>
            <w:tcBorders>
              <w:tl2br w:val="nil"/>
              <w:tr2bl w:val="nil"/>
            </w:tcBorders>
            <w:shd w:val="clear" w:color="auto" w:fill="auto"/>
            <w:tcMar>
              <w:top w:w="15" w:type="dxa"/>
              <w:left w:w="15" w:type="dxa"/>
              <w:right w:w="15" w:type="dxa"/>
            </w:tcMar>
            <w:vAlign w:val="center"/>
          </w:tcPr>
          <w:p>
            <w:pPr>
              <w:pStyle w:val="8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8"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36"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专</w:t>
            </w:r>
            <w:r>
              <w:rPr>
                <w:rFonts w:hint="eastAsia" w:ascii="宋体" w:hAnsi="宋体" w:eastAsia="宋体" w:cs="宋体"/>
                <w:color w:val="auto"/>
                <w:sz w:val="21"/>
                <w:szCs w:val="21"/>
                <w:highlight w:val="none"/>
                <w:lang w:val="en-US" w:eastAsia="zh-CN"/>
              </w:rPr>
              <w:t>业团队</w:t>
            </w:r>
          </w:p>
        </w:tc>
        <w:tc>
          <w:tcPr>
            <w:tcW w:w="4323" w:type="dxa"/>
            <w:tcBorders>
              <w:tl2br w:val="nil"/>
              <w:tr2bl w:val="nil"/>
            </w:tcBorders>
            <w:shd w:val="clear" w:color="auto" w:fill="auto"/>
            <w:tcMar>
              <w:top w:w="15" w:type="dxa"/>
              <w:left w:w="15" w:type="dxa"/>
              <w:right w:w="15" w:type="dxa"/>
            </w:tcMar>
            <w:vAlign w:val="center"/>
          </w:tcPr>
          <w:p>
            <w:pPr>
              <w:pStyle w:val="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项目指数细节评定、</w:t>
            </w:r>
          </w:p>
          <w:p>
            <w:pPr>
              <w:pStyle w:val="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权重设计、算法推演、建模等</w:t>
            </w:r>
          </w:p>
        </w:tc>
        <w:tc>
          <w:tcPr>
            <w:tcW w:w="1917" w:type="dxa"/>
            <w:tcBorders>
              <w:tl2br w:val="nil"/>
              <w:tr2bl w:val="nil"/>
            </w:tcBorders>
            <w:shd w:val="clear" w:color="auto" w:fill="auto"/>
            <w:tcMar>
              <w:top w:w="15" w:type="dxa"/>
              <w:left w:w="15" w:type="dxa"/>
              <w:right w:w="15" w:type="dxa"/>
            </w:tcMar>
            <w:vAlign w:val="center"/>
          </w:tcPr>
          <w:p>
            <w:pPr>
              <w:pStyle w:val="8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8"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36"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媒体宣传</w:t>
            </w:r>
          </w:p>
        </w:tc>
        <w:tc>
          <w:tcPr>
            <w:tcW w:w="4323" w:type="dxa"/>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媒体对外宣传发布</w:t>
            </w:r>
          </w:p>
        </w:tc>
        <w:tc>
          <w:tcPr>
            <w:tcW w:w="1917" w:type="dxa"/>
            <w:tcBorders>
              <w:tl2br w:val="nil"/>
              <w:tr2bl w:val="nil"/>
            </w:tcBorders>
            <w:shd w:val="clear" w:color="auto" w:fill="auto"/>
            <w:tcMar>
              <w:top w:w="15" w:type="dxa"/>
              <w:left w:w="15" w:type="dxa"/>
              <w:right w:w="15" w:type="dxa"/>
            </w:tcMar>
            <w:vAlign w:val="center"/>
          </w:tcPr>
          <w:p>
            <w:pPr>
              <w:pStyle w:val="8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917" w:type="dxa"/>
            <w:gridSpan w:val="3"/>
            <w:tcBorders>
              <w:tl2br w:val="nil"/>
              <w:tr2bl w:val="nil"/>
            </w:tcBorders>
            <w:shd w:val="clear" w:color="auto" w:fill="auto"/>
            <w:tcMar>
              <w:top w:w="15" w:type="dxa"/>
              <w:left w:w="15" w:type="dxa"/>
              <w:right w:w="15" w:type="dxa"/>
            </w:tcMar>
            <w:vAlign w:val="center"/>
          </w:tcPr>
          <w:p>
            <w:pPr>
              <w:pStyle w:val="86"/>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合计（元）</w:t>
            </w:r>
          </w:p>
        </w:tc>
        <w:tc>
          <w:tcPr>
            <w:tcW w:w="1917" w:type="dxa"/>
            <w:tcBorders>
              <w:tl2br w:val="nil"/>
              <w:tr2bl w:val="nil"/>
            </w:tcBorders>
            <w:shd w:val="clear" w:color="auto" w:fill="auto"/>
            <w:tcMar>
              <w:top w:w="15" w:type="dxa"/>
              <w:left w:w="15" w:type="dxa"/>
              <w:right w:w="15" w:type="dxa"/>
            </w:tcMar>
            <w:vAlign w:val="center"/>
          </w:tcPr>
          <w:p>
            <w:pPr>
              <w:pStyle w:val="8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p>
        </w:tc>
      </w:tr>
    </w:tbl>
    <w:p>
      <w:pPr>
        <w:widowControl w:val="0"/>
        <w:spacing w:line="360" w:lineRule="auto"/>
        <w:textAlignment w:val="auto"/>
        <w:rPr>
          <w:rFonts w:ascii="宋体" w:hAnsi="宋体" w:cs="宋体"/>
          <w:b/>
          <w:color w:val="auto"/>
          <w:szCs w:val="21"/>
          <w:highlight w:val="none"/>
        </w:rPr>
      </w:pPr>
      <w:r>
        <w:rPr>
          <w:rFonts w:hint="eastAsia" w:ascii="宋体" w:hAnsi="宋体" w:cs="宋体"/>
          <w:b/>
          <w:bCs/>
          <w:color w:val="auto"/>
          <w:szCs w:val="21"/>
          <w:highlight w:val="none"/>
        </w:rPr>
        <w:t>注：</w:t>
      </w:r>
      <w:r>
        <w:rPr>
          <w:rFonts w:hint="eastAsia" w:ascii="宋体" w:hAnsi="宋体" w:cs="宋体"/>
          <w:b/>
          <w:color w:val="auto"/>
          <w:szCs w:val="21"/>
          <w:highlight w:val="none"/>
        </w:rPr>
        <w:t>1.供应商应根据“第四章 采购内容及要求”中内容进行报价；2.“磋商报价分项报价表”合计应与磋商报价一致。</w:t>
      </w:r>
    </w:p>
    <w:p>
      <w:pPr>
        <w:widowControl w:val="0"/>
        <w:spacing w:before="156" w:beforeLines="50" w:after="156" w:afterLines="50" w:line="360" w:lineRule="auto"/>
        <w:textAlignment w:val="auto"/>
        <w:rPr>
          <w:rFonts w:ascii="宋体" w:hAnsi="宋体" w:cs="宋体"/>
          <w:color w:val="auto"/>
          <w:szCs w:val="21"/>
          <w:highlight w:val="none"/>
        </w:rPr>
      </w:pPr>
    </w:p>
    <w:p>
      <w:pPr>
        <w:widowControl w:val="0"/>
        <w:spacing w:before="156" w:beforeLines="50" w:after="156" w:afterLines="50" w:line="360" w:lineRule="auto"/>
        <w:jc w:val="left"/>
        <w:textAlignment w:val="auto"/>
        <w:rPr>
          <w:rFonts w:ascii="宋体" w:hAnsi="宋体" w:cs="宋体"/>
          <w:color w:val="auto"/>
          <w:szCs w:val="21"/>
          <w:highlight w:val="none"/>
        </w:rPr>
      </w:pPr>
      <w:r>
        <w:rPr>
          <w:rFonts w:hint="eastAsia" w:ascii="宋体" w:hAnsi="宋体" w:cs="宋体"/>
          <w:color w:val="auto"/>
          <w:spacing w:val="4"/>
          <w:szCs w:val="21"/>
          <w:highlight w:val="none"/>
        </w:rPr>
        <w:t>法定代表人或</w:t>
      </w:r>
      <w:r>
        <w:rPr>
          <w:rFonts w:hint="eastAsia" w:ascii="宋体" w:hAnsi="宋体" w:cs="宋体"/>
          <w:color w:val="auto"/>
          <w:kern w:val="0"/>
          <w:szCs w:val="21"/>
          <w:highlight w:val="none"/>
        </w:rPr>
        <w:t>授权代表</w:t>
      </w:r>
      <w:r>
        <w:rPr>
          <w:rFonts w:hint="eastAsia" w:ascii="宋体" w:hAnsi="宋体" w:cs="宋体"/>
          <w:color w:val="auto"/>
          <w:spacing w:val="4"/>
          <w:szCs w:val="21"/>
          <w:highlight w:val="none"/>
        </w:rPr>
        <w:t>（签字或盖章）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widowControl w:val="0"/>
        <w:spacing w:before="156" w:beforeLines="50" w:after="156" w:afterLines="50" w:line="36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（公章）</w:t>
      </w:r>
    </w:p>
    <w:p>
      <w:pPr>
        <w:pStyle w:val="6"/>
        <w:rPr>
          <w:color w:val="auto"/>
          <w:highlight w:val="none"/>
        </w:rPr>
      </w:pPr>
    </w:p>
    <w:p>
      <w:pPr>
        <w:rPr>
          <w:rFonts w:ascii="宋体" w:hAnsi="宋体"/>
          <w:b/>
          <w:color w:val="auto"/>
          <w:sz w:val="24"/>
          <w:highlight w:val="none"/>
        </w:rPr>
      </w:pPr>
      <w:r>
        <w:rPr>
          <w:rFonts w:ascii="宋体" w:hAnsi="宋体"/>
          <w:b/>
          <w:color w:val="auto"/>
          <w:sz w:val="24"/>
          <w:highlight w:val="none"/>
        </w:rPr>
        <w:br w:type="page"/>
      </w:r>
    </w:p>
    <w:p>
      <w:pPr>
        <w:spacing w:before="156" w:beforeLines="50" w:line="360" w:lineRule="auto"/>
        <w:jc w:val="center"/>
        <w:outlineLvl w:val="1"/>
        <w:rPr>
          <w:rFonts w:ascii="宋体" w:hAnsi="宋体"/>
          <w:b/>
          <w:bCs/>
          <w:color w:val="auto"/>
          <w:sz w:val="32"/>
          <w:szCs w:val="32"/>
          <w:highlight w:val="none"/>
        </w:rPr>
      </w:pPr>
      <w:r>
        <w:rPr>
          <w:rFonts w:ascii="宋体" w:hAnsi="宋体"/>
          <w:b/>
          <w:color w:val="auto"/>
          <w:sz w:val="28"/>
          <w:highlight w:val="none"/>
        </w:rPr>
        <w:t>三、</w:t>
      </w:r>
      <w:r>
        <w:rPr>
          <w:rFonts w:hint="eastAsia" w:ascii="宋体" w:hAnsi="宋体"/>
          <w:b/>
          <w:color w:val="auto"/>
          <w:spacing w:val="4"/>
          <w:sz w:val="28"/>
          <w:szCs w:val="28"/>
          <w:highlight w:val="none"/>
        </w:rPr>
        <w:t>磋商报价方案说明书</w:t>
      </w:r>
    </w:p>
    <w:p>
      <w:pPr>
        <w:widowControl w:val="0"/>
        <w:spacing w:line="360" w:lineRule="auto"/>
        <w:textAlignment w:val="auto"/>
        <w:rPr>
          <w:rFonts w:ascii="宋体" w:hAnsi="宋体" w:cs="宋体"/>
          <w:b/>
          <w:bCs/>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30"/>
          <w:rFonts w:ascii="宋体" w:hAnsi="宋体"/>
          <w:b/>
          <w:bCs/>
          <w:color w:val="auto"/>
          <w:sz w:val="21"/>
          <w:szCs w:val="21"/>
          <w:highlight w:val="none"/>
        </w:rPr>
      </w:pPr>
      <w:r>
        <w:rPr>
          <w:rFonts w:hint="eastAsia" w:ascii="宋体" w:hAnsi="宋体" w:cs="宋体"/>
          <w:b/>
          <w:bCs/>
          <w:color w:val="auto"/>
          <w:szCs w:val="21"/>
          <w:highlight w:val="none"/>
        </w:rPr>
        <w:t>按照磋商文件的要求编制报价方案说明书，</w:t>
      </w:r>
      <w:r>
        <w:rPr>
          <w:rStyle w:val="30"/>
          <w:rFonts w:ascii="宋体" w:hAnsi="宋体"/>
          <w:b/>
          <w:bCs/>
          <w:color w:val="auto"/>
          <w:sz w:val="21"/>
          <w:szCs w:val="21"/>
          <w:highlight w:val="none"/>
        </w:rPr>
        <w:t>至少应包括如下：</w:t>
      </w:r>
    </w:p>
    <w:p>
      <w:pPr>
        <w:spacing w:line="360" w:lineRule="auto"/>
        <w:ind w:firstLine="420" w:firstLineChars="200"/>
        <w:rPr>
          <w:rFonts w:hint="eastAsia" w:ascii="宋体" w:hAnsi="宋体" w:cs="宋体"/>
          <w:color w:val="auto"/>
          <w:szCs w:val="21"/>
          <w:highlight w:val="none"/>
        </w:rPr>
      </w:pPr>
    </w:p>
    <w:p>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1）技术响应证明文件</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1.1</w:t>
      </w:r>
      <w:r>
        <w:rPr>
          <w:rFonts w:hint="eastAsia" w:ascii="宋体" w:hAnsi="宋体" w:eastAsia="宋体" w:cs="宋体"/>
          <w:color w:val="auto"/>
          <w:kern w:val="0"/>
          <w:sz w:val="21"/>
          <w:szCs w:val="21"/>
          <w:highlight w:val="none"/>
        </w:rPr>
        <w:t>技术方案</w:t>
      </w:r>
      <w:r>
        <w:rPr>
          <w:rFonts w:hint="eastAsia" w:ascii="宋体" w:hAnsi="宋体" w:eastAsia="宋体" w:cs="宋体"/>
          <w:color w:val="auto"/>
          <w:kern w:val="0"/>
          <w:sz w:val="21"/>
          <w:szCs w:val="21"/>
          <w:highlight w:val="none"/>
          <w:lang w:val="en-US" w:eastAsia="zh-CN"/>
        </w:rPr>
        <w:t>及服务团队</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cs="宋体"/>
          <w:color w:val="auto"/>
          <w:szCs w:val="21"/>
          <w:highlight w:val="none"/>
        </w:rPr>
      </w:pPr>
      <w:r>
        <w:rPr>
          <w:rFonts w:hint="eastAsia" w:ascii="宋体" w:hAnsi="宋体" w:cs="宋体"/>
          <w:color w:val="auto"/>
          <w:szCs w:val="21"/>
          <w:highlight w:val="none"/>
        </w:rPr>
        <w:t>2）商务响应文件</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企业</w:t>
      </w:r>
      <w:r>
        <w:rPr>
          <w:rFonts w:hint="eastAsia" w:ascii="宋体" w:hAnsi="宋体" w:cs="宋体"/>
          <w:color w:val="auto"/>
          <w:szCs w:val="21"/>
          <w:highlight w:val="none"/>
          <w:lang w:val="en-US" w:eastAsia="zh-CN"/>
        </w:rPr>
        <w:t>/单位</w:t>
      </w:r>
      <w:r>
        <w:rPr>
          <w:rFonts w:hint="eastAsia" w:ascii="宋体" w:hAnsi="宋体" w:cs="宋体"/>
          <w:color w:val="auto"/>
          <w:szCs w:val="21"/>
          <w:highlight w:val="none"/>
        </w:rPr>
        <w:t>实力</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业绩</w:t>
      </w:r>
      <w:r>
        <w:rPr>
          <w:rFonts w:hint="eastAsia" w:ascii="宋体" w:hAnsi="宋体" w:cs="宋体"/>
          <w:color w:val="auto"/>
          <w:szCs w:val="21"/>
          <w:highlight w:val="none"/>
          <w:lang w:eastAsia="zh-CN"/>
        </w:rPr>
        <w:t>；</w:t>
      </w:r>
    </w:p>
    <w:p>
      <w:pPr>
        <w:pStyle w:val="14"/>
        <w:rPr>
          <w:rFonts w:hint="eastAsia" w:ascii="宋体" w:hAnsi="宋体" w:cs="宋体"/>
          <w:b/>
          <w:bCs/>
          <w:color w:val="auto"/>
          <w:sz w:val="21"/>
          <w:szCs w:val="24"/>
          <w:highlight w:val="none"/>
        </w:rPr>
      </w:pPr>
    </w:p>
    <w:p>
      <w:pPr>
        <w:pStyle w:val="14"/>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baseline"/>
        <w:rPr>
          <w:color w:val="auto"/>
          <w:sz w:val="21"/>
          <w:szCs w:val="22"/>
          <w:highlight w:val="none"/>
        </w:rPr>
      </w:pPr>
      <w:r>
        <w:rPr>
          <w:rFonts w:hint="eastAsia" w:ascii="宋体" w:hAnsi="宋体" w:cs="宋体"/>
          <w:b/>
          <w:bCs/>
          <w:color w:val="auto"/>
          <w:sz w:val="21"/>
          <w:szCs w:val="24"/>
          <w:highlight w:val="none"/>
        </w:rPr>
        <w:t>说明：后附部分内容参考格式，其他内容供应商自行编制。</w:t>
      </w:r>
    </w:p>
    <w:p>
      <w:pPr>
        <w:adjustRightInd w:val="0"/>
        <w:snapToGrid w:val="0"/>
        <w:spacing w:line="360" w:lineRule="auto"/>
        <w:ind w:firstLine="316" w:firstLineChars="150"/>
        <w:rPr>
          <w:rFonts w:ascii="宋体" w:hAnsi="宋体"/>
          <w:b/>
          <w:color w:val="auto"/>
          <w:szCs w:val="21"/>
          <w:highlight w:val="none"/>
        </w:rPr>
      </w:pPr>
    </w:p>
    <w:p>
      <w:pPr>
        <w:pStyle w:val="14"/>
        <w:rPr>
          <w:color w:val="auto"/>
          <w:highlight w:val="none"/>
        </w:rPr>
      </w:pPr>
    </w:p>
    <w:p>
      <w:pPr>
        <w:rPr>
          <w:color w:val="auto"/>
          <w:highlight w:val="none"/>
        </w:rPr>
      </w:pPr>
    </w:p>
    <w:p>
      <w:pPr>
        <w:pStyle w:val="16"/>
        <w:rPr>
          <w:color w:val="auto"/>
          <w:highlight w:val="none"/>
        </w:rPr>
      </w:pPr>
      <w:r>
        <w:rPr>
          <w:color w:val="auto"/>
          <w:highlight w:val="none"/>
        </w:rPr>
        <w:br w:type="page"/>
      </w:r>
    </w:p>
    <w:p>
      <w:pPr>
        <w:widowControl w:val="0"/>
        <w:spacing w:line="360" w:lineRule="auto"/>
        <w:textAlignment w:val="auto"/>
        <w:outlineLvl w:val="0"/>
        <w:rPr>
          <w:rFonts w:ascii="宋体" w:hAnsi="宋体" w:cs="宋体"/>
          <w:color w:val="auto"/>
          <w:sz w:val="24"/>
          <w:szCs w:val="24"/>
          <w:highlight w:val="none"/>
        </w:rPr>
      </w:pPr>
      <w:bookmarkStart w:id="74" w:name="_Toc16226"/>
      <w:bookmarkStart w:id="75" w:name="_Toc3534"/>
      <w:r>
        <w:rPr>
          <w:rFonts w:hint="eastAsia" w:ascii="宋体" w:hAnsi="宋体" w:cs="宋体"/>
          <w:b/>
          <w:color w:val="auto"/>
          <w:sz w:val="24"/>
          <w:szCs w:val="24"/>
          <w:highlight w:val="none"/>
        </w:rPr>
        <w:t>附件：格式</w:t>
      </w:r>
      <w:bookmarkEnd w:id="74"/>
      <w:bookmarkEnd w:id="75"/>
    </w:p>
    <w:p>
      <w:pPr>
        <w:widowControl w:val="0"/>
        <w:spacing w:before="312" w:beforeLines="100" w:after="312" w:afterLines="100" w:line="360" w:lineRule="auto"/>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rPr>
        <w:t>商务偏离表</w:t>
      </w:r>
    </w:p>
    <w:p>
      <w:pPr>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供应商名称：</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 xml:space="preserve">              项目编号：</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 xml:space="preserve"> </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725"/>
        <w:gridCol w:w="2988"/>
        <w:gridCol w:w="17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tcBorders>
              <w:top w:val="single" w:color="auto" w:sz="12" w:space="0"/>
            </w:tcBorders>
            <w:vAlign w:val="center"/>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序号</w:t>
            </w:r>
          </w:p>
        </w:tc>
        <w:tc>
          <w:tcPr>
            <w:tcW w:w="2725" w:type="dxa"/>
            <w:tcBorders>
              <w:top w:val="single" w:color="auto" w:sz="12" w:space="0"/>
            </w:tcBorders>
            <w:vAlign w:val="center"/>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磋商文件章节及条款号</w:t>
            </w:r>
          </w:p>
        </w:tc>
        <w:tc>
          <w:tcPr>
            <w:tcW w:w="2988" w:type="dxa"/>
            <w:tcBorders>
              <w:top w:val="single" w:color="auto" w:sz="12" w:space="0"/>
            </w:tcBorders>
            <w:vAlign w:val="center"/>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磋商响应文件章节及条款号</w:t>
            </w:r>
          </w:p>
        </w:tc>
        <w:tc>
          <w:tcPr>
            <w:tcW w:w="1700" w:type="dxa"/>
            <w:tcBorders>
              <w:top w:val="single" w:color="auto" w:sz="12" w:space="0"/>
            </w:tcBorders>
            <w:vAlign w:val="center"/>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spacing w:line="360" w:lineRule="auto"/>
              <w:jc w:val="center"/>
              <w:rPr>
                <w:rFonts w:ascii="宋体" w:cs="宋体"/>
                <w:bCs/>
                <w:color w:val="auto"/>
                <w:szCs w:val="21"/>
                <w:highlight w:val="none"/>
              </w:rPr>
            </w:pPr>
            <w:r>
              <w:rPr>
                <w:rFonts w:ascii="宋体" w:hAnsi="宋体" w:cs="宋体"/>
                <w:bCs/>
                <w:color w:val="auto"/>
                <w:szCs w:val="21"/>
                <w:highlight w:val="none"/>
              </w:rPr>
              <w:t>1</w:t>
            </w:r>
          </w:p>
        </w:tc>
        <w:tc>
          <w:tcPr>
            <w:tcW w:w="2725" w:type="dxa"/>
          </w:tcPr>
          <w:p>
            <w:pPr>
              <w:spacing w:line="440" w:lineRule="exact"/>
              <w:rPr>
                <w:rFonts w:ascii="黑体" w:hAnsi="黑体" w:eastAsia="黑体"/>
                <w:b/>
                <w:color w:val="auto"/>
                <w:sz w:val="32"/>
                <w:highlight w:val="none"/>
              </w:rPr>
            </w:pPr>
          </w:p>
        </w:tc>
        <w:tc>
          <w:tcPr>
            <w:tcW w:w="2988" w:type="dxa"/>
          </w:tcPr>
          <w:p>
            <w:pPr>
              <w:spacing w:line="440" w:lineRule="exact"/>
              <w:rPr>
                <w:rFonts w:ascii="黑体" w:hAnsi="黑体" w:eastAsia="黑体"/>
                <w:b/>
                <w:color w:val="auto"/>
                <w:sz w:val="32"/>
                <w:highlight w:val="none"/>
              </w:rPr>
            </w:pPr>
          </w:p>
        </w:tc>
        <w:tc>
          <w:tcPr>
            <w:tcW w:w="1700" w:type="dxa"/>
          </w:tcPr>
          <w:p>
            <w:pPr>
              <w:spacing w:line="440" w:lineRule="exact"/>
              <w:rPr>
                <w:rFonts w:ascii="黑体" w:hAnsi="黑体" w:eastAsia="黑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spacing w:line="360" w:lineRule="auto"/>
              <w:jc w:val="center"/>
              <w:rPr>
                <w:rFonts w:ascii="宋体" w:cs="宋体"/>
                <w:bCs/>
                <w:color w:val="auto"/>
                <w:szCs w:val="21"/>
                <w:highlight w:val="none"/>
              </w:rPr>
            </w:pPr>
            <w:r>
              <w:rPr>
                <w:rFonts w:ascii="宋体" w:hAnsi="宋体" w:cs="宋体"/>
                <w:bCs/>
                <w:color w:val="auto"/>
                <w:szCs w:val="21"/>
                <w:highlight w:val="none"/>
              </w:rPr>
              <w:t>2</w:t>
            </w:r>
          </w:p>
        </w:tc>
        <w:tc>
          <w:tcPr>
            <w:tcW w:w="2725" w:type="dxa"/>
          </w:tcPr>
          <w:p>
            <w:pPr>
              <w:spacing w:line="440" w:lineRule="exact"/>
              <w:rPr>
                <w:rFonts w:ascii="黑体" w:hAnsi="黑体" w:eastAsia="黑体"/>
                <w:b/>
                <w:color w:val="auto"/>
                <w:sz w:val="32"/>
                <w:highlight w:val="none"/>
              </w:rPr>
            </w:pPr>
          </w:p>
        </w:tc>
        <w:tc>
          <w:tcPr>
            <w:tcW w:w="2988" w:type="dxa"/>
          </w:tcPr>
          <w:p>
            <w:pPr>
              <w:spacing w:line="440" w:lineRule="exact"/>
              <w:rPr>
                <w:rFonts w:ascii="黑体" w:hAnsi="黑体" w:eastAsia="黑体"/>
                <w:b/>
                <w:color w:val="auto"/>
                <w:sz w:val="32"/>
                <w:highlight w:val="none"/>
              </w:rPr>
            </w:pPr>
          </w:p>
        </w:tc>
        <w:tc>
          <w:tcPr>
            <w:tcW w:w="1700" w:type="dxa"/>
          </w:tcPr>
          <w:p>
            <w:pPr>
              <w:spacing w:line="440" w:lineRule="exact"/>
              <w:rPr>
                <w:rFonts w:ascii="黑体" w:hAnsi="黑体" w:eastAsia="黑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spacing w:line="360" w:lineRule="auto"/>
              <w:jc w:val="center"/>
              <w:rPr>
                <w:rFonts w:ascii="宋体" w:cs="宋体"/>
                <w:bCs/>
                <w:color w:val="auto"/>
                <w:szCs w:val="21"/>
                <w:highlight w:val="none"/>
              </w:rPr>
            </w:pPr>
            <w:r>
              <w:rPr>
                <w:rFonts w:ascii="宋体" w:hAnsi="宋体" w:cs="宋体"/>
                <w:bCs/>
                <w:color w:val="auto"/>
                <w:szCs w:val="21"/>
                <w:highlight w:val="none"/>
              </w:rPr>
              <w:t>3</w:t>
            </w:r>
          </w:p>
        </w:tc>
        <w:tc>
          <w:tcPr>
            <w:tcW w:w="2725" w:type="dxa"/>
          </w:tcPr>
          <w:p>
            <w:pPr>
              <w:spacing w:line="440" w:lineRule="exact"/>
              <w:rPr>
                <w:rFonts w:ascii="黑体" w:hAnsi="黑体" w:eastAsia="黑体"/>
                <w:b/>
                <w:color w:val="auto"/>
                <w:sz w:val="32"/>
                <w:highlight w:val="none"/>
              </w:rPr>
            </w:pPr>
          </w:p>
        </w:tc>
        <w:tc>
          <w:tcPr>
            <w:tcW w:w="2988" w:type="dxa"/>
          </w:tcPr>
          <w:p>
            <w:pPr>
              <w:spacing w:line="440" w:lineRule="exact"/>
              <w:rPr>
                <w:rFonts w:ascii="黑体" w:hAnsi="黑体" w:eastAsia="黑体"/>
                <w:b/>
                <w:color w:val="auto"/>
                <w:sz w:val="32"/>
                <w:highlight w:val="none"/>
              </w:rPr>
            </w:pPr>
          </w:p>
        </w:tc>
        <w:tc>
          <w:tcPr>
            <w:tcW w:w="1700" w:type="dxa"/>
          </w:tcPr>
          <w:p>
            <w:pPr>
              <w:spacing w:line="440" w:lineRule="exact"/>
              <w:rPr>
                <w:rFonts w:ascii="黑体" w:hAnsi="黑体" w:eastAsia="黑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spacing w:line="360" w:lineRule="auto"/>
              <w:jc w:val="center"/>
              <w:rPr>
                <w:rFonts w:ascii="宋体" w:cs="宋体"/>
                <w:bCs/>
                <w:color w:val="auto"/>
                <w:szCs w:val="21"/>
                <w:highlight w:val="none"/>
              </w:rPr>
            </w:pPr>
            <w:r>
              <w:rPr>
                <w:rFonts w:ascii="宋体" w:hAnsi="宋体" w:cs="宋体"/>
                <w:bCs/>
                <w:color w:val="auto"/>
                <w:szCs w:val="21"/>
                <w:highlight w:val="none"/>
              </w:rPr>
              <w:t>4</w:t>
            </w:r>
          </w:p>
        </w:tc>
        <w:tc>
          <w:tcPr>
            <w:tcW w:w="2725" w:type="dxa"/>
          </w:tcPr>
          <w:p>
            <w:pPr>
              <w:spacing w:line="440" w:lineRule="exact"/>
              <w:rPr>
                <w:rFonts w:ascii="黑体" w:hAnsi="黑体" w:eastAsia="黑体"/>
                <w:b/>
                <w:color w:val="auto"/>
                <w:sz w:val="32"/>
                <w:highlight w:val="none"/>
              </w:rPr>
            </w:pPr>
          </w:p>
        </w:tc>
        <w:tc>
          <w:tcPr>
            <w:tcW w:w="2988" w:type="dxa"/>
          </w:tcPr>
          <w:p>
            <w:pPr>
              <w:spacing w:line="440" w:lineRule="exact"/>
              <w:rPr>
                <w:rFonts w:ascii="黑体" w:hAnsi="黑体" w:eastAsia="黑体"/>
                <w:b/>
                <w:color w:val="auto"/>
                <w:sz w:val="32"/>
                <w:highlight w:val="none"/>
              </w:rPr>
            </w:pPr>
          </w:p>
        </w:tc>
        <w:tc>
          <w:tcPr>
            <w:tcW w:w="1700" w:type="dxa"/>
          </w:tcPr>
          <w:p>
            <w:pPr>
              <w:spacing w:line="440" w:lineRule="exact"/>
              <w:rPr>
                <w:rFonts w:ascii="黑体" w:hAnsi="黑体" w:eastAsia="黑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spacing w:line="360" w:lineRule="auto"/>
              <w:jc w:val="center"/>
              <w:rPr>
                <w:rFonts w:ascii="宋体" w:cs="宋体"/>
                <w:bCs/>
                <w:color w:val="auto"/>
                <w:szCs w:val="21"/>
                <w:highlight w:val="none"/>
              </w:rPr>
            </w:pPr>
            <w:r>
              <w:rPr>
                <w:rFonts w:ascii="宋体" w:hAnsi="宋体" w:cs="宋体"/>
                <w:bCs/>
                <w:color w:val="auto"/>
                <w:szCs w:val="21"/>
                <w:highlight w:val="none"/>
              </w:rPr>
              <w:t>5</w:t>
            </w:r>
          </w:p>
        </w:tc>
        <w:tc>
          <w:tcPr>
            <w:tcW w:w="2725" w:type="dxa"/>
          </w:tcPr>
          <w:p>
            <w:pPr>
              <w:spacing w:line="440" w:lineRule="exact"/>
              <w:rPr>
                <w:rFonts w:ascii="黑体" w:hAnsi="黑体" w:eastAsia="黑体"/>
                <w:b/>
                <w:color w:val="auto"/>
                <w:sz w:val="32"/>
                <w:highlight w:val="none"/>
              </w:rPr>
            </w:pPr>
          </w:p>
        </w:tc>
        <w:tc>
          <w:tcPr>
            <w:tcW w:w="2988" w:type="dxa"/>
          </w:tcPr>
          <w:p>
            <w:pPr>
              <w:spacing w:line="440" w:lineRule="exact"/>
              <w:rPr>
                <w:rFonts w:ascii="黑体" w:hAnsi="黑体" w:eastAsia="黑体"/>
                <w:b/>
                <w:color w:val="auto"/>
                <w:sz w:val="32"/>
                <w:highlight w:val="none"/>
              </w:rPr>
            </w:pPr>
          </w:p>
        </w:tc>
        <w:tc>
          <w:tcPr>
            <w:tcW w:w="1700" w:type="dxa"/>
          </w:tcPr>
          <w:p>
            <w:pPr>
              <w:spacing w:line="440" w:lineRule="exact"/>
              <w:rPr>
                <w:rFonts w:ascii="黑体" w:hAnsi="黑体" w:eastAsia="黑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tcBorders>
              <w:bottom w:val="single" w:color="auto" w:sz="12" w:space="0"/>
            </w:tcBorders>
            <w:vAlign w:val="center"/>
          </w:tcPr>
          <w:p>
            <w:pPr>
              <w:spacing w:line="360" w:lineRule="auto"/>
              <w:jc w:val="center"/>
              <w:rPr>
                <w:rFonts w:ascii="宋体" w:cs="宋体"/>
                <w:bCs/>
                <w:color w:val="auto"/>
                <w:szCs w:val="21"/>
                <w:highlight w:val="none"/>
              </w:rPr>
            </w:pPr>
            <w:r>
              <w:rPr>
                <w:rFonts w:ascii="宋体" w:cs="宋体"/>
                <w:bCs/>
                <w:color w:val="auto"/>
                <w:szCs w:val="21"/>
                <w:highlight w:val="none"/>
              </w:rPr>
              <w:t>...</w:t>
            </w:r>
          </w:p>
        </w:tc>
        <w:tc>
          <w:tcPr>
            <w:tcW w:w="2725" w:type="dxa"/>
            <w:tcBorders>
              <w:bottom w:val="single" w:color="auto" w:sz="12" w:space="0"/>
            </w:tcBorders>
          </w:tcPr>
          <w:p>
            <w:pPr>
              <w:spacing w:line="440" w:lineRule="exact"/>
              <w:rPr>
                <w:rFonts w:ascii="黑体" w:hAnsi="黑体" w:eastAsia="黑体"/>
                <w:b/>
                <w:color w:val="auto"/>
                <w:sz w:val="32"/>
                <w:highlight w:val="none"/>
              </w:rPr>
            </w:pPr>
          </w:p>
        </w:tc>
        <w:tc>
          <w:tcPr>
            <w:tcW w:w="2988" w:type="dxa"/>
            <w:tcBorders>
              <w:bottom w:val="single" w:color="auto" w:sz="12" w:space="0"/>
            </w:tcBorders>
          </w:tcPr>
          <w:p>
            <w:pPr>
              <w:spacing w:line="440" w:lineRule="exact"/>
              <w:rPr>
                <w:rFonts w:ascii="黑体" w:hAnsi="黑体" w:eastAsia="黑体"/>
                <w:b/>
                <w:color w:val="auto"/>
                <w:sz w:val="32"/>
                <w:highlight w:val="none"/>
              </w:rPr>
            </w:pPr>
          </w:p>
        </w:tc>
        <w:tc>
          <w:tcPr>
            <w:tcW w:w="1700" w:type="dxa"/>
            <w:tcBorders>
              <w:bottom w:val="single" w:color="auto" w:sz="12" w:space="0"/>
            </w:tcBorders>
          </w:tcPr>
          <w:p>
            <w:pPr>
              <w:spacing w:line="440" w:lineRule="exact"/>
              <w:rPr>
                <w:rFonts w:ascii="黑体" w:hAnsi="黑体" w:eastAsia="黑体"/>
                <w:b/>
                <w:color w:val="auto"/>
                <w:sz w:val="32"/>
                <w:highlight w:val="none"/>
              </w:rPr>
            </w:pPr>
          </w:p>
        </w:tc>
      </w:tr>
    </w:tbl>
    <w:p>
      <w:pPr>
        <w:snapToGrid w:val="0"/>
        <w:spacing w:line="500" w:lineRule="exact"/>
        <w:ind w:firstLine="422" w:firstLineChars="200"/>
        <w:outlineLvl w:val="0"/>
        <w:rPr>
          <w:rFonts w:ascii="宋体" w:cs="宋体"/>
          <w:b/>
          <w:bCs/>
          <w:color w:val="auto"/>
          <w:highlight w:val="none"/>
        </w:rPr>
      </w:pPr>
      <w:bookmarkStart w:id="76" w:name="_Toc3258"/>
      <w:bookmarkStart w:id="77" w:name="_Toc2569"/>
      <w:r>
        <w:rPr>
          <w:rFonts w:hint="eastAsia" w:ascii="宋体" w:hAnsi="宋体"/>
          <w:b/>
          <w:bCs/>
          <w:color w:val="auto"/>
          <w:highlight w:val="none"/>
        </w:rPr>
        <w:t>供应商保证：除商务偏离表列出的偏差外，供应商响应磋商文件的全部商务要求。</w:t>
      </w:r>
      <w:bookmarkEnd w:id="76"/>
      <w:bookmarkEnd w:id="77"/>
    </w:p>
    <w:p>
      <w:pPr>
        <w:spacing w:after="120"/>
        <w:outlineLvl w:val="0"/>
        <w:rPr>
          <w:rFonts w:ascii="宋体" w:hAnsi="宋体" w:cs="宋体"/>
          <w:color w:val="auto"/>
          <w:sz w:val="24"/>
          <w:szCs w:val="24"/>
          <w:highlight w:val="none"/>
        </w:rPr>
      </w:pPr>
      <w:r>
        <w:rPr>
          <w:rFonts w:hint="eastAsia" w:ascii="宋体" w:hAnsi="宋体" w:cs="宋体"/>
          <w:b/>
          <w:color w:val="auto"/>
          <w:sz w:val="24"/>
          <w:szCs w:val="24"/>
          <w:highlight w:val="none"/>
        </w:rPr>
        <w:br w:type="page"/>
      </w:r>
      <w:bookmarkStart w:id="78" w:name="_Toc6543"/>
      <w:bookmarkStart w:id="79" w:name="_Toc12735"/>
      <w:r>
        <w:rPr>
          <w:rFonts w:hint="eastAsia" w:ascii="宋体" w:hAnsi="宋体" w:cs="宋体"/>
          <w:b/>
          <w:color w:val="auto"/>
          <w:sz w:val="24"/>
          <w:szCs w:val="24"/>
          <w:highlight w:val="none"/>
        </w:rPr>
        <w:t>附件：格式</w:t>
      </w:r>
      <w:bookmarkEnd w:id="78"/>
      <w:bookmarkEnd w:id="79"/>
    </w:p>
    <w:p>
      <w:pPr>
        <w:widowControl w:val="0"/>
        <w:spacing w:before="312" w:beforeLines="100" w:after="312" w:afterLines="100" w:line="360" w:lineRule="auto"/>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rPr>
        <w:t>服务要求偏离表</w:t>
      </w:r>
    </w:p>
    <w:p>
      <w:pPr>
        <w:pStyle w:val="16"/>
        <w:ind w:firstLine="422" w:firstLineChars="200"/>
        <w:rPr>
          <w:color w:val="auto"/>
          <w:highlight w:val="none"/>
        </w:rPr>
      </w:pPr>
      <w:r>
        <w:rPr>
          <w:rFonts w:hint="eastAsia" w:ascii="宋体" w:hAnsi="宋体" w:cs="宋体"/>
          <w:b/>
          <w:bCs/>
          <w:color w:val="auto"/>
          <w:szCs w:val="21"/>
          <w:highlight w:val="none"/>
        </w:rPr>
        <w:t>供应商名称：</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 xml:space="preserve">             项目编号：</w:t>
      </w:r>
      <w:r>
        <w:rPr>
          <w:rFonts w:hint="eastAsia" w:ascii="宋体" w:hAnsi="宋体" w:cs="宋体"/>
          <w:b/>
          <w:bCs/>
          <w:color w:val="auto"/>
          <w:szCs w:val="21"/>
          <w:highlight w:val="none"/>
          <w:u w:val="single"/>
        </w:rPr>
        <w:t xml:space="preserve">                     </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725"/>
        <w:gridCol w:w="2988"/>
        <w:gridCol w:w="17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tcBorders>
              <w:top w:val="single" w:color="auto" w:sz="12" w:space="0"/>
            </w:tcBorders>
            <w:vAlign w:val="center"/>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序号</w:t>
            </w:r>
          </w:p>
        </w:tc>
        <w:tc>
          <w:tcPr>
            <w:tcW w:w="2725" w:type="dxa"/>
            <w:tcBorders>
              <w:top w:val="single" w:color="auto" w:sz="12" w:space="0"/>
            </w:tcBorders>
            <w:vAlign w:val="center"/>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磋商文件章节及条款号</w:t>
            </w:r>
          </w:p>
        </w:tc>
        <w:tc>
          <w:tcPr>
            <w:tcW w:w="2988" w:type="dxa"/>
            <w:tcBorders>
              <w:top w:val="single" w:color="auto" w:sz="12" w:space="0"/>
            </w:tcBorders>
            <w:vAlign w:val="center"/>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磋商响应文件章节及条款号</w:t>
            </w:r>
          </w:p>
        </w:tc>
        <w:tc>
          <w:tcPr>
            <w:tcW w:w="1700" w:type="dxa"/>
            <w:tcBorders>
              <w:top w:val="single" w:color="auto" w:sz="12" w:space="0"/>
            </w:tcBorders>
            <w:vAlign w:val="center"/>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spacing w:line="360" w:lineRule="auto"/>
              <w:jc w:val="center"/>
              <w:rPr>
                <w:rFonts w:ascii="宋体" w:cs="宋体"/>
                <w:bCs/>
                <w:color w:val="auto"/>
                <w:szCs w:val="21"/>
                <w:highlight w:val="none"/>
              </w:rPr>
            </w:pPr>
            <w:r>
              <w:rPr>
                <w:rFonts w:ascii="宋体" w:hAnsi="宋体" w:cs="宋体"/>
                <w:bCs/>
                <w:color w:val="auto"/>
                <w:szCs w:val="21"/>
                <w:highlight w:val="none"/>
              </w:rPr>
              <w:t>1</w:t>
            </w:r>
          </w:p>
        </w:tc>
        <w:tc>
          <w:tcPr>
            <w:tcW w:w="2725" w:type="dxa"/>
          </w:tcPr>
          <w:p>
            <w:pPr>
              <w:spacing w:line="440" w:lineRule="exact"/>
              <w:rPr>
                <w:rFonts w:ascii="黑体" w:hAnsi="黑体" w:eastAsia="黑体"/>
                <w:b/>
                <w:color w:val="auto"/>
                <w:sz w:val="32"/>
                <w:highlight w:val="none"/>
              </w:rPr>
            </w:pPr>
          </w:p>
        </w:tc>
        <w:tc>
          <w:tcPr>
            <w:tcW w:w="2988" w:type="dxa"/>
          </w:tcPr>
          <w:p>
            <w:pPr>
              <w:spacing w:line="440" w:lineRule="exact"/>
              <w:rPr>
                <w:rFonts w:ascii="黑体" w:hAnsi="黑体" w:eastAsia="黑体"/>
                <w:b/>
                <w:color w:val="auto"/>
                <w:sz w:val="32"/>
                <w:highlight w:val="none"/>
              </w:rPr>
            </w:pPr>
          </w:p>
        </w:tc>
        <w:tc>
          <w:tcPr>
            <w:tcW w:w="1700" w:type="dxa"/>
          </w:tcPr>
          <w:p>
            <w:pPr>
              <w:spacing w:line="440" w:lineRule="exact"/>
              <w:rPr>
                <w:rFonts w:ascii="黑体" w:hAnsi="黑体" w:eastAsia="黑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spacing w:line="360" w:lineRule="auto"/>
              <w:jc w:val="center"/>
              <w:rPr>
                <w:rFonts w:ascii="宋体" w:cs="宋体"/>
                <w:bCs/>
                <w:color w:val="auto"/>
                <w:szCs w:val="21"/>
                <w:highlight w:val="none"/>
              </w:rPr>
            </w:pPr>
            <w:r>
              <w:rPr>
                <w:rFonts w:ascii="宋体" w:hAnsi="宋体" w:cs="宋体"/>
                <w:bCs/>
                <w:color w:val="auto"/>
                <w:szCs w:val="21"/>
                <w:highlight w:val="none"/>
              </w:rPr>
              <w:t>2</w:t>
            </w:r>
          </w:p>
        </w:tc>
        <w:tc>
          <w:tcPr>
            <w:tcW w:w="2725" w:type="dxa"/>
          </w:tcPr>
          <w:p>
            <w:pPr>
              <w:spacing w:line="440" w:lineRule="exact"/>
              <w:rPr>
                <w:rFonts w:ascii="黑体" w:hAnsi="黑体" w:eastAsia="黑体"/>
                <w:b/>
                <w:color w:val="auto"/>
                <w:sz w:val="32"/>
                <w:highlight w:val="none"/>
              </w:rPr>
            </w:pPr>
          </w:p>
        </w:tc>
        <w:tc>
          <w:tcPr>
            <w:tcW w:w="2988" w:type="dxa"/>
          </w:tcPr>
          <w:p>
            <w:pPr>
              <w:spacing w:line="440" w:lineRule="exact"/>
              <w:rPr>
                <w:rFonts w:ascii="黑体" w:hAnsi="黑体" w:eastAsia="黑体"/>
                <w:b/>
                <w:color w:val="auto"/>
                <w:sz w:val="32"/>
                <w:highlight w:val="none"/>
              </w:rPr>
            </w:pPr>
          </w:p>
        </w:tc>
        <w:tc>
          <w:tcPr>
            <w:tcW w:w="1700" w:type="dxa"/>
          </w:tcPr>
          <w:p>
            <w:pPr>
              <w:spacing w:line="440" w:lineRule="exact"/>
              <w:rPr>
                <w:rFonts w:ascii="黑体" w:hAnsi="黑体" w:eastAsia="黑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spacing w:line="360" w:lineRule="auto"/>
              <w:jc w:val="center"/>
              <w:rPr>
                <w:rFonts w:ascii="宋体" w:cs="宋体"/>
                <w:bCs/>
                <w:color w:val="auto"/>
                <w:szCs w:val="21"/>
                <w:highlight w:val="none"/>
              </w:rPr>
            </w:pPr>
            <w:r>
              <w:rPr>
                <w:rFonts w:ascii="宋体" w:hAnsi="宋体" w:cs="宋体"/>
                <w:bCs/>
                <w:color w:val="auto"/>
                <w:szCs w:val="21"/>
                <w:highlight w:val="none"/>
              </w:rPr>
              <w:t>3</w:t>
            </w:r>
          </w:p>
        </w:tc>
        <w:tc>
          <w:tcPr>
            <w:tcW w:w="2725" w:type="dxa"/>
          </w:tcPr>
          <w:p>
            <w:pPr>
              <w:spacing w:line="440" w:lineRule="exact"/>
              <w:rPr>
                <w:rFonts w:ascii="黑体" w:hAnsi="黑体" w:eastAsia="黑体"/>
                <w:b/>
                <w:color w:val="auto"/>
                <w:sz w:val="32"/>
                <w:highlight w:val="none"/>
              </w:rPr>
            </w:pPr>
          </w:p>
        </w:tc>
        <w:tc>
          <w:tcPr>
            <w:tcW w:w="2988" w:type="dxa"/>
          </w:tcPr>
          <w:p>
            <w:pPr>
              <w:spacing w:line="440" w:lineRule="exact"/>
              <w:rPr>
                <w:rFonts w:ascii="黑体" w:hAnsi="黑体" w:eastAsia="黑体"/>
                <w:b/>
                <w:color w:val="auto"/>
                <w:sz w:val="32"/>
                <w:highlight w:val="none"/>
              </w:rPr>
            </w:pPr>
          </w:p>
        </w:tc>
        <w:tc>
          <w:tcPr>
            <w:tcW w:w="1700" w:type="dxa"/>
          </w:tcPr>
          <w:p>
            <w:pPr>
              <w:spacing w:line="440" w:lineRule="exact"/>
              <w:rPr>
                <w:rFonts w:ascii="黑体" w:hAnsi="黑体" w:eastAsia="黑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spacing w:line="360" w:lineRule="auto"/>
              <w:jc w:val="center"/>
              <w:rPr>
                <w:rFonts w:ascii="宋体" w:cs="宋体"/>
                <w:bCs/>
                <w:color w:val="auto"/>
                <w:szCs w:val="21"/>
                <w:highlight w:val="none"/>
              </w:rPr>
            </w:pPr>
            <w:r>
              <w:rPr>
                <w:rFonts w:ascii="宋体" w:hAnsi="宋体" w:cs="宋体"/>
                <w:bCs/>
                <w:color w:val="auto"/>
                <w:szCs w:val="21"/>
                <w:highlight w:val="none"/>
              </w:rPr>
              <w:t>4</w:t>
            </w:r>
          </w:p>
        </w:tc>
        <w:tc>
          <w:tcPr>
            <w:tcW w:w="2725" w:type="dxa"/>
          </w:tcPr>
          <w:p>
            <w:pPr>
              <w:spacing w:line="440" w:lineRule="exact"/>
              <w:rPr>
                <w:rFonts w:ascii="黑体" w:hAnsi="黑体" w:eastAsia="黑体"/>
                <w:b/>
                <w:color w:val="auto"/>
                <w:sz w:val="32"/>
                <w:highlight w:val="none"/>
              </w:rPr>
            </w:pPr>
          </w:p>
        </w:tc>
        <w:tc>
          <w:tcPr>
            <w:tcW w:w="2988" w:type="dxa"/>
          </w:tcPr>
          <w:p>
            <w:pPr>
              <w:spacing w:line="440" w:lineRule="exact"/>
              <w:rPr>
                <w:rFonts w:ascii="黑体" w:hAnsi="黑体" w:eastAsia="黑体"/>
                <w:b/>
                <w:color w:val="auto"/>
                <w:sz w:val="32"/>
                <w:highlight w:val="none"/>
              </w:rPr>
            </w:pPr>
          </w:p>
        </w:tc>
        <w:tc>
          <w:tcPr>
            <w:tcW w:w="1700" w:type="dxa"/>
          </w:tcPr>
          <w:p>
            <w:pPr>
              <w:spacing w:line="440" w:lineRule="exact"/>
              <w:rPr>
                <w:rFonts w:ascii="黑体" w:hAnsi="黑体" w:eastAsia="黑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spacing w:line="360" w:lineRule="auto"/>
              <w:jc w:val="center"/>
              <w:rPr>
                <w:rFonts w:ascii="宋体" w:cs="宋体"/>
                <w:bCs/>
                <w:color w:val="auto"/>
                <w:szCs w:val="21"/>
                <w:highlight w:val="none"/>
              </w:rPr>
            </w:pPr>
            <w:r>
              <w:rPr>
                <w:rFonts w:ascii="宋体" w:hAnsi="宋体" w:cs="宋体"/>
                <w:bCs/>
                <w:color w:val="auto"/>
                <w:szCs w:val="21"/>
                <w:highlight w:val="none"/>
              </w:rPr>
              <w:t>5</w:t>
            </w:r>
          </w:p>
        </w:tc>
        <w:tc>
          <w:tcPr>
            <w:tcW w:w="2725" w:type="dxa"/>
          </w:tcPr>
          <w:p>
            <w:pPr>
              <w:spacing w:line="440" w:lineRule="exact"/>
              <w:rPr>
                <w:rFonts w:ascii="黑体" w:hAnsi="黑体" w:eastAsia="黑体"/>
                <w:b/>
                <w:color w:val="auto"/>
                <w:sz w:val="32"/>
                <w:highlight w:val="none"/>
              </w:rPr>
            </w:pPr>
          </w:p>
        </w:tc>
        <w:tc>
          <w:tcPr>
            <w:tcW w:w="2988" w:type="dxa"/>
          </w:tcPr>
          <w:p>
            <w:pPr>
              <w:spacing w:line="440" w:lineRule="exact"/>
              <w:rPr>
                <w:rFonts w:ascii="黑体" w:hAnsi="黑体" w:eastAsia="黑体"/>
                <w:b/>
                <w:color w:val="auto"/>
                <w:sz w:val="32"/>
                <w:highlight w:val="none"/>
              </w:rPr>
            </w:pPr>
          </w:p>
        </w:tc>
        <w:tc>
          <w:tcPr>
            <w:tcW w:w="1700" w:type="dxa"/>
          </w:tcPr>
          <w:p>
            <w:pPr>
              <w:spacing w:line="440" w:lineRule="exact"/>
              <w:rPr>
                <w:rFonts w:ascii="黑体" w:hAnsi="黑体" w:eastAsia="黑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tcBorders>
              <w:bottom w:val="single" w:color="auto" w:sz="12" w:space="0"/>
            </w:tcBorders>
            <w:vAlign w:val="center"/>
          </w:tcPr>
          <w:p>
            <w:pPr>
              <w:spacing w:line="360" w:lineRule="auto"/>
              <w:jc w:val="center"/>
              <w:rPr>
                <w:rFonts w:ascii="宋体" w:cs="宋体"/>
                <w:bCs/>
                <w:color w:val="auto"/>
                <w:szCs w:val="21"/>
                <w:highlight w:val="none"/>
              </w:rPr>
            </w:pPr>
            <w:r>
              <w:rPr>
                <w:rFonts w:ascii="宋体" w:cs="宋体"/>
                <w:bCs/>
                <w:color w:val="auto"/>
                <w:szCs w:val="21"/>
                <w:highlight w:val="none"/>
              </w:rPr>
              <w:t>...</w:t>
            </w:r>
          </w:p>
        </w:tc>
        <w:tc>
          <w:tcPr>
            <w:tcW w:w="2725" w:type="dxa"/>
            <w:tcBorders>
              <w:bottom w:val="single" w:color="auto" w:sz="12" w:space="0"/>
            </w:tcBorders>
          </w:tcPr>
          <w:p>
            <w:pPr>
              <w:spacing w:line="440" w:lineRule="exact"/>
              <w:rPr>
                <w:rFonts w:ascii="黑体" w:hAnsi="黑体" w:eastAsia="黑体"/>
                <w:b/>
                <w:color w:val="auto"/>
                <w:sz w:val="32"/>
                <w:highlight w:val="none"/>
              </w:rPr>
            </w:pPr>
          </w:p>
        </w:tc>
        <w:tc>
          <w:tcPr>
            <w:tcW w:w="2988" w:type="dxa"/>
            <w:tcBorders>
              <w:bottom w:val="single" w:color="auto" w:sz="12" w:space="0"/>
            </w:tcBorders>
          </w:tcPr>
          <w:p>
            <w:pPr>
              <w:spacing w:line="440" w:lineRule="exact"/>
              <w:rPr>
                <w:rFonts w:ascii="黑体" w:hAnsi="黑体" w:eastAsia="黑体"/>
                <w:b/>
                <w:color w:val="auto"/>
                <w:sz w:val="32"/>
                <w:highlight w:val="none"/>
              </w:rPr>
            </w:pPr>
          </w:p>
        </w:tc>
        <w:tc>
          <w:tcPr>
            <w:tcW w:w="1700" w:type="dxa"/>
            <w:tcBorders>
              <w:bottom w:val="single" w:color="auto" w:sz="12" w:space="0"/>
            </w:tcBorders>
          </w:tcPr>
          <w:p>
            <w:pPr>
              <w:spacing w:line="440" w:lineRule="exact"/>
              <w:rPr>
                <w:rFonts w:ascii="黑体" w:hAnsi="黑体" w:eastAsia="黑体"/>
                <w:b/>
                <w:color w:val="auto"/>
                <w:sz w:val="32"/>
                <w:highlight w:val="none"/>
              </w:rPr>
            </w:pPr>
          </w:p>
        </w:tc>
      </w:tr>
    </w:tbl>
    <w:p>
      <w:pPr>
        <w:snapToGrid w:val="0"/>
        <w:spacing w:line="500" w:lineRule="exact"/>
        <w:ind w:firstLine="422" w:firstLineChars="200"/>
        <w:outlineLvl w:val="0"/>
        <w:rPr>
          <w:rFonts w:ascii="宋体"/>
          <w:b/>
          <w:bCs/>
          <w:color w:val="auto"/>
          <w:highlight w:val="none"/>
        </w:rPr>
      </w:pPr>
      <w:bookmarkStart w:id="80" w:name="_Toc510"/>
      <w:bookmarkStart w:id="81" w:name="_Toc6721"/>
      <w:r>
        <w:rPr>
          <w:rFonts w:hint="eastAsia" w:ascii="宋体" w:hAnsi="宋体"/>
          <w:b/>
          <w:bCs/>
          <w:color w:val="auto"/>
          <w:highlight w:val="none"/>
        </w:rPr>
        <w:t>供应商保证：除服务要求偏离表列出的偏差外，供应商响应磋商文件的全部服务要求。</w:t>
      </w:r>
      <w:bookmarkEnd w:id="80"/>
      <w:bookmarkEnd w:id="81"/>
    </w:p>
    <w:p>
      <w:pPr>
        <w:spacing w:line="480" w:lineRule="exact"/>
        <w:rPr>
          <w:rFonts w:ascii="宋体" w:hAnsi="宋体"/>
          <w:b/>
          <w:color w:val="auto"/>
          <w:sz w:val="24"/>
          <w:highlight w:val="none"/>
        </w:rPr>
      </w:pPr>
    </w:p>
    <w:p>
      <w:pPr>
        <w:spacing w:line="360" w:lineRule="auto"/>
        <w:outlineLvl w:val="0"/>
        <w:rPr>
          <w:rFonts w:ascii="宋体" w:hAnsi="宋体" w:cs="宋体"/>
          <w:color w:val="auto"/>
          <w:sz w:val="36"/>
          <w:szCs w:val="36"/>
          <w:highlight w:val="none"/>
        </w:rPr>
      </w:pPr>
      <w:r>
        <w:rPr>
          <w:rFonts w:hint="eastAsia" w:ascii="宋体" w:hAnsi="宋体" w:cs="宋体"/>
          <w:b/>
          <w:color w:val="auto"/>
          <w:sz w:val="36"/>
          <w:highlight w:val="none"/>
        </w:rPr>
        <w:br w:type="page"/>
      </w:r>
      <w:bookmarkStart w:id="82" w:name="_Toc25400"/>
      <w:bookmarkStart w:id="83" w:name="_Toc4959"/>
      <w:r>
        <w:rPr>
          <w:rFonts w:hint="eastAsia" w:ascii="宋体" w:hAnsi="宋体" w:cs="宋体"/>
          <w:b/>
          <w:bCs/>
          <w:color w:val="auto"/>
          <w:sz w:val="24"/>
          <w:szCs w:val="24"/>
          <w:highlight w:val="none"/>
        </w:rPr>
        <w:t>附件：格式</w:t>
      </w:r>
      <w:bookmarkEnd w:id="82"/>
      <w:bookmarkEnd w:id="83"/>
    </w:p>
    <w:p>
      <w:pPr>
        <w:spacing w:line="420" w:lineRule="exact"/>
        <w:jc w:val="center"/>
        <w:rPr>
          <w:rFonts w:ascii="宋体" w:hAnsi="宋体" w:cs="宋体"/>
          <w:b/>
          <w:color w:val="auto"/>
          <w:sz w:val="36"/>
          <w:szCs w:val="36"/>
          <w:highlight w:val="none"/>
        </w:rPr>
      </w:pPr>
    </w:p>
    <w:p>
      <w:pPr>
        <w:spacing w:after="120"/>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项目负责人简历表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035"/>
        <w:gridCol w:w="1134"/>
        <w:gridCol w:w="1275"/>
        <w:gridCol w:w="2035"/>
        <w:gridCol w:w="17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1035" w:type="dxa"/>
            <w:vAlign w:val="center"/>
          </w:tcPr>
          <w:p>
            <w:pPr>
              <w:jc w:val="center"/>
              <w:rPr>
                <w:rFonts w:ascii="宋体" w:hAnsi="宋体" w:cs="宋体"/>
                <w:color w:val="auto"/>
                <w:szCs w:val="21"/>
                <w:highlight w:val="none"/>
              </w:rPr>
            </w:pPr>
          </w:p>
        </w:tc>
        <w:tc>
          <w:tcPr>
            <w:tcW w:w="113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  龄</w:t>
            </w:r>
          </w:p>
        </w:tc>
        <w:tc>
          <w:tcPr>
            <w:tcW w:w="1275" w:type="dxa"/>
            <w:vAlign w:val="center"/>
          </w:tcPr>
          <w:p>
            <w:pPr>
              <w:jc w:val="center"/>
              <w:rPr>
                <w:rFonts w:ascii="宋体" w:hAnsi="宋体" w:cs="宋体"/>
                <w:color w:val="auto"/>
                <w:szCs w:val="21"/>
                <w:highlight w:val="none"/>
              </w:rPr>
            </w:pPr>
          </w:p>
        </w:tc>
        <w:tc>
          <w:tcPr>
            <w:tcW w:w="203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72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  称</w:t>
            </w:r>
          </w:p>
        </w:tc>
        <w:tc>
          <w:tcPr>
            <w:tcW w:w="1035" w:type="dxa"/>
            <w:vAlign w:val="center"/>
          </w:tcPr>
          <w:p>
            <w:pPr>
              <w:jc w:val="center"/>
              <w:rPr>
                <w:rFonts w:ascii="宋体" w:hAnsi="宋体" w:cs="宋体"/>
                <w:color w:val="auto"/>
                <w:szCs w:val="21"/>
                <w:highlight w:val="none"/>
              </w:rPr>
            </w:pPr>
          </w:p>
        </w:tc>
        <w:tc>
          <w:tcPr>
            <w:tcW w:w="113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  务</w:t>
            </w:r>
          </w:p>
        </w:tc>
        <w:tc>
          <w:tcPr>
            <w:tcW w:w="1275" w:type="dxa"/>
            <w:vAlign w:val="center"/>
          </w:tcPr>
          <w:p>
            <w:pPr>
              <w:jc w:val="center"/>
              <w:rPr>
                <w:rFonts w:ascii="宋体" w:hAnsi="宋体" w:cs="宋体"/>
                <w:color w:val="auto"/>
                <w:szCs w:val="21"/>
                <w:highlight w:val="none"/>
              </w:rPr>
            </w:pPr>
          </w:p>
        </w:tc>
        <w:tc>
          <w:tcPr>
            <w:tcW w:w="203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联系电话</w:t>
            </w:r>
          </w:p>
        </w:tc>
        <w:tc>
          <w:tcPr>
            <w:tcW w:w="172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毕业学校</w:t>
            </w:r>
          </w:p>
        </w:tc>
        <w:tc>
          <w:tcPr>
            <w:tcW w:w="7202" w:type="dxa"/>
            <w:gridSpan w:val="5"/>
            <w:vAlign w:val="center"/>
          </w:tcPr>
          <w:p>
            <w:pPr>
              <w:ind w:firstLine="840" w:firstLineChars="400"/>
              <w:rPr>
                <w:rFonts w:ascii="宋体" w:hAnsi="宋体" w:cs="宋体"/>
                <w:color w:val="auto"/>
                <w:szCs w:val="21"/>
                <w:highlight w:val="none"/>
              </w:rPr>
            </w:pPr>
            <w:r>
              <w:rPr>
                <w:rFonts w:hint="eastAsia" w:ascii="宋体" w:hAnsi="宋体" w:cs="宋体"/>
                <w:color w:val="auto"/>
                <w:szCs w:val="21"/>
                <w:highlight w:val="none"/>
              </w:rPr>
              <w:t>年毕业于                  学校            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6" w:type="dxa"/>
            <w:gridSpan w:val="6"/>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时  间</w:t>
            </w:r>
          </w:p>
        </w:tc>
        <w:tc>
          <w:tcPr>
            <w:tcW w:w="3444" w:type="dxa"/>
            <w:gridSpan w:val="3"/>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参加过的类似项目名称</w:t>
            </w:r>
          </w:p>
        </w:tc>
        <w:tc>
          <w:tcPr>
            <w:tcW w:w="203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项目概况说明</w:t>
            </w:r>
          </w:p>
        </w:tc>
        <w:tc>
          <w:tcPr>
            <w:tcW w:w="172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hAnsi="宋体" w:cs="宋体"/>
                <w:color w:val="auto"/>
                <w:szCs w:val="21"/>
                <w:highlight w:val="none"/>
              </w:rPr>
            </w:pPr>
          </w:p>
        </w:tc>
        <w:tc>
          <w:tcPr>
            <w:tcW w:w="3444" w:type="dxa"/>
            <w:gridSpan w:val="3"/>
            <w:vAlign w:val="center"/>
          </w:tcPr>
          <w:p>
            <w:pPr>
              <w:jc w:val="center"/>
              <w:rPr>
                <w:rFonts w:ascii="宋体" w:hAnsi="宋体" w:cs="宋体"/>
                <w:color w:val="auto"/>
                <w:szCs w:val="21"/>
                <w:highlight w:val="none"/>
              </w:rPr>
            </w:pPr>
          </w:p>
        </w:tc>
        <w:tc>
          <w:tcPr>
            <w:tcW w:w="2035" w:type="dxa"/>
            <w:vAlign w:val="center"/>
          </w:tcPr>
          <w:p>
            <w:pPr>
              <w:jc w:val="center"/>
              <w:rPr>
                <w:rFonts w:ascii="宋体" w:hAnsi="宋体" w:cs="宋体"/>
                <w:color w:val="auto"/>
                <w:szCs w:val="21"/>
                <w:highlight w:val="none"/>
              </w:rPr>
            </w:pPr>
          </w:p>
        </w:tc>
        <w:tc>
          <w:tcPr>
            <w:tcW w:w="172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hAnsi="宋体" w:cs="宋体"/>
                <w:color w:val="auto"/>
                <w:szCs w:val="21"/>
                <w:highlight w:val="none"/>
              </w:rPr>
            </w:pPr>
          </w:p>
        </w:tc>
        <w:tc>
          <w:tcPr>
            <w:tcW w:w="3444" w:type="dxa"/>
            <w:gridSpan w:val="3"/>
            <w:vAlign w:val="center"/>
          </w:tcPr>
          <w:p>
            <w:pPr>
              <w:jc w:val="center"/>
              <w:rPr>
                <w:rFonts w:ascii="宋体" w:hAnsi="宋体" w:cs="宋体"/>
                <w:color w:val="auto"/>
                <w:szCs w:val="21"/>
                <w:highlight w:val="none"/>
              </w:rPr>
            </w:pPr>
          </w:p>
        </w:tc>
        <w:tc>
          <w:tcPr>
            <w:tcW w:w="2035" w:type="dxa"/>
            <w:vAlign w:val="center"/>
          </w:tcPr>
          <w:p>
            <w:pPr>
              <w:jc w:val="center"/>
              <w:rPr>
                <w:rFonts w:ascii="宋体" w:hAnsi="宋体" w:cs="宋体"/>
                <w:color w:val="auto"/>
                <w:szCs w:val="21"/>
                <w:highlight w:val="none"/>
              </w:rPr>
            </w:pPr>
          </w:p>
        </w:tc>
        <w:tc>
          <w:tcPr>
            <w:tcW w:w="172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hAnsi="宋体" w:cs="宋体"/>
                <w:color w:val="auto"/>
                <w:szCs w:val="21"/>
                <w:highlight w:val="none"/>
              </w:rPr>
            </w:pPr>
          </w:p>
        </w:tc>
        <w:tc>
          <w:tcPr>
            <w:tcW w:w="3444" w:type="dxa"/>
            <w:gridSpan w:val="3"/>
            <w:vAlign w:val="center"/>
          </w:tcPr>
          <w:p>
            <w:pPr>
              <w:jc w:val="center"/>
              <w:rPr>
                <w:rFonts w:ascii="宋体" w:hAnsi="宋体" w:cs="宋体"/>
                <w:color w:val="auto"/>
                <w:szCs w:val="21"/>
                <w:highlight w:val="none"/>
              </w:rPr>
            </w:pPr>
          </w:p>
        </w:tc>
        <w:tc>
          <w:tcPr>
            <w:tcW w:w="2035" w:type="dxa"/>
            <w:vAlign w:val="center"/>
          </w:tcPr>
          <w:p>
            <w:pPr>
              <w:jc w:val="center"/>
              <w:rPr>
                <w:rFonts w:ascii="宋体" w:hAnsi="宋体" w:cs="宋体"/>
                <w:color w:val="auto"/>
                <w:szCs w:val="21"/>
                <w:highlight w:val="none"/>
              </w:rPr>
            </w:pPr>
          </w:p>
        </w:tc>
        <w:tc>
          <w:tcPr>
            <w:tcW w:w="172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hAnsi="宋体" w:cs="宋体"/>
                <w:color w:val="auto"/>
                <w:szCs w:val="21"/>
                <w:highlight w:val="none"/>
              </w:rPr>
            </w:pPr>
          </w:p>
        </w:tc>
        <w:tc>
          <w:tcPr>
            <w:tcW w:w="3444" w:type="dxa"/>
            <w:gridSpan w:val="3"/>
            <w:vAlign w:val="center"/>
          </w:tcPr>
          <w:p>
            <w:pPr>
              <w:jc w:val="center"/>
              <w:rPr>
                <w:rFonts w:ascii="宋体" w:hAnsi="宋体" w:cs="宋体"/>
                <w:color w:val="auto"/>
                <w:szCs w:val="21"/>
                <w:highlight w:val="none"/>
              </w:rPr>
            </w:pPr>
          </w:p>
        </w:tc>
        <w:tc>
          <w:tcPr>
            <w:tcW w:w="2035" w:type="dxa"/>
            <w:vAlign w:val="center"/>
          </w:tcPr>
          <w:p>
            <w:pPr>
              <w:jc w:val="center"/>
              <w:rPr>
                <w:rFonts w:ascii="宋体" w:hAnsi="宋体" w:cs="宋体"/>
                <w:color w:val="auto"/>
                <w:szCs w:val="21"/>
                <w:highlight w:val="none"/>
              </w:rPr>
            </w:pPr>
          </w:p>
        </w:tc>
        <w:tc>
          <w:tcPr>
            <w:tcW w:w="172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hAnsi="宋体" w:cs="宋体"/>
                <w:color w:val="auto"/>
                <w:szCs w:val="21"/>
                <w:highlight w:val="none"/>
              </w:rPr>
            </w:pPr>
          </w:p>
        </w:tc>
        <w:tc>
          <w:tcPr>
            <w:tcW w:w="3444" w:type="dxa"/>
            <w:gridSpan w:val="3"/>
            <w:vAlign w:val="center"/>
          </w:tcPr>
          <w:p>
            <w:pPr>
              <w:jc w:val="center"/>
              <w:rPr>
                <w:rFonts w:ascii="宋体" w:hAnsi="宋体" w:cs="宋体"/>
                <w:color w:val="auto"/>
                <w:szCs w:val="21"/>
                <w:highlight w:val="none"/>
              </w:rPr>
            </w:pPr>
          </w:p>
        </w:tc>
        <w:tc>
          <w:tcPr>
            <w:tcW w:w="2035" w:type="dxa"/>
            <w:vAlign w:val="center"/>
          </w:tcPr>
          <w:p>
            <w:pPr>
              <w:jc w:val="center"/>
              <w:rPr>
                <w:rFonts w:ascii="宋体" w:hAnsi="宋体" w:cs="宋体"/>
                <w:color w:val="auto"/>
                <w:szCs w:val="21"/>
                <w:highlight w:val="none"/>
              </w:rPr>
            </w:pPr>
          </w:p>
        </w:tc>
        <w:tc>
          <w:tcPr>
            <w:tcW w:w="172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hAnsi="宋体" w:cs="宋体"/>
                <w:color w:val="auto"/>
                <w:szCs w:val="21"/>
                <w:highlight w:val="none"/>
              </w:rPr>
            </w:pPr>
          </w:p>
        </w:tc>
        <w:tc>
          <w:tcPr>
            <w:tcW w:w="3444" w:type="dxa"/>
            <w:gridSpan w:val="3"/>
            <w:vAlign w:val="center"/>
          </w:tcPr>
          <w:p>
            <w:pPr>
              <w:jc w:val="center"/>
              <w:rPr>
                <w:rFonts w:ascii="宋体" w:hAnsi="宋体" w:cs="宋体"/>
                <w:color w:val="auto"/>
                <w:szCs w:val="21"/>
                <w:highlight w:val="none"/>
              </w:rPr>
            </w:pPr>
          </w:p>
        </w:tc>
        <w:tc>
          <w:tcPr>
            <w:tcW w:w="2035" w:type="dxa"/>
            <w:vAlign w:val="center"/>
          </w:tcPr>
          <w:p>
            <w:pPr>
              <w:jc w:val="center"/>
              <w:rPr>
                <w:rFonts w:ascii="宋体" w:hAnsi="宋体" w:cs="宋体"/>
                <w:color w:val="auto"/>
                <w:szCs w:val="21"/>
                <w:highlight w:val="none"/>
              </w:rPr>
            </w:pPr>
          </w:p>
        </w:tc>
        <w:tc>
          <w:tcPr>
            <w:tcW w:w="172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hAnsi="宋体" w:cs="宋体"/>
                <w:color w:val="auto"/>
                <w:szCs w:val="21"/>
                <w:highlight w:val="none"/>
              </w:rPr>
            </w:pPr>
          </w:p>
        </w:tc>
        <w:tc>
          <w:tcPr>
            <w:tcW w:w="3444" w:type="dxa"/>
            <w:gridSpan w:val="3"/>
            <w:vAlign w:val="center"/>
          </w:tcPr>
          <w:p>
            <w:pPr>
              <w:jc w:val="center"/>
              <w:rPr>
                <w:rFonts w:ascii="宋体" w:hAnsi="宋体" w:cs="宋体"/>
                <w:color w:val="auto"/>
                <w:szCs w:val="21"/>
                <w:highlight w:val="none"/>
              </w:rPr>
            </w:pPr>
          </w:p>
        </w:tc>
        <w:tc>
          <w:tcPr>
            <w:tcW w:w="2035" w:type="dxa"/>
            <w:vAlign w:val="center"/>
          </w:tcPr>
          <w:p>
            <w:pPr>
              <w:jc w:val="center"/>
              <w:rPr>
                <w:rFonts w:ascii="宋体" w:hAnsi="宋体" w:cs="宋体"/>
                <w:color w:val="auto"/>
                <w:szCs w:val="21"/>
                <w:highlight w:val="none"/>
              </w:rPr>
            </w:pPr>
          </w:p>
        </w:tc>
        <w:tc>
          <w:tcPr>
            <w:tcW w:w="172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hAnsi="宋体" w:cs="宋体"/>
                <w:color w:val="auto"/>
                <w:szCs w:val="21"/>
                <w:highlight w:val="none"/>
              </w:rPr>
            </w:pPr>
          </w:p>
        </w:tc>
        <w:tc>
          <w:tcPr>
            <w:tcW w:w="3444" w:type="dxa"/>
            <w:gridSpan w:val="3"/>
            <w:vAlign w:val="center"/>
          </w:tcPr>
          <w:p>
            <w:pPr>
              <w:jc w:val="center"/>
              <w:rPr>
                <w:rFonts w:ascii="宋体" w:hAnsi="宋体" w:cs="宋体"/>
                <w:color w:val="auto"/>
                <w:szCs w:val="21"/>
                <w:highlight w:val="none"/>
              </w:rPr>
            </w:pPr>
          </w:p>
        </w:tc>
        <w:tc>
          <w:tcPr>
            <w:tcW w:w="2035" w:type="dxa"/>
            <w:vAlign w:val="center"/>
          </w:tcPr>
          <w:p>
            <w:pPr>
              <w:jc w:val="center"/>
              <w:rPr>
                <w:rFonts w:ascii="宋体" w:hAnsi="宋体" w:cs="宋体"/>
                <w:color w:val="auto"/>
                <w:szCs w:val="21"/>
                <w:highlight w:val="none"/>
              </w:rPr>
            </w:pPr>
          </w:p>
        </w:tc>
        <w:tc>
          <w:tcPr>
            <w:tcW w:w="172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hAnsi="宋体" w:cs="宋体"/>
                <w:color w:val="auto"/>
                <w:szCs w:val="21"/>
                <w:highlight w:val="none"/>
              </w:rPr>
            </w:pPr>
          </w:p>
        </w:tc>
        <w:tc>
          <w:tcPr>
            <w:tcW w:w="3444" w:type="dxa"/>
            <w:gridSpan w:val="3"/>
            <w:vAlign w:val="center"/>
          </w:tcPr>
          <w:p>
            <w:pPr>
              <w:jc w:val="center"/>
              <w:rPr>
                <w:rFonts w:ascii="宋体" w:hAnsi="宋体" w:cs="宋体"/>
                <w:color w:val="auto"/>
                <w:szCs w:val="21"/>
                <w:highlight w:val="none"/>
              </w:rPr>
            </w:pPr>
          </w:p>
        </w:tc>
        <w:tc>
          <w:tcPr>
            <w:tcW w:w="2035" w:type="dxa"/>
            <w:vAlign w:val="center"/>
          </w:tcPr>
          <w:p>
            <w:pPr>
              <w:jc w:val="center"/>
              <w:rPr>
                <w:rFonts w:ascii="宋体" w:hAnsi="宋体" w:cs="宋体"/>
                <w:color w:val="auto"/>
                <w:szCs w:val="21"/>
                <w:highlight w:val="none"/>
              </w:rPr>
            </w:pPr>
          </w:p>
        </w:tc>
        <w:tc>
          <w:tcPr>
            <w:tcW w:w="1723" w:type="dxa"/>
            <w:vAlign w:val="center"/>
          </w:tcPr>
          <w:p>
            <w:pPr>
              <w:jc w:val="center"/>
              <w:rPr>
                <w:rFonts w:ascii="宋体" w:hAnsi="宋体" w:cs="宋体"/>
                <w:color w:val="auto"/>
                <w:szCs w:val="21"/>
                <w:highlight w:val="none"/>
              </w:rPr>
            </w:pPr>
          </w:p>
        </w:tc>
      </w:tr>
    </w:tbl>
    <w:p>
      <w:pPr>
        <w:spacing w:line="360" w:lineRule="auto"/>
        <w:ind w:firstLine="211" w:firstLineChars="100"/>
        <w:jc w:val="left"/>
        <w:rPr>
          <w:rFonts w:ascii="宋体" w:hAnsi="宋体" w:cs="宋体"/>
          <w:b/>
          <w:color w:val="auto"/>
          <w:szCs w:val="21"/>
          <w:highlight w:val="none"/>
        </w:rPr>
      </w:pPr>
      <w:r>
        <w:rPr>
          <w:rFonts w:hint="eastAsia" w:ascii="宋体" w:hAnsi="宋体" w:cs="宋体"/>
          <w:b/>
          <w:color w:val="auto"/>
          <w:szCs w:val="21"/>
          <w:highlight w:val="none"/>
        </w:rPr>
        <w:t>注：1.后附证明如学历、相关认证证书等材料的复印件；2.服务团队其他人员参照上表编制。</w:t>
      </w:r>
    </w:p>
    <w:p>
      <w:pPr>
        <w:spacing w:line="420" w:lineRule="exact"/>
        <w:jc w:val="center"/>
        <w:rPr>
          <w:rFonts w:ascii="宋体" w:hAnsi="宋体" w:cs="宋体"/>
          <w:b/>
          <w:color w:val="auto"/>
          <w:sz w:val="36"/>
          <w:szCs w:val="36"/>
          <w:highlight w:val="none"/>
        </w:rPr>
      </w:pPr>
    </w:p>
    <w:p>
      <w:pPr>
        <w:spacing w:line="420" w:lineRule="exact"/>
        <w:jc w:val="center"/>
        <w:rPr>
          <w:rFonts w:ascii="宋体" w:hAnsi="宋体" w:cs="宋体"/>
          <w:b/>
          <w:color w:val="auto"/>
          <w:sz w:val="36"/>
          <w:szCs w:val="36"/>
          <w:highlight w:val="none"/>
        </w:rPr>
      </w:pPr>
    </w:p>
    <w:p>
      <w:pPr>
        <w:spacing w:line="400" w:lineRule="exact"/>
        <w:outlineLvl w:val="1"/>
        <w:rPr>
          <w:rFonts w:ascii="宋体" w:hAnsi="宋体" w:cs="宋体"/>
          <w:b/>
          <w:color w:val="auto"/>
          <w:sz w:val="30"/>
          <w:szCs w:val="30"/>
          <w:highlight w:val="none"/>
        </w:rPr>
      </w:pPr>
      <w:r>
        <w:rPr>
          <w:rFonts w:ascii="宋体" w:hAnsi="宋体" w:cs="宋体"/>
          <w:color w:val="auto"/>
          <w:szCs w:val="21"/>
          <w:highlight w:val="none"/>
          <w:u w:val="single"/>
        </w:rPr>
        <w:br w:type="page"/>
      </w:r>
      <w:bookmarkStart w:id="84" w:name="_Toc4126"/>
      <w:bookmarkStart w:id="85" w:name="_Toc9544"/>
      <w:r>
        <w:rPr>
          <w:rFonts w:hint="eastAsia" w:ascii="宋体" w:hAnsi="宋体" w:cs="宋体"/>
          <w:b/>
          <w:color w:val="auto"/>
          <w:sz w:val="24"/>
          <w:szCs w:val="24"/>
          <w:highlight w:val="none"/>
        </w:rPr>
        <w:t>附件：格式</w:t>
      </w:r>
      <w:bookmarkEnd w:id="84"/>
      <w:bookmarkEnd w:id="85"/>
    </w:p>
    <w:p>
      <w:pPr>
        <w:spacing w:line="400" w:lineRule="exact"/>
        <w:jc w:val="center"/>
        <w:rPr>
          <w:rFonts w:ascii="宋体" w:hAnsi="宋体" w:cs="宋体"/>
          <w:b/>
          <w:color w:val="auto"/>
          <w:sz w:val="30"/>
          <w:szCs w:val="30"/>
          <w:highlight w:val="none"/>
        </w:rPr>
      </w:pPr>
    </w:p>
    <w:p>
      <w:pPr>
        <w:spacing w:after="120"/>
        <w:jc w:val="center"/>
        <w:rPr>
          <w:rFonts w:ascii="宋体" w:hAnsi="宋体" w:cs="宋体"/>
          <w:b/>
          <w:color w:val="auto"/>
          <w:sz w:val="32"/>
          <w:szCs w:val="32"/>
          <w:highlight w:val="none"/>
        </w:rPr>
      </w:pPr>
      <w:bookmarkStart w:id="86" w:name="_Toc849"/>
      <w:bookmarkStart w:id="87" w:name="_Toc42794603"/>
      <w:bookmarkStart w:id="88" w:name="_Toc42518142"/>
      <w:r>
        <w:rPr>
          <w:rFonts w:hint="eastAsia" w:ascii="宋体" w:hAnsi="宋体" w:cs="宋体"/>
          <w:b/>
          <w:color w:val="auto"/>
          <w:sz w:val="32"/>
          <w:szCs w:val="32"/>
          <w:highlight w:val="none"/>
        </w:rPr>
        <w:t>供应商基本情况表</w:t>
      </w:r>
      <w:bookmarkEnd w:id="86"/>
      <w:bookmarkEnd w:id="87"/>
      <w:bookmarkEnd w:id="88"/>
    </w:p>
    <w:tbl>
      <w:tblPr>
        <w:tblStyle w:val="19"/>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746"/>
        <w:gridCol w:w="551"/>
        <w:gridCol w:w="501"/>
        <w:gridCol w:w="1249"/>
        <w:gridCol w:w="1398"/>
        <w:gridCol w:w="850"/>
        <w:gridCol w:w="11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8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供应商名称</w:t>
            </w:r>
          </w:p>
        </w:tc>
        <w:tc>
          <w:tcPr>
            <w:tcW w:w="6428" w:type="dxa"/>
            <w:gridSpan w:val="7"/>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047" w:type="dxa"/>
            <w:gridSpan w:val="4"/>
            <w:vAlign w:val="center"/>
          </w:tcPr>
          <w:p>
            <w:pPr>
              <w:jc w:val="center"/>
              <w:rPr>
                <w:rFonts w:ascii="宋体" w:hAnsi="宋体" w:cs="宋体"/>
                <w:color w:val="auto"/>
                <w:szCs w:val="21"/>
                <w:highlight w:val="none"/>
              </w:rPr>
            </w:pPr>
          </w:p>
        </w:tc>
        <w:tc>
          <w:tcPr>
            <w:tcW w:w="139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1983" w:type="dxa"/>
            <w:gridSpan w:val="2"/>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95"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1297"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1750" w:type="dxa"/>
            <w:gridSpan w:val="2"/>
            <w:vAlign w:val="center"/>
          </w:tcPr>
          <w:p>
            <w:pPr>
              <w:jc w:val="center"/>
              <w:rPr>
                <w:rFonts w:ascii="宋体" w:hAnsi="宋体" w:cs="宋体"/>
                <w:color w:val="auto"/>
                <w:szCs w:val="21"/>
                <w:highlight w:val="none"/>
              </w:rPr>
            </w:pPr>
          </w:p>
        </w:tc>
        <w:tc>
          <w:tcPr>
            <w:tcW w:w="139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983" w:type="dxa"/>
            <w:gridSpan w:val="2"/>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95" w:type="dxa"/>
            <w:vMerge w:val="continue"/>
            <w:vAlign w:val="center"/>
          </w:tcPr>
          <w:p>
            <w:pPr>
              <w:jc w:val="center"/>
              <w:rPr>
                <w:rFonts w:ascii="宋体" w:hAnsi="宋体" w:cs="宋体"/>
                <w:color w:val="auto"/>
                <w:szCs w:val="21"/>
                <w:highlight w:val="none"/>
              </w:rPr>
            </w:pPr>
          </w:p>
        </w:tc>
        <w:tc>
          <w:tcPr>
            <w:tcW w:w="1297"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1750" w:type="dxa"/>
            <w:gridSpan w:val="2"/>
            <w:vAlign w:val="center"/>
          </w:tcPr>
          <w:p>
            <w:pPr>
              <w:jc w:val="center"/>
              <w:rPr>
                <w:rFonts w:ascii="宋体" w:hAnsi="宋体" w:cs="宋体"/>
                <w:color w:val="auto"/>
                <w:szCs w:val="21"/>
                <w:highlight w:val="none"/>
              </w:rPr>
            </w:pPr>
          </w:p>
        </w:tc>
        <w:tc>
          <w:tcPr>
            <w:tcW w:w="139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1983" w:type="dxa"/>
            <w:gridSpan w:val="2"/>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428" w:type="dxa"/>
            <w:gridSpan w:val="7"/>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8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74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52" w:type="dxa"/>
            <w:gridSpan w:val="2"/>
            <w:vAlign w:val="center"/>
          </w:tcPr>
          <w:p>
            <w:pPr>
              <w:jc w:val="center"/>
              <w:rPr>
                <w:rFonts w:ascii="宋体" w:hAnsi="宋体" w:cs="宋体"/>
                <w:color w:val="auto"/>
                <w:szCs w:val="21"/>
                <w:highlight w:val="none"/>
              </w:rPr>
            </w:pPr>
          </w:p>
        </w:tc>
        <w:tc>
          <w:tcPr>
            <w:tcW w:w="124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98" w:type="dxa"/>
            <w:vAlign w:val="center"/>
          </w:tcPr>
          <w:p>
            <w:pPr>
              <w:jc w:val="center"/>
              <w:rPr>
                <w:rFonts w:ascii="宋体" w:hAnsi="宋体" w:cs="宋体"/>
                <w:color w:val="auto"/>
                <w:szCs w:val="21"/>
                <w:highlight w:val="none"/>
              </w:rPr>
            </w:pPr>
          </w:p>
        </w:tc>
        <w:tc>
          <w:tcPr>
            <w:tcW w:w="8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13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8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74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52" w:type="dxa"/>
            <w:gridSpan w:val="2"/>
            <w:vAlign w:val="center"/>
          </w:tcPr>
          <w:p>
            <w:pPr>
              <w:jc w:val="center"/>
              <w:rPr>
                <w:rFonts w:ascii="宋体" w:hAnsi="宋体" w:cs="宋体"/>
                <w:color w:val="auto"/>
                <w:szCs w:val="21"/>
                <w:highlight w:val="none"/>
              </w:rPr>
            </w:pPr>
          </w:p>
        </w:tc>
        <w:tc>
          <w:tcPr>
            <w:tcW w:w="124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98" w:type="dxa"/>
            <w:vAlign w:val="center"/>
          </w:tcPr>
          <w:p>
            <w:pPr>
              <w:jc w:val="center"/>
              <w:rPr>
                <w:rFonts w:ascii="宋体" w:hAnsi="宋体" w:cs="宋体"/>
                <w:color w:val="auto"/>
                <w:szCs w:val="21"/>
                <w:highlight w:val="none"/>
              </w:rPr>
            </w:pPr>
          </w:p>
        </w:tc>
        <w:tc>
          <w:tcPr>
            <w:tcW w:w="8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13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798" w:type="dxa"/>
            <w:gridSpan w:val="3"/>
            <w:vAlign w:val="center"/>
          </w:tcPr>
          <w:p>
            <w:pPr>
              <w:jc w:val="center"/>
              <w:rPr>
                <w:rFonts w:ascii="宋体" w:hAnsi="宋体" w:cs="宋体"/>
                <w:color w:val="auto"/>
                <w:szCs w:val="21"/>
                <w:highlight w:val="none"/>
              </w:rPr>
            </w:pPr>
          </w:p>
        </w:tc>
        <w:tc>
          <w:tcPr>
            <w:tcW w:w="4630" w:type="dxa"/>
            <w:gridSpan w:val="4"/>
            <w:vAlign w:val="center"/>
          </w:tcPr>
          <w:p>
            <w:pPr>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资质证书</w:t>
            </w:r>
          </w:p>
        </w:tc>
        <w:tc>
          <w:tcPr>
            <w:tcW w:w="1798" w:type="dxa"/>
            <w:gridSpan w:val="3"/>
            <w:vAlign w:val="center"/>
          </w:tcPr>
          <w:p>
            <w:pPr>
              <w:jc w:val="center"/>
              <w:rPr>
                <w:rFonts w:ascii="宋体" w:hAnsi="宋体" w:cs="宋体"/>
                <w:color w:val="auto"/>
                <w:szCs w:val="21"/>
                <w:highlight w:val="none"/>
              </w:rPr>
            </w:pPr>
          </w:p>
        </w:tc>
        <w:tc>
          <w:tcPr>
            <w:tcW w:w="4630" w:type="dxa"/>
            <w:gridSpan w:val="4"/>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8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798" w:type="dxa"/>
            <w:gridSpan w:val="3"/>
            <w:vAlign w:val="center"/>
          </w:tcPr>
          <w:p>
            <w:pPr>
              <w:jc w:val="center"/>
              <w:rPr>
                <w:rFonts w:ascii="宋体" w:hAnsi="宋体" w:cs="宋体"/>
                <w:color w:val="auto"/>
                <w:szCs w:val="21"/>
                <w:highlight w:val="none"/>
              </w:rPr>
            </w:pPr>
          </w:p>
        </w:tc>
        <w:tc>
          <w:tcPr>
            <w:tcW w:w="4630" w:type="dxa"/>
            <w:gridSpan w:val="4"/>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798" w:type="dxa"/>
            <w:gridSpan w:val="3"/>
            <w:vAlign w:val="center"/>
          </w:tcPr>
          <w:p>
            <w:pPr>
              <w:jc w:val="center"/>
              <w:rPr>
                <w:rFonts w:ascii="宋体" w:hAnsi="宋体" w:cs="宋体"/>
                <w:color w:val="auto"/>
                <w:szCs w:val="21"/>
                <w:highlight w:val="none"/>
              </w:rPr>
            </w:pPr>
          </w:p>
        </w:tc>
        <w:tc>
          <w:tcPr>
            <w:tcW w:w="4630" w:type="dxa"/>
            <w:gridSpan w:val="4"/>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18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经营范围备注</w:t>
            </w:r>
          </w:p>
        </w:tc>
        <w:tc>
          <w:tcPr>
            <w:tcW w:w="6428" w:type="dxa"/>
            <w:gridSpan w:val="7"/>
          </w:tcPr>
          <w:p>
            <w:pPr>
              <w:ind w:firstLine="420" w:firstLineChars="200"/>
              <w:rPr>
                <w:rFonts w:ascii="宋体" w:hAnsi="宋体" w:cs="宋体"/>
                <w:color w:val="auto"/>
                <w:szCs w:val="21"/>
                <w:highlight w:val="none"/>
              </w:rPr>
            </w:pPr>
          </w:p>
        </w:tc>
      </w:tr>
    </w:tbl>
    <w:p>
      <w:pPr>
        <w:snapToGrid w:val="0"/>
        <w:spacing w:line="500" w:lineRule="exact"/>
        <w:outlineLvl w:val="0"/>
        <w:rPr>
          <w:rFonts w:ascii="宋体" w:hAnsi="宋体" w:cs="宋体"/>
          <w:color w:val="auto"/>
          <w:szCs w:val="21"/>
          <w:highlight w:val="none"/>
          <w:u w:val="single"/>
        </w:rPr>
      </w:pPr>
      <w:bookmarkStart w:id="89" w:name="_Toc14347"/>
      <w:bookmarkStart w:id="90" w:name="_Toc42794604"/>
      <w:bookmarkStart w:id="91" w:name="_Toc42518143"/>
      <w:bookmarkStart w:id="92" w:name="_Toc23274"/>
      <w:bookmarkStart w:id="93" w:name="_Toc5228"/>
      <w:r>
        <w:rPr>
          <w:rFonts w:hint="eastAsia" w:ascii="宋体" w:hAnsi="宋体" w:cs="宋体"/>
          <w:b/>
          <w:bCs/>
          <w:color w:val="auto"/>
          <w:szCs w:val="21"/>
          <w:highlight w:val="none"/>
        </w:rPr>
        <w:t>注：填写上表后，供应商如认为有必要也可附其他文字或表格补充描述</w:t>
      </w:r>
      <w:r>
        <w:rPr>
          <w:rFonts w:hint="eastAsia" w:ascii="宋体" w:hAnsi="宋体" w:cs="宋体"/>
          <w:color w:val="auto"/>
          <w:szCs w:val="21"/>
          <w:highlight w:val="none"/>
        </w:rPr>
        <w:t>。</w:t>
      </w:r>
      <w:bookmarkEnd w:id="89"/>
      <w:bookmarkEnd w:id="90"/>
      <w:bookmarkEnd w:id="91"/>
      <w:bookmarkEnd w:id="92"/>
      <w:bookmarkEnd w:id="93"/>
    </w:p>
    <w:p>
      <w:pPr>
        <w:spacing w:line="360" w:lineRule="auto"/>
        <w:rPr>
          <w:b/>
          <w:color w:val="auto"/>
          <w:sz w:val="24"/>
          <w:szCs w:val="24"/>
          <w:highlight w:val="none"/>
        </w:rPr>
      </w:pPr>
    </w:p>
    <w:p>
      <w:pPr>
        <w:tabs>
          <w:tab w:val="right" w:pos="8364"/>
        </w:tabs>
        <w:spacing w:line="360" w:lineRule="auto"/>
        <w:jc w:val="left"/>
        <w:rPr>
          <w:b/>
          <w:color w:val="auto"/>
          <w:sz w:val="36"/>
          <w:highlight w:val="none"/>
        </w:rPr>
      </w:pPr>
    </w:p>
    <w:p>
      <w:pPr>
        <w:tabs>
          <w:tab w:val="right" w:pos="8364"/>
        </w:tabs>
        <w:spacing w:line="360" w:lineRule="auto"/>
        <w:jc w:val="left"/>
        <w:rPr>
          <w:b/>
          <w:color w:val="auto"/>
          <w:sz w:val="36"/>
          <w:highlight w:val="none"/>
        </w:rPr>
      </w:pPr>
    </w:p>
    <w:p>
      <w:pPr>
        <w:tabs>
          <w:tab w:val="right" w:pos="8364"/>
        </w:tabs>
        <w:spacing w:line="360" w:lineRule="auto"/>
        <w:jc w:val="left"/>
        <w:rPr>
          <w:b/>
          <w:color w:val="auto"/>
          <w:sz w:val="36"/>
          <w:highlight w:val="none"/>
        </w:rPr>
      </w:pPr>
    </w:p>
    <w:p>
      <w:pPr>
        <w:tabs>
          <w:tab w:val="right" w:pos="8364"/>
        </w:tabs>
        <w:spacing w:line="360" w:lineRule="auto"/>
        <w:jc w:val="left"/>
        <w:rPr>
          <w:b/>
          <w:color w:val="auto"/>
          <w:sz w:val="36"/>
          <w:highlight w:val="none"/>
        </w:rPr>
      </w:pPr>
    </w:p>
    <w:p>
      <w:pPr>
        <w:spacing w:before="156" w:beforeLines="50" w:line="360" w:lineRule="auto"/>
        <w:ind w:firstLine="422" w:firstLineChars="200"/>
        <w:outlineLvl w:val="1"/>
        <w:rPr>
          <w:rFonts w:ascii="宋体" w:hAnsi="宋体" w:cs="宋体"/>
          <w:b/>
          <w:color w:val="auto"/>
          <w:highlight w:val="none"/>
        </w:rPr>
      </w:pPr>
      <w:r>
        <w:rPr>
          <w:rFonts w:hint="eastAsia" w:ascii="宋体" w:hAnsi="宋体" w:cs="宋体"/>
          <w:b/>
          <w:color w:val="auto"/>
          <w:highlight w:val="none"/>
        </w:rPr>
        <w:t>（一）供应商基本信息</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如设立时间、隶属关系、经营范围、资质等级及单位人员情况。</w:t>
      </w:r>
    </w:p>
    <w:p>
      <w:pPr>
        <w:widowControl w:val="0"/>
        <w:spacing w:line="360" w:lineRule="auto"/>
        <w:ind w:firstLine="422" w:firstLineChars="200"/>
        <w:textAlignment w:val="auto"/>
        <w:outlineLvl w:val="1"/>
        <w:rPr>
          <w:rFonts w:ascii="宋体" w:hAnsi="宋体" w:cs="宋体"/>
          <w:b/>
          <w:color w:val="auto"/>
          <w:highlight w:val="none"/>
        </w:rPr>
      </w:pPr>
      <w:bookmarkStart w:id="94" w:name="_Toc22763"/>
      <w:bookmarkStart w:id="95" w:name="_Toc24181"/>
      <w:r>
        <w:rPr>
          <w:rFonts w:hint="eastAsia" w:ascii="宋体" w:hAnsi="宋体" w:cs="宋体"/>
          <w:b/>
          <w:color w:val="auto"/>
          <w:highlight w:val="none"/>
        </w:rPr>
        <w:t>（二）供应商性质</w:t>
      </w:r>
      <w:bookmarkEnd w:id="94"/>
      <w:bookmarkEnd w:id="95"/>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中小企业单位投标时，应提供《中小企业声明函》。未提供的不能享受招标文件规定的价格扣除，但不影响投标文件的有效性。</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残疾人福利性单位投标时，应当提供《残疾人福利性单位声明函》并对声明的真实性负责。无需提供其他证明声明函内容的材料。未提供的不能享受招标文件规定的价格扣除，但不影响投标文件的有效性。</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监狱企业投标时，应当提供由省级以上监狱管理局、戒毒管理局（含新疆生产建设兵团）出具的属于监狱企业的</w:t>
      </w:r>
      <w:r>
        <w:rPr>
          <w:rFonts w:hint="eastAsia" w:ascii="宋体" w:hAnsi="宋体" w:cs="宋体"/>
          <w:b/>
          <w:bCs/>
          <w:color w:val="auto"/>
          <w:highlight w:val="none"/>
        </w:rPr>
        <w:t>证明文件</w:t>
      </w:r>
      <w:r>
        <w:rPr>
          <w:rFonts w:hint="eastAsia" w:ascii="宋体" w:hAnsi="宋体" w:cs="宋体"/>
          <w:color w:val="auto"/>
          <w:highlight w:val="none"/>
        </w:rPr>
        <w:t>（格式不做要求）。未提供证明文件的不能享受招标文件规定的价格扣除，但不影响投标文件的有效性。</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特别提醒：供应商性质（证明文件）将随成交公告一同公布。</w:t>
      </w:r>
    </w:p>
    <w:p>
      <w:pPr>
        <w:spacing w:before="156" w:beforeLines="50" w:line="360" w:lineRule="auto"/>
        <w:ind w:firstLine="422" w:firstLineChars="200"/>
        <w:outlineLvl w:val="1"/>
        <w:rPr>
          <w:rFonts w:ascii="宋体" w:hAnsi="宋体" w:cs="宋体"/>
          <w:b/>
          <w:color w:val="auto"/>
          <w:highlight w:val="none"/>
        </w:rPr>
      </w:pPr>
      <w:bookmarkStart w:id="96" w:name="_Toc13785"/>
      <w:bookmarkStart w:id="97" w:name="_Toc17974"/>
      <w:r>
        <w:rPr>
          <w:rFonts w:hint="eastAsia" w:ascii="宋体" w:hAnsi="宋体" w:cs="宋体"/>
          <w:b/>
          <w:color w:val="auto"/>
          <w:highlight w:val="none"/>
        </w:rPr>
        <w:t>（三）其他</w:t>
      </w:r>
      <w:bookmarkEnd w:id="96"/>
      <w:bookmarkEnd w:id="97"/>
    </w:p>
    <w:p>
      <w:pPr>
        <w:tabs>
          <w:tab w:val="right" w:pos="8364"/>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highlight w:val="none"/>
        </w:rPr>
        <w:t>如：经营状况、用户评价等。</w:t>
      </w:r>
    </w:p>
    <w:p>
      <w:pPr>
        <w:pStyle w:val="6"/>
        <w:keepNext w:val="0"/>
        <w:keepLines w:val="0"/>
        <w:spacing w:line="240" w:lineRule="auto"/>
        <w:rPr>
          <w:rFonts w:ascii="宋体" w:hAnsi="宋体" w:cs="宋体"/>
          <w:color w:val="auto"/>
          <w:sz w:val="36"/>
          <w:szCs w:val="36"/>
          <w:highlight w:val="none"/>
        </w:rPr>
      </w:pPr>
      <w:r>
        <w:rPr>
          <w:rFonts w:hint="eastAsia"/>
          <w:color w:val="auto"/>
          <w:sz w:val="36"/>
          <w:highlight w:val="none"/>
        </w:rPr>
        <w:br w:type="page"/>
      </w:r>
      <w:r>
        <w:rPr>
          <w:rFonts w:hint="eastAsia" w:ascii="宋体" w:hAnsi="宋体" w:cs="宋体"/>
          <w:color w:val="auto"/>
          <w:sz w:val="24"/>
          <w:szCs w:val="24"/>
          <w:highlight w:val="none"/>
        </w:rPr>
        <w:t>附件：格式</w:t>
      </w:r>
    </w:p>
    <w:p>
      <w:pPr>
        <w:spacing w:after="120"/>
        <w:jc w:val="center"/>
        <w:rPr>
          <w:rFonts w:ascii="宋体" w:hAnsi="宋体" w:cs="宋体"/>
          <w:color w:val="auto"/>
          <w:highlight w:val="none"/>
        </w:rPr>
      </w:pPr>
      <w:r>
        <w:rPr>
          <w:rFonts w:hint="eastAsia" w:ascii="宋体" w:hAnsi="宋体" w:cs="宋体"/>
          <w:b/>
          <w:bCs/>
          <w:color w:val="auto"/>
          <w:sz w:val="32"/>
          <w:szCs w:val="32"/>
          <w:highlight w:val="none"/>
        </w:rPr>
        <w:t>供应商业绩一览表</w:t>
      </w:r>
    </w:p>
    <w:tbl>
      <w:tblPr>
        <w:tblStyle w:val="19"/>
        <w:tblW w:w="0" w:type="auto"/>
        <w:tblInd w:w="9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61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73"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153" w:type="dxa"/>
          </w:tcPr>
          <w:p>
            <w:pPr>
              <w:topLinePunct/>
              <w:spacing w:line="44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73"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履行时间</w:t>
            </w:r>
          </w:p>
        </w:tc>
        <w:tc>
          <w:tcPr>
            <w:tcW w:w="6153" w:type="dxa"/>
          </w:tcPr>
          <w:p>
            <w:pPr>
              <w:topLinePunct/>
              <w:spacing w:line="44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73"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采购内容</w:t>
            </w:r>
          </w:p>
        </w:tc>
        <w:tc>
          <w:tcPr>
            <w:tcW w:w="6153" w:type="dxa"/>
          </w:tcPr>
          <w:p>
            <w:pPr>
              <w:topLinePunct/>
              <w:spacing w:line="44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73"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甲方名称</w:t>
            </w:r>
          </w:p>
        </w:tc>
        <w:tc>
          <w:tcPr>
            <w:tcW w:w="6153" w:type="dxa"/>
          </w:tcPr>
          <w:p>
            <w:pPr>
              <w:topLinePunct/>
              <w:spacing w:line="44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73"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甲方联系人及电话</w:t>
            </w:r>
          </w:p>
        </w:tc>
        <w:tc>
          <w:tcPr>
            <w:tcW w:w="6153" w:type="dxa"/>
          </w:tcPr>
          <w:p>
            <w:pPr>
              <w:topLinePunct/>
              <w:spacing w:line="44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73"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合同价格</w:t>
            </w:r>
          </w:p>
        </w:tc>
        <w:tc>
          <w:tcPr>
            <w:tcW w:w="6153" w:type="dxa"/>
          </w:tcPr>
          <w:p>
            <w:pPr>
              <w:topLinePunct/>
              <w:spacing w:line="44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2173"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项目概况及供应商</w:t>
            </w:r>
          </w:p>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履约情况</w:t>
            </w:r>
          </w:p>
        </w:tc>
        <w:tc>
          <w:tcPr>
            <w:tcW w:w="6153" w:type="dxa"/>
          </w:tcPr>
          <w:p>
            <w:pPr>
              <w:topLinePunct/>
              <w:spacing w:line="440" w:lineRule="exact"/>
              <w:rPr>
                <w:rFonts w:ascii="宋体" w:hAnsi="宋体" w:cs="宋体"/>
                <w:color w:val="auto"/>
                <w:szCs w:val="21"/>
                <w:highlight w:val="none"/>
              </w:rPr>
            </w:pPr>
          </w:p>
          <w:p>
            <w:pPr>
              <w:topLinePunct/>
              <w:spacing w:line="440" w:lineRule="exact"/>
              <w:rPr>
                <w:rFonts w:ascii="宋体" w:hAnsi="宋体" w:cs="宋体"/>
                <w:color w:val="auto"/>
                <w:szCs w:val="21"/>
                <w:highlight w:val="none"/>
              </w:rPr>
            </w:pPr>
          </w:p>
          <w:p>
            <w:pPr>
              <w:topLinePunct/>
              <w:spacing w:line="440" w:lineRule="exact"/>
              <w:rPr>
                <w:rFonts w:ascii="宋体" w:hAnsi="宋体" w:cs="宋体"/>
                <w:color w:val="auto"/>
                <w:szCs w:val="21"/>
                <w:highlight w:val="none"/>
              </w:rPr>
            </w:pPr>
          </w:p>
          <w:p>
            <w:pPr>
              <w:topLinePunct/>
              <w:spacing w:line="440" w:lineRule="exact"/>
              <w:rPr>
                <w:rFonts w:ascii="宋体" w:hAnsi="宋体" w:cs="宋体"/>
                <w:color w:val="auto"/>
                <w:szCs w:val="21"/>
                <w:highlight w:val="none"/>
              </w:rPr>
            </w:pPr>
          </w:p>
          <w:p>
            <w:pPr>
              <w:topLinePunct/>
              <w:spacing w:line="440" w:lineRule="exact"/>
              <w:rPr>
                <w:rFonts w:ascii="宋体" w:hAnsi="宋体" w:cs="宋体"/>
                <w:color w:val="auto"/>
                <w:szCs w:val="21"/>
                <w:highlight w:val="none"/>
              </w:rPr>
            </w:pPr>
          </w:p>
          <w:p>
            <w:pPr>
              <w:topLinePunct/>
              <w:spacing w:line="440" w:lineRule="exact"/>
              <w:rPr>
                <w:rFonts w:ascii="宋体" w:hAnsi="宋体" w:cs="宋体"/>
                <w:color w:val="auto"/>
                <w:szCs w:val="21"/>
                <w:highlight w:val="none"/>
              </w:rPr>
            </w:pPr>
          </w:p>
          <w:p>
            <w:pPr>
              <w:topLinePunct/>
              <w:spacing w:line="44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73"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153" w:type="dxa"/>
          </w:tcPr>
          <w:p>
            <w:pPr>
              <w:topLinePunct/>
              <w:spacing w:line="440" w:lineRule="exact"/>
              <w:rPr>
                <w:rFonts w:ascii="宋体" w:hAnsi="宋体" w:cs="宋体"/>
                <w:color w:val="auto"/>
                <w:szCs w:val="21"/>
                <w:highlight w:val="none"/>
              </w:rPr>
            </w:pPr>
          </w:p>
        </w:tc>
      </w:tr>
    </w:tbl>
    <w:p>
      <w:pPr>
        <w:snapToGrid w:val="0"/>
        <w:spacing w:line="500" w:lineRule="exact"/>
        <w:outlineLvl w:val="0"/>
        <w:rPr>
          <w:rFonts w:ascii="宋体" w:hAnsi="宋体" w:cs="宋体"/>
          <w:color w:val="auto"/>
          <w:sz w:val="24"/>
          <w:szCs w:val="24"/>
          <w:highlight w:val="none"/>
          <w:u w:val="single"/>
        </w:rPr>
      </w:pPr>
      <w:bookmarkStart w:id="98" w:name="_Toc929"/>
      <w:bookmarkStart w:id="99" w:name="_Toc29999"/>
      <w:r>
        <w:rPr>
          <w:rFonts w:hint="eastAsia" w:ascii="宋体" w:hAnsi="宋体" w:cs="宋体"/>
          <w:b/>
          <w:bCs/>
          <w:color w:val="auto"/>
          <w:szCs w:val="21"/>
          <w:highlight w:val="none"/>
        </w:rPr>
        <w:t>注：每份有效业绩单独填写上表，后附合同复印件为依据。</w:t>
      </w:r>
      <w:bookmarkEnd w:id="98"/>
      <w:bookmarkEnd w:id="99"/>
    </w:p>
    <w:p>
      <w:pPr>
        <w:jc w:val="left"/>
        <w:rPr>
          <w:rFonts w:ascii="宋体" w:hAnsi="宋体" w:cs="宋体"/>
          <w:b/>
          <w:bCs/>
          <w:color w:val="auto"/>
          <w:szCs w:val="21"/>
          <w:highlight w:val="none"/>
        </w:rPr>
      </w:pPr>
    </w:p>
    <w:p>
      <w:pPr>
        <w:spacing w:before="156" w:beforeLines="50" w:after="156" w:afterLines="50" w:line="360" w:lineRule="auto"/>
        <w:outlineLvl w:val="0"/>
        <w:rPr>
          <w:rFonts w:ascii="宋体" w:hAnsi="宋体"/>
          <w:i/>
          <w:color w:val="auto"/>
          <w:szCs w:val="21"/>
          <w:highlight w:val="none"/>
        </w:rPr>
      </w:pPr>
    </w:p>
    <w:bookmarkEnd w:id="100"/>
    <w:sectPr>
      <w:headerReference r:id="rId12" w:type="first"/>
      <w:footerReference r:id="rId14" w:type="first"/>
      <w:footerReference r:id="rId13" w:type="default"/>
      <w:pgSz w:w="11906" w:h="16838"/>
      <w:pgMar w:top="1418" w:right="1418" w:bottom="1418" w:left="1588"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50"/>
        <w:sz w:val="18"/>
      </w:rPr>
    </w:pPr>
  </w:p>
  <w:p>
    <w:pPr>
      <w:pStyle w:val="14"/>
      <w:rPr>
        <w:rStyle w:val="30"/>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margin" w:hAnchor="text" w:xAlign="center" w:y="1"/>
      <w:rPr>
        <w:rStyle w:val="50"/>
        <w:sz w:val="18"/>
      </w:rPr>
    </w:pPr>
  </w:p>
  <w:p>
    <w:pPr>
      <w:pStyle w:val="14"/>
      <w:rPr>
        <w:rStyle w:val="30"/>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30"/>
        <w:sz w:val="18"/>
        <w:szCs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margin" w:hAnchor="text" w:xAlign="center" w:y="1"/>
      <w:rPr>
        <w:rStyle w:val="50"/>
        <w:sz w:val="18"/>
      </w:rPr>
    </w:pPr>
  </w:p>
  <w:p>
    <w:pPr>
      <w:pStyle w:val="14"/>
      <w:rPr>
        <w:rStyle w:val="30"/>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w:t>
                    </w:r>
                    <w:r>
                      <w:fldChar w:fldCharType="end"/>
                    </w:r>
                  </w:p>
                </w:txbxContent>
              </v:textbox>
            </v:shape>
          </w:pict>
        </mc:Fallback>
      </mc:AlternateContent>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end"/>
    </w:r>
  </w:p>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30"/>
        <w:sz w:val="1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30"/>
        <w:sz w:val="18"/>
        <w:szCs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000000" w:sz="4" w:space="0"/>
      </w:pBdr>
      <w:rPr>
        <w:rStyle w:val="30"/>
        <w:rFonts w:ascii="宋体" w:hAnsi="宋体" w:cs="Times New Roman"/>
        <w:color w:val="000000"/>
        <w:sz w:val="18"/>
        <w:szCs w:val="18"/>
      </w:rPr>
    </w:pPr>
    <w:r>
      <w:rPr>
        <w:rStyle w:val="30"/>
        <w:rFonts w:hint="eastAsia" w:ascii="宋体" w:hAnsi="宋体"/>
        <w:color w:val="000000"/>
        <w:sz w:val="18"/>
        <w:szCs w:val="18"/>
      </w:rPr>
      <w:t>西安市公安局交通警察支</w:t>
    </w:r>
    <w:r>
      <w:rPr>
        <w:rStyle w:val="30"/>
        <w:rFonts w:hint="eastAsia" w:ascii="宋体" w:hAnsi="宋体" w:cs="Times New Roman"/>
        <w:color w:val="000000"/>
        <w:sz w:val="18"/>
        <w:szCs w:val="18"/>
      </w:rPr>
      <w:t>队</w:t>
    </w:r>
    <w:r>
      <w:rPr>
        <w:rStyle w:val="30"/>
        <w:rFonts w:hint="eastAsia" w:ascii="宋体" w:hAnsi="宋体" w:cs="Times New Roman"/>
        <w:color w:val="000000"/>
        <w:sz w:val="18"/>
        <w:szCs w:val="18"/>
        <w:lang w:eastAsia="zh-CN"/>
      </w:rPr>
      <w:t>科技处绿色出行评价服务项目（2022-2023）</w:t>
    </w:r>
    <w:r>
      <w:rPr>
        <w:rStyle w:val="30"/>
        <w:rFonts w:ascii="宋体" w:hAnsi="宋体" w:cs="Times New Roman"/>
        <w:color w:val="000000"/>
        <w:sz w:val="18"/>
        <w:szCs w:val="18"/>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000000" w:sz="0" w:space="1"/>
      </w:pBdr>
      <w:rPr>
        <w:rStyle w:val="3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000000" w:sz="4" w:space="0"/>
      </w:pBdr>
      <w:rPr>
        <w:rStyle w:val="30"/>
        <w:rFonts w:ascii="宋体" w:hAnsi="宋体"/>
        <w:color w:val="000000"/>
        <w:sz w:val="18"/>
        <w:szCs w:val="18"/>
      </w:rPr>
    </w:pPr>
    <w:r>
      <w:rPr>
        <w:rStyle w:val="30"/>
        <w:rFonts w:hint="eastAsia" w:ascii="宋体" w:hAnsi="宋体"/>
        <w:color w:val="000000"/>
        <w:sz w:val="18"/>
        <w:szCs w:val="18"/>
      </w:rPr>
      <w:t>西安市公安局交通警察支队西安市交通绿色出行评价项目</w:t>
    </w:r>
    <w:r>
      <w:rPr>
        <w:rStyle w:val="30"/>
        <w:rFonts w:ascii="宋体" w:hAnsi="宋体" w:cs="Times New Roman"/>
        <w:color w:val="000000"/>
        <w:sz w:val="18"/>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08F35"/>
    <w:multiLevelType w:val="singleLevel"/>
    <w:tmpl w:val="BF108F35"/>
    <w:lvl w:ilvl="0" w:tentative="0">
      <w:start w:val="1"/>
      <w:numFmt w:val="decimal"/>
      <w:suff w:val="nothing"/>
      <w:lvlText w:val="%1）"/>
      <w:lvlJc w:val="left"/>
    </w:lvl>
  </w:abstractNum>
  <w:abstractNum w:abstractNumId="1">
    <w:nsid w:val="DBEC7CE0"/>
    <w:multiLevelType w:val="singleLevel"/>
    <w:tmpl w:val="DBEC7CE0"/>
    <w:lvl w:ilvl="0" w:tentative="0">
      <w:start w:val="1"/>
      <w:numFmt w:val="decimal"/>
      <w:suff w:val="nothing"/>
      <w:lvlText w:val="%1）"/>
      <w:lvlJc w:val="left"/>
    </w:lvl>
  </w:abstractNum>
  <w:abstractNum w:abstractNumId="2">
    <w:nsid w:val="10364269"/>
    <w:multiLevelType w:val="singleLevel"/>
    <w:tmpl w:val="10364269"/>
    <w:lvl w:ilvl="0" w:tentative="0">
      <w:start w:val="5"/>
      <w:numFmt w:val="chineseCounting"/>
      <w:suff w:val="nothing"/>
      <w:lvlText w:val="%1、"/>
      <w:lvlJc w:val="left"/>
      <w:rPr>
        <w:rFonts w:hint="eastAsia"/>
      </w:rPr>
    </w:lvl>
  </w:abstractNum>
  <w:abstractNum w:abstractNumId="3">
    <w:nsid w:val="53EC41AD"/>
    <w:multiLevelType w:val="singleLevel"/>
    <w:tmpl w:val="53EC41AD"/>
    <w:lvl w:ilvl="0" w:tentative="0">
      <w:start w:val="1"/>
      <w:numFmt w:val="decimal"/>
      <w:lvlText w:val="（%1）"/>
      <w:lvlJc w:val="left"/>
      <w:pPr>
        <w:tabs>
          <w:tab w:val="left" w:pos="720"/>
        </w:tabs>
        <w:ind w:left="720" w:hanging="720"/>
      </w:pPr>
      <w:rPr>
        <w:rFonts w:hint="eastAsia"/>
      </w:rPr>
    </w:lvl>
  </w:abstractNum>
  <w:abstractNum w:abstractNumId="4">
    <w:nsid w:val="791C78E3"/>
    <w:multiLevelType w:val="multilevel"/>
    <w:tmpl w:val="791C78E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Yjc2ZWJmYTZjMGJkZGYxZTQ2NTNlNWJmM2VlNjEifQ=="/>
  </w:docVars>
  <w:rsids>
    <w:rsidRoot w:val="003F1B76"/>
    <w:rsid w:val="00002FBD"/>
    <w:rsid w:val="00003380"/>
    <w:rsid w:val="000164F3"/>
    <w:rsid w:val="00030974"/>
    <w:rsid w:val="0003127C"/>
    <w:rsid w:val="00052327"/>
    <w:rsid w:val="00061F0D"/>
    <w:rsid w:val="0006673E"/>
    <w:rsid w:val="000668BA"/>
    <w:rsid w:val="000730A1"/>
    <w:rsid w:val="000733AC"/>
    <w:rsid w:val="00081B94"/>
    <w:rsid w:val="00084492"/>
    <w:rsid w:val="00087E01"/>
    <w:rsid w:val="000B4F46"/>
    <w:rsid w:val="000C3DA7"/>
    <w:rsid w:val="000C5F81"/>
    <w:rsid w:val="000D2DDE"/>
    <w:rsid w:val="0010670A"/>
    <w:rsid w:val="001125F5"/>
    <w:rsid w:val="00112EB8"/>
    <w:rsid w:val="0011760F"/>
    <w:rsid w:val="0012662F"/>
    <w:rsid w:val="00132DC9"/>
    <w:rsid w:val="00140835"/>
    <w:rsid w:val="00142463"/>
    <w:rsid w:val="00145946"/>
    <w:rsid w:val="001564F2"/>
    <w:rsid w:val="001638FD"/>
    <w:rsid w:val="00176D30"/>
    <w:rsid w:val="00176FC1"/>
    <w:rsid w:val="001A2DC7"/>
    <w:rsid w:val="001A4839"/>
    <w:rsid w:val="001A67FD"/>
    <w:rsid w:val="001A7A75"/>
    <w:rsid w:val="001B04DA"/>
    <w:rsid w:val="001D122B"/>
    <w:rsid w:val="001D4854"/>
    <w:rsid w:val="001D736C"/>
    <w:rsid w:val="001D75C7"/>
    <w:rsid w:val="001E39AB"/>
    <w:rsid w:val="001E4438"/>
    <w:rsid w:val="001F1DA4"/>
    <w:rsid w:val="00201E13"/>
    <w:rsid w:val="00205402"/>
    <w:rsid w:val="002209CF"/>
    <w:rsid w:val="002243B2"/>
    <w:rsid w:val="00236768"/>
    <w:rsid w:val="002442E8"/>
    <w:rsid w:val="00250DA3"/>
    <w:rsid w:val="00251B33"/>
    <w:rsid w:val="00251F5B"/>
    <w:rsid w:val="00273A41"/>
    <w:rsid w:val="00290958"/>
    <w:rsid w:val="00291724"/>
    <w:rsid w:val="00295C9B"/>
    <w:rsid w:val="00296E4D"/>
    <w:rsid w:val="002B38E9"/>
    <w:rsid w:val="002B5CC9"/>
    <w:rsid w:val="002C02B6"/>
    <w:rsid w:val="002C50E2"/>
    <w:rsid w:val="002C62E7"/>
    <w:rsid w:val="002D4F2C"/>
    <w:rsid w:val="002D790F"/>
    <w:rsid w:val="002E28EE"/>
    <w:rsid w:val="002F2C7F"/>
    <w:rsid w:val="002F6176"/>
    <w:rsid w:val="00303F39"/>
    <w:rsid w:val="00304CC5"/>
    <w:rsid w:val="003102E5"/>
    <w:rsid w:val="00312880"/>
    <w:rsid w:val="003237F5"/>
    <w:rsid w:val="00324466"/>
    <w:rsid w:val="00326D57"/>
    <w:rsid w:val="003479C1"/>
    <w:rsid w:val="0035207C"/>
    <w:rsid w:val="003546CC"/>
    <w:rsid w:val="0035554D"/>
    <w:rsid w:val="0037087A"/>
    <w:rsid w:val="00383426"/>
    <w:rsid w:val="0038384E"/>
    <w:rsid w:val="003A45DF"/>
    <w:rsid w:val="003B4FB2"/>
    <w:rsid w:val="003C0F19"/>
    <w:rsid w:val="003C5CD4"/>
    <w:rsid w:val="003C6AAF"/>
    <w:rsid w:val="003D03B2"/>
    <w:rsid w:val="003D1FFE"/>
    <w:rsid w:val="003D2FE7"/>
    <w:rsid w:val="003E01FB"/>
    <w:rsid w:val="003E4951"/>
    <w:rsid w:val="003E4BA3"/>
    <w:rsid w:val="003E7574"/>
    <w:rsid w:val="003E78AF"/>
    <w:rsid w:val="003F0240"/>
    <w:rsid w:val="003F1B76"/>
    <w:rsid w:val="003F59CA"/>
    <w:rsid w:val="004019E8"/>
    <w:rsid w:val="0040343F"/>
    <w:rsid w:val="00405498"/>
    <w:rsid w:val="00412F8B"/>
    <w:rsid w:val="00431FF2"/>
    <w:rsid w:val="00432FA0"/>
    <w:rsid w:val="0044660F"/>
    <w:rsid w:val="00446A15"/>
    <w:rsid w:val="00453C60"/>
    <w:rsid w:val="00457602"/>
    <w:rsid w:val="00461B36"/>
    <w:rsid w:val="00464D2A"/>
    <w:rsid w:val="00473796"/>
    <w:rsid w:val="00481A7A"/>
    <w:rsid w:val="00483E28"/>
    <w:rsid w:val="004848E9"/>
    <w:rsid w:val="004A12CF"/>
    <w:rsid w:val="004A5C07"/>
    <w:rsid w:val="004B46EB"/>
    <w:rsid w:val="004C60D5"/>
    <w:rsid w:val="004C6579"/>
    <w:rsid w:val="004D1FB1"/>
    <w:rsid w:val="004D7A0D"/>
    <w:rsid w:val="004E211B"/>
    <w:rsid w:val="004E33CC"/>
    <w:rsid w:val="004E4E0C"/>
    <w:rsid w:val="004F1C37"/>
    <w:rsid w:val="005109BD"/>
    <w:rsid w:val="0051784B"/>
    <w:rsid w:val="00521026"/>
    <w:rsid w:val="005249EE"/>
    <w:rsid w:val="005260E7"/>
    <w:rsid w:val="00531214"/>
    <w:rsid w:val="00535B5A"/>
    <w:rsid w:val="00542EBF"/>
    <w:rsid w:val="005601EA"/>
    <w:rsid w:val="00565F89"/>
    <w:rsid w:val="00574305"/>
    <w:rsid w:val="005959E4"/>
    <w:rsid w:val="00596AB5"/>
    <w:rsid w:val="005A2639"/>
    <w:rsid w:val="005A3527"/>
    <w:rsid w:val="005B3044"/>
    <w:rsid w:val="005D0D53"/>
    <w:rsid w:val="005D3416"/>
    <w:rsid w:val="005F3881"/>
    <w:rsid w:val="0060174B"/>
    <w:rsid w:val="00601FBC"/>
    <w:rsid w:val="00604168"/>
    <w:rsid w:val="00621E74"/>
    <w:rsid w:val="00625DE5"/>
    <w:rsid w:val="00630BC0"/>
    <w:rsid w:val="006323BC"/>
    <w:rsid w:val="006417BC"/>
    <w:rsid w:val="00642548"/>
    <w:rsid w:val="00653ABA"/>
    <w:rsid w:val="00663923"/>
    <w:rsid w:val="00673ABB"/>
    <w:rsid w:val="00676B2D"/>
    <w:rsid w:val="00682D19"/>
    <w:rsid w:val="006857A3"/>
    <w:rsid w:val="00692C9E"/>
    <w:rsid w:val="006A3438"/>
    <w:rsid w:val="006A456A"/>
    <w:rsid w:val="006C77A5"/>
    <w:rsid w:val="006D2A98"/>
    <w:rsid w:val="006E66F8"/>
    <w:rsid w:val="006F595E"/>
    <w:rsid w:val="006F5A0F"/>
    <w:rsid w:val="00701DB1"/>
    <w:rsid w:val="00704131"/>
    <w:rsid w:val="00715851"/>
    <w:rsid w:val="00747C1F"/>
    <w:rsid w:val="00747E5F"/>
    <w:rsid w:val="00754385"/>
    <w:rsid w:val="00756A57"/>
    <w:rsid w:val="007648BF"/>
    <w:rsid w:val="007742A6"/>
    <w:rsid w:val="0077490F"/>
    <w:rsid w:val="00777AE2"/>
    <w:rsid w:val="007A19DC"/>
    <w:rsid w:val="007B017D"/>
    <w:rsid w:val="007B04C4"/>
    <w:rsid w:val="007B5594"/>
    <w:rsid w:val="007B6E24"/>
    <w:rsid w:val="007B751C"/>
    <w:rsid w:val="007C331F"/>
    <w:rsid w:val="007D1A55"/>
    <w:rsid w:val="007D74FF"/>
    <w:rsid w:val="007E33A7"/>
    <w:rsid w:val="007E4B9A"/>
    <w:rsid w:val="007F1044"/>
    <w:rsid w:val="007F1DA2"/>
    <w:rsid w:val="00811A4D"/>
    <w:rsid w:val="0081738D"/>
    <w:rsid w:val="008202D8"/>
    <w:rsid w:val="00836FB1"/>
    <w:rsid w:val="00856100"/>
    <w:rsid w:val="0085616F"/>
    <w:rsid w:val="00862FFD"/>
    <w:rsid w:val="00871E96"/>
    <w:rsid w:val="0089177B"/>
    <w:rsid w:val="008974CB"/>
    <w:rsid w:val="008A720B"/>
    <w:rsid w:val="008B3DD3"/>
    <w:rsid w:val="008B4E1B"/>
    <w:rsid w:val="008B7FA3"/>
    <w:rsid w:val="008C0C90"/>
    <w:rsid w:val="008C59BC"/>
    <w:rsid w:val="008E1B31"/>
    <w:rsid w:val="008E33CC"/>
    <w:rsid w:val="008E4184"/>
    <w:rsid w:val="008E487A"/>
    <w:rsid w:val="008F31CD"/>
    <w:rsid w:val="008F7D72"/>
    <w:rsid w:val="00903192"/>
    <w:rsid w:val="00921995"/>
    <w:rsid w:val="00922A40"/>
    <w:rsid w:val="00933CFA"/>
    <w:rsid w:val="00943004"/>
    <w:rsid w:val="009471B6"/>
    <w:rsid w:val="00950FCB"/>
    <w:rsid w:val="0096492A"/>
    <w:rsid w:val="00975C26"/>
    <w:rsid w:val="009763D3"/>
    <w:rsid w:val="00987DF4"/>
    <w:rsid w:val="0099500D"/>
    <w:rsid w:val="009A0E80"/>
    <w:rsid w:val="009A7605"/>
    <w:rsid w:val="009B256D"/>
    <w:rsid w:val="009B28B2"/>
    <w:rsid w:val="009C0BCC"/>
    <w:rsid w:val="009D2724"/>
    <w:rsid w:val="009E07CF"/>
    <w:rsid w:val="009E26D1"/>
    <w:rsid w:val="00A02E9D"/>
    <w:rsid w:val="00A13348"/>
    <w:rsid w:val="00A15879"/>
    <w:rsid w:val="00A2273F"/>
    <w:rsid w:val="00A305B8"/>
    <w:rsid w:val="00A32F2A"/>
    <w:rsid w:val="00A3470B"/>
    <w:rsid w:val="00A41637"/>
    <w:rsid w:val="00A467C7"/>
    <w:rsid w:val="00A46D42"/>
    <w:rsid w:val="00A519B1"/>
    <w:rsid w:val="00A6609B"/>
    <w:rsid w:val="00A73546"/>
    <w:rsid w:val="00A8759A"/>
    <w:rsid w:val="00A87B83"/>
    <w:rsid w:val="00A911F7"/>
    <w:rsid w:val="00AB0829"/>
    <w:rsid w:val="00AB1BB6"/>
    <w:rsid w:val="00AB3323"/>
    <w:rsid w:val="00AB489B"/>
    <w:rsid w:val="00AD74B2"/>
    <w:rsid w:val="00AF6457"/>
    <w:rsid w:val="00B101E3"/>
    <w:rsid w:val="00B12A9B"/>
    <w:rsid w:val="00B14616"/>
    <w:rsid w:val="00B21F86"/>
    <w:rsid w:val="00B302DB"/>
    <w:rsid w:val="00B30DE4"/>
    <w:rsid w:val="00B37DCB"/>
    <w:rsid w:val="00B4780B"/>
    <w:rsid w:val="00B5358F"/>
    <w:rsid w:val="00B67DBC"/>
    <w:rsid w:val="00B71CE0"/>
    <w:rsid w:val="00B77024"/>
    <w:rsid w:val="00B77560"/>
    <w:rsid w:val="00B83A22"/>
    <w:rsid w:val="00B86DC7"/>
    <w:rsid w:val="00B96ECD"/>
    <w:rsid w:val="00BB010A"/>
    <w:rsid w:val="00BB5689"/>
    <w:rsid w:val="00BC218D"/>
    <w:rsid w:val="00BC4905"/>
    <w:rsid w:val="00BC6E93"/>
    <w:rsid w:val="00BD7543"/>
    <w:rsid w:val="00BF13E0"/>
    <w:rsid w:val="00BF3B15"/>
    <w:rsid w:val="00C008DC"/>
    <w:rsid w:val="00C025D9"/>
    <w:rsid w:val="00C1170F"/>
    <w:rsid w:val="00C15781"/>
    <w:rsid w:val="00C2364A"/>
    <w:rsid w:val="00C26232"/>
    <w:rsid w:val="00C305B5"/>
    <w:rsid w:val="00C4793B"/>
    <w:rsid w:val="00C52557"/>
    <w:rsid w:val="00C57195"/>
    <w:rsid w:val="00C57B43"/>
    <w:rsid w:val="00C60416"/>
    <w:rsid w:val="00C611B4"/>
    <w:rsid w:val="00C61921"/>
    <w:rsid w:val="00C65EE8"/>
    <w:rsid w:val="00C71207"/>
    <w:rsid w:val="00C82121"/>
    <w:rsid w:val="00C84D6B"/>
    <w:rsid w:val="00C86922"/>
    <w:rsid w:val="00C96E40"/>
    <w:rsid w:val="00CA5201"/>
    <w:rsid w:val="00CA6EA9"/>
    <w:rsid w:val="00CC1DE8"/>
    <w:rsid w:val="00CC4141"/>
    <w:rsid w:val="00CE7028"/>
    <w:rsid w:val="00CF6944"/>
    <w:rsid w:val="00D02986"/>
    <w:rsid w:val="00D114DC"/>
    <w:rsid w:val="00D15E29"/>
    <w:rsid w:val="00D21481"/>
    <w:rsid w:val="00D22453"/>
    <w:rsid w:val="00D3325B"/>
    <w:rsid w:val="00D624A8"/>
    <w:rsid w:val="00D71B61"/>
    <w:rsid w:val="00D76D53"/>
    <w:rsid w:val="00D92A4A"/>
    <w:rsid w:val="00DA16F4"/>
    <w:rsid w:val="00DA3580"/>
    <w:rsid w:val="00DD4A4F"/>
    <w:rsid w:val="00DD6441"/>
    <w:rsid w:val="00DE0989"/>
    <w:rsid w:val="00DF3515"/>
    <w:rsid w:val="00DF6BC2"/>
    <w:rsid w:val="00E01848"/>
    <w:rsid w:val="00E108C2"/>
    <w:rsid w:val="00E10FD5"/>
    <w:rsid w:val="00E243F2"/>
    <w:rsid w:val="00E3089B"/>
    <w:rsid w:val="00E335C2"/>
    <w:rsid w:val="00E436C6"/>
    <w:rsid w:val="00E448D2"/>
    <w:rsid w:val="00E44CAF"/>
    <w:rsid w:val="00E45322"/>
    <w:rsid w:val="00E53590"/>
    <w:rsid w:val="00E5408B"/>
    <w:rsid w:val="00E560FE"/>
    <w:rsid w:val="00E64221"/>
    <w:rsid w:val="00E65AE7"/>
    <w:rsid w:val="00E74EE3"/>
    <w:rsid w:val="00EA4FDE"/>
    <w:rsid w:val="00EA7345"/>
    <w:rsid w:val="00EC6DD6"/>
    <w:rsid w:val="00ED02BE"/>
    <w:rsid w:val="00ED64CC"/>
    <w:rsid w:val="00EE16EB"/>
    <w:rsid w:val="00EE7139"/>
    <w:rsid w:val="00F21218"/>
    <w:rsid w:val="00F32878"/>
    <w:rsid w:val="00F3689A"/>
    <w:rsid w:val="00F44B78"/>
    <w:rsid w:val="00F47FB4"/>
    <w:rsid w:val="00F555FE"/>
    <w:rsid w:val="00F6182E"/>
    <w:rsid w:val="00F835B3"/>
    <w:rsid w:val="00F906C3"/>
    <w:rsid w:val="00F931E9"/>
    <w:rsid w:val="00F93410"/>
    <w:rsid w:val="00F934D3"/>
    <w:rsid w:val="00FA2FE8"/>
    <w:rsid w:val="00FA66E6"/>
    <w:rsid w:val="00FB15A6"/>
    <w:rsid w:val="00FB7440"/>
    <w:rsid w:val="00FC1860"/>
    <w:rsid w:val="00FD2E57"/>
    <w:rsid w:val="00FE20E5"/>
    <w:rsid w:val="00FE39E5"/>
    <w:rsid w:val="00FE5CA7"/>
    <w:rsid w:val="00FE64CF"/>
    <w:rsid w:val="00FE732D"/>
    <w:rsid w:val="00FE74C5"/>
    <w:rsid w:val="01091480"/>
    <w:rsid w:val="011348CB"/>
    <w:rsid w:val="01156777"/>
    <w:rsid w:val="011A035C"/>
    <w:rsid w:val="016320EC"/>
    <w:rsid w:val="016E2F6B"/>
    <w:rsid w:val="016F10F0"/>
    <w:rsid w:val="0173585E"/>
    <w:rsid w:val="018A7679"/>
    <w:rsid w:val="019A7384"/>
    <w:rsid w:val="01B251B6"/>
    <w:rsid w:val="01BD17FD"/>
    <w:rsid w:val="01DD2DCF"/>
    <w:rsid w:val="01FE5971"/>
    <w:rsid w:val="021A7C6C"/>
    <w:rsid w:val="02340617"/>
    <w:rsid w:val="0252420E"/>
    <w:rsid w:val="026A0DB1"/>
    <w:rsid w:val="02702D13"/>
    <w:rsid w:val="0298679E"/>
    <w:rsid w:val="02A97B7B"/>
    <w:rsid w:val="02DE7C7D"/>
    <w:rsid w:val="03086AA8"/>
    <w:rsid w:val="030A0A72"/>
    <w:rsid w:val="030C4158"/>
    <w:rsid w:val="03157416"/>
    <w:rsid w:val="03253AFD"/>
    <w:rsid w:val="03561F09"/>
    <w:rsid w:val="037C1244"/>
    <w:rsid w:val="03993BA4"/>
    <w:rsid w:val="03BF494D"/>
    <w:rsid w:val="03C44B67"/>
    <w:rsid w:val="03C75ED9"/>
    <w:rsid w:val="03DA48E8"/>
    <w:rsid w:val="03EE0393"/>
    <w:rsid w:val="04025BED"/>
    <w:rsid w:val="0409418A"/>
    <w:rsid w:val="04261BE1"/>
    <w:rsid w:val="042E1092"/>
    <w:rsid w:val="043D5655"/>
    <w:rsid w:val="047343F5"/>
    <w:rsid w:val="047C774D"/>
    <w:rsid w:val="049379E3"/>
    <w:rsid w:val="049A7BD3"/>
    <w:rsid w:val="04A722F0"/>
    <w:rsid w:val="04CD4FB2"/>
    <w:rsid w:val="05045994"/>
    <w:rsid w:val="05141EB3"/>
    <w:rsid w:val="052D2EAC"/>
    <w:rsid w:val="054D2E98"/>
    <w:rsid w:val="056874FD"/>
    <w:rsid w:val="056F5A4C"/>
    <w:rsid w:val="05873604"/>
    <w:rsid w:val="059C4DC1"/>
    <w:rsid w:val="05BC0FEB"/>
    <w:rsid w:val="05E47814"/>
    <w:rsid w:val="061B5E9F"/>
    <w:rsid w:val="0650315A"/>
    <w:rsid w:val="0680104B"/>
    <w:rsid w:val="068B011B"/>
    <w:rsid w:val="068E19BA"/>
    <w:rsid w:val="069D39AB"/>
    <w:rsid w:val="06BC02D5"/>
    <w:rsid w:val="06BF1B73"/>
    <w:rsid w:val="06CD5A4C"/>
    <w:rsid w:val="06DA4BFF"/>
    <w:rsid w:val="07043A2A"/>
    <w:rsid w:val="0728596A"/>
    <w:rsid w:val="073C7ECE"/>
    <w:rsid w:val="075A7AEE"/>
    <w:rsid w:val="078A2181"/>
    <w:rsid w:val="079131FB"/>
    <w:rsid w:val="07943000"/>
    <w:rsid w:val="07B3006B"/>
    <w:rsid w:val="07DE6406"/>
    <w:rsid w:val="07E51AAD"/>
    <w:rsid w:val="07EC4BEA"/>
    <w:rsid w:val="080865D4"/>
    <w:rsid w:val="08193505"/>
    <w:rsid w:val="081D2FF5"/>
    <w:rsid w:val="088209C9"/>
    <w:rsid w:val="08AF79C5"/>
    <w:rsid w:val="08C571E9"/>
    <w:rsid w:val="08D3272D"/>
    <w:rsid w:val="08F22133"/>
    <w:rsid w:val="08F91077"/>
    <w:rsid w:val="08FB2C0B"/>
    <w:rsid w:val="090B10A0"/>
    <w:rsid w:val="0918004E"/>
    <w:rsid w:val="09267305"/>
    <w:rsid w:val="09434CDD"/>
    <w:rsid w:val="09447046"/>
    <w:rsid w:val="09487649"/>
    <w:rsid w:val="095A0AF0"/>
    <w:rsid w:val="095E7633"/>
    <w:rsid w:val="09734E1D"/>
    <w:rsid w:val="09906FB0"/>
    <w:rsid w:val="099077F7"/>
    <w:rsid w:val="099D1982"/>
    <w:rsid w:val="09B9165B"/>
    <w:rsid w:val="09CF32F4"/>
    <w:rsid w:val="09E76629"/>
    <w:rsid w:val="09F45FD8"/>
    <w:rsid w:val="0A066C16"/>
    <w:rsid w:val="0A0B385A"/>
    <w:rsid w:val="0A0D2E48"/>
    <w:rsid w:val="0A1B17B6"/>
    <w:rsid w:val="0A1C108A"/>
    <w:rsid w:val="0A2110E0"/>
    <w:rsid w:val="0A572A77"/>
    <w:rsid w:val="0A5922DF"/>
    <w:rsid w:val="0A7A3184"/>
    <w:rsid w:val="0A7C1AAA"/>
    <w:rsid w:val="0ABD6228"/>
    <w:rsid w:val="0AEE6ECB"/>
    <w:rsid w:val="0AF82C5A"/>
    <w:rsid w:val="0B1756E0"/>
    <w:rsid w:val="0B433ABE"/>
    <w:rsid w:val="0B551F76"/>
    <w:rsid w:val="0B6F290B"/>
    <w:rsid w:val="0B882A0B"/>
    <w:rsid w:val="0BAD28E2"/>
    <w:rsid w:val="0BB5791E"/>
    <w:rsid w:val="0BCA3494"/>
    <w:rsid w:val="0BCB5886"/>
    <w:rsid w:val="0BE34556"/>
    <w:rsid w:val="0BE63848"/>
    <w:rsid w:val="0BEA2A4D"/>
    <w:rsid w:val="0BFE4EEC"/>
    <w:rsid w:val="0C2D57D1"/>
    <w:rsid w:val="0C2F1549"/>
    <w:rsid w:val="0C346950"/>
    <w:rsid w:val="0C465E66"/>
    <w:rsid w:val="0C692CAD"/>
    <w:rsid w:val="0CC76A93"/>
    <w:rsid w:val="0CDD11A6"/>
    <w:rsid w:val="0CF779FA"/>
    <w:rsid w:val="0D0F4ED6"/>
    <w:rsid w:val="0D3037CB"/>
    <w:rsid w:val="0D3D7C96"/>
    <w:rsid w:val="0D4C1C87"/>
    <w:rsid w:val="0D51729D"/>
    <w:rsid w:val="0D58687D"/>
    <w:rsid w:val="0D7A6E39"/>
    <w:rsid w:val="0D7F205C"/>
    <w:rsid w:val="0D8838E1"/>
    <w:rsid w:val="0D8B4057"/>
    <w:rsid w:val="0D996605"/>
    <w:rsid w:val="0DA65985"/>
    <w:rsid w:val="0DBC3BF6"/>
    <w:rsid w:val="0DCD2DC7"/>
    <w:rsid w:val="0DE2767D"/>
    <w:rsid w:val="0E034A3B"/>
    <w:rsid w:val="0E100F06"/>
    <w:rsid w:val="0E171236"/>
    <w:rsid w:val="0E27079D"/>
    <w:rsid w:val="0E2A15BE"/>
    <w:rsid w:val="0E2D40FC"/>
    <w:rsid w:val="0E3A2BD7"/>
    <w:rsid w:val="0E4E4176"/>
    <w:rsid w:val="0E910299"/>
    <w:rsid w:val="0E963B01"/>
    <w:rsid w:val="0E990EFC"/>
    <w:rsid w:val="0EDB5BD1"/>
    <w:rsid w:val="0EE859DF"/>
    <w:rsid w:val="0EEF6D6E"/>
    <w:rsid w:val="0F1A6E6A"/>
    <w:rsid w:val="0F222E22"/>
    <w:rsid w:val="0F29457C"/>
    <w:rsid w:val="0F2A424A"/>
    <w:rsid w:val="0F6A6D45"/>
    <w:rsid w:val="0F707EAE"/>
    <w:rsid w:val="0F73799F"/>
    <w:rsid w:val="0F873C06"/>
    <w:rsid w:val="0F8C0A60"/>
    <w:rsid w:val="100D44E3"/>
    <w:rsid w:val="102551B2"/>
    <w:rsid w:val="103A04BC"/>
    <w:rsid w:val="104D1958"/>
    <w:rsid w:val="104F4132"/>
    <w:rsid w:val="105E064F"/>
    <w:rsid w:val="106237DA"/>
    <w:rsid w:val="106317C1"/>
    <w:rsid w:val="107B2FAF"/>
    <w:rsid w:val="108D4A90"/>
    <w:rsid w:val="10923E54"/>
    <w:rsid w:val="10C413C2"/>
    <w:rsid w:val="10D12BCF"/>
    <w:rsid w:val="10DE7566"/>
    <w:rsid w:val="10E10D6A"/>
    <w:rsid w:val="11036B00"/>
    <w:rsid w:val="113D0264"/>
    <w:rsid w:val="114F2515"/>
    <w:rsid w:val="11691059"/>
    <w:rsid w:val="116C0ACD"/>
    <w:rsid w:val="116C0B49"/>
    <w:rsid w:val="11782949"/>
    <w:rsid w:val="11867E5D"/>
    <w:rsid w:val="118D1444"/>
    <w:rsid w:val="11E76422"/>
    <w:rsid w:val="11E85FCF"/>
    <w:rsid w:val="11EE155E"/>
    <w:rsid w:val="11F16B6F"/>
    <w:rsid w:val="11F823DD"/>
    <w:rsid w:val="120B0362"/>
    <w:rsid w:val="12135469"/>
    <w:rsid w:val="1228313F"/>
    <w:rsid w:val="122A21A8"/>
    <w:rsid w:val="123011B5"/>
    <w:rsid w:val="12353631"/>
    <w:rsid w:val="12633CFA"/>
    <w:rsid w:val="12665599"/>
    <w:rsid w:val="126B0E01"/>
    <w:rsid w:val="126F119B"/>
    <w:rsid w:val="12B2450B"/>
    <w:rsid w:val="12B46304"/>
    <w:rsid w:val="13010D7D"/>
    <w:rsid w:val="130E3A86"/>
    <w:rsid w:val="131E2317"/>
    <w:rsid w:val="13285307"/>
    <w:rsid w:val="13385187"/>
    <w:rsid w:val="135B0819"/>
    <w:rsid w:val="13911C97"/>
    <w:rsid w:val="13916645"/>
    <w:rsid w:val="139F1BD5"/>
    <w:rsid w:val="13A66D9F"/>
    <w:rsid w:val="13F05A62"/>
    <w:rsid w:val="140B31B4"/>
    <w:rsid w:val="141379A2"/>
    <w:rsid w:val="14156866"/>
    <w:rsid w:val="142464C8"/>
    <w:rsid w:val="143A0A8B"/>
    <w:rsid w:val="143D5CE2"/>
    <w:rsid w:val="144638D4"/>
    <w:rsid w:val="14496F20"/>
    <w:rsid w:val="14631D00"/>
    <w:rsid w:val="14983A03"/>
    <w:rsid w:val="14AA158F"/>
    <w:rsid w:val="14C86476"/>
    <w:rsid w:val="14CB3DD9"/>
    <w:rsid w:val="14CD7045"/>
    <w:rsid w:val="150A0454"/>
    <w:rsid w:val="151E215B"/>
    <w:rsid w:val="15274349"/>
    <w:rsid w:val="153320AA"/>
    <w:rsid w:val="153F7F51"/>
    <w:rsid w:val="15466837"/>
    <w:rsid w:val="15834F16"/>
    <w:rsid w:val="158F12AA"/>
    <w:rsid w:val="15B66837"/>
    <w:rsid w:val="15C4057F"/>
    <w:rsid w:val="15CC605B"/>
    <w:rsid w:val="15E2762C"/>
    <w:rsid w:val="15F461BD"/>
    <w:rsid w:val="15F54816"/>
    <w:rsid w:val="160E03F1"/>
    <w:rsid w:val="16297009"/>
    <w:rsid w:val="163C6D3C"/>
    <w:rsid w:val="16685D83"/>
    <w:rsid w:val="166F01F7"/>
    <w:rsid w:val="16AA4C09"/>
    <w:rsid w:val="16CC60C4"/>
    <w:rsid w:val="16DA0303"/>
    <w:rsid w:val="16E44BB0"/>
    <w:rsid w:val="1701702A"/>
    <w:rsid w:val="1771220A"/>
    <w:rsid w:val="17BB4F81"/>
    <w:rsid w:val="17DE2E95"/>
    <w:rsid w:val="17F13B56"/>
    <w:rsid w:val="180A5720"/>
    <w:rsid w:val="185C36C6"/>
    <w:rsid w:val="186F07F7"/>
    <w:rsid w:val="187A5C7E"/>
    <w:rsid w:val="18CD0120"/>
    <w:rsid w:val="18DE0BEA"/>
    <w:rsid w:val="190A1374"/>
    <w:rsid w:val="193261D5"/>
    <w:rsid w:val="193C6956"/>
    <w:rsid w:val="19455539"/>
    <w:rsid w:val="19566367"/>
    <w:rsid w:val="19670897"/>
    <w:rsid w:val="19687E48"/>
    <w:rsid w:val="19763D46"/>
    <w:rsid w:val="199944A6"/>
    <w:rsid w:val="19D51ECE"/>
    <w:rsid w:val="1A121912"/>
    <w:rsid w:val="1A1D50D7"/>
    <w:rsid w:val="1A3B776D"/>
    <w:rsid w:val="1A3F7B5B"/>
    <w:rsid w:val="1A5F56EF"/>
    <w:rsid w:val="1A6D1019"/>
    <w:rsid w:val="1A734CF7"/>
    <w:rsid w:val="1A7F5449"/>
    <w:rsid w:val="1A8A3DEE"/>
    <w:rsid w:val="1A9B5FFB"/>
    <w:rsid w:val="1A9F5AEC"/>
    <w:rsid w:val="1AAB623F"/>
    <w:rsid w:val="1ABA2E0F"/>
    <w:rsid w:val="1AC63078"/>
    <w:rsid w:val="1ACD2659"/>
    <w:rsid w:val="1ACD492B"/>
    <w:rsid w:val="1ADD6DAE"/>
    <w:rsid w:val="1AE52311"/>
    <w:rsid w:val="1AE93CEC"/>
    <w:rsid w:val="1AEB6F83"/>
    <w:rsid w:val="1B025687"/>
    <w:rsid w:val="1B0618BB"/>
    <w:rsid w:val="1B23671D"/>
    <w:rsid w:val="1B302BE8"/>
    <w:rsid w:val="1B3A26BB"/>
    <w:rsid w:val="1B4641B9"/>
    <w:rsid w:val="1B677EE2"/>
    <w:rsid w:val="1B891DA2"/>
    <w:rsid w:val="1BB455C7"/>
    <w:rsid w:val="1BBE4697"/>
    <w:rsid w:val="1BDD5CC2"/>
    <w:rsid w:val="1BDF0E28"/>
    <w:rsid w:val="1BE51C24"/>
    <w:rsid w:val="1C115047"/>
    <w:rsid w:val="1C2269A1"/>
    <w:rsid w:val="1C365FDC"/>
    <w:rsid w:val="1C562403"/>
    <w:rsid w:val="1C8142FC"/>
    <w:rsid w:val="1C8A6328"/>
    <w:rsid w:val="1CCE26B8"/>
    <w:rsid w:val="1CDB3570"/>
    <w:rsid w:val="1CDD6D9F"/>
    <w:rsid w:val="1CEB326A"/>
    <w:rsid w:val="1CF30371"/>
    <w:rsid w:val="1CF3211F"/>
    <w:rsid w:val="1D2017AA"/>
    <w:rsid w:val="1D45521B"/>
    <w:rsid w:val="1D6978E1"/>
    <w:rsid w:val="1D6D6F66"/>
    <w:rsid w:val="1D8F67D2"/>
    <w:rsid w:val="1DA17DCD"/>
    <w:rsid w:val="1DB53363"/>
    <w:rsid w:val="1DB55626"/>
    <w:rsid w:val="1DC046F7"/>
    <w:rsid w:val="1E114F52"/>
    <w:rsid w:val="1E1C7453"/>
    <w:rsid w:val="1E2B65AD"/>
    <w:rsid w:val="1E6A6411"/>
    <w:rsid w:val="1E6E5F01"/>
    <w:rsid w:val="1E8C1BDB"/>
    <w:rsid w:val="1E984D2C"/>
    <w:rsid w:val="1EA01E32"/>
    <w:rsid w:val="1EA37B56"/>
    <w:rsid w:val="1EC27FFB"/>
    <w:rsid w:val="1EC45B21"/>
    <w:rsid w:val="1ECC2C27"/>
    <w:rsid w:val="1EDC2EB3"/>
    <w:rsid w:val="1F115C62"/>
    <w:rsid w:val="1F1F369F"/>
    <w:rsid w:val="1F4648B3"/>
    <w:rsid w:val="1F522A54"/>
    <w:rsid w:val="1F9026E6"/>
    <w:rsid w:val="1F9768C5"/>
    <w:rsid w:val="1F9B7945"/>
    <w:rsid w:val="1FAE057F"/>
    <w:rsid w:val="1FED0644"/>
    <w:rsid w:val="200A4B36"/>
    <w:rsid w:val="2014288C"/>
    <w:rsid w:val="20362A4E"/>
    <w:rsid w:val="203B62B7"/>
    <w:rsid w:val="20673947"/>
    <w:rsid w:val="20866C6D"/>
    <w:rsid w:val="20CE0AD0"/>
    <w:rsid w:val="20D03B09"/>
    <w:rsid w:val="20DA602C"/>
    <w:rsid w:val="20EF154A"/>
    <w:rsid w:val="210C7C53"/>
    <w:rsid w:val="212B632B"/>
    <w:rsid w:val="2152052D"/>
    <w:rsid w:val="2167118E"/>
    <w:rsid w:val="21900776"/>
    <w:rsid w:val="2198351F"/>
    <w:rsid w:val="219C02A2"/>
    <w:rsid w:val="21A353DB"/>
    <w:rsid w:val="21B04A82"/>
    <w:rsid w:val="21C127EB"/>
    <w:rsid w:val="21D60EF2"/>
    <w:rsid w:val="21D82BCD"/>
    <w:rsid w:val="22235F69"/>
    <w:rsid w:val="22753536"/>
    <w:rsid w:val="22A75E85"/>
    <w:rsid w:val="22B10AB2"/>
    <w:rsid w:val="22D16E1B"/>
    <w:rsid w:val="22D22E55"/>
    <w:rsid w:val="22EB3FC4"/>
    <w:rsid w:val="22F8223D"/>
    <w:rsid w:val="232474D6"/>
    <w:rsid w:val="23396B62"/>
    <w:rsid w:val="23566A91"/>
    <w:rsid w:val="23654B0D"/>
    <w:rsid w:val="23757D31"/>
    <w:rsid w:val="237D3039"/>
    <w:rsid w:val="239131F4"/>
    <w:rsid w:val="23922691"/>
    <w:rsid w:val="23A203FB"/>
    <w:rsid w:val="23AC3027"/>
    <w:rsid w:val="23CE7163"/>
    <w:rsid w:val="23E33518"/>
    <w:rsid w:val="23EA427B"/>
    <w:rsid w:val="23ED3C99"/>
    <w:rsid w:val="23F940BA"/>
    <w:rsid w:val="240B41F2"/>
    <w:rsid w:val="241B616B"/>
    <w:rsid w:val="24347EF0"/>
    <w:rsid w:val="2438765C"/>
    <w:rsid w:val="243E45C7"/>
    <w:rsid w:val="24525F11"/>
    <w:rsid w:val="2455546D"/>
    <w:rsid w:val="246758CC"/>
    <w:rsid w:val="246851A0"/>
    <w:rsid w:val="247E49C4"/>
    <w:rsid w:val="249A1F8C"/>
    <w:rsid w:val="249E79F9"/>
    <w:rsid w:val="24B83CB6"/>
    <w:rsid w:val="24D665AE"/>
    <w:rsid w:val="2533755C"/>
    <w:rsid w:val="25401C79"/>
    <w:rsid w:val="25416050"/>
    <w:rsid w:val="254554E2"/>
    <w:rsid w:val="25626093"/>
    <w:rsid w:val="256A4F48"/>
    <w:rsid w:val="259260F1"/>
    <w:rsid w:val="25994862"/>
    <w:rsid w:val="25A22934"/>
    <w:rsid w:val="25B12B77"/>
    <w:rsid w:val="25CB5FAF"/>
    <w:rsid w:val="25FA2770"/>
    <w:rsid w:val="26141660"/>
    <w:rsid w:val="26153106"/>
    <w:rsid w:val="26381ACC"/>
    <w:rsid w:val="26404627"/>
    <w:rsid w:val="268C0CBA"/>
    <w:rsid w:val="269C4877"/>
    <w:rsid w:val="26AE0A34"/>
    <w:rsid w:val="26B50445"/>
    <w:rsid w:val="26C879F4"/>
    <w:rsid w:val="26DF742E"/>
    <w:rsid w:val="26E50D2A"/>
    <w:rsid w:val="26ED7BDF"/>
    <w:rsid w:val="26FE2F45"/>
    <w:rsid w:val="270545E6"/>
    <w:rsid w:val="27147861"/>
    <w:rsid w:val="27206508"/>
    <w:rsid w:val="272C4BAB"/>
    <w:rsid w:val="273029BC"/>
    <w:rsid w:val="273B6528"/>
    <w:rsid w:val="274A56BE"/>
    <w:rsid w:val="275630C5"/>
    <w:rsid w:val="27593BC5"/>
    <w:rsid w:val="27644FCF"/>
    <w:rsid w:val="276854B7"/>
    <w:rsid w:val="277976C4"/>
    <w:rsid w:val="277E3C29"/>
    <w:rsid w:val="27806CA5"/>
    <w:rsid w:val="2783199F"/>
    <w:rsid w:val="2783718F"/>
    <w:rsid w:val="27930786"/>
    <w:rsid w:val="27C070A1"/>
    <w:rsid w:val="27C748D4"/>
    <w:rsid w:val="27DA300E"/>
    <w:rsid w:val="27DB2090"/>
    <w:rsid w:val="27EB0257"/>
    <w:rsid w:val="27FB3942"/>
    <w:rsid w:val="27FB515C"/>
    <w:rsid w:val="281F026C"/>
    <w:rsid w:val="281F6E41"/>
    <w:rsid w:val="28245175"/>
    <w:rsid w:val="2828152A"/>
    <w:rsid w:val="283B0969"/>
    <w:rsid w:val="285C7334"/>
    <w:rsid w:val="28643ED1"/>
    <w:rsid w:val="286E4D4F"/>
    <w:rsid w:val="287265EE"/>
    <w:rsid w:val="28A16ED3"/>
    <w:rsid w:val="28A6273B"/>
    <w:rsid w:val="28B766F6"/>
    <w:rsid w:val="28EC2331"/>
    <w:rsid w:val="28F11C08"/>
    <w:rsid w:val="294C08DA"/>
    <w:rsid w:val="296C128F"/>
    <w:rsid w:val="296D5007"/>
    <w:rsid w:val="296F4C5F"/>
    <w:rsid w:val="29802F8C"/>
    <w:rsid w:val="29930F11"/>
    <w:rsid w:val="299D3B3E"/>
    <w:rsid w:val="29B97B43"/>
    <w:rsid w:val="29CE1F49"/>
    <w:rsid w:val="29DF5F05"/>
    <w:rsid w:val="29EA62A5"/>
    <w:rsid w:val="2A2D4EC2"/>
    <w:rsid w:val="2A3C3357"/>
    <w:rsid w:val="2A473AAA"/>
    <w:rsid w:val="2A570191"/>
    <w:rsid w:val="2A5E32CD"/>
    <w:rsid w:val="2A6F6748"/>
    <w:rsid w:val="2A73664D"/>
    <w:rsid w:val="2AB47391"/>
    <w:rsid w:val="2ABC7FF4"/>
    <w:rsid w:val="2AFC2AE6"/>
    <w:rsid w:val="2B2B726B"/>
    <w:rsid w:val="2B2D4A4E"/>
    <w:rsid w:val="2B5841C1"/>
    <w:rsid w:val="2B6C1A1A"/>
    <w:rsid w:val="2B6E0945"/>
    <w:rsid w:val="2B77090E"/>
    <w:rsid w:val="2B830541"/>
    <w:rsid w:val="2B8E3B75"/>
    <w:rsid w:val="2B9D2066"/>
    <w:rsid w:val="2BDF3F0E"/>
    <w:rsid w:val="2C161986"/>
    <w:rsid w:val="2C29216E"/>
    <w:rsid w:val="2C2F3AC5"/>
    <w:rsid w:val="2C506C46"/>
    <w:rsid w:val="2C5A1872"/>
    <w:rsid w:val="2C6D7C8B"/>
    <w:rsid w:val="2C736DD8"/>
    <w:rsid w:val="2C75006C"/>
    <w:rsid w:val="2C7F2067"/>
    <w:rsid w:val="2C8114F5"/>
    <w:rsid w:val="2CAA6AF7"/>
    <w:rsid w:val="2CD5539D"/>
    <w:rsid w:val="2D0A1488"/>
    <w:rsid w:val="2D0A773C"/>
    <w:rsid w:val="2D4D7629"/>
    <w:rsid w:val="2D62795A"/>
    <w:rsid w:val="2D630BFB"/>
    <w:rsid w:val="2D6E6085"/>
    <w:rsid w:val="2D86398C"/>
    <w:rsid w:val="2D9B0395"/>
    <w:rsid w:val="2DD86FBB"/>
    <w:rsid w:val="2E3C1B78"/>
    <w:rsid w:val="2E67471B"/>
    <w:rsid w:val="2E6B3CB5"/>
    <w:rsid w:val="2E953400"/>
    <w:rsid w:val="2EA15273"/>
    <w:rsid w:val="2EB822CA"/>
    <w:rsid w:val="2EB9643D"/>
    <w:rsid w:val="2EC3109B"/>
    <w:rsid w:val="2EE200F9"/>
    <w:rsid w:val="2F11721B"/>
    <w:rsid w:val="2F1E74CF"/>
    <w:rsid w:val="2F513AA1"/>
    <w:rsid w:val="2F520F27"/>
    <w:rsid w:val="2F624B4C"/>
    <w:rsid w:val="2F740E9D"/>
    <w:rsid w:val="2F9231AE"/>
    <w:rsid w:val="2FAA2E62"/>
    <w:rsid w:val="2FFD0A4E"/>
    <w:rsid w:val="2FFD4D31"/>
    <w:rsid w:val="30006BD5"/>
    <w:rsid w:val="300D56E3"/>
    <w:rsid w:val="300F506A"/>
    <w:rsid w:val="30185CCC"/>
    <w:rsid w:val="304940D8"/>
    <w:rsid w:val="30695649"/>
    <w:rsid w:val="30A76E60"/>
    <w:rsid w:val="30D62402"/>
    <w:rsid w:val="30DD6F16"/>
    <w:rsid w:val="30FD3114"/>
    <w:rsid w:val="311566B0"/>
    <w:rsid w:val="319D5A1B"/>
    <w:rsid w:val="319D73E5"/>
    <w:rsid w:val="31AF3FF6"/>
    <w:rsid w:val="31CB26CF"/>
    <w:rsid w:val="31D01159"/>
    <w:rsid w:val="31E00A6C"/>
    <w:rsid w:val="320A5AE9"/>
    <w:rsid w:val="32361BEB"/>
    <w:rsid w:val="32377580"/>
    <w:rsid w:val="323B2146"/>
    <w:rsid w:val="32474FBC"/>
    <w:rsid w:val="325032DD"/>
    <w:rsid w:val="3255017A"/>
    <w:rsid w:val="32573D8E"/>
    <w:rsid w:val="327105DD"/>
    <w:rsid w:val="328504C3"/>
    <w:rsid w:val="32981444"/>
    <w:rsid w:val="32BE4D71"/>
    <w:rsid w:val="32D355BB"/>
    <w:rsid w:val="32DD1848"/>
    <w:rsid w:val="32E427DE"/>
    <w:rsid w:val="32E75E2A"/>
    <w:rsid w:val="33252710"/>
    <w:rsid w:val="332B21BB"/>
    <w:rsid w:val="3333106F"/>
    <w:rsid w:val="334C5DA5"/>
    <w:rsid w:val="33510E1D"/>
    <w:rsid w:val="33795E2F"/>
    <w:rsid w:val="33863895"/>
    <w:rsid w:val="33CB12A8"/>
    <w:rsid w:val="341B3FDD"/>
    <w:rsid w:val="343F46CF"/>
    <w:rsid w:val="345831E6"/>
    <w:rsid w:val="349B2BDB"/>
    <w:rsid w:val="34A71D15"/>
    <w:rsid w:val="34F523AB"/>
    <w:rsid w:val="3502519D"/>
    <w:rsid w:val="3509718D"/>
    <w:rsid w:val="35171765"/>
    <w:rsid w:val="35531555"/>
    <w:rsid w:val="355A0026"/>
    <w:rsid w:val="356A15C4"/>
    <w:rsid w:val="35942299"/>
    <w:rsid w:val="359C73A0"/>
    <w:rsid w:val="35A95619"/>
    <w:rsid w:val="35AB23A4"/>
    <w:rsid w:val="35C77473"/>
    <w:rsid w:val="35D824D3"/>
    <w:rsid w:val="35EB2782"/>
    <w:rsid w:val="35FC192B"/>
    <w:rsid w:val="360B6A01"/>
    <w:rsid w:val="36157D8C"/>
    <w:rsid w:val="36211653"/>
    <w:rsid w:val="365E6403"/>
    <w:rsid w:val="3687595A"/>
    <w:rsid w:val="368F6343"/>
    <w:rsid w:val="36A549A2"/>
    <w:rsid w:val="36BD5820"/>
    <w:rsid w:val="36CC7811"/>
    <w:rsid w:val="36DE0C23"/>
    <w:rsid w:val="36F823B4"/>
    <w:rsid w:val="36FB00F6"/>
    <w:rsid w:val="37076126"/>
    <w:rsid w:val="370A20E7"/>
    <w:rsid w:val="376358B3"/>
    <w:rsid w:val="376E6B1A"/>
    <w:rsid w:val="378C0D4E"/>
    <w:rsid w:val="37971BCD"/>
    <w:rsid w:val="37A07217"/>
    <w:rsid w:val="37A82B4C"/>
    <w:rsid w:val="37BF1123"/>
    <w:rsid w:val="37C66267"/>
    <w:rsid w:val="37DE77FC"/>
    <w:rsid w:val="37E46B93"/>
    <w:rsid w:val="38064FA4"/>
    <w:rsid w:val="38251020"/>
    <w:rsid w:val="3836053E"/>
    <w:rsid w:val="3842422E"/>
    <w:rsid w:val="384358B1"/>
    <w:rsid w:val="384855BD"/>
    <w:rsid w:val="384A30E3"/>
    <w:rsid w:val="384B3F24"/>
    <w:rsid w:val="38581833"/>
    <w:rsid w:val="38622067"/>
    <w:rsid w:val="38796219"/>
    <w:rsid w:val="389154E2"/>
    <w:rsid w:val="38A04FB0"/>
    <w:rsid w:val="38C70AF3"/>
    <w:rsid w:val="38CA2875"/>
    <w:rsid w:val="38D155B2"/>
    <w:rsid w:val="38D429AD"/>
    <w:rsid w:val="38D97FC3"/>
    <w:rsid w:val="38F82B3F"/>
    <w:rsid w:val="39045FAA"/>
    <w:rsid w:val="39317DFF"/>
    <w:rsid w:val="394A3B6E"/>
    <w:rsid w:val="394D487E"/>
    <w:rsid w:val="396404E2"/>
    <w:rsid w:val="39693A3D"/>
    <w:rsid w:val="397C776C"/>
    <w:rsid w:val="397D4DF2"/>
    <w:rsid w:val="39875C71"/>
    <w:rsid w:val="3995577A"/>
    <w:rsid w:val="399E5F5D"/>
    <w:rsid w:val="39A20CFD"/>
    <w:rsid w:val="39A700C1"/>
    <w:rsid w:val="39B60304"/>
    <w:rsid w:val="39C96DA5"/>
    <w:rsid w:val="39DA0497"/>
    <w:rsid w:val="3A022A5F"/>
    <w:rsid w:val="3A1E0383"/>
    <w:rsid w:val="3A3758E9"/>
    <w:rsid w:val="3A5A7A93"/>
    <w:rsid w:val="3A63223A"/>
    <w:rsid w:val="3A862F24"/>
    <w:rsid w:val="3A8659CE"/>
    <w:rsid w:val="3A946897"/>
    <w:rsid w:val="3AD153F6"/>
    <w:rsid w:val="3ADA3168"/>
    <w:rsid w:val="3ADC45D0"/>
    <w:rsid w:val="3AE958FD"/>
    <w:rsid w:val="3AFC23EB"/>
    <w:rsid w:val="3AFE1F63"/>
    <w:rsid w:val="3B19332B"/>
    <w:rsid w:val="3B1F759A"/>
    <w:rsid w:val="3B216955"/>
    <w:rsid w:val="3B4E575D"/>
    <w:rsid w:val="3B716BD9"/>
    <w:rsid w:val="3B806E1C"/>
    <w:rsid w:val="3BAB5FA3"/>
    <w:rsid w:val="3BB0325D"/>
    <w:rsid w:val="3BBD1E1E"/>
    <w:rsid w:val="3BBD597A"/>
    <w:rsid w:val="3BD333EF"/>
    <w:rsid w:val="3BE13D5E"/>
    <w:rsid w:val="3BF92F2D"/>
    <w:rsid w:val="3C277297"/>
    <w:rsid w:val="3C30439E"/>
    <w:rsid w:val="3C460065"/>
    <w:rsid w:val="3C683B38"/>
    <w:rsid w:val="3C954118"/>
    <w:rsid w:val="3C9D2CE2"/>
    <w:rsid w:val="3CA052EC"/>
    <w:rsid w:val="3D026D87"/>
    <w:rsid w:val="3D0870C9"/>
    <w:rsid w:val="3D1B6DFC"/>
    <w:rsid w:val="3D57495F"/>
    <w:rsid w:val="3D7B3D3F"/>
    <w:rsid w:val="3D8B7DB9"/>
    <w:rsid w:val="3D9848F1"/>
    <w:rsid w:val="3DA21498"/>
    <w:rsid w:val="3DC01751"/>
    <w:rsid w:val="3DD400FC"/>
    <w:rsid w:val="3DE83CFF"/>
    <w:rsid w:val="3DF24001"/>
    <w:rsid w:val="3DFF04CC"/>
    <w:rsid w:val="3E0437D5"/>
    <w:rsid w:val="3E1602FB"/>
    <w:rsid w:val="3E1C2E2C"/>
    <w:rsid w:val="3E39196F"/>
    <w:rsid w:val="3E3E7BDA"/>
    <w:rsid w:val="3E6476BA"/>
    <w:rsid w:val="3E815385"/>
    <w:rsid w:val="3E8B7FB1"/>
    <w:rsid w:val="3E9E1A93"/>
    <w:rsid w:val="3EB2553E"/>
    <w:rsid w:val="3EBF1A09"/>
    <w:rsid w:val="3EC978C8"/>
    <w:rsid w:val="3ED731F7"/>
    <w:rsid w:val="3EED0FE4"/>
    <w:rsid w:val="3EF67B21"/>
    <w:rsid w:val="3F156188"/>
    <w:rsid w:val="3F163D1F"/>
    <w:rsid w:val="3F4C5993"/>
    <w:rsid w:val="3F5E1222"/>
    <w:rsid w:val="3F5E56C6"/>
    <w:rsid w:val="3F740A45"/>
    <w:rsid w:val="3F852C53"/>
    <w:rsid w:val="3F877BBC"/>
    <w:rsid w:val="3F8E0A52"/>
    <w:rsid w:val="3F9E56B6"/>
    <w:rsid w:val="3FA23805"/>
    <w:rsid w:val="3FC70145"/>
    <w:rsid w:val="3FD13129"/>
    <w:rsid w:val="3FDF4418"/>
    <w:rsid w:val="40181D19"/>
    <w:rsid w:val="401D732F"/>
    <w:rsid w:val="40284D6D"/>
    <w:rsid w:val="40380203"/>
    <w:rsid w:val="40442B0E"/>
    <w:rsid w:val="40491ED2"/>
    <w:rsid w:val="407927B7"/>
    <w:rsid w:val="409273D5"/>
    <w:rsid w:val="40A25464"/>
    <w:rsid w:val="41010626"/>
    <w:rsid w:val="41014DAF"/>
    <w:rsid w:val="4105404B"/>
    <w:rsid w:val="41135D13"/>
    <w:rsid w:val="412B15D8"/>
    <w:rsid w:val="41384420"/>
    <w:rsid w:val="41663199"/>
    <w:rsid w:val="41711C4E"/>
    <w:rsid w:val="41A73354"/>
    <w:rsid w:val="41CA2B9F"/>
    <w:rsid w:val="41E77BF5"/>
    <w:rsid w:val="42073DF3"/>
    <w:rsid w:val="420936C7"/>
    <w:rsid w:val="42213106"/>
    <w:rsid w:val="422830F8"/>
    <w:rsid w:val="425012F6"/>
    <w:rsid w:val="426D3627"/>
    <w:rsid w:val="42811065"/>
    <w:rsid w:val="428E3F7D"/>
    <w:rsid w:val="42976F25"/>
    <w:rsid w:val="429A6A15"/>
    <w:rsid w:val="429E0961"/>
    <w:rsid w:val="42A24307"/>
    <w:rsid w:val="42A47894"/>
    <w:rsid w:val="42A54CA5"/>
    <w:rsid w:val="42A84AAD"/>
    <w:rsid w:val="42B87DC4"/>
    <w:rsid w:val="42C731D6"/>
    <w:rsid w:val="42C840CC"/>
    <w:rsid w:val="42D0308A"/>
    <w:rsid w:val="42D92A2D"/>
    <w:rsid w:val="42E61C5A"/>
    <w:rsid w:val="42E87780"/>
    <w:rsid w:val="430A7189"/>
    <w:rsid w:val="430B7913"/>
    <w:rsid w:val="432033BE"/>
    <w:rsid w:val="433C13D9"/>
    <w:rsid w:val="43512378"/>
    <w:rsid w:val="435E3EE6"/>
    <w:rsid w:val="43A37B4B"/>
    <w:rsid w:val="43B72A7C"/>
    <w:rsid w:val="43EE526A"/>
    <w:rsid w:val="43FE2FD4"/>
    <w:rsid w:val="44112E01"/>
    <w:rsid w:val="44175659"/>
    <w:rsid w:val="44240C8C"/>
    <w:rsid w:val="4447497A"/>
    <w:rsid w:val="44687BB7"/>
    <w:rsid w:val="44800670"/>
    <w:rsid w:val="44A56CFE"/>
    <w:rsid w:val="44C318F1"/>
    <w:rsid w:val="44E63476"/>
    <w:rsid w:val="44ED4010"/>
    <w:rsid w:val="44FB183E"/>
    <w:rsid w:val="44FE772F"/>
    <w:rsid w:val="45060392"/>
    <w:rsid w:val="452B7DF8"/>
    <w:rsid w:val="45560C5A"/>
    <w:rsid w:val="45570DD2"/>
    <w:rsid w:val="455E7D15"/>
    <w:rsid w:val="45723C79"/>
    <w:rsid w:val="4575370B"/>
    <w:rsid w:val="45763769"/>
    <w:rsid w:val="45830DCE"/>
    <w:rsid w:val="45876A9C"/>
    <w:rsid w:val="45D73ADC"/>
    <w:rsid w:val="45FA6330"/>
    <w:rsid w:val="460067D6"/>
    <w:rsid w:val="4611581C"/>
    <w:rsid w:val="463F7FFF"/>
    <w:rsid w:val="465529F4"/>
    <w:rsid w:val="465670F7"/>
    <w:rsid w:val="46846E53"/>
    <w:rsid w:val="46862201"/>
    <w:rsid w:val="46906827"/>
    <w:rsid w:val="469A3487"/>
    <w:rsid w:val="46A24080"/>
    <w:rsid w:val="46A95479"/>
    <w:rsid w:val="46C16C66"/>
    <w:rsid w:val="46D36999"/>
    <w:rsid w:val="46D77DCB"/>
    <w:rsid w:val="46FD57C4"/>
    <w:rsid w:val="47064679"/>
    <w:rsid w:val="47143894"/>
    <w:rsid w:val="47150D60"/>
    <w:rsid w:val="472B0583"/>
    <w:rsid w:val="474A04B2"/>
    <w:rsid w:val="475B51B6"/>
    <w:rsid w:val="4779505F"/>
    <w:rsid w:val="479E6FA7"/>
    <w:rsid w:val="47B43CCD"/>
    <w:rsid w:val="47B916EB"/>
    <w:rsid w:val="47BB36B5"/>
    <w:rsid w:val="47C702AC"/>
    <w:rsid w:val="47C87B80"/>
    <w:rsid w:val="47D2612C"/>
    <w:rsid w:val="47DE55F6"/>
    <w:rsid w:val="47F6649C"/>
    <w:rsid w:val="47FB1D04"/>
    <w:rsid w:val="47FE5900"/>
    <w:rsid w:val="48104F02"/>
    <w:rsid w:val="4812163A"/>
    <w:rsid w:val="4817400F"/>
    <w:rsid w:val="48205C0E"/>
    <w:rsid w:val="48410AAD"/>
    <w:rsid w:val="484F3DFE"/>
    <w:rsid w:val="486755EB"/>
    <w:rsid w:val="486A0C38"/>
    <w:rsid w:val="487955F9"/>
    <w:rsid w:val="487A4D01"/>
    <w:rsid w:val="487B395F"/>
    <w:rsid w:val="48806DC5"/>
    <w:rsid w:val="48A04659"/>
    <w:rsid w:val="48B22D24"/>
    <w:rsid w:val="48BD345D"/>
    <w:rsid w:val="48CB5B7A"/>
    <w:rsid w:val="491F1A22"/>
    <w:rsid w:val="492D458E"/>
    <w:rsid w:val="492E7EB7"/>
    <w:rsid w:val="492F57E6"/>
    <w:rsid w:val="495C3C26"/>
    <w:rsid w:val="49757894"/>
    <w:rsid w:val="498875C7"/>
    <w:rsid w:val="499046CE"/>
    <w:rsid w:val="49A168DB"/>
    <w:rsid w:val="49B70B6D"/>
    <w:rsid w:val="49CA7BE0"/>
    <w:rsid w:val="49D02AB4"/>
    <w:rsid w:val="49E623C6"/>
    <w:rsid w:val="49EF3C34"/>
    <w:rsid w:val="49F119BE"/>
    <w:rsid w:val="4A07762E"/>
    <w:rsid w:val="4A281B27"/>
    <w:rsid w:val="4A34774F"/>
    <w:rsid w:val="4A4D7807"/>
    <w:rsid w:val="4A6C513B"/>
    <w:rsid w:val="4A8F0E29"/>
    <w:rsid w:val="4A91694F"/>
    <w:rsid w:val="4A9E066B"/>
    <w:rsid w:val="4AC5484B"/>
    <w:rsid w:val="4ADF590D"/>
    <w:rsid w:val="4AE03433"/>
    <w:rsid w:val="4AE45A67"/>
    <w:rsid w:val="4B43686F"/>
    <w:rsid w:val="4B477453"/>
    <w:rsid w:val="4B4C0AC8"/>
    <w:rsid w:val="4B6202EC"/>
    <w:rsid w:val="4B6B71A0"/>
    <w:rsid w:val="4B7818BD"/>
    <w:rsid w:val="4B94223B"/>
    <w:rsid w:val="4B9517FA"/>
    <w:rsid w:val="4BBA0128"/>
    <w:rsid w:val="4BC476CE"/>
    <w:rsid w:val="4BCF5981"/>
    <w:rsid w:val="4BD42F98"/>
    <w:rsid w:val="4BE11211"/>
    <w:rsid w:val="4BE91E6C"/>
    <w:rsid w:val="4BEB5EDF"/>
    <w:rsid w:val="4BEE34D6"/>
    <w:rsid w:val="4C26756B"/>
    <w:rsid w:val="4C2C0660"/>
    <w:rsid w:val="4C335354"/>
    <w:rsid w:val="4C5D62DF"/>
    <w:rsid w:val="4C6F4332"/>
    <w:rsid w:val="4C7C5DB0"/>
    <w:rsid w:val="4C837A5C"/>
    <w:rsid w:val="4C887B83"/>
    <w:rsid w:val="4C8B197D"/>
    <w:rsid w:val="4CBE77A4"/>
    <w:rsid w:val="4CE865CF"/>
    <w:rsid w:val="4D2025A6"/>
    <w:rsid w:val="4D2910C1"/>
    <w:rsid w:val="4D35333C"/>
    <w:rsid w:val="4D3D13EC"/>
    <w:rsid w:val="4D801DCA"/>
    <w:rsid w:val="4D814F19"/>
    <w:rsid w:val="4D8D5CF2"/>
    <w:rsid w:val="4DB0533F"/>
    <w:rsid w:val="4DB253E2"/>
    <w:rsid w:val="4E0A501E"/>
    <w:rsid w:val="4E39718C"/>
    <w:rsid w:val="4E3A7BBE"/>
    <w:rsid w:val="4E4406E6"/>
    <w:rsid w:val="4E4F4B57"/>
    <w:rsid w:val="4E515AED"/>
    <w:rsid w:val="4E5403C0"/>
    <w:rsid w:val="4E5B5D9D"/>
    <w:rsid w:val="4E630791"/>
    <w:rsid w:val="4E663720"/>
    <w:rsid w:val="4E7514FF"/>
    <w:rsid w:val="4E9C3B15"/>
    <w:rsid w:val="4EC015B1"/>
    <w:rsid w:val="4ED908C5"/>
    <w:rsid w:val="4EF37BD9"/>
    <w:rsid w:val="4EFE2294"/>
    <w:rsid w:val="4EFE6C40"/>
    <w:rsid w:val="4F19223A"/>
    <w:rsid w:val="4F367CAA"/>
    <w:rsid w:val="4F3F6F5E"/>
    <w:rsid w:val="4F490DEC"/>
    <w:rsid w:val="4F4915A7"/>
    <w:rsid w:val="4F532425"/>
    <w:rsid w:val="4F5B7535"/>
    <w:rsid w:val="4F756840"/>
    <w:rsid w:val="4F766114"/>
    <w:rsid w:val="4F836FD1"/>
    <w:rsid w:val="4F9B065C"/>
    <w:rsid w:val="4F9F38BD"/>
    <w:rsid w:val="4FBD6770"/>
    <w:rsid w:val="4FDA0C18"/>
    <w:rsid w:val="4FE87012"/>
    <w:rsid w:val="507E50D8"/>
    <w:rsid w:val="508310DE"/>
    <w:rsid w:val="508C2093"/>
    <w:rsid w:val="50B46C20"/>
    <w:rsid w:val="50C8299F"/>
    <w:rsid w:val="50F54E92"/>
    <w:rsid w:val="50F9524E"/>
    <w:rsid w:val="512C5D61"/>
    <w:rsid w:val="512E169E"/>
    <w:rsid w:val="515801C7"/>
    <w:rsid w:val="515F1555"/>
    <w:rsid w:val="517344B8"/>
    <w:rsid w:val="517513E4"/>
    <w:rsid w:val="518014CC"/>
    <w:rsid w:val="51805200"/>
    <w:rsid w:val="51A303A1"/>
    <w:rsid w:val="51F16B3D"/>
    <w:rsid w:val="522105B9"/>
    <w:rsid w:val="52262073"/>
    <w:rsid w:val="5244074B"/>
    <w:rsid w:val="52451A44"/>
    <w:rsid w:val="52466271"/>
    <w:rsid w:val="52481FEA"/>
    <w:rsid w:val="525119D9"/>
    <w:rsid w:val="52826A4A"/>
    <w:rsid w:val="52C22179"/>
    <w:rsid w:val="52DE46FC"/>
    <w:rsid w:val="53015216"/>
    <w:rsid w:val="5302488E"/>
    <w:rsid w:val="53150458"/>
    <w:rsid w:val="531D5224"/>
    <w:rsid w:val="531F5D4D"/>
    <w:rsid w:val="538306F2"/>
    <w:rsid w:val="538A6632"/>
    <w:rsid w:val="538C05FC"/>
    <w:rsid w:val="53966D85"/>
    <w:rsid w:val="539756DB"/>
    <w:rsid w:val="53A94D0A"/>
    <w:rsid w:val="53AB6CD4"/>
    <w:rsid w:val="53B108C7"/>
    <w:rsid w:val="53BC2E44"/>
    <w:rsid w:val="53BD07B5"/>
    <w:rsid w:val="53DF697E"/>
    <w:rsid w:val="53E91790"/>
    <w:rsid w:val="53F029E0"/>
    <w:rsid w:val="53F7268F"/>
    <w:rsid w:val="542425E2"/>
    <w:rsid w:val="544515DD"/>
    <w:rsid w:val="54491A54"/>
    <w:rsid w:val="545D78A2"/>
    <w:rsid w:val="54737723"/>
    <w:rsid w:val="54790B80"/>
    <w:rsid w:val="547F3670"/>
    <w:rsid w:val="54857525"/>
    <w:rsid w:val="548807D8"/>
    <w:rsid w:val="549332C4"/>
    <w:rsid w:val="54AB6860"/>
    <w:rsid w:val="54B949B6"/>
    <w:rsid w:val="54E51D72"/>
    <w:rsid w:val="54E83610"/>
    <w:rsid w:val="54EF0E42"/>
    <w:rsid w:val="54FF3EA3"/>
    <w:rsid w:val="55001E74"/>
    <w:rsid w:val="551D4937"/>
    <w:rsid w:val="552324BF"/>
    <w:rsid w:val="55236D3E"/>
    <w:rsid w:val="552705DC"/>
    <w:rsid w:val="553E5926"/>
    <w:rsid w:val="554C3BC2"/>
    <w:rsid w:val="554D5B69"/>
    <w:rsid w:val="556D03CA"/>
    <w:rsid w:val="556D490E"/>
    <w:rsid w:val="55853555"/>
    <w:rsid w:val="558772CD"/>
    <w:rsid w:val="55884742"/>
    <w:rsid w:val="5596040F"/>
    <w:rsid w:val="55A25392"/>
    <w:rsid w:val="55B44E2B"/>
    <w:rsid w:val="55BD4A9D"/>
    <w:rsid w:val="55E42029"/>
    <w:rsid w:val="55EA3332"/>
    <w:rsid w:val="55EC274D"/>
    <w:rsid w:val="560E52F8"/>
    <w:rsid w:val="56310FE7"/>
    <w:rsid w:val="563B3C13"/>
    <w:rsid w:val="564A7FD0"/>
    <w:rsid w:val="564E1B99"/>
    <w:rsid w:val="56617B1E"/>
    <w:rsid w:val="56967D56"/>
    <w:rsid w:val="570109B9"/>
    <w:rsid w:val="571132F2"/>
    <w:rsid w:val="572D17AE"/>
    <w:rsid w:val="572F0CE8"/>
    <w:rsid w:val="574436DA"/>
    <w:rsid w:val="575431DF"/>
    <w:rsid w:val="576C6981"/>
    <w:rsid w:val="578F2469"/>
    <w:rsid w:val="57C91C94"/>
    <w:rsid w:val="57F624E8"/>
    <w:rsid w:val="57F86260"/>
    <w:rsid w:val="57FE7699"/>
    <w:rsid w:val="580D42E8"/>
    <w:rsid w:val="58155C60"/>
    <w:rsid w:val="58262DCD"/>
    <w:rsid w:val="5829296E"/>
    <w:rsid w:val="58495635"/>
    <w:rsid w:val="58761D2A"/>
    <w:rsid w:val="58A61818"/>
    <w:rsid w:val="58AB1524"/>
    <w:rsid w:val="59172716"/>
    <w:rsid w:val="597731B4"/>
    <w:rsid w:val="59AD4E28"/>
    <w:rsid w:val="59BF6AD5"/>
    <w:rsid w:val="59C503C4"/>
    <w:rsid w:val="59D56398"/>
    <w:rsid w:val="59D65269"/>
    <w:rsid w:val="5A0A3C4C"/>
    <w:rsid w:val="5A3115B5"/>
    <w:rsid w:val="5A446991"/>
    <w:rsid w:val="5A612F7B"/>
    <w:rsid w:val="5A76346C"/>
    <w:rsid w:val="5A934935"/>
    <w:rsid w:val="5AF727FF"/>
    <w:rsid w:val="5B3F5F54"/>
    <w:rsid w:val="5B7B3430"/>
    <w:rsid w:val="5B885B4D"/>
    <w:rsid w:val="5BA81D4B"/>
    <w:rsid w:val="5BC96332"/>
    <w:rsid w:val="5BD3501A"/>
    <w:rsid w:val="5BF77C5C"/>
    <w:rsid w:val="5C013225"/>
    <w:rsid w:val="5C1B251D"/>
    <w:rsid w:val="5C2D5D12"/>
    <w:rsid w:val="5C442095"/>
    <w:rsid w:val="5C5039F4"/>
    <w:rsid w:val="5C522CA9"/>
    <w:rsid w:val="5C7F2AAC"/>
    <w:rsid w:val="5C846314"/>
    <w:rsid w:val="5C853E3A"/>
    <w:rsid w:val="5CCB7A9F"/>
    <w:rsid w:val="5D067842"/>
    <w:rsid w:val="5D096819"/>
    <w:rsid w:val="5D172CE4"/>
    <w:rsid w:val="5D335644"/>
    <w:rsid w:val="5D3F048D"/>
    <w:rsid w:val="5D4B0BE0"/>
    <w:rsid w:val="5D5A7075"/>
    <w:rsid w:val="5D5B76BD"/>
    <w:rsid w:val="5D6921F0"/>
    <w:rsid w:val="5D6A08A3"/>
    <w:rsid w:val="5D942587"/>
    <w:rsid w:val="5DA36A06"/>
    <w:rsid w:val="5DB20E44"/>
    <w:rsid w:val="5DBF57AC"/>
    <w:rsid w:val="5DC32E6C"/>
    <w:rsid w:val="5DC664B8"/>
    <w:rsid w:val="5DE66B5A"/>
    <w:rsid w:val="5DF655A8"/>
    <w:rsid w:val="5E137ED9"/>
    <w:rsid w:val="5E240216"/>
    <w:rsid w:val="5E3D2C1E"/>
    <w:rsid w:val="5E5E7B70"/>
    <w:rsid w:val="5E8156D4"/>
    <w:rsid w:val="5E8C4BEE"/>
    <w:rsid w:val="5E8D17F3"/>
    <w:rsid w:val="5EC46E9C"/>
    <w:rsid w:val="5ED15115"/>
    <w:rsid w:val="5EDA046D"/>
    <w:rsid w:val="5EF86B45"/>
    <w:rsid w:val="5F13701F"/>
    <w:rsid w:val="5F313E05"/>
    <w:rsid w:val="5F4804F1"/>
    <w:rsid w:val="5F4973A1"/>
    <w:rsid w:val="5F610B8F"/>
    <w:rsid w:val="5F666631"/>
    <w:rsid w:val="5F6E6B9E"/>
    <w:rsid w:val="5F774396"/>
    <w:rsid w:val="5F8B415F"/>
    <w:rsid w:val="5FAB7A12"/>
    <w:rsid w:val="5FB92779"/>
    <w:rsid w:val="5FBC04FE"/>
    <w:rsid w:val="600339F4"/>
    <w:rsid w:val="60251BBC"/>
    <w:rsid w:val="60324E7D"/>
    <w:rsid w:val="60392F9E"/>
    <w:rsid w:val="607E307A"/>
    <w:rsid w:val="608508AD"/>
    <w:rsid w:val="60B72067"/>
    <w:rsid w:val="60B847DE"/>
    <w:rsid w:val="60DA0BF8"/>
    <w:rsid w:val="60E47381"/>
    <w:rsid w:val="60EE5136"/>
    <w:rsid w:val="60EE7713"/>
    <w:rsid w:val="60EF0297"/>
    <w:rsid w:val="60F26F59"/>
    <w:rsid w:val="61092146"/>
    <w:rsid w:val="611B30E3"/>
    <w:rsid w:val="611F2AAF"/>
    <w:rsid w:val="612B4FB0"/>
    <w:rsid w:val="614A5956"/>
    <w:rsid w:val="61767CE3"/>
    <w:rsid w:val="618F19E3"/>
    <w:rsid w:val="61D7524C"/>
    <w:rsid w:val="62045801"/>
    <w:rsid w:val="623065F6"/>
    <w:rsid w:val="6247406C"/>
    <w:rsid w:val="62614A02"/>
    <w:rsid w:val="62CA5084"/>
    <w:rsid w:val="62D32576"/>
    <w:rsid w:val="62F44021"/>
    <w:rsid w:val="62FE1337"/>
    <w:rsid w:val="63027F93"/>
    <w:rsid w:val="631E203E"/>
    <w:rsid w:val="63361E76"/>
    <w:rsid w:val="63501494"/>
    <w:rsid w:val="63A34404"/>
    <w:rsid w:val="63BD05A6"/>
    <w:rsid w:val="63BD3EBA"/>
    <w:rsid w:val="63E851F4"/>
    <w:rsid w:val="64284983"/>
    <w:rsid w:val="642F125B"/>
    <w:rsid w:val="643465D9"/>
    <w:rsid w:val="644C7266"/>
    <w:rsid w:val="64634A61"/>
    <w:rsid w:val="649D17D9"/>
    <w:rsid w:val="64C179D9"/>
    <w:rsid w:val="64C5396E"/>
    <w:rsid w:val="64D15E6F"/>
    <w:rsid w:val="64D579C6"/>
    <w:rsid w:val="64D67929"/>
    <w:rsid w:val="65056B91"/>
    <w:rsid w:val="650B01A2"/>
    <w:rsid w:val="6523084E"/>
    <w:rsid w:val="65474383"/>
    <w:rsid w:val="6549634D"/>
    <w:rsid w:val="65504D02"/>
    <w:rsid w:val="655266E4"/>
    <w:rsid w:val="657B5F8E"/>
    <w:rsid w:val="659375C8"/>
    <w:rsid w:val="6597783B"/>
    <w:rsid w:val="65D774B5"/>
    <w:rsid w:val="65F664EB"/>
    <w:rsid w:val="66077F48"/>
    <w:rsid w:val="662E7BD7"/>
    <w:rsid w:val="662F6938"/>
    <w:rsid w:val="66320B8F"/>
    <w:rsid w:val="66434B4A"/>
    <w:rsid w:val="665E3732"/>
    <w:rsid w:val="66630D48"/>
    <w:rsid w:val="66660838"/>
    <w:rsid w:val="667B14F1"/>
    <w:rsid w:val="66862C89"/>
    <w:rsid w:val="66882EA5"/>
    <w:rsid w:val="668B0780"/>
    <w:rsid w:val="668D04BB"/>
    <w:rsid w:val="668E5921"/>
    <w:rsid w:val="66AF3F8D"/>
    <w:rsid w:val="66BC66AA"/>
    <w:rsid w:val="66CD6B09"/>
    <w:rsid w:val="66E63727"/>
    <w:rsid w:val="67043C7A"/>
    <w:rsid w:val="670B5FBB"/>
    <w:rsid w:val="67223B77"/>
    <w:rsid w:val="67310E46"/>
    <w:rsid w:val="67534942"/>
    <w:rsid w:val="676B1407"/>
    <w:rsid w:val="67732BC2"/>
    <w:rsid w:val="67890C82"/>
    <w:rsid w:val="678E6299"/>
    <w:rsid w:val="67D6379C"/>
    <w:rsid w:val="67EB7247"/>
    <w:rsid w:val="6808352E"/>
    <w:rsid w:val="681A18DB"/>
    <w:rsid w:val="68427338"/>
    <w:rsid w:val="68447540"/>
    <w:rsid w:val="684921C0"/>
    <w:rsid w:val="685D30B1"/>
    <w:rsid w:val="686B0388"/>
    <w:rsid w:val="68907DEF"/>
    <w:rsid w:val="68994EF5"/>
    <w:rsid w:val="68B80943"/>
    <w:rsid w:val="68C4795E"/>
    <w:rsid w:val="68CD2DF1"/>
    <w:rsid w:val="68D26659"/>
    <w:rsid w:val="68D56296"/>
    <w:rsid w:val="68E814ED"/>
    <w:rsid w:val="68ED37CA"/>
    <w:rsid w:val="69182073"/>
    <w:rsid w:val="69286279"/>
    <w:rsid w:val="692A1FF1"/>
    <w:rsid w:val="692E6E22"/>
    <w:rsid w:val="69342E70"/>
    <w:rsid w:val="693D1D24"/>
    <w:rsid w:val="6954264D"/>
    <w:rsid w:val="695B7FAD"/>
    <w:rsid w:val="695C667F"/>
    <w:rsid w:val="696F72C8"/>
    <w:rsid w:val="69731BEA"/>
    <w:rsid w:val="69823BDB"/>
    <w:rsid w:val="698F34F6"/>
    <w:rsid w:val="69A51678"/>
    <w:rsid w:val="69AC0C81"/>
    <w:rsid w:val="69AF2172"/>
    <w:rsid w:val="69D34437"/>
    <w:rsid w:val="69DB63B6"/>
    <w:rsid w:val="6A002D52"/>
    <w:rsid w:val="6A0B1E23"/>
    <w:rsid w:val="6A1707C7"/>
    <w:rsid w:val="6A4F2E95"/>
    <w:rsid w:val="6A6C0315"/>
    <w:rsid w:val="6A75205E"/>
    <w:rsid w:val="6AA45DD3"/>
    <w:rsid w:val="6AE663EC"/>
    <w:rsid w:val="6B1661FD"/>
    <w:rsid w:val="6B4E0D35"/>
    <w:rsid w:val="6B95409A"/>
    <w:rsid w:val="6B971DB3"/>
    <w:rsid w:val="6BAA7419"/>
    <w:rsid w:val="6BB564B9"/>
    <w:rsid w:val="6BB76C4C"/>
    <w:rsid w:val="6BB81B36"/>
    <w:rsid w:val="6BBA6991"/>
    <w:rsid w:val="6BBF2306"/>
    <w:rsid w:val="6BED4A29"/>
    <w:rsid w:val="6C25681A"/>
    <w:rsid w:val="6C2F78A6"/>
    <w:rsid w:val="6C4C174F"/>
    <w:rsid w:val="6C9854C4"/>
    <w:rsid w:val="6CE34991"/>
    <w:rsid w:val="6CF941B4"/>
    <w:rsid w:val="6D143EBC"/>
    <w:rsid w:val="6D3464F5"/>
    <w:rsid w:val="6D393E7F"/>
    <w:rsid w:val="6D57712D"/>
    <w:rsid w:val="6DAE5A59"/>
    <w:rsid w:val="6DB002C5"/>
    <w:rsid w:val="6DBD56EC"/>
    <w:rsid w:val="6DEC1F6B"/>
    <w:rsid w:val="6E00670D"/>
    <w:rsid w:val="6E8C63CF"/>
    <w:rsid w:val="6E91666F"/>
    <w:rsid w:val="6E925C1E"/>
    <w:rsid w:val="6EAB4A97"/>
    <w:rsid w:val="6ED749C9"/>
    <w:rsid w:val="6EE60768"/>
    <w:rsid w:val="6F1524CD"/>
    <w:rsid w:val="6F234695"/>
    <w:rsid w:val="6F503A01"/>
    <w:rsid w:val="6F694B09"/>
    <w:rsid w:val="6F7E219E"/>
    <w:rsid w:val="6FA922E6"/>
    <w:rsid w:val="6FB865A9"/>
    <w:rsid w:val="6FDD1FFC"/>
    <w:rsid w:val="70007439"/>
    <w:rsid w:val="70025A76"/>
    <w:rsid w:val="70107966"/>
    <w:rsid w:val="701115CE"/>
    <w:rsid w:val="703379DD"/>
    <w:rsid w:val="70473489"/>
    <w:rsid w:val="70611486"/>
    <w:rsid w:val="70745809"/>
    <w:rsid w:val="711A34A8"/>
    <w:rsid w:val="711D04D3"/>
    <w:rsid w:val="71445C1A"/>
    <w:rsid w:val="714D76FF"/>
    <w:rsid w:val="714F444D"/>
    <w:rsid w:val="71500A63"/>
    <w:rsid w:val="717758D1"/>
    <w:rsid w:val="718D110B"/>
    <w:rsid w:val="71B617FE"/>
    <w:rsid w:val="71DB657E"/>
    <w:rsid w:val="71EC078C"/>
    <w:rsid w:val="71FE0B22"/>
    <w:rsid w:val="71FE5EBF"/>
    <w:rsid w:val="72347C96"/>
    <w:rsid w:val="724C122A"/>
    <w:rsid w:val="724E32AE"/>
    <w:rsid w:val="72585F46"/>
    <w:rsid w:val="726E33A4"/>
    <w:rsid w:val="72702731"/>
    <w:rsid w:val="72721A31"/>
    <w:rsid w:val="727662A7"/>
    <w:rsid w:val="7284281E"/>
    <w:rsid w:val="72932DFF"/>
    <w:rsid w:val="72A559C3"/>
    <w:rsid w:val="72AE77EF"/>
    <w:rsid w:val="72C25048"/>
    <w:rsid w:val="72CA214F"/>
    <w:rsid w:val="72F0605A"/>
    <w:rsid w:val="730F1287"/>
    <w:rsid w:val="73217FC1"/>
    <w:rsid w:val="73257F57"/>
    <w:rsid w:val="73344CB8"/>
    <w:rsid w:val="73421C3F"/>
    <w:rsid w:val="73426189"/>
    <w:rsid w:val="734C0DB6"/>
    <w:rsid w:val="73504231"/>
    <w:rsid w:val="7355410F"/>
    <w:rsid w:val="735F2A69"/>
    <w:rsid w:val="738A200A"/>
    <w:rsid w:val="738B7B30"/>
    <w:rsid w:val="73914A51"/>
    <w:rsid w:val="7399049F"/>
    <w:rsid w:val="739B4217"/>
    <w:rsid w:val="73AB01D2"/>
    <w:rsid w:val="73B66561"/>
    <w:rsid w:val="73D6524F"/>
    <w:rsid w:val="73F05BE5"/>
    <w:rsid w:val="741B5358"/>
    <w:rsid w:val="74281823"/>
    <w:rsid w:val="74373814"/>
    <w:rsid w:val="7439758C"/>
    <w:rsid w:val="7447614D"/>
    <w:rsid w:val="744F337F"/>
    <w:rsid w:val="747D391D"/>
    <w:rsid w:val="748922C2"/>
    <w:rsid w:val="749F7E91"/>
    <w:rsid w:val="74B15375"/>
    <w:rsid w:val="74C759C7"/>
    <w:rsid w:val="74FB3256"/>
    <w:rsid w:val="75045DEC"/>
    <w:rsid w:val="751C3136"/>
    <w:rsid w:val="75232716"/>
    <w:rsid w:val="7537163A"/>
    <w:rsid w:val="753A22BD"/>
    <w:rsid w:val="75634436"/>
    <w:rsid w:val="757F36C5"/>
    <w:rsid w:val="758B206A"/>
    <w:rsid w:val="75936EA0"/>
    <w:rsid w:val="759B0861"/>
    <w:rsid w:val="75A1363B"/>
    <w:rsid w:val="75A92504"/>
    <w:rsid w:val="75D91027"/>
    <w:rsid w:val="75E654F2"/>
    <w:rsid w:val="75EE68C3"/>
    <w:rsid w:val="75F714AD"/>
    <w:rsid w:val="767B20DE"/>
    <w:rsid w:val="768A2321"/>
    <w:rsid w:val="768E25B3"/>
    <w:rsid w:val="7693003E"/>
    <w:rsid w:val="76A020B9"/>
    <w:rsid w:val="76A258BD"/>
    <w:rsid w:val="76A55B76"/>
    <w:rsid w:val="76D474B3"/>
    <w:rsid w:val="76D84886"/>
    <w:rsid w:val="76F033C4"/>
    <w:rsid w:val="76FF2D0F"/>
    <w:rsid w:val="770B16B4"/>
    <w:rsid w:val="77277B70"/>
    <w:rsid w:val="77304C77"/>
    <w:rsid w:val="77475601"/>
    <w:rsid w:val="774E16BB"/>
    <w:rsid w:val="776879A8"/>
    <w:rsid w:val="77725B0E"/>
    <w:rsid w:val="777A3AF4"/>
    <w:rsid w:val="77844AA8"/>
    <w:rsid w:val="778466B1"/>
    <w:rsid w:val="778877AE"/>
    <w:rsid w:val="778D20C9"/>
    <w:rsid w:val="77AB254F"/>
    <w:rsid w:val="77B5517C"/>
    <w:rsid w:val="77C06211"/>
    <w:rsid w:val="77C27899"/>
    <w:rsid w:val="77D608F3"/>
    <w:rsid w:val="77DE2925"/>
    <w:rsid w:val="77E141C3"/>
    <w:rsid w:val="77EB3293"/>
    <w:rsid w:val="77EE52A6"/>
    <w:rsid w:val="77F263D0"/>
    <w:rsid w:val="77F4039A"/>
    <w:rsid w:val="78144598"/>
    <w:rsid w:val="783130EA"/>
    <w:rsid w:val="783B1B25"/>
    <w:rsid w:val="783D2CA1"/>
    <w:rsid w:val="788F00C3"/>
    <w:rsid w:val="7890494D"/>
    <w:rsid w:val="789B25C4"/>
    <w:rsid w:val="78B64239"/>
    <w:rsid w:val="78C142DE"/>
    <w:rsid w:val="78CA2EA9"/>
    <w:rsid w:val="78E85B93"/>
    <w:rsid w:val="78FE1FE6"/>
    <w:rsid w:val="79321971"/>
    <w:rsid w:val="793D7B1F"/>
    <w:rsid w:val="79524E8E"/>
    <w:rsid w:val="79600DAC"/>
    <w:rsid w:val="797378F1"/>
    <w:rsid w:val="797A48CF"/>
    <w:rsid w:val="7984020D"/>
    <w:rsid w:val="799759E4"/>
    <w:rsid w:val="79A365BC"/>
    <w:rsid w:val="7A0643B5"/>
    <w:rsid w:val="7A1563A6"/>
    <w:rsid w:val="7A187C44"/>
    <w:rsid w:val="7A2111EE"/>
    <w:rsid w:val="7A3B0646"/>
    <w:rsid w:val="7AA4582C"/>
    <w:rsid w:val="7AA66827"/>
    <w:rsid w:val="7AAD65DE"/>
    <w:rsid w:val="7AAE38BE"/>
    <w:rsid w:val="7ABA01A0"/>
    <w:rsid w:val="7ABC4A73"/>
    <w:rsid w:val="7ADA4499"/>
    <w:rsid w:val="7AFA4E57"/>
    <w:rsid w:val="7B0C1557"/>
    <w:rsid w:val="7B3029A3"/>
    <w:rsid w:val="7B6018A2"/>
    <w:rsid w:val="7B647AEE"/>
    <w:rsid w:val="7BA07EF1"/>
    <w:rsid w:val="7BAA6303"/>
    <w:rsid w:val="7BAF698D"/>
    <w:rsid w:val="7BB816DF"/>
    <w:rsid w:val="7BBC76E2"/>
    <w:rsid w:val="7BC6204D"/>
    <w:rsid w:val="7BD52290"/>
    <w:rsid w:val="7BDC13DD"/>
    <w:rsid w:val="7BEC1388"/>
    <w:rsid w:val="7BF66C24"/>
    <w:rsid w:val="7C0E2551"/>
    <w:rsid w:val="7C1728A9"/>
    <w:rsid w:val="7C330D65"/>
    <w:rsid w:val="7C3A0D50"/>
    <w:rsid w:val="7C55517F"/>
    <w:rsid w:val="7C602DF5"/>
    <w:rsid w:val="7C605FFE"/>
    <w:rsid w:val="7C6929D9"/>
    <w:rsid w:val="7C761AE2"/>
    <w:rsid w:val="7CA1076C"/>
    <w:rsid w:val="7CCD3799"/>
    <w:rsid w:val="7CEF1A0D"/>
    <w:rsid w:val="7CF74B9B"/>
    <w:rsid w:val="7D1312C2"/>
    <w:rsid w:val="7D644010"/>
    <w:rsid w:val="7D692C90"/>
    <w:rsid w:val="7D6C09D3"/>
    <w:rsid w:val="7D781125"/>
    <w:rsid w:val="7DA97531"/>
    <w:rsid w:val="7DB7677B"/>
    <w:rsid w:val="7DD02D0F"/>
    <w:rsid w:val="7DF42D49"/>
    <w:rsid w:val="7DFC4599"/>
    <w:rsid w:val="7E176B90"/>
    <w:rsid w:val="7E350DC4"/>
    <w:rsid w:val="7E486D4A"/>
    <w:rsid w:val="7E941F8F"/>
    <w:rsid w:val="7EB0669D"/>
    <w:rsid w:val="7EB663A9"/>
    <w:rsid w:val="7EC65E37"/>
    <w:rsid w:val="7EF10BB6"/>
    <w:rsid w:val="7EFB5EB0"/>
    <w:rsid w:val="7F1C738E"/>
    <w:rsid w:val="7F2F1CB8"/>
    <w:rsid w:val="7F345ABC"/>
    <w:rsid w:val="7F471A84"/>
    <w:rsid w:val="7F65392B"/>
    <w:rsid w:val="7F65523E"/>
    <w:rsid w:val="7F842003"/>
    <w:rsid w:val="7F996FE1"/>
    <w:rsid w:val="7FA04963"/>
    <w:rsid w:val="7FC05006"/>
    <w:rsid w:val="7FE24F7C"/>
    <w:rsid w:val="7FF27EF4"/>
    <w:rsid w:val="7FF77EA0"/>
    <w:rsid w:val="7FFF37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4">
    <w:name w:val="heading 1"/>
    <w:basedOn w:val="1"/>
    <w:next w:val="1"/>
    <w:qFormat/>
    <w:uiPriority w:val="0"/>
    <w:pPr>
      <w:keepNext/>
      <w:spacing w:line="360" w:lineRule="auto"/>
      <w:jc w:val="center"/>
      <w:outlineLvl w:val="0"/>
    </w:pPr>
    <w:rPr>
      <w:b/>
      <w:sz w:val="36"/>
    </w:rPr>
  </w:style>
  <w:style w:type="paragraph" w:styleId="5">
    <w:name w:val="heading 2"/>
    <w:basedOn w:val="1"/>
    <w:next w:val="1"/>
    <w:link w:val="81"/>
    <w:qFormat/>
    <w:uiPriority w:val="0"/>
    <w:pPr>
      <w:keepNext/>
      <w:keepLines/>
      <w:widowControl w:val="0"/>
      <w:spacing w:before="260" w:after="260" w:line="416" w:lineRule="auto"/>
      <w:textAlignment w:val="auto"/>
      <w:outlineLvl w:val="1"/>
    </w:pPr>
    <w:rPr>
      <w:rFonts w:ascii="Arial" w:hAnsi="Arial" w:eastAsia="黑体" w:cs="Times New Roman"/>
      <w:b/>
      <w:bCs/>
      <w:sz w:val="32"/>
      <w:szCs w:val="32"/>
    </w:rPr>
  </w:style>
  <w:style w:type="paragraph" w:styleId="6">
    <w:name w:val="heading 4"/>
    <w:basedOn w:val="1"/>
    <w:next w:val="1"/>
    <w:qFormat/>
    <w:uiPriority w:val="99"/>
    <w:pPr>
      <w:keepNext/>
      <w:keepLines/>
      <w:adjustRightInd w:val="0"/>
      <w:spacing w:before="280" w:after="290" w:line="376" w:lineRule="atLeast"/>
      <w:outlineLvl w:val="3"/>
    </w:pPr>
    <w:rPr>
      <w:rFonts w:ascii="Arial" w:hAnsi="Arial"/>
      <w:b/>
      <w:spacing w:val="20"/>
      <w:sz w:val="28"/>
    </w:rPr>
  </w:style>
  <w:style w:type="paragraph" w:styleId="7">
    <w:name w:val="heading 6"/>
    <w:basedOn w:val="1"/>
    <w:next w:val="1"/>
    <w:qFormat/>
    <w:uiPriority w:val="9"/>
    <w:pPr>
      <w:keepNext/>
      <w:keepLines/>
      <w:spacing w:line="317" w:lineRule="auto"/>
      <w:outlineLvl w:val="5"/>
    </w:pPr>
    <w:rPr>
      <w:rFonts w:ascii="Arial" w:hAnsi="Arial" w:eastAsia="黑体"/>
      <w:b/>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2"/>
    <w:link w:val="79"/>
    <w:qFormat/>
    <w:uiPriority w:val="0"/>
    <w:pPr>
      <w:spacing w:after="120"/>
      <w:ind w:left="420" w:leftChars="200"/>
    </w:pPr>
  </w:style>
  <w:style w:type="paragraph" w:styleId="8">
    <w:name w:val="annotation text"/>
    <w:basedOn w:val="1"/>
    <w:qFormat/>
    <w:uiPriority w:val="0"/>
    <w:pPr>
      <w:jc w:val="left"/>
    </w:pPr>
  </w:style>
  <w:style w:type="paragraph" w:styleId="9">
    <w:name w:val="Body Text"/>
    <w:basedOn w:val="1"/>
    <w:next w:val="1"/>
    <w:qFormat/>
    <w:uiPriority w:val="0"/>
    <w:pPr>
      <w:spacing w:after="120"/>
    </w:pPr>
    <w:rPr>
      <w:rFonts w:ascii="宋体"/>
      <w:kern w:val="0"/>
      <w:sz w:val="34"/>
    </w:rPr>
  </w:style>
  <w:style w:type="paragraph" w:styleId="10">
    <w:name w:val="Plain Text"/>
    <w:basedOn w:val="1"/>
    <w:link w:val="76"/>
    <w:qFormat/>
    <w:uiPriority w:val="0"/>
    <w:pPr>
      <w:widowControl w:val="0"/>
      <w:textAlignment w:val="auto"/>
    </w:pPr>
    <w:rPr>
      <w:rFonts w:ascii="宋体" w:hAnsi="Courier New" w:cs="Courier New"/>
      <w:szCs w:val="21"/>
    </w:rPr>
  </w:style>
  <w:style w:type="paragraph" w:styleId="11">
    <w:name w:val="Date"/>
    <w:basedOn w:val="1"/>
    <w:next w:val="1"/>
    <w:qFormat/>
    <w:uiPriority w:val="0"/>
    <w:rPr>
      <w:rFonts w:ascii="宋体"/>
      <w:sz w:val="24"/>
    </w:rPr>
  </w:style>
  <w:style w:type="paragraph" w:styleId="12">
    <w:name w:val="Body Text Indent 2"/>
    <w:basedOn w:val="1"/>
    <w:qFormat/>
    <w:uiPriority w:val="99"/>
    <w:pPr>
      <w:autoSpaceDE w:val="0"/>
      <w:autoSpaceDN w:val="0"/>
      <w:adjustRightInd w:val="0"/>
      <w:spacing w:line="640" w:lineRule="exact"/>
      <w:ind w:firstLine="645"/>
    </w:pPr>
    <w:rPr>
      <w:rFonts w:ascii="楷体_GB2312" w:eastAsia="楷体_GB2312"/>
      <w:kern w:val="0"/>
      <w:sz w:val="32"/>
      <w:szCs w:val="32"/>
    </w:rPr>
  </w:style>
  <w:style w:type="paragraph" w:styleId="13">
    <w:name w:val="Balloon Text"/>
    <w:basedOn w:val="1"/>
    <w:link w:val="72"/>
    <w:qFormat/>
    <w:uiPriority w:val="0"/>
    <w:rPr>
      <w:sz w:val="18"/>
      <w:szCs w:val="18"/>
    </w:rPr>
  </w:style>
  <w:style w:type="paragraph" w:styleId="14">
    <w:name w:val="footer"/>
    <w:basedOn w:val="1"/>
    <w:next w:val="1"/>
    <w:link w:val="71"/>
    <w:qFormat/>
    <w:uiPriority w:val="0"/>
    <w:pPr>
      <w:tabs>
        <w:tab w:val="center" w:pos="4153"/>
        <w:tab w:val="right" w:pos="8306"/>
      </w:tabs>
      <w:spacing w:line="240" w:lineRule="atLeast"/>
      <w:jc w:val="left"/>
    </w:pPr>
    <w:rPr>
      <w:kern w:val="0"/>
      <w:sz w:val="18"/>
    </w:rPr>
  </w:style>
  <w:style w:type="paragraph" w:styleId="15">
    <w:name w:val="header"/>
    <w:basedOn w:val="1"/>
    <w:link w:val="80"/>
    <w:qFormat/>
    <w:uiPriority w:val="99"/>
    <w:pPr>
      <w:pBdr>
        <w:bottom w:val="single" w:color="000000"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Normal (Web)"/>
    <w:basedOn w:val="1"/>
    <w:qFormat/>
    <w:uiPriority w:val="99"/>
    <w:pPr>
      <w:spacing w:before="100" w:beforeAutospacing="1" w:after="100" w:afterAutospacing="1"/>
      <w:jc w:val="left"/>
    </w:pPr>
    <w:rPr>
      <w:rFonts w:ascii="宋体" w:hAnsi="宋体"/>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sz w:val="21"/>
    </w:rPr>
  </w:style>
  <w:style w:type="character" w:styleId="23">
    <w:name w:val="page number"/>
    <w:qFormat/>
    <w:uiPriority w:val="0"/>
  </w:style>
  <w:style w:type="character" w:styleId="24">
    <w:name w:val="Hyperlink"/>
    <w:basedOn w:val="21"/>
    <w:qFormat/>
    <w:uiPriority w:val="99"/>
    <w:rPr>
      <w:color w:val="0000FF"/>
      <w:sz w:val="24"/>
      <w:szCs w:val="24"/>
      <w:u w:val="single"/>
    </w:rPr>
  </w:style>
  <w:style w:type="character" w:styleId="25">
    <w:name w:val="annotation reference"/>
    <w:basedOn w:val="21"/>
    <w:qFormat/>
    <w:uiPriority w:val="0"/>
    <w:rPr>
      <w:sz w:val="21"/>
      <w:szCs w:val="21"/>
    </w:rPr>
  </w:style>
  <w:style w:type="paragraph" w:customStyle="1" w:styleId="26">
    <w:name w:val="Heading1"/>
    <w:basedOn w:val="1"/>
    <w:next w:val="1"/>
    <w:qFormat/>
    <w:uiPriority w:val="0"/>
    <w:pPr>
      <w:keepNext/>
      <w:spacing w:line="360" w:lineRule="auto"/>
      <w:jc w:val="center"/>
    </w:pPr>
    <w:rPr>
      <w:b/>
      <w:sz w:val="36"/>
    </w:rPr>
  </w:style>
  <w:style w:type="paragraph" w:customStyle="1" w:styleId="27">
    <w:name w:val="Heading2"/>
    <w:basedOn w:val="1"/>
    <w:next w:val="1"/>
    <w:qFormat/>
    <w:uiPriority w:val="0"/>
    <w:pPr>
      <w:keepNext/>
      <w:keepLines/>
      <w:spacing w:line="360" w:lineRule="auto"/>
      <w:jc w:val="center"/>
    </w:pPr>
    <w:rPr>
      <w:rFonts w:ascii="Arial" w:hAnsi="Arial" w:cs="Times New Roman"/>
      <w:b/>
      <w:bCs/>
      <w:sz w:val="32"/>
      <w:szCs w:val="32"/>
    </w:rPr>
  </w:style>
  <w:style w:type="paragraph" w:customStyle="1" w:styleId="28">
    <w:name w:val="Heading3"/>
    <w:basedOn w:val="1"/>
    <w:next w:val="1"/>
    <w:qFormat/>
    <w:uiPriority w:val="0"/>
    <w:pPr>
      <w:keepNext/>
      <w:keepLines/>
      <w:spacing w:before="260" w:after="260" w:line="416" w:lineRule="auto"/>
    </w:pPr>
    <w:rPr>
      <w:rFonts w:cs="Times New Roman"/>
      <w:b/>
      <w:bCs/>
      <w:sz w:val="32"/>
      <w:szCs w:val="32"/>
    </w:rPr>
  </w:style>
  <w:style w:type="paragraph" w:customStyle="1" w:styleId="29">
    <w:name w:val="Heading4"/>
    <w:basedOn w:val="1"/>
    <w:next w:val="1"/>
    <w:qFormat/>
    <w:uiPriority w:val="0"/>
    <w:pPr>
      <w:keepNext/>
      <w:keepLines/>
      <w:spacing w:before="280" w:after="290" w:line="372" w:lineRule="auto"/>
    </w:pPr>
    <w:rPr>
      <w:rFonts w:ascii="Arial" w:hAnsi="Arial" w:eastAsia="黑体"/>
      <w:b/>
      <w:sz w:val="28"/>
    </w:rPr>
  </w:style>
  <w:style w:type="character" w:customStyle="1" w:styleId="30">
    <w:name w:val="NormalCharacter"/>
    <w:semiHidden/>
    <w:qFormat/>
    <w:uiPriority w:val="0"/>
    <w:rPr>
      <w:sz w:val="24"/>
      <w:szCs w:val="24"/>
    </w:rPr>
  </w:style>
  <w:style w:type="table" w:customStyle="1" w:styleId="31">
    <w:name w:val="TableNormal"/>
    <w:semiHidden/>
    <w:qFormat/>
    <w:uiPriority w:val="0"/>
    <w:tblPr>
      <w:tblCellMar>
        <w:top w:w="0" w:type="dxa"/>
        <w:left w:w="0" w:type="dxa"/>
        <w:bottom w:w="0" w:type="dxa"/>
        <w:right w:w="0" w:type="dxa"/>
      </w:tblCellMar>
    </w:tblPr>
  </w:style>
  <w:style w:type="paragraph" w:customStyle="1" w:styleId="32">
    <w:name w:val="NavPane"/>
    <w:basedOn w:val="1"/>
    <w:link w:val="33"/>
    <w:qFormat/>
    <w:uiPriority w:val="0"/>
    <w:rPr>
      <w:rFonts w:ascii="宋体"/>
      <w:sz w:val="18"/>
      <w:szCs w:val="18"/>
    </w:rPr>
  </w:style>
  <w:style w:type="character" w:customStyle="1" w:styleId="33">
    <w:name w:val="UserStyle_0"/>
    <w:link w:val="32"/>
    <w:qFormat/>
    <w:uiPriority w:val="0"/>
    <w:rPr>
      <w:rFonts w:ascii="宋体"/>
      <w:kern w:val="2"/>
      <w:sz w:val="18"/>
      <w:szCs w:val="18"/>
    </w:rPr>
  </w:style>
  <w:style w:type="paragraph" w:customStyle="1" w:styleId="34">
    <w:name w:val="AnnotationText"/>
    <w:basedOn w:val="1"/>
    <w:link w:val="35"/>
    <w:qFormat/>
    <w:uiPriority w:val="0"/>
    <w:pPr>
      <w:jc w:val="left"/>
    </w:pPr>
    <w:rPr>
      <w:szCs w:val="24"/>
    </w:rPr>
  </w:style>
  <w:style w:type="character" w:customStyle="1" w:styleId="35">
    <w:name w:val="UserStyle_1"/>
    <w:link w:val="34"/>
    <w:qFormat/>
    <w:uiPriority w:val="0"/>
    <w:rPr>
      <w:kern w:val="2"/>
      <w:sz w:val="21"/>
      <w:szCs w:val="24"/>
    </w:rPr>
  </w:style>
  <w:style w:type="paragraph" w:customStyle="1" w:styleId="36">
    <w:name w:val="BodyText"/>
    <w:basedOn w:val="1"/>
    <w:next w:val="1"/>
    <w:link w:val="37"/>
    <w:qFormat/>
    <w:uiPriority w:val="0"/>
    <w:pPr>
      <w:spacing w:after="120"/>
    </w:pPr>
    <w:rPr>
      <w:szCs w:val="24"/>
    </w:rPr>
  </w:style>
  <w:style w:type="character" w:customStyle="1" w:styleId="37">
    <w:name w:val="UserStyle_2"/>
    <w:link w:val="36"/>
    <w:qFormat/>
    <w:uiPriority w:val="0"/>
    <w:rPr>
      <w:kern w:val="2"/>
      <w:sz w:val="21"/>
      <w:szCs w:val="24"/>
    </w:rPr>
  </w:style>
  <w:style w:type="paragraph" w:customStyle="1" w:styleId="38">
    <w:name w:val="BodyTextIndent"/>
    <w:basedOn w:val="1"/>
    <w:qFormat/>
    <w:uiPriority w:val="0"/>
    <w:pPr>
      <w:ind w:firstLine="552"/>
    </w:pPr>
    <w:rPr>
      <w:rFonts w:ascii="宋体"/>
      <w:sz w:val="28"/>
    </w:rPr>
  </w:style>
  <w:style w:type="paragraph" w:customStyle="1" w:styleId="39">
    <w:name w:val="TOC3"/>
    <w:basedOn w:val="1"/>
    <w:next w:val="1"/>
    <w:qFormat/>
    <w:uiPriority w:val="0"/>
    <w:pPr>
      <w:ind w:left="840" w:leftChars="400"/>
    </w:pPr>
  </w:style>
  <w:style w:type="paragraph" w:customStyle="1" w:styleId="40">
    <w:name w:val="PlainText"/>
    <w:basedOn w:val="1"/>
    <w:qFormat/>
    <w:uiPriority w:val="0"/>
    <w:rPr>
      <w:rFonts w:ascii="宋体" w:hAnsi="Courier New"/>
    </w:rPr>
  </w:style>
  <w:style w:type="paragraph" w:customStyle="1" w:styleId="41">
    <w:name w:val="Acetate"/>
    <w:basedOn w:val="1"/>
    <w:link w:val="42"/>
    <w:qFormat/>
    <w:uiPriority w:val="0"/>
    <w:rPr>
      <w:sz w:val="18"/>
      <w:szCs w:val="18"/>
    </w:rPr>
  </w:style>
  <w:style w:type="character" w:customStyle="1" w:styleId="42">
    <w:name w:val="UserStyle_3"/>
    <w:link w:val="41"/>
    <w:qFormat/>
    <w:uiPriority w:val="0"/>
    <w:rPr>
      <w:kern w:val="2"/>
      <w:sz w:val="18"/>
      <w:szCs w:val="18"/>
    </w:rPr>
  </w:style>
  <w:style w:type="paragraph" w:customStyle="1" w:styleId="43">
    <w:name w:val="TOC1"/>
    <w:basedOn w:val="1"/>
    <w:next w:val="1"/>
    <w:qFormat/>
    <w:uiPriority w:val="0"/>
  </w:style>
  <w:style w:type="paragraph" w:customStyle="1" w:styleId="44">
    <w:name w:val="TOC2"/>
    <w:basedOn w:val="1"/>
    <w:next w:val="1"/>
    <w:qFormat/>
    <w:uiPriority w:val="0"/>
    <w:pPr>
      <w:ind w:left="420" w:leftChars="200"/>
    </w:pPr>
  </w:style>
  <w:style w:type="paragraph" w:customStyle="1" w:styleId="45">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customStyle="1" w:styleId="46">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47">
    <w:name w:val="AnnotationSubject"/>
    <w:basedOn w:val="34"/>
    <w:next w:val="34"/>
    <w:link w:val="48"/>
    <w:qFormat/>
    <w:uiPriority w:val="0"/>
    <w:rPr>
      <w:rFonts w:cs="Times New Roman"/>
      <w:b/>
      <w:bCs/>
    </w:rPr>
  </w:style>
  <w:style w:type="character" w:customStyle="1" w:styleId="48">
    <w:name w:val="UserStyle_5"/>
    <w:link w:val="47"/>
    <w:qFormat/>
    <w:uiPriority w:val="0"/>
    <w:rPr>
      <w:rFonts w:cs="Times New Roman"/>
      <w:b/>
      <w:bCs/>
      <w:kern w:val="2"/>
      <w:sz w:val="21"/>
      <w:szCs w:val="24"/>
    </w:rPr>
  </w:style>
  <w:style w:type="table" w:customStyle="1" w:styleId="49">
    <w:name w:val="TableGrid"/>
    <w:basedOn w:val="31"/>
    <w:qFormat/>
    <w:uiPriority w:val="0"/>
  </w:style>
  <w:style w:type="character" w:customStyle="1" w:styleId="50">
    <w:name w:val="PageNumber"/>
    <w:basedOn w:val="30"/>
    <w:qFormat/>
    <w:uiPriority w:val="0"/>
    <w:rPr>
      <w:sz w:val="24"/>
      <w:szCs w:val="24"/>
    </w:rPr>
  </w:style>
  <w:style w:type="character" w:customStyle="1" w:styleId="51">
    <w:name w:val="AnnotationReference"/>
    <w:qFormat/>
    <w:uiPriority w:val="0"/>
    <w:rPr>
      <w:sz w:val="21"/>
      <w:szCs w:val="21"/>
    </w:rPr>
  </w:style>
  <w:style w:type="character" w:customStyle="1" w:styleId="52">
    <w:name w:val="UserStyle_6"/>
    <w:qFormat/>
    <w:uiPriority w:val="0"/>
    <w:rPr>
      <w:rFonts w:ascii="仿宋_GB2312" w:eastAsia="仿宋_GB2312"/>
      <w:color w:val="000000"/>
      <w:sz w:val="20"/>
      <w:szCs w:val="20"/>
    </w:rPr>
  </w:style>
  <w:style w:type="character" w:customStyle="1" w:styleId="53">
    <w:name w:val="UserStyle_7"/>
    <w:qFormat/>
    <w:uiPriority w:val="0"/>
    <w:rPr>
      <w:rFonts w:ascii="仿宋_GB2312" w:eastAsia="仿宋_GB2312"/>
      <w:color w:val="FF0000"/>
      <w:sz w:val="20"/>
      <w:szCs w:val="20"/>
    </w:rPr>
  </w:style>
  <w:style w:type="character" w:customStyle="1" w:styleId="54">
    <w:name w:val="UserStyle_8"/>
    <w:qFormat/>
    <w:uiPriority w:val="0"/>
    <w:rPr>
      <w:rFonts w:ascii="宋体" w:hAnsi="宋体" w:eastAsia="宋体"/>
      <w:color w:val="000000"/>
      <w:sz w:val="20"/>
      <w:szCs w:val="20"/>
    </w:rPr>
  </w:style>
  <w:style w:type="character" w:customStyle="1" w:styleId="55">
    <w:name w:val="UserStyle_9"/>
    <w:qFormat/>
    <w:uiPriority w:val="0"/>
    <w:rPr>
      <w:rFonts w:ascii="仿宋_GB2312" w:eastAsia="仿宋_GB2312"/>
      <w:color w:val="000000"/>
      <w:sz w:val="20"/>
      <w:szCs w:val="20"/>
    </w:rPr>
  </w:style>
  <w:style w:type="character" w:customStyle="1" w:styleId="56">
    <w:name w:val="UserStyle_10"/>
    <w:qFormat/>
    <w:uiPriority w:val="0"/>
    <w:rPr>
      <w:rFonts w:ascii="宋体" w:hAnsi="宋体" w:eastAsia="宋体"/>
      <w:color w:val="000000"/>
      <w:sz w:val="18"/>
      <w:szCs w:val="18"/>
    </w:rPr>
  </w:style>
  <w:style w:type="character" w:customStyle="1" w:styleId="57">
    <w:name w:val="UserStyle_11"/>
    <w:qFormat/>
    <w:uiPriority w:val="0"/>
    <w:rPr>
      <w:rFonts w:ascii="宋体" w:hAnsi="宋体" w:eastAsia="宋体"/>
      <w:color w:val="000000"/>
      <w:sz w:val="22"/>
      <w:szCs w:val="22"/>
    </w:rPr>
  </w:style>
  <w:style w:type="character" w:customStyle="1" w:styleId="58">
    <w:name w:val="UserStyle_12"/>
    <w:qFormat/>
    <w:uiPriority w:val="0"/>
    <w:rPr>
      <w:rFonts w:ascii="宋体" w:hAnsi="宋体" w:eastAsia="宋体"/>
      <w:color w:val="FF0000"/>
      <w:sz w:val="20"/>
      <w:szCs w:val="20"/>
    </w:rPr>
  </w:style>
  <w:style w:type="character" w:customStyle="1" w:styleId="59">
    <w:name w:val="UserStyle_13"/>
    <w:qFormat/>
    <w:uiPriority w:val="0"/>
    <w:rPr>
      <w:rFonts w:ascii="仿宋_GB2312" w:eastAsia="仿宋_GB2312"/>
      <w:color w:val="00B0F0"/>
      <w:sz w:val="20"/>
      <w:szCs w:val="20"/>
    </w:rPr>
  </w:style>
  <w:style w:type="character" w:customStyle="1" w:styleId="60">
    <w:name w:val="UserStyle_14"/>
    <w:qFormat/>
    <w:uiPriority w:val="0"/>
    <w:rPr>
      <w:rFonts w:ascii="宋体" w:hAnsi="宋体" w:eastAsia="宋体"/>
      <w:color w:val="000000"/>
      <w:sz w:val="20"/>
      <w:szCs w:val="20"/>
    </w:rPr>
  </w:style>
  <w:style w:type="character" w:customStyle="1" w:styleId="61">
    <w:name w:val="UserStyle_15"/>
    <w:qFormat/>
    <w:uiPriority w:val="0"/>
    <w:rPr>
      <w:rFonts w:ascii="宋体" w:hAnsi="宋体" w:eastAsia="宋体"/>
      <w:color w:val="000000"/>
      <w:sz w:val="20"/>
      <w:szCs w:val="20"/>
    </w:rPr>
  </w:style>
  <w:style w:type="paragraph" w:customStyle="1" w:styleId="62">
    <w:name w:val="UserStyle_16"/>
    <w:basedOn w:val="1"/>
    <w:qFormat/>
    <w:uiPriority w:val="0"/>
    <w:pPr>
      <w:tabs>
        <w:tab w:val="left" w:pos="360"/>
      </w:tabs>
      <w:ind w:left="360" w:hanging="360" w:hangingChars="200"/>
    </w:pPr>
    <w:rPr>
      <w:sz w:val="24"/>
      <w:szCs w:val="24"/>
    </w:rPr>
  </w:style>
  <w:style w:type="paragraph" w:customStyle="1" w:styleId="63">
    <w:name w:val="UserStyle_17"/>
    <w:basedOn w:val="26"/>
    <w:qFormat/>
    <w:uiPriority w:val="0"/>
    <w:pPr>
      <w:keepLines/>
      <w:spacing w:before="340" w:after="330" w:line="240" w:lineRule="auto"/>
    </w:pPr>
    <w:rPr>
      <w:rFonts w:ascii="黑体" w:eastAsia="黑体" w:cs="Times New Roman"/>
      <w:b w:val="0"/>
      <w:bCs/>
      <w:kern w:val="44"/>
      <w:szCs w:val="36"/>
    </w:rPr>
  </w:style>
  <w:style w:type="paragraph" w:customStyle="1" w:styleId="64">
    <w:name w:val="UserStyle_18"/>
    <w:basedOn w:val="1"/>
    <w:qFormat/>
    <w:uiPriority w:val="0"/>
    <w:rPr>
      <w:rFonts w:ascii="Tahoma" w:hAnsi="Tahoma"/>
      <w:sz w:val="24"/>
    </w:rPr>
  </w:style>
  <w:style w:type="paragraph" w:customStyle="1" w:styleId="65">
    <w:name w:val="UserStyle_19"/>
    <w:basedOn w:val="1"/>
    <w:qFormat/>
    <w:uiPriority w:val="0"/>
    <w:pPr>
      <w:spacing w:line="360" w:lineRule="auto"/>
    </w:pPr>
  </w:style>
  <w:style w:type="paragraph" w:customStyle="1" w:styleId="66">
    <w:name w:val="UserStyle_20"/>
    <w:basedOn w:val="1"/>
    <w:qFormat/>
    <w:uiPriority w:val="0"/>
    <w:pPr>
      <w:spacing w:line="400" w:lineRule="exact"/>
      <w:ind w:firstLine="200" w:firstLineChars="200"/>
    </w:pPr>
    <w:rPr>
      <w:sz w:val="24"/>
      <w:szCs w:val="24"/>
    </w:rPr>
  </w:style>
  <w:style w:type="paragraph" w:customStyle="1" w:styleId="67">
    <w:name w:val="UserStyle_21"/>
    <w:basedOn w:val="1"/>
    <w:qFormat/>
    <w:uiPriority w:val="0"/>
    <w:pPr>
      <w:ind w:firstLine="420" w:firstLineChars="200"/>
    </w:pPr>
  </w:style>
  <w:style w:type="paragraph" w:customStyle="1" w:styleId="68">
    <w:name w:val="UserStyle_22"/>
    <w:basedOn w:val="1"/>
    <w:qFormat/>
    <w:uiPriority w:val="0"/>
    <w:pPr>
      <w:spacing w:after="160" w:line="240" w:lineRule="exact"/>
      <w:jc w:val="left"/>
    </w:pPr>
    <w:rPr>
      <w:rFonts w:ascii="Verdana" w:hAnsi="Verdana" w:eastAsia="仿宋_GB2312"/>
      <w:kern w:val="0"/>
      <w:sz w:val="24"/>
      <w:lang w:eastAsia="en-US"/>
    </w:rPr>
  </w:style>
  <w:style w:type="paragraph" w:customStyle="1" w:styleId="69">
    <w:name w:val="178"/>
    <w:qFormat/>
    <w:uiPriority w:val="0"/>
    <w:pPr>
      <w:textAlignment w:val="baseline"/>
    </w:pPr>
    <w:rPr>
      <w:rFonts w:ascii="Times New Roman" w:hAnsi="Times New Roman" w:eastAsia="宋体" w:cstheme="minorBidi"/>
      <w:kern w:val="2"/>
      <w:sz w:val="21"/>
      <w:lang w:val="en-US" w:eastAsia="zh-CN" w:bidi="ar-SA"/>
    </w:rPr>
  </w:style>
  <w:style w:type="paragraph" w:customStyle="1" w:styleId="70">
    <w:name w:val="179"/>
    <w:basedOn w:val="1"/>
    <w:qFormat/>
    <w:uiPriority w:val="0"/>
    <w:pPr>
      <w:ind w:left="720"/>
      <w:contextualSpacing/>
      <w:jc w:val="left"/>
    </w:pPr>
    <w:rPr>
      <w:rFonts w:ascii="Calibri" w:hAnsi="Calibri"/>
      <w:kern w:val="0"/>
      <w:sz w:val="24"/>
      <w:lang w:eastAsia="en-US" w:bidi="en-US"/>
    </w:rPr>
  </w:style>
  <w:style w:type="character" w:customStyle="1" w:styleId="71">
    <w:name w:val="页脚 Char"/>
    <w:basedOn w:val="30"/>
    <w:link w:val="14"/>
    <w:qFormat/>
    <w:uiPriority w:val="0"/>
    <w:rPr>
      <w:sz w:val="18"/>
      <w:szCs w:val="24"/>
    </w:rPr>
  </w:style>
  <w:style w:type="character" w:customStyle="1" w:styleId="72">
    <w:name w:val="批注框文本 Char"/>
    <w:basedOn w:val="21"/>
    <w:link w:val="13"/>
    <w:qFormat/>
    <w:uiPriority w:val="0"/>
    <w:rPr>
      <w:kern w:val="2"/>
      <w:sz w:val="18"/>
      <w:szCs w:val="18"/>
    </w:rPr>
  </w:style>
  <w:style w:type="paragraph" w:customStyle="1" w:styleId="73">
    <w:name w:val="WPSOffice手动目录 1"/>
    <w:qFormat/>
    <w:uiPriority w:val="0"/>
    <w:rPr>
      <w:rFonts w:ascii="Times New Roman" w:hAnsi="Times New Roman" w:eastAsia="宋体" w:cstheme="minorBidi"/>
      <w:lang w:val="en-US" w:eastAsia="zh-CN" w:bidi="ar-SA"/>
    </w:rPr>
  </w:style>
  <w:style w:type="paragraph" w:customStyle="1" w:styleId="74">
    <w:name w:val="WPSOffice手动目录 2"/>
    <w:qFormat/>
    <w:uiPriority w:val="0"/>
    <w:pPr>
      <w:ind w:left="200" w:leftChars="200"/>
    </w:pPr>
    <w:rPr>
      <w:rFonts w:ascii="Times New Roman" w:hAnsi="Times New Roman" w:eastAsia="宋体" w:cstheme="minorBidi"/>
      <w:lang w:val="en-US" w:eastAsia="zh-CN" w:bidi="ar-SA"/>
    </w:rPr>
  </w:style>
  <w:style w:type="paragraph" w:customStyle="1" w:styleId="75">
    <w:name w:val="列出段落1"/>
    <w:basedOn w:val="1"/>
    <w:qFormat/>
    <w:uiPriority w:val="34"/>
    <w:pPr>
      <w:ind w:firstLine="420" w:firstLineChars="200"/>
    </w:pPr>
  </w:style>
  <w:style w:type="character" w:customStyle="1" w:styleId="76">
    <w:name w:val="纯文本 Char"/>
    <w:basedOn w:val="21"/>
    <w:link w:val="10"/>
    <w:qFormat/>
    <w:uiPriority w:val="0"/>
    <w:rPr>
      <w:rFonts w:ascii="宋体" w:hAnsi="Courier New" w:cs="Courier New"/>
      <w:kern w:val="2"/>
      <w:sz w:val="21"/>
      <w:szCs w:val="21"/>
    </w:rPr>
  </w:style>
  <w:style w:type="paragraph" w:customStyle="1" w:styleId="7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8">
    <w:name w:val="p0"/>
    <w:basedOn w:val="1"/>
    <w:qFormat/>
    <w:uiPriority w:val="0"/>
    <w:pPr>
      <w:textAlignment w:val="auto"/>
    </w:pPr>
    <w:rPr>
      <w:rFonts w:cs="Times New Roman"/>
      <w:kern w:val="0"/>
      <w:szCs w:val="21"/>
    </w:rPr>
  </w:style>
  <w:style w:type="character" w:customStyle="1" w:styleId="79">
    <w:name w:val="正文文本缩进 Char"/>
    <w:basedOn w:val="21"/>
    <w:link w:val="3"/>
    <w:qFormat/>
    <w:uiPriority w:val="0"/>
    <w:rPr>
      <w:rFonts w:cstheme="minorBidi"/>
      <w:kern w:val="2"/>
      <w:sz w:val="21"/>
    </w:rPr>
  </w:style>
  <w:style w:type="character" w:customStyle="1" w:styleId="80">
    <w:name w:val="页眉 Char"/>
    <w:link w:val="15"/>
    <w:qFormat/>
    <w:uiPriority w:val="99"/>
    <w:rPr>
      <w:rFonts w:cstheme="minorBidi"/>
      <w:kern w:val="2"/>
      <w:sz w:val="18"/>
      <w:szCs w:val="18"/>
    </w:rPr>
  </w:style>
  <w:style w:type="character" w:customStyle="1" w:styleId="81">
    <w:name w:val="标题 2 Char"/>
    <w:basedOn w:val="21"/>
    <w:link w:val="5"/>
    <w:qFormat/>
    <w:uiPriority w:val="0"/>
    <w:rPr>
      <w:rFonts w:ascii="Arial" w:hAnsi="Arial" w:eastAsia="黑体"/>
      <w:b/>
      <w:bCs/>
      <w:kern w:val="2"/>
      <w:sz w:val="32"/>
      <w:szCs w:val="32"/>
    </w:rPr>
  </w:style>
  <w:style w:type="paragraph" w:styleId="82">
    <w:name w:val="List Paragraph"/>
    <w:basedOn w:val="1"/>
    <w:qFormat/>
    <w:uiPriority w:val="34"/>
    <w:pPr>
      <w:ind w:firstLine="420" w:firstLineChars="200"/>
    </w:pPr>
  </w:style>
  <w:style w:type="paragraph" w:customStyle="1" w:styleId="83">
    <w:name w:val="表格内容"/>
    <w:basedOn w:val="84"/>
    <w:qFormat/>
    <w:uiPriority w:val="0"/>
    <w:pPr>
      <w:spacing w:line="240" w:lineRule="auto"/>
      <w:ind w:firstLine="0" w:firstLineChars="0"/>
    </w:pPr>
    <w:rPr>
      <w:rFonts w:ascii="宋体" w:hAnsi="宋体"/>
      <w:bCs/>
    </w:rPr>
  </w:style>
  <w:style w:type="paragraph" w:customStyle="1" w:styleId="84">
    <w:name w:val="正文-自"/>
    <w:basedOn w:val="1"/>
    <w:qFormat/>
    <w:uiPriority w:val="0"/>
    <w:pPr>
      <w:spacing w:line="360" w:lineRule="auto"/>
      <w:ind w:firstLine="480" w:firstLineChars="200"/>
    </w:pPr>
    <w:rPr>
      <w:sz w:val="24"/>
    </w:rPr>
  </w:style>
  <w:style w:type="paragraph" w:customStyle="1" w:styleId="85">
    <w:name w:val="正文内容"/>
    <w:basedOn w:val="1"/>
    <w:qFormat/>
    <w:uiPriority w:val="0"/>
    <w:pPr>
      <w:ind w:firstLine="200"/>
    </w:pPr>
  </w:style>
  <w:style w:type="paragraph" w:customStyle="1" w:styleId="86">
    <w:name w:val="图表内容"/>
    <w:basedOn w:val="87"/>
    <w:next w:val="1"/>
    <w:qFormat/>
    <w:uiPriority w:val="0"/>
    <w:pPr>
      <w:jc w:val="center"/>
    </w:pPr>
    <w:rPr>
      <w:rFonts w:ascii="Times New Roman" w:hAnsi="Times New Roman" w:eastAsia="宋体" w:cs="Times New Roman"/>
      <w:szCs w:val="24"/>
    </w:rPr>
  </w:style>
  <w:style w:type="paragraph" w:styleId="87">
    <w:name w:val="No Spacing"/>
    <w:qFormat/>
    <w:uiPriority w:val="9"/>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2229B-737D-41F1-853B-2C0ECBDCF8A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67</Pages>
  <Words>28942</Words>
  <Characters>30829</Characters>
  <Lines>235</Lines>
  <Paragraphs>66</Paragraphs>
  <TotalTime>0</TotalTime>
  <ScaleCrop>false</ScaleCrop>
  <LinksUpToDate>false</LinksUpToDate>
  <CharactersWithSpaces>32187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2022-09-27T09:41:00Z</dcterms:created>
  <dc:creator>ASUS</dc:creator>
  <cp:lastModifiedBy>-青嗨。</cp:lastModifiedBy>
  <cp:lastPrinted>2022-09-30T06:17:00Z</cp:lastPrinted>
  <dcterms:modified xsi:type="dcterms:W3CDTF">2022-10-09T01:18:36Z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643770A8E7D04E78AB9782B5DA85AA46</vt:lpwstr>
  </property>
</Properties>
</file>