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58" w:rsidRDefault="00DC5158" w:rsidP="00DC5158">
      <w:pPr>
        <w:spacing w:line="52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胶体金单项农残速测仪技术要求</w:t>
      </w:r>
    </w:p>
    <w:p w:rsidR="00DC5158" w:rsidRDefault="00DC5158" w:rsidP="00DC5158">
      <w:pPr>
        <w:spacing w:line="520" w:lineRule="exact"/>
        <w:rPr>
          <w:rFonts w:ascii="仿宋" w:eastAsia="仿宋" w:hAnsi="仿宋" w:cs="仿宋"/>
          <w:b/>
          <w:sz w:val="32"/>
          <w:szCs w:val="32"/>
        </w:rPr>
      </w:pPr>
    </w:p>
    <w:p w:rsidR="00DC5158" w:rsidRDefault="00DC5158" w:rsidP="00DC5158">
      <w:pPr>
        <w:spacing w:line="52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1、</w:t>
      </w:r>
      <w:r>
        <w:rPr>
          <w:rFonts w:ascii="仿宋" w:eastAsia="仿宋" w:hAnsi="仿宋" w:cs="仿宋" w:hint="eastAsia"/>
          <w:kern w:val="0"/>
          <w:sz w:val="32"/>
          <w:szCs w:val="32"/>
        </w:rPr>
        <w:t>满足</w:t>
      </w:r>
      <w:r w:rsidR="005707FF">
        <w:rPr>
          <w:rFonts w:ascii="仿宋" w:eastAsia="仿宋" w:hAnsi="仿宋" w:cs="仿宋" w:hint="eastAsia"/>
          <w:kern w:val="0"/>
          <w:sz w:val="32"/>
          <w:szCs w:val="32"/>
        </w:rPr>
        <w:t>农业农村部</w:t>
      </w:r>
      <w:r>
        <w:rPr>
          <w:rFonts w:ascii="仿宋" w:eastAsia="仿宋" w:hAnsi="仿宋" w:cs="仿宋" w:hint="eastAsia"/>
          <w:kern w:val="0"/>
          <w:sz w:val="32"/>
          <w:szCs w:val="32"/>
        </w:rPr>
        <w:t>关于禁限用药残留和易超限使用的常规用药残留的靶向检测</w:t>
      </w:r>
      <w:r w:rsidR="00AA2C37"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DC5158" w:rsidRDefault="00DC5158" w:rsidP="00DC5158">
      <w:p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2、</w:t>
      </w:r>
      <w:r w:rsidR="000E36A1">
        <w:rPr>
          <w:rFonts w:ascii="仿宋" w:eastAsia="仿宋" w:hAnsi="仿宋" w:cs="仿宋" w:hint="eastAsia"/>
          <w:kern w:val="0"/>
          <w:sz w:val="32"/>
          <w:szCs w:val="32"/>
        </w:rPr>
        <w:t>采用CMOS成像处理技术及胶体金免疫层析技术；</w:t>
      </w:r>
      <w:r w:rsidR="000E36A1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检测项目包括但不限于：腐霉利、多菌灵、吡虫啉、百菌清、灭蝇胺、噻虫嗪、苯醚甲环唑等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DC5158" w:rsidRDefault="00DC5158" w:rsidP="00DC5158">
      <w:p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3、采用自带手提手柄方便现场携带的箱仪一体化设计，抗压、防撞击、防腐蚀满足现场野外检测需求；具备检测功能、辅助功能、信息化管理功能；</w:t>
      </w:r>
    </w:p>
    <w:p w:rsidR="00DC5158" w:rsidRDefault="00DC5158" w:rsidP="00DC5158">
      <w:p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4、采用3通道检测，</w:t>
      </w:r>
      <w:r w:rsidR="007C67A9">
        <w:rPr>
          <w:rFonts w:ascii="仿宋" w:eastAsia="仿宋" w:hAnsi="仿宋" w:cs="仿宋" w:hint="eastAsia"/>
          <w:kern w:val="0"/>
          <w:sz w:val="32"/>
          <w:szCs w:val="32"/>
        </w:rPr>
        <w:t>可同时检测</w:t>
      </w:r>
      <w:r w:rsidR="007C67A9" w:rsidRPr="007C67A9">
        <w:rPr>
          <w:rFonts w:ascii="仿宋" w:eastAsia="仿宋" w:hAnsi="仿宋" w:cs="仿宋" w:hint="eastAsia"/>
          <w:kern w:val="0"/>
          <w:sz w:val="32"/>
          <w:szCs w:val="32"/>
        </w:rPr>
        <w:t>≥</w:t>
      </w:r>
      <w:r w:rsidR="007C67A9">
        <w:rPr>
          <w:rFonts w:ascii="仿宋" w:eastAsia="仿宋" w:hAnsi="仿宋" w:cs="仿宋" w:hint="eastAsia"/>
          <w:kern w:val="0"/>
          <w:sz w:val="32"/>
          <w:szCs w:val="32"/>
        </w:rPr>
        <w:t>18样品批次；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支持单卡、二联卡、三联卡、四联卡及六联卡，多种产品类型自由选择；</w:t>
      </w:r>
    </w:p>
    <w:p w:rsidR="00DC5158" w:rsidRDefault="00DC5158" w:rsidP="00DC5158">
      <w:p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5、</w:t>
      </w:r>
      <w:r w:rsidR="008B2406">
        <w:rPr>
          <w:rFonts w:ascii="仿宋" w:eastAsia="仿宋" w:hAnsi="仿宋" w:cs="仿宋" w:hint="eastAsia"/>
          <w:kern w:val="0"/>
          <w:sz w:val="32"/>
          <w:szCs w:val="32"/>
        </w:rPr>
        <w:t>采用操作屏尺寸</w:t>
      </w:r>
      <w:r w:rsidR="008B2406" w:rsidRPr="007C67A9">
        <w:rPr>
          <w:rFonts w:ascii="仿宋" w:eastAsia="仿宋" w:hAnsi="仿宋" w:cs="仿宋" w:hint="eastAsia"/>
          <w:kern w:val="0"/>
          <w:sz w:val="32"/>
          <w:szCs w:val="32"/>
        </w:rPr>
        <w:t>≥</w:t>
      </w:r>
      <w:r w:rsidR="008B2406">
        <w:rPr>
          <w:rFonts w:ascii="仿宋" w:eastAsia="仿宋" w:hAnsi="仿宋" w:cs="仿宋" w:hint="eastAsia"/>
          <w:kern w:val="0"/>
          <w:sz w:val="32"/>
          <w:szCs w:val="32"/>
        </w:rPr>
        <w:t>10英寸，分辩率≥1920*1200的IPS液晶屏；电容式触摸屏触摸输入、支持多点触控；内置嵌入式键盘</w:t>
      </w:r>
      <w:r w:rsidR="002903B7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8B2406">
        <w:rPr>
          <w:rFonts w:ascii="仿宋" w:eastAsia="仿宋" w:hAnsi="仿宋" w:cs="仿宋" w:hint="eastAsia"/>
          <w:kern w:val="0"/>
          <w:sz w:val="32"/>
          <w:szCs w:val="32"/>
        </w:rPr>
        <w:t>同时可外接键盘和鼠标；</w:t>
      </w:r>
      <w:r w:rsidR="005707FF">
        <w:rPr>
          <w:rFonts w:ascii="仿宋" w:eastAsia="仿宋" w:hAnsi="仿宋" w:cs="仿宋" w:hint="eastAsia"/>
          <w:kern w:val="0"/>
          <w:sz w:val="32"/>
          <w:szCs w:val="32"/>
        </w:rPr>
        <w:t>输入</w:t>
      </w:r>
      <w:r w:rsidR="008B2406">
        <w:rPr>
          <w:rFonts w:ascii="仿宋" w:eastAsia="仿宋" w:hAnsi="仿宋" w:cs="仿宋" w:hint="eastAsia"/>
          <w:kern w:val="0"/>
          <w:sz w:val="32"/>
          <w:szCs w:val="32"/>
        </w:rPr>
        <w:t>方便快捷；</w:t>
      </w:r>
    </w:p>
    <w:p w:rsidR="008B2406" w:rsidRDefault="00DC5158" w:rsidP="008B2406">
      <w:p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6、</w:t>
      </w:r>
      <w:r w:rsidR="008B2406">
        <w:rPr>
          <w:rFonts w:ascii="仿宋" w:eastAsia="仿宋" w:hAnsi="仿宋" w:cs="仿宋" w:hint="eastAsia"/>
          <w:kern w:val="0"/>
          <w:sz w:val="32"/>
          <w:szCs w:val="32"/>
        </w:rPr>
        <w:t>通讯接口：包含WIFI、蓝牙、4G模块，保证无线、移动数据传输；用于户外或者其他移动检测定位的内置GPS接口；</w:t>
      </w:r>
    </w:p>
    <w:p w:rsidR="008B2406" w:rsidRDefault="008B2406" w:rsidP="008B2406">
      <w:p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7、打印方式：内置热敏打印机；可外置打印机；可自动生成检测报告；可打印二维码；</w:t>
      </w:r>
    </w:p>
    <w:p w:rsidR="00DC5158" w:rsidRDefault="008B2406" w:rsidP="00DC5158">
      <w:p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8、供电模式：直接使用交流电源；内置</w:t>
      </w:r>
      <w:r w:rsidRPr="00DE560D">
        <w:rPr>
          <w:rFonts w:ascii="仿宋" w:eastAsia="仿宋" w:hAnsi="仿宋" w:cs="仿宋" w:hint="eastAsia"/>
          <w:kern w:val="0"/>
          <w:sz w:val="32"/>
          <w:szCs w:val="32"/>
        </w:rPr>
        <w:t>≥</w:t>
      </w:r>
      <w:r>
        <w:rPr>
          <w:rFonts w:ascii="仿宋" w:eastAsia="仿宋" w:hAnsi="仿宋" w:cs="仿宋" w:hint="eastAsia"/>
          <w:kern w:val="0"/>
          <w:sz w:val="32"/>
          <w:szCs w:val="32"/>
        </w:rPr>
        <w:t>6小时工作锂电池；</w:t>
      </w:r>
    </w:p>
    <w:p w:rsidR="00DC5158" w:rsidRDefault="00DC5158" w:rsidP="00DC5158">
      <w:p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9、</w:t>
      </w:r>
      <w:r w:rsidR="008B2406">
        <w:rPr>
          <w:rFonts w:ascii="仿宋" w:eastAsia="仿宋" w:hAnsi="仿宋" w:cs="仿宋" w:hint="eastAsia"/>
          <w:kern w:val="0"/>
          <w:sz w:val="32"/>
          <w:szCs w:val="32"/>
        </w:rPr>
        <w:t>操作系统：无版权纠纷，便于升级的安卓操作系统；</w:t>
      </w:r>
    </w:p>
    <w:p w:rsidR="00DC5158" w:rsidRDefault="00DC5158" w:rsidP="00DC5158">
      <w:p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10、</w:t>
      </w:r>
      <w:r w:rsidR="008B2406">
        <w:rPr>
          <w:rFonts w:ascii="仿宋" w:eastAsia="仿宋" w:hAnsi="仿宋" w:cs="仿宋" w:hint="eastAsia"/>
          <w:kern w:val="0"/>
          <w:sz w:val="32"/>
          <w:szCs w:val="32"/>
        </w:rPr>
        <w:t>内置便于用户学习的操作视频、技术文档和农产品质量安全相关的法律法规、食品安全标准等知识库；内置国家检测标准作为检测结果的判定的参考依据；</w:t>
      </w:r>
    </w:p>
    <w:p w:rsidR="00DC5158" w:rsidRDefault="00DC5158" w:rsidP="00DC5158">
      <w:p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11、</w:t>
      </w:r>
      <w:r w:rsidR="008B2406">
        <w:rPr>
          <w:rFonts w:ascii="仿宋" w:eastAsia="仿宋" w:hAnsi="仿宋" w:cs="仿宋" w:hint="eastAsia"/>
          <w:kern w:val="0"/>
          <w:sz w:val="32"/>
          <w:szCs w:val="32"/>
        </w:rPr>
        <w:t>根据不同样品的风险指标，配备单卡、二联卡、三联卡、四联卡及六联卡，多种产品类型自由选择；</w:t>
      </w:r>
    </w:p>
    <w:p w:rsidR="000E36A1" w:rsidRDefault="00DC5158" w:rsidP="00DC5158">
      <w:pPr>
        <w:spacing w:line="520" w:lineRule="exac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12、</w:t>
      </w:r>
      <w:bookmarkStart w:id="0" w:name="_GoBack"/>
      <w:r w:rsidR="008B2406">
        <w:rPr>
          <w:rFonts w:ascii="仿宋" w:eastAsia="仿宋" w:hAnsi="仿宋" w:cs="仿宋" w:hint="eastAsia"/>
          <w:kern w:val="0"/>
          <w:sz w:val="32"/>
          <w:szCs w:val="32"/>
        </w:rPr>
        <w:t>多联卡检测时：每个卡片的前处理方法一致，单张卡片可实现单个样品多个指标的同时检测；每个指标独立加样孔</w:t>
      </w:r>
      <w:r w:rsidR="00AA2C37">
        <w:rPr>
          <w:rFonts w:ascii="仿宋" w:eastAsia="仿宋" w:hAnsi="仿宋" w:cs="仿宋" w:hint="eastAsia"/>
          <w:kern w:val="0"/>
          <w:sz w:val="32"/>
          <w:szCs w:val="32"/>
        </w:rPr>
        <w:t>、一张试纸条，避免交叉干扰；</w:t>
      </w:r>
    </w:p>
    <w:p w:rsidR="008B2406" w:rsidRDefault="00DC5158" w:rsidP="008B2406">
      <w:pPr>
        <w:spacing w:line="520" w:lineRule="exac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13、</w:t>
      </w:r>
      <w:r w:rsidR="008B2406">
        <w:rPr>
          <w:rFonts w:ascii="仿宋" w:eastAsia="仿宋" w:hAnsi="仿宋" w:cs="仿宋" w:hint="eastAsia"/>
          <w:kern w:val="0"/>
          <w:sz w:val="32"/>
          <w:szCs w:val="32"/>
        </w:rPr>
        <w:t>每台</w:t>
      </w:r>
      <w:r w:rsidR="008B2406" w:rsidRPr="00AB52FC">
        <w:rPr>
          <w:rFonts w:ascii="仿宋" w:eastAsia="仿宋" w:hAnsi="仿宋" w:cs="仿宋" w:hint="eastAsia"/>
          <w:kern w:val="0"/>
          <w:sz w:val="32"/>
          <w:szCs w:val="32"/>
        </w:rPr>
        <w:t>设备</w:t>
      </w:r>
      <w:r w:rsidR="00AA2C37">
        <w:rPr>
          <w:rFonts w:ascii="仿宋" w:eastAsia="仿宋" w:hAnsi="仿宋" w:cs="仿宋" w:hint="eastAsia"/>
          <w:kern w:val="0"/>
          <w:sz w:val="32"/>
          <w:szCs w:val="32"/>
        </w:rPr>
        <w:t>须</w:t>
      </w:r>
      <w:r w:rsidR="008B2406" w:rsidRPr="00AB52FC">
        <w:rPr>
          <w:rFonts w:ascii="仿宋" w:eastAsia="仿宋" w:hAnsi="仿宋" w:cs="仿宋" w:hint="eastAsia"/>
          <w:kern w:val="0"/>
          <w:sz w:val="32"/>
          <w:szCs w:val="32"/>
        </w:rPr>
        <w:t>配套胶体金六联卡1盒（10片/盒，60批次），六联卡检测项目包括但不限于：腐霉利、多菌灵、吡虫啉、百菌清、灭蝇胺、噻虫嗪、苯醚甲环唑等项目；</w:t>
      </w:r>
    </w:p>
    <w:p w:rsidR="008B2406" w:rsidRDefault="008B2406" w:rsidP="008B2406">
      <w:pPr>
        <w:spacing w:line="520" w:lineRule="exact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0E36A1" w:rsidRDefault="000E36A1" w:rsidP="00DC5158">
      <w:pPr>
        <w:spacing w:line="520" w:lineRule="exact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AB52FC" w:rsidRDefault="00AB52FC" w:rsidP="00DC5158">
      <w:pPr>
        <w:spacing w:line="520" w:lineRule="exact"/>
        <w:rPr>
          <w:rFonts w:ascii="仿宋" w:eastAsia="仿宋" w:hAnsi="仿宋" w:cs="仿宋" w:hint="eastAsia"/>
          <w:kern w:val="0"/>
          <w:sz w:val="32"/>
          <w:szCs w:val="32"/>
        </w:rPr>
      </w:pPr>
    </w:p>
    <w:bookmarkEnd w:id="0"/>
    <w:p w:rsidR="00DC5158" w:rsidRDefault="00DC5158" w:rsidP="00DC5158">
      <w:pPr>
        <w:spacing w:line="520" w:lineRule="exact"/>
        <w:rPr>
          <w:rFonts w:ascii="仿宋" w:eastAsia="仿宋" w:hAnsi="仿宋" w:cs="仿宋"/>
          <w:kern w:val="0"/>
          <w:sz w:val="32"/>
          <w:szCs w:val="32"/>
        </w:rPr>
      </w:pPr>
    </w:p>
    <w:p w:rsidR="00DC5158" w:rsidRDefault="00DC5158" w:rsidP="00DC5158">
      <w:pPr>
        <w:spacing w:line="520" w:lineRule="exact"/>
      </w:pPr>
    </w:p>
    <w:p w:rsidR="00DC5158" w:rsidRDefault="00DC5158" w:rsidP="00DC5158">
      <w:pPr>
        <w:spacing w:line="520" w:lineRule="exact"/>
      </w:pPr>
    </w:p>
    <w:p w:rsidR="00DC5158" w:rsidRDefault="00DC5158" w:rsidP="00DC5158">
      <w:pPr>
        <w:spacing w:line="520" w:lineRule="exact"/>
      </w:pPr>
    </w:p>
    <w:p w:rsidR="00DC5158" w:rsidRDefault="00DC5158" w:rsidP="00DC5158">
      <w:pPr>
        <w:spacing w:line="52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二〇二二年十月十日</w:t>
      </w:r>
    </w:p>
    <w:p w:rsidR="00CF1283" w:rsidRDefault="00CF1283"/>
    <w:sectPr w:rsidR="00CF1283" w:rsidSect="0074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283" w:rsidRDefault="00CF1283" w:rsidP="00DC5158">
      <w:r>
        <w:separator/>
      </w:r>
    </w:p>
  </w:endnote>
  <w:endnote w:type="continuationSeparator" w:id="1">
    <w:p w:rsidR="00CF1283" w:rsidRDefault="00CF1283" w:rsidP="00DC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283" w:rsidRDefault="00CF1283" w:rsidP="00DC5158">
      <w:r>
        <w:separator/>
      </w:r>
    </w:p>
  </w:footnote>
  <w:footnote w:type="continuationSeparator" w:id="1">
    <w:p w:rsidR="00CF1283" w:rsidRDefault="00CF1283" w:rsidP="00DC5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158"/>
    <w:rsid w:val="000E36A1"/>
    <w:rsid w:val="002903B7"/>
    <w:rsid w:val="005707FF"/>
    <w:rsid w:val="007C67A9"/>
    <w:rsid w:val="008B2406"/>
    <w:rsid w:val="009125D7"/>
    <w:rsid w:val="00A53385"/>
    <w:rsid w:val="00AA2C37"/>
    <w:rsid w:val="00AB52FC"/>
    <w:rsid w:val="00CF1283"/>
    <w:rsid w:val="00CF5865"/>
    <w:rsid w:val="00DC5158"/>
    <w:rsid w:val="00D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1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1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2022-10-11T06:49:00Z</dcterms:created>
  <dcterms:modified xsi:type="dcterms:W3CDTF">2022-10-11T07:59:00Z</dcterms:modified>
</cp:coreProperties>
</file>